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1223B5" w:rsidRDefault="00540BEF" w:rsidP="00BF0E94">
      <w:pPr>
        <w:tabs>
          <w:tab w:val="left" w:pos="288"/>
          <w:tab w:val="left" w:pos="4752"/>
        </w:tabs>
        <w:rPr>
          <w:color w:val="000000" w:themeColor="text1"/>
        </w:rPr>
      </w:pPr>
      <w:r w:rsidRPr="001F29F9">
        <w:rPr>
          <w:color w:val="000000" w:themeColor="text1"/>
        </w:rPr>
        <w:t>REC</w:t>
      </w:r>
      <w:r w:rsidRPr="001223B5">
        <w:rPr>
          <w:color w:val="000000" w:themeColor="text1"/>
        </w:rPr>
        <w:t>ORD OF PROCEEDINGS</w:t>
      </w:r>
    </w:p>
    <w:p w:rsidR="00540BEF" w:rsidRPr="001223B5" w:rsidRDefault="00540BEF" w:rsidP="00BF0E94">
      <w:pPr>
        <w:tabs>
          <w:tab w:val="left" w:pos="288"/>
          <w:tab w:val="left" w:pos="4752"/>
        </w:tabs>
        <w:rPr>
          <w:color w:val="000000" w:themeColor="text1"/>
        </w:rPr>
      </w:pPr>
      <w:r w:rsidRPr="001223B5">
        <w:rPr>
          <w:color w:val="000000" w:themeColor="text1"/>
        </w:rPr>
        <w:t>PHYSICAL DISABILITY BOARD OF REVIEW</w:t>
      </w:r>
    </w:p>
    <w:p w:rsidR="00540BEF" w:rsidRPr="001223B5" w:rsidRDefault="00540BEF" w:rsidP="00BF0E94">
      <w:pPr>
        <w:tabs>
          <w:tab w:val="left" w:pos="288"/>
          <w:tab w:val="left" w:pos="4752"/>
        </w:tabs>
        <w:jc w:val="both"/>
        <w:rPr>
          <w:caps/>
          <w:color w:val="000000" w:themeColor="text1"/>
        </w:rPr>
      </w:pPr>
    </w:p>
    <w:p w:rsidR="00E0346A" w:rsidRPr="001223B5" w:rsidRDefault="00F629C0" w:rsidP="002E1F99">
      <w:pPr>
        <w:tabs>
          <w:tab w:val="left" w:pos="288"/>
          <w:tab w:val="left" w:pos="4752"/>
          <w:tab w:val="left" w:pos="5130"/>
          <w:tab w:val="left" w:pos="5490"/>
          <w:tab w:val="left" w:pos="5670"/>
          <w:tab w:val="left" w:pos="9270"/>
        </w:tabs>
        <w:jc w:val="both"/>
        <w:rPr>
          <w:caps/>
          <w:color w:val="000000" w:themeColor="text1"/>
        </w:rPr>
      </w:pPr>
      <w:r w:rsidRPr="001223B5">
        <w:rPr>
          <w:caps/>
          <w:color w:val="000000" w:themeColor="text1"/>
        </w:rPr>
        <w:t xml:space="preserve">NAME: </w:t>
      </w:r>
      <w:r w:rsidR="002049C3">
        <w:rPr>
          <w:caps/>
          <w:color w:val="000000" w:themeColor="text1"/>
        </w:rPr>
        <w:t>XXXXXXXXXXXXXX</w:t>
      </w:r>
      <w:r w:rsidR="004216DA" w:rsidRPr="001223B5">
        <w:rPr>
          <w:caps/>
          <w:color w:val="000000" w:themeColor="text1"/>
        </w:rPr>
        <w:t xml:space="preserve">          </w:t>
      </w:r>
      <w:r w:rsidR="00332DE3" w:rsidRPr="001223B5">
        <w:rPr>
          <w:caps/>
          <w:color w:val="000000" w:themeColor="text1"/>
        </w:rPr>
        <w:t xml:space="preserve"> </w:t>
      </w:r>
      <w:r w:rsidR="004216DA" w:rsidRPr="001223B5">
        <w:rPr>
          <w:caps/>
          <w:color w:val="000000" w:themeColor="text1"/>
        </w:rPr>
        <w:t xml:space="preserve">  </w:t>
      </w:r>
      <w:r w:rsidR="00D040AF" w:rsidRPr="001223B5">
        <w:rPr>
          <w:caps/>
          <w:color w:val="000000" w:themeColor="text1"/>
        </w:rPr>
        <w:t xml:space="preserve">             </w:t>
      </w:r>
      <w:r w:rsidR="002E1F99">
        <w:rPr>
          <w:caps/>
          <w:color w:val="000000" w:themeColor="text1"/>
        </w:rPr>
        <w:t xml:space="preserve">                          </w:t>
      </w:r>
      <w:r w:rsidR="002E1F99">
        <w:rPr>
          <w:caps/>
          <w:color w:val="000000" w:themeColor="text1"/>
        </w:rPr>
        <w:tab/>
      </w:r>
      <w:r w:rsidRPr="001223B5">
        <w:rPr>
          <w:caps/>
          <w:color w:val="000000" w:themeColor="text1"/>
        </w:rPr>
        <w:t>BRANCH OF SERVICE:</w:t>
      </w:r>
      <w:r w:rsidR="00D040AF" w:rsidRPr="001223B5">
        <w:rPr>
          <w:caps/>
          <w:color w:val="000000" w:themeColor="text1"/>
        </w:rPr>
        <w:t xml:space="preserve">  marine corps</w:t>
      </w:r>
    </w:p>
    <w:p w:rsidR="00DE3AAD" w:rsidRPr="001223B5" w:rsidRDefault="00012733" w:rsidP="002E1F99">
      <w:pPr>
        <w:tabs>
          <w:tab w:val="left" w:pos="288"/>
          <w:tab w:val="left" w:pos="4166"/>
          <w:tab w:val="left" w:pos="4752"/>
          <w:tab w:val="left" w:pos="5130"/>
          <w:tab w:val="left" w:pos="5490"/>
          <w:tab w:val="left" w:pos="5670"/>
          <w:tab w:val="left" w:pos="9270"/>
        </w:tabs>
        <w:jc w:val="both"/>
        <w:rPr>
          <w:caps/>
          <w:color w:val="000000" w:themeColor="text1"/>
        </w:rPr>
      </w:pPr>
      <w:r w:rsidRPr="001223B5">
        <w:rPr>
          <w:caps/>
          <w:color w:val="000000" w:themeColor="text1"/>
        </w:rPr>
        <w:t>C</w:t>
      </w:r>
      <w:r w:rsidR="00DE3AAD" w:rsidRPr="001223B5">
        <w:rPr>
          <w:caps/>
          <w:color w:val="000000" w:themeColor="text1"/>
        </w:rPr>
        <w:t>ASE NUMBER:  PD</w:t>
      </w:r>
      <w:r w:rsidR="008F58E1" w:rsidRPr="001223B5">
        <w:rPr>
          <w:caps/>
          <w:color w:val="000000" w:themeColor="text1"/>
        </w:rPr>
        <w:t>1</w:t>
      </w:r>
      <w:r w:rsidR="00D040AF" w:rsidRPr="001223B5">
        <w:rPr>
          <w:caps/>
          <w:color w:val="000000" w:themeColor="text1"/>
        </w:rPr>
        <w:t>0</w:t>
      </w:r>
      <w:r w:rsidR="00DE3AAD" w:rsidRPr="001223B5">
        <w:rPr>
          <w:caps/>
          <w:color w:val="000000" w:themeColor="text1"/>
        </w:rPr>
        <w:t>00</w:t>
      </w:r>
      <w:r w:rsidR="00D040AF" w:rsidRPr="001223B5">
        <w:rPr>
          <w:caps/>
          <w:color w:val="000000" w:themeColor="text1"/>
        </w:rPr>
        <w:t>017</w:t>
      </w:r>
      <w:r w:rsidR="00DE3AAD" w:rsidRPr="001223B5">
        <w:rPr>
          <w:color w:val="000000" w:themeColor="text1"/>
        </w:rPr>
        <w:t xml:space="preserve"> </w:t>
      </w:r>
      <w:r w:rsidR="00DE3AAD" w:rsidRPr="001223B5">
        <w:rPr>
          <w:color w:val="000000" w:themeColor="text1"/>
        </w:rPr>
        <w:tab/>
      </w:r>
      <w:r w:rsidR="0068098E" w:rsidRPr="001223B5">
        <w:rPr>
          <w:color w:val="000000" w:themeColor="text1"/>
        </w:rPr>
        <w:tab/>
      </w:r>
      <w:r w:rsidR="00DE3AAD" w:rsidRPr="001223B5">
        <w:rPr>
          <w:color w:val="000000" w:themeColor="text1"/>
        </w:rPr>
        <w:t xml:space="preserve">         </w:t>
      </w:r>
      <w:r w:rsidR="002E1F99">
        <w:rPr>
          <w:color w:val="000000" w:themeColor="text1"/>
        </w:rPr>
        <w:t xml:space="preserve">   </w:t>
      </w:r>
      <w:r w:rsidR="002E1F99">
        <w:rPr>
          <w:color w:val="000000" w:themeColor="text1"/>
        </w:rPr>
        <w:tab/>
      </w:r>
      <w:r w:rsidR="00DE3AAD" w:rsidRPr="001223B5">
        <w:rPr>
          <w:color w:val="000000" w:themeColor="text1"/>
        </w:rPr>
        <w:t>SEPARATION DATE:  200</w:t>
      </w:r>
      <w:r w:rsidR="00D040AF" w:rsidRPr="001223B5">
        <w:rPr>
          <w:color w:val="000000" w:themeColor="text1"/>
        </w:rPr>
        <w:t>70531</w:t>
      </w:r>
    </w:p>
    <w:p w:rsidR="005339B0" w:rsidRPr="001223B5" w:rsidRDefault="004F3639" w:rsidP="005339B0">
      <w:pPr>
        <w:tabs>
          <w:tab w:val="left" w:pos="288"/>
          <w:tab w:val="left" w:pos="5130"/>
        </w:tabs>
        <w:jc w:val="both"/>
        <w:rPr>
          <w:color w:val="000000" w:themeColor="text1"/>
        </w:rPr>
      </w:pPr>
      <w:r w:rsidRPr="001223B5">
        <w:rPr>
          <w:caps/>
          <w:color w:val="000000" w:themeColor="text1"/>
        </w:rPr>
        <w:t>BOARD DATE:  201</w:t>
      </w:r>
      <w:r w:rsidR="00BA5912" w:rsidRPr="001223B5">
        <w:rPr>
          <w:caps/>
          <w:color w:val="000000" w:themeColor="text1"/>
        </w:rPr>
        <w:t>2</w:t>
      </w:r>
      <w:r w:rsidR="00874E5D">
        <w:rPr>
          <w:caps/>
          <w:color w:val="000000" w:themeColor="text1"/>
        </w:rPr>
        <w:t>0509</w:t>
      </w:r>
      <w:r w:rsidR="005339B0" w:rsidRPr="001223B5">
        <w:rPr>
          <w:caps/>
          <w:color w:val="000000" w:themeColor="text1"/>
        </w:rPr>
        <w:t xml:space="preserve">                                                                       </w:t>
      </w:r>
    </w:p>
    <w:p w:rsidR="00E27D88" w:rsidRPr="00E27D88" w:rsidRDefault="00E27D88" w:rsidP="00BF0E94">
      <w:pPr>
        <w:tabs>
          <w:tab w:val="left" w:pos="288"/>
          <w:tab w:val="left" w:pos="5130"/>
        </w:tabs>
        <w:jc w:val="both"/>
        <w:rPr>
          <w:b/>
          <w:caps/>
          <w:color w:val="000000" w:themeColor="text1"/>
          <w:u w:val="single"/>
        </w:rPr>
      </w:pPr>
      <w:r w:rsidRPr="00E27D88">
        <w:rPr>
          <w:b/>
          <w:caps/>
          <w:color w:val="000000" w:themeColor="text1"/>
          <w:u w:val="single"/>
        </w:rPr>
        <w:t>______________________________________________________________________________</w:t>
      </w:r>
    </w:p>
    <w:p w:rsidR="00FF4C90" w:rsidRPr="001223B5" w:rsidRDefault="00FF4C90" w:rsidP="00BF0E94">
      <w:pPr>
        <w:tabs>
          <w:tab w:val="left" w:pos="288"/>
          <w:tab w:val="left" w:pos="4752"/>
        </w:tabs>
        <w:jc w:val="both"/>
        <w:rPr>
          <w:color w:val="000000" w:themeColor="text1"/>
        </w:rPr>
      </w:pPr>
    </w:p>
    <w:p w:rsidR="00F63FC7" w:rsidRPr="001223B5" w:rsidRDefault="00FB0E80" w:rsidP="00FD24D3">
      <w:pPr>
        <w:tabs>
          <w:tab w:val="left" w:pos="288"/>
          <w:tab w:val="left" w:pos="4752"/>
        </w:tabs>
        <w:jc w:val="both"/>
        <w:rPr>
          <w:color w:val="000000" w:themeColor="text1"/>
        </w:rPr>
      </w:pPr>
      <w:r w:rsidRPr="001223B5">
        <w:rPr>
          <w:color w:val="000000" w:themeColor="text1"/>
          <w:u w:val="single"/>
        </w:rPr>
        <w:t>SUMMARY OF CASE</w:t>
      </w:r>
      <w:r w:rsidRPr="001223B5">
        <w:rPr>
          <w:color w:val="000000" w:themeColor="text1"/>
        </w:rPr>
        <w:t xml:space="preserve">:  </w:t>
      </w:r>
      <w:r w:rsidR="009759C2" w:rsidRPr="001223B5">
        <w:rPr>
          <w:color w:val="000000" w:themeColor="text1"/>
        </w:rPr>
        <w:t>Data extracted from the available evidence of record reflects that this covered individual (CI)</w:t>
      </w:r>
      <w:r w:rsidR="00570754" w:rsidRPr="001223B5">
        <w:rPr>
          <w:color w:val="000000" w:themeColor="text1"/>
        </w:rPr>
        <w:t xml:space="preserve"> </w:t>
      </w:r>
      <w:r w:rsidR="002C6E5B" w:rsidRPr="001223B5">
        <w:rPr>
          <w:color w:val="000000" w:themeColor="text1"/>
          <w:szCs w:val="24"/>
        </w:rPr>
        <w:t xml:space="preserve">was </w:t>
      </w:r>
      <w:r w:rsidR="00E322F7" w:rsidRPr="001223B5">
        <w:rPr>
          <w:color w:val="000000" w:themeColor="text1"/>
          <w:szCs w:val="24"/>
        </w:rPr>
        <w:t>an active duty</w:t>
      </w:r>
      <w:r w:rsidR="002E65E6" w:rsidRPr="001223B5">
        <w:rPr>
          <w:color w:val="000000" w:themeColor="text1"/>
          <w:szCs w:val="24"/>
        </w:rPr>
        <w:t xml:space="preserve"> </w:t>
      </w:r>
      <w:r w:rsidR="005339B0" w:rsidRPr="001223B5">
        <w:rPr>
          <w:color w:val="000000" w:themeColor="text1"/>
          <w:szCs w:val="24"/>
        </w:rPr>
        <w:t>C</w:t>
      </w:r>
      <w:r w:rsidR="002E1F99">
        <w:rPr>
          <w:color w:val="000000" w:themeColor="text1"/>
          <w:szCs w:val="24"/>
        </w:rPr>
        <w:t>pl</w:t>
      </w:r>
      <w:r w:rsidR="00661BA2" w:rsidRPr="001223B5">
        <w:rPr>
          <w:color w:val="000000" w:themeColor="text1"/>
          <w:szCs w:val="24"/>
        </w:rPr>
        <w:t>/E-</w:t>
      </w:r>
      <w:r w:rsidR="005339B0" w:rsidRPr="001223B5">
        <w:rPr>
          <w:color w:val="000000" w:themeColor="text1"/>
          <w:szCs w:val="24"/>
        </w:rPr>
        <w:t>4</w:t>
      </w:r>
      <w:r w:rsidR="00705C40" w:rsidRPr="001223B5">
        <w:rPr>
          <w:color w:val="000000" w:themeColor="text1"/>
          <w:szCs w:val="24"/>
        </w:rPr>
        <w:t xml:space="preserve"> (</w:t>
      </w:r>
      <w:r w:rsidR="005339B0" w:rsidRPr="001223B5">
        <w:rPr>
          <w:color w:val="000000" w:themeColor="text1"/>
          <w:szCs w:val="24"/>
        </w:rPr>
        <w:t>0311</w:t>
      </w:r>
      <w:r w:rsidR="00C75F3D" w:rsidRPr="001223B5">
        <w:rPr>
          <w:color w:val="000000" w:themeColor="text1"/>
          <w:szCs w:val="24"/>
        </w:rPr>
        <w:t>/</w:t>
      </w:r>
      <w:r w:rsidR="00054209" w:rsidRPr="001223B5">
        <w:rPr>
          <w:color w:val="000000" w:themeColor="text1"/>
          <w:szCs w:val="24"/>
        </w:rPr>
        <w:t>Rifleman</w:t>
      </w:r>
      <w:r w:rsidR="00E322F7" w:rsidRPr="001223B5">
        <w:rPr>
          <w:color w:val="000000" w:themeColor="text1"/>
          <w:szCs w:val="24"/>
        </w:rPr>
        <w:t>)</w:t>
      </w:r>
      <w:r w:rsidR="00C75F3D" w:rsidRPr="001223B5">
        <w:rPr>
          <w:color w:val="000000" w:themeColor="text1"/>
          <w:szCs w:val="24"/>
        </w:rPr>
        <w:t xml:space="preserve">, </w:t>
      </w:r>
      <w:r w:rsidR="002C6E5B" w:rsidRPr="001223B5">
        <w:rPr>
          <w:color w:val="000000" w:themeColor="text1"/>
          <w:szCs w:val="24"/>
        </w:rPr>
        <w:t xml:space="preserve">medically separated for </w:t>
      </w:r>
      <w:r w:rsidR="005339B0" w:rsidRPr="001223B5">
        <w:rPr>
          <w:color w:val="000000" w:themeColor="text1"/>
          <w:szCs w:val="24"/>
        </w:rPr>
        <w:t xml:space="preserve">left </w:t>
      </w:r>
      <w:proofErr w:type="spellStart"/>
      <w:r w:rsidR="005339B0" w:rsidRPr="001223B5">
        <w:rPr>
          <w:color w:val="000000" w:themeColor="text1"/>
          <w:szCs w:val="24"/>
        </w:rPr>
        <w:t>patellofemoral</w:t>
      </w:r>
      <w:proofErr w:type="spellEnd"/>
      <w:r w:rsidR="005339B0" w:rsidRPr="001223B5">
        <w:rPr>
          <w:color w:val="000000" w:themeColor="text1"/>
          <w:szCs w:val="24"/>
        </w:rPr>
        <w:t xml:space="preserve"> arthritis</w:t>
      </w:r>
      <w:r w:rsidR="00C75F3D" w:rsidRPr="001223B5">
        <w:rPr>
          <w:i/>
          <w:color w:val="000000" w:themeColor="text1"/>
          <w:szCs w:val="24"/>
        </w:rPr>
        <w:t>.</w:t>
      </w:r>
      <w:r w:rsidR="00B36811" w:rsidRPr="001223B5">
        <w:rPr>
          <w:i/>
          <w:color w:val="000000" w:themeColor="text1"/>
          <w:szCs w:val="24"/>
        </w:rPr>
        <w:t xml:space="preserve"> </w:t>
      </w:r>
      <w:r w:rsidR="00797453">
        <w:rPr>
          <w:i/>
          <w:color w:val="000000" w:themeColor="text1"/>
          <w:szCs w:val="24"/>
        </w:rPr>
        <w:t xml:space="preserve"> </w:t>
      </w:r>
      <w:r w:rsidR="00643C8F" w:rsidRPr="001223B5">
        <w:rPr>
          <w:color w:val="000000" w:themeColor="text1"/>
          <w:szCs w:val="24"/>
        </w:rPr>
        <w:t xml:space="preserve">He did not respond adequately to treatment and was unable to perform within his Military Occupational Specialty (MOS) or meet physical fitness standards.  He was placed on limited duty </w:t>
      </w:r>
      <w:r w:rsidR="00797453">
        <w:rPr>
          <w:color w:val="000000" w:themeColor="text1"/>
          <w:szCs w:val="24"/>
        </w:rPr>
        <w:t xml:space="preserve">(LIMDU) </w:t>
      </w:r>
      <w:r w:rsidR="00643C8F" w:rsidRPr="001223B5">
        <w:rPr>
          <w:color w:val="000000" w:themeColor="text1"/>
          <w:szCs w:val="24"/>
        </w:rPr>
        <w:t>and underwent a Medical Evaluation Board (MEB).</w:t>
      </w:r>
      <w:r w:rsidR="00B36811" w:rsidRPr="001223B5">
        <w:rPr>
          <w:color w:val="000000" w:themeColor="text1"/>
          <w:szCs w:val="24"/>
        </w:rPr>
        <w:t xml:space="preserve"> </w:t>
      </w:r>
      <w:r w:rsidR="00797453">
        <w:rPr>
          <w:color w:val="000000" w:themeColor="text1"/>
          <w:szCs w:val="24"/>
        </w:rPr>
        <w:t xml:space="preserve"> </w:t>
      </w:r>
      <w:r w:rsidR="005339B0" w:rsidRPr="001223B5">
        <w:rPr>
          <w:color w:val="000000" w:themeColor="text1"/>
          <w:szCs w:val="24"/>
        </w:rPr>
        <w:t xml:space="preserve">Left </w:t>
      </w:r>
      <w:proofErr w:type="spellStart"/>
      <w:r w:rsidR="005339B0" w:rsidRPr="001223B5">
        <w:rPr>
          <w:color w:val="000000" w:themeColor="text1"/>
          <w:szCs w:val="24"/>
        </w:rPr>
        <w:t>patellofemoral</w:t>
      </w:r>
      <w:proofErr w:type="spellEnd"/>
      <w:r w:rsidR="005339B0" w:rsidRPr="001223B5">
        <w:rPr>
          <w:color w:val="000000" w:themeColor="text1"/>
          <w:szCs w:val="24"/>
        </w:rPr>
        <w:t xml:space="preserve"> arthritis </w:t>
      </w:r>
      <w:r w:rsidR="000A33C8" w:rsidRPr="001223B5">
        <w:rPr>
          <w:color w:val="000000" w:themeColor="text1"/>
          <w:szCs w:val="24"/>
        </w:rPr>
        <w:t>w</w:t>
      </w:r>
      <w:r w:rsidR="005339B0" w:rsidRPr="001223B5">
        <w:rPr>
          <w:color w:val="000000" w:themeColor="text1"/>
          <w:szCs w:val="24"/>
        </w:rPr>
        <w:t>as</w:t>
      </w:r>
      <w:r w:rsidR="000A33C8" w:rsidRPr="001223B5">
        <w:rPr>
          <w:color w:val="000000" w:themeColor="text1"/>
          <w:szCs w:val="24"/>
        </w:rPr>
        <w:t xml:space="preserve"> forwarded to the Physical Evaluation Board (PEB) as medically unacceptable IAW </w:t>
      </w:r>
      <w:r w:rsidR="00AB1F8D" w:rsidRPr="001223B5">
        <w:rPr>
          <w:color w:val="000000" w:themeColor="text1"/>
          <w:szCs w:val="24"/>
        </w:rPr>
        <w:t>SECNAVINST 1850.4E</w:t>
      </w:r>
      <w:r w:rsidR="00376E08" w:rsidRPr="001223B5">
        <w:rPr>
          <w:color w:val="000000" w:themeColor="text1"/>
          <w:szCs w:val="24"/>
        </w:rPr>
        <w:t>.</w:t>
      </w:r>
      <w:r w:rsidR="002E1F99">
        <w:rPr>
          <w:color w:val="000000" w:themeColor="text1"/>
          <w:szCs w:val="24"/>
        </w:rPr>
        <w:t xml:space="preserve">  </w:t>
      </w:r>
      <w:r w:rsidR="005339B0" w:rsidRPr="001223B5">
        <w:rPr>
          <w:color w:val="000000" w:themeColor="text1"/>
          <w:szCs w:val="24"/>
        </w:rPr>
        <w:t xml:space="preserve">One </w:t>
      </w:r>
      <w:r w:rsidR="00954E5B" w:rsidRPr="001223B5">
        <w:rPr>
          <w:color w:val="000000" w:themeColor="text1"/>
          <w:szCs w:val="24"/>
        </w:rPr>
        <w:t>other condition, as identified in the rating chart below, w</w:t>
      </w:r>
      <w:r w:rsidR="005339B0" w:rsidRPr="001223B5">
        <w:rPr>
          <w:color w:val="000000" w:themeColor="text1"/>
          <w:szCs w:val="24"/>
        </w:rPr>
        <w:t>as</w:t>
      </w:r>
      <w:r w:rsidR="00954E5B" w:rsidRPr="001223B5">
        <w:rPr>
          <w:color w:val="000000" w:themeColor="text1"/>
          <w:szCs w:val="24"/>
        </w:rPr>
        <w:t xml:space="preserve"> forwarded on the </w:t>
      </w:r>
      <w:r w:rsidR="00B04562" w:rsidRPr="001223B5">
        <w:rPr>
          <w:color w:val="000000" w:themeColor="text1"/>
          <w:szCs w:val="24"/>
        </w:rPr>
        <w:t>MEB submission.</w:t>
      </w:r>
      <w:r w:rsidR="00B36811" w:rsidRPr="001223B5">
        <w:rPr>
          <w:color w:val="000000" w:themeColor="text1"/>
          <w:szCs w:val="24"/>
        </w:rPr>
        <w:t xml:space="preserve"> </w:t>
      </w:r>
      <w:r w:rsidR="002E1F99">
        <w:rPr>
          <w:color w:val="000000" w:themeColor="text1"/>
          <w:szCs w:val="24"/>
        </w:rPr>
        <w:t xml:space="preserve"> </w:t>
      </w:r>
      <w:r w:rsidR="00842BAA" w:rsidRPr="001223B5">
        <w:rPr>
          <w:color w:val="000000" w:themeColor="text1"/>
          <w:szCs w:val="24"/>
        </w:rPr>
        <w:t xml:space="preserve">The </w:t>
      </w:r>
      <w:r w:rsidR="00797453">
        <w:rPr>
          <w:color w:val="000000" w:themeColor="text1"/>
          <w:szCs w:val="24"/>
        </w:rPr>
        <w:t>PEB</w:t>
      </w:r>
      <w:r w:rsidR="00842BAA" w:rsidRPr="001223B5">
        <w:rPr>
          <w:color w:val="000000" w:themeColor="text1"/>
          <w:szCs w:val="24"/>
        </w:rPr>
        <w:t xml:space="preserve"> adjudicated the </w:t>
      </w:r>
      <w:r w:rsidR="00B36811" w:rsidRPr="001223B5">
        <w:rPr>
          <w:color w:val="000000" w:themeColor="text1"/>
          <w:szCs w:val="24"/>
        </w:rPr>
        <w:t xml:space="preserve">left </w:t>
      </w:r>
      <w:proofErr w:type="spellStart"/>
      <w:r w:rsidR="00B36811" w:rsidRPr="001223B5">
        <w:rPr>
          <w:color w:val="000000" w:themeColor="text1"/>
          <w:szCs w:val="24"/>
        </w:rPr>
        <w:t>patellofemoral</w:t>
      </w:r>
      <w:proofErr w:type="spellEnd"/>
      <w:r w:rsidR="00B36811" w:rsidRPr="001223B5">
        <w:rPr>
          <w:color w:val="000000" w:themeColor="text1"/>
          <w:szCs w:val="24"/>
        </w:rPr>
        <w:t xml:space="preserve"> arthritis </w:t>
      </w:r>
      <w:r w:rsidR="00842BAA" w:rsidRPr="001223B5">
        <w:rPr>
          <w:color w:val="000000" w:themeColor="text1"/>
          <w:szCs w:val="24"/>
        </w:rPr>
        <w:t xml:space="preserve">condition as unfitting, rated </w:t>
      </w:r>
      <w:r w:rsidR="00B36811" w:rsidRPr="001223B5">
        <w:rPr>
          <w:color w:val="000000" w:themeColor="text1"/>
          <w:szCs w:val="24"/>
        </w:rPr>
        <w:t>10</w:t>
      </w:r>
      <w:r w:rsidR="00842BAA" w:rsidRPr="001223B5">
        <w:rPr>
          <w:color w:val="000000" w:themeColor="text1"/>
          <w:szCs w:val="24"/>
        </w:rPr>
        <w:t xml:space="preserve">%; additionally </w:t>
      </w:r>
      <w:r w:rsidR="00B36811" w:rsidRPr="001223B5">
        <w:rPr>
          <w:color w:val="000000" w:themeColor="text1"/>
          <w:szCs w:val="24"/>
        </w:rPr>
        <w:t>left open patella fracture</w:t>
      </w:r>
      <w:r w:rsidR="00842BAA" w:rsidRPr="001223B5">
        <w:rPr>
          <w:color w:val="000000" w:themeColor="text1"/>
          <w:szCs w:val="24"/>
        </w:rPr>
        <w:t xml:space="preserve"> condition </w:t>
      </w:r>
      <w:r w:rsidR="00E27D88">
        <w:rPr>
          <w:color w:val="000000" w:themeColor="text1"/>
          <w:szCs w:val="24"/>
        </w:rPr>
        <w:t>was considere</w:t>
      </w:r>
      <w:r w:rsidR="00842BAA" w:rsidRPr="001223B5">
        <w:rPr>
          <w:color w:val="000000" w:themeColor="text1"/>
          <w:szCs w:val="24"/>
        </w:rPr>
        <w:t xml:space="preserve">d </w:t>
      </w:r>
      <w:r w:rsidR="00797453">
        <w:rPr>
          <w:color w:val="000000" w:themeColor="text1"/>
          <w:szCs w:val="24"/>
        </w:rPr>
        <w:t>c</w:t>
      </w:r>
      <w:r w:rsidR="00842BAA" w:rsidRPr="001223B5">
        <w:rPr>
          <w:color w:val="000000" w:themeColor="text1"/>
          <w:szCs w:val="24"/>
        </w:rPr>
        <w:t>at</w:t>
      </w:r>
      <w:r w:rsidR="00E27D88">
        <w:rPr>
          <w:color w:val="000000" w:themeColor="text1"/>
          <w:szCs w:val="24"/>
        </w:rPr>
        <w:t>egory</w:t>
      </w:r>
      <w:r w:rsidR="00842BAA" w:rsidRPr="001223B5">
        <w:rPr>
          <w:color w:val="000000" w:themeColor="text1"/>
          <w:szCs w:val="24"/>
        </w:rPr>
        <w:t xml:space="preserve"> II</w:t>
      </w:r>
      <w:r w:rsidR="00E7158F">
        <w:rPr>
          <w:color w:val="000000" w:themeColor="text1"/>
          <w:szCs w:val="24"/>
        </w:rPr>
        <w:t>, a related condition that is not separately unfitting</w:t>
      </w:r>
      <w:r w:rsidR="00842BAA" w:rsidRPr="001223B5">
        <w:rPr>
          <w:color w:val="000000" w:themeColor="text1"/>
          <w:szCs w:val="24"/>
        </w:rPr>
        <w:t>; with application of SECNAVINST 1850.4E respectively.</w:t>
      </w:r>
      <w:r w:rsidR="00B36811" w:rsidRPr="001223B5">
        <w:rPr>
          <w:color w:val="000000" w:themeColor="text1"/>
          <w:szCs w:val="24"/>
        </w:rPr>
        <w:t xml:space="preserve"> </w:t>
      </w:r>
      <w:r w:rsidR="002E1F99">
        <w:rPr>
          <w:color w:val="000000" w:themeColor="text1"/>
          <w:szCs w:val="24"/>
        </w:rPr>
        <w:t xml:space="preserve"> </w:t>
      </w:r>
      <w:r w:rsidR="00B20624" w:rsidRPr="001223B5">
        <w:rPr>
          <w:color w:val="000000" w:themeColor="text1"/>
        </w:rPr>
        <w:t xml:space="preserve">The CI </w:t>
      </w:r>
      <w:r w:rsidR="00190E48" w:rsidRPr="001223B5">
        <w:rPr>
          <w:color w:val="000000" w:themeColor="text1"/>
        </w:rPr>
        <w:t xml:space="preserve">made no appeals, </w:t>
      </w:r>
      <w:r w:rsidR="00B20624" w:rsidRPr="001223B5">
        <w:rPr>
          <w:color w:val="000000" w:themeColor="text1"/>
        </w:rPr>
        <w:t xml:space="preserve">and was medically separated with a </w:t>
      </w:r>
      <w:r w:rsidR="00B36811" w:rsidRPr="001223B5">
        <w:rPr>
          <w:color w:val="000000" w:themeColor="text1"/>
        </w:rPr>
        <w:t>10</w:t>
      </w:r>
      <w:r w:rsidR="00B20624" w:rsidRPr="001223B5">
        <w:rPr>
          <w:color w:val="000000" w:themeColor="text1"/>
        </w:rPr>
        <w:t>% combined disability rating.</w:t>
      </w:r>
    </w:p>
    <w:p w:rsidR="004174F0" w:rsidRPr="001223B5" w:rsidRDefault="004174F0" w:rsidP="00FD24D3">
      <w:pPr>
        <w:pBdr>
          <w:bottom w:val="single" w:sz="12" w:space="1" w:color="auto"/>
        </w:pBdr>
        <w:tabs>
          <w:tab w:val="left" w:pos="288"/>
          <w:tab w:val="left" w:pos="4752"/>
        </w:tabs>
        <w:jc w:val="both"/>
        <w:rPr>
          <w:color w:val="000000" w:themeColor="text1"/>
        </w:rPr>
      </w:pPr>
    </w:p>
    <w:p w:rsidR="004174F0" w:rsidRPr="001223B5" w:rsidRDefault="004174F0" w:rsidP="00FD24D3">
      <w:pPr>
        <w:tabs>
          <w:tab w:val="left" w:pos="288"/>
          <w:tab w:val="left" w:pos="4752"/>
        </w:tabs>
        <w:jc w:val="both"/>
        <w:rPr>
          <w:color w:val="000000" w:themeColor="text1"/>
        </w:rPr>
      </w:pPr>
    </w:p>
    <w:p w:rsidR="00990194" w:rsidRDefault="002C6E5B" w:rsidP="00FD24D3">
      <w:pPr>
        <w:tabs>
          <w:tab w:val="left" w:pos="288"/>
          <w:tab w:val="left" w:pos="4752"/>
        </w:tabs>
        <w:jc w:val="both"/>
        <w:rPr>
          <w:color w:val="000000" w:themeColor="text1"/>
        </w:rPr>
      </w:pPr>
      <w:r w:rsidRPr="001223B5">
        <w:rPr>
          <w:color w:val="000000" w:themeColor="text1"/>
          <w:u w:val="single"/>
        </w:rPr>
        <w:t>CI CONTENTION</w:t>
      </w:r>
      <w:r w:rsidRPr="001223B5">
        <w:rPr>
          <w:color w:val="000000" w:themeColor="text1"/>
        </w:rPr>
        <w:t>:</w:t>
      </w:r>
      <w:r w:rsidR="00D040AF" w:rsidRPr="001223B5">
        <w:rPr>
          <w:color w:val="000000" w:themeColor="text1"/>
        </w:rPr>
        <w:t xml:space="preserve"> “Injury has since affected personal and professional life on a continual basis.  Suffer from chronic pain in which the only treatment the VA will provide at this time is drug therapy (narcotic painkillers).  </w:t>
      </w:r>
      <w:r w:rsidR="00990194" w:rsidRPr="001223B5">
        <w:rPr>
          <w:color w:val="000000" w:themeColor="text1"/>
        </w:rPr>
        <w:t xml:space="preserve">Currently </w:t>
      </w:r>
      <w:proofErr w:type="spellStart"/>
      <w:r w:rsidR="00990194" w:rsidRPr="001223B5">
        <w:rPr>
          <w:color w:val="000000" w:themeColor="text1"/>
        </w:rPr>
        <w:t>continueing</w:t>
      </w:r>
      <w:proofErr w:type="spellEnd"/>
      <w:r w:rsidR="00D040AF" w:rsidRPr="001223B5">
        <w:rPr>
          <w:color w:val="000000" w:themeColor="text1"/>
        </w:rPr>
        <w:t xml:space="preserve"> </w:t>
      </w:r>
      <w:r w:rsidR="00990194">
        <w:rPr>
          <w:color w:val="000000" w:themeColor="text1"/>
        </w:rPr>
        <w:t xml:space="preserve">[sic] </w:t>
      </w:r>
      <w:r w:rsidR="00D040AF" w:rsidRPr="001223B5">
        <w:rPr>
          <w:color w:val="000000" w:themeColor="text1"/>
        </w:rPr>
        <w:t>to appeal VA rating concerning left knee.</w:t>
      </w:r>
      <w:r w:rsidR="00E27D88">
        <w:rPr>
          <w:color w:val="000000" w:themeColor="text1"/>
        </w:rPr>
        <w:t>”</w:t>
      </w:r>
    </w:p>
    <w:p w:rsidR="00990194" w:rsidRDefault="00990194" w:rsidP="00FD24D3">
      <w:pPr>
        <w:tabs>
          <w:tab w:val="left" w:pos="288"/>
          <w:tab w:val="left" w:pos="4752"/>
        </w:tabs>
        <w:jc w:val="both"/>
        <w:rPr>
          <w:b/>
          <w:color w:val="000000" w:themeColor="text1"/>
        </w:rPr>
      </w:pPr>
      <w:r w:rsidRPr="00990194">
        <w:rPr>
          <w:b/>
          <w:color w:val="000000" w:themeColor="text1"/>
        </w:rPr>
        <w:t>______________________________________________________________________________</w:t>
      </w:r>
    </w:p>
    <w:p w:rsidR="00990194" w:rsidRDefault="00990194" w:rsidP="00FD24D3">
      <w:pPr>
        <w:tabs>
          <w:tab w:val="left" w:pos="288"/>
          <w:tab w:val="left" w:pos="4752"/>
        </w:tabs>
        <w:jc w:val="both"/>
        <w:rPr>
          <w:b/>
          <w:color w:val="000000" w:themeColor="text1"/>
        </w:rPr>
      </w:pPr>
    </w:p>
    <w:p w:rsidR="00990194" w:rsidRPr="00990194" w:rsidRDefault="00990194" w:rsidP="00990194">
      <w:pPr>
        <w:jc w:val="both"/>
        <w:rPr>
          <w:color w:val="000000" w:themeColor="text1"/>
        </w:rPr>
      </w:pPr>
      <w:r w:rsidRPr="00F64312">
        <w:rPr>
          <w:color w:val="auto"/>
          <w:u w:val="single"/>
        </w:rPr>
        <w:t>SCOPE OF REVIEW</w:t>
      </w:r>
      <w:r w:rsidRPr="00F64312">
        <w:rPr>
          <w:color w:val="auto"/>
        </w:rPr>
        <w:t xml:space="preserve">:  The Board wishes to clarify that the scope of its review as defined in DoDI 6040.44 (4.a) is limited to those conditions which were determined by the PEB to be specifically unfitting for continued military service; and, when requested by the CI, those condition(s) “identified but not determined </w:t>
      </w:r>
      <w:r w:rsidRPr="00874E5D">
        <w:rPr>
          <w:color w:val="auto"/>
        </w:rPr>
        <w:t>to be unfitting by the PEB.</w:t>
      </w:r>
      <w:r w:rsidR="00874E5D">
        <w:rPr>
          <w:color w:val="auto"/>
        </w:rPr>
        <w:t xml:space="preserve">” </w:t>
      </w:r>
      <w:r w:rsidR="00797453">
        <w:rPr>
          <w:color w:val="auto"/>
        </w:rPr>
        <w:t xml:space="preserve"> </w:t>
      </w:r>
      <w:r w:rsidRPr="00874E5D">
        <w:rPr>
          <w:color w:val="auto"/>
        </w:rPr>
        <w:t>Any conditions or contention not requested in this application, or otherwise outside the Board’s defined scope of review, remain eligible for future consideration by the Board for Correction of Naval Records (BCNR).</w:t>
      </w:r>
    </w:p>
    <w:p w:rsidR="004174F0" w:rsidRPr="001223B5" w:rsidRDefault="004174F0" w:rsidP="00FD24D3">
      <w:pPr>
        <w:pBdr>
          <w:bottom w:val="single" w:sz="12" w:space="1" w:color="auto"/>
        </w:pBdr>
        <w:tabs>
          <w:tab w:val="left" w:pos="288"/>
          <w:tab w:val="left" w:pos="4752"/>
        </w:tabs>
        <w:jc w:val="both"/>
        <w:rPr>
          <w:color w:val="000000" w:themeColor="text1"/>
        </w:rPr>
      </w:pPr>
    </w:p>
    <w:p w:rsidR="004174F0" w:rsidRPr="001223B5" w:rsidRDefault="004174F0" w:rsidP="00FD24D3">
      <w:pPr>
        <w:tabs>
          <w:tab w:val="left" w:pos="288"/>
          <w:tab w:val="left" w:pos="4752"/>
        </w:tabs>
        <w:jc w:val="both"/>
        <w:rPr>
          <w:color w:val="000000" w:themeColor="text1"/>
        </w:rPr>
      </w:pPr>
    </w:p>
    <w:p w:rsidR="001537D8" w:rsidRPr="001223B5" w:rsidRDefault="007F0AB7" w:rsidP="00FD24D3">
      <w:pPr>
        <w:jc w:val="both"/>
        <w:rPr>
          <w:color w:val="000000" w:themeColor="text1"/>
        </w:rPr>
      </w:pPr>
      <w:r w:rsidRPr="001223B5">
        <w:rPr>
          <w:color w:val="000000" w:themeColor="text1"/>
          <w:u w:val="single"/>
        </w:rPr>
        <w:t>R</w:t>
      </w:r>
      <w:r w:rsidR="002C6E5B" w:rsidRPr="001223B5">
        <w:rPr>
          <w:color w:val="000000" w:themeColor="text1"/>
          <w:u w:val="single"/>
        </w:rPr>
        <w:t>ATING COMPARISON</w:t>
      </w:r>
      <w:r w:rsidR="002C6E5B" w:rsidRPr="001223B5">
        <w:rPr>
          <w:color w:val="000000" w:themeColor="text1"/>
        </w:rPr>
        <w:t>:</w:t>
      </w:r>
    </w:p>
    <w:p w:rsidR="002151AB" w:rsidRPr="001223B5" w:rsidRDefault="002151AB" w:rsidP="00BF0E94">
      <w:pPr>
        <w:rPr>
          <w:color w:val="000000" w:themeColor="text1"/>
        </w:rPr>
      </w:pPr>
    </w:p>
    <w:tbl>
      <w:tblPr>
        <w:tblStyle w:val="TableGrid"/>
        <w:tblpPr w:leftFromText="187" w:rightFromText="187" w:vertAnchor="text" w:tblpXSpec="center" w:tblpY="1"/>
        <w:tblOverlap w:val="never"/>
        <w:tblW w:w="9378" w:type="dxa"/>
        <w:jc w:val="center"/>
        <w:tblLayout w:type="fixed"/>
        <w:tblLook w:val="04A0"/>
      </w:tblPr>
      <w:tblGrid>
        <w:gridCol w:w="2358"/>
        <w:gridCol w:w="1080"/>
        <w:gridCol w:w="720"/>
        <w:gridCol w:w="2430"/>
        <w:gridCol w:w="972"/>
        <w:gridCol w:w="828"/>
        <w:gridCol w:w="990"/>
      </w:tblGrid>
      <w:tr w:rsidR="002B4E22" w:rsidRPr="001223B5" w:rsidTr="008051EB">
        <w:trPr>
          <w:trHeight w:val="233"/>
          <w:jc w:val="center"/>
        </w:trPr>
        <w:tc>
          <w:tcPr>
            <w:tcW w:w="4158" w:type="dxa"/>
            <w:gridSpan w:val="3"/>
            <w:tcBorders>
              <w:right w:val="thinThickThinSmallGap" w:sz="24" w:space="0" w:color="auto"/>
            </w:tcBorders>
            <w:shd w:val="clear" w:color="auto" w:fill="D9D9D9" w:themeFill="background1" w:themeFillShade="D9"/>
            <w:vAlign w:val="center"/>
          </w:tcPr>
          <w:p w:rsidR="002B4E22" w:rsidRPr="001223B5" w:rsidRDefault="00B731E4" w:rsidP="002E1F99">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Service PEB – Dated 200</w:t>
            </w:r>
            <w:r w:rsidR="00D040AF" w:rsidRPr="001223B5">
              <w:rPr>
                <w:rFonts w:ascii="Calibri" w:hAnsi="Calibri" w:cs="Calibri"/>
                <w:b/>
                <w:color w:val="000000" w:themeColor="text1"/>
                <w:sz w:val="18"/>
                <w:szCs w:val="18"/>
              </w:rPr>
              <w:t>70</w:t>
            </w:r>
            <w:r w:rsidR="00031418" w:rsidRPr="001223B5">
              <w:rPr>
                <w:rFonts w:ascii="Calibri" w:hAnsi="Calibri" w:cs="Calibri"/>
                <w:b/>
                <w:color w:val="000000" w:themeColor="text1"/>
                <w:sz w:val="18"/>
                <w:szCs w:val="18"/>
              </w:rPr>
              <w:t>40</w:t>
            </w:r>
            <w:r w:rsidR="002E1F99">
              <w:rPr>
                <w:rFonts w:ascii="Calibri" w:hAnsi="Calibri" w:cs="Calibri"/>
                <w:b/>
                <w:color w:val="000000" w:themeColor="text1"/>
                <w:sz w:val="18"/>
                <w:szCs w:val="18"/>
              </w:rPr>
              <w:t>4</w:t>
            </w:r>
          </w:p>
        </w:tc>
        <w:tc>
          <w:tcPr>
            <w:tcW w:w="5220" w:type="dxa"/>
            <w:gridSpan w:val="4"/>
            <w:tcBorders>
              <w:left w:val="thinThickThinSmallGap" w:sz="24" w:space="0" w:color="auto"/>
            </w:tcBorders>
            <w:shd w:val="clear" w:color="auto" w:fill="D9D9D9" w:themeFill="background1" w:themeFillShade="D9"/>
            <w:vAlign w:val="center"/>
          </w:tcPr>
          <w:p w:rsidR="002B4E22" w:rsidRPr="001223B5" w:rsidRDefault="002B4E22" w:rsidP="00803239">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VA (</w:t>
            </w:r>
            <w:r w:rsidR="00803239" w:rsidRPr="001223B5">
              <w:rPr>
                <w:rFonts w:ascii="Calibri" w:hAnsi="Calibri" w:cs="Calibri"/>
                <w:b/>
                <w:color w:val="000000" w:themeColor="text1"/>
                <w:sz w:val="18"/>
                <w:szCs w:val="18"/>
              </w:rPr>
              <w:t>2</w:t>
            </w:r>
            <w:r w:rsidR="0079154B" w:rsidRPr="001223B5">
              <w:rPr>
                <w:rFonts w:ascii="Calibri" w:hAnsi="Calibri" w:cs="Calibri"/>
                <w:b/>
                <w:color w:val="000000" w:themeColor="text1"/>
                <w:sz w:val="18"/>
                <w:szCs w:val="18"/>
              </w:rPr>
              <w:t xml:space="preserve"> </w:t>
            </w:r>
            <w:r w:rsidRPr="001223B5">
              <w:rPr>
                <w:rFonts w:ascii="Calibri" w:hAnsi="Calibri" w:cs="Calibri"/>
                <w:b/>
                <w:color w:val="000000" w:themeColor="text1"/>
                <w:sz w:val="18"/>
                <w:szCs w:val="18"/>
              </w:rPr>
              <w:t xml:space="preserve">Mo. After Separation) – All Effective Date </w:t>
            </w:r>
            <w:r w:rsidR="002D08F3" w:rsidRPr="001223B5">
              <w:rPr>
                <w:rFonts w:ascii="Calibri" w:hAnsi="Calibri" w:cs="Calibri"/>
                <w:b/>
                <w:color w:val="000000" w:themeColor="text1"/>
                <w:sz w:val="18"/>
                <w:szCs w:val="18"/>
              </w:rPr>
              <w:t>200</w:t>
            </w:r>
            <w:r w:rsidR="00803239" w:rsidRPr="001223B5">
              <w:rPr>
                <w:rFonts w:ascii="Calibri" w:hAnsi="Calibri" w:cs="Calibri"/>
                <w:b/>
                <w:color w:val="000000" w:themeColor="text1"/>
                <w:sz w:val="18"/>
                <w:szCs w:val="18"/>
              </w:rPr>
              <w:t>70601</w:t>
            </w:r>
          </w:p>
        </w:tc>
      </w:tr>
      <w:tr w:rsidR="002B4E22" w:rsidRPr="001223B5" w:rsidTr="002E1F99">
        <w:trPr>
          <w:trHeight w:val="278"/>
          <w:jc w:val="center"/>
        </w:trPr>
        <w:tc>
          <w:tcPr>
            <w:tcW w:w="2358" w:type="dxa"/>
            <w:tcBorders>
              <w:bottom w:val="single" w:sz="4" w:space="0" w:color="000000" w:themeColor="text1"/>
              <w:right w:val="single" w:sz="4" w:space="0" w:color="auto"/>
            </w:tcBorders>
            <w:shd w:val="clear" w:color="auto" w:fill="D9D9D9" w:themeFill="background1" w:themeFillShade="D9"/>
            <w:vAlign w:val="center"/>
          </w:tcPr>
          <w:p w:rsidR="002B4E22" w:rsidRPr="001223B5" w:rsidRDefault="002B4E22" w:rsidP="00BF0E94">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1223B5" w:rsidRDefault="002B4E22" w:rsidP="00BF0E94">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Code</w:t>
            </w:r>
          </w:p>
        </w:tc>
        <w:tc>
          <w:tcPr>
            <w:tcW w:w="720"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1223B5" w:rsidRDefault="002B4E22" w:rsidP="00BF0E94">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Rating</w:t>
            </w:r>
          </w:p>
        </w:tc>
        <w:tc>
          <w:tcPr>
            <w:tcW w:w="2430"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1223B5" w:rsidRDefault="002B4E22" w:rsidP="00BF0E94">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Condition</w:t>
            </w:r>
          </w:p>
        </w:tc>
        <w:tc>
          <w:tcPr>
            <w:tcW w:w="972" w:type="dxa"/>
            <w:tcBorders>
              <w:bottom w:val="single" w:sz="4" w:space="0" w:color="000000" w:themeColor="text1"/>
            </w:tcBorders>
            <w:shd w:val="clear" w:color="auto" w:fill="D9D9D9" w:themeFill="background1" w:themeFillShade="D9"/>
            <w:vAlign w:val="center"/>
          </w:tcPr>
          <w:p w:rsidR="002B4E22" w:rsidRPr="001223B5" w:rsidRDefault="002B4E22" w:rsidP="00BF0E94">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Code</w:t>
            </w:r>
          </w:p>
        </w:tc>
        <w:tc>
          <w:tcPr>
            <w:tcW w:w="828" w:type="dxa"/>
            <w:tcBorders>
              <w:bottom w:val="single" w:sz="4" w:space="0" w:color="000000" w:themeColor="text1"/>
            </w:tcBorders>
            <w:shd w:val="clear" w:color="auto" w:fill="D9D9D9" w:themeFill="background1" w:themeFillShade="D9"/>
            <w:vAlign w:val="center"/>
          </w:tcPr>
          <w:p w:rsidR="002B4E22" w:rsidRPr="001223B5" w:rsidRDefault="002B4E22" w:rsidP="00BF0E94">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Rating</w:t>
            </w:r>
          </w:p>
        </w:tc>
        <w:tc>
          <w:tcPr>
            <w:tcW w:w="990" w:type="dxa"/>
            <w:tcBorders>
              <w:bottom w:val="single" w:sz="4" w:space="0" w:color="000000" w:themeColor="text1"/>
            </w:tcBorders>
            <w:shd w:val="clear" w:color="auto" w:fill="D9D9D9" w:themeFill="background1" w:themeFillShade="D9"/>
            <w:vAlign w:val="center"/>
          </w:tcPr>
          <w:p w:rsidR="002B4E22" w:rsidRPr="001223B5" w:rsidRDefault="002B4E22" w:rsidP="00BF0E94">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Exam</w:t>
            </w:r>
          </w:p>
        </w:tc>
      </w:tr>
      <w:tr w:rsidR="00803239" w:rsidRPr="001223B5" w:rsidTr="002E1F99">
        <w:trPr>
          <w:trHeight w:val="287"/>
          <w:jc w:val="center"/>
        </w:trPr>
        <w:tc>
          <w:tcPr>
            <w:tcW w:w="2358" w:type="dxa"/>
            <w:tcBorders>
              <w:right w:val="single" w:sz="4" w:space="0" w:color="auto"/>
            </w:tcBorders>
            <w:shd w:val="clear" w:color="auto" w:fill="FFFFFF" w:themeFill="background1"/>
            <w:vAlign w:val="center"/>
          </w:tcPr>
          <w:p w:rsidR="00803239" w:rsidRPr="001223B5" w:rsidRDefault="00803239">
            <w:pPr>
              <w:spacing w:line="180" w:lineRule="exact"/>
              <w:contextualSpacing/>
              <w:jc w:val="left"/>
              <w:rPr>
                <w:rFonts w:ascii="Calibri" w:eastAsia="Times New Roman" w:hAnsi="Calibri" w:cs="Calibri"/>
                <w:color w:val="000000" w:themeColor="text1"/>
                <w:sz w:val="18"/>
                <w:szCs w:val="18"/>
              </w:rPr>
            </w:pPr>
            <w:r w:rsidRPr="001223B5">
              <w:rPr>
                <w:rFonts w:ascii="Calibri" w:hAnsi="Calibri" w:cs="Calibri"/>
                <w:color w:val="000000" w:themeColor="text1"/>
                <w:sz w:val="18"/>
                <w:szCs w:val="18"/>
              </w:rPr>
              <w:t xml:space="preserve">Left </w:t>
            </w:r>
            <w:proofErr w:type="spellStart"/>
            <w:r w:rsidRPr="001223B5">
              <w:rPr>
                <w:rFonts w:ascii="Calibri" w:hAnsi="Calibri" w:cs="Calibri"/>
                <w:color w:val="000000" w:themeColor="text1"/>
                <w:sz w:val="18"/>
                <w:szCs w:val="18"/>
              </w:rPr>
              <w:t>Patellofemoral</w:t>
            </w:r>
            <w:proofErr w:type="spellEnd"/>
            <w:r w:rsidRPr="001223B5">
              <w:rPr>
                <w:rFonts w:ascii="Calibri" w:hAnsi="Calibri" w:cs="Calibri"/>
                <w:color w:val="000000" w:themeColor="text1"/>
                <w:sz w:val="18"/>
                <w:szCs w:val="18"/>
              </w:rPr>
              <w:t xml:space="preserve"> Arthritis</w:t>
            </w:r>
          </w:p>
        </w:tc>
        <w:tc>
          <w:tcPr>
            <w:tcW w:w="1080" w:type="dxa"/>
            <w:tcBorders>
              <w:left w:val="single" w:sz="4" w:space="0" w:color="auto"/>
            </w:tcBorders>
            <w:shd w:val="clear" w:color="auto" w:fill="FFFFFF" w:themeFill="background1"/>
            <w:vAlign w:val="center"/>
          </w:tcPr>
          <w:p w:rsidR="00803239" w:rsidRPr="001223B5" w:rsidRDefault="00803239">
            <w:pPr>
              <w:spacing w:line="180" w:lineRule="exact"/>
              <w:contextualSpacing/>
              <w:rPr>
                <w:rFonts w:ascii="Calibri" w:eastAsia="Times New Roman" w:hAnsi="Calibri" w:cs="Calibri"/>
                <w:color w:val="000000" w:themeColor="text1"/>
                <w:sz w:val="18"/>
                <w:szCs w:val="18"/>
              </w:rPr>
            </w:pPr>
            <w:r w:rsidRPr="001223B5">
              <w:rPr>
                <w:rFonts w:ascii="Calibri" w:hAnsi="Calibri" w:cs="Calibri"/>
                <w:color w:val="000000" w:themeColor="text1"/>
                <w:sz w:val="18"/>
                <w:szCs w:val="18"/>
              </w:rPr>
              <w:t>5099-5003</w:t>
            </w:r>
          </w:p>
        </w:tc>
        <w:tc>
          <w:tcPr>
            <w:tcW w:w="720" w:type="dxa"/>
            <w:tcBorders>
              <w:right w:val="thinThickThinSmallGap" w:sz="24" w:space="0" w:color="auto"/>
            </w:tcBorders>
            <w:shd w:val="clear" w:color="auto" w:fill="FFFFFF" w:themeFill="background1"/>
            <w:vAlign w:val="center"/>
          </w:tcPr>
          <w:p w:rsidR="00803239" w:rsidRPr="001223B5" w:rsidRDefault="00803239">
            <w:pPr>
              <w:spacing w:line="180" w:lineRule="exact"/>
              <w:rPr>
                <w:rFonts w:ascii="Calibri" w:eastAsia="Times New Roman" w:hAnsi="Calibri" w:cs="Calibri"/>
                <w:color w:val="000000" w:themeColor="text1"/>
                <w:sz w:val="18"/>
                <w:szCs w:val="18"/>
              </w:rPr>
            </w:pPr>
            <w:r w:rsidRPr="001223B5">
              <w:rPr>
                <w:rFonts w:ascii="Calibri" w:hAnsi="Calibri" w:cs="Calibri"/>
                <w:color w:val="000000" w:themeColor="text1"/>
                <w:sz w:val="18"/>
                <w:szCs w:val="18"/>
              </w:rPr>
              <w:t>10%</w:t>
            </w:r>
          </w:p>
        </w:tc>
        <w:tc>
          <w:tcPr>
            <w:tcW w:w="2430" w:type="dxa"/>
            <w:vMerge w:val="restart"/>
            <w:tcBorders>
              <w:left w:val="thinThickThinSmallGap" w:sz="24" w:space="0" w:color="auto"/>
            </w:tcBorders>
            <w:shd w:val="clear" w:color="auto" w:fill="FFFFFF" w:themeFill="background1"/>
            <w:vAlign w:val="center"/>
          </w:tcPr>
          <w:p w:rsidR="00803239" w:rsidRPr="001223B5" w:rsidRDefault="00803239" w:rsidP="002E1F99">
            <w:pPr>
              <w:spacing w:line="180" w:lineRule="exact"/>
              <w:contextualSpacing/>
              <w:jc w:val="left"/>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Left Knee Degenerative</w:t>
            </w:r>
            <w:r w:rsidR="006328C3">
              <w:rPr>
                <w:rFonts w:ascii="Calibri" w:eastAsia="Times New Roman" w:hAnsi="Calibri" w:cs="Calibri"/>
                <w:color w:val="000000" w:themeColor="text1"/>
                <w:sz w:val="18"/>
                <w:szCs w:val="18"/>
              </w:rPr>
              <w:t xml:space="preserve"> Changes and Status Post Debrid</w:t>
            </w:r>
            <w:r w:rsidRPr="001223B5">
              <w:rPr>
                <w:rFonts w:ascii="Calibri" w:eastAsia="Times New Roman" w:hAnsi="Calibri" w:cs="Calibri"/>
                <w:color w:val="000000" w:themeColor="text1"/>
                <w:sz w:val="18"/>
                <w:szCs w:val="18"/>
              </w:rPr>
              <w:t xml:space="preserve">ement Surgery (claimed as </w:t>
            </w:r>
            <w:r w:rsidR="002E1F99">
              <w:rPr>
                <w:rFonts w:ascii="Calibri" w:eastAsia="Times New Roman" w:hAnsi="Calibri" w:cs="Calibri"/>
                <w:color w:val="000000" w:themeColor="text1"/>
                <w:sz w:val="18"/>
                <w:szCs w:val="18"/>
              </w:rPr>
              <w:t>L</w:t>
            </w:r>
            <w:r w:rsidRPr="001223B5">
              <w:rPr>
                <w:rFonts w:ascii="Calibri" w:eastAsia="Times New Roman" w:hAnsi="Calibri" w:cs="Calibri"/>
                <w:color w:val="000000" w:themeColor="text1"/>
                <w:sz w:val="18"/>
                <w:szCs w:val="18"/>
              </w:rPr>
              <w:t xml:space="preserve"> knee </w:t>
            </w:r>
            <w:r w:rsidR="002E1F99">
              <w:rPr>
                <w:rFonts w:ascii="Calibri" w:eastAsia="Times New Roman" w:hAnsi="Calibri" w:cs="Calibri"/>
                <w:color w:val="000000" w:themeColor="text1"/>
                <w:sz w:val="18"/>
                <w:szCs w:val="18"/>
              </w:rPr>
              <w:t>c</w:t>
            </w:r>
            <w:r w:rsidRPr="001223B5">
              <w:rPr>
                <w:rFonts w:ascii="Calibri" w:eastAsia="Times New Roman" w:hAnsi="Calibri" w:cs="Calibri"/>
                <w:color w:val="000000" w:themeColor="text1"/>
                <w:sz w:val="18"/>
                <w:szCs w:val="18"/>
              </w:rPr>
              <w:t>ondition)</w:t>
            </w:r>
          </w:p>
        </w:tc>
        <w:tc>
          <w:tcPr>
            <w:tcW w:w="972" w:type="dxa"/>
            <w:vMerge w:val="restart"/>
            <w:shd w:val="clear" w:color="auto" w:fill="FFFFFF" w:themeFill="background1"/>
            <w:vAlign w:val="center"/>
          </w:tcPr>
          <w:p w:rsidR="00803239" w:rsidRPr="001223B5" w:rsidRDefault="00803239">
            <w:pPr>
              <w:spacing w:line="180" w:lineRule="exact"/>
              <w:contextualSpacing/>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5010</w:t>
            </w:r>
          </w:p>
        </w:tc>
        <w:tc>
          <w:tcPr>
            <w:tcW w:w="828" w:type="dxa"/>
            <w:vMerge w:val="restart"/>
            <w:shd w:val="clear" w:color="auto" w:fill="FFFFFF" w:themeFill="background1"/>
            <w:vAlign w:val="center"/>
          </w:tcPr>
          <w:p w:rsidR="00803239" w:rsidRPr="001223B5" w:rsidRDefault="00547F1D">
            <w:pPr>
              <w:spacing w:line="180" w:lineRule="exact"/>
              <w:contextualSpacing/>
              <w:rPr>
                <w:rFonts w:ascii="Calibri" w:eastAsia="Times New Roman" w:hAnsi="Calibri" w:cs="Calibri"/>
                <w:color w:val="000000" w:themeColor="text1"/>
                <w:sz w:val="18"/>
                <w:szCs w:val="18"/>
              </w:rPr>
            </w:pPr>
            <w:r>
              <w:rPr>
                <w:rFonts w:ascii="Calibri" w:eastAsia="Times New Roman" w:hAnsi="Calibri" w:cs="Calibri"/>
                <w:color w:val="000000" w:themeColor="text1"/>
                <w:sz w:val="18"/>
                <w:szCs w:val="18"/>
              </w:rPr>
              <w:t>*</w:t>
            </w:r>
            <w:r w:rsidR="00803239" w:rsidRPr="001223B5">
              <w:rPr>
                <w:rFonts w:ascii="Calibri" w:eastAsia="Times New Roman" w:hAnsi="Calibri" w:cs="Calibri"/>
                <w:color w:val="000000" w:themeColor="text1"/>
                <w:sz w:val="18"/>
                <w:szCs w:val="18"/>
              </w:rPr>
              <w:t>10%</w:t>
            </w:r>
          </w:p>
        </w:tc>
        <w:tc>
          <w:tcPr>
            <w:tcW w:w="990" w:type="dxa"/>
            <w:vMerge w:val="restart"/>
            <w:shd w:val="clear" w:color="auto" w:fill="FFFFFF" w:themeFill="background1"/>
            <w:vAlign w:val="center"/>
          </w:tcPr>
          <w:p w:rsidR="00803239" w:rsidRPr="001223B5" w:rsidRDefault="00803239">
            <w:pPr>
              <w:spacing w:line="180" w:lineRule="exact"/>
              <w:contextualSpacing/>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20070808</w:t>
            </w:r>
          </w:p>
        </w:tc>
      </w:tr>
      <w:tr w:rsidR="00E27D88" w:rsidRPr="001223B5" w:rsidTr="002E1F99">
        <w:trPr>
          <w:trHeight w:val="287"/>
          <w:jc w:val="center"/>
        </w:trPr>
        <w:tc>
          <w:tcPr>
            <w:tcW w:w="2358" w:type="dxa"/>
            <w:tcBorders>
              <w:right w:val="single" w:sz="4" w:space="0" w:color="auto"/>
            </w:tcBorders>
            <w:shd w:val="clear" w:color="auto" w:fill="FFFFFF" w:themeFill="background1"/>
            <w:vAlign w:val="center"/>
          </w:tcPr>
          <w:p w:rsidR="00E27D88" w:rsidRPr="001223B5" w:rsidRDefault="00E27D88">
            <w:pPr>
              <w:spacing w:line="180" w:lineRule="exact"/>
              <w:contextualSpacing/>
              <w:jc w:val="left"/>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Left Open Patella Fracture</w:t>
            </w:r>
          </w:p>
        </w:tc>
        <w:tc>
          <w:tcPr>
            <w:tcW w:w="1800" w:type="dxa"/>
            <w:gridSpan w:val="2"/>
            <w:tcBorders>
              <w:left w:val="single" w:sz="4" w:space="0" w:color="auto"/>
              <w:right w:val="thinThickThinSmallGap" w:sz="24" w:space="0" w:color="auto"/>
            </w:tcBorders>
            <w:shd w:val="clear" w:color="auto" w:fill="FFFFFF" w:themeFill="background1"/>
            <w:vAlign w:val="center"/>
          </w:tcPr>
          <w:p w:rsidR="00E27D88" w:rsidRPr="001223B5" w:rsidRDefault="00E27D88">
            <w:pPr>
              <w:spacing w:line="180" w:lineRule="exact"/>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Cat II</w:t>
            </w:r>
          </w:p>
        </w:tc>
        <w:tc>
          <w:tcPr>
            <w:tcW w:w="2430" w:type="dxa"/>
            <w:vMerge/>
            <w:tcBorders>
              <w:left w:val="thinThickThinSmallGap" w:sz="24" w:space="0" w:color="auto"/>
            </w:tcBorders>
            <w:shd w:val="clear" w:color="auto" w:fill="FFFFFF" w:themeFill="background1"/>
            <w:vAlign w:val="center"/>
          </w:tcPr>
          <w:p w:rsidR="00E27D88" w:rsidRPr="001223B5" w:rsidRDefault="00E27D88">
            <w:pPr>
              <w:spacing w:line="180" w:lineRule="exact"/>
              <w:contextualSpacing/>
              <w:jc w:val="left"/>
              <w:rPr>
                <w:rFonts w:ascii="Calibri" w:eastAsia="Times New Roman" w:hAnsi="Calibri" w:cs="Calibri"/>
                <w:color w:val="000000" w:themeColor="text1"/>
                <w:sz w:val="18"/>
                <w:szCs w:val="18"/>
              </w:rPr>
            </w:pPr>
          </w:p>
        </w:tc>
        <w:tc>
          <w:tcPr>
            <w:tcW w:w="972" w:type="dxa"/>
            <w:vMerge/>
            <w:shd w:val="clear" w:color="auto" w:fill="FFFFFF" w:themeFill="background1"/>
            <w:vAlign w:val="center"/>
          </w:tcPr>
          <w:p w:rsidR="00E27D88" w:rsidRPr="001223B5" w:rsidRDefault="00E27D88">
            <w:pPr>
              <w:spacing w:line="180" w:lineRule="exact"/>
              <w:contextualSpacing/>
              <w:rPr>
                <w:rFonts w:ascii="Calibri" w:eastAsia="Times New Roman" w:hAnsi="Calibri" w:cs="Calibri"/>
                <w:color w:val="000000" w:themeColor="text1"/>
                <w:sz w:val="18"/>
                <w:szCs w:val="18"/>
              </w:rPr>
            </w:pPr>
          </w:p>
        </w:tc>
        <w:tc>
          <w:tcPr>
            <w:tcW w:w="828" w:type="dxa"/>
            <w:vMerge/>
            <w:shd w:val="clear" w:color="auto" w:fill="FFFFFF" w:themeFill="background1"/>
            <w:vAlign w:val="center"/>
          </w:tcPr>
          <w:p w:rsidR="00E27D88" w:rsidRPr="001223B5" w:rsidRDefault="00E27D88">
            <w:pPr>
              <w:spacing w:line="180" w:lineRule="exact"/>
              <w:contextualSpacing/>
              <w:rPr>
                <w:rFonts w:ascii="Calibri" w:eastAsia="Times New Roman" w:hAnsi="Calibri" w:cs="Calibri"/>
                <w:color w:val="000000" w:themeColor="text1"/>
                <w:sz w:val="18"/>
                <w:szCs w:val="18"/>
              </w:rPr>
            </w:pPr>
          </w:p>
        </w:tc>
        <w:tc>
          <w:tcPr>
            <w:tcW w:w="990" w:type="dxa"/>
            <w:vMerge/>
            <w:shd w:val="clear" w:color="auto" w:fill="FFFFFF" w:themeFill="background1"/>
            <w:vAlign w:val="center"/>
          </w:tcPr>
          <w:p w:rsidR="00E27D88" w:rsidRPr="001223B5" w:rsidRDefault="00E27D88">
            <w:pPr>
              <w:spacing w:line="180" w:lineRule="exact"/>
              <w:contextualSpacing/>
              <w:rPr>
                <w:rFonts w:ascii="Calibri" w:eastAsia="Times New Roman" w:hAnsi="Calibri" w:cs="Calibri"/>
                <w:color w:val="000000" w:themeColor="text1"/>
                <w:sz w:val="18"/>
                <w:szCs w:val="18"/>
              </w:rPr>
            </w:pPr>
          </w:p>
        </w:tc>
      </w:tr>
      <w:tr w:rsidR="003A63F4" w:rsidRPr="001223B5" w:rsidTr="002E1F99">
        <w:trPr>
          <w:trHeight w:val="287"/>
          <w:jc w:val="center"/>
        </w:trPr>
        <w:tc>
          <w:tcPr>
            <w:tcW w:w="4158" w:type="dxa"/>
            <w:gridSpan w:val="3"/>
            <w:vMerge w:val="restart"/>
            <w:tcBorders>
              <w:right w:val="thinThickThinSmallGap" w:sz="24" w:space="0" w:color="auto"/>
            </w:tcBorders>
            <w:shd w:val="clear" w:color="auto" w:fill="FFFFFF" w:themeFill="background1"/>
            <w:vAlign w:val="center"/>
          </w:tcPr>
          <w:p w:rsidR="003A63F4" w:rsidRPr="001223B5" w:rsidRDefault="003A63F4" w:rsidP="00547F1D">
            <w:pPr>
              <w:spacing w:line="180" w:lineRule="exact"/>
              <w:contextualSpacing/>
              <w:rPr>
                <w:rFonts w:ascii="Calibri" w:eastAsia="Times New Roman" w:hAnsi="Calibri" w:cs="Calibri"/>
                <w:color w:val="000000" w:themeColor="text1"/>
                <w:sz w:val="18"/>
                <w:szCs w:val="18"/>
              </w:rPr>
            </w:pPr>
            <w:r w:rsidRPr="001223B5">
              <w:rPr>
                <w:rFonts w:ascii="Calibri" w:hAnsi="Calibri" w:cs="Calibri"/>
                <w:color w:val="000000" w:themeColor="text1"/>
                <w:sz w:val="18"/>
                <w:szCs w:val="18"/>
              </w:rPr>
              <w:t>↓No Additional MEB/PEB Entries↓</w:t>
            </w:r>
          </w:p>
        </w:tc>
        <w:tc>
          <w:tcPr>
            <w:tcW w:w="2430" w:type="dxa"/>
            <w:tcBorders>
              <w:left w:val="thinThickThinSmallGap" w:sz="24" w:space="0" w:color="auto"/>
              <w:right w:val="single" w:sz="4" w:space="0" w:color="auto"/>
            </w:tcBorders>
            <w:shd w:val="clear" w:color="auto" w:fill="FFFFFF" w:themeFill="background1"/>
            <w:vAlign w:val="center"/>
          </w:tcPr>
          <w:p w:rsidR="003A63F4" w:rsidRPr="001223B5" w:rsidRDefault="003A63F4">
            <w:pPr>
              <w:spacing w:line="180" w:lineRule="exact"/>
              <w:contextualSpacing/>
              <w:jc w:val="left"/>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Bursitis Left Hip (claimed as left hip condition)</w:t>
            </w:r>
          </w:p>
        </w:tc>
        <w:tc>
          <w:tcPr>
            <w:tcW w:w="972" w:type="dxa"/>
            <w:tcBorders>
              <w:left w:val="single" w:sz="4" w:space="0" w:color="auto"/>
            </w:tcBorders>
            <w:shd w:val="clear" w:color="auto" w:fill="FFFFFF" w:themeFill="background1"/>
            <w:vAlign w:val="center"/>
          </w:tcPr>
          <w:p w:rsidR="003A63F4" w:rsidRPr="001223B5" w:rsidRDefault="003A63F4">
            <w:pPr>
              <w:spacing w:line="180" w:lineRule="exact"/>
              <w:contextualSpacing/>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5019</w:t>
            </w:r>
          </w:p>
        </w:tc>
        <w:tc>
          <w:tcPr>
            <w:tcW w:w="828" w:type="dxa"/>
            <w:shd w:val="clear" w:color="auto" w:fill="FFFFFF" w:themeFill="background1"/>
            <w:vAlign w:val="center"/>
          </w:tcPr>
          <w:p w:rsidR="003A63F4" w:rsidRPr="001223B5" w:rsidRDefault="003A63F4">
            <w:pPr>
              <w:spacing w:line="180" w:lineRule="exact"/>
              <w:contextualSpacing/>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10%</w:t>
            </w:r>
          </w:p>
        </w:tc>
        <w:tc>
          <w:tcPr>
            <w:tcW w:w="990" w:type="dxa"/>
            <w:shd w:val="clear" w:color="auto" w:fill="FFFFFF" w:themeFill="background1"/>
            <w:vAlign w:val="center"/>
          </w:tcPr>
          <w:p w:rsidR="003A63F4" w:rsidRPr="001223B5" w:rsidRDefault="003A63F4">
            <w:pPr>
              <w:spacing w:line="180" w:lineRule="exact"/>
              <w:contextualSpacing/>
              <w:rPr>
                <w:rFonts w:ascii="Calibri" w:eastAsia="Times New Roman" w:hAnsi="Calibri" w:cs="Calibri"/>
                <w:color w:val="000000" w:themeColor="text1"/>
                <w:sz w:val="18"/>
                <w:szCs w:val="18"/>
              </w:rPr>
            </w:pPr>
            <w:r w:rsidRPr="001223B5">
              <w:rPr>
                <w:rFonts w:ascii="Calibri" w:eastAsia="Times New Roman" w:hAnsi="Calibri" w:cs="Calibri"/>
                <w:color w:val="000000" w:themeColor="text1"/>
                <w:sz w:val="18"/>
                <w:szCs w:val="18"/>
              </w:rPr>
              <w:t>20070808</w:t>
            </w:r>
          </w:p>
        </w:tc>
      </w:tr>
      <w:tr w:rsidR="003A63F4" w:rsidRPr="001223B5" w:rsidTr="008051EB">
        <w:trPr>
          <w:trHeight w:val="260"/>
          <w:jc w:val="center"/>
        </w:trPr>
        <w:tc>
          <w:tcPr>
            <w:tcW w:w="4158" w:type="dxa"/>
            <w:gridSpan w:val="3"/>
            <w:vMerge/>
            <w:tcBorders>
              <w:right w:val="thinThickThinSmallGap" w:sz="24" w:space="0" w:color="auto"/>
            </w:tcBorders>
            <w:shd w:val="clear" w:color="auto" w:fill="FFFFFF" w:themeFill="background1"/>
          </w:tcPr>
          <w:p w:rsidR="003A63F4" w:rsidRPr="001223B5" w:rsidRDefault="003A63F4">
            <w:pPr>
              <w:spacing w:line="180" w:lineRule="exact"/>
              <w:contextualSpacing/>
              <w:rPr>
                <w:rFonts w:ascii="Calibri" w:eastAsia="Times New Roman" w:hAnsi="Calibri" w:cs="Calibri"/>
                <w:color w:val="000000" w:themeColor="text1"/>
                <w:sz w:val="18"/>
                <w:szCs w:val="18"/>
              </w:rPr>
            </w:pPr>
          </w:p>
        </w:tc>
        <w:tc>
          <w:tcPr>
            <w:tcW w:w="4230" w:type="dxa"/>
            <w:gridSpan w:val="3"/>
            <w:tcBorders>
              <w:left w:val="thinThickThinSmallGap" w:sz="24" w:space="0" w:color="auto"/>
            </w:tcBorders>
            <w:shd w:val="clear" w:color="auto" w:fill="FFFFFF" w:themeFill="background1"/>
            <w:vAlign w:val="center"/>
          </w:tcPr>
          <w:p w:rsidR="003A63F4" w:rsidRPr="001223B5" w:rsidRDefault="00797453" w:rsidP="00803239">
            <w:pPr>
              <w:spacing w:line="180" w:lineRule="exact"/>
              <w:contextualSpacing/>
              <w:rPr>
                <w:rFonts w:ascii="Calibri" w:eastAsia="Times New Roman" w:hAnsi="Calibri" w:cs="Calibri"/>
                <w:color w:val="000000" w:themeColor="text1"/>
                <w:sz w:val="18"/>
                <w:szCs w:val="18"/>
              </w:rPr>
            </w:pPr>
            <w:r>
              <w:rPr>
                <w:rFonts w:ascii="Calibri" w:hAnsi="Calibri" w:cs="Calibri"/>
                <w:color w:val="000000" w:themeColor="text1"/>
                <w:sz w:val="18"/>
                <w:szCs w:val="18"/>
              </w:rPr>
              <w:t>0% x 5/Not Service-</w:t>
            </w:r>
            <w:r w:rsidR="003A63F4" w:rsidRPr="001223B5">
              <w:rPr>
                <w:rFonts w:ascii="Calibri" w:hAnsi="Calibri" w:cs="Calibri"/>
                <w:color w:val="000000" w:themeColor="text1"/>
                <w:sz w:val="18"/>
                <w:szCs w:val="18"/>
              </w:rPr>
              <w:t>Connected x 1</w:t>
            </w:r>
          </w:p>
        </w:tc>
        <w:tc>
          <w:tcPr>
            <w:tcW w:w="990" w:type="dxa"/>
            <w:shd w:val="clear" w:color="auto" w:fill="FFFFFF" w:themeFill="background1"/>
            <w:vAlign w:val="center"/>
          </w:tcPr>
          <w:p w:rsidR="003A63F4" w:rsidRPr="001223B5" w:rsidRDefault="003A63F4" w:rsidP="00031418">
            <w:pPr>
              <w:spacing w:line="180" w:lineRule="exact"/>
              <w:contextualSpacing/>
              <w:rPr>
                <w:rFonts w:ascii="Calibri" w:eastAsia="Times New Roman" w:hAnsi="Calibri" w:cs="Calibri"/>
                <w:color w:val="000000" w:themeColor="text1"/>
                <w:sz w:val="18"/>
                <w:szCs w:val="18"/>
              </w:rPr>
            </w:pPr>
            <w:r w:rsidRPr="001223B5">
              <w:rPr>
                <w:rFonts w:ascii="Calibri" w:hAnsi="Calibri" w:cs="Calibri"/>
                <w:color w:val="000000" w:themeColor="text1"/>
                <w:sz w:val="18"/>
                <w:szCs w:val="18"/>
              </w:rPr>
              <w:t>20070808</w:t>
            </w:r>
          </w:p>
        </w:tc>
      </w:tr>
      <w:tr w:rsidR="007A65A9" w:rsidRPr="001223B5" w:rsidTr="008051EB">
        <w:trPr>
          <w:trHeight w:val="242"/>
          <w:jc w:val="center"/>
        </w:trPr>
        <w:tc>
          <w:tcPr>
            <w:tcW w:w="4158" w:type="dxa"/>
            <w:gridSpan w:val="3"/>
            <w:tcBorders>
              <w:right w:val="thinThickThinSmallGap" w:sz="24" w:space="0" w:color="auto"/>
            </w:tcBorders>
            <w:shd w:val="clear" w:color="auto" w:fill="D9D9D9" w:themeFill="background1" w:themeFillShade="D9"/>
            <w:vAlign w:val="center"/>
          </w:tcPr>
          <w:p w:rsidR="007A65A9" w:rsidRPr="001223B5" w:rsidRDefault="007A65A9" w:rsidP="00031418">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 xml:space="preserve">Combined: </w:t>
            </w:r>
            <w:r w:rsidR="006458FD" w:rsidRPr="001223B5">
              <w:rPr>
                <w:rFonts w:ascii="Calibri" w:hAnsi="Calibri" w:cs="Calibri"/>
                <w:b/>
                <w:color w:val="000000" w:themeColor="text1"/>
                <w:sz w:val="18"/>
                <w:szCs w:val="18"/>
              </w:rPr>
              <w:t xml:space="preserve"> </w:t>
            </w:r>
            <w:r w:rsidR="00031418" w:rsidRPr="001223B5">
              <w:rPr>
                <w:rFonts w:ascii="Calibri" w:hAnsi="Calibri" w:cs="Calibri"/>
                <w:b/>
                <w:color w:val="000000" w:themeColor="text1"/>
                <w:sz w:val="18"/>
                <w:szCs w:val="18"/>
              </w:rPr>
              <w:t>10</w:t>
            </w:r>
            <w:r w:rsidRPr="001223B5">
              <w:rPr>
                <w:rFonts w:ascii="Calibri" w:hAnsi="Calibri" w:cs="Calibri"/>
                <w:b/>
                <w:color w:val="000000" w:themeColor="text1"/>
                <w:sz w:val="18"/>
                <w:szCs w:val="18"/>
              </w:rPr>
              <w:t>%</w:t>
            </w:r>
          </w:p>
        </w:tc>
        <w:tc>
          <w:tcPr>
            <w:tcW w:w="5220" w:type="dxa"/>
            <w:gridSpan w:val="4"/>
            <w:tcBorders>
              <w:left w:val="thinThickThinSmallGap" w:sz="24" w:space="0" w:color="auto"/>
            </w:tcBorders>
            <w:shd w:val="clear" w:color="auto" w:fill="D9D9D9" w:themeFill="background1" w:themeFillShade="D9"/>
            <w:vAlign w:val="center"/>
          </w:tcPr>
          <w:p w:rsidR="007A65A9" w:rsidRPr="001223B5" w:rsidRDefault="007A65A9" w:rsidP="00803239">
            <w:pPr>
              <w:contextualSpacing/>
              <w:rPr>
                <w:rFonts w:ascii="Calibri" w:hAnsi="Calibri" w:cs="Calibri"/>
                <w:b/>
                <w:color w:val="000000" w:themeColor="text1"/>
                <w:sz w:val="18"/>
                <w:szCs w:val="18"/>
              </w:rPr>
            </w:pPr>
            <w:r w:rsidRPr="001223B5">
              <w:rPr>
                <w:rFonts w:ascii="Calibri" w:hAnsi="Calibri" w:cs="Calibri"/>
                <w:b/>
                <w:color w:val="000000" w:themeColor="text1"/>
                <w:sz w:val="18"/>
                <w:szCs w:val="18"/>
              </w:rPr>
              <w:t xml:space="preserve">Combined:  </w:t>
            </w:r>
            <w:r w:rsidR="00803239" w:rsidRPr="001223B5">
              <w:rPr>
                <w:rFonts w:ascii="Calibri" w:hAnsi="Calibri" w:cs="Calibri"/>
                <w:b/>
                <w:color w:val="000000" w:themeColor="text1"/>
                <w:sz w:val="18"/>
                <w:szCs w:val="18"/>
              </w:rPr>
              <w:t>2</w:t>
            </w:r>
            <w:r w:rsidR="006F0F9C" w:rsidRPr="001223B5">
              <w:rPr>
                <w:rFonts w:ascii="Calibri" w:hAnsi="Calibri" w:cs="Calibri"/>
                <w:b/>
                <w:color w:val="000000" w:themeColor="text1"/>
                <w:sz w:val="18"/>
                <w:szCs w:val="18"/>
              </w:rPr>
              <w:t>0</w:t>
            </w:r>
            <w:r w:rsidRPr="001223B5">
              <w:rPr>
                <w:rFonts w:ascii="Calibri" w:hAnsi="Calibri" w:cs="Calibri"/>
                <w:b/>
                <w:color w:val="000000" w:themeColor="text1"/>
                <w:sz w:val="18"/>
                <w:szCs w:val="18"/>
              </w:rPr>
              <w:t>%</w:t>
            </w:r>
            <w:r w:rsidR="00547F1D">
              <w:rPr>
                <w:rFonts w:ascii="Calibri" w:hAnsi="Calibri" w:cs="Calibri"/>
                <w:b/>
                <w:color w:val="000000" w:themeColor="text1"/>
                <w:sz w:val="18"/>
                <w:szCs w:val="18"/>
              </w:rPr>
              <w:t>**</w:t>
            </w:r>
          </w:p>
        </w:tc>
      </w:tr>
    </w:tbl>
    <w:p w:rsidR="00547F1D" w:rsidRDefault="00AD26DE" w:rsidP="002E1F99">
      <w:pPr>
        <w:pStyle w:val="ListParagraph"/>
        <w:pBdr>
          <w:bottom w:val="single" w:sz="12" w:space="1" w:color="auto"/>
        </w:pBdr>
        <w:tabs>
          <w:tab w:val="left" w:pos="288"/>
          <w:tab w:val="left" w:pos="4752"/>
        </w:tabs>
        <w:spacing w:after="0" w:line="180" w:lineRule="exact"/>
        <w:ind w:left="0"/>
        <w:jc w:val="left"/>
        <w:rPr>
          <w:color w:val="000000" w:themeColor="text1"/>
          <w:sz w:val="18"/>
          <w:szCs w:val="18"/>
        </w:rPr>
      </w:pPr>
      <w:r>
        <w:rPr>
          <w:color w:val="000000" w:themeColor="text1"/>
          <w:sz w:val="18"/>
          <w:szCs w:val="18"/>
        </w:rPr>
        <w:t>*</w:t>
      </w:r>
      <w:r w:rsidR="00547F1D">
        <w:rPr>
          <w:color w:val="000000" w:themeColor="text1"/>
          <w:sz w:val="18"/>
          <w:szCs w:val="18"/>
        </w:rPr>
        <w:t xml:space="preserve">Initially 0%, increased to 10% effective 20070601 after notice of disagreement. </w:t>
      </w:r>
    </w:p>
    <w:p w:rsidR="0005625C" w:rsidRDefault="00A57C35" w:rsidP="002E1F99">
      <w:pPr>
        <w:pStyle w:val="ListParagraph"/>
        <w:pBdr>
          <w:bottom w:val="single" w:sz="12" w:space="1" w:color="auto"/>
        </w:pBdr>
        <w:tabs>
          <w:tab w:val="left" w:pos="288"/>
          <w:tab w:val="left" w:pos="4752"/>
        </w:tabs>
        <w:spacing w:after="0" w:line="180" w:lineRule="exact"/>
        <w:ind w:left="0"/>
        <w:jc w:val="left"/>
        <w:rPr>
          <w:color w:val="000000" w:themeColor="text1"/>
          <w:sz w:val="18"/>
          <w:szCs w:val="18"/>
        </w:rPr>
      </w:pPr>
      <w:r w:rsidRPr="00547F1D">
        <w:rPr>
          <w:color w:val="000000" w:themeColor="text1"/>
          <w:sz w:val="18"/>
          <w:szCs w:val="18"/>
        </w:rPr>
        <w:t>*</w:t>
      </w:r>
      <w:r w:rsidR="00547F1D" w:rsidRPr="00547F1D">
        <w:rPr>
          <w:color w:val="000000" w:themeColor="text1"/>
          <w:sz w:val="18"/>
          <w:szCs w:val="18"/>
        </w:rPr>
        <w:t>*</w:t>
      </w:r>
      <w:r w:rsidR="0005625C" w:rsidRPr="00547F1D">
        <w:rPr>
          <w:color w:val="000000" w:themeColor="text1"/>
          <w:sz w:val="18"/>
          <w:szCs w:val="18"/>
        </w:rPr>
        <w:t>Combined</w:t>
      </w:r>
      <w:r w:rsidR="00803239" w:rsidRPr="00547F1D">
        <w:rPr>
          <w:color w:val="000000" w:themeColor="text1"/>
          <w:sz w:val="18"/>
          <w:szCs w:val="18"/>
        </w:rPr>
        <w:t xml:space="preserve"> rating increased to 30% </w:t>
      </w:r>
      <w:r w:rsidR="00803239" w:rsidRPr="00874E5D">
        <w:rPr>
          <w:color w:val="000000" w:themeColor="text1"/>
          <w:sz w:val="18"/>
          <w:szCs w:val="18"/>
        </w:rPr>
        <w:t>effective 2008</w:t>
      </w:r>
      <w:r w:rsidR="0005625C" w:rsidRPr="00874E5D">
        <w:rPr>
          <w:color w:val="000000" w:themeColor="text1"/>
          <w:sz w:val="18"/>
          <w:szCs w:val="18"/>
        </w:rPr>
        <w:t>1030</w:t>
      </w:r>
      <w:r w:rsidR="0005625C" w:rsidRPr="00547F1D">
        <w:rPr>
          <w:color w:val="000000" w:themeColor="text1"/>
          <w:sz w:val="18"/>
          <w:szCs w:val="18"/>
        </w:rPr>
        <w:t xml:space="preserve">, </w:t>
      </w:r>
      <w:r w:rsidR="00803239" w:rsidRPr="00547F1D">
        <w:rPr>
          <w:color w:val="000000" w:themeColor="text1"/>
          <w:sz w:val="18"/>
          <w:szCs w:val="18"/>
        </w:rPr>
        <w:t xml:space="preserve">to 50% effective </w:t>
      </w:r>
      <w:r w:rsidR="007B3EB2" w:rsidRPr="00547F1D">
        <w:rPr>
          <w:color w:val="000000" w:themeColor="text1"/>
          <w:sz w:val="18"/>
          <w:szCs w:val="18"/>
        </w:rPr>
        <w:t>20090205</w:t>
      </w:r>
      <w:r w:rsidR="0005625C" w:rsidRPr="00547F1D">
        <w:rPr>
          <w:color w:val="000000" w:themeColor="text1"/>
          <w:sz w:val="18"/>
          <w:szCs w:val="18"/>
        </w:rPr>
        <w:t>, and</w:t>
      </w:r>
      <w:r w:rsidR="00050B82" w:rsidRPr="00547F1D">
        <w:rPr>
          <w:color w:val="000000" w:themeColor="text1"/>
          <w:sz w:val="18"/>
          <w:szCs w:val="18"/>
        </w:rPr>
        <w:t xml:space="preserve"> to 60% effective 20090205</w:t>
      </w:r>
      <w:r w:rsidR="0005625C" w:rsidRPr="00547F1D">
        <w:rPr>
          <w:color w:val="000000" w:themeColor="text1"/>
          <w:sz w:val="18"/>
          <w:szCs w:val="18"/>
        </w:rPr>
        <w:t xml:space="preserve">. </w:t>
      </w:r>
      <w:r w:rsidR="00797453">
        <w:rPr>
          <w:color w:val="000000" w:themeColor="text1"/>
          <w:sz w:val="18"/>
          <w:szCs w:val="18"/>
        </w:rPr>
        <w:t xml:space="preserve"> </w:t>
      </w:r>
      <w:r w:rsidR="0005625C" w:rsidRPr="00547F1D">
        <w:rPr>
          <w:color w:val="000000" w:themeColor="text1"/>
          <w:sz w:val="18"/>
          <w:szCs w:val="18"/>
        </w:rPr>
        <w:t xml:space="preserve">Rating for 5010 </w:t>
      </w:r>
      <w:r w:rsidR="00797453">
        <w:rPr>
          <w:color w:val="000000" w:themeColor="text1"/>
          <w:sz w:val="18"/>
          <w:szCs w:val="18"/>
        </w:rPr>
        <w:t>l</w:t>
      </w:r>
      <w:r w:rsidR="0005625C" w:rsidRPr="00547F1D">
        <w:rPr>
          <w:color w:val="000000" w:themeColor="text1"/>
          <w:sz w:val="18"/>
          <w:szCs w:val="18"/>
        </w:rPr>
        <w:t xml:space="preserve">eft </w:t>
      </w:r>
      <w:r w:rsidR="00797453">
        <w:rPr>
          <w:color w:val="000000" w:themeColor="text1"/>
          <w:sz w:val="18"/>
          <w:szCs w:val="18"/>
        </w:rPr>
        <w:t>k</w:t>
      </w:r>
      <w:r w:rsidR="0005625C" w:rsidRPr="00547F1D">
        <w:rPr>
          <w:color w:val="000000" w:themeColor="text1"/>
          <w:sz w:val="18"/>
          <w:szCs w:val="18"/>
        </w:rPr>
        <w:t xml:space="preserve">nee never increased but 10% for 5257 </w:t>
      </w:r>
      <w:r w:rsidR="00797453">
        <w:rPr>
          <w:color w:val="000000" w:themeColor="text1"/>
          <w:sz w:val="18"/>
          <w:szCs w:val="18"/>
        </w:rPr>
        <w:t>i</w:t>
      </w:r>
      <w:r w:rsidR="0005625C" w:rsidRPr="00547F1D">
        <w:rPr>
          <w:color w:val="000000" w:themeColor="text1"/>
          <w:sz w:val="18"/>
          <w:szCs w:val="18"/>
        </w:rPr>
        <w:t xml:space="preserve">nstability, </w:t>
      </w:r>
      <w:r w:rsidR="00797453">
        <w:rPr>
          <w:color w:val="000000" w:themeColor="text1"/>
          <w:sz w:val="18"/>
          <w:szCs w:val="18"/>
        </w:rPr>
        <w:t>l</w:t>
      </w:r>
      <w:r w:rsidR="0005625C" w:rsidRPr="00547F1D">
        <w:rPr>
          <w:color w:val="000000" w:themeColor="text1"/>
          <w:sz w:val="18"/>
          <w:szCs w:val="18"/>
        </w:rPr>
        <w:t xml:space="preserve">eft </w:t>
      </w:r>
      <w:r w:rsidR="00797453">
        <w:rPr>
          <w:color w:val="000000" w:themeColor="text1"/>
          <w:sz w:val="18"/>
          <w:szCs w:val="18"/>
        </w:rPr>
        <w:t>k</w:t>
      </w:r>
      <w:r w:rsidR="0005625C" w:rsidRPr="00547F1D">
        <w:rPr>
          <w:color w:val="000000" w:themeColor="text1"/>
          <w:sz w:val="18"/>
          <w:szCs w:val="18"/>
        </w:rPr>
        <w:t xml:space="preserve">nee was </w:t>
      </w:r>
      <w:r w:rsidR="00547F1D">
        <w:rPr>
          <w:color w:val="000000" w:themeColor="text1"/>
          <w:sz w:val="18"/>
          <w:szCs w:val="18"/>
        </w:rPr>
        <w:t>added effective 20090205</w:t>
      </w:r>
      <w:r w:rsidR="00A90F9B">
        <w:rPr>
          <w:color w:val="000000" w:themeColor="text1"/>
          <w:sz w:val="18"/>
          <w:szCs w:val="18"/>
        </w:rPr>
        <w:t>.</w:t>
      </w:r>
    </w:p>
    <w:p w:rsidR="00547F1D" w:rsidRPr="00547F1D" w:rsidRDefault="00547F1D" w:rsidP="00547F1D">
      <w:pPr>
        <w:pStyle w:val="ListParagraph"/>
        <w:pBdr>
          <w:bottom w:val="single" w:sz="12" w:space="1" w:color="auto"/>
        </w:pBdr>
        <w:tabs>
          <w:tab w:val="left" w:pos="288"/>
          <w:tab w:val="left" w:pos="4752"/>
        </w:tabs>
        <w:spacing w:after="0" w:line="240" w:lineRule="exact"/>
        <w:ind w:left="0"/>
        <w:jc w:val="left"/>
        <w:rPr>
          <w:color w:val="000000" w:themeColor="text1"/>
          <w:sz w:val="18"/>
          <w:szCs w:val="18"/>
        </w:rPr>
      </w:pPr>
    </w:p>
    <w:p w:rsidR="009369A6" w:rsidRPr="001F29F9" w:rsidRDefault="009369A6" w:rsidP="00FD24D3">
      <w:pPr>
        <w:jc w:val="both"/>
        <w:rPr>
          <w:color w:val="000000" w:themeColor="text1"/>
          <w:szCs w:val="24"/>
          <w:u w:val="single"/>
        </w:rPr>
      </w:pPr>
    </w:p>
    <w:p w:rsidR="002E1F99" w:rsidRDefault="002E1F99" w:rsidP="00FD24D3">
      <w:pPr>
        <w:jc w:val="both"/>
        <w:rPr>
          <w:color w:val="000000" w:themeColor="text1"/>
          <w:szCs w:val="24"/>
          <w:u w:val="single"/>
        </w:rPr>
      </w:pPr>
    </w:p>
    <w:p w:rsidR="002C6E5B" w:rsidRPr="001F29F9" w:rsidRDefault="002C6E5B" w:rsidP="00FD24D3">
      <w:pPr>
        <w:jc w:val="both"/>
        <w:rPr>
          <w:color w:val="000000" w:themeColor="text1"/>
          <w:szCs w:val="24"/>
          <w:u w:val="single"/>
        </w:rPr>
      </w:pPr>
      <w:r w:rsidRPr="001F29F9">
        <w:rPr>
          <w:color w:val="000000" w:themeColor="text1"/>
          <w:szCs w:val="24"/>
          <w:u w:val="single"/>
        </w:rPr>
        <w:lastRenderedPageBreak/>
        <w:t>ANALYSIS SUMMARY</w:t>
      </w:r>
      <w:r w:rsidRPr="001F29F9">
        <w:rPr>
          <w:color w:val="000000" w:themeColor="text1"/>
          <w:szCs w:val="24"/>
        </w:rPr>
        <w:t>:</w:t>
      </w:r>
      <w:r w:rsidR="00E565EA">
        <w:rPr>
          <w:color w:val="000000" w:themeColor="text1"/>
          <w:szCs w:val="24"/>
        </w:rPr>
        <w:t xml:space="preserve">  </w:t>
      </w:r>
      <w:r w:rsidR="00E565EA" w:rsidRPr="00E565EA">
        <w:rPr>
          <w:color w:val="000000" w:themeColor="text1"/>
          <w:szCs w:val="24"/>
        </w:rPr>
        <w:t xml:space="preserve">The </w:t>
      </w:r>
      <w:r w:rsidR="00E565EA" w:rsidRPr="00874E5D">
        <w:rPr>
          <w:color w:val="000000" w:themeColor="text1"/>
          <w:szCs w:val="24"/>
        </w:rPr>
        <w:t xml:space="preserve">Board acknowledges the sentiment expressed in the CI’s application regarding the significant impact that his service-incurred condition has had on his current earning ability and quality of life. </w:t>
      </w:r>
      <w:r w:rsidR="002E1F99">
        <w:rPr>
          <w:color w:val="000000" w:themeColor="text1"/>
          <w:szCs w:val="24"/>
        </w:rPr>
        <w:t xml:space="preserve"> </w:t>
      </w:r>
      <w:r w:rsidR="00E565EA" w:rsidRPr="00874E5D">
        <w:rPr>
          <w:color w:val="000000" w:themeColor="text1"/>
          <w:szCs w:val="24"/>
        </w:rPr>
        <w:t>The Board wishes to clarify that it is subject to the same laws for disability entitlements as those under which the Disability Evaluation System (DES) operates.</w:t>
      </w:r>
      <w:r w:rsidR="00797453">
        <w:rPr>
          <w:color w:val="000000" w:themeColor="text1"/>
          <w:szCs w:val="24"/>
        </w:rPr>
        <w:t xml:space="preserve"> </w:t>
      </w:r>
      <w:r w:rsidR="00E565EA" w:rsidRPr="00874E5D">
        <w:rPr>
          <w:color w:val="000000" w:themeColor="text1"/>
          <w:szCs w:val="24"/>
        </w:rPr>
        <w:t xml:space="preserve"> While the DES considers all of the service member's medical conditions, compensation can only be offered for those</w:t>
      </w:r>
      <w:r w:rsidR="00E565EA" w:rsidRPr="00E565EA">
        <w:rPr>
          <w:color w:val="000000" w:themeColor="text1"/>
          <w:szCs w:val="24"/>
        </w:rPr>
        <w:t xml:space="preserve"> medical conditions that cut short a service member’s career, and then only to the degree of severity present at the time of final disposition.</w:t>
      </w:r>
      <w:r w:rsidR="002E1F99">
        <w:rPr>
          <w:color w:val="000000" w:themeColor="text1"/>
          <w:szCs w:val="24"/>
        </w:rPr>
        <w:t xml:space="preserve"> </w:t>
      </w:r>
      <w:r w:rsidR="00E565EA" w:rsidRPr="00E565EA">
        <w:rPr>
          <w:color w:val="000000" w:themeColor="text1"/>
          <w:szCs w:val="24"/>
        </w:rPr>
        <w:t xml:space="preserve"> However the Department of Veteran</w:t>
      </w:r>
      <w:r w:rsidR="00797453">
        <w:rPr>
          <w:color w:val="000000" w:themeColor="text1"/>
          <w:szCs w:val="24"/>
        </w:rPr>
        <w:t>s’</w:t>
      </w:r>
      <w:r w:rsidR="00E565EA" w:rsidRPr="00E565EA">
        <w:rPr>
          <w:color w:val="000000" w:themeColor="text1"/>
          <w:szCs w:val="24"/>
        </w:rPr>
        <w:t xml:space="preserve"> Affairs (DVA), operating under a different set of laws (Title 38, United States Code), is empo</w:t>
      </w:r>
      <w:r w:rsidR="00797453">
        <w:rPr>
          <w:color w:val="000000" w:themeColor="text1"/>
          <w:szCs w:val="24"/>
        </w:rPr>
        <w:t>wered to compensate all service-</w:t>
      </w:r>
      <w:r w:rsidR="00E565EA" w:rsidRPr="00E565EA">
        <w:rPr>
          <w:color w:val="000000" w:themeColor="text1"/>
          <w:szCs w:val="24"/>
        </w:rPr>
        <w:t xml:space="preserve">connected conditions and to periodically reevaluate said conditions for the purpose of adjusting the </w:t>
      </w:r>
      <w:r w:rsidR="00797453">
        <w:rPr>
          <w:color w:val="000000" w:themeColor="text1"/>
          <w:szCs w:val="24"/>
        </w:rPr>
        <w:t>V</w:t>
      </w:r>
      <w:r w:rsidR="00E565EA" w:rsidRPr="00E565EA">
        <w:rPr>
          <w:color w:val="000000" w:themeColor="text1"/>
          <w:szCs w:val="24"/>
        </w:rPr>
        <w:t xml:space="preserve">eteran’s disability rating should </w:t>
      </w:r>
      <w:r w:rsidR="00797453">
        <w:rPr>
          <w:color w:val="000000" w:themeColor="text1"/>
          <w:szCs w:val="24"/>
        </w:rPr>
        <w:t>the</w:t>
      </w:r>
      <w:r w:rsidR="00E565EA" w:rsidRPr="00E565EA">
        <w:rPr>
          <w:color w:val="000000" w:themeColor="text1"/>
          <w:szCs w:val="24"/>
        </w:rPr>
        <w:t xml:space="preserve"> degree of impairment vary over time.</w:t>
      </w:r>
      <w:r w:rsidR="00E565EA">
        <w:rPr>
          <w:color w:val="000000" w:themeColor="text1"/>
          <w:szCs w:val="24"/>
        </w:rPr>
        <w:t xml:space="preserve"> </w:t>
      </w:r>
      <w:r w:rsidR="002E1F99">
        <w:rPr>
          <w:color w:val="000000" w:themeColor="text1"/>
          <w:szCs w:val="24"/>
        </w:rPr>
        <w:t xml:space="preserve"> </w:t>
      </w:r>
      <w:r w:rsidR="00E565EA" w:rsidRPr="00E565EA">
        <w:rPr>
          <w:color w:val="000000" w:themeColor="text1"/>
          <w:szCs w:val="24"/>
        </w:rPr>
        <w:t xml:space="preserve">The Board utilizes </w:t>
      </w:r>
      <w:r w:rsidR="00797453">
        <w:rPr>
          <w:color w:val="000000" w:themeColor="text1"/>
          <w:szCs w:val="24"/>
        </w:rPr>
        <w:t>D</w:t>
      </w:r>
      <w:r w:rsidR="00E565EA" w:rsidRPr="00E565EA">
        <w:rPr>
          <w:color w:val="000000" w:themeColor="text1"/>
          <w:szCs w:val="24"/>
        </w:rPr>
        <w:t>VA evidence proximal to separation in arriving at its recommendations; and, DoDI 6040.44 defines a 12-month interval for special consideration to post-separation evidence.</w:t>
      </w:r>
      <w:r w:rsidR="002E1F99">
        <w:rPr>
          <w:color w:val="000000" w:themeColor="text1"/>
          <w:szCs w:val="24"/>
        </w:rPr>
        <w:t xml:space="preserve"> </w:t>
      </w:r>
      <w:r w:rsidR="00E565EA" w:rsidRPr="00E565EA">
        <w:rPr>
          <w:color w:val="000000" w:themeColor="text1"/>
          <w:szCs w:val="24"/>
        </w:rPr>
        <w:t xml:space="preserve"> The Board’s authority as defined in DoDI 6040.44, however, resides in evaluating the fairness of DES fitness determinations and rating decisions for disability at the time of separation. </w:t>
      </w:r>
      <w:r w:rsidR="002E1F99">
        <w:rPr>
          <w:color w:val="000000" w:themeColor="text1"/>
          <w:szCs w:val="24"/>
        </w:rPr>
        <w:t xml:space="preserve"> </w:t>
      </w:r>
      <w:r w:rsidR="00E565EA" w:rsidRPr="00E565EA">
        <w:rPr>
          <w:color w:val="000000" w:themeColor="text1"/>
          <w:szCs w:val="24"/>
        </w:rPr>
        <w:t>Post-separation evidence therefore is probative only to the extent that it reasonably reflects the disability and fitness implications at the time of separation.</w:t>
      </w:r>
    </w:p>
    <w:p w:rsidR="003A76AB" w:rsidRPr="00AA4CCF" w:rsidRDefault="003A76AB" w:rsidP="00FD24D3">
      <w:pPr>
        <w:jc w:val="both"/>
        <w:rPr>
          <w:color w:val="auto"/>
          <w:szCs w:val="24"/>
          <w:highlight w:val="yellow"/>
        </w:rPr>
      </w:pPr>
    </w:p>
    <w:p w:rsidR="00615A66" w:rsidRPr="00AA4CCF" w:rsidRDefault="005339B0" w:rsidP="00FD24D3">
      <w:pPr>
        <w:jc w:val="both"/>
        <w:rPr>
          <w:color w:val="auto"/>
          <w:szCs w:val="24"/>
        </w:rPr>
      </w:pPr>
      <w:proofErr w:type="gramStart"/>
      <w:r w:rsidRPr="00AA4CCF">
        <w:rPr>
          <w:color w:val="auto"/>
          <w:szCs w:val="24"/>
          <w:u w:val="single"/>
        </w:rPr>
        <w:t>Left</w:t>
      </w:r>
      <w:r w:rsidR="003F2EEE" w:rsidRPr="00AA4CCF">
        <w:rPr>
          <w:color w:val="auto"/>
          <w:szCs w:val="24"/>
          <w:u w:val="single"/>
        </w:rPr>
        <w:t xml:space="preserve"> </w:t>
      </w:r>
      <w:r w:rsidR="0080588E" w:rsidRPr="00AA4CCF">
        <w:rPr>
          <w:color w:val="auto"/>
          <w:szCs w:val="24"/>
          <w:u w:val="single"/>
        </w:rPr>
        <w:t xml:space="preserve">Knee </w:t>
      </w:r>
      <w:r w:rsidR="003F2EEE" w:rsidRPr="00AA4CCF">
        <w:rPr>
          <w:color w:val="auto"/>
          <w:szCs w:val="24"/>
          <w:u w:val="single"/>
        </w:rPr>
        <w:t>Condition</w:t>
      </w:r>
      <w:r w:rsidR="00874E5D">
        <w:rPr>
          <w:color w:val="auto"/>
          <w:szCs w:val="24"/>
        </w:rPr>
        <w:t>.</w:t>
      </w:r>
      <w:proofErr w:type="gramEnd"/>
      <w:r w:rsidR="00874E5D">
        <w:rPr>
          <w:color w:val="auto"/>
          <w:szCs w:val="24"/>
        </w:rPr>
        <w:t xml:space="preserve"> </w:t>
      </w:r>
      <w:r w:rsidR="00A57C35" w:rsidRPr="00AA4CCF">
        <w:rPr>
          <w:color w:val="auto"/>
          <w:szCs w:val="24"/>
        </w:rPr>
        <w:t xml:space="preserve">There </w:t>
      </w:r>
      <w:r w:rsidR="005A6F8F">
        <w:rPr>
          <w:color w:val="auto"/>
          <w:szCs w:val="24"/>
        </w:rPr>
        <w:t>was one</w:t>
      </w:r>
      <w:r w:rsidR="00A57C35" w:rsidRPr="00AA4CCF">
        <w:rPr>
          <w:color w:val="auto"/>
          <w:szCs w:val="24"/>
        </w:rPr>
        <w:t xml:space="preserve"> goniometric range</w:t>
      </w:r>
      <w:r w:rsidR="00797453">
        <w:rPr>
          <w:color w:val="auto"/>
          <w:szCs w:val="24"/>
        </w:rPr>
        <w:t>-</w:t>
      </w:r>
      <w:r w:rsidR="00A57C35" w:rsidRPr="00AA4CCF">
        <w:rPr>
          <w:color w:val="auto"/>
          <w:szCs w:val="24"/>
        </w:rPr>
        <w:t>of</w:t>
      </w:r>
      <w:r w:rsidR="00797453">
        <w:rPr>
          <w:color w:val="auto"/>
          <w:szCs w:val="24"/>
        </w:rPr>
        <w:t>-</w:t>
      </w:r>
      <w:r w:rsidR="005A6F8F">
        <w:rPr>
          <w:color w:val="auto"/>
          <w:szCs w:val="24"/>
        </w:rPr>
        <w:t>motion (ROM) evaluation and one evaluation without such measurements</w:t>
      </w:r>
      <w:r w:rsidR="00A57C35" w:rsidRPr="00AA4CCF">
        <w:rPr>
          <w:color w:val="auto"/>
          <w:szCs w:val="24"/>
        </w:rPr>
        <w:t xml:space="preserve"> in evidence, with documentation of additional ratable criteria, which the Board weighed in arriving at its rating recommendation.</w:t>
      </w:r>
    </w:p>
    <w:p w:rsidR="005339B0" w:rsidRPr="001F29F9" w:rsidRDefault="005339B0" w:rsidP="005339B0">
      <w:pPr>
        <w:rPr>
          <w:rFonts w:eastAsiaTheme="minorHAnsi"/>
          <w:color w:val="000000" w:themeColor="text1"/>
          <w:szCs w:val="18"/>
        </w:rPr>
      </w:pPr>
    </w:p>
    <w:tbl>
      <w:tblPr>
        <w:tblpPr w:leftFromText="180" w:rightFromText="180" w:vertAnchor="text" w:tblpXSpec="center" w:tblpY="1"/>
        <w:tblOverlap w:val="never"/>
        <w:tblW w:w="9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68"/>
        <w:gridCol w:w="3922"/>
        <w:gridCol w:w="2854"/>
      </w:tblGrid>
      <w:tr w:rsidR="001224FC" w:rsidRPr="001F29F9" w:rsidTr="001224FC">
        <w:tc>
          <w:tcPr>
            <w:tcW w:w="2268" w:type="dxa"/>
            <w:shd w:val="clear" w:color="auto" w:fill="D9D9D9" w:themeFill="background1" w:themeFillShade="D9"/>
            <w:vAlign w:val="center"/>
          </w:tcPr>
          <w:p w:rsidR="001224FC" w:rsidRPr="001F29F9" w:rsidRDefault="001224FC" w:rsidP="00547F1D">
            <w:pPr>
              <w:contextualSpacing/>
              <w:rPr>
                <w:rFonts w:eastAsia="Calibri"/>
                <w:color w:val="000000" w:themeColor="text1"/>
                <w:sz w:val="18"/>
                <w:szCs w:val="18"/>
              </w:rPr>
            </w:pPr>
            <w:r w:rsidRPr="001F29F9">
              <w:rPr>
                <w:rFonts w:eastAsia="Calibri"/>
                <w:color w:val="000000" w:themeColor="text1"/>
                <w:sz w:val="18"/>
                <w:szCs w:val="18"/>
              </w:rPr>
              <w:t>Goniometric ROM –</w:t>
            </w:r>
          </w:p>
          <w:p w:rsidR="001224FC" w:rsidRPr="001F29F9" w:rsidRDefault="001224FC" w:rsidP="00AD26DE">
            <w:pPr>
              <w:contextualSpacing/>
              <w:rPr>
                <w:rFonts w:eastAsia="Calibri"/>
                <w:color w:val="000000" w:themeColor="text1"/>
                <w:sz w:val="18"/>
                <w:szCs w:val="18"/>
              </w:rPr>
            </w:pPr>
            <w:r w:rsidRPr="001F29F9">
              <w:rPr>
                <w:rFonts w:eastAsia="Calibri"/>
                <w:color w:val="000000" w:themeColor="text1"/>
                <w:sz w:val="18"/>
                <w:szCs w:val="18"/>
              </w:rPr>
              <w:t>L</w:t>
            </w:r>
            <w:r w:rsidR="00AD26DE">
              <w:rPr>
                <w:rFonts w:eastAsia="Calibri"/>
                <w:color w:val="000000" w:themeColor="text1"/>
                <w:sz w:val="18"/>
                <w:szCs w:val="18"/>
              </w:rPr>
              <w:t>eft</w:t>
            </w:r>
            <w:r w:rsidRPr="001F29F9">
              <w:rPr>
                <w:rFonts w:eastAsia="Calibri"/>
                <w:color w:val="000000" w:themeColor="text1"/>
                <w:sz w:val="18"/>
                <w:szCs w:val="18"/>
              </w:rPr>
              <w:t xml:space="preserve"> Knee</w:t>
            </w:r>
          </w:p>
        </w:tc>
        <w:tc>
          <w:tcPr>
            <w:tcW w:w="3922" w:type="dxa"/>
            <w:shd w:val="clear" w:color="auto" w:fill="D9D9D9" w:themeFill="background1" w:themeFillShade="D9"/>
            <w:vAlign w:val="center"/>
          </w:tcPr>
          <w:p w:rsidR="00AD26DE" w:rsidRDefault="001224FC" w:rsidP="00547F1D">
            <w:pPr>
              <w:contextualSpacing/>
              <w:rPr>
                <w:rFonts w:eastAsia="Calibri"/>
                <w:color w:val="000000" w:themeColor="text1"/>
                <w:sz w:val="18"/>
                <w:szCs w:val="18"/>
              </w:rPr>
            </w:pPr>
            <w:r>
              <w:rPr>
                <w:rFonts w:eastAsia="Calibri"/>
                <w:color w:val="000000" w:themeColor="text1"/>
                <w:sz w:val="18"/>
                <w:szCs w:val="18"/>
              </w:rPr>
              <w:t xml:space="preserve">MEB </w:t>
            </w:r>
          </w:p>
          <w:p w:rsidR="001224FC" w:rsidRPr="001F29F9" w:rsidRDefault="001224FC" w:rsidP="00547F1D">
            <w:pPr>
              <w:contextualSpacing/>
              <w:rPr>
                <w:rFonts w:asciiTheme="minorHAnsi" w:eastAsia="Calibri" w:hAnsiTheme="minorHAnsi"/>
                <w:color w:val="000000" w:themeColor="text1"/>
                <w:sz w:val="18"/>
                <w:szCs w:val="18"/>
              </w:rPr>
            </w:pPr>
            <w:r>
              <w:rPr>
                <w:rFonts w:eastAsia="Calibri"/>
                <w:color w:val="000000" w:themeColor="text1"/>
                <w:sz w:val="18"/>
                <w:szCs w:val="18"/>
              </w:rPr>
              <w:t>~ 2 Months</w:t>
            </w:r>
            <w:r w:rsidRPr="001F29F9">
              <w:rPr>
                <w:rFonts w:eastAsia="Calibri"/>
                <w:color w:val="000000" w:themeColor="text1"/>
                <w:sz w:val="18"/>
                <w:szCs w:val="18"/>
              </w:rPr>
              <w:t xml:space="preserve"> Pre-Sep</w:t>
            </w:r>
            <w:r w:rsidR="00AD26DE">
              <w:rPr>
                <w:rFonts w:eastAsia="Calibri"/>
                <w:color w:val="000000" w:themeColor="text1"/>
                <w:sz w:val="18"/>
                <w:szCs w:val="18"/>
              </w:rPr>
              <w:t>aration</w:t>
            </w:r>
          </w:p>
          <w:p w:rsidR="001224FC" w:rsidRPr="001F29F9" w:rsidRDefault="001224FC" w:rsidP="00547F1D">
            <w:pPr>
              <w:contextualSpacing/>
              <w:rPr>
                <w:rFonts w:eastAsia="Calibr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70314</w:t>
            </w:r>
            <w:r w:rsidRPr="001F29F9">
              <w:rPr>
                <w:rFonts w:asciiTheme="minorHAnsi" w:eastAsia="Calibri" w:hAnsiTheme="minorHAnsi"/>
                <w:color w:val="000000" w:themeColor="text1"/>
                <w:sz w:val="18"/>
                <w:szCs w:val="18"/>
              </w:rPr>
              <w:t>)</w:t>
            </w:r>
          </w:p>
        </w:tc>
        <w:tc>
          <w:tcPr>
            <w:tcW w:w="2854" w:type="dxa"/>
            <w:shd w:val="clear" w:color="auto" w:fill="D9D9D9" w:themeFill="background1" w:themeFillShade="D9"/>
            <w:vAlign w:val="center"/>
          </w:tcPr>
          <w:p w:rsidR="00AD26DE" w:rsidRDefault="001224FC" w:rsidP="00547F1D">
            <w:pPr>
              <w:contextualSpacing/>
              <w:rPr>
                <w:rFonts w:eastAsiaTheme="minorHAnsi"/>
                <w:color w:val="000000" w:themeColor="text1"/>
                <w:sz w:val="18"/>
                <w:szCs w:val="18"/>
              </w:rPr>
            </w:pPr>
            <w:r w:rsidRPr="001F29F9">
              <w:rPr>
                <w:rFonts w:eastAsia="Calibri"/>
                <w:color w:val="000000" w:themeColor="text1"/>
                <w:sz w:val="18"/>
                <w:szCs w:val="18"/>
              </w:rPr>
              <w:t>VA</w:t>
            </w:r>
            <w:r w:rsidRPr="001F29F9">
              <w:rPr>
                <w:rFonts w:eastAsiaTheme="minorHAnsi"/>
                <w:color w:val="000000" w:themeColor="text1"/>
                <w:sz w:val="18"/>
                <w:szCs w:val="18"/>
              </w:rPr>
              <w:t xml:space="preserve"> C&amp;P </w:t>
            </w:r>
          </w:p>
          <w:p w:rsidR="001224FC" w:rsidRPr="001F29F9" w:rsidRDefault="001224FC" w:rsidP="00547F1D">
            <w:pPr>
              <w:contextualSpacing/>
              <w:rPr>
                <w:rFonts w:asciiTheme="minorHAnsi" w:eastAsia="Calibri" w:hAnsiTheme="minorHAnsi"/>
                <w:color w:val="000000" w:themeColor="text1"/>
                <w:sz w:val="18"/>
                <w:szCs w:val="18"/>
              </w:rPr>
            </w:pPr>
            <w:r w:rsidRPr="001F29F9">
              <w:rPr>
                <w:rFonts w:eastAsia="Calibri"/>
                <w:color w:val="000000" w:themeColor="text1"/>
                <w:sz w:val="18"/>
                <w:szCs w:val="18"/>
              </w:rPr>
              <w:t xml:space="preserve">~ </w:t>
            </w:r>
            <w:r>
              <w:rPr>
                <w:rFonts w:eastAsia="Calibri"/>
                <w:color w:val="000000" w:themeColor="text1"/>
                <w:sz w:val="18"/>
                <w:szCs w:val="18"/>
              </w:rPr>
              <w:t>2 Months</w:t>
            </w:r>
            <w:r w:rsidRPr="001F29F9">
              <w:rPr>
                <w:rFonts w:eastAsia="Calibri"/>
                <w:color w:val="000000" w:themeColor="text1"/>
                <w:sz w:val="18"/>
                <w:szCs w:val="18"/>
              </w:rPr>
              <w:t xml:space="preserve"> After-Sep</w:t>
            </w:r>
            <w:r w:rsidR="00AD26DE">
              <w:rPr>
                <w:rFonts w:eastAsia="Calibri"/>
                <w:color w:val="000000" w:themeColor="text1"/>
                <w:sz w:val="18"/>
                <w:szCs w:val="18"/>
              </w:rPr>
              <w:t>aration</w:t>
            </w:r>
          </w:p>
          <w:p w:rsidR="001224FC" w:rsidRPr="001F29F9" w:rsidRDefault="001224FC" w:rsidP="001224FC">
            <w:pPr>
              <w:contextualSpacing/>
              <w:rPr>
                <w:rFonts w:eastAsiaTheme="minorHAnsi"/>
                <w:color w:val="000000" w:themeColor="text1"/>
                <w:sz w:val="18"/>
                <w:szCs w:val="18"/>
              </w:rPr>
            </w:pPr>
            <w:r w:rsidRPr="001F29F9">
              <w:rPr>
                <w:rFonts w:asciiTheme="minorHAnsi" w:eastAsia="Calibri" w:hAnsiTheme="minorHAnsi"/>
                <w:color w:val="000000" w:themeColor="text1"/>
                <w:sz w:val="18"/>
                <w:szCs w:val="18"/>
              </w:rPr>
              <w:t>(200</w:t>
            </w:r>
            <w:r>
              <w:rPr>
                <w:rFonts w:asciiTheme="minorHAnsi" w:eastAsia="Calibri" w:hAnsiTheme="minorHAnsi"/>
                <w:color w:val="000000" w:themeColor="text1"/>
                <w:sz w:val="18"/>
                <w:szCs w:val="18"/>
              </w:rPr>
              <w:t>70808</w:t>
            </w:r>
            <w:r w:rsidRPr="001F29F9">
              <w:rPr>
                <w:rFonts w:asciiTheme="minorHAnsi" w:eastAsia="Calibri" w:hAnsiTheme="minorHAnsi"/>
                <w:color w:val="000000" w:themeColor="text1"/>
                <w:sz w:val="18"/>
                <w:szCs w:val="18"/>
              </w:rPr>
              <w:t>)</w:t>
            </w:r>
          </w:p>
        </w:tc>
      </w:tr>
      <w:tr w:rsidR="001224FC" w:rsidRPr="001F29F9" w:rsidTr="001224FC">
        <w:tc>
          <w:tcPr>
            <w:tcW w:w="2268" w:type="dxa"/>
            <w:vAlign w:val="center"/>
          </w:tcPr>
          <w:p w:rsidR="001224FC" w:rsidRPr="001F29F9" w:rsidRDefault="001224FC" w:rsidP="00547F1D">
            <w:pPr>
              <w:contextualSpacing/>
              <w:rPr>
                <w:rFonts w:eastAsia="Calibri"/>
                <w:color w:val="000000" w:themeColor="text1"/>
                <w:sz w:val="18"/>
                <w:szCs w:val="18"/>
              </w:rPr>
            </w:pPr>
            <w:r w:rsidRPr="001F29F9">
              <w:rPr>
                <w:rFonts w:eastAsia="Calibri"/>
                <w:color w:val="000000" w:themeColor="text1"/>
                <w:sz w:val="18"/>
                <w:szCs w:val="18"/>
              </w:rPr>
              <w:t>Flexion (140⁰ normal)</w:t>
            </w:r>
          </w:p>
        </w:tc>
        <w:tc>
          <w:tcPr>
            <w:tcW w:w="3922" w:type="dxa"/>
            <w:vAlign w:val="center"/>
          </w:tcPr>
          <w:p w:rsidR="001224FC" w:rsidRPr="001F29F9" w:rsidRDefault="001224FC" w:rsidP="00547F1D">
            <w:pPr>
              <w:contextualSpacing/>
              <w:rPr>
                <w:rFonts w:eastAsia="Calibri"/>
                <w:color w:val="000000" w:themeColor="text1"/>
                <w:sz w:val="18"/>
                <w:szCs w:val="18"/>
              </w:rPr>
            </w:pPr>
            <w:r>
              <w:rPr>
                <w:rFonts w:eastAsia="Calibri"/>
                <w:color w:val="000000" w:themeColor="text1"/>
                <w:sz w:val="18"/>
                <w:szCs w:val="18"/>
              </w:rPr>
              <w:t>“Well beyond 90</w:t>
            </w:r>
            <w:r>
              <w:rPr>
                <w:rFonts w:eastAsia="Calibri" w:cs="Calibri"/>
                <w:color w:val="000000" w:themeColor="text1"/>
                <w:sz w:val="18"/>
                <w:szCs w:val="18"/>
              </w:rPr>
              <w:t>°</w:t>
            </w:r>
            <w:r>
              <w:rPr>
                <w:rFonts w:eastAsia="Calibri"/>
                <w:color w:val="000000" w:themeColor="text1"/>
                <w:sz w:val="18"/>
                <w:szCs w:val="18"/>
              </w:rPr>
              <w:t>”</w:t>
            </w:r>
          </w:p>
        </w:tc>
        <w:tc>
          <w:tcPr>
            <w:tcW w:w="2854" w:type="dxa"/>
            <w:vAlign w:val="center"/>
          </w:tcPr>
          <w:p w:rsidR="001224FC" w:rsidRPr="001F29F9" w:rsidRDefault="001224FC" w:rsidP="00547F1D">
            <w:pPr>
              <w:contextualSpacing/>
              <w:rPr>
                <w:rFonts w:eastAsia="Calibri"/>
                <w:color w:val="000000" w:themeColor="text1"/>
                <w:sz w:val="18"/>
                <w:szCs w:val="18"/>
              </w:rPr>
            </w:pPr>
            <w:r>
              <w:rPr>
                <w:rFonts w:eastAsia="Calibri"/>
                <w:color w:val="000000" w:themeColor="text1"/>
                <w:sz w:val="18"/>
                <w:szCs w:val="18"/>
              </w:rPr>
              <w:t>130</w:t>
            </w:r>
            <w:r w:rsidRPr="001F29F9">
              <w:rPr>
                <w:rFonts w:eastAsia="Calibri"/>
                <w:color w:val="000000" w:themeColor="text1"/>
                <w:sz w:val="18"/>
                <w:szCs w:val="18"/>
              </w:rPr>
              <w:t>⁰</w:t>
            </w:r>
          </w:p>
        </w:tc>
      </w:tr>
      <w:tr w:rsidR="001224FC" w:rsidRPr="001F29F9" w:rsidTr="001224FC">
        <w:tc>
          <w:tcPr>
            <w:tcW w:w="2268" w:type="dxa"/>
            <w:tcBorders>
              <w:bottom w:val="single" w:sz="4" w:space="0" w:color="auto"/>
            </w:tcBorders>
            <w:vAlign w:val="center"/>
          </w:tcPr>
          <w:p w:rsidR="001224FC" w:rsidRPr="001F29F9" w:rsidRDefault="001224FC" w:rsidP="00547F1D">
            <w:pPr>
              <w:contextualSpacing/>
              <w:rPr>
                <w:rFonts w:eastAsia="Calibri"/>
                <w:color w:val="000000" w:themeColor="text1"/>
                <w:sz w:val="18"/>
                <w:szCs w:val="18"/>
              </w:rPr>
            </w:pPr>
            <w:r w:rsidRPr="001F29F9">
              <w:rPr>
                <w:rFonts w:eastAsia="Calibri"/>
                <w:color w:val="000000" w:themeColor="text1"/>
                <w:sz w:val="18"/>
                <w:szCs w:val="18"/>
              </w:rPr>
              <w:t>Extension (0⁰ normal)</w:t>
            </w:r>
          </w:p>
        </w:tc>
        <w:tc>
          <w:tcPr>
            <w:tcW w:w="3922" w:type="dxa"/>
            <w:tcBorders>
              <w:bottom w:val="single" w:sz="4" w:space="0" w:color="auto"/>
            </w:tcBorders>
            <w:vAlign w:val="center"/>
          </w:tcPr>
          <w:p w:rsidR="001224FC" w:rsidRPr="001F29F9" w:rsidRDefault="001224FC" w:rsidP="00547F1D">
            <w:pPr>
              <w:contextualSpacing/>
              <w:rPr>
                <w:rFonts w:eastAsia="Calibri"/>
                <w:color w:val="000000" w:themeColor="text1"/>
                <w:sz w:val="18"/>
                <w:szCs w:val="18"/>
              </w:rPr>
            </w:pPr>
            <w:r>
              <w:rPr>
                <w:rFonts w:eastAsia="Calibri"/>
                <w:color w:val="000000" w:themeColor="text1"/>
                <w:sz w:val="18"/>
                <w:szCs w:val="18"/>
              </w:rPr>
              <w:t>Full active and passive</w:t>
            </w:r>
          </w:p>
        </w:tc>
        <w:tc>
          <w:tcPr>
            <w:tcW w:w="2854" w:type="dxa"/>
            <w:tcBorders>
              <w:bottom w:val="single" w:sz="4" w:space="0" w:color="auto"/>
            </w:tcBorders>
            <w:vAlign w:val="center"/>
          </w:tcPr>
          <w:p w:rsidR="001224FC" w:rsidRPr="001F29F9" w:rsidRDefault="001224FC" w:rsidP="00547F1D">
            <w:pPr>
              <w:contextualSpacing/>
              <w:rPr>
                <w:rFonts w:eastAsia="Calibri"/>
                <w:color w:val="000000" w:themeColor="text1"/>
                <w:sz w:val="18"/>
                <w:szCs w:val="18"/>
              </w:rPr>
            </w:pPr>
            <w:r>
              <w:rPr>
                <w:rFonts w:eastAsia="Calibri"/>
                <w:color w:val="000000" w:themeColor="text1"/>
                <w:sz w:val="18"/>
                <w:szCs w:val="18"/>
              </w:rPr>
              <w:t>Full</w:t>
            </w:r>
          </w:p>
        </w:tc>
      </w:tr>
      <w:tr w:rsidR="001224FC" w:rsidRPr="001F29F9" w:rsidTr="001224FC">
        <w:tc>
          <w:tcPr>
            <w:tcW w:w="2268" w:type="dxa"/>
            <w:tcBorders>
              <w:top w:val="single" w:sz="4" w:space="0" w:color="auto"/>
              <w:left w:val="single" w:sz="4" w:space="0" w:color="auto"/>
              <w:bottom w:val="single" w:sz="4" w:space="0" w:color="auto"/>
              <w:right w:val="single" w:sz="4" w:space="0" w:color="auto"/>
            </w:tcBorders>
            <w:vAlign w:val="center"/>
          </w:tcPr>
          <w:p w:rsidR="001224FC" w:rsidRDefault="001224FC" w:rsidP="00547F1D">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Comment</w:t>
            </w:r>
          </w:p>
          <w:p w:rsidR="001224FC" w:rsidRPr="001F29F9" w:rsidRDefault="001224FC" w:rsidP="00547F1D">
            <w:pPr>
              <w:tabs>
                <w:tab w:val="left" w:pos="288"/>
                <w:tab w:val="left" w:pos="4752"/>
              </w:tabs>
              <w:rPr>
                <w:rFonts w:eastAsiaTheme="minorHAnsi"/>
                <w:color w:val="000000" w:themeColor="text1"/>
                <w:sz w:val="18"/>
                <w:szCs w:val="18"/>
              </w:rPr>
            </w:pPr>
            <w:r>
              <w:rPr>
                <w:rFonts w:eastAsiaTheme="minorHAnsi"/>
                <w:color w:val="000000" w:themeColor="text1"/>
                <w:sz w:val="18"/>
                <w:szCs w:val="18"/>
              </w:rPr>
              <w:t>Arthroscopy 20070130</w:t>
            </w:r>
          </w:p>
        </w:tc>
        <w:tc>
          <w:tcPr>
            <w:tcW w:w="3922" w:type="dxa"/>
            <w:tcBorders>
              <w:top w:val="single" w:sz="4" w:space="0" w:color="auto"/>
              <w:left w:val="single" w:sz="4" w:space="0" w:color="auto"/>
              <w:bottom w:val="single" w:sz="4" w:space="0" w:color="auto"/>
              <w:right w:val="single" w:sz="4" w:space="0" w:color="auto"/>
            </w:tcBorders>
            <w:vAlign w:val="center"/>
          </w:tcPr>
          <w:p w:rsidR="001224FC" w:rsidRDefault="001224FC" w:rsidP="005D775D">
            <w:pPr>
              <w:tabs>
                <w:tab w:val="left" w:pos="288"/>
                <w:tab w:val="left" w:pos="4752"/>
              </w:tabs>
              <w:jc w:val="left"/>
              <w:rPr>
                <w:rFonts w:eastAsiaTheme="minorHAnsi" w:cs="Calibri"/>
                <w:color w:val="000000" w:themeColor="text1"/>
                <w:sz w:val="18"/>
                <w:szCs w:val="18"/>
              </w:rPr>
            </w:pPr>
            <w:r>
              <w:rPr>
                <w:rFonts w:eastAsiaTheme="minorHAnsi"/>
                <w:color w:val="000000" w:themeColor="text1"/>
                <w:sz w:val="18"/>
                <w:szCs w:val="18"/>
              </w:rPr>
              <w:t xml:space="preserve">Negative </w:t>
            </w:r>
            <w:r w:rsidR="005D775D">
              <w:rPr>
                <w:rFonts w:eastAsiaTheme="minorHAnsi"/>
                <w:color w:val="000000" w:themeColor="text1"/>
                <w:sz w:val="18"/>
                <w:szCs w:val="18"/>
              </w:rPr>
              <w:t>M</w:t>
            </w:r>
            <w:r>
              <w:rPr>
                <w:rFonts w:eastAsiaTheme="minorHAnsi"/>
                <w:color w:val="000000" w:themeColor="text1"/>
                <w:sz w:val="18"/>
                <w:szCs w:val="18"/>
              </w:rPr>
              <w:t>cMurray’s; positive patellar grind test; no anterior, posterior, or lateral instability at full extension or at 30</w:t>
            </w:r>
            <w:r>
              <w:rPr>
                <w:rFonts w:eastAsiaTheme="minorHAnsi" w:cs="Calibri"/>
                <w:color w:val="000000" w:themeColor="text1"/>
                <w:sz w:val="18"/>
                <w:szCs w:val="18"/>
              </w:rPr>
              <w:t>°; no effusion; strength 5/5</w:t>
            </w:r>
          </w:p>
          <w:p w:rsidR="005D775D" w:rsidRPr="001F29F9" w:rsidRDefault="005D775D" w:rsidP="005D775D">
            <w:pPr>
              <w:tabs>
                <w:tab w:val="left" w:pos="288"/>
                <w:tab w:val="left" w:pos="4752"/>
              </w:tabs>
              <w:jc w:val="left"/>
              <w:rPr>
                <w:rFonts w:eastAsiaTheme="minorHAnsi"/>
                <w:color w:val="000000" w:themeColor="text1"/>
                <w:sz w:val="18"/>
                <w:szCs w:val="18"/>
              </w:rPr>
            </w:pPr>
            <w:r>
              <w:rPr>
                <w:rFonts w:eastAsiaTheme="minorHAnsi" w:cs="Calibri"/>
                <w:color w:val="000000" w:themeColor="text1"/>
                <w:sz w:val="18"/>
                <w:szCs w:val="18"/>
              </w:rPr>
              <w:t>(MEB H&amp;P on 20070326 noted diffuse swelling)</w:t>
            </w:r>
          </w:p>
        </w:tc>
        <w:tc>
          <w:tcPr>
            <w:tcW w:w="2854" w:type="dxa"/>
            <w:tcBorders>
              <w:top w:val="single" w:sz="4" w:space="0" w:color="auto"/>
              <w:left w:val="single" w:sz="4" w:space="0" w:color="auto"/>
              <w:bottom w:val="single" w:sz="4" w:space="0" w:color="auto"/>
              <w:right w:val="single" w:sz="4" w:space="0" w:color="auto"/>
            </w:tcBorders>
            <w:vAlign w:val="center"/>
          </w:tcPr>
          <w:p w:rsidR="001224FC" w:rsidRPr="001F29F9" w:rsidRDefault="00AD26DE" w:rsidP="006328C3">
            <w:pPr>
              <w:tabs>
                <w:tab w:val="left" w:pos="288"/>
                <w:tab w:val="left" w:pos="4752"/>
              </w:tabs>
              <w:jc w:val="left"/>
              <w:rPr>
                <w:rFonts w:eastAsiaTheme="minorHAnsi"/>
                <w:color w:val="000000" w:themeColor="text1"/>
                <w:sz w:val="18"/>
                <w:szCs w:val="18"/>
              </w:rPr>
            </w:pPr>
            <w:r>
              <w:rPr>
                <w:rFonts w:eastAsiaTheme="minorHAnsi"/>
                <w:color w:val="000000" w:themeColor="text1"/>
                <w:sz w:val="18"/>
                <w:szCs w:val="18"/>
              </w:rPr>
              <w:t xml:space="preserve">No </w:t>
            </w:r>
            <w:proofErr w:type="spellStart"/>
            <w:r>
              <w:rPr>
                <w:rFonts w:eastAsiaTheme="minorHAnsi"/>
                <w:color w:val="000000" w:themeColor="text1"/>
                <w:sz w:val="18"/>
                <w:szCs w:val="18"/>
              </w:rPr>
              <w:t>erythema</w:t>
            </w:r>
            <w:proofErr w:type="spellEnd"/>
            <w:r>
              <w:rPr>
                <w:rFonts w:eastAsiaTheme="minorHAnsi"/>
                <w:color w:val="000000" w:themeColor="text1"/>
                <w:sz w:val="18"/>
                <w:szCs w:val="18"/>
              </w:rPr>
              <w:t xml:space="preserve">, edema, effusion; negative </w:t>
            </w:r>
            <w:proofErr w:type="spellStart"/>
            <w:r>
              <w:rPr>
                <w:rFonts w:eastAsiaTheme="minorHAnsi"/>
                <w:color w:val="000000" w:themeColor="text1"/>
                <w:sz w:val="18"/>
                <w:szCs w:val="18"/>
              </w:rPr>
              <w:t>Apley’s</w:t>
            </w:r>
            <w:proofErr w:type="spellEnd"/>
            <w:r>
              <w:rPr>
                <w:rFonts w:eastAsiaTheme="minorHAnsi"/>
                <w:color w:val="000000" w:themeColor="text1"/>
                <w:sz w:val="18"/>
                <w:szCs w:val="18"/>
              </w:rPr>
              <w:t xml:space="preserve">; negative </w:t>
            </w:r>
            <w:proofErr w:type="spellStart"/>
            <w:r>
              <w:rPr>
                <w:rFonts w:eastAsiaTheme="minorHAnsi"/>
                <w:color w:val="000000" w:themeColor="text1"/>
                <w:sz w:val="18"/>
                <w:szCs w:val="18"/>
              </w:rPr>
              <w:t>Lachman</w:t>
            </w:r>
            <w:proofErr w:type="spellEnd"/>
            <w:r>
              <w:rPr>
                <w:rFonts w:eastAsiaTheme="minorHAnsi"/>
                <w:color w:val="000000" w:themeColor="text1"/>
                <w:sz w:val="18"/>
                <w:szCs w:val="18"/>
              </w:rPr>
              <w:t xml:space="preserve"> and drawer test;</w:t>
            </w:r>
            <w:r w:rsidR="006328C3">
              <w:rPr>
                <w:rFonts w:eastAsiaTheme="minorHAnsi"/>
                <w:color w:val="000000" w:themeColor="text1"/>
                <w:sz w:val="18"/>
                <w:szCs w:val="18"/>
              </w:rPr>
              <w:t xml:space="preserve"> </w:t>
            </w:r>
            <w:r>
              <w:rPr>
                <w:rFonts w:eastAsiaTheme="minorHAnsi"/>
                <w:color w:val="000000" w:themeColor="text1"/>
                <w:sz w:val="18"/>
                <w:szCs w:val="18"/>
              </w:rPr>
              <w:t>negative McMurray’s; normal sensory and motor; normal gait; positive osteoarthritis on X-ray</w:t>
            </w:r>
          </w:p>
        </w:tc>
      </w:tr>
      <w:tr w:rsidR="001224FC" w:rsidRPr="001F29F9" w:rsidTr="001224FC">
        <w:tc>
          <w:tcPr>
            <w:tcW w:w="2268" w:type="dxa"/>
            <w:tcBorders>
              <w:top w:val="single" w:sz="4" w:space="0" w:color="auto"/>
              <w:left w:val="single" w:sz="4" w:space="0" w:color="auto"/>
              <w:bottom w:val="single" w:sz="4" w:space="0" w:color="auto"/>
              <w:right w:val="single" w:sz="4" w:space="0" w:color="auto"/>
            </w:tcBorders>
            <w:vAlign w:val="center"/>
          </w:tcPr>
          <w:p w:rsidR="001224FC" w:rsidRPr="001F29F9" w:rsidRDefault="001224FC" w:rsidP="00547F1D">
            <w:pPr>
              <w:tabs>
                <w:tab w:val="left" w:pos="288"/>
                <w:tab w:val="left" w:pos="4752"/>
              </w:tabs>
              <w:rPr>
                <w:rFonts w:eastAsiaTheme="minorHAnsi"/>
                <w:color w:val="000000" w:themeColor="text1"/>
                <w:sz w:val="18"/>
                <w:szCs w:val="18"/>
              </w:rPr>
            </w:pPr>
            <w:r w:rsidRPr="001F29F9">
              <w:rPr>
                <w:rFonts w:eastAsiaTheme="minorHAnsi"/>
                <w:color w:val="000000" w:themeColor="text1"/>
                <w:sz w:val="18"/>
                <w:szCs w:val="18"/>
              </w:rPr>
              <w:t>§4.71a Rating</w:t>
            </w:r>
          </w:p>
        </w:tc>
        <w:tc>
          <w:tcPr>
            <w:tcW w:w="3922" w:type="dxa"/>
            <w:tcBorders>
              <w:top w:val="single" w:sz="4" w:space="0" w:color="auto"/>
              <w:left w:val="single" w:sz="4" w:space="0" w:color="auto"/>
              <w:bottom w:val="single" w:sz="4" w:space="0" w:color="auto"/>
              <w:right w:val="single" w:sz="4" w:space="0" w:color="auto"/>
            </w:tcBorders>
            <w:vAlign w:val="center"/>
          </w:tcPr>
          <w:p w:rsidR="001224FC" w:rsidRPr="001F29F9" w:rsidRDefault="004006F9" w:rsidP="004006F9">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1224FC" w:rsidRPr="001F29F9">
              <w:rPr>
                <w:rFonts w:eastAsiaTheme="minorHAnsi"/>
                <w:color w:val="000000" w:themeColor="text1"/>
                <w:sz w:val="18"/>
                <w:szCs w:val="18"/>
              </w:rPr>
              <w:t>%</w:t>
            </w:r>
            <w:r>
              <w:rPr>
                <w:rFonts w:eastAsiaTheme="minorHAnsi"/>
                <w:color w:val="000000" w:themeColor="text1"/>
                <w:sz w:val="18"/>
                <w:szCs w:val="18"/>
              </w:rPr>
              <w:t xml:space="preserve"> Pain-limited ROM</w:t>
            </w:r>
          </w:p>
        </w:tc>
        <w:tc>
          <w:tcPr>
            <w:tcW w:w="2854" w:type="dxa"/>
            <w:tcBorders>
              <w:top w:val="single" w:sz="4" w:space="0" w:color="auto"/>
              <w:left w:val="single" w:sz="4" w:space="0" w:color="auto"/>
              <w:bottom w:val="single" w:sz="4" w:space="0" w:color="auto"/>
              <w:right w:val="single" w:sz="4" w:space="0" w:color="auto"/>
            </w:tcBorders>
            <w:vAlign w:val="center"/>
          </w:tcPr>
          <w:p w:rsidR="001224FC" w:rsidRPr="001F29F9" w:rsidRDefault="004006F9" w:rsidP="00547F1D">
            <w:pPr>
              <w:tabs>
                <w:tab w:val="left" w:pos="288"/>
                <w:tab w:val="left" w:pos="4752"/>
              </w:tabs>
              <w:rPr>
                <w:rFonts w:eastAsiaTheme="minorHAnsi"/>
                <w:color w:val="000000" w:themeColor="text1"/>
                <w:sz w:val="18"/>
                <w:szCs w:val="18"/>
              </w:rPr>
            </w:pPr>
            <w:r>
              <w:rPr>
                <w:rFonts w:eastAsiaTheme="minorHAnsi"/>
                <w:color w:val="000000" w:themeColor="text1"/>
                <w:sz w:val="18"/>
                <w:szCs w:val="18"/>
              </w:rPr>
              <w:t>10</w:t>
            </w:r>
            <w:r w:rsidR="001224FC" w:rsidRPr="001F29F9">
              <w:rPr>
                <w:rFonts w:eastAsiaTheme="minorHAnsi"/>
                <w:color w:val="000000" w:themeColor="text1"/>
                <w:sz w:val="18"/>
                <w:szCs w:val="18"/>
              </w:rPr>
              <w:t>%</w:t>
            </w:r>
            <w:r>
              <w:rPr>
                <w:rFonts w:eastAsiaTheme="minorHAnsi"/>
                <w:color w:val="000000" w:themeColor="text1"/>
                <w:sz w:val="18"/>
                <w:szCs w:val="18"/>
              </w:rPr>
              <w:t xml:space="preserve">  Pain-limited ROM</w:t>
            </w:r>
          </w:p>
        </w:tc>
      </w:tr>
    </w:tbl>
    <w:p w:rsidR="005339B0" w:rsidRPr="00FD24D3" w:rsidRDefault="005339B0" w:rsidP="00FD24D3">
      <w:pPr>
        <w:jc w:val="both"/>
        <w:rPr>
          <w:rFonts w:eastAsia="HiddenHorzOCR"/>
          <w:color w:val="000000" w:themeColor="text1"/>
          <w:szCs w:val="24"/>
          <w:u w:val="single"/>
        </w:rPr>
      </w:pPr>
    </w:p>
    <w:p w:rsidR="00E7158F" w:rsidRDefault="00AA4CCF" w:rsidP="00FD24D3">
      <w:pPr>
        <w:jc w:val="both"/>
        <w:rPr>
          <w:rFonts w:eastAsia="HiddenHorzOCR"/>
          <w:color w:val="000000" w:themeColor="text1"/>
          <w:szCs w:val="24"/>
        </w:rPr>
      </w:pPr>
      <w:r w:rsidRPr="00AA4CCF">
        <w:rPr>
          <w:rFonts w:eastAsia="HiddenHorzOCR"/>
          <w:color w:val="000000" w:themeColor="text1"/>
          <w:szCs w:val="24"/>
        </w:rPr>
        <w:t>The C</w:t>
      </w:r>
      <w:r>
        <w:rPr>
          <w:rFonts w:eastAsia="HiddenHorzOCR"/>
          <w:color w:val="000000" w:themeColor="text1"/>
          <w:szCs w:val="24"/>
        </w:rPr>
        <w:t>I</w:t>
      </w:r>
      <w:r w:rsidRPr="00AA4CCF">
        <w:rPr>
          <w:rFonts w:eastAsia="HiddenHorzOCR"/>
          <w:color w:val="000000" w:themeColor="text1"/>
          <w:szCs w:val="24"/>
        </w:rPr>
        <w:t xml:space="preserve"> sustained a left open patella fracture in March 2005</w:t>
      </w:r>
      <w:r>
        <w:rPr>
          <w:rFonts w:eastAsia="HiddenHorzOCR"/>
          <w:color w:val="000000" w:themeColor="text1"/>
          <w:szCs w:val="24"/>
        </w:rPr>
        <w:t xml:space="preserve"> and underwent open reduction and internal fixation with irrigation and debridement. </w:t>
      </w:r>
      <w:r w:rsidR="00797453">
        <w:rPr>
          <w:rFonts w:eastAsia="HiddenHorzOCR"/>
          <w:color w:val="000000" w:themeColor="text1"/>
          <w:szCs w:val="24"/>
        </w:rPr>
        <w:t xml:space="preserve"> </w:t>
      </w:r>
      <w:r>
        <w:rPr>
          <w:rFonts w:eastAsia="HiddenHorzOCR"/>
          <w:color w:val="000000" w:themeColor="text1"/>
          <w:szCs w:val="24"/>
        </w:rPr>
        <w:t xml:space="preserve">The internal hardware was removed a few months later. </w:t>
      </w:r>
      <w:r w:rsidR="002E1F99">
        <w:rPr>
          <w:rFonts w:eastAsia="HiddenHorzOCR"/>
          <w:color w:val="000000" w:themeColor="text1"/>
          <w:szCs w:val="24"/>
        </w:rPr>
        <w:t xml:space="preserve"> </w:t>
      </w:r>
      <w:r>
        <w:rPr>
          <w:rFonts w:eastAsia="HiddenHorzOCR"/>
          <w:color w:val="000000" w:themeColor="text1"/>
          <w:szCs w:val="24"/>
        </w:rPr>
        <w:t xml:space="preserve">Although his surgery initially appeared successful, he continued to have pain that was diffuse, intermittent, and worsening with heavy activity. </w:t>
      </w:r>
      <w:r w:rsidR="002E1F99">
        <w:rPr>
          <w:rFonts w:eastAsia="HiddenHorzOCR"/>
          <w:color w:val="000000" w:themeColor="text1"/>
          <w:szCs w:val="24"/>
        </w:rPr>
        <w:t xml:space="preserve"> </w:t>
      </w:r>
      <w:r w:rsidR="006328C3">
        <w:rPr>
          <w:rFonts w:eastAsia="HiddenHorzOCR"/>
          <w:color w:val="000000" w:themeColor="text1"/>
          <w:szCs w:val="24"/>
        </w:rPr>
        <w:t>Arthroscopic</w:t>
      </w:r>
      <w:r>
        <w:rPr>
          <w:rFonts w:eastAsia="HiddenHorzOCR"/>
          <w:color w:val="000000" w:themeColor="text1"/>
          <w:szCs w:val="24"/>
        </w:rPr>
        <w:t xml:space="preserve"> surgery was completed in January 2007 and while this revealed no </w:t>
      </w:r>
      <w:proofErr w:type="spellStart"/>
      <w:r>
        <w:rPr>
          <w:rFonts w:eastAsia="HiddenHorzOCR"/>
          <w:color w:val="000000" w:themeColor="text1"/>
          <w:szCs w:val="24"/>
        </w:rPr>
        <w:t>meniscal</w:t>
      </w:r>
      <w:proofErr w:type="spellEnd"/>
      <w:r>
        <w:rPr>
          <w:rFonts w:eastAsia="HiddenHorzOCR"/>
          <w:color w:val="000000" w:themeColor="text1"/>
          <w:szCs w:val="24"/>
        </w:rPr>
        <w:t xml:space="preserve"> or cartilage injury, it did document </w:t>
      </w:r>
      <w:r w:rsidR="00797453">
        <w:rPr>
          <w:rFonts w:eastAsia="HiddenHorzOCR"/>
          <w:color w:val="000000" w:themeColor="text1"/>
          <w:szCs w:val="24"/>
        </w:rPr>
        <w:t>g</w:t>
      </w:r>
      <w:r>
        <w:rPr>
          <w:rFonts w:eastAsia="HiddenHorzOCR"/>
          <w:color w:val="000000" w:themeColor="text1"/>
          <w:szCs w:val="24"/>
        </w:rPr>
        <w:t>rad</w:t>
      </w:r>
      <w:r w:rsidR="006328C3">
        <w:rPr>
          <w:rFonts w:eastAsia="HiddenHorzOCR"/>
          <w:color w:val="000000" w:themeColor="text1"/>
          <w:szCs w:val="24"/>
        </w:rPr>
        <w:t xml:space="preserve">e II to II </w:t>
      </w:r>
      <w:proofErr w:type="spellStart"/>
      <w:r w:rsidR="006328C3">
        <w:rPr>
          <w:rFonts w:eastAsia="HiddenHorzOCR"/>
          <w:color w:val="000000" w:themeColor="text1"/>
          <w:szCs w:val="24"/>
        </w:rPr>
        <w:t>chondromalacia</w:t>
      </w:r>
      <w:proofErr w:type="spellEnd"/>
      <w:r w:rsidR="006328C3">
        <w:rPr>
          <w:rFonts w:eastAsia="HiddenHorzOCR"/>
          <w:color w:val="000000" w:themeColor="text1"/>
          <w:szCs w:val="24"/>
        </w:rPr>
        <w:t xml:space="preserve"> of th</w:t>
      </w:r>
      <w:r>
        <w:rPr>
          <w:rFonts w:eastAsia="HiddenHorzOCR"/>
          <w:color w:val="000000" w:themeColor="text1"/>
          <w:szCs w:val="24"/>
        </w:rPr>
        <w:t>e</w:t>
      </w:r>
      <w:r w:rsidR="006328C3">
        <w:rPr>
          <w:rFonts w:eastAsia="HiddenHorzOCR"/>
          <w:color w:val="000000" w:themeColor="text1"/>
          <w:szCs w:val="24"/>
        </w:rPr>
        <w:t xml:space="preserve"> </w:t>
      </w:r>
      <w:r>
        <w:rPr>
          <w:rFonts w:eastAsia="HiddenHorzOCR"/>
          <w:color w:val="000000" w:themeColor="text1"/>
          <w:szCs w:val="24"/>
        </w:rPr>
        <w:t xml:space="preserve">posterior patella and </w:t>
      </w:r>
      <w:r w:rsidR="00797453">
        <w:rPr>
          <w:rFonts w:eastAsia="HiddenHorzOCR"/>
          <w:color w:val="000000" w:themeColor="text1"/>
          <w:szCs w:val="24"/>
        </w:rPr>
        <w:t>g</w:t>
      </w:r>
      <w:r>
        <w:rPr>
          <w:rFonts w:eastAsia="HiddenHorzOCR"/>
          <w:color w:val="000000" w:themeColor="text1"/>
          <w:szCs w:val="24"/>
        </w:rPr>
        <w:t xml:space="preserve">rade I </w:t>
      </w:r>
      <w:proofErr w:type="spellStart"/>
      <w:r>
        <w:rPr>
          <w:rFonts w:eastAsia="HiddenHorzOCR"/>
          <w:color w:val="000000" w:themeColor="text1"/>
          <w:szCs w:val="24"/>
        </w:rPr>
        <w:t>chondromalacia</w:t>
      </w:r>
      <w:proofErr w:type="spellEnd"/>
      <w:r>
        <w:rPr>
          <w:rFonts w:eastAsia="HiddenHorzOCR"/>
          <w:color w:val="000000" w:themeColor="text1"/>
          <w:szCs w:val="24"/>
        </w:rPr>
        <w:t xml:space="preserve"> in the </w:t>
      </w:r>
      <w:proofErr w:type="spellStart"/>
      <w:r>
        <w:rPr>
          <w:rFonts w:eastAsia="HiddenHorzOCR"/>
          <w:color w:val="000000" w:themeColor="text1"/>
          <w:szCs w:val="24"/>
        </w:rPr>
        <w:t>trochlear</w:t>
      </w:r>
      <w:proofErr w:type="spellEnd"/>
      <w:r>
        <w:rPr>
          <w:rFonts w:eastAsia="HiddenHorzOCR"/>
          <w:color w:val="000000" w:themeColor="text1"/>
          <w:szCs w:val="24"/>
        </w:rPr>
        <w:t xml:space="preserve"> groove.</w:t>
      </w:r>
      <w:r w:rsidR="002E1F99">
        <w:rPr>
          <w:rFonts w:eastAsia="HiddenHorzOCR"/>
          <w:color w:val="000000" w:themeColor="text1"/>
          <w:szCs w:val="24"/>
        </w:rPr>
        <w:t xml:space="preserve"> </w:t>
      </w:r>
      <w:r>
        <w:rPr>
          <w:rFonts w:eastAsia="HiddenHorzOCR"/>
          <w:color w:val="000000" w:themeColor="text1"/>
          <w:szCs w:val="24"/>
        </w:rPr>
        <w:t xml:space="preserve"> Also, there was a bit of a gap at the site of the </w:t>
      </w:r>
      <w:r w:rsidR="006328C3">
        <w:rPr>
          <w:rFonts w:eastAsia="HiddenHorzOCR"/>
          <w:color w:val="000000" w:themeColor="text1"/>
          <w:szCs w:val="24"/>
        </w:rPr>
        <w:t>previous</w:t>
      </w:r>
      <w:r>
        <w:rPr>
          <w:rFonts w:eastAsia="HiddenHorzOCR"/>
          <w:color w:val="000000" w:themeColor="text1"/>
          <w:szCs w:val="24"/>
        </w:rPr>
        <w:t xml:space="preserve"> patella fracture. During the procedure mechanical </w:t>
      </w:r>
      <w:proofErr w:type="spellStart"/>
      <w:r>
        <w:rPr>
          <w:rFonts w:eastAsia="HiddenHorzOCR"/>
          <w:color w:val="000000" w:themeColor="text1"/>
          <w:szCs w:val="24"/>
        </w:rPr>
        <w:t>chondroplasty</w:t>
      </w:r>
      <w:proofErr w:type="spellEnd"/>
      <w:r>
        <w:rPr>
          <w:rFonts w:eastAsia="HiddenHorzOCR"/>
          <w:color w:val="000000" w:themeColor="text1"/>
          <w:szCs w:val="24"/>
        </w:rPr>
        <w:t xml:space="preserve"> of the posterior patella was performed, smoothing out the surface. </w:t>
      </w:r>
      <w:r w:rsidR="002E1F99">
        <w:rPr>
          <w:rFonts w:eastAsia="HiddenHorzOCR"/>
          <w:color w:val="000000" w:themeColor="text1"/>
          <w:szCs w:val="24"/>
        </w:rPr>
        <w:t xml:space="preserve"> </w:t>
      </w:r>
      <w:r>
        <w:rPr>
          <w:rFonts w:eastAsia="HiddenHorzOCR"/>
          <w:color w:val="000000" w:themeColor="text1"/>
          <w:szCs w:val="24"/>
        </w:rPr>
        <w:t xml:space="preserve">At the time of the </w:t>
      </w:r>
      <w:r w:rsidR="00797453">
        <w:rPr>
          <w:rFonts w:eastAsia="HiddenHorzOCR"/>
          <w:color w:val="000000" w:themeColor="text1"/>
          <w:szCs w:val="24"/>
        </w:rPr>
        <w:t>narrative summary (</w:t>
      </w:r>
      <w:r>
        <w:rPr>
          <w:rFonts w:eastAsia="HiddenHorzOCR"/>
          <w:color w:val="000000" w:themeColor="text1"/>
          <w:szCs w:val="24"/>
        </w:rPr>
        <w:t>NARSUM</w:t>
      </w:r>
      <w:r w:rsidR="00797453">
        <w:rPr>
          <w:rFonts w:eastAsia="HiddenHorzOCR"/>
          <w:color w:val="000000" w:themeColor="text1"/>
          <w:szCs w:val="24"/>
        </w:rPr>
        <w:t>)</w:t>
      </w:r>
      <w:r>
        <w:rPr>
          <w:rFonts w:eastAsia="HiddenHorzOCR"/>
          <w:color w:val="000000" w:themeColor="text1"/>
          <w:szCs w:val="24"/>
        </w:rPr>
        <w:t xml:space="preserve"> examination</w:t>
      </w:r>
      <w:r w:rsidR="005A6F8F">
        <w:rPr>
          <w:rFonts w:eastAsia="HiddenHorzOCR"/>
          <w:color w:val="000000" w:themeColor="text1"/>
          <w:szCs w:val="24"/>
        </w:rPr>
        <w:t xml:space="preserve">, </w:t>
      </w:r>
      <w:r w:rsidR="00A915FB">
        <w:rPr>
          <w:rFonts w:eastAsia="HiddenHorzOCR"/>
          <w:color w:val="000000" w:themeColor="text1"/>
          <w:szCs w:val="24"/>
        </w:rPr>
        <w:t xml:space="preserve">performed </w:t>
      </w:r>
      <w:r w:rsidR="00797453">
        <w:rPr>
          <w:rFonts w:eastAsia="HiddenHorzOCR"/>
          <w:color w:val="000000" w:themeColor="text1"/>
          <w:szCs w:val="24"/>
        </w:rPr>
        <w:t>2</w:t>
      </w:r>
      <w:r w:rsidR="005A6F8F">
        <w:rPr>
          <w:rFonts w:eastAsia="HiddenHorzOCR"/>
          <w:color w:val="000000" w:themeColor="text1"/>
          <w:szCs w:val="24"/>
        </w:rPr>
        <w:t xml:space="preserve"> months prior to separation</w:t>
      </w:r>
      <w:r>
        <w:rPr>
          <w:rFonts w:eastAsia="HiddenHorzOCR"/>
          <w:color w:val="000000" w:themeColor="text1"/>
          <w:szCs w:val="24"/>
        </w:rPr>
        <w:t xml:space="preserve">, he continued to have some residual swelling and </w:t>
      </w:r>
      <w:r w:rsidR="006328C3">
        <w:rPr>
          <w:rFonts w:eastAsia="HiddenHorzOCR"/>
          <w:color w:val="000000" w:themeColor="text1"/>
          <w:szCs w:val="24"/>
        </w:rPr>
        <w:t>while</w:t>
      </w:r>
      <w:r>
        <w:rPr>
          <w:rFonts w:eastAsia="HiddenHorzOCR"/>
          <w:color w:val="000000" w:themeColor="text1"/>
          <w:szCs w:val="24"/>
        </w:rPr>
        <w:t xml:space="preserve"> the previous grinding in the </w:t>
      </w:r>
      <w:proofErr w:type="spellStart"/>
      <w:r>
        <w:rPr>
          <w:rFonts w:eastAsia="HiddenHorzOCR"/>
          <w:color w:val="000000" w:themeColor="text1"/>
          <w:szCs w:val="24"/>
        </w:rPr>
        <w:t>patellofemoral</w:t>
      </w:r>
      <w:proofErr w:type="spellEnd"/>
      <w:r>
        <w:rPr>
          <w:rFonts w:eastAsia="HiddenHorzOCR"/>
          <w:color w:val="000000" w:themeColor="text1"/>
          <w:szCs w:val="24"/>
        </w:rPr>
        <w:t xml:space="preserve"> joint was </w:t>
      </w:r>
      <w:r w:rsidR="006328C3">
        <w:rPr>
          <w:rFonts w:eastAsia="HiddenHorzOCR"/>
          <w:color w:val="000000" w:themeColor="text1"/>
          <w:szCs w:val="24"/>
        </w:rPr>
        <w:t>dramatically</w:t>
      </w:r>
      <w:r>
        <w:rPr>
          <w:rFonts w:eastAsia="HiddenHorzOCR"/>
          <w:color w:val="000000" w:themeColor="text1"/>
          <w:szCs w:val="24"/>
        </w:rPr>
        <w:t xml:space="preserve"> improved, he continued to have intermittent pain. </w:t>
      </w:r>
      <w:r w:rsidR="002E1F99">
        <w:rPr>
          <w:rFonts w:eastAsia="HiddenHorzOCR"/>
          <w:color w:val="000000" w:themeColor="text1"/>
          <w:szCs w:val="24"/>
        </w:rPr>
        <w:t xml:space="preserve"> </w:t>
      </w:r>
      <w:r>
        <w:rPr>
          <w:rFonts w:eastAsia="HiddenHorzOCR"/>
          <w:color w:val="000000" w:themeColor="text1"/>
          <w:szCs w:val="24"/>
        </w:rPr>
        <w:t>The examiner opined that while the C</w:t>
      </w:r>
      <w:r w:rsidR="006328C3">
        <w:rPr>
          <w:rFonts w:eastAsia="HiddenHorzOCR"/>
          <w:color w:val="000000" w:themeColor="text1"/>
          <w:szCs w:val="24"/>
        </w:rPr>
        <w:t>I</w:t>
      </w:r>
      <w:r>
        <w:rPr>
          <w:rFonts w:eastAsia="HiddenHorzOCR"/>
          <w:color w:val="000000" w:themeColor="text1"/>
          <w:szCs w:val="24"/>
        </w:rPr>
        <w:t xml:space="preserve"> had not yet completed his post-surgery </w:t>
      </w:r>
      <w:r w:rsidR="006328C3">
        <w:rPr>
          <w:rFonts w:eastAsia="HiddenHorzOCR"/>
          <w:color w:val="000000" w:themeColor="text1"/>
          <w:szCs w:val="24"/>
        </w:rPr>
        <w:t>rehabilitation</w:t>
      </w:r>
      <w:r>
        <w:rPr>
          <w:rFonts w:eastAsia="HiddenHorzOCR"/>
          <w:color w:val="000000" w:themeColor="text1"/>
          <w:szCs w:val="24"/>
        </w:rPr>
        <w:t xml:space="preserve">, he would never be able to perform the rigorous activities required of his </w:t>
      </w:r>
      <w:r w:rsidR="005A6F8F">
        <w:rPr>
          <w:rFonts w:eastAsia="HiddenHorzOCR"/>
          <w:color w:val="000000" w:themeColor="text1"/>
          <w:szCs w:val="24"/>
        </w:rPr>
        <w:t>military position.</w:t>
      </w:r>
      <w:r w:rsidR="00797453">
        <w:rPr>
          <w:rFonts w:eastAsia="HiddenHorzOCR"/>
          <w:color w:val="000000" w:themeColor="text1"/>
          <w:szCs w:val="24"/>
        </w:rPr>
        <w:t xml:space="preserve"> </w:t>
      </w:r>
      <w:r w:rsidR="005A6F8F">
        <w:rPr>
          <w:rFonts w:eastAsia="HiddenHorzOCR"/>
          <w:color w:val="000000" w:themeColor="text1"/>
          <w:szCs w:val="24"/>
        </w:rPr>
        <w:t xml:space="preserve"> Goniometric measurements were not obtained and the examiner stated knee flexion was well beyond 90 degrees. </w:t>
      </w:r>
      <w:r w:rsidR="002E1F99">
        <w:rPr>
          <w:rFonts w:eastAsia="HiddenHorzOCR"/>
          <w:color w:val="000000" w:themeColor="text1"/>
          <w:szCs w:val="24"/>
        </w:rPr>
        <w:t xml:space="preserve"> </w:t>
      </w:r>
      <w:r w:rsidR="005A6F8F">
        <w:rPr>
          <w:rFonts w:eastAsia="HiddenHorzOCR"/>
          <w:color w:val="000000" w:themeColor="text1"/>
          <w:szCs w:val="24"/>
        </w:rPr>
        <w:t>No instability was noted.</w:t>
      </w:r>
      <w:r w:rsidR="00797453">
        <w:rPr>
          <w:rFonts w:eastAsia="HiddenHorzOCR"/>
          <w:color w:val="000000" w:themeColor="text1"/>
          <w:szCs w:val="24"/>
        </w:rPr>
        <w:t xml:space="preserve"> </w:t>
      </w:r>
      <w:r w:rsidR="005A6F8F">
        <w:rPr>
          <w:rFonts w:eastAsia="HiddenHorzOCR"/>
          <w:color w:val="000000" w:themeColor="text1"/>
          <w:szCs w:val="24"/>
        </w:rPr>
        <w:t xml:space="preserve"> The VA </w:t>
      </w:r>
      <w:r w:rsidR="00797453">
        <w:rPr>
          <w:rFonts w:eastAsia="HiddenHorzOCR"/>
          <w:color w:val="000000" w:themeColor="text1"/>
          <w:szCs w:val="24"/>
        </w:rPr>
        <w:t>Compensation and Pension (</w:t>
      </w:r>
      <w:r w:rsidR="005A6F8F">
        <w:rPr>
          <w:rFonts w:eastAsia="HiddenHorzOCR"/>
          <w:color w:val="000000" w:themeColor="text1"/>
          <w:szCs w:val="24"/>
        </w:rPr>
        <w:t>C&amp;P</w:t>
      </w:r>
      <w:r w:rsidR="00797453">
        <w:rPr>
          <w:rFonts w:eastAsia="HiddenHorzOCR"/>
          <w:color w:val="000000" w:themeColor="text1"/>
          <w:szCs w:val="24"/>
        </w:rPr>
        <w:t>)</w:t>
      </w:r>
      <w:r w:rsidR="005A6F8F">
        <w:rPr>
          <w:rFonts w:eastAsia="HiddenHorzOCR"/>
          <w:color w:val="000000" w:themeColor="text1"/>
          <w:szCs w:val="24"/>
        </w:rPr>
        <w:t xml:space="preserve"> examination </w:t>
      </w:r>
      <w:r w:rsidR="006328C3">
        <w:rPr>
          <w:rFonts w:eastAsia="HiddenHorzOCR"/>
          <w:color w:val="000000" w:themeColor="text1"/>
          <w:szCs w:val="24"/>
        </w:rPr>
        <w:t>completed</w:t>
      </w:r>
      <w:r w:rsidR="005A6F8F">
        <w:rPr>
          <w:rFonts w:eastAsia="HiddenHorzOCR"/>
          <w:color w:val="000000" w:themeColor="text1"/>
          <w:szCs w:val="24"/>
        </w:rPr>
        <w:t xml:space="preserve"> </w:t>
      </w:r>
      <w:r w:rsidR="00797453">
        <w:rPr>
          <w:rFonts w:eastAsia="HiddenHorzOCR"/>
          <w:color w:val="000000" w:themeColor="text1"/>
          <w:szCs w:val="24"/>
        </w:rPr>
        <w:t>2</w:t>
      </w:r>
      <w:r w:rsidR="005A6F8F">
        <w:rPr>
          <w:rFonts w:eastAsia="HiddenHorzOCR"/>
          <w:color w:val="000000" w:themeColor="text1"/>
          <w:szCs w:val="24"/>
        </w:rPr>
        <w:t xml:space="preserve"> months after separation documented similar findings. </w:t>
      </w:r>
      <w:r w:rsidR="002E1F99">
        <w:rPr>
          <w:rFonts w:eastAsia="HiddenHorzOCR"/>
          <w:color w:val="000000" w:themeColor="text1"/>
          <w:szCs w:val="24"/>
        </w:rPr>
        <w:t xml:space="preserve"> </w:t>
      </w:r>
      <w:r w:rsidR="005A6F8F">
        <w:rPr>
          <w:rFonts w:eastAsia="HiddenHorzOCR"/>
          <w:color w:val="000000" w:themeColor="text1"/>
          <w:szCs w:val="24"/>
        </w:rPr>
        <w:t>However, goniometric measurements were complete</w:t>
      </w:r>
      <w:r w:rsidR="00D63899">
        <w:rPr>
          <w:rFonts w:eastAsia="HiddenHorzOCR"/>
          <w:color w:val="000000" w:themeColor="text1"/>
          <w:szCs w:val="24"/>
        </w:rPr>
        <w:t>d as part of this examination and l</w:t>
      </w:r>
      <w:r w:rsidR="005A6F8F">
        <w:rPr>
          <w:rFonts w:eastAsia="HiddenHorzOCR"/>
          <w:color w:val="000000" w:themeColor="text1"/>
          <w:szCs w:val="24"/>
        </w:rPr>
        <w:t>eft knee flexion was limited to 130 degrees.</w:t>
      </w:r>
    </w:p>
    <w:p w:rsidR="00817662" w:rsidRPr="00874E5D" w:rsidRDefault="00817662" w:rsidP="00FD24D3">
      <w:pPr>
        <w:jc w:val="both"/>
        <w:rPr>
          <w:rFonts w:eastAsia="HiddenHorzOCR"/>
          <w:color w:val="000000" w:themeColor="text1"/>
          <w:szCs w:val="24"/>
          <w:u w:val="single"/>
        </w:rPr>
      </w:pPr>
      <w:r>
        <w:rPr>
          <w:rFonts w:eastAsia="HiddenHorzOCR"/>
          <w:color w:val="000000" w:themeColor="text1"/>
          <w:szCs w:val="24"/>
        </w:rPr>
        <w:lastRenderedPageBreak/>
        <w:t xml:space="preserve">While the PEB and the VA used different codes for rating, they both rated the left knee condition at 10% and this rating is warranted based on pain-limited motion. </w:t>
      </w:r>
      <w:r w:rsidR="00A915FB">
        <w:rPr>
          <w:rFonts w:eastAsia="HiddenHorzOCR"/>
          <w:color w:val="000000" w:themeColor="text1"/>
          <w:szCs w:val="24"/>
        </w:rPr>
        <w:t xml:space="preserve"> </w:t>
      </w:r>
      <w:r>
        <w:rPr>
          <w:rFonts w:eastAsia="HiddenHorzOCR"/>
          <w:color w:val="000000" w:themeColor="text1"/>
          <w:szCs w:val="24"/>
        </w:rPr>
        <w:t>While the limitation of flexion of the left knee did not meet the minimal compensable level</w:t>
      </w:r>
      <w:r w:rsidR="003B580C">
        <w:rPr>
          <w:rFonts w:eastAsia="HiddenHorzOCR"/>
          <w:color w:val="000000" w:themeColor="text1"/>
          <w:szCs w:val="24"/>
        </w:rPr>
        <w:t xml:space="preserve"> under 5260</w:t>
      </w:r>
      <w:r>
        <w:rPr>
          <w:rFonts w:eastAsia="HiddenHorzOCR"/>
          <w:color w:val="000000" w:themeColor="text1"/>
          <w:szCs w:val="24"/>
        </w:rPr>
        <w:t xml:space="preserve">, VASRD </w:t>
      </w:r>
      <w:r w:rsidRPr="005A6F8F">
        <w:rPr>
          <w:rFonts w:eastAsia="HiddenHorzOCR"/>
          <w:color w:val="000000" w:themeColor="text1"/>
          <w:szCs w:val="24"/>
        </w:rPr>
        <w:t xml:space="preserve">§4.59 </w:t>
      </w:r>
      <w:r>
        <w:rPr>
          <w:rFonts w:eastAsia="HiddenHorzOCR"/>
          <w:color w:val="000000" w:themeColor="text1"/>
          <w:szCs w:val="24"/>
        </w:rPr>
        <w:t>states that t</w:t>
      </w:r>
      <w:r w:rsidRPr="005A6F8F">
        <w:rPr>
          <w:rFonts w:eastAsia="HiddenHorzOCR"/>
          <w:color w:val="000000" w:themeColor="text1"/>
          <w:szCs w:val="24"/>
        </w:rPr>
        <w:t xml:space="preserve">he intent of </w:t>
      </w:r>
      <w:r>
        <w:rPr>
          <w:rFonts w:eastAsia="HiddenHorzOCR"/>
          <w:color w:val="000000" w:themeColor="text1"/>
          <w:szCs w:val="24"/>
        </w:rPr>
        <w:t xml:space="preserve">the schedule </w:t>
      </w:r>
      <w:r w:rsidRPr="005A6F8F">
        <w:rPr>
          <w:rFonts w:eastAsia="HiddenHorzOCR"/>
          <w:color w:val="000000" w:themeColor="text1"/>
          <w:szCs w:val="24"/>
        </w:rPr>
        <w:t>is to recognize actually painful, unstable, or malaligned joints as entitled to at least the minimum compensable rating for the joint</w:t>
      </w:r>
      <w:r>
        <w:rPr>
          <w:rFonts w:eastAsia="HiddenHorzOCR"/>
          <w:color w:val="000000" w:themeColor="text1"/>
          <w:szCs w:val="24"/>
        </w:rPr>
        <w:t xml:space="preserve">. </w:t>
      </w:r>
      <w:r w:rsidR="00A915FB">
        <w:rPr>
          <w:rFonts w:eastAsia="HiddenHorzOCR"/>
          <w:color w:val="000000" w:themeColor="text1"/>
          <w:szCs w:val="24"/>
        </w:rPr>
        <w:t xml:space="preserve"> </w:t>
      </w:r>
      <w:r>
        <w:rPr>
          <w:rFonts w:eastAsia="HiddenHorzOCR"/>
          <w:color w:val="000000" w:themeColor="text1"/>
          <w:szCs w:val="24"/>
        </w:rPr>
        <w:t xml:space="preserve">Additionally </w:t>
      </w:r>
      <w:r w:rsidR="005A6F8F" w:rsidRPr="005A6F8F">
        <w:rPr>
          <w:rFonts w:eastAsia="HiddenHorzOCR"/>
          <w:color w:val="000000" w:themeColor="text1"/>
          <w:szCs w:val="24"/>
        </w:rPr>
        <w:t>VASRD §4.71a specifies for 5003 that “satisfactory evidence of painful motion” constitutes limitation of motion and specifies application of a 10% rating “for each such major joint or group of minor joints affected by limitation of motion</w:t>
      </w:r>
      <w:r>
        <w:rPr>
          <w:rFonts w:eastAsia="HiddenHorzOCR"/>
          <w:color w:val="000000" w:themeColor="text1"/>
          <w:szCs w:val="24"/>
        </w:rPr>
        <w:t>.</w:t>
      </w:r>
      <w:r w:rsidR="005A6F8F" w:rsidRPr="005A6F8F">
        <w:rPr>
          <w:rFonts w:eastAsia="HiddenHorzOCR"/>
          <w:color w:val="000000" w:themeColor="text1"/>
          <w:szCs w:val="24"/>
        </w:rPr>
        <w:t>”</w:t>
      </w:r>
      <w:r>
        <w:rPr>
          <w:rFonts w:eastAsia="HiddenHorzOCR"/>
          <w:color w:val="000000" w:themeColor="text1"/>
          <w:szCs w:val="24"/>
        </w:rPr>
        <w:t xml:space="preserve"> </w:t>
      </w:r>
      <w:r w:rsidR="002E1F99">
        <w:rPr>
          <w:rFonts w:eastAsia="HiddenHorzOCR"/>
          <w:color w:val="000000" w:themeColor="text1"/>
          <w:szCs w:val="24"/>
        </w:rPr>
        <w:t xml:space="preserve"> </w:t>
      </w:r>
      <w:r>
        <w:rPr>
          <w:rFonts w:eastAsia="HiddenHorzOCR"/>
          <w:color w:val="000000" w:themeColor="text1"/>
          <w:szCs w:val="24"/>
        </w:rPr>
        <w:t xml:space="preserve">No other ratable criteria are documented on either </w:t>
      </w:r>
      <w:r w:rsidRPr="00874E5D">
        <w:rPr>
          <w:rFonts w:eastAsia="HiddenHorzOCR"/>
          <w:color w:val="000000" w:themeColor="text1"/>
          <w:szCs w:val="24"/>
        </w:rPr>
        <w:t xml:space="preserve">the NARSUM or the VA C&amp;P examinations. </w:t>
      </w:r>
      <w:r w:rsidR="002E1F99">
        <w:rPr>
          <w:rFonts w:eastAsia="HiddenHorzOCR"/>
          <w:color w:val="000000" w:themeColor="text1"/>
          <w:szCs w:val="24"/>
        </w:rPr>
        <w:t xml:space="preserve"> </w:t>
      </w:r>
      <w:r w:rsidRPr="00874E5D">
        <w:rPr>
          <w:rFonts w:eastAsia="HiddenHorzOCR"/>
          <w:color w:val="000000" w:themeColor="text1"/>
          <w:szCs w:val="24"/>
        </w:rPr>
        <w:t>After due deliberation, considering all of the evidence and mindful of VASRD §4.3 (reasonable doubt), the Board concluded that there was insufficient cause to recommend a change in the PEB adjudication for the left knee condition.</w:t>
      </w:r>
    </w:p>
    <w:p w:rsidR="00F1737C" w:rsidRPr="00874E5D" w:rsidRDefault="00A5690D" w:rsidP="00FD24D3">
      <w:pPr>
        <w:jc w:val="both"/>
        <w:rPr>
          <w:b/>
          <w:color w:val="000000" w:themeColor="text1"/>
          <w:szCs w:val="24"/>
        </w:rPr>
      </w:pPr>
      <w:r w:rsidRPr="00874E5D">
        <w:rPr>
          <w:b/>
          <w:color w:val="000000" w:themeColor="text1"/>
          <w:szCs w:val="24"/>
        </w:rPr>
        <w:t>______________________________________________________________________________</w:t>
      </w:r>
    </w:p>
    <w:p w:rsidR="00A5690D" w:rsidRPr="00874E5D" w:rsidRDefault="00A5690D" w:rsidP="00FD24D3">
      <w:pPr>
        <w:jc w:val="both"/>
        <w:rPr>
          <w:color w:val="000000" w:themeColor="text1"/>
          <w:szCs w:val="24"/>
        </w:rPr>
      </w:pPr>
    </w:p>
    <w:p w:rsidR="00BF4F49" w:rsidRPr="00FD24D3" w:rsidRDefault="00C56FC8" w:rsidP="00FD24D3">
      <w:pPr>
        <w:jc w:val="both"/>
        <w:rPr>
          <w:rFonts w:eastAsiaTheme="minorHAnsi"/>
          <w:i/>
          <w:color w:val="000000" w:themeColor="text1"/>
          <w:szCs w:val="24"/>
        </w:rPr>
      </w:pPr>
      <w:r w:rsidRPr="00874E5D">
        <w:rPr>
          <w:color w:val="000000" w:themeColor="text1"/>
          <w:szCs w:val="24"/>
          <w:u w:val="single"/>
        </w:rPr>
        <w:t>BOARD FINDINGS</w:t>
      </w:r>
      <w:r w:rsidRPr="00874E5D">
        <w:rPr>
          <w:color w:val="000000" w:themeColor="text1"/>
          <w:szCs w:val="24"/>
        </w:rPr>
        <w:t>:</w:t>
      </w:r>
      <w:r w:rsidRPr="00874E5D">
        <w:rPr>
          <w:rFonts w:eastAsiaTheme="minorHAnsi"/>
          <w:color w:val="000000" w:themeColor="text1"/>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B74A7B" w:rsidRPr="00874E5D">
        <w:rPr>
          <w:rFonts w:eastAsiaTheme="minorHAnsi"/>
          <w:color w:val="000000" w:themeColor="text1"/>
          <w:szCs w:val="24"/>
        </w:rPr>
        <w:t xml:space="preserve"> </w:t>
      </w:r>
      <w:r w:rsidR="002E1F99">
        <w:rPr>
          <w:rFonts w:eastAsiaTheme="minorHAnsi"/>
          <w:color w:val="000000" w:themeColor="text1"/>
          <w:szCs w:val="24"/>
        </w:rPr>
        <w:t xml:space="preserve"> </w:t>
      </w:r>
      <w:r w:rsidR="00B74A7B" w:rsidRPr="00874E5D">
        <w:rPr>
          <w:rFonts w:eastAsiaTheme="minorHAnsi"/>
          <w:color w:val="000000" w:themeColor="text1"/>
          <w:szCs w:val="24"/>
        </w:rPr>
        <w:t xml:space="preserve">In the matter of the </w:t>
      </w:r>
      <w:r w:rsidR="00797453">
        <w:rPr>
          <w:color w:val="000000" w:themeColor="text1"/>
          <w:szCs w:val="24"/>
        </w:rPr>
        <w:t>l</w:t>
      </w:r>
      <w:r w:rsidR="00B74A7B" w:rsidRPr="00874E5D">
        <w:rPr>
          <w:color w:val="000000" w:themeColor="text1"/>
          <w:szCs w:val="24"/>
        </w:rPr>
        <w:t xml:space="preserve">eft </w:t>
      </w:r>
      <w:proofErr w:type="spellStart"/>
      <w:r w:rsidR="00797453">
        <w:rPr>
          <w:color w:val="000000" w:themeColor="text1"/>
          <w:szCs w:val="24"/>
        </w:rPr>
        <w:t>p</w:t>
      </w:r>
      <w:r w:rsidR="00B74A7B" w:rsidRPr="00874E5D">
        <w:rPr>
          <w:color w:val="000000" w:themeColor="text1"/>
          <w:szCs w:val="24"/>
        </w:rPr>
        <w:t>atellofemoral</w:t>
      </w:r>
      <w:proofErr w:type="spellEnd"/>
      <w:r w:rsidR="00B74A7B" w:rsidRPr="00874E5D">
        <w:rPr>
          <w:color w:val="000000" w:themeColor="text1"/>
          <w:szCs w:val="24"/>
        </w:rPr>
        <w:t xml:space="preserve"> </w:t>
      </w:r>
      <w:r w:rsidR="00797453">
        <w:rPr>
          <w:color w:val="000000" w:themeColor="text1"/>
          <w:szCs w:val="24"/>
        </w:rPr>
        <w:t>a</w:t>
      </w:r>
      <w:r w:rsidR="00B74A7B" w:rsidRPr="00874E5D">
        <w:rPr>
          <w:color w:val="000000" w:themeColor="text1"/>
          <w:szCs w:val="24"/>
        </w:rPr>
        <w:t>rthritis</w:t>
      </w:r>
      <w:r w:rsidR="00B74A7B" w:rsidRPr="00874E5D">
        <w:rPr>
          <w:rFonts w:eastAsiaTheme="minorHAnsi"/>
          <w:color w:val="000000" w:themeColor="text1"/>
          <w:szCs w:val="24"/>
        </w:rPr>
        <w:t xml:space="preserve"> condition and IAW VASRD §4.71a, the Board unanimously recommends no change in the PEB adjudication at separation or permanently.</w:t>
      </w:r>
      <w:r w:rsidR="00B74A7B">
        <w:rPr>
          <w:rFonts w:eastAsiaTheme="minorHAnsi"/>
          <w:color w:val="000000" w:themeColor="text1"/>
          <w:szCs w:val="24"/>
        </w:rPr>
        <w:t xml:space="preserve"> </w:t>
      </w:r>
    </w:p>
    <w:p w:rsidR="00F1737C" w:rsidRPr="00FD24D3" w:rsidRDefault="00F1737C" w:rsidP="00FD24D3">
      <w:pPr>
        <w:pBdr>
          <w:bottom w:val="single" w:sz="12" w:space="1" w:color="auto"/>
        </w:pBdr>
        <w:tabs>
          <w:tab w:val="left" w:pos="288"/>
          <w:tab w:val="left" w:pos="4752"/>
        </w:tabs>
        <w:jc w:val="both"/>
        <w:rPr>
          <w:color w:val="000000" w:themeColor="text1"/>
          <w:szCs w:val="24"/>
        </w:rPr>
      </w:pPr>
    </w:p>
    <w:p w:rsidR="00F1737C" w:rsidRPr="00FD24D3" w:rsidRDefault="00F1737C" w:rsidP="00FD24D3">
      <w:pPr>
        <w:jc w:val="both"/>
        <w:rPr>
          <w:color w:val="000000" w:themeColor="text1"/>
          <w:szCs w:val="24"/>
        </w:rPr>
      </w:pPr>
    </w:p>
    <w:p w:rsidR="006B4AA2" w:rsidRPr="00FD24D3" w:rsidRDefault="00C56FC8" w:rsidP="00FD24D3">
      <w:pPr>
        <w:jc w:val="both"/>
        <w:rPr>
          <w:color w:val="000000" w:themeColor="text1"/>
          <w:szCs w:val="24"/>
        </w:rPr>
      </w:pPr>
      <w:r w:rsidRPr="00FD24D3">
        <w:rPr>
          <w:color w:val="000000" w:themeColor="text1"/>
          <w:szCs w:val="24"/>
          <w:u w:val="single"/>
        </w:rPr>
        <w:t>RECOMMENDATION</w:t>
      </w:r>
      <w:r w:rsidRPr="00FD24D3">
        <w:rPr>
          <w:color w:val="000000" w:themeColor="text1"/>
          <w:szCs w:val="24"/>
        </w:rPr>
        <w:t>:</w:t>
      </w:r>
      <w:r w:rsidR="00E53460" w:rsidRPr="00FD24D3">
        <w:rPr>
          <w:color w:val="000000" w:themeColor="text1"/>
          <w:szCs w:val="24"/>
        </w:rPr>
        <w:t xml:space="preserve"> </w:t>
      </w:r>
      <w:r w:rsidR="002E1F99">
        <w:rPr>
          <w:color w:val="000000" w:themeColor="text1"/>
          <w:szCs w:val="24"/>
        </w:rPr>
        <w:t xml:space="preserve"> </w:t>
      </w:r>
      <w:r w:rsidRPr="00FD24D3">
        <w:rPr>
          <w:color w:val="000000" w:themeColor="text1"/>
          <w:szCs w:val="24"/>
        </w:rPr>
        <w:t>The Board</w:t>
      </w:r>
      <w:r w:rsidR="006A543A" w:rsidRPr="00FD24D3">
        <w:rPr>
          <w:color w:val="000000" w:themeColor="text1"/>
          <w:szCs w:val="24"/>
        </w:rPr>
        <w:t>,</w:t>
      </w:r>
      <w:r w:rsidRPr="00FD24D3">
        <w:rPr>
          <w:color w:val="000000" w:themeColor="text1"/>
          <w:szCs w:val="24"/>
        </w:rPr>
        <w:t xml:space="preserve"> therefore</w:t>
      </w:r>
      <w:r w:rsidR="006A543A" w:rsidRPr="00FD24D3">
        <w:rPr>
          <w:color w:val="000000" w:themeColor="text1"/>
          <w:szCs w:val="24"/>
        </w:rPr>
        <w:t>,</w:t>
      </w:r>
      <w:r w:rsidRPr="00FD24D3">
        <w:rPr>
          <w:color w:val="000000" w:themeColor="text1"/>
          <w:szCs w:val="24"/>
        </w:rPr>
        <w:t xml:space="preserve"> recommends that there be no </w:t>
      </w:r>
      <w:proofErr w:type="spellStart"/>
      <w:r w:rsidRPr="00FD24D3">
        <w:rPr>
          <w:color w:val="000000" w:themeColor="text1"/>
          <w:szCs w:val="24"/>
        </w:rPr>
        <w:t>recharacterization</w:t>
      </w:r>
      <w:proofErr w:type="spellEnd"/>
      <w:r w:rsidRPr="00FD24D3">
        <w:rPr>
          <w:color w:val="000000" w:themeColor="text1"/>
          <w:szCs w:val="24"/>
        </w:rPr>
        <w:t xml:space="preserve"> of the CI’s disability and separation determination</w:t>
      </w:r>
      <w:r w:rsidR="008C3FD0" w:rsidRPr="00FD24D3">
        <w:rPr>
          <w:color w:val="000000" w:themeColor="text1"/>
          <w:szCs w:val="24"/>
        </w:rPr>
        <w:t>,</w:t>
      </w:r>
      <w:r w:rsidR="00BD2A49" w:rsidRPr="00FD24D3">
        <w:rPr>
          <w:color w:val="000000" w:themeColor="text1"/>
          <w:szCs w:val="24"/>
        </w:rPr>
        <w:t xml:space="preserve"> as follows:</w:t>
      </w:r>
      <w:r w:rsidR="003604A5" w:rsidRPr="00FD24D3">
        <w:rPr>
          <w:color w:val="000000" w:themeColor="text1"/>
          <w:szCs w:val="24"/>
        </w:rPr>
        <w:t xml:space="preserve"> </w:t>
      </w:r>
    </w:p>
    <w:p w:rsidR="00BA6A9C" w:rsidRPr="001F29F9" w:rsidRDefault="00BA6A9C" w:rsidP="00BF0E94">
      <w:pPr>
        <w:tabs>
          <w:tab w:val="left" w:pos="288"/>
          <w:tab w:val="left" w:pos="4752"/>
        </w:tabs>
        <w:jc w:val="both"/>
        <w:rPr>
          <w:color w:val="000000" w:themeColor="text1"/>
        </w:rPr>
      </w:pPr>
    </w:p>
    <w:tbl>
      <w:tblPr>
        <w:tblpPr w:leftFromText="187" w:rightFromText="187" w:vertAnchor="text" w:tblpXSpec="center" w:tblpY="1"/>
        <w:tblOverlap w:val="neve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282"/>
        <w:gridCol w:w="1710"/>
        <w:gridCol w:w="1170"/>
      </w:tblGrid>
      <w:tr w:rsidR="00A95BBA" w:rsidRPr="001F29F9" w:rsidTr="0080588E">
        <w:trPr>
          <w:trHeight w:val="233"/>
          <w:jc w:val="center"/>
        </w:trPr>
        <w:tc>
          <w:tcPr>
            <w:tcW w:w="6282"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UNFITTING CONDITION</w:t>
            </w:r>
          </w:p>
        </w:tc>
        <w:tc>
          <w:tcPr>
            <w:tcW w:w="171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VASRD CODE</w:t>
            </w:r>
          </w:p>
        </w:tc>
        <w:tc>
          <w:tcPr>
            <w:tcW w:w="1170" w:type="dxa"/>
            <w:shd w:val="clear" w:color="auto" w:fill="D9D9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RATING</w:t>
            </w:r>
          </w:p>
        </w:tc>
      </w:tr>
      <w:tr w:rsidR="00A95BBA" w:rsidRPr="001F29F9" w:rsidTr="0080588E">
        <w:trPr>
          <w:jc w:val="center"/>
        </w:trPr>
        <w:tc>
          <w:tcPr>
            <w:tcW w:w="6282" w:type="dxa"/>
            <w:vAlign w:val="center"/>
          </w:tcPr>
          <w:p w:rsidR="00A95BBA" w:rsidRPr="001F29F9" w:rsidRDefault="00B74A7B" w:rsidP="00B74A7B">
            <w:pPr>
              <w:tabs>
                <w:tab w:val="left" w:pos="288"/>
                <w:tab w:val="left" w:pos="4752"/>
              </w:tabs>
              <w:jc w:val="left"/>
              <w:rPr>
                <w:color w:val="000000" w:themeColor="text1"/>
                <w:szCs w:val="24"/>
              </w:rPr>
            </w:pPr>
            <w:r w:rsidRPr="00B74A7B">
              <w:rPr>
                <w:color w:val="000000" w:themeColor="text1"/>
                <w:szCs w:val="24"/>
              </w:rPr>
              <w:t xml:space="preserve">Left </w:t>
            </w:r>
            <w:proofErr w:type="spellStart"/>
            <w:r w:rsidRPr="00B74A7B">
              <w:rPr>
                <w:color w:val="000000" w:themeColor="text1"/>
                <w:szCs w:val="24"/>
              </w:rPr>
              <w:t>Patellofemoral</w:t>
            </w:r>
            <w:proofErr w:type="spellEnd"/>
            <w:r w:rsidRPr="00B74A7B">
              <w:rPr>
                <w:color w:val="000000" w:themeColor="text1"/>
                <w:szCs w:val="24"/>
              </w:rPr>
              <w:t xml:space="preserve"> Arthritis</w:t>
            </w:r>
            <w:r w:rsidRPr="00B74A7B">
              <w:rPr>
                <w:color w:val="000000" w:themeColor="text1"/>
                <w:szCs w:val="24"/>
              </w:rPr>
              <w:tab/>
            </w:r>
          </w:p>
        </w:tc>
        <w:tc>
          <w:tcPr>
            <w:tcW w:w="1710" w:type="dxa"/>
            <w:vAlign w:val="center"/>
          </w:tcPr>
          <w:p w:rsidR="00A95BBA" w:rsidRPr="001F29F9" w:rsidRDefault="00B74A7B" w:rsidP="00BF0E94">
            <w:pPr>
              <w:tabs>
                <w:tab w:val="left" w:pos="288"/>
                <w:tab w:val="left" w:pos="4752"/>
              </w:tabs>
              <w:rPr>
                <w:color w:val="000000" w:themeColor="text1"/>
                <w:szCs w:val="24"/>
              </w:rPr>
            </w:pPr>
            <w:r w:rsidRPr="00B74A7B">
              <w:rPr>
                <w:color w:val="000000" w:themeColor="text1"/>
                <w:szCs w:val="24"/>
              </w:rPr>
              <w:t>5099-5003</w:t>
            </w:r>
          </w:p>
        </w:tc>
        <w:tc>
          <w:tcPr>
            <w:tcW w:w="1170" w:type="dxa"/>
            <w:vAlign w:val="center"/>
          </w:tcPr>
          <w:p w:rsidR="00A95BBA" w:rsidRPr="00B74A7B" w:rsidRDefault="00B74A7B" w:rsidP="00BF0E94">
            <w:pPr>
              <w:tabs>
                <w:tab w:val="left" w:pos="288"/>
                <w:tab w:val="left" w:pos="4752"/>
              </w:tabs>
              <w:rPr>
                <w:color w:val="000000" w:themeColor="text1"/>
                <w:szCs w:val="24"/>
              </w:rPr>
            </w:pPr>
            <w:r w:rsidRPr="00B74A7B">
              <w:rPr>
                <w:color w:val="000000" w:themeColor="text1"/>
                <w:szCs w:val="24"/>
              </w:rPr>
              <w:t>1</w:t>
            </w:r>
            <w:r w:rsidR="00A95BBA" w:rsidRPr="00B74A7B">
              <w:rPr>
                <w:color w:val="000000" w:themeColor="text1"/>
                <w:szCs w:val="24"/>
              </w:rPr>
              <w:t>0%</w:t>
            </w:r>
          </w:p>
        </w:tc>
      </w:tr>
      <w:tr w:rsidR="00A95BBA" w:rsidRPr="001F29F9" w:rsidTr="0080588E">
        <w:tblPrEx>
          <w:tblLook w:val="0000"/>
        </w:tblPrEx>
        <w:trPr>
          <w:gridBefore w:val="1"/>
          <w:wBefore w:w="6282" w:type="dxa"/>
          <w:trHeight w:val="152"/>
          <w:jc w:val="center"/>
        </w:trPr>
        <w:tc>
          <w:tcPr>
            <w:tcW w:w="1710" w:type="dxa"/>
            <w:tcBorders>
              <w:left w:val="single" w:sz="4" w:space="0" w:color="auto"/>
              <w:bottom w:val="single" w:sz="4" w:space="0" w:color="000000"/>
            </w:tcBorders>
            <w:shd w:val="clear" w:color="auto" w:fill="D9D9D9" w:themeFill="background1" w:themeFillShade="D9"/>
            <w:vAlign w:val="center"/>
          </w:tcPr>
          <w:p w:rsidR="00A95BBA" w:rsidRPr="001F29F9" w:rsidRDefault="00A95BBA" w:rsidP="00BF0E94">
            <w:pPr>
              <w:tabs>
                <w:tab w:val="left" w:pos="288"/>
                <w:tab w:val="left" w:pos="4752"/>
              </w:tabs>
              <w:rPr>
                <w:b/>
                <w:color w:val="000000" w:themeColor="text1"/>
                <w:szCs w:val="24"/>
              </w:rPr>
            </w:pPr>
            <w:r w:rsidRPr="001F29F9">
              <w:rPr>
                <w:b/>
                <w:color w:val="000000" w:themeColor="text1"/>
                <w:szCs w:val="24"/>
              </w:rPr>
              <w:t>COMBINED</w:t>
            </w:r>
          </w:p>
        </w:tc>
        <w:tc>
          <w:tcPr>
            <w:tcW w:w="1170" w:type="dxa"/>
            <w:tcBorders>
              <w:bottom w:val="single" w:sz="4" w:space="0" w:color="000000"/>
            </w:tcBorders>
            <w:shd w:val="clear" w:color="auto" w:fill="D9D9D9" w:themeFill="background1" w:themeFillShade="D9"/>
            <w:vAlign w:val="center"/>
          </w:tcPr>
          <w:p w:rsidR="00A95BBA" w:rsidRPr="00B74A7B" w:rsidRDefault="00B74A7B" w:rsidP="00BF0E94">
            <w:pPr>
              <w:tabs>
                <w:tab w:val="left" w:pos="288"/>
                <w:tab w:val="left" w:pos="4752"/>
              </w:tabs>
              <w:rPr>
                <w:b/>
                <w:color w:val="000000" w:themeColor="text1"/>
                <w:szCs w:val="24"/>
              </w:rPr>
            </w:pPr>
            <w:r w:rsidRPr="00B74A7B">
              <w:rPr>
                <w:b/>
                <w:color w:val="000000" w:themeColor="text1"/>
                <w:szCs w:val="24"/>
              </w:rPr>
              <w:t>1</w:t>
            </w:r>
            <w:r w:rsidR="00A95BBA" w:rsidRPr="00B74A7B">
              <w:rPr>
                <w:b/>
                <w:color w:val="000000" w:themeColor="text1"/>
                <w:szCs w:val="24"/>
              </w:rPr>
              <w:t>0%</w:t>
            </w:r>
          </w:p>
        </w:tc>
      </w:tr>
    </w:tbl>
    <w:p w:rsidR="005B1D09" w:rsidRPr="001F29F9" w:rsidRDefault="005B1D09" w:rsidP="00FD24D3">
      <w:pPr>
        <w:pBdr>
          <w:bottom w:val="single" w:sz="12" w:space="1" w:color="auto"/>
        </w:pBdr>
        <w:tabs>
          <w:tab w:val="left" w:pos="288"/>
          <w:tab w:val="left" w:pos="4752"/>
        </w:tabs>
        <w:jc w:val="both"/>
        <w:rPr>
          <w:color w:val="000000" w:themeColor="text1"/>
        </w:rPr>
      </w:pPr>
    </w:p>
    <w:p w:rsidR="005B1D09" w:rsidRPr="001F29F9" w:rsidRDefault="005B1D09" w:rsidP="00FD24D3">
      <w:pPr>
        <w:jc w:val="both"/>
        <w:rPr>
          <w:color w:val="000000" w:themeColor="text1"/>
          <w:szCs w:val="24"/>
        </w:rPr>
      </w:pPr>
    </w:p>
    <w:p w:rsidR="00D91DA6" w:rsidRPr="001F29F9" w:rsidRDefault="00FB1725" w:rsidP="00FD24D3">
      <w:pPr>
        <w:tabs>
          <w:tab w:val="left" w:pos="288"/>
          <w:tab w:val="left" w:pos="4752"/>
        </w:tabs>
        <w:jc w:val="both"/>
        <w:rPr>
          <w:color w:val="000000" w:themeColor="text1"/>
        </w:rPr>
      </w:pPr>
      <w:r w:rsidRPr="001F29F9">
        <w:rPr>
          <w:color w:val="000000" w:themeColor="text1"/>
        </w:rPr>
        <w:t>The following documentary evidence was considered:</w:t>
      </w:r>
    </w:p>
    <w:p w:rsidR="00EB5EFD" w:rsidRPr="001F29F9" w:rsidRDefault="00EB5EFD" w:rsidP="00FD24D3">
      <w:pPr>
        <w:tabs>
          <w:tab w:val="left" w:pos="288"/>
          <w:tab w:val="left" w:pos="4752"/>
        </w:tabs>
        <w:jc w:val="both"/>
        <w:rPr>
          <w:color w:val="000000" w:themeColor="text1"/>
        </w:rPr>
      </w:pPr>
    </w:p>
    <w:p w:rsidR="00114F20" w:rsidRPr="001F29F9" w:rsidRDefault="00FB1725" w:rsidP="00FD24D3">
      <w:pPr>
        <w:tabs>
          <w:tab w:val="left" w:pos="288"/>
          <w:tab w:val="left" w:pos="4752"/>
        </w:tabs>
        <w:jc w:val="both"/>
        <w:rPr>
          <w:color w:val="000000" w:themeColor="text1"/>
        </w:rPr>
      </w:pPr>
      <w:r w:rsidRPr="001F29F9">
        <w:rPr>
          <w:color w:val="000000" w:themeColor="text1"/>
        </w:rPr>
        <w:t xml:space="preserve">Exhibit A.  DD Form 294, </w:t>
      </w:r>
      <w:r w:rsidRPr="001F29F9">
        <w:rPr>
          <w:color w:val="000000" w:themeColor="text1"/>
          <w:szCs w:val="24"/>
        </w:rPr>
        <w:t xml:space="preserve">dated </w:t>
      </w:r>
      <w:r w:rsidR="00D040AF">
        <w:rPr>
          <w:color w:val="000000" w:themeColor="text1"/>
          <w:szCs w:val="24"/>
        </w:rPr>
        <w:t>20091222</w:t>
      </w:r>
      <w:r w:rsidR="00797453">
        <w:rPr>
          <w:color w:val="000000" w:themeColor="text1"/>
        </w:rPr>
        <w:t>, w/atchs</w:t>
      </w:r>
    </w:p>
    <w:p w:rsidR="00114F20" w:rsidRPr="001F29F9" w:rsidRDefault="00FB1725" w:rsidP="00FD24D3">
      <w:pPr>
        <w:tabs>
          <w:tab w:val="left" w:pos="288"/>
          <w:tab w:val="left" w:pos="4752"/>
        </w:tabs>
        <w:jc w:val="both"/>
        <w:rPr>
          <w:color w:val="000000" w:themeColor="text1"/>
        </w:rPr>
      </w:pPr>
      <w:r w:rsidRPr="001F29F9">
        <w:rPr>
          <w:color w:val="000000" w:themeColor="text1"/>
        </w:rPr>
        <w:t>Exhib</w:t>
      </w:r>
      <w:r w:rsidR="00797453">
        <w:rPr>
          <w:color w:val="000000" w:themeColor="text1"/>
        </w:rPr>
        <w:t>it B.  Service Treatment Record</w:t>
      </w:r>
    </w:p>
    <w:p w:rsidR="00114F20" w:rsidRPr="001F29F9" w:rsidRDefault="00FB1725" w:rsidP="00FD24D3">
      <w:pPr>
        <w:tabs>
          <w:tab w:val="left" w:pos="288"/>
          <w:tab w:val="left" w:pos="4752"/>
        </w:tabs>
        <w:jc w:val="both"/>
        <w:rPr>
          <w:color w:val="000000" w:themeColor="text1"/>
        </w:rPr>
      </w:pPr>
      <w:r w:rsidRPr="001F29F9">
        <w:rPr>
          <w:color w:val="000000" w:themeColor="text1"/>
        </w:rPr>
        <w:t>Exhibit C.  Department of Ve</w:t>
      </w:r>
      <w:r w:rsidR="00797453">
        <w:rPr>
          <w:color w:val="000000" w:themeColor="text1"/>
        </w:rPr>
        <w:t>terans’ Affairs Treatment Record</w:t>
      </w:r>
    </w:p>
    <w:p w:rsidR="00D91DA6" w:rsidRPr="001F29F9" w:rsidRDefault="00D91DA6" w:rsidP="00FD24D3">
      <w:pPr>
        <w:tabs>
          <w:tab w:val="left" w:pos="288"/>
          <w:tab w:val="left" w:pos="4752"/>
        </w:tabs>
        <w:jc w:val="both"/>
        <w:rPr>
          <w:color w:val="000000" w:themeColor="text1"/>
        </w:rPr>
      </w:pPr>
    </w:p>
    <w:p w:rsidR="00114F20" w:rsidRPr="001F29F9" w:rsidRDefault="00114F20" w:rsidP="00FD24D3">
      <w:pPr>
        <w:tabs>
          <w:tab w:val="left" w:pos="288"/>
          <w:tab w:val="left" w:pos="4752"/>
        </w:tabs>
        <w:jc w:val="both"/>
        <w:rPr>
          <w:color w:val="000000" w:themeColor="text1"/>
        </w:rPr>
      </w:pPr>
    </w:p>
    <w:p w:rsidR="00114F20" w:rsidRPr="001F29F9" w:rsidRDefault="00114F20" w:rsidP="00FD24D3">
      <w:pPr>
        <w:tabs>
          <w:tab w:val="left" w:pos="288"/>
          <w:tab w:val="left" w:pos="4752"/>
        </w:tabs>
        <w:jc w:val="both"/>
        <w:rPr>
          <w:color w:val="000000" w:themeColor="text1"/>
        </w:rPr>
      </w:pPr>
    </w:p>
    <w:p w:rsidR="00114F20" w:rsidRPr="001F29F9" w:rsidRDefault="00114F20" w:rsidP="00FD24D3">
      <w:pPr>
        <w:tabs>
          <w:tab w:val="left" w:pos="288"/>
          <w:tab w:val="left" w:pos="4752"/>
        </w:tabs>
        <w:jc w:val="both"/>
        <w:rPr>
          <w:color w:val="000000" w:themeColor="text1"/>
        </w:rPr>
      </w:pPr>
    </w:p>
    <w:p w:rsidR="00E3077F" w:rsidRPr="001F29F9" w:rsidRDefault="00220FA9" w:rsidP="00FD24D3">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p>
    <w:p w:rsidR="002F195B" w:rsidRPr="001F29F9" w:rsidRDefault="00220FA9" w:rsidP="00FD24D3">
      <w:pPr>
        <w:tabs>
          <w:tab w:val="left" w:pos="0"/>
          <w:tab w:val="left" w:pos="4320"/>
        </w:tabs>
        <w:jc w:val="both"/>
        <w:rPr>
          <w:color w:val="000000" w:themeColor="text1"/>
          <w:szCs w:val="24"/>
        </w:rPr>
      </w:pPr>
      <w:r w:rsidRPr="001F29F9">
        <w:rPr>
          <w:color w:val="000000" w:themeColor="text1"/>
          <w:szCs w:val="24"/>
        </w:rPr>
        <w:tab/>
      </w:r>
      <w:r w:rsidR="008E3C90" w:rsidRPr="001F29F9">
        <w:rPr>
          <w:color w:val="000000" w:themeColor="text1"/>
          <w:szCs w:val="24"/>
        </w:rPr>
        <w:t xml:space="preserve">           </w:t>
      </w:r>
      <w:r w:rsidR="005F73CA" w:rsidRPr="001F29F9">
        <w:rPr>
          <w:color w:val="000000" w:themeColor="text1"/>
          <w:szCs w:val="24"/>
        </w:rPr>
        <w:t>President</w:t>
      </w:r>
    </w:p>
    <w:p w:rsidR="002049C3" w:rsidRDefault="002F195B" w:rsidP="00FD24D3">
      <w:pPr>
        <w:tabs>
          <w:tab w:val="left" w:pos="0"/>
          <w:tab w:val="left" w:pos="4320"/>
        </w:tabs>
        <w:jc w:val="both"/>
        <w:rPr>
          <w:color w:val="000000" w:themeColor="text1"/>
          <w:szCs w:val="24"/>
        </w:rPr>
      </w:pPr>
      <w:r w:rsidRPr="001F29F9">
        <w:rPr>
          <w:color w:val="000000" w:themeColor="text1"/>
          <w:szCs w:val="24"/>
        </w:rPr>
        <w:tab/>
        <w:t xml:space="preserve">           </w:t>
      </w:r>
      <w:r w:rsidR="00220FA9" w:rsidRPr="001F29F9">
        <w:rPr>
          <w:color w:val="000000" w:themeColor="text1"/>
          <w:szCs w:val="24"/>
        </w:rPr>
        <w:t>P</w:t>
      </w:r>
      <w:r w:rsidR="00E3077F" w:rsidRPr="001F29F9">
        <w:rPr>
          <w:color w:val="000000" w:themeColor="text1"/>
          <w:szCs w:val="24"/>
        </w:rPr>
        <w:t>hysical Disability Board of Review</w:t>
      </w:r>
    </w:p>
    <w:p w:rsidR="002049C3" w:rsidRDefault="002049C3">
      <w:pPr>
        <w:rPr>
          <w:color w:val="000000" w:themeColor="text1"/>
          <w:szCs w:val="24"/>
        </w:rPr>
      </w:pPr>
      <w:r>
        <w:rPr>
          <w:color w:val="000000" w:themeColor="text1"/>
          <w:szCs w:val="24"/>
        </w:rPr>
        <w:br w:type="page"/>
      </w:r>
    </w:p>
    <w:p w:rsidR="002049C3" w:rsidRPr="002049C3" w:rsidRDefault="002049C3" w:rsidP="002049C3">
      <w:pPr>
        <w:spacing w:line="240" w:lineRule="auto"/>
        <w:jc w:val="both"/>
        <w:rPr>
          <w:rFonts w:ascii="Courier New" w:hAnsi="Courier New" w:cs="Courier New"/>
          <w:color w:val="auto"/>
          <w:sz w:val="22"/>
          <w:szCs w:val="22"/>
        </w:rPr>
      </w:pPr>
      <w:r w:rsidRPr="002049C3">
        <w:rPr>
          <w:rFonts w:ascii="Courier New" w:hAnsi="Courier New" w:cs="Courier New"/>
          <w:color w:val="auto"/>
          <w:sz w:val="22"/>
          <w:szCs w:val="22"/>
        </w:rPr>
        <w:lastRenderedPageBreak/>
        <w:t xml:space="preserve">MEMORANDUM FOR DIRECTOR, SECRETARY OF THE NAVY COUNCIL OF REVIEW    </w:t>
      </w:r>
    </w:p>
    <w:p w:rsidR="002049C3" w:rsidRPr="002049C3" w:rsidRDefault="002049C3" w:rsidP="002049C3">
      <w:pPr>
        <w:spacing w:line="240" w:lineRule="auto"/>
        <w:jc w:val="both"/>
        <w:rPr>
          <w:rFonts w:ascii="Courier New" w:hAnsi="Courier New" w:cs="Courier New"/>
          <w:color w:val="auto"/>
          <w:sz w:val="22"/>
          <w:szCs w:val="22"/>
        </w:rPr>
      </w:pPr>
      <w:r w:rsidRPr="002049C3">
        <w:rPr>
          <w:rFonts w:ascii="Courier New" w:hAnsi="Courier New" w:cs="Courier New"/>
          <w:color w:val="auto"/>
          <w:sz w:val="22"/>
          <w:szCs w:val="22"/>
        </w:rPr>
        <w:t xml:space="preserve">               BOARDS </w:t>
      </w:r>
    </w:p>
    <w:p w:rsidR="002049C3" w:rsidRPr="002049C3" w:rsidRDefault="002049C3" w:rsidP="002049C3">
      <w:pPr>
        <w:spacing w:line="240" w:lineRule="auto"/>
        <w:jc w:val="both"/>
        <w:rPr>
          <w:rFonts w:ascii="Courier New" w:hAnsi="Courier New" w:cs="Courier New"/>
          <w:color w:val="auto"/>
          <w:sz w:val="22"/>
          <w:szCs w:val="22"/>
        </w:rPr>
      </w:pPr>
    </w:p>
    <w:p w:rsidR="002049C3" w:rsidRPr="002049C3" w:rsidRDefault="002049C3" w:rsidP="002049C3">
      <w:pPr>
        <w:spacing w:line="240" w:lineRule="auto"/>
        <w:jc w:val="both"/>
        <w:rPr>
          <w:rFonts w:ascii="Courier New" w:hAnsi="Courier New" w:cs="Courier New"/>
          <w:color w:val="auto"/>
          <w:sz w:val="22"/>
          <w:szCs w:val="22"/>
        </w:rPr>
      </w:pPr>
      <w:proofErr w:type="spellStart"/>
      <w:r w:rsidRPr="002049C3">
        <w:rPr>
          <w:rFonts w:ascii="Courier New" w:hAnsi="Courier New" w:cs="Courier New"/>
          <w:color w:val="auto"/>
          <w:sz w:val="22"/>
          <w:szCs w:val="22"/>
        </w:rPr>
        <w:t>Subj</w:t>
      </w:r>
      <w:proofErr w:type="spellEnd"/>
      <w:r w:rsidRPr="002049C3">
        <w:rPr>
          <w:rFonts w:ascii="Courier New" w:hAnsi="Courier New" w:cs="Courier New"/>
          <w:color w:val="auto"/>
          <w:sz w:val="22"/>
          <w:szCs w:val="22"/>
        </w:rPr>
        <w:t>:  PHYSICAL DISABILITY BOARD OF REVIEW (PDBR) RECOMMENDATIONS</w:t>
      </w:r>
    </w:p>
    <w:p w:rsidR="002049C3" w:rsidRPr="002049C3" w:rsidRDefault="002049C3" w:rsidP="002049C3">
      <w:pPr>
        <w:spacing w:line="240" w:lineRule="auto"/>
        <w:jc w:val="both"/>
        <w:rPr>
          <w:rFonts w:ascii="Courier New" w:hAnsi="Courier New" w:cs="Courier New"/>
          <w:color w:val="auto"/>
          <w:sz w:val="22"/>
          <w:szCs w:val="22"/>
        </w:rPr>
      </w:pPr>
    </w:p>
    <w:p w:rsidR="002049C3" w:rsidRPr="002049C3" w:rsidRDefault="002049C3" w:rsidP="002049C3">
      <w:pPr>
        <w:spacing w:line="240" w:lineRule="auto"/>
        <w:jc w:val="both"/>
        <w:rPr>
          <w:rFonts w:ascii="Courier New" w:hAnsi="Courier New" w:cs="Courier New"/>
          <w:color w:val="auto"/>
          <w:sz w:val="22"/>
          <w:szCs w:val="22"/>
        </w:rPr>
      </w:pPr>
      <w:r w:rsidRPr="002049C3">
        <w:rPr>
          <w:rFonts w:ascii="Courier New" w:hAnsi="Courier New" w:cs="Courier New"/>
          <w:color w:val="auto"/>
          <w:sz w:val="22"/>
          <w:szCs w:val="22"/>
        </w:rPr>
        <w:t xml:space="preserve">Ref:  (a) </w:t>
      </w:r>
      <w:proofErr w:type="spellStart"/>
      <w:r w:rsidRPr="002049C3">
        <w:rPr>
          <w:rFonts w:ascii="Courier New" w:hAnsi="Courier New" w:cs="Courier New"/>
          <w:color w:val="auto"/>
          <w:sz w:val="22"/>
          <w:szCs w:val="22"/>
        </w:rPr>
        <w:t>DoDI</w:t>
      </w:r>
      <w:proofErr w:type="spellEnd"/>
      <w:r w:rsidRPr="002049C3">
        <w:rPr>
          <w:rFonts w:ascii="Courier New" w:hAnsi="Courier New" w:cs="Courier New"/>
          <w:color w:val="auto"/>
          <w:sz w:val="22"/>
          <w:szCs w:val="22"/>
        </w:rPr>
        <w:t xml:space="preserve"> 6040.44</w:t>
      </w:r>
    </w:p>
    <w:p w:rsidR="002049C3" w:rsidRPr="002049C3" w:rsidRDefault="002049C3" w:rsidP="002049C3">
      <w:pPr>
        <w:spacing w:line="240" w:lineRule="auto"/>
        <w:ind w:left="-540"/>
        <w:jc w:val="both"/>
        <w:rPr>
          <w:rFonts w:ascii="Courier New" w:hAnsi="Courier New" w:cs="Courier New"/>
          <w:color w:val="auto"/>
          <w:sz w:val="22"/>
          <w:szCs w:val="22"/>
        </w:rPr>
      </w:pPr>
      <w:r w:rsidRPr="002049C3">
        <w:rPr>
          <w:rFonts w:ascii="Courier New" w:hAnsi="Courier New" w:cs="Courier New"/>
          <w:color w:val="auto"/>
          <w:sz w:val="22"/>
          <w:szCs w:val="22"/>
        </w:rPr>
        <w:t xml:space="preserve">          (b) CORB </w:t>
      </w:r>
      <w:proofErr w:type="spellStart"/>
      <w:r w:rsidRPr="002049C3">
        <w:rPr>
          <w:rFonts w:ascii="Courier New" w:hAnsi="Courier New" w:cs="Courier New"/>
          <w:color w:val="auto"/>
          <w:sz w:val="22"/>
          <w:szCs w:val="22"/>
        </w:rPr>
        <w:t>ltr</w:t>
      </w:r>
      <w:proofErr w:type="spellEnd"/>
      <w:r w:rsidRPr="002049C3">
        <w:rPr>
          <w:rFonts w:ascii="Courier New" w:hAnsi="Courier New" w:cs="Courier New"/>
          <w:color w:val="auto"/>
          <w:sz w:val="22"/>
          <w:szCs w:val="22"/>
        </w:rPr>
        <w:t xml:space="preserve"> </w:t>
      </w:r>
      <w:proofErr w:type="spellStart"/>
      <w:r w:rsidRPr="002049C3">
        <w:rPr>
          <w:rFonts w:ascii="Courier New" w:hAnsi="Courier New" w:cs="Courier New"/>
          <w:color w:val="auto"/>
          <w:sz w:val="22"/>
          <w:szCs w:val="22"/>
        </w:rPr>
        <w:t>dtd</w:t>
      </w:r>
      <w:proofErr w:type="spellEnd"/>
      <w:r w:rsidRPr="002049C3">
        <w:rPr>
          <w:rFonts w:ascii="Courier New" w:hAnsi="Courier New" w:cs="Courier New"/>
          <w:color w:val="auto"/>
          <w:sz w:val="22"/>
          <w:szCs w:val="22"/>
        </w:rPr>
        <w:t xml:space="preserve"> 16 May 12</w:t>
      </w:r>
    </w:p>
    <w:p w:rsidR="002049C3" w:rsidRPr="002049C3" w:rsidRDefault="002049C3" w:rsidP="002049C3">
      <w:pPr>
        <w:spacing w:line="240" w:lineRule="auto"/>
        <w:ind w:left="-540"/>
        <w:jc w:val="both"/>
        <w:rPr>
          <w:rFonts w:ascii="Courier New" w:hAnsi="Courier New" w:cs="Courier New"/>
          <w:color w:val="auto"/>
          <w:sz w:val="22"/>
          <w:szCs w:val="22"/>
        </w:rPr>
      </w:pPr>
    </w:p>
    <w:p w:rsidR="002049C3" w:rsidRPr="002049C3" w:rsidRDefault="002049C3" w:rsidP="002049C3">
      <w:pPr>
        <w:spacing w:line="240" w:lineRule="auto"/>
        <w:jc w:val="left"/>
        <w:rPr>
          <w:rFonts w:ascii="Courier New" w:hAnsi="Courier New" w:cs="Courier New"/>
          <w:color w:val="auto"/>
          <w:sz w:val="22"/>
          <w:szCs w:val="22"/>
        </w:rPr>
      </w:pPr>
      <w:r w:rsidRPr="002049C3">
        <w:rPr>
          <w:rFonts w:ascii="Courier New" w:hAnsi="Courier New" w:cs="Courier New"/>
          <w:color w:val="auto"/>
          <w:sz w:val="22"/>
          <w:szCs w:val="22"/>
        </w:rPr>
        <w:t xml:space="preserve">    In accordance with reference (a), I have reviewed the cases forwarded by reference (b), and, for the reasons provided in their forwarding memorandum, approve the recommendations of the PDBR the following individuals’ records not be corrected to reflect a change in either characterization of separation or in the disability rating previously assigned by the Department of the Navy’s Physical Evaluation Board:</w:t>
      </w:r>
    </w:p>
    <w:p w:rsidR="002049C3" w:rsidRPr="002049C3" w:rsidRDefault="002049C3" w:rsidP="002049C3">
      <w:pPr>
        <w:spacing w:line="240" w:lineRule="auto"/>
        <w:ind w:left="720"/>
        <w:jc w:val="left"/>
        <w:rPr>
          <w:rFonts w:ascii="Courier New" w:hAnsi="Courier New" w:cs="Courier New"/>
          <w:color w:val="auto"/>
          <w:sz w:val="22"/>
          <w:szCs w:val="22"/>
        </w:rPr>
      </w:pPr>
    </w:p>
    <w:p w:rsidR="002049C3" w:rsidRPr="002049C3" w:rsidRDefault="002049C3" w:rsidP="002049C3">
      <w:pPr>
        <w:spacing w:line="240" w:lineRule="auto"/>
        <w:jc w:val="left"/>
        <w:rPr>
          <w:rFonts w:ascii="Courier New" w:hAnsi="Courier New" w:cs="Courier New"/>
          <w:color w:val="auto"/>
          <w:sz w:val="22"/>
          <w:szCs w:val="22"/>
        </w:rPr>
      </w:pPr>
      <w:r w:rsidRPr="002049C3">
        <w:rPr>
          <w:rFonts w:ascii="Courier New" w:hAnsi="Courier New" w:cs="Courier New"/>
          <w:color w:val="auto"/>
          <w:sz w:val="22"/>
          <w:szCs w:val="22"/>
        </w:rPr>
        <w:t xml:space="preserve">    -  XXXXXXXXXXXX XXX XX 4593</w:t>
      </w:r>
    </w:p>
    <w:p w:rsidR="002049C3" w:rsidRPr="002049C3" w:rsidRDefault="002049C3" w:rsidP="002049C3">
      <w:pPr>
        <w:spacing w:line="240" w:lineRule="auto"/>
        <w:jc w:val="left"/>
        <w:rPr>
          <w:rFonts w:ascii="Courier New" w:hAnsi="Courier New" w:cs="Courier New"/>
          <w:color w:val="auto"/>
          <w:sz w:val="22"/>
          <w:szCs w:val="22"/>
        </w:rPr>
      </w:pPr>
      <w:r w:rsidRPr="002049C3">
        <w:rPr>
          <w:rFonts w:ascii="Courier New" w:hAnsi="Courier New" w:cs="Courier New"/>
          <w:color w:val="auto"/>
          <w:sz w:val="22"/>
          <w:szCs w:val="22"/>
        </w:rPr>
        <w:t xml:space="preserve">    -  XXXXXXXXXXXX XXX XX 9519</w:t>
      </w:r>
    </w:p>
    <w:p w:rsidR="002049C3" w:rsidRPr="002049C3" w:rsidRDefault="002049C3" w:rsidP="002049C3">
      <w:pPr>
        <w:spacing w:line="240" w:lineRule="auto"/>
        <w:jc w:val="left"/>
        <w:rPr>
          <w:rFonts w:ascii="Courier New" w:hAnsi="Courier New" w:cs="Courier New"/>
          <w:color w:val="auto"/>
          <w:sz w:val="22"/>
          <w:szCs w:val="22"/>
        </w:rPr>
      </w:pPr>
      <w:r w:rsidRPr="002049C3">
        <w:rPr>
          <w:rFonts w:ascii="Courier New" w:hAnsi="Courier New" w:cs="Courier New"/>
          <w:color w:val="auto"/>
          <w:sz w:val="22"/>
          <w:szCs w:val="22"/>
        </w:rPr>
        <w:t xml:space="preserve">    -  XXXXXXXXXXXX XXX-XX-2098</w:t>
      </w:r>
    </w:p>
    <w:p w:rsidR="002049C3" w:rsidRPr="002049C3" w:rsidRDefault="002049C3" w:rsidP="002049C3">
      <w:pPr>
        <w:spacing w:line="240" w:lineRule="auto"/>
        <w:jc w:val="left"/>
        <w:rPr>
          <w:rFonts w:ascii="Courier New" w:hAnsi="Courier New" w:cs="Courier New"/>
          <w:color w:val="auto"/>
          <w:sz w:val="22"/>
          <w:szCs w:val="22"/>
        </w:rPr>
      </w:pPr>
      <w:r w:rsidRPr="002049C3">
        <w:rPr>
          <w:rFonts w:ascii="Courier New" w:hAnsi="Courier New" w:cs="Courier New"/>
          <w:color w:val="auto"/>
          <w:sz w:val="22"/>
          <w:szCs w:val="22"/>
        </w:rPr>
        <w:t xml:space="preserve">    -  XXXXXXXXXXXX XXX XX 6408</w:t>
      </w:r>
    </w:p>
    <w:p w:rsidR="002049C3" w:rsidRPr="002049C3" w:rsidRDefault="002049C3" w:rsidP="002049C3">
      <w:pPr>
        <w:spacing w:line="240" w:lineRule="auto"/>
        <w:jc w:val="left"/>
        <w:rPr>
          <w:rFonts w:ascii="Courier New" w:hAnsi="Courier New" w:cs="Courier New"/>
          <w:color w:val="auto"/>
          <w:sz w:val="22"/>
          <w:szCs w:val="22"/>
        </w:rPr>
      </w:pPr>
      <w:r w:rsidRPr="002049C3">
        <w:rPr>
          <w:rFonts w:ascii="Courier New" w:hAnsi="Courier New" w:cs="Courier New"/>
          <w:color w:val="auto"/>
          <w:sz w:val="22"/>
          <w:szCs w:val="22"/>
        </w:rPr>
        <w:t xml:space="preserve">    -  XXXXXXXXXXXX XXX-XX-6333</w:t>
      </w:r>
    </w:p>
    <w:p w:rsidR="002049C3" w:rsidRPr="002049C3" w:rsidRDefault="002049C3" w:rsidP="002049C3">
      <w:pPr>
        <w:spacing w:line="240" w:lineRule="auto"/>
        <w:ind w:left="1080"/>
        <w:jc w:val="left"/>
        <w:rPr>
          <w:rFonts w:ascii="Courier New" w:hAnsi="Courier New" w:cs="Courier New"/>
          <w:color w:val="auto"/>
          <w:sz w:val="22"/>
          <w:szCs w:val="22"/>
        </w:rPr>
      </w:pPr>
    </w:p>
    <w:p w:rsidR="002049C3" w:rsidRPr="002049C3" w:rsidRDefault="002049C3" w:rsidP="002049C3">
      <w:pPr>
        <w:spacing w:line="240" w:lineRule="auto"/>
        <w:ind w:left="1080"/>
        <w:jc w:val="left"/>
        <w:rPr>
          <w:rFonts w:ascii="Courier New" w:hAnsi="Courier New" w:cs="Courier New"/>
          <w:color w:val="auto"/>
          <w:sz w:val="22"/>
          <w:szCs w:val="22"/>
        </w:rPr>
      </w:pPr>
    </w:p>
    <w:p w:rsidR="002049C3" w:rsidRPr="002049C3" w:rsidRDefault="002049C3" w:rsidP="002049C3">
      <w:pPr>
        <w:spacing w:line="240" w:lineRule="auto"/>
        <w:ind w:left="1080"/>
        <w:jc w:val="left"/>
        <w:rPr>
          <w:rFonts w:ascii="Courier New" w:hAnsi="Courier New" w:cs="Courier New"/>
          <w:color w:val="auto"/>
          <w:sz w:val="22"/>
          <w:szCs w:val="22"/>
        </w:rPr>
      </w:pPr>
    </w:p>
    <w:p w:rsidR="002049C3" w:rsidRPr="002049C3" w:rsidRDefault="002049C3" w:rsidP="002049C3">
      <w:pPr>
        <w:spacing w:line="240" w:lineRule="auto"/>
        <w:ind w:left="1080"/>
        <w:jc w:val="left"/>
        <w:rPr>
          <w:rFonts w:ascii="Courier New" w:hAnsi="Courier New" w:cs="Courier New"/>
          <w:color w:val="auto"/>
          <w:sz w:val="22"/>
          <w:szCs w:val="22"/>
        </w:rPr>
      </w:pPr>
    </w:p>
    <w:p w:rsidR="002049C3" w:rsidRPr="002049C3" w:rsidRDefault="002049C3" w:rsidP="002049C3">
      <w:pPr>
        <w:tabs>
          <w:tab w:val="left" w:pos="4680"/>
        </w:tabs>
        <w:spacing w:line="240" w:lineRule="auto"/>
        <w:jc w:val="both"/>
        <w:rPr>
          <w:rFonts w:ascii="Courier New" w:hAnsi="Courier New" w:cs="Courier New"/>
          <w:color w:val="auto"/>
          <w:sz w:val="22"/>
          <w:szCs w:val="22"/>
        </w:rPr>
      </w:pPr>
      <w:r w:rsidRPr="002049C3">
        <w:rPr>
          <w:rFonts w:ascii="Courier New" w:hAnsi="Courier New" w:cs="Courier New"/>
          <w:color w:val="auto"/>
          <w:sz w:val="22"/>
          <w:szCs w:val="22"/>
        </w:rPr>
        <w:tab/>
        <w:t xml:space="preserve"> </w:t>
      </w:r>
    </w:p>
    <w:p w:rsidR="002049C3" w:rsidRPr="002049C3" w:rsidRDefault="002049C3" w:rsidP="002049C3">
      <w:pPr>
        <w:tabs>
          <w:tab w:val="left" w:pos="4680"/>
        </w:tabs>
        <w:spacing w:line="240" w:lineRule="auto"/>
        <w:jc w:val="both"/>
        <w:rPr>
          <w:rFonts w:ascii="Courier New" w:hAnsi="Courier New" w:cs="Courier New"/>
          <w:color w:val="auto"/>
          <w:sz w:val="22"/>
          <w:szCs w:val="22"/>
        </w:rPr>
      </w:pPr>
      <w:r w:rsidRPr="002049C3">
        <w:rPr>
          <w:rFonts w:ascii="Courier New" w:hAnsi="Courier New" w:cs="Courier New"/>
          <w:color w:val="auto"/>
          <w:sz w:val="22"/>
          <w:szCs w:val="22"/>
        </w:rPr>
        <w:tab/>
        <w:t>Assistant General Counsel</w:t>
      </w:r>
    </w:p>
    <w:p w:rsidR="00E3077F" w:rsidRDefault="002049C3" w:rsidP="002049C3">
      <w:pPr>
        <w:tabs>
          <w:tab w:val="left" w:pos="0"/>
          <w:tab w:val="left" w:pos="4320"/>
        </w:tabs>
        <w:jc w:val="both"/>
        <w:rPr>
          <w:color w:val="000000" w:themeColor="text1"/>
          <w:szCs w:val="24"/>
        </w:rPr>
      </w:pPr>
      <w:r w:rsidRPr="002049C3">
        <w:rPr>
          <w:rFonts w:ascii="Courier New" w:hAnsi="Courier New" w:cs="Courier New"/>
          <w:color w:val="auto"/>
          <w:sz w:val="22"/>
          <w:szCs w:val="22"/>
        </w:rPr>
        <w:tab/>
        <w:t xml:space="preserve">  (Manpower &amp; Reserve Affairs</w:t>
      </w:r>
    </w:p>
    <w:p w:rsidR="00817662" w:rsidRDefault="00817662" w:rsidP="00FD24D3">
      <w:pPr>
        <w:tabs>
          <w:tab w:val="left" w:pos="0"/>
          <w:tab w:val="left" w:pos="4320"/>
        </w:tabs>
        <w:jc w:val="both"/>
        <w:rPr>
          <w:color w:val="000000" w:themeColor="text1"/>
          <w:szCs w:val="24"/>
        </w:rPr>
      </w:pPr>
    </w:p>
    <w:p w:rsidR="00622E0D" w:rsidRDefault="00622E0D" w:rsidP="00817662">
      <w:pPr>
        <w:tabs>
          <w:tab w:val="left" w:pos="0"/>
          <w:tab w:val="left" w:pos="4320"/>
        </w:tabs>
        <w:jc w:val="both"/>
        <w:rPr>
          <w:b/>
          <w:color w:val="000000" w:themeColor="text1"/>
          <w:szCs w:val="24"/>
        </w:rPr>
      </w:pPr>
    </w:p>
    <w:sectPr w:rsidR="00622E0D" w:rsidSect="00E70164">
      <w:headerReference w:type="default" r:id="rId8"/>
      <w:footerReference w:type="default" r:id="rId9"/>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517" w:rsidRDefault="006A0517">
      <w:r>
        <w:separator/>
      </w:r>
    </w:p>
  </w:endnote>
  <w:endnote w:type="continuationSeparator" w:id="0">
    <w:p w:rsidR="006A0517" w:rsidRDefault="006A0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szCs w:val="24"/>
      </w:rPr>
      <w:id w:val="94093361"/>
      <w:docPartObj>
        <w:docPartGallery w:val="Page Numbers (Bottom of Page)"/>
        <w:docPartUnique/>
      </w:docPartObj>
    </w:sdtPr>
    <w:sdtContent>
      <w:p w:rsidR="003B580C" w:rsidRPr="00374247" w:rsidRDefault="003B580C" w:rsidP="00374247">
        <w:pPr>
          <w:pStyle w:val="Footer"/>
          <w:ind w:firstLine="4320"/>
          <w:rPr>
            <w:color w:val="auto"/>
            <w:szCs w:val="24"/>
          </w:rPr>
        </w:pPr>
        <w:r w:rsidRPr="00374247">
          <w:rPr>
            <w:color w:val="auto"/>
            <w:szCs w:val="24"/>
          </w:rPr>
          <w:t xml:space="preserve">   </w:t>
        </w:r>
        <w:r w:rsidR="00C3058F" w:rsidRPr="00374247">
          <w:rPr>
            <w:color w:val="auto"/>
            <w:szCs w:val="24"/>
          </w:rPr>
          <w:fldChar w:fldCharType="begin"/>
        </w:r>
        <w:r w:rsidRPr="00374247">
          <w:rPr>
            <w:color w:val="auto"/>
            <w:szCs w:val="24"/>
          </w:rPr>
          <w:instrText xml:space="preserve"> PAGE   \* MERGEFORMAT </w:instrText>
        </w:r>
        <w:r w:rsidR="00C3058F" w:rsidRPr="00374247">
          <w:rPr>
            <w:color w:val="auto"/>
            <w:szCs w:val="24"/>
          </w:rPr>
          <w:fldChar w:fldCharType="separate"/>
        </w:r>
        <w:r w:rsidR="002049C3" w:rsidRPr="002049C3">
          <w:rPr>
            <w:noProof/>
            <w:color w:val="auto"/>
          </w:rPr>
          <w:t>4</w:t>
        </w:r>
        <w:r w:rsidR="00C3058F" w:rsidRPr="00374247">
          <w:rPr>
            <w:color w:val="auto"/>
            <w:szCs w:val="24"/>
          </w:rPr>
          <w:fldChar w:fldCharType="end"/>
        </w:r>
        <w:r w:rsidRPr="00374247">
          <w:rPr>
            <w:color w:val="auto"/>
            <w:szCs w:val="24"/>
          </w:rPr>
          <w:t xml:space="preserve">                                                           </w:t>
        </w:r>
        <w:r w:rsidRPr="001D64F3">
          <w:rPr>
            <w:color w:val="auto"/>
            <w:szCs w:val="24"/>
          </w:rPr>
          <w:t>PD1</w:t>
        </w:r>
        <w:r>
          <w:rPr>
            <w:color w:val="auto"/>
            <w:szCs w:val="24"/>
          </w:rPr>
          <w:t>0</w:t>
        </w:r>
        <w:r w:rsidRPr="001D64F3">
          <w:rPr>
            <w:color w:val="auto"/>
            <w:szCs w:val="24"/>
          </w:rPr>
          <w:t>00</w:t>
        </w:r>
        <w:r>
          <w:rPr>
            <w:color w:val="auto"/>
            <w:szCs w:val="24"/>
          </w:rPr>
          <w:t>017</w:t>
        </w:r>
      </w:p>
    </w:sdtContent>
  </w:sdt>
  <w:p w:rsidR="003B580C" w:rsidRPr="00684CE6" w:rsidRDefault="003B580C">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517" w:rsidRDefault="006A0517">
      <w:r>
        <w:separator/>
      </w:r>
    </w:p>
  </w:footnote>
  <w:footnote w:type="continuationSeparator" w:id="0">
    <w:p w:rsidR="006A0517" w:rsidRDefault="006A0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80C" w:rsidRDefault="003B58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4D1F9B"/>
    <w:multiLevelType w:val="hybridMultilevel"/>
    <w:tmpl w:val="D61A4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6">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2">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08C4253"/>
    <w:multiLevelType w:val="hybridMultilevel"/>
    <w:tmpl w:val="5E96218A"/>
    <w:lvl w:ilvl="0" w:tplc="4F8E83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53B4683F"/>
    <w:multiLevelType w:val="hybridMultilevel"/>
    <w:tmpl w:val="AFFE4E16"/>
    <w:lvl w:ilvl="0" w:tplc="15C20644">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7C58B7"/>
    <w:multiLevelType w:val="hybridMultilevel"/>
    <w:tmpl w:val="8714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1"/>
  </w:num>
  <w:num w:numId="4">
    <w:abstractNumId w:val="7"/>
  </w:num>
  <w:num w:numId="5">
    <w:abstractNumId w:val="4"/>
  </w:num>
  <w:num w:numId="6">
    <w:abstractNumId w:val="9"/>
  </w:num>
  <w:num w:numId="7">
    <w:abstractNumId w:val="0"/>
  </w:num>
  <w:num w:numId="8">
    <w:abstractNumId w:val="6"/>
  </w:num>
  <w:num w:numId="9">
    <w:abstractNumId w:val="18"/>
  </w:num>
  <w:num w:numId="10">
    <w:abstractNumId w:val="11"/>
  </w:num>
  <w:num w:numId="11">
    <w:abstractNumId w:val="5"/>
  </w:num>
  <w:num w:numId="12">
    <w:abstractNumId w:val="14"/>
  </w:num>
  <w:num w:numId="13">
    <w:abstractNumId w:val="8"/>
  </w:num>
  <w:num w:numId="14">
    <w:abstractNumId w:val="17"/>
  </w:num>
  <w:num w:numId="15">
    <w:abstractNumId w:val="22"/>
  </w:num>
  <w:num w:numId="16">
    <w:abstractNumId w:val="1"/>
  </w:num>
  <w:num w:numId="17">
    <w:abstractNumId w:val="20"/>
  </w:num>
  <w:num w:numId="18">
    <w:abstractNumId w:val="10"/>
  </w:num>
  <w:num w:numId="19">
    <w:abstractNumId w:val="13"/>
  </w:num>
  <w:num w:numId="20">
    <w:abstractNumId w:val="19"/>
  </w:num>
  <w:num w:numId="21">
    <w:abstractNumId w:val="15"/>
  </w:num>
  <w:num w:numId="22">
    <w:abstractNumId w:val="2"/>
  </w:num>
  <w:num w:numId="23">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doNotDisplayPageBoundaries/>
  <w:printFractionalCharacterWidth/>
  <w:embedTrueTypeFonts/>
  <w:embedSystemFonts/>
  <w:saveSubset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70658"/>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47"/>
    <w:rsid w:val="00014A9E"/>
    <w:rsid w:val="00017778"/>
    <w:rsid w:val="00021361"/>
    <w:rsid w:val="00022CF3"/>
    <w:rsid w:val="00023913"/>
    <w:rsid w:val="00023D43"/>
    <w:rsid w:val="00024002"/>
    <w:rsid w:val="00024DE7"/>
    <w:rsid w:val="00026092"/>
    <w:rsid w:val="00030776"/>
    <w:rsid w:val="00031418"/>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82"/>
    <w:rsid w:val="00051622"/>
    <w:rsid w:val="00051A11"/>
    <w:rsid w:val="00052234"/>
    <w:rsid w:val="00053D7C"/>
    <w:rsid w:val="00054209"/>
    <w:rsid w:val="0005625C"/>
    <w:rsid w:val="000575C5"/>
    <w:rsid w:val="000577C9"/>
    <w:rsid w:val="00060FFD"/>
    <w:rsid w:val="00061D69"/>
    <w:rsid w:val="0006431E"/>
    <w:rsid w:val="000652EA"/>
    <w:rsid w:val="00065E21"/>
    <w:rsid w:val="000673ED"/>
    <w:rsid w:val="00067854"/>
    <w:rsid w:val="00070DED"/>
    <w:rsid w:val="00072433"/>
    <w:rsid w:val="00072B3E"/>
    <w:rsid w:val="0007388C"/>
    <w:rsid w:val="0007488B"/>
    <w:rsid w:val="00075702"/>
    <w:rsid w:val="00075A0C"/>
    <w:rsid w:val="000775C2"/>
    <w:rsid w:val="00077835"/>
    <w:rsid w:val="000806AD"/>
    <w:rsid w:val="00080BDF"/>
    <w:rsid w:val="00080C57"/>
    <w:rsid w:val="00082482"/>
    <w:rsid w:val="000824B0"/>
    <w:rsid w:val="00082CA0"/>
    <w:rsid w:val="00084CF2"/>
    <w:rsid w:val="00085D7B"/>
    <w:rsid w:val="0008708B"/>
    <w:rsid w:val="00092619"/>
    <w:rsid w:val="00092C66"/>
    <w:rsid w:val="000949DD"/>
    <w:rsid w:val="00094E4F"/>
    <w:rsid w:val="000A2BCE"/>
    <w:rsid w:val="000A31E2"/>
    <w:rsid w:val="000A33C8"/>
    <w:rsid w:val="000A41E3"/>
    <w:rsid w:val="000A4BBA"/>
    <w:rsid w:val="000A5071"/>
    <w:rsid w:val="000B0AD2"/>
    <w:rsid w:val="000B1022"/>
    <w:rsid w:val="000B2FB8"/>
    <w:rsid w:val="000B42C0"/>
    <w:rsid w:val="000B471C"/>
    <w:rsid w:val="000B4C99"/>
    <w:rsid w:val="000C06F6"/>
    <w:rsid w:val="000C15F8"/>
    <w:rsid w:val="000C1D34"/>
    <w:rsid w:val="000C2362"/>
    <w:rsid w:val="000C2FA8"/>
    <w:rsid w:val="000C3C13"/>
    <w:rsid w:val="000C4D5F"/>
    <w:rsid w:val="000C53F9"/>
    <w:rsid w:val="000C5813"/>
    <w:rsid w:val="000C6936"/>
    <w:rsid w:val="000C714C"/>
    <w:rsid w:val="000C7161"/>
    <w:rsid w:val="000C75CF"/>
    <w:rsid w:val="000C7B83"/>
    <w:rsid w:val="000C7DE4"/>
    <w:rsid w:val="000D0AE6"/>
    <w:rsid w:val="000D15E7"/>
    <w:rsid w:val="000D1A24"/>
    <w:rsid w:val="000D1CF4"/>
    <w:rsid w:val="000D1DBC"/>
    <w:rsid w:val="000D21C7"/>
    <w:rsid w:val="000D248A"/>
    <w:rsid w:val="000D2CFD"/>
    <w:rsid w:val="000D35D8"/>
    <w:rsid w:val="000D43F9"/>
    <w:rsid w:val="000D4717"/>
    <w:rsid w:val="000D6457"/>
    <w:rsid w:val="000D7D55"/>
    <w:rsid w:val="000E0993"/>
    <w:rsid w:val="000E2E50"/>
    <w:rsid w:val="000E37E0"/>
    <w:rsid w:val="000E3F20"/>
    <w:rsid w:val="000E4C25"/>
    <w:rsid w:val="000E4CBF"/>
    <w:rsid w:val="000E5577"/>
    <w:rsid w:val="000E7034"/>
    <w:rsid w:val="000E7B7B"/>
    <w:rsid w:val="000F02BE"/>
    <w:rsid w:val="000F0928"/>
    <w:rsid w:val="000F0B3D"/>
    <w:rsid w:val="000F1E65"/>
    <w:rsid w:val="000F427B"/>
    <w:rsid w:val="000F43D0"/>
    <w:rsid w:val="000F4EF8"/>
    <w:rsid w:val="000F4F18"/>
    <w:rsid w:val="000F688E"/>
    <w:rsid w:val="000F7181"/>
    <w:rsid w:val="000F7581"/>
    <w:rsid w:val="001007CE"/>
    <w:rsid w:val="001008C1"/>
    <w:rsid w:val="001023DB"/>
    <w:rsid w:val="00102B8D"/>
    <w:rsid w:val="001031F4"/>
    <w:rsid w:val="00103948"/>
    <w:rsid w:val="00103CCF"/>
    <w:rsid w:val="0010417F"/>
    <w:rsid w:val="001042D2"/>
    <w:rsid w:val="0010530E"/>
    <w:rsid w:val="00105C07"/>
    <w:rsid w:val="00106920"/>
    <w:rsid w:val="00106AD8"/>
    <w:rsid w:val="001078DB"/>
    <w:rsid w:val="001079FA"/>
    <w:rsid w:val="00107EC5"/>
    <w:rsid w:val="001103CD"/>
    <w:rsid w:val="00113D2A"/>
    <w:rsid w:val="00114F20"/>
    <w:rsid w:val="0011590B"/>
    <w:rsid w:val="001211AF"/>
    <w:rsid w:val="001215DF"/>
    <w:rsid w:val="001219DF"/>
    <w:rsid w:val="0012220B"/>
    <w:rsid w:val="001223B5"/>
    <w:rsid w:val="001224FC"/>
    <w:rsid w:val="00122ABE"/>
    <w:rsid w:val="001231DC"/>
    <w:rsid w:val="0012453A"/>
    <w:rsid w:val="0012489B"/>
    <w:rsid w:val="001272AE"/>
    <w:rsid w:val="00130756"/>
    <w:rsid w:val="001315DD"/>
    <w:rsid w:val="0013525F"/>
    <w:rsid w:val="00135385"/>
    <w:rsid w:val="00136204"/>
    <w:rsid w:val="001364D1"/>
    <w:rsid w:val="001374C7"/>
    <w:rsid w:val="00140FA4"/>
    <w:rsid w:val="00141BC9"/>
    <w:rsid w:val="001421FD"/>
    <w:rsid w:val="001425C8"/>
    <w:rsid w:val="00142EBA"/>
    <w:rsid w:val="00143B79"/>
    <w:rsid w:val="00145965"/>
    <w:rsid w:val="00150B8A"/>
    <w:rsid w:val="00150DCB"/>
    <w:rsid w:val="00151912"/>
    <w:rsid w:val="00153740"/>
    <w:rsid w:val="001537D8"/>
    <w:rsid w:val="00153D88"/>
    <w:rsid w:val="001541C5"/>
    <w:rsid w:val="0015623F"/>
    <w:rsid w:val="00156585"/>
    <w:rsid w:val="00156BA9"/>
    <w:rsid w:val="00161642"/>
    <w:rsid w:val="00161761"/>
    <w:rsid w:val="00166182"/>
    <w:rsid w:val="001665A7"/>
    <w:rsid w:val="0017038B"/>
    <w:rsid w:val="00170C94"/>
    <w:rsid w:val="0017139A"/>
    <w:rsid w:val="001724C8"/>
    <w:rsid w:val="001732C4"/>
    <w:rsid w:val="001745DD"/>
    <w:rsid w:val="00174FDE"/>
    <w:rsid w:val="00174FE3"/>
    <w:rsid w:val="00176D63"/>
    <w:rsid w:val="00177659"/>
    <w:rsid w:val="001779E5"/>
    <w:rsid w:val="00180826"/>
    <w:rsid w:val="00181240"/>
    <w:rsid w:val="00182A4C"/>
    <w:rsid w:val="00183F77"/>
    <w:rsid w:val="00183FB3"/>
    <w:rsid w:val="001844D8"/>
    <w:rsid w:val="00185DA8"/>
    <w:rsid w:val="00185ECB"/>
    <w:rsid w:val="001865E0"/>
    <w:rsid w:val="001870F0"/>
    <w:rsid w:val="00190E48"/>
    <w:rsid w:val="0019114B"/>
    <w:rsid w:val="0019273F"/>
    <w:rsid w:val="00193814"/>
    <w:rsid w:val="00193AAB"/>
    <w:rsid w:val="00193AD5"/>
    <w:rsid w:val="00194930"/>
    <w:rsid w:val="00195AAC"/>
    <w:rsid w:val="001A025E"/>
    <w:rsid w:val="001A08CD"/>
    <w:rsid w:val="001A0A1E"/>
    <w:rsid w:val="001A2182"/>
    <w:rsid w:val="001A323E"/>
    <w:rsid w:val="001A5320"/>
    <w:rsid w:val="001A5E62"/>
    <w:rsid w:val="001A6848"/>
    <w:rsid w:val="001A7538"/>
    <w:rsid w:val="001B06FB"/>
    <w:rsid w:val="001B0B1A"/>
    <w:rsid w:val="001B20E6"/>
    <w:rsid w:val="001B4C0B"/>
    <w:rsid w:val="001B4D12"/>
    <w:rsid w:val="001B4EC2"/>
    <w:rsid w:val="001B5B59"/>
    <w:rsid w:val="001B60E0"/>
    <w:rsid w:val="001B755A"/>
    <w:rsid w:val="001B7C8C"/>
    <w:rsid w:val="001C051D"/>
    <w:rsid w:val="001C0688"/>
    <w:rsid w:val="001C181A"/>
    <w:rsid w:val="001C1877"/>
    <w:rsid w:val="001C2053"/>
    <w:rsid w:val="001C252F"/>
    <w:rsid w:val="001C28D1"/>
    <w:rsid w:val="001C3473"/>
    <w:rsid w:val="001C5BDA"/>
    <w:rsid w:val="001C5CFC"/>
    <w:rsid w:val="001C7231"/>
    <w:rsid w:val="001C7418"/>
    <w:rsid w:val="001C7EBE"/>
    <w:rsid w:val="001D0051"/>
    <w:rsid w:val="001D150B"/>
    <w:rsid w:val="001D169A"/>
    <w:rsid w:val="001D2224"/>
    <w:rsid w:val="001D31AA"/>
    <w:rsid w:val="001D37B9"/>
    <w:rsid w:val="001D3DC0"/>
    <w:rsid w:val="001D4F88"/>
    <w:rsid w:val="001D64F3"/>
    <w:rsid w:val="001D68CF"/>
    <w:rsid w:val="001D6A8C"/>
    <w:rsid w:val="001D7A56"/>
    <w:rsid w:val="001E15C0"/>
    <w:rsid w:val="001E18E0"/>
    <w:rsid w:val="001E18E2"/>
    <w:rsid w:val="001E19D0"/>
    <w:rsid w:val="001E2A30"/>
    <w:rsid w:val="001E2FF1"/>
    <w:rsid w:val="001E3FE1"/>
    <w:rsid w:val="001E41FE"/>
    <w:rsid w:val="001E635C"/>
    <w:rsid w:val="001F0297"/>
    <w:rsid w:val="001F29F9"/>
    <w:rsid w:val="001F6E0B"/>
    <w:rsid w:val="00200AA0"/>
    <w:rsid w:val="00202325"/>
    <w:rsid w:val="00202736"/>
    <w:rsid w:val="00203652"/>
    <w:rsid w:val="00204562"/>
    <w:rsid w:val="002049C3"/>
    <w:rsid w:val="00205B4F"/>
    <w:rsid w:val="002060B6"/>
    <w:rsid w:val="002066B5"/>
    <w:rsid w:val="00210EAC"/>
    <w:rsid w:val="00211612"/>
    <w:rsid w:val="002119B6"/>
    <w:rsid w:val="00212389"/>
    <w:rsid w:val="00212B40"/>
    <w:rsid w:val="00213BD0"/>
    <w:rsid w:val="00214DBA"/>
    <w:rsid w:val="002151AB"/>
    <w:rsid w:val="0021548C"/>
    <w:rsid w:val="00215C4C"/>
    <w:rsid w:val="00215ED6"/>
    <w:rsid w:val="00216049"/>
    <w:rsid w:val="002163FA"/>
    <w:rsid w:val="00217606"/>
    <w:rsid w:val="00217C09"/>
    <w:rsid w:val="00217D3D"/>
    <w:rsid w:val="00220F5C"/>
    <w:rsid w:val="00220FA9"/>
    <w:rsid w:val="002216BF"/>
    <w:rsid w:val="00221B9B"/>
    <w:rsid w:val="00222268"/>
    <w:rsid w:val="00225080"/>
    <w:rsid w:val="00225196"/>
    <w:rsid w:val="00225CB4"/>
    <w:rsid w:val="00226B1A"/>
    <w:rsid w:val="00227F0B"/>
    <w:rsid w:val="0023049F"/>
    <w:rsid w:val="002310C3"/>
    <w:rsid w:val="002316F6"/>
    <w:rsid w:val="00232C9B"/>
    <w:rsid w:val="00232E73"/>
    <w:rsid w:val="00232F09"/>
    <w:rsid w:val="002335D5"/>
    <w:rsid w:val="002338CA"/>
    <w:rsid w:val="00233FE5"/>
    <w:rsid w:val="00234B3B"/>
    <w:rsid w:val="00234D98"/>
    <w:rsid w:val="00235AD0"/>
    <w:rsid w:val="00236018"/>
    <w:rsid w:val="002374C9"/>
    <w:rsid w:val="0024162D"/>
    <w:rsid w:val="0024174E"/>
    <w:rsid w:val="00242238"/>
    <w:rsid w:val="0024227D"/>
    <w:rsid w:val="00242D14"/>
    <w:rsid w:val="002432F4"/>
    <w:rsid w:val="00246860"/>
    <w:rsid w:val="002468D9"/>
    <w:rsid w:val="00246995"/>
    <w:rsid w:val="00246DFF"/>
    <w:rsid w:val="00246E89"/>
    <w:rsid w:val="0025183C"/>
    <w:rsid w:val="00252351"/>
    <w:rsid w:val="002528EC"/>
    <w:rsid w:val="00253EAA"/>
    <w:rsid w:val="00255049"/>
    <w:rsid w:val="00257538"/>
    <w:rsid w:val="00257AFF"/>
    <w:rsid w:val="00257DE5"/>
    <w:rsid w:val="00260531"/>
    <w:rsid w:val="00260B9A"/>
    <w:rsid w:val="00262EA5"/>
    <w:rsid w:val="0026318D"/>
    <w:rsid w:val="00264148"/>
    <w:rsid w:val="002660AF"/>
    <w:rsid w:val="00270864"/>
    <w:rsid w:val="002712F7"/>
    <w:rsid w:val="0027159C"/>
    <w:rsid w:val="002722F2"/>
    <w:rsid w:val="00274549"/>
    <w:rsid w:val="00274E46"/>
    <w:rsid w:val="002752AE"/>
    <w:rsid w:val="00275AFD"/>
    <w:rsid w:val="002769AF"/>
    <w:rsid w:val="00276C86"/>
    <w:rsid w:val="00276FD0"/>
    <w:rsid w:val="00277217"/>
    <w:rsid w:val="002810A4"/>
    <w:rsid w:val="0028261C"/>
    <w:rsid w:val="00282DB6"/>
    <w:rsid w:val="00284A26"/>
    <w:rsid w:val="00285095"/>
    <w:rsid w:val="00287006"/>
    <w:rsid w:val="0029030A"/>
    <w:rsid w:val="00292397"/>
    <w:rsid w:val="00292AB2"/>
    <w:rsid w:val="00292B82"/>
    <w:rsid w:val="00293DB6"/>
    <w:rsid w:val="00293FE8"/>
    <w:rsid w:val="00294437"/>
    <w:rsid w:val="00296686"/>
    <w:rsid w:val="00297A00"/>
    <w:rsid w:val="00297A45"/>
    <w:rsid w:val="00297E20"/>
    <w:rsid w:val="002A233F"/>
    <w:rsid w:val="002A3237"/>
    <w:rsid w:val="002A4119"/>
    <w:rsid w:val="002A58B7"/>
    <w:rsid w:val="002A5943"/>
    <w:rsid w:val="002A5C3C"/>
    <w:rsid w:val="002A685E"/>
    <w:rsid w:val="002A72C7"/>
    <w:rsid w:val="002B0204"/>
    <w:rsid w:val="002B03B2"/>
    <w:rsid w:val="002B0749"/>
    <w:rsid w:val="002B2645"/>
    <w:rsid w:val="002B303A"/>
    <w:rsid w:val="002B32E9"/>
    <w:rsid w:val="002B4E22"/>
    <w:rsid w:val="002B6FA0"/>
    <w:rsid w:val="002B7710"/>
    <w:rsid w:val="002C0DEA"/>
    <w:rsid w:val="002C34F6"/>
    <w:rsid w:val="002C3B6D"/>
    <w:rsid w:val="002C3F59"/>
    <w:rsid w:val="002C5D9D"/>
    <w:rsid w:val="002C5F10"/>
    <w:rsid w:val="002C6E5B"/>
    <w:rsid w:val="002C7249"/>
    <w:rsid w:val="002D08F3"/>
    <w:rsid w:val="002D18B4"/>
    <w:rsid w:val="002D2058"/>
    <w:rsid w:val="002D231A"/>
    <w:rsid w:val="002D5330"/>
    <w:rsid w:val="002D5F57"/>
    <w:rsid w:val="002D73D4"/>
    <w:rsid w:val="002D7787"/>
    <w:rsid w:val="002E1877"/>
    <w:rsid w:val="002E1C31"/>
    <w:rsid w:val="002E1CFB"/>
    <w:rsid w:val="002E1F99"/>
    <w:rsid w:val="002E2E0F"/>
    <w:rsid w:val="002E333A"/>
    <w:rsid w:val="002E3474"/>
    <w:rsid w:val="002E400C"/>
    <w:rsid w:val="002E49C3"/>
    <w:rsid w:val="002E5114"/>
    <w:rsid w:val="002E5988"/>
    <w:rsid w:val="002E65E6"/>
    <w:rsid w:val="002E7072"/>
    <w:rsid w:val="002E7570"/>
    <w:rsid w:val="002E764B"/>
    <w:rsid w:val="002E7C25"/>
    <w:rsid w:val="002F0D6A"/>
    <w:rsid w:val="002F0E28"/>
    <w:rsid w:val="002F195B"/>
    <w:rsid w:val="002F287E"/>
    <w:rsid w:val="002F2981"/>
    <w:rsid w:val="002F2D63"/>
    <w:rsid w:val="002F550F"/>
    <w:rsid w:val="002F6AD8"/>
    <w:rsid w:val="002F7F81"/>
    <w:rsid w:val="00300A36"/>
    <w:rsid w:val="00301B45"/>
    <w:rsid w:val="00305856"/>
    <w:rsid w:val="00305867"/>
    <w:rsid w:val="0030678B"/>
    <w:rsid w:val="00306D16"/>
    <w:rsid w:val="00307595"/>
    <w:rsid w:val="00307DA6"/>
    <w:rsid w:val="00310CD7"/>
    <w:rsid w:val="00313C3A"/>
    <w:rsid w:val="00313D7A"/>
    <w:rsid w:val="003155FB"/>
    <w:rsid w:val="0032136A"/>
    <w:rsid w:val="003224D8"/>
    <w:rsid w:val="00323A90"/>
    <w:rsid w:val="00323E70"/>
    <w:rsid w:val="003258A7"/>
    <w:rsid w:val="00325BA2"/>
    <w:rsid w:val="003262BD"/>
    <w:rsid w:val="00326798"/>
    <w:rsid w:val="00326B1C"/>
    <w:rsid w:val="00326C08"/>
    <w:rsid w:val="00326F7F"/>
    <w:rsid w:val="00327616"/>
    <w:rsid w:val="00330311"/>
    <w:rsid w:val="00330D55"/>
    <w:rsid w:val="003320E8"/>
    <w:rsid w:val="0033238E"/>
    <w:rsid w:val="003328FD"/>
    <w:rsid w:val="00332DE3"/>
    <w:rsid w:val="0033334F"/>
    <w:rsid w:val="0033414F"/>
    <w:rsid w:val="00334514"/>
    <w:rsid w:val="0033555E"/>
    <w:rsid w:val="0033601F"/>
    <w:rsid w:val="00336805"/>
    <w:rsid w:val="00337351"/>
    <w:rsid w:val="00341A54"/>
    <w:rsid w:val="00344A4F"/>
    <w:rsid w:val="00344D17"/>
    <w:rsid w:val="0034669F"/>
    <w:rsid w:val="003470C4"/>
    <w:rsid w:val="00351498"/>
    <w:rsid w:val="00352B22"/>
    <w:rsid w:val="00352CBF"/>
    <w:rsid w:val="00354547"/>
    <w:rsid w:val="003549F5"/>
    <w:rsid w:val="00355ACB"/>
    <w:rsid w:val="003567DE"/>
    <w:rsid w:val="003574F3"/>
    <w:rsid w:val="00357831"/>
    <w:rsid w:val="003604A5"/>
    <w:rsid w:val="0036114B"/>
    <w:rsid w:val="003618B6"/>
    <w:rsid w:val="0036199A"/>
    <w:rsid w:val="003620C8"/>
    <w:rsid w:val="0036319E"/>
    <w:rsid w:val="003632A4"/>
    <w:rsid w:val="00363362"/>
    <w:rsid w:val="0036392A"/>
    <w:rsid w:val="00364CAB"/>
    <w:rsid w:val="00365767"/>
    <w:rsid w:val="003659C0"/>
    <w:rsid w:val="003660DF"/>
    <w:rsid w:val="00367D4F"/>
    <w:rsid w:val="00370743"/>
    <w:rsid w:val="00370EF5"/>
    <w:rsid w:val="0037135B"/>
    <w:rsid w:val="003718CD"/>
    <w:rsid w:val="00372251"/>
    <w:rsid w:val="00373F64"/>
    <w:rsid w:val="00374247"/>
    <w:rsid w:val="00374EA1"/>
    <w:rsid w:val="0037520D"/>
    <w:rsid w:val="00375724"/>
    <w:rsid w:val="00375809"/>
    <w:rsid w:val="00375CF1"/>
    <w:rsid w:val="0037628C"/>
    <w:rsid w:val="00376A07"/>
    <w:rsid w:val="00376B81"/>
    <w:rsid w:val="00376E08"/>
    <w:rsid w:val="00377BD2"/>
    <w:rsid w:val="00380FD4"/>
    <w:rsid w:val="00381E16"/>
    <w:rsid w:val="003821E1"/>
    <w:rsid w:val="003840F6"/>
    <w:rsid w:val="00384866"/>
    <w:rsid w:val="003851BA"/>
    <w:rsid w:val="003857D4"/>
    <w:rsid w:val="00385D6F"/>
    <w:rsid w:val="00386D43"/>
    <w:rsid w:val="00387095"/>
    <w:rsid w:val="00387E95"/>
    <w:rsid w:val="00390092"/>
    <w:rsid w:val="00390CFA"/>
    <w:rsid w:val="00391858"/>
    <w:rsid w:val="00393651"/>
    <w:rsid w:val="00394926"/>
    <w:rsid w:val="00394FF9"/>
    <w:rsid w:val="00395651"/>
    <w:rsid w:val="00395E12"/>
    <w:rsid w:val="003962A8"/>
    <w:rsid w:val="00396779"/>
    <w:rsid w:val="00397DB7"/>
    <w:rsid w:val="003A27B2"/>
    <w:rsid w:val="003A40B4"/>
    <w:rsid w:val="003A41BA"/>
    <w:rsid w:val="003A5491"/>
    <w:rsid w:val="003A5958"/>
    <w:rsid w:val="003A63F4"/>
    <w:rsid w:val="003A6A99"/>
    <w:rsid w:val="003A6E60"/>
    <w:rsid w:val="003A76AB"/>
    <w:rsid w:val="003A7FF8"/>
    <w:rsid w:val="003B17AC"/>
    <w:rsid w:val="003B2143"/>
    <w:rsid w:val="003B227A"/>
    <w:rsid w:val="003B3A77"/>
    <w:rsid w:val="003B4319"/>
    <w:rsid w:val="003B580C"/>
    <w:rsid w:val="003B5854"/>
    <w:rsid w:val="003B6764"/>
    <w:rsid w:val="003B7A8B"/>
    <w:rsid w:val="003C247E"/>
    <w:rsid w:val="003C294B"/>
    <w:rsid w:val="003C5046"/>
    <w:rsid w:val="003C5B54"/>
    <w:rsid w:val="003C6068"/>
    <w:rsid w:val="003C7AEC"/>
    <w:rsid w:val="003D2BA3"/>
    <w:rsid w:val="003D316B"/>
    <w:rsid w:val="003D3C22"/>
    <w:rsid w:val="003D56A0"/>
    <w:rsid w:val="003D609F"/>
    <w:rsid w:val="003D69F5"/>
    <w:rsid w:val="003D7089"/>
    <w:rsid w:val="003D73C3"/>
    <w:rsid w:val="003D7DDB"/>
    <w:rsid w:val="003E024F"/>
    <w:rsid w:val="003E02C7"/>
    <w:rsid w:val="003E0543"/>
    <w:rsid w:val="003E061D"/>
    <w:rsid w:val="003E0B5A"/>
    <w:rsid w:val="003E1682"/>
    <w:rsid w:val="003E31E3"/>
    <w:rsid w:val="003E3E93"/>
    <w:rsid w:val="003E46D1"/>
    <w:rsid w:val="003E6214"/>
    <w:rsid w:val="003F070E"/>
    <w:rsid w:val="003F1206"/>
    <w:rsid w:val="003F2418"/>
    <w:rsid w:val="003F28DB"/>
    <w:rsid w:val="003F2EEE"/>
    <w:rsid w:val="003F58B0"/>
    <w:rsid w:val="003F776F"/>
    <w:rsid w:val="004006F9"/>
    <w:rsid w:val="004007E9"/>
    <w:rsid w:val="00400810"/>
    <w:rsid w:val="00401825"/>
    <w:rsid w:val="00401BBC"/>
    <w:rsid w:val="004026FC"/>
    <w:rsid w:val="00403A03"/>
    <w:rsid w:val="00403BFB"/>
    <w:rsid w:val="00404B45"/>
    <w:rsid w:val="00405BCF"/>
    <w:rsid w:val="004068E0"/>
    <w:rsid w:val="00406CC5"/>
    <w:rsid w:val="00406FCA"/>
    <w:rsid w:val="004074A4"/>
    <w:rsid w:val="004101B2"/>
    <w:rsid w:val="004123D7"/>
    <w:rsid w:val="00412658"/>
    <w:rsid w:val="004129DA"/>
    <w:rsid w:val="00415EA4"/>
    <w:rsid w:val="0041604B"/>
    <w:rsid w:val="004172DB"/>
    <w:rsid w:val="004174F0"/>
    <w:rsid w:val="00420A1D"/>
    <w:rsid w:val="00420B1E"/>
    <w:rsid w:val="004211FD"/>
    <w:rsid w:val="00421485"/>
    <w:rsid w:val="004216DA"/>
    <w:rsid w:val="00421DEA"/>
    <w:rsid w:val="00422B75"/>
    <w:rsid w:val="00424612"/>
    <w:rsid w:val="0042528C"/>
    <w:rsid w:val="00425672"/>
    <w:rsid w:val="00425A6A"/>
    <w:rsid w:val="00426A23"/>
    <w:rsid w:val="00427C7F"/>
    <w:rsid w:val="00427F54"/>
    <w:rsid w:val="00430B21"/>
    <w:rsid w:val="004316FD"/>
    <w:rsid w:val="00433F36"/>
    <w:rsid w:val="00434860"/>
    <w:rsid w:val="00434BBD"/>
    <w:rsid w:val="0043503A"/>
    <w:rsid w:val="00437B8A"/>
    <w:rsid w:val="00437D18"/>
    <w:rsid w:val="00437D77"/>
    <w:rsid w:val="00441D99"/>
    <w:rsid w:val="004435BE"/>
    <w:rsid w:val="0044384F"/>
    <w:rsid w:val="0044411E"/>
    <w:rsid w:val="00444472"/>
    <w:rsid w:val="00444B93"/>
    <w:rsid w:val="00444F80"/>
    <w:rsid w:val="00445599"/>
    <w:rsid w:val="00446018"/>
    <w:rsid w:val="0044769D"/>
    <w:rsid w:val="0045027B"/>
    <w:rsid w:val="004504E7"/>
    <w:rsid w:val="00451F9D"/>
    <w:rsid w:val="00453167"/>
    <w:rsid w:val="0045361D"/>
    <w:rsid w:val="004543BC"/>
    <w:rsid w:val="00454F28"/>
    <w:rsid w:val="0045645D"/>
    <w:rsid w:val="0045707D"/>
    <w:rsid w:val="004574C6"/>
    <w:rsid w:val="00457743"/>
    <w:rsid w:val="00457BCF"/>
    <w:rsid w:val="00457DCE"/>
    <w:rsid w:val="00460E3F"/>
    <w:rsid w:val="0046111A"/>
    <w:rsid w:val="00462F68"/>
    <w:rsid w:val="0046369B"/>
    <w:rsid w:val="004640E9"/>
    <w:rsid w:val="004647EB"/>
    <w:rsid w:val="00466CED"/>
    <w:rsid w:val="00466EB5"/>
    <w:rsid w:val="00467592"/>
    <w:rsid w:val="00467690"/>
    <w:rsid w:val="00467A14"/>
    <w:rsid w:val="004718E7"/>
    <w:rsid w:val="00472289"/>
    <w:rsid w:val="00472535"/>
    <w:rsid w:val="004761CC"/>
    <w:rsid w:val="004766C9"/>
    <w:rsid w:val="00480D4A"/>
    <w:rsid w:val="00481DA1"/>
    <w:rsid w:val="00483A2B"/>
    <w:rsid w:val="00484212"/>
    <w:rsid w:val="004848C3"/>
    <w:rsid w:val="00484BA9"/>
    <w:rsid w:val="0048599A"/>
    <w:rsid w:val="00486818"/>
    <w:rsid w:val="0049255F"/>
    <w:rsid w:val="0049445D"/>
    <w:rsid w:val="00494D39"/>
    <w:rsid w:val="00495350"/>
    <w:rsid w:val="00495E3C"/>
    <w:rsid w:val="00496041"/>
    <w:rsid w:val="00497156"/>
    <w:rsid w:val="004A0C79"/>
    <w:rsid w:val="004A24D2"/>
    <w:rsid w:val="004A3214"/>
    <w:rsid w:val="004A4136"/>
    <w:rsid w:val="004A417B"/>
    <w:rsid w:val="004A4378"/>
    <w:rsid w:val="004A712D"/>
    <w:rsid w:val="004A7C03"/>
    <w:rsid w:val="004B03F3"/>
    <w:rsid w:val="004B0CC9"/>
    <w:rsid w:val="004B2536"/>
    <w:rsid w:val="004B46D7"/>
    <w:rsid w:val="004B6AF3"/>
    <w:rsid w:val="004B6F1F"/>
    <w:rsid w:val="004B715E"/>
    <w:rsid w:val="004B7169"/>
    <w:rsid w:val="004B79C9"/>
    <w:rsid w:val="004C00DD"/>
    <w:rsid w:val="004C05CF"/>
    <w:rsid w:val="004C0776"/>
    <w:rsid w:val="004C1EF8"/>
    <w:rsid w:val="004C2063"/>
    <w:rsid w:val="004C24C5"/>
    <w:rsid w:val="004C2645"/>
    <w:rsid w:val="004C47D5"/>
    <w:rsid w:val="004C4CAF"/>
    <w:rsid w:val="004C5E33"/>
    <w:rsid w:val="004C60A3"/>
    <w:rsid w:val="004C6CDA"/>
    <w:rsid w:val="004D10D4"/>
    <w:rsid w:val="004D16BD"/>
    <w:rsid w:val="004D2AAB"/>
    <w:rsid w:val="004D3C7F"/>
    <w:rsid w:val="004D42CB"/>
    <w:rsid w:val="004D6E90"/>
    <w:rsid w:val="004D6F2B"/>
    <w:rsid w:val="004E0248"/>
    <w:rsid w:val="004E21A3"/>
    <w:rsid w:val="004E32EA"/>
    <w:rsid w:val="004E3517"/>
    <w:rsid w:val="004E6866"/>
    <w:rsid w:val="004F0C58"/>
    <w:rsid w:val="004F3222"/>
    <w:rsid w:val="004F3639"/>
    <w:rsid w:val="004F3BFA"/>
    <w:rsid w:val="004F4E3C"/>
    <w:rsid w:val="004F5A1A"/>
    <w:rsid w:val="004F77A3"/>
    <w:rsid w:val="005000AB"/>
    <w:rsid w:val="00500EAF"/>
    <w:rsid w:val="00500F3C"/>
    <w:rsid w:val="005025EE"/>
    <w:rsid w:val="00503401"/>
    <w:rsid w:val="00503DDF"/>
    <w:rsid w:val="00505524"/>
    <w:rsid w:val="005058D5"/>
    <w:rsid w:val="00506688"/>
    <w:rsid w:val="00510588"/>
    <w:rsid w:val="00510F9C"/>
    <w:rsid w:val="0051146C"/>
    <w:rsid w:val="0051220B"/>
    <w:rsid w:val="00512253"/>
    <w:rsid w:val="00512484"/>
    <w:rsid w:val="00514449"/>
    <w:rsid w:val="00515419"/>
    <w:rsid w:val="005157BD"/>
    <w:rsid w:val="005214A3"/>
    <w:rsid w:val="005222E7"/>
    <w:rsid w:val="00523488"/>
    <w:rsid w:val="00523A8B"/>
    <w:rsid w:val="00523DD8"/>
    <w:rsid w:val="00523E04"/>
    <w:rsid w:val="00525003"/>
    <w:rsid w:val="0052590B"/>
    <w:rsid w:val="0052592B"/>
    <w:rsid w:val="00526591"/>
    <w:rsid w:val="00527178"/>
    <w:rsid w:val="00527618"/>
    <w:rsid w:val="005278CB"/>
    <w:rsid w:val="00530388"/>
    <w:rsid w:val="00531DA0"/>
    <w:rsid w:val="00532E9D"/>
    <w:rsid w:val="00533075"/>
    <w:rsid w:val="005339B0"/>
    <w:rsid w:val="00534D42"/>
    <w:rsid w:val="005350A5"/>
    <w:rsid w:val="00536379"/>
    <w:rsid w:val="00537238"/>
    <w:rsid w:val="005400C5"/>
    <w:rsid w:val="005404CD"/>
    <w:rsid w:val="00540BE0"/>
    <w:rsid w:val="00540BEF"/>
    <w:rsid w:val="00542B34"/>
    <w:rsid w:val="00542C9A"/>
    <w:rsid w:val="005436C2"/>
    <w:rsid w:val="005442D4"/>
    <w:rsid w:val="0054586A"/>
    <w:rsid w:val="0054631F"/>
    <w:rsid w:val="00546C24"/>
    <w:rsid w:val="005471BA"/>
    <w:rsid w:val="00547BDA"/>
    <w:rsid w:val="00547BE6"/>
    <w:rsid w:val="00547F1D"/>
    <w:rsid w:val="0055034F"/>
    <w:rsid w:val="00550476"/>
    <w:rsid w:val="0055288D"/>
    <w:rsid w:val="00555259"/>
    <w:rsid w:val="00555C66"/>
    <w:rsid w:val="005569EF"/>
    <w:rsid w:val="00556BDE"/>
    <w:rsid w:val="005609CF"/>
    <w:rsid w:val="00560D57"/>
    <w:rsid w:val="0056250E"/>
    <w:rsid w:val="00562A94"/>
    <w:rsid w:val="00563FAD"/>
    <w:rsid w:val="005701C1"/>
    <w:rsid w:val="005703BF"/>
    <w:rsid w:val="00570754"/>
    <w:rsid w:val="005709F7"/>
    <w:rsid w:val="00570EAA"/>
    <w:rsid w:val="005710A9"/>
    <w:rsid w:val="005716B0"/>
    <w:rsid w:val="00571B11"/>
    <w:rsid w:val="00571D1B"/>
    <w:rsid w:val="00571DA3"/>
    <w:rsid w:val="005738F5"/>
    <w:rsid w:val="00573D34"/>
    <w:rsid w:val="00574A1B"/>
    <w:rsid w:val="00575963"/>
    <w:rsid w:val="00575EBE"/>
    <w:rsid w:val="0058039C"/>
    <w:rsid w:val="00580A63"/>
    <w:rsid w:val="00583379"/>
    <w:rsid w:val="0058417C"/>
    <w:rsid w:val="005854F9"/>
    <w:rsid w:val="00586EC6"/>
    <w:rsid w:val="00587DDE"/>
    <w:rsid w:val="00593043"/>
    <w:rsid w:val="00595B60"/>
    <w:rsid w:val="00595B63"/>
    <w:rsid w:val="00595BF0"/>
    <w:rsid w:val="00597E16"/>
    <w:rsid w:val="005A0B1D"/>
    <w:rsid w:val="005A1846"/>
    <w:rsid w:val="005A258C"/>
    <w:rsid w:val="005A3560"/>
    <w:rsid w:val="005A464E"/>
    <w:rsid w:val="005A62FC"/>
    <w:rsid w:val="005A6C99"/>
    <w:rsid w:val="005A6F8F"/>
    <w:rsid w:val="005A7D5D"/>
    <w:rsid w:val="005B0040"/>
    <w:rsid w:val="005B011A"/>
    <w:rsid w:val="005B0283"/>
    <w:rsid w:val="005B1ADA"/>
    <w:rsid w:val="005B1D09"/>
    <w:rsid w:val="005B1D8F"/>
    <w:rsid w:val="005B1E94"/>
    <w:rsid w:val="005B5B3D"/>
    <w:rsid w:val="005B5E8F"/>
    <w:rsid w:val="005B64CF"/>
    <w:rsid w:val="005B72DA"/>
    <w:rsid w:val="005C0E87"/>
    <w:rsid w:val="005C1398"/>
    <w:rsid w:val="005C16F3"/>
    <w:rsid w:val="005C3758"/>
    <w:rsid w:val="005C4D72"/>
    <w:rsid w:val="005C50C1"/>
    <w:rsid w:val="005C62C2"/>
    <w:rsid w:val="005D2306"/>
    <w:rsid w:val="005D2562"/>
    <w:rsid w:val="005D2666"/>
    <w:rsid w:val="005D4548"/>
    <w:rsid w:val="005D4A74"/>
    <w:rsid w:val="005D5E91"/>
    <w:rsid w:val="005D67EF"/>
    <w:rsid w:val="005D775D"/>
    <w:rsid w:val="005E3064"/>
    <w:rsid w:val="005E54DC"/>
    <w:rsid w:val="005E65DC"/>
    <w:rsid w:val="005E6AEE"/>
    <w:rsid w:val="005E72B2"/>
    <w:rsid w:val="005E79A0"/>
    <w:rsid w:val="005F097E"/>
    <w:rsid w:val="005F1115"/>
    <w:rsid w:val="005F1AB6"/>
    <w:rsid w:val="005F27F2"/>
    <w:rsid w:val="005F2B27"/>
    <w:rsid w:val="005F3567"/>
    <w:rsid w:val="005F3AFE"/>
    <w:rsid w:val="005F424D"/>
    <w:rsid w:val="005F55F5"/>
    <w:rsid w:val="005F5EC1"/>
    <w:rsid w:val="005F67A9"/>
    <w:rsid w:val="005F6B6D"/>
    <w:rsid w:val="005F73CA"/>
    <w:rsid w:val="006008F8"/>
    <w:rsid w:val="006036C2"/>
    <w:rsid w:val="00605AAB"/>
    <w:rsid w:val="00606BEB"/>
    <w:rsid w:val="0061014A"/>
    <w:rsid w:val="0061054B"/>
    <w:rsid w:val="006110FB"/>
    <w:rsid w:val="00612FB0"/>
    <w:rsid w:val="0061356D"/>
    <w:rsid w:val="00613E26"/>
    <w:rsid w:val="0061427F"/>
    <w:rsid w:val="00615641"/>
    <w:rsid w:val="00615A66"/>
    <w:rsid w:val="00616959"/>
    <w:rsid w:val="0062036E"/>
    <w:rsid w:val="006211D0"/>
    <w:rsid w:val="00621595"/>
    <w:rsid w:val="00622E0D"/>
    <w:rsid w:val="0062359D"/>
    <w:rsid w:val="00623634"/>
    <w:rsid w:val="00624D0C"/>
    <w:rsid w:val="00626A0F"/>
    <w:rsid w:val="006274B4"/>
    <w:rsid w:val="006307BA"/>
    <w:rsid w:val="006315BA"/>
    <w:rsid w:val="006328C3"/>
    <w:rsid w:val="00634C4A"/>
    <w:rsid w:val="0063532E"/>
    <w:rsid w:val="0063579F"/>
    <w:rsid w:val="006364ED"/>
    <w:rsid w:val="00637063"/>
    <w:rsid w:val="0063737C"/>
    <w:rsid w:val="00637BDC"/>
    <w:rsid w:val="00640363"/>
    <w:rsid w:val="00640622"/>
    <w:rsid w:val="006418C9"/>
    <w:rsid w:val="00642BD6"/>
    <w:rsid w:val="00643C8F"/>
    <w:rsid w:val="00645046"/>
    <w:rsid w:val="0064527A"/>
    <w:rsid w:val="006458FD"/>
    <w:rsid w:val="00645DE8"/>
    <w:rsid w:val="00645EA2"/>
    <w:rsid w:val="00651E6D"/>
    <w:rsid w:val="0065237D"/>
    <w:rsid w:val="00652943"/>
    <w:rsid w:val="00653AB2"/>
    <w:rsid w:val="00653D2D"/>
    <w:rsid w:val="0065435E"/>
    <w:rsid w:val="00654551"/>
    <w:rsid w:val="00654F91"/>
    <w:rsid w:val="006555E7"/>
    <w:rsid w:val="00655CCC"/>
    <w:rsid w:val="006560B6"/>
    <w:rsid w:val="0065726D"/>
    <w:rsid w:val="006573F2"/>
    <w:rsid w:val="00661BA2"/>
    <w:rsid w:val="00662AD0"/>
    <w:rsid w:val="00662F08"/>
    <w:rsid w:val="00663589"/>
    <w:rsid w:val="00664427"/>
    <w:rsid w:val="00664840"/>
    <w:rsid w:val="006649CD"/>
    <w:rsid w:val="00665D75"/>
    <w:rsid w:val="006708E3"/>
    <w:rsid w:val="00670DDC"/>
    <w:rsid w:val="00671389"/>
    <w:rsid w:val="00671EB4"/>
    <w:rsid w:val="00673CDC"/>
    <w:rsid w:val="0067443B"/>
    <w:rsid w:val="006770AA"/>
    <w:rsid w:val="0068098E"/>
    <w:rsid w:val="006810BD"/>
    <w:rsid w:val="00682486"/>
    <w:rsid w:val="006826ED"/>
    <w:rsid w:val="006833A7"/>
    <w:rsid w:val="00684CE6"/>
    <w:rsid w:val="00684E2B"/>
    <w:rsid w:val="006857A0"/>
    <w:rsid w:val="00687C7E"/>
    <w:rsid w:val="00687D3D"/>
    <w:rsid w:val="00690569"/>
    <w:rsid w:val="00690FDA"/>
    <w:rsid w:val="00691E61"/>
    <w:rsid w:val="006937C6"/>
    <w:rsid w:val="00693C5E"/>
    <w:rsid w:val="00693CEE"/>
    <w:rsid w:val="00694EEA"/>
    <w:rsid w:val="006955B4"/>
    <w:rsid w:val="00695DEF"/>
    <w:rsid w:val="00696476"/>
    <w:rsid w:val="00696C74"/>
    <w:rsid w:val="00697C9B"/>
    <w:rsid w:val="006A0517"/>
    <w:rsid w:val="006A10FA"/>
    <w:rsid w:val="006A12E0"/>
    <w:rsid w:val="006A40E6"/>
    <w:rsid w:val="006A516B"/>
    <w:rsid w:val="006A5362"/>
    <w:rsid w:val="006A543A"/>
    <w:rsid w:val="006A5C07"/>
    <w:rsid w:val="006A75FA"/>
    <w:rsid w:val="006B07D5"/>
    <w:rsid w:val="006B1309"/>
    <w:rsid w:val="006B31E6"/>
    <w:rsid w:val="006B3923"/>
    <w:rsid w:val="006B3F3E"/>
    <w:rsid w:val="006B4AA2"/>
    <w:rsid w:val="006B4C4D"/>
    <w:rsid w:val="006B53C4"/>
    <w:rsid w:val="006B586B"/>
    <w:rsid w:val="006B5923"/>
    <w:rsid w:val="006B67D9"/>
    <w:rsid w:val="006B6C14"/>
    <w:rsid w:val="006B7159"/>
    <w:rsid w:val="006B715E"/>
    <w:rsid w:val="006C1D6E"/>
    <w:rsid w:val="006C2EF6"/>
    <w:rsid w:val="006C3A68"/>
    <w:rsid w:val="006C3B08"/>
    <w:rsid w:val="006C6AB1"/>
    <w:rsid w:val="006C6E6B"/>
    <w:rsid w:val="006C73D4"/>
    <w:rsid w:val="006D145F"/>
    <w:rsid w:val="006D2000"/>
    <w:rsid w:val="006D2D39"/>
    <w:rsid w:val="006D2F31"/>
    <w:rsid w:val="006D4250"/>
    <w:rsid w:val="006D4E0E"/>
    <w:rsid w:val="006D5861"/>
    <w:rsid w:val="006D5CE2"/>
    <w:rsid w:val="006D7854"/>
    <w:rsid w:val="006E06D1"/>
    <w:rsid w:val="006E122E"/>
    <w:rsid w:val="006E1313"/>
    <w:rsid w:val="006E2DC8"/>
    <w:rsid w:val="006E58CB"/>
    <w:rsid w:val="006E6780"/>
    <w:rsid w:val="006E6B68"/>
    <w:rsid w:val="006E7356"/>
    <w:rsid w:val="006E77C8"/>
    <w:rsid w:val="006F0F9C"/>
    <w:rsid w:val="006F149D"/>
    <w:rsid w:val="006F1A46"/>
    <w:rsid w:val="006F45A0"/>
    <w:rsid w:val="006F4F06"/>
    <w:rsid w:val="006F5A4E"/>
    <w:rsid w:val="006F5D37"/>
    <w:rsid w:val="006F6005"/>
    <w:rsid w:val="007005EA"/>
    <w:rsid w:val="0070220D"/>
    <w:rsid w:val="00703B6C"/>
    <w:rsid w:val="00703BB0"/>
    <w:rsid w:val="00704519"/>
    <w:rsid w:val="00704C40"/>
    <w:rsid w:val="00704C88"/>
    <w:rsid w:val="00704EA1"/>
    <w:rsid w:val="00705BE5"/>
    <w:rsid w:val="00705C40"/>
    <w:rsid w:val="00706482"/>
    <w:rsid w:val="00706754"/>
    <w:rsid w:val="00706BEF"/>
    <w:rsid w:val="00707028"/>
    <w:rsid w:val="00707ECE"/>
    <w:rsid w:val="00710CE8"/>
    <w:rsid w:val="00711350"/>
    <w:rsid w:val="00711538"/>
    <w:rsid w:val="007116BC"/>
    <w:rsid w:val="00711961"/>
    <w:rsid w:val="00711CA6"/>
    <w:rsid w:val="007165CE"/>
    <w:rsid w:val="00717CEB"/>
    <w:rsid w:val="0072035D"/>
    <w:rsid w:val="00720968"/>
    <w:rsid w:val="00721705"/>
    <w:rsid w:val="00721B7A"/>
    <w:rsid w:val="00721D12"/>
    <w:rsid w:val="00721F8B"/>
    <w:rsid w:val="007236E0"/>
    <w:rsid w:val="007237CE"/>
    <w:rsid w:val="00724619"/>
    <w:rsid w:val="00724688"/>
    <w:rsid w:val="00725BC5"/>
    <w:rsid w:val="007260A9"/>
    <w:rsid w:val="00726C1D"/>
    <w:rsid w:val="007272F1"/>
    <w:rsid w:val="00727565"/>
    <w:rsid w:val="0073062D"/>
    <w:rsid w:val="0073093B"/>
    <w:rsid w:val="0073254D"/>
    <w:rsid w:val="007340F3"/>
    <w:rsid w:val="007347BB"/>
    <w:rsid w:val="00735704"/>
    <w:rsid w:val="00736A49"/>
    <w:rsid w:val="007419A1"/>
    <w:rsid w:val="00743B71"/>
    <w:rsid w:val="00743C2D"/>
    <w:rsid w:val="00743C3A"/>
    <w:rsid w:val="00743E36"/>
    <w:rsid w:val="00743F05"/>
    <w:rsid w:val="007441C1"/>
    <w:rsid w:val="007446F7"/>
    <w:rsid w:val="00744EBB"/>
    <w:rsid w:val="00745B0A"/>
    <w:rsid w:val="00745DBE"/>
    <w:rsid w:val="007468AC"/>
    <w:rsid w:val="00746AE2"/>
    <w:rsid w:val="00750C82"/>
    <w:rsid w:val="00750E3A"/>
    <w:rsid w:val="00752035"/>
    <w:rsid w:val="0076100C"/>
    <w:rsid w:val="007612A5"/>
    <w:rsid w:val="00763CAE"/>
    <w:rsid w:val="00763F95"/>
    <w:rsid w:val="007651ED"/>
    <w:rsid w:val="00766C87"/>
    <w:rsid w:val="00771043"/>
    <w:rsid w:val="0077272B"/>
    <w:rsid w:val="00773AF7"/>
    <w:rsid w:val="00774FFD"/>
    <w:rsid w:val="00780378"/>
    <w:rsid w:val="0078085E"/>
    <w:rsid w:val="00781BD4"/>
    <w:rsid w:val="00782562"/>
    <w:rsid w:val="007828B4"/>
    <w:rsid w:val="00784832"/>
    <w:rsid w:val="00784EA0"/>
    <w:rsid w:val="00785D77"/>
    <w:rsid w:val="00786111"/>
    <w:rsid w:val="00790963"/>
    <w:rsid w:val="0079150B"/>
    <w:rsid w:val="0079154B"/>
    <w:rsid w:val="00791EED"/>
    <w:rsid w:val="00791F1E"/>
    <w:rsid w:val="007927BE"/>
    <w:rsid w:val="007935B8"/>
    <w:rsid w:val="00794ADE"/>
    <w:rsid w:val="00794F3D"/>
    <w:rsid w:val="00795CE9"/>
    <w:rsid w:val="00796045"/>
    <w:rsid w:val="007968AC"/>
    <w:rsid w:val="007969AB"/>
    <w:rsid w:val="007973D8"/>
    <w:rsid w:val="00797453"/>
    <w:rsid w:val="00797801"/>
    <w:rsid w:val="007A0861"/>
    <w:rsid w:val="007A0B39"/>
    <w:rsid w:val="007A14A4"/>
    <w:rsid w:val="007A168F"/>
    <w:rsid w:val="007A2346"/>
    <w:rsid w:val="007A28E4"/>
    <w:rsid w:val="007A3BB3"/>
    <w:rsid w:val="007A3F91"/>
    <w:rsid w:val="007A3F9C"/>
    <w:rsid w:val="007A5AD1"/>
    <w:rsid w:val="007A5B7B"/>
    <w:rsid w:val="007A65A9"/>
    <w:rsid w:val="007A7FD8"/>
    <w:rsid w:val="007B0128"/>
    <w:rsid w:val="007B0635"/>
    <w:rsid w:val="007B0A06"/>
    <w:rsid w:val="007B0B24"/>
    <w:rsid w:val="007B0F8B"/>
    <w:rsid w:val="007B1C83"/>
    <w:rsid w:val="007B1F3A"/>
    <w:rsid w:val="007B3EB2"/>
    <w:rsid w:val="007B4181"/>
    <w:rsid w:val="007B5746"/>
    <w:rsid w:val="007B5C5C"/>
    <w:rsid w:val="007B6CE0"/>
    <w:rsid w:val="007B7B37"/>
    <w:rsid w:val="007B7C41"/>
    <w:rsid w:val="007C05C5"/>
    <w:rsid w:val="007C0715"/>
    <w:rsid w:val="007C0B04"/>
    <w:rsid w:val="007C11E9"/>
    <w:rsid w:val="007C238B"/>
    <w:rsid w:val="007C2802"/>
    <w:rsid w:val="007C3E5A"/>
    <w:rsid w:val="007C433E"/>
    <w:rsid w:val="007C4452"/>
    <w:rsid w:val="007C4B3C"/>
    <w:rsid w:val="007C4DB1"/>
    <w:rsid w:val="007C6046"/>
    <w:rsid w:val="007C605A"/>
    <w:rsid w:val="007C6F0C"/>
    <w:rsid w:val="007D0292"/>
    <w:rsid w:val="007D136C"/>
    <w:rsid w:val="007D1FCE"/>
    <w:rsid w:val="007D21AC"/>
    <w:rsid w:val="007D24B0"/>
    <w:rsid w:val="007D3882"/>
    <w:rsid w:val="007D39E4"/>
    <w:rsid w:val="007D3FE7"/>
    <w:rsid w:val="007D4CFC"/>
    <w:rsid w:val="007D568A"/>
    <w:rsid w:val="007D574E"/>
    <w:rsid w:val="007D57C0"/>
    <w:rsid w:val="007D67CB"/>
    <w:rsid w:val="007D6BFE"/>
    <w:rsid w:val="007E0112"/>
    <w:rsid w:val="007E176C"/>
    <w:rsid w:val="007E2046"/>
    <w:rsid w:val="007E3883"/>
    <w:rsid w:val="007E4876"/>
    <w:rsid w:val="007E48CD"/>
    <w:rsid w:val="007E4ACB"/>
    <w:rsid w:val="007E4FBB"/>
    <w:rsid w:val="007E55BF"/>
    <w:rsid w:val="007E59E3"/>
    <w:rsid w:val="007E5E39"/>
    <w:rsid w:val="007E71B1"/>
    <w:rsid w:val="007E7B4E"/>
    <w:rsid w:val="007E7F02"/>
    <w:rsid w:val="007F0292"/>
    <w:rsid w:val="007F0722"/>
    <w:rsid w:val="007F0AB7"/>
    <w:rsid w:val="007F0CE2"/>
    <w:rsid w:val="007F0EFF"/>
    <w:rsid w:val="007F1375"/>
    <w:rsid w:val="007F1AFD"/>
    <w:rsid w:val="007F30E4"/>
    <w:rsid w:val="0080064F"/>
    <w:rsid w:val="00801B85"/>
    <w:rsid w:val="00803239"/>
    <w:rsid w:val="00803850"/>
    <w:rsid w:val="008039E8"/>
    <w:rsid w:val="00804385"/>
    <w:rsid w:val="00804E0E"/>
    <w:rsid w:val="008051EB"/>
    <w:rsid w:val="0080588E"/>
    <w:rsid w:val="00805AFD"/>
    <w:rsid w:val="00806397"/>
    <w:rsid w:val="008078D8"/>
    <w:rsid w:val="0080798E"/>
    <w:rsid w:val="00811BD9"/>
    <w:rsid w:val="00811D5B"/>
    <w:rsid w:val="00813C51"/>
    <w:rsid w:val="00816CCB"/>
    <w:rsid w:val="00817572"/>
    <w:rsid w:val="00817662"/>
    <w:rsid w:val="00817713"/>
    <w:rsid w:val="008208C3"/>
    <w:rsid w:val="008220F1"/>
    <w:rsid w:val="0082340B"/>
    <w:rsid w:val="00823D6A"/>
    <w:rsid w:val="00827B29"/>
    <w:rsid w:val="00827DB6"/>
    <w:rsid w:val="008304B2"/>
    <w:rsid w:val="00830999"/>
    <w:rsid w:val="00830D5E"/>
    <w:rsid w:val="00830F69"/>
    <w:rsid w:val="00831940"/>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2BAA"/>
    <w:rsid w:val="00842D8F"/>
    <w:rsid w:val="0084374E"/>
    <w:rsid w:val="00844842"/>
    <w:rsid w:val="0084493E"/>
    <w:rsid w:val="00844A53"/>
    <w:rsid w:val="00844AC8"/>
    <w:rsid w:val="00844B99"/>
    <w:rsid w:val="00844DD0"/>
    <w:rsid w:val="008455C8"/>
    <w:rsid w:val="00846407"/>
    <w:rsid w:val="0085006A"/>
    <w:rsid w:val="00850127"/>
    <w:rsid w:val="0085089F"/>
    <w:rsid w:val="0085206E"/>
    <w:rsid w:val="00852273"/>
    <w:rsid w:val="0085293D"/>
    <w:rsid w:val="00852AD4"/>
    <w:rsid w:val="00852BA8"/>
    <w:rsid w:val="00852BF0"/>
    <w:rsid w:val="00853718"/>
    <w:rsid w:val="008541EF"/>
    <w:rsid w:val="00856428"/>
    <w:rsid w:val="00856AC7"/>
    <w:rsid w:val="00856FA4"/>
    <w:rsid w:val="00860869"/>
    <w:rsid w:val="00860E60"/>
    <w:rsid w:val="0086102A"/>
    <w:rsid w:val="0086162B"/>
    <w:rsid w:val="00861710"/>
    <w:rsid w:val="00861D5C"/>
    <w:rsid w:val="00861E7C"/>
    <w:rsid w:val="0086429C"/>
    <w:rsid w:val="00865207"/>
    <w:rsid w:val="008656A7"/>
    <w:rsid w:val="00865FA3"/>
    <w:rsid w:val="00866231"/>
    <w:rsid w:val="00871262"/>
    <w:rsid w:val="0087170E"/>
    <w:rsid w:val="00871D4E"/>
    <w:rsid w:val="00871E7B"/>
    <w:rsid w:val="008721BB"/>
    <w:rsid w:val="00874E5D"/>
    <w:rsid w:val="0087566D"/>
    <w:rsid w:val="00875B50"/>
    <w:rsid w:val="00875B51"/>
    <w:rsid w:val="00875F2D"/>
    <w:rsid w:val="008762E7"/>
    <w:rsid w:val="008764DC"/>
    <w:rsid w:val="00882CC2"/>
    <w:rsid w:val="00883103"/>
    <w:rsid w:val="0088325A"/>
    <w:rsid w:val="00883930"/>
    <w:rsid w:val="00884535"/>
    <w:rsid w:val="00886D10"/>
    <w:rsid w:val="008902BE"/>
    <w:rsid w:val="0089038F"/>
    <w:rsid w:val="00890CDA"/>
    <w:rsid w:val="00891BBA"/>
    <w:rsid w:val="00892079"/>
    <w:rsid w:val="00892B90"/>
    <w:rsid w:val="00896535"/>
    <w:rsid w:val="00896683"/>
    <w:rsid w:val="00896E71"/>
    <w:rsid w:val="0089750B"/>
    <w:rsid w:val="00897589"/>
    <w:rsid w:val="008A0C99"/>
    <w:rsid w:val="008A0D4F"/>
    <w:rsid w:val="008A1CC3"/>
    <w:rsid w:val="008A39D7"/>
    <w:rsid w:val="008A55DE"/>
    <w:rsid w:val="008A5705"/>
    <w:rsid w:val="008A5C34"/>
    <w:rsid w:val="008A63A9"/>
    <w:rsid w:val="008A7073"/>
    <w:rsid w:val="008A79F0"/>
    <w:rsid w:val="008A7F7E"/>
    <w:rsid w:val="008B04DB"/>
    <w:rsid w:val="008B09B4"/>
    <w:rsid w:val="008B1B11"/>
    <w:rsid w:val="008B1DF4"/>
    <w:rsid w:val="008B27FD"/>
    <w:rsid w:val="008B2FDB"/>
    <w:rsid w:val="008B3AF2"/>
    <w:rsid w:val="008B446D"/>
    <w:rsid w:val="008B515D"/>
    <w:rsid w:val="008B5D31"/>
    <w:rsid w:val="008B6705"/>
    <w:rsid w:val="008C22F3"/>
    <w:rsid w:val="008C3223"/>
    <w:rsid w:val="008C3FD0"/>
    <w:rsid w:val="008C4F01"/>
    <w:rsid w:val="008C5152"/>
    <w:rsid w:val="008C710E"/>
    <w:rsid w:val="008D1484"/>
    <w:rsid w:val="008D29E7"/>
    <w:rsid w:val="008D5104"/>
    <w:rsid w:val="008D75F4"/>
    <w:rsid w:val="008D795D"/>
    <w:rsid w:val="008D7B07"/>
    <w:rsid w:val="008E0D8F"/>
    <w:rsid w:val="008E0F4E"/>
    <w:rsid w:val="008E1E94"/>
    <w:rsid w:val="008E2D99"/>
    <w:rsid w:val="008E30D4"/>
    <w:rsid w:val="008E38B0"/>
    <w:rsid w:val="008E3C90"/>
    <w:rsid w:val="008E4831"/>
    <w:rsid w:val="008E4A60"/>
    <w:rsid w:val="008E744D"/>
    <w:rsid w:val="008F1E08"/>
    <w:rsid w:val="008F30F4"/>
    <w:rsid w:val="008F58E1"/>
    <w:rsid w:val="008F6E05"/>
    <w:rsid w:val="008F6FC8"/>
    <w:rsid w:val="0090045D"/>
    <w:rsid w:val="00900906"/>
    <w:rsid w:val="00900D8F"/>
    <w:rsid w:val="00901229"/>
    <w:rsid w:val="009014E3"/>
    <w:rsid w:val="009020ED"/>
    <w:rsid w:val="009026E8"/>
    <w:rsid w:val="00902FDD"/>
    <w:rsid w:val="00905EEF"/>
    <w:rsid w:val="00906EB7"/>
    <w:rsid w:val="00907E00"/>
    <w:rsid w:val="00907FE6"/>
    <w:rsid w:val="009102BF"/>
    <w:rsid w:val="00911490"/>
    <w:rsid w:val="009115F2"/>
    <w:rsid w:val="00911B11"/>
    <w:rsid w:val="00914ADB"/>
    <w:rsid w:val="00917182"/>
    <w:rsid w:val="00920251"/>
    <w:rsid w:val="00921CFD"/>
    <w:rsid w:val="00923B25"/>
    <w:rsid w:val="0092402E"/>
    <w:rsid w:val="009259BA"/>
    <w:rsid w:val="00926FCB"/>
    <w:rsid w:val="009303BB"/>
    <w:rsid w:val="0093108A"/>
    <w:rsid w:val="00931A65"/>
    <w:rsid w:val="00931B6D"/>
    <w:rsid w:val="0093311A"/>
    <w:rsid w:val="009346D0"/>
    <w:rsid w:val="009369A6"/>
    <w:rsid w:val="00937F57"/>
    <w:rsid w:val="0094031E"/>
    <w:rsid w:val="009419B4"/>
    <w:rsid w:val="00941A4C"/>
    <w:rsid w:val="00942645"/>
    <w:rsid w:val="009461E6"/>
    <w:rsid w:val="00950A3A"/>
    <w:rsid w:val="00952CC5"/>
    <w:rsid w:val="0095340A"/>
    <w:rsid w:val="00953AF6"/>
    <w:rsid w:val="0095423E"/>
    <w:rsid w:val="00954581"/>
    <w:rsid w:val="0095466C"/>
    <w:rsid w:val="00954E5B"/>
    <w:rsid w:val="00955100"/>
    <w:rsid w:val="00955316"/>
    <w:rsid w:val="00955E45"/>
    <w:rsid w:val="009576BC"/>
    <w:rsid w:val="00957899"/>
    <w:rsid w:val="00957927"/>
    <w:rsid w:val="00960357"/>
    <w:rsid w:val="0096168C"/>
    <w:rsid w:val="00961840"/>
    <w:rsid w:val="009625E3"/>
    <w:rsid w:val="00962F2D"/>
    <w:rsid w:val="00963A7A"/>
    <w:rsid w:val="009672CD"/>
    <w:rsid w:val="00971810"/>
    <w:rsid w:val="00972996"/>
    <w:rsid w:val="009730B4"/>
    <w:rsid w:val="0097320E"/>
    <w:rsid w:val="009732B8"/>
    <w:rsid w:val="00974647"/>
    <w:rsid w:val="0097514A"/>
    <w:rsid w:val="009759C2"/>
    <w:rsid w:val="00975C72"/>
    <w:rsid w:val="00976869"/>
    <w:rsid w:val="00977740"/>
    <w:rsid w:val="00977CB4"/>
    <w:rsid w:val="009809B8"/>
    <w:rsid w:val="00981086"/>
    <w:rsid w:val="009818AF"/>
    <w:rsid w:val="00981B1C"/>
    <w:rsid w:val="0098222D"/>
    <w:rsid w:val="009842F3"/>
    <w:rsid w:val="00984EBF"/>
    <w:rsid w:val="00985099"/>
    <w:rsid w:val="00985D32"/>
    <w:rsid w:val="00986514"/>
    <w:rsid w:val="00986FCC"/>
    <w:rsid w:val="00990194"/>
    <w:rsid w:val="00990FD6"/>
    <w:rsid w:val="009935C3"/>
    <w:rsid w:val="0099421F"/>
    <w:rsid w:val="00994FC8"/>
    <w:rsid w:val="009A0DE3"/>
    <w:rsid w:val="009A1643"/>
    <w:rsid w:val="009A215A"/>
    <w:rsid w:val="009A26B9"/>
    <w:rsid w:val="009A49D3"/>
    <w:rsid w:val="009A4F1B"/>
    <w:rsid w:val="009A66C5"/>
    <w:rsid w:val="009A66E7"/>
    <w:rsid w:val="009A79BA"/>
    <w:rsid w:val="009B10F9"/>
    <w:rsid w:val="009B14D1"/>
    <w:rsid w:val="009B1534"/>
    <w:rsid w:val="009B4706"/>
    <w:rsid w:val="009B4963"/>
    <w:rsid w:val="009B4A3B"/>
    <w:rsid w:val="009B6023"/>
    <w:rsid w:val="009B69D3"/>
    <w:rsid w:val="009B721E"/>
    <w:rsid w:val="009B7BA7"/>
    <w:rsid w:val="009B7C01"/>
    <w:rsid w:val="009C0938"/>
    <w:rsid w:val="009C0C22"/>
    <w:rsid w:val="009C15D9"/>
    <w:rsid w:val="009C1A1D"/>
    <w:rsid w:val="009C22C8"/>
    <w:rsid w:val="009C3F82"/>
    <w:rsid w:val="009C582A"/>
    <w:rsid w:val="009C5C56"/>
    <w:rsid w:val="009C72DD"/>
    <w:rsid w:val="009C78FD"/>
    <w:rsid w:val="009C7DF5"/>
    <w:rsid w:val="009D056C"/>
    <w:rsid w:val="009D060F"/>
    <w:rsid w:val="009D1ADE"/>
    <w:rsid w:val="009D297C"/>
    <w:rsid w:val="009D3652"/>
    <w:rsid w:val="009D37CA"/>
    <w:rsid w:val="009D4229"/>
    <w:rsid w:val="009D4268"/>
    <w:rsid w:val="009D5DE9"/>
    <w:rsid w:val="009E09D0"/>
    <w:rsid w:val="009E1181"/>
    <w:rsid w:val="009E1283"/>
    <w:rsid w:val="009E3A7F"/>
    <w:rsid w:val="009E43EF"/>
    <w:rsid w:val="009E4C9B"/>
    <w:rsid w:val="009E4DFC"/>
    <w:rsid w:val="009E5789"/>
    <w:rsid w:val="009E57B1"/>
    <w:rsid w:val="009E6379"/>
    <w:rsid w:val="009F020F"/>
    <w:rsid w:val="009F3B63"/>
    <w:rsid w:val="009F43E2"/>
    <w:rsid w:val="009F6292"/>
    <w:rsid w:val="009F7809"/>
    <w:rsid w:val="009F7822"/>
    <w:rsid w:val="009F7AF5"/>
    <w:rsid w:val="00A00613"/>
    <w:rsid w:val="00A006F1"/>
    <w:rsid w:val="00A007A7"/>
    <w:rsid w:val="00A00D14"/>
    <w:rsid w:val="00A01408"/>
    <w:rsid w:val="00A02457"/>
    <w:rsid w:val="00A02AA8"/>
    <w:rsid w:val="00A03190"/>
    <w:rsid w:val="00A03A9E"/>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C4F"/>
    <w:rsid w:val="00A23FE3"/>
    <w:rsid w:val="00A248C3"/>
    <w:rsid w:val="00A2496E"/>
    <w:rsid w:val="00A2515A"/>
    <w:rsid w:val="00A253E8"/>
    <w:rsid w:val="00A258B7"/>
    <w:rsid w:val="00A25A0C"/>
    <w:rsid w:val="00A25A83"/>
    <w:rsid w:val="00A262B6"/>
    <w:rsid w:val="00A305AD"/>
    <w:rsid w:val="00A31FE2"/>
    <w:rsid w:val="00A32743"/>
    <w:rsid w:val="00A40356"/>
    <w:rsid w:val="00A40FFB"/>
    <w:rsid w:val="00A41468"/>
    <w:rsid w:val="00A414A9"/>
    <w:rsid w:val="00A44141"/>
    <w:rsid w:val="00A44CCA"/>
    <w:rsid w:val="00A44D75"/>
    <w:rsid w:val="00A47CF1"/>
    <w:rsid w:val="00A50418"/>
    <w:rsid w:val="00A50B17"/>
    <w:rsid w:val="00A53A9B"/>
    <w:rsid w:val="00A54A47"/>
    <w:rsid w:val="00A5690D"/>
    <w:rsid w:val="00A56D26"/>
    <w:rsid w:val="00A571A7"/>
    <w:rsid w:val="00A5749A"/>
    <w:rsid w:val="00A575E1"/>
    <w:rsid w:val="00A57BA8"/>
    <w:rsid w:val="00A57C35"/>
    <w:rsid w:val="00A608FB"/>
    <w:rsid w:val="00A60D83"/>
    <w:rsid w:val="00A60F68"/>
    <w:rsid w:val="00A63DF3"/>
    <w:rsid w:val="00A65C78"/>
    <w:rsid w:val="00A65F67"/>
    <w:rsid w:val="00A660A8"/>
    <w:rsid w:val="00A66A45"/>
    <w:rsid w:val="00A67591"/>
    <w:rsid w:val="00A67911"/>
    <w:rsid w:val="00A67CA6"/>
    <w:rsid w:val="00A70E7B"/>
    <w:rsid w:val="00A717EA"/>
    <w:rsid w:val="00A730B0"/>
    <w:rsid w:val="00A73B84"/>
    <w:rsid w:val="00A7411D"/>
    <w:rsid w:val="00A756C4"/>
    <w:rsid w:val="00A7592B"/>
    <w:rsid w:val="00A75ED7"/>
    <w:rsid w:val="00A76094"/>
    <w:rsid w:val="00A768E2"/>
    <w:rsid w:val="00A82C52"/>
    <w:rsid w:val="00A838E8"/>
    <w:rsid w:val="00A83C15"/>
    <w:rsid w:val="00A84EC4"/>
    <w:rsid w:val="00A86CB6"/>
    <w:rsid w:val="00A90D55"/>
    <w:rsid w:val="00A90F9B"/>
    <w:rsid w:val="00A915FB"/>
    <w:rsid w:val="00A9225E"/>
    <w:rsid w:val="00A944D8"/>
    <w:rsid w:val="00A959E7"/>
    <w:rsid w:val="00A95BBA"/>
    <w:rsid w:val="00A961EE"/>
    <w:rsid w:val="00A96559"/>
    <w:rsid w:val="00A97B11"/>
    <w:rsid w:val="00A97CD9"/>
    <w:rsid w:val="00AA020A"/>
    <w:rsid w:val="00AA04B3"/>
    <w:rsid w:val="00AA1253"/>
    <w:rsid w:val="00AA1ED0"/>
    <w:rsid w:val="00AA1F5B"/>
    <w:rsid w:val="00AA28EF"/>
    <w:rsid w:val="00AA3593"/>
    <w:rsid w:val="00AA38CA"/>
    <w:rsid w:val="00AA493E"/>
    <w:rsid w:val="00AA4CCF"/>
    <w:rsid w:val="00AA73AF"/>
    <w:rsid w:val="00AB062D"/>
    <w:rsid w:val="00AB0A8A"/>
    <w:rsid w:val="00AB1754"/>
    <w:rsid w:val="00AB1F8D"/>
    <w:rsid w:val="00AB27DD"/>
    <w:rsid w:val="00AB4BA4"/>
    <w:rsid w:val="00AB592E"/>
    <w:rsid w:val="00AC0C1C"/>
    <w:rsid w:val="00AC1305"/>
    <w:rsid w:val="00AC37BE"/>
    <w:rsid w:val="00AC439D"/>
    <w:rsid w:val="00AC62CC"/>
    <w:rsid w:val="00AC713F"/>
    <w:rsid w:val="00AC7329"/>
    <w:rsid w:val="00AC7D96"/>
    <w:rsid w:val="00AD00E4"/>
    <w:rsid w:val="00AD067E"/>
    <w:rsid w:val="00AD168B"/>
    <w:rsid w:val="00AD1B4E"/>
    <w:rsid w:val="00AD26DE"/>
    <w:rsid w:val="00AD2801"/>
    <w:rsid w:val="00AD3496"/>
    <w:rsid w:val="00AD426A"/>
    <w:rsid w:val="00AD49A1"/>
    <w:rsid w:val="00AD5771"/>
    <w:rsid w:val="00AD6870"/>
    <w:rsid w:val="00AD68C5"/>
    <w:rsid w:val="00AD7F8F"/>
    <w:rsid w:val="00AE0BF9"/>
    <w:rsid w:val="00AE1273"/>
    <w:rsid w:val="00AE18C5"/>
    <w:rsid w:val="00AE2540"/>
    <w:rsid w:val="00AE2CF4"/>
    <w:rsid w:val="00AE2D29"/>
    <w:rsid w:val="00AE2F15"/>
    <w:rsid w:val="00AE4624"/>
    <w:rsid w:val="00AE4B3E"/>
    <w:rsid w:val="00AE4B90"/>
    <w:rsid w:val="00AE5E14"/>
    <w:rsid w:val="00AE6115"/>
    <w:rsid w:val="00AE625B"/>
    <w:rsid w:val="00AE6F15"/>
    <w:rsid w:val="00AF01B2"/>
    <w:rsid w:val="00AF1103"/>
    <w:rsid w:val="00AF1668"/>
    <w:rsid w:val="00AF25B2"/>
    <w:rsid w:val="00AF28DE"/>
    <w:rsid w:val="00AF41EE"/>
    <w:rsid w:val="00AF4FA5"/>
    <w:rsid w:val="00AF5BB4"/>
    <w:rsid w:val="00AF6ECC"/>
    <w:rsid w:val="00B02145"/>
    <w:rsid w:val="00B022DC"/>
    <w:rsid w:val="00B04562"/>
    <w:rsid w:val="00B0472F"/>
    <w:rsid w:val="00B06930"/>
    <w:rsid w:val="00B072B3"/>
    <w:rsid w:val="00B0773A"/>
    <w:rsid w:val="00B07955"/>
    <w:rsid w:val="00B1176B"/>
    <w:rsid w:val="00B140B8"/>
    <w:rsid w:val="00B14FAA"/>
    <w:rsid w:val="00B15BED"/>
    <w:rsid w:val="00B15D30"/>
    <w:rsid w:val="00B15F09"/>
    <w:rsid w:val="00B16D18"/>
    <w:rsid w:val="00B177DE"/>
    <w:rsid w:val="00B20624"/>
    <w:rsid w:val="00B21F2F"/>
    <w:rsid w:val="00B23436"/>
    <w:rsid w:val="00B237F1"/>
    <w:rsid w:val="00B23F10"/>
    <w:rsid w:val="00B24328"/>
    <w:rsid w:val="00B24761"/>
    <w:rsid w:val="00B24ED4"/>
    <w:rsid w:val="00B24F33"/>
    <w:rsid w:val="00B26354"/>
    <w:rsid w:val="00B26CA0"/>
    <w:rsid w:val="00B300BD"/>
    <w:rsid w:val="00B31965"/>
    <w:rsid w:val="00B32179"/>
    <w:rsid w:val="00B32341"/>
    <w:rsid w:val="00B32685"/>
    <w:rsid w:val="00B32C2B"/>
    <w:rsid w:val="00B33007"/>
    <w:rsid w:val="00B331A9"/>
    <w:rsid w:val="00B33498"/>
    <w:rsid w:val="00B33598"/>
    <w:rsid w:val="00B3575C"/>
    <w:rsid w:val="00B36569"/>
    <w:rsid w:val="00B36811"/>
    <w:rsid w:val="00B37345"/>
    <w:rsid w:val="00B37F53"/>
    <w:rsid w:val="00B40A05"/>
    <w:rsid w:val="00B40A3E"/>
    <w:rsid w:val="00B427BB"/>
    <w:rsid w:val="00B43BA2"/>
    <w:rsid w:val="00B449EE"/>
    <w:rsid w:val="00B454AE"/>
    <w:rsid w:val="00B50227"/>
    <w:rsid w:val="00B50510"/>
    <w:rsid w:val="00B522CD"/>
    <w:rsid w:val="00B55143"/>
    <w:rsid w:val="00B553B2"/>
    <w:rsid w:val="00B555C8"/>
    <w:rsid w:val="00B55917"/>
    <w:rsid w:val="00B55D87"/>
    <w:rsid w:val="00B5646A"/>
    <w:rsid w:val="00B56F3D"/>
    <w:rsid w:val="00B57921"/>
    <w:rsid w:val="00B57E78"/>
    <w:rsid w:val="00B57EB8"/>
    <w:rsid w:val="00B609F6"/>
    <w:rsid w:val="00B60E75"/>
    <w:rsid w:val="00B643A6"/>
    <w:rsid w:val="00B64DD6"/>
    <w:rsid w:val="00B66505"/>
    <w:rsid w:val="00B6710C"/>
    <w:rsid w:val="00B67E84"/>
    <w:rsid w:val="00B72076"/>
    <w:rsid w:val="00B72303"/>
    <w:rsid w:val="00B727A9"/>
    <w:rsid w:val="00B72C72"/>
    <w:rsid w:val="00B72ED9"/>
    <w:rsid w:val="00B731E4"/>
    <w:rsid w:val="00B74A7B"/>
    <w:rsid w:val="00B751CE"/>
    <w:rsid w:val="00B75A8B"/>
    <w:rsid w:val="00B75B61"/>
    <w:rsid w:val="00B76796"/>
    <w:rsid w:val="00B771E0"/>
    <w:rsid w:val="00B7793B"/>
    <w:rsid w:val="00B77EE7"/>
    <w:rsid w:val="00B80EDD"/>
    <w:rsid w:val="00B812BD"/>
    <w:rsid w:val="00B81964"/>
    <w:rsid w:val="00B82277"/>
    <w:rsid w:val="00B83F87"/>
    <w:rsid w:val="00B84135"/>
    <w:rsid w:val="00B8478F"/>
    <w:rsid w:val="00B84F93"/>
    <w:rsid w:val="00B91676"/>
    <w:rsid w:val="00B9322B"/>
    <w:rsid w:val="00B93640"/>
    <w:rsid w:val="00B955D5"/>
    <w:rsid w:val="00B95833"/>
    <w:rsid w:val="00BA1824"/>
    <w:rsid w:val="00BA2D98"/>
    <w:rsid w:val="00BA2F0C"/>
    <w:rsid w:val="00BA30D1"/>
    <w:rsid w:val="00BA30E1"/>
    <w:rsid w:val="00BA4609"/>
    <w:rsid w:val="00BA4C36"/>
    <w:rsid w:val="00BA5912"/>
    <w:rsid w:val="00BA5BE2"/>
    <w:rsid w:val="00BA6A9C"/>
    <w:rsid w:val="00BA7F46"/>
    <w:rsid w:val="00BB0388"/>
    <w:rsid w:val="00BB0A0A"/>
    <w:rsid w:val="00BB133C"/>
    <w:rsid w:val="00BB1420"/>
    <w:rsid w:val="00BB1F04"/>
    <w:rsid w:val="00BB45B5"/>
    <w:rsid w:val="00BB4DDE"/>
    <w:rsid w:val="00BB6064"/>
    <w:rsid w:val="00BB65CE"/>
    <w:rsid w:val="00BB7012"/>
    <w:rsid w:val="00BC09D1"/>
    <w:rsid w:val="00BC1703"/>
    <w:rsid w:val="00BC1CF3"/>
    <w:rsid w:val="00BC2BE0"/>
    <w:rsid w:val="00BC3573"/>
    <w:rsid w:val="00BC5860"/>
    <w:rsid w:val="00BC7F82"/>
    <w:rsid w:val="00BD1844"/>
    <w:rsid w:val="00BD2A49"/>
    <w:rsid w:val="00BD3683"/>
    <w:rsid w:val="00BD40AB"/>
    <w:rsid w:val="00BD40DE"/>
    <w:rsid w:val="00BD6297"/>
    <w:rsid w:val="00BD6806"/>
    <w:rsid w:val="00BD6939"/>
    <w:rsid w:val="00BD7433"/>
    <w:rsid w:val="00BD7831"/>
    <w:rsid w:val="00BD7C10"/>
    <w:rsid w:val="00BE046F"/>
    <w:rsid w:val="00BE0DEB"/>
    <w:rsid w:val="00BE229C"/>
    <w:rsid w:val="00BE2AB8"/>
    <w:rsid w:val="00BE2FC1"/>
    <w:rsid w:val="00BE3142"/>
    <w:rsid w:val="00BE4039"/>
    <w:rsid w:val="00BE6365"/>
    <w:rsid w:val="00BF01B7"/>
    <w:rsid w:val="00BF0B7F"/>
    <w:rsid w:val="00BF0E94"/>
    <w:rsid w:val="00BF2988"/>
    <w:rsid w:val="00BF3FB9"/>
    <w:rsid w:val="00BF4012"/>
    <w:rsid w:val="00BF4720"/>
    <w:rsid w:val="00BF4F49"/>
    <w:rsid w:val="00BF6759"/>
    <w:rsid w:val="00BF70A6"/>
    <w:rsid w:val="00BF7B4F"/>
    <w:rsid w:val="00BF7B63"/>
    <w:rsid w:val="00BF7F3C"/>
    <w:rsid w:val="00C005D4"/>
    <w:rsid w:val="00C0359D"/>
    <w:rsid w:val="00C038EC"/>
    <w:rsid w:val="00C03C21"/>
    <w:rsid w:val="00C05C6D"/>
    <w:rsid w:val="00C072D7"/>
    <w:rsid w:val="00C078A0"/>
    <w:rsid w:val="00C10302"/>
    <w:rsid w:val="00C104DB"/>
    <w:rsid w:val="00C10A22"/>
    <w:rsid w:val="00C10F5B"/>
    <w:rsid w:val="00C1122B"/>
    <w:rsid w:val="00C127F2"/>
    <w:rsid w:val="00C13B34"/>
    <w:rsid w:val="00C13F26"/>
    <w:rsid w:val="00C1474E"/>
    <w:rsid w:val="00C14C37"/>
    <w:rsid w:val="00C157AA"/>
    <w:rsid w:val="00C162E1"/>
    <w:rsid w:val="00C16BE4"/>
    <w:rsid w:val="00C16E9F"/>
    <w:rsid w:val="00C1713D"/>
    <w:rsid w:val="00C17523"/>
    <w:rsid w:val="00C177F1"/>
    <w:rsid w:val="00C17EE6"/>
    <w:rsid w:val="00C217F7"/>
    <w:rsid w:val="00C2272E"/>
    <w:rsid w:val="00C22F3A"/>
    <w:rsid w:val="00C23311"/>
    <w:rsid w:val="00C24AD9"/>
    <w:rsid w:val="00C25978"/>
    <w:rsid w:val="00C261C6"/>
    <w:rsid w:val="00C26621"/>
    <w:rsid w:val="00C26B27"/>
    <w:rsid w:val="00C26E7C"/>
    <w:rsid w:val="00C276CD"/>
    <w:rsid w:val="00C27827"/>
    <w:rsid w:val="00C3058F"/>
    <w:rsid w:val="00C30A97"/>
    <w:rsid w:val="00C31DDC"/>
    <w:rsid w:val="00C3223A"/>
    <w:rsid w:val="00C34168"/>
    <w:rsid w:val="00C34247"/>
    <w:rsid w:val="00C34326"/>
    <w:rsid w:val="00C34CEB"/>
    <w:rsid w:val="00C36201"/>
    <w:rsid w:val="00C368E8"/>
    <w:rsid w:val="00C36C3D"/>
    <w:rsid w:val="00C372C7"/>
    <w:rsid w:val="00C376A7"/>
    <w:rsid w:val="00C42443"/>
    <w:rsid w:val="00C42CBA"/>
    <w:rsid w:val="00C4338C"/>
    <w:rsid w:val="00C43C2B"/>
    <w:rsid w:val="00C45B27"/>
    <w:rsid w:val="00C4652E"/>
    <w:rsid w:val="00C472C7"/>
    <w:rsid w:val="00C5019E"/>
    <w:rsid w:val="00C50C8C"/>
    <w:rsid w:val="00C51962"/>
    <w:rsid w:val="00C5377C"/>
    <w:rsid w:val="00C53E8A"/>
    <w:rsid w:val="00C54DF3"/>
    <w:rsid w:val="00C560A7"/>
    <w:rsid w:val="00C56FC8"/>
    <w:rsid w:val="00C60F23"/>
    <w:rsid w:val="00C6170B"/>
    <w:rsid w:val="00C62EB2"/>
    <w:rsid w:val="00C63431"/>
    <w:rsid w:val="00C64C87"/>
    <w:rsid w:val="00C65414"/>
    <w:rsid w:val="00C665FE"/>
    <w:rsid w:val="00C71BEC"/>
    <w:rsid w:val="00C73942"/>
    <w:rsid w:val="00C73A83"/>
    <w:rsid w:val="00C74D3A"/>
    <w:rsid w:val="00C75F3D"/>
    <w:rsid w:val="00C80511"/>
    <w:rsid w:val="00C80655"/>
    <w:rsid w:val="00C81937"/>
    <w:rsid w:val="00C826F5"/>
    <w:rsid w:val="00C83740"/>
    <w:rsid w:val="00C84527"/>
    <w:rsid w:val="00C84AD1"/>
    <w:rsid w:val="00C85579"/>
    <w:rsid w:val="00C8590C"/>
    <w:rsid w:val="00C862F1"/>
    <w:rsid w:val="00C863E5"/>
    <w:rsid w:val="00C87BE6"/>
    <w:rsid w:val="00C87F76"/>
    <w:rsid w:val="00C931FC"/>
    <w:rsid w:val="00C932C5"/>
    <w:rsid w:val="00C94CB6"/>
    <w:rsid w:val="00C95299"/>
    <w:rsid w:val="00C95A72"/>
    <w:rsid w:val="00C9650E"/>
    <w:rsid w:val="00C97000"/>
    <w:rsid w:val="00C975BD"/>
    <w:rsid w:val="00CA068D"/>
    <w:rsid w:val="00CA08DF"/>
    <w:rsid w:val="00CA1228"/>
    <w:rsid w:val="00CA1C73"/>
    <w:rsid w:val="00CA282D"/>
    <w:rsid w:val="00CA3F73"/>
    <w:rsid w:val="00CA4670"/>
    <w:rsid w:val="00CA5F89"/>
    <w:rsid w:val="00CA6B1A"/>
    <w:rsid w:val="00CB1B18"/>
    <w:rsid w:val="00CB20DC"/>
    <w:rsid w:val="00CB23DC"/>
    <w:rsid w:val="00CB2487"/>
    <w:rsid w:val="00CB28E2"/>
    <w:rsid w:val="00CB2F20"/>
    <w:rsid w:val="00CB3395"/>
    <w:rsid w:val="00CB5801"/>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D78A5"/>
    <w:rsid w:val="00CE02E8"/>
    <w:rsid w:val="00CE069E"/>
    <w:rsid w:val="00CE0DE0"/>
    <w:rsid w:val="00CE2CC2"/>
    <w:rsid w:val="00CE3722"/>
    <w:rsid w:val="00CF158D"/>
    <w:rsid w:val="00CF2166"/>
    <w:rsid w:val="00CF4340"/>
    <w:rsid w:val="00CF4394"/>
    <w:rsid w:val="00CF48B4"/>
    <w:rsid w:val="00CF5C12"/>
    <w:rsid w:val="00CF7B72"/>
    <w:rsid w:val="00D000A9"/>
    <w:rsid w:val="00D00384"/>
    <w:rsid w:val="00D005DB"/>
    <w:rsid w:val="00D0064E"/>
    <w:rsid w:val="00D00981"/>
    <w:rsid w:val="00D02596"/>
    <w:rsid w:val="00D0280D"/>
    <w:rsid w:val="00D02AEF"/>
    <w:rsid w:val="00D03EC9"/>
    <w:rsid w:val="00D040AF"/>
    <w:rsid w:val="00D05669"/>
    <w:rsid w:val="00D061EB"/>
    <w:rsid w:val="00D06952"/>
    <w:rsid w:val="00D07A72"/>
    <w:rsid w:val="00D10577"/>
    <w:rsid w:val="00D12405"/>
    <w:rsid w:val="00D12A4E"/>
    <w:rsid w:val="00D1323B"/>
    <w:rsid w:val="00D14BAE"/>
    <w:rsid w:val="00D15107"/>
    <w:rsid w:val="00D1648B"/>
    <w:rsid w:val="00D16819"/>
    <w:rsid w:val="00D17953"/>
    <w:rsid w:val="00D17DD9"/>
    <w:rsid w:val="00D20AC0"/>
    <w:rsid w:val="00D229E7"/>
    <w:rsid w:val="00D2321B"/>
    <w:rsid w:val="00D23350"/>
    <w:rsid w:val="00D237E7"/>
    <w:rsid w:val="00D23DE4"/>
    <w:rsid w:val="00D25A5C"/>
    <w:rsid w:val="00D26873"/>
    <w:rsid w:val="00D27C99"/>
    <w:rsid w:val="00D31683"/>
    <w:rsid w:val="00D33452"/>
    <w:rsid w:val="00D336C8"/>
    <w:rsid w:val="00D339E8"/>
    <w:rsid w:val="00D33FDD"/>
    <w:rsid w:val="00D3654A"/>
    <w:rsid w:val="00D3662E"/>
    <w:rsid w:val="00D373F1"/>
    <w:rsid w:val="00D37567"/>
    <w:rsid w:val="00D40B1F"/>
    <w:rsid w:val="00D40D75"/>
    <w:rsid w:val="00D43978"/>
    <w:rsid w:val="00D43CBD"/>
    <w:rsid w:val="00D449F0"/>
    <w:rsid w:val="00D462D7"/>
    <w:rsid w:val="00D46A33"/>
    <w:rsid w:val="00D46CF8"/>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1ABB"/>
    <w:rsid w:val="00D62D5C"/>
    <w:rsid w:val="00D63577"/>
    <w:rsid w:val="00D63899"/>
    <w:rsid w:val="00D67FD7"/>
    <w:rsid w:val="00D704E4"/>
    <w:rsid w:val="00D72410"/>
    <w:rsid w:val="00D73D53"/>
    <w:rsid w:val="00D7402C"/>
    <w:rsid w:val="00D7408A"/>
    <w:rsid w:val="00D74261"/>
    <w:rsid w:val="00D7441B"/>
    <w:rsid w:val="00D75589"/>
    <w:rsid w:val="00D76AB2"/>
    <w:rsid w:val="00D80490"/>
    <w:rsid w:val="00D828F9"/>
    <w:rsid w:val="00D829AD"/>
    <w:rsid w:val="00D82EE2"/>
    <w:rsid w:val="00D83D1B"/>
    <w:rsid w:val="00D84133"/>
    <w:rsid w:val="00D84B8D"/>
    <w:rsid w:val="00D8545C"/>
    <w:rsid w:val="00D86AB5"/>
    <w:rsid w:val="00D86E57"/>
    <w:rsid w:val="00D876AD"/>
    <w:rsid w:val="00D87788"/>
    <w:rsid w:val="00D877C8"/>
    <w:rsid w:val="00D91040"/>
    <w:rsid w:val="00D910C2"/>
    <w:rsid w:val="00D9168C"/>
    <w:rsid w:val="00D9189B"/>
    <w:rsid w:val="00D91DA6"/>
    <w:rsid w:val="00D921A0"/>
    <w:rsid w:val="00D93A41"/>
    <w:rsid w:val="00D93B9A"/>
    <w:rsid w:val="00D95984"/>
    <w:rsid w:val="00D95C64"/>
    <w:rsid w:val="00D9706F"/>
    <w:rsid w:val="00D972D4"/>
    <w:rsid w:val="00DA0FE3"/>
    <w:rsid w:val="00DA195B"/>
    <w:rsid w:val="00DA27F3"/>
    <w:rsid w:val="00DA2D1E"/>
    <w:rsid w:val="00DA3EC8"/>
    <w:rsid w:val="00DA40C1"/>
    <w:rsid w:val="00DA5564"/>
    <w:rsid w:val="00DA6B55"/>
    <w:rsid w:val="00DA6B97"/>
    <w:rsid w:val="00DA6CEE"/>
    <w:rsid w:val="00DB0015"/>
    <w:rsid w:val="00DB0359"/>
    <w:rsid w:val="00DB0ABB"/>
    <w:rsid w:val="00DB2AAD"/>
    <w:rsid w:val="00DB44E2"/>
    <w:rsid w:val="00DB4A6D"/>
    <w:rsid w:val="00DB5941"/>
    <w:rsid w:val="00DB626D"/>
    <w:rsid w:val="00DB6365"/>
    <w:rsid w:val="00DB756C"/>
    <w:rsid w:val="00DC07B7"/>
    <w:rsid w:val="00DC0BF1"/>
    <w:rsid w:val="00DC17F2"/>
    <w:rsid w:val="00DC4001"/>
    <w:rsid w:val="00DC41C3"/>
    <w:rsid w:val="00DC4A3C"/>
    <w:rsid w:val="00DC4FA4"/>
    <w:rsid w:val="00DC5B37"/>
    <w:rsid w:val="00DD286D"/>
    <w:rsid w:val="00DD2CAF"/>
    <w:rsid w:val="00DD3593"/>
    <w:rsid w:val="00DD64E0"/>
    <w:rsid w:val="00DD775C"/>
    <w:rsid w:val="00DD7BE0"/>
    <w:rsid w:val="00DE0C67"/>
    <w:rsid w:val="00DE3AAD"/>
    <w:rsid w:val="00DE598A"/>
    <w:rsid w:val="00DE6952"/>
    <w:rsid w:val="00DE6FBE"/>
    <w:rsid w:val="00DE7A7D"/>
    <w:rsid w:val="00DE7E74"/>
    <w:rsid w:val="00DF071B"/>
    <w:rsid w:val="00DF27A9"/>
    <w:rsid w:val="00DF5C84"/>
    <w:rsid w:val="00DF5EC0"/>
    <w:rsid w:val="00DF6EF8"/>
    <w:rsid w:val="00DF6EFE"/>
    <w:rsid w:val="00E00A69"/>
    <w:rsid w:val="00E017BC"/>
    <w:rsid w:val="00E017F0"/>
    <w:rsid w:val="00E01A0E"/>
    <w:rsid w:val="00E025FE"/>
    <w:rsid w:val="00E0346A"/>
    <w:rsid w:val="00E041E4"/>
    <w:rsid w:val="00E04AEE"/>
    <w:rsid w:val="00E06BBD"/>
    <w:rsid w:val="00E100E3"/>
    <w:rsid w:val="00E1012B"/>
    <w:rsid w:val="00E103C8"/>
    <w:rsid w:val="00E1085B"/>
    <w:rsid w:val="00E1308B"/>
    <w:rsid w:val="00E14581"/>
    <w:rsid w:val="00E14623"/>
    <w:rsid w:val="00E15539"/>
    <w:rsid w:val="00E16541"/>
    <w:rsid w:val="00E17EC9"/>
    <w:rsid w:val="00E202F4"/>
    <w:rsid w:val="00E207C3"/>
    <w:rsid w:val="00E21386"/>
    <w:rsid w:val="00E2421B"/>
    <w:rsid w:val="00E242AF"/>
    <w:rsid w:val="00E24849"/>
    <w:rsid w:val="00E2536E"/>
    <w:rsid w:val="00E25A99"/>
    <w:rsid w:val="00E25B8A"/>
    <w:rsid w:val="00E25EF8"/>
    <w:rsid w:val="00E2632B"/>
    <w:rsid w:val="00E26F75"/>
    <w:rsid w:val="00E27423"/>
    <w:rsid w:val="00E27D88"/>
    <w:rsid w:val="00E3077F"/>
    <w:rsid w:val="00E322F7"/>
    <w:rsid w:val="00E3369B"/>
    <w:rsid w:val="00E362D2"/>
    <w:rsid w:val="00E36D76"/>
    <w:rsid w:val="00E40478"/>
    <w:rsid w:val="00E405EA"/>
    <w:rsid w:val="00E408B7"/>
    <w:rsid w:val="00E412EB"/>
    <w:rsid w:val="00E41637"/>
    <w:rsid w:val="00E42789"/>
    <w:rsid w:val="00E43F59"/>
    <w:rsid w:val="00E464F0"/>
    <w:rsid w:val="00E46EF3"/>
    <w:rsid w:val="00E47370"/>
    <w:rsid w:val="00E473E9"/>
    <w:rsid w:val="00E47B47"/>
    <w:rsid w:val="00E50BEB"/>
    <w:rsid w:val="00E53460"/>
    <w:rsid w:val="00E548FA"/>
    <w:rsid w:val="00E55CD9"/>
    <w:rsid w:val="00E565EA"/>
    <w:rsid w:val="00E57703"/>
    <w:rsid w:val="00E57ED4"/>
    <w:rsid w:val="00E57FED"/>
    <w:rsid w:val="00E6092F"/>
    <w:rsid w:val="00E61EE9"/>
    <w:rsid w:val="00E62049"/>
    <w:rsid w:val="00E629DA"/>
    <w:rsid w:val="00E64374"/>
    <w:rsid w:val="00E6451F"/>
    <w:rsid w:val="00E6469F"/>
    <w:rsid w:val="00E6546A"/>
    <w:rsid w:val="00E65C05"/>
    <w:rsid w:val="00E65D39"/>
    <w:rsid w:val="00E670F8"/>
    <w:rsid w:val="00E6741B"/>
    <w:rsid w:val="00E67FAC"/>
    <w:rsid w:val="00E70164"/>
    <w:rsid w:val="00E71485"/>
    <w:rsid w:val="00E7158F"/>
    <w:rsid w:val="00E7200B"/>
    <w:rsid w:val="00E738CB"/>
    <w:rsid w:val="00E73C88"/>
    <w:rsid w:val="00E74437"/>
    <w:rsid w:val="00E7443D"/>
    <w:rsid w:val="00E75ACE"/>
    <w:rsid w:val="00E771AF"/>
    <w:rsid w:val="00E80386"/>
    <w:rsid w:val="00E809C3"/>
    <w:rsid w:val="00E814D4"/>
    <w:rsid w:val="00E81A1A"/>
    <w:rsid w:val="00E81C3E"/>
    <w:rsid w:val="00E82359"/>
    <w:rsid w:val="00E82B6D"/>
    <w:rsid w:val="00E83187"/>
    <w:rsid w:val="00E831E9"/>
    <w:rsid w:val="00E84DDA"/>
    <w:rsid w:val="00E8608F"/>
    <w:rsid w:val="00E86C1D"/>
    <w:rsid w:val="00E90703"/>
    <w:rsid w:val="00E90A62"/>
    <w:rsid w:val="00E9265E"/>
    <w:rsid w:val="00E956DB"/>
    <w:rsid w:val="00E9763D"/>
    <w:rsid w:val="00EA1177"/>
    <w:rsid w:val="00EA118B"/>
    <w:rsid w:val="00EA11B6"/>
    <w:rsid w:val="00EA2181"/>
    <w:rsid w:val="00EA2DD8"/>
    <w:rsid w:val="00EA30FC"/>
    <w:rsid w:val="00EA4475"/>
    <w:rsid w:val="00EA52FE"/>
    <w:rsid w:val="00EA681F"/>
    <w:rsid w:val="00EB04C6"/>
    <w:rsid w:val="00EB06A6"/>
    <w:rsid w:val="00EB29EA"/>
    <w:rsid w:val="00EB3307"/>
    <w:rsid w:val="00EB3823"/>
    <w:rsid w:val="00EB3CBB"/>
    <w:rsid w:val="00EB47D8"/>
    <w:rsid w:val="00EB57D3"/>
    <w:rsid w:val="00EB5EFD"/>
    <w:rsid w:val="00EB679F"/>
    <w:rsid w:val="00EB76E4"/>
    <w:rsid w:val="00EC0E65"/>
    <w:rsid w:val="00EC1251"/>
    <w:rsid w:val="00EC2938"/>
    <w:rsid w:val="00EC337D"/>
    <w:rsid w:val="00EC38EF"/>
    <w:rsid w:val="00EC50C9"/>
    <w:rsid w:val="00EC58B4"/>
    <w:rsid w:val="00EC5BB2"/>
    <w:rsid w:val="00EC75AF"/>
    <w:rsid w:val="00ED12F0"/>
    <w:rsid w:val="00ED2874"/>
    <w:rsid w:val="00ED290C"/>
    <w:rsid w:val="00ED2A6C"/>
    <w:rsid w:val="00ED4773"/>
    <w:rsid w:val="00ED5284"/>
    <w:rsid w:val="00ED664B"/>
    <w:rsid w:val="00ED6A61"/>
    <w:rsid w:val="00ED768E"/>
    <w:rsid w:val="00ED7DA4"/>
    <w:rsid w:val="00EE03BB"/>
    <w:rsid w:val="00EE0552"/>
    <w:rsid w:val="00EE0B44"/>
    <w:rsid w:val="00EE125D"/>
    <w:rsid w:val="00EE23DE"/>
    <w:rsid w:val="00EE48BB"/>
    <w:rsid w:val="00EE6FE0"/>
    <w:rsid w:val="00EE704A"/>
    <w:rsid w:val="00EE7840"/>
    <w:rsid w:val="00EF2E75"/>
    <w:rsid w:val="00EF4C74"/>
    <w:rsid w:val="00EF5268"/>
    <w:rsid w:val="00EF608E"/>
    <w:rsid w:val="00EF6C4A"/>
    <w:rsid w:val="00F0044B"/>
    <w:rsid w:val="00F00E60"/>
    <w:rsid w:val="00F016EA"/>
    <w:rsid w:val="00F02F9F"/>
    <w:rsid w:val="00F03525"/>
    <w:rsid w:val="00F039A8"/>
    <w:rsid w:val="00F0424D"/>
    <w:rsid w:val="00F04957"/>
    <w:rsid w:val="00F053F0"/>
    <w:rsid w:val="00F05807"/>
    <w:rsid w:val="00F06451"/>
    <w:rsid w:val="00F07052"/>
    <w:rsid w:val="00F0706C"/>
    <w:rsid w:val="00F11EBE"/>
    <w:rsid w:val="00F12293"/>
    <w:rsid w:val="00F12BA8"/>
    <w:rsid w:val="00F12D7A"/>
    <w:rsid w:val="00F130D0"/>
    <w:rsid w:val="00F13AC6"/>
    <w:rsid w:val="00F14933"/>
    <w:rsid w:val="00F1516A"/>
    <w:rsid w:val="00F15EE5"/>
    <w:rsid w:val="00F171F9"/>
    <w:rsid w:val="00F1737C"/>
    <w:rsid w:val="00F173AA"/>
    <w:rsid w:val="00F22A26"/>
    <w:rsid w:val="00F24072"/>
    <w:rsid w:val="00F26432"/>
    <w:rsid w:val="00F3197A"/>
    <w:rsid w:val="00F32139"/>
    <w:rsid w:val="00F33CF0"/>
    <w:rsid w:val="00F33D56"/>
    <w:rsid w:val="00F34E08"/>
    <w:rsid w:val="00F41D91"/>
    <w:rsid w:val="00F41F52"/>
    <w:rsid w:val="00F41FA1"/>
    <w:rsid w:val="00F42363"/>
    <w:rsid w:val="00F427C4"/>
    <w:rsid w:val="00F43D6C"/>
    <w:rsid w:val="00F46964"/>
    <w:rsid w:val="00F46F9A"/>
    <w:rsid w:val="00F470FD"/>
    <w:rsid w:val="00F50F30"/>
    <w:rsid w:val="00F5126A"/>
    <w:rsid w:val="00F5126E"/>
    <w:rsid w:val="00F516EF"/>
    <w:rsid w:val="00F51755"/>
    <w:rsid w:val="00F531D9"/>
    <w:rsid w:val="00F54D8E"/>
    <w:rsid w:val="00F5580D"/>
    <w:rsid w:val="00F56EA1"/>
    <w:rsid w:val="00F606D5"/>
    <w:rsid w:val="00F611B3"/>
    <w:rsid w:val="00F6196E"/>
    <w:rsid w:val="00F61CCC"/>
    <w:rsid w:val="00F624DD"/>
    <w:rsid w:val="00F629C0"/>
    <w:rsid w:val="00F63FC7"/>
    <w:rsid w:val="00F65E1F"/>
    <w:rsid w:val="00F65ED5"/>
    <w:rsid w:val="00F6608B"/>
    <w:rsid w:val="00F6636A"/>
    <w:rsid w:val="00F667C5"/>
    <w:rsid w:val="00F67E31"/>
    <w:rsid w:val="00F70B44"/>
    <w:rsid w:val="00F71436"/>
    <w:rsid w:val="00F718A8"/>
    <w:rsid w:val="00F7207E"/>
    <w:rsid w:val="00F72183"/>
    <w:rsid w:val="00F75C12"/>
    <w:rsid w:val="00F76D01"/>
    <w:rsid w:val="00F80B43"/>
    <w:rsid w:val="00F80C97"/>
    <w:rsid w:val="00F81C35"/>
    <w:rsid w:val="00F82981"/>
    <w:rsid w:val="00F8311F"/>
    <w:rsid w:val="00F83248"/>
    <w:rsid w:val="00F83376"/>
    <w:rsid w:val="00F853AE"/>
    <w:rsid w:val="00F908D5"/>
    <w:rsid w:val="00F913B9"/>
    <w:rsid w:val="00F93C74"/>
    <w:rsid w:val="00F93DCC"/>
    <w:rsid w:val="00F9435D"/>
    <w:rsid w:val="00F966F9"/>
    <w:rsid w:val="00F96F61"/>
    <w:rsid w:val="00F97740"/>
    <w:rsid w:val="00FA0C8F"/>
    <w:rsid w:val="00FA2BDE"/>
    <w:rsid w:val="00FA2DEF"/>
    <w:rsid w:val="00FA2F7B"/>
    <w:rsid w:val="00FA3C90"/>
    <w:rsid w:val="00FA3C97"/>
    <w:rsid w:val="00FA3D30"/>
    <w:rsid w:val="00FA4B49"/>
    <w:rsid w:val="00FA54F8"/>
    <w:rsid w:val="00FA78C8"/>
    <w:rsid w:val="00FA7A2F"/>
    <w:rsid w:val="00FB09FE"/>
    <w:rsid w:val="00FB0E80"/>
    <w:rsid w:val="00FB101D"/>
    <w:rsid w:val="00FB1725"/>
    <w:rsid w:val="00FB2493"/>
    <w:rsid w:val="00FB42B7"/>
    <w:rsid w:val="00FB4484"/>
    <w:rsid w:val="00FB593A"/>
    <w:rsid w:val="00FB6410"/>
    <w:rsid w:val="00FB6E82"/>
    <w:rsid w:val="00FB792E"/>
    <w:rsid w:val="00FB7CF0"/>
    <w:rsid w:val="00FC0042"/>
    <w:rsid w:val="00FC1E67"/>
    <w:rsid w:val="00FC2A13"/>
    <w:rsid w:val="00FC4284"/>
    <w:rsid w:val="00FC4576"/>
    <w:rsid w:val="00FC5FF5"/>
    <w:rsid w:val="00FC6285"/>
    <w:rsid w:val="00FC78FB"/>
    <w:rsid w:val="00FC7DBC"/>
    <w:rsid w:val="00FD076A"/>
    <w:rsid w:val="00FD0AA0"/>
    <w:rsid w:val="00FD1D5A"/>
    <w:rsid w:val="00FD24D3"/>
    <w:rsid w:val="00FD5059"/>
    <w:rsid w:val="00FD554D"/>
    <w:rsid w:val="00FD5BCC"/>
    <w:rsid w:val="00FD7B23"/>
    <w:rsid w:val="00FE2A48"/>
    <w:rsid w:val="00FE2DEF"/>
    <w:rsid w:val="00FE323C"/>
    <w:rsid w:val="00FE3A27"/>
    <w:rsid w:val="00FE5D0A"/>
    <w:rsid w:val="00FE6469"/>
    <w:rsid w:val="00FE7C6D"/>
    <w:rsid w:val="00FF05D0"/>
    <w:rsid w:val="00FF06CE"/>
    <w:rsid w:val="00FF0DC2"/>
    <w:rsid w:val="00FF0FF7"/>
    <w:rsid w:val="00FF1022"/>
    <w:rsid w:val="00FF10A2"/>
    <w:rsid w:val="00FF1438"/>
    <w:rsid w:val="00FF3A38"/>
    <w:rsid w:val="00FF3C25"/>
    <w:rsid w:val="00FF4129"/>
    <w:rsid w:val="00FF44F7"/>
    <w:rsid w:val="00FF4C90"/>
    <w:rsid w:val="00FF5806"/>
    <w:rsid w:val="00FF61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heme="minorHAnsi"/>
        <w:color w:val="000000" w:themeColor="text1"/>
        <w:sz w:val="24"/>
        <w:lang w:val="en-US" w:eastAsia="en-US" w:bidi="ar-SA"/>
      </w:rPr>
    </w:rPrDefault>
    <w:pPrDefault>
      <w:pPr>
        <w:spacing w:line="240" w:lineRule="exact"/>
        <w:jc w:val="center"/>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Plain Text"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rsid w:val="005436C2"/>
    <w:pPr>
      <w:tabs>
        <w:tab w:val="center" w:pos="4320"/>
        <w:tab w:val="right" w:pos="8640"/>
      </w:tabs>
    </w:pPr>
  </w:style>
  <w:style w:type="paragraph" w:styleId="BodyText">
    <w:name w:val="Body Text"/>
    <w:basedOn w:val="Normal"/>
    <w:rsid w:val="005436C2"/>
    <w:pPr>
      <w:tabs>
        <w:tab w:val="left" w:pos="720"/>
      </w:tabs>
      <w:ind w:right="-360"/>
    </w:pPr>
    <w:rPr>
      <w:rFonts w:ascii="Times New Roman" w:hAnsi="Times New Roman"/>
      <w:color w:val="000080"/>
    </w:rPr>
  </w:style>
  <w:style w:type="paragraph" w:styleId="BodyText3">
    <w:name w:val="Body Text 3"/>
    <w:basedOn w:val="Normal"/>
    <w:rsid w:val="005436C2"/>
    <w:pPr>
      <w:tabs>
        <w:tab w:val="left" w:pos="288"/>
        <w:tab w:val="left" w:pos="4752"/>
      </w:tabs>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paragraph" w:customStyle="1" w:styleId="Default">
    <w:name w:val="Default"/>
    <w:rsid w:val="009F7822"/>
    <w:pPr>
      <w:autoSpaceDE w:val="0"/>
      <w:autoSpaceDN w:val="0"/>
      <w:adjustRightInd w:val="0"/>
      <w:spacing w:line="240" w:lineRule="auto"/>
      <w:jc w:val="left"/>
    </w:pPr>
    <w:rPr>
      <w:rFonts w:cs="Calibri"/>
      <w:color w:val="000000"/>
      <w:szCs w:val="24"/>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44515318">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90580208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16004975">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65513787">
      <w:bodyDiv w:val="1"/>
      <w:marLeft w:val="0"/>
      <w:marRight w:val="0"/>
      <w:marTop w:val="0"/>
      <w:marBottom w:val="0"/>
      <w:divBdr>
        <w:top w:val="none" w:sz="0" w:space="0" w:color="auto"/>
        <w:left w:val="none" w:sz="0" w:space="0" w:color="auto"/>
        <w:bottom w:val="none" w:sz="0" w:space="0" w:color="auto"/>
        <w:right w:val="none" w:sz="0" w:space="0" w:color="auto"/>
      </w:divBdr>
    </w:div>
    <w:div w:id="1881044624">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BBEF5-B2CE-4A86-971A-5DCB276A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10244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7</cp:revision>
  <cp:lastPrinted>2012-05-14T14:47:00Z</cp:lastPrinted>
  <dcterms:created xsi:type="dcterms:W3CDTF">2012-05-09T14:53:00Z</dcterms:created>
  <dcterms:modified xsi:type="dcterms:W3CDTF">2012-05-30T12:15:00Z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