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7B475C"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7B475C">
        <w:rPr>
          <w:rFonts w:asciiTheme="minorHAnsi" w:hAnsiTheme="minorHAnsi"/>
          <w:caps/>
          <w:color w:val="auto"/>
        </w:rPr>
        <w:t xml:space="preserve">NAME:  </w:t>
      </w:r>
      <w:r w:rsidR="005C7FAD">
        <w:rPr>
          <w:rFonts w:asciiTheme="minorHAnsi" w:hAnsiTheme="minorHAnsi"/>
          <w:caps/>
          <w:color w:val="auto"/>
        </w:rPr>
        <w:t>XXXXX</w:t>
      </w:r>
      <w:r w:rsidR="004216DA" w:rsidRPr="007B475C">
        <w:rPr>
          <w:rFonts w:asciiTheme="minorHAnsi" w:hAnsiTheme="minorHAnsi"/>
          <w:caps/>
          <w:color w:val="auto"/>
        </w:rPr>
        <w:t xml:space="preserve">             </w:t>
      </w:r>
      <w:r w:rsidR="00641FEB" w:rsidRPr="007B475C">
        <w:rPr>
          <w:rFonts w:asciiTheme="minorHAnsi" w:hAnsiTheme="minorHAnsi"/>
          <w:caps/>
          <w:color w:val="auto"/>
        </w:rPr>
        <w:tab/>
      </w:r>
      <w:r w:rsidR="00641FEB" w:rsidRPr="007B475C">
        <w:rPr>
          <w:rFonts w:asciiTheme="minorHAnsi" w:hAnsiTheme="minorHAnsi"/>
          <w:caps/>
          <w:color w:val="auto"/>
        </w:rPr>
        <w:tab/>
        <w:t xml:space="preserve">     </w:t>
      </w:r>
      <w:r w:rsidR="004216DA" w:rsidRPr="007B475C">
        <w:rPr>
          <w:rFonts w:asciiTheme="minorHAnsi" w:hAnsiTheme="minorHAnsi"/>
          <w:caps/>
          <w:color w:val="auto"/>
        </w:rPr>
        <w:t xml:space="preserve"> </w:t>
      </w:r>
      <w:r w:rsidR="00332DE3" w:rsidRPr="007B475C">
        <w:rPr>
          <w:rFonts w:asciiTheme="minorHAnsi" w:hAnsiTheme="minorHAnsi"/>
          <w:caps/>
          <w:color w:val="auto"/>
        </w:rPr>
        <w:t xml:space="preserve"> </w:t>
      </w:r>
      <w:r w:rsidR="004216DA" w:rsidRPr="007B475C">
        <w:rPr>
          <w:rFonts w:asciiTheme="minorHAnsi" w:hAnsiTheme="minorHAnsi"/>
          <w:caps/>
          <w:color w:val="auto"/>
        </w:rPr>
        <w:t xml:space="preserve">  </w:t>
      </w:r>
      <w:r w:rsidRPr="007B475C">
        <w:rPr>
          <w:rFonts w:asciiTheme="minorHAnsi" w:hAnsiTheme="minorHAnsi"/>
          <w:caps/>
          <w:color w:val="auto"/>
        </w:rPr>
        <w:t xml:space="preserve">BRANCH OF SERVICE: </w:t>
      </w:r>
      <w:r w:rsidR="004C24C5" w:rsidRPr="007B475C">
        <w:rPr>
          <w:rFonts w:asciiTheme="minorHAnsi" w:hAnsiTheme="minorHAnsi"/>
          <w:caps/>
          <w:color w:val="auto"/>
        </w:rPr>
        <w:t xml:space="preserve"> </w:t>
      </w:r>
      <w:r w:rsidR="00332DE3" w:rsidRPr="007B475C">
        <w:rPr>
          <w:rFonts w:asciiTheme="minorHAnsi" w:hAnsiTheme="minorHAnsi"/>
          <w:caps/>
          <w:color w:val="auto"/>
        </w:rPr>
        <w:t>marine corps</w:t>
      </w:r>
    </w:p>
    <w:p w:rsidR="00DE3AAD" w:rsidRDefault="00E0346A" w:rsidP="00E0346A">
      <w:pPr>
        <w:tabs>
          <w:tab w:val="left" w:pos="288"/>
          <w:tab w:val="left" w:pos="4752"/>
          <w:tab w:val="left" w:pos="5130"/>
          <w:tab w:val="left" w:pos="9270"/>
        </w:tabs>
        <w:spacing w:line="240" w:lineRule="exact"/>
        <w:jc w:val="both"/>
        <w:rPr>
          <w:rFonts w:asciiTheme="minorHAnsi" w:hAnsiTheme="minorHAnsi"/>
          <w:caps/>
          <w:color w:val="auto"/>
        </w:rPr>
      </w:pPr>
      <w:r w:rsidRPr="007B475C">
        <w:rPr>
          <w:rFonts w:asciiTheme="minorHAnsi" w:hAnsiTheme="minorHAnsi"/>
          <w:caps/>
          <w:color w:val="auto"/>
        </w:rPr>
        <w:t>B</w:t>
      </w:r>
      <w:r w:rsidR="00DE3AAD" w:rsidRPr="007B475C">
        <w:rPr>
          <w:rFonts w:asciiTheme="minorHAnsi" w:hAnsiTheme="minorHAnsi"/>
          <w:caps/>
          <w:color w:val="auto"/>
        </w:rPr>
        <w:t>ASE NUMBER:  PD1000</w:t>
      </w:r>
      <w:r w:rsidR="00641FEB" w:rsidRPr="007B475C">
        <w:rPr>
          <w:rFonts w:asciiTheme="minorHAnsi" w:hAnsiTheme="minorHAnsi"/>
          <w:caps/>
          <w:color w:val="auto"/>
        </w:rPr>
        <w:t>016</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1C04F7">
        <w:rPr>
          <w:rFonts w:asciiTheme="minorHAnsi" w:hAnsiTheme="minorHAnsi"/>
          <w:color w:val="auto"/>
        </w:rPr>
        <w:t xml:space="preserve">      </w:t>
      </w:r>
      <w:r w:rsidR="00FF7498">
        <w:rPr>
          <w:rFonts w:asciiTheme="minorHAnsi" w:hAnsiTheme="minorHAnsi"/>
          <w:color w:val="auto"/>
        </w:rPr>
        <w:t xml:space="preserve"> </w:t>
      </w:r>
      <w:r w:rsidR="00DE3AAD" w:rsidRPr="00DE3AAD">
        <w:rPr>
          <w:rFonts w:asciiTheme="minorHAnsi" w:hAnsiTheme="minorHAnsi"/>
          <w:color w:val="auto"/>
        </w:rPr>
        <w:t>SEPARATION DATE:  200</w:t>
      </w:r>
      <w:r w:rsidR="00641FEB">
        <w:rPr>
          <w:rFonts w:asciiTheme="minorHAnsi" w:hAnsiTheme="minorHAnsi"/>
          <w:color w:val="auto"/>
        </w:rPr>
        <w:t>80731</w:t>
      </w:r>
    </w:p>
    <w:p w:rsidR="00B022DC"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844C2">
        <w:rPr>
          <w:rFonts w:asciiTheme="minorHAnsi" w:hAnsiTheme="minorHAnsi"/>
          <w:caps/>
          <w:color w:val="auto"/>
        </w:rPr>
        <w:t>0901</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Pr="00A33CB5"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FF7498">
        <w:rPr>
          <w:rFonts w:asciiTheme="minorHAnsi" w:hAnsiTheme="minorHAnsi"/>
          <w:color w:val="auto"/>
          <w:szCs w:val="24"/>
        </w:rPr>
        <w:t>a</w:t>
      </w:r>
      <w:r w:rsidR="00FF7498" w:rsidRPr="00AD7F8F">
        <w:rPr>
          <w:rFonts w:asciiTheme="minorHAnsi" w:hAnsiTheme="minorHAnsi"/>
          <w:color w:val="auto"/>
          <w:szCs w:val="24"/>
        </w:rPr>
        <w:t xml:space="preserve">ctive </w:t>
      </w:r>
      <w:r w:rsidR="00FF7498">
        <w:rPr>
          <w:rFonts w:asciiTheme="minorHAnsi" w:hAnsiTheme="minorHAnsi"/>
          <w:color w:val="auto"/>
          <w:szCs w:val="24"/>
        </w:rPr>
        <w:t>d</w:t>
      </w:r>
      <w:r w:rsidR="00FF7498" w:rsidRPr="00AD7F8F">
        <w:rPr>
          <w:rFonts w:asciiTheme="minorHAnsi" w:hAnsiTheme="minorHAnsi"/>
          <w:color w:val="auto"/>
          <w:szCs w:val="24"/>
        </w:rPr>
        <w:t xml:space="preserve">uty </w:t>
      </w:r>
      <w:r w:rsidR="0012621B">
        <w:rPr>
          <w:rFonts w:asciiTheme="minorHAnsi" w:hAnsiTheme="minorHAnsi"/>
          <w:color w:val="auto"/>
          <w:szCs w:val="24"/>
        </w:rPr>
        <w:t>SSg</w:t>
      </w:r>
      <w:r w:rsidR="00842005">
        <w:rPr>
          <w:rFonts w:asciiTheme="minorHAnsi" w:hAnsiTheme="minorHAnsi"/>
          <w:color w:val="auto"/>
          <w:szCs w:val="24"/>
        </w:rPr>
        <w:t>t/E-6 (</w:t>
      </w:r>
      <w:r w:rsidR="000E2648">
        <w:rPr>
          <w:rFonts w:asciiTheme="minorHAnsi" w:hAnsiTheme="minorHAnsi"/>
          <w:color w:val="auto"/>
          <w:szCs w:val="24"/>
        </w:rPr>
        <w:t>0</w:t>
      </w:r>
      <w:r w:rsidR="00AF06C3" w:rsidRPr="00AF06C3">
        <w:rPr>
          <w:rFonts w:asciiTheme="minorHAnsi" w:hAnsiTheme="minorHAnsi"/>
          <w:color w:val="auto"/>
          <w:szCs w:val="24"/>
        </w:rPr>
        <w:t>369</w:t>
      </w:r>
      <w:r w:rsidR="00842005">
        <w:rPr>
          <w:rFonts w:asciiTheme="minorHAnsi" w:hAnsiTheme="minorHAnsi"/>
          <w:color w:val="auto"/>
          <w:szCs w:val="24"/>
        </w:rPr>
        <w:t>/</w:t>
      </w:r>
      <w:r w:rsidR="00AF06C3" w:rsidRPr="00AF06C3">
        <w:rPr>
          <w:rFonts w:asciiTheme="minorHAnsi" w:hAnsiTheme="minorHAnsi"/>
          <w:color w:val="auto"/>
          <w:szCs w:val="24"/>
        </w:rPr>
        <w:t>Infantry</w:t>
      </w:r>
      <w:r w:rsidR="00221D83">
        <w:rPr>
          <w:rFonts w:asciiTheme="minorHAnsi" w:hAnsiTheme="minorHAnsi"/>
          <w:color w:val="auto"/>
          <w:szCs w:val="24"/>
        </w:rPr>
        <w:t xml:space="preserve"> Unit Leader</w:t>
      </w:r>
      <w:r w:rsidR="00842005">
        <w:rPr>
          <w:rFonts w:asciiTheme="minorHAnsi" w:hAnsiTheme="minorHAnsi"/>
          <w:color w:val="auto"/>
          <w:szCs w:val="24"/>
        </w:rPr>
        <w:t>)</w:t>
      </w:r>
      <w:r w:rsidR="006D4E0E" w:rsidRPr="00DE6CBD">
        <w:rPr>
          <w:rFonts w:asciiTheme="minorHAnsi" w:hAnsiTheme="minorHAnsi"/>
          <w:color w:val="auto"/>
          <w:szCs w:val="24"/>
        </w:rPr>
        <w:t xml:space="preserve"> </w:t>
      </w:r>
      <w:r w:rsidR="002C6E5B" w:rsidRPr="00DE6CBD">
        <w:rPr>
          <w:rFonts w:asciiTheme="minorHAnsi" w:hAnsiTheme="minorHAnsi"/>
          <w:color w:val="auto"/>
          <w:szCs w:val="24"/>
        </w:rPr>
        <w:t xml:space="preserve">medically separated for </w:t>
      </w:r>
      <w:r w:rsidR="002265AB">
        <w:rPr>
          <w:rFonts w:asciiTheme="minorHAnsi" w:hAnsiTheme="minorHAnsi"/>
          <w:color w:val="auto"/>
          <w:szCs w:val="24"/>
        </w:rPr>
        <w:t>traumatic brain injury (TBI)</w:t>
      </w:r>
      <w:r w:rsidR="007F37A7">
        <w:rPr>
          <w:rFonts w:asciiTheme="minorHAnsi" w:hAnsiTheme="minorHAnsi"/>
          <w:color w:val="auto"/>
          <w:szCs w:val="24"/>
        </w:rPr>
        <w:t>,</w:t>
      </w:r>
      <w:r w:rsidR="002374EA">
        <w:rPr>
          <w:rFonts w:asciiTheme="minorHAnsi" w:hAnsiTheme="minorHAnsi"/>
          <w:color w:val="auto"/>
          <w:szCs w:val="24"/>
        </w:rPr>
        <w:t xml:space="preserve"> </w:t>
      </w:r>
      <w:r w:rsidR="002374EA" w:rsidRPr="002374EA">
        <w:rPr>
          <w:rFonts w:asciiTheme="minorHAnsi" w:hAnsiTheme="minorHAnsi"/>
          <w:color w:val="auto"/>
          <w:szCs w:val="24"/>
        </w:rPr>
        <w:t>post concussion syndrome with headaches</w:t>
      </w:r>
      <w:r w:rsidR="002A5408">
        <w:rPr>
          <w:rFonts w:asciiTheme="minorHAnsi" w:hAnsiTheme="minorHAnsi"/>
          <w:color w:val="auto"/>
          <w:szCs w:val="24"/>
        </w:rPr>
        <w:t>,</w:t>
      </w:r>
      <w:r w:rsidR="002374EA" w:rsidRPr="002374EA">
        <w:rPr>
          <w:rFonts w:asciiTheme="minorHAnsi" w:hAnsiTheme="minorHAnsi"/>
          <w:color w:val="auto"/>
          <w:szCs w:val="24"/>
        </w:rPr>
        <w:t xml:space="preserve"> and posttraumatic stress disorder (PTSD)</w:t>
      </w:r>
      <w:r w:rsidR="00C75F3D" w:rsidRPr="00DE6CBD">
        <w:rPr>
          <w:rFonts w:asciiTheme="minorHAnsi" w:hAnsiTheme="minorHAnsi"/>
          <w:color w:val="auto"/>
          <w:szCs w:val="24"/>
        </w:rPr>
        <w:t>.</w:t>
      </w:r>
      <w:r w:rsidR="00B6363C">
        <w:rPr>
          <w:rFonts w:asciiTheme="minorHAnsi" w:hAnsiTheme="minorHAnsi"/>
          <w:color w:val="auto"/>
          <w:szCs w:val="24"/>
        </w:rPr>
        <w:t xml:space="preserve">  </w:t>
      </w:r>
      <w:r w:rsidR="00E322F7" w:rsidRPr="00C472C7">
        <w:rPr>
          <w:rFonts w:asciiTheme="minorHAnsi" w:hAnsiTheme="minorHAnsi"/>
          <w:color w:val="auto"/>
          <w:szCs w:val="24"/>
        </w:rPr>
        <w:t>He</w:t>
      </w:r>
      <w:r w:rsidR="002265AB">
        <w:rPr>
          <w:rFonts w:asciiTheme="minorHAnsi" w:hAnsiTheme="minorHAnsi"/>
          <w:color w:val="auto"/>
          <w:szCs w:val="24"/>
        </w:rPr>
        <w:t xml:space="preserve"> </w:t>
      </w:r>
      <w:r w:rsidR="00E322F7" w:rsidRPr="00C472C7">
        <w:rPr>
          <w:rFonts w:asciiTheme="minorHAnsi" w:hAnsiTheme="minorHAnsi"/>
          <w:color w:val="auto"/>
          <w:szCs w:val="24"/>
        </w:rPr>
        <w:t xml:space="preserve">did not respond adequately </w:t>
      </w:r>
      <w:r w:rsidR="00C75F3D" w:rsidRPr="002265AB">
        <w:rPr>
          <w:rFonts w:asciiTheme="minorHAnsi" w:hAnsiTheme="minorHAnsi"/>
          <w:color w:val="auto"/>
          <w:szCs w:val="24"/>
        </w:rPr>
        <w:t xml:space="preserve">to treatment and was unable to </w:t>
      </w:r>
      <w:r w:rsidR="00E322F7" w:rsidRPr="002265AB">
        <w:rPr>
          <w:rFonts w:asciiTheme="minorHAnsi" w:hAnsiTheme="minorHAnsi"/>
          <w:color w:val="auto"/>
          <w:szCs w:val="24"/>
        </w:rPr>
        <w:t xml:space="preserve">perform within his </w:t>
      </w:r>
      <w:r w:rsidR="00FF7498" w:rsidRPr="002265AB">
        <w:rPr>
          <w:rFonts w:asciiTheme="minorHAnsi" w:hAnsiTheme="minorHAnsi"/>
          <w:color w:val="auto"/>
          <w:szCs w:val="24"/>
        </w:rPr>
        <w:t xml:space="preserve">military occupational specialty </w:t>
      </w:r>
      <w:r w:rsidR="002752AE" w:rsidRPr="002265AB">
        <w:rPr>
          <w:rFonts w:asciiTheme="minorHAnsi" w:hAnsiTheme="minorHAnsi"/>
          <w:color w:val="auto"/>
          <w:szCs w:val="24"/>
        </w:rPr>
        <w:t>(MOS) or</w:t>
      </w:r>
      <w:r w:rsidR="00E26658">
        <w:rPr>
          <w:rFonts w:asciiTheme="minorHAnsi" w:hAnsiTheme="minorHAnsi"/>
          <w:color w:val="auto"/>
          <w:szCs w:val="24"/>
        </w:rPr>
        <w:t xml:space="preserve"> to</w:t>
      </w:r>
      <w:r w:rsidR="002752AE" w:rsidRPr="002265AB">
        <w:rPr>
          <w:rFonts w:asciiTheme="minorHAnsi" w:hAnsiTheme="minorHAnsi"/>
          <w:color w:val="auto"/>
          <w:szCs w:val="24"/>
        </w:rPr>
        <w:t xml:space="preserve"> meet </w:t>
      </w:r>
      <w:r w:rsidR="0044411E" w:rsidRPr="002265AB">
        <w:rPr>
          <w:rFonts w:asciiTheme="minorHAnsi" w:hAnsiTheme="minorHAnsi"/>
          <w:color w:val="auto"/>
          <w:szCs w:val="24"/>
        </w:rPr>
        <w:t xml:space="preserve">physical fitness </w:t>
      </w:r>
      <w:r w:rsidR="002752AE" w:rsidRPr="002265AB">
        <w:rPr>
          <w:rFonts w:asciiTheme="minorHAnsi" w:hAnsiTheme="minorHAnsi"/>
          <w:color w:val="auto"/>
          <w:szCs w:val="24"/>
        </w:rPr>
        <w:t>standards</w:t>
      </w:r>
      <w:r w:rsidR="00817873">
        <w:rPr>
          <w:rFonts w:asciiTheme="minorHAnsi" w:hAnsiTheme="minorHAnsi"/>
          <w:color w:val="auto"/>
          <w:szCs w:val="24"/>
        </w:rPr>
        <w:t>.  He was</w:t>
      </w:r>
      <w:r w:rsidR="00E322F7" w:rsidRPr="002265AB">
        <w:rPr>
          <w:rFonts w:asciiTheme="minorHAnsi" w:hAnsiTheme="minorHAnsi"/>
          <w:color w:val="auto"/>
          <w:szCs w:val="24"/>
        </w:rPr>
        <w:t xml:space="preserve"> </w:t>
      </w:r>
      <w:r w:rsidR="002E65E6" w:rsidRPr="002265AB">
        <w:rPr>
          <w:rFonts w:asciiTheme="minorHAnsi" w:hAnsiTheme="minorHAnsi"/>
          <w:color w:val="auto"/>
          <w:szCs w:val="24"/>
        </w:rPr>
        <w:t>placed on l</w:t>
      </w:r>
      <w:r w:rsidR="0044411E" w:rsidRPr="002265AB">
        <w:rPr>
          <w:rFonts w:asciiTheme="minorHAnsi" w:hAnsiTheme="minorHAnsi"/>
          <w:color w:val="auto"/>
          <w:szCs w:val="24"/>
        </w:rPr>
        <w:t xml:space="preserve">imited </w:t>
      </w:r>
      <w:r w:rsidR="002E65E6" w:rsidRPr="002265AB">
        <w:rPr>
          <w:rFonts w:asciiTheme="minorHAnsi" w:hAnsiTheme="minorHAnsi"/>
          <w:color w:val="auto"/>
          <w:szCs w:val="24"/>
        </w:rPr>
        <w:t>d</w:t>
      </w:r>
      <w:r w:rsidR="0044411E" w:rsidRPr="002265AB">
        <w:rPr>
          <w:rFonts w:asciiTheme="minorHAnsi" w:hAnsiTheme="minorHAnsi"/>
          <w:color w:val="auto"/>
          <w:szCs w:val="24"/>
        </w:rPr>
        <w:t>uty</w:t>
      </w:r>
      <w:r w:rsidR="00B32341" w:rsidRPr="002265AB">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A33CB5">
        <w:rPr>
          <w:rFonts w:asciiTheme="minorHAnsi" w:hAnsiTheme="minorHAnsi"/>
          <w:color w:val="auto"/>
          <w:szCs w:val="24"/>
        </w:rPr>
        <w:t xml:space="preserve">  </w:t>
      </w:r>
      <w:r w:rsidR="00E312D3">
        <w:rPr>
          <w:rFonts w:asciiTheme="minorHAnsi" w:hAnsiTheme="minorHAnsi"/>
          <w:color w:val="auto"/>
          <w:szCs w:val="24"/>
        </w:rPr>
        <w:t>Concussion, unspecified;</w:t>
      </w:r>
      <w:r w:rsidR="00A33CB5">
        <w:rPr>
          <w:rFonts w:asciiTheme="minorHAnsi" w:hAnsiTheme="minorHAnsi"/>
          <w:color w:val="auto"/>
          <w:szCs w:val="24"/>
        </w:rPr>
        <w:t xml:space="preserve"> post</w:t>
      </w:r>
      <w:r w:rsidR="005F3A85">
        <w:rPr>
          <w:rFonts w:asciiTheme="minorHAnsi" w:hAnsiTheme="minorHAnsi"/>
          <w:color w:val="auto"/>
          <w:szCs w:val="24"/>
        </w:rPr>
        <w:t xml:space="preserve"> </w:t>
      </w:r>
      <w:r w:rsidR="00A33CB5">
        <w:rPr>
          <w:rFonts w:asciiTheme="minorHAnsi" w:hAnsiTheme="minorHAnsi"/>
          <w:color w:val="auto"/>
          <w:szCs w:val="24"/>
        </w:rPr>
        <w:t xml:space="preserve">concussion syndrome; PTSD; </w:t>
      </w:r>
      <w:r w:rsidR="00E312D3">
        <w:rPr>
          <w:rFonts w:asciiTheme="minorHAnsi" w:hAnsiTheme="minorHAnsi"/>
          <w:color w:val="auto"/>
          <w:szCs w:val="24"/>
        </w:rPr>
        <w:t>lumba</w:t>
      </w:r>
      <w:r w:rsidR="00964459">
        <w:rPr>
          <w:rFonts w:asciiTheme="minorHAnsi" w:hAnsiTheme="minorHAnsi"/>
          <w:color w:val="auto"/>
          <w:szCs w:val="24"/>
        </w:rPr>
        <w:t xml:space="preserve">go; headaches syndromes and shoulder sprain </w:t>
      </w:r>
      <w:proofErr w:type="spellStart"/>
      <w:r w:rsidR="00964459">
        <w:rPr>
          <w:rFonts w:asciiTheme="minorHAnsi" w:hAnsiTheme="minorHAnsi"/>
          <w:color w:val="auto"/>
          <w:szCs w:val="24"/>
        </w:rPr>
        <w:t>acromioclavicular</w:t>
      </w:r>
      <w:proofErr w:type="spellEnd"/>
      <w:r w:rsidR="00964459">
        <w:rPr>
          <w:rFonts w:asciiTheme="minorHAnsi" w:hAnsiTheme="minorHAnsi"/>
          <w:color w:val="auto"/>
          <w:szCs w:val="24"/>
        </w:rPr>
        <w:t xml:space="preserve"> </w:t>
      </w:r>
      <w:r w:rsidR="006961F4">
        <w:rPr>
          <w:rFonts w:asciiTheme="minorHAnsi" w:hAnsiTheme="minorHAnsi"/>
          <w:color w:val="auto"/>
          <w:szCs w:val="24"/>
        </w:rPr>
        <w:t xml:space="preserve">(AC) </w:t>
      </w:r>
      <w:r w:rsidR="00964459">
        <w:rPr>
          <w:rFonts w:asciiTheme="minorHAnsi" w:hAnsiTheme="minorHAnsi"/>
          <w:color w:val="auto"/>
          <w:szCs w:val="24"/>
        </w:rPr>
        <w:t xml:space="preserve">joint </w:t>
      </w:r>
      <w:r w:rsidR="000A33C8" w:rsidRPr="00E312D3">
        <w:rPr>
          <w:rFonts w:asciiTheme="minorHAnsi" w:hAnsiTheme="minorHAnsi"/>
          <w:color w:val="auto"/>
          <w:szCs w:val="24"/>
        </w:rPr>
        <w:t>were forwarded to the Physical Evaluation Board (PEB) as medically unacceptable IAW</w:t>
      </w:r>
      <w:r w:rsidR="00665D75" w:rsidRPr="00E312D3">
        <w:rPr>
          <w:rFonts w:asciiTheme="minorHAnsi" w:hAnsiTheme="minorHAnsi"/>
          <w:color w:val="auto"/>
          <w:szCs w:val="24"/>
        </w:rPr>
        <w:t xml:space="preserve"> </w:t>
      </w:r>
      <w:r w:rsidR="00AB1F8D" w:rsidRPr="00E312D3">
        <w:rPr>
          <w:rFonts w:asciiTheme="minorHAnsi" w:hAnsiTheme="minorHAnsi"/>
          <w:color w:val="auto"/>
          <w:szCs w:val="24"/>
        </w:rPr>
        <w:t>SECNAVINST 1850.4E</w:t>
      </w:r>
      <w:r w:rsidR="00376E08" w:rsidRPr="00E312D3">
        <w:rPr>
          <w:rFonts w:asciiTheme="minorHAnsi" w:hAnsiTheme="minorHAnsi"/>
          <w:color w:val="auto"/>
          <w:szCs w:val="24"/>
        </w:rPr>
        <w:t>.</w:t>
      </w:r>
      <w:r w:rsidR="00A33CB5">
        <w:rPr>
          <w:rFonts w:asciiTheme="minorHAnsi" w:hAnsiTheme="minorHAnsi"/>
          <w:color w:val="auto"/>
          <w:szCs w:val="24"/>
        </w:rPr>
        <w:t xml:space="preserve">  </w:t>
      </w:r>
      <w:r w:rsidR="000D4888" w:rsidRPr="000D4888">
        <w:rPr>
          <w:rFonts w:asciiTheme="minorHAnsi" w:hAnsiTheme="minorHAnsi"/>
          <w:color w:val="auto"/>
          <w:szCs w:val="24"/>
        </w:rPr>
        <w:t>Other conditions included in the Disability Evaluation System (DES) packet will be discussed below.</w:t>
      </w:r>
      <w:r w:rsidR="00A33CB5">
        <w:rPr>
          <w:rFonts w:asciiTheme="minorHAnsi" w:hAnsiTheme="minorHAnsi"/>
          <w:color w:val="auto"/>
          <w:szCs w:val="24"/>
        </w:rPr>
        <w:t xml:space="preserve">  </w:t>
      </w:r>
      <w:r w:rsidR="00B20624" w:rsidRPr="007F1F06">
        <w:rPr>
          <w:rFonts w:asciiTheme="minorHAnsi" w:hAnsiTheme="minorHAnsi"/>
          <w:color w:val="auto"/>
          <w:szCs w:val="24"/>
        </w:rPr>
        <w:t>The PEB</w:t>
      </w:r>
      <w:r w:rsidR="007828B4" w:rsidRPr="007F1F06">
        <w:rPr>
          <w:rFonts w:asciiTheme="minorHAnsi" w:hAnsiTheme="minorHAnsi"/>
          <w:color w:val="auto"/>
          <w:szCs w:val="24"/>
        </w:rPr>
        <w:t xml:space="preserve"> </w:t>
      </w:r>
      <w:r w:rsidR="00B20624" w:rsidRPr="007F1F06">
        <w:rPr>
          <w:rFonts w:asciiTheme="minorHAnsi" w:hAnsiTheme="minorHAnsi"/>
          <w:color w:val="auto"/>
          <w:szCs w:val="24"/>
        </w:rPr>
        <w:t xml:space="preserve">adjudicated the </w:t>
      </w:r>
      <w:r w:rsidR="00EC08BC" w:rsidRPr="007F1F06">
        <w:rPr>
          <w:rFonts w:asciiTheme="minorHAnsi" w:hAnsiTheme="minorHAnsi"/>
          <w:color w:val="auto"/>
          <w:szCs w:val="24"/>
        </w:rPr>
        <w:t>TBI, post concussion syndrome with headaches</w:t>
      </w:r>
      <w:r w:rsidR="00E26658">
        <w:rPr>
          <w:rFonts w:asciiTheme="minorHAnsi" w:hAnsiTheme="minorHAnsi"/>
          <w:color w:val="auto"/>
          <w:szCs w:val="24"/>
        </w:rPr>
        <w:t>,</w:t>
      </w:r>
      <w:r w:rsidR="00EC08BC" w:rsidRPr="007F1F06">
        <w:rPr>
          <w:rFonts w:asciiTheme="minorHAnsi" w:hAnsiTheme="minorHAnsi"/>
          <w:color w:val="auto"/>
          <w:szCs w:val="24"/>
        </w:rPr>
        <w:t xml:space="preserve"> and PTSD</w:t>
      </w:r>
      <w:r w:rsidR="00C127F2" w:rsidRPr="007F1F06">
        <w:rPr>
          <w:rFonts w:asciiTheme="minorHAnsi" w:hAnsiTheme="minorHAnsi"/>
          <w:color w:val="auto"/>
          <w:szCs w:val="24"/>
        </w:rPr>
        <w:t xml:space="preserve"> </w:t>
      </w:r>
      <w:r w:rsidR="00B20624" w:rsidRPr="007F1F06">
        <w:rPr>
          <w:rFonts w:asciiTheme="minorHAnsi" w:hAnsiTheme="minorHAnsi"/>
          <w:color w:val="auto"/>
          <w:szCs w:val="24"/>
        </w:rPr>
        <w:t xml:space="preserve">as unfitting, rated </w:t>
      </w:r>
      <w:r w:rsidR="007F1F06" w:rsidRPr="007F1F06">
        <w:rPr>
          <w:rFonts w:asciiTheme="minorHAnsi" w:hAnsiTheme="minorHAnsi"/>
          <w:color w:val="auto"/>
          <w:szCs w:val="24"/>
        </w:rPr>
        <w:t>0</w:t>
      </w:r>
      <w:r w:rsidR="00D93A41" w:rsidRPr="007F1F06">
        <w:rPr>
          <w:rFonts w:asciiTheme="minorHAnsi" w:hAnsiTheme="minorHAnsi"/>
          <w:color w:val="auto"/>
          <w:szCs w:val="24"/>
        </w:rPr>
        <w:t>% respectively</w:t>
      </w:r>
      <w:r w:rsidR="00B80EDD" w:rsidRPr="007F1F06">
        <w:rPr>
          <w:rFonts w:asciiTheme="minorHAnsi" w:hAnsiTheme="minorHAnsi"/>
          <w:color w:val="auto"/>
          <w:szCs w:val="24"/>
        </w:rPr>
        <w:t>,</w:t>
      </w:r>
      <w:r w:rsidR="00B20624" w:rsidRPr="007F1F06">
        <w:rPr>
          <w:rFonts w:asciiTheme="minorHAnsi" w:hAnsiTheme="minorHAnsi"/>
          <w:color w:val="auto"/>
          <w:szCs w:val="24"/>
        </w:rPr>
        <w:t xml:space="preserve"> with application of the </w:t>
      </w:r>
      <w:r w:rsidR="00065E21" w:rsidRPr="007F1F06">
        <w:rPr>
          <w:rFonts w:asciiTheme="minorHAnsi" w:hAnsiTheme="minorHAnsi"/>
          <w:color w:val="auto"/>
          <w:szCs w:val="24"/>
        </w:rPr>
        <w:t>SECNAVINST 1850.4E</w:t>
      </w:r>
      <w:r w:rsidR="00376E08" w:rsidRPr="007F1F06">
        <w:rPr>
          <w:rFonts w:asciiTheme="minorHAnsi" w:hAnsiTheme="minorHAnsi"/>
          <w:color w:val="auto"/>
          <w:szCs w:val="24"/>
        </w:rPr>
        <w:t xml:space="preserve"> </w:t>
      </w:r>
      <w:r w:rsidR="00080BDF" w:rsidRPr="007F1F06">
        <w:rPr>
          <w:rFonts w:asciiTheme="minorHAnsi" w:hAnsiTheme="minorHAnsi"/>
          <w:color w:val="auto"/>
          <w:szCs w:val="24"/>
        </w:rPr>
        <w:t>a</w:t>
      </w:r>
      <w:r w:rsidR="00B20624" w:rsidRPr="007F1F06">
        <w:rPr>
          <w:rFonts w:asciiTheme="minorHAnsi" w:hAnsiTheme="minorHAnsi"/>
          <w:color w:val="auto"/>
          <w:szCs w:val="24"/>
        </w:rPr>
        <w:t>nd DoDI 1332.39.</w:t>
      </w:r>
      <w:r w:rsidR="00A33CB5">
        <w:rPr>
          <w:rFonts w:asciiTheme="minorHAnsi" w:hAnsiTheme="minorHAnsi"/>
          <w:color w:val="auto"/>
          <w:szCs w:val="24"/>
        </w:rPr>
        <w:t xml:space="preserve">  </w:t>
      </w:r>
      <w:r w:rsidR="00437D77" w:rsidRPr="00C472C7">
        <w:rPr>
          <w:rFonts w:asciiTheme="minorHAnsi" w:hAnsiTheme="minorHAnsi"/>
          <w:color w:val="auto"/>
        </w:rPr>
        <w:t xml:space="preserve">The CI appealed to </w:t>
      </w:r>
      <w:r w:rsidR="00E26658">
        <w:rPr>
          <w:rFonts w:asciiTheme="minorHAnsi" w:hAnsiTheme="minorHAnsi"/>
          <w:color w:val="auto"/>
        </w:rPr>
        <w:t xml:space="preserve">a Formal </w:t>
      </w:r>
      <w:r w:rsidR="00437D77" w:rsidRPr="007F1F06">
        <w:rPr>
          <w:rFonts w:asciiTheme="minorHAnsi" w:hAnsiTheme="minorHAnsi"/>
          <w:color w:val="auto"/>
        </w:rPr>
        <w:t xml:space="preserve">PEB, and was then medically separated with a </w:t>
      </w:r>
      <w:r w:rsidR="007F1F06" w:rsidRPr="007F1F06">
        <w:rPr>
          <w:rFonts w:asciiTheme="minorHAnsi" w:hAnsiTheme="minorHAnsi"/>
          <w:color w:val="auto"/>
        </w:rPr>
        <w:t>0</w:t>
      </w:r>
      <w:r w:rsidR="00437D77" w:rsidRPr="007F1F06">
        <w:rPr>
          <w:rFonts w:asciiTheme="minorHAnsi" w:hAnsiTheme="minorHAnsi"/>
          <w:color w:val="auto"/>
        </w:rPr>
        <w:t>%</w:t>
      </w:r>
      <w:r w:rsidR="00437D77" w:rsidRPr="00C472C7">
        <w:rPr>
          <w:rFonts w:asciiTheme="minorHAnsi" w:hAnsiTheme="minorHAnsi"/>
          <w:color w:val="auto"/>
        </w:rPr>
        <w:t xml:space="preserve">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00254C">
      <w:pPr>
        <w:tabs>
          <w:tab w:val="left" w:pos="288"/>
          <w:tab w:val="left" w:pos="4752"/>
        </w:tabs>
        <w:spacing w:line="240" w:lineRule="exact"/>
        <w:jc w:val="both"/>
        <w:rPr>
          <w:rFonts w:asciiTheme="minorHAnsi" w:hAnsiTheme="minorHAnsi"/>
          <w:color w:val="auto"/>
          <w:u w:val="single"/>
        </w:rPr>
      </w:pPr>
    </w:p>
    <w:p w:rsidR="007A2346" w:rsidRPr="00C472C7" w:rsidRDefault="002C6E5B" w:rsidP="0000254C">
      <w:pPr>
        <w:tabs>
          <w:tab w:val="left" w:pos="288"/>
          <w:tab w:val="left" w:pos="4752"/>
        </w:tabs>
        <w:spacing w:line="240" w:lineRule="exact"/>
        <w:jc w:val="both"/>
        <w:rPr>
          <w:rFonts w:asciiTheme="minorHAnsi" w:hAnsiTheme="minorHAns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425661">
        <w:rPr>
          <w:rFonts w:asciiTheme="minorHAnsi" w:hAnsiTheme="minorHAnsi"/>
          <w:color w:val="auto"/>
        </w:rPr>
        <w:t xml:space="preserve">  </w:t>
      </w:r>
      <w:r w:rsidR="0000254C">
        <w:rPr>
          <w:rFonts w:eastAsiaTheme="minorHAnsi" w:cstheme="minorBidi"/>
          <w:color w:val="auto"/>
          <w:szCs w:val="24"/>
        </w:rPr>
        <w:t>“T</w:t>
      </w:r>
      <w:r w:rsidR="0000254C" w:rsidRPr="00390E2F">
        <w:rPr>
          <w:rFonts w:eastAsiaTheme="minorHAnsi" w:cstheme="minorBidi"/>
          <w:color w:val="auto"/>
          <w:szCs w:val="24"/>
        </w:rPr>
        <w:t xml:space="preserve">he process for my combined disability rating was unfair.  The board that reviewed my documents made a mistake and never corrected the mistake. </w:t>
      </w:r>
      <w:r w:rsidR="00FF7498">
        <w:rPr>
          <w:rFonts w:eastAsiaTheme="minorHAnsi" w:cstheme="minorBidi"/>
          <w:color w:val="auto"/>
          <w:szCs w:val="24"/>
        </w:rPr>
        <w:t xml:space="preserve"> </w:t>
      </w:r>
      <w:r w:rsidR="0000254C" w:rsidRPr="00390E2F">
        <w:rPr>
          <w:rFonts w:eastAsiaTheme="minorHAnsi" w:cstheme="minorBidi"/>
          <w:color w:val="auto"/>
          <w:szCs w:val="24"/>
        </w:rPr>
        <w:t>Instead they changed it but never reevaluated the combined disability rating.  They left it at 0%.”</w:t>
      </w:r>
    </w:p>
    <w:p w:rsidR="003E1682" w:rsidRDefault="003E1682" w:rsidP="0000254C">
      <w:pPr>
        <w:pBdr>
          <w:bottom w:val="single" w:sz="12" w:space="1" w:color="auto"/>
        </w:pBdr>
        <w:spacing w:line="240" w:lineRule="exact"/>
        <w:rPr>
          <w:rFonts w:asciiTheme="minorHAnsi" w:hAnsiTheme="minorHAnsi"/>
          <w:color w:val="auto"/>
          <w:u w:val="single"/>
        </w:rPr>
      </w:pPr>
    </w:p>
    <w:p w:rsidR="000024F5" w:rsidRDefault="000024F5" w:rsidP="0000254C">
      <w:pPr>
        <w:spacing w:line="240" w:lineRule="exact"/>
        <w:rPr>
          <w:rFonts w:asciiTheme="minorHAnsi" w:hAnsiTheme="minorHAnsi"/>
          <w:color w:val="auto"/>
          <w:u w:val="single"/>
        </w:rPr>
      </w:pPr>
    </w:p>
    <w:p w:rsidR="002338CA" w:rsidRPr="0000254C" w:rsidRDefault="007F0AB7" w:rsidP="0000254C">
      <w:pPr>
        <w:spacing w:line="240" w:lineRule="exact"/>
        <w:rPr>
          <w:rFonts w:asciiTheme="minorHAnsi" w:hAnsiTheme="minorHAnsi"/>
          <w:color w:val="auto"/>
          <w:u w:val="single"/>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502A61" w:rsidRPr="00502A61" w:rsidRDefault="00502A61" w:rsidP="0000254C">
      <w:pPr>
        <w:tabs>
          <w:tab w:val="left" w:pos="288"/>
          <w:tab w:val="left" w:pos="4752"/>
        </w:tabs>
        <w:spacing w:line="240" w:lineRule="exact"/>
        <w:jc w:val="both"/>
        <w:rPr>
          <w:rFonts w:asciiTheme="minorHAnsi" w:hAnsiTheme="minorHAnsi"/>
          <w:color w:val="auto"/>
        </w:rPr>
      </w:pPr>
    </w:p>
    <w:tbl>
      <w:tblPr>
        <w:tblStyle w:val="TableGrid"/>
        <w:tblW w:w="9373" w:type="dxa"/>
        <w:jc w:val="center"/>
        <w:tblInd w:w="995" w:type="dxa"/>
        <w:tblLayout w:type="fixed"/>
        <w:tblLook w:val="04A0"/>
      </w:tblPr>
      <w:tblGrid>
        <w:gridCol w:w="1876"/>
        <w:gridCol w:w="1080"/>
        <w:gridCol w:w="900"/>
        <w:gridCol w:w="2763"/>
        <w:gridCol w:w="837"/>
        <w:gridCol w:w="927"/>
        <w:gridCol w:w="990"/>
      </w:tblGrid>
      <w:tr w:rsidR="00502A61" w:rsidRPr="00502A61" w:rsidTr="00FF7498">
        <w:trPr>
          <w:trHeight w:val="233"/>
          <w:jc w:val="center"/>
        </w:trPr>
        <w:tc>
          <w:tcPr>
            <w:tcW w:w="3856" w:type="dxa"/>
            <w:gridSpan w:val="3"/>
            <w:tcBorders>
              <w:right w:val="thinThickThinSmallGap" w:sz="24" w:space="0" w:color="auto"/>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Service IPEB</w:t>
            </w:r>
            <w:r w:rsidR="003B50B9" w:rsidRPr="002A5408">
              <w:rPr>
                <w:rFonts w:cs="Times New Roman"/>
                <w:b/>
                <w:color w:val="auto"/>
                <w:sz w:val="18"/>
                <w:szCs w:val="18"/>
              </w:rPr>
              <w:t xml:space="preserve"> (Relook)</w:t>
            </w:r>
            <w:r w:rsidRPr="002A5408">
              <w:rPr>
                <w:rFonts w:cs="Times New Roman"/>
                <w:b/>
                <w:color w:val="auto"/>
                <w:sz w:val="18"/>
                <w:szCs w:val="18"/>
              </w:rPr>
              <w:t xml:space="preserve"> – 20080306</w:t>
            </w:r>
          </w:p>
        </w:tc>
        <w:tc>
          <w:tcPr>
            <w:tcW w:w="5517" w:type="dxa"/>
            <w:gridSpan w:val="4"/>
            <w:tcBorders>
              <w:left w:val="thinThickThinSmallGap" w:sz="24" w:space="0" w:color="auto"/>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VA (4-9 Mo</w:t>
            </w:r>
            <w:r w:rsidR="00EE53B1" w:rsidRPr="002A5408">
              <w:rPr>
                <w:rFonts w:cs="Times New Roman"/>
                <w:b/>
                <w:color w:val="auto"/>
                <w:sz w:val="18"/>
                <w:szCs w:val="18"/>
              </w:rPr>
              <w:t>. A</w:t>
            </w:r>
            <w:r w:rsidRPr="002A5408">
              <w:rPr>
                <w:rFonts w:cs="Times New Roman"/>
                <w:b/>
                <w:color w:val="auto"/>
                <w:sz w:val="18"/>
                <w:szCs w:val="18"/>
              </w:rPr>
              <w:t>fter Separation) – All Effective 20080801</w:t>
            </w:r>
          </w:p>
        </w:tc>
      </w:tr>
      <w:tr w:rsidR="00502A61" w:rsidRPr="00502A61" w:rsidTr="00FF7498">
        <w:trPr>
          <w:trHeight w:val="233"/>
          <w:jc w:val="center"/>
        </w:trPr>
        <w:tc>
          <w:tcPr>
            <w:tcW w:w="1876" w:type="dxa"/>
            <w:tcBorders>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Rating</w:t>
            </w:r>
          </w:p>
        </w:tc>
        <w:tc>
          <w:tcPr>
            <w:tcW w:w="2763" w:type="dxa"/>
            <w:tcBorders>
              <w:left w:val="thinThickThinSmallGap" w:sz="24" w:space="0" w:color="auto"/>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Condition</w:t>
            </w:r>
          </w:p>
        </w:tc>
        <w:tc>
          <w:tcPr>
            <w:tcW w:w="837" w:type="dxa"/>
            <w:tcBorders>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Code</w:t>
            </w:r>
          </w:p>
        </w:tc>
        <w:tc>
          <w:tcPr>
            <w:tcW w:w="927" w:type="dxa"/>
            <w:tcBorders>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02A61" w:rsidRPr="002A5408" w:rsidRDefault="00502A61" w:rsidP="00502A61">
            <w:pPr>
              <w:spacing w:line="200" w:lineRule="exact"/>
              <w:contextualSpacing/>
              <w:jc w:val="center"/>
              <w:rPr>
                <w:rFonts w:cs="Times New Roman"/>
                <w:b/>
                <w:color w:val="auto"/>
                <w:sz w:val="18"/>
                <w:szCs w:val="18"/>
              </w:rPr>
            </w:pPr>
            <w:r w:rsidRPr="002A5408">
              <w:rPr>
                <w:rFonts w:cs="Times New Roman"/>
                <w:b/>
                <w:color w:val="auto"/>
                <w:sz w:val="18"/>
                <w:szCs w:val="18"/>
              </w:rPr>
              <w:t>Exam</w:t>
            </w:r>
          </w:p>
        </w:tc>
      </w:tr>
      <w:tr w:rsidR="00502A61" w:rsidRPr="00502A61" w:rsidTr="00FF7498">
        <w:trPr>
          <w:trHeight w:val="278"/>
          <w:jc w:val="center"/>
        </w:trPr>
        <w:tc>
          <w:tcPr>
            <w:tcW w:w="1876" w:type="dxa"/>
            <w:shd w:val="clear" w:color="auto" w:fill="FFFFFF" w:themeFill="background1"/>
            <w:vAlign w:val="center"/>
          </w:tcPr>
          <w:p w:rsidR="00502A61" w:rsidRPr="002A5408" w:rsidRDefault="00502A61" w:rsidP="0046232C">
            <w:pPr>
              <w:spacing w:line="180" w:lineRule="exact"/>
              <w:contextualSpacing/>
              <w:rPr>
                <w:rFonts w:cs="Times New Roman"/>
                <w:color w:val="auto"/>
                <w:sz w:val="18"/>
                <w:szCs w:val="18"/>
              </w:rPr>
            </w:pPr>
            <w:r w:rsidRPr="002A5408">
              <w:rPr>
                <w:rFonts w:cs="Times New Roman"/>
                <w:color w:val="auto"/>
                <w:sz w:val="18"/>
                <w:szCs w:val="18"/>
              </w:rPr>
              <w:t>TBI</w:t>
            </w:r>
          </w:p>
        </w:tc>
        <w:tc>
          <w:tcPr>
            <w:tcW w:w="1080" w:type="dxa"/>
            <w:shd w:val="clear" w:color="auto" w:fill="FFFFFF" w:themeFill="background1"/>
            <w:vAlign w:val="center"/>
          </w:tcPr>
          <w:p w:rsidR="00502A61" w:rsidRPr="002A5408" w:rsidRDefault="00502A61" w:rsidP="00502A61">
            <w:pPr>
              <w:spacing w:line="180" w:lineRule="exact"/>
              <w:contextualSpacing/>
              <w:jc w:val="center"/>
              <w:rPr>
                <w:rFonts w:cs="Times New Roman"/>
                <w:color w:val="auto"/>
                <w:sz w:val="18"/>
                <w:szCs w:val="18"/>
              </w:rPr>
            </w:pPr>
            <w:r w:rsidRPr="002A5408">
              <w:rPr>
                <w:rFonts w:cs="Times New Roman"/>
                <w:color w:val="auto"/>
                <w:sz w:val="18"/>
                <w:szCs w:val="18"/>
              </w:rPr>
              <w:t>8045-9304</w:t>
            </w:r>
          </w:p>
        </w:tc>
        <w:tc>
          <w:tcPr>
            <w:tcW w:w="900" w:type="dxa"/>
            <w:tcBorders>
              <w:right w:val="thinThickThinSmallGap" w:sz="24" w:space="0" w:color="auto"/>
            </w:tcBorders>
            <w:shd w:val="clear" w:color="auto" w:fill="FFFFFF" w:themeFill="background1"/>
            <w:vAlign w:val="center"/>
          </w:tcPr>
          <w:p w:rsidR="00502A61" w:rsidRPr="002A5408" w:rsidRDefault="00502A61" w:rsidP="00502A61">
            <w:pPr>
              <w:spacing w:line="180" w:lineRule="exact"/>
              <w:contextualSpacing/>
              <w:jc w:val="center"/>
              <w:rPr>
                <w:rFonts w:cs="Times New Roman"/>
                <w:color w:val="auto"/>
                <w:sz w:val="18"/>
                <w:szCs w:val="18"/>
              </w:rPr>
            </w:pPr>
            <w:r w:rsidRPr="002A5408">
              <w:rPr>
                <w:rFonts w:cs="Times New Roman"/>
                <w:color w:val="auto"/>
                <w:sz w:val="18"/>
                <w:szCs w:val="18"/>
              </w:rPr>
              <w:t>0%</w:t>
            </w:r>
          </w:p>
        </w:tc>
        <w:tc>
          <w:tcPr>
            <w:tcW w:w="2763" w:type="dxa"/>
            <w:vMerge w:val="restart"/>
            <w:tcBorders>
              <w:left w:val="thinThickThinSmallGap" w:sz="24" w:space="0" w:color="auto"/>
            </w:tcBorders>
            <w:shd w:val="clear" w:color="auto" w:fill="FFFFFF" w:themeFill="background1"/>
          </w:tcPr>
          <w:p w:rsidR="00502A61" w:rsidRPr="002A5408" w:rsidRDefault="002A5408" w:rsidP="002A5408">
            <w:pPr>
              <w:spacing w:line="180" w:lineRule="exact"/>
              <w:contextualSpacing/>
              <w:rPr>
                <w:rFonts w:cs="Times New Roman"/>
                <w:color w:val="auto"/>
                <w:sz w:val="18"/>
                <w:szCs w:val="18"/>
              </w:rPr>
            </w:pPr>
            <w:r>
              <w:rPr>
                <w:rFonts w:cs="Times New Roman"/>
                <w:color w:val="auto"/>
                <w:sz w:val="18"/>
                <w:szCs w:val="18"/>
              </w:rPr>
              <w:t>TBI (Claimed Post Concussive Synd</w:t>
            </w:r>
            <w:r w:rsidR="00502A61" w:rsidRPr="002A5408">
              <w:rPr>
                <w:rFonts w:cs="Times New Roman"/>
                <w:color w:val="auto"/>
                <w:sz w:val="18"/>
                <w:szCs w:val="18"/>
              </w:rPr>
              <w:t>)</w:t>
            </w:r>
          </w:p>
        </w:tc>
        <w:tc>
          <w:tcPr>
            <w:tcW w:w="837" w:type="dxa"/>
            <w:vMerge w:val="restart"/>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8045</w:t>
            </w:r>
          </w:p>
        </w:tc>
        <w:tc>
          <w:tcPr>
            <w:tcW w:w="927" w:type="dxa"/>
            <w:vMerge w:val="restart"/>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40%</w:t>
            </w:r>
          </w:p>
        </w:tc>
        <w:tc>
          <w:tcPr>
            <w:tcW w:w="990" w:type="dxa"/>
            <w:vMerge w:val="restart"/>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20090122</w:t>
            </w:r>
          </w:p>
        </w:tc>
      </w:tr>
      <w:tr w:rsidR="00502A61" w:rsidRPr="00502A61" w:rsidTr="00FF7498">
        <w:trPr>
          <w:trHeight w:val="125"/>
          <w:jc w:val="center"/>
        </w:trPr>
        <w:tc>
          <w:tcPr>
            <w:tcW w:w="1876" w:type="dxa"/>
            <w:shd w:val="clear" w:color="auto" w:fill="FFFFFF" w:themeFill="background1"/>
            <w:vAlign w:val="center"/>
          </w:tcPr>
          <w:p w:rsidR="00502A61" w:rsidRPr="002A5408" w:rsidRDefault="002A5408" w:rsidP="00595CE8">
            <w:pPr>
              <w:spacing w:line="180" w:lineRule="exact"/>
              <w:contextualSpacing/>
              <w:rPr>
                <w:rFonts w:cs="Times New Roman"/>
                <w:color w:val="auto"/>
                <w:sz w:val="18"/>
                <w:szCs w:val="18"/>
              </w:rPr>
            </w:pPr>
            <w:r w:rsidRPr="002A5408">
              <w:rPr>
                <w:rFonts w:cs="Times New Roman"/>
                <w:color w:val="auto"/>
                <w:sz w:val="18"/>
                <w:szCs w:val="18"/>
              </w:rPr>
              <w:t>Post Concussion Synd w/</w:t>
            </w:r>
            <w:r w:rsidR="00502A61" w:rsidRPr="002A5408">
              <w:rPr>
                <w:rFonts w:cs="Times New Roman"/>
                <w:color w:val="auto"/>
                <w:sz w:val="18"/>
                <w:szCs w:val="18"/>
              </w:rPr>
              <w:t>Headaches</w:t>
            </w:r>
          </w:p>
        </w:tc>
        <w:tc>
          <w:tcPr>
            <w:tcW w:w="1980" w:type="dxa"/>
            <w:gridSpan w:val="2"/>
            <w:tcBorders>
              <w:right w:val="thinThickThinSmallGap" w:sz="24" w:space="0" w:color="auto"/>
            </w:tcBorders>
            <w:shd w:val="clear" w:color="auto" w:fill="FFFFFF" w:themeFill="background1"/>
            <w:vAlign w:val="center"/>
          </w:tcPr>
          <w:p w:rsidR="00502A61" w:rsidRPr="002A5408" w:rsidRDefault="00502A61" w:rsidP="00502A61">
            <w:pPr>
              <w:spacing w:line="180" w:lineRule="exact"/>
              <w:contextualSpacing/>
              <w:jc w:val="center"/>
              <w:rPr>
                <w:rFonts w:cs="Times New Roman"/>
                <w:color w:val="auto"/>
                <w:sz w:val="18"/>
                <w:szCs w:val="18"/>
              </w:rPr>
            </w:pPr>
            <w:r w:rsidRPr="002A5408">
              <w:rPr>
                <w:rFonts w:cs="Times New Roman"/>
                <w:color w:val="auto"/>
                <w:sz w:val="18"/>
                <w:szCs w:val="18"/>
              </w:rPr>
              <w:t>CAT II</w:t>
            </w:r>
          </w:p>
        </w:tc>
        <w:tc>
          <w:tcPr>
            <w:tcW w:w="2763" w:type="dxa"/>
            <w:vMerge/>
            <w:tcBorders>
              <w:left w:val="thinThickThinSmallGap" w:sz="24" w:space="0" w:color="auto"/>
            </w:tcBorders>
            <w:shd w:val="clear" w:color="auto" w:fill="FFFFFF" w:themeFill="background1"/>
          </w:tcPr>
          <w:p w:rsidR="00502A61" w:rsidRPr="002A5408" w:rsidRDefault="00502A61" w:rsidP="002A5408">
            <w:pPr>
              <w:spacing w:line="180" w:lineRule="exact"/>
              <w:contextualSpacing/>
              <w:rPr>
                <w:rFonts w:cs="Times New Roman"/>
                <w:color w:val="auto"/>
                <w:sz w:val="18"/>
                <w:szCs w:val="18"/>
              </w:rPr>
            </w:pPr>
          </w:p>
        </w:tc>
        <w:tc>
          <w:tcPr>
            <w:tcW w:w="837" w:type="dxa"/>
            <w:vMerge/>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p>
        </w:tc>
        <w:tc>
          <w:tcPr>
            <w:tcW w:w="927" w:type="dxa"/>
            <w:vMerge/>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p>
        </w:tc>
        <w:tc>
          <w:tcPr>
            <w:tcW w:w="990" w:type="dxa"/>
            <w:vMerge/>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p>
        </w:tc>
      </w:tr>
      <w:tr w:rsidR="00502A61" w:rsidRPr="00502A61" w:rsidTr="00FF7498">
        <w:trPr>
          <w:trHeight w:val="125"/>
          <w:jc w:val="center"/>
        </w:trPr>
        <w:tc>
          <w:tcPr>
            <w:tcW w:w="1876" w:type="dxa"/>
            <w:tcBorders>
              <w:right w:val="single" w:sz="4" w:space="0" w:color="auto"/>
            </w:tcBorders>
            <w:shd w:val="clear" w:color="auto" w:fill="FFFFFF" w:themeFill="background1"/>
            <w:vAlign w:val="center"/>
          </w:tcPr>
          <w:p w:rsidR="00502A61" w:rsidRPr="002A5408" w:rsidRDefault="002A5408" w:rsidP="00595CE8">
            <w:pPr>
              <w:spacing w:line="180" w:lineRule="exact"/>
              <w:contextualSpacing/>
              <w:rPr>
                <w:rFonts w:cs="Times New Roman"/>
                <w:color w:val="auto"/>
                <w:sz w:val="18"/>
                <w:szCs w:val="18"/>
              </w:rPr>
            </w:pPr>
            <w:r>
              <w:rPr>
                <w:rFonts w:cs="Times New Roman"/>
                <w:color w:val="auto"/>
                <w:sz w:val="18"/>
                <w:szCs w:val="18"/>
              </w:rPr>
              <w:t xml:space="preserve">PTSD </w:t>
            </w:r>
            <w:r w:rsidR="00502A61" w:rsidRPr="002A5408">
              <w:rPr>
                <w:rFonts w:cs="Times New Roman"/>
                <w:color w:val="auto"/>
                <w:sz w:val="18"/>
                <w:szCs w:val="18"/>
              </w:rPr>
              <w:t>Chronic</w:t>
            </w:r>
          </w:p>
        </w:tc>
        <w:tc>
          <w:tcPr>
            <w:tcW w:w="1980" w:type="dxa"/>
            <w:gridSpan w:val="2"/>
            <w:tcBorders>
              <w:left w:val="single" w:sz="4" w:space="0" w:color="auto"/>
              <w:right w:val="thinThickThinSmallGap" w:sz="24" w:space="0" w:color="auto"/>
            </w:tcBorders>
            <w:shd w:val="clear" w:color="auto" w:fill="FFFFFF" w:themeFill="background1"/>
            <w:vAlign w:val="center"/>
          </w:tcPr>
          <w:p w:rsidR="00502A61" w:rsidRPr="002A5408" w:rsidRDefault="00502A61" w:rsidP="00502A61">
            <w:pPr>
              <w:spacing w:line="180" w:lineRule="exact"/>
              <w:contextualSpacing/>
              <w:jc w:val="center"/>
              <w:rPr>
                <w:rFonts w:cs="Times New Roman"/>
                <w:color w:val="auto"/>
                <w:sz w:val="18"/>
                <w:szCs w:val="18"/>
              </w:rPr>
            </w:pPr>
            <w:r w:rsidRPr="002A5408">
              <w:rPr>
                <w:rFonts w:cs="Times New Roman"/>
                <w:color w:val="auto"/>
                <w:sz w:val="18"/>
                <w:szCs w:val="18"/>
              </w:rPr>
              <w:t>CAT II</w:t>
            </w:r>
          </w:p>
        </w:tc>
        <w:tc>
          <w:tcPr>
            <w:tcW w:w="2763" w:type="dxa"/>
            <w:tcBorders>
              <w:left w:val="thinThickThinSmallGap" w:sz="24" w:space="0" w:color="auto"/>
            </w:tcBorders>
            <w:shd w:val="clear" w:color="auto" w:fill="FFFFFF" w:themeFill="background1"/>
          </w:tcPr>
          <w:p w:rsidR="00502A61" w:rsidRPr="002A5408" w:rsidRDefault="00502A61" w:rsidP="002A5408">
            <w:pPr>
              <w:spacing w:line="180" w:lineRule="exact"/>
              <w:contextualSpacing/>
              <w:rPr>
                <w:rFonts w:cs="Times New Roman"/>
                <w:color w:val="auto"/>
                <w:sz w:val="18"/>
                <w:szCs w:val="18"/>
              </w:rPr>
            </w:pPr>
            <w:r w:rsidRPr="002A5408">
              <w:rPr>
                <w:rFonts w:cs="Times New Roman"/>
                <w:color w:val="auto"/>
                <w:sz w:val="18"/>
                <w:szCs w:val="18"/>
              </w:rPr>
              <w:t>PTSD</w:t>
            </w:r>
          </w:p>
        </w:tc>
        <w:tc>
          <w:tcPr>
            <w:tcW w:w="83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9411</w:t>
            </w:r>
          </w:p>
        </w:tc>
        <w:tc>
          <w:tcPr>
            <w:tcW w:w="92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30%</w:t>
            </w:r>
          </w:p>
        </w:tc>
        <w:tc>
          <w:tcPr>
            <w:tcW w:w="990"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20081201</w:t>
            </w:r>
          </w:p>
        </w:tc>
      </w:tr>
      <w:tr w:rsidR="00502A61" w:rsidRPr="00502A61" w:rsidTr="00FF7498">
        <w:trPr>
          <w:trHeight w:val="125"/>
          <w:jc w:val="center"/>
        </w:trPr>
        <w:tc>
          <w:tcPr>
            <w:tcW w:w="1876" w:type="dxa"/>
            <w:tcBorders>
              <w:bottom w:val="single" w:sz="4" w:space="0" w:color="auto"/>
              <w:right w:val="single" w:sz="4" w:space="0" w:color="auto"/>
            </w:tcBorders>
            <w:shd w:val="clear" w:color="auto" w:fill="FFFFFF" w:themeFill="background1"/>
            <w:vAlign w:val="center"/>
          </w:tcPr>
          <w:p w:rsidR="00502A61" w:rsidRPr="002A5408" w:rsidRDefault="00502A61" w:rsidP="00595CE8">
            <w:pPr>
              <w:spacing w:line="180" w:lineRule="exact"/>
              <w:contextualSpacing/>
              <w:rPr>
                <w:rFonts w:cs="Times New Roman"/>
                <w:color w:val="auto"/>
                <w:sz w:val="18"/>
                <w:szCs w:val="18"/>
              </w:rPr>
            </w:pPr>
            <w:r w:rsidRPr="002A5408">
              <w:rPr>
                <w:rFonts w:cs="Times New Roman"/>
                <w:color w:val="auto"/>
                <w:sz w:val="18"/>
                <w:szCs w:val="18"/>
              </w:rPr>
              <w:t>Lumbago</w:t>
            </w:r>
          </w:p>
        </w:tc>
        <w:tc>
          <w:tcPr>
            <w:tcW w:w="1980"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502A61" w:rsidRPr="002A5408" w:rsidRDefault="00502A61" w:rsidP="00502A61">
            <w:pPr>
              <w:spacing w:line="180" w:lineRule="exact"/>
              <w:contextualSpacing/>
              <w:jc w:val="center"/>
              <w:rPr>
                <w:rFonts w:cs="Times New Roman"/>
                <w:color w:val="auto"/>
                <w:sz w:val="18"/>
                <w:szCs w:val="18"/>
              </w:rPr>
            </w:pPr>
            <w:r w:rsidRPr="002A5408">
              <w:rPr>
                <w:rFonts w:cs="Times New Roman"/>
                <w:color w:val="auto"/>
                <w:sz w:val="18"/>
                <w:szCs w:val="18"/>
              </w:rPr>
              <w:t>CAT III</w:t>
            </w:r>
          </w:p>
        </w:tc>
        <w:tc>
          <w:tcPr>
            <w:tcW w:w="2763" w:type="dxa"/>
            <w:tcBorders>
              <w:left w:val="thinThickThinSmallGap" w:sz="24" w:space="0" w:color="auto"/>
            </w:tcBorders>
            <w:shd w:val="clear" w:color="auto" w:fill="FFFFFF" w:themeFill="background1"/>
          </w:tcPr>
          <w:p w:rsidR="00502A61" w:rsidRPr="002A5408" w:rsidRDefault="002A5408" w:rsidP="002A5408">
            <w:pPr>
              <w:spacing w:line="180" w:lineRule="exact"/>
              <w:rPr>
                <w:rFonts w:eastAsiaTheme="minorEastAsia"/>
                <w:color w:val="auto"/>
                <w:sz w:val="18"/>
                <w:szCs w:val="18"/>
              </w:rPr>
            </w:pPr>
            <w:r>
              <w:rPr>
                <w:rFonts w:eastAsiaTheme="minorEastAsia"/>
                <w:color w:val="auto"/>
                <w:sz w:val="18"/>
                <w:szCs w:val="18"/>
              </w:rPr>
              <w:t>L &amp; T</w:t>
            </w:r>
            <w:r w:rsidR="00502A61" w:rsidRPr="002A5408">
              <w:rPr>
                <w:rFonts w:eastAsiaTheme="minorEastAsia"/>
                <w:color w:val="auto"/>
                <w:sz w:val="18"/>
                <w:szCs w:val="18"/>
              </w:rPr>
              <w:t xml:space="preserve"> Strain (Claimed Lumbago)</w:t>
            </w:r>
          </w:p>
        </w:tc>
        <w:tc>
          <w:tcPr>
            <w:tcW w:w="83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5237</w:t>
            </w:r>
          </w:p>
        </w:tc>
        <w:tc>
          <w:tcPr>
            <w:tcW w:w="92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10%</w:t>
            </w:r>
          </w:p>
        </w:tc>
        <w:tc>
          <w:tcPr>
            <w:tcW w:w="990"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20090410</w:t>
            </w:r>
          </w:p>
        </w:tc>
      </w:tr>
      <w:tr w:rsidR="00502A61" w:rsidRPr="00502A61" w:rsidTr="00FF7498">
        <w:trPr>
          <w:trHeight w:val="179"/>
          <w:jc w:val="center"/>
        </w:trPr>
        <w:tc>
          <w:tcPr>
            <w:tcW w:w="1876" w:type="dxa"/>
            <w:tcBorders>
              <w:top w:val="single" w:sz="4" w:space="0" w:color="auto"/>
              <w:bottom w:val="single" w:sz="4" w:space="0" w:color="auto"/>
              <w:right w:val="single" w:sz="4" w:space="0" w:color="auto"/>
            </w:tcBorders>
            <w:shd w:val="clear" w:color="auto" w:fill="FFFFFF" w:themeFill="background1"/>
          </w:tcPr>
          <w:p w:rsidR="00502A61" w:rsidRPr="002A5408" w:rsidRDefault="004214FD" w:rsidP="002A5408">
            <w:pPr>
              <w:spacing w:line="180" w:lineRule="exact"/>
              <w:contextualSpacing/>
              <w:rPr>
                <w:rFonts w:cs="Times New Roman"/>
                <w:color w:val="auto"/>
                <w:sz w:val="18"/>
                <w:szCs w:val="18"/>
              </w:rPr>
            </w:pPr>
            <w:r w:rsidRPr="002A5408">
              <w:rPr>
                <w:rFonts w:cs="Times New Roman"/>
                <w:color w:val="auto"/>
                <w:sz w:val="18"/>
                <w:szCs w:val="18"/>
              </w:rPr>
              <w:t xml:space="preserve">R </w:t>
            </w:r>
            <w:r w:rsidR="00502A61" w:rsidRPr="002A5408">
              <w:rPr>
                <w:rFonts w:cs="Times New Roman"/>
                <w:color w:val="auto"/>
                <w:sz w:val="18"/>
                <w:szCs w:val="18"/>
              </w:rPr>
              <w:t>Shoulder 2</w:t>
            </w:r>
            <w:r w:rsidR="00502A61" w:rsidRPr="002A5408">
              <w:rPr>
                <w:rFonts w:cs="Times New Roman"/>
                <w:color w:val="auto"/>
                <w:sz w:val="18"/>
                <w:szCs w:val="18"/>
                <w:vertAlign w:val="superscript"/>
              </w:rPr>
              <w:t>nd</w:t>
            </w:r>
            <w:r w:rsidR="00502A61" w:rsidRPr="002A5408">
              <w:rPr>
                <w:rFonts w:cs="Times New Roman"/>
                <w:color w:val="auto"/>
                <w:sz w:val="18"/>
                <w:szCs w:val="18"/>
              </w:rPr>
              <w:t xml:space="preserve"> Degree AC Injury</w:t>
            </w:r>
          </w:p>
        </w:tc>
        <w:tc>
          <w:tcPr>
            <w:tcW w:w="1980" w:type="dxa"/>
            <w:gridSpan w:val="2"/>
            <w:tcBorders>
              <w:top w:val="single" w:sz="4" w:space="0" w:color="auto"/>
              <w:left w:val="single" w:sz="4" w:space="0" w:color="auto"/>
              <w:bottom w:val="single" w:sz="4" w:space="0" w:color="auto"/>
              <w:right w:val="thinThickThinSmallGap" w:sz="24" w:space="0" w:color="auto"/>
            </w:tcBorders>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CAT III</w:t>
            </w:r>
          </w:p>
        </w:tc>
        <w:tc>
          <w:tcPr>
            <w:tcW w:w="2763" w:type="dxa"/>
            <w:tcBorders>
              <w:left w:val="thinThickThinSmallGap" w:sz="24" w:space="0" w:color="auto"/>
            </w:tcBorders>
            <w:shd w:val="clear" w:color="auto" w:fill="FFFFFF" w:themeFill="background1"/>
          </w:tcPr>
          <w:p w:rsidR="00502A61" w:rsidRPr="002A5408" w:rsidRDefault="00A91092" w:rsidP="002A5408">
            <w:pPr>
              <w:spacing w:line="180" w:lineRule="exact"/>
              <w:rPr>
                <w:rFonts w:eastAsiaTheme="minorEastAsia"/>
                <w:color w:val="auto"/>
                <w:sz w:val="18"/>
                <w:szCs w:val="18"/>
              </w:rPr>
            </w:pPr>
            <w:r w:rsidRPr="002A5408">
              <w:rPr>
                <w:rFonts w:eastAsiaTheme="minorEastAsia"/>
                <w:color w:val="auto"/>
                <w:sz w:val="18"/>
                <w:szCs w:val="18"/>
              </w:rPr>
              <w:t>DJD of AC of the R</w:t>
            </w:r>
            <w:r w:rsidR="00502A61" w:rsidRPr="002A5408">
              <w:rPr>
                <w:rFonts w:eastAsiaTheme="minorEastAsia"/>
                <w:color w:val="auto"/>
                <w:sz w:val="18"/>
                <w:szCs w:val="18"/>
              </w:rPr>
              <w:t xml:space="preserve"> Shoulder</w:t>
            </w:r>
          </w:p>
        </w:tc>
        <w:tc>
          <w:tcPr>
            <w:tcW w:w="83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5010</w:t>
            </w:r>
          </w:p>
        </w:tc>
        <w:tc>
          <w:tcPr>
            <w:tcW w:w="927"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10%</w:t>
            </w:r>
          </w:p>
        </w:tc>
        <w:tc>
          <w:tcPr>
            <w:tcW w:w="990" w:type="dxa"/>
            <w:shd w:val="clear" w:color="auto" w:fill="FFFFFF" w:themeFill="background1"/>
          </w:tcPr>
          <w:p w:rsidR="00502A61" w:rsidRPr="002A5408" w:rsidRDefault="00502A61" w:rsidP="002A5408">
            <w:pPr>
              <w:spacing w:line="180" w:lineRule="exact"/>
              <w:contextualSpacing/>
              <w:jc w:val="center"/>
              <w:rPr>
                <w:rFonts w:cs="Times New Roman"/>
                <w:color w:val="auto"/>
                <w:sz w:val="18"/>
                <w:szCs w:val="18"/>
              </w:rPr>
            </w:pPr>
            <w:r w:rsidRPr="002A5408">
              <w:rPr>
                <w:rFonts w:cs="Times New Roman"/>
                <w:color w:val="auto"/>
                <w:sz w:val="18"/>
                <w:szCs w:val="18"/>
              </w:rPr>
              <w:t>20090410</w:t>
            </w:r>
          </w:p>
        </w:tc>
      </w:tr>
      <w:tr w:rsidR="00EE53B1" w:rsidRPr="00FA0AB4" w:rsidTr="00FF7498">
        <w:trPr>
          <w:trHeight w:val="305"/>
          <w:jc w:val="center"/>
        </w:trPr>
        <w:tc>
          <w:tcPr>
            <w:tcW w:w="3856" w:type="dxa"/>
            <w:gridSpan w:val="3"/>
            <w:vMerge w:val="restart"/>
            <w:tcBorders>
              <w:top w:val="single" w:sz="4" w:space="0" w:color="auto"/>
              <w:right w:val="thinThickThinSmallGap" w:sz="24" w:space="0" w:color="auto"/>
            </w:tcBorders>
            <w:shd w:val="clear" w:color="auto" w:fill="FFFFFF" w:themeFill="background1"/>
          </w:tcPr>
          <w:p w:rsidR="00EE53B1" w:rsidRPr="002A5408" w:rsidRDefault="00EE53B1" w:rsidP="002A5408">
            <w:pPr>
              <w:spacing w:line="180" w:lineRule="exact"/>
              <w:contextualSpacing/>
              <w:jc w:val="center"/>
              <w:rPr>
                <w:rFonts w:cs="Times New Roman"/>
                <w:color w:val="auto"/>
                <w:sz w:val="18"/>
                <w:szCs w:val="18"/>
              </w:rPr>
            </w:pPr>
            <w:r w:rsidRPr="002A5408">
              <w:rPr>
                <w:rFonts w:cs="Times New Roman"/>
                <w:color w:val="auto"/>
                <w:sz w:val="18"/>
                <w:szCs w:val="18"/>
              </w:rPr>
              <w:t>↓No Additional MEB</w:t>
            </w:r>
            <w:r w:rsidR="00A12D32" w:rsidRPr="002A5408">
              <w:rPr>
                <w:rFonts w:cs="Times New Roman"/>
                <w:color w:val="auto"/>
                <w:sz w:val="18"/>
                <w:szCs w:val="18"/>
              </w:rPr>
              <w:t>/PEB</w:t>
            </w:r>
            <w:r w:rsidRPr="002A5408">
              <w:rPr>
                <w:rFonts w:cs="Times New Roman"/>
                <w:color w:val="auto"/>
                <w:sz w:val="18"/>
                <w:szCs w:val="18"/>
              </w:rPr>
              <w:t xml:space="preserve"> Entries↓</w:t>
            </w:r>
          </w:p>
        </w:tc>
        <w:tc>
          <w:tcPr>
            <w:tcW w:w="2763" w:type="dxa"/>
            <w:tcBorders>
              <w:left w:val="thinThickThinSmallGap" w:sz="24" w:space="0" w:color="auto"/>
            </w:tcBorders>
            <w:shd w:val="clear" w:color="auto" w:fill="FFFFFF" w:themeFill="background1"/>
          </w:tcPr>
          <w:p w:rsidR="00EE53B1" w:rsidRPr="002A5408" w:rsidRDefault="002A5408" w:rsidP="002A5408">
            <w:pPr>
              <w:spacing w:line="180" w:lineRule="exact"/>
              <w:rPr>
                <w:rFonts w:eastAsiaTheme="minorEastAsia"/>
                <w:color w:val="auto"/>
                <w:sz w:val="18"/>
                <w:szCs w:val="18"/>
              </w:rPr>
            </w:pPr>
            <w:r>
              <w:rPr>
                <w:rFonts w:eastAsiaTheme="minorEastAsia"/>
                <w:color w:val="auto"/>
                <w:sz w:val="18"/>
                <w:szCs w:val="18"/>
              </w:rPr>
              <w:t>L Ankle Fx  S/P 2</w:t>
            </w:r>
            <w:r w:rsidR="00EE53B1" w:rsidRPr="002A5408">
              <w:rPr>
                <w:rFonts w:eastAsiaTheme="minorEastAsia"/>
                <w:color w:val="auto"/>
                <w:sz w:val="18"/>
                <w:szCs w:val="18"/>
              </w:rPr>
              <w:t xml:space="preserve"> Repairs</w:t>
            </w:r>
          </w:p>
        </w:tc>
        <w:tc>
          <w:tcPr>
            <w:tcW w:w="837" w:type="dxa"/>
            <w:shd w:val="clear" w:color="auto" w:fill="FFFFFF" w:themeFill="background1"/>
          </w:tcPr>
          <w:p w:rsidR="00EE53B1" w:rsidRPr="002A5408" w:rsidRDefault="00EE53B1" w:rsidP="002A5408">
            <w:pPr>
              <w:spacing w:line="180" w:lineRule="exact"/>
              <w:contextualSpacing/>
              <w:jc w:val="center"/>
              <w:rPr>
                <w:rFonts w:cs="Times New Roman"/>
                <w:color w:val="auto"/>
                <w:sz w:val="18"/>
                <w:szCs w:val="18"/>
              </w:rPr>
            </w:pPr>
            <w:r w:rsidRPr="002A5408">
              <w:rPr>
                <w:rFonts w:cs="Times New Roman"/>
                <w:color w:val="auto"/>
                <w:sz w:val="18"/>
                <w:szCs w:val="18"/>
              </w:rPr>
              <w:t>5271</w:t>
            </w:r>
          </w:p>
        </w:tc>
        <w:tc>
          <w:tcPr>
            <w:tcW w:w="927" w:type="dxa"/>
            <w:shd w:val="clear" w:color="auto" w:fill="FFFFFF" w:themeFill="background1"/>
          </w:tcPr>
          <w:p w:rsidR="00EE53B1" w:rsidRPr="002A5408" w:rsidRDefault="00EE53B1" w:rsidP="002A5408">
            <w:pPr>
              <w:spacing w:line="180" w:lineRule="exact"/>
              <w:contextualSpacing/>
              <w:jc w:val="center"/>
              <w:rPr>
                <w:rFonts w:cs="Times New Roman"/>
                <w:color w:val="auto"/>
                <w:sz w:val="18"/>
                <w:szCs w:val="18"/>
              </w:rPr>
            </w:pPr>
            <w:r w:rsidRPr="002A5408">
              <w:rPr>
                <w:rFonts w:cs="Times New Roman"/>
                <w:color w:val="auto"/>
                <w:sz w:val="18"/>
                <w:szCs w:val="18"/>
              </w:rPr>
              <w:t>10%</w:t>
            </w:r>
          </w:p>
        </w:tc>
        <w:tc>
          <w:tcPr>
            <w:tcW w:w="990" w:type="dxa"/>
            <w:shd w:val="clear" w:color="auto" w:fill="FFFFFF" w:themeFill="background1"/>
          </w:tcPr>
          <w:p w:rsidR="00EE53B1" w:rsidRPr="002A5408" w:rsidRDefault="00EE53B1" w:rsidP="002A5408">
            <w:pPr>
              <w:spacing w:line="180" w:lineRule="exact"/>
              <w:contextualSpacing/>
              <w:jc w:val="center"/>
              <w:rPr>
                <w:rFonts w:cs="Times New Roman"/>
                <w:color w:val="auto"/>
                <w:sz w:val="18"/>
                <w:szCs w:val="18"/>
              </w:rPr>
            </w:pPr>
            <w:r w:rsidRPr="002A5408">
              <w:rPr>
                <w:rFonts w:cs="Times New Roman"/>
                <w:color w:val="auto"/>
                <w:sz w:val="18"/>
                <w:szCs w:val="18"/>
              </w:rPr>
              <w:t>20090410</w:t>
            </w:r>
          </w:p>
        </w:tc>
      </w:tr>
      <w:tr w:rsidR="00BE6218" w:rsidRPr="00FA0AB4" w:rsidTr="00FF7498">
        <w:trPr>
          <w:trHeight w:val="260"/>
          <w:jc w:val="center"/>
        </w:trPr>
        <w:tc>
          <w:tcPr>
            <w:tcW w:w="3856" w:type="dxa"/>
            <w:gridSpan w:val="3"/>
            <w:vMerge/>
            <w:tcBorders>
              <w:right w:val="thinThickThinSmallGap" w:sz="24" w:space="0" w:color="auto"/>
            </w:tcBorders>
            <w:shd w:val="clear" w:color="auto" w:fill="FFFFFF" w:themeFill="background1"/>
            <w:vAlign w:val="center"/>
          </w:tcPr>
          <w:p w:rsidR="00BE6218" w:rsidRPr="002A5408" w:rsidRDefault="00BE6218" w:rsidP="00502A61">
            <w:pPr>
              <w:spacing w:line="180" w:lineRule="exact"/>
              <w:contextualSpacing/>
              <w:jc w:val="center"/>
              <w:rPr>
                <w:rFonts w:cs="Times New Roman"/>
                <w:color w:val="auto"/>
                <w:sz w:val="18"/>
                <w:szCs w:val="18"/>
              </w:rPr>
            </w:pPr>
          </w:p>
        </w:tc>
        <w:tc>
          <w:tcPr>
            <w:tcW w:w="2763" w:type="dxa"/>
            <w:tcBorders>
              <w:left w:val="thinThickThinSmallGap" w:sz="24" w:space="0" w:color="auto"/>
            </w:tcBorders>
            <w:shd w:val="clear" w:color="auto" w:fill="FFFFFF" w:themeFill="background1"/>
          </w:tcPr>
          <w:p w:rsidR="00BE6218" w:rsidRPr="002A5408" w:rsidRDefault="00BE6218" w:rsidP="00BE6218">
            <w:pPr>
              <w:tabs>
                <w:tab w:val="right" w:pos="2712"/>
              </w:tabs>
              <w:spacing w:line="180" w:lineRule="exact"/>
              <w:rPr>
                <w:rFonts w:eastAsiaTheme="minorEastAsia"/>
                <w:color w:val="auto"/>
                <w:sz w:val="18"/>
                <w:szCs w:val="18"/>
              </w:rPr>
            </w:pPr>
            <w:r w:rsidRPr="002A5408">
              <w:rPr>
                <w:rFonts w:eastAsiaTheme="minorEastAsia"/>
                <w:color w:val="auto"/>
                <w:sz w:val="18"/>
                <w:szCs w:val="18"/>
              </w:rPr>
              <w:t>Tinnitus</w:t>
            </w:r>
            <w:r>
              <w:rPr>
                <w:rFonts w:eastAsiaTheme="minorEastAsia"/>
                <w:color w:val="auto"/>
                <w:sz w:val="18"/>
                <w:szCs w:val="18"/>
              </w:rPr>
              <w:tab/>
            </w:r>
          </w:p>
        </w:tc>
        <w:tc>
          <w:tcPr>
            <w:tcW w:w="837" w:type="dxa"/>
            <w:shd w:val="clear" w:color="auto" w:fill="FFFFFF" w:themeFill="background1"/>
          </w:tcPr>
          <w:p w:rsidR="00BE6218" w:rsidRPr="002A5408" w:rsidRDefault="00BE6218" w:rsidP="002A5408">
            <w:pPr>
              <w:spacing w:line="180" w:lineRule="exact"/>
              <w:contextualSpacing/>
              <w:jc w:val="center"/>
              <w:rPr>
                <w:rFonts w:cs="Times New Roman"/>
                <w:color w:val="auto"/>
                <w:sz w:val="18"/>
                <w:szCs w:val="18"/>
              </w:rPr>
            </w:pPr>
            <w:r w:rsidRPr="002A5408">
              <w:rPr>
                <w:rFonts w:cs="Times New Roman"/>
                <w:color w:val="auto"/>
                <w:sz w:val="18"/>
                <w:szCs w:val="18"/>
              </w:rPr>
              <w:t>6260</w:t>
            </w:r>
          </w:p>
        </w:tc>
        <w:tc>
          <w:tcPr>
            <w:tcW w:w="927" w:type="dxa"/>
            <w:shd w:val="clear" w:color="auto" w:fill="FFFFFF" w:themeFill="background1"/>
          </w:tcPr>
          <w:p w:rsidR="00BE6218" w:rsidRPr="002A5408" w:rsidRDefault="00BE6218" w:rsidP="00BE6218">
            <w:pPr>
              <w:spacing w:line="180" w:lineRule="exact"/>
              <w:contextualSpacing/>
              <w:jc w:val="center"/>
              <w:rPr>
                <w:rFonts w:cs="Times New Roman"/>
                <w:color w:val="auto"/>
                <w:sz w:val="18"/>
                <w:szCs w:val="18"/>
              </w:rPr>
            </w:pPr>
            <w:r w:rsidRPr="002A5408">
              <w:rPr>
                <w:rFonts w:cs="Times New Roman"/>
                <w:color w:val="auto"/>
                <w:sz w:val="18"/>
                <w:szCs w:val="18"/>
              </w:rPr>
              <w:t>10</w:t>
            </w:r>
            <w:r>
              <w:rPr>
                <w:rFonts w:cs="Times New Roman"/>
                <w:color w:val="auto"/>
                <w:sz w:val="18"/>
                <w:szCs w:val="18"/>
              </w:rPr>
              <w:t>%</w:t>
            </w:r>
          </w:p>
        </w:tc>
        <w:tc>
          <w:tcPr>
            <w:tcW w:w="990" w:type="dxa"/>
            <w:shd w:val="clear" w:color="auto" w:fill="FFFFFF" w:themeFill="background1"/>
          </w:tcPr>
          <w:p w:rsidR="00BE6218" w:rsidRPr="002A5408" w:rsidRDefault="00BE6218" w:rsidP="002A5408">
            <w:pPr>
              <w:spacing w:line="180" w:lineRule="exact"/>
              <w:contextualSpacing/>
              <w:jc w:val="center"/>
              <w:rPr>
                <w:rFonts w:cs="Times New Roman"/>
                <w:color w:val="auto"/>
                <w:sz w:val="18"/>
                <w:szCs w:val="18"/>
              </w:rPr>
            </w:pPr>
            <w:r w:rsidRPr="002A5408">
              <w:rPr>
                <w:rFonts w:cs="Times New Roman"/>
                <w:color w:val="auto"/>
                <w:sz w:val="18"/>
                <w:szCs w:val="18"/>
              </w:rPr>
              <w:t>20090122</w:t>
            </w:r>
          </w:p>
        </w:tc>
      </w:tr>
      <w:tr w:rsidR="00EE53B1" w:rsidRPr="00FA0AB4" w:rsidTr="00FF7498">
        <w:trPr>
          <w:trHeight w:val="179"/>
          <w:jc w:val="center"/>
        </w:trPr>
        <w:tc>
          <w:tcPr>
            <w:tcW w:w="3856" w:type="dxa"/>
            <w:gridSpan w:val="3"/>
            <w:vMerge/>
            <w:tcBorders>
              <w:bottom w:val="single" w:sz="4" w:space="0" w:color="auto"/>
              <w:right w:val="thinThickThinSmallGap" w:sz="24" w:space="0" w:color="auto"/>
            </w:tcBorders>
            <w:shd w:val="clear" w:color="auto" w:fill="FFFFFF" w:themeFill="background1"/>
            <w:vAlign w:val="center"/>
          </w:tcPr>
          <w:p w:rsidR="00EE53B1" w:rsidRPr="002A5408" w:rsidRDefault="00EE53B1" w:rsidP="00502A61">
            <w:pPr>
              <w:spacing w:line="180" w:lineRule="exact"/>
              <w:contextualSpacing/>
              <w:jc w:val="center"/>
              <w:rPr>
                <w:color w:val="auto"/>
                <w:sz w:val="18"/>
                <w:szCs w:val="18"/>
              </w:rPr>
            </w:pPr>
          </w:p>
        </w:tc>
        <w:tc>
          <w:tcPr>
            <w:tcW w:w="4527" w:type="dxa"/>
            <w:gridSpan w:val="3"/>
            <w:tcBorders>
              <w:left w:val="thinThickThinSmallGap" w:sz="24" w:space="0" w:color="auto"/>
            </w:tcBorders>
            <w:shd w:val="clear" w:color="auto" w:fill="FFFFFF" w:themeFill="background1"/>
          </w:tcPr>
          <w:p w:rsidR="00EE53B1" w:rsidRPr="002A5408" w:rsidRDefault="00EE53B1" w:rsidP="002A5408">
            <w:pPr>
              <w:spacing w:line="180" w:lineRule="exact"/>
              <w:contextualSpacing/>
              <w:jc w:val="center"/>
              <w:rPr>
                <w:color w:val="auto"/>
                <w:sz w:val="18"/>
                <w:szCs w:val="18"/>
              </w:rPr>
            </w:pPr>
            <w:r w:rsidRPr="002A5408">
              <w:rPr>
                <w:color w:val="auto"/>
                <w:sz w:val="18"/>
                <w:szCs w:val="18"/>
              </w:rPr>
              <w:t>0% x 2/Not Service Connected x 1</w:t>
            </w:r>
          </w:p>
        </w:tc>
        <w:tc>
          <w:tcPr>
            <w:tcW w:w="990" w:type="dxa"/>
            <w:shd w:val="clear" w:color="auto" w:fill="FFFFFF" w:themeFill="background1"/>
          </w:tcPr>
          <w:p w:rsidR="00EE53B1" w:rsidRPr="002A5408" w:rsidRDefault="00EE53B1" w:rsidP="002A5408">
            <w:pPr>
              <w:spacing w:line="180" w:lineRule="exact"/>
              <w:contextualSpacing/>
              <w:jc w:val="center"/>
              <w:rPr>
                <w:color w:val="auto"/>
                <w:sz w:val="18"/>
                <w:szCs w:val="18"/>
              </w:rPr>
            </w:pPr>
            <w:r w:rsidRPr="002A5408">
              <w:rPr>
                <w:color w:val="auto"/>
                <w:sz w:val="18"/>
                <w:szCs w:val="18"/>
              </w:rPr>
              <w:t>20090410</w:t>
            </w:r>
          </w:p>
        </w:tc>
      </w:tr>
      <w:tr w:rsidR="00502A61" w:rsidRPr="00502A61" w:rsidTr="00FF7498">
        <w:trPr>
          <w:trHeight w:val="242"/>
          <w:jc w:val="center"/>
        </w:trPr>
        <w:tc>
          <w:tcPr>
            <w:tcW w:w="3856" w:type="dxa"/>
            <w:gridSpan w:val="3"/>
            <w:tcBorders>
              <w:right w:val="thinThickThinSmallGap" w:sz="24" w:space="0" w:color="auto"/>
            </w:tcBorders>
            <w:shd w:val="clear" w:color="auto" w:fill="D9D9D9" w:themeFill="background1" w:themeFillShade="D9"/>
            <w:vAlign w:val="center"/>
          </w:tcPr>
          <w:p w:rsidR="00502A61" w:rsidRPr="002A5408" w:rsidRDefault="0046232C" w:rsidP="0046232C">
            <w:pPr>
              <w:spacing w:line="200" w:lineRule="exact"/>
              <w:contextualSpacing/>
              <w:jc w:val="center"/>
              <w:rPr>
                <w:rFonts w:cs="Times New Roman"/>
                <w:b/>
                <w:color w:val="auto"/>
                <w:sz w:val="18"/>
                <w:szCs w:val="18"/>
              </w:rPr>
            </w:pPr>
            <w:r w:rsidRPr="002A5408">
              <w:rPr>
                <w:rFonts w:cs="Times New Roman"/>
                <w:b/>
                <w:color w:val="auto"/>
                <w:sz w:val="18"/>
                <w:szCs w:val="18"/>
              </w:rPr>
              <w:t>TOTAL</w:t>
            </w:r>
            <w:r w:rsidR="00502A61" w:rsidRPr="002A5408">
              <w:rPr>
                <w:rFonts w:cs="Times New Roman"/>
                <w:b/>
                <w:color w:val="auto"/>
                <w:sz w:val="18"/>
                <w:szCs w:val="18"/>
              </w:rPr>
              <w:t xml:space="preserve">: </w:t>
            </w:r>
            <w:r w:rsidRPr="002A5408">
              <w:rPr>
                <w:rFonts w:cs="Times New Roman"/>
                <w:b/>
                <w:color w:val="auto"/>
                <w:sz w:val="18"/>
                <w:szCs w:val="18"/>
              </w:rPr>
              <w:t xml:space="preserve"> </w:t>
            </w:r>
            <w:r w:rsidR="00502A61" w:rsidRPr="002A5408">
              <w:rPr>
                <w:rFonts w:cs="Times New Roman"/>
                <w:b/>
                <w:color w:val="auto"/>
                <w:sz w:val="18"/>
                <w:szCs w:val="18"/>
              </w:rPr>
              <w:t>0%</w:t>
            </w:r>
          </w:p>
        </w:tc>
        <w:tc>
          <w:tcPr>
            <w:tcW w:w="5517" w:type="dxa"/>
            <w:gridSpan w:val="4"/>
            <w:tcBorders>
              <w:left w:val="thinThickThinSmallGap" w:sz="24" w:space="0" w:color="auto"/>
            </w:tcBorders>
            <w:shd w:val="clear" w:color="auto" w:fill="D9D9D9" w:themeFill="background1" w:themeFillShade="D9"/>
            <w:vAlign w:val="center"/>
          </w:tcPr>
          <w:p w:rsidR="00502A61" w:rsidRPr="002A5408" w:rsidRDefault="00502A61" w:rsidP="0046232C">
            <w:pPr>
              <w:spacing w:line="200" w:lineRule="exact"/>
              <w:contextualSpacing/>
              <w:jc w:val="center"/>
              <w:rPr>
                <w:rFonts w:cs="Times New Roman"/>
                <w:b/>
                <w:color w:val="auto"/>
                <w:sz w:val="18"/>
                <w:szCs w:val="18"/>
              </w:rPr>
            </w:pPr>
            <w:r w:rsidRPr="002A5408">
              <w:rPr>
                <w:rFonts w:cs="Times New Roman"/>
                <w:b/>
                <w:color w:val="auto"/>
                <w:sz w:val="18"/>
                <w:szCs w:val="18"/>
              </w:rPr>
              <w:t xml:space="preserve">TOTAL: </w:t>
            </w:r>
            <w:r w:rsidR="0046232C" w:rsidRPr="002A5408">
              <w:rPr>
                <w:rFonts w:cs="Times New Roman"/>
                <w:b/>
                <w:color w:val="auto"/>
                <w:sz w:val="18"/>
                <w:szCs w:val="18"/>
              </w:rPr>
              <w:t xml:space="preserve"> </w:t>
            </w:r>
            <w:r w:rsidRPr="002A5408">
              <w:rPr>
                <w:rFonts w:cs="Times New Roman"/>
                <w:b/>
                <w:color w:val="auto"/>
                <w:sz w:val="18"/>
                <w:szCs w:val="18"/>
              </w:rPr>
              <w:t>70%</w:t>
            </w:r>
          </w:p>
        </w:tc>
      </w:tr>
    </w:tbl>
    <w:p w:rsidR="00425661" w:rsidRPr="00FA0AB4" w:rsidRDefault="00425661"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E57D4D" w:rsidRDefault="00E57D4D" w:rsidP="00C6170B">
      <w:pPr>
        <w:rPr>
          <w:rFonts w:asciiTheme="minorHAnsi" w:hAnsiTheme="minorHAnsi"/>
          <w:color w:val="auto"/>
          <w:szCs w:val="24"/>
          <w:u w:val="single"/>
        </w:rPr>
      </w:pPr>
    </w:p>
    <w:p w:rsidR="002C6E5B" w:rsidRDefault="002C6E5B" w:rsidP="00C304DB">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C304DB">
      <w:pPr>
        <w:spacing w:line="240" w:lineRule="exact"/>
        <w:rPr>
          <w:rFonts w:asciiTheme="minorHAnsi" w:hAnsiTheme="minorHAnsi"/>
          <w:color w:val="auto"/>
          <w:szCs w:val="24"/>
          <w:u w:val="single"/>
        </w:rPr>
      </w:pPr>
    </w:p>
    <w:p w:rsidR="00E36BFF" w:rsidRPr="00D5676B" w:rsidRDefault="00E57D4D" w:rsidP="008C0F1B">
      <w:pPr>
        <w:spacing w:line="240" w:lineRule="exact"/>
        <w:jc w:val="both"/>
        <w:rPr>
          <w:rFonts w:asciiTheme="minorHAnsi" w:eastAsia="HiddenHorzOCR" w:hAnsiTheme="minorHAnsi" w:cstheme="minorHAnsi"/>
          <w:color w:val="auto"/>
          <w:szCs w:val="24"/>
        </w:rPr>
      </w:pPr>
      <w:r w:rsidRPr="003C7462">
        <w:rPr>
          <w:rFonts w:asciiTheme="minorHAnsi" w:eastAsia="HiddenHorzOCR" w:hAnsiTheme="minorHAnsi" w:cstheme="minorHAnsi"/>
          <w:color w:val="auto"/>
          <w:szCs w:val="24"/>
          <w:u w:val="single"/>
        </w:rPr>
        <w:t>TBI</w:t>
      </w:r>
      <w:r w:rsidR="002A5408">
        <w:rPr>
          <w:rFonts w:asciiTheme="minorHAnsi" w:eastAsia="HiddenHorzOCR" w:hAnsiTheme="minorHAnsi" w:cstheme="minorHAnsi"/>
          <w:color w:val="auto"/>
          <w:szCs w:val="24"/>
          <w:u w:val="single"/>
        </w:rPr>
        <w:t>/P</w:t>
      </w:r>
      <w:r w:rsidR="00AF3B10" w:rsidRPr="003C7462">
        <w:rPr>
          <w:rFonts w:asciiTheme="minorHAnsi" w:eastAsia="HiddenHorzOCR" w:hAnsiTheme="minorHAnsi" w:cstheme="minorHAnsi"/>
          <w:color w:val="auto"/>
          <w:szCs w:val="24"/>
          <w:u w:val="single"/>
        </w:rPr>
        <w:t xml:space="preserve">ost </w:t>
      </w:r>
      <w:r w:rsidR="002A5408">
        <w:rPr>
          <w:rFonts w:asciiTheme="minorHAnsi" w:eastAsia="HiddenHorzOCR" w:hAnsiTheme="minorHAnsi" w:cstheme="minorHAnsi"/>
          <w:color w:val="auto"/>
          <w:szCs w:val="24"/>
          <w:u w:val="single"/>
        </w:rPr>
        <w:t>Concussion Syndrome/H</w:t>
      </w:r>
      <w:r w:rsidR="00AF3B10" w:rsidRPr="003C7462">
        <w:rPr>
          <w:rFonts w:asciiTheme="minorHAnsi" w:eastAsia="HiddenHorzOCR" w:hAnsiTheme="minorHAnsi" w:cstheme="minorHAnsi"/>
          <w:color w:val="auto"/>
          <w:szCs w:val="24"/>
          <w:u w:val="single"/>
        </w:rPr>
        <w:t>eadaches</w:t>
      </w:r>
      <w:r w:rsidR="00D5676B">
        <w:rPr>
          <w:rFonts w:asciiTheme="minorHAnsi" w:eastAsia="HiddenHorzOCR" w:hAnsiTheme="minorHAnsi" w:cstheme="minorHAnsi"/>
          <w:color w:val="auto"/>
          <w:szCs w:val="24"/>
        </w:rPr>
        <w:t xml:space="preserve">.  </w:t>
      </w:r>
      <w:r w:rsidR="00E36BFF" w:rsidRPr="003C7462">
        <w:rPr>
          <w:rFonts w:asciiTheme="minorHAnsi" w:hAnsiTheme="minorHAnsi" w:cstheme="minorHAnsi"/>
          <w:color w:val="auto"/>
          <w:szCs w:val="24"/>
        </w:rPr>
        <w:t>The Board’s</w:t>
      </w:r>
      <w:r w:rsidR="008C0F1B">
        <w:rPr>
          <w:rFonts w:asciiTheme="minorHAnsi" w:hAnsiTheme="minorHAnsi" w:cstheme="minorHAnsi"/>
          <w:color w:val="auto"/>
          <w:szCs w:val="24"/>
        </w:rPr>
        <w:t xml:space="preserve"> rating recommendation for</w:t>
      </w:r>
      <w:r w:rsidR="00E36BFF" w:rsidRPr="003C7462">
        <w:rPr>
          <w:rFonts w:asciiTheme="minorHAnsi" w:hAnsiTheme="minorHAnsi" w:cstheme="minorHAnsi"/>
          <w:color w:val="auto"/>
          <w:szCs w:val="24"/>
        </w:rPr>
        <w:t xml:space="preserve"> TBI, </w:t>
      </w:r>
      <w:r w:rsidR="00D5676B">
        <w:rPr>
          <w:rFonts w:asciiTheme="minorHAnsi" w:hAnsiTheme="minorHAnsi" w:cstheme="minorHAnsi"/>
          <w:color w:val="auto"/>
          <w:szCs w:val="24"/>
        </w:rPr>
        <w:t>code 8045</w:t>
      </w:r>
      <w:r w:rsidR="008C0F1B">
        <w:rPr>
          <w:rFonts w:asciiTheme="minorHAnsi" w:hAnsiTheme="minorHAnsi" w:cstheme="minorHAnsi"/>
          <w:color w:val="auto"/>
          <w:szCs w:val="24"/>
        </w:rPr>
        <w:t xml:space="preserve">, </w:t>
      </w:r>
      <w:r w:rsidR="00E36BFF" w:rsidRPr="003C7462">
        <w:rPr>
          <w:rFonts w:asciiTheme="minorHAnsi" w:hAnsiTheme="minorHAnsi" w:cstheme="minorHAnsi"/>
          <w:color w:val="auto"/>
          <w:szCs w:val="24"/>
        </w:rPr>
        <w:t xml:space="preserve">is directly impacted in this case by the following policy (established by firm precedent and prior legal opinion).  As an implied extension of DoDI 6040.44 and </w:t>
      </w:r>
      <w:r w:rsidR="00FF7498">
        <w:rPr>
          <w:rFonts w:asciiTheme="minorHAnsi" w:hAnsiTheme="minorHAnsi" w:cstheme="minorHAnsi"/>
          <w:color w:val="auto"/>
          <w:szCs w:val="24"/>
        </w:rPr>
        <w:t xml:space="preserve">National Defense Authorization Act </w:t>
      </w:r>
      <w:r w:rsidR="00E36BFF" w:rsidRPr="003C7462">
        <w:rPr>
          <w:rFonts w:asciiTheme="minorHAnsi" w:hAnsiTheme="minorHAnsi" w:cstheme="minorHAnsi"/>
          <w:color w:val="auto"/>
          <w:szCs w:val="24"/>
        </w:rPr>
        <w:t xml:space="preserve">2008 mandates, the Board will comply with applicable VA disability rating </w:t>
      </w:r>
      <w:r w:rsidR="00E36BFF" w:rsidRPr="001D4C9B">
        <w:rPr>
          <w:rFonts w:asciiTheme="minorHAnsi" w:hAnsiTheme="minorHAnsi" w:cstheme="minorHAnsi"/>
          <w:color w:val="auto"/>
          <w:szCs w:val="24"/>
        </w:rPr>
        <w:t>policy changes issued via “FAST” or Training Letters effect</w:t>
      </w:r>
      <w:r w:rsidR="004E2D95" w:rsidRPr="001D4C9B">
        <w:rPr>
          <w:rFonts w:asciiTheme="minorHAnsi" w:hAnsiTheme="minorHAnsi" w:cstheme="minorHAnsi"/>
          <w:color w:val="auto"/>
          <w:szCs w:val="24"/>
        </w:rPr>
        <w:t xml:space="preserve">ive at the time of separation.  </w:t>
      </w:r>
      <w:r w:rsidR="00790D58" w:rsidRPr="001D4C9B">
        <w:rPr>
          <w:rFonts w:asciiTheme="minorHAnsi" w:eastAsiaTheme="minorHAnsi" w:hAnsiTheme="minorHAnsi" w:cstheme="minorHAnsi"/>
          <w:color w:val="auto"/>
          <w:szCs w:val="24"/>
        </w:rPr>
        <w:t>The CI’s separation date (</w:t>
      </w:r>
      <w:r w:rsidR="001D4C9B">
        <w:rPr>
          <w:rFonts w:asciiTheme="minorHAnsi" w:eastAsiaTheme="minorHAnsi" w:hAnsiTheme="minorHAnsi" w:cstheme="minorHAnsi"/>
          <w:color w:val="auto"/>
          <w:szCs w:val="24"/>
        </w:rPr>
        <w:t xml:space="preserve">31 July </w:t>
      </w:r>
      <w:r w:rsidR="00E26658" w:rsidRPr="001D4C9B">
        <w:rPr>
          <w:rFonts w:asciiTheme="minorHAnsi" w:eastAsiaTheme="minorHAnsi" w:hAnsiTheme="minorHAnsi" w:cstheme="minorHAnsi"/>
          <w:color w:val="auto"/>
          <w:szCs w:val="24"/>
        </w:rPr>
        <w:t>2008)</w:t>
      </w:r>
      <w:r w:rsidR="00790D58" w:rsidRPr="001D4C9B">
        <w:rPr>
          <w:rFonts w:asciiTheme="minorHAnsi" w:eastAsiaTheme="minorHAnsi" w:hAnsiTheme="minorHAnsi" w:cstheme="minorHAnsi"/>
          <w:color w:val="auto"/>
          <w:szCs w:val="24"/>
        </w:rPr>
        <w:t xml:space="preserve"> falls within the effective dates for TL07-0531</w:t>
      </w:r>
      <w:r w:rsidR="00054CA4" w:rsidRPr="001D4C9B">
        <w:rPr>
          <w:rFonts w:asciiTheme="minorHAnsi" w:eastAsiaTheme="minorHAnsi" w:hAnsiTheme="minorHAnsi" w:cstheme="minorHAnsi"/>
          <w:color w:val="auto"/>
          <w:szCs w:val="24"/>
        </w:rPr>
        <w:t xml:space="preserve"> </w:t>
      </w:r>
      <w:r w:rsidR="00FF7498">
        <w:rPr>
          <w:rFonts w:asciiTheme="minorHAnsi" w:eastAsiaTheme="minorHAnsi" w:hAnsiTheme="minorHAnsi" w:cstheme="minorHAnsi"/>
          <w:color w:val="auto"/>
          <w:szCs w:val="24"/>
        </w:rPr>
        <w:t xml:space="preserve">dated </w:t>
      </w:r>
      <w:r w:rsidR="001D4C9B">
        <w:rPr>
          <w:rFonts w:asciiTheme="minorHAnsi" w:eastAsiaTheme="minorHAnsi" w:hAnsiTheme="minorHAnsi" w:cstheme="minorHAnsi"/>
          <w:color w:val="auto"/>
          <w:szCs w:val="24"/>
        </w:rPr>
        <w:t>31 July 2007</w:t>
      </w:r>
      <w:r w:rsidR="00054CA4" w:rsidRPr="001D4C9B">
        <w:rPr>
          <w:rFonts w:asciiTheme="minorHAnsi" w:eastAsiaTheme="minorHAnsi" w:hAnsiTheme="minorHAnsi" w:cstheme="minorHAnsi"/>
          <w:color w:val="auto"/>
          <w:szCs w:val="24"/>
        </w:rPr>
        <w:t xml:space="preserve"> </w:t>
      </w:r>
      <w:r w:rsidR="00054CA4" w:rsidRPr="001D4C9B">
        <w:rPr>
          <w:rFonts w:asciiTheme="minorHAnsi" w:eastAsiaTheme="minorHAnsi" w:hAnsiTheme="minorHAnsi" w:cstheme="minorHAnsi"/>
          <w:color w:val="auto"/>
          <w:szCs w:val="24"/>
        </w:rPr>
        <w:lastRenderedPageBreak/>
        <w:t xml:space="preserve">to </w:t>
      </w:r>
      <w:r w:rsidR="001D4C9B">
        <w:rPr>
          <w:rFonts w:asciiTheme="minorHAnsi" w:eastAsiaTheme="minorHAnsi" w:hAnsiTheme="minorHAnsi" w:cstheme="minorHAnsi"/>
          <w:color w:val="auto"/>
          <w:szCs w:val="24"/>
        </w:rPr>
        <w:t>23 October 2008</w:t>
      </w:r>
      <w:r w:rsidR="00790D58" w:rsidRPr="001D4C9B">
        <w:rPr>
          <w:rFonts w:asciiTheme="minorHAnsi" w:eastAsiaTheme="minorHAnsi" w:hAnsiTheme="minorHAnsi" w:cstheme="minorHAnsi"/>
          <w:color w:val="auto"/>
          <w:szCs w:val="24"/>
        </w:rPr>
        <w:t>.  TL07-0531</w:t>
      </w:r>
      <w:r w:rsidR="004E2D95" w:rsidRPr="001D4C9B">
        <w:rPr>
          <w:rFonts w:asciiTheme="minorHAnsi" w:eastAsiaTheme="minorHAnsi" w:hAnsiTheme="minorHAnsi" w:cstheme="minorHAnsi"/>
          <w:color w:val="auto"/>
          <w:szCs w:val="24"/>
        </w:rPr>
        <w:t xml:space="preserve"> </w:t>
      </w:r>
      <w:r w:rsidR="00E36BFF" w:rsidRPr="001D4C9B">
        <w:rPr>
          <w:rFonts w:asciiTheme="minorHAnsi" w:eastAsiaTheme="minorHAnsi" w:hAnsiTheme="minorHAnsi" w:cstheme="minorHAnsi"/>
          <w:color w:val="auto"/>
          <w:szCs w:val="24"/>
        </w:rPr>
        <w:t xml:space="preserve">provided for rating TBI by combining separate ratings from each component of the symptom complex.  In this case </w:t>
      </w:r>
      <w:r w:rsidR="00A61E76" w:rsidRPr="001D4C9B">
        <w:rPr>
          <w:rFonts w:asciiTheme="minorHAnsi" w:eastAsiaTheme="minorHAnsi" w:hAnsiTheme="minorHAnsi" w:cstheme="minorHAnsi"/>
          <w:color w:val="auto"/>
          <w:szCs w:val="24"/>
        </w:rPr>
        <w:t xml:space="preserve">the Board must provide </w:t>
      </w:r>
      <w:r w:rsidR="00E36BFF" w:rsidRPr="001D4C9B">
        <w:rPr>
          <w:rFonts w:asciiTheme="minorHAnsi" w:eastAsiaTheme="minorHAnsi" w:hAnsiTheme="minorHAnsi" w:cstheme="minorHAnsi"/>
          <w:color w:val="auto"/>
          <w:szCs w:val="24"/>
        </w:rPr>
        <w:t>separate ratings for</w:t>
      </w:r>
      <w:r w:rsidR="0027418F" w:rsidRPr="001D4C9B">
        <w:rPr>
          <w:rFonts w:asciiTheme="minorHAnsi" w:eastAsiaTheme="minorHAnsi" w:hAnsiTheme="minorHAnsi" w:cstheme="minorHAnsi"/>
          <w:color w:val="auto"/>
          <w:szCs w:val="24"/>
        </w:rPr>
        <w:t xml:space="preserve"> </w:t>
      </w:r>
      <w:r w:rsidR="0027418F" w:rsidRPr="001D4C9B">
        <w:rPr>
          <w:rFonts w:asciiTheme="minorHAnsi" w:hAnsiTheme="minorHAnsi" w:cstheme="minorHAnsi"/>
          <w:color w:val="auto"/>
          <w:szCs w:val="24"/>
        </w:rPr>
        <w:t>cognitive dysfunction</w:t>
      </w:r>
      <w:r w:rsidR="0027418F" w:rsidRPr="001D4C9B">
        <w:rPr>
          <w:rFonts w:asciiTheme="minorHAnsi" w:eastAsiaTheme="minorHAnsi" w:hAnsiTheme="minorHAnsi" w:cstheme="minorHAnsi"/>
          <w:color w:val="auto"/>
          <w:szCs w:val="24"/>
        </w:rPr>
        <w:t xml:space="preserve"> and headaches</w:t>
      </w:r>
      <w:r w:rsidR="00E36BFF" w:rsidRPr="001D4C9B">
        <w:rPr>
          <w:rFonts w:asciiTheme="minorHAnsi" w:eastAsiaTheme="minorHAnsi" w:hAnsiTheme="minorHAnsi" w:cstheme="minorHAnsi"/>
          <w:color w:val="auto"/>
          <w:szCs w:val="24"/>
        </w:rPr>
        <w:t>, in effect rendering each as separately unfitting for purposes of the Service combined disability rating.</w:t>
      </w:r>
      <w:r w:rsidR="008D404E" w:rsidRPr="001D4C9B">
        <w:rPr>
          <w:rFonts w:asciiTheme="minorHAnsi" w:eastAsiaTheme="minorHAnsi" w:hAnsiTheme="minorHAnsi" w:cstheme="minorHAnsi"/>
          <w:color w:val="auto"/>
          <w:szCs w:val="24"/>
        </w:rPr>
        <w:t xml:space="preserve">  The VA </w:t>
      </w:r>
      <w:r w:rsidR="00FF7498" w:rsidRPr="001D4C9B">
        <w:rPr>
          <w:rFonts w:asciiTheme="minorHAnsi" w:eastAsiaTheme="minorHAnsi" w:hAnsiTheme="minorHAnsi" w:cstheme="minorHAnsi"/>
          <w:color w:val="auto"/>
          <w:szCs w:val="24"/>
        </w:rPr>
        <w:t xml:space="preserve">rating decision </w:t>
      </w:r>
      <w:r w:rsidR="008D404E" w:rsidRPr="001D4C9B">
        <w:rPr>
          <w:rFonts w:asciiTheme="minorHAnsi" w:eastAsiaTheme="minorHAnsi" w:hAnsiTheme="minorHAnsi" w:cstheme="minorHAnsi"/>
          <w:color w:val="auto"/>
          <w:szCs w:val="24"/>
        </w:rPr>
        <w:t xml:space="preserve">of </w:t>
      </w:r>
      <w:r w:rsidR="001D4C9B">
        <w:rPr>
          <w:rFonts w:asciiTheme="minorHAnsi" w:eastAsiaTheme="minorHAnsi" w:hAnsiTheme="minorHAnsi" w:cstheme="minorHAnsi"/>
          <w:color w:val="auto"/>
          <w:szCs w:val="24"/>
        </w:rPr>
        <w:t>7 May 2009</w:t>
      </w:r>
      <w:r w:rsidR="00790D58" w:rsidRPr="001D4C9B">
        <w:rPr>
          <w:rFonts w:asciiTheme="minorHAnsi" w:eastAsiaTheme="minorHAnsi" w:hAnsiTheme="minorHAnsi" w:cstheme="minorHAnsi"/>
          <w:color w:val="auto"/>
          <w:szCs w:val="24"/>
        </w:rPr>
        <w:t xml:space="preserve"> utilized the current criteria</w:t>
      </w:r>
      <w:r w:rsidR="00E26658" w:rsidRPr="001D4C9B">
        <w:rPr>
          <w:rFonts w:asciiTheme="minorHAnsi" w:eastAsiaTheme="minorHAnsi" w:hAnsiTheme="minorHAnsi" w:cstheme="minorHAnsi"/>
          <w:color w:val="auto"/>
          <w:szCs w:val="24"/>
        </w:rPr>
        <w:t xml:space="preserve"> which are different</w:t>
      </w:r>
      <w:r w:rsidR="00790D58" w:rsidRPr="001D4C9B">
        <w:rPr>
          <w:rFonts w:asciiTheme="minorHAnsi" w:eastAsiaTheme="minorHAnsi" w:hAnsiTheme="minorHAnsi" w:cstheme="minorHAnsi"/>
          <w:color w:val="auto"/>
          <w:szCs w:val="24"/>
        </w:rPr>
        <w:t>, evaluating the facets of cognitive impairment and other residuals of TBI not otherwise classified, and assign</w:t>
      </w:r>
      <w:r w:rsidR="000E71B8" w:rsidRPr="001D4C9B">
        <w:rPr>
          <w:rFonts w:asciiTheme="minorHAnsi" w:eastAsiaTheme="minorHAnsi" w:hAnsiTheme="minorHAnsi" w:cstheme="minorHAnsi"/>
          <w:color w:val="auto"/>
          <w:szCs w:val="24"/>
        </w:rPr>
        <w:t>ed</w:t>
      </w:r>
      <w:r w:rsidR="00790D58" w:rsidRPr="001D4C9B">
        <w:rPr>
          <w:rFonts w:asciiTheme="minorHAnsi" w:eastAsiaTheme="minorHAnsi" w:hAnsiTheme="minorHAnsi" w:cstheme="minorHAnsi"/>
          <w:color w:val="auto"/>
          <w:szCs w:val="24"/>
        </w:rPr>
        <w:t xml:space="preserve"> a 40% rating for level </w:t>
      </w:r>
      <w:r w:rsidR="00FF7498">
        <w:rPr>
          <w:rFonts w:asciiTheme="minorHAnsi" w:eastAsiaTheme="minorHAnsi" w:hAnsiTheme="minorHAnsi" w:cstheme="minorHAnsi"/>
          <w:color w:val="auto"/>
          <w:szCs w:val="24"/>
        </w:rPr>
        <w:t>two</w:t>
      </w:r>
      <w:r w:rsidR="00790D58" w:rsidRPr="001D4C9B">
        <w:rPr>
          <w:rFonts w:asciiTheme="minorHAnsi" w:eastAsiaTheme="minorHAnsi" w:hAnsiTheme="minorHAnsi" w:cstheme="minorHAnsi"/>
          <w:color w:val="auto"/>
          <w:szCs w:val="24"/>
        </w:rPr>
        <w:t xml:space="preserve"> impairment </w:t>
      </w:r>
      <w:r w:rsidR="00D5676B" w:rsidRPr="001D4C9B">
        <w:rPr>
          <w:rFonts w:asciiTheme="minorHAnsi" w:eastAsiaTheme="minorHAnsi" w:hAnsiTheme="minorHAnsi" w:cstheme="minorHAnsi"/>
          <w:color w:val="auto"/>
          <w:szCs w:val="24"/>
        </w:rPr>
        <w:t xml:space="preserve">documented </w:t>
      </w:r>
      <w:r w:rsidR="00790D58" w:rsidRPr="001D4C9B">
        <w:rPr>
          <w:rFonts w:asciiTheme="minorHAnsi" w:eastAsiaTheme="minorHAnsi" w:hAnsiTheme="minorHAnsi" w:cstheme="minorHAnsi"/>
          <w:color w:val="auto"/>
          <w:szCs w:val="24"/>
        </w:rPr>
        <w:t>in two facets.</w:t>
      </w:r>
      <w:r w:rsidR="00790D58">
        <w:rPr>
          <w:rFonts w:asciiTheme="minorHAnsi" w:eastAsiaTheme="minorHAnsi" w:hAnsiTheme="minorHAnsi" w:cstheme="minorHAnsi"/>
          <w:color w:val="auto"/>
          <w:szCs w:val="24"/>
        </w:rPr>
        <w:t xml:space="preserve">  </w:t>
      </w:r>
    </w:p>
    <w:p w:rsidR="000519D0" w:rsidRDefault="000519D0" w:rsidP="008C0F1B">
      <w:pPr>
        <w:spacing w:line="240" w:lineRule="exact"/>
        <w:jc w:val="both"/>
        <w:rPr>
          <w:rFonts w:asciiTheme="minorHAnsi" w:eastAsiaTheme="minorHAnsi" w:hAnsiTheme="minorHAnsi" w:cstheme="minorHAnsi"/>
          <w:color w:val="auto"/>
          <w:szCs w:val="24"/>
        </w:rPr>
      </w:pPr>
    </w:p>
    <w:p w:rsidR="00433737" w:rsidRPr="001D4C9B" w:rsidRDefault="000519D0" w:rsidP="00433737">
      <w:pPr>
        <w:spacing w:line="240" w:lineRule="exact"/>
        <w:jc w:val="both"/>
        <w:rPr>
          <w:color w:val="auto"/>
          <w:szCs w:val="24"/>
        </w:rPr>
      </w:pPr>
      <w:proofErr w:type="gramStart"/>
      <w:r w:rsidRPr="000519D0">
        <w:rPr>
          <w:rFonts w:asciiTheme="minorHAnsi" w:hAnsiTheme="minorHAnsi"/>
          <w:color w:val="auto"/>
          <w:szCs w:val="24"/>
          <w:u w:val="single"/>
        </w:rPr>
        <w:t>Cognitive Disorder Due to TBI</w:t>
      </w:r>
      <w:r w:rsidR="00AD3056">
        <w:rPr>
          <w:rFonts w:asciiTheme="minorHAnsi" w:hAnsiTheme="minorHAnsi"/>
          <w:color w:val="auto"/>
          <w:szCs w:val="24"/>
          <w:u w:val="single"/>
        </w:rPr>
        <w:t>/PTSD</w:t>
      </w:r>
      <w:r>
        <w:rPr>
          <w:rFonts w:asciiTheme="minorHAnsi" w:hAnsiTheme="minorHAnsi"/>
          <w:color w:val="auto"/>
          <w:szCs w:val="24"/>
        </w:rPr>
        <w:t>.</w:t>
      </w:r>
      <w:proofErr w:type="gramEnd"/>
      <w:r w:rsidR="00D309DF">
        <w:rPr>
          <w:rFonts w:asciiTheme="minorHAnsi" w:eastAsiaTheme="minorHAnsi" w:hAnsiTheme="minorHAnsi" w:cstheme="minorHAnsi"/>
          <w:color w:val="auto"/>
          <w:szCs w:val="24"/>
        </w:rPr>
        <w:t xml:space="preserve">  </w:t>
      </w:r>
      <w:r w:rsidR="00706DE1" w:rsidRPr="00706DE1">
        <w:rPr>
          <w:color w:val="auto"/>
          <w:szCs w:val="24"/>
        </w:rPr>
        <w:t xml:space="preserve">The Board pays close attention to conditions associated with TBI because it is sensitive to the fact that such cases have been vulnerable in the past to consequences which go unrecognized at separation.  </w:t>
      </w:r>
      <w:r w:rsidR="00D309DF">
        <w:rPr>
          <w:rFonts w:asciiTheme="minorHAnsi" w:eastAsiaTheme="minorHAnsi" w:hAnsiTheme="minorHAnsi" w:cstheme="minorHAnsi"/>
          <w:color w:val="auto"/>
          <w:szCs w:val="24"/>
        </w:rPr>
        <w:t xml:space="preserve">The </w:t>
      </w:r>
      <w:r w:rsidR="00FF7498">
        <w:rPr>
          <w:rFonts w:asciiTheme="minorHAnsi" w:eastAsiaTheme="minorHAnsi" w:hAnsiTheme="minorHAnsi" w:cstheme="minorHAnsi"/>
          <w:color w:val="auto"/>
          <w:szCs w:val="24"/>
        </w:rPr>
        <w:t>s</w:t>
      </w:r>
      <w:r w:rsidR="00D309DF">
        <w:rPr>
          <w:rFonts w:asciiTheme="minorHAnsi" w:hAnsiTheme="minorHAnsi" w:cstheme="minorHAnsi"/>
          <w:color w:val="auto"/>
          <w:szCs w:val="24"/>
        </w:rPr>
        <w:t>ervice treatment record</w:t>
      </w:r>
      <w:r w:rsidR="008D5AE7" w:rsidRPr="003C7462">
        <w:rPr>
          <w:rFonts w:asciiTheme="minorHAnsi" w:hAnsiTheme="minorHAnsi" w:cstheme="minorHAnsi"/>
          <w:color w:val="auto"/>
          <w:szCs w:val="24"/>
        </w:rPr>
        <w:t xml:space="preserve"> clearly demonstrate</w:t>
      </w:r>
      <w:r w:rsidR="00D309DF">
        <w:rPr>
          <w:rFonts w:asciiTheme="minorHAnsi" w:hAnsiTheme="minorHAnsi" w:cstheme="minorHAnsi"/>
          <w:color w:val="auto"/>
          <w:szCs w:val="24"/>
        </w:rPr>
        <w:t>s</w:t>
      </w:r>
      <w:r w:rsidR="008D5AE7" w:rsidRPr="003C7462">
        <w:rPr>
          <w:rFonts w:asciiTheme="minorHAnsi" w:hAnsiTheme="minorHAnsi" w:cstheme="minorHAnsi"/>
          <w:color w:val="auto"/>
          <w:szCs w:val="24"/>
        </w:rPr>
        <w:t xml:space="preserve"> the onset of cognitive dysfunction and some degree of occupational and social impairment following the </w:t>
      </w:r>
      <w:r w:rsidR="00FF7498">
        <w:rPr>
          <w:rFonts w:asciiTheme="minorHAnsi" w:hAnsiTheme="minorHAnsi" w:cstheme="minorHAnsi"/>
          <w:color w:val="auto"/>
          <w:szCs w:val="24"/>
        </w:rPr>
        <w:t xml:space="preserve">improvised explosive device </w:t>
      </w:r>
      <w:r w:rsidR="008D5AE7" w:rsidRPr="003C7462">
        <w:rPr>
          <w:rFonts w:asciiTheme="minorHAnsi" w:hAnsiTheme="minorHAnsi" w:cstheme="minorHAnsi"/>
          <w:color w:val="auto"/>
          <w:szCs w:val="24"/>
        </w:rPr>
        <w:t xml:space="preserve">blast injury on </w:t>
      </w:r>
      <w:r w:rsidR="001D4C9B">
        <w:rPr>
          <w:rFonts w:asciiTheme="minorHAnsi" w:hAnsiTheme="minorHAnsi" w:cstheme="minorHAnsi"/>
          <w:color w:val="auto"/>
          <w:szCs w:val="24"/>
        </w:rPr>
        <w:t>14 December 2006</w:t>
      </w:r>
      <w:r w:rsidR="008D5AE7" w:rsidRPr="003C7462">
        <w:rPr>
          <w:rFonts w:asciiTheme="minorHAnsi" w:hAnsiTheme="minorHAnsi" w:cstheme="minorHAnsi"/>
          <w:color w:val="auto"/>
          <w:szCs w:val="24"/>
        </w:rPr>
        <w:t xml:space="preserve">.  Neuropsychology testing on </w:t>
      </w:r>
      <w:r w:rsidR="001D4C9B">
        <w:rPr>
          <w:rFonts w:asciiTheme="minorHAnsi" w:hAnsiTheme="minorHAnsi" w:cstheme="minorHAnsi"/>
          <w:color w:val="auto"/>
          <w:szCs w:val="24"/>
        </w:rPr>
        <w:t>30 October 2007</w:t>
      </w:r>
      <w:r w:rsidR="008D5AE7" w:rsidRPr="003C7462">
        <w:rPr>
          <w:rFonts w:asciiTheme="minorHAnsi" w:hAnsiTheme="minorHAnsi" w:cstheme="minorHAnsi"/>
          <w:color w:val="auto"/>
          <w:szCs w:val="24"/>
        </w:rPr>
        <w:t>, nine months before separation, showed</w:t>
      </w:r>
      <w:r w:rsidR="003C7462" w:rsidRPr="003C7462">
        <w:rPr>
          <w:rFonts w:asciiTheme="minorHAnsi" w:hAnsiTheme="minorHAnsi" w:cstheme="minorHAnsi"/>
          <w:color w:val="auto"/>
          <w:szCs w:val="24"/>
        </w:rPr>
        <w:t xml:space="preserve"> improved cognitive functioning compared to earlier testing</w:t>
      </w:r>
      <w:r w:rsidR="00D309DF">
        <w:rPr>
          <w:rFonts w:asciiTheme="minorHAnsi" w:hAnsiTheme="minorHAnsi" w:cstheme="minorHAnsi"/>
          <w:color w:val="auto"/>
          <w:szCs w:val="24"/>
        </w:rPr>
        <w:t>,</w:t>
      </w:r>
      <w:r w:rsidR="003C7462" w:rsidRPr="003C7462">
        <w:rPr>
          <w:rFonts w:asciiTheme="minorHAnsi" w:hAnsiTheme="minorHAnsi" w:cstheme="minorHAnsi"/>
          <w:color w:val="auto"/>
          <w:szCs w:val="24"/>
        </w:rPr>
        <w:t xml:space="preserve"> but he continued to have</w:t>
      </w:r>
      <w:r w:rsidR="008D5AE7" w:rsidRPr="003C7462">
        <w:rPr>
          <w:rFonts w:asciiTheme="minorHAnsi" w:hAnsiTheme="minorHAnsi" w:cstheme="minorHAnsi"/>
          <w:color w:val="auto"/>
          <w:szCs w:val="24"/>
        </w:rPr>
        <w:t xml:space="preserve"> deficits of attention </w:t>
      </w:r>
      <w:r w:rsidR="003C7462" w:rsidRPr="003C7462">
        <w:rPr>
          <w:rFonts w:asciiTheme="minorHAnsi" w:hAnsiTheme="minorHAnsi" w:cstheme="minorHAnsi"/>
          <w:color w:val="auto"/>
          <w:szCs w:val="24"/>
        </w:rPr>
        <w:t xml:space="preserve"> (low average to borderline impaired), working</w:t>
      </w:r>
      <w:r w:rsidR="008D5AE7" w:rsidRPr="003C7462">
        <w:rPr>
          <w:rFonts w:asciiTheme="minorHAnsi" w:hAnsiTheme="minorHAnsi" w:cstheme="minorHAnsi"/>
          <w:color w:val="auto"/>
          <w:szCs w:val="24"/>
        </w:rPr>
        <w:t xml:space="preserve"> memory</w:t>
      </w:r>
      <w:r w:rsidR="003C7462" w:rsidRPr="003C7462">
        <w:rPr>
          <w:rFonts w:asciiTheme="minorHAnsi" w:hAnsiTheme="minorHAnsi" w:cstheme="minorHAnsi"/>
          <w:color w:val="auto"/>
          <w:szCs w:val="24"/>
        </w:rPr>
        <w:t xml:space="preserve"> (low average to borderline impaired), visual</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memory (borderline to severely impaired), and emotional functioning</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It had</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been eleven</w:t>
      </w:r>
      <w:r w:rsidR="003C7462">
        <w:rPr>
          <w:rFonts w:asciiTheme="minorHAnsi" w:hAnsiTheme="minorHAnsi" w:cstheme="minorHAnsi"/>
          <w:color w:val="auto"/>
          <w:szCs w:val="24"/>
        </w:rPr>
        <w:t xml:space="preserve"> months since his bl</w:t>
      </w:r>
      <w:r w:rsidR="00D5676B">
        <w:rPr>
          <w:rFonts w:asciiTheme="minorHAnsi" w:hAnsiTheme="minorHAnsi" w:cstheme="minorHAnsi"/>
          <w:color w:val="auto"/>
          <w:szCs w:val="24"/>
        </w:rPr>
        <w:t xml:space="preserve">ast injury and it was </w:t>
      </w:r>
      <w:r w:rsidR="00D309DF">
        <w:rPr>
          <w:rFonts w:asciiTheme="minorHAnsi" w:hAnsiTheme="minorHAnsi" w:cstheme="minorHAnsi"/>
          <w:color w:val="auto"/>
          <w:szCs w:val="24"/>
        </w:rPr>
        <w:t xml:space="preserve">the opinion of </w:t>
      </w:r>
      <w:r w:rsidR="001D4C9B">
        <w:rPr>
          <w:rFonts w:asciiTheme="minorHAnsi" w:hAnsiTheme="minorHAnsi" w:cstheme="minorHAnsi"/>
          <w:color w:val="auto"/>
          <w:szCs w:val="24"/>
        </w:rPr>
        <w:t xml:space="preserve">the </w:t>
      </w:r>
      <w:r w:rsidR="00A02AEE">
        <w:rPr>
          <w:rFonts w:asciiTheme="minorHAnsi" w:hAnsiTheme="minorHAnsi" w:cstheme="minorHAnsi"/>
          <w:color w:val="auto"/>
          <w:szCs w:val="24"/>
        </w:rPr>
        <w:t xml:space="preserve">psychologist </w:t>
      </w:r>
      <w:r w:rsidR="003C7462" w:rsidRPr="003C7462">
        <w:rPr>
          <w:rFonts w:asciiTheme="minorHAnsi" w:hAnsiTheme="minorHAnsi" w:cstheme="minorHAnsi"/>
          <w:color w:val="auto"/>
          <w:szCs w:val="24"/>
        </w:rPr>
        <w:t>that most</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of his recov</w:t>
      </w:r>
      <w:r w:rsidR="003C7462">
        <w:rPr>
          <w:rFonts w:asciiTheme="minorHAnsi" w:hAnsiTheme="minorHAnsi" w:cstheme="minorHAnsi"/>
          <w:color w:val="auto"/>
          <w:szCs w:val="24"/>
        </w:rPr>
        <w:t>ery of cognitive functioning had</w:t>
      </w:r>
      <w:r w:rsidR="00647424">
        <w:rPr>
          <w:rFonts w:asciiTheme="minorHAnsi" w:hAnsiTheme="minorHAnsi" w:cstheme="minorHAnsi"/>
          <w:color w:val="auto"/>
          <w:szCs w:val="24"/>
        </w:rPr>
        <w:t xml:space="preserve"> already occurred.  </w:t>
      </w:r>
      <w:r w:rsidR="003C7462" w:rsidRPr="003C7462">
        <w:rPr>
          <w:rFonts w:asciiTheme="minorHAnsi" w:hAnsiTheme="minorHAnsi" w:cstheme="minorHAnsi"/>
          <w:color w:val="auto"/>
          <w:szCs w:val="24"/>
        </w:rPr>
        <w:t>Due to the</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pattern and seve</w:t>
      </w:r>
      <w:r w:rsidR="00D5676B">
        <w:rPr>
          <w:rFonts w:asciiTheme="minorHAnsi" w:hAnsiTheme="minorHAnsi" w:cstheme="minorHAnsi"/>
          <w:color w:val="auto"/>
          <w:szCs w:val="24"/>
        </w:rPr>
        <w:t>rity of the</w:t>
      </w:r>
      <w:r w:rsidR="003C7462">
        <w:rPr>
          <w:rFonts w:asciiTheme="minorHAnsi" w:hAnsiTheme="minorHAnsi" w:cstheme="minorHAnsi"/>
          <w:color w:val="auto"/>
          <w:szCs w:val="24"/>
        </w:rPr>
        <w:t xml:space="preserve"> deficits, he wa</w:t>
      </w:r>
      <w:r w:rsidR="003C7462" w:rsidRPr="003C7462">
        <w:rPr>
          <w:rFonts w:asciiTheme="minorHAnsi" w:hAnsiTheme="minorHAnsi" w:cstheme="minorHAnsi"/>
          <w:color w:val="auto"/>
          <w:szCs w:val="24"/>
        </w:rPr>
        <w:t>s considered cognitively unfit</w:t>
      </w:r>
      <w:r w:rsidR="003C7462">
        <w:rPr>
          <w:rFonts w:asciiTheme="minorHAnsi" w:hAnsiTheme="minorHAnsi" w:cstheme="minorHAnsi"/>
          <w:color w:val="auto"/>
          <w:szCs w:val="24"/>
        </w:rPr>
        <w:t xml:space="preserve"> </w:t>
      </w:r>
      <w:r w:rsidR="003C7462" w:rsidRPr="003C7462">
        <w:rPr>
          <w:rFonts w:asciiTheme="minorHAnsi" w:hAnsiTheme="minorHAnsi" w:cstheme="minorHAnsi"/>
          <w:color w:val="auto"/>
          <w:szCs w:val="24"/>
        </w:rPr>
        <w:t>for full duty.</w:t>
      </w:r>
      <w:r w:rsidR="00706DE1">
        <w:rPr>
          <w:rFonts w:asciiTheme="minorHAnsi" w:hAnsiTheme="minorHAnsi" w:cstheme="minorHAnsi"/>
          <w:color w:val="auto"/>
          <w:szCs w:val="24"/>
        </w:rPr>
        <w:t xml:space="preserve">  The PEB also considered PTSD to be present, but not separately unfitting from the cognitive deficit</w:t>
      </w:r>
      <w:r w:rsidR="00706DE1" w:rsidRPr="00706DE1">
        <w:rPr>
          <w:rFonts w:asciiTheme="minorHAnsi" w:hAnsiTheme="minorHAnsi" w:cstheme="minorHAnsi"/>
          <w:color w:val="auto"/>
          <w:szCs w:val="24"/>
        </w:rPr>
        <w:t xml:space="preserve">.  </w:t>
      </w:r>
      <w:r w:rsidR="00706DE1" w:rsidRPr="00706DE1">
        <w:rPr>
          <w:color w:val="auto"/>
          <w:szCs w:val="24"/>
        </w:rPr>
        <w:t>It must also be noted that cognitive impairment is inextricably bound with the psychiatric condition and rated with it</w:t>
      </w:r>
      <w:r w:rsidR="00706DE1" w:rsidRPr="00706DE1">
        <w:rPr>
          <w:szCs w:val="24"/>
        </w:rPr>
        <w:t>.</w:t>
      </w:r>
      <w:r w:rsidR="00706DE1" w:rsidRPr="00D61EB2">
        <w:rPr>
          <w:szCs w:val="24"/>
        </w:rPr>
        <w:t xml:space="preserve">  </w:t>
      </w:r>
      <w:r w:rsidR="00706DE1">
        <w:rPr>
          <w:rFonts w:asciiTheme="minorHAnsi" w:hAnsiTheme="minorHAnsi" w:cstheme="minorHAnsi"/>
          <w:color w:val="auto"/>
          <w:szCs w:val="24"/>
        </w:rPr>
        <w:t>Since cognitive deficits due to PTSD or TBI cannot be distinguished</w:t>
      </w:r>
      <w:r w:rsidR="00FF7498">
        <w:rPr>
          <w:rFonts w:asciiTheme="minorHAnsi" w:hAnsiTheme="minorHAnsi" w:cstheme="minorHAnsi"/>
          <w:color w:val="auto"/>
          <w:szCs w:val="24"/>
        </w:rPr>
        <w:t>,</w:t>
      </w:r>
      <w:r w:rsidR="00706DE1">
        <w:rPr>
          <w:rFonts w:asciiTheme="minorHAnsi" w:hAnsiTheme="minorHAnsi" w:cstheme="minorHAnsi"/>
          <w:color w:val="auto"/>
          <w:szCs w:val="24"/>
        </w:rPr>
        <w:t xml:space="preserve"> the cognitive deficit must be rated under the criteria for a mental condition.  </w:t>
      </w:r>
      <w:r w:rsidR="00706DE1" w:rsidRPr="001D4C9B">
        <w:rPr>
          <w:rFonts w:asciiTheme="minorHAnsi" w:hAnsiTheme="minorHAnsi" w:cstheme="minorHAnsi"/>
          <w:color w:val="auto"/>
          <w:szCs w:val="24"/>
        </w:rPr>
        <w:t>Since the CI was dia</w:t>
      </w:r>
      <w:r w:rsidR="001D4C9B" w:rsidRPr="001D4C9B">
        <w:rPr>
          <w:rFonts w:asciiTheme="minorHAnsi" w:hAnsiTheme="minorHAnsi" w:cstheme="minorHAnsi"/>
          <w:color w:val="auto"/>
          <w:szCs w:val="24"/>
        </w:rPr>
        <w:t>gnosed with PTSD</w:t>
      </w:r>
      <w:r w:rsidR="00FF7498">
        <w:rPr>
          <w:rFonts w:asciiTheme="minorHAnsi" w:hAnsiTheme="minorHAnsi" w:cstheme="minorHAnsi"/>
          <w:color w:val="auto"/>
          <w:szCs w:val="24"/>
        </w:rPr>
        <w:t>,</w:t>
      </w:r>
      <w:r w:rsidR="001D4C9B" w:rsidRPr="001D4C9B">
        <w:rPr>
          <w:rFonts w:asciiTheme="minorHAnsi" w:hAnsiTheme="minorHAnsi" w:cstheme="minorHAnsi"/>
          <w:color w:val="auto"/>
          <w:szCs w:val="24"/>
        </w:rPr>
        <w:t xml:space="preserve"> the provisions</w:t>
      </w:r>
      <w:r w:rsidR="00706DE1" w:rsidRPr="001D4C9B">
        <w:rPr>
          <w:rFonts w:asciiTheme="minorHAnsi" w:hAnsiTheme="minorHAnsi" w:cstheme="minorHAnsi"/>
          <w:color w:val="auto"/>
          <w:szCs w:val="24"/>
        </w:rPr>
        <w:t xml:space="preserve"> of </w:t>
      </w:r>
      <w:r w:rsidR="00FF7498">
        <w:rPr>
          <w:rFonts w:asciiTheme="minorHAnsi" w:hAnsiTheme="minorHAnsi"/>
          <w:color w:val="auto"/>
          <w:szCs w:val="24"/>
        </w:rPr>
        <w:t>VA Schedule for Rating Disabilities</w:t>
      </w:r>
      <w:r w:rsidR="00FF7498" w:rsidRPr="001D4C9B">
        <w:rPr>
          <w:color w:val="auto"/>
          <w:szCs w:val="24"/>
        </w:rPr>
        <w:t xml:space="preserve"> </w:t>
      </w:r>
      <w:r w:rsidR="00FF7498">
        <w:rPr>
          <w:color w:val="auto"/>
          <w:szCs w:val="24"/>
        </w:rPr>
        <w:t>(</w:t>
      </w:r>
      <w:r w:rsidR="00706DE1" w:rsidRPr="001D4C9B">
        <w:rPr>
          <w:rFonts w:asciiTheme="minorHAnsi" w:hAnsiTheme="minorHAnsi" w:cstheme="minorHAnsi"/>
          <w:color w:val="auto"/>
          <w:szCs w:val="24"/>
        </w:rPr>
        <w:t>VASRD</w:t>
      </w:r>
      <w:r w:rsidR="00FF7498">
        <w:rPr>
          <w:rFonts w:asciiTheme="minorHAnsi" w:hAnsiTheme="minorHAnsi" w:cstheme="minorHAnsi"/>
          <w:color w:val="auto"/>
          <w:szCs w:val="24"/>
        </w:rPr>
        <w:t>)</w:t>
      </w:r>
      <w:r w:rsidR="00706DE1" w:rsidRPr="001D4C9B">
        <w:rPr>
          <w:rFonts w:asciiTheme="minorHAnsi" w:hAnsiTheme="minorHAnsi" w:cstheme="minorHAnsi"/>
          <w:color w:val="auto"/>
          <w:szCs w:val="24"/>
        </w:rPr>
        <w:t xml:space="preserve"> 4.129 must be applied to rate this condition.  </w:t>
      </w:r>
      <w:r w:rsidR="00433737" w:rsidRPr="001D4C9B">
        <w:rPr>
          <w:color w:val="auto"/>
          <w:szCs w:val="24"/>
        </w:rPr>
        <w:t>IAW DoDI 6040.44 and DoD guidance (which applies current VASRD 4.129 to all Board cases), the Board is obligated to recommend a minimum 50% PTSD rating for a retroactive six</w:t>
      </w:r>
      <w:r w:rsidR="00FF7498">
        <w:rPr>
          <w:color w:val="auto"/>
          <w:szCs w:val="24"/>
        </w:rPr>
        <w:t>-</w:t>
      </w:r>
      <w:r w:rsidR="00433737" w:rsidRPr="001D4C9B">
        <w:rPr>
          <w:color w:val="auto"/>
          <w:szCs w:val="24"/>
        </w:rPr>
        <w:t xml:space="preserve">month period on the Temporary Disability Retired List (TDRL).  The Board must then determine the most appropriate fit with VASRD 4.130 criteria at six months for its permanent rating recommendation.  The most proximate source of comprehensive evidence </w:t>
      </w:r>
      <w:r w:rsidR="006960BC">
        <w:rPr>
          <w:color w:val="auto"/>
          <w:szCs w:val="24"/>
        </w:rPr>
        <w:t>up</w:t>
      </w:r>
      <w:r w:rsidR="00433737" w:rsidRPr="001D4C9B">
        <w:rPr>
          <w:color w:val="auto"/>
          <w:szCs w:val="24"/>
        </w:rPr>
        <w:t xml:space="preserve">on which to base the permanent rating recommendation in this case is the VA </w:t>
      </w:r>
      <w:r w:rsidR="00FF7498" w:rsidRPr="001D4C9B">
        <w:rPr>
          <w:color w:val="auto"/>
          <w:szCs w:val="24"/>
        </w:rPr>
        <w:t xml:space="preserve">compensation and pension </w:t>
      </w:r>
      <w:r w:rsidR="00433737" w:rsidRPr="001D4C9B">
        <w:rPr>
          <w:color w:val="auto"/>
          <w:szCs w:val="24"/>
        </w:rPr>
        <w:t xml:space="preserve">(C&amp;P) examination performed </w:t>
      </w:r>
      <w:r w:rsidR="003571DE">
        <w:rPr>
          <w:color w:val="auto"/>
          <w:szCs w:val="24"/>
        </w:rPr>
        <w:t>close to six</w:t>
      </w:r>
      <w:r w:rsidR="00433737" w:rsidRPr="001D4C9B">
        <w:rPr>
          <w:color w:val="auto"/>
          <w:szCs w:val="24"/>
        </w:rPr>
        <w:t xml:space="preserve"> months after separation in January of 2009.  </w:t>
      </w:r>
      <w:r w:rsidR="009C2A56">
        <w:rPr>
          <w:color w:val="auto"/>
          <w:szCs w:val="24"/>
        </w:rPr>
        <w:t>This C&amp;P examination</w:t>
      </w:r>
      <w:r w:rsidR="00433737" w:rsidRPr="001D4C9B">
        <w:rPr>
          <w:color w:val="auto"/>
          <w:szCs w:val="24"/>
        </w:rPr>
        <w:t xml:space="preserve"> reflects the stress of transition to civilian life which is a core intent of §4.129</w:t>
      </w:r>
      <w:r w:rsidR="009C2A56">
        <w:rPr>
          <w:color w:val="auto"/>
          <w:szCs w:val="24"/>
        </w:rPr>
        <w:t>, and</w:t>
      </w:r>
      <w:r w:rsidR="00433737" w:rsidRPr="001D4C9B">
        <w:rPr>
          <w:color w:val="auto"/>
          <w:szCs w:val="24"/>
        </w:rPr>
        <w:t xml:space="preserve"> carries the preponderance of probative value in the Board’s assessment of a fair permanent rating recommendation.  The MEB evaluation nevertheless serves as a useful reference point and retains relevant probative value.</w:t>
      </w:r>
    </w:p>
    <w:p w:rsidR="00433737" w:rsidRDefault="00433737" w:rsidP="00D309DF">
      <w:pPr>
        <w:spacing w:line="240" w:lineRule="exact"/>
        <w:jc w:val="both"/>
        <w:rPr>
          <w:szCs w:val="24"/>
        </w:rPr>
      </w:pPr>
    </w:p>
    <w:p w:rsidR="00AD3056" w:rsidRPr="009C2A56" w:rsidRDefault="00433737" w:rsidP="00AD3056">
      <w:pPr>
        <w:tabs>
          <w:tab w:val="left" w:pos="2980"/>
        </w:tabs>
        <w:spacing w:line="240" w:lineRule="exact"/>
        <w:jc w:val="both"/>
        <w:rPr>
          <w:rFonts w:asciiTheme="minorHAnsi" w:hAnsiTheme="minorHAnsi"/>
          <w:color w:val="auto"/>
          <w:szCs w:val="24"/>
        </w:rPr>
      </w:pPr>
      <w:r w:rsidRPr="009C2A56">
        <w:rPr>
          <w:color w:val="auto"/>
          <w:szCs w:val="24"/>
        </w:rPr>
        <w:t xml:space="preserve">The Board directs its attention to its rating recommendations based </w:t>
      </w:r>
      <w:r w:rsidR="001F4096" w:rsidRPr="009C2A56">
        <w:rPr>
          <w:color w:val="auto"/>
          <w:szCs w:val="24"/>
        </w:rPr>
        <w:t>up</w:t>
      </w:r>
      <w:r w:rsidRPr="009C2A56">
        <w:rPr>
          <w:color w:val="auto"/>
          <w:szCs w:val="24"/>
        </w:rPr>
        <w:t>on the evidence just described.  All members agreed that the §4.130 criteria for a rating higher than 50% were not met at the time of separation, and therefore the minimum 50% TDRL rating (as explained above) is applicable.  The VA assigned a 30% rating for the PTSD condition based on §4.130 criteria without relying on the provisions of §4.129.</w:t>
      </w:r>
      <w:r w:rsidR="001F4096" w:rsidRPr="009C2A56">
        <w:rPr>
          <w:color w:val="auto"/>
          <w:szCs w:val="24"/>
        </w:rPr>
        <w:t xml:space="preserve">  </w:t>
      </w:r>
      <w:r w:rsidR="001F4096" w:rsidRPr="009C2A56">
        <w:rPr>
          <w:rFonts w:eastAsiaTheme="minorHAnsi" w:cstheme="minorBidi"/>
          <w:color w:val="auto"/>
          <w:szCs w:val="24"/>
        </w:rPr>
        <w:t>At the VA exam</w:t>
      </w:r>
      <w:r w:rsidR="003571DE">
        <w:rPr>
          <w:rFonts w:eastAsiaTheme="minorHAnsi" w:cstheme="minorBidi"/>
          <w:color w:val="auto"/>
          <w:szCs w:val="24"/>
        </w:rPr>
        <w:t>ination</w:t>
      </w:r>
      <w:r w:rsidR="00FF7498">
        <w:rPr>
          <w:rFonts w:eastAsiaTheme="minorHAnsi" w:cstheme="minorBidi"/>
          <w:color w:val="auto"/>
          <w:szCs w:val="24"/>
        </w:rPr>
        <w:t>,</w:t>
      </w:r>
      <w:r w:rsidR="001F4096" w:rsidRPr="009C2A56">
        <w:rPr>
          <w:rFonts w:eastAsiaTheme="minorHAnsi" w:cstheme="minorBidi"/>
          <w:color w:val="auto"/>
          <w:szCs w:val="24"/>
        </w:rPr>
        <w:t xml:space="preserve"> the</w:t>
      </w:r>
      <w:r w:rsidR="006960BC">
        <w:rPr>
          <w:rFonts w:eastAsiaTheme="minorHAnsi" w:cstheme="minorBidi"/>
          <w:color w:val="auto"/>
          <w:szCs w:val="24"/>
        </w:rPr>
        <w:t xml:space="preserve"> CI was found to have </w:t>
      </w:r>
      <w:proofErr w:type="spellStart"/>
      <w:r w:rsidR="006960BC">
        <w:rPr>
          <w:rFonts w:eastAsiaTheme="minorHAnsi" w:cstheme="minorBidi"/>
          <w:color w:val="auto"/>
          <w:szCs w:val="24"/>
        </w:rPr>
        <w:t>anhedonia</w:t>
      </w:r>
      <w:proofErr w:type="spellEnd"/>
      <w:r w:rsidR="006960BC">
        <w:rPr>
          <w:rFonts w:eastAsiaTheme="minorHAnsi" w:cstheme="minorBidi"/>
          <w:color w:val="auto"/>
          <w:szCs w:val="24"/>
        </w:rPr>
        <w:t>, severe avoidance</w:t>
      </w:r>
      <w:r w:rsidR="001F4096" w:rsidRPr="009C2A56">
        <w:rPr>
          <w:rFonts w:eastAsiaTheme="minorHAnsi" w:cstheme="minorBidi"/>
          <w:color w:val="auto"/>
          <w:szCs w:val="24"/>
        </w:rPr>
        <w:t>, insomnia, irritability with anger outbursts, and psychomo</w:t>
      </w:r>
      <w:r w:rsidR="003571DE">
        <w:rPr>
          <w:rFonts w:eastAsiaTheme="minorHAnsi" w:cstheme="minorBidi"/>
          <w:color w:val="auto"/>
          <w:szCs w:val="24"/>
        </w:rPr>
        <w:t xml:space="preserve">tor agitation. His </w:t>
      </w:r>
      <w:r w:rsidR="001F4096" w:rsidRPr="009C2A56">
        <w:rPr>
          <w:rFonts w:eastAsiaTheme="minorHAnsi" w:cstheme="minorBidi"/>
          <w:color w:val="auto"/>
          <w:szCs w:val="24"/>
        </w:rPr>
        <w:t xml:space="preserve">global assessment of functioning </w:t>
      </w:r>
      <w:r w:rsidR="003571DE">
        <w:rPr>
          <w:rFonts w:eastAsiaTheme="minorHAnsi" w:cstheme="minorBidi"/>
          <w:color w:val="auto"/>
          <w:szCs w:val="24"/>
        </w:rPr>
        <w:t>was</w:t>
      </w:r>
      <w:r w:rsidR="001F4096" w:rsidRPr="009C2A56">
        <w:rPr>
          <w:rFonts w:eastAsiaTheme="minorHAnsi" w:cstheme="minorBidi"/>
          <w:color w:val="auto"/>
          <w:szCs w:val="24"/>
        </w:rPr>
        <w:t xml:space="preserve"> 53.  The Board agreed that the 30% descriptor, “</w:t>
      </w:r>
      <w:r w:rsidR="00FF7498">
        <w:rPr>
          <w:rFonts w:eastAsiaTheme="minorHAnsi" w:cstheme="minorBidi"/>
          <w:color w:val="auto"/>
          <w:szCs w:val="24"/>
        </w:rPr>
        <w:t>o</w:t>
      </w:r>
      <w:r w:rsidR="001F4096" w:rsidRPr="009C2A56">
        <w:rPr>
          <w:rFonts w:asciiTheme="minorHAnsi" w:hAnsiTheme="minorHAnsi"/>
          <w:color w:val="auto"/>
          <w:szCs w:val="24"/>
        </w:rPr>
        <w:t xml:space="preserve">ccupational and social impairment with occasional decrease in work efficiency and intermittent periods of inability to perform occupational tasks (although generally functioning satisfactorily, with routine behavior, self-care, and conversation normal)” was the </w:t>
      </w:r>
      <w:r w:rsidR="003571DE">
        <w:rPr>
          <w:rFonts w:asciiTheme="minorHAnsi" w:hAnsiTheme="minorHAnsi"/>
          <w:color w:val="auto"/>
          <w:szCs w:val="24"/>
        </w:rPr>
        <w:t xml:space="preserve">most </w:t>
      </w:r>
      <w:r w:rsidR="001F4096" w:rsidRPr="009C2A56">
        <w:rPr>
          <w:rFonts w:asciiTheme="minorHAnsi" w:hAnsiTheme="minorHAnsi"/>
          <w:color w:val="auto"/>
          <w:szCs w:val="24"/>
        </w:rPr>
        <w:t xml:space="preserve">appropriate fit for the CI’s mental condition which includes his cognitive impairment.  </w:t>
      </w:r>
      <w:r w:rsidR="00AD3056" w:rsidRPr="009C2A56">
        <w:rPr>
          <w:rFonts w:asciiTheme="minorHAnsi" w:hAnsiTheme="minorHAnsi"/>
          <w:color w:val="auto"/>
          <w:szCs w:val="24"/>
        </w:rPr>
        <w:t>The Board determined that the 50% criteria were not met and the 10% criteria were clearly exceeded.</w:t>
      </w:r>
      <w:r w:rsidR="0027418F" w:rsidRPr="009C2A56">
        <w:rPr>
          <w:rFonts w:asciiTheme="minorHAnsi" w:eastAsiaTheme="minorHAnsi" w:hAnsiTheme="minorHAnsi"/>
          <w:color w:val="auto"/>
          <w:szCs w:val="24"/>
        </w:rPr>
        <w:t xml:space="preserve">  </w:t>
      </w:r>
      <w:r w:rsidR="00AD3056" w:rsidRPr="009C2A56">
        <w:rPr>
          <w:rFonts w:asciiTheme="minorHAnsi" w:hAnsiTheme="minorHAnsi"/>
          <w:color w:val="auto"/>
          <w:szCs w:val="24"/>
        </w:rPr>
        <w:t>After due deliberation in consideration of all the evidence and mindful of VASRD §4.3 (reasonable doubt), the Board recommends 30% as the fair permanent separation rating for PTSD in this case.</w:t>
      </w:r>
    </w:p>
    <w:p w:rsidR="001E6DD7" w:rsidRPr="009C2A56" w:rsidRDefault="001E6DD7" w:rsidP="0027418F">
      <w:pPr>
        <w:spacing w:line="240" w:lineRule="exact"/>
        <w:jc w:val="both"/>
        <w:rPr>
          <w:rFonts w:asciiTheme="minorHAnsi" w:hAnsiTheme="minorHAnsi"/>
          <w:color w:val="auto"/>
          <w:szCs w:val="24"/>
        </w:rPr>
      </w:pPr>
    </w:p>
    <w:p w:rsidR="00387AFF" w:rsidRDefault="000519D0" w:rsidP="00B4203E">
      <w:pPr>
        <w:spacing w:line="240" w:lineRule="exact"/>
        <w:jc w:val="both"/>
        <w:rPr>
          <w:rFonts w:asciiTheme="minorHAnsi" w:hAnsiTheme="minorHAnsi"/>
          <w:color w:val="auto"/>
          <w:szCs w:val="24"/>
        </w:rPr>
      </w:pPr>
      <w:proofErr w:type="gramStart"/>
      <w:r w:rsidRPr="009C2A56">
        <w:rPr>
          <w:rFonts w:asciiTheme="minorHAnsi" w:hAnsiTheme="minorHAnsi"/>
          <w:color w:val="auto"/>
          <w:szCs w:val="24"/>
          <w:u w:val="single"/>
        </w:rPr>
        <w:lastRenderedPageBreak/>
        <w:t>Headache Condition Due to TBI</w:t>
      </w:r>
      <w:r w:rsidRPr="009C2A56">
        <w:rPr>
          <w:rFonts w:asciiTheme="minorHAnsi" w:hAnsiTheme="minorHAnsi"/>
          <w:color w:val="auto"/>
          <w:szCs w:val="24"/>
        </w:rPr>
        <w:t>.</w:t>
      </w:r>
      <w:proofErr w:type="gramEnd"/>
      <w:r w:rsidR="00BC3B83" w:rsidRPr="009C2A56">
        <w:rPr>
          <w:rFonts w:asciiTheme="minorHAnsi" w:hAnsiTheme="minorHAnsi"/>
          <w:color w:val="auto"/>
          <w:szCs w:val="24"/>
        </w:rPr>
        <w:t xml:space="preserve">  </w:t>
      </w:r>
      <w:r w:rsidR="000A6D4F" w:rsidRPr="009C2A56">
        <w:rPr>
          <w:rFonts w:asciiTheme="minorHAnsi" w:hAnsiTheme="minorHAnsi" w:cs="Arial"/>
          <w:color w:val="auto"/>
          <w:szCs w:val="24"/>
        </w:rPr>
        <w:t>The</w:t>
      </w:r>
      <w:r w:rsidR="000A6D4F">
        <w:rPr>
          <w:rFonts w:asciiTheme="minorHAnsi" w:hAnsiTheme="minorHAnsi" w:cs="Arial"/>
          <w:color w:val="auto"/>
          <w:szCs w:val="24"/>
        </w:rPr>
        <w:t xml:space="preserve"> DES File clearly documents the CI’s ongoing complaints of intermittent headaches since his </w:t>
      </w:r>
      <w:r w:rsidR="00FF7498">
        <w:rPr>
          <w:rFonts w:asciiTheme="minorHAnsi" w:hAnsiTheme="minorHAnsi" w:cs="Arial"/>
          <w:color w:val="auto"/>
          <w:szCs w:val="24"/>
        </w:rPr>
        <w:t>TBI</w:t>
      </w:r>
      <w:r w:rsidR="000A6D4F">
        <w:rPr>
          <w:rFonts w:asciiTheme="minorHAnsi" w:hAnsiTheme="minorHAnsi" w:cs="Arial"/>
          <w:color w:val="auto"/>
          <w:szCs w:val="24"/>
        </w:rPr>
        <w:t xml:space="preserve">.  The headaches were initially described as sharp and severe, lasting only </w:t>
      </w:r>
      <w:r w:rsidR="00FF7498">
        <w:rPr>
          <w:rFonts w:asciiTheme="minorHAnsi" w:hAnsiTheme="minorHAnsi" w:cs="Arial"/>
          <w:color w:val="auto"/>
          <w:szCs w:val="24"/>
        </w:rPr>
        <w:t>three to five</w:t>
      </w:r>
      <w:r w:rsidR="000A6D4F">
        <w:rPr>
          <w:rFonts w:asciiTheme="minorHAnsi" w:hAnsiTheme="minorHAnsi" w:cs="Arial"/>
          <w:color w:val="auto"/>
          <w:szCs w:val="24"/>
        </w:rPr>
        <w:t xml:space="preserve"> seco</w:t>
      </w:r>
      <w:r w:rsidR="00387AFF">
        <w:rPr>
          <w:rFonts w:asciiTheme="minorHAnsi" w:hAnsiTheme="minorHAnsi" w:cs="Arial"/>
          <w:color w:val="auto"/>
          <w:szCs w:val="24"/>
        </w:rPr>
        <w:t>n</w:t>
      </w:r>
      <w:r w:rsidR="000A6D4F">
        <w:rPr>
          <w:rFonts w:asciiTheme="minorHAnsi" w:hAnsiTheme="minorHAnsi" w:cs="Arial"/>
          <w:color w:val="auto"/>
          <w:szCs w:val="24"/>
        </w:rPr>
        <w:t>ds</w:t>
      </w:r>
      <w:r w:rsidR="00D2671E">
        <w:rPr>
          <w:rFonts w:asciiTheme="minorHAnsi" w:hAnsiTheme="minorHAnsi" w:cs="Arial"/>
          <w:color w:val="auto"/>
          <w:szCs w:val="24"/>
        </w:rPr>
        <w:t xml:space="preserve">, and occurring </w:t>
      </w:r>
      <w:r w:rsidR="00FF7498">
        <w:rPr>
          <w:rFonts w:asciiTheme="minorHAnsi" w:hAnsiTheme="minorHAnsi" w:cs="Arial"/>
          <w:color w:val="auto"/>
          <w:szCs w:val="24"/>
        </w:rPr>
        <w:t>four to eight</w:t>
      </w:r>
      <w:r w:rsidR="00D2671E">
        <w:rPr>
          <w:rFonts w:asciiTheme="minorHAnsi" w:hAnsiTheme="minorHAnsi" w:cs="Arial"/>
          <w:color w:val="auto"/>
          <w:szCs w:val="24"/>
        </w:rPr>
        <w:t xml:space="preserve"> times per day</w:t>
      </w:r>
      <w:r w:rsidR="000A6D4F">
        <w:rPr>
          <w:rFonts w:asciiTheme="minorHAnsi" w:hAnsiTheme="minorHAnsi" w:cs="Arial"/>
          <w:color w:val="auto"/>
          <w:szCs w:val="24"/>
        </w:rPr>
        <w:t xml:space="preserve">.  The </w:t>
      </w:r>
      <w:r w:rsidR="00FF7498">
        <w:rPr>
          <w:rFonts w:asciiTheme="minorHAnsi" w:hAnsiTheme="minorHAnsi" w:cs="Arial"/>
          <w:color w:val="auto"/>
          <w:szCs w:val="24"/>
        </w:rPr>
        <w:t>n</w:t>
      </w:r>
      <w:r w:rsidR="000A6D4F">
        <w:rPr>
          <w:rFonts w:asciiTheme="minorHAnsi" w:hAnsiTheme="minorHAnsi" w:cs="Arial"/>
          <w:color w:val="auto"/>
          <w:szCs w:val="24"/>
        </w:rPr>
        <w:t xml:space="preserve">eurology note of </w:t>
      </w:r>
      <w:r w:rsidR="00FF7498">
        <w:rPr>
          <w:rFonts w:asciiTheme="minorHAnsi" w:hAnsiTheme="minorHAnsi" w:cs="Arial"/>
          <w:color w:val="auto"/>
          <w:szCs w:val="24"/>
        </w:rPr>
        <w:t xml:space="preserve">16 January </w:t>
      </w:r>
      <w:r w:rsidR="000A6D4F">
        <w:rPr>
          <w:rFonts w:asciiTheme="minorHAnsi" w:hAnsiTheme="minorHAnsi" w:cs="Arial"/>
          <w:color w:val="auto"/>
          <w:szCs w:val="24"/>
        </w:rPr>
        <w:t>2008</w:t>
      </w:r>
      <w:r w:rsidR="00387AFF">
        <w:rPr>
          <w:rFonts w:asciiTheme="minorHAnsi" w:hAnsiTheme="minorHAnsi" w:cs="Arial"/>
          <w:color w:val="auto"/>
          <w:szCs w:val="24"/>
        </w:rPr>
        <w:t>, six months pre separation,</w:t>
      </w:r>
      <w:r w:rsidR="000A6D4F">
        <w:rPr>
          <w:rFonts w:asciiTheme="minorHAnsi" w:hAnsiTheme="minorHAnsi" w:cs="Arial"/>
          <w:color w:val="auto"/>
          <w:szCs w:val="24"/>
        </w:rPr>
        <w:t xml:space="preserve"> noted that treatment with Lyrica h</w:t>
      </w:r>
      <w:r w:rsidR="00387AFF">
        <w:rPr>
          <w:rFonts w:asciiTheme="minorHAnsi" w:hAnsiTheme="minorHAnsi" w:cs="Arial"/>
          <w:color w:val="auto"/>
          <w:szCs w:val="24"/>
        </w:rPr>
        <w:t>a</w:t>
      </w:r>
      <w:r w:rsidR="000A6D4F">
        <w:rPr>
          <w:rFonts w:asciiTheme="minorHAnsi" w:hAnsiTheme="minorHAnsi" w:cs="Arial"/>
          <w:color w:val="auto"/>
          <w:szCs w:val="24"/>
        </w:rPr>
        <w:t>d decreased the frequency of headaches</w:t>
      </w:r>
      <w:r w:rsidR="00D2671E">
        <w:rPr>
          <w:rFonts w:asciiTheme="minorHAnsi" w:hAnsiTheme="minorHAnsi" w:cs="Arial"/>
          <w:color w:val="auto"/>
          <w:szCs w:val="24"/>
        </w:rPr>
        <w:t>,</w:t>
      </w:r>
      <w:r w:rsidR="000A6D4F">
        <w:rPr>
          <w:rFonts w:asciiTheme="minorHAnsi" w:hAnsiTheme="minorHAnsi" w:cs="Arial"/>
          <w:color w:val="auto"/>
          <w:szCs w:val="24"/>
        </w:rPr>
        <w:t xml:space="preserve"> and he was found fit for duty from the headache standpoint.</w:t>
      </w:r>
      <w:r w:rsidR="00B4203E">
        <w:rPr>
          <w:rFonts w:asciiTheme="minorHAnsi" w:hAnsiTheme="minorHAnsi"/>
          <w:color w:val="auto"/>
          <w:szCs w:val="24"/>
        </w:rPr>
        <w:t xml:space="preserve">  </w:t>
      </w:r>
      <w:r w:rsidR="00387AFF" w:rsidRPr="00D67B1A">
        <w:rPr>
          <w:rFonts w:asciiTheme="minorHAnsi" w:hAnsiTheme="minorHAnsi"/>
          <w:color w:val="auto"/>
          <w:szCs w:val="24"/>
        </w:rPr>
        <w:t>There were no prostrating attacks described in the treatme</w:t>
      </w:r>
      <w:r w:rsidR="00387AFF">
        <w:rPr>
          <w:rFonts w:asciiTheme="minorHAnsi" w:hAnsiTheme="minorHAnsi"/>
          <w:color w:val="auto"/>
          <w:szCs w:val="24"/>
        </w:rPr>
        <w:t xml:space="preserve">nt records or the DES package.  </w:t>
      </w:r>
      <w:r w:rsidR="00387AFF" w:rsidRPr="00D67B1A">
        <w:rPr>
          <w:rFonts w:asciiTheme="minorHAnsi" w:hAnsiTheme="minorHAnsi"/>
          <w:color w:val="auto"/>
          <w:szCs w:val="24"/>
        </w:rPr>
        <w:t>The VA rated this condition</w:t>
      </w:r>
      <w:r w:rsidR="00387AFF">
        <w:rPr>
          <w:rFonts w:asciiTheme="minorHAnsi" w:hAnsiTheme="minorHAnsi"/>
          <w:color w:val="auto"/>
          <w:szCs w:val="24"/>
        </w:rPr>
        <w:t xml:space="preserve"> as part of the TBI (also claimed as post-concussive syndrome) using current criteria, not the VA TL 07-05, which was effective at the time of separation</w:t>
      </w:r>
      <w:r w:rsidR="00387AFF" w:rsidRPr="00D67B1A">
        <w:rPr>
          <w:rFonts w:asciiTheme="minorHAnsi" w:hAnsiTheme="minorHAnsi"/>
          <w:color w:val="auto"/>
          <w:szCs w:val="24"/>
        </w:rPr>
        <w:t xml:space="preserve">.  The PEB determined that the </w:t>
      </w:r>
      <w:r w:rsidR="00387AFF">
        <w:rPr>
          <w:rFonts w:asciiTheme="minorHAnsi" w:hAnsiTheme="minorHAnsi"/>
          <w:color w:val="auto"/>
          <w:szCs w:val="24"/>
        </w:rPr>
        <w:t xml:space="preserve">post-concussive syndrome with headaches condition was a </w:t>
      </w:r>
      <w:r w:rsidR="00FF7498">
        <w:rPr>
          <w:rFonts w:asciiTheme="minorHAnsi" w:hAnsiTheme="minorHAnsi"/>
          <w:color w:val="auto"/>
          <w:szCs w:val="24"/>
        </w:rPr>
        <w:t>c</w:t>
      </w:r>
      <w:r w:rsidR="00387AFF">
        <w:rPr>
          <w:rFonts w:asciiTheme="minorHAnsi" w:hAnsiTheme="minorHAnsi"/>
          <w:color w:val="auto"/>
          <w:szCs w:val="24"/>
        </w:rPr>
        <w:t>ategory II condition related to his TBI</w:t>
      </w:r>
      <w:r w:rsidR="00D309DF">
        <w:rPr>
          <w:rFonts w:asciiTheme="minorHAnsi" w:hAnsiTheme="minorHAnsi"/>
          <w:color w:val="auto"/>
          <w:szCs w:val="24"/>
        </w:rPr>
        <w:t>,</w:t>
      </w:r>
      <w:r w:rsidR="00387AFF">
        <w:rPr>
          <w:rFonts w:asciiTheme="minorHAnsi" w:hAnsiTheme="minorHAnsi"/>
          <w:color w:val="auto"/>
          <w:szCs w:val="24"/>
        </w:rPr>
        <w:t xml:space="preserve"> but not separately unfitting.  After careful consideration of all available information, the Board decided unanimously that i</w:t>
      </w:r>
      <w:r w:rsidR="00387AFF" w:rsidRPr="00D67B1A">
        <w:rPr>
          <w:rFonts w:asciiTheme="minorHAnsi" w:hAnsiTheme="minorHAnsi"/>
          <w:color w:val="auto"/>
          <w:szCs w:val="24"/>
        </w:rPr>
        <w:t>n com</w:t>
      </w:r>
      <w:r w:rsidR="00387AFF">
        <w:rPr>
          <w:rFonts w:asciiTheme="minorHAnsi" w:hAnsiTheme="minorHAnsi"/>
          <w:color w:val="auto"/>
          <w:szCs w:val="24"/>
        </w:rPr>
        <w:t xml:space="preserve">pliance with VA </w:t>
      </w:r>
      <w:r w:rsidR="00387AFF" w:rsidRPr="00D67B1A">
        <w:rPr>
          <w:rFonts w:asciiTheme="minorHAnsi" w:hAnsiTheme="minorHAnsi"/>
          <w:color w:val="auto"/>
          <w:szCs w:val="24"/>
        </w:rPr>
        <w:t xml:space="preserve">TL 07-05, effective </w:t>
      </w:r>
      <w:r w:rsidR="00FF7498">
        <w:rPr>
          <w:rFonts w:asciiTheme="minorHAnsi" w:hAnsiTheme="minorHAnsi"/>
          <w:color w:val="auto"/>
          <w:szCs w:val="24"/>
        </w:rPr>
        <w:t xml:space="preserve">31 July </w:t>
      </w:r>
      <w:r w:rsidR="00387AFF" w:rsidRPr="00D67B1A">
        <w:rPr>
          <w:rFonts w:asciiTheme="minorHAnsi" w:hAnsiTheme="minorHAnsi"/>
          <w:color w:val="auto"/>
          <w:szCs w:val="24"/>
        </w:rPr>
        <w:t>2007, this condition is rated separately</w:t>
      </w:r>
      <w:r w:rsidR="00387AFF">
        <w:rPr>
          <w:rFonts w:asciiTheme="minorHAnsi" w:hAnsiTheme="minorHAnsi"/>
          <w:color w:val="auto"/>
          <w:szCs w:val="24"/>
        </w:rPr>
        <w:t xml:space="preserve"> as residual of TBI</w:t>
      </w:r>
      <w:r w:rsidR="00387AFF" w:rsidRPr="00D67B1A">
        <w:rPr>
          <w:rFonts w:asciiTheme="minorHAnsi" w:hAnsiTheme="minorHAnsi"/>
          <w:color w:val="auto"/>
          <w:szCs w:val="24"/>
        </w:rPr>
        <w:t xml:space="preserve"> (code </w:t>
      </w:r>
      <w:r w:rsidR="00387AFF">
        <w:rPr>
          <w:rFonts w:asciiTheme="minorHAnsi" w:hAnsiTheme="minorHAnsi"/>
          <w:color w:val="auto"/>
          <w:szCs w:val="24"/>
        </w:rPr>
        <w:t>8045-</w:t>
      </w:r>
      <w:r w:rsidR="00387AFF" w:rsidRPr="00D67B1A">
        <w:rPr>
          <w:rFonts w:asciiTheme="minorHAnsi" w:hAnsiTheme="minorHAnsi"/>
          <w:color w:val="auto"/>
          <w:szCs w:val="24"/>
        </w:rPr>
        <w:t>81</w:t>
      </w:r>
      <w:r w:rsidR="00387AFF">
        <w:rPr>
          <w:rFonts w:asciiTheme="minorHAnsi" w:hAnsiTheme="minorHAnsi"/>
          <w:color w:val="auto"/>
          <w:szCs w:val="24"/>
        </w:rPr>
        <w:t xml:space="preserve">00, </w:t>
      </w:r>
      <w:r w:rsidR="00FF7498">
        <w:rPr>
          <w:rFonts w:asciiTheme="minorHAnsi" w:hAnsiTheme="minorHAnsi"/>
          <w:color w:val="auto"/>
          <w:szCs w:val="24"/>
        </w:rPr>
        <w:t xml:space="preserve">headaches due </w:t>
      </w:r>
      <w:r w:rsidR="00387AFF">
        <w:rPr>
          <w:rFonts w:asciiTheme="minorHAnsi" w:hAnsiTheme="minorHAnsi"/>
          <w:color w:val="auto"/>
          <w:szCs w:val="24"/>
        </w:rPr>
        <w:t>to TBI).  Since there wa</w:t>
      </w:r>
      <w:r w:rsidR="00387AFF" w:rsidRPr="00D67B1A">
        <w:rPr>
          <w:rFonts w:asciiTheme="minorHAnsi" w:hAnsiTheme="minorHAnsi"/>
          <w:color w:val="auto"/>
          <w:szCs w:val="24"/>
        </w:rPr>
        <w:t>s no evi</w:t>
      </w:r>
      <w:r w:rsidR="00387AFF">
        <w:rPr>
          <w:rFonts w:asciiTheme="minorHAnsi" w:hAnsiTheme="minorHAnsi"/>
          <w:color w:val="auto"/>
          <w:szCs w:val="24"/>
        </w:rPr>
        <w:t>dence of prostrating attacks</w:t>
      </w:r>
      <w:r w:rsidR="006961F4">
        <w:rPr>
          <w:rFonts w:asciiTheme="minorHAnsi" w:hAnsiTheme="minorHAnsi"/>
          <w:color w:val="auto"/>
          <w:szCs w:val="24"/>
        </w:rPr>
        <w:t>,</w:t>
      </w:r>
      <w:r w:rsidR="00387AFF" w:rsidRPr="00D67B1A">
        <w:rPr>
          <w:rFonts w:asciiTheme="minorHAnsi" w:hAnsiTheme="minorHAnsi"/>
          <w:color w:val="auto"/>
          <w:szCs w:val="24"/>
        </w:rPr>
        <w:t xml:space="preserve"> a 0% rating is applied.</w:t>
      </w:r>
    </w:p>
    <w:p w:rsidR="008F6F11" w:rsidRDefault="008F6F11" w:rsidP="00387AFF">
      <w:pPr>
        <w:tabs>
          <w:tab w:val="left" w:pos="288"/>
          <w:tab w:val="left" w:pos="4752"/>
        </w:tabs>
        <w:spacing w:line="240" w:lineRule="exact"/>
        <w:jc w:val="both"/>
        <w:rPr>
          <w:rFonts w:asciiTheme="minorHAnsi" w:hAnsiTheme="minorHAnsi"/>
          <w:color w:val="auto"/>
          <w:szCs w:val="24"/>
        </w:rPr>
      </w:pPr>
    </w:p>
    <w:p w:rsidR="008F6F11" w:rsidRDefault="008F6F11" w:rsidP="00387AFF">
      <w:pPr>
        <w:tabs>
          <w:tab w:val="left" w:pos="288"/>
          <w:tab w:val="left" w:pos="4752"/>
        </w:tabs>
        <w:spacing w:line="240" w:lineRule="exact"/>
        <w:jc w:val="both"/>
        <w:rPr>
          <w:rFonts w:asciiTheme="minorHAnsi" w:hAnsiTheme="minorHAnsi"/>
          <w:color w:val="auto"/>
          <w:szCs w:val="24"/>
        </w:rPr>
      </w:pPr>
      <w:proofErr w:type="gramStart"/>
      <w:r w:rsidRPr="008F6F11">
        <w:rPr>
          <w:rFonts w:asciiTheme="minorHAnsi" w:hAnsiTheme="minorHAnsi"/>
          <w:color w:val="auto"/>
          <w:szCs w:val="24"/>
          <w:u w:val="single"/>
        </w:rPr>
        <w:t>Tinnitus Condition</w:t>
      </w:r>
      <w:r>
        <w:rPr>
          <w:rFonts w:asciiTheme="minorHAnsi" w:hAnsiTheme="minorHAnsi"/>
          <w:color w:val="auto"/>
          <w:szCs w:val="24"/>
        </w:rPr>
        <w:t>.</w:t>
      </w:r>
      <w:proofErr w:type="gramEnd"/>
      <w:r>
        <w:rPr>
          <w:rFonts w:asciiTheme="minorHAnsi" w:hAnsiTheme="minorHAnsi"/>
          <w:color w:val="auto"/>
          <w:szCs w:val="24"/>
        </w:rPr>
        <w:t xml:space="preserve">  Tinnitus</w:t>
      </w:r>
      <w:r w:rsidR="005C25D1">
        <w:rPr>
          <w:rFonts w:asciiTheme="minorHAnsi" w:hAnsiTheme="minorHAnsi"/>
          <w:color w:val="auto"/>
          <w:szCs w:val="24"/>
        </w:rPr>
        <w:t xml:space="preserve"> is noted as an intermittent complaint in the service treatment records going back to June 2004, prior to his TBI.  The DES file makes no mention of tinnitus</w:t>
      </w:r>
      <w:r w:rsidR="006961F4">
        <w:rPr>
          <w:rFonts w:asciiTheme="minorHAnsi" w:hAnsiTheme="minorHAnsi"/>
          <w:color w:val="auto"/>
          <w:szCs w:val="24"/>
        </w:rPr>
        <w:t xml:space="preserve">.  Therefore, </w:t>
      </w:r>
      <w:r w:rsidR="005C25D1">
        <w:rPr>
          <w:rFonts w:asciiTheme="minorHAnsi" w:hAnsiTheme="minorHAnsi"/>
          <w:color w:val="auto"/>
          <w:szCs w:val="24"/>
        </w:rPr>
        <w:t xml:space="preserve">the Board finds no basis for consideration of tinnitus as a separately unfitting residual of TBI. </w:t>
      </w:r>
    </w:p>
    <w:p w:rsidR="005D22ED" w:rsidRPr="009F17FE" w:rsidRDefault="005D22ED" w:rsidP="009F17FE">
      <w:pPr>
        <w:autoSpaceDE w:val="0"/>
        <w:autoSpaceDN w:val="0"/>
        <w:adjustRightInd w:val="0"/>
        <w:spacing w:line="240" w:lineRule="exact"/>
        <w:jc w:val="both"/>
        <w:rPr>
          <w:rFonts w:asciiTheme="minorHAnsi" w:hAnsiTheme="minorHAnsi" w:cstheme="minorHAnsi"/>
          <w:color w:val="auto"/>
          <w:szCs w:val="24"/>
        </w:rPr>
      </w:pPr>
    </w:p>
    <w:p w:rsidR="00EC337D" w:rsidRDefault="004C60A3" w:rsidP="00C304DB">
      <w:pPr>
        <w:spacing w:line="240" w:lineRule="exact"/>
        <w:jc w:val="both"/>
        <w:rPr>
          <w:rFonts w:asciiTheme="minorHAnsi" w:eastAsia="HiddenHorzOCR" w:hAnsiTheme="minorHAnsi"/>
          <w:color w:val="auto"/>
          <w:szCs w:val="24"/>
        </w:rPr>
      </w:pPr>
      <w:proofErr w:type="gramStart"/>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Conditions</w:t>
      </w:r>
      <w:r w:rsidR="003604A5" w:rsidRPr="00EC337D">
        <w:rPr>
          <w:rFonts w:asciiTheme="minorHAnsi" w:eastAsia="HiddenHorzOCR" w:hAnsiTheme="minorHAnsi"/>
          <w:color w:val="auto"/>
          <w:szCs w:val="24"/>
        </w:rPr>
        <w:t>.</w:t>
      </w:r>
      <w:proofErr w:type="gramEnd"/>
      <w:r w:rsidR="002F2981">
        <w:rPr>
          <w:rFonts w:asciiTheme="minorHAnsi" w:eastAsia="HiddenHorzOCR" w:hAnsiTheme="minorHAnsi"/>
          <w:color w:val="auto"/>
          <w:szCs w:val="24"/>
        </w:rPr>
        <w:t xml:space="preserve"> </w:t>
      </w:r>
      <w:r w:rsidR="00917063">
        <w:rPr>
          <w:rFonts w:asciiTheme="minorHAnsi" w:eastAsia="HiddenHorzOCR" w:hAnsiTheme="minorHAnsi"/>
          <w:color w:val="auto"/>
          <w:szCs w:val="24"/>
        </w:rPr>
        <w:t xml:space="preserve"> </w:t>
      </w:r>
      <w:r w:rsidR="00EC337D" w:rsidRPr="00CD559F">
        <w:rPr>
          <w:rFonts w:asciiTheme="minorHAnsi" w:eastAsia="HiddenHorzOCR" w:hAnsiTheme="minorHAnsi"/>
          <w:color w:val="auto"/>
          <w:szCs w:val="24"/>
        </w:rPr>
        <w:t xml:space="preserve">The other conditions forwarded by the MEB and adjudicated as not unfitting by the PEB were </w:t>
      </w:r>
      <w:r w:rsidR="00CD559F" w:rsidRPr="00CD559F">
        <w:rPr>
          <w:rFonts w:asciiTheme="minorHAnsi" w:eastAsia="HiddenHorzOCR" w:hAnsiTheme="minorHAnsi"/>
          <w:color w:val="auto"/>
          <w:szCs w:val="24"/>
        </w:rPr>
        <w:t xml:space="preserve">lumbago and right shoulder </w:t>
      </w:r>
      <w:r w:rsidR="006961F4">
        <w:rPr>
          <w:rFonts w:asciiTheme="minorHAnsi" w:eastAsia="HiddenHorzOCR" w:hAnsiTheme="minorHAnsi"/>
          <w:color w:val="auto"/>
          <w:szCs w:val="24"/>
        </w:rPr>
        <w:t>second</w:t>
      </w:r>
      <w:r w:rsidR="00CD559F" w:rsidRPr="00CD559F">
        <w:rPr>
          <w:rFonts w:asciiTheme="minorHAnsi" w:eastAsia="HiddenHorzOCR" w:hAnsiTheme="minorHAnsi"/>
          <w:color w:val="auto"/>
          <w:szCs w:val="24"/>
        </w:rPr>
        <w:t xml:space="preserve"> degree AC injury</w:t>
      </w:r>
      <w:r w:rsidR="008C0F1B">
        <w:rPr>
          <w:rFonts w:asciiTheme="minorHAnsi" w:eastAsia="HiddenHorzOCR" w:hAnsiTheme="minorHAnsi"/>
          <w:color w:val="auto"/>
          <w:szCs w:val="24"/>
        </w:rPr>
        <w:t>.  Neither</w:t>
      </w:r>
      <w:r w:rsidR="00EC337D" w:rsidRPr="00CD559F">
        <w:rPr>
          <w:rFonts w:asciiTheme="minorHAnsi" w:eastAsia="HiddenHorzOCR" w:hAnsiTheme="minorHAnsi"/>
          <w:color w:val="auto"/>
          <w:szCs w:val="24"/>
        </w:rPr>
        <w:t xml:space="preserve"> of these conditions were profiled, implicated in the </w:t>
      </w:r>
      <w:r w:rsidR="00B638EA" w:rsidRPr="00B638EA">
        <w:rPr>
          <w:rFonts w:asciiTheme="minorHAnsi" w:eastAsia="HiddenHorzOCR" w:hAnsiTheme="minorHAnsi"/>
          <w:color w:val="auto"/>
          <w:szCs w:val="24"/>
        </w:rPr>
        <w:t xml:space="preserve">non-medical assessment </w:t>
      </w:r>
      <w:r w:rsidR="00B638EA">
        <w:rPr>
          <w:rFonts w:asciiTheme="minorHAnsi" w:eastAsia="HiddenHorzOCR" w:hAnsiTheme="minorHAnsi"/>
          <w:color w:val="auto"/>
          <w:szCs w:val="24"/>
        </w:rPr>
        <w:t>(</w:t>
      </w:r>
      <w:r w:rsidR="00E47B47" w:rsidRPr="00CD559F">
        <w:rPr>
          <w:rFonts w:asciiTheme="minorHAnsi" w:eastAsia="HiddenHorzOCR" w:hAnsiTheme="minorHAnsi"/>
          <w:color w:val="auto"/>
          <w:szCs w:val="24"/>
        </w:rPr>
        <w:t>NMA</w:t>
      </w:r>
      <w:r w:rsidR="00B638EA">
        <w:rPr>
          <w:rFonts w:asciiTheme="minorHAnsi" w:eastAsia="HiddenHorzOCR" w:hAnsiTheme="minorHAnsi"/>
          <w:color w:val="auto"/>
          <w:szCs w:val="24"/>
        </w:rPr>
        <w:t>)</w:t>
      </w:r>
      <w:r w:rsidR="006961F4">
        <w:rPr>
          <w:rFonts w:asciiTheme="minorHAnsi" w:eastAsia="HiddenHorzOCR" w:hAnsiTheme="minorHAnsi"/>
          <w:color w:val="auto"/>
          <w:szCs w:val="24"/>
        </w:rPr>
        <w:t>,</w:t>
      </w:r>
      <w:r w:rsidR="00EC337D" w:rsidRPr="00CD559F">
        <w:rPr>
          <w:rFonts w:asciiTheme="minorHAnsi" w:eastAsia="HiddenHorzOCR" w:hAnsiTheme="minorHAnsi"/>
          <w:color w:val="auto"/>
          <w:szCs w:val="24"/>
        </w:rPr>
        <w:t xml:space="preserve"> or noted as f</w:t>
      </w:r>
      <w:r w:rsidR="008C0F1B">
        <w:rPr>
          <w:rFonts w:asciiTheme="minorHAnsi" w:eastAsia="HiddenHorzOCR" w:hAnsiTheme="minorHAnsi"/>
          <w:color w:val="auto"/>
          <w:szCs w:val="24"/>
        </w:rPr>
        <w:t>ailing retention standards.  Both</w:t>
      </w:r>
      <w:r w:rsidR="00EC337D" w:rsidRPr="00CD559F">
        <w:rPr>
          <w:rFonts w:asciiTheme="minorHAnsi" w:eastAsia="HiddenHorzOCR" w:hAnsiTheme="minorHAnsi"/>
          <w:color w:val="auto"/>
          <w:szCs w:val="24"/>
        </w:rPr>
        <w:t xml:space="preserve"> were reviewed by the </w:t>
      </w:r>
      <w:r w:rsidR="006961F4">
        <w:rPr>
          <w:rFonts w:asciiTheme="minorHAnsi" w:eastAsia="HiddenHorzOCR" w:hAnsiTheme="minorHAnsi"/>
          <w:color w:val="auto"/>
          <w:szCs w:val="24"/>
        </w:rPr>
        <w:t>a</w:t>
      </w:r>
      <w:r w:rsidR="006961F4" w:rsidRPr="00CD559F">
        <w:rPr>
          <w:rFonts w:asciiTheme="minorHAnsi" w:eastAsia="HiddenHorzOCR" w:hAnsiTheme="minorHAnsi"/>
          <w:color w:val="auto"/>
          <w:szCs w:val="24"/>
        </w:rPr>
        <w:t xml:space="preserve">ction </w:t>
      </w:r>
      <w:r w:rsidR="006961F4">
        <w:rPr>
          <w:rFonts w:asciiTheme="minorHAnsi" w:eastAsia="HiddenHorzOCR" w:hAnsiTheme="minorHAnsi"/>
          <w:color w:val="auto"/>
          <w:szCs w:val="24"/>
        </w:rPr>
        <w:t>o</w:t>
      </w:r>
      <w:r w:rsidR="006961F4" w:rsidRPr="00CD559F">
        <w:rPr>
          <w:rFonts w:asciiTheme="minorHAnsi" w:eastAsia="HiddenHorzOCR" w:hAnsiTheme="minorHAnsi"/>
          <w:color w:val="auto"/>
          <w:szCs w:val="24"/>
        </w:rPr>
        <w:t xml:space="preserve">fficer </w:t>
      </w:r>
      <w:r w:rsidR="00EC337D" w:rsidRPr="00CD559F">
        <w:rPr>
          <w:rFonts w:asciiTheme="minorHAnsi" w:eastAsia="HiddenHorzOCR" w:hAnsiTheme="minorHAnsi"/>
          <w:color w:val="auto"/>
          <w:szCs w:val="24"/>
        </w:rPr>
        <w:t>and considered by the Board.  There was no ind</w:t>
      </w:r>
      <w:r w:rsidR="008C0F1B">
        <w:rPr>
          <w:rFonts w:asciiTheme="minorHAnsi" w:eastAsia="HiddenHorzOCR" w:hAnsiTheme="minorHAnsi"/>
          <w:color w:val="auto"/>
          <w:szCs w:val="24"/>
        </w:rPr>
        <w:t>ication from the record that either</w:t>
      </w:r>
      <w:r w:rsidR="00EC337D" w:rsidRPr="00CD559F">
        <w:rPr>
          <w:rFonts w:asciiTheme="minorHAnsi" w:eastAsia="HiddenHorzOCR" w:hAnsiTheme="minorHAnsi"/>
          <w:color w:val="auto"/>
          <w:szCs w:val="24"/>
        </w:rPr>
        <w:t xml:space="preserve"> of these conditions significantly interfered with satisfactory performance of MOS</w:t>
      </w:r>
      <w:r w:rsidR="00C217F7" w:rsidRPr="00CD559F">
        <w:rPr>
          <w:rFonts w:asciiTheme="minorHAnsi" w:eastAsia="HiddenHorzOCR" w:hAnsiTheme="minorHAnsi"/>
          <w:color w:val="auto"/>
          <w:szCs w:val="24"/>
        </w:rPr>
        <w:t xml:space="preserve"> </w:t>
      </w:r>
      <w:r w:rsidR="00B56F3D" w:rsidRPr="00CD559F">
        <w:rPr>
          <w:rFonts w:asciiTheme="minorHAnsi" w:eastAsia="HiddenHorzOCR" w:hAnsiTheme="minorHAnsi"/>
          <w:color w:val="auto"/>
          <w:szCs w:val="24"/>
        </w:rPr>
        <w:t>duty</w:t>
      </w:r>
      <w:r w:rsidR="00EC337D" w:rsidRPr="00CD559F">
        <w:rPr>
          <w:rFonts w:asciiTheme="minorHAnsi" w:eastAsia="HiddenHorzOCR" w:hAnsiTheme="minorHAnsi"/>
          <w:color w:val="auto"/>
          <w:szCs w:val="24"/>
        </w:rPr>
        <w:t xml:space="preserve"> requirements.  All evidence considered, there is not reasonable doubt in the CI’s favor supporting recharacterization of the </w:t>
      </w:r>
      <w:r w:rsidR="008C0F1B">
        <w:rPr>
          <w:rFonts w:asciiTheme="minorHAnsi" w:eastAsia="HiddenHorzOCR" w:hAnsiTheme="minorHAnsi"/>
          <w:color w:val="auto"/>
          <w:szCs w:val="24"/>
        </w:rPr>
        <w:t>PEB fitness adjudication for either</w:t>
      </w:r>
      <w:r w:rsidR="00EC337D" w:rsidRPr="00CD559F">
        <w:rPr>
          <w:rFonts w:asciiTheme="minorHAnsi" w:eastAsia="HiddenHorzOCR" w:hAnsiTheme="minorHAnsi"/>
          <w:color w:val="auto"/>
          <w:szCs w:val="24"/>
        </w:rPr>
        <w:t xml:space="preserve"> of the stated conditions</w:t>
      </w:r>
      <w:r w:rsidR="00EC337D" w:rsidRPr="00CD559F">
        <w:rPr>
          <w:rFonts w:asciiTheme="minorHAnsi" w:eastAsia="HiddenHorzOCR" w:hAnsiTheme="minorHAnsi"/>
          <w:i/>
          <w:color w:val="auto"/>
          <w:szCs w:val="24"/>
        </w:rPr>
        <w:t>.</w:t>
      </w:r>
    </w:p>
    <w:p w:rsidR="001E3AC4" w:rsidRDefault="001E3AC4" w:rsidP="00C304DB">
      <w:pPr>
        <w:spacing w:line="240" w:lineRule="exact"/>
        <w:jc w:val="both"/>
        <w:rPr>
          <w:rFonts w:asciiTheme="minorHAnsi" w:eastAsia="HiddenHorzOCR" w:hAnsiTheme="minorHAnsi"/>
          <w:color w:val="auto"/>
          <w:szCs w:val="24"/>
        </w:rPr>
      </w:pPr>
    </w:p>
    <w:p w:rsidR="00EC337D" w:rsidRDefault="00EC337D" w:rsidP="00107DC7">
      <w:pPr>
        <w:spacing w:line="240" w:lineRule="exact"/>
        <w:jc w:val="both"/>
        <w:rPr>
          <w:rFonts w:asciiTheme="minorHAnsi" w:hAnsiTheme="minorHAnsi"/>
          <w:color w:val="auto"/>
          <w:szCs w:val="24"/>
        </w:rPr>
      </w:pPr>
      <w:r w:rsidRPr="00EC337D">
        <w:rPr>
          <w:rFonts w:asciiTheme="minorHAnsi" w:hAnsiTheme="minorHAnsi"/>
          <w:color w:val="auto"/>
          <w:szCs w:val="24"/>
          <w:u w:val="single"/>
        </w:rPr>
        <w:t>Remaining Conditions</w:t>
      </w:r>
      <w:r w:rsidRPr="00EC337D">
        <w:rPr>
          <w:rFonts w:asciiTheme="minorHAnsi" w:hAnsiTheme="minorHAnsi"/>
          <w:color w:val="auto"/>
          <w:szCs w:val="24"/>
        </w:rPr>
        <w:t>.</w:t>
      </w:r>
      <w:r w:rsidR="008557D5">
        <w:rPr>
          <w:rFonts w:asciiTheme="minorHAnsi" w:hAnsiTheme="minorHAnsi"/>
          <w:color w:val="auto"/>
          <w:szCs w:val="24"/>
        </w:rPr>
        <w:t xml:space="preserve">  </w:t>
      </w:r>
      <w:r w:rsidRPr="00031430">
        <w:rPr>
          <w:rFonts w:asciiTheme="minorHAnsi" w:hAnsiTheme="minorHAnsi"/>
          <w:color w:val="auto"/>
          <w:szCs w:val="24"/>
        </w:rPr>
        <w:t xml:space="preserve">Other conditions identified in the DES file were </w:t>
      </w:r>
      <w:r w:rsidR="006961F4">
        <w:rPr>
          <w:rFonts w:asciiTheme="minorHAnsi" w:hAnsiTheme="minorHAnsi"/>
          <w:color w:val="auto"/>
          <w:szCs w:val="24"/>
        </w:rPr>
        <w:t xml:space="preserve">two </w:t>
      </w:r>
      <w:r w:rsidR="00C43C4D" w:rsidRPr="00031430">
        <w:rPr>
          <w:rFonts w:asciiTheme="minorHAnsi" w:hAnsiTheme="minorHAnsi"/>
          <w:color w:val="auto"/>
          <w:szCs w:val="24"/>
        </w:rPr>
        <w:t xml:space="preserve">left ankle </w:t>
      </w:r>
      <w:r w:rsidR="00B01DB2">
        <w:rPr>
          <w:rFonts w:asciiTheme="minorHAnsi" w:hAnsiTheme="minorHAnsi"/>
          <w:color w:val="auto"/>
          <w:szCs w:val="24"/>
        </w:rPr>
        <w:t>surger</w:t>
      </w:r>
      <w:r w:rsidR="006961F4">
        <w:rPr>
          <w:rFonts w:asciiTheme="minorHAnsi" w:hAnsiTheme="minorHAnsi"/>
          <w:color w:val="auto"/>
          <w:szCs w:val="24"/>
        </w:rPr>
        <w:t>ies</w:t>
      </w:r>
      <w:r w:rsidR="00B01DB2">
        <w:rPr>
          <w:rFonts w:asciiTheme="minorHAnsi" w:hAnsiTheme="minorHAnsi"/>
          <w:color w:val="auto"/>
          <w:szCs w:val="24"/>
        </w:rPr>
        <w:t xml:space="preserve"> </w:t>
      </w:r>
      <w:r w:rsidR="00C43C4D" w:rsidRPr="00031430">
        <w:rPr>
          <w:rFonts w:asciiTheme="minorHAnsi" w:hAnsiTheme="minorHAnsi"/>
          <w:color w:val="auto"/>
          <w:szCs w:val="24"/>
        </w:rPr>
        <w:t>and right knee</w:t>
      </w:r>
      <w:r w:rsidR="00B01DB2">
        <w:rPr>
          <w:rFonts w:asciiTheme="minorHAnsi" w:hAnsiTheme="minorHAnsi"/>
          <w:color w:val="auto"/>
          <w:szCs w:val="24"/>
        </w:rPr>
        <w:t xml:space="preserve"> pain</w:t>
      </w:r>
      <w:r w:rsidRPr="00031430">
        <w:rPr>
          <w:rFonts w:asciiTheme="minorHAnsi" w:hAnsiTheme="minorHAnsi"/>
          <w:color w:val="auto"/>
          <w:szCs w:val="24"/>
        </w:rPr>
        <w:t>.  Several additional non-acute conditions or medical complaints were also documented.  None of these conditions were clinically active during the MEB period</w:t>
      </w:r>
      <w:r w:rsidR="006008F8" w:rsidRPr="00031430">
        <w:rPr>
          <w:rFonts w:asciiTheme="minorHAnsi" w:hAnsiTheme="minorHAnsi"/>
          <w:color w:val="auto"/>
          <w:szCs w:val="24"/>
        </w:rPr>
        <w:t>,</w:t>
      </w:r>
      <w:r w:rsidRPr="00031430">
        <w:rPr>
          <w:rFonts w:asciiTheme="minorHAnsi" w:hAnsiTheme="minorHAnsi"/>
          <w:color w:val="auto"/>
          <w:szCs w:val="24"/>
        </w:rPr>
        <w:t xml:space="preserve"> none </w:t>
      </w:r>
      <w:r w:rsidR="00B56F3D" w:rsidRPr="00031430">
        <w:rPr>
          <w:rFonts w:asciiTheme="minorHAnsi" w:hAnsiTheme="minorHAnsi"/>
          <w:color w:val="auto"/>
          <w:szCs w:val="24"/>
        </w:rPr>
        <w:t>were the bas</w:t>
      </w:r>
      <w:r w:rsidR="006961F4">
        <w:rPr>
          <w:rFonts w:asciiTheme="minorHAnsi" w:hAnsiTheme="minorHAnsi"/>
          <w:color w:val="auto"/>
          <w:szCs w:val="24"/>
        </w:rPr>
        <w:t>i</w:t>
      </w:r>
      <w:r w:rsidR="00F516EF" w:rsidRPr="00031430">
        <w:rPr>
          <w:rFonts w:asciiTheme="minorHAnsi" w:hAnsiTheme="minorHAnsi"/>
          <w:color w:val="auto"/>
          <w:szCs w:val="24"/>
        </w:rPr>
        <w:t>s</w:t>
      </w:r>
      <w:r w:rsidR="00B56F3D" w:rsidRPr="00031430">
        <w:rPr>
          <w:rFonts w:asciiTheme="minorHAnsi" w:hAnsiTheme="minorHAnsi"/>
          <w:color w:val="auto"/>
          <w:szCs w:val="24"/>
        </w:rPr>
        <w:t xml:space="preserve"> </w:t>
      </w:r>
      <w:r w:rsidR="005C62C2" w:rsidRPr="00031430">
        <w:rPr>
          <w:rFonts w:asciiTheme="minorHAnsi" w:hAnsiTheme="minorHAnsi"/>
          <w:color w:val="auto"/>
          <w:szCs w:val="24"/>
        </w:rPr>
        <w:t>for limited duty</w:t>
      </w:r>
      <w:r w:rsidR="006961F4">
        <w:rPr>
          <w:rFonts w:asciiTheme="minorHAnsi" w:hAnsiTheme="minorHAnsi"/>
          <w:color w:val="auto"/>
          <w:szCs w:val="24"/>
        </w:rPr>
        <w:t>,</w:t>
      </w:r>
      <w:r w:rsidR="005C62C2" w:rsidRPr="00031430">
        <w:rPr>
          <w:rFonts w:asciiTheme="minorHAnsi" w:hAnsiTheme="minorHAnsi"/>
          <w:color w:val="auto"/>
          <w:szCs w:val="24"/>
        </w:rPr>
        <w:t xml:space="preserve"> </w:t>
      </w:r>
      <w:r w:rsidRPr="00031430">
        <w:rPr>
          <w:rFonts w:asciiTheme="minorHAnsi" w:hAnsiTheme="minorHAnsi"/>
          <w:color w:val="auto"/>
          <w:szCs w:val="24"/>
        </w:rPr>
        <w:t xml:space="preserve">and none were implicated in the </w:t>
      </w:r>
      <w:r w:rsidR="00B5646A" w:rsidRPr="00031430">
        <w:rPr>
          <w:rFonts w:asciiTheme="minorHAnsi" w:hAnsiTheme="minorHAnsi"/>
          <w:color w:val="auto"/>
          <w:szCs w:val="24"/>
        </w:rPr>
        <w:t>NMA</w:t>
      </w:r>
      <w:r w:rsidRPr="00031430">
        <w:rPr>
          <w:rFonts w:asciiTheme="minorHAnsi" w:hAnsiTheme="minorHAnsi"/>
          <w:color w:val="auto"/>
          <w:szCs w:val="24"/>
        </w:rPr>
        <w:t xml:space="preserve">.  These conditions were reviewed by the </w:t>
      </w:r>
      <w:r w:rsidR="006961F4">
        <w:rPr>
          <w:rFonts w:asciiTheme="minorHAnsi" w:hAnsiTheme="minorHAnsi"/>
          <w:color w:val="auto"/>
          <w:szCs w:val="24"/>
        </w:rPr>
        <w:t>a</w:t>
      </w:r>
      <w:r w:rsidR="006961F4" w:rsidRPr="00031430">
        <w:rPr>
          <w:rFonts w:asciiTheme="minorHAnsi" w:hAnsiTheme="minorHAnsi"/>
          <w:color w:val="auto"/>
          <w:szCs w:val="24"/>
        </w:rPr>
        <w:t xml:space="preserve">ction </w:t>
      </w:r>
      <w:r w:rsidR="006961F4">
        <w:rPr>
          <w:rFonts w:asciiTheme="minorHAnsi" w:hAnsiTheme="minorHAnsi"/>
          <w:color w:val="auto"/>
          <w:szCs w:val="24"/>
        </w:rPr>
        <w:t>o</w:t>
      </w:r>
      <w:r w:rsidR="006961F4" w:rsidRPr="00031430">
        <w:rPr>
          <w:rFonts w:asciiTheme="minorHAnsi" w:hAnsiTheme="minorHAnsi"/>
          <w:color w:val="auto"/>
          <w:szCs w:val="24"/>
        </w:rPr>
        <w:t xml:space="preserve">fficer </w:t>
      </w:r>
      <w:r w:rsidRPr="00031430">
        <w:rPr>
          <w:rFonts w:asciiTheme="minorHAnsi" w:hAnsiTheme="minorHAnsi"/>
          <w:color w:val="auto"/>
          <w:szCs w:val="24"/>
        </w:rPr>
        <w:t xml:space="preserve">and considered by the Board.  It was determined that none could be argued as unfitting and subject to separation rating.  </w:t>
      </w:r>
      <w:r w:rsidR="00817572" w:rsidRPr="00031430">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C56FC8" w:rsidRPr="007F2964" w:rsidRDefault="00C56FC8" w:rsidP="00B4203E">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4A2D09">
        <w:rPr>
          <w:rFonts w:asciiTheme="minorHAnsi" w:eastAsiaTheme="minorHAnsi" w:hAnsiTheme="minorHAnsi"/>
          <w:color w:val="auto"/>
          <w:szCs w:val="24"/>
        </w:rPr>
        <w:t xml:space="preserve">.  </w:t>
      </w:r>
      <w:r w:rsidR="004A2D09" w:rsidRPr="00AE3316">
        <w:rPr>
          <w:rFonts w:asciiTheme="minorHAnsi" w:hAnsiTheme="minorHAnsi"/>
          <w:color w:val="auto"/>
          <w:szCs w:val="24"/>
        </w:rPr>
        <w:t xml:space="preserve">In the matter of the </w:t>
      </w:r>
      <w:r w:rsidR="006960BC">
        <w:rPr>
          <w:rFonts w:asciiTheme="minorHAnsi" w:hAnsiTheme="minorHAnsi"/>
          <w:color w:val="auto"/>
          <w:szCs w:val="24"/>
        </w:rPr>
        <w:t>c</w:t>
      </w:r>
      <w:r w:rsidR="00BE6218">
        <w:rPr>
          <w:rFonts w:asciiTheme="minorHAnsi" w:hAnsiTheme="minorHAnsi"/>
          <w:color w:val="auto"/>
          <w:szCs w:val="24"/>
        </w:rPr>
        <w:t xml:space="preserve">ognitive </w:t>
      </w:r>
      <w:r w:rsidR="006960BC">
        <w:rPr>
          <w:rFonts w:asciiTheme="minorHAnsi" w:hAnsiTheme="minorHAnsi"/>
          <w:color w:val="auto"/>
          <w:szCs w:val="24"/>
        </w:rPr>
        <w:t xml:space="preserve">disorder </w:t>
      </w:r>
      <w:r w:rsidR="00BE6218">
        <w:rPr>
          <w:rFonts w:asciiTheme="minorHAnsi" w:hAnsiTheme="minorHAnsi"/>
          <w:color w:val="auto"/>
          <w:szCs w:val="24"/>
        </w:rPr>
        <w:t>due to TBI/</w:t>
      </w:r>
      <w:r w:rsidR="004A2D09" w:rsidRPr="00DB4507">
        <w:rPr>
          <w:color w:val="auto"/>
          <w:szCs w:val="24"/>
        </w:rPr>
        <w:t>P</w:t>
      </w:r>
      <w:r w:rsidR="004A2D09">
        <w:rPr>
          <w:color w:val="auto"/>
          <w:szCs w:val="24"/>
        </w:rPr>
        <w:t>TSD</w:t>
      </w:r>
      <w:r w:rsidR="004A2D09" w:rsidRPr="00AE3316">
        <w:rPr>
          <w:rFonts w:asciiTheme="minorHAnsi" w:hAnsiTheme="minorHAnsi"/>
          <w:color w:val="auto"/>
          <w:szCs w:val="24"/>
        </w:rPr>
        <w:t xml:space="preserve"> condition, the Board </w:t>
      </w:r>
      <w:r w:rsidR="004A2D09" w:rsidRPr="00B4203E">
        <w:rPr>
          <w:rFonts w:asciiTheme="minorHAnsi" w:eastAsiaTheme="minorHAnsi" w:hAnsiTheme="minorHAnsi"/>
          <w:color w:val="auto"/>
          <w:szCs w:val="24"/>
        </w:rPr>
        <w:t>unanimously</w:t>
      </w:r>
      <w:r w:rsidR="004A2D09" w:rsidRPr="0054257E">
        <w:rPr>
          <w:rFonts w:asciiTheme="minorHAnsi" w:hAnsiTheme="minorHAnsi"/>
          <w:color w:val="auto"/>
          <w:szCs w:val="24"/>
        </w:rPr>
        <w:t xml:space="preserve"> recommends an initial TDRL rating of 50% in retroactive compliance with VASRD §4.129 as DOD-</w:t>
      </w:r>
      <w:r w:rsidR="004A2D09">
        <w:rPr>
          <w:rFonts w:asciiTheme="minorHAnsi" w:hAnsiTheme="minorHAnsi"/>
          <w:color w:val="auto"/>
          <w:szCs w:val="24"/>
        </w:rPr>
        <w:t>directed</w:t>
      </w:r>
      <w:r w:rsidR="004A2D09" w:rsidRPr="0054257E">
        <w:rPr>
          <w:rFonts w:asciiTheme="minorHAnsi" w:hAnsiTheme="minorHAnsi"/>
          <w:color w:val="auto"/>
          <w:szCs w:val="24"/>
        </w:rPr>
        <w:t xml:space="preserve"> and a 30%</w:t>
      </w:r>
      <w:r w:rsidR="004A2D09" w:rsidRPr="00AE3316">
        <w:rPr>
          <w:rFonts w:asciiTheme="minorHAnsi" w:hAnsiTheme="minorHAnsi"/>
          <w:color w:val="auto"/>
          <w:szCs w:val="24"/>
        </w:rPr>
        <w:t xml:space="preserve"> permanent rating at </w:t>
      </w:r>
      <w:r w:rsidR="004A2D09">
        <w:rPr>
          <w:rFonts w:asciiTheme="minorHAnsi" w:hAnsiTheme="minorHAnsi"/>
          <w:color w:val="auto"/>
          <w:szCs w:val="24"/>
        </w:rPr>
        <w:t>six</w:t>
      </w:r>
      <w:r w:rsidR="004A2D09" w:rsidRPr="00AE3316">
        <w:rPr>
          <w:rFonts w:asciiTheme="minorHAnsi" w:hAnsiTheme="minorHAnsi"/>
          <w:color w:val="auto"/>
          <w:szCs w:val="24"/>
        </w:rPr>
        <w:t xml:space="preserve"> months IAW VASRD §4.130.</w:t>
      </w:r>
      <w:r w:rsidR="0037162F">
        <w:rPr>
          <w:rFonts w:asciiTheme="minorHAnsi" w:hAnsiTheme="minorHAnsi"/>
          <w:color w:val="auto"/>
          <w:szCs w:val="24"/>
        </w:rPr>
        <w:t xml:space="preserve">  In the matter of the </w:t>
      </w:r>
      <w:r w:rsidR="006960BC">
        <w:rPr>
          <w:rFonts w:asciiTheme="minorHAnsi" w:hAnsiTheme="minorHAnsi"/>
          <w:color w:val="auto"/>
          <w:szCs w:val="24"/>
        </w:rPr>
        <w:t>h</w:t>
      </w:r>
      <w:r w:rsidR="0037162F" w:rsidRPr="008D404E">
        <w:rPr>
          <w:rFonts w:asciiTheme="minorHAnsi" w:hAnsiTheme="minorHAnsi"/>
          <w:color w:val="auto"/>
          <w:szCs w:val="24"/>
        </w:rPr>
        <w:t>eadache</w:t>
      </w:r>
      <w:r w:rsidR="006960BC">
        <w:rPr>
          <w:rFonts w:asciiTheme="minorHAnsi" w:hAnsiTheme="minorHAnsi"/>
          <w:color w:val="auto"/>
          <w:szCs w:val="24"/>
        </w:rPr>
        <w:t xml:space="preserve"> condition d</w:t>
      </w:r>
      <w:r w:rsidR="0037162F" w:rsidRPr="008D404E">
        <w:rPr>
          <w:rFonts w:asciiTheme="minorHAnsi" w:hAnsiTheme="minorHAnsi"/>
          <w:color w:val="auto"/>
          <w:szCs w:val="24"/>
        </w:rPr>
        <w:t>ue to TBI</w:t>
      </w:r>
      <w:r w:rsidR="006961F4">
        <w:rPr>
          <w:rFonts w:asciiTheme="minorHAnsi" w:hAnsiTheme="minorHAnsi"/>
          <w:color w:val="auto"/>
          <w:szCs w:val="24"/>
        </w:rPr>
        <w:t>,</w:t>
      </w:r>
      <w:r w:rsidR="0037162F">
        <w:rPr>
          <w:rFonts w:asciiTheme="minorHAnsi" w:hAnsiTheme="minorHAnsi"/>
          <w:color w:val="auto"/>
          <w:szCs w:val="24"/>
        </w:rPr>
        <w:t xml:space="preserve"> the </w:t>
      </w:r>
      <w:r w:rsidR="0037162F" w:rsidRPr="00B4203E">
        <w:rPr>
          <w:rFonts w:asciiTheme="minorHAnsi" w:hAnsiTheme="minorHAnsi"/>
          <w:color w:val="auto"/>
          <w:szCs w:val="24"/>
        </w:rPr>
        <w:t xml:space="preserve">Board </w:t>
      </w:r>
      <w:r w:rsidR="00E26272" w:rsidRPr="00B4203E">
        <w:rPr>
          <w:rFonts w:asciiTheme="minorHAnsi" w:hAnsiTheme="minorHAnsi"/>
          <w:color w:val="auto"/>
          <w:szCs w:val="24"/>
        </w:rPr>
        <w:t xml:space="preserve">unanimously </w:t>
      </w:r>
      <w:r w:rsidR="0037162F" w:rsidRPr="00B4203E">
        <w:rPr>
          <w:rFonts w:asciiTheme="minorHAnsi" w:hAnsiTheme="minorHAnsi"/>
          <w:color w:val="auto"/>
          <w:szCs w:val="24"/>
        </w:rPr>
        <w:t>recommends that this condition be considered separately as a residual of TBI (</w:t>
      </w:r>
      <w:r w:rsidR="006961F4" w:rsidRPr="00B4203E">
        <w:rPr>
          <w:rFonts w:asciiTheme="minorHAnsi" w:hAnsiTheme="minorHAnsi"/>
          <w:color w:val="auto"/>
          <w:szCs w:val="24"/>
        </w:rPr>
        <w:t xml:space="preserve">code 8045-8100, headache condition due </w:t>
      </w:r>
      <w:r w:rsidR="0037162F" w:rsidRPr="00B4203E">
        <w:rPr>
          <w:rFonts w:asciiTheme="minorHAnsi" w:hAnsiTheme="minorHAnsi"/>
          <w:color w:val="auto"/>
          <w:szCs w:val="24"/>
        </w:rPr>
        <w:t xml:space="preserve">to TBI) with a rating of </w:t>
      </w:r>
      <w:r w:rsidR="007F2964" w:rsidRPr="00B4203E">
        <w:rPr>
          <w:rFonts w:asciiTheme="minorHAnsi" w:hAnsiTheme="minorHAnsi"/>
          <w:color w:val="auto"/>
          <w:szCs w:val="24"/>
        </w:rPr>
        <w:t>0%.</w:t>
      </w:r>
      <w:r w:rsidR="00BE6218" w:rsidRPr="00B4203E">
        <w:rPr>
          <w:rFonts w:asciiTheme="minorHAnsi" w:hAnsiTheme="minorHAnsi"/>
          <w:color w:val="auto"/>
          <w:szCs w:val="24"/>
        </w:rPr>
        <w:t xml:space="preserve">  The Board unanimously agrees</w:t>
      </w:r>
      <w:r w:rsidR="00BE6218" w:rsidRPr="00CD15BE">
        <w:rPr>
          <w:rFonts w:asciiTheme="minorHAnsi" w:hAnsiTheme="minorHAnsi"/>
          <w:color w:val="auto"/>
          <w:szCs w:val="24"/>
        </w:rPr>
        <w:t xml:space="preserve"> that there w</w:t>
      </w:r>
      <w:r w:rsidR="00BE6218">
        <w:rPr>
          <w:rFonts w:asciiTheme="minorHAnsi" w:hAnsiTheme="minorHAnsi"/>
          <w:color w:val="auto"/>
          <w:szCs w:val="24"/>
        </w:rPr>
        <w:t>ere</w:t>
      </w:r>
      <w:r w:rsidR="00BE6218" w:rsidRPr="00CD15BE">
        <w:rPr>
          <w:rFonts w:asciiTheme="minorHAnsi" w:hAnsiTheme="minorHAnsi"/>
          <w:color w:val="auto"/>
          <w:szCs w:val="24"/>
        </w:rPr>
        <w:t xml:space="preserve"> no other condition</w:t>
      </w:r>
      <w:r w:rsidR="00BE6218">
        <w:rPr>
          <w:rFonts w:asciiTheme="minorHAnsi" w:hAnsiTheme="minorHAnsi"/>
          <w:color w:val="auto"/>
          <w:szCs w:val="24"/>
        </w:rPr>
        <w:t>s</w:t>
      </w:r>
      <w:r w:rsidR="00BE6218" w:rsidRPr="00CD15BE">
        <w:rPr>
          <w:rFonts w:asciiTheme="minorHAnsi" w:hAnsiTheme="minorHAnsi"/>
          <w:color w:val="auto"/>
          <w:szCs w:val="24"/>
        </w:rPr>
        <w:t xml:space="preserve"> eligible for </w:t>
      </w:r>
      <w:r w:rsidR="00BE6218">
        <w:rPr>
          <w:rFonts w:asciiTheme="minorHAnsi" w:hAnsiTheme="minorHAnsi"/>
          <w:color w:val="auto"/>
          <w:szCs w:val="24"/>
        </w:rPr>
        <w:t>Board consideration</w:t>
      </w:r>
      <w:r w:rsidR="00BE6218" w:rsidRPr="00CD15BE">
        <w:rPr>
          <w:rFonts w:asciiTheme="minorHAnsi" w:hAnsiTheme="minorHAnsi"/>
          <w:color w:val="auto"/>
          <w:szCs w:val="24"/>
        </w:rPr>
        <w:t xml:space="preserve"> which </w:t>
      </w:r>
      <w:r w:rsidR="00BE6218">
        <w:rPr>
          <w:rFonts w:asciiTheme="minorHAnsi" w:hAnsiTheme="minorHAnsi"/>
          <w:color w:val="auto"/>
          <w:szCs w:val="24"/>
        </w:rPr>
        <w:t>could be recommended</w:t>
      </w:r>
      <w:r w:rsidR="00BE6218" w:rsidRPr="00CD15BE">
        <w:rPr>
          <w:rFonts w:asciiTheme="minorHAnsi" w:hAnsiTheme="minorHAnsi"/>
          <w:color w:val="auto"/>
          <w:szCs w:val="24"/>
        </w:rPr>
        <w:t xml:space="preserve"> as additionally unfitting</w:t>
      </w:r>
      <w:r w:rsidR="00BE6218">
        <w:rPr>
          <w:rFonts w:asciiTheme="minorHAnsi" w:hAnsiTheme="minorHAnsi"/>
          <w:color w:val="auto"/>
          <w:szCs w:val="24"/>
        </w:rPr>
        <w:t xml:space="preserve"> for rating at separation</w:t>
      </w:r>
      <w:r w:rsidR="00BE6218" w:rsidRPr="00CD15BE">
        <w:rPr>
          <w:rFonts w:asciiTheme="minorHAnsi" w:hAnsiTheme="minorHAnsi"/>
          <w:color w:val="auto"/>
          <w:szCs w:val="24"/>
        </w:rPr>
        <w:t>.</w:t>
      </w:r>
    </w:p>
    <w:p w:rsidR="00F1737C" w:rsidRPr="00391858" w:rsidRDefault="00F1737C" w:rsidP="00B4203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B4203E">
      <w:pPr>
        <w:spacing w:line="240" w:lineRule="exact"/>
        <w:jc w:val="both"/>
        <w:rPr>
          <w:rFonts w:asciiTheme="minorHAnsi" w:hAnsiTheme="minorHAnsi"/>
          <w:b/>
          <w:color w:val="auto"/>
          <w:szCs w:val="24"/>
          <w:u w:val="single"/>
        </w:rPr>
      </w:pPr>
    </w:p>
    <w:p w:rsidR="00DF071B" w:rsidRPr="00DF3061" w:rsidRDefault="00C56FC8" w:rsidP="00B4203E">
      <w:pPr>
        <w:spacing w:line="240" w:lineRule="exact"/>
        <w:jc w:val="both"/>
        <w:rPr>
          <w:rFonts w:asciiTheme="minorHAnsi" w:hAnsiTheme="minorHAnsi"/>
          <w:color w:val="auto"/>
        </w:rPr>
      </w:pPr>
      <w:r w:rsidRPr="008F6F11">
        <w:rPr>
          <w:rFonts w:asciiTheme="minorHAnsi" w:hAnsiTheme="minorHAnsi"/>
          <w:color w:val="auto"/>
          <w:szCs w:val="24"/>
          <w:u w:val="single"/>
        </w:rPr>
        <w:t>RECOMMENDATION</w:t>
      </w:r>
      <w:r w:rsidRPr="008F6F11">
        <w:rPr>
          <w:rFonts w:asciiTheme="minorHAnsi" w:hAnsiTheme="minorHAnsi"/>
          <w:color w:val="auto"/>
          <w:szCs w:val="24"/>
        </w:rPr>
        <w:t>:</w:t>
      </w:r>
      <w:r w:rsidRPr="008F6F11">
        <w:rPr>
          <w:rFonts w:asciiTheme="minorHAnsi" w:hAnsiTheme="minorHAnsi"/>
          <w:color w:val="000080"/>
          <w:szCs w:val="24"/>
        </w:rPr>
        <w:t xml:space="preserve"> </w:t>
      </w:r>
      <w:r w:rsidR="00DF3061" w:rsidRPr="008F6F11">
        <w:rPr>
          <w:rFonts w:asciiTheme="minorHAnsi" w:hAnsiTheme="minorHAnsi"/>
          <w:color w:val="auto"/>
        </w:rPr>
        <w:t xml:space="preserve"> </w:t>
      </w:r>
      <w:r w:rsidR="00DF071B" w:rsidRPr="008F6F11">
        <w:rPr>
          <w:rFonts w:asciiTheme="minorHAnsi" w:hAnsiTheme="minorHAnsi"/>
          <w:color w:val="auto"/>
          <w:szCs w:val="24"/>
        </w:rPr>
        <w:t xml:space="preserve">The Board recommends that the CI’s prior separation be modified to reflect that the CI was placed on the TDRL at 50% for a period of </w:t>
      </w:r>
      <w:r w:rsidR="00A83C15" w:rsidRPr="008F6F11">
        <w:rPr>
          <w:rFonts w:asciiTheme="minorHAnsi" w:hAnsiTheme="minorHAnsi"/>
          <w:color w:val="auto"/>
          <w:szCs w:val="24"/>
        </w:rPr>
        <w:t>six</w:t>
      </w:r>
      <w:r w:rsidR="00DF071B" w:rsidRPr="008F6F11">
        <w:rPr>
          <w:rFonts w:asciiTheme="minorHAnsi" w:hAnsiTheme="minorHAnsi"/>
          <w:color w:val="auto"/>
          <w:szCs w:val="24"/>
        </w:rPr>
        <w:t xml:space="preserve"> months (PTSD at 50% IAW </w:t>
      </w:r>
      <w:r w:rsidR="00DF071B" w:rsidRPr="008F6F11">
        <w:rPr>
          <w:rFonts w:asciiTheme="minorHAnsi" w:hAnsiTheme="minorHAnsi"/>
          <w:color w:val="auto"/>
          <w:szCs w:val="24"/>
        </w:rPr>
        <w:lastRenderedPageBreak/>
        <w:t xml:space="preserve">§4.129 and </w:t>
      </w:r>
      <w:proofErr w:type="gramStart"/>
      <w:r w:rsidR="00DF071B" w:rsidRPr="008F6F11">
        <w:rPr>
          <w:rFonts w:asciiTheme="minorHAnsi" w:hAnsiTheme="minorHAnsi"/>
          <w:color w:val="auto"/>
          <w:szCs w:val="24"/>
        </w:rPr>
        <w:t>DoD</w:t>
      </w:r>
      <w:proofErr w:type="gramEnd"/>
      <w:r w:rsidR="00DF071B" w:rsidRPr="008F6F11">
        <w:rPr>
          <w:rFonts w:asciiTheme="minorHAnsi" w:hAnsiTheme="minorHAnsi"/>
          <w:color w:val="auto"/>
          <w:szCs w:val="24"/>
        </w:rPr>
        <w:t xml:space="preserve"> direction) and then </w:t>
      </w:r>
      <w:r w:rsidR="008D404E" w:rsidRPr="008F6F11">
        <w:rPr>
          <w:rFonts w:asciiTheme="minorHAnsi" w:hAnsiTheme="minorHAnsi"/>
          <w:color w:val="auto"/>
          <w:szCs w:val="24"/>
        </w:rPr>
        <w:t xml:space="preserve">a permanent combined </w:t>
      </w:r>
      <w:r w:rsidR="00B4203E">
        <w:rPr>
          <w:rFonts w:asciiTheme="minorHAnsi" w:hAnsiTheme="minorHAnsi"/>
          <w:color w:val="auto"/>
          <w:szCs w:val="24"/>
        </w:rPr>
        <w:t>3</w:t>
      </w:r>
      <w:r w:rsidR="008D404E" w:rsidRPr="008F6F11">
        <w:rPr>
          <w:rFonts w:asciiTheme="minorHAnsi" w:hAnsiTheme="minorHAnsi"/>
          <w:color w:val="auto"/>
          <w:szCs w:val="24"/>
        </w:rPr>
        <w:t xml:space="preserve">0% disability retirement as </w:t>
      </w:r>
      <w:r w:rsidR="006961F4">
        <w:rPr>
          <w:rFonts w:asciiTheme="minorHAnsi" w:hAnsiTheme="minorHAnsi"/>
          <w:color w:val="auto"/>
          <w:szCs w:val="24"/>
        </w:rPr>
        <w:t>follows</w:t>
      </w:r>
      <w:r w:rsidR="008D404E" w:rsidRPr="008F6F11">
        <w:rPr>
          <w:rFonts w:asciiTheme="minorHAnsi" w:hAnsiTheme="minorHAnsi"/>
          <w:color w:val="auto"/>
          <w:szCs w:val="24"/>
        </w:rPr>
        <w:t>.</w:t>
      </w:r>
    </w:p>
    <w:p w:rsidR="00DB0015" w:rsidRPr="00AF01B2" w:rsidRDefault="00DB0015" w:rsidP="00B4203E">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50"/>
        <w:gridCol w:w="1710"/>
        <w:gridCol w:w="1170"/>
        <w:gridCol w:w="1530"/>
      </w:tblGrid>
      <w:tr w:rsidR="00DB0015" w:rsidRPr="00AF01B2" w:rsidTr="00EF6C4A">
        <w:trPr>
          <w:jc w:val="center"/>
        </w:trPr>
        <w:tc>
          <w:tcPr>
            <w:tcW w:w="495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DB0015" w:rsidRPr="008F6F11" w:rsidRDefault="00DB0015" w:rsidP="00EF6C4A">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TDRL RATING</w:t>
            </w:r>
          </w:p>
        </w:tc>
        <w:tc>
          <w:tcPr>
            <w:tcW w:w="1530" w:type="dxa"/>
            <w:shd w:val="pct15" w:color="auto" w:fill="auto"/>
            <w:vAlign w:val="center"/>
          </w:tcPr>
          <w:p w:rsidR="00DB0015" w:rsidRPr="008F6F11" w:rsidRDefault="00DB0015" w:rsidP="00EF6C4A">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PERMANENT</w:t>
            </w:r>
          </w:p>
          <w:p w:rsidR="00DB0015" w:rsidRPr="008F6F11" w:rsidRDefault="00DB0015" w:rsidP="00EF6C4A">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RATING</w:t>
            </w:r>
          </w:p>
        </w:tc>
      </w:tr>
      <w:tr w:rsidR="00DB0015" w:rsidRPr="00AF01B2" w:rsidTr="006961F4">
        <w:trPr>
          <w:trHeight w:val="314"/>
          <w:jc w:val="center"/>
        </w:trPr>
        <w:tc>
          <w:tcPr>
            <w:tcW w:w="4950" w:type="dxa"/>
            <w:vAlign w:val="center"/>
          </w:tcPr>
          <w:p w:rsidR="00DB0015" w:rsidRPr="00AF01B2" w:rsidRDefault="003571DE" w:rsidP="006961F4">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Cognitive Disorder Due to TBI/</w:t>
            </w:r>
            <w:r w:rsidR="00DB0015" w:rsidRPr="00AF01B2">
              <w:rPr>
                <w:rFonts w:asciiTheme="minorHAnsi" w:hAnsiTheme="minorHAnsi"/>
                <w:color w:val="auto"/>
                <w:szCs w:val="24"/>
              </w:rPr>
              <w:t>P</w:t>
            </w:r>
            <w:r w:rsidR="006961F4">
              <w:rPr>
                <w:rFonts w:asciiTheme="minorHAnsi" w:hAnsiTheme="minorHAnsi"/>
                <w:color w:val="auto"/>
                <w:szCs w:val="24"/>
              </w:rPr>
              <w:t>TSD</w:t>
            </w:r>
          </w:p>
        </w:tc>
        <w:tc>
          <w:tcPr>
            <w:tcW w:w="1710" w:type="dxa"/>
            <w:tcBorders>
              <w:bottom w:val="single" w:sz="4" w:space="0" w:color="000000"/>
            </w:tcBorders>
            <w:vAlign w:val="center"/>
          </w:tcPr>
          <w:p w:rsidR="00DB0015" w:rsidRPr="00AF01B2" w:rsidRDefault="000E2648"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r w:rsidR="00DB0015" w:rsidRPr="00AF01B2">
              <w:rPr>
                <w:rFonts w:asciiTheme="minorHAnsi" w:hAnsiTheme="minorHAnsi"/>
                <w:color w:val="auto"/>
                <w:szCs w:val="24"/>
              </w:rPr>
              <w:t>9411</w:t>
            </w:r>
          </w:p>
        </w:tc>
        <w:tc>
          <w:tcPr>
            <w:tcW w:w="1170" w:type="dxa"/>
            <w:tcBorders>
              <w:bottom w:val="single" w:sz="4" w:space="0" w:color="000000"/>
            </w:tcBorders>
            <w:vAlign w:val="center"/>
          </w:tcPr>
          <w:p w:rsidR="00DB0015" w:rsidRPr="008F6F11" w:rsidRDefault="00DB0015" w:rsidP="00EF6C4A">
            <w:pPr>
              <w:tabs>
                <w:tab w:val="left" w:pos="288"/>
                <w:tab w:val="left" w:pos="4752"/>
              </w:tabs>
              <w:spacing w:line="240" w:lineRule="exact"/>
              <w:jc w:val="center"/>
              <w:rPr>
                <w:rFonts w:asciiTheme="minorHAnsi" w:hAnsiTheme="minorHAnsi"/>
                <w:color w:val="auto"/>
                <w:szCs w:val="24"/>
              </w:rPr>
            </w:pPr>
            <w:r w:rsidRPr="008F6F11">
              <w:rPr>
                <w:rFonts w:asciiTheme="minorHAnsi" w:hAnsiTheme="minorHAnsi"/>
                <w:color w:val="auto"/>
                <w:szCs w:val="24"/>
              </w:rPr>
              <w:t>50%</w:t>
            </w:r>
          </w:p>
        </w:tc>
        <w:tc>
          <w:tcPr>
            <w:tcW w:w="1530" w:type="dxa"/>
            <w:tcBorders>
              <w:bottom w:val="single" w:sz="4" w:space="0" w:color="000000"/>
            </w:tcBorders>
            <w:vAlign w:val="center"/>
          </w:tcPr>
          <w:p w:rsidR="00DB0015" w:rsidRPr="008F6F11" w:rsidRDefault="00E16720" w:rsidP="00EF6C4A">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DB0015" w:rsidRPr="008F6F11">
              <w:rPr>
                <w:rFonts w:asciiTheme="minorHAnsi" w:hAnsiTheme="minorHAnsi"/>
                <w:color w:val="auto"/>
                <w:szCs w:val="24"/>
              </w:rPr>
              <w:t>0%</w:t>
            </w:r>
          </w:p>
        </w:tc>
      </w:tr>
      <w:tr w:rsidR="002932B8" w:rsidRPr="00AF01B2" w:rsidTr="006961F4">
        <w:trPr>
          <w:trHeight w:val="332"/>
          <w:jc w:val="center"/>
        </w:trPr>
        <w:tc>
          <w:tcPr>
            <w:tcW w:w="4950" w:type="dxa"/>
            <w:vAlign w:val="center"/>
          </w:tcPr>
          <w:p w:rsidR="002932B8" w:rsidRPr="008D404E" w:rsidRDefault="008D404E" w:rsidP="00EF6C4A">
            <w:pPr>
              <w:tabs>
                <w:tab w:val="left" w:pos="288"/>
                <w:tab w:val="left" w:pos="3538"/>
              </w:tabs>
              <w:spacing w:line="240" w:lineRule="exact"/>
              <w:rPr>
                <w:rFonts w:asciiTheme="minorHAnsi" w:hAnsiTheme="minorHAnsi"/>
                <w:color w:val="auto"/>
                <w:szCs w:val="24"/>
                <w:highlight w:val="yellow"/>
              </w:rPr>
            </w:pPr>
            <w:r w:rsidRPr="008D404E">
              <w:rPr>
                <w:rFonts w:asciiTheme="minorHAnsi" w:hAnsiTheme="minorHAnsi"/>
                <w:color w:val="auto"/>
                <w:szCs w:val="24"/>
              </w:rPr>
              <w:t>Headache Condition Due to TBI</w:t>
            </w:r>
          </w:p>
        </w:tc>
        <w:tc>
          <w:tcPr>
            <w:tcW w:w="1710" w:type="dxa"/>
            <w:tcBorders>
              <w:bottom w:val="single" w:sz="4" w:space="0" w:color="000000"/>
            </w:tcBorders>
            <w:vAlign w:val="center"/>
          </w:tcPr>
          <w:p w:rsidR="002932B8" w:rsidRPr="00F427C4" w:rsidRDefault="008D404E" w:rsidP="00EF6C4A">
            <w:pPr>
              <w:tabs>
                <w:tab w:val="left" w:pos="288"/>
                <w:tab w:val="left" w:pos="4752"/>
              </w:tabs>
              <w:spacing w:line="240" w:lineRule="exact"/>
              <w:jc w:val="center"/>
              <w:rPr>
                <w:rFonts w:asciiTheme="minorHAnsi" w:hAnsiTheme="minorHAnsi"/>
                <w:color w:val="auto"/>
                <w:szCs w:val="24"/>
                <w:highlight w:val="yellow"/>
              </w:rPr>
            </w:pPr>
            <w:r>
              <w:rPr>
                <w:rFonts w:asciiTheme="minorHAnsi" w:hAnsiTheme="minorHAnsi"/>
                <w:color w:val="auto"/>
                <w:szCs w:val="24"/>
              </w:rPr>
              <w:t>8045-</w:t>
            </w:r>
            <w:r w:rsidRPr="00D67B1A">
              <w:rPr>
                <w:rFonts w:asciiTheme="minorHAnsi" w:hAnsiTheme="minorHAnsi"/>
                <w:color w:val="auto"/>
                <w:szCs w:val="24"/>
              </w:rPr>
              <w:t>81</w:t>
            </w:r>
            <w:r>
              <w:rPr>
                <w:rFonts w:asciiTheme="minorHAnsi" w:hAnsiTheme="minorHAnsi"/>
                <w:color w:val="auto"/>
                <w:szCs w:val="24"/>
              </w:rPr>
              <w:t>00</w:t>
            </w:r>
          </w:p>
        </w:tc>
        <w:tc>
          <w:tcPr>
            <w:tcW w:w="1170" w:type="dxa"/>
            <w:tcBorders>
              <w:bottom w:val="single" w:sz="4" w:space="0" w:color="000000"/>
            </w:tcBorders>
            <w:shd w:val="clear" w:color="auto" w:fill="FFFFFF" w:themeFill="background1"/>
            <w:vAlign w:val="center"/>
          </w:tcPr>
          <w:p w:rsidR="002932B8" w:rsidRPr="008F6F11" w:rsidRDefault="00D2671E" w:rsidP="00EF6C4A">
            <w:pPr>
              <w:tabs>
                <w:tab w:val="left" w:pos="288"/>
                <w:tab w:val="left" w:pos="4752"/>
              </w:tabs>
              <w:spacing w:line="240" w:lineRule="exact"/>
              <w:jc w:val="center"/>
              <w:rPr>
                <w:rFonts w:asciiTheme="minorHAnsi" w:hAnsiTheme="minorHAnsi"/>
                <w:color w:val="auto"/>
                <w:szCs w:val="24"/>
              </w:rPr>
            </w:pPr>
            <w:r w:rsidRPr="008F6F11">
              <w:rPr>
                <w:rFonts w:asciiTheme="minorHAnsi" w:hAnsiTheme="minorHAnsi"/>
                <w:color w:val="auto"/>
                <w:szCs w:val="24"/>
              </w:rPr>
              <w:t>0%</w:t>
            </w:r>
          </w:p>
        </w:tc>
        <w:tc>
          <w:tcPr>
            <w:tcW w:w="1530" w:type="dxa"/>
            <w:tcBorders>
              <w:bottom w:val="single" w:sz="4" w:space="0" w:color="000000"/>
            </w:tcBorders>
            <w:vAlign w:val="center"/>
          </w:tcPr>
          <w:p w:rsidR="002932B8" w:rsidRPr="008F6F11" w:rsidRDefault="002932B8" w:rsidP="00EF6C4A">
            <w:pPr>
              <w:tabs>
                <w:tab w:val="left" w:pos="288"/>
                <w:tab w:val="left" w:pos="4752"/>
              </w:tabs>
              <w:spacing w:line="240" w:lineRule="exact"/>
              <w:jc w:val="center"/>
              <w:rPr>
                <w:rFonts w:asciiTheme="minorHAnsi" w:hAnsiTheme="minorHAnsi"/>
                <w:color w:val="auto"/>
                <w:szCs w:val="24"/>
              </w:rPr>
            </w:pPr>
            <w:r w:rsidRPr="008F6F11">
              <w:rPr>
                <w:rFonts w:asciiTheme="minorHAnsi" w:hAnsiTheme="minorHAnsi"/>
                <w:color w:val="auto"/>
                <w:szCs w:val="24"/>
              </w:rPr>
              <w:t>0%</w:t>
            </w:r>
          </w:p>
        </w:tc>
      </w:tr>
      <w:tr w:rsidR="00DB0015" w:rsidRPr="00AF01B2" w:rsidTr="00EF6C4A">
        <w:tblPrEx>
          <w:tblLook w:val="0000"/>
        </w:tblPrEx>
        <w:trPr>
          <w:gridBefore w:val="1"/>
          <w:wBefore w:w="4950" w:type="dxa"/>
          <w:trHeight w:val="188"/>
          <w:jc w:val="center"/>
        </w:trPr>
        <w:tc>
          <w:tcPr>
            <w:tcW w:w="1710" w:type="dxa"/>
            <w:tcBorders>
              <w:left w:val="single" w:sz="4" w:space="0" w:color="auto"/>
            </w:tcBorders>
            <w:shd w:val="pct15" w:color="auto" w:fill="auto"/>
            <w:vAlign w:val="center"/>
          </w:tcPr>
          <w:p w:rsidR="00DB0015" w:rsidRPr="00AF01B2" w:rsidRDefault="00DB0015" w:rsidP="00EF6C4A">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DB0015" w:rsidRPr="008F6F11" w:rsidRDefault="00C276CD" w:rsidP="00EF6C4A">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5</w:t>
            </w:r>
            <w:r w:rsidR="007E71B1" w:rsidRPr="008F6F11">
              <w:rPr>
                <w:rFonts w:asciiTheme="minorHAnsi" w:hAnsiTheme="minorHAnsi"/>
                <w:b/>
                <w:color w:val="auto"/>
                <w:szCs w:val="24"/>
              </w:rPr>
              <w:t>0</w:t>
            </w:r>
            <w:r w:rsidR="00DB0015" w:rsidRPr="008F6F11">
              <w:rPr>
                <w:rFonts w:asciiTheme="minorHAnsi" w:hAnsiTheme="minorHAnsi"/>
                <w:b/>
                <w:color w:val="auto"/>
                <w:szCs w:val="24"/>
              </w:rPr>
              <w:t>%</w:t>
            </w:r>
          </w:p>
        </w:tc>
        <w:tc>
          <w:tcPr>
            <w:tcW w:w="1530" w:type="dxa"/>
            <w:shd w:val="pct15" w:color="auto" w:fill="auto"/>
            <w:vAlign w:val="center"/>
          </w:tcPr>
          <w:p w:rsidR="00DB0015" w:rsidRPr="008F6F11" w:rsidRDefault="00E16720" w:rsidP="00EF6C4A">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w:t>
            </w:r>
            <w:r w:rsidR="007E71B1" w:rsidRPr="008F6F11">
              <w:rPr>
                <w:rFonts w:asciiTheme="minorHAnsi" w:hAnsiTheme="minorHAnsi"/>
                <w:b/>
                <w:color w:val="auto"/>
                <w:szCs w:val="24"/>
              </w:rPr>
              <w:t>0</w:t>
            </w:r>
            <w:r w:rsidR="00DB0015" w:rsidRPr="008F6F11">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83519A">
        <w:rPr>
          <w:rFonts w:asciiTheme="minorHAnsi" w:hAnsiTheme="minorHAnsi"/>
          <w:color w:val="auto"/>
        </w:rPr>
        <w:t>100108</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6961F4">
        <w:rPr>
          <w:rFonts w:asciiTheme="minorHAnsi" w:hAnsiTheme="minorHAnsi"/>
          <w:color w:val="auto"/>
        </w:rPr>
        <w:t>President</w:t>
      </w:r>
    </w:p>
    <w:p w:rsidR="00B522CD"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5C7FAD" w:rsidRDefault="005C7FAD"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7FAD" w:rsidRPr="00006186" w:rsidRDefault="005C7FAD"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7FAD" w:rsidRDefault="005C7FAD">
      <w:pPr>
        <w:rPr>
          <w:rFonts w:asciiTheme="minorHAnsi" w:hAnsiTheme="minorHAnsi"/>
          <w:color w:val="auto"/>
        </w:rPr>
      </w:pPr>
      <w:r>
        <w:rPr>
          <w:rFonts w:asciiTheme="minorHAnsi" w:hAnsiTheme="minorHAnsi"/>
          <w:color w:val="auto"/>
        </w:rPr>
        <w:br w:type="page"/>
      </w:r>
    </w:p>
    <w:p w:rsidR="00A44141" w:rsidRDefault="00A44141"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5C7FAD" w:rsidRPr="005C7FAD" w:rsidRDefault="005C7FAD" w:rsidP="005C7FAD">
      <w:pPr>
        <w:rPr>
          <w:color w:val="auto"/>
        </w:rPr>
      </w:pPr>
      <w:r w:rsidRPr="005C7FAD">
        <w:rPr>
          <w:color w:val="auto"/>
        </w:rPr>
        <w:t>MEMORANDUM FOR DEPUTY COMMANDANT, MANPOWER &amp; RESERVE AFFAIRS</w:t>
      </w:r>
    </w:p>
    <w:p w:rsidR="005C7FAD" w:rsidRPr="005C7FAD" w:rsidRDefault="005C7FAD" w:rsidP="005C7FAD">
      <w:pPr>
        <w:rPr>
          <w:color w:val="auto"/>
        </w:rPr>
      </w:pPr>
    </w:p>
    <w:p w:rsidR="005C7FAD" w:rsidRPr="005C7FAD" w:rsidRDefault="005C7FAD" w:rsidP="005C7FAD">
      <w:pPr>
        <w:rPr>
          <w:color w:val="auto"/>
        </w:rPr>
      </w:pPr>
      <w:proofErr w:type="spellStart"/>
      <w:r w:rsidRPr="005C7FAD">
        <w:rPr>
          <w:color w:val="auto"/>
        </w:rPr>
        <w:t>Subj</w:t>
      </w:r>
      <w:proofErr w:type="spellEnd"/>
      <w:r w:rsidRPr="005C7FAD">
        <w:rPr>
          <w:color w:val="auto"/>
        </w:rPr>
        <w:t>:  PHYSICAL DISABILITY BOARD OF REVIEW (PDBR) RECOMMENDATION</w:t>
      </w:r>
    </w:p>
    <w:p w:rsidR="005C7FAD" w:rsidRPr="005C7FAD" w:rsidRDefault="005C7FAD" w:rsidP="005C7FAD">
      <w:pPr>
        <w:tabs>
          <w:tab w:val="left" w:pos="630"/>
        </w:tabs>
        <w:rPr>
          <w:color w:val="auto"/>
        </w:rPr>
      </w:pPr>
      <w:r w:rsidRPr="005C7FAD">
        <w:rPr>
          <w:color w:val="auto"/>
        </w:rPr>
        <w:t xml:space="preserve">          </w:t>
      </w:r>
      <w:r w:rsidRPr="005C7FAD">
        <w:rPr>
          <w:color w:val="auto"/>
        </w:rPr>
        <w:tab/>
        <w:t xml:space="preserve">ICO </w:t>
      </w:r>
      <w:r>
        <w:rPr>
          <w:color w:val="auto"/>
        </w:rPr>
        <w:t>XXXXXX</w:t>
      </w:r>
      <w:r w:rsidRPr="005C7FAD">
        <w:rPr>
          <w:color w:val="auto"/>
        </w:rPr>
        <w:t xml:space="preserve">, FORMER USMC, XXX XX </w:t>
      </w:r>
      <w:r>
        <w:rPr>
          <w:color w:val="auto"/>
        </w:rPr>
        <w:t>XXXX</w:t>
      </w:r>
    </w:p>
    <w:p w:rsidR="005C7FAD" w:rsidRPr="005C7FAD" w:rsidRDefault="005C7FAD" w:rsidP="005C7FAD">
      <w:pPr>
        <w:rPr>
          <w:color w:val="auto"/>
        </w:rPr>
      </w:pPr>
    </w:p>
    <w:p w:rsidR="005C7FAD" w:rsidRPr="005C7FAD" w:rsidRDefault="005C7FAD" w:rsidP="005C7FAD">
      <w:pPr>
        <w:rPr>
          <w:color w:val="auto"/>
        </w:rPr>
      </w:pPr>
      <w:r w:rsidRPr="005C7FAD">
        <w:rPr>
          <w:color w:val="auto"/>
        </w:rPr>
        <w:t>Ref:   (a) DoDI 6040.44</w:t>
      </w:r>
    </w:p>
    <w:p w:rsidR="005C7FAD" w:rsidRPr="005C7FAD" w:rsidRDefault="005C7FAD" w:rsidP="005C7FAD">
      <w:pPr>
        <w:rPr>
          <w:color w:val="auto"/>
        </w:rPr>
      </w:pPr>
    </w:p>
    <w:p w:rsidR="005C7FAD" w:rsidRPr="005C7FAD" w:rsidRDefault="005C7FAD" w:rsidP="005C7FAD">
      <w:pPr>
        <w:rPr>
          <w:color w:val="auto"/>
        </w:rPr>
      </w:pPr>
      <w:r w:rsidRPr="005C7FAD">
        <w:rPr>
          <w:color w:val="auto"/>
        </w:rPr>
        <w:t>1.  I have reviewed the subject case pursuant to reference (a).  The subject member’s official records are to be corrected to reflect the following retroactive disposition:</w:t>
      </w:r>
    </w:p>
    <w:p w:rsidR="005C7FAD" w:rsidRPr="005C7FAD" w:rsidRDefault="005C7FAD" w:rsidP="005C7FAD">
      <w:pPr>
        <w:rPr>
          <w:color w:val="auto"/>
        </w:rPr>
      </w:pPr>
    </w:p>
    <w:p w:rsidR="005C7FAD" w:rsidRPr="005C7FAD" w:rsidRDefault="005C7FAD" w:rsidP="005C7FAD">
      <w:pPr>
        <w:rPr>
          <w:color w:val="auto"/>
        </w:rPr>
      </w:pPr>
      <w:r w:rsidRPr="005C7FAD">
        <w:rPr>
          <w:color w:val="auto"/>
        </w:rPr>
        <w:tab/>
        <w:t>a.  Separation from the naval service due to physical disability with placement on the Temporary Disability Retired List with a disability rating of 50 percent for the period 31 July 2008 thru 30 January 2009.</w:t>
      </w:r>
    </w:p>
    <w:p w:rsidR="005C7FAD" w:rsidRPr="005C7FAD" w:rsidRDefault="005C7FAD" w:rsidP="005C7FAD">
      <w:pPr>
        <w:rPr>
          <w:color w:val="auto"/>
        </w:rPr>
      </w:pPr>
    </w:p>
    <w:p w:rsidR="005C7FAD" w:rsidRPr="005C7FAD" w:rsidRDefault="005C7FAD" w:rsidP="005C7FAD">
      <w:pPr>
        <w:rPr>
          <w:color w:val="auto"/>
        </w:rPr>
      </w:pPr>
      <w:r w:rsidRPr="005C7FAD">
        <w:rPr>
          <w:color w:val="auto"/>
        </w:rPr>
        <w:tab/>
        <w:t>b. Final separation from Naval Service due to physical disability effective 31 January 2009 with a disability rating of 30 percent and placement on the Permanent Disability Retired List.</w:t>
      </w:r>
    </w:p>
    <w:p w:rsidR="005C7FAD" w:rsidRPr="005C7FAD" w:rsidRDefault="005C7FAD" w:rsidP="005C7FAD">
      <w:pPr>
        <w:rPr>
          <w:color w:val="auto"/>
        </w:rPr>
      </w:pPr>
    </w:p>
    <w:p w:rsidR="005C7FAD" w:rsidRPr="005C7FAD" w:rsidRDefault="005C7FAD" w:rsidP="005C7FAD">
      <w:pPr>
        <w:rPr>
          <w:color w:val="auto"/>
        </w:rPr>
      </w:pPr>
      <w:r w:rsidRPr="005C7FAD">
        <w:rPr>
          <w:color w:val="auto"/>
        </w:rPr>
        <w:t>2.  Please ensure all necessary actions are taken to implement this decision, including the recoupment of previously paid funds if appropriate, and notification to the subject member once those actions are completed.</w:t>
      </w:r>
    </w:p>
    <w:p w:rsidR="005C7FAD" w:rsidRPr="005C7FAD" w:rsidRDefault="005C7FAD" w:rsidP="005C7FAD">
      <w:pPr>
        <w:rPr>
          <w:color w:val="auto"/>
        </w:rPr>
      </w:pPr>
    </w:p>
    <w:p w:rsidR="005C7FAD" w:rsidRPr="005C7FAD" w:rsidRDefault="005C7FAD" w:rsidP="005C7FAD">
      <w:pPr>
        <w:rPr>
          <w:color w:val="auto"/>
        </w:rPr>
      </w:pPr>
    </w:p>
    <w:p w:rsidR="005C7FAD" w:rsidRPr="005C7FAD" w:rsidRDefault="005C7FAD" w:rsidP="005C7FAD">
      <w:pPr>
        <w:rPr>
          <w:color w:val="auto"/>
        </w:rPr>
      </w:pPr>
    </w:p>
    <w:p w:rsidR="005C7FAD" w:rsidRPr="005C7FAD" w:rsidRDefault="005C7FAD" w:rsidP="005C7FAD">
      <w:pPr>
        <w:tabs>
          <w:tab w:val="left" w:pos="4680"/>
        </w:tabs>
        <w:rPr>
          <w:color w:val="auto"/>
        </w:rPr>
      </w:pPr>
      <w:r w:rsidRPr="005C7FAD">
        <w:rPr>
          <w:color w:val="auto"/>
        </w:rPr>
        <w:tab/>
      </w:r>
    </w:p>
    <w:p w:rsidR="005C7FAD" w:rsidRPr="005C7FAD" w:rsidRDefault="005C7FAD" w:rsidP="005C7FAD">
      <w:pPr>
        <w:tabs>
          <w:tab w:val="left" w:pos="4680"/>
        </w:tabs>
        <w:rPr>
          <w:color w:val="auto"/>
        </w:rPr>
      </w:pPr>
      <w:r w:rsidRPr="005C7FAD">
        <w:rPr>
          <w:color w:val="auto"/>
        </w:rPr>
        <w:tab/>
        <w:t>Assistant General Counsel</w:t>
      </w:r>
    </w:p>
    <w:p w:rsidR="005C7FAD" w:rsidRPr="005C7FAD" w:rsidRDefault="005C7FAD" w:rsidP="005C7FAD">
      <w:pPr>
        <w:tabs>
          <w:tab w:val="left" w:pos="4680"/>
        </w:tabs>
        <w:rPr>
          <w:color w:val="auto"/>
        </w:rPr>
      </w:pPr>
      <w:r w:rsidRPr="005C7FAD">
        <w:rPr>
          <w:color w:val="auto"/>
        </w:rPr>
        <w:tab/>
        <w:t xml:space="preserve">  (Manpower &amp; Reserve Affairs)</w:t>
      </w:r>
    </w:p>
    <w:p w:rsidR="005C7FAD" w:rsidRDefault="005C7FAD" w:rsidP="005C7FAD"/>
    <w:p w:rsidR="001E6DD7" w:rsidRPr="0056482B" w:rsidRDefault="001E6DD7" w:rsidP="001E6DD7">
      <w:pPr>
        <w:tabs>
          <w:tab w:val="left" w:pos="720"/>
          <w:tab w:val="left" w:pos="1080"/>
          <w:tab w:val="left" w:pos="1340"/>
          <w:tab w:val="left" w:pos="1620"/>
          <w:tab w:val="right" w:leader="dot" w:pos="9180"/>
        </w:tabs>
        <w:rPr>
          <w:rFonts w:ascii="Times New Roman" w:hAnsi="Times New Roman"/>
          <w:szCs w:val="24"/>
        </w:rPr>
      </w:pPr>
    </w:p>
    <w:sectPr w:rsidR="001E6DD7" w:rsidRPr="0056482B"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74" w:rsidRDefault="00944E74">
      <w:r>
        <w:separator/>
      </w:r>
    </w:p>
  </w:endnote>
  <w:endnote w:type="continuationSeparator" w:id="0">
    <w:p w:rsidR="00944E74" w:rsidRDefault="00944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52BE8" w:rsidRPr="00684CE6" w:rsidRDefault="0009124A" w:rsidP="00F65ED5">
        <w:pPr>
          <w:pStyle w:val="Footer"/>
          <w:jc w:val="right"/>
          <w:rPr>
            <w:color w:val="auto"/>
          </w:rPr>
        </w:pPr>
        <w:r w:rsidRPr="0083519A">
          <w:rPr>
            <w:color w:val="auto"/>
          </w:rPr>
          <w:fldChar w:fldCharType="begin"/>
        </w:r>
        <w:r w:rsidR="00352BE8" w:rsidRPr="0083519A">
          <w:rPr>
            <w:color w:val="auto"/>
          </w:rPr>
          <w:instrText xml:space="preserve"> PAGE   \* MERGEFORMAT </w:instrText>
        </w:r>
        <w:r w:rsidRPr="0083519A">
          <w:rPr>
            <w:color w:val="auto"/>
          </w:rPr>
          <w:fldChar w:fldCharType="separate"/>
        </w:r>
        <w:r w:rsidR="005C7FAD">
          <w:rPr>
            <w:noProof/>
            <w:color w:val="auto"/>
          </w:rPr>
          <w:t>2</w:t>
        </w:r>
        <w:r w:rsidRPr="0083519A">
          <w:rPr>
            <w:color w:val="auto"/>
          </w:rPr>
          <w:fldChar w:fldCharType="end"/>
        </w:r>
        <w:r w:rsidR="00352BE8" w:rsidRPr="0083519A">
          <w:rPr>
            <w:color w:val="auto"/>
          </w:rPr>
          <w:t xml:space="preserve">                                                           PD1000016</w:t>
        </w:r>
      </w:p>
    </w:sdtContent>
  </w:sdt>
  <w:p w:rsidR="00352BE8" w:rsidRPr="00684CE6" w:rsidRDefault="00352BE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74" w:rsidRDefault="00944E74">
      <w:r>
        <w:separator/>
      </w:r>
    </w:p>
  </w:footnote>
  <w:footnote w:type="continuationSeparator" w:id="0">
    <w:p w:rsidR="00944E74" w:rsidRDefault="00944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56"/>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5218"/>
  </w:hdrShapeDefaults>
  <w:footnotePr>
    <w:numRestart w:val="eachSect"/>
    <w:footnote w:id="-1"/>
    <w:footnote w:id="0"/>
  </w:footnotePr>
  <w:endnotePr>
    <w:endnote w:id="-1"/>
    <w:endnote w:id="0"/>
  </w:endnotePr>
  <w:compat/>
  <w:rsids>
    <w:rsidRoot w:val="001C28D1"/>
    <w:rsid w:val="000024F5"/>
    <w:rsid w:val="0000254C"/>
    <w:rsid w:val="000059FA"/>
    <w:rsid w:val="00006186"/>
    <w:rsid w:val="00006F87"/>
    <w:rsid w:val="00007107"/>
    <w:rsid w:val="00007529"/>
    <w:rsid w:val="00010ABA"/>
    <w:rsid w:val="00010B0F"/>
    <w:rsid w:val="00012428"/>
    <w:rsid w:val="00013417"/>
    <w:rsid w:val="00013BC8"/>
    <w:rsid w:val="000145C2"/>
    <w:rsid w:val="0001473F"/>
    <w:rsid w:val="00014A9E"/>
    <w:rsid w:val="00021361"/>
    <w:rsid w:val="00022CF3"/>
    <w:rsid w:val="00023913"/>
    <w:rsid w:val="00023D43"/>
    <w:rsid w:val="000247CB"/>
    <w:rsid w:val="00024DE7"/>
    <w:rsid w:val="00026092"/>
    <w:rsid w:val="00030776"/>
    <w:rsid w:val="00031430"/>
    <w:rsid w:val="00032E07"/>
    <w:rsid w:val="000332CA"/>
    <w:rsid w:val="0003374E"/>
    <w:rsid w:val="000344D8"/>
    <w:rsid w:val="000344E6"/>
    <w:rsid w:val="00035C3A"/>
    <w:rsid w:val="00035C42"/>
    <w:rsid w:val="00036E4B"/>
    <w:rsid w:val="00037929"/>
    <w:rsid w:val="000379D0"/>
    <w:rsid w:val="00040FC4"/>
    <w:rsid w:val="000416F8"/>
    <w:rsid w:val="000425CD"/>
    <w:rsid w:val="00042C26"/>
    <w:rsid w:val="00043382"/>
    <w:rsid w:val="000442D0"/>
    <w:rsid w:val="00044623"/>
    <w:rsid w:val="000452D7"/>
    <w:rsid w:val="00051622"/>
    <w:rsid w:val="000519D0"/>
    <w:rsid w:val="00051A11"/>
    <w:rsid w:val="00052234"/>
    <w:rsid w:val="00053D7C"/>
    <w:rsid w:val="00054CA4"/>
    <w:rsid w:val="000575C5"/>
    <w:rsid w:val="000577C9"/>
    <w:rsid w:val="00060FFD"/>
    <w:rsid w:val="0006431E"/>
    <w:rsid w:val="0006528F"/>
    <w:rsid w:val="000652EA"/>
    <w:rsid w:val="00065E21"/>
    <w:rsid w:val="000673ED"/>
    <w:rsid w:val="00072433"/>
    <w:rsid w:val="0007488B"/>
    <w:rsid w:val="00075702"/>
    <w:rsid w:val="00075A0C"/>
    <w:rsid w:val="00076735"/>
    <w:rsid w:val="000775C2"/>
    <w:rsid w:val="000806AD"/>
    <w:rsid w:val="00080BDF"/>
    <w:rsid w:val="00082482"/>
    <w:rsid w:val="00084CF2"/>
    <w:rsid w:val="00085D7B"/>
    <w:rsid w:val="0008708B"/>
    <w:rsid w:val="0009124A"/>
    <w:rsid w:val="00092619"/>
    <w:rsid w:val="00092C66"/>
    <w:rsid w:val="000949DD"/>
    <w:rsid w:val="00094E4F"/>
    <w:rsid w:val="000A2BCE"/>
    <w:rsid w:val="000A33C8"/>
    <w:rsid w:val="000A3815"/>
    <w:rsid w:val="000A41E3"/>
    <w:rsid w:val="000A4BBA"/>
    <w:rsid w:val="000A5071"/>
    <w:rsid w:val="000A6D4F"/>
    <w:rsid w:val="000B0AD2"/>
    <w:rsid w:val="000B1022"/>
    <w:rsid w:val="000B2FB8"/>
    <w:rsid w:val="000B38A5"/>
    <w:rsid w:val="000B4C99"/>
    <w:rsid w:val="000C06F6"/>
    <w:rsid w:val="000C1D34"/>
    <w:rsid w:val="000C1F34"/>
    <w:rsid w:val="000C2362"/>
    <w:rsid w:val="000C2FA8"/>
    <w:rsid w:val="000C3C13"/>
    <w:rsid w:val="000C3D13"/>
    <w:rsid w:val="000C499C"/>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888"/>
    <w:rsid w:val="000D6457"/>
    <w:rsid w:val="000D7D55"/>
    <w:rsid w:val="000E0993"/>
    <w:rsid w:val="000E2648"/>
    <w:rsid w:val="000E2E50"/>
    <w:rsid w:val="000E37E0"/>
    <w:rsid w:val="000E3F20"/>
    <w:rsid w:val="000E51C8"/>
    <w:rsid w:val="000E5577"/>
    <w:rsid w:val="000E7034"/>
    <w:rsid w:val="000E71B8"/>
    <w:rsid w:val="000F02BE"/>
    <w:rsid w:val="000F04CB"/>
    <w:rsid w:val="000F0928"/>
    <w:rsid w:val="000F18D2"/>
    <w:rsid w:val="000F427B"/>
    <w:rsid w:val="000F43D0"/>
    <w:rsid w:val="000F4F18"/>
    <w:rsid w:val="000F688E"/>
    <w:rsid w:val="000F7181"/>
    <w:rsid w:val="001007CE"/>
    <w:rsid w:val="001008C1"/>
    <w:rsid w:val="001023DB"/>
    <w:rsid w:val="00102A53"/>
    <w:rsid w:val="00102B8D"/>
    <w:rsid w:val="00103948"/>
    <w:rsid w:val="00103CCF"/>
    <w:rsid w:val="0010417F"/>
    <w:rsid w:val="001042D2"/>
    <w:rsid w:val="0010530E"/>
    <w:rsid w:val="00105C07"/>
    <w:rsid w:val="00106AD8"/>
    <w:rsid w:val="00107DC7"/>
    <w:rsid w:val="00107EC5"/>
    <w:rsid w:val="001103CD"/>
    <w:rsid w:val="00111A29"/>
    <w:rsid w:val="00113D2A"/>
    <w:rsid w:val="00114F20"/>
    <w:rsid w:val="0011590B"/>
    <w:rsid w:val="001211AF"/>
    <w:rsid w:val="001219DF"/>
    <w:rsid w:val="0012220B"/>
    <w:rsid w:val="00122ABE"/>
    <w:rsid w:val="001231DC"/>
    <w:rsid w:val="0012489B"/>
    <w:rsid w:val="0012621B"/>
    <w:rsid w:val="001272AE"/>
    <w:rsid w:val="00130756"/>
    <w:rsid w:val="001315DD"/>
    <w:rsid w:val="0013525F"/>
    <w:rsid w:val="00135385"/>
    <w:rsid w:val="001364D1"/>
    <w:rsid w:val="001374C7"/>
    <w:rsid w:val="001412C7"/>
    <w:rsid w:val="00141931"/>
    <w:rsid w:val="001421FD"/>
    <w:rsid w:val="001425C8"/>
    <w:rsid w:val="00142EBA"/>
    <w:rsid w:val="00143B79"/>
    <w:rsid w:val="00145965"/>
    <w:rsid w:val="00150A26"/>
    <w:rsid w:val="00150B8A"/>
    <w:rsid w:val="00150DCB"/>
    <w:rsid w:val="00151912"/>
    <w:rsid w:val="00153740"/>
    <w:rsid w:val="00153D88"/>
    <w:rsid w:val="001541C5"/>
    <w:rsid w:val="0015623F"/>
    <w:rsid w:val="00156585"/>
    <w:rsid w:val="00156BA9"/>
    <w:rsid w:val="00156E84"/>
    <w:rsid w:val="00161589"/>
    <w:rsid w:val="00161642"/>
    <w:rsid w:val="00161761"/>
    <w:rsid w:val="00161F6F"/>
    <w:rsid w:val="00166182"/>
    <w:rsid w:val="00170D4B"/>
    <w:rsid w:val="0017139A"/>
    <w:rsid w:val="001724C8"/>
    <w:rsid w:val="001732C4"/>
    <w:rsid w:val="001745DD"/>
    <w:rsid w:val="00174FDE"/>
    <w:rsid w:val="00174FE3"/>
    <w:rsid w:val="00176A61"/>
    <w:rsid w:val="00177659"/>
    <w:rsid w:val="001779E5"/>
    <w:rsid w:val="00180826"/>
    <w:rsid w:val="00181240"/>
    <w:rsid w:val="001822CF"/>
    <w:rsid w:val="00182A4C"/>
    <w:rsid w:val="00183F77"/>
    <w:rsid w:val="00183FB3"/>
    <w:rsid w:val="001844D8"/>
    <w:rsid w:val="0018585B"/>
    <w:rsid w:val="00185DA8"/>
    <w:rsid w:val="00185ECB"/>
    <w:rsid w:val="001865E0"/>
    <w:rsid w:val="001870F0"/>
    <w:rsid w:val="00190E48"/>
    <w:rsid w:val="0019273F"/>
    <w:rsid w:val="00193814"/>
    <w:rsid w:val="00193A3D"/>
    <w:rsid w:val="00193AAB"/>
    <w:rsid w:val="00193AD5"/>
    <w:rsid w:val="00194930"/>
    <w:rsid w:val="00195AAC"/>
    <w:rsid w:val="0019746F"/>
    <w:rsid w:val="00197F4B"/>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4F7"/>
    <w:rsid w:val="001C0688"/>
    <w:rsid w:val="001C181A"/>
    <w:rsid w:val="001C1877"/>
    <w:rsid w:val="001C1898"/>
    <w:rsid w:val="001C2053"/>
    <w:rsid w:val="001C252F"/>
    <w:rsid w:val="001C28D1"/>
    <w:rsid w:val="001C2B6F"/>
    <w:rsid w:val="001C3473"/>
    <w:rsid w:val="001C4899"/>
    <w:rsid w:val="001C5BDA"/>
    <w:rsid w:val="001C5CFC"/>
    <w:rsid w:val="001C7231"/>
    <w:rsid w:val="001C7418"/>
    <w:rsid w:val="001C7EBE"/>
    <w:rsid w:val="001C7F08"/>
    <w:rsid w:val="001D0051"/>
    <w:rsid w:val="001D169A"/>
    <w:rsid w:val="001D2224"/>
    <w:rsid w:val="001D31AA"/>
    <w:rsid w:val="001D3DC0"/>
    <w:rsid w:val="001D4C9B"/>
    <w:rsid w:val="001D4F88"/>
    <w:rsid w:val="001D68CF"/>
    <w:rsid w:val="001D6A8C"/>
    <w:rsid w:val="001D7A56"/>
    <w:rsid w:val="001E15C0"/>
    <w:rsid w:val="001E18E0"/>
    <w:rsid w:val="001E18E2"/>
    <w:rsid w:val="001E19D0"/>
    <w:rsid w:val="001E2A30"/>
    <w:rsid w:val="001E2FF1"/>
    <w:rsid w:val="001E3AC4"/>
    <w:rsid w:val="001E41FE"/>
    <w:rsid w:val="001E635C"/>
    <w:rsid w:val="001E662A"/>
    <w:rsid w:val="001E6DD7"/>
    <w:rsid w:val="001F0297"/>
    <w:rsid w:val="001F4096"/>
    <w:rsid w:val="00200AA0"/>
    <w:rsid w:val="002015DE"/>
    <w:rsid w:val="00202325"/>
    <w:rsid w:val="00202736"/>
    <w:rsid w:val="00203652"/>
    <w:rsid w:val="00203C8B"/>
    <w:rsid w:val="00204562"/>
    <w:rsid w:val="00205B4F"/>
    <w:rsid w:val="002060B6"/>
    <w:rsid w:val="002066B5"/>
    <w:rsid w:val="00206992"/>
    <w:rsid w:val="00211612"/>
    <w:rsid w:val="002119B6"/>
    <w:rsid w:val="00211E88"/>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1D83"/>
    <w:rsid w:val="00222268"/>
    <w:rsid w:val="00225080"/>
    <w:rsid w:val="00225196"/>
    <w:rsid w:val="00225CB4"/>
    <w:rsid w:val="002265AB"/>
    <w:rsid w:val="00226B1A"/>
    <w:rsid w:val="00227F0B"/>
    <w:rsid w:val="0023049F"/>
    <w:rsid w:val="002310C3"/>
    <w:rsid w:val="002316F6"/>
    <w:rsid w:val="00232C9B"/>
    <w:rsid w:val="00232E73"/>
    <w:rsid w:val="00232F09"/>
    <w:rsid w:val="002335D5"/>
    <w:rsid w:val="002338CA"/>
    <w:rsid w:val="00233FE5"/>
    <w:rsid w:val="00234B3B"/>
    <w:rsid w:val="00234D98"/>
    <w:rsid w:val="002356B8"/>
    <w:rsid w:val="00236018"/>
    <w:rsid w:val="002374C9"/>
    <w:rsid w:val="002374EA"/>
    <w:rsid w:val="0024174E"/>
    <w:rsid w:val="00242238"/>
    <w:rsid w:val="0024227D"/>
    <w:rsid w:val="00242D14"/>
    <w:rsid w:val="002467BE"/>
    <w:rsid w:val="00246860"/>
    <w:rsid w:val="002468D9"/>
    <w:rsid w:val="00246DFF"/>
    <w:rsid w:val="00246E89"/>
    <w:rsid w:val="00250BB4"/>
    <w:rsid w:val="0025183C"/>
    <w:rsid w:val="00252351"/>
    <w:rsid w:val="002528EC"/>
    <w:rsid w:val="00253EAA"/>
    <w:rsid w:val="00255049"/>
    <w:rsid w:val="002563CC"/>
    <w:rsid w:val="00257AFF"/>
    <w:rsid w:val="00257DE5"/>
    <w:rsid w:val="00260531"/>
    <w:rsid w:val="00260B9A"/>
    <w:rsid w:val="00262EA5"/>
    <w:rsid w:val="0026318D"/>
    <w:rsid w:val="00263D68"/>
    <w:rsid w:val="00264148"/>
    <w:rsid w:val="00264715"/>
    <w:rsid w:val="002660AF"/>
    <w:rsid w:val="00270864"/>
    <w:rsid w:val="002712F7"/>
    <w:rsid w:val="0027159C"/>
    <w:rsid w:val="002722F2"/>
    <w:rsid w:val="00273DF2"/>
    <w:rsid w:val="0027418F"/>
    <w:rsid w:val="00274549"/>
    <w:rsid w:val="00274E46"/>
    <w:rsid w:val="002752AE"/>
    <w:rsid w:val="00276696"/>
    <w:rsid w:val="002769AF"/>
    <w:rsid w:val="00276C86"/>
    <w:rsid w:val="00276FD0"/>
    <w:rsid w:val="00277217"/>
    <w:rsid w:val="00277535"/>
    <w:rsid w:val="002810A4"/>
    <w:rsid w:val="00282DB6"/>
    <w:rsid w:val="00284A26"/>
    <w:rsid w:val="00285095"/>
    <w:rsid w:val="00285499"/>
    <w:rsid w:val="00287006"/>
    <w:rsid w:val="00287F0E"/>
    <w:rsid w:val="00290461"/>
    <w:rsid w:val="002918A6"/>
    <w:rsid w:val="00291FA0"/>
    <w:rsid w:val="00291FF8"/>
    <w:rsid w:val="00292397"/>
    <w:rsid w:val="00292AB2"/>
    <w:rsid w:val="002932B8"/>
    <w:rsid w:val="00293DB6"/>
    <w:rsid w:val="00293FE8"/>
    <w:rsid w:val="00294437"/>
    <w:rsid w:val="00297A45"/>
    <w:rsid w:val="00297E20"/>
    <w:rsid w:val="002A1238"/>
    <w:rsid w:val="002A233F"/>
    <w:rsid w:val="002A3237"/>
    <w:rsid w:val="002A4119"/>
    <w:rsid w:val="002A5408"/>
    <w:rsid w:val="002A58B7"/>
    <w:rsid w:val="002A5943"/>
    <w:rsid w:val="002A5C3C"/>
    <w:rsid w:val="002A685E"/>
    <w:rsid w:val="002A72C7"/>
    <w:rsid w:val="002B03B2"/>
    <w:rsid w:val="002B0749"/>
    <w:rsid w:val="002B2645"/>
    <w:rsid w:val="002B303A"/>
    <w:rsid w:val="002B32E9"/>
    <w:rsid w:val="002B4E22"/>
    <w:rsid w:val="002B6FA0"/>
    <w:rsid w:val="002C0DEA"/>
    <w:rsid w:val="002C0E61"/>
    <w:rsid w:val="002C34F6"/>
    <w:rsid w:val="002C3B6D"/>
    <w:rsid w:val="002C520D"/>
    <w:rsid w:val="002C5D9D"/>
    <w:rsid w:val="002C5F10"/>
    <w:rsid w:val="002C6E5B"/>
    <w:rsid w:val="002D08F3"/>
    <w:rsid w:val="002D18B4"/>
    <w:rsid w:val="002D231A"/>
    <w:rsid w:val="002D5330"/>
    <w:rsid w:val="002D5F57"/>
    <w:rsid w:val="002D6D46"/>
    <w:rsid w:val="002D73D4"/>
    <w:rsid w:val="002D7787"/>
    <w:rsid w:val="002E1877"/>
    <w:rsid w:val="002E1C31"/>
    <w:rsid w:val="002E2E0F"/>
    <w:rsid w:val="002E333A"/>
    <w:rsid w:val="002E3474"/>
    <w:rsid w:val="002E400C"/>
    <w:rsid w:val="002E49C3"/>
    <w:rsid w:val="002E4C9F"/>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10CD7"/>
    <w:rsid w:val="00313D7A"/>
    <w:rsid w:val="00316A9A"/>
    <w:rsid w:val="003174A6"/>
    <w:rsid w:val="00320A61"/>
    <w:rsid w:val="0032136A"/>
    <w:rsid w:val="00321632"/>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04C4"/>
    <w:rsid w:val="00341A54"/>
    <w:rsid w:val="00344A4F"/>
    <w:rsid w:val="00344D17"/>
    <w:rsid w:val="0034669F"/>
    <w:rsid w:val="00351498"/>
    <w:rsid w:val="00352B22"/>
    <w:rsid w:val="00352BE8"/>
    <w:rsid w:val="00352CBF"/>
    <w:rsid w:val="00354547"/>
    <w:rsid w:val="003549F5"/>
    <w:rsid w:val="003567DE"/>
    <w:rsid w:val="003571DE"/>
    <w:rsid w:val="003574F3"/>
    <w:rsid w:val="00357831"/>
    <w:rsid w:val="003604A5"/>
    <w:rsid w:val="00362167"/>
    <w:rsid w:val="0036319E"/>
    <w:rsid w:val="003632A4"/>
    <w:rsid w:val="00363362"/>
    <w:rsid w:val="00365767"/>
    <w:rsid w:val="003659C0"/>
    <w:rsid w:val="003660DF"/>
    <w:rsid w:val="003664A9"/>
    <w:rsid w:val="00367D4F"/>
    <w:rsid w:val="00370743"/>
    <w:rsid w:val="00370EF5"/>
    <w:rsid w:val="00371115"/>
    <w:rsid w:val="0037135B"/>
    <w:rsid w:val="0037162F"/>
    <w:rsid w:val="00372251"/>
    <w:rsid w:val="00372434"/>
    <w:rsid w:val="0037325E"/>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4997"/>
    <w:rsid w:val="003857D4"/>
    <w:rsid w:val="00385D6F"/>
    <w:rsid w:val="00386D43"/>
    <w:rsid w:val="00387095"/>
    <w:rsid w:val="003873F1"/>
    <w:rsid w:val="00387AFF"/>
    <w:rsid w:val="00387E95"/>
    <w:rsid w:val="00390092"/>
    <w:rsid w:val="00390E2F"/>
    <w:rsid w:val="00391858"/>
    <w:rsid w:val="00393651"/>
    <w:rsid w:val="00394926"/>
    <w:rsid w:val="00394FF9"/>
    <w:rsid w:val="00395651"/>
    <w:rsid w:val="00395E12"/>
    <w:rsid w:val="003962A8"/>
    <w:rsid w:val="00396779"/>
    <w:rsid w:val="00397DB7"/>
    <w:rsid w:val="003A0606"/>
    <w:rsid w:val="003A27B2"/>
    <w:rsid w:val="003A40B4"/>
    <w:rsid w:val="003A41BA"/>
    <w:rsid w:val="003A5491"/>
    <w:rsid w:val="003A54FC"/>
    <w:rsid w:val="003A6A99"/>
    <w:rsid w:val="003A6E60"/>
    <w:rsid w:val="003A7FF8"/>
    <w:rsid w:val="003B17AC"/>
    <w:rsid w:val="003B1C00"/>
    <w:rsid w:val="003B227A"/>
    <w:rsid w:val="003B3A77"/>
    <w:rsid w:val="003B4319"/>
    <w:rsid w:val="003B50B9"/>
    <w:rsid w:val="003B5854"/>
    <w:rsid w:val="003B6764"/>
    <w:rsid w:val="003B7A8B"/>
    <w:rsid w:val="003C158A"/>
    <w:rsid w:val="003C294B"/>
    <w:rsid w:val="003C5046"/>
    <w:rsid w:val="003C6068"/>
    <w:rsid w:val="003C6E6B"/>
    <w:rsid w:val="003C6E92"/>
    <w:rsid w:val="003C724F"/>
    <w:rsid w:val="003C7462"/>
    <w:rsid w:val="003C766E"/>
    <w:rsid w:val="003C7AEC"/>
    <w:rsid w:val="003D2BA3"/>
    <w:rsid w:val="003D316B"/>
    <w:rsid w:val="003D3C22"/>
    <w:rsid w:val="003D4DB5"/>
    <w:rsid w:val="003D505A"/>
    <w:rsid w:val="003D56A0"/>
    <w:rsid w:val="003D69F5"/>
    <w:rsid w:val="003D7089"/>
    <w:rsid w:val="003D79F1"/>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4556"/>
    <w:rsid w:val="003F58B0"/>
    <w:rsid w:val="003F776F"/>
    <w:rsid w:val="004000E6"/>
    <w:rsid w:val="00400284"/>
    <w:rsid w:val="004007E9"/>
    <w:rsid w:val="00400810"/>
    <w:rsid w:val="00401825"/>
    <w:rsid w:val="00401BBC"/>
    <w:rsid w:val="00403BFB"/>
    <w:rsid w:val="00404B45"/>
    <w:rsid w:val="00405BCF"/>
    <w:rsid w:val="00406CC5"/>
    <w:rsid w:val="004074A4"/>
    <w:rsid w:val="004101B2"/>
    <w:rsid w:val="00411928"/>
    <w:rsid w:val="004123D7"/>
    <w:rsid w:val="00412658"/>
    <w:rsid w:val="004129DA"/>
    <w:rsid w:val="00415621"/>
    <w:rsid w:val="00415EA4"/>
    <w:rsid w:val="0041604B"/>
    <w:rsid w:val="004172DB"/>
    <w:rsid w:val="00420A1D"/>
    <w:rsid w:val="00421485"/>
    <w:rsid w:val="004214FD"/>
    <w:rsid w:val="004216DA"/>
    <w:rsid w:val="00422B75"/>
    <w:rsid w:val="00424612"/>
    <w:rsid w:val="0042528C"/>
    <w:rsid w:val="00425661"/>
    <w:rsid w:val="00425A23"/>
    <w:rsid w:val="00425A6A"/>
    <w:rsid w:val="00427F54"/>
    <w:rsid w:val="004316FD"/>
    <w:rsid w:val="00433737"/>
    <w:rsid w:val="00433E8F"/>
    <w:rsid w:val="00433F36"/>
    <w:rsid w:val="00434860"/>
    <w:rsid w:val="0043503A"/>
    <w:rsid w:val="00437B8A"/>
    <w:rsid w:val="00437D18"/>
    <w:rsid w:val="00437D77"/>
    <w:rsid w:val="00441288"/>
    <w:rsid w:val="004435BE"/>
    <w:rsid w:val="0044384F"/>
    <w:rsid w:val="0044411E"/>
    <w:rsid w:val="00444472"/>
    <w:rsid w:val="0044483D"/>
    <w:rsid w:val="00444F80"/>
    <w:rsid w:val="00445599"/>
    <w:rsid w:val="00446018"/>
    <w:rsid w:val="004479C1"/>
    <w:rsid w:val="0045027B"/>
    <w:rsid w:val="004504E7"/>
    <w:rsid w:val="00451F9D"/>
    <w:rsid w:val="00453167"/>
    <w:rsid w:val="004543BC"/>
    <w:rsid w:val="0045645D"/>
    <w:rsid w:val="004574C6"/>
    <w:rsid w:val="00457BCF"/>
    <w:rsid w:val="00457DCE"/>
    <w:rsid w:val="00460E3F"/>
    <w:rsid w:val="0046111A"/>
    <w:rsid w:val="00461CD6"/>
    <w:rsid w:val="0046232C"/>
    <w:rsid w:val="0046293C"/>
    <w:rsid w:val="00462F68"/>
    <w:rsid w:val="0046369B"/>
    <w:rsid w:val="004640E9"/>
    <w:rsid w:val="00466CED"/>
    <w:rsid w:val="00466EB5"/>
    <w:rsid w:val="00467592"/>
    <w:rsid w:val="00467690"/>
    <w:rsid w:val="004718E7"/>
    <w:rsid w:val="00472289"/>
    <w:rsid w:val="00472535"/>
    <w:rsid w:val="004731AD"/>
    <w:rsid w:val="004761CC"/>
    <w:rsid w:val="004766C9"/>
    <w:rsid w:val="004800E2"/>
    <w:rsid w:val="00480D4A"/>
    <w:rsid w:val="00481DA1"/>
    <w:rsid w:val="00483A2B"/>
    <w:rsid w:val="00484212"/>
    <w:rsid w:val="00484BA9"/>
    <w:rsid w:val="0048599A"/>
    <w:rsid w:val="00486818"/>
    <w:rsid w:val="0049255F"/>
    <w:rsid w:val="0049445D"/>
    <w:rsid w:val="00495350"/>
    <w:rsid w:val="00495BB4"/>
    <w:rsid w:val="00495E3C"/>
    <w:rsid w:val="00497156"/>
    <w:rsid w:val="0049788B"/>
    <w:rsid w:val="004A0C79"/>
    <w:rsid w:val="004A24D2"/>
    <w:rsid w:val="004A2D09"/>
    <w:rsid w:val="004A3214"/>
    <w:rsid w:val="004A3B0F"/>
    <w:rsid w:val="004A4136"/>
    <w:rsid w:val="004A417B"/>
    <w:rsid w:val="004A4378"/>
    <w:rsid w:val="004A588C"/>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302"/>
    <w:rsid w:val="004C6CDA"/>
    <w:rsid w:val="004D10D4"/>
    <w:rsid w:val="004D16BD"/>
    <w:rsid w:val="004D2AAB"/>
    <w:rsid w:val="004D6ACF"/>
    <w:rsid w:val="004D6E90"/>
    <w:rsid w:val="004D6F2B"/>
    <w:rsid w:val="004E0248"/>
    <w:rsid w:val="004E21A3"/>
    <w:rsid w:val="004E2D95"/>
    <w:rsid w:val="004E32EA"/>
    <w:rsid w:val="004E672A"/>
    <w:rsid w:val="004E6866"/>
    <w:rsid w:val="004F0C58"/>
    <w:rsid w:val="004F178D"/>
    <w:rsid w:val="004F3222"/>
    <w:rsid w:val="004F3639"/>
    <w:rsid w:val="004F3BFA"/>
    <w:rsid w:val="004F4E3C"/>
    <w:rsid w:val="004F5A1A"/>
    <w:rsid w:val="004F77A3"/>
    <w:rsid w:val="005000AB"/>
    <w:rsid w:val="00500F3C"/>
    <w:rsid w:val="005025EE"/>
    <w:rsid w:val="00502A61"/>
    <w:rsid w:val="00503DDF"/>
    <w:rsid w:val="00505524"/>
    <w:rsid w:val="0050567C"/>
    <w:rsid w:val="00506688"/>
    <w:rsid w:val="00510588"/>
    <w:rsid w:val="00510F9C"/>
    <w:rsid w:val="0051146C"/>
    <w:rsid w:val="005118BA"/>
    <w:rsid w:val="0051220B"/>
    <w:rsid w:val="00512253"/>
    <w:rsid w:val="00512484"/>
    <w:rsid w:val="00514449"/>
    <w:rsid w:val="00515419"/>
    <w:rsid w:val="005157BD"/>
    <w:rsid w:val="005214A3"/>
    <w:rsid w:val="005222E7"/>
    <w:rsid w:val="00523A8B"/>
    <w:rsid w:val="00523E04"/>
    <w:rsid w:val="00525003"/>
    <w:rsid w:val="0052590B"/>
    <w:rsid w:val="00526591"/>
    <w:rsid w:val="0052684A"/>
    <w:rsid w:val="00527178"/>
    <w:rsid w:val="005278CB"/>
    <w:rsid w:val="00534D42"/>
    <w:rsid w:val="005350A5"/>
    <w:rsid w:val="00536379"/>
    <w:rsid w:val="00537238"/>
    <w:rsid w:val="00537CFA"/>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57B7E"/>
    <w:rsid w:val="00560D57"/>
    <w:rsid w:val="00562A94"/>
    <w:rsid w:val="00563FAD"/>
    <w:rsid w:val="005701C1"/>
    <w:rsid w:val="005703BF"/>
    <w:rsid w:val="00570754"/>
    <w:rsid w:val="005709F7"/>
    <w:rsid w:val="005710A9"/>
    <w:rsid w:val="00571B11"/>
    <w:rsid w:val="00571D1B"/>
    <w:rsid w:val="00571DA3"/>
    <w:rsid w:val="00573050"/>
    <w:rsid w:val="005738F5"/>
    <w:rsid w:val="00573D34"/>
    <w:rsid w:val="00575963"/>
    <w:rsid w:val="00575EBE"/>
    <w:rsid w:val="005779FE"/>
    <w:rsid w:val="0058039C"/>
    <w:rsid w:val="00580A63"/>
    <w:rsid w:val="00583379"/>
    <w:rsid w:val="0058417C"/>
    <w:rsid w:val="00586EC6"/>
    <w:rsid w:val="00587DDE"/>
    <w:rsid w:val="00592F73"/>
    <w:rsid w:val="00593043"/>
    <w:rsid w:val="00595B60"/>
    <w:rsid w:val="00595BF0"/>
    <w:rsid w:val="00595CE8"/>
    <w:rsid w:val="00597E16"/>
    <w:rsid w:val="005A0B1D"/>
    <w:rsid w:val="005A1846"/>
    <w:rsid w:val="005A258C"/>
    <w:rsid w:val="005A264D"/>
    <w:rsid w:val="005A3560"/>
    <w:rsid w:val="005A464E"/>
    <w:rsid w:val="005A62FC"/>
    <w:rsid w:val="005A6C99"/>
    <w:rsid w:val="005A7D5D"/>
    <w:rsid w:val="005B0040"/>
    <w:rsid w:val="005B011A"/>
    <w:rsid w:val="005B0283"/>
    <w:rsid w:val="005B1ADA"/>
    <w:rsid w:val="005B1D8F"/>
    <w:rsid w:val="005B1E94"/>
    <w:rsid w:val="005B5B3D"/>
    <w:rsid w:val="005B64CF"/>
    <w:rsid w:val="005B6D67"/>
    <w:rsid w:val="005B7634"/>
    <w:rsid w:val="005C0E87"/>
    <w:rsid w:val="005C16F3"/>
    <w:rsid w:val="005C25D1"/>
    <w:rsid w:val="005C2F5C"/>
    <w:rsid w:val="005C3758"/>
    <w:rsid w:val="005C4D72"/>
    <w:rsid w:val="005C50C1"/>
    <w:rsid w:val="005C62C2"/>
    <w:rsid w:val="005C7FAD"/>
    <w:rsid w:val="005D0501"/>
    <w:rsid w:val="005D22ED"/>
    <w:rsid w:val="005D2306"/>
    <w:rsid w:val="005D4A74"/>
    <w:rsid w:val="005D5E91"/>
    <w:rsid w:val="005D67EF"/>
    <w:rsid w:val="005E3064"/>
    <w:rsid w:val="005E3CA1"/>
    <w:rsid w:val="005E6AEE"/>
    <w:rsid w:val="005E72B2"/>
    <w:rsid w:val="005F1115"/>
    <w:rsid w:val="005F1AB6"/>
    <w:rsid w:val="005F27F2"/>
    <w:rsid w:val="005F2B27"/>
    <w:rsid w:val="005F3567"/>
    <w:rsid w:val="005F3A85"/>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6B99"/>
    <w:rsid w:val="006274B4"/>
    <w:rsid w:val="006307BA"/>
    <w:rsid w:val="0063124F"/>
    <w:rsid w:val="006315BA"/>
    <w:rsid w:val="00631F35"/>
    <w:rsid w:val="006323C5"/>
    <w:rsid w:val="00634C4A"/>
    <w:rsid w:val="0063532E"/>
    <w:rsid w:val="00637063"/>
    <w:rsid w:val="0063737C"/>
    <w:rsid w:val="00637BDC"/>
    <w:rsid w:val="00640622"/>
    <w:rsid w:val="006418C9"/>
    <w:rsid w:val="00641FEB"/>
    <w:rsid w:val="00642BD6"/>
    <w:rsid w:val="00645046"/>
    <w:rsid w:val="0064527A"/>
    <w:rsid w:val="006458FD"/>
    <w:rsid w:val="00645EA2"/>
    <w:rsid w:val="00647424"/>
    <w:rsid w:val="00651E6D"/>
    <w:rsid w:val="00653D2D"/>
    <w:rsid w:val="006555E7"/>
    <w:rsid w:val="00656820"/>
    <w:rsid w:val="006573F2"/>
    <w:rsid w:val="00662518"/>
    <w:rsid w:val="00662AD0"/>
    <w:rsid w:val="00662F08"/>
    <w:rsid w:val="00663589"/>
    <w:rsid w:val="00664049"/>
    <w:rsid w:val="006649CD"/>
    <w:rsid w:val="006658A8"/>
    <w:rsid w:val="00665D75"/>
    <w:rsid w:val="006708E3"/>
    <w:rsid w:val="00670DDC"/>
    <w:rsid w:val="00671389"/>
    <w:rsid w:val="00671EB4"/>
    <w:rsid w:val="0067393C"/>
    <w:rsid w:val="00673CDC"/>
    <w:rsid w:val="0067443B"/>
    <w:rsid w:val="006770AA"/>
    <w:rsid w:val="00682486"/>
    <w:rsid w:val="0068453C"/>
    <w:rsid w:val="00684CE6"/>
    <w:rsid w:val="00684E2B"/>
    <w:rsid w:val="00687C7E"/>
    <w:rsid w:val="00690569"/>
    <w:rsid w:val="00690FDA"/>
    <w:rsid w:val="00691E61"/>
    <w:rsid w:val="006933E2"/>
    <w:rsid w:val="006937C6"/>
    <w:rsid w:val="00693C5E"/>
    <w:rsid w:val="00693CEE"/>
    <w:rsid w:val="00694EEA"/>
    <w:rsid w:val="006955B4"/>
    <w:rsid w:val="00695DEF"/>
    <w:rsid w:val="006960BC"/>
    <w:rsid w:val="006961F4"/>
    <w:rsid w:val="00696476"/>
    <w:rsid w:val="00696C74"/>
    <w:rsid w:val="006A0BB4"/>
    <w:rsid w:val="006A10FA"/>
    <w:rsid w:val="006A40E6"/>
    <w:rsid w:val="006A516B"/>
    <w:rsid w:val="006A5362"/>
    <w:rsid w:val="006A543A"/>
    <w:rsid w:val="006A5C07"/>
    <w:rsid w:val="006A75FA"/>
    <w:rsid w:val="006B07D5"/>
    <w:rsid w:val="006B1309"/>
    <w:rsid w:val="006B2765"/>
    <w:rsid w:val="006B31E6"/>
    <w:rsid w:val="006B3923"/>
    <w:rsid w:val="006B3F3E"/>
    <w:rsid w:val="006B4AA2"/>
    <w:rsid w:val="006B53C4"/>
    <w:rsid w:val="006B5923"/>
    <w:rsid w:val="006B67D9"/>
    <w:rsid w:val="006B6C14"/>
    <w:rsid w:val="006B715E"/>
    <w:rsid w:val="006C1657"/>
    <w:rsid w:val="006C17AD"/>
    <w:rsid w:val="006C1D6E"/>
    <w:rsid w:val="006C2EF6"/>
    <w:rsid w:val="006C3A68"/>
    <w:rsid w:val="006C3B08"/>
    <w:rsid w:val="006C5268"/>
    <w:rsid w:val="006C6AB1"/>
    <w:rsid w:val="006C6E6B"/>
    <w:rsid w:val="006C7F50"/>
    <w:rsid w:val="006D1998"/>
    <w:rsid w:val="006D2000"/>
    <w:rsid w:val="006D2D39"/>
    <w:rsid w:val="006D2F31"/>
    <w:rsid w:val="006D4250"/>
    <w:rsid w:val="006D4E0E"/>
    <w:rsid w:val="006D5CE2"/>
    <w:rsid w:val="006D7854"/>
    <w:rsid w:val="006E06D1"/>
    <w:rsid w:val="006E1313"/>
    <w:rsid w:val="006E2DC8"/>
    <w:rsid w:val="006E6C14"/>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6DE1"/>
    <w:rsid w:val="00707ECE"/>
    <w:rsid w:val="00710CE8"/>
    <w:rsid w:val="00711350"/>
    <w:rsid w:val="007116BC"/>
    <w:rsid w:val="00711961"/>
    <w:rsid w:val="00711CA6"/>
    <w:rsid w:val="00715BEA"/>
    <w:rsid w:val="007165CE"/>
    <w:rsid w:val="00717CEB"/>
    <w:rsid w:val="00720968"/>
    <w:rsid w:val="00721705"/>
    <w:rsid w:val="00721B7A"/>
    <w:rsid w:val="00721D12"/>
    <w:rsid w:val="00721F8B"/>
    <w:rsid w:val="007237CE"/>
    <w:rsid w:val="00724688"/>
    <w:rsid w:val="0072572C"/>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AC9"/>
    <w:rsid w:val="00756109"/>
    <w:rsid w:val="00756F69"/>
    <w:rsid w:val="0076100C"/>
    <w:rsid w:val="007612A5"/>
    <w:rsid w:val="00763F95"/>
    <w:rsid w:val="007651ED"/>
    <w:rsid w:val="00766C87"/>
    <w:rsid w:val="00771043"/>
    <w:rsid w:val="00773AF7"/>
    <w:rsid w:val="00774FFD"/>
    <w:rsid w:val="00780378"/>
    <w:rsid w:val="0078085E"/>
    <w:rsid w:val="0078182C"/>
    <w:rsid w:val="00781BD4"/>
    <w:rsid w:val="0078201A"/>
    <w:rsid w:val="00782562"/>
    <w:rsid w:val="007828B4"/>
    <w:rsid w:val="00784832"/>
    <w:rsid w:val="00784EA0"/>
    <w:rsid w:val="00785D77"/>
    <w:rsid w:val="00786111"/>
    <w:rsid w:val="00790963"/>
    <w:rsid w:val="00790D58"/>
    <w:rsid w:val="0079154B"/>
    <w:rsid w:val="00791F1E"/>
    <w:rsid w:val="007927BE"/>
    <w:rsid w:val="007935B8"/>
    <w:rsid w:val="00793CA9"/>
    <w:rsid w:val="00794ADE"/>
    <w:rsid w:val="00794F3D"/>
    <w:rsid w:val="00795CE9"/>
    <w:rsid w:val="00796045"/>
    <w:rsid w:val="007968AC"/>
    <w:rsid w:val="007969AB"/>
    <w:rsid w:val="007973D8"/>
    <w:rsid w:val="00797801"/>
    <w:rsid w:val="007A0240"/>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475C"/>
    <w:rsid w:val="007B5BB8"/>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BFE"/>
    <w:rsid w:val="007D7695"/>
    <w:rsid w:val="007E040A"/>
    <w:rsid w:val="007E2046"/>
    <w:rsid w:val="007E3883"/>
    <w:rsid w:val="007E4876"/>
    <w:rsid w:val="007E4ACB"/>
    <w:rsid w:val="007E4FBB"/>
    <w:rsid w:val="007E55BF"/>
    <w:rsid w:val="007E59E3"/>
    <w:rsid w:val="007E5E39"/>
    <w:rsid w:val="007E6127"/>
    <w:rsid w:val="007E71B1"/>
    <w:rsid w:val="007E7B4E"/>
    <w:rsid w:val="007E7F02"/>
    <w:rsid w:val="007F0292"/>
    <w:rsid w:val="007F0AB7"/>
    <w:rsid w:val="007F0CE2"/>
    <w:rsid w:val="007F0EFF"/>
    <w:rsid w:val="007F1375"/>
    <w:rsid w:val="007F1AFD"/>
    <w:rsid w:val="007F1F06"/>
    <w:rsid w:val="007F2964"/>
    <w:rsid w:val="007F30E4"/>
    <w:rsid w:val="007F37A7"/>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1787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19A"/>
    <w:rsid w:val="00835841"/>
    <w:rsid w:val="00835BF8"/>
    <w:rsid w:val="00835FB7"/>
    <w:rsid w:val="00837465"/>
    <w:rsid w:val="0084002E"/>
    <w:rsid w:val="00840159"/>
    <w:rsid w:val="00840621"/>
    <w:rsid w:val="00840D7B"/>
    <w:rsid w:val="00841243"/>
    <w:rsid w:val="00841457"/>
    <w:rsid w:val="00842005"/>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68"/>
    <w:rsid w:val="008541EF"/>
    <w:rsid w:val="008557D5"/>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1D62"/>
    <w:rsid w:val="00882CC2"/>
    <w:rsid w:val="0088325A"/>
    <w:rsid w:val="00883930"/>
    <w:rsid w:val="00884535"/>
    <w:rsid w:val="008902BE"/>
    <w:rsid w:val="0089038F"/>
    <w:rsid w:val="00890CDA"/>
    <w:rsid w:val="00891BBA"/>
    <w:rsid w:val="00892B90"/>
    <w:rsid w:val="0089500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27FD"/>
    <w:rsid w:val="008B2FDB"/>
    <w:rsid w:val="008B3AF2"/>
    <w:rsid w:val="008B446D"/>
    <w:rsid w:val="008B515D"/>
    <w:rsid w:val="008B5D31"/>
    <w:rsid w:val="008B6705"/>
    <w:rsid w:val="008C0F1B"/>
    <w:rsid w:val="008C22F3"/>
    <w:rsid w:val="008C3FD0"/>
    <w:rsid w:val="008C4F01"/>
    <w:rsid w:val="008D1484"/>
    <w:rsid w:val="008D1E54"/>
    <w:rsid w:val="008D29E7"/>
    <w:rsid w:val="008D404E"/>
    <w:rsid w:val="008D5104"/>
    <w:rsid w:val="008D5AE7"/>
    <w:rsid w:val="008D6340"/>
    <w:rsid w:val="008D75F4"/>
    <w:rsid w:val="008D795D"/>
    <w:rsid w:val="008D7B07"/>
    <w:rsid w:val="008E0D8F"/>
    <w:rsid w:val="008E0F4E"/>
    <w:rsid w:val="008E1E94"/>
    <w:rsid w:val="008E2D99"/>
    <w:rsid w:val="008E30D4"/>
    <w:rsid w:val="008E38B0"/>
    <w:rsid w:val="008E4A60"/>
    <w:rsid w:val="008E744D"/>
    <w:rsid w:val="008F1E08"/>
    <w:rsid w:val="008F3122"/>
    <w:rsid w:val="008F6F11"/>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063"/>
    <w:rsid w:val="00917182"/>
    <w:rsid w:val="009235AF"/>
    <w:rsid w:val="00923B25"/>
    <w:rsid w:val="0092402E"/>
    <w:rsid w:val="009259BA"/>
    <w:rsid w:val="00926FCB"/>
    <w:rsid w:val="009303BB"/>
    <w:rsid w:val="0093108A"/>
    <w:rsid w:val="0093311A"/>
    <w:rsid w:val="009346D0"/>
    <w:rsid w:val="009409A6"/>
    <w:rsid w:val="00941A4C"/>
    <w:rsid w:val="00942645"/>
    <w:rsid w:val="00944E74"/>
    <w:rsid w:val="00945CA5"/>
    <w:rsid w:val="009461E6"/>
    <w:rsid w:val="00946F7F"/>
    <w:rsid w:val="00950A3A"/>
    <w:rsid w:val="0095340A"/>
    <w:rsid w:val="00953AF6"/>
    <w:rsid w:val="0095423E"/>
    <w:rsid w:val="00954581"/>
    <w:rsid w:val="0095466C"/>
    <w:rsid w:val="00954C49"/>
    <w:rsid w:val="00954E5B"/>
    <w:rsid w:val="00955316"/>
    <w:rsid w:val="00955E45"/>
    <w:rsid w:val="009576BC"/>
    <w:rsid w:val="00957899"/>
    <w:rsid w:val="00960357"/>
    <w:rsid w:val="00960C8A"/>
    <w:rsid w:val="0096168C"/>
    <w:rsid w:val="00961840"/>
    <w:rsid w:val="009625E3"/>
    <w:rsid w:val="00962F2D"/>
    <w:rsid w:val="009635D9"/>
    <w:rsid w:val="00963A7A"/>
    <w:rsid w:val="00964459"/>
    <w:rsid w:val="009672CD"/>
    <w:rsid w:val="00970792"/>
    <w:rsid w:val="00970B06"/>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7DC3"/>
    <w:rsid w:val="00987E59"/>
    <w:rsid w:val="009935C3"/>
    <w:rsid w:val="0099421F"/>
    <w:rsid w:val="00994FC8"/>
    <w:rsid w:val="0099753F"/>
    <w:rsid w:val="009A09FB"/>
    <w:rsid w:val="009A0DE3"/>
    <w:rsid w:val="009A1643"/>
    <w:rsid w:val="009A215A"/>
    <w:rsid w:val="009A2E57"/>
    <w:rsid w:val="009A49D3"/>
    <w:rsid w:val="009A4F1B"/>
    <w:rsid w:val="009A66C5"/>
    <w:rsid w:val="009A66E7"/>
    <w:rsid w:val="009A79BA"/>
    <w:rsid w:val="009B14D1"/>
    <w:rsid w:val="009B1534"/>
    <w:rsid w:val="009B4963"/>
    <w:rsid w:val="009B4A3B"/>
    <w:rsid w:val="009B69D3"/>
    <w:rsid w:val="009B6EED"/>
    <w:rsid w:val="009B7BA7"/>
    <w:rsid w:val="009C0938"/>
    <w:rsid w:val="009C15D9"/>
    <w:rsid w:val="009C165E"/>
    <w:rsid w:val="009C22C8"/>
    <w:rsid w:val="009C2A56"/>
    <w:rsid w:val="009C3F82"/>
    <w:rsid w:val="009C582A"/>
    <w:rsid w:val="009C5C56"/>
    <w:rsid w:val="009C72DD"/>
    <w:rsid w:val="009C78FD"/>
    <w:rsid w:val="009C7DF5"/>
    <w:rsid w:val="009D056C"/>
    <w:rsid w:val="009D060F"/>
    <w:rsid w:val="009D1ADE"/>
    <w:rsid w:val="009D2416"/>
    <w:rsid w:val="009D3652"/>
    <w:rsid w:val="009D37CA"/>
    <w:rsid w:val="009D4229"/>
    <w:rsid w:val="009D4268"/>
    <w:rsid w:val="009E026D"/>
    <w:rsid w:val="009E09D0"/>
    <w:rsid w:val="009E1283"/>
    <w:rsid w:val="009E3A7F"/>
    <w:rsid w:val="009E4C9B"/>
    <w:rsid w:val="009E4DFC"/>
    <w:rsid w:val="009E5789"/>
    <w:rsid w:val="009E57B1"/>
    <w:rsid w:val="009E6379"/>
    <w:rsid w:val="009F17FE"/>
    <w:rsid w:val="009F1D2D"/>
    <w:rsid w:val="009F3B63"/>
    <w:rsid w:val="009F6292"/>
    <w:rsid w:val="009F7809"/>
    <w:rsid w:val="009F7AF5"/>
    <w:rsid w:val="009F7BDA"/>
    <w:rsid w:val="00A006F1"/>
    <w:rsid w:val="00A007A7"/>
    <w:rsid w:val="00A00D14"/>
    <w:rsid w:val="00A01408"/>
    <w:rsid w:val="00A02457"/>
    <w:rsid w:val="00A02AEE"/>
    <w:rsid w:val="00A03190"/>
    <w:rsid w:val="00A0404B"/>
    <w:rsid w:val="00A06F66"/>
    <w:rsid w:val="00A07874"/>
    <w:rsid w:val="00A0798C"/>
    <w:rsid w:val="00A07BDD"/>
    <w:rsid w:val="00A07F12"/>
    <w:rsid w:val="00A10607"/>
    <w:rsid w:val="00A1105B"/>
    <w:rsid w:val="00A1213C"/>
    <w:rsid w:val="00A12D32"/>
    <w:rsid w:val="00A130E8"/>
    <w:rsid w:val="00A15B6B"/>
    <w:rsid w:val="00A15EB4"/>
    <w:rsid w:val="00A16876"/>
    <w:rsid w:val="00A200AA"/>
    <w:rsid w:val="00A20558"/>
    <w:rsid w:val="00A211DD"/>
    <w:rsid w:val="00A2186F"/>
    <w:rsid w:val="00A225E7"/>
    <w:rsid w:val="00A2270B"/>
    <w:rsid w:val="00A23B89"/>
    <w:rsid w:val="00A23FE3"/>
    <w:rsid w:val="00A248C3"/>
    <w:rsid w:val="00A2496E"/>
    <w:rsid w:val="00A2515A"/>
    <w:rsid w:val="00A253E8"/>
    <w:rsid w:val="00A258B7"/>
    <w:rsid w:val="00A25A0C"/>
    <w:rsid w:val="00A262B6"/>
    <w:rsid w:val="00A31FE2"/>
    <w:rsid w:val="00A32743"/>
    <w:rsid w:val="00A33CB5"/>
    <w:rsid w:val="00A34830"/>
    <w:rsid w:val="00A370CC"/>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1E76"/>
    <w:rsid w:val="00A63DF3"/>
    <w:rsid w:val="00A645BF"/>
    <w:rsid w:val="00A65C78"/>
    <w:rsid w:val="00A660A8"/>
    <w:rsid w:val="00A66A45"/>
    <w:rsid w:val="00A67591"/>
    <w:rsid w:val="00A67CA6"/>
    <w:rsid w:val="00A70E7B"/>
    <w:rsid w:val="00A73B84"/>
    <w:rsid w:val="00A7411D"/>
    <w:rsid w:val="00A756C4"/>
    <w:rsid w:val="00A7592B"/>
    <w:rsid w:val="00A7604F"/>
    <w:rsid w:val="00A76094"/>
    <w:rsid w:val="00A768E2"/>
    <w:rsid w:val="00A77AA2"/>
    <w:rsid w:val="00A82C52"/>
    <w:rsid w:val="00A838E8"/>
    <w:rsid w:val="00A83C15"/>
    <w:rsid w:val="00A84EC4"/>
    <w:rsid w:val="00A86CB6"/>
    <w:rsid w:val="00A90D55"/>
    <w:rsid w:val="00A91092"/>
    <w:rsid w:val="00A944D8"/>
    <w:rsid w:val="00A959E7"/>
    <w:rsid w:val="00A95BBA"/>
    <w:rsid w:val="00A961EE"/>
    <w:rsid w:val="00A96AAD"/>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B6D59"/>
    <w:rsid w:val="00AC37BE"/>
    <w:rsid w:val="00AC439D"/>
    <w:rsid w:val="00AC62CC"/>
    <w:rsid w:val="00AC713F"/>
    <w:rsid w:val="00AC7329"/>
    <w:rsid w:val="00AC7D96"/>
    <w:rsid w:val="00AD00E4"/>
    <w:rsid w:val="00AD067E"/>
    <w:rsid w:val="00AD0BC7"/>
    <w:rsid w:val="00AD168B"/>
    <w:rsid w:val="00AD1B4E"/>
    <w:rsid w:val="00AD2801"/>
    <w:rsid w:val="00AD3056"/>
    <w:rsid w:val="00AD3271"/>
    <w:rsid w:val="00AD3496"/>
    <w:rsid w:val="00AD443E"/>
    <w:rsid w:val="00AD49A1"/>
    <w:rsid w:val="00AD5771"/>
    <w:rsid w:val="00AD6870"/>
    <w:rsid w:val="00AD68C5"/>
    <w:rsid w:val="00AD7F8F"/>
    <w:rsid w:val="00AE0BF9"/>
    <w:rsid w:val="00AE1273"/>
    <w:rsid w:val="00AE18C5"/>
    <w:rsid w:val="00AE2CF4"/>
    <w:rsid w:val="00AE2D29"/>
    <w:rsid w:val="00AE4624"/>
    <w:rsid w:val="00AE4B3E"/>
    <w:rsid w:val="00AE5911"/>
    <w:rsid w:val="00AE59BF"/>
    <w:rsid w:val="00AE5E14"/>
    <w:rsid w:val="00AE6115"/>
    <w:rsid w:val="00AE625B"/>
    <w:rsid w:val="00AE77A1"/>
    <w:rsid w:val="00AF01B2"/>
    <w:rsid w:val="00AF06C3"/>
    <w:rsid w:val="00AF1103"/>
    <w:rsid w:val="00AF1668"/>
    <w:rsid w:val="00AF28DE"/>
    <w:rsid w:val="00AF3B10"/>
    <w:rsid w:val="00AF4E3B"/>
    <w:rsid w:val="00AF4FA5"/>
    <w:rsid w:val="00AF6ECC"/>
    <w:rsid w:val="00AF6F5C"/>
    <w:rsid w:val="00AF6F7E"/>
    <w:rsid w:val="00B01DB2"/>
    <w:rsid w:val="00B022DC"/>
    <w:rsid w:val="00B02DAE"/>
    <w:rsid w:val="00B04562"/>
    <w:rsid w:val="00B06930"/>
    <w:rsid w:val="00B0773A"/>
    <w:rsid w:val="00B07955"/>
    <w:rsid w:val="00B1176B"/>
    <w:rsid w:val="00B140B8"/>
    <w:rsid w:val="00B14FAA"/>
    <w:rsid w:val="00B15BED"/>
    <w:rsid w:val="00B15D30"/>
    <w:rsid w:val="00B177DE"/>
    <w:rsid w:val="00B17ACB"/>
    <w:rsid w:val="00B17DBB"/>
    <w:rsid w:val="00B20020"/>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03E"/>
    <w:rsid w:val="00B42357"/>
    <w:rsid w:val="00B427BB"/>
    <w:rsid w:val="00B43BA2"/>
    <w:rsid w:val="00B449EE"/>
    <w:rsid w:val="00B454AE"/>
    <w:rsid w:val="00B50227"/>
    <w:rsid w:val="00B50510"/>
    <w:rsid w:val="00B522CD"/>
    <w:rsid w:val="00B53F93"/>
    <w:rsid w:val="00B55143"/>
    <w:rsid w:val="00B555C8"/>
    <w:rsid w:val="00B55917"/>
    <w:rsid w:val="00B5646A"/>
    <w:rsid w:val="00B56F3D"/>
    <w:rsid w:val="00B57921"/>
    <w:rsid w:val="00B57E78"/>
    <w:rsid w:val="00B57EB8"/>
    <w:rsid w:val="00B604CA"/>
    <w:rsid w:val="00B609F6"/>
    <w:rsid w:val="00B60E75"/>
    <w:rsid w:val="00B6363C"/>
    <w:rsid w:val="00B638EA"/>
    <w:rsid w:val="00B643A6"/>
    <w:rsid w:val="00B64DD6"/>
    <w:rsid w:val="00B66284"/>
    <w:rsid w:val="00B66505"/>
    <w:rsid w:val="00B6710C"/>
    <w:rsid w:val="00B67E84"/>
    <w:rsid w:val="00B7172C"/>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19C"/>
    <w:rsid w:val="00B8478F"/>
    <w:rsid w:val="00B8661E"/>
    <w:rsid w:val="00B91676"/>
    <w:rsid w:val="00B9322B"/>
    <w:rsid w:val="00B9431C"/>
    <w:rsid w:val="00B955D5"/>
    <w:rsid w:val="00B95833"/>
    <w:rsid w:val="00BA0DC0"/>
    <w:rsid w:val="00BA162C"/>
    <w:rsid w:val="00BA1824"/>
    <w:rsid w:val="00BA2D98"/>
    <w:rsid w:val="00BA2F0C"/>
    <w:rsid w:val="00BA30D1"/>
    <w:rsid w:val="00BA30E1"/>
    <w:rsid w:val="00BA4609"/>
    <w:rsid w:val="00BA55B6"/>
    <w:rsid w:val="00BA5BE2"/>
    <w:rsid w:val="00BA7F46"/>
    <w:rsid w:val="00BB0A0A"/>
    <w:rsid w:val="00BB133C"/>
    <w:rsid w:val="00BB1F04"/>
    <w:rsid w:val="00BB45B5"/>
    <w:rsid w:val="00BB4DDE"/>
    <w:rsid w:val="00BB6064"/>
    <w:rsid w:val="00BB65CE"/>
    <w:rsid w:val="00BB6F06"/>
    <w:rsid w:val="00BB7012"/>
    <w:rsid w:val="00BC09D1"/>
    <w:rsid w:val="00BC1CF3"/>
    <w:rsid w:val="00BC273D"/>
    <w:rsid w:val="00BC2BE0"/>
    <w:rsid w:val="00BC3573"/>
    <w:rsid w:val="00BC3B83"/>
    <w:rsid w:val="00BC7F82"/>
    <w:rsid w:val="00BD2A49"/>
    <w:rsid w:val="00BD3683"/>
    <w:rsid w:val="00BD40AB"/>
    <w:rsid w:val="00BD5ADB"/>
    <w:rsid w:val="00BD6297"/>
    <w:rsid w:val="00BD6806"/>
    <w:rsid w:val="00BD7433"/>
    <w:rsid w:val="00BD7831"/>
    <w:rsid w:val="00BD7C10"/>
    <w:rsid w:val="00BE046F"/>
    <w:rsid w:val="00BE0DEB"/>
    <w:rsid w:val="00BE2AB8"/>
    <w:rsid w:val="00BE2FC1"/>
    <w:rsid w:val="00BE3142"/>
    <w:rsid w:val="00BE3B37"/>
    <w:rsid w:val="00BE4039"/>
    <w:rsid w:val="00BE403C"/>
    <w:rsid w:val="00BE6218"/>
    <w:rsid w:val="00BE6365"/>
    <w:rsid w:val="00BF01B7"/>
    <w:rsid w:val="00BF0B7F"/>
    <w:rsid w:val="00BF20BE"/>
    <w:rsid w:val="00BF2988"/>
    <w:rsid w:val="00BF4720"/>
    <w:rsid w:val="00BF4F49"/>
    <w:rsid w:val="00BF6195"/>
    <w:rsid w:val="00BF6759"/>
    <w:rsid w:val="00BF70A6"/>
    <w:rsid w:val="00BF7B4F"/>
    <w:rsid w:val="00BF7B63"/>
    <w:rsid w:val="00C0359D"/>
    <w:rsid w:val="00C038EC"/>
    <w:rsid w:val="00C05C6D"/>
    <w:rsid w:val="00C072D7"/>
    <w:rsid w:val="00C100DE"/>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544"/>
    <w:rsid w:val="00C25978"/>
    <w:rsid w:val="00C261C6"/>
    <w:rsid w:val="00C26621"/>
    <w:rsid w:val="00C26E7C"/>
    <w:rsid w:val="00C276CD"/>
    <w:rsid w:val="00C27827"/>
    <w:rsid w:val="00C30151"/>
    <w:rsid w:val="00C304DB"/>
    <w:rsid w:val="00C30A97"/>
    <w:rsid w:val="00C31DDC"/>
    <w:rsid w:val="00C3223A"/>
    <w:rsid w:val="00C34326"/>
    <w:rsid w:val="00C34CEB"/>
    <w:rsid w:val="00C35551"/>
    <w:rsid w:val="00C35D78"/>
    <w:rsid w:val="00C36201"/>
    <w:rsid w:val="00C368E8"/>
    <w:rsid w:val="00C36C3D"/>
    <w:rsid w:val="00C372C7"/>
    <w:rsid w:val="00C42443"/>
    <w:rsid w:val="00C42CBA"/>
    <w:rsid w:val="00C4338C"/>
    <w:rsid w:val="00C43C2B"/>
    <w:rsid w:val="00C43C4D"/>
    <w:rsid w:val="00C44BFA"/>
    <w:rsid w:val="00C45431"/>
    <w:rsid w:val="00C45B27"/>
    <w:rsid w:val="00C472C7"/>
    <w:rsid w:val="00C5019E"/>
    <w:rsid w:val="00C51962"/>
    <w:rsid w:val="00C5377C"/>
    <w:rsid w:val="00C53E8A"/>
    <w:rsid w:val="00C54DF3"/>
    <w:rsid w:val="00C560A7"/>
    <w:rsid w:val="00C56E21"/>
    <w:rsid w:val="00C56FC8"/>
    <w:rsid w:val="00C60F23"/>
    <w:rsid w:val="00C6170B"/>
    <w:rsid w:val="00C62EB2"/>
    <w:rsid w:val="00C64C87"/>
    <w:rsid w:val="00C665FE"/>
    <w:rsid w:val="00C6696F"/>
    <w:rsid w:val="00C71BEC"/>
    <w:rsid w:val="00C73D05"/>
    <w:rsid w:val="00C74D3A"/>
    <w:rsid w:val="00C75F3D"/>
    <w:rsid w:val="00C80511"/>
    <w:rsid w:val="00C826F5"/>
    <w:rsid w:val="00C83740"/>
    <w:rsid w:val="00C83A51"/>
    <w:rsid w:val="00C844C2"/>
    <w:rsid w:val="00C84AD1"/>
    <w:rsid w:val="00C85579"/>
    <w:rsid w:val="00C862F1"/>
    <w:rsid w:val="00C863E5"/>
    <w:rsid w:val="00C8722C"/>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6B1A"/>
    <w:rsid w:val="00CB1B18"/>
    <w:rsid w:val="00CB20DC"/>
    <w:rsid w:val="00CB23DC"/>
    <w:rsid w:val="00CB2487"/>
    <w:rsid w:val="00CB28E2"/>
    <w:rsid w:val="00CB2F20"/>
    <w:rsid w:val="00CB65C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02C"/>
    <w:rsid w:val="00CD559F"/>
    <w:rsid w:val="00CD5653"/>
    <w:rsid w:val="00CD5E6D"/>
    <w:rsid w:val="00CD63C8"/>
    <w:rsid w:val="00CD76F8"/>
    <w:rsid w:val="00CE02E8"/>
    <w:rsid w:val="00CE069E"/>
    <w:rsid w:val="00CE0D51"/>
    <w:rsid w:val="00CE0DE0"/>
    <w:rsid w:val="00CE3722"/>
    <w:rsid w:val="00CF158D"/>
    <w:rsid w:val="00CF2166"/>
    <w:rsid w:val="00CF2CD9"/>
    <w:rsid w:val="00CF4340"/>
    <w:rsid w:val="00CF4394"/>
    <w:rsid w:val="00CF48B4"/>
    <w:rsid w:val="00D000A9"/>
    <w:rsid w:val="00D00384"/>
    <w:rsid w:val="00D005DB"/>
    <w:rsid w:val="00D0064E"/>
    <w:rsid w:val="00D00981"/>
    <w:rsid w:val="00D02596"/>
    <w:rsid w:val="00D0280D"/>
    <w:rsid w:val="00D02AEF"/>
    <w:rsid w:val="00D035D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71E"/>
    <w:rsid w:val="00D26873"/>
    <w:rsid w:val="00D309DF"/>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32"/>
    <w:rsid w:val="00D52FCC"/>
    <w:rsid w:val="00D53F14"/>
    <w:rsid w:val="00D54BE4"/>
    <w:rsid w:val="00D54DDB"/>
    <w:rsid w:val="00D554BC"/>
    <w:rsid w:val="00D560DC"/>
    <w:rsid w:val="00D56602"/>
    <w:rsid w:val="00D5676B"/>
    <w:rsid w:val="00D60483"/>
    <w:rsid w:val="00D61ABB"/>
    <w:rsid w:val="00D62D5C"/>
    <w:rsid w:val="00D63577"/>
    <w:rsid w:val="00D67FD7"/>
    <w:rsid w:val="00D7014D"/>
    <w:rsid w:val="00D72410"/>
    <w:rsid w:val="00D73D53"/>
    <w:rsid w:val="00D7408A"/>
    <w:rsid w:val="00D74261"/>
    <w:rsid w:val="00D7441B"/>
    <w:rsid w:val="00D75589"/>
    <w:rsid w:val="00D76AB2"/>
    <w:rsid w:val="00D80490"/>
    <w:rsid w:val="00D829AD"/>
    <w:rsid w:val="00D82EE2"/>
    <w:rsid w:val="00D83D1B"/>
    <w:rsid w:val="00D84133"/>
    <w:rsid w:val="00D8545C"/>
    <w:rsid w:val="00D858AC"/>
    <w:rsid w:val="00D85EC2"/>
    <w:rsid w:val="00D86D9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92"/>
    <w:rsid w:val="00D972D4"/>
    <w:rsid w:val="00DA03CB"/>
    <w:rsid w:val="00DA0E8D"/>
    <w:rsid w:val="00DA195B"/>
    <w:rsid w:val="00DA27F3"/>
    <w:rsid w:val="00DA2C37"/>
    <w:rsid w:val="00DA2D1E"/>
    <w:rsid w:val="00DA3EC8"/>
    <w:rsid w:val="00DA40C1"/>
    <w:rsid w:val="00DA5564"/>
    <w:rsid w:val="00DA6B55"/>
    <w:rsid w:val="00DA6B97"/>
    <w:rsid w:val="00DA6CEE"/>
    <w:rsid w:val="00DA76A9"/>
    <w:rsid w:val="00DB0015"/>
    <w:rsid w:val="00DB0359"/>
    <w:rsid w:val="00DB0ABB"/>
    <w:rsid w:val="00DB146E"/>
    <w:rsid w:val="00DB2AAD"/>
    <w:rsid w:val="00DB44E2"/>
    <w:rsid w:val="00DB4A6D"/>
    <w:rsid w:val="00DB5941"/>
    <w:rsid w:val="00DB626D"/>
    <w:rsid w:val="00DB6365"/>
    <w:rsid w:val="00DC07B7"/>
    <w:rsid w:val="00DC0BF1"/>
    <w:rsid w:val="00DC17F2"/>
    <w:rsid w:val="00DC325F"/>
    <w:rsid w:val="00DC41C3"/>
    <w:rsid w:val="00DC4A3C"/>
    <w:rsid w:val="00DC4FA4"/>
    <w:rsid w:val="00DC5B37"/>
    <w:rsid w:val="00DD286D"/>
    <w:rsid w:val="00DD2CAF"/>
    <w:rsid w:val="00DD3593"/>
    <w:rsid w:val="00DD64E0"/>
    <w:rsid w:val="00DD7BE0"/>
    <w:rsid w:val="00DE0C67"/>
    <w:rsid w:val="00DE250B"/>
    <w:rsid w:val="00DE3AAD"/>
    <w:rsid w:val="00DE598A"/>
    <w:rsid w:val="00DE6952"/>
    <w:rsid w:val="00DE6CBD"/>
    <w:rsid w:val="00DE7E74"/>
    <w:rsid w:val="00DF071B"/>
    <w:rsid w:val="00DF3061"/>
    <w:rsid w:val="00DF4918"/>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6720"/>
    <w:rsid w:val="00E17EC9"/>
    <w:rsid w:val="00E202F4"/>
    <w:rsid w:val="00E207C3"/>
    <w:rsid w:val="00E21386"/>
    <w:rsid w:val="00E2289A"/>
    <w:rsid w:val="00E242AF"/>
    <w:rsid w:val="00E24849"/>
    <w:rsid w:val="00E2536E"/>
    <w:rsid w:val="00E25B8A"/>
    <w:rsid w:val="00E25EF8"/>
    <w:rsid w:val="00E26272"/>
    <w:rsid w:val="00E2632B"/>
    <w:rsid w:val="00E26658"/>
    <w:rsid w:val="00E26F75"/>
    <w:rsid w:val="00E27423"/>
    <w:rsid w:val="00E31047"/>
    <w:rsid w:val="00E312D3"/>
    <w:rsid w:val="00E322F7"/>
    <w:rsid w:val="00E3369B"/>
    <w:rsid w:val="00E362D2"/>
    <w:rsid w:val="00E36BFF"/>
    <w:rsid w:val="00E36D76"/>
    <w:rsid w:val="00E40478"/>
    <w:rsid w:val="00E405EA"/>
    <w:rsid w:val="00E408B7"/>
    <w:rsid w:val="00E41637"/>
    <w:rsid w:val="00E42789"/>
    <w:rsid w:val="00E43F59"/>
    <w:rsid w:val="00E4443C"/>
    <w:rsid w:val="00E4599F"/>
    <w:rsid w:val="00E464F0"/>
    <w:rsid w:val="00E46EF3"/>
    <w:rsid w:val="00E47370"/>
    <w:rsid w:val="00E473E9"/>
    <w:rsid w:val="00E47B47"/>
    <w:rsid w:val="00E50BEB"/>
    <w:rsid w:val="00E548FA"/>
    <w:rsid w:val="00E57703"/>
    <w:rsid w:val="00E57D4D"/>
    <w:rsid w:val="00E57ED4"/>
    <w:rsid w:val="00E57FED"/>
    <w:rsid w:val="00E6092F"/>
    <w:rsid w:val="00E61FA8"/>
    <w:rsid w:val="00E62049"/>
    <w:rsid w:val="00E629DA"/>
    <w:rsid w:val="00E64374"/>
    <w:rsid w:val="00E6469F"/>
    <w:rsid w:val="00E65D39"/>
    <w:rsid w:val="00E670F8"/>
    <w:rsid w:val="00E6741B"/>
    <w:rsid w:val="00E67FAC"/>
    <w:rsid w:val="00E704CD"/>
    <w:rsid w:val="00E70FD9"/>
    <w:rsid w:val="00E7145F"/>
    <w:rsid w:val="00E7200B"/>
    <w:rsid w:val="00E726F3"/>
    <w:rsid w:val="00E738CB"/>
    <w:rsid w:val="00E73C88"/>
    <w:rsid w:val="00E74437"/>
    <w:rsid w:val="00E7443D"/>
    <w:rsid w:val="00E75ACE"/>
    <w:rsid w:val="00E771AF"/>
    <w:rsid w:val="00E77887"/>
    <w:rsid w:val="00E80386"/>
    <w:rsid w:val="00E809C3"/>
    <w:rsid w:val="00E81A1A"/>
    <w:rsid w:val="00E81C3E"/>
    <w:rsid w:val="00E82359"/>
    <w:rsid w:val="00E82B6D"/>
    <w:rsid w:val="00E83187"/>
    <w:rsid w:val="00E831E9"/>
    <w:rsid w:val="00E84716"/>
    <w:rsid w:val="00E85327"/>
    <w:rsid w:val="00E8608F"/>
    <w:rsid w:val="00E86C1D"/>
    <w:rsid w:val="00E9156C"/>
    <w:rsid w:val="00E94CAC"/>
    <w:rsid w:val="00E9763D"/>
    <w:rsid w:val="00EA1177"/>
    <w:rsid w:val="00EA118B"/>
    <w:rsid w:val="00EA11B6"/>
    <w:rsid w:val="00EA2181"/>
    <w:rsid w:val="00EA2DD8"/>
    <w:rsid w:val="00EA4475"/>
    <w:rsid w:val="00EA52FE"/>
    <w:rsid w:val="00EA681F"/>
    <w:rsid w:val="00EB04C6"/>
    <w:rsid w:val="00EB06A6"/>
    <w:rsid w:val="00EB30A8"/>
    <w:rsid w:val="00EB3307"/>
    <w:rsid w:val="00EB3823"/>
    <w:rsid w:val="00EB47D8"/>
    <w:rsid w:val="00EB57D3"/>
    <w:rsid w:val="00EB5EFD"/>
    <w:rsid w:val="00EB679F"/>
    <w:rsid w:val="00EB76E4"/>
    <w:rsid w:val="00EC08BC"/>
    <w:rsid w:val="00EC0E65"/>
    <w:rsid w:val="00EC106A"/>
    <w:rsid w:val="00EC1251"/>
    <w:rsid w:val="00EC1DD7"/>
    <w:rsid w:val="00EC2938"/>
    <w:rsid w:val="00EC337D"/>
    <w:rsid w:val="00EC38EF"/>
    <w:rsid w:val="00EC4184"/>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48BB"/>
    <w:rsid w:val="00EE53B1"/>
    <w:rsid w:val="00EE6FE0"/>
    <w:rsid w:val="00EE704A"/>
    <w:rsid w:val="00EE7840"/>
    <w:rsid w:val="00EF2E75"/>
    <w:rsid w:val="00EF4C74"/>
    <w:rsid w:val="00EF501D"/>
    <w:rsid w:val="00EF5268"/>
    <w:rsid w:val="00EF608E"/>
    <w:rsid w:val="00EF6C4A"/>
    <w:rsid w:val="00F0044B"/>
    <w:rsid w:val="00F03525"/>
    <w:rsid w:val="00F0424D"/>
    <w:rsid w:val="00F04957"/>
    <w:rsid w:val="00F05807"/>
    <w:rsid w:val="00F06451"/>
    <w:rsid w:val="00F07052"/>
    <w:rsid w:val="00F0706C"/>
    <w:rsid w:val="00F1103E"/>
    <w:rsid w:val="00F11EBE"/>
    <w:rsid w:val="00F12293"/>
    <w:rsid w:val="00F12BA8"/>
    <w:rsid w:val="00F130D0"/>
    <w:rsid w:val="00F14933"/>
    <w:rsid w:val="00F1516A"/>
    <w:rsid w:val="00F15DCB"/>
    <w:rsid w:val="00F171F9"/>
    <w:rsid w:val="00F1737C"/>
    <w:rsid w:val="00F22A26"/>
    <w:rsid w:val="00F24072"/>
    <w:rsid w:val="00F26432"/>
    <w:rsid w:val="00F3197A"/>
    <w:rsid w:val="00F32139"/>
    <w:rsid w:val="00F33D56"/>
    <w:rsid w:val="00F34E08"/>
    <w:rsid w:val="00F37C98"/>
    <w:rsid w:val="00F41D91"/>
    <w:rsid w:val="00F41F52"/>
    <w:rsid w:val="00F42363"/>
    <w:rsid w:val="00F427C4"/>
    <w:rsid w:val="00F4299F"/>
    <w:rsid w:val="00F43D6C"/>
    <w:rsid w:val="00F46964"/>
    <w:rsid w:val="00F46F9A"/>
    <w:rsid w:val="00F470FD"/>
    <w:rsid w:val="00F50F30"/>
    <w:rsid w:val="00F5126A"/>
    <w:rsid w:val="00F5126E"/>
    <w:rsid w:val="00F516EF"/>
    <w:rsid w:val="00F51755"/>
    <w:rsid w:val="00F5580D"/>
    <w:rsid w:val="00F56EA1"/>
    <w:rsid w:val="00F611B3"/>
    <w:rsid w:val="00F6196E"/>
    <w:rsid w:val="00F624DD"/>
    <w:rsid w:val="00F629C0"/>
    <w:rsid w:val="00F63FC7"/>
    <w:rsid w:val="00F65E1F"/>
    <w:rsid w:val="00F65ED5"/>
    <w:rsid w:val="00F6608B"/>
    <w:rsid w:val="00F66220"/>
    <w:rsid w:val="00F6636A"/>
    <w:rsid w:val="00F667C5"/>
    <w:rsid w:val="00F67E31"/>
    <w:rsid w:val="00F718A8"/>
    <w:rsid w:val="00F72183"/>
    <w:rsid w:val="00F76D01"/>
    <w:rsid w:val="00F80B43"/>
    <w:rsid w:val="00F81C35"/>
    <w:rsid w:val="00F82981"/>
    <w:rsid w:val="00F8311F"/>
    <w:rsid w:val="00F83248"/>
    <w:rsid w:val="00F83376"/>
    <w:rsid w:val="00F84541"/>
    <w:rsid w:val="00F853AE"/>
    <w:rsid w:val="00F87720"/>
    <w:rsid w:val="00F908D5"/>
    <w:rsid w:val="00F913B9"/>
    <w:rsid w:val="00F93C74"/>
    <w:rsid w:val="00F93DCC"/>
    <w:rsid w:val="00F9435D"/>
    <w:rsid w:val="00F966F9"/>
    <w:rsid w:val="00F96F61"/>
    <w:rsid w:val="00F97740"/>
    <w:rsid w:val="00FA0294"/>
    <w:rsid w:val="00FA0AB4"/>
    <w:rsid w:val="00FA0C8F"/>
    <w:rsid w:val="00FA2DEF"/>
    <w:rsid w:val="00FA2F7B"/>
    <w:rsid w:val="00FA3C97"/>
    <w:rsid w:val="00FA3D30"/>
    <w:rsid w:val="00FA4B49"/>
    <w:rsid w:val="00FA54F8"/>
    <w:rsid w:val="00FA66AD"/>
    <w:rsid w:val="00FA78C8"/>
    <w:rsid w:val="00FA7A2F"/>
    <w:rsid w:val="00FB085D"/>
    <w:rsid w:val="00FB09FE"/>
    <w:rsid w:val="00FB0E80"/>
    <w:rsid w:val="00FB101D"/>
    <w:rsid w:val="00FB1725"/>
    <w:rsid w:val="00FB2493"/>
    <w:rsid w:val="00FB42B7"/>
    <w:rsid w:val="00FB4484"/>
    <w:rsid w:val="00FB593A"/>
    <w:rsid w:val="00FB627D"/>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E19C5"/>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201A"/>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77025441">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4989990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7537-4EE6-450E-9509-410C4F39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11110</Characters>
  <Application>Microsoft Office Word</Application>
  <DocSecurity>2</DocSecurity>
  <Lines>92</Lines>
  <Paragraphs>26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2011-03-28T15:27:00Z</cp:lastPrinted>
  <dcterms:created xsi:type="dcterms:W3CDTF">2012-03-10T18:51:00Z</dcterms:created>
  <dcterms:modified xsi:type="dcterms:W3CDTF">2012-03-10T18:51:00Z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