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46DD8">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6A1944">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517FE2">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517FE2">
        <w:rPr>
          <w:rFonts w:asciiTheme="minorHAnsi" w:hAnsiTheme="minorHAnsi"/>
          <w:caps/>
          <w:color w:val="auto"/>
        </w:rPr>
        <w:t>PD</w:t>
      </w:r>
      <w:r w:rsidR="00187BEA" w:rsidRPr="00517FE2">
        <w:rPr>
          <w:rFonts w:asciiTheme="minorHAnsi" w:hAnsiTheme="minorHAnsi"/>
          <w:caps/>
          <w:color w:val="auto"/>
        </w:rPr>
        <w:t>10</w:t>
      </w:r>
      <w:r w:rsidR="006A1944" w:rsidRPr="00517FE2">
        <w:rPr>
          <w:rFonts w:asciiTheme="minorHAnsi" w:hAnsiTheme="minorHAnsi"/>
          <w:caps/>
          <w:color w:val="auto"/>
        </w:rPr>
        <w:t>00013</w:t>
      </w:r>
      <w:r w:rsidRPr="00B20624">
        <w:rPr>
          <w:rFonts w:asciiTheme="minorHAnsi" w:hAnsiTheme="minorHAnsi"/>
          <w:caps/>
          <w:color w:val="auto"/>
        </w:rPr>
        <w:tab/>
      </w:r>
      <w:r w:rsidRPr="00B20624">
        <w:rPr>
          <w:rFonts w:asciiTheme="minorHAnsi" w:hAnsiTheme="minorHAnsi"/>
          <w:caps/>
          <w:color w:val="auto"/>
        </w:rPr>
        <w:tab/>
      </w:r>
      <w:r w:rsidR="006A1944">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517FE2">
        <w:rPr>
          <w:rFonts w:asciiTheme="minorHAnsi" w:hAnsiTheme="minorHAnsi"/>
          <w:caps/>
          <w:color w:val="auto"/>
        </w:rPr>
        <w:t>200</w:t>
      </w:r>
      <w:r w:rsidR="006A1944" w:rsidRPr="00517FE2">
        <w:rPr>
          <w:rFonts w:asciiTheme="minorHAnsi" w:hAnsiTheme="minorHAnsi"/>
          <w:caps/>
          <w:color w:val="auto"/>
        </w:rPr>
        <w:t>70323</w:t>
      </w:r>
    </w:p>
    <w:p w:rsidR="00C22F3A"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766214">
        <w:rPr>
          <w:rFonts w:asciiTheme="minorHAnsi" w:hAnsiTheme="minorHAnsi"/>
          <w:caps/>
          <w:color w:val="auto"/>
        </w:rPr>
        <w:t>0628</w:t>
      </w:r>
      <w:r w:rsidR="00D33A1B" w:rsidRPr="00D33A1B">
        <w:rPr>
          <w:rFonts w:asciiTheme="minorHAnsi" w:hAnsiTheme="minorHAnsi"/>
          <w:caps/>
          <w:color w:val="auto"/>
        </w:rPr>
        <w:t xml:space="preserve">  </w:t>
      </w:r>
      <w:r w:rsidR="00A65616" w:rsidRPr="006F4C47">
        <w:rPr>
          <w:rFonts w:asciiTheme="minorHAnsi" w:hAnsiTheme="minorHAnsi"/>
          <w:caps/>
          <w:color w:val="auto"/>
          <w:highlight w:val="yellow"/>
        </w:rPr>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417BDB">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Pr="00EC11B5">
        <w:rPr>
          <w:rFonts w:asciiTheme="minorHAnsi" w:hAnsiTheme="minorHAnsi"/>
          <w:color w:val="auto"/>
          <w:szCs w:val="24"/>
        </w:rPr>
        <w:t>active duty</w:t>
      </w:r>
      <w:r w:rsidR="00EC11B5" w:rsidRPr="00EC11B5">
        <w:rPr>
          <w:rFonts w:asciiTheme="minorHAnsi" w:hAnsiTheme="minorHAnsi"/>
          <w:color w:val="auto"/>
          <w:szCs w:val="24"/>
        </w:rPr>
        <w:t xml:space="preserve"> SPC </w:t>
      </w:r>
      <w:r w:rsidRPr="00EC11B5">
        <w:rPr>
          <w:rFonts w:asciiTheme="minorHAnsi" w:hAnsiTheme="minorHAnsi"/>
          <w:color w:val="auto"/>
          <w:szCs w:val="24"/>
        </w:rPr>
        <w:t>(4</w:t>
      </w:r>
      <w:r w:rsidR="00EC11B5" w:rsidRPr="00EC11B5">
        <w:rPr>
          <w:rFonts w:asciiTheme="minorHAnsi" w:hAnsiTheme="minorHAnsi"/>
          <w:color w:val="auto"/>
          <w:szCs w:val="24"/>
        </w:rPr>
        <w:t>2L</w:t>
      </w:r>
      <w:r w:rsidRPr="00EC11B5">
        <w:rPr>
          <w:rFonts w:asciiTheme="minorHAnsi" w:hAnsiTheme="minorHAnsi"/>
          <w:color w:val="auto"/>
          <w:szCs w:val="24"/>
        </w:rPr>
        <w:t xml:space="preserve">, </w:t>
      </w:r>
      <w:r w:rsidR="00EC11B5" w:rsidRPr="00EC11B5">
        <w:rPr>
          <w:rFonts w:asciiTheme="minorHAnsi" w:hAnsiTheme="minorHAnsi"/>
          <w:color w:val="auto"/>
          <w:szCs w:val="24"/>
        </w:rPr>
        <w:t>Human Resources Specialist</w:t>
      </w:r>
      <w:r w:rsidRPr="00EC11B5">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5F0823">
        <w:rPr>
          <w:rFonts w:asciiTheme="minorHAnsi" w:hAnsiTheme="minorHAnsi"/>
          <w:color w:val="auto"/>
          <w:szCs w:val="24"/>
        </w:rPr>
        <w:t xml:space="preserve">a </w:t>
      </w:r>
      <w:r w:rsidR="00EC11B5">
        <w:rPr>
          <w:rFonts w:asciiTheme="minorHAnsi" w:hAnsiTheme="minorHAnsi"/>
          <w:color w:val="auto"/>
          <w:szCs w:val="24"/>
        </w:rPr>
        <w:t xml:space="preserve">lumbar </w:t>
      </w:r>
      <w:r w:rsidR="005F0823">
        <w:rPr>
          <w:rFonts w:asciiTheme="minorHAnsi" w:hAnsiTheme="minorHAnsi"/>
          <w:color w:val="auto"/>
          <w:szCs w:val="24"/>
        </w:rPr>
        <w:t>spine condition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EC11B5">
        <w:rPr>
          <w:rFonts w:asciiTheme="minorHAnsi" w:hAnsiTheme="minorHAnsi"/>
          <w:color w:val="auto"/>
          <w:szCs w:val="24"/>
        </w:rPr>
        <w:t>2005</w:t>
      </w:r>
      <w:r w:rsidR="005F0823">
        <w:rPr>
          <w:rFonts w:asciiTheme="minorHAnsi" w:hAnsiTheme="minorHAnsi"/>
          <w:color w:val="auto"/>
          <w:szCs w:val="24"/>
        </w:rPr>
        <w:t xml:space="preserve"> and</w:t>
      </w:r>
      <w:r w:rsidR="00D978A4">
        <w:rPr>
          <w:rFonts w:asciiTheme="minorHAnsi" w:hAnsiTheme="minorHAnsi"/>
          <w:color w:val="auto"/>
          <w:szCs w:val="24"/>
        </w:rPr>
        <w:t xml:space="preserve"> </w:t>
      </w:r>
      <w:r w:rsidR="005F0823">
        <w:rPr>
          <w:rFonts w:asciiTheme="minorHAnsi" w:hAnsiTheme="minorHAnsi"/>
          <w:color w:val="auto"/>
          <w:szCs w:val="24"/>
        </w:rPr>
        <w:t>was</w:t>
      </w:r>
      <w:r w:rsidR="00D978A4">
        <w:rPr>
          <w:rFonts w:asciiTheme="minorHAnsi" w:hAnsiTheme="minorHAnsi"/>
          <w:color w:val="auto"/>
          <w:szCs w:val="24"/>
        </w:rPr>
        <w:t xml:space="preserve"> </w:t>
      </w:r>
      <w:r w:rsidR="005F0823">
        <w:rPr>
          <w:rFonts w:asciiTheme="minorHAnsi" w:hAnsiTheme="minorHAnsi"/>
          <w:color w:val="auto"/>
          <w:szCs w:val="24"/>
        </w:rPr>
        <w:t>exacerbated</w:t>
      </w:r>
      <w:r w:rsidR="00D978A4">
        <w:rPr>
          <w:rFonts w:asciiTheme="minorHAnsi" w:hAnsiTheme="minorHAnsi"/>
          <w:color w:val="auto"/>
          <w:szCs w:val="24"/>
        </w:rPr>
        <w:t xml:space="preserve"> one year later</w:t>
      </w:r>
      <w:r w:rsidR="00EC11B5">
        <w:rPr>
          <w:rFonts w:asciiTheme="minorHAnsi" w:hAnsiTheme="minorHAnsi"/>
          <w:color w:val="auto"/>
          <w:szCs w:val="24"/>
        </w:rPr>
        <w:t xml:space="preserve"> </w:t>
      </w:r>
      <w:r w:rsidR="005C08A7">
        <w:rPr>
          <w:rFonts w:asciiTheme="minorHAnsi" w:hAnsiTheme="minorHAnsi"/>
          <w:color w:val="auto"/>
          <w:szCs w:val="24"/>
        </w:rPr>
        <w:t>by a</w:t>
      </w:r>
      <w:r w:rsidR="00D978A4">
        <w:rPr>
          <w:rFonts w:asciiTheme="minorHAnsi" w:hAnsiTheme="minorHAnsi"/>
          <w:color w:val="auto"/>
          <w:szCs w:val="24"/>
        </w:rPr>
        <w:t xml:space="preserve"> work</w:t>
      </w:r>
      <w:r w:rsidR="005C08A7">
        <w:rPr>
          <w:rFonts w:asciiTheme="minorHAnsi" w:hAnsiTheme="minorHAnsi"/>
          <w:color w:val="auto"/>
          <w:szCs w:val="24"/>
        </w:rPr>
        <w:t xml:space="preserve"> incident</w:t>
      </w:r>
      <w:r w:rsidR="00D978A4">
        <w:rPr>
          <w:rFonts w:asciiTheme="minorHAnsi" w:hAnsiTheme="minorHAnsi"/>
          <w:color w:val="auto"/>
          <w:szCs w:val="24"/>
        </w:rPr>
        <w:t>.  It was</w:t>
      </w:r>
      <w:r w:rsidR="00EF31F3" w:rsidRPr="00AB7B65">
        <w:rPr>
          <w:rFonts w:asciiTheme="minorHAnsi" w:hAnsiTheme="minorHAnsi"/>
          <w:color w:val="auto"/>
          <w:szCs w:val="24"/>
        </w:rPr>
        <w:t xml:space="preserve"> not </w:t>
      </w:r>
      <w:r w:rsidR="005F0823">
        <w:rPr>
          <w:rFonts w:asciiTheme="minorHAnsi" w:hAnsiTheme="minorHAnsi"/>
          <w:color w:val="auto"/>
          <w:szCs w:val="24"/>
        </w:rPr>
        <w:t>amendable to</w:t>
      </w:r>
      <w:r w:rsidR="00EF31F3" w:rsidRPr="00AB7B65">
        <w:rPr>
          <w:rFonts w:asciiTheme="minorHAnsi" w:hAnsiTheme="minorHAnsi"/>
          <w:color w:val="auto"/>
          <w:szCs w:val="24"/>
        </w:rPr>
        <w:t xml:space="preserve"> surgical </w:t>
      </w:r>
      <w:r w:rsidR="005F0823">
        <w:rPr>
          <w:rFonts w:asciiTheme="minorHAnsi" w:hAnsiTheme="minorHAnsi"/>
          <w:color w:val="auto"/>
          <w:szCs w:val="24"/>
        </w:rPr>
        <w:t xml:space="preserve">intervention and the CI </w:t>
      </w:r>
      <w:r w:rsidR="00EF31F3" w:rsidRPr="003440DF">
        <w:rPr>
          <w:rFonts w:asciiTheme="minorHAnsi" w:hAnsiTheme="minorHAnsi"/>
          <w:color w:val="auto"/>
          <w:szCs w:val="24"/>
        </w:rPr>
        <w:t xml:space="preserve">did not respond adequately to </w:t>
      </w:r>
      <w:r w:rsidR="00766214">
        <w:rPr>
          <w:rFonts w:asciiTheme="minorHAnsi" w:hAnsiTheme="minorHAnsi"/>
          <w:color w:val="auto"/>
          <w:szCs w:val="24"/>
        </w:rPr>
        <w:t xml:space="preserve">a </w:t>
      </w:r>
      <w:r w:rsidR="002F702A">
        <w:rPr>
          <w:rFonts w:asciiTheme="minorHAnsi" w:hAnsiTheme="minorHAnsi"/>
          <w:color w:val="auto"/>
          <w:szCs w:val="24"/>
        </w:rPr>
        <w:t xml:space="preserve">trial of conservative management.  She was consequently </w:t>
      </w:r>
      <w:r w:rsidR="00EF31F3" w:rsidRPr="003440DF">
        <w:rPr>
          <w:rFonts w:asciiTheme="minorHAnsi" w:hAnsiTheme="minorHAnsi"/>
          <w:color w:val="auto"/>
          <w:szCs w:val="24"/>
        </w:rPr>
        <w:t>unable to perform within h</w:t>
      </w:r>
      <w:r w:rsidR="00EC11B5" w:rsidRPr="003440DF">
        <w:rPr>
          <w:rFonts w:asciiTheme="minorHAnsi" w:hAnsiTheme="minorHAnsi"/>
          <w:color w:val="auto"/>
          <w:szCs w:val="24"/>
        </w:rPr>
        <w:t>er</w:t>
      </w:r>
      <w:r w:rsidR="00EF31F3" w:rsidRPr="003440DF">
        <w:rPr>
          <w:rFonts w:asciiTheme="minorHAnsi" w:hAnsiTheme="minorHAnsi"/>
          <w:color w:val="auto"/>
          <w:szCs w:val="24"/>
        </w:rPr>
        <w:t xml:space="preserve"> </w:t>
      </w:r>
      <w:r w:rsidR="0058596B" w:rsidRPr="003440DF">
        <w:rPr>
          <w:rFonts w:asciiTheme="minorHAnsi" w:hAnsiTheme="minorHAnsi"/>
          <w:color w:val="auto"/>
          <w:szCs w:val="24"/>
        </w:rPr>
        <w:t xml:space="preserve">military occupational specialty </w:t>
      </w:r>
      <w:r w:rsidR="00EF31F3" w:rsidRPr="003440DF">
        <w:rPr>
          <w:rFonts w:asciiTheme="minorHAnsi" w:hAnsiTheme="minorHAnsi"/>
          <w:color w:val="auto"/>
          <w:szCs w:val="24"/>
        </w:rPr>
        <w:t>(MOS) or meet physical fitness standards</w:t>
      </w:r>
      <w:r w:rsidR="002F702A">
        <w:rPr>
          <w:rFonts w:asciiTheme="minorHAnsi" w:hAnsiTheme="minorHAnsi"/>
          <w:color w:val="auto"/>
          <w:szCs w:val="24"/>
        </w:rPr>
        <w:t>; a request for retraining in a new MOS and retention on active duty was denied</w:t>
      </w:r>
      <w:r w:rsidR="00EF31F3" w:rsidRPr="003440DF">
        <w:rPr>
          <w:rFonts w:asciiTheme="minorHAnsi" w:hAnsiTheme="minorHAnsi"/>
          <w:color w:val="auto"/>
          <w:szCs w:val="24"/>
        </w:rPr>
        <w:t xml:space="preserve">.  </w:t>
      </w:r>
      <w:r w:rsidR="00EC11B5" w:rsidRPr="003440DF">
        <w:rPr>
          <w:rFonts w:asciiTheme="minorHAnsi" w:hAnsiTheme="minorHAnsi"/>
          <w:color w:val="auto"/>
          <w:szCs w:val="24"/>
        </w:rPr>
        <w:t>Sh</w:t>
      </w:r>
      <w:r w:rsidR="002F702A">
        <w:rPr>
          <w:rFonts w:asciiTheme="minorHAnsi" w:hAnsiTheme="minorHAnsi"/>
          <w:color w:val="auto"/>
          <w:szCs w:val="24"/>
        </w:rPr>
        <w:t xml:space="preserve">e was </w:t>
      </w:r>
      <w:r w:rsidR="00766214">
        <w:rPr>
          <w:rFonts w:asciiTheme="minorHAnsi" w:hAnsiTheme="minorHAnsi"/>
          <w:color w:val="auto"/>
          <w:szCs w:val="24"/>
        </w:rPr>
        <w:t xml:space="preserve">consequently </w:t>
      </w:r>
      <w:r w:rsidR="002F702A">
        <w:rPr>
          <w:rFonts w:asciiTheme="minorHAnsi" w:hAnsiTheme="minorHAnsi"/>
          <w:color w:val="auto"/>
          <w:szCs w:val="24"/>
        </w:rPr>
        <w:t>issued a permanent L</w:t>
      </w:r>
      <w:r w:rsidR="00EF31F3" w:rsidRPr="003440DF">
        <w:rPr>
          <w:rFonts w:asciiTheme="minorHAnsi" w:hAnsiTheme="minorHAnsi"/>
          <w:color w:val="auto"/>
          <w:szCs w:val="24"/>
        </w:rPr>
        <w:t>3 profile and underwent a Medical Evaluation Board (MEB).</w:t>
      </w:r>
      <w:r w:rsidR="00EF31F3" w:rsidRPr="00A315F3">
        <w:rPr>
          <w:rFonts w:asciiTheme="minorHAnsi" w:hAnsiTheme="minorHAnsi"/>
          <w:color w:val="auto"/>
          <w:szCs w:val="24"/>
        </w:rPr>
        <w:t xml:space="preserve">  </w:t>
      </w:r>
      <w:r w:rsidR="00417BDB">
        <w:rPr>
          <w:rFonts w:asciiTheme="minorHAnsi" w:hAnsiTheme="minorHAnsi"/>
          <w:color w:val="auto"/>
          <w:szCs w:val="24"/>
        </w:rPr>
        <w:t xml:space="preserve">Lumbar </w:t>
      </w:r>
      <w:proofErr w:type="spellStart"/>
      <w:r w:rsidR="00417BDB">
        <w:rPr>
          <w:rFonts w:asciiTheme="minorHAnsi" w:hAnsiTheme="minorHAnsi"/>
          <w:color w:val="auto"/>
          <w:szCs w:val="24"/>
        </w:rPr>
        <w:t>spondylosis</w:t>
      </w:r>
      <w:proofErr w:type="spellEnd"/>
      <w:r w:rsidR="00417BDB">
        <w:rPr>
          <w:rFonts w:asciiTheme="minorHAnsi" w:hAnsiTheme="minorHAnsi"/>
          <w:color w:val="auto"/>
          <w:szCs w:val="24"/>
        </w:rPr>
        <w:t xml:space="preserve"> was </w:t>
      </w:r>
      <w:r w:rsidRPr="00417BDB">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417BDB">
        <w:rPr>
          <w:rFonts w:asciiTheme="minorHAnsi" w:hAnsiTheme="minorHAnsi"/>
          <w:color w:val="auto"/>
          <w:szCs w:val="24"/>
        </w:rPr>
        <w:t xml:space="preserve">as </w:t>
      </w:r>
      <w:r w:rsidR="002F702A">
        <w:rPr>
          <w:rFonts w:asciiTheme="minorHAnsi" w:hAnsiTheme="minorHAnsi"/>
          <w:color w:val="auto"/>
          <w:szCs w:val="24"/>
        </w:rPr>
        <w:t xml:space="preserve">a </w:t>
      </w:r>
      <w:r w:rsidRPr="00417BDB">
        <w:rPr>
          <w:rFonts w:asciiTheme="minorHAnsi" w:hAnsiTheme="minorHAnsi"/>
          <w:color w:val="auto"/>
          <w:szCs w:val="24"/>
        </w:rPr>
        <w:t xml:space="preserve">medically unacceptable </w:t>
      </w:r>
      <w:r w:rsidR="002F702A">
        <w:rPr>
          <w:rFonts w:asciiTheme="minorHAnsi" w:hAnsiTheme="minorHAnsi"/>
          <w:color w:val="auto"/>
          <w:szCs w:val="24"/>
        </w:rPr>
        <w:t xml:space="preserve">condition </w:t>
      </w:r>
      <w:r w:rsidRPr="00417BDB">
        <w:rPr>
          <w:rFonts w:asciiTheme="minorHAnsi" w:hAnsiTheme="minorHAnsi"/>
          <w:color w:val="auto"/>
          <w:szCs w:val="24"/>
        </w:rPr>
        <w:t>IAW AR 40-501</w:t>
      </w:r>
      <w:r w:rsidRPr="00A315F3">
        <w:rPr>
          <w:rFonts w:asciiTheme="minorHAnsi" w:hAnsiTheme="minorHAnsi"/>
          <w:color w:val="auto"/>
          <w:szCs w:val="24"/>
        </w:rPr>
        <w:t>.</w:t>
      </w:r>
      <w:r w:rsidR="00417BDB">
        <w:rPr>
          <w:rFonts w:asciiTheme="minorHAnsi" w:hAnsiTheme="minorHAnsi"/>
          <w:color w:val="auto"/>
          <w:szCs w:val="24"/>
        </w:rPr>
        <w:t xml:space="preserve">  </w:t>
      </w:r>
      <w:r w:rsidR="002F702A">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417BDB">
        <w:rPr>
          <w:rFonts w:asciiTheme="minorHAnsi" w:hAnsiTheme="minorHAnsi"/>
          <w:color w:val="auto"/>
          <w:szCs w:val="24"/>
        </w:rPr>
        <w:t>lumbar</w:t>
      </w:r>
      <w:r w:rsidRPr="00A315F3">
        <w:rPr>
          <w:rFonts w:asciiTheme="minorHAnsi" w:hAnsiTheme="minorHAnsi"/>
          <w:color w:val="auto"/>
          <w:szCs w:val="24"/>
        </w:rPr>
        <w:t xml:space="preserve"> condition as unfitting, rated </w:t>
      </w:r>
      <w:r w:rsidR="00417BDB">
        <w:rPr>
          <w:rFonts w:asciiTheme="minorHAnsi" w:hAnsiTheme="minorHAnsi"/>
          <w:color w:val="auto"/>
          <w:szCs w:val="24"/>
        </w:rPr>
        <w:t>10</w:t>
      </w:r>
      <w:r w:rsidRPr="00A315F3">
        <w:rPr>
          <w:rFonts w:asciiTheme="minorHAnsi" w:hAnsiTheme="minorHAnsi"/>
          <w:color w:val="auto"/>
          <w:szCs w:val="24"/>
        </w:rPr>
        <w:t xml:space="preserve">% with </w:t>
      </w:r>
      <w:r w:rsidR="00131508">
        <w:rPr>
          <w:rFonts w:asciiTheme="minorHAnsi" w:hAnsiTheme="minorHAnsi"/>
          <w:color w:val="auto"/>
          <w:szCs w:val="24"/>
        </w:rPr>
        <w:t xml:space="preserve">presumptive </w:t>
      </w:r>
      <w:r w:rsidRPr="00A315F3">
        <w:rPr>
          <w:rFonts w:asciiTheme="minorHAnsi" w:hAnsiTheme="minorHAnsi"/>
          <w:color w:val="auto"/>
          <w:szCs w:val="24"/>
        </w:rPr>
        <w:t xml:space="preserve">application of the </w:t>
      </w:r>
      <w:r w:rsidRPr="00131508">
        <w:rPr>
          <w:rFonts w:asciiTheme="minorHAnsi" w:hAnsiTheme="minorHAnsi"/>
          <w:color w:val="auto"/>
          <w:szCs w:val="24"/>
        </w:rPr>
        <w:t>US Army Physical Disability Agency (USAPDA) pain policy</w:t>
      </w:r>
      <w:r w:rsidR="00131508">
        <w:rPr>
          <w:rFonts w:asciiTheme="minorHAnsi" w:hAnsiTheme="minorHAnsi"/>
          <w:color w:val="auto"/>
          <w:szCs w:val="24"/>
        </w:rPr>
        <w:t xml:space="preserve">.  </w:t>
      </w:r>
      <w:r w:rsidRPr="00A315F3">
        <w:rPr>
          <w:rFonts w:asciiTheme="minorHAnsi" w:hAnsiTheme="minorHAnsi"/>
          <w:color w:val="auto"/>
        </w:rPr>
        <w:t xml:space="preserve">The CI made </w:t>
      </w:r>
      <w:r w:rsidRPr="00131508">
        <w:rPr>
          <w:rFonts w:asciiTheme="minorHAnsi" w:hAnsiTheme="minorHAnsi"/>
          <w:color w:val="auto"/>
        </w:rPr>
        <w:t>no appeals</w:t>
      </w:r>
      <w:r w:rsidR="00901574" w:rsidRPr="00A315F3">
        <w:rPr>
          <w:rFonts w:asciiTheme="minorHAnsi" w:hAnsiTheme="minorHAnsi"/>
          <w:color w:val="auto"/>
        </w:rPr>
        <w:t>,</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417BDB">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2E289F" w:rsidRPr="00417BDB" w:rsidRDefault="002C6E5B"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417BDB">
        <w:rPr>
          <w:rFonts w:asciiTheme="minorHAnsi" w:hAnsiTheme="minorHAnsi"/>
          <w:color w:val="auto"/>
        </w:rPr>
        <w:t>“</w:t>
      </w:r>
      <w:r w:rsidR="00417BDB" w:rsidRPr="004E2B8A">
        <w:rPr>
          <w:rFonts w:asciiTheme="minorHAnsi" w:hAnsiTheme="minorHAnsi"/>
          <w:color w:val="auto"/>
        </w:rPr>
        <w:t>Military gave me a rating of 10% when within</w:t>
      </w:r>
      <w:r w:rsidR="00417BDB">
        <w:rPr>
          <w:rFonts w:asciiTheme="minorHAnsi" w:hAnsiTheme="minorHAnsi"/>
          <w:color w:val="auto"/>
        </w:rPr>
        <w:t xml:space="preserve"> 6 months VA gave me a 40%</w:t>
      </w:r>
      <w:r w:rsidR="00417BDB" w:rsidRPr="004E2B8A">
        <w:rPr>
          <w:rFonts w:asciiTheme="minorHAnsi" w:hAnsiTheme="minorHAnsi"/>
          <w:color w:val="auto"/>
        </w:rPr>
        <w:t xml:space="preserve"> rating for same condition using the same medical documents as the</w:t>
      </w:r>
      <w:r w:rsidR="00417BDB">
        <w:rPr>
          <w:rFonts w:asciiTheme="minorHAnsi" w:hAnsiTheme="minorHAnsi"/>
          <w:color w:val="auto"/>
        </w:rPr>
        <w:t xml:space="preserve"> </w:t>
      </w:r>
      <w:r w:rsidR="00417BDB" w:rsidRPr="004E2B8A">
        <w:rPr>
          <w:rFonts w:asciiTheme="minorHAnsi" w:hAnsiTheme="minorHAnsi"/>
          <w:color w:val="auto"/>
        </w:rPr>
        <w:t>military.</w:t>
      </w:r>
      <w:r w:rsidR="00417BDB">
        <w:rPr>
          <w:rFonts w:asciiTheme="minorHAnsi" w:hAnsiTheme="minorHAnsi"/>
          <w:color w:val="auto"/>
        </w:rPr>
        <w:t xml:space="preserve"> </w:t>
      </w:r>
      <w:r w:rsidR="00417BDB" w:rsidRPr="004E2B8A">
        <w:rPr>
          <w:rFonts w:asciiTheme="minorHAnsi" w:hAnsiTheme="minorHAnsi"/>
          <w:color w:val="auto"/>
        </w:rPr>
        <w:t xml:space="preserve"> If</w:t>
      </w:r>
      <w:r w:rsidR="00417BDB">
        <w:rPr>
          <w:rFonts w:asciiTheme="minorHAnsi" w:hAnsiTheme="minorHAnsi"/>
          <w:color w:val="auto"/>
        </w:rPr>
        <w:t xml:space="preserve"> </w:t>
      </w:r>
      <w:r w:rsidR="00417BDB" w:rsidRPr="004E2B8A">
        <w:rPr>
          <w:rFonts w:asciiTheme="minorHAnsi" w:hAnsiTheme="minorHAnsi"/>
          <w:color w:val="auto"/>
        </w:rPr>
        <w:t>both boards are using same rating system then one of</w:t>
      </w:r>
      <w:r w:rsidR="00417BDB">
        <w:rPr>
          <w:rFonts w:asciiTheme="minorHAnsi" w:hAnsiTheme="minorHAnsi"/>
          <w:color w:val="auto"/>
        </w:rPr>
        <w:t xml:space="preserve"> </w:t>
      </w:r>
      <w:r w:rsidR="00417BDB" w:rsidRPr="004E2B8A">
        <w:rPr>
          <w:rFonts w:asciiTheme="minorHAnsi" w:hAnsiTheme="minorHAnsi"/>
          <w:color w:val="auto"/>
        </w:rPr>
        <w:t>the boards did not rate properly.</w:t>
      </w:r>
      <w:r w:rsidR="00417BDB">
        <w:rPr>
          <w:rFonts w:asciiTheme="minorHAnsi" w:hAnsiTheme="minorHAnsi"/>
          <w:color w:val="auto"/>
        </w:rPr>
        <w:t xml:space="preserve"> </w:t>
      </w:r>
      <w:r w:rsidR="00417BDB" w:rsidRPr="004E2B8A">
        <w:rPr>
          <w:rFonts w:asciiTheme="minorHAnsi" w:hAnsiTheme="minorHAnsi"/>
          <w:color w:val="auto"/>
        </w:rPr>
        <w:t xml:space="preserve"> I was also found to be 100% disabled by Social</w:t>
      </w:r>
      <w:r w:rsidR="00417BDB">
        <w:rPr>
          <w:rFonts w:asciiTheme="minorHAnsi" w:hAnsiTheme="minorHAnsi"/>
          <w:color w:val="auto"/>
        </w:rPr>
        <w:t xml:space="preserve"> </w:t>
      </w:r>
      <w:r w:rsidR="00417BDB" w:rsidRPr="004E2B8A">
        <w:rPr>
          <w:rFonts w:asciiTheme="minorHAnsi" w:hAnsiTheme="minorHAnsi"/>
          <w:color w:val="auto"/>
        </w:rPr>
        <w:t>Security Administration within six months of</w:t>
      </w:r>
      <w:r w:rsidR="00417BDB">
        <w:rPr>
          <w:rFonts w:asciiTheme="minorHAnsi" w:hAnsiTheme="minorHAnsi"/>
          <w:color w:val="auto"/>
        </w:rPr>
        <w:t xml:space="preserve"> </w:t>
      </w:r>
      <w:r w:rsidR="00417BDB" w:rsidRPr="004E2B8A">
        <w:rPr>
          <w:rFonts w:asciiTheme="minorHAnsi" w:hAnsiTheme="minorHAnsi"/>
          <w:color w:val="auto"/>
        </w:rPr>
        <w:t>being released by the a</w:t>
      </w:r>
      <w:r w:rsidR="00417BDB">
        <w:rPr>
          <w:rFonts w:asciiTheme="minorHAnsi" w:hAnsiTheme="minorHAnsi"/>
          <w:color w:val="auto"/>
        </w:rPr>
        <w:t>rmy</w:t>
      </w:r>
      <w:r w:rsidR="00417BDB" w:rsidRPr="004E2B8A">
        <w:rPr>
          <w:rFonts w:asciiTheme="minorHAnsi" w:hAnsiTheme="minorHAnsi"/>
          <w:color w:val="auto"/>
        </w:rPr>
        <w:t>.</w:t>
      </w:r>
      <w:r w:rsidR="00417BDB">
        <w:rPr>
          <w:rFonts w:asciiTheme="minorHAnsi" w:hAnsiTheme="minorHAnsi"/>
          <w:color w:val="auto"/>
        </w:rPr>
        <w:t xml:space="preserve">  The military did not even rate me for my PTSD for which the VA gave me a 0% and then changed to a 30% within a year.”  She</w:t>
      </w:r>
      <w:r w:rsidR="006573F2" w:rsidRPr="00A315F3">
        <w:rPr>
          <w:rFonts w:asciiTheme="minorHAnsi" w:hAnsiTheme="minorHAnsi"/>
          <w:color w:val="auto"/>
          <w:szCs w:val="24"/>
        </w:rPr>
        <w:t xml:space="preserve"> additionally lists all of </w:t>
      </w:r>
      <w:r w:rsidR="00417BDB">
        <w:rPr>
          <w:rFonts w:asciiTheme="minorHAnsi" w:hAnsiTheme="minorHAnsi"/>
          <w:color w:val="auto"/>
          <w:szCs w:val="24"/>
        </w:rPr>
        <w:t>her</w:t>
      </w:r>
      <w:r w:rsidR="006573F2" w:rsidRPr="00A315F3">
        <w:rPr>
          <w:rFonts w:asciiTheme="minorHAnsi" w:hAnsiTheme="minorHAnsi"/>
          <w:color w:val="auto"/>
          <w:szCs w:val="24"/>
        </w:rPr>
        <w:t xml:space="preserve"> VA conditions and ratings as per the rating chart below.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6266C" w:rsidRPr="00542C9A" w:rsidRDefault="00F6266C" w:rsidP="00190E48">
      <w:pPr>
        <w:spacing w:line="240" w:lineRule="exact"/>
        <w:jc w:val="both"/>
        <w:rPr>
          <w:rFonts w:ascii="Calibri" w:hAnsi="Calibri"/>
          <w:color w:val="auto"/>
        </w:rPr>
      </w:pPr>
    </w:p>
    <w:tbl>
      <w:tblPr>
        <w:tblStyle w:val="TableGrid"/>
        <w:tblW w:w="9428" w:type="dxa"/>
        <w:jc w:val="center"/>
        <w:tblInd w:w="-45" w:type="dxa"/>
        <w:tblLayout w:type="fixed"/>
        <w:tblLook w:val="04A0"/>
      </w:tblPr>
      <w:tblGrid>
        <w:gridCol w:w="2194"/>
        <w:gridCol w:w="1091"/>
        <w:gridCol w:w="810"/>
        <w:gridCol w:w="2059"/>
        <w:gridCol w:w="1080"/>
        <w:gridCol w:w="810"/>
        <w:gridCol w:w="1384"/>
      </w:tblGrid>
      <w:tr w:rsidR="00F6266C" w:rsidRPr="002A685E" w:rsidTr="0028154E">
        <w:trPr>
          <w:trHeight w:val="197"/>
          <w:jc w:val="center"/>
        </w:trPr>
        <w:tc>
          <w:tcPr>
            <w:tcW w:w="4095" w:type="dxa"/>
            <w:gridSpan w:val="3"/>
            <w:tcBorders>
              <w:right w:val="thinThickThinSmallGap" w:sz="24" w:space="0" w:color="auto"/>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437334">
              <w:rPr>
                <w:rFonts w:cs="Times New Roman"/>
                <w:b/>
                <w:sz w:val="20"/>
                <w:szCs w:val="20"/>
              </w:rPr>
              <w:t>I</w:t>
            </w:r>
            <w:r w:rsidRPr="0085089F">
              <w:rPr>
                <w:rFonts w:cs="Times New Roman"/>
                <w:b/>
                <w:sz w:val="20"/>
                <w:szCs w:val="20"/>
              </w:rPr>
              <w:t xml:space="preserve">PEB – Dated </w:t>
            </w:r>
            <w:r w:rsidR="00437334">
              <w:rPr>
                <w:rFonts w:cs="Times New Roman"/>
                <w:b/>
                <w:sz w:val="20"/>
                <w:szCs w:val="20"/>
              </w:rPr>
              <w:t>20070110</w:t>
            </w:r>
          </w:p>
        </w:tc>
        <w:tc>
          <w:tcPr>
            <w:tcW w:w="5333" w:type="dxa"/>
            <w:gridSpan w:val="4"/>
            <w:tcBorders>
              <w:left w:val="thinThickThinSmallGap" w:sz="24" w:space="0" w:color="auto"/>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VA (</w:t>
            </w:r>
            <w:r w:rsidR="00517FE2">
              <w:rPr>
                <w:rFonts w:cs="Times New Roman"/>
                <w:b/>
                <w:sz w:val="20"/>
                <w:szCs w:val="20"/>
              </w:rPr>
              <w:t>4</w:t>
            </w:r>
            <w:r w:rsidRPr="0085089F">
              <w:rPr>
                <w:rFonts w:cs="Times New Roman"/>
                <w:b/>
                <w:sz w:val="20"/>
                <w:szCs w:val="20"/>
              </w:rPr>
              <w:t xml:space="preserve"> Mo. </w:t>
            </w:r>
            <w:r w:rsidR="00517FE2">
              <w:rPr>
                <w:rFonts w:cs="Times New Roman"/>
                <w:b/>
                <w:sz w:val="20"/>
                <w:szCs w:val="20"/>
              </w:rPr>
              <w:t>Pre</w:t>
            </w:r>
            <w:r w:rsidRPr="0085089F">
              <w:rPr>
                <w:rFonts w:cs="Times New Roman"/>
                <w:b/>
                <w:sz w:val="20"/>
                <w:szCs w:val="20"/>
              </w:rPr>
              <w:t xml:space="preserve"> Separation) – All Effective </w:t>
            </w:r>
            <w:r w:rsidR="00517FE2">
              <w:rPr>
                <w:rFonts w:cs="Times New Roman"/>
                <w:b/>
                <w:sz w:val="20"/>
                <w:szCs w:val="20"/>
              </w:rPr>
              <w:t>20070324</w:t>
            </w:r>
          </w:p>
        </w:tc>
      </w:tr>
      <w:tr w:rsidR="00F6266C" w:rsidRPr="002A685E" w:rsidTr="0028154E">
        <w:trPr>
          <w:trHeight w:val="54"/>
          <w:jc w:val="center"/>
        </w:trPr>
        <w:tc>
          <w:tcPr>
            <w:tcW w:w="2194" w:type="dxa"/>
            <w:tcBorders>
              <w:bottom w:val="single" w:sz="4" w:space="0" w:color="000000" w:themeColor="text1"/>
            </w:tcBorders>
            <w:shd w:val="clear" w:color="auto" w:fill="D9D9D9" w:themeFill="background1" w:themeFillShade="D9"/>
            <w:vAlign w:val="center"/>
          </w:tcPr>
          <w:p w:rsidR="00F6266C" w:rsidRPr="0085089F" w:rsidRDefault="00F6266C" w:rsidP="0028154E">
            <w:pPr>
              <w:pStyle w:val="ListParagraph"/>
              <w:spacing w:after="0" w:line="240" w:lineRule="exact"/>
              <w:ind w:left="0"/>
              <w:rPr>
                <w:rFonts w:cs="Times New Roman"/>
                <w:b/>
                <w:sz w:val="20"/>
                <w:szCs w:val="20"/>
              </w:rPr>
            </w:pPr>
            <w:r w:rsidRPr="0085089F">
              <w:rPr>
                <w:rFonts w:cs="Times New Roman"/>
                <w:b/>
                <w:sz w:val="20"/>
                <w:szCs w:val="20"/>
              </w:rPr>
              <w:t>Condition</w:t>
            </w:r>
          </w:p>
        </w:tc>
        <w:tc>
          <w:tcPr>
            <w:tcW w:w="1091" w:type="dxa"/>
            <w:tcBorders>
              <w:bottom w:val="single" w:sz="4" w:space="0" w:color="000000" w:themeColor="text1"/>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059" w:type="dxa"/>
            <w:tcBorders>
              <w:left w:val="thinThickThinSmallGap" w:sz="24" w:space="0" w:color="auto"/>
              <w:bottom w:val="single" w:sz="4" w:space="0" w:color="000000" w:themeColor="text1"/>
            </w:tcBorders>
            <w:shd w:val="clear" w:color="auto" w:fill="D9D9D9" w:themeFill="background1" w:themeFillShade="D9"/>
            <w:vAlign w:val="center"/>
          </w:tcPr>
          <w:p w:rsidR="00F6266C" w:rsidRPr="0085089F" w:rsidRDefault="00F6266C" w:rsidP="0028154E">
            <w:pPr>
              <w:pStyle w:val="ListParagraph"/>
              <w:spacing w:after="0" w:line="240" w:lineRule="exact"/>
              <w:ind w:left="0"/>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384" w:type="dxa"/>
            <w:tcBorders>
              <w:bottom w:val="single" w:sz="4" w:space="0" w:color="000000" w:themeColor="text1"/>
            </w:tcBorders>
            <w:shd w:val="clear" w:color="auto" w:fill="D9D9D9" w:themeFill="background1" w:themeFillShade="D9"/>
            <w:vAlign w:val="center"/>
          </w:tcPr>
          <w:p w:rsidR="00F6266C" w:rsidRPr="0085089F" w:rsidRDefault="00F6266C" w:rsidP="0028154E">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F6266C" w:rsidRPr="002A685E" w:rsidTr="0028154E">
        <w:trPr>
          <w:trHeight w:val="152"/>
          <w:jc w:val="center"/>
        </w:trPr>
        <w:tc>
          <w:tcPr>
            <w:tcW w:w="2194" w:type="dxa"/>
            <w:shd w:val="clear" w:color="auto" w:fill="FFFFFF" w:themeFill="background1"/>
            <w:vAlign w:val="center"/>
          </w:tcPr>
          <w:p w:rsidR="00F6266C" w:rsidRPr="00BC3538" w:rsidRDefault="00437334" w:rsidP="0028154E">
            <w:pPr>
              <w:pStyle w:val="ListParagraph"/>
              <w:spacing w:after="0" w:line="220" w:lineRule="exact"/>
              <w:ind w:left="0"/>
              <w:rPr>
                <w:rFonts w:cs="Times New Roman"/>
                <w:sz w:val="18"/>
                <w:szCs w:val="18"/>
              </w:rPr>
            </w:pPr>
            <w:r>
              <w:rPr>
                <w:rFonts w:cs="Times New Roman"/>
                <w:sz w:val="18"/>
                <w:szCs w:val="18"/>
              </w:rPr>
              <w:t>Lumbar Spondylosis</w:t>
            </w:r>
          </w:p>
        </w:tc>
        <w:tc>
          <w:tcPr>
            <w:tcW w:w="1091" w:type="dxa"/>
            <w:shd w:val="clear" w:color="auto" w:fill="FFFFFF" w:themeFill="background1"/>
            <w:vAlign w:val="center"/>
          </w:tcPr>
          <w:p w:rsidR="00F6266C" w:rsidRPr="00BC3538" w:rsidRDefault="00437334" w:rsidP="0028154E">
            <w:pPr>
              <w:pStyle w:val="ListParagraph"/>
              <w:spacing w:after="0" w:line="220" w:lineRule="exact"/>
              <w:ind w:left="0"/>
              <w:jc w:val="center"/>
              <w:rPr>
                <w:rFonts w:cs="Times New Roman"/>
                <w:sz w:val="18"/>
                <w:szCs w:val="18"/>
              </w:rPr>
            </w:pPr>
            <w:r>
              <w:rPr>
                <w:rFonts w:cs="Times New Roman"/>
                <w:sz w:val="18"/>
                <w:szCs w:val="18"/>
              </w:rPr>
              <w:t>5299-5237</w:t>
            </w:r>
          </w:p>
        </w:tc>
        <w:tc>
          <w:tcPr>
            <w:tcW w:w="810" w:type="dxa"/>
            <w:tcBorders>
              <w:right w:val="thinThickThinSmallGap" w:sz="24" w:space="0" w:color="auto"/>
            </w:tcBorders>
            <w:shd w:val="clear" w:color="auto" w:fill="FFFFFF" w:themeFill="background1"/>
            <w:vAlign w:val="center"/>
          </w:tcPr>
          <w:p w:rsidR="00F6266C" w:rsidRPr="00BC3538" w:rsidRDefault="00437334" w:rsidP="0028154E">
            <w:pPr>
              <w:pStyle w:val="ListParagraph"/>
              <w:spacing w:after="0" w:line="220" w:lineRule="exact"/>
              <w:ind w:left="0"/>
              <w:jc w:val="center"/>
              <w:rPr>
                <w:rFonts w:cs="Times New Roman"/>
                <w:sz w:val="18"/>
                <w:szCs w:val="18"/>
              </w:rPr>
            </w:pPr>
            <w:r>
              <w:rPr>
                <w:rFonts w:cs="Times New Roman"/>
                <w:sz w:val="18"/>
                <w:szCs w:val="18"/>
              </w:rPr>
              <w:t>10%</w:t>
            </w:r>
          </w:p>
        </w:tc>
        <w:tc>
          <w:tcPr>
            <w:tcW w:w="2059" w:type="dxa"/>
            <w:tcBorders>
              <w:left w:val="thinThickThinSmallGap" w:sz="24" w:space="0" w:color="auto"/>
            </w:tcBorders>
            <w:shd w:val="clear" w:color="auto" w:fill="FFFFFF" w:themeFill="background1"/>
            <w:vAlign w:val="center"/>
          </w:tcPr>
          <w:p w:rsidR="00F6266C" w:rsidRPr="00BC3538" w:rsidRDefault="00437334" w:rsidP="0028154E">
            <w:pPr>
              <w:pStyle w:val="ListParagraph"/>
              <w:spacing w:after="0" w:line="220" w:lineRule="exact"/>
              <w:ind w:left="0"/>
              <w:rPr>
                <w:rFonts w:cs="Times New Roman"/>
                <w:sz w:val="18"/>
                <w:szCs w:val="18"/>
              </w:rPr>
            </w:pPr>
            <w:r>
              <w:rPr>
                <w:rFonts w:cs="Times New Roman"/>
                <w:sz w:val="18"/>
                <w:szCs w:val="18"/>
              </w:rPr>
              <w:t>Lumbar Spondylosis</w:t>
            </w:r>
          </w:p>
        </w:tc>
        <w:tc>
          <w:tcPr>
            <w:tcW w:w="1080" w:type="dxa"/>
            <w:shd w:val="clear" w:color="auto" w:fill="FFFFFF" w:themeFill="background1"/>
            <w:vAlign w:val="center"/>
          </w:tcPr>
          <w:p w:rsidR="00F6266C" w:rsidRPr="00BC3538" w:rsidRDefault="00437334" w:rsidP="0028154E">
            <w:pPr>
              <w:pStyle w:val="ListParagraph"/>
              <w:spacing w:after="0" w:line="220" w:lineRule="exact"/>
              <w:ind w:left="0"/>
              <w:jc w:val="center"/>
              <w:rPr>
                <w:rFonts w:cs="Times New Roman"/>
                <w:sz w:val="18"/>
                <w:szCs w:val="18"/>
              </w:rPr>
            </w:pPr>
            <w:r>
              <w:rPr>
                <w:rFonts w:cs="Times New Roman"/>
                <w:sz w:val="18"/>
                <w:szCs w:val="18"/>
              </w:rPr>
              <w:t>5239-5243</w:t>
            </w:r>
          </w:p>
        </w:tc>
        <w:tc>
          <w:tcPr>
            <w:tcW w:w="810" w:type="dxa"/>
            <w:shd w:val="clear" w:color="auto" w:fill="FFFFFF" w:themeFill="background1"/>
            <w:vAlign w:val="center"/>
          </w:tcPr>
          <w:p w:rsidR="00F6266C" w:rsidRPr="00542C9A" w:rsidRDefault="00437334" w:rsidP="0028154E">
            <w:pPr>
              <w:pStyle w:val="ListParagraph"/>
              <w:spacing w:after="0" w:line="220" w:lineRule="exact"/>
              <w:ind w:left="0"/>
              <w:jc w:val="center"/>
              <w:rPr>
                <w:rFonts w:cs="Times New Roman"/>
                <w:sz w:val="18"/>
                <w:szCs w:val="18"/>
              </w:rPr>
            </w:pPr>
            <w:r>
              <w:rPr>
                <w:rFonts w:cs="Times New Roman"/>
                <w:sz w:val="18"/>
                <w:szCs w:val="18"/>
              </w:rPr>
              <w:t>40%</w:t>
            </w:r>
          </w:p>
        </w:tc>
        <w:tc>
          <w:tcPr>
            <w:tcW w:w="1384" w:type="dxa"/>
            <w:shd w:val="clear" w:color="auto" w:fill="FFFFFF" w:themeFill="background1"/>
            <w:vAlign w:val="center"/>
          </w:tcPr>
          <w:p w:rsidR="00F6266C" w:rsidRPr="00542C9A" w:rsidRDefault="00517FE2" w:rsidP="0028154E">
            <w:pPr>
              <w:pStyle w:val="ListParagraph"/>
              <w:spacing w:after="0" w:line="220" w:lineRule="exact"/>
              <w:ind w:left="0"/>
              <w:jc w:val="center"/>
              <w:rPr>
                <w:rFonts w:cs="Times New Roman"/>
                <w:sz w:val="18"/>
                <w:szCs w:val="18"/>
              </w:rPr>
            </w:pPr>
            <w:r>
              <w:rPr>
                <w:rFonts w:cs="Times New Roman"/>
                <w:sz w:val="18"/>
                <w:szCs w:val="18"/>
              </w:rPr>
              <w:t>S</w:t>
            </w:r>
            <w:r w:rsidR="0028154E">
              <w:rPr>
                <w:rFonts w:cs="Times New Roman"/>
                <w:sz w:val="18"/>
                <w:szCs w:val="18"/>
              </w:rPr>
              <w:t>ervice Records</w:t>
            </w:r>
          </w:p>
        </w:tc>
      </w:tr>
      <w:tr w:rsidR="00437334" w:rsidRPr="002A685E" w:rsidTr="0028154E">
        <w:trPr>
          <w:trHeight w:val="80"/>
          <w:jc w:val="center"/>
        </w:trPr>
        <w:tc>
          <w:tcPr>
            <w:tcW w:w="4095" w:type="dxa"/>
            <w:gridSpan w:val="3"/>
            <w:tcBorders>
              <w:right w:val="thinThickThinSmallGap" w:sz="24" w:space="0" w:color="auto"/>
            </w:tcBorders>
            <w:shd w:val="clear" w:color="auto" w:fill="FFFFFF" w:themeFill="background1"/>
            <w:vAlign w:val="center"/>
          </w:tcPr>
          <w:p w:rsidR="00437334" w:rsidRPr="00BC3538" w:rsidRDefault="00437334" w:rsidP="0028154E">
            <w:pPr>
              <w:pStyle w:val="ListParagraph"/>
              <w:spacing w:line="220" w:lineRule="exact"/>
              <w:ind w:left="0"/>
              <w:jc w:val="center"/>
              <w:rPr>
                <w:rFonts w:cs="Times New Roman"/>
                <w:sz w:val="18"/>
                <w:szCs w:val="18"/>
              </w:rPr>
            </w:pPr>
            <w:r w:rsidRPr="00BC3538">
              <w:rPr>
                <w:rFonts w:cs="Times New Roman"/>
                <w:sz w:val="18"/>
                <w:szCs w:val="18"/>
              </w:rPr>
              <w:t>No Additional MEB Entries</w:t>
            </w:r>
          </w:p>
        </w:tc>
        <w:tc>
          <w:tcPr>
            <w:tcW w:w="5333" w:type="dxa"/>
            <w:gridSpan w:val="4"/>
            <w:tcBorders>
              <w:left w:val="thinThickThinSmallGap" w:sz="24" w:space="0" w:color="auto"/>
            </w:tcBorders>
            <w:shd w:val="clear" w:color="auto" w:fill="FFFFFF" w:themeFill="background1"/>
            <w:vAlign w:val="center"/>
          </w:tcPr>
          <w:p w:rsidR="00437334" w:rsidRPr="00542C9A" w:rsidRDefault="00437334" w:rsidP="0028154E">
            <w:pPr>
              <w:pStyle w:val="ListParagraph"/>
              <w:spacing w:after="0" w:line="220" w:lineRule="exact"/>
              <w:ind w:left="0"/>
              <w:jc w:val="center"/>
              <w:rPr>
                <w:rFonts w:cs="Times New Roman"/>
                <w:sz w:val="18"/>
                <w:szCs w:val="18"/>
              </w:rPr>
            </w:pPr>
            <w:r>
              <w:rPr>
                <w:rFonts w:cs="Times New Roman"/>
                <w:sz w:val="18"/>
                <w:szCs w:val="18"/>
              </w:rPr>
              <w:t>4</w:t>
            </w:r>
            <w:r w:rsidRPr="0038532B">
              <w:rPr>
                <w:rFonts w:cs="Times New Roman"/>
                <w:sz w:val="18"/>
                <w:szCs w:val="18"/>
              </w:rPr>
              <w:t xml:space="preserve"> x 0% / </w:t>
            </w:r>
            <w:r>
              <w:rPr>
                <w:rFonts w:cs="Times New Roman"/>
                <w:sz w:val="18"/>
                <w:szCs w:val="18"/>
              </w:rPr>
              <w:t>3</w:t>
            </w:r>
            <w:r w:rsidRPr="0038532B">
              <w:rPr>
                <w:rFonts w:cs="Times New Roman"/>
                <w:sz w:val="18"/>
                <w:szCs w:val="18"/>
              </w:rPr>
              <w:t xml:space="preserve"> x Not Service Connected</w:t>
            </w:r>
          </w:p>
        </w:tc>
      </w:tr>
      <w:tr w:rsidR="00F6266C" w:rsidRPr="002A685E" w:rsidTr="0028154E">
        <w:trPr>
          <w:trHeight w:val="242"/>
          <w:jc w:val="center"/>
        </w:trPr>
        <w:tc>
          <w:tcPr>
            <w:tcW w:w="4095" w:type="dxa"/>
            <w:gridSpan w:val="3"/>
            <w:tcBorders>
              <w:right w:val="thinThickThinSmallGap" w:sz="24" w:space="0" w:color="auto"/>
            </w:tcBorders>
            <w:shd w:val="clear" w:color="auto" w:fill="D9D9D9" w:themeFill="background1" w:themeFillShade="D9"/>
            <w:vAlign w:val="center"/>
          </w:tcPr>
          <w:p w:rsidR="00F6266C" w:rsidRPr="0085089F" w:rsidRDefault="00900FC9" w:rsidP="0028154E">
            <w:pPr>
              <w:pStyle w:val="ListParagraph"/>
              <w:spacing w:after="0" w:line="240" w:lineRule="exact"/>
              <w:ind w:left="0"/>
              <w:jc w:val="center"/>
              <w:rPr>
                <w:rFonts w:cs="Times New Roman"/>
                <w:b/>
                <w:sz w:val="20"/>
                <w:szCs w:val="20"/>
              </w:rPr>
            </w:pPr>
            <w:r>
              <w:rPr>
                <w:rFonts w:cs="Times New Roman"/>
                <w:b/>
                <w:sz w:val="20"/>
                <w:szCs w:val="20"/>
              </w:rPr>
              <w:t>Final</w:t>
            </w:r>
            <w:r w:rsidR="00F6266C" w:rsidRPr="0085089F">
              <w:rPr>
                <w:rFonts w:cs="Times New Roman"/>
                <w:b/>
                <w:sz w:val="20"/>
                <w:szCs w:val="20"/>
              </w:rPr>
              <w:t xml:space="preserve"> Combined:  </w:t>
            </w:r>
            <w:r w:rsidR="00437334">
              <w:rPr>
                <w:rFonts w:cs="Times New Roman"/>
                <w:b/>
                <w:sz w:val="20"/>
                <w:szCs w:val="20"/>
              </w:rPr>
              <w:t>1</w:t>
            </w:r>
            <w:r w:rsidR="00F6266C" w:rsidRPr="00ED6A61">
              <w:rPr>
                <w:rFonts w:cs="Times New Roman"/>
                <w:b/>
                <w:sz w:val="20"/>
                <w:szCs w:val="20"/>
              </w:rPr>
              <w:t>0</w:t>
            </w:r>
            <w:r w:rsidR="00F6266C" w:rsidRPr="0085089F">
              <w:rPr>
                <w:rFonts w:cs="Times New Roman"/>
                <w:b/>
                <w:sz w:val="20"/>
                <w:szCs w:val="20"/>
              </w:rPr>
              <w:t>%</w:t>
            </w:r>
          </w:p>
        </w:tc>
        <w:tc>
          <w:tcPr>
            <w:tcW w:w="5333" w:type="dxa"/>
            <w:gridSpan w:val="4"/>
            <w:tcBorders>
              <w:left w:val="thinThickThinSmallGap" w:sz="24" w:space="0" w:color="auto"/>
            </w:tcBorders>
            <w:shd w:val="clear" w:color="auto" w:fill="D9D9D9" w:themeFill="background1" w:themeFillShade="D9"/>
            <w:vAlign w:val="center"/>
          </w:tcPr>
          <w:p w:rsidR="00F6266C" w:rsidRPr="0085089F" w:rsidRDefault="00F6266C" w:rsidP="0028154E">
            <w:pPr>
              <w:pStyle w:val="ListParagraph"/>
              <w:spacing w:after="0" w:line="200" w:lineRule="exact"/>
              <w:ind w:left="0"/>
              <w:jc w:val="center"/>
              <w:rPr>
                <w:rFonts w:cs="Times New Roman"/>
                <w:b/>
                <w:sz w:val="20"/>
                <w:szCs w:val="20"/>
              </w:rPr>
            </w:pPr>
            <w:r w:rsidRPr="0085089F">
              <w:rPr>
                <w:rFonts w:cs="Times New Roman"/>
                <w:b/>
                <w:sz w:val="20"/>
                <w:szCs w:val="20"/>
              </w:rPr>
              <w:t xml:space="preserve">TOTAL Combined: </w:t>
            </w:r>
            <w:r w:rsidR="00437334">
              <w:rPr>
                <w:rFonts w:cs="Times New Roman"/>
                <w:b/>
                <w:sz w:val="20"/>
                <w:szCs w:val="20"/>
              </w:rPr>
              <w:t>4</w:t>
            </w:r>
            <w:r w:rsidRPr="00ED6A61">
              <w:rPr>
                <w:rFonts w:cs="Times New Roman"/>
                <w:b/>
                <w:sz w:val="20"/>
                <w:szCs w:val="20"/>
              </w:rPr>
              <w:t>0%</w:t>
            </w:r>
          </w:p>
        </w:tc>
      </w:tr>
    </w:tbl>
    <w:p w:rsidR="004637AB" w:rsidRDefault="00517FE2"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517FE2">
        <w:rPr>
          <w:rFonts w:asciiTheme="minorHAnsi" w:hAnsiTheme="minorHAnsi"/>
          <w:color w:val="auto"/>
          <w:sz w:val="18"/>
          <w:szCs w:val="18"/>
        </w:rPr>
        <w:t>*Service Treatment Record</w:t>
      </w:r>
    </w:p>
    <w:p w:rsidR="00517FE2" w:rsidRPr="00517FE2" w:rsidRDefault="00517FE2"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4637AB" w:rsidRDefault="004637AB" w:rsidP="00190E48">
      <w:pPr>
        <w:tabs>
          <w:tab w:val="left" w:pos="288"/>
          <w:tab w:val="left" w:pos="4752"/>
        </w:tabs>
        <w:spacing w:line="240" w:lineRule="exact"/>
        <w:jc w:val="both"/>
        <w:rPr>
          <w:color w:val="000080"/>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58596B" w:rsidRDefault="00364063" w:rsidP="00397397">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Spondylosis</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w:t>
      </w:r>
      <w:r w:rsidR="00F41619">
        <w:rPr>
          <w:rFonts w:asciiTheme="minorHAnsi" w:hAnsiTheme="minorHAnsi"/>
          <w:color w:val="auto"/>
          <w:szCs w:val="24"/>
        </w:rPr>
        <w:t xml:space="preserve">as </w:t>
      </w:r>
      <w:r w:rsidR="00514292">
        <w:rPr>
          <w:rFonts w:asciiTheme="minorHAnsi" w:hAnsiTheme="minorHAnsi"/>
          <w:color w:val="auto"/>
          <w:szCs w:val="24"/>
        </w:rPr>
        <w:t xml:space="preserve">only </w:t>
      </w:r>
      <w:r w:rsidR="00F41619">
        <w:rPr>
          <w:rFonts w:asciiTheme="minorHAnsi" w:hAnsiTheme="minorHAnsi"/>
          <w:color w:val="auto"/>
          <w:szCs w:val="24"/>
        </w:rPr>
        <w:t>one</w:t>
      </w:r>
      <w:r w:rsidR="007C6046">
        <w:rPr>
          <w:rFonts w:asciiTheme="minorHAnsi" w:hAnsiTheme="minorHAnsi"/>
          <w:color w:val="auto"/>
          <w:szCs w:val="24"/>
        </w:rPr>
        <w:t xml:space="preserve"> </w:t>
      </w:r>
      <w:r w:rsidR="007C6046" w:rsidRPr="00F41619">
        <w:rPr>
          <w:rFonts w:asciiTheme="minorHAnsi" w:hAnsiTheme="minorHAnsi"/>
          <w:color w:val="auto"/>
          <w:szCs w:val="24"/>
        </w:rPr>
        <w:t>goniometric</w:t>
      </w:r>
      <w:r w:rsidR="007C6046">
        <w:rPr>
          <w:rFonts w:asciiTheme="minorHAnsi" w:hAnsiTheme="minorHAnsi"/>
          <w:color w:val="auto"/>
          <w:szCs w:val="24"/>
        </w:rPr>
        <w:t xml:space="preserve"> range</w:t>
      </w:r>
      <w:r w:rsidR="0058596B">
        <w:rPr>
          <w:rFonts w:asciiTheme="minorHAnsi" w:hAnsiTheme="minorHAnsi"/>
          <w:color w:val="auto"/>
          <w:szCs w:val="24"/>
        </w:rPr>
        <w:t xml:space="preserve"> </w:t>
      </w:r>
      <w:r w:rsidR="007C6046">
        <w:rPr>
          <w:rFonts w:asciiTheme="minorHAnsi" w:hAnsiTheme="minorHAnsi"/>
          <w:color w:val="auto"/>
          <w:szCs w:val="24"/>
        </w:rPr>
        <w:t>of</w:t>
      </w:r>
      <w:r w:rsidR="0058596B">
        <w:rPr>
          <w:rFonts w:asciiTheme="minorHAnsi" w:hAnsiTheme="minorHAnsi"/>
          <w:color w:val="auto"/>
          <w:szCs w:val="24"/>
        </w:rPr>
        <w:t xml:space="preserve"> </w:t>
      </w:r>
      <w:r w:rsidR="007C6046">
        <w:rPr>
          <w:rFonts w:asciiTheme="minorHAnsi" w:hAnsiTheme="minorHAnsi"/>
          <w:color w:val="auto"/>
          <w:szCs w:val="24"/>
        </w:rPr>
        <w:t>motion (ROM) evaluation</w:t>
      </w:r>
      <w:r w:rsidR="00E579BB">
        <w:rPr>
          <w:rFonts w:asciiTheme="minorHAnsi" w:hAnsiTheme="minorHAnsi"/>
          <w:color w:val="auto"/>
          <w:szCs w:val="24"/>
        </w:rPr>
        <w:t xml:space="preserve"> proximal to separation</w:t>
      </w:r>
      <w:r w:rsidR="007C6046">
        <w:rPr>
          <w:rFonts w:asciiTheme="minorHAnsi" w:hAnsiTheme="minorHAnsi"/>
          <w:color w:val="auto"/>
          <w:szCs w:val="24"/>
        </w:rPr>
        <w:t xml:space="preserve"> </w:t>
      </w:r>
      <w:r w:rsidR="00514292">
        <w:rPr>
          <w:rFonts w:asciiTheme="minorHAnsi" w:hAnsiTheme="minorHAnsi"/>
          <w:color w:val="auto"/>
          <w:szCs w:val="24"/>
        </w:rPr>
        <w:t xml:space="preserve">available </w:t>
      </w:r>
      <w:r w:rsidR="00766214">
        <w:rPr>
          <w:rFonts w:asciiTheme="minorHAnsi" w:hAnsiTheme="minorHAnsi"/>
          <w:color w:val="auto"/>
          <w:szCs w:val="24"/>
        </w:rPr>
        <w:t>to</w:t>
      </w:r>
      <w:r w:rsidR="007C6046">
        <w:rPr>
          <w:rFonts w:asciiTheme="minorHAnsi" w:hAnsiTheme="minorHAnsi"/>
          <w:color w:val="auto"/>
          <w:szCs w:val="24"/>
        </w:rPr>
        <w:t xml:space="preserve"> the Board </w:t>
      </w:r>
      <w:r w:rsidR="00743E36" w:rsidRPr="00743E36">
        <w:rPr>
          <w:rFonts w:asciiTheme="minorHAnsi" w:hAnsiTheme="minorHAnsi"/>
          <w:color w:val="auto"/>
          <w:szCs w:val="24"/>
        </w:rPr>
        <w:t>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F41619">
        <w:rPr>
          <w:rFonts w:asciiTheme="minorHAnsi" w:hAnsiTheme="minorHAnsi"/>
          <w:color w:val="auto"/>
          <w:szCs w:val="24"/>
        </w:rPr>
        <w:t xml:space="preserve"> </w:t>
      </w:r>
      <w:r w:rsidR="00514292">
        <w:rPr>
          <w:rFonts w:asciiTheme="minorHAnsi" w:hAnsiTheme="minorHAnsi"/>
          <w:color w:val="auto"/>
          <w:szCs w:val="24"/>
        </w:rPr>
        <w:t>In conjunction with the MEB (~</w:t>
      </w:r>
      <w:r w:rsidR="0058596B">
        <w:rPr>
          <w:rFonts w:asciiTheme="minorHAnsi" w:hAnsiTheme="minorHAnsi"/>
          <w:color w:val="auto"/>
          <w:szCs w:val="24"/>
        </w:rPr>
        <w:t>four</w:t>
      </w:r>
      <w:r w:rsidR="00514292">
        <w:rPr>
          <w:rFonts w:asciiTheme="minorHAnsi" w:hAnsiTheme="minorHAnsi"/>
          <w:color w:val="auto"/>
          <w:szCs w:val="24"/>
        </w:rPr>
        <w:t xml:space="preserve"> months prior to separation)</w:t>
      </w:r>
      <w:r w:rsidR="00F41619">
        <w:rPr>
          <w:rFonts w:asciiTheme="minorHAnsi" w:hAnsiTheme="minorHAnsi"/>
          <w:color w:val="auto"/>
          <w:szCs w:val="24"/>
        </w:rPr>
        <w:t xml:space="preserve"> a </w:t>
      </w:r>
      <w:r w:rsidR="0058596B">
        <w:rPr>
          <w:rFonts w:asciiTheme="minorHAnsi" w:hAnsiTheme="minorHAnsi"/>
          <w:color w:val="auto"/>
          <w:szCs w:val="24"/>
        </w:rPr>
        <w:t>p</w:t>
      </w:r>
      <w:r w:rsidR="00F41619">
        <w:rPr>
          <w:rFonts w:asciiTheme="minorHAnsi" w:hAnsiTheme="minorHAnsi"/>
          <w:color w:val="auto"/>
          <w:szCs w:val="24"/>
        </w:rPr>
        <w:t xml:space="preserve">hysical </w:t>
      </w:r>
      <w:r w:rsidR="0058596B">
        <w:rPr>
          <w:rFonts w:asciiTheme="minorHAnsi" w:hAnsiTheme="minorHAnsi"/>
          <w:color w:val="auto"/>
          <w:szCs w:val="24"/>
        </w:rPr>
        <w:t>t</w:t>
      </w:r>
      <w:r w:rsidR="00F41619">
        <w:rPr>
          <w:rFonts w:asciiTheme="minorHAnsi" w:hAnsiTheme="minorHAnsi"/>
          <w:color w:val="auto"/>
          <w:szCs w:val="24"/>
        </w:rPr>
        <w:t>herapy (PT) examiner measured lumbar flexion at 30</w:t>
      </w:r>
      <w:r w:rsidR="00F41619" w:rsidRPr="00F41619">
        <w:rPr>
          <w:rFonts w:asciiTheme="minorHAnsi" w:hAnsiTheme="minorHAnsi"/>
          <w:color w:val="auto"/>
          <w:szCs w:val="24"/>
        </w:rPr>
        <w:t>⁰</w:t>
      </w:r>
      <w:r w:rsidR="00F41619">
        <w:rPr>
          <w:rFonts w:asciiTheme="minorHAnsi" w:hAnsiTheme="minorHAnsi"/>
          <w:color w:val="auto"/>
          <w:szCs w:val="24"/>
        </w:rPr>
        <w:t xml:space="preserve"> </w:t>
      </w:r>
      <w:r w:rsidR="00490B37">
        <w:rPr>
          <w:rFonts w:asciiTheme="minorHAnsi" w:hAnsiTheme="minorHAnsi"/>
          <w:color w:val="auto"/>
          <w:szCs w:val="24"/>
        </w:rPr>
        <w:t>(</w:t>
      </w:r>
      <w:r w:rsidR="00F41619">
        <w:rPr>
          <w:rFonts w:asciiTheme="minorHAnsi" w:hAnsiTheme="minorHAnsi"/>
          <w:color w:val="auto"/>
          <w:szCs w:val="24"/>
        </w:rPr>
        <w:t>90</w:t>
      </w:r>
      <w:r w:rsidR="00F41619" w:rsidRPr="00F41619">
        <w:rPr>
          <w:rFonts w:asciiTheme="minorHAnsi" w:hAnsiTheme="minorHAnsi"/>
          <w:color w:val="auto"/>
          <w:szCs w:val="24"/>
        </w:rPr>
        <w:t>⁰</w:t>
      </w:r>
      <w:r w:rsidR="00F41619">
        <w:rPr>
          <w:rFonts w:asciiTheme="minorHAnsi" w:hAnsiTheme="minorHAnsi"/>
          <w:color w:val="auto"/>
          <w:szCs w:val="24"/>
        </w:rPr>
        <w:t xml:space="preserve"> normal) and combined ROM at 178</w:t>
      </w:r>
      <w:r w:rsidR="00F41619" w:rsidRPr="00F41619">
        <w:rPr>
          <w:rFonts w:asciiTheme="minorHAnsi" w:hAnsiTheme="minorHAnsi"/>
          <w:color w:val="auto"/>
          <w:szCs w:val="24"/>
        </w:rPr>
        <w:t>⁰</w:t>
      </w:r>
      <w:r w:rsidR="00F41619">
        <w:rPr>
          <w:rFonts w:asciiTheme="minorHAnsi" w:hAnsiTheme="minorHAnsi"/>
          <w:color w:val="auto"/>
          <w:szCs w:val="24"/>
        </w:rPr>
        <w:t xml:space="preserve"> (240</w:t>
      </w:r>
      <w:r w:rsidR="00F41619" w:rsidRPr="00F41619">
        <w:rPr>
          <w:rFonts w:asciiTheme="minorHAnsi" w:hAnsiTheme="minorHAnsi"/>
          <w:color w:val="auto"/>
          <w:szCs w:val="24"/>
        </w:rPr>
        <w:t>⁰</w:t>
      </w:r>
      <w:r w:rsidR="00F41619">
        <w:rPr>
          <w:rFonts w:asciiTheme="minorHAnsi" w:hAnsiTheme="minorHAnsi"/>
          <w:color w:val="auto"/>
          <w:szCs w:val="24"/>
        </w:rPr>
        <w:t xml:space="preserve"> normal)</w:t>
      </w:r>
      <w:r w:rsidR="009C22C8">
        <w:rPr>
          <w:rFonts w:asciiTheme="minorHAnsi" w:hAnsiTheme="minorHAnsi"/>
          <w:color w:val="auto"/>
          <w:szCs w:val="24"/>
        </w:rPr>
        <w:t>.</w:t>
      </w:r>
      <w:r w:rsidR="00F41619">
        <w:rPr>
          <w:rFonts w:asciiTheme="minorHAnsi" w:hAnsiTheme="minorHAnsi"/>
          <w:color w:val="auto"/>
          <w:szCs w:val="24"/>
        </w:rPr>
        <w:t xml:space="preserve">  </w:t>
      </w:r>
      <w:r w:rsidR="00B932ED">
        <w:rPr>
          <w:rFonts w:asciiTheme="minorHAnsi" w:hAnsiTheme="minorHAnsi"/>
          <w:color w:val="auto"/>
          <w:szCs w:val="24"/>
        </w:rPr>
        <w:t xml:space="preserve">That exam documented that </w:t>
      </w:r>
      <w:r w:rsidR="00F41619">
        <w:rPr>
          <w:rFonts w:asciiTheme="minorHAnsi" w:hAnsiTheme="minorHAnsi"/>
          <w:color w:val="auto"/>
          <w:szCs w:val="24"/>
        </w:rPr>
        <w:t>ROM was limited by pain</w:t>
      </w:r>
      <w:r w:rsidR="00B932ED">
        <w:rPr>
          <w:rFonts w:asciiTheme="minorHAnsi" w:hAnsiTheme="minorHAnsi"/>
          <w:color w:val="auto"/>
          <w:szCs w:val="24"/>
        </w:rPr>
        <w:t>, supporting the PEB’s application of the USAPDA</w:t>
      </w:r>
      <w:r w:rsidR="00B932ED" w:rsidRPr="00131508">
        <w:rPr>
          <w:rFonts w:asciiTheme="minorHAnsi" w:hAnsiTheme="minorHAnsi"/>
          <w:color w:val="auto"/>
          <w:szCs w:val="24"/>
        </w:rPr>
        <w:t xml:space="preserve"> pain policy for rating</w:t>
      </w:r>
      <w:r w:rsidR="00F41619">
        <w:rPr>
          <w:rFonts w:asciiTheme="minorHAnsi" w:hAnsiTheme="minorHAnsi"/>
          <w:color w:val="auto"/>
          <w:szCs w:val="24"/>
        </w:rPr>
        <w:t xml:space="preserve">.  The </w:t>
      </w:r>
      <w:r w:rsidR="00B932ED">
        <w:rPr>
          <w:rFonts w:asciiTheme="minorHAnsi" w:hAnsiTheme="minorHAnsi"/>
          <w:color w:val="auto"/>
          <w:szCs w:val="24"/>
        </w:rPr>
        <w:t>PT and MEB physician</w:t>
      </w:r>
      <w:r w:rsidR="00A9280F">
        <w:rPr>
          <w:rFonts w:asciiTheme="minorHAnsi" w:hAnsiTheme="minorHAnsi"/>
          <w:color w:val="auto"/>
          <w:szCs w:val="24"/>
        </w:rPr>
        <w:t xml:space="preserve"> examiner</w:t>
      </w:r>
      <w:r w:rsidR="00B932ED">
        <w:rPr>
          <w:rFonts w:asciiTheme="minorHAnsi" w:hAnsiTheme="minorHAnsi"/>
          <w:color w:val="auto"/>
          <w:szCs w:val="24"/>
        </w:rPr>
        <w:t xml:space="preserve">s noted tenderness but documented the absence of </w:t>
      </w:r>
      <w:r w:rsidR="00C4343B">
        <w:rPr>
          <w:rFonts w:asciiTheme="minorHAnsi" w:hAnsiTheme="minorHAnsi"/>
          <w:color w:val="auto"/>
          <w:szCs w:val="24"/>
        </w:rPr>
        <w:t xml:space="preserve">muscle </w:t>
      </w:r>
      <w:r w:rsidR="00B932ED">
        <w:rPr>
          <w:rFonts w:asciiTheme="minorHAnsi" w:hAnsiTheme="minorHAnsi"/>
          <w:color w:val="auto"/>
          <w:szCs w:val="24"/>
        </w:rPr>
        <w:t xml:space="preserve">spasm.  Normal gait, contour and </w:t>
      </w:r>
      <w:r w:rsidR="000E72BD">
        <w:rPr>
          <w:rFonts w:asciiTheme="minorHAnsi" w:hAnsiTheme="minorHAnsi"/>
          <w:color w:val="auto"/>
          <w:szCs w:val="24"/>
        </w:rPr>
        <w:t xml:space="preserve">straight leg raising tests were documented.  Motor strength, sensation and reflexes were normal.  The post-separation VA rating decision deferred to the MEB goniometric measurements, noting that the CI failed to report for her scheduled rating exam, </w:t>
      </w:r>
      <w:r w:rsidR="00A9280F">
        <w:rPr>
          <w:rFonts w:asciiTheme="minorHAnsi" w:hAnsiTheme="minorHAnsi"/>
          <w:color w:val="auto"/>
          <w:szCs w:val="24"/>
        </w:rPr>
        <w:t xml:space="preserve">and </w:t>
      </w:r>
      <w:r w:rsidR="000E72BD">
        <w:rPr>
          <w:rFonts w:asciiTheme="minorHAnsi" w:hAnsiTheme="minorHAnsi"/>
          <w:color w:val="auto"/>
          <w:szCs w:val="24"/>
        </w:rPr>
        <w:t xml:space="preserve">derived its 40% rating determination based on </w:t>
      </w:r>
      <w:r w:rsidR="00AF7AB3">
        <w:rPr>
          <w:rFonts w:asciiTheme="minorHAnsi" w:hAnsiTheme="minorHAnsi"/>
          <w:color w:val="auto"/>
          <w:szCs w:val="24"/>
        </w:rPr>
        <w:lastRenderedPageBreak/>
        <w:t>flexion of 30⁰</w:t>
      </w:r>
      <w:r w:rsidR="00C738A4">
        <w:rPr>
          <w:rFonts w:asciiTheme="minorHAnsi" w:hAnsiTheme="minorHAnsi"/>
          <w:color w:val="auto"/>
          <w:szCs w:val="24"/>
        </w:rPr>
        <w:t xml:space="preserve">.  The first VA spine examination, and the only comparison goniometric examination available to the Board, </w:t>
      </w:r>
      <w:r w:rsidR="001A4319">
        <w:rPr>
          <w:rFonts w:asciiTheme="minorHAnsi" w:hAnsiTheme="minorHAnsi"/>
          <w:color w:val="auto"/>
          <w:szCs w:val="24"/>
        </w:rPr>
        <w:t xml:space="preserve">was </w:t>
      </w:r>
      <w:r w:rsidR="00C738A4" w:rsidRPr="00C738A4">
        <w:rPr>
          <w:rFonts w:asciiTheme="minorHAnsi" w:hAnsiTheme="minorHAnsi"/>
          <w:color w:val="auto"/>
          <w:szCs w:val="24"/>
        </w:rPr>
        <w:t>performed 16 months after separation</w:t>
      </w:r>
      <w:r w:rsidR="001A4319">
        <w:rPr>
          <w:rFonts w:asciiTheme="minorHAnsi" w:hAnsiTheme="minorHAnsi"/>
          <w:color w:val="auto"/>
          <w:szCs w:val="24"/>
        </w:rPr>
        <w:t xml:space="preserve">. </w:t>
      </w:r>
      <w:r w:rsidR="00C738A4" w:rsidRPr="00C738A4">
        <w:rPr>
          <w:rFonts w:asciiTheme="minorHAnsi" w:hAnsiTheme="minorHAnsi"/>
          <w:color w:val="auto"/>
          <w:szCs w:val="24"/>
        </w:rPr>
        <w:t xml:space="preserve"> </w:t>
      </w:r>
      <w:r w:rsidR="001A4319">
        <w:rPr>
          <w:rFonts w:asciiTheme="minorHAnsi" w:hAnsiTheme="minorHAnsi"/>
          <w:color w:val="auto"/>
          <w:szCs w:val="24"/>
        </w:rPr>
        <w:t>It documented a</w:t>
      </w:r>
      <w:r w:rsidR="00C738A4" w:rsidRPr="00C738A4">
        <w:rPr>
          <w:rFonts w:asciiTheme="minorHAnsi" w:hAnsiTheme="minorHAnsi"/>
          <w:color w:val="auto"/>
          <w:szCs w:val="24"/>
        </w:rPr>
        <w:t xml:space="preserve"> flexion of 65⁰ and combined ROM of 215⁰</w:t>
      </w:r>
      <w:r w:rsidR="001A4319">
        <w:rPr>
          <w:rFonts w:asciiTheme="minorHAnsi" w:hAnsiTheme="minorHAnsi"/>
          <w:color w:val="auto"/>
          <w:szCs w:val="24"/>
        </w:rPr>
        <w:t xml:space="preserve">, with no gait or contour abnormalities, </w:t>
      </w:r>
      <w:r w:rsidR="00C4343B">
        <w:rPr>
          <w:rFonts w:asciiTheme="minorHAnsi" w:hAnsiTheme="minorHAnsi"/>
          <w:color w:val="auto"/>
          <w:szCs w:val="24"/>
        </w:rPr>
        <w:t>and</w:t>
      </w:r>
      <w:r w:rsidR="001A4319">
        <w:rPr>
          <w:rFonts w:asciiTheme="minorHAnsi" w:hAnsiTheme="minorHAnsi"/>
          <w:color w:val="auto"/>
          <w:szCs w:val="24"/>
        </w:rPr>
        <w:t xml:space="preserve"> would </w:t>
      </w:r>
      <w:r w:rsidR="00C4343B">
        <w:rPr>
          <w:rFonts w:asciiTheme="minorHAnsi" w:hAnsiTheme="minorHAnsi"/>
          <w:color w:val="auto"/>
          <w:szCs w:val="24"/>
        </w:rPr>
        <w:t>support</w:t>
      </w:r>
      <w:r w:rsidR="001A4319">
        <w:rPr>
          <w:rFonts w:asciiTheme="minorHAnsi" w:hAnsiTheme="minorHAnsi"/>
          <w:color w:val="auto"/>
          <w:szCs w:val="24"/>
        </w:rPr>
        <w:t xml:space="preserve"> a </w:t>
      </w:r>
      <w:r w:rsidR="001A4319" w:rsidRPr="00CA1CEB">
        <w:rPr>
          <w:rFonts w:asciiTheme="minorHAnsi" w:hAnsiTheme="minorHAnsi"/>
          <w:color w:val="auto"/>
          <w:szCs w:val="24"/>
        </w:rPr>
        <w:t>§4.71a</w:t>
      </w:r>
      <w:r w:rsidR="001A4319">
        <w:rPr>
          <w:rFonts w:asciiTheme="minorHAnsi" w:hAnsiTheme="minorHAnsi"/>
          <w:color w:val="auto"/>
          <w:szCs w:val="24"/>
        </w:rPr>
        <w:t xml:space="preserve"> rating of 10%.  </w:t>
      </w:r>
      <w:r w:rsidR="00024E04">
        <w:rPr>
          <w:rFonts w:asciiTheme="minorHAnsi" w:hAnsiTheme="minorHAnsi"/>
          <w:color w:val="auto"/>
          <w:szCs w:val="24"/>
        </w:rPr>
        <w:t>Although</w:t>
      </w:r>
      <w:r w:rsidR="001A4319">
        <w:rPr>
          <w:rFonts w:asciiTheme="minorHAnsi" w:hAnsiTheme="minorHAnsi"/>
          <w:color w:val="auto"/>
          <w:szCs w:val="24"/>
        </w:rPr>
        <w:t xml:space="preserve"> the disparate </w:t>
      </w:r>
      <w:r w:rsidR="00C9798A">
        <w:rPr>
          <w:rFonts w:asciiTheme="minorHAnsi" w:hAnsiTheme="minorHAnsi"/>
          <w:color w:val="auto"/>
          <w:szCs w:val="24"/>
        </w:rPr>
        <w:t>VA measurements were</w:t>
      </w:r>
      <w:r w:rsidR="001A4319">
        <w:rPr>
          <w:rFonts w:asciiTheme="minorHAnsi" w:hAnsiTheme="minorHAnsi"/>
          <w:color w:val="auto"/>
          <w:szCs w:val="24"/>
        </w:rPr>
        <w:t xml:space="preserve"> temporally delayed</w:t>
      </w:r>
      <w:r w:rsidR="00C9798A">
        <w:rPr>
          <w:rFonts w:asciiTheme="minorHAnsi" w:hAnsiTheme="minorHAnsi"/>
          <w:color w:val="auto"/>
          <w:szCs w:val="24"/>
        </w:rPr>
        <w:t xml:space="preserve"> from separation</w:t>
      </w:r>
      <w:r w:rsidR="00024E04">
        <w:rPr>
          <w:rFonts w:asciiTheme="minorHAnsi" w:hAnsiTheme="minorHAnsi"/>
          <w:color w:val="auto"/>
          <w:szCs w:val="24"/>
        </w:rPr>
        <w:t xml:space="preserve">, </w:t>
      </w:r>
      <w:r w:rsidR="00C9798A">
        <w:rPr>
          <w:rFonts w:asciiTheme="minorHAnsi" w:hAnsiTheme="minorHAnsi"/>
          <w:color w:val="auto"/>
          <w:szCs w:val="24"/>
        </w:rPr>
        <w:t xml:space="preserve">they were performed by a physician </w:t>
      </w:r>
      <w:r w:rsidR="00636A6D">
        <w:rPr>
          <w:rFonts w:asciiTheme="minorHAnsi" w:hAnsiTheme="minorHAnsi"/>
          <w:color w:val="auto"/>
          <w:szCs w:val="24"/>
        </w:rPr>
        <w:t xml:space="preserve">and associated with </w:t>
      </w:r>
      <w:r w:rsidR="003F776B">
        <w:rPr>
          <w:rFonts w:asciiTheme="minorHAnsi" w:hAnsiTheme="minorHAnsi"/>
          <w:color w:val="auto"/>
          <w:szCs w:val="24"/>
        </w:rPr>
        <w:t>the most</w:t>
      </w:r>
      <w:r w:rsidR="00636A6D">
        <w:rPr>
          <w:rFonts w:asciiTheme="minorHAnsi" w:hAnsiTheme="minorHAnsi"/>
          <w:color w:val="auto"/>
          <w:szCs w:val="24"/>
        </w:rPr>
        <w:t xml:space="preserve"> detailed </w:t>
      </w:r>
      <w:r w:rsidR="003F776B">
        <w:rPr>
          <w:rFonts w:asciiTheme="minorHAnsi" w:hAnsiTheme="minorHAnsi"/>
          <w:color w:val="auto"/>
          <w:szCs w:val="24"/>
        </w:rPr>
        <w:t xml:space="preserve">spine </w:t>
      </w:r>
      <w:r w:rsidR="00636A6D">
        <w:rPr>
          <w:rFonts w:asciiTheme="minorHAnsi" w:hAnsiTheme="minorHAnsi"/>
          <w:color w:val="auto"/>
          <w:szCs w:val="24"/>
        </w:rPr>
        <w:t xml:space="preserve">examination </w:t>
      </w:r>
      <w:r w:rsidR="003F776B">
        <w:rPr>
          <w:rFonts w:asciiTheme="minorHAnsi" w:hAnsiTheme="minorHAnsi"/>
          <w:color w:val="auto"/>
          <w:szCs w:val="24"/>
        </w:rPr>
        <w:t xml:space="preserve">in evidence.  It was also opined by the </w:t>
      </w:r>
      <w:r w:rsidR="0058596B">
        <w:rPr>
          <w:rFonts w:asciiTheme="minorHAnsi" w:hAnsiTheme="minorHAnsi"/>
          <w:color w:val="auto"/>
          <w:szCs w:val="24"/>
        </w:rPr>
        <w:t>a</w:t>
      </w:r>
      <w:r w:rsidR="003F776B">
        <w:rPr>
          <w:rFonts w:asciiTheme="minorHAnsi" w:hAnsiTheme="minorHAnsi"/>
          <w:color w:val="auto"/>
          <w:szCs w:val="24"/>
        </w:rPr>
        <w:t xml:space="preserve">ction </w:t>
      </w:r>
      <w:r w:rsidR="0058596B">
        <w:rPr>
          <w:rFonts w:asciiTheme="minorHAnsi" w:hAnsiTheme="minorHAnsi"/>
          <w:color w:val="auto"/>
          <w:szCs w:val="24"/>
        </w:rPr>
        <w:t>o</w:t>
      </w:r>
      <w:r w:rsidR="003F776B">
        <w:rPr>
          <w:rFonts w:asciiTheme="minorHAnsi" w:hAnsiTheme="minorHAnsi"/>
          <w:color w:val="auto"/>
          <w:szCs w:val="24"/>
        </w:rPr>
        <w:t xml:space="preserve">fficer that the other exam elements </w:t>
      </w:r>
      <w:r w:rsidR="00584505">
        <w:rPr>
          <w:rFonts w:asciiTheme="minorHAnsi" w:hAnsiTheme="minorHAnsi"/>
          <w:color w:val="auto"/>
          <w:szCs w:val="24"/>
        </w:rPr>
        <w:t xml:space="preserve">documented by the MEB physical therapist </w:t>
      </w:r>
      <w:r w:rsidR="003F776B">
        <w:rPr>
          <w:rFonts w:asciiTheme="minorHAnsi" w:hAnsiTheme="minorHAnsi"/>
          <w:color w:val="auto"/>
          <w:szCs w:val="24"/>
        </w:rPr>
        <w:t xml:space="preserve">(negative spasm, normal gait and contour) were </w:t>
      </w:r>
      <w:r w:rsidR="00E579BB">
        <w:rPr>
          <w:rFonts w:asciiTheme="minorHAnsi" w:hAnsiTheme="minorHAnsi"/>
          <w:color w:val="auto"/>
          <w:szCs w:val="24"/>
        </w:rPr>
        <w:t>inconsistent with the severe ROM limitations</w:t>
      </w:r>
      <w:r w:rsidR="00E97E1D">
        <w:rPr>
          <w:rFonts w:asciiTheme="minorHAnsi" w:hAnsiTheme="minorHAnsi"/>
          <w:color w:val="auto"/>
          <w:szCs w:val="24"/>
        </w:rPr>
        <w:t xml:space="preserve"> </w:t>
      </w:r>
      <w:r w:rsidR="00E579BB">
        <w:rPr>
          <w:rFonts w:asciiTheme="minorHAnsi" w:hAnsiTheme="minorHAnsi"/>
          <w:color w:val="auto"/>
          <w:szCs w:val="24"/>
        </w:rPr>
        <w:t xml:space="preserve">reflected by the recorded measurements.  </w:t>
      </w:r>
      <w:r w:rsidR="0003412A">
        <w:rPr>
          <w:rFonts w:asciiTheme="minorHAnsi" w:hAnsiTheme="minorHAnsi"/>
          <w:color w:val="auto"/>
          <w:szCs w:val="24"/>
        </w:rPr>
        <w:t>T</w:t>
      </w:r>
      <w:r w:rsidR="00C4343B">
        <w:rPr>
          <w:rFonts w:asciiTheme="minorHAnsi" w:hAnsiTheme="minorHAnsi"/>
          <w:color w:val="auto"/>
          <w:szCs w:val="24"/>
        </w:rPr>
        <w:t xml:space="preserve">he probative weight of the MEB’s </w:t>
      </w:r>
      <w:r w:rsidR="00FB663C">
        <w:rPr>
          <w:rFonts w:asciiTheme="minorHAnsi" w:hAnsiTheme="minorHAnsi"/>
          <w:color w:val="auto"/>
          <w:szCs w:val="24"/>
        </w:rPr>
        <w:t xml:space="preserve">PT </w:t>
      </w:r>
      <w:r w:rsidR="0003412A">
        <w:rPr>
          <w:rFonts w:asciiTheme="minorHAnsi" w:hAnsiTheme="minorHAnsi"/>
          <w:color w:val="auto"/>
          <w:szCs w:val="24"/>
        </w:rPr>
        <w:t>exam</w:t>
      </w:r>
      <w:r w:rsidR="00C4343B">
        <w:rPr>
          <w:rFonts w:asciiTheme="minorHAnsi" w:hAnsiTheme="minorHAnsi"/>
          <w:color w:val="auto"/>
          <w:szCs w:val="24"/>
        </w:rPr>
        <w:t xml:space="preserve"> was not </w:t>
      </w:r>
      <w:r w:rsidR="0003412A">
        <w:rPr>
          <w:rFonts w:asciiTheme="minorHAnsi" w:hAnsiTheme="minorHAnsi"/>
          <w:color w:val="auto"/>
          <w:szCs w:val="24"/>
        </w:rPr>
        <w:t xml:space="preserve">conclusive enough to satisfy Board members that its rating recommendation should rest </w:t>
      </w:r>
      <w:r w:rsidR="00EB0DD7">
        <w:rPr>
          <w:rFonts w:asciiTheme="minorHAnsi" w:hAnsiTheme="minorHAnsi"/>
          <w:color w:val="auto"/>
          <w:szCs w:val="24"/>
        </w:rPr>
        <w:t xml:space="preserve">solely </w:t>
      </w:r>
      <w:r w:rsidR="0003412A">
        <w:rPr>
          <w:rFonts w:asciiTheme="minorHAnsi" w:hAnsiTheme="minorHAnsi"/>
          <w:color w:val="auto"/>
          <w:szCs w:val="24"/>
        </w:rPr>
        <w:t xml:space="preserve">on </w:t>
      </w:r>
      <w:r w:rsidR="00EB0DD7">
        <w:rPr>
          <w:rFonts w:asciiTheme="minorHAnsi" w:hAnsiTheme="minorHAnsi"/>
          <w:color w:val="auto"/>
          <w:szCs w:val="24"/>
        </w:rPr>
        <w:t xml:space="preserve">the </w:t>
      </w:r>
      <w:r w:rsidR="00FB663C">
        <w:rPr>
          <w:rFonts w:asciiTheme="minorHAnsi" w:hAnsiTheme="minorHAnsi"/>
          <w:color w:val="auto"/>
          <w:szCs w:val="24"/>
        </w:rPr>
        <w:t xml:space="preserve">ROM </w:t>
      </w:r>
      <w:r w:rsidR="00EB0DD7">
        <w:rPr>
          <w:rFonts w:asciiTheme="minorHAnsi" w:hAnsiTheme="minorHAnsi"/>
          <w:color w:val="auto"/>
          <w:szCs w:val="24"/>
        </w:rPr>
        <w:t xml:space="preserve">criteria </w:t>
      </w:r>
      <w:r w:rsidR="00FB663C">
        <w:rPr>
          <w:rFonts w:asciiTheme="minorHAnsi" w:hAnsiTheme="minorHAnsi"/>
          <w:color w:val="auto"/>
          <w:szCs w:val="24"/>
        </w:rPr>
        <w:t xml:space="preserve">derived from it.  There were numerous outpatient clinical entries over the </w:t>
      </w:r>
      <w:r w:rsidR="00AB110C">
        <w:rPr>
          <w:rFonts w:asciiTheme="minorHAnsi" w:hAnsiTheme="minorHAnsi"/>
          <w:color w:val="auto"/>
          <w:szCs w:val="24"/>
        </w:rPr>
        <w:t>12</w:t>
      </w:r>
      <w:r w:rsidR="0058596B">
        <w:rPr>
          <w:rFonts w:asciiTheme="minorHAnsi" w:hAnsiTheme="minorHAnsi"/>
          <w:color w:val="auto"/>
          <w:szCs w:val="24"/>
        </w:rPr>
        <w:t>-</w:t>
      </w:r>
      <w:r w:rsidR="00AB110C">
        <w:rPr>
          <w:rFonts w:asciiTheme="minorHAnsi" w:hAnsiTheme="minorHAnsi"/>
          <w:color w:val="auto"/>
          <w:szCs w:val="24"/>
        </w:rPr>
        <w:t>month interval</w:t>
      </w:r>
      <w:r w:rsidR="00FB663C" w:rsidRPr="00FB663C">
        <w:rPr>
          <w:rFonts w:asciiTheme="minorHAnsi" w:hAnsiTheme="minorHAnsi"/>
          <w:color w:val="auto"/>
          <w:szCs w:val="24"/>
        </w:rPr>
        <w:t xml:space="preserve"> </w:t>
      </w:r>
      <w:r w:rsidR="00FB663C">
        <w:rPr>
          <w:rFonts w:asciiTheme="minorHAnsi" w:hAnsiTheme="minorHAnsi"/>
          <w:color w:val="auto"/>
          <w:szCs w:val="24"/>
        </w:rPr>
        <w:t>preceding</w:t>
      </w:r>
      <w:r w:rsidR="00AB110C">
        <w:rPr>
          <w:rFonts w:asciiTheme="minorHAnsi" w:hAnsiTheme="minorHAnsi"/>
          <w:color w:val="auto"/>
          <w:szCs w:val="24"/>
        </w:rPr>
        <w:t xml:space="preserve"> separation</w:t>
      </w:r>
      <w:r w:rsidR="00C66573">
        <w:rPr>
          <w:rFonts w:asciiTheme="minorHAnsi" w:hAnsiTheme="minorHAnsi"/>
          <w:color w:val="auto"/>
          <w:szCs w:val="24"/>
        </w:rPr>
        <w:t>,</w:t>
      </w:r>
      <w:r w:rsidR="00AB110C">
        <w:rPr>
          <w:rFonts w:asciiTheme="minorHAnsi" w:hAnsiTheme="minorHAnsi"/>
          <w:color w:val="auto"/>
          <w:szCs w:val="24"/>
        </w:rPr>
        <w:t xml:space="preserve"> which were scrutinized for corroboration of the significant ROM impairment inherent in a rating </w:t>
      </w:r>
      <w:r w:rsidR="00C66573">
        <w:rPr>
          <w:rFonts w:asciiTheme="minorHAnsi" w:hAnsiTheme="minorHAnsi"/>
          <w:color w:val="auto"/>
          <w:szCs w:val="24"/>
        </w:rPr>
        <w:t>premised</w:t>
      </w:r>
      <w:r w:rsidR="00527AF8">
        <w:rPr>
          <w:rFonts w:asciiTheme="minorHAnsi" w:hAnsiTheme="minorHAnsi"/>
          <w:color w:val="auto"/>
          <w:szCs w:val="24"/>
        </w:rPr>
        <w:t xml:space="preserve"> on </w:t>
      </w:r>
      <w:r w:rsidR="00766214">
        <w:rPr>
          <w:rFonts w:asciiTheme="minorHAnsi" w:hAnsiTheme="minorHAnsi"/>
          <w:color w:val="auto"/>
          <w:szCs w:val="24"/>
        </w:rPr>
        <w:t xml:space="preserve">this </w:t>
      </w:r>
      <w:r w:rsidR="00C66573">
        <w:rPr>
          <w:rFonts w:asciiTheme="minorHAnsi" w:hAnsiTheme="minorHAnsi"/>
          <w:color w:val="auto"/>
          <w:szCs w:val="24"/>
        </w:rPr>
        <w:t>one</w:t>
      </w:r>
      <w:r w:rsidR="00527AF8">
        <w:rPr>
          <w:rFonts w:asciiTheme="minorHAnsi" w:hAnsiTheme="minorHAnsi"/>
          <w:color w:val="auto"/>
          <w:szCs w:val="24"/>
        </w:rPr>
        <w:t xml:space="preserve"> </w:t>
      </w:r>
      <w:r w:rsidR="00C66573">
        <w:rPr>
          <w:rFonts w:asciiTheme="minorHAnsi" w:hAnsiTheme="minorHAnsi"/>
          <w:color w:val="auto"/>
          <w:szCs w:val="24"/>
        </w:rPr>
        <w:t>set of measurements</w:t>
      </w:r>
      <w:r w:rsidR="00527AF8">
        <w:rPr>
          <w:rFonts w:asciiTheme="minorHAnsi" w:hAnsiTheme="minorHAnsi"/>
          <w:color w:val="auto"/>
          <w:szCs w:val="24"/>
        </w:rPr>
        <w:t>.</w:t>
      </w:r>
      <w:r w:rsidR="00AB110C">
        <w:rPr>
          <w:rFonts w:asciiTheme="minorHAnsi" w:hAnsiTheme="minorHAnsi"/>
          <w:color w:val="auto"/>
          <w:szCs w:val="24"/>
        </w:rPr>
        <w:t xml:space="preserve"> </w:t>
      </w:r>
      <w:r w:rsidR="00C66573">
        <w:rPr>
          <w:rFonts w:asciiTheme="minorHAnsi" w:hAnsiTheme="minorHAnsi"/>
          <w:color w:val="auto"/>
          <w:szCs w:val="24"/>
        </w:rPr>
        <w:t xml:space="preserve"> </w:t>
      </w:r>
      <w:r w:rsidR="00287ABA">
        <w:rPr>
          <w:rFonts w:asciiTheme="minorHAnsi" w:hAnsiTheme="minorHAnsi"/>
          <w:color w:val="auto"/>
          <w:szCs w:val="24"/>
        </w:rPr>
        <w:t>One examiner stated</w:t>
      </w:r>
      <w:r w:rsidR="0058596B">
        <w:rPr>
          <w:rFonts w:asciiTheme="minorHAnsi" w:hAnsiTheme="minorHAnsi"/>
          <w:color w:val="auto"/>
          <w:szCs w:val="24"/>
        </w:rPr>
        <w:t>,</w:t>
      </w:r>
      <w:r w:rsidR="00287ABA">
        <w:rPr>
          <w:rFonts w:asciiTheme="minorHAnsi" w:hAnsiTheme="minorHAnsi"/>
          <w:color w:val="auto"/>
          <w:szCs w:val="24"/>
        </w:rPr>
        <w:t xml:space="preserve"> “patient did not appear uncomfortable</w:t>
      </w:r>
      <w:r w:rsidR="00487D82">
        <w:rPr>
          <w:rFonts w:asciiTheme="minorHAnsi" w:hAnsiTheme="minorHAnsi"/>
          <w:color w:val="auto"/>
          <w:szCs w:val="24"/>
        </w:rPr>
        <w:t>,</w:t>
      </w:r>
      <w:r w:rsidR="00287ABA">
        <w:rPr>
          <w:rFonts w:asciiTheme="minorHAnsi" w:hAnsiTheme="minorHAnsi"/>
          <w:color w:val="auto"/>
          <w:szCs w:val="24"/>
        </w:rPr>
        <w:t>” and another stated</w:t>
      </w:r>
      <w:r w:rsidR="0058596B">
        <w:rPr>
          <w:rFonts w:asciiTheme="minorHAnsi" w:hAnsiTheme="minorHAnsi"/>
          <w:color w:val="auto"/>
          <w:szCs w:val="24"/>
        </w:rPr>
        <w:t>,</w:t>
      </w:r>
      <w:r w:rsidR="00287ABA">
        <w:rPr>
          <w:rFonts w:asciiTheme="minorHAnsi" w:hAnsiTheme="minorHAnsi"/>
          <w:color w:val="auto"/>
          <w:szCs w:val="24"/>
        </w:rPr>
        <w:t xml:space="preserve"> "</w:t>
      </w:r>
      <w:proofErr w:type="spellStart"/>
      <w:r w:rsidR="00287ABA">
        <w:rPr>
          <w:rFonts w:asciiTheme="minorHAnsi" w:hAnsiTheme="minorHAnsi"/>
          <w:color w:val="auto"/>
          <w:szCs w:val="24"/>
        </w:rPr>
        <w:t>t</w:t>
      </w:r>
      <w:r w:rsidR="00287ABA" w:rsidRPr="00287ABA">
        <w:rPr>
          <w:rFonts w:asciiTheme="minorHAnsi" w:hAnsiTheme="minorHAnsi"/>
          <w:color w:val="auto"/>
          <w:szCs w:val="24"/>
        </w:rPr>
        <w:t>horacolumba</w:t>
      </w:r>
      <w:r w:rsidR="00287ABA">
        <w:rPr>
          <w:rFonts w:asciiTheme="minorHAnsi" w:hAnsiTheme="minorHAnsi"/>
          <w:color w:val="auto"/>
          <w:szCs w:val="24"/>
        </w:rPr>
        <w:t>r</w:t>
      </w:r>
      <w:proofErr w:type="spellEnd"/>
      <w:r w:rsidR="00287ABA">
        <w:rPr>
          <w:rFonts w:asciiTheme="minorHAnsi" w:hAnsiTheme="minorHAnsi"/>
          <w:color w:val="auto"/>
          <w:szCs w:val="24"/>
        </w:rPr>
        <w:t xml:space="preserve"> spine showed no abnormalities</w:t>
      </w:r>
      <w:r w:rsidR="0058596B">
        <w:rPr>
          <w:rFonts w:asciiTheme="minorHAnsi" w:hAnsiTheme="minorHAnsi"/>
          <w:color w:val="auto"/>
          <w:szCs w:val="24"/>
        </w:rPr>
        <w:t>.</w:t>
      </w:r>
      <w:r w:rsidR="00287ABA" w:rsidRPr="00287ABA">
        <w:rPr>
          <w:rFonts w:asciiTheme="minorHAnsi" w:hAnsiTheme="minorHAnsi"/>
          <w:color w:val="auto"/>
          <w:szCs w:val="24"/>
        </w:rPr>
        <w:t>"</w:t>
      </w:r>
      <w:r w:rsidR="00287ABA">
        <w:rPr>
          <w:rFonts w:asciiTheme="minorHAnsi" w:hAnsiTheme="minorHAnsi"/>
          <w:color w:val="auto"/>
          <w:szCs w:val="24"/>
        </w:rPr>
        <w:t xml:space="preserve">  </w:t>
      </w:r>
      <w:r w:rsidR="0005614E">
        <w:rPr>
          <w:rFonts w:asciiTheme="minorHAnsi" w:hAnsiTheme="minorHAnsi"/>
          <w:color w:val="auto"/>
          <w:szCs w:val="24"/>
        </w:rPr>
        <w:t xml:space="preserve">One examiner stated that the CI </w:t>
      </w:r>
      <w:r w:rsidR="0005614E" w:rsidRPr="0005614E">
        <w:rPr>
          <w:rFonts w:asciiTheme="minorHAnsi" w:hAnsiTheme="minorHAnsi"/>
          <w:color w:val="auto"/>
          <w:szCs w:val="24"/>
        </w:rPr>
        <w:t>"did not d</w:t>
      </w:r>
      <w:r w:rsidR="0005614E">
        <w:rPr>
          <w:rFonts w:asciiTheme="minorHAnsi" w:hAnsiTheme="minorHAnsi"/>
          <w:color w:val="auto"/>
          <w:szCs w:val="24"/>
        </w:rPr>
        <w:t>emonstrate full range of motion</w:t>
      </w:r>
      <w:r w:rsidR="0058596B">
        <w:rPr>
          <w:rFonts w:asciiTheme="minorHAnsi" w:hAnsiTheme="minorHAnsi"/>
          <w:color w:val="auto"/>
          <w:szCs w:val="24"/>
        </w:rPr>
        <w:t>,</w:t>
      </w:r>
      <w:r w:rsidR="0005614E">
        <w:rPr>
          <w:rFonts w:asciiTheme="minorHAnsi" w:hAnsiTheme="minorHAnsi"/>
          <w:color w:val="auto"/>
          <w:szCs w:val="24"/>
        </w:rPr>
        <w:t>” but “</w:t>
      </w:r>
      <w:r w:rsidR="0005614E" w:rsidRPr="0005614E">
        <w:rPr>
          <w:rFonts w:asciiTheme="minorHAnsi" w:hAnsiTheme="minorHAnsi"/>
          <w:color w:val="auto"/>
          <w:szCs w:val="24"/>
        </w:rPr>
        <w:t>did not demonstrate tenderness on palpation ... pain was not elicited th</w:t>
      </w:r>
      <w:r w:rsidR="0005614E">
        <w:rPr>
          <w:rFonts w:asciiTheme="minorHAnsi" w:hAnsiTheme="minorHAnsi"/>
          <w:color w:val="auto"/>
          <w:szCs w:val="24"/>
        </w:rPr>
        <w:t>roughout the range of motion [or]</w:t>
      </w:r>
      <w:r w:rsidR="0005614E" w:rsidRPr="0005614E">
        <w:rPr>
          <w:rFonts w:asciiTheme="minorHAnsi" w:hAnsiTheme="minorHAnsi"/>
          <w:color w:val="auto"/>
          <w:szCs w:val="24"/>
        </w:rPr>
        <w:t xml:space="preserve"> at the extreme limits of the</w:t>
      </w:r>
      <w:r w:rsidR="0005614E">
        <w:rPr>
          <w:rFonts w:asciiTheme="minorHAnsi" w:hAnsiTheme="minorHAnsi"/>
          <w:color w:val="auto"/>
          <w:szCs w:val="24"/>
        </w:rPr>
        <w:t xml:space="preserve"> range of motion</w:t>
      </w:r>
      <w:r w:rsidR="0005614E" w:rsidRPr="0005614E">
        <w:rPr>
          <w:rFonts w:asciiTheme="minorHAnsi" w:hAnsiTheme="minorHAnsi"/>
          <w:color w:val="auto"/>
          <w:szCs w:val="24"/>
        </w:rPr>
        <w:t xml:space="preserve"> ... exhibited no muscle spasms</w:t>
      </w:r>
      <w:r w:rsidR="0005614E">
        <w:rPr>
          <w:rFonts w:asciiTheme="minorHAnsi" w:hAnsiTheme="minorHAnsi"/>
          <w:color w:val="auto"/>
          <w:szCs w:val="24"/>
        </w:rPr>
        <w:t xml:space="preserve"> … gait and </w:t>
      </w:r>
      <w:r w:rsidR="0005614E" w:rsidRPr="0005614E">
        <w:rPr>
          <w:rFonts w:asciiTheme="minorHAnsi" w:hAnsiTheme="minorHAnsi"/>
          <w:color w:val="auto"/>
          <w:szCs w:val="24"/>
        </w:rPr>
        <w:t xml:space="preserve">stance </w:t>
      </w:r>
      <w:r w:rsidR="0005614E">
        <w:rPr>
          <w:rFonts w:asciiTheme="minorHAnsi" w:hAnsiTheme="minorHAnsi"/>
          <w:color w:val="auto"/>
          <w:szCs w:val="24"/>
        </w:rPr>
        <w:t xml:space="preserve">were </w:t>
      </w:r>
      <w:r w:rsidR="0005614E" w:rsidRPr="0005614E">
        <w:rPr>
          <w:rFonts w:asciiTheme="minorHAnsi" w:hAnsiTheme="minorHAnsi"/>
          <w:color w:val="auto"/>
          <w:szCs w:val="24"/>
        </w:rPr>
        <w:t>normal</w:t>
      </w:r>
      <w:r w:rsidR="0058596B">
        <w:rPr>
          <w:rFonts w:asciiTheme="minorHAnsi" w:hAnsiTheme="minorHAnsi"/>
          <w:color w:val="auto"/>
          <w:szCs w:val="24"/>
        </w:rPr>
        <w:t>.</w:t>
      </w:r>
      <w:r w:rsidR="0005614E">
        <w:rPr>
          <w:rFonts w:asciiTheme="minorHAnsi" w:hAnsiTheme="minorHAnsi"/>
          <w:color w:val="auto"/>
          <w:szCs w:val="24"/>
        </w:rPr>
        <w:t xml:space="preserve">”  All recorded neurologic exams and straight leg raising exams were normal.  No exam documented abnormal gait or contour, </w:t>
      </w:r>
      <w:r w:rsidR="00631711">
        <w:rPr>
          <w:rFonts w:asciiTheme="minorHAnsi" w:hAnsiTheme="minorHAnsi"/>
          <w:color w:val="auto"/>
          <w:szCs w:val="24"/>
        </w:rPr>
        <w:t>significant</w:t>
      </w:r>
      <w:r w:rsidR="0005614E">
        <w:rPr>
          <w:rFonts w:asciiTheme="minorHAnsi" w:hAnsiTheme="minorHAnsi"/>
          <w:color w:val="auto"/>
          <w:szCs w:val="24"/>
        </w:rPr>
        <w:t xml:space="preserve"> </w:t>
      </w:r>
      <w:r w:rsidR="00631711">
        <w:rPr>
          <w:rFonts w:asciiTheme="minorHAnsi" w:hAnsiTheme="minorHAnsi"/>
          <w:color w:val="auto"/>
          <w:szCs w:val="24"/>
        </w:rPr>
        <w:t xml:space="preserve">muscle </w:t>
      </w:r>
      <w:r w:rsidR="0005614E">
        <w:rPr>
          <w:rFonts w:asciiTheme="minorHAnsi" w:hAnsiTheme="minorHAnsi"/>
          <w:color w:val="auto"/>
          <w:szCs w:val="24"/>
        </w:rPr>
        <w:t>spasm, distressed general appearance or any other suggestion</w:t>
      </w:r>
      <w:r w:rsidR="004F0434">
        <w:rPr>
          <w:rFonts w:asciiTheme="minorHAnsi" w:hAnsiTheme="minorHAnsi"/>
          <w:color w:val="auto"/>
          <w:szCs w:val="24"/>
        </w:rPr>
        <w:t xml:space="preserve"> that </w:t>
      </w:r>
      <w:proofErr w:type="spellStart"/>
      <w:r w:rsidR="004F0434">
        <w:rPr>
          <w:rFonts w:asciiTheme="minorHAnsi" w:hAnsiTheme="minorHAnsi"/>
          <w:color w:val="auto"/>
          <w:szCs w:val="24"/>
        </w:rPr>
        <w:t>truncal</w:t>
      </w:r>
      <w:proofErr w:type="spellEnd"/>
      <w:r w:rsidR="004F0434">
        <w:rPr>
          <w:rFonts w:asciiTheme="minorHAnsi" w:hAnsiTheme="minorHAnsi"/>
          <w:color w:val="auto"/>
          <w:szCs w:val="24"/>
        </w:rPr>
        <w:t xml:space="preserve"> motion was guarded </w:t>
      </w:r>
      <w:r w:rsidR="00631711">
        <w:rPr>
          <w:rFonts w:asciiTheme="minorHAnsi" w:hAnsiTheme="minorHAnsi"/>
          <w:color w:val="auto"/>
          <w:szCs w:val="24"/>
        </w:rPr>
        <w:t>or severely limited.  This included the MEB physical examination performed in close proximity to the PT exam</w:t>
      </w:r>
      <w:r w:rsidR="005C08A7">
        <w:rPr>
          <w:rFonts w:asciiTheme="minorHAnsi" w:hAnsiTheme="minorHAnsi"/>
          <w:color w:val="auto"/>
          <w:szCs w:val="24"/>
        </w:rPr>
        <w:t xml:space="preserve">.  </w:t>
      </w:r>
    </w:p>
    <w:p w:rsidR="0058596B" w:rsidRDefault="0058596B" w:rsidP="00397397">
      <w:pPr>
        <w:spacing w:line="240" w:lineRule="exact"/>
        <w:jc w:val="both"/>
        <w:rPr>
          <w:rFonts w:asciiTheme="minorHAnsi" w:hAnsiTheme="minorHAnsi"/>
          <w:color w:val="auto"/>
          <w:szCs w:val="24"/>
        </w:rPr>
      </w:pPr>
    </w:p>
    <w:p w:rsidR="00397397" w:rsidRPr="00397397" w:rsidRDefault="0087036D" w:rsidP="00397397">
      <w:pPr>
        <w:spacing w:line="240" w:lineRule="exact"/>
        <w:jc w:val="both"/>
        <w:rPr>
          <w:rFonts w:ascii="Calibri" w:eastAsiaTheme="minorHAnsi" w:hAnsi="Calibri" w:cstheme="minorBidi"/>
          <w:color w:val="auto"/>
          <w:szCs w:val="24"/>
        </w:rPr>
      </w:pPr>
      <w:r w:rsidRPr="000F0504">
        <w:rPr>
          <w:rFonts w:asciiTheme="minorHAnsi" w:hAnsiTheme="minorHAnsi"/>
          <w:color w:val="auto"/>
          <w:szCs w:val="24"/>
        </w:rPr>
        <w:t>After protracted deliberation</w:t>
      </w:r>
      <w:r w:rsidR="005C08A7">
        <w:rPr>
          <w:rFonts w:asciiTheme="minorHAnsi" w:hAnsiTheme="minorHAnsi"/>
          <w:color w:val="auto"/>
          <w:szCs w:val="24"/>
        </w:rPr>
        <w:t xml:space="preserve"> and mindful of </w:t>
      </w:r>
      <w:r w:rsidR="0058596B">
        <w:rPr>
          <w:rFonts w:asciiTheme="minorHAnsi" w:hAnsiTheme="minorHAnsi"/>
          <w:color w:val="auto"/>
          <w:szCs w:val="24"/>
        </w:rPr>
        <w:t>the VA Schedule for Rating Disabilities (</w:t>
      </w:r>
      <w:r w:rsidR="005C08A7">
        <w:rPr>
          <w:rFonts w:asciiTheme="minorHAnsi" w:hAnsiTheme="minorHAnsi"/>
          <w:color w:val="auto"/>
          <w:szCs w:val="24"/>
        </w:rPr>
        <w:t>VASRD</w:t>
      </w:r>
      <w:r w:rsidR="0058596B">
        <w:rPr>
          <w:rFonts w:asciiTheme="minorHAnsi" w:hAnsiTheme="minorHAnsi"/>
          <w:color w:val="auto"/>
          <w:szCs w:val="24"/>
        </w:rPr>
        <w:t>)</w:t>
      </w:r>
      <w:r w:rsidR="005C08A7">
        <w:rPr>
          <w:rFonts w:asciiTheme="minorHAnsi" w:hAnsiTheme="minorHAnsi"/>
          <w:color w:val="auto"/>
          <w:szCs w:val="24"/>
        </w:rPr>
        <w:t xml:space="preserve"> </w:t>
      </w:r>
      <w:r w:rsidR="005C08A7">
        <w:rPr>
          <w:rFonts w:asciiTheme="minorHAnsi" w:hAnsiTheme="minorHAnsi" w:cstheme="minorHAnsi"/>
          <w:color w:val="auto"/>
          <w:szCs w:val="24"/>
        </w:rPr>
        <w:t>§</w:t>
      </w:r>
      <w:r w:rsidR="005C08A7">
        <w:rPr>
          <w:rFonts w:asciiTheme="minorHAnsi" w:hAnsiTheme="minorHAnsi"/>
          <w:color w:val="auto"/>
          <w:szCs w:val="24"/>
        </w:rPr>
        <w:t>4.6 (evaluation of evidence)</w:t>
      </w:r>
      <w:r w:rsidRPr="000F0504">
        <w:rPr>
          <w:rFonts w:asciiTheme="minorHAnsi" w:hAnsiTheme="minorHAnsi"/>
          <w:color w:val="auto"/>
          <w:szCs w:val="24"/>
        </w:rPr>
        <w:t>, the Board conclude</w:t>
      </w:r>
      <w:r w:rsidR="00E132ED" w:rsidRPr="000F0504">
        <w:rPr>
          <w:rFonts w:asciiTheme="minorHAnsi" w:hAnsiTheme="minorHAnsi"/>
          <w:color w:val="auto"/>
          <w:szCs w:val="24"/>
        </w:rPr>
        <w:t>d</w:t>
      </w:r>
      <w:r w:rsidRPr="000F0504">
        <w:rPr>
          <w:rFonts w:asciiTheme="minorHAnsi" w:hAnsiTheme="minorHAnsi"/>
          <w:color w:val="auto"/>
          <w:szCs w:val="24"/>
        </w:rPr>
        <w:t xml:space="preserve"> that its rating recommendation should </w:t>
      </w:r>
      <w:r w:rsidR="00E132ED" w:rsidRPr="000F0504">
        <w:rPr>
          <w:rFonts w:asciiTheme="minorHAnsi" w:hAnsiTheme="minorHAnsi"/>
          <w:color w:val="auto"/>
          <w:szCs w:val="24"/>
        </w:rPr>
        <w:t xml:space="preserve">not </w:t>
      </w:r>
      <w:r w:rsidRPr="000F0504">
        <w:rPr>
          <w:rFonts w:asciiTheme="minorHAnsi" w:hAnsiTheme="minorHAnsi"/>
          <w:color w:val="auto"/>
          <w:szCs w:val="24"/>
        </w:rPr>
        <w:t xml:space="preserve">default to the ROM criteria derived from the </w:t>
      </w:r>
      <w:r w:rsidR="00E132ED" w:rsidRPr="000F0504">
        <w:rPr>
          <w:rFonts w:asciiTheme="minorHAnsi" w:hAnsiTheme="minorHAnsi"/>
          <w:color w:val="auto"/>
          <w:szCs w:val="24"/>
        </w:rPr>
        <w:t>single PT exam as discussed above</w:t>
      </w:r>
      <w:r w:rsidR="00E1635B" w:rsidRPr="000F0504">
        <w:rPr>
          <w:rFonts w:asciiTheme="minorHAnsi" w:hAnsiTheme="minorHAnsi"/>
          <w:color w:val="auto"/>
          <w:szCs w:val="24"/>
        </w:rPr>
        <w:t xml:space="preserve">.  It concluded rather that the preponderance of the evidence was more </w:t>
      </w:r>
      <w:r w:rsidR="00397397" w:rsidRPr="000F0504">
        <w:rPr>
          <w:rFonts w:asciiTheme="minorHAnsi" w:hAnsiTheme="minorHAnsi"/>
          <w:color w:val="auto"/>
          <w:szCs w:val="24"/>
        </w:rPr>
        <w:t>consi</w:t>
      </w:r>
      <w:r w:rsidR="00C078F7" w:rsidRPr="000F0504">
        <w:rPr>
          <w:rFonts w:asciiTheme="minorHAnsi" w:hAnsiTheme="minorHAnsi"/>
          <w:color w:val="auto"/>
          <w:szCs w:val="24"/>
        </w:rPr>
        <w:t>s</w:t>
      </w:r>
      <w:r w:rsidR="00397397" w:rsidRPr="000F0504">
        <w:rPr>
          <w:rFonts w:asciiTheme="minorHAnsi" w:hAnsiTheme="minorHAnsi"/>
          <w:color w:val="auto"/>
          <w:szCs w:val="24"/>
        </w:rPr>
        <w:t>tent</w:t>
      </w:r>
      <w:r w:rsidR="00E1635B" w:rsidRPr="000F0504">
        <w:rPr>
          <w:rFonts w:asciiTheme="minorHAnsi" w:hAnsiTheme="minorHAnsi"/>
          <w:color w:val="auto"/>
          <w:szCs w:val="24"/>
        </w:rPr>
        <w:t xml:space="preserve"> with the disability reflected in the later VA examination as discussed above.  </w:t>
      </w:r>
      <w:r w:rsidR="00397397" w:rsidRPr="000F0504">
        <w:rPr>
          <w:rFonts w:ascii="Calibri" w:eastAsiaTheme="minorHAnsi" w:hAnsi="Calibri" w:cstheme="minorBidi"/>
          <w:color w:val="auto"/>
          <w:szCs w:val="24"/>
        </w:rPr>
        <w:t>Based on these conclusions, there is not reasonable doubt in the CI’s favor supporting a change from the PEB’s rating decision for the lumbar spine condition</w:t>
      </w:r>
      <w:r w:rsidR="00397397" w:rsidRPr="005C08A7">
        <w:rPr>
          <w:rFonts w:ascii="Calibri" w:eastAsiaTheme="minorHAnsi" w:hAnsi="Calibri" w:cstheme="minorBidi"/>
          <w:color w:val="auto"/>
          <w:szCs w:val="24"/>
        </w:rPr>
        <w:t xml:space="preserve">.  </w:t>
      </w:r>
      <w:r w:rsidR="000F0504" w:rsidRPr="005C08A7">
        <w:rPr>
          <w:rFonts w:asciiTheme="minorHAnsi" w:hAnsiTheme="minorHAnsi"/>
          <w:color w:val="auto"/>
          <w:szCs w:val="24"/>
        </w:rPr>
        <w:t>VASRD code 5243 is preferred as the best fit with the pathology in this case</w:t>
      </w:r>
      <w:r w:rsidR="00266473" w:rsidRPr="005C08A7">
        <w:rPr>
          <w:rFonts w:asciiTheme="minorHAnsi" w:hAnsiTheme="minorHAnsi"/>
          <w:color w:val="auto"/>
          <w:szCs w:val="24"/>
        </w:rPr>
        <w:t>.</w:t>
      </w:r>
      <w:r w:rsidR="00266473">
        <w:rPr>
          <w:rFonts w:asciiTheme="minorHAnsi" w:hAnsiTheme="minorHAnsi"/>
          <w:color w:val="auto"/>
          <w:szCs w:val="24"/>
        </w:rPr>
        <w:t xml:space="preserve">  </w:t>
      </w:r>
    </w:p>
    <w:p w:rsidR="007E7B4E" w:rsidRDefault="007E7B4E" w:rsidP="00885447">
      <w:pPr>
        <w:tabs>
          <w:tab w:val="left" w:pos="288"/>
          <w:tab w:val="left" w:pos="4752"/>
        </w:tabs>
        <w:spacing w:line="240" w:lineRule="exact"/>
        <w:jc w:val="both"/>
        <w:rPr>
          <w:rFonts w:asciiTheme="minorHAnsi" w:hAnsiTheme="minorHAnsi"/>
          <w:color w:val="auto"/>
          <w:szCs w:val="24"/>
        </w:rPr>
      </w:pPr>
    </w:p>
    <w:p w:rsidR="00C078F7" w:rsidRDefault="00C078F7" w:rsidP="004A2A00">
      <w:pPr>
        <w:tabs>
          <w:tab w:val="left" w:pos="288"/>
          <w:tab w:val="left" w:pos="4752"/>
        </w:tabs>
        <w:spacing w:line="240" w:lineRule="exact"/>
        <w:jc w:val="both"/>
        <w:rPr>
          <w:rFonts w:asciiTheme="minorHAnsi" w:hAnsiTheme="minorHAnsi"/>
          <w:color w:val="auto"/>
          <w:szCs w:val="24"/>
          <w:u w:val="single"/>
        </w:rPr>
      </w:pPr>
      <w:r w:rsidRPr="00BF658B">
        <w:rPr>
          <w:rFonts w:asciiTheme="minorHAnsi" w:hAnsiTheme="minorHAnsi"/>
          <w:color w:val="auto"/>
          <w:szCs w:val="24"/>
        </w:rPr>
        <w:t xml:space="preserve">The Board deliberated if additional disability rating was justified </w:t>
      </w:r>
      <w:r>
        <w:rPr>
          <w:rFonts w:asciiTheme="minorHAnsi" w:hAnsiTheme="minorHAnsi"/>
          <w:color w:val="auto"/>
          <w:szCs w:val="24"/>
        </w:rPr>
        <w:t>for</w:t>
      </w:r>
      <w:r w:rsidRPr="00BF658B">
        <w:rPr>
          <w:rFonts w:asciiTheme="minorHAnsi" w:hAnsiTheme="minorHAnsi"/>
          <w:color w:val="auto"/>
          <w:szCs w:val="24"/>
        </w:rPr>
        <w:t xml:space="preserve"> peripheral nerve impairment</w:t>
      </w:r>
      <w:r>
        <w:rPr>
          <w:rFonts w:asciiTheme="minorHAnsi" w:hAnsiTheme="minorHAnsi"/>
          <w:color w:val="auto"/>
          <w:szCs w:val="24"/>
        </w:rPr>
        <w:t xml:space="preserve"> due to lumbosacral radiculopathy in this case</w:t>
      </w:r>
      <w:r w:rsidRPr="00BF658B">
        <w:rPr>
          <w:rFonts w:asciiTheme="minorHAnsi" w:hAnsiTheme="minorHAnsi"/>
          <w:color w:val="auto"/>
          <w:szCs w:val="24"/>
        </w:rPr>
        <w:t xml:space="preserve">.  </w:t>
      </w:r>
      <w:r>
        <w:rPr>
          <w:rFonts w:asciiTheme="minorHAnsi" w:hAnsiTheme="minorHAnsi"/>
          <w:color w:val="auto"/>
          <w:szCs w:val="24"/>
        </w:rPr>
        <w:t>There was</w:t>
      </w:r>
      <w:r w:rsidR="0058596B">
        <w:rPr>
          <w:rFonts w:asciiTheme="minorHAnsi" w:hAnsiTheme="minorHAnsi"/>
          <w:color w:val="auto"/>
          <w:szCs w:val="24"/>
        </w:rPr>
        <w:t>,</w:t>
      </w:r>
      <w:r>
        <w:rPr>
          <w:rFonts w:asciiTheme="minorHAnsi" w:hAnsiTheme="minorHAnsi"/>
          <w:color w:val="auto"/>
          <w:szCs w:val="24"/>
        </w:rPr>
        <w:t xml:space="preserve"> however</w:t>
      </w:r>
      <w:r w:rsidR="0058596B">
        <w:rPr>
          <w:rFonts w:asciiTheme="minorHAnsi" w:hAnsiTheme="minorHAnsi"/>
          <w:color w:val="auto"/>
          <w:szCs w:val="24"/>
        </w:rPr>
        <w:t>,</w:t>
      </w:r>
      <w:r>
        <w:rPr>
          <w:rFonts w:asciiTheme="minorHAnsi" w:hAnsiTheme="minorHAnsi"/>
          <w:color w:val="auto"/>
          <w:szCs w:val="24"/>
        </w:rPr>
        <w:t xml:space="preserve"> no evidence of loss of lower extremity strength or sensation, or of diminished tendon reflexes indicative of radiculopathy.  </w:t>
      </w:r>
      <w:r w:rsidRPr="00BF658B">
        <w:rPr>
          <w:rFonts w:asciiTheme="minorHAnsi" w:hAnsiTheme="minorHAnsi"/>
          <w:color w:val="auto"/>
          <w:szCs w:val="24"/>
        </w:rPr>
        <w:t xml:space="preserve">The presence of functional impairment with a direct impact on fitness is </w:t>
      </w:r>
      <w:r>
        <w:rPr>
          <w:rFonts w:asciiTheme="minorHAnsi" w:hAnsiTheme="minorHAnsi"/>
          <w:color w:val="auto"/>
          <w:szCs w:val="24"/>
        </w:rPr>
        <w:t>the key determinant</w:t>
      </w:r>
      <w:r w:rsidRPr="00BF658B">
        <w:rPr>
          <w:rFonts w:asciiTheme="minorHAnsi" w:hAnsiTheme="minorHAnsi"/>
          <w:color w:val="auto"/>
          <w:szCs w:val="24"/>
        </w:rPr>
        <w:t xml:space="preserve"> in the Board’s decision to</w:t>
      </w:r>
      <w:r w:rsidRPr="00495E95">
        <w:rPr>
          <w:rFonts w:asciiTheme="minorHAnsi" w:hAnsiTheme="minorHAnsi"/>
          <w:color w:val="auto"/>
          <w:szCs w:val="24"/>
        </w:rPr>
        <w:t xml:space="preserve"> </w:t>
      </w:r>
      <w:r w:rsidRPr="00BF658B">
        <w:rPr>
          <w:rFonts w:asciiTheme="minorHAnsi" w:hAnsiTheme="minorHAnsi"/>
          <w:color w:val="auto"/>
          <w:szCs w:val="24"/>
        </w:rPr>
        <w:t>recommend any condition for rating as additionally unfitting.</w:t>
      </w:r>
      <w:r w:rsidRPr="001603AB">
        <w:rPr>
          <w:rFonts w:asciiTheme="minorHAnsi" w:hAnsiTheme="minorHAnsi"/>
          <w:color w:val="auto"/>
          <w:szCs w:val="24"/>
        </w:rPr>
        <w:t xml:space="preserve">  </w:t>
      </w:r>
      <w:r>
        <w:rPr>
          <w:rFonts w:asciiTheme="minorHAnsi" w:hAnsiTheme="minorHAnsi"/>
          <w:color w:val="auto"/>
          <w:szCs w:val="24"/>
        </w:rPr>
        <w:t xml:space="preserve">While the CI may have suffered additional pain from nerve involvement, this is subsumed under the general spine rating criteria, which specifically states </w:t>
      </w:r>
      <w:r w:rsidR="0058596B">
        <w:rPr>
          <w:rFonts w:asciiTheme="minorHAnsi" w:hAnsiTheme="minorHAnsi"/>
          <w:color w:val="auto"/>
          <w:szCs w:val="24"/>
        </w:rPr>
        <w:t>“</w:t>
      </w:r>
      <w:r>
        <w:rPr>
          <w:rFonts w:asciiTheme="minorHAnsi" w:hAnsiTheme="minorHAnsi"/>
          <w:color w:val="auto"/>
          <w:szCs w:val="24"/>
        </w:rPr>
        <w:t>w</w:t>
      </w:r>
      <w:r w:rsidRPr="003A5067">
        <w:rPr>
          <w:rFonts w:asciiTheme="minorHAnsi" w:hAnsiTheme="minorHAnsi"/>
          <w:color w:val="auto"/>
          <w:szCs w:val="24"/>
        </w:rPr>
        <w:t>ith or without symptoms such as pa</w:t>
      </w:r>
      <w:r>
        <w:rPr>
          <w:rFonts w:asciiTheme="minorHAnsi" w:hAnsiTheme="minorHAnsi"/>
          <w:color w:val="auto"/>
          <w:szCs w:val="24"/>
        </w:rPr>
        <w:t>in (whether or not it radiates)</w:t>
      </w:r>
      <w:r w:rsidR="0058596B">
        <w:rPr>
          <w:rFonts w:asciiTheme="minorHAnsi" w:hAnsiTheme="minorHAnsi"/>
          <w:color w:val="auto"/>
          <w:szCs w:val="24"/>
        </w:rPr>
        <w:t>.”</w:t>
      </w:r>
      <w:r>
        <w:rPr>
          <w:rFonts w:asciiTheme="minorHAnsi" w:hAnsiTheme="minorHAnsi"/>
          <w:color w:val="auto"/>
          <w:szCs w:val="24"/>
        </w:rPr>
        <w:t xml:space="preserve">  There is no evidence in this case of functional impairment attributable to peripheral neuropathy.  The Board therefore concludes that additional disability rating was not justified on this basis.</w:t>
      </w:r>
    </w:p>
    <w:p w:rsidR="00C078F7" w:rsidRDefault="00C078F7" w:rsidP="004A2A00">
      <w:pPr>
        <w:tabs>
          <w:tab w:val="left" w:pos="288"/>
          <w:tab w:val="left" w:pos="4752"/>
        </w:tabs>
        <w:spacing w:line="240" w:lineRule="exact"/>
        <w:jc w:val="both"/>
        <w:rPr>
          <w:rFonts w:asciiTheme="minorHAnsi" w:hAnsiTheme="minorHAnsi"/>
          <w:color w:val="auto"/>
          <w:szCs w:val="24"/>
          <w:u w:val="single"/>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compensable ratings should be considered for </w:t>
      </w:r>
      <w:r w:rsidR="0058596B">
        <w:rPr>
          <w:rFonts w:asciiTheme="minorHAnsi" w:hAnsiTheme="minorHAnsi"/>
          <w:color w:val="auto"/>
          <w:szCs w:val="24"/>
        </w:rPr>
        <w:t>p</w:t>
      </w:r>
      <w:r w:rsidR="004746DF">
        <w:rPr>
          <w:rFonts w:asciiTheme="minorHAnsi" w:hAnsiTheme="minorHAnsi"/>
          <w:color w:val="auto"/>
          <w:szCs w:val="24"/>
        </w:rPr>
        <w:t>ost</w:t>
      </w:r>
      <w:r w:rsidR="0058596B">
        <w:rPr>
          <w:rFonts w:asciiTheme="minorHAnsi" w:hAnsiTheme="minorHAnsi"/>
          <w:color w:val="auto"/>
          <w:szCs w:val="24"/>
        </w:rPr>
        <w:t>t</w:t>
      </w:r>
      <w:r w:rsidR="004746DF">
        <w:rPr>
          <w:rFonts w:asciiTheme="minorHAnsi" w:hAnsiTheme="minorHAnsi"/>
          <w:color w:val="auto"/>
          <w:szCs w:val="24"/>
        </w:rPr>
        <w:t xml:space="preserve">raumatic </w:t>
      </w:r>
      <w:r w:rsidR="0058596B">
        <w:rPr>
          <w:rFonts w:asciiTheme="minorHAnsi" w:hAnsiTheme="minorHAnsi"/>
          <w:color w:val="auto"/>
          <w:szCs w:val="24"/>
        </w:rPr>
        <w:t xml:space="preserve">stress disorder </w:t>
      </w:r>
      <w:r w:rsidR="004746DF">
        <w:rPr>
          <w:rFonts w:asciiTheme="minorHAnsi" w:hAnsiTheme="minorHAnsi"/>
          <w:color w:val="auto"/>
          <w:szCs w:val="24"/>
        </w:rPr>
        <w:t xml:space="preserve">(PTSD).  </w:t>
      </w:r>
      <w:r w:rsidR="00C218AF">
        <w:rPr>
          <w:rFonts w:asciiTheme="minorHAnsi" w:hAnsiTheme="minorHAnsi"/>
          <w:color w:val="auto"/>
          <w:szCs w:val="24"/>
        </w:rPr>
        <w:t>The D</w:t>
      </w:r>
      <w:r w:rsidR="0058596B">
        <w:rPr>
          <w:rFonts w:asciiTheme="minorHAnsi" w:hAnsiTheme="minorHAnsi"/>
          <w:color w:val="auto"/>
          <w:szCs w:val="24"/>
        </w:rPr>
        <w:t>isability Evaluation System (D</w:t>
      </w:r>
      <w:r w:rsidR="00C218AF">
        <w:rPr>
          <w:rFonts w:asciiTheme="minorHAnsi" w:hAnsiTheme="minorHAnsi"/>
          <w:color w:val="auto"/>
          <w:szCs w:val="24"/>
        </w:rPr>
        <w:t>ES</w:t>
      </w:r>
      <w:r w:rsidR="0058596B">
        <w:rPr>
          <w:rFonts w:asciiTheme="minorHAnsi" w:hAnsiTheme="minorHAnsi"/>
          <w:color w:val="auto"/>
          <w:szCs w:val="24"/>
        </w:rPr>
        <w:t>)</w:t>
      </w:r>
      <w:r w:rsidR="00C218AF">
        <w:rPr>
          <w:rFonts w:asciiTheme="minorHAnsi" w:hAnsiTheme="minorHAnsi"/>
          <w:color w:val="auto"/>
          <w:szCs w:val="24"/>
        </w:rPr>
        <w:t xml:space="preserve"> file notes a history of “depression and worry”</w:t>
      </w:r>
      <w:r w:rsidR="00644573">
        <w:rPr>
          <w:rFonts w:asciiTheme="minorHAnsi" w:hAnsiTheme="minorHAnsi"/>
          <w:color w:val="auto"/>
          <w:szCs w:val="24"/>
        </w:rPr>
        <w:t xml:space="preserve"> i</w:t>
      </w:r>
      <w:r w:rsidR="002D0A84">
        <w:rPr>
          <w:rFonts w:asciiTheme="minorHAnsi" w:hAnsiTheme="minorHAnsi"/>
          <w:color w:val="auto"/>
          <w:szCs w:val="24"/>
        </w:rPr>
        <w:t>n 2005</w:t>
      </w:r>
      <w:r w:rsidR="00644573">
        <w:rPr>
          <w:rFonts w:asciiTheme="minorHAnsi" w:hAnsiTheme="minorHAnsi"/>
          <w:color w:val="auto"/>
          <w:szCs w:val="24"/>
        </w:rPr>
        <w:t xml:space="preserve">. </w:t>
      </w:r>
      <w:r w:rsidR="002D0A84">
        <w:rPr>
          <w:rFonts w:asciiTheme="minorHAnsi" w:hAnsiTheme="minorHAnsi"/>
          <w:color w:val="auto"/>
          <w:szCs w:val="24"/>
        </w:rPr>
        <w:t xml:space="preserve"> </w:t>
      </w:r>
      <w:r w:rsidR="00644573">
        <w:rPr>
          <w:rFonts w:asciiTheme="minorHAnsi" w:hAnsiTheme="minorHAnsi"/>
          <w:color w:val="auto"/>
          <w:szCs w:val="24"/>
        </w:rPr>
        <w:t xml:space="preserve">At that time </w:t>
      </w:r>
      <w:r w:rsidR="002D0A84">
        <w:rPr>
          <w:rFonts w:asciiTheme="minorHAnsi" w:hAnsiTheme="minorHAnsi"/>
          <w:color w:val="auto"/>
          <w:szCs w:val="24"/>
        </w:rPr>
        <w:t>she was evacuated from Iraq for adjustment disorder with anxiety and chronic PTSD</w:t>
      </w:r>
      <w:r w:rsidR="00644573">
        <w:rPr>
          <w:rFonts w:asciiTheme="minorHAnsi" w:hAnsiTheme="minorHAnsi"/>
          <w:color w:val="auto"/>
          <w:szCs w:val="24"/>
        </w:rPr>
        <w:t xml:space="preserve"> related to childhood trauma</w:t>
      </w:r>
      <w:r w:rsidR="002D0A84">
        <w:rPr>
          <w:rFonts w:asciiTheme="minorHAnsi" w:hAnsiTheme="minorHAnsi"/>
          <w:color w:val="auto"/>
          <w:szCs w:val="24"/>
        </w:rPr>
        <w:t xml:space="preserve">.  After a few weeks of treatment that did not include psychotropic medication, she required no further psychiatric follow-up.  </w:t>
      </w:r>
      <w:r w:rsidR="00F528A8">
        <w:rPr>
          <w:rFonts w:asciiTheme="minorHAnsi" w:hAnsiTheme="minorHAnsi"/>
          <w:color w:val="auto"/>
          <w:szCs w:val="24"/>
        </w:rPr>
        <w:t xml:space="preserve">The VA rated the condition 0% </w:t>
      </w:r>
      <w:r w:rsidR="00121DEC">
        <w:rPr>
          <w:rFonts w:asciiTheme="minorHAnsi" w:hAnsiTheme="minorHAnsi"/>
          <w:color w:val="auto"/>
          <w:szCs w:val="24"/>
        </w:rPr>
        <w:t xml:space="preserve">at </w:t>
      </w:r>
      <w:r w:rsidR="00F528A8">
        <w:rPr>
          <w:rFonts w:asciiTheme="minorHAnsi" w:hAnsiTheme="minorHAnsi"/>
          <w:color w:val="auto"/>
          <w:szCs w:val="24"/>
        </w:rPr>
        <w:t xml:space="preserve">separation, </w:t>
      </w:r>
      <w:r w:rsidR="00121DEC">
        <w:rPr>
          <w:rFonts w:asciiTheme="minorHAnsi" w:hAnsiTheme="minorHAnsi"/>
          <w:color w:val="auto"/>
          <w:szCs w:val="24"/>
        </w:rPr>
        <w:t>but</w:t>
      </w:r>
      <w:r w:rsidR="00F528A8">
        <w:rPr>
          <w:rFonts w:asciiTheme="minorHAnsi" w:hAnsiTheme="minorHAnsi"/>
          <w:color w:val="auto"/>
          <w:szCs w:val="24"/>
        </w:rPr>
        <w:t xml:space="preserve"> increased </w:t>
      </w:r>
      <w:r w:rsidR="00121DEC">
        <w:rPr>
          <w:rFonts w:asciiTheme="minorHAnsi" w:hAnsiTheme="minorHAnsi"/>
          <w:color w:val="auto"/>
          <w:szCs w:val="24"/>
        </w:rPr>
        <w:t>the rating</w:t>
      </w:r>
      <w:r w:rsidR="00F528A8">
        <w:rPr>
          <w:rFonts w:asciiTheme="minorHAnsi" w:hAnsiTheme="minorHAnsi"/>
          <w:color w:val="auto"/>
          <w:szCs w:val="24"/>
        </w:rPr>
        <w:t xml:space="preserve"> to 30% </w:t>
      </w:r>
      <w:r w:rsidR="00121DEC">
        <w:rPr>
          <w:rFonts w:asciiTheme="minorHAnsi" w:hAnsiTheme="minorHAnsi"/>
          <w:color w:val="auto"/>
          <w:szCs w:val="24"/>
        </w:rPr>
        <w:t xml:space="preserve">(effective date </w:t>
      </w:r>
      <w:r w:rsidR="00C56D33">
        <w:rPr>
          <w:rFonts w:asciiTheme="minorHAnsi" w:hAnsiTheme="minorHAnsi"/>
          <w:color w:val="auto"/>
          <w:szCs w:val="24"/>
        </w:rPr>
        <w:t>more than</w:t>
      </w:r>
      <w:r w:rsidR="00121DEC">
        <w:rPr>
          <w:rFonts w:asciiTheme="minorHAnsi" w:hAnsiTheme="minorHAnsi"/>
          <w:color w:val="auto"/>
          <w:szCs w:val="24"/>
        </w:rPr>
        <w:t xml:space="preserve"> </w:t>
      </w:r>
      <w:r w:rsidR="0058596B">
        <w:rPr>
          <w:rFonts w:asciiTheme="minorHAnsi" w:hAnsiTheme="minorHAnsi"/>
          <w:color w:val="auto"/>
          <w:szCs w:val="24"/>
        </w:rPr>
        <w:t>one</w:t>
      </w:r>
      <w:r w:rsidR="00F528A8">
        <w:rPr>
          <w:rFonts w:asciiTheme="minorHAnsi" w:hAnsiTheme="minorHAnsi"/>
          <w:color w:val="auto"/>
          <w:szCs w:val="24"/>
        </w:rPr>
        <w:t xml:space="preserve"> year after separation</w:t>
      </w:r>
      <w:r w:rsidR="00121DEC">
        <w:rPr>
          <w:rFonts w:asciiTheme="minorHAnsi" w:hAnsiTheme="minorHAnsi"/>
          <w:color w:val="auto"/>
          <w:szCs w:val="24"/>
        </w:rPr>
        <w:t>)</w:t>
      </w:r>
      <w:r w:rsidR="00F528A8">
        <w:rPr>
          <w:rFonts w:asciiTheme="minorHAnsi" w:hAnsiTheme="minorHAnsi"/>
          <w:color w:val="auto"/>
          <w:szCs w:val="24"/>
        </w:rPr>
        <w:t xml:space="preserve">.  </w:t>
      </w:r>
      <w:r w:rsidR="002D0A84">
        <w:rPr>
          <w:rFonts w:asciiTheme="minorHAnsi" w:hAnsiTheme="minorHAnsi"/>
          <w:color w:val="auto"/>
          <w:szCs w:val="24"/>
        </w:rPr>
        <w:t xml:space="preserve">At the time of separation, there was no evidence of occupational or functional impairment due to a psychiatric disorder.  </w:t>
      </w:r>
      <w:r w:rsidR="00B02EB7" w:rsidRPr="00B02EB7">
        <w:rPr>
          <w:rFonts w:asciiTheme="minorHAnsi" w:hAnsiTheme="minorHAnsi"/>
          <w:color w:val="auto"/>
          <w:szCs w:val="24"/>
        </w:rPr>
        <w:t xml:space="preserve">There was no evidence for concluding that </w:t>
      </w:r>
      <w:r w:rsidR="00121DEC">
        <w:rPr>
          <w:rFonts w:asciiTheme="minorHAnsi" w:hAnsiTheme="minorHAnsi"/>
          <w:color w:val="auto"/>
          <w:szCs w:val="24"/>
        </w:rPr>
        <w:t>the PTSD condition</w:t>
      </w:r>
      <w:r w:rsidR="002D0A84">
        <w:rPr>
          <w:rFonts w:asciiTheme="minorHAnsi" w:hAnsiTheme="minorHAnsi"/>
          <w:color w:val="auto"/>
          <w:szCs w:val="24"/>
        </w:rPr>
        <w:t xml:space="preserve"> </w:t>
      </w:r>
      <w:r w:rsidR="00B02EB7" w:rsidRPr="00B02EB7">
        <w:rPr>
          <w:rFonts w:asciiTheme="minorHAnsi" w:hAnsiTheme="minorHAnsi"/>
          <w:color w:val="auto"/>
          <w:szCs w:val="24"/>
        </w:rPr>
        <w:t xml:space="preserve">interfered with duty performance to a degree that could be argued as unfitting.  The Board determined therefore that </w:t>
      </w:r>
      <w:r w:rsidR="00121DEC">
        <w:rPr>
          <w:rFonts w:asciiTheme="minorHAnsi" w:hAnsiTheme="minorHAnsi"/>
          <w:color w:val="auto"/>
          <w:szCs w:val="24"/>
        </w:rPr>
        <w:t>this</w:t>
      </w:r>
      <w:r w:rsidR="00B02EB7" w:rsidRPr="00B02EB7">
        <w:rPr>
          <w:rFonts w:asciiTheme="minorHAnsi" w:hAnsiTheme="minorHAnsi"/>
          <w:color w:val="auto"/>
          <w:szCs w:val="24"/>
        </w:rPr>
        <w:t xml:space="preserve"> condition w</w:t>
      </w:r>
      <w:r w:rsidR="00F528A8">
        <w:rPr>
          <w:rFonts w:asciiTheme="minorHAnsi" w:hAnsiTheme="minorHAnsi"/>
          <w:color w:val="auto"/>
          <w:szCs w:val="24"/>
        </w:rPr>
        <w:t>as</w:t>
      </w:r>
      <w:r w:rsidR="00B02EB7" w:rsidRPr="00B02EB7">
        <w:rPr>
          <w:rFonts w:asciiTheme="minorHAnsi" w:hAnsiTheme="minorHAnsi"/>
          <w:color w:val="auto"/>
          <w:szCs w:val="24"/>
        </w:rPr>
        <w:t xml:space="preserve"> </w:t>
      </w:r>
      <w:r w:rsidR="005D2607">
        <w:rPr>
          <w:rFonts w:asciiTheme="minorHAnsi" w:hAnsiTheme="minorHAnsi"/>
          <w:color w:val="auto"/>
          <w:szCs w:val="24"/>
        </w:rPr>
        <w:t xml:space="preserve">not </w:t>
      </w:r>
      <w:r w:rsidR="00B02EB7" w:rsidRPr="00B02EB7">
        <w:rPr>
          <w:rFonts w:asciiTheme="minorHAnsi" w:hAnsiTheme="minorHAnsi"/>
          <w:color w:val="auto"/>
          <w:szCs w:val="24"/>
        </w:rPr>
        <w:t xml:space="preserve">subject to </w:t>
      </w:r>
      <w:r w:rsidR="0058596B">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lastRenderedPageBreak/>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B3030D">
        <w:rPr>
          <w:rFonts w:asciiTheme="minorHAnsi" w:hAnsiTheme="minorHAnsi"/>
          <w:color w:val="auto"/>
          <w:szCs w:val="24"/>
        </w:rPr>
        <w:t xml:space="preserve">hypertension, </w:t>
      </w:r>
      <w:r w:rsidR="00F528A8">
        <w:rPr>
          <w:rFonts w:asciiTheme="minorHAnsi" w:hAnsiTheme="minorHAnsi"/>
          <w:color w:val="auto"/>
          <w:szCs w:val="24"/>
        </w:rPr>
        <w:t xml:space="preserve">allergic rhinitis, </w:t>
      </w:r>
      <w:r w:rsidR="00B3030D">
        <w:rPr>
          <w:rFonts w:asciiTheme="minorHAnsi" w:hAnsiTheme="minorHAnsi"/>
          <w:color w:val="auto"/>
          <w:szCs w:val="24"/>
        </w:rPr>
        <w:t>bilateral wrist tendinitis and depression</w:t>
      </w:r>
      <w:r w:rsidR="00B8188C" w:rsidRPr="00B8188C">
        <w:rPr>
          <w:rFonts w:asciiTheme="minorHAnsi" w:hAnsiTheme="minorHAnsi"/>
          <w:color w:val="auto"/>
          <w:szCs w:val="24"/>
        </w:rPr>
        <w:t xml:space="preserve">.  </w:t>
      </w:r>
      <w:r w:rsidR="00B8188C" w:rsidRPr="00B3030D">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None of these conditions were clinical</w:t>
      </w:r>
      <w:r w:rsidR="00F53BC8">
        <w:rPr>
          <w:rFonts w:asciiTheme="minorHAnsi" w:hAnsiTheme="minorHAnsi"/>
          <w:color w:val="auto"/>
          <w:szCs w:val="24"/>
        </w:rPr>
        <w:t>ly active during the MEB period, none carried attached profiles and</w:t>
      </w:r>
      <w:r w:rsidR="00B8188C" w:rsidRPr="00B8188C">
        <w:rPr>
          <w:rFonts w:asciiTheme="minorHAnsi" w:hAnsiTheme="minorHAnsi"/>
          <w:color w:val="auto"/>
          <w:szCs w:val="24"/>
        </w:rPr>
        <w:t xml:space="preserve"> none were implicated in the </w:t>
      </w:r>
      <w:r w:rsidR="0058596B">
        <w:rPr>
          <w:rFonts w:asciiTheme="minorHAnsi" w:hAnsiTheme="minorHAnsi"/>
          <w:color w:val="auto"/>
          <w:szCs w:val="24"/>
        </w:rPr>
        <w:t>c</w:t>
      </w:r>
      <w:r w:rsidR="00B8188C" w:rsidRPr="00B8188C">
        <w:rPr>
          <w:rFonts w:asciiTheme="minorHAnsi" w:hAnsiTheme="minorHAnsi"/>
          <w:color w:val="auto"/>
          <w:szCs w:val="24"/>
        </w:rPr>
        <w:t xml:space="preserve">ommander’s statement.  These conditions were reviewed by the </w:t>
      </w:r>
      <w:r w:rsidR="0058596B" w:rsidRPr="00B8188C">
        <w:rPr>
          <w:rFonts w:asciiTheme="minorHAnsi" w:hAnsiTheme="minorHAnsi"/>
          <w:color w:val="auto"/>
          <w:szCs w:val="24"/>
        </w:rPr>
        <w:t xml:space="preserve">action officer </w:t>
      </w:r>
      <w:r w:rsidR="00B8188C" w:rsidRPr="00B8188C">
        <w:rPr>
          <w:rFonts w:asciiTheme="minorHAnsi" w:hAnsiTheme="minorHAnsi"/>
          <w:color w:val="auto"/>
          <w:szCs w:val="24"/>
        </w:rPr>
        <w:t xml:space="preserve">and considered by the Board.  It was determined that none could be argued as unfitting and subject to separation rating.  Additionally </w:t>
      </w:r>
      <w:r w:rsidR="00F528A8">
        <w:rPr>
          <w:rFonts w:asciiTheme="minorHAnsi" w:hAnsiTheme="minorHAnsi"/>
          <w:color w:val="auto"/>
          <w:szCs w:val="24"/>
        </w:rPr>
        <w:t>acne, bilateral breast scars</w:t>
      </w:r>
      <w:r w:rsidR="00B8188C" w:rsidRPr="00B8188C">
        <w:rPr>
          <w:rFonts w:asciiTheme="minorHAnsi" w:hAnsiTheme="minorHAnsi"/>
          <w:color w:val="auto"/>
          <w:szCs w:val="24"/>
        </w:rPr>
        <w:t xml:space="preserve"> and </w:t>
      </w:r>
      <w:r w:rsidR="00B8188C" w:rsidRPr="00F528A8">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E23175" w:rsidRPr="00CD15BE" w:rsidRDefault="00C56FC8" w:rsidP="00E23175">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B47CB0">
        <w:rPr>
          <w:rFonts w:asciiTheme="minorHAnsi" w:eastAsiaTheme="minorHAnsi" w:hAnsiTheme="minorHAnsi"/>
          <w:color w:val="auto"/>
          <w:szCs w:val="24"/>
        </w:rPr>
        <w:t xml:space="preserve">.  </w:t>
      </w:r>
      <w:r w:rsidR="00B47CB0" w:rsidRPr="00B47CB0">
        <w:rPr>
          <w:rFonts w:asciiTheme="minorHAnsi" w:eastAsiaTheme="minorHAnsi" w:hAnsiTheme="minorHAnsi"/>
          <w:color w:val="auto"/>
          <w:szCs w:val="24"/>
        </w:rPr>
        <w:t>A</w:t>
      </w:r>
      <w:r w:rsidRPr="00B47CB0">
        <w:rPr>
          <w:rFonts w:asciiTheme="minorHAnsi" w:hAnsiTheme="minorHAnsi"/>
          <w:color w:val="auto"/>
          <w:szCs w:val="24"/>
        </w:rPr>
        <w:t xml:space="preserve">s discussed above, PEB reliance on the USAPDA pain policy for rating </w:t>
      </w:r>
      <w:r w:rsidR="00B47CB0">
        <w:rPr>
          <w:rFonts w:asciiTheme="minorHAnsi" w:hAnsiTheme="minorHAnsi"/>
          <w:color w:val="auto"/>
          <w:szCs w:val="24"/>
        </w:rPr>
        <w:t xml:space="preserve">lumbar </w:t>
      </w:r>
      <w:proofErr w:type="spellStart"/>
      <w:r w:rsidR="00B47CB0">
        <w:rPr>
          <w:rFonts w:asciiTheme="minorHAnsi" w:hAnsiTheme="minorHAnsi"/>
          <w:color w:val="auto"/>
          <w:szCs w:val="24"/>
        </w:rPr>
        <w:t>spondylosis</w:t>
      </w:r>
      <w:proofErr w:type="spellEnd"/>
      <w:r w:rsidRPr="00B47CB0">
        <w:rPr>
          <w:rFonts w:asciiTheme="minorHAnsi" w:hAnsiTheme="minorHAnsi"/>
          <w:color w:val="auto"/>
          <w:szCs w:val="24"/>
        </w:rPr>
        <w:t xml:space="preserve"> was operant in this case and the condition was adjudicated independently of that policy by the Board. </w:t>
      </w:r>
      <w:r w:rsidR="00E23175">
        <w:rPr>
          <w:rFonts w:asciiTheme="minorHAnsi" w:hAnsiTheme="minorHAnsi"/>
          <w:color w:val="auto"/>
          <w:szCs w:val="24"/>
        </w:rPr>
        <w:t xml:space="preserve"> </w:t>
      </w:r>
      <w:r w:rsidR="004A33A9" w:rsidRPr="005C4BCA">
        <w:rPr>
          <w:rFonts w:asciiTheme="minorHAnsi" w:hAnsiTheme="minorHAnsi"/>
          <w:color w:val="auto"/>
          <w:szCs w:val="24"/>
        </w:rPr>
        <w:t xml:space="preserve">In the matter of the </w:t>
      </w:r>
      <w:r w:rsidR="0058596B" w:rsidRPr="005C4BCA">
        <w:rPr>
          <w:rFonts w:asciiTheme="minorHAnsi" w:eastAsiaTheme="minorHAnsi" w:hAnsiTheme="minorHAnsi"/>
          <w:color w:val="auto"/>
          <w:szCs w:val="24"/>
        </w:rPr>
        <w:t xml:space="preserve">lumbar </w:t>
      </w:r>
      <w:proofErr w:type="spellStart"/>
      <w:r w:rsidR="0058596B" w:rsidRPr="005C4BCA">
        <w:rPr>
          <w:rFonts w:asciiTheme="minorHAnsi" w:eastAsiaTheme="minorHAnsi" w:hAnsiTheme="minorHAnsi"/>
          <w:color w:val="auto"/>
          <w:szCs w:val="24"/>
        </w:rPr>
        <w:t>spondylosis</w:t>
      </w:r>
      <w:proofErr w:type="spellEnd"/>
      <w:r w:rsidR="0058596B" w:rsidRPr="005C4BCA">
        <w:rPr>
          <w:rFonts w:asciiTheme="minorHAnsi" w:eastAsiaTheme="minorHAnsi" w:hAnsiTheme="minorHAnsi"/>
          <w:color w:val="auto"/>
          <w:szCs w:val="24"/>
        </w:rPr>
        <w:t xml:space="preserve"> </w:t>
      </w:r>
      <w:r w:rsidR="004A33A9" w:rsidRPr="005C4BCA">
        <w:rPr>
          <w:rFonts w:asciiTheme="minorHAnsi" w:hAnsiTheme="minorHAnsi"/>
          <w:color w:val="auto"/>
          <w:szCs w:val="24"/>
        </w:rPr>
        <w:t>condition and IAW VASRD §4.</w:t>
      </w:r>
      <w:r w:rsidR="004A33A9" w:rsidRPr="001C5EAC">
        <w:rPr>
          <w:rFonts w:asciiTheme="minorHAnsi" w:hAnsiTheme="minorHAnsi"/>
          <w:color w:val="auto"/>
          <w:szCs w:val="24"/>
        </w:rPr>
        <w:t xml:space="preserve">71a, the Board unanimously recommends no change in the PEB </w:t>
      </w:r>
      <w:r w:rsidR="000F0504" w:rsidRPr="001C5EAC">
        <w:rPr>
          <w:rFonts w:asciiTheme="minorHAnsi" w:hAnsiTheme="minorHAnsi"/>
          <w:color w:val="auto"/>
          <w:szCs w:val="24"/>
        </w:rPr>
        <w:t>rating</w:t>
      </w:r>
      <w:r w:rsidR="001C5EAC">
        <w:rPr>
          <w:rFonts w:asciiTheme="minorHAnsi" w:hAnsiTheme="minorHAnsi"/>
          <w:color w:val="auto"/>
          <w:szCs w:val="24"/>
        </w:rPr>
        <w:t xml:space="preserve"> adjudication.</w:t>
      </w:r>
      <w:r w:rsidR="004A33A9" w:rsidRPr="001C5EAC">
        <w:rPr>
          <w:rFonts w:ascii="Calibri" w:eastAsiaTheme="minorHAnsi" w:hAnsi="Calibri" w:cstheme="minorBidi"/>
          <w:color w:val="auto"/>
          <w:szCs w:val="24"/>
        </w:rPr>
        <w:t xml:space="preserve">  </w:t>
      </w:r>
      <w:r w:rsidR="00412658" w:rsidRPr="001C5EAC">
        <w:rPr>
          <w:rFonts w:asciiTheme="minorHAnsi" w:hAnsiTheme="minorHAnsi"/>
          <w:color w:val="auto"/>
          <w:szCs w:val="24"/>
        </w:rPr>
        <w:t xml:space="preserve">In the matter of the </w:t>
      </w:r>
      <w:r w:rsidR="0058596B">
        <w:rPr>
          <w:rFonts w:asciiTheme="minorHAnsi" w:hAnsiTheme="minorHAnsi"/>
          <w:color w:val="auto"/>
          <w:szCs w:val="24"/>
        </w:rPr>
        <w:t>PTSD</w:t>
      </w:r>
      <w:r w:rsidR="00412658" w:rsidRPr="001C5EAC">
        <w:rPr>
          <w:rFonts w:asciiTheme="minorHAnsi" w:hAnsiTheme="minorHAnsi"/>
          <w:color w:val="auto"/>
          <w:szCs w:val="24"/>
        </w:rPr>
        <w:t>, the Board unanimously agrees that it</w:t>
      </w:r>
      <w:r w:rsidR="00412658" w:rsidRPr="00AE3316">
        <w:rPr>
          <w:rFonts w:asciiTheme="minorHAnsi" w:hAnsiTheme="minorHAnsi"/>
          <w:color w:val="auto"/>
          <w:szCs w:val="24"/>
        </w:rPr>
        <w:t xml:space="preserve">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412658">
        <w:rPr>
          <w:rFonts w:asciiTheme="minorHAnsi" w:hAnsiTheme="minorHAnsi"/>
          <w:color w:val="auto"/>
          <w:szCs w:val="24"/>
        </w:rPr>
        <w:t xml:space="preserve">  </w:t>
      </w:r>
      <w:r w:rsidR="00E23175" w:rsidRPr="00CD15BE">
        <w:rPr>
          <w:rFonts w:asciiTheme="minorHAnsi" w:hAnsiTheme="minorHAnsi"/>
          <w:color w:val="auto"/>
          <w:szCs w:val="24"/>
        </w:rPr>
        <w:t xml:space="preserve">The Board </w:t>
      </w:r>
      <w:r w:rsidR="00E23175" w:rsidRPr="005C4BCA">
        <w:rPr>
          <w:rFonts w:asciiTheme="minorHAnsi" w:hAnsiTheme="minorHAnsi"/>
          <w:color w:val="auto"/>
          <w:szCs w:val="24"/>
        </w:rPr>
        <w:t>unanimously</w:t>
      </w:r>
      <w:r w:rsidR="00E23175" w:rsidRPr="00CD15BE">
        <w:rPr>
          <w:rFonts w:asciiTheme="minorHAnsi" w:hAnsiTheme="minorHAnsi"/>
          <w:color w:val="auto"/>
          <w:szCs w:val="24"/>
        </w:rPr>
        <w:t xml:space="preserve"> agrees that there w</w:t>
      </w:r>
      <w:r w:rsidR="00E23175">
        <w:rPr>
          <w:rFonts w:asciiTheme="minorHAnsi" w:hAnsiTheme="minorHAnsi"/>
          <w:color w:val="auto"/>
          <w:szCs w:val="24"/>
        </w:rPr>
        <w:t>ere</w:t>
      </w:r>
      <w:r w:rsidR="00E23175" w:rsidRPr="00CD15BE">
        <w:rPr>
          <w:rFonts w:asciiTheme="minorHAnsi" w:hAnsiTheme="minorHAnsi"/>
          <w:color w:val="auto"/>
          <w:szCs w:val="24"/>
        </w:rPr>
        <w:t xml:space="preserve"> no other condition</w:t>
      </w:r>
      <w:r w:rsidR="00E23175">
        <w:rPr>
          <w:rFonts w:asciiTheme="minorHAnsi" w:hAnsiTheme="minorHAnsi"/>
          <w:color w:val="auto"/>
          <w:szCs w:val="24"/>
        </w:rPr>
        <w:t>s</w:t>
      </w:r>
      <w:r w:rsidR="00E23175" w:rsidRPr="00CD15BE">
        <w:rPr>
          <w:rFonts w:asciiTheme="minorHAnsi" w:hAnsiTheme="minorHAnsi"/>
          <w:color w:val="auto"/>
          <w:szCs w:val="24"/>
        </w:rPr>
        <w:t xml:space="preserve"> eligible for </w:t>
      </w:r>
      <w:r w:rsidR="00E23175">
        <w:rPr>
          <w:rFonts w:asciiTheme="minorHAnsi" w:hAnsiTheme="minorHAnsi"/>
          <w:color w:val="auto"/>
          <w:szCs w:val="24"/>
        </w:rPr>
        <w:t>Board consideration</w:t>
      </w:r>
      <w:r w:rsidR="00E23175" w:rsidRPr="00CD15BE">
        <w:rPr>
          <w:rFonts w:asciiTheme="minorHAnsi" w:hAnsiTheme="minorHAnsi"/>
          <w:color w:val="auto"/>
          <w:szCs w:val="24"/>
        </w:rPr>
        <w:t xml:space="preserve"> which </w:t>
      </w:r>
      <w:r w:rsidR="00E23175">
        <w:rPr>
          <w:rFonts w:asciiTheme="minorHAnsi" w:hAnsiTheme="minorHAnsi"/>
          <w:color w:val="auto"/>
          <w:szCs w:val="24"/>
        </w:rPr>
        <w:t>could be recommended</w:t>
      </w:r>
      <w:r w:rsidR="00E23175" w:rsidRPr="00CD15BE">
        <w:rPr>
          <w:rFonts w:asciiTheme="minorHAnsi" w:hAnsiTheme="minorHAnsi"/>
          <w:color w:val="auto"/>
          <w:szCs w:val="24"/>
        </w:rPr>
        <w:t xml:space="preserve"> as additionally unfitting</w:t>
      </w:r>
      <w:r w:rsidR="00E23175">
        <w:rPr>
          <w:rFonts w:asciiTheme="minorHAnsi" w:hAnsiTheme="minorHAnsi"/>
          <w:color w:val="auto"/>
          <w:szCs w:val="24"/>
        </w:rPr>
        <w:t xml:space="preserve"> for rating at separation</w:t>
      </w:r>
      <w:r w:rsidR="00E23175"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4A33A9" w:rsidRPr="004A33A9" w:rsidRDefault="00C56FC8" w:rsidP="004A33A9">
      <w:pPr>
        <w:spacing w:line="240" w:lineRule="exact"/>
        <w:jc w:val="both"/>
        <w:rPr>
          <w:rFonts w:asciiTheme="minorHAnsi" w:eastAsiaTheme="minorHAnsi" w:hAnsiTheme="minorHAnsi" w:cstheme="minorBid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4A33A9">
        <w:rPr>
          <w:rFonts w:asciiTheme="minorHAnsi" w:hAnsiTheme="minorHAnsi"/>
          <w:color w:val="000080"/>
          <w:szCs w:val="24"/>
        </w:rPr>
        <w:t xml:space="preserve"> </w:t>
      </w:r>
      <w:r w:rsidR="00B47CB0">
        <w:rPr>
          <w:rFonts w:asciiTheme="minorHAnsi" w:hAnsiTheme="minorHAnsi"/>
          <w:color w:val="000080"/>
          <w:szCs w:val="24"/>
        </w:rPr>
        <w:t xml:space="preserve"> </w:t>
      </w:r>
      <w:r w:rsidR="004A33A9" w:rsidRPr="005C4BCA">
        <w:rPr>
          <w:rFonts w:asciiTheme="minorHAnsi" w:eastAsiaTheme="minorHAnsi" w:hAnsiTheme="minorHAnsi" w:cstheme="minorBidi"/>
          <w:color w:val="auto"/>
          <w:szCs w:val="24"/>
        </w:rPr>
        <w:t>The Board therefore recommends that there be no recharacterization of the CI’s disability and separation determination.</w:t>
      </w:r>
    </w:p>
    <w:p w:rsidR="004A33A9" w:rsidRPr="00E23175" w:rsidRDefault="004A33A9" w:rsidP="00E23175">
      <w:pPr>
        <w:tabs>
          <w:tab w:val="left" w:pos="288"/>
          <w:tab w:val="left" w:pos="4752"/>
        </w:tabs>
        <w:spacing w:line="240" w:lineRule="exact"/>
        <w:jc w:val="both"/>
        <w:rPr>
          <w:color w:val="0000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4A33A9" w:rsidRPr="004A33A9" w:rsidTr="00465033">
        <w:trPr>
          <w:trHeight w:val="170"/>
          <w:jc w:val="center"/>
        </w:trPr>
        <w:tc>
          <w:tcPr>
            <w:tcW w:w="6480" w:type="dxa"/>
            <w:shd w:val="clear" w:color="auto" w:fill="D9D9D9"/>
          </w:tcPr>
          <w:p w:rsidR="004A33A9" w:rsidRPr="004A33A9" w:rsidRDefault="004A33A9" w:rsidP="004A33A9">
            <w:pPr>
              <w:tabs>
                <w:tab w:val="left" w:pos="288"/>
                <w:tab w:val="left" w:pos="4752"/>
              </w:tabs>
              <w:spacing w:line="240" w:lineRule="exact"/>
              <w:jc w:val="both"/>
              <w:rPr>
                <w:rFonts w:asciiTheme="minorHAnsi" w:eastAsiaTheme="minorHAnsi" w:hAnsiTheme="minorHAnsi" w:cstheme="minorBidi"/>
                <w:b/>
                <w:color w:val="auto"/>
                <w:szCs w:val="24"/>
              </w:rPr>
            </w:pPr>
            <w:r w:rsidRPr="004A33A9">
              <w:rPr>
                <w:rFonts w:asciiTheme="minorHAnsi" w:eastAsiaTheme="minorHAnsi" w:hAnsiTheme="minorHAnsi" w:cstheme="minorBidi"/>
                <w:b/>
                <w:color w:val="auto"/>
                <w:szCs w:val="24"/>
              </w:rPr>
              <w:t>UNFITTING CONDITION</w:t>
            </w:r>
          </w:p>
        </w:tc>
        <w:tc>
          <w:tcPr>
            <w:tcW w:w="1710" w:type="dxa"/>
            <w:shd w:val="clear" w:color="auto" w:fill="D9D9D9"/>
          </w:tcPr>
          <w:p w:rsidR="004A33A9" w:rsidRPr="004A33A9" w:rsidRDefault="004A33A9" w:rsidP="004A33A9">
            <w:pPr>
              <w:tabs>
                <w:tab w:val="left" w:pos="288"/>
                <w:tab w:val="left" w:pos="4752"/>
              </w:tabs>
              <w:spacing w:line="240" w:lineRule="exact"/>
              <w:jc w:val="center"/>
              <w:rPr>
                <w:rFonts w:asciiTheme="minorHAnsi" w:eastAsiaTheme="minorHAnsi" w:hAnsiTheme="minorHAnsi" w:cstheme="minorBidi"/>
                <w:b/>
                <w:color w:val="auto"/>
                <w:szCs w:val="24"/>
              </w:rPr>
            </w:pPr>
            <w:r w:rsidRPr="004A33A9">
              <w:rPr>
                <w:rFonts w:asciiTheme="minorHAnsi" w:eastAsiaTheme="minorHAnsi" w:hAnsiTheme="minorHAnsi" w:cstheme="minorBidi"/>
                <w:b/>
                <w:color w:val="auto"/>
                <w:szCs w:val="24"/>
              </w:rPr>
              <w:t>VASRD CODE</w:t>
            </w:r>
          </w:p>
        </w:tc>
        <w:tc>
          <w:tcPr>
            <w:tcW w:w="1170" w:type="dxa"/>
            <w:shd w:val="clear" w:color="auto" w:fill="D9D9D9"/>
          </w:tcPr>
          <w:p w:rsidR="004A33A9" w:rsidRPr="004A33A9" w:rsidRDefault="004A33A9" w:rsidP="004A33A9">
            <w:pPr>
              <w:tabs>
                <w:tab w:val="left" w:pos="288"/>
                <w:tab w:val="left" w:pos="4752"/>
              </w:tabs>
              <w:spacing w:line="240" w:lineRule="exact"/>
              <w:jc w:val="center"/>
              <w:rPr>
                <w:rFonts w:asciiTheme="minorHAnsi" w:eastAsiaTheme="minorHAnsi" w:hAnsiTheme="minorHAnsi" w:cstheme="minorBidi"/>
                <w:b/>
                <w:color w:val="auto"/>
                <w:szCs w:val="24"/>
              </w:rPr>
            </w:pPr>
            <w:r w:rsidRPr="004A33A9">
              <w:rPr>
                <w:rFonts w:asciiTheme="minorHAnsi" w:eastAsiaTheme="minorHAnsi" w:hAnsiTheme="minorHAnsi" w:cstheme="minorBidi"/>
                <w:b/>
                <w:color w:val="auto"/>
                <w:szCs w:val="24"/>
              </w:rPr>
              <w:t>RATING</w:t>
            </w:r>
          </w:p>
        </w:tc>
      </w:tr>
      <w:tr w:rsidR="004A33A9" w:rsidRPr="004A33A9" w:rsidTr="00465033">
        <w:trPr>
          <w:jc w:val="center"/>
        </w:trPr>
        <w:tc>
          <w:tcPr>
            <w:tcW w:w="6480" w:type="dxa"/>
          </w:tcPr>
          <w:p w:rsidR="004A33A9" w:rsidRPr="00AC713F" w:rsidRDefault="004A33A9" w:rsidP="0046503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Lumbar Spondylosis</w:t>
            </w:r>
          </w:p>
        </w:tc>
        <w:tc>
          <w:tcPr>
            <w:tcW w:w="1710" w:type="dxa"/>
          </w:tcPr>
          <w:p w:rsidR="004A33A9" w:rsidRPr="00AC713F" w:rsidRDefault="004A33A9" w:rsidP="00465033">
            <w:pPr>
              <w:tabs>
                <w:tab w:val="left" w:pos="288"/>
                <w:tab w:val="left" w:pos="4752"/>
              </w:tabs>
              <w:spacing w:line="240" w:lineRule="exact"/>
              <w:jc w:val="center"/>
              <w:rPr>
                <w:rFonts w:asciiTheme="minorHAnsi" w:hAnsiTheme="minorHAnsi"/>
                <w:color w:val="auto"/>
                <w:szCs w:val="24"/>
              </w:rPr>
            </w:pPr>
            <w:r w:rsidRPr="005C4BCA">
              <w:rPr>
                <w:rFonts w:asciiTheme="minorHAnsi" w:hAnsiTheme="minorHAnsi"/>
                <w:color w:val="auto"/>
                <w:szCs w:val="24"/>
              </w:rPr>
              <w:t>5243</w:t>
            </w:r>
          </w:p>
        </w:tc>
        <w:tc>
          <w:tcPr>
            <w:tcW w:w="1170" w:type="dxa"/>
          </w:tcPr>
          <w:p w:rsidR="004A33A9" w:rsidRPr="00AC713F" w:rsidRDefault="00E81D88" w:rsidP="005C4BCA">
            <w:pPr>
              <w:tabs>
                <w:tab w:val="left" w:pos="288"/>
                <w:tab w:val="left" w:pos="4752"/>
              </w:tabs>
              <w:spacing w:line="240" w:lineRule="exact"/>
              <w:jc w:val="center"/>
              <w:rPr>
                <w:rFonts w:asciiTheme="minorHAnsi" w:hAnsiTheme="minorHAnsi"/>
                <w:color w:val="auto"/>
                <w:szCs w:val="24"/>
              </w:rPr>
            </w:pPr>
            <w:r w:rsidRPr="005C4BCA">
              <w:rPr>
                <w:rFonts w:asciiTheme="minorHAnsi" w:hAnsiTheme="minorHAnsi"/>
                <w:color w:val="auto"/>
                <w:szCs w:val="24"/>
              </w:rPr>
              <w:t>10%</w:t>
            </w:r>
          </w:p>
        </w:tc>
      </w:tr>
      <w:tr w:rsidR="004A33A9" w:rsidRPr="004A33A9" w:rsidTr="00465033">
        <w:tblPrEx>
          <w:tblLook w:val="0000"/>
        </w:tblPrEx>
        <w:trPr>
          <w:gridBefore w:val="1"/>
          <w:wBefore w:w="6480" w:type="dxa"/>
          <w:trHeight w:val="125"/>
          <w:jc w:val="center"/>
        </w:trPr>
        <w:tc>
          <w:tcPr>
            <w:tcW w:w="1710" w:type="dxa"/>
            <w:tcBorders>
              <w:left w:val="single" w:sz="4" w:space="0" w:color="auto"/>
              <w:bottom w:val="single" w:sz="4" w:space="0" w:color="000000"/>
            </w:tcBorders>
            <w:shd w:val="clear" w:color="auto" w:fill="D9D9D9" w:themeFill="background1" w:themeFillShade="D9"/>
          </w:tcPr>
          <w:p w:rsidR="004A33A9" w:rsidRPr="004A33A9" w:rsidRDefault="004A33A9" w:rsidP="004A33A9">
            <w:pPr>
              <w:tabs>
                <w:tab w:val="left" w:pos="288"/>
                <w:tab w:val="left" w:pos="4752"/>
              </w:tabs>
              <w:spacing w:line="240" w:lineRule="exact"/>
              <w:jc w:val="center"/>
              <w:rPr>
                <w:rFonts w:asciiTheme="minorHAnsi" w:eastAsiaTheme="minorHAnsi" w:hAnsiTheme="minorHAnsi" w:cstheme="minorBidi"/>
                <w:b/>
                <w:color w:val="auto"/>
                <w:szCs w:val="24"/>
              </w:rPr>
            </w:pPr>
            <w:r w:rsidRPr="004A33A9">
              <w:rPr>
                <w:rFonts w:asciiTheme="minorHAnsi" w:eastAsiaTheme="minorHAnsi" w:hAnsiTheme="minorHAnsi" w:cstheme="minorBidi"/>
                <w:b/>
                <w:color w:val="auto"/>
                <w:szCs w:val="24"/>
              </w:rPr>
              <w:t>COMBINED</w:t>
            </w:r>
          </w:p>
        </w:tc>
        <w:tc>
          <w:tcPr>
            <w:tcW w:w="1170" w:type="dxa"/>
            <w:tcBorders>
              <w:bottom w:val="single" w:sz="4" w:space="0" w:color="000000"/>
            </w:tcBorders>
            <w:shd w:val="clear" w:color="auto" w:fill="D9D9D9" w:themeFill="background1" w:themeFillShade="D9"/>
          </w:tcPr>
          <w:p w:rsidR="004A33A9" w:rsidRPr="004A33A9" w:rsidRDefault="00E81D88" w:rsidP="005C4BCA">
            <w:pPr>
              <w:tabs>
                <w:tab w:val="left" w:pos="288"/>
                <w:tab w:val="left" w:pos="4752"/>
              </w:tabs>
              <w:spacing w:line="240" w:lineRule="exact"/>
              <w:jc w:val="center"/>
              <w:rPr>
                <w:rFonts w:asciiTheme="minorHAnsi" w:eastAsiaTheme="minorHAnsi" w:hAnsiTheme="minorHAnsi" w:cstheme="minorBidi"/>
                <w:b/>
                <w:color w:val="auto"/>
                <w:szCs w:val="24"/>
              </w:rPr>
            </w:pPr>
            <w:r w:rsidRPr="005C4BCA">
              <w:rPr>
                <w:rFonts w:asciiTheme="minorHAnsi" w:hAnsiTheme="minorHAnsi"/>
                <w:b/>
                <w:color w:val="auto"/>
                <w:szCs w:val="24"/>
              </w:rPr>
              <w:t>10%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6A1944">
        <w:rPr>
          <w:rFonts w:asciiTheme="minorHAnsi" w:hAnsiTheme="minorHAnsi"/>
          <w:color w:val="auto"/>
        </w:rPr>
        <w:t>091212</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C80A0E" w:rsidRDefault="00C80A0E" w:rsidP="00C80A0E">
      <w:pPr>
        <w:pStyle w:val="Default"/>
        <w:framePr w:w="15882" w:wrap="auto" w:vAnchor="page" w:hAnchor="page" w:x="1" w:y="1"/>
      </w:pPr>
      <w:r>
        <w:rPr>
          <w:noProof/>
        </w:rPr>
        <w:lastRenderedPageBreak/>
        <w:drawing>
          <wp:inline distT="0" distB="0" distL="0" distR="0">
            <wp:extent cx="7792085" cy="100387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2085" cy="10038715"/>
                    </a:xfrm>
                    <a:prstGeom prst="rect">
                      <a:avLst/>
                    </a:prstGeom>
                    <a:noFill/>
                    <a:ln w="9525">
                      <a:noFill/>
                      <a:miter lim="800000"/>
                      <a:headEnd/>
                      <a:tailEnd/>
                    </a:ln>
                  </pic:spPr>
                </pic:pic>
              </a:graphicData>
            </a:graphic>
          </wp:inline>
        </w:drawing>
      </w: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8D134E" w:rsidRPr="00B91F67" w:rsidRDefault="008D134E" w:rsidP="005C4BCA">
      <w:pPr>
        <w:tabs>
          <w:tab w:val="left" w:pos="288"/>
          <w:tab w:val="left" w:pos="4320"/>
          <w:tab w:val="left" w:pos="4410"/>
          <w:tab w:val="left" w:pos="4770"/>
          <w:tab w:val="left" w:pos="4860"/>
          <w:tab w:val="left" w:pos="5040"/>
        </w:tabs>
        <w:spacing w:line="240" w:lineRule="exact"/>
        <w:jc w:val="both"/>
        <w:rPr>
          <w:rFonts w:asciiTheme="minorHAnsi" w:hAnsiTheme="minorHAnsi"/>
          <w:color w:val="002060"/>
          <w:szCs w:val="24"/>
        </w:rPr>
      </w:pPr>
    </w:p>
    <w:sectPr w:rsidR="008D134E" w:rsidRPr="00B91F67"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1A" w:rsidRDefault="00D0231A">
      <w:r>
        <w:separator/>
      </w:r>
    </w:p>
  </w:endnote>
  <w:endnote w:type="continuationSeparator" w:id="0">
    <w:p w:rsidR="00D0231A" w:rsidRDefault="00D0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B5" w:rsidRDefault="00EE62BF">
    <w:pPr>
      <w:pStyle w:val="Footer"/>
      <w:framePr w:wrap="around" w:vAnchor="text" w:hAnchor="margin" w:xAlign="center" w:y="1"/>
      <w:rPr>
        <w:rStyle w:val="PageNumber"/>
      </w:rPr>
    </w:pPr>
    <w:r>
      <w:rPr>
        <w:rStyle w:val="PageNumber"/>
      </w:rPr>
      <w:fldChar w:fldCharType="begin"/>
    </w:r>
    <w:r w:rsidR="00EC11B5">
      <w:rPr>
        <w:rStyle w:val="PageNumber"/>
      </w:rPr>
      <w:instrText xml:space="preserve">PAGE  </w:instrText>
    </w:r>
    <w:r>
      <w:rPr>
        <w:rStyle w:val="PageNumber"/>
      </w:rPr>
      <w:fldChar w:fldCharType="separate"/>
    </w:r>
    <w:r w:rsidR="00EC11B5">
      <w:rPr>
        <w:rStyle w:val="PageNumber"/>
        <w:noProof/>
      </w:rPr>
      <w:t>2</w:t>
    </w:r>
    <w:r>
      <w:rPr>
        <w:rStyle w:val="PageNumber"/>
      </w:rPr>
      <w:fldChar w:fldCharType="end"/>
    </w:r>
  </w:p>
  <w:p w:rsidR="00EC11B5" w:rsidRDefault="00EC11B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B5" w:rsidRPr="00AC713F" w:rsidRDefault="00EE62B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C11B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80A0E">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EC11B5" w:rsidRPr="00AC713F" w:rsidRDefault="00EC11B5"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1A" w:rsidRDefault="00D0231A">
      <w:r>
        <w:separator/>
      </w:r>
    </w:p>
  </w:footnote>
  <w:footnote w:type="continuationSeparator" w:id="0">
    <w:p w:rsidR="00D0231A" w:rsidRDefault="00D02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9873"/>
  </w:hdrShapeDefaults>
  <w:footnotePr>
    <w:numRestart w:val="eachSect"/>
    <w:footnote w:id="-1"/>
    <w:footnote w:id="0"/>
  </w:footnotePr>
  <w:endnotePr>
    <w:endnote w:id="-1"/>
    <w:endnote w:id="0"/>
  </w:endnotePr>
  <w:compat/>
  <w:rsids>
    <w:rsidRoot w:val="001C28D1"/>
    <w:rsid w:val="000002F1"/>
    <w:rsid w:val="000059FA"/>
    <w:rsid w:val="00006F87"/>
    <w:rsid w:val="00010ABA"/>
    <w:rsid w:val="00012428"/>
    <w:rsid w:val="00013417"/>
    <w:rsid w:val="000145C2"/>
    <w:rsid w:val="0001473F"/>
    <w:rsid w:val="00014A9E"/>
    <w:rsid w:val="00014D04"/>
    <w:rsid w:val="00021361"/>
    <w:rsid w:val="00023913"/>
    <w:rsid w:val="00023D43"/>
    <w:rsid w:val="00024E04"/>
    <w:rsid w:val="00032E07"/>
    <w:rsid w:val="000332CA"/>
    <w:rsid w:val="0003374E"/>
    <w:rsid w:val="0003412A"/>
    <w:rsid w:val="000344E6"/>
    <w:rsid w:val="00035C3A"/>
    <w:rsid w:val="00036E4B"/>
    <w:rsid w:val="000379D0"/>
    <w:rsid w:val="00040FC4"/>
    <w:rsid w:val="000416F8"/>
    <w:rsid w:val="0004178A"/>
    <w:rsid w:val="00042C26"/>
    <w:rsid w:val="00043382"/>
    <w:rsid w:val="00043993"/>
    <w:rsid w:val="00050EBB"/>
    <w:rsid w:val="00051622"/>
    <w:rsid w:val="00051ACF"/>
    <w:rsid w:val="00052234"/>
    <w:rsid w:val="00053D7C"/>
    <w:rsid w:val="0005614E"/>
    <w:rsid w:val="000577C9"/>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34F"/>
    <w:rsid w:val="000D248A"/>
    <w:rsid w:val="000D35D8"/>
    <w:rsid w:val="000D43F9"/>
    <w:rsid w:val="000D4717"/>
    <w:rsid w:val="000D6457"/>
    <w:rsid w:val="000D7491"/>
    <w:rsid w:val="000D7D55"/>
    <w:rsid w:val="000E0993"/>
    <w:rsid w:val="000E37E0"/>
    <w:rsid w:val="000E72BD"/>
    <w:rsid w:val="000F02BE"/>
    <w:rsid w:val="000F0504"/>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1DEC"/>
    <w:rsid w:val="001231DC"/>
    <w:rsid w:val="0012578E"/>
    <w:rsid w:val="001272AE"/>
    <w:rsid w:val="00131508"/>
    <w:rsid w:val="001315DD"/>
    <w:rsid w:val="001339A7"/>
    <w:rsid w:val="00135385"/>
    <w:rsid w:val="001364D1"/>
    <w:rsid w:val="00136DAA"/>
    <w:rsid w:val="00142008"/>
    <w:rsid w:val="00142EBA"/>
    <w:rsid w:val="00143B79"/>
    <w:rsid w:val="00150B8A"/>
    <w:rsid w:val="00150DCB"/>
    <w:rsid w:val="00151912"/>
    <w:rsid w:val="00151BDF"/>
    <w:rsid w:val="00153740"/>
    <w:rsid w:val="001541C5"/>
    <w:rsid w:val="00156086"/>
    <w:rsid w:val="0015623F"/>
    <w:rsid w:val="00156585"/>
    <w:rsid w:val="00156BA9"/>
    <w:rsid w:val="00161761"/>
    <w:rsid w:val="00166182"/>
    <w:rsid w:val="001745DD"/>
    <w:rsid w:val="001766E4"/>
    <w:rsid w:val="00177659"/>
    <w:rsid w:val="001779E5"/>
    <w:rsid w:val="00182A4C"/>
    <w:rsid w:val="00183F77"/>
    <w:rsid w:val="00185DA8"/>
    <w:rsid w:val="00185ECB"/>
    <w:rsid w:val="001865E0"/>
    <w:rsid w:val="001870F0"/>
    <w:rsid w:val="00187BEA"/>
    <w:rsid w:val="00190E48"/>
    <w:rsid w:val="0019273F"/>
    <w:rsid w:val="00193814"/>
    <w:rsid w:val="00193AD5"/>
    <w:rsid w:val="00194930"/>
    <w:rsid w:val="00196587"/>
    <w:rsid w:val="001A08CD"/>
    <w:rsid w:val="001A4319"/>
    <w:rsid w:val="001A5320"/>
    <w:rsid w:val="001A5E62"/>
    <w:rsid w:val="001A7538"/>
    <w:rsid w:val="001B0B1A"/>
    <w:rsid w:val="001B4D26"/>
    <w:rsid w:val="001B4EC2"/>
    <w:rsid w:val="001B5837"/>
    <w:rsid w:val="001B5B59"/>
    <w:rsid w:val="001B60E0"/>
    <w:rsid w:val="001B7C8C"/>
    <w:rsid w:val="001C181A"/>
    <w:rsid w:val="001C1877"/>
    <w:rsid w:val="001C2053"/>
    <w:rsid w:val="001C252F"/>
    <w:rsid w:val="001C28D1"/>
    <w:rsid w:val="001C4595"/>
    <w:rsid w:val="001C5CFC"/>
    <w:rsid w:val="001C5EAC"/>
    <w:rsid w:val="001C7418"/>
    <w:rsid w:val="001D0051"/>
    <w:rsid w:val="001D2224"/>
    <w:rsid w:val="001D3D8D"/>
    <w:rsid w:val="001D4F88"/>
    <w:rsid w:val="001D68CF"/>
    <w:rsid w:val="001D6A8C"/>
    <w:rsid w:val="001D7A56"/>
    <w:rsid w:val="001E15C0"/>
    <w:rsid w:val="001E18E0"/>
    <w:rsid w:val="001E18E2"/>
    <w:rsid w:val="001E19D0"/>
    <w:rsid w:val="001E2A30"/>
    <w:rsid w:val="001E660E"/>
    <w:rsid w:val="00200AA0"/>
    <w:rsid w:val="00202325"/>
    <w:rsid w:val="00202736"/>
    <w:rsid w:val="00203652"/>
    <w:rsid w:val="002060B6"/>
    <w:rsid w:val="002066B5"/>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1E3D"/>
    <w:rsid w:val="002528E9"/>
    <w:rsid w:val="002528EC"/>
    <w:rsid w:val="00255049"/>
    <w:rsid w:val="00257DE5"/>
    <w:rsid w:val="00260531"/>
    <w:rsid w:val="0026318D"/>
    <w:rsid w:val="00266473"/>
    <w:rsid w:val="00270864"/>
    <w:rsid w:val="002712F7"/>
    <w:rsid w:val="0027159C"/>
    <w:rsid w:val="00271FE6"/>
    <w:rsid w:val="00274549"/>
    <w:rsid w:val="00274E46"/>
    <w:rsid w:val="00275183"/>
    <w:rsid w:val="00276B97"/>
    <w:rsid w:val="00276C86"/>
    <w:rsid w:val="002810A4"/>
    <w:rsid w:val="0028154E"/>
    <w:rsid w:val="00284A26"/>
    <w:rsid w:val="00287006"/>
    <w:rsid w:val="00287ABA"/>
    <w:rsid w:val="00290645"/>
    <w:rsid w:val="00294437"/>
    <w:rsid w:val="00296F5A"/>
    <w:rsid w:val="002A3237"/>
    <w:rsid w:val="002A58B7"/>
    <w:rsid w:val="002A685E"/>
    <w:rsid w:val="002A72C7"/>
    <w:rsid w:val="002B03B2"/>
    <w:rsid w:val="002B0749"/>
    <w:rsid w:val="002B2645"/>
    <w:rsid w:val="002B6FA0"/>
    <w:rsid w:val="002B7BFA"/>
    <w:rsid w:val="002C5F10"/>
    <w:rsid w:val="002C6E5B"/>
    <w:rsid w:val="002D0A84"/>
    <w:rsid w:val="002D18B4"/>
    <w:rsid w:val="002D231A"/>
    <w:rsid w:val="002D5CC0"/>
    <w:rsid w:val="002D621D"/>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02A"/>
    <w:rsid w:val="002F7F81"/>
    <w:rsid w:val="00300A36"/>
    <w:rsid w:val="0030678B"/>
    <w:rsid w:val="00310CD7"/>
    <w:rsid w:val="0032136A"/>
    <w:rsid w:val="00323E70"/>
    <w:rsid w:val="00325BA2"/>
    <w:rsid w:val="00326F7F"/>
    <w:rsid w:val="003320E8"/>
    <w:rsid w:val="0033555E"/>
    <w:rsid w:val="00336805"/>
    <w:rsid w:val="00337351"/>
    <w:rsid w:val="00341A54"/>
    <w:rsid w:val="003440DF"/>
    <w:rsid w:val="0034669F"/>
    <w:rsid w:val="003504A7"/>
    <w:rsid w:val="00351498"/>
    <w:rsid w:val="003523EB"/>
    <w:rsid w:val="00352B22"/>
    <w:rsid w:val="00354547"/>
    <w:rsid w:val="003567DE"/>
    <w:rsid w:val="003574F3"/>
    <w:rsid w:val="0036319E"/>
    <w:rsid w:val="003632A4"/>
    <w:rsid w:val="00363362"/>
    <w:rsid w:val="00364063"/>
    <w:rsid w:val="00364FC6"/>
    <w:rsid w:val="00367D4F"/>
    <w:rsid w:val="00370743"/>
    <w:rsid w:val="00370EF5"/>
    <w:rsid w:val="0037135B"/>
    <w:rsid w:val="00371916"/>
    <w:rsid w:val="00372251"/>
    <w:rsid w:val="0037520D"/>
    <w:rsid w:val="00375809"/>
    <w:rsid w:val="0037628C"/>
    <w:rsid w:val="00376B81"/>
    <w:rsid w:val="00377BD2"/>
    <w:rsid w:val="003821E1"/>
    <w:rsid w:val="00384866"/>
    <w:rsid w:val="0038532B"/>
    <w:rsid w:val="003857D4"/>
    <w:rsid w:val="00385D6F"/>
    <w:rsid w:val="00387095"/>
    <w:rsid w:val="00390092"/>
    <w:rsid w:val="00393651"/>
    <w:rsid w:val="00395E12"/>
    <w:rsid w:val="00397397"/>
    <w:rsid w:val="00397DB7"/>
    <w:rsid w:val="003A27B2"/>
    <w:rsid w:val="003A40B4"/>
    <w:rsid w:val="003A41BA"/>
    <w:rsid w:val="003A6A99"/>
    <w:rsid w:val="003A7FF8"/>
    <w:rsid w:val="003B17AC"/>
    <w:rsid w:val="003B227A"/>
    <w:rsid w:val="003B3E56"/>
    <w:rsid w:val="003B47BA"/>
    <w:rsid w:val="003B5854"/>
    <w:rsid w:val="003B6764"/>
    <w:rsid w:val="003C3833"/>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58B0"/>
    <w:rsid w:val="003F70E8"/>
    <w:rsid w:val="003F776B"/>
    <w:rsid w:val="004007E9"/>
    <w:rsid w:val="00401825"/>
    <w:rsid w:val="00401BBC"/>
    <w:rsid w:val="00403BFB"/>
    <w:rsid w:val="00404B45"/>
    <w:rsid w:val="00406CC5"/>
    <w:rsid w:val="004074A4"/>
    <w:rsid w:val="004101B2"/>
    <w:rsid w:val="004123D7"/>
    <w:rsid w:val="00412658"/>
    <w:rsid w:val="004172DB"/>
    <w:rsid w:val="00417BDB"/>
    <w:rsid w:val="004205D1"/>
    <w:rsid w:val="00421485"/>
    <w:rsid w:val="00422B75"/>
    <w:rsid w:val="004272CC"/>
    <w:rsid w:val="00433F36"/>
    <w:rsid w:val="0043503A"/>
    <w:rsid w:val="00437334"/>
    <w:rsid w:val="0044384F"/>
    <w:rsid w:val="00444209"/>
    <w:rsid w:val="00444F80"/>
    <w:rsid w:val="00446018"/>
    <w:rsid w:val="00446DD8"/>
    <w:rsid w:val="004543BC"/>
    <w:rsid w:val="0045645D"/>
    <w:rsid w:val="004574C6"/>
    <w:rsid w:val="00457BCF"/>
    <w:rsid w:val="00457DCE"/>
    <w:rsid w:val="00460E3F"/>
    <w:rsid w:val="004637AB"/>
    <w:rsid w:val="00464F33"/>
    <w:rsid w:val="004650CC"/>
    <w:rsid w:val="00466CED"/>
    <w:rsid w:val="00467592"/>
    <w:rsid w:val="00467690"/>
    <w:rsid w:val="004718E7"/>
    <w:rsid w:val="00472535"/>
    <w:rsid w:val="004746DF"/>
    <w:rsid w:val="004761CC"/>
    <w:rsid w:val="00477FCD"/>
    <w:rsid w:val="00480D4A"/>
    <w:rsid w:val="00481DA1"/>
    <w:rsid w:val="00487D82"/>
    <w:rsid w:val="00490B37"/>
    <w:rsid w:val="0049255F"/>
    <w:rsid w:val="0049445D"/>
    <w:rsid w:val="00495350"/>
    <w:rsid w:val="00495E95"/>
    <w:rsid w:val="00497156"/>
    <w:rsid w:val="004A13DE"/>
    <w:rsid w:val="004A24D2"/>
    <w:rsid w:val="004A278F"/>
    <w:rsid w:val="004A2A00"/>
    <w:rsid w:val="004A3214"/>
    <w:rsid w:val="004A33A9"/>
    <w:rsid w:val="004A4136"/>
    <w:rsid w:val="004A417B"/>
    <w:rsid w:val="004B03F3"/>
    <w:rsid w:val="004B2536"/>
    <w:rsid w:val="004B6AF3"/>
    <w:rsid w:val="004B715E"/>
    <w:rsid w:val="004B7169"/>
    <w:rsid w:val="004B79C9"/>
    <w:rsid w:val="004C5E33"/>
    <w:rsid w:val="004C6CDA"/>
    <w:rsid w:val="004D10D4"/>
    <w:rsid w:val="004D16BD"/>
    <w:rsid w:val="004D2AAB"/>
    <w:rsid w:val="004D2F3E"/>
    <w:rsid w:val="004D6F2B"/>
    <w:rsid w:val="004E0248"/>
    <w:rsid w:val="004E1D91"/>
    <w:rsid w:val="004E21A3"/>
    <w:rsid w:val="004E32EA"/>
    <w:rsid w:val="004E456C"/>
    <w:rsid w:val="004E6866"/>
    <w:rsid w:val="004F0434"/>
    <w:rsid w:val="004F3222"/>
    <w:rsid w:val="004F3BFA"/>
    <w:rsid w:val="004F7196"/>
    <w:rsid w:val="004F7347"/>
    <w:rsid w:val="005000AB"/>
    <w:rsid w:val="005025EE"/>
    <w:rsid w:val="0050354A"/>
    <w:rsid w:val="005052D4"/>
    <w:rsid w:val="00510588"/>
    <w:rsid w:val="0051146C"/>
    <w:rsid w:val="00514292"/>
    <w:rsid w:val="00514449"/>
    <w:rsid w:val="00517FE2"/>
    <w:rsid w:val="005222E7"/>
    <w:rsid w:val="00523A8B"/>
    <w:rsid w:val="00523E04"/>
    <w:rsid w:val="0052590B"/>
    <w:rsid w:val="00526308"/>
    <w:rsid w:val="00526591"/>
    <w:rsid w:val="00527178"/>
    <w:rsid w:val="005278CB"/>
    <w:rsid w:val="00527AF8"/>
    <w:rsid w:val="00531AD4"/>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4505"/>
    <w:rsid w:val="0058596B"/>
    <w:rsid w:val="00586E2F"/>
    <w:rsid w:val="00593043"/>
    <w:rsid w:val="00595BF0"/>
    <w:rsid w:val="005A1846"/>
    <w:rsid w:val="005A258C"/>
    <w:rsid w:val="005A3560"/>
    <w:rsid w:val="005A4E82"/>
    <w:rsid w:val="005A6C99"/>
    <w:rsid w:val="005A7D5D"/>
    <w:rsid w:val="005B011A"/>
    <w:rsid w:val="005B1D8F"/>
    <w:rsid w:val="005B1E94"/>
    <w:rsid w:val="005B5B3D"/>
    <w:rsid w:val="005C08A7"/>
    <w:rsid w:val="005C16F3"/>
    <w:rsid w:val="005C3758"/>
    <w:rsid w:val="005C4BCA"/>
    <w:rsid w:val="005C6E57"/>
    <w:rsid w:val="005D1075"/>
    <w:rsid w:val="005D2607"/>
    <w:rsid w:val="005E0AF8"/>
    <w:rsid w:val="005E3064"/>
    <w:rsid w:val="005E3737"/>
    <w:rsid w:val="005E72B2"/>
    <w:rsid w:val="005F0823"/>
    <w:rsid w:val="005F0C7B"/>
    <w:rsid w:val="005F1115"/>
    <w:rsid w:val="005F1AB6"/>
    <w:rsid w:val="005F27F2"/>
    <w:rsid w:val="005F3AFE"/>
    <w:rsid w:val="005F424D"/>
    <w:rsid w:val="005F6B6D"/>
    <w:rsid w:val="005F7212"/>
    <w:rsid w:val="00605AAB"/>
    <w:rsid w:val="00606BEB"/>
    <w:rsid w:val="0061014A"/>
    <w:rsid w:val="0061054B"/>
    <w:rsid w:val="00613E26"/>
    <w:rsid w:val="00615641"/>
    <w:rsid w:val="00616959"/>
    <w:rsid w:val="006211D0"/>
    <w:rsid w:val="00624D0C"/>
    <w:rsid w:val="006307BA"/>
    <w:rsid w:val="006315BA"/>
    <w:rsid w:val="00631711"/>
    <w:rsid w:val="00634C4A"/>
    <w:rsid w:val="0063532E"/>
    <w:rsid w:val="006360B4"/>
    <w:rsid w:val="00636A6D"/>
    <w:rsid w:val="00637BDC"/>
    <w:rsid w:val="006418C9"/>
    <w:rsid w:val="00642BD6"/>
    <w:rsid w:val="00644573"/>
    <w:rsid w:val="00645046"/>
    <w:rsid w:val="0064527A"/>
    <w:rsid w:val="00645EA2"/>
    <w:rsid w:val="00656218"/>
    <w:rsid w:val="006573F2"/>
    <w:rsid w:val="006626EF"/>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1944"/>
    <w:rsid w:val="006A40E6"/>
    <w:rsid w:val="006A5C07"/>
    <w:rsid w:val="006A75FA"/>
    <w:rsid w:val="006B07D5"/>
    <w:rsid w:val="006B1309"/>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2DC8"/>
    <w:rsid w:val="006E7356"/>
    <w:rsid w:val="006E77C8"/>
    <w:rsid w:val="006E7A04"/>
    <w:rsid w:val="006F149D"/>
    <w:rsid w:val="006F1A46"/>
    <w:rsid w:val="006F4C47"/>
    <w:rsid w:val="006F5A4E"/>
    <w:rsid w:val="00703B6C"/>
    <w:rsid w:val="00705C40"/>
    <w:rsid w:val="00706482"/>
    <w:rsid w:val="00706BEF"/>
    <w:rsid w:val="007116BC"/>
    <w:rsid w:val="007165CE"/>
    <w:rsid w:val="00720968"/>
    <w:rsid w:val="00721D12"/>
    <w:rsid w:val="00721F8B"/>
    <w:rsid w:val="007237CE"/>
    <w:rsid w:val="00724688"/>
    <w:rsid w:val="007260FF"/>
    <w:rsid w:val="0073062D"/>
    <w:rsid w:val="0073254D"/>
    <w:rsid w:val="00736A49"/>
    <w:rsid w:val="00737B0A"/>
    <w:rsid w:val="00743B71"/>
    <w:rsid w:val="00743C2D"/>
    <w:rsid w:val="00743E36"/>
    <w:rsid w:val="007440C7"/>
    <w:rsid w:val="007446F7"/>
    <w:rsid w:val="00744EBB"/>
    <w:rsid w:val="007455E8"/>
    <w:rsid w:val="00745B0A"/>
    <w:rsid w:val="007468AC"/>
    <w:rsid w:val="00746AE2"/>
    <w:rsid w:val="00750C82"/>
    <w:rsid w:val="007560EB"/>
    <w:rsid w:val="0076100C"/>
    <w:rsid w:val="00763AAD"/>
    <w:rsid w:val="007651ED"/>
    <w:rsid w:val="00766214"/>
    <w:rsid w:val="00766C87"/>
    <w:rsid w:val="007726F9"/>
    <w:rsid w:val="00777E49"/>
    <w:rsid w:val="00781BD4"/>
    <w:rsid w:val="00784832"/>
    <w:rsid w:val="00785D77"/>
    <w:rsid w:val="00786111"/>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7B37"/>
    <w:rsid w:val="007B7C41"/>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A6B"/>
    <w:rsid w:val="007E71B1"/>
    <w:rsid w:val="007E7B4E"/>
    <w:rsid w:val="007F0CE2"/>
    <w:rsid w:val="007F0EFF"/>
    <w:rsid w:val="007F1375"/>
    <w:rsid w:val="007F649D"/>
    <w:rsid w:val="008014A7"/>
    <w:rsid w:val="00803850"/>
    <w:rsid w:val="00804385"/>
    <w:rsid w:val="00805AFD"/>
    <w:rsid w:val="008078D8"/>
    <w:rsid w:val="00811D5B"/>
    <w:rsid w:val="008122A6"/>
    <w:rsid w:val="00817154"/>
    <w:rsid w:val="00817713"/>
    <w:rsid w:val="008220F1"/>
    <w:rsid w:val="0082340B"/>
    <w:rsid w:val="00827DB6"/>
    <w:rsid w:val="008304B2"/>
    <w:rsid w:val="00830999"/>
    <w:rsid w:val="00830D5E"/>
    <w:rsid w:val="00830F69"/>
    <w:rsid w:val="00833418"/>
    <w:rsid w:val="00834458"/>
    <w:rsid w:val="00835841"/>
    <w:rsid w:val="008362C4"/>
    <w:rsid w:val="00837465"/>
    <w:rsid w:val="00837DC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604D9"/>
    <w:rsid w:val="0086162B"/>
    <w:rsid w:val="00861D5C"/>
    <w:rsid w:val="00865207"/>
    <w:rsid w:val="008656A7"/>
    <w:rsid w:val="0087036D"/>
    <w:rsid w:val="00871262"/>
    <w:rsid w:val="00871D4E"/>
    <w:rsid w:val="00871E7B"/>
    <w:rsid w:val="00873AF1"/>
    <w:rsid w:val="00875B51"/>
    <w:rsid w:val="00875F2D"/>
    <w:rsid w:val="008764DC"/>
    <w:rsid w:val="00877D0B"/>
    <w:rsid w:val="00882CA6"/>
    <w:rsid w:val="00882CC2"/>
    <w:rsid w:val="00883930"/>
    <w:rsid w:val="00885447"/>
    <w:rsid w:val="00886030"/>
    <w:rsid w:val="00894A2D"/>
    <w:rsid w:val="00896535"/>
    <w:rsid w:val="00896683"/>
    <w:rsid w:val="00897589"/>
    <w:rsid w:val="008A63A9"/>
    <w:rsid w:val="008A7F7E"/>
    <w:rsid w:val="008B04DB"/>
    <w:rsid w:val="008B27FD"/>
    <w:rsid w:val="008B3AF2"/>
    <w:rsid w:val="008B515D"/>
    <w:rsid w:val="008B5D31"/>
    <w:rsid w:val="008B6705"/>
    <w:rsid w:val="008C22F3"/>
    <w:rsid w:val="008C5935"/>
    <w:rsid w:val="008D134E"/>
    <w:rsid w:val="008D795D"/>
    <w:rsid w:val="008D7B07"/>
    <w:rsid w:val="008E1E94"/>
    <w:rsid w:val="008E281F"/>
    <w:rsid w:val="008E2D99"/>
    <w:rsid w:val="008E4A60"/>
    <w:rsid w:val="008E744D"/>
    <w:rsid w:val="008F1E08"/>
    <w:rsid w:val="00900D8F"/>
    <w:rsid w:val="00900FC9"/>
    <w:rsid w:val="009014E3"/>
    <w:rsid w:val="00901574"/>
    <w:rsid w:val="009026E8"/>
    <w:rsid w:val="009051C8"/>
    <w:rsid w:val="00906EB7"/>
    <w:rsid w:val="009102BF"/>
    <w:rsid w:val="00910E1E"/>
    <w:rsid w:val="009115F2"/>
    <w:rsid w:val="00914ADB"/>
    <w:rsid w:val="00923B25"/>
    <w:rsid w:val="0092402E"/>
    <w:rsid w:val="009259BA"/>
    <w:rsid w:val="00926FCB"/>
    <w:rsid w:val="0093311A"/>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396E"/>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90D55"/>
    <w:rsid w:val="00A9280F"/>
    <w:rsid w:val="00A944D8"/>
    <w:rsid w:val="00A959E7"/>
    <w:rsid w:val="00A95BBA"/>
    <w:rsid w:val="00A961EE"/>
    <w:rsid w:val="00AA04B3"/>
    <w:rsid w:val="00AA1253"/>
    <w:rsid w:val="00AA28EF"/>
    <w:rsid w:val="00AA493E"/>
    <w:rsid w:val="00AA73AF"/>
    <w:rsid w:val="00AB110C"/>
    <w:rsid w:val="00AB1754"/>
    <w:rsid w:val="00AB27DD"/>
    <w:rsid w:val="00AB5FE8"/>
    <w:rsid w:val="00AB7B65"/>
    <w:rsid w:val="00AC289E"/>
    <w:rsid w:val="00AC439D"/>
    <w:rsid w:val="00AC642A"/>
    <w:rsid w:val="00AC713F"/>
    <w:rsid w:val="00AD067E"/>
    <w:rsid w:val="00AD2801"/>
    <w:rsid w:val="00AD6870"/>
    <w:rsid w:val="00AD68C5"/>
    <w:rsid w:val="00AE1273"/>
    <w:rsid w:val="00AE2D29"/>
    <w:rsid w:val="00AE4624"/>
    <w:rsid w:val="00AE5E14"/>
    <w:rsid w:val="00AE6115"/>
    <w:rsid w:val="00AE625B"/>
    <w:rsid w:val="00AF1668"/>
    <w:rsid w:val="00AF4FA5"/>
    <w:rsid w:val="00AF51FC"/>
    <w:rsid w:val="00AF7AB3"/>
    <w:rsid w:val="00B02EB7"/>
    <w:rsid w:val="00B0436B"/>
    <w:rsid w:val="00B07955"/>
    <w:rsid w:val="00B1460A"/>
    <w:rsid w:val="00B14FAA"/>
    <w:rsid w:val="00B15D30"/>
    <w:rsid w:val="00B20624"/>
    <w:rsid w:val="00B23436"/>
    <w:rsid w:val="00B26354"/>
    <w:rsid w:val="00B26CA0"/>
    <w:rsid w:val="00B3030D"/>
    <w:rsid w:val="00B30D88"/>
    <w:rsid w:val="00B32179"/>
    <w:rsid w:val="00B33008"/>
    <w:rsid w:val="00B331A9"/>
    <w:rsid w:val="00B3333A"/>
    <w:rsid w:val="00B3449A"/>
    <w:rsid w:val="00B36569"/>
    <w:rsid w:val="00B40A05"/>
    <w:rsid w:val="00B40A3E"/>
    <w:rsid w:val="00B427E4"/>
    <w:rsid w:val="00B47CB0"/>
    <w:rsid w:val="00B50227"/>
    <w:rsid w:val="00B50510"/>
    <w:rsid w:val="00B522CD"/>
    <w:rsid w:val="00B55143"/>
    <w:rsid w:val="00B55917"/>
    <w:rsid w:val="00B561D2"/>
    <w:rsid w:val="00B643A6"/>
    <w:rsid w:val="00B64DD6"/>
    <w:rsid w:val="00B64F33"/>
    <w:rsid w:val="00B6710C"/>
    <w:rsid w:val="00B72076"/>
    <w:rsid w:val="00B72303"/>
    <w:rsid w:val="00B737B4"/>
    <w:rsid w:val="00B8188C"/>
    <w:rsid w:val="00B82277"/>
    <w:rsid w:val="00B91676"/>
    <w:rsid w:val="00B91F67"/>
    <w:rsid w:val="00B932ED"/>
    <w:rsid w:val="00B95833"/>
    <w:rsid w:val="00B95A57"/>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DEB"/>
    <w:rsid w:val="00BE2FC1"/>
    <w:rsid w:val="00BE6365"/>
    <w:rsid w:val="00BE7789"/>
    <w:rsid w:val="00BF0B7F"/>
    <w:rsid w:val="00BF4720"/>
    <w:rsid w:val="00BF7B63"/>
    <w:rsid w:val="00C038EC"/>
    <w:rsid w:val="00C05C6D"/>
    <w:rsid w:val="00C072D0"/>
    <w:rsid w:val="00C078F7"/>
    <w:rsid w:val="00C1122B"/>
    <w:rsid w:val="00C13B34"/>
    <w:rsid w:val="00C13F26"/>
    <w:rsid w:val="00C16E9F"/>
    <w:rsid w:val="00C1713D"/>
    <w:rsid w:val="00C177F1"/>
    <w:rsid w:val="00C218AF"/>
    <w:rsid w:val="00C218D9"/>
    <w:rsid w:val="00C22F3A"/>
    <w:rsid w:val="00C25978"/>
    <w:rsid w:val="00C261C6"/>
    <w:rsid w:val="00C26E7C"/>
    <w:rsid w:val="00C30A97"/>
    <w:rsid w:val="00C31DDC"/>
    <w:rsid w:val="00C34326"/>
    <w:rsid w:val="00C36201"/>
    <w:rsid w:val="00C367A2"/>
    <w:rsid w:val="00C368E8"/>
    <w:rsid w:val="00C36C3D"/>
    <w:rsid w:val="00C372C7"/>
    <w:rsid w:val="00C41E47"/>
    <w:rsid w:val="00C42443"/>
    <w:rsid w:val="00C42CBA"/>
    <w:rsid w:val="00C4343B"/>
    <w:rsid w:val="00C5019E"/>
    <w:rsid w:val="00C5377C"/>
    <w:rsid w:val="00C53E8A"/>
    <w:rsid w:val="00C54DF3"/>
    <w:rsid w:val="00C560A7"/>
    <w:rsid w:val="00C56D33"/>
    <w:rsid w:val="00C56FC8"/>
    <w:rsid w:val="00C60F23"/>
    <w:rsid w:val="00C62EB2"/>
    <w:rsid w:val="00C66573"/>
    <w:rsid w:val="00C67B7F"/>
    <w:rsid w:val="00C71BEC"/>
    <w:rsid w:val="00C738A4"/>
    <w:rsid w:val="00C74D3A"/>
    <w:rsid w:val="00C77911"/>
    <w:rsid w:val="00C80511"/>
    <w:rsid w:val="00C80A0E"/>
    <w:rsid w:val="00C826F5"/>
    <w:rsid w:val="00C83740"/>
    <w:rsid w:val="00C84AD1"/>
    <w:rsid w:val="00C85579"/>
    <w:rsid w:val="00C863E5"/>
    <w:rsid w:val="00C90EAD"/>
    <w:rsid w:val="00C931FC"/>
    <w:rsid w:val="00C932C5"/>
    <w:rsid w:val="00C9650E"/>
    <w:rsid w:val="00C971DB"/>
    <w:rsid w:val="00C9798A"/>
    <w:rsid w:val="00CA068D"/>
    <w:rsid w:val="00CA1228"/>
    <w:rsid w:val="00CA1CEB"/>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C709B"/>
    <w:rsid w:val="00CD15BE"/>
    <w:rsid w:val="00CD1EF2"/>
    <w:rsid w:val="00CD32BD"/>
    <w:rsid w:val="00CD34C7"/>
    <w:rsid w:val="00CD37E7"/>
    <w:rsid w:val="00CD501E"/>
    <w:rsid w:val="00CD563D"/>
    <w:rsid w:val="00CD5653"/>
    <w:rsid w:val="00CD5E6D"/>
    <w:rsid w:val="00CD63C8"/>
    <w:rsid w:val="00CF158D"/>
    <w:rsid w:val="00CF4394"/>
    <w:rsid w:val="00D000A9"/>
    <w:rsid w:val="00D005DB"/>
    <w:rsid w:val="00D0064E"/>
    <w:rsid w:val="00D00981"/>
    <w:rsid w:val="00D0231A"/>
    <w:rsid w:val="00D0280D"/>
    <w:rsid w:val="00D02C23"/>
    <w:rsid w:val="00D07A72"/>
    <w:rsid w:val="00D10577"/>
    <w:rsid w:val="00D1323B"/>
    <w:rsid w:val="00D14BAE"/>
    <w:rsid w:val="00D1648B"/>
    <w:rsid w:val="00D16819"/>
    <w:rsid w:val="00D17238"/>
    <w:rsid w:val="00D20AC0"/>
    <w:rsid w:val="00D2321B"/>
    <w:rsid w:val="00D23DE4"/>
    <w:rsid w:val="00D26873"/>
    <w:rsid w:val="00D31683"/>
    <w:rsid w:val="00D336C8"/>
    <w:rsid w:val="00D339E8"/>
    <w:rsid w:val="00D33A1B"/>
    <w:rsid w:val="00D3662E"/>
    <w:rsid w:val="00D372AD"/>
    <w:rsid w:val="00D40B1F"/>
    <w:rsid w:val="00D40D75"/>
    <w:rsid w:val="00D4313F"/>
    <w:rsid w:val="00D449F0"/>
    <w:rsid w:val="00D50C8C"/>
    <w:rsid w:val="00D52393"/>
    <w:rsid w:val="00D523E4"/>
    <w:rsid w:val="00D5279D"/>
    <w:rsid w:val="00D52A1B"/>
    <w:rsid w:val="00D53F14"/>
    <w:rsid w:val="00D54BE4"/>
    <w:rsid w:val="00D60483"/>
    <w:rsid w:val="00D61ABB"/>
    <w:rsid w:val="00D63577"/>
    <w:rsid w:val="00D67FD7"/>
    <w:rsid w:val="00D71FDC"/>
    <w:rsid w:val="00D74261"/>
    <w:rsid w:val="00D7441B"/>
    <w:rsid w:val="00D76AB2"/>
    <w:rsid w:val="00D80490"/>
    <w:rsid w:val="00D80CCB"/>
    <w:rsid w:val="00D829AD"/>
    <w:rsid w:val="00D82EE2"/>
    <w:rsid w:val="00D8545C"/>
    <w:rsid w:val="00D87788"/>
    <w:rsid w:val="00D877C8"/>
    <w:rsid w:val="00D910C2"/>
    <w:rsid w:val="00D9168C"/>
    <w:rsid w:val="00D9189B"/>
    <w:rsid w:val="00D91DA6"/>
    <w:rsid w:val="00D9706F"/>
    <w:rsid w:val="00D972D4"/>
    <w:rsid w:val="00D978A4"/>
    <w:rsid w:val="00DA195B"/>
    <w:rsid w:val="00DA58E3"/>
    <w:rsid w:val="00DA6B55"/>
    <w:rsid w:val="00DB0015"/>
    <w:rsid w:val="00DB2AAD"/>
    <w:rsid w:val="00DB2DC6"/>
    <w:rsid w:val="00DB626D"/>
    <w:rsid w:val="00DB6365"/>
    <w:rsid w:val="00DC0BF1"/>
    <w:rsid w:val="00DC41C3"/>
    <w:rsid w:val="00DD26EB"/>
    <w:rsid w:val="00DD3593"/>
    <w:rsid w:val="00DE0C67"/>
    <w:rsid w:val="00DE4599"/>
    <w:rsid w:val="00DE6952"/>
    <w:rsid w:val="00DE7244"/>
    <w:rsid w:val="00DE7E74"/>
    <w:rsid w:val="00DF6EF8"/>
    <w:rsid w:val="00E00A69"/>
    <w:rsid w:val="00E017F0"/>
    <w:rsid w:val="00E01A0E"/>
    <w:rsid w:val="00E041E4"/>
    <w:rsid w:val="00E1012B"/>
    <w:rsid w:val="00E103C8"/>
    <w:rsid w:val="00E1085B"/>
    <w:rsid w:val="00E1308B"/>
    <w:rsid w:val="00E132ED"/>
    <w:rsid w:val="00E14581"/>
    <w:rsid w:val="00E14817"/>
    <w:rsid w:val="00E15539"/>
    <w:rsid w:val="00E1635B"/>
    <w:rsid w:val="00E16541"/>
    <w:rsid w:val="00E2317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3A8A"/>
    <w:rsid w:val="00E548FA"/>
    <w:rsid w:val="00E579BB"/>
    <w:rsid w:val="00E6092F"/>
    <w:rsid w:val="00E62049"/>
    <w:rsid w:val="00E629DA"/>
    <w:rsid w:val="00E6469F"/>
    <w:rsid w:val="00E67FAC"/>
    <w:rsid w:val="00E7200B"/>
    <w:rsid w:val="00E738CB"/>
    <w:rsid w:val="00E73C88"/>
    <w:rsid w:val="00E74437"/>
    <w:rsid w:val="00E7443D"/>
    <w:rsid w:val="00E81C3E"/>
    <w:rsid w:val="00E81CF4"/>
    <w:rsid w:val="00E81D88"/>
    <w:rsid w:val="00E82B6D"/>
    <w:rsid w:val="00E8623B"/>
    <w:rsid w:val="00E97E1D"/>
    <w:rsid w:val="00EA1177"/>
    <w:rsid w:val="00EA118B"/>
    <w:rsid w:val="00EA11B6"/>
    <w:rsid w:val="00EA2181"/>
    <w:rsid w:val="00EA2DD8"/>
    <w:rsid w:val="00EA4475"/>
    <w:rsid w:val="00EA5BA3"/>
    <w:rsid w:val="00EA681F"/>
    <w:rsid w:val="00EB0DD7"/>
    <w:rsid w:val="00EB3823"/>
    <w:rsid w:val="00EB47D8"/>
    <w:rsid w:val="00EB57D3"/>
    <w:rsid w:val="00EB5EFD"/>
    <w:rsid w:val="00EB679F"/>
    <w:rsid w:val="00EB76E4"/>
    <w:rsid w:val="00EC0E65"/>
    <w:rsid w:val="00EC11B5"/>
    <w:rsid w:val="00EC2938"/>
    <w:rsid w:val="00EC50C9"/>
    <w:rsid w:val="00EC58B4"/>
    <w:rsid w:val="00EC5BB2"/>
    <w:rsid w:val="00ED12F0"/>
    <w:rsid w:val="00ED4773"/>
    <w:rsid w:val="00ED664B"/>
    <w:rsid w:val="00ED69A3"/>
    <w:rsid w:val="00ED6A61"/>
    <w:rsid w:val="00EE03BB"/>
    <w:rsid w:val="00EE0B44"/>
    <w:rsid w:val="00EE62BF"/>
    <w:rsid w:val="00EE6FE0"/>
    <w:rsid w:val="00EE704A"/>
    <w:rsid w:val="00EE7840"/>
    <w:rsid w:val="00EF31F3"/>
    <w:rsid w:val="00EF4C74"/>
    <w:rsid w:val="00EF5268"/>
    <w:rsid w:val="00EF608E"/>
    <w:rsid w:val="00EF7A1F"/>
    <w:rsid w:val="00F0044B"/>
    <w:rsid w:val="00F04957"/>
    <w:rsid w:val="00F05807"/>
    <w:rsid w:val="00F07052"/>
    <w:rsid w:val="00F0706C"/>
    <w:rsid w:val="00F11EBE"/>
    <w:rsid w:val="00F12BA8"/>
    <w:rsid w:val="00F130D0"/>
    <w:rsid w:val="00F14933"/>
    <w:rsid w:val="00F1516A"/>
    <w:rsid w:val="00F22A26"/>
    <w:rsid w:val="00F24072"/>
    <w:rsid w:val="00F24F00"/>
    <w:rsid w:val="00F26432"/>
    <w:rsid w:val="00F27E84"/>
    <w:rsid w:val="00F3197A"/>
    <w:rsid w:val="00F32139"/>
    <w:rsid w:val="00F33D56"/>
    <w:rsid w:val="00F3410A"/>
    <w:rsid w:val="00F34E08"/>
    <w:rsid w:val="00F41619"/>
    <w:rsid w:val="00F41D91"/>
    <w:rsid w:val="00F42363"/>
    <w:rsid w:val="00F46964"/>
    <w:rsid w:val="00F46F9A"/>
    <w:rsid w:val="00F508A2"/>
    <w:rsid w:val="00F5126A"/>
    <w:rsid w:val="00F528A8"/>
    <w:rsid w:val="00F53BC8"/>
    <w:rsid w:val="00F55366"/>
    <w:rsid w:val="00F6266C"/>
    <w:rsid w:val="00F6636A"/>
    <w:rsid w:val="00F667C5"/>
    <w:rsid w:val="00F67E31"/>
    <w:rsid w:val="00F718A8"/>
    <w:rsid w:val="00F72183"/>
    <w:rsid w:val="00F76D01"/>
    <w:rsid w:val="00F81C35"/>
    <w:rsid w:val="00F82981"/>
    <w:rsid w:val="00F8311F"/>
    <w:rsid w:val="00F83248"/>
    <w:rsid w:val="00F83376"/>
    <w:rsid w:val="00F853AE"/>
    <w:rsid w:val="00F8547A"/>
    <w:rsid w:val="00F87854"/>
    <w:rsid w:val="00F8786F"/>
    <w:rsid w:val="00F93C74"/>
    <w:rsid w:val="00F93DCC"/>
    <w:rsid w:val="00F9435D"/>
    <w:rsid w:val="00F97740"/>
    <w:rsid w:val="00FA2F7B"/>
    <w:rsid w:val="00FB09FE"/>
    <w:rsid w:val="00FB593A"/>
    <w:rsid w:val="00FB6410"/>
    <w:rsid w:val="00FB663C"/>
    <w:rsid w:val="00FB6E82"/>
    <w:rsid w:val="00FC0042"/>
    <w:rsid w:val="00FC17CF"/>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 w:val="00FF792E"/>
    <w:rsid w:val="00FF7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rsid w:val="00B91F67"/>
    <w:rPr>
      <w:color w:val="0000FF" w:themeColor="hyperlink"/>
      <w:u w:val="single"/>
    </w:rPr>
  </w:style>
  <w:style w:type="paragraph" w:customStyle="1" w:styleId="Default">
    <w:name w:val="Default"/>
    <w:rsid w:val="00C80A0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2174-6913-4321-B354-B38DF245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1504</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4</cp:revision>
  <cp:lastPrinted>2011-07-06T17:34:00Z</cp:lastPrinted>
  <dcterms:created xsi:type="dcterms:W3CDTF">2012-01-11T17:16:00Z</dcterms:created>
  <dcterms:modified xsi:type="dcterms:W3CDTF">2012-01-11T20:54:00Z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