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190E48">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190E48">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190E48">
      <w:pPr>
        <w:tabs>
          <w:tab w:val="left" w:pos="288"/>
          <w:tab w:val="left" w:pos="4752"/>
        </w:tabs>
        <w:spacing w:line="240" w:lineRule="exact"/>
        <w:jc w:val="both"/>
        <w:rPr>
          <w:rFonts w:asciiTheme="minorHAnsi" w:hAnsiTheme="minorHAnsi"/>
          <w:caps/>
          <w:color w:val="auto"/>
        </w:rPr>
      </w:pPr>
    </w:p>
    <w:p w:rsidR="008B446D" w:rsidRDefault="008B446D" w:rsidP="00193639">
      <w:pPr>
        <w:tabs>
          <w:tab w:val="left" w:pos="288"/>
          <w:tab w:val="left" w:pos="5400"/>
        </w:tabs>
        <w:spacing w:line="240" w:lineRule="exact"/>
        <w:ind w:right="-1260"/>
        <w:jc w:val="both"/>
        <w:rPr>
          <w:rFonts w:asciiTheme="minorHAnsi" w:hAnsiTheme="minorHAnsi"/>
          <w:caps/>
          <w:color w:val="auto"/>
        </w:rPr>
      </w:pPr>
      <w:r>
        <w:rPr>
          <w:rFonts w:asciiTheme="minorHAnsi" w:hAnsiTheme="minorHAnsi"/>
          <w:caps/>
          <w:color w:val="auto"/>
        </w:rPr>
        <w:t xml:space="preserve">NAME: </w:t>
      </w:r>
      <w:r w:rsidR="00F07402">
        <w:rPr>
          <w:rFonts w:asciiTheme="minorHAnsi" w:hAnsiTheme="minorHAnsi"/>
          <w:caps/>
          <w:color w:val="auto"/>
        </w:rPr>
        <w:t xml:space="preserve"> </w:t>
      </w:r>
      <w:r w:rsidR="00F80313">
        <w:rPr>
          <w:rFonts w:asciiTheme="minorHAnsi" w:hAnsiTheme="minorHAnsi"/>
          <w:caps/>
          <w:color w:val="auto"/>
        </w:rPr>
        <w:t>XXXXXX</w:t>
      </w:r>
      <w:r w:rsidR="00193639">
        <w:rPr>
          <w:rFonts w:asciiTheme="minorHAnsi" w:hAnsiTheme="minorHAnsi"/>
          <w:caps/>
          <w:color w:val="auto"/>
        </w:rPr>
        <w:tab/>
      </w:r>
      <w:r>
        <w:rPr>
          <w:rFonts w:asciiTheme="minorHAnsi" w:hAnsiTheme="minorHAnsi"/>
          <w:caps/>
          <w:color w:val="auto"/>
        </w:rPr>
        <w:t xml:space="preserve">BRANCH OF SERVICE: </w:t>
      </w:r>
      <w:r w:rsidR="00723ACD">
        <w:rPr>
          <w:rFonts w:asciiTheme="minorHAnsi" w:hAnsiTheme="minorHAnsi"/>
          <w:caps/>
          <w:color w:val="auto"/>
        </w:rPr>
        <w:t xml:space="preserve"> </w:t>
      </w:r>
      <w:r w:rsidRPr="00723ACD">
        <w:rPr>
          <w:rFonts w:asciiTheme="minorHAnsi" w:hAnsiTheme="minorHAnsi"/>
          <w:caps/>
          <w:color w:val="auto"/>
        </w:rPr>
        <w:t xml:space="preserve">marine corps </w:t>
      </w:r>
    </w:p>
    <w:p w:rsidR="008B446D" w:rsidRDefault="008B446D" w:rsidP="00193639">
      <w:pPr>
        <w:tabs>
          <w:tab w:val="left" w:pos="288"/>
          <w:tab w:val="left" w:pos="5400"/>
        </w:tabs>
        <w:spacing w:line="240" w:lineRule="exact"/>
        <w:ind w:right="-900"/>
        <w:jc w:val="both"/>
        <w:rPr>
          <w:rFonts w:asciiTheme="minorHAnsi" w:hAnsiTheme="minorHAnsi"/>
          <w:caps/>
          <w:color w:val="auto"/>
        </w:rPr>
      </w:pPr>
      <w:r>
        <w:rPr>
          <w:rFonts w:asciiTheme="minorHAnsi" w:hAnsiTheme="minorHAnsi"/>
          <w:caps/>
          <w:color w:val="auto"/>
        </w:rPr>
        <w:t xml:space="preserve">CASE NUMBER: </w:t>
      </w:r>
      <w:r w:rsidR="00F07402">
        <w:rPr>
          <w:rFonts w:asciiTheme="minorHAnsi" w:hAnsiTheme="minorHAnsi"/>
          <w:caps/>
          <w:color w:val="auto"/>
        </w:rPr>
        <w:t xml:space="preserve"> </w:t>
      </w:r>
      <w:r>
        <w:rPr>
          <w:rFonts w:asciiTheme="minorHAnsi" w:hAnsiTheme="minorHAnsi"/>
          <w:caps/>
          <w:color w:val="auto"/>
        </w:rPr>
        <w:t>PD</w:t>
      </w:r>
      <w:r w:rsidR="006E54DF">
        <w:rPr>
          <w:rFonts w:asciiTheme="minorHAnsi" w:hAnsiTheme="minorHAnsi"/>
          <w:caps/>
          <w:color w:val="auto"/>
        </w:rPr>
        <w:t>1000008</w:t>
      </w:r>
      <w:r w:rsidR="00193639">
        <w:rPr>
          <w:rFonts w:asciiTheme="minorHAnsi" w:hAnsiTheme="minorHAnsi"/>
          <w:caps/>
          <w:color w:val="auto"/>
        </w:rPr>
        <w:tab/>
      </w:r>
      <w:r>
        <w:rPr>
          <w:rFonts w:asciiTheme="minorHAnsi" w:hAnsiTheme="minorHAnsi"/>
          <w:caps/>
          <w:color w:val="auto"/>
        </w:rPr>
        <w:t xml:space="preserve">SEPARATION DATE: </w:t>
      </w:r>
      <w:r w:rsidR="00F07402">
        <w:rPr>
          <w:rFonts w:asciiTheme="minorHAnsi" w:hAnsiTheme="minorHAnsi"/>
          <w:caps/>
          <w:color w:val="auto"/>
        </w:rPr>
        <w:t xml:space="preserve"> </w:t>
      </w:r>
      <w:r>
        <w:rPr>
          <w:rFonts w:asciiTheme="minorHAnsi" w:hAnsiTheme="minorHAnsi"/>
          <w:caps/>
          <w:color w:val="auto"/>
        </w:rPr>
        <w:t>200</w:t>
      </w:r>
      <w:r w:rsidR="006E54DF">
        <w:rPr>
          <w:rFonts w:asciiTheme="minorHAnsi" w:hAnsiTheme="minorHAnsi"/>
          <w:caps/>
          <w:color w:val="auto"/>
        </w:rPr>
        <w:t>90130</w:t>
      </w:r>
    </w:p>
    <w:p w:rsidR="008B446D" w:rsidRPr="004E75D0" w:rsidRDefault="008B446D" w:rsidP="008B446D">
      <w:pPr>
        <w:tabs>
          <w:tab w:val="left" w:pos="288"/>
          <w:tab w:val="left" w:pos="4752"/>
        </w:tabs>
        <w:spacing w:line="240" w:lineRule="exact"/>
        <w:jc w:val="both"/>
        <w:rPr>
          <w:rFonts w:asciiTheme="minorHAnsi" w:hAnsiTheme="minorHAnsi"/>
          <w:caps/>
          <w:color w:val="auto"/>
        </w:rPr>
      </w:pPr>
      <w:r w:rsidRPr="004E75D0">
        <w:rPr>
          <w:rFonts w:asciiTheme="minorHAnsi" w:hAnsiTheme="minorHAnsi"/>
          <w:caps/>
          <w:color w:val="auto"/>
        </w:rPr>
        <w:t xml:space="preserve">BOARD DATE: </w:t>
      </w:r>
      <w:r w:rsidR="00F07402" w:rsidRPr="004E75D0">
        <w:rPr>
          <w:rFonts w:asciiTheme="minorHAnsi" w:hAnsiTheme="minorHAnsi"/>
          <w:caps/>
          <w:color w:val="auto"/>
        </w:rPr>
        <w:t xml:space="preserve"> </w:t>
      </w:r>
      <w:r w:rsidR="00811AFA">
        <w:rPr>
          <w:rFonts w:asciiTheme="minorHAnsi" w:hAnsiTheme="minorHAnsi"/>
          <w:caps/>
          <w:color w:val="auto"/>
        </w:rPr>
        <w:t>20110217</w:t>
      </w:r>
      <w:r w:rsidRPr="004E75D0">
        <w:rPr>
          <w:rFonts w:asciiTheme="minorHAnsi" w:hAnsiTheme="minorHAnsi"/>
          <w:caps/>
          <w:color w:val="auto"/>
        </w:rPr>
        <w:tab/>
      </w:r>
      <w:r w:rsidRPr="004E75D0">
        <w:rPr>
          <w:rFonts w:asciiTheme="minorHAnsi" w:hAnsiTheme="minorHAnsi"/>
          <w:caps/>
          <w:color w:val="auto"/>
        </w:rPr>
        <w:tab/>
      </w:r>
      <w:r w:rsidRPr="004E75D0">
        <w:rPr>
          <w:rFonts w:asciiTheme="minorHAnsi" w:hAnsiTheme="minorHAnsi"/>
          <w:caps/>
          <w:color w:val="auto"/>
        </w:rPr>
        <w:tab/>
      </w:r>
    </w:p>
    <w:p w:rsidR="00811AFA" w:rsidRPr="008A425D" w:rsidRDefault="00811AFA" w:rsidP="00811AFA">
      <w:pPr>
        <w:pBdr>
          <w:bottom w:val="single" w:sz="12" w:space="1" w:color="auto"/>
        </w:pBdr>
        <w:tabs>
          <w:tab w:val="left" w:pos="288"/>
          <w:tab w:val="left" w:pos="4752"/>
        </w:tabs>
        <w:spacing w:line="240" w:lineRule="exact"/>
        <w:jc w:val="both"/>
        <w:rPr>
          <w:rFonts w:ascii="Calibri" w:hAnsi="Calibri"/>
          <w:color w:val="auto"/>
          <w:szCs w:val="24"/>
        </w:rPr>
      </w:pPr>
    </w:p>
    <w:p w:rsidR="00811AFA" w:rsidRPr="008A425D" w:rsidRDefault="00811AFA" w:rsidP="00811AFA">
      <w:pPr>
        <w:tabs>
          <w:tab w:val="left" w:pos="288"/>
          <w:tab w:val="left" w:pos="4752"/>
        </w:tabs>
        <w:spacing w:line="240" w:lineRule="exact"/>
        <w:jc w:val="both"/>
        <w:rPr>
          <w:rFonts w:ascii="Calibri" w:hAnsi="Calibri"/>
          <w:color w:val="auto"/>
          <w:szCs w:val="24"/>
        </w:rPr>
      </w:pPr>
    </w:p>
    <w:p w:rsidR="00B20624" w:rsidRPr="008A425D" w:rsidRDefault="002C6E5B" w:rsidP="00811AFA">
      <w:pPr>
        <w:tabs>
          <w:tab w:val="left" w:pos="288"/>
          <w:tab w:val="left" w:pos="4752"/>
        </w:tabs>
        <w:spacing w:line="240" w:lineRule="exact"/>
        <w:jc w:val="both"/>
        <w:rPr>
          <w:rFonts w:asciiTheme="minorHAnsi" w:hAnsiTheme="minorHAnsi"/>
          <w:color w:val="auto"/>
          <w:szCs w:val="24"/>
        </w:rPr>
      </w:pPr>
      <w:r w:rsidRPr="004E75D0">
        <w:rPr>
          <w:rFonts w:asciiTheme="minorHAnsi" w:hAnsiTheme="minorHAnsi"/>
          <w:color w:val="auto"/>
          <w:u w:val="single"/>
        </w:rPr>
        <w:t>SUMMARY OF CASE</w:t>
      </w:r>
      <w:r w:rsidRPr="004E75D0">
        <w:rPr>
          <w:rFonts w:asciiTheme="minorHAnsi" w:hAnsiTheme="minorHAnsi"/>
          <w:color w:val="auto"/>
        </w:rPr>
        <w:t xml:space="preserve">:  </w:t>
      </w:r>
      <w:r w:rsidR="00811AFA" w:rsidRPr="0035556D">
        <w:rPr>
          <w:rFonts w:asciiTheme="minorHAnsi" w:hAnsiTheme="minorHAnsi"/>
          <w:color w:val="auto"/>
          <w:szCs w:val="24"/>
        </w:rPr>
        <w:t xml:space="preserve">Data extracted from the available evidence of record reflects that this covered individual (CI) was </w:t>
      </w:r>
      <w:r w:rsidR="00E322F7" w:rsidRPr="0035556D">
        <w:rPr>
          <w:rFonts w:asciiTheme="minorHAnsi" w:hAnsiTheme="minorHAnsi"/>
          <w:color w:val="auto"/>
          <w:szCs w:val="24"/>
        </w:rPr>
        <w:t>an active duty</w:t>
      </w:r>
      <w:r w:rsidR="006D4E0E" w:rsidRPr="0035556D">
        <w:rPr>
          <w:rFonts w:asciiTheme="minorHAnsi" w:hAnsiTheme="minorHAnsi"/>
          <w:color w:val="auto"/>
          <w:szCs w:val="24"/>
        </w:rPr>
        <w:t xml:space="preserve"> </w:t>
      </w:r>
      <w:r w:rsidR="006E54DF" w:rsidRPr="0035556D">
        <w:rPr>
          <w:rFonts w:asciiTheme="minorHAnsi" w:hAnsiTheme="minorHAnsi"/>
          <w:color w:val="auto"/>
          <w:szCs w:val="24"/>
        </w:rPr>
        <w:t>C</w:t>
      </w:r>
      <w:r w:rsidR="0021557A">
        <w:rPr>
          <w:rFonts w:asciiTheme="minorHAnsi" w:hAnsiTheme="minorHAnsi"/>
          <w:color w:val="auto"/>
          <w:szCs w:val="24"/>
        </w:rPr>
        <w:t>pl</w:t>
      </w:r>
      <w:r w:rsidR="006E54DF" w:rsidRPr="0035556D">
        <w:rPr>
          <w:rFonts w:asciiTheme="minorHAnsi" w:hAnsiTheme="minorHAnsi"/>
          <w:color w:val="auto"/>
          <w:szCs w:val="24"/>
        </w:rPr>
        <w:t>/E-4</w:t>
      </w:r>
      <w:r w:rsidR="00705C40" w:rsidRPr="0035556D">
        <w:rPr>
          <w:rFonts w:asciiTheme="minorHAnsi" w:hAnsiTheme="minorHAnsi"/>
          <w:color w:val="auto"/>
          <w:szCs w:val="24"/>
        </w:rPr>
        <w:t xml:space="preserve"> (</w:t>
      </w:r>
      <w:r w:rsidR="00907D67" w:rsidRPr="0035556D">
        <w:rPr>
          <w:rFonts w:asciiTheme="minorHAnsi" w:hAnsiTheme="minorHAnsi"/>
          <w:color w:val="auto"/>
          <w:szCs w:val="24"/>
        </w:rPr>
        <w:t>0352</w:t>
      </w:r>
      <w:r w:rsidR="00E322F7" w:rsidRPr="0035556D">
        <w:rPr>
          <w:rFonts w:asciiTheme="minorHAnsi" w:hAnsiTheme="minorHAnsi"/>
          <w:color w:val="auto"/>
          <w:szCs w:val="24"/>
        </w:rPr>
        <w:t xml:space="preserve">, </w:t>
      </w:r>
      <w:r w:rsidR="00907D67" w:rsidRPr="0035556D">
        <w:rPr>
          <w:rFonts w:asciiTheme="minorHAnsi" w:hAnsiTheme="minorHAnsi"/>
          <w:color w:val="auto"/>
          <w:szCs w:val="24"/>
        </w:rPr>
        <w:t>Machine Gunner</w:t>
      </w:r>
      <w:r w:rsidR="00E322F7" w:rsidRPr="0035556D">
        <w:rPr>
          <w:rFonts w:asciiTheme="minorHAnsi" w:hAnsiTheme="minorHAnsi"/>
          <w:color w:val="auto"/>
          <w:szCs w:val="24"/>
        </w:rPr>
        <w:t xml:space="preserve">) </w:t>
      </w:r>
      <w:r w:rsidRPr="0035556D">
        <w:rPr>
          <w:rFonts w:asciiTheme="minorHAnsi" w:hAnsiTheme="minorHAnsi"/>
          <w:color w:val="auto"/>
          <w:szCs w:val="24"/>
        </w:rPr>
        <w:t xml:space="preserve">medically separated from the </w:t>
      </w:r>
      <w:r w:rsidR="006E54DF" w:rsidRPr="0035556D">
        <w:rPr>
          <w:rFonts w:asciiTheme="minorHAnsi" w:hAnsiTheme="minorHAnsi"/>
          <w:color w:val="auto"/>
          <w:szCs w:val="24"/>
        </w:rPr>
        <w:t>Marine Corps</w:t>
      </w:r>
      <w:r w:rsidRPr="0035556D">
        <w:rPr>
          <w:rFonts w:asciiTheme="minorHAnsi" w:hAnsiTheme="minorHAnsi"/>
          <w:color w:val="auto"/>
          <w:szCs w:val="24"/>
        </w:rPr>
        <w:t xml:space="preserve"> in 200</w:t>
      </w:r>
      <w:r w:rsidR="006E54DF" w:rsidRPr="0035556D">
        <w:rPr>
          <w:rFonts w:asciiTheme="minorHAnsi" w:hAnsiTheme="minorHAnsi"/>
          <w:color w:val="auto"/>
          <w:szCs w:val="24"/>
        </w:rPr>
        <w:t>9</w:t>
      </w:r>
      <w:r w:rsidRPr="0035556D">
        <w:rPr>
          <w:rFonts w:asciiTheme="minorHAnsi" w:hAnsiTheme="minorHAnsi"/>
          <w:color w:val="auto"/>
          <w:szCs w:val="24"/>
        </w:rPr>
        <w:t xml:space="preserve"> after </w:t>
      </w:r>
      <w:r w:rsidR="006F165A">
        <w:rPr>
          <w:rFonts w:asciiTheme="minorHAnsi" w:hAnsiTheme="minorHAnsi"/>
          <w:color w:val="auto"/>
          <w:szCs w:val="24"/>
        </w:rPr>
        <w:t>three</w:t>
      </w:r>
      <w:r w:rsidRPr="0035556D">
        <w:rPr>
          <w:rFonts w:asciiTheme="minorHAnsi" w:hAnsiTheme="minorHAnsi"/>
          <w:color w:val="auto"/>
          <w:szCs w:val="24"/>
        </w:rPr>
        <w:t xml:space="preserve"> years of</w:t>
      </w:r>
      <w:r w:rsidR="003A40B4" w:rsidRPr="0035556D">
        <w:rPr>
          <w:rFonts w:asciiTheme="minorHAnsi" w:hAnsiTheme="minorHAnsi"/>
          <w:color w:val="auto"/>
          <w:szCs w:val="24"/>
        </w:rPr>
        <w:t xml:space="preserve"> </w:t>
      </w:r>
      <w:r w:rsidR="00F754B9" w:rsidRPr="0035556D">
        <w:rPr>
          <w:rFonts w:asciiTheme="minorHAnsi" w:hAnsiTheme="minorHAnsi"/>
          <w:color w:val="auto"/>
          <w:szCs w:val="24"/>
        </w:rPr>
        <w:t xml:space="preserve">active </w:t>
      </w:r>
      <w:r w:rsidR="003A40B4" w:rsidRPr="0035556D">
        <w:rPr>
          <w:rFonts w:asciiTheme="minorHAnsi" w:hAnsiTheme="minorHAnsi"/>
          <w:color w:val="auto"/>
          <w:szCs w:val="24"/>
        </w:rPr>
        <w:t>service</w:t>
      </w:r>
      <w:r w:rsidRPr="0035556D">
        <w:rPr>
          <w:rFonts w:asciiTheme="minorHAnsi" w:hAnsiTheme="minorHAnsi"/>
          <w:color w:val="auto"/>
          <w:szCs w:val="24"/>
        </w:rPr>
        <w:t xml:space="preserve">.  The medical basis for the separation was </w:t>
      </w:r>
      <w:r w:rsidR="006F165A">
        <w:rPr>
          <w:rFonts w:asciiTheme="minorHAnsi" w:hAnsiTheme="minorHAnsi"/>
          <w:color w:val="auto"/>
          <w:szCs w:val="24"/>
        </w:rPr>
        <w:t>m</w:t>
      </w:r>
      <w:r w:rsidR="00907D67" w:rsidRPr="0035556D">
        <w:rPr>
          <w:rFonts w:asciiTheme="minorHAnsi" w:hAnsiTheme="minorHAnsi"/>
          <w:color w:val="auto"/>
          <w:szCs w:val="24"/>
        </w:rPr>
        <w:t xml:space="preserve">ild </w:t>
      </w:r>
      <w:r w:rsidR="006F165A">
        <w:rPr>
          <w:rFonts w:asciiTheme="minorHAnsi" w:hAnsiTheme="minorHAnsi"/>
          <w:color w:val="auto"/>
          <w:szCs w:val="24"/>
        </w:rPr>
        <w:t>d</w:t>
      </w:r>
      <w:r w:rsidR="00907D67" w:rsidRPr="0035556D">
        <w:rPr>
          <w:rFonts w:asciiTheme="minorHAnsi" w:hAnsiTheme="minorHAnsi"/>
          <w:color w:val="auto"/>
          <w:szCs w:val="24"/>
        </w:rPr>
        <w:t xml:space="preserve">egenerative </w:t>
      </w:r>
      <w:r w:rsidR="006F165A">
        <w:rPr>
          <w:rFonts w:asciiTheme="minorHAnsi" w:hAnsiTheme="minorHAnsi"/>
          <w:color w:val="auto"/>
          <w:szCs w:val="24"/>
        </w:rPr>
        <w:t>j</w:t>
      </w:r>
      <w:r w:rsidR="00907D67" w:rsidRPr="0035556D">
        <w:rPr>
          <w:rFonts w:asciiTheme="minorHAnsi" w:hAnsiTheme="minorHAnsi"/>
          <w:color w:val="auto"/>
          <w:szCs w:val="24"/>
        </w:rPr>
        <w:t xml:space="preserve">oint </w:t>
      </w:r>
      <w:r w:rsidR="006F165A">
        <w:rPr>
          <w:rFonts w:asciiTheme="minorHAnsi" w:hAnsiTheme="minorHAnsi"/>
          <w:color w:val="auto"/>
          <w:szCs w:val="24"/>
        </w:rPr>
        <w:t>d</w:t>
      </w:r>
      <w:r w:rsidR="00907D67" w:rsidRPr="0035556D">
        <w:rPr>
          <w:rFonts w:asciiTheme="minorHAnsi" w:hAnsiTheme="minorHAnsi"/>
          <w:color w:val="auto"/>
          <w:szCs w:val="24"/>
        </w:rPr>
        <w:t xml:space="preserve">isease </w:t>
      </w:r>
      <w:r w:rsidR="002F4EA4" w:rsidRPr="0035556D">
        <w:rPr>
          <w:rFonts w:asciiTheme="minorHAnsi" w:hAnsiTheme="minorHAnsi"/>
          <w:color w:val="auto"/>
          <w:szCs w:val="24"/>
        </w:rPr>
        <w:t>(DJD)</w:t>
      </w:r>
      <w:r w:rsidR="008A425D" w:rsidRPr="0035556D">
        <w:rPr>
          <w:rFonts w:asciiTheme="minorHAnsi" w:hAnsiTheme="minorHAnsi"/>
          <w:color w:val="auto"/>
          <w:szCs w:val="24"/>
        </w:rPr>
        <w:t xml:space="preserve"> </w:t>
      </w:r>
      <w:r w:rsidR="00907D67" w:rsidRPr="0035556D">
        <w:rPr>
          <w:rFonts w:asciiTheme="minorHAnsi" w:hAnsiTheme="minorHAnsi"/>
          <w:color w:val="auto"/>
          <w:szCs w:val="24"/>
        </w:rPr>
        <w:t xml:space="preserve">of </w:t>
      </w:r>
      <w:r w:rsidR="008A425D" w:rsidRPr="0035556D">
        <w:rPr>
          <w:rFonts w:asciiTheme="minorHAnsi" w:hAnsiTheme="minorHAnsi"/>
          <w:color w:val="auto"/>
          <w:szCs w:val="24"/>
        </w:rPr>
        <w:t xml:space="preserve">the </w:t>
      </w:r>
      <w:r w:rsidR="006F165A">
        <w:rPr>
          <w:rFonts w:asciiTheme="minorHAnsi" w:hAnsiTheme="minorHAnsi"/>
          <w:color w:val="auto"/>
          <w:szCs w:val="24"/>
        </w:rPr>
        <w:t>l</w:t>
      </w:r>
      <w:r w:rsidR="00907D67" w:rsidRPr="0035556D">
        <w:rPr>
          <w:rFonts w:asciiTheme="minorHAnsi" w:hAnsiTheme="minorHAnsi"/>
          <w:color w:val="auto"/>
          <w:szCs w:val="24"/>
        </w:rPr>
        <w:t xml:space="preserve">eft </w:t>
      </w:r>
      <w:r w:rsidR="006F165A">
        <w:rPr>
          <w:rFonts w:asciiTheme="minorHAnsi" w:hAnsiTheme="minorHAnsi"/>
          <w:color w:val="auto"/>
          <w:szCs w:val="24"/>
        </w:rPr>
        <w:t>a</w:t>
      </w:r>
      <w:r w:rsidR="00907D67" w:rsidRPr="0035556D">
        <w:rPr>
          <w:rFonts w:asciiTheme="minorHAnsi" w:hAnsiTheme="minorHAnsi"/>
          <w:color w:val="auto"/>
          <w:szCs w:val="24"/>
        </w:rPr>
        <w:t xml:space="preserve">nkle. </w:t>
      </w:r>
      <w:r w:rsidR="002C69E7" w:rsidRPr="0035556D">
        <w:rPr>
          <w:rFonts w:asciiTheme="minorHAnsi" w:hAnsiTheme="minorHAnsi"/>
          <w:color w:val="auto"/>
          <w:szCs w:val="24"/>
        </w:rPr>
        <w:t xml:space="preserve"> </w:t>
      </w:r>
      <w:r w:rsidR="006F165A">
        <w:rPr>
          <w:rFonts w:asciiTheme="minorHAnsi" w:hAnsiTheme="minorHAnsi"/>
          <w:color w:val="auto"/>
          <w:szCs w:val="24"/>
        </w:rPr>
        <w:t xml:space="preserve">While </w:t>
      </w:r>
      <w:r w:rsidR="00C42344" w:rsidRPr="0035556D">
        <w:rPr>
          <w:rFonts w:asciiTheme="minorHAnsi" w:hAnsiTheme="minorHAnsi"/>
          <w:color w:val="auto"/>
          <w:szCs w:val="24"/>
        </w:rPr>
        <w:t xml:space="preserve">deployed to Iraq from January to August 2006 </w:t>
      </w:r>
      <w:r w:rsidR="006F165A">
        <w:rPr>
          <w:rFonts w:asciiTheme="minorHAnsi" w:hAnsiTheme="minorHAnsi"/>
          <w:color w:val="auto"/>
          <w:szCs w:val="24"/>
        </w:rPr>
        <w:t xml:space="preserve">the CI </w:t>
      </w:r>
      <w:r w:rsidR="00C42344" w:rsidRPr="0035556D">
        <w:rPr>
          <w:rFonts w:asciiTheme="minorHAnsi" w:hAnsiTheme="minorHAnsi"/>
          <w:color w:val="auto"/>
          <w:szCs w:val="24"/>
        </w:rPr>
        <w:t xml:space="preserve">suffered an inversion ankle sprain. </w:t>
      </w:r>
      <w:r w:rsidR="00CA1A90" w:rsidRPr="0035556D">
        <w:rPr>
          <w:rFonts w:asciiTheme="minorHAnsi" w:hAnsiTheme="minorHAnsi"/>
          <w:color w:val="auto"/>
          <w:szCs w:val="24"/>
        </w:rPr>
        <w:t xml:space="preserve"> </w:t>
      </w:r>
      <w:r w:rsidR="006F165A">
        <w:rPr>
          <w:rFonts w:asciiTheme="minorHAnsi" w:hAnsiTheme="minorHAnsi"/>
          <w:color w:val="auto"/>
          <w:szCs w:val="24"/>
        </w:rPr>
        <w:t>He</w:t>
      </w:r>
      <w:r w:rsidR="00E322F7" w:rsidRPr="0035556D">
        <w:rPr>
          <w:rFonts w:asciiTheme="minorHAnsi" w:hAnsiTheme="minorHAnsi"/>
          <w:color w:val="auto"/>
          <w:szCs w:val="24"/>
        </w:rPr>
        <w:t xml:space="preserve"> did not respond adequately to perform within his </w:t>
      </w:r>
      <w:r w:rsidR="00705C40" w:rsidRPr="0035556D">
        <w:rPr>
          <w:rFonts w:asciiTheme="minorHAnsi" w:hAnsiTheme="minorHAnsi"/>
          <w:color w:val="auto"/>
          <w:szCs w:val="24"/>
        </w:rPr>
        <w:t xml:space="preserve">military occupational </w:t>
      </w:r>
      <w:r w:rsidR="003A40B4" w:rsidRPr="0035556D">
        <w:rPr>
          <w:rFonts w:asciiTheme="minorHAnsi" w:hAnsiTheme="minorHAnsi"/>
          <w:color w:val="auto"/>
          <w:szCs w:val="24"/>
        </w:rPr>
        <w:t xml:space="preserve">specialty </w:t>
      </w:r>
      <w:r w:rsidR="00E322F7" w:rsidRPr="0035556D">
        <w:rPr>
          <w:rFonts w:asciiTheme="minorHAnsi" w:hAnsiTheme="minorHAnsi"/>
          <w:color w:val="auto"/>
          <w:szCs w:val="24"/>
        </w:rPr>
        <w:t xml:space="preserve">or participate in </w:t>
      </w:r>
      <w:r w:rsidR="003A40B4" w:rsidRPr="0035556D">
        <w:rPr>
          <w:rFonts w:asciiTheme="minorHAnsi" w:hAnsiTheme="minorHAnsi"/>
          <w:color w:val="auto"/>
          <w:szCs w:val="24"/>
        </w:rPr>
        <w:t>a physical fitness test</w:t>
      </w:r>
      <w:r w:rsidR="006F165A">
        <w:rPr>
          <w:rFonts w:asciiTheme="minorHAnsi" w:hAnsiTheme="minorHAnsi"/>
          <w:color w:val="auto"/>
          <w:szCs w:val="24"/>
        </w:rPr>
        <w:t>. He</w:t>
      </w:r>
      <w:r w:rsidR="003A40B4" w:rsidRPr="0035556D">
        <w:rPr>
          <w:rFonts w:asciiTheme="minorHAnsi" w:hAnsiTheme="minorHAnsi"/>
          <w:color w:val="auto"/>
          <w:szCs w:val="24"/>
        </w:rPr>
        <w:t xml:space="preserve"> </w:t>
      </w:r>
      <w:r w:rsidR="00E322F7" w:rsidRPr="0035556D">
        <w:rPr>
          <w:rFonts w:asciiTheme="minorHAnsi" w:hAnsiTheme="minorHAnsi"/>
          <w:color w:val="auto"/>
          <w:szCs w:val="24"/>
        </w:rPr>
        <w:t xml:space="preserve">was issued </w:t>
      </w:r>
      <w:r w:rsidR="00876F4F" w:rsidRPr="0035556D">
        <w:rPr>
          <w:rFonts w:asciiTheme="minorHAnsi" w:hAnsiTheme="minorHAnsi"/>
          <w:color w:val="auto"/>
          <w:szCs w:val="24"/>
        </w:rPr>
        <w:t xml:space="preserve">two </w:t>
      </w:r>
      <w:r w:rsidR="0020745D" w:rsidRPr="0035556D">
        <w:rPr>
          <w:rFonts w:asciiTheme="minorHAnsi" w:hAnsiTheme="minorHAnsi"/>
          <w:color w:val="auto"/>
          <w:szCs w:val="24"/>
        </w:rPr>
        <w:t>limited duty (</w:t>
      </w:r>
      <w:r w:rsidR="00876F4F" w:rsidRPr="0035556D">
        <w:rPr>
          <w:rFonts w:asciiTheme="minorHAnsi" w:hAnsiTheme="minorHAnsi"/>
          <w:color w:val="auto"/>
          <w:szCs w:val="24"/>
        </w:rPr>
        <w:t>LIMDU</w:t>
      </w:r>
      <w:r w:rsidR="0020745D" w:rsidRPr="0035556D">
        <w:rPr>
          <w:rFonts w:asciiTheme="minorHAnsi" w:hAnsiTheme="minorHAnsi"/>
          <w:color w:val="auto"/>
          <w:szCs w:val="24"/>
        </w:rPr>
        <w:t>)</w:t>
      </w:r>
      <w:r w:rsidR="00E322F7" w:rsidRPr="0035556D">
        <w:rPr>
          <w:rFonts w:asciiTheme="minorHAnsi" w:hAnsiTheme="minorHAnsi"/>
          <w:color w:val="auto"/>
          <w:szCs w:val="24"/>
        </w:rPr>
        <w:t xml:space="preserve"> </w:t>
      </w:r>
      <w:r w:rsidR="009044F1" w:rsidRPr="0035556D">
        <w:rPr>
          <w:rFonts w:asciiTheme="minorHAnsi" w:hAnsiTheme="minorHAnsi"/>
          <w:color w:val="auto"/>
          <w:szCs w:val="24"/>
        </w:rPr>
        <w:t xml:space="preserve">periods </w:t>
      </w:r>
      <w:r w:rsidR="00E322F7" w:rsidRPr="0035556D">
        <w:rPr>
          <w:rFonts w:asciiTheme="minorHAnsi" w:hAnsiTheme="minorHAnsi"/>
          <w:color w:val="auto"/>
          <w:szCs w:val="24"/>
        </w:rPr>
        <w:t xml:space="preserve">and underwent a </w:t>
      </w:r>
      <w:r w:rsidR="00705C40" w:rsidRPr="0035556D">
        <w:rPr>
          <w:rFonts w:asciiTheme="minorHAnsi" w:hAnsiTheme="minorHAnsi"/>
          <w:color w:val="auto"/>
          <w:szCs w:val="24"/>
        </w:rPr>
        <w:t>Medical Evaluation Board (</w:t>
      </w:r>
      <w:r w:rsidR="00E322F7" w:rsidRPr="0035556D">
        <w:rPr>
          <w:rFonts w:asciiTheme="minorHAnsi" w:hAnsiTheme="minorHAnsi"/>
          <w:color w:val="auto"/>
          <w:szCs w:val="24"/>
        </w:rPr>
        <w:t>MEB</w:t>
      </w:r>
      <w:r w:rsidR="00705C40" w:rsidRPr="0035556D">
        <w:rPr>
          <w:rFonts w:asciiTheme="minorHAnsi" w:hAnsiTheme="minorHAnsi"/>
          <w:color w:val="auto"/>
          <w:szCs w:val="24"/>
        </w:rPr>
        <w:t>)</w:t>
      </w:r>
      <w:r w:rsidR="00E322F7" w:rsidRPr="0035556D">
        <w:rPr>
          <w:rFonts w:asciiTheme="minorHAnsi" w:hAnsiTheme="minorHAnsi"/>
          <w:color w:val="auto"/>
          <w:szCs w:val="24"/>
        </w:rPr>
        <w:t>.</w:t>
      </w:r>
      <w:r w:rsidR="002C69E7" w:rsidRPr="0035556D">
        <w:rPr>
          <w:rFonts w:asciiTheme="minorHAnsi" w:hAnsiTheme="minorHAnsi"/>
          <w:color w:val="auto"/>
          <w:szCs w:val="24"/>
        </w:rPr>
        <w:t xml:space="preserve"> </w:t>
      </w:r>
      <w:r w:rsidR="00C64646" w:rsidRPr="0035556D">
        <w:rPr>
          <w:rFonts w:asciiTheme="minorHAnsi" w:hAnsiTheme="minorHAnsi"/>
          <w:color w:val="auto"/>
          <w:szCs w:val="24"/>
        </w:rPr>
        <w:t xml:space="preserve"> </w:t>
      </w:r>
      <w:r w:rsidR="00876F4F" w:rsidRPr="0035556D">
        <w:rPr>
          <w:rFonts w:asciiTheme="minorHAnsi" w:hAnsiTheme="minorHAnsi"/>
          <w:color w:val="auto"/>
          <w:szCs w:val="24"/>
        </w:rPr>
        <w:t xml:space="preserve">Mild </w:t>
      </w:r>
      <w:r w:rsidR="002F4EA4" w:rsidRPr="0035556D">
        <w:rPr>
          <w:rFonts w:asciiTheme="minorHAnsi" w:hAnsiTheme="minorHAnsi"/>
          <w:color w:val="auto"/>
          <w:szCs w:val="24"/>
        </w:rPr>
        <w:t>DJD</w:t>
      </w:r>
      <w:r w:rsidR="00876F4F" w:rsidRPr="0035556D">
        <w:rPr>
          <w:rFonts w:asciiTheme="minorHAnsi" w:hAnsiTheme="minorHAnsi"/>
          <w:color w:val="auto"/>
          <w:szCs w:val="24"/>
        </w:rPr>
        <w:t xml:space="preserve"> of </w:t>
      </w:r>
      <w:r w:rsidR="006F165A">
        <w:rPr>
          <w:rFonts w:asciiTheme="minorHAnsi" w:hAnsiTheme="minorHAnsi"/>
          <w:color w:val="auto"/>
          <w:szCs w:val="24"/>
        </w:rPr>
        <w:t>l</w:t>
      </w:r>
      <w:r w:rsidR="00876F4F" w:rsidRPr="0035556D">
        <w:rPr>
          <w:rFonts w:asciiTheme="minorHAnsi" w:hAnsiTheme="minorHAnsi"/>
          <w:color w:val="auto"/>
          <w:szCs w:val="24"/>
        </w:rPr>
        <w:t xml:space="preserve">eft </w:t>
      </w:r>
      <w:r w:rsidR="006F165A">
        <w:rPr>
          <w:rFonts w:asciiTheme="minorHAnsi" w:hAnsiTheme="minorHAnsi"/>
          <w:color w:val="auto"/>
          <w:szCs w:val="24"/>
        </w:rPr>
        <w:t>a</w:t>
      </w:r>
      <w:r w:rsidR="00876F4F" w:rsidRPr="0035556D">
        <w:rPr>
          <w:rFonts w:asciiTheme="minorHAnsi" w:hAnsiTheme="minorHAnsi"/>
          <w:color w:val="auto"/>
          <w:szCs w:val="24"/>
        </w:rPr>
        <w:t xml:space="preserve">nkle </w:t>
      </w:r>
      <w:r w:rsidR="00AE5E14" w:rsidRPr="0035556D">
        <w:rPr>
          <w:rFonts w:asciiTheme="minorHAnsi" w:hAnsiTheme="minorHAnsi"/>
          <w:color w:val="auto"/>
          <w:szCs w:val="24"/>
        </w:rPr>
        <w:t>w</w:t>
      </w:r>
      <w:r w:rsidR="00876F4F" w:rsidRPr="0035556D">
        <w:rPr>
          <w:rFonts w:asciiTheme="minorHAnsi" w:hAnsiTheme="minorHAnsi"/>
          <w:color w:val="auto"/>
          <w:szCs w:val="24"/>
        </w:rPr>
        <w:t>as</w:t>
      </w:r>
      <w:r w:rsidR="00AE5E14" w:rsidRPr="00396779">
        <w:rPr>
          <w:rFonts w:asciiTheme="minorHAnsi" w:hAnsiTheme="minorHAnsi"/>
          <w:color w:val="auto"/>
          <w:szCs w:val="24"/>
        </w:rPr>
        <w:t xml:space="preserve"> addressed in the </w:t>
      </w:r>
      <w:r w:rsidR="00705C40" w:rsidRPr="00396779">
        <w:rPr>
          <w:rFonts w:asciiTheme="minorHAnsi" w:hAnsiTheme="minorHAnsi"/>
          <w:color w:val="auto"/>
          <w:szCs w:val="24"/>
        </w:rPr>
        <w:t>narrative summary (</w:t>
      </w:r>
      <w:r w:rsidR="00AE5E14" w:rsidRPr="00396779">
        <w:rPr>
          <w:rFonts w:asciiTheme="minorHAnsi" w:hAnsiTheme="minorHAnsi"/>
          <w:color w:val="auto"/>
          <w:szCs w:val="24"/>
        </w:rPr>
        <w:t>NARSUM</w:t>
      </w:r>
      <w:r w:rsidR="00705C40" w:rsidRPr="00396779">
        <w:rPr>
          <w:rFonts w:asciiTheme="minorHAnsi" w:hAnsiTheme="minorHAnsi"/>
          <w:color w:val="auto"/>
          <w:szCs w:val="24"/>
        </w:rPr>
        <w:t>)</w:t>
      </w:r>
      <w:r w:rsidR="00AE5E14" w:rsidRPr="00396779">
        <w:rPr>
          <w:rFonts w:asciiTheme="minorHAnsi" w:hAnsiTheme="minorHAnsi"/>
          <w:color w:val="auto"/>
          <w:szCs w:val="24"/>
        </w:rPr>
        <w:t xml:space="preserve"> and </w:t>
      </w:r>
      <w:r w:rsidR="00AE5E14" w:rsidRPr="0013525F">
        <w:rPr>
          <w:rFonts w:asciiTheme="minorHAnsi" w:hAnsiTheme="minorHAnsi"/>
          <w:color w:val="auto"/>
          <w:szCs w:val="24"/>
        </w:rPr>
        <w:t xml:space="preserve">forwarded to the </w:t>
      </w:r>
      <w:r w:rsidR="00B20624" w:rsidRPr="00396779">
        <w:rPr>
          <w:rFonts w:asciiTheme="minorHAnsi" w:hAnsiTheme="minorHAnsi"/>
          <w:color w:val="auto"/>
          <w:szCs w:val="24"/>
        </w:rPr>
        <w:t>Physical Evaluation Board (</w:t>
      </w:r>
      <w:r w:rsidR="00AE5E14" w:rsidRPr="008A425D">
        <w:rPr>
          <w:rFonts w:asciiTheme="minorHAnsi" w:hAnsiTheme="minorHAnsi"/>
          <w:color w:val="auto"/>
          <w:szCs w:val="24"/>
        </w:rPr>
        <w:t>PEB</w:t>
      </w:r>
      <w:r w:rsidR="00B20624" w:rsidRPr="008A425D">
        <w:rPr>
          <w:rFonts w:asciiTheme="minorHAnsi" w:hAnsiTheme="minorHAnsi"/>
          <w:color w:val="auto"/>
          <w:szCs w:val="24"/>
        </w:rPr>
        <w:t>)</w:t>
      </w:r>
      <w:r w:rsidR="00AE5E14" w:rsidRPr="008A425D">
        <w:rPr>
          <w:rFonts w:asciiTheme="minorHAnsi" w:hAnsiTheme="minorHAnsi"/>
          <w:color w:val="auto"/>
          <w:szCs w:val="24"/>
        </w:rPr>
        <w:t>.</w:t>
      </w:r>
      <w:r w:rsidR="00B17BEA" w:rsidRPr="008A425D">
        <w:rPr>
          <w:rFonts w:asciiTheme="minorHAnsi" w:hAnsiTheme="minorHAnsi"/>
          <w:color w:val="auto"/>
          <w:szCs w:val="24"/>
        </w:rPr>
        <w:t xml:space="preserve"> </w:t>
      </w:r>
      <w:r w:rsidR="002C69E7" w:rsidRPr="008A425D">
        <w:rPr>
          <w:rFonts w:asciiTheme="minorHAnsi" w:hAnsiTheme="minorHAnsi"/>
          <w:color w:val="auto"/>
          <w:szCs w:val="24"/>
        </w:rPr>
        <w:t xml:space="preserve"> </w:t>
      </w:r>
      <w:r w:rsidR="00B20624" w:rsidRPr="008A425D">
        <w:rPr>
          <w:rFonts w:asciiTheme="minorHAnsi" w:hAnsiTheme="minorHAnsi"/>
          <w:color w:val="auto"/>
          <w:szCs w:val="24"/>
        </w:rPr>
        <w:t>The</w:t>
      </w:r>
      <w:r w:rsidR="00B20624" w:rsidRPr="00396779">
        <w:rPr>
          <w:rFonts w:asciiTheme="minorHAnsi" w:hAnsiTheme="minorHAnsi"/>
          <w:color w:val="auto"/>
          <w:szCs w:val="24"/>
        </w:rPr>
        <w:t xml:space="preserve"> informal PEB adjudicated the </w:t>
      </w:r>
      <w:r w:rsidR="006F165A">
        <w:rPr>
          <w:rFonts w:asciiTheme="minorHAnsi" w:hAnsiTheme="minorHAnsi"/>
          <w:color w:val="auto"/>
          <w:szCs w:val="24"/>
        </w:rPr>
        <w:t>l</w:t>
      </w:r>
      <w:r w:rsidR="00C64646" w:rsidRPr="008A425D">
        <w:rPr>
          <w:rFonts w:asciiTheme="minorHAnsi" w:hAnsiTheme="minorHAnsi"/>
          <w:color w:val="auto"/>
          <w:szCs w:val="24"/>
        </w:rPr>
        <w:t xml:space="preserve">eft </w:t>
      </w:r>
      <w:r w:rsidR="006F165A">
        <w:rPr>
          <w:rFonts w:asciiTheme="minorHAnsi" w:hAnsiTheme="minorHAnsi"/>
          <w:color w:val="auto"/>
          <w:szCs w:val="24"/>
        </w:rPr>
        <w:t>a</w:t>
      </w:r>
      <w:r w:rsidR="00C64646" w:rsidRPr="008A425D">
        <w:rPr>
          <w:rFonts w:asciiTheme="minorHAnsi" w:hAnsiTheme="minorHAnsi"/>
          <w:color w:val="auto"/>
          <w:szCs w:val="24"/>
        </w:rPr>
        <w:t>nkle</w:t>
      </w:r>
      <w:r w:rsidR="00B20624" w:rsidRPr="008A425D">
        <w:rPr>
          <w:rFonts w:asciiTheme="minorHAnsi" w:hAnsiTheme="minorHAnsi"/>
          <w:color w:val="auto"/>
          <w:szCs w:val="24"/>
        </w:rPr>
        <w:t xml:space="preserve"> condition</w:t>
      </w:r>
      <w:r w:rsidR="00B20624" w:rsidRPr="00396779">
        <w:rPr>
          <w:rFonts w:asciiTheme="minorHAnsi" w:hAnsiTheme="minorHAnsi"/>
          <w:color w:val="auto"/>
          <w:szCs w:val="24"/>
        </w:rPr>
        <w:t xml:space="preserve"> as unfitting</w:t>
      </w:r>
      <w:r w:rsidR="00B17BEA">
        <w:rPr>
          <w:rFonts w:asciiTheme="minorHAnsi" w:hAnsiTheme="minorHAnsi"/>
          <w:color w:val="auto"/>
          <w:szCs w:val="24"/>
        </w:rPr>
        <w:t xml:space="preserve"> with associated (CAT II) </w:t>
      </w:r>
      <w:proofErr w:type="spellStart"/>
      <w:r w:rsidR="006F165A">
        <w:rPr>
          <w:rFonts w:asciiTheme="minorHAnsi" w:hAnsiTheme="minorHAnsi"/>
          <w:color w:val="auto"/>
          <w:szCs w:val="24"/>
        </w:rPr>
        <w:t>o</w:t>
      </w:r>
      <w:r w:rsidR="00B17BEA">
        <w:rPr>
          <w:rFonts w:asciiTheme="minorHAnsi" w:hAnsiTheme="minorHAnsi"/>
          <w:color w:val="auto"/>
          <w:szCs w:val="24"/>
        </w:rPr>
        <w:t>steochondral</w:t>
      </w:r>
      <w:proofErr w:type="spellEnd"/>
      <w:r w:rsidR="00B17BEA">
        <w:rPr>
          <w:rFonts w:asciiTheme="minorHAnsi" w:hAnsiTheme="minorHAnsi"/>
          <w:color w:val="auto"/>
          <w:szCs w:val="24"/>
        </w:rPr>
        <w:t xml:space="preserve"> </w:t>
      </w:r>
      <w:r w:rsidR="006F165A">
        <w:rPr>
          <w:rFonts w:asciiTheme="minorHAnsi" w:hAnsiTheme="minorHAnsi"/>
          <w:color w:val="auto"/>
          <w:szCs w:val="24"/>
        </w:rPr>
        <w:t>d</w:t>
      </w:r>
      <w:r w:rsidR="00B17BEA">
        <w:rPr>
          <w:rFonts w:asciiTheme="minorHAnsi" w:hAnsiTheme="minorHAnsi"/>
          <w:color w:val="auto"/>
          <w:szCs w:val="24"/>
        </w:rPr>
        <w:t xml:space="preserve">efect and </w:t>
      </w:r>
      <w:r w:rsidR="006F165A">
        <w:rPr>
          <w:rFonts w:asciiTheme="minorHAnsi" w:hAnsiTheme="minorHAnsi"/>
          <w:color w:val="auto"/>
          <w:szCs w:val="24"/>
        </w:rPr>
        <w:t>c</w:t>
      </w:r>
      <w:r w:rsidR="00B17BEA">
        <w:rPr>
          <w:rFonts w:asciiTheme="minorHAnsi" w:hAnsiTheme="minorHAnsi"/>
          <w:color w:val="auto"/>
          <w:szCs w:val="24"/>
        </w:rPr>
        <w:t xml:space="preserve">hronic </w:t>
      </w:r>
      <w:r w:rsidR="006F165A">
        <w:rPr>
          <w:rFonts w:asciiTheme="minorHAnsi" w:hAnsiTheme="minorHAnsi"/>
          <w:color w:val="auto"/>
          <w:szCs w:val="24"/>
        </w:rPr>
        <w:t>l</w:t>
      </w:r>
      <w:r w:rsidR="00B17BEA">
        <w:rPr>
          <w:rFonts w:asciiTheme="minorHAnsi" w:hAnsiTheme="minorHAnsi"/>
          <w:color w:val="auto"/>
          <w:szCs w:val="24"/>
        </w:rPr>
        <w:t xml:space="preserve">eft </w:t>
      </w:r>
      <w:r w:rsidR="006F165A">
        <w:rPr>
          <w:rFonts w:asciiTheme="minorHAnsi" w:hAnsiTheme="minorHAnsi"/>
          <w:color w:val="auto"/>
          <w:szCs w:val="24"/>
        </w:rPr>
        <w:t>a</w:t>
      </w:r>
      <w:r w:rsidR="00B17BEA">
        <w:rPr>
          <w:rFonts w:asciiTheme="minorHAnsi" w:hAnsiTheme="minorHAnsi"/>
          <w:color w:val="auto"/>
          <w:szCs w:val="24"/>
        </w:rPr>
        <w:t xml:space="preserve">nkle </w:t>
      </w:r>
      <w:r w:rsidR="006F165A">
        <w:rPr>
          <w:rFonts w:asciiTheme="minorHAnsi" w:hAnsiTheme="minorHAnsi"/>
          <w:color w:val="auto"/>
          <w:szCs w:val="24"/>
        </w:rPr>
        <w:t>p</w:t>
      </w:r>
      <w:r w:rsidR="00B17BEA" w:rsidRPr="00B6071D">
        <w:rPr>
          <w:rFonts w:asciiTheme="minorHAnsi" w:hAnsiTheme="minorHAnsi"/>
          <w:color w:val="auto"/>
          <w:szCs w:val="24"/>
        </w:rPr>
        <w:t>ain</w:t>
      </w:r>
      <w:r w:rsidR="00B20624" w:rsidRPr="00B6071D">
        <w:rPr>
          <w:rFonts w:asciiTheme="minorHAnsi" w:hAnsiTheme="minorHAnsi"/>
          <w:color w:val="auto"/>
          <w:szCs w:val="24"/>
        </w:rPr>
        <w:t xml:space="preserve">, rated </w:t>
      </w:r>
      <w:r w:rsidR="00B17BEA" w:rsidRPr="00B6071D">
        <w:rPr>
          <w:rFonts w:asciiTheme="minorHAnsi" w:hAnsiTheme="minorHAnsi"/>
          <w:color w:val="auto"/>
          <w:szCs w:val="24"/>
        </w:rPr>
        <w:t>10</w:t>
      </w:r>
      <w:r w:rsidR="00B20624" w:rsidRPr="00B6071D">
        <w:rPr>
          <w:rFonts w:asciiTheme="minorHAnsi" w:hAnsiTheme="minorHAnsi"/>
          <w:color w:val="auto"/>
          <w:szCs w:val="24"/>
        </w:rPr>
        <w:t>%; with</w:t>
      </w:r>
      <w:r w:rsidR="00B20624" w:rsidRPr="00396779">
        <w:rPr>
          <w:rFonts w:asciiTheme="minorHAnsi" w:hAnsiTheme="minorHAnsi"/>
          <w:color w:val="auto"/>
          <w:szCs w:val="24"/>
        </w:rPr>
        <w:t xml:space="preserve"> </w:t>
      </w:r>
      <w:r w:rsidR="00B6071D" w:rsidRPr="00B6071D">
        <w:rPr>
          <w:rFonts w:asciiTheme="minorHAnsi" w:hAnsiTheme="minorHAnsi"/>
          <w:color w:val="auto"/>
          <w:szCs w:val="24"/>
        </w:rPr>
        <w:t xml:space="preserve">possible </w:t>
      </w:r>
      <w:r w:rsidR="00B20624" w:rsidRPr="00B6071D">
        <w:rPr>
          <w:rFonts w:asciiTheme="minorHAnsi" w:hAnsiTheme="minorHAnsi"/>
          <w:color w:val="auto"/>
          <w:szCs w:val="24"/>
        </w:rPr>
        <w:t xml:space="preserve">application of the </w:t>
      </w:r>
      <w:r w:rsidR="00065E21" w:rsidRPr="00B6071D">
        <w:rPr>
          <w:rFonts w:asciiTheme="minorHAnsi" w:hAnsiTheme="minorHAnsi"/>
          <w:color w:val="auto"/>
          <w:szCs w:val="24"/>
        </w:rPr>
        <w:t>SECNAVINST 1850.4E</w:t>
      </w:r>
      <w:r w:rsidR="00B20624" w:rsidRPr="00B6071D">
        <w:rPr>
          <w:rFonts w:asciiTheme="minorHAnsi" w:hAnsiTheme="minorHAnsi"/>
          <w:color w:val="auto"/>
          <w:szCs w:val="24"/>
        </w:rPr>
        <w:t xml:space="preserve">.  </w:t>
      </w:r>
      <w:r w:rsidR="008A425D" w:rsidRPr="00B6071D">
        <w:rPr>
          <w:rFonts w:asciiTheme="minorHAnsi" w:hAnsiTheme="minorHAnsi"/>
          <w:color w:val="auto"/>
          <w:szCs w:val="24"/>
        </w:rPr>
        <w:t>On</w:t>
      </w:r>
      <w:r w:rsidR="008A425D">
        <w:rPr>
          <w:rFonts w:asciiTheme="minorHAnsi" w:hAnsiTheme="minorHAnsi"/>
          <w:color w:val="auto"/>
          <w:szCs w:val="24"/>
        </w:rPr>
        <w:t xml:space="preserve"> request for </w:t>
      </w:r>
      <w:r w:rsidR="00384FB2">
        <w:rPr>
          <w:rFonts w:asciiTheme="minorHAnsi" w:hAnsiTheme="minorHAnsi"/>
          <w:color w:val="auto"/>
          <w:szCs w:val="24"/>
        </w:rPr>
        <w:t>reconsider</w:t>
      </w:r>
      <w:r w:rsidR="008A425D">
        <w:rPr>
          <w:rFonts w:asciiTheme="minorHAnsi" w:hAnsiTheme="minorHAnsi"/>
          <w:color w:val="auto"/>
          <w:szCs w:val="24"/>
        </w:rPr>
        <w:t>ation this was re-</w:t>
      </w:r>
      <w:r w:rsidR="00384FB2">
        <w:rPr>
          <w:rFonts w:asciiTheme="minorHAnsi" w:hAnsiTheme="minorHAnsi"/>
          <w:color w:val="auto"/>
          <w:szCs w:val="24"/>
        </w:rPr>
        <w:t xml:space="preserve">affirmed by the PEB.  </w:t>
      </w:r>
      <w:r w:rsidR="00B20624" w:rsidRPr="00396779">
        <w:rPr>
          <w:rFonts w:asciiTheme="minorHAnsi" w:hAnsiTheme="minorHAnsi"/>
          <w:color w:val="auto"/>
        </w:rPr>
        <w:t xml:space="preserve">The CI </w:t>
      </w:r>
      <w:r w:rsidR="00190E48" w:rsidRPr="008A425D">
        <w:rPr>
          <w:rFonts w:asciiTheme="minorHAnsi" w:hAnsiTheme="minorHAnsi"/>
          <w:color w:val="auto"/>
        </w:rPr>
        <w:t xml:space="preserve">made no </w:t>
      </w:r>
      <w:r w:rsidR="00384FB2" w:rsidRPr="008A425D">
        <w:rPr>
          <w:rFonts w:asciiTheme="minorHAnsi" w:hAnsiTheme="minorHAnsi"/>
          <w:color w:val="auto"/>
        </w:rPr>
        <w:t xml:space="preserve">further </w:t>
      </w:r>
      <w:r w:rsidR="00190E48" w:rsidRPr="008A425D">
        <w:rPr>
          <w:rFonts w:asciiTheme="minorHAnsi" w:hAnsiTheme="minorHAnsi"/>
          <w:color w:val="auto"/>
        </w:rPr>
        <w:t xml:space="preserve">appeals </w:t>
      </w:r>
      <w:r w:rsidR="00384FB2" w:rsidRPr="008A425D">
        <w:rPr>
          <w:rFonts w:asciiTheme="minorHAnsi" w:hAnsiTheme="minorHAnsi"/>
          <w:color w:val="auto"/>
        </w:rPr>
        <w:t>and</w:t>
      </w:r>
      <w:r w:rsidR="00384FB2">
        <w:rPr>
          <w:rFonts w:asciiTheme="minorHAnsi" w:hAnsiTheme="minorHAnsi"/>
          <w:color w:val="auto"/>
        </w:rPr>
        <w:t xml:space="preserve"> was</w:t>
      </w:r>
      <w:r w:rsidR="00C87F76">
        <w:rPr>
          <w:rFonts w:asciiTheme="minorHAnsi" w:hAnsiTheme="minorHAnsi"/>
          <w:color w:val="auto"/>
        </w:rPr>
        <w:t xml:space="preserve"> </w:t>
      </w:r>
      <w:r w:rsidR="00B20624" w:rsidRPr="008A425D">
        <w:rPr>
          <w:rFonts w:asciiTheme="minorHAnsi" w:hAnsiTheme="minorHAnsi"/>
          <w:color w:val="auto"/>
        </w:rPr>
        <w:t xml:space="preserve">medically separated with </w:t>
      </w:r>
      <w:r w:rsidR="00B20624" w:rsidRPr="00B6071D">
        <w:rPr>
          <w:rFonts w:asciiTheme="minorHAnsi" w:hAnsiTheme="minorHAnsi"/>
          <w:color w:val="auto"/>
        </w:rPr>
        <w:t xml:space="preserve">a </w:t>
      </w:r>
      <w:r w:rsidR="00B17BEA" w:rsidRPr="00B6071D">
        <w:rPr>
          <w:rFonts w:asciiTheme="minorHAnsi" w:hAnsiTheme="minorHAnsi"/>
          <w:color w:val="auto"/>
        </w:rPr>
        <w:t>10</w:t>
      </w:r>
      <w:r w:rsidR="00B20624" w:rsidRPr="00B6071D">
        <w:rPr>
          <w:rFonts w:asciiTheme="minorHAnsi" w:hAnsiTheme="minorHAnsi"/>
          <w:color w:val="auto"/>
        </w:rPr>
        <w:t>% disability</w:t>
      </w:r>
      <w:r w:rsidR="00B20624" w:rsidRPr="008A425D">
        <w:rPr>
          <w:rFonts w:asciiTheme="minorHAnsi" w:hAnsiTheme="minorHAnsi"/>
          <w:color w:val="auto"/>
        </w:rPr>
        <w:t xml:space="preserve"> rating.  </w:t>
      </w:r>
    </w:p>
    <w:p w:rsidR="00106AD8" w:rsidRPr="008A425D" w:rsidRDefault="00106AD8" w:rsidP="00811AFA">
      <w:pPr>
        <w:pBdr>
          <w:bottom w:val="single" w:sz="12" w:space="1" w:color="auto"/>
        </w:pBdr>
        <w:tabs>
          <w:tab w:val="left" w:pos="288"/>
          <w:tab w:val="left" w:pos="4752"/>
        </w:tabs>
        <w:spacing w:line="240" w:lineRule="exact"/>
        <w:jc w:val="both"/>
        <w:rPr>
          <w:rFonts w:ascii="Calibri" w:hAnsi="Calibri"/>
          <w:color w:val="auto"/>
          <w:szCs w:val="24"/>
        </w:rPr>
      </w:pPr>
    </w:p>
    <w:p w:rsidR="00106AD8" w:rsidRPr="008A425D" w:rsidRDefault="00106AD8" w:rsidP="00811AFA">
      <w:pPr>
        <w:tabs>
          <w:tab w:val="left" w:pos="288"/>
          <w:tab w:val="left" w:pos="4752"/>
        </w:tabs>
        <w:spacing w:line="240" w:lineRule="exact"/>
        <w:jc w:val="both"/>
        <w:rPr>
          <w:rFonts w:ascii="Calibri" w:hAnsi="Calibri"/>
          <w:color w:val="auto"/>
          <w:szCs w:val="24"/>
        </w:rPr>
      </w:pPr>
    </w:p>
    <w:p w:rsidR="00017D27" w:rsidRPr="00F07402" w:rsidRDefault="002C6E5B" w:rsidP="00811AFA">
      <w:pPr>
        <w:tabs>
          <w:tab w:val="left" w:pos="288"/>
          <w:tab w:val="left" w:pos="4752"/>
        </w:tabs>
        <w:spacing w:line="240" w:lineRule="exact"/>
        <w:jc w:val="both"/>
        <w:rPr>
          <w:rFonts w:asciiTheme="minorHAnsi" w:hAnsiTheme="minorHAnsi"/>
          <w:color w:val="auto"/>
          <w:szCs w:val="24"/>
        </w:rPr>
      </w:pPr>
      <w:r w:rsidRPr="008A425D">
        <w:rPr>
          <w:rFonts w:asciiTheme="minorHAnsi" w:hAnsiTheme="minorHAnsi"/>
          <w:color w:val="auto"/>
          <w:u w:val="single"/>
        </w:rPr>
        <w:t>CI CONTENTION</w:t>
      </w:r>
      <w:r w:rsidRPr="00326C08">
        <w:rPr>
          <w:rFonts w:asciiTheme="minorHAnsi" w:hAnsiTheme="minorHAnsi"/>
          <w:color w:val="auto"/>
        </w:rPr>
        <w:t xml:space="preserve">:  </w:t>
      </w:r>
      <w:r w:rsidR="00017D27" w:rsidRPr="00326C08">
        <w:rPr>
          <w:rFonts w:asciiTheme="minorHAnsi" w:hAnsiTheme="minorHAnsi"/>
          <w:color w:val="auto"/>
          <w:szCs w:val="24"/>
        </w:rPr>
        <w:t xml:space="preserve">The CI states: </w:t>
      </w:r>
      <w:r w:rsidR="00017D27">
        <w:rPr>
          <w:rFonts w:asciiTheme="minorHAnsi" w:hAnsiTheme="minorHAnsi"/>
          <w:color w:val="auto"/>
          <w:szCs w:val="24"/>
        </w:rPr>
        <w:t xml:space="preserve"> “I was notified that there have been changes to the disability rating system and I feel that my rating should be higher due to the additional injuries</w:t>
      </w:r>
      <w:r w:rsidR="002F4EA4">
        <w:rPr>
          <w:rFonts w:asciiTheme="minorHAnsi" w:hAnsiTheme="minorHAnsi"/>
          <w:color w:val="auto"/>
          <w:szCs w:val="24"/>
        </w:rPr>
        <w:t xml:space="preserve">…cont.  </w:t>
      </w:r>
      <w:proofErr w:type="gramStart"/>
      <w:r w:rsidR="002F4EA4">
        <w:rPr>
          <w:rFonts w:asciiTheme="minorHAnsi" w:hAnsiTheme="minorHAnsi"/>
          <w:color w:val="auto"/>
          <w:szCs w:val="24"/>
        </w:rPr>
        <w:t>PTSD, disc in lower back, GERD.</w:t>
      </w:r>
      <w:r w:rsidR="00017D27">
        <w:rPr>
          <w:rFonts w:asciiTheme="minorHAnsi" w:hAnsiTheme="minorHAnsi"/>
          <w:color w:val="auto"/>
          <w:szCs w:val="24"/>
        </w:rPr>
        <w:t>”</w:t>
      </w:r>
      <w:proofErr w:type="gramEnd"/>
      <w:r w:rsidR="00017D27">
        <w:rPr>
          <w:rFonts w:asciiTheme="minorHAnsi" w:hAnsiTheme="minorHAnsi"/>
          <w:color w:val="auto"/>
          <w:szCs w:val="24"/>
        </w:rPr>
        <w:t xml:space="preserve"> </w:t>
      </w:r>
      <w:r w:rsidR="002F4EA4">
        <w:rPr>
          <w:rFonts w:asciiTheme="minorHAnsi" w:hAnsiTheme="minorHAnsi"/>
          <w:color w:val="auto"/>
          <w:szCs w:val="24"/>
        </w:rPr>
        <w:t xml:space="preserve"> </w:t>
      </w:r>
      <w:r w:rsidR="00017D27" w:rsidRPr="00326C08">
        <w:rPr>
          <w:rFonts w:asciiTheme="minorHAnsi" w:hAnsiTheme="minorHAnsi"/>
          <w:color w:val="auto"/>
          <w:szCs w:val="24"/>
        </w:rPr>
        <w:t xml:space="preserve">As a matter of policy, all service conditions are reviewed by the </w:t>
      </w:r>
      <w:r w:rsidR="00017D27" w:rsidRPr="00F07402">
        <w:rPr>
          <w:rFonts w:asciiTheme="minorHAnsi" w:hAnsiTheme="minorHAnsi"/>
          <w:color w:val="auto"/>
          <w:szCs w:val="24"/>
        </w:rPr>
        <w:t xml:space="preserve">Board for their potential contribution to its rating recommendations. </w:t>
      </w:r>
      <w:r w:rsidR="00F07402" w:rsidRPr="00F07402">
        <w:rPr>
          <w:rFonts w:asciiTheme="minorHAnsi" w:hAnsiTheme="minorHAnsi"/>
          <w:color w:val="auto"/>
          <w:szCs w:val="24"/>
        </w:rPr>
        <w:t xml:space="preserve"> </w:t>
      </w:r>
    </w:p>
    <w:p w:rsidR="00106AD8" w:rsidRPr="00F07402" w:rsidRDefault="00106AD8" w:rsidP="00106AD8">
      <w:pPr>
        <w:pBdr>
          <w:bottom w:val="single" w:sz="12" w:space="1" w:color="auto"/>
        </w:pBdr>
        <w:tabs>
          <w:tab w:val="left" w:pos="288"/>
          <w:tab w:val="left" w:pos="4752"/>
        </w:tabs>
        <w:spacing w:line="240" w:lineRule="exact"/>
        <w:jc w:val="both"/>
        <w:rPr>
          <w:rFonts w:ascii="Calibri" w:hAnsi="Calibri"/>
          <w:color w:val="auto"/>
          <w:szCs w:val="24"/>
        </w:rPr>
      </w:pPr>
    </w:p>
    <w:p w:rsidR="00106AD8" w:rsidRPr="00F07402" w:rsidRDefault="00106AD8" w:rsidP="00106AD8">
      <w:pPr>
        <w:tabs>
          <w:tab w:val="left" w:pos="288"/>
          <w:tab w:val="left" w:pos="4752"/>
        </w:tabs>
        <w:spacing w:line="240" w:lineRule="exact"/>
        <w:rPr>
          <w:rFonts w:ascii="Calibri" w:hAnsi="Calibri"/>
          <w:color w:val="auto"/>
          <w:szCs w:val="24"/>
        </w:rPr>
      </w:pPr>
    </w:p>
    <w:p w:rsidR="002338CA" w:rsidRPr="00326C08" w:rsidRDefault="002C6E5B" w:rsidP="00D17DD9">
      <w:pPr>
        <w:rPr>
          <w:rFonts w:asciiTheme="minorHAnsi" w:hAnsiTheme="minorHAnsi"/>
          <w:color w:val="auto"/>
        </w:rPr>
      </w:pPr>
      <w:r w:rsidRPr="00F07402">
        <w:rPr>
          <w:rFonts w:asciiTheme="minorHAnsi" w:hAnsiTheme="minorHAnsi"/>
          <w:color w:val="auto"/>
          <w:u w:val="single"/>
        </w:rPr>
        <w:t>R</w:t>
      </w:r>
      <w:r w:rsidRPr="00326C08">
        <w:rPr>
          <w:rFonts w:asciiTheme="minorHAnsi" w:hAnsiTheme="minorHAnsi"/>
          <w:color w:val="auto"/>
          <w:u w:val="single"/>
        </w:rPr>
        <w:t>ATING COMPARISON</w:t>
      </w:r>
      <w:r w:rsidRPr="00326C08">
        <w:rPr>
          <w:rFonts w:asciiTheme="minorHAnsi" w:hAnsiTheme="minorHAnsi"/>
          <w:color w:val="auto"/>
        </w:rPr>
        <w:t>:</w:t>
      </w:r>
      <w:r w:rsidR="00F07402">
        <w:rPr>
          <w:rFonts w:asciiTheme="minorHAnsi" w:hAnsiTheme="minorHAnsi"/>
          <w:color w:val="auto"/>
        </w:rPr>
        <w:t xml:space="preserve">  </w:t>
      </w:r>
    </w:p>
    <w:p w:rsidR="00F82981" w:rsidRPr="004E75D0" w:rsidRDefault="00F82981" w:rsidP="00190E48">
      <w:pPr>
        <w:tabs>
          <w:tab w:val="left" w:pos="288"/>
          <w:tab w:val="left" w:pos="4752"/>
        </w:tabs>
        <w:spacing w:line="240" w:lineRule="exact"/>
        <w:jc w:val="both"/>
        <w:rPr>
          <w:rFonts w:asciiTheme="minorHAnsi" w:hAnsiTheme="minorHAnsi"/>
          <w:color w:val="auto"/>
        </w:rPr>
      </w:pPr>
    </w:p>
    <w:tbl>
      <w:tblPr>
        <w:tblStyle w:val="TableGrid"/>
        <w:tblW w:w="9495" w:type="dxa"/>
        <w:jc w:val="center"/>
        <w:tblLayout w:type="fixed"/>
        <w:tblLook w:val="04A0"/>
      </w:tblPr>
      <w:tblGrid>
        <w:gridCol w:w="338"/>
        <w:gridCol w:w="2340"/>
        <w:gridCol w:w="787"/>
        <w:gridCol w:w="810"/>
        <w:gridCol w:w="2475"/>
        <w:gridCol w:w="945"/>
        <w:gridCol w:w="810"/>
        <w:gridCol w:w="990"/>
      </w:tblGrid>
      <w:tr w:rsidR="00684E2B" w:rsidRPr="004E75D0" w:rsidTr="00B6071D">
        <w:trPr>
          <w:trHeight w:val="233"/>
          <w:jc w:val="center"/>
        </w:trPr>
        <w:tc>
          <w:tcPr>
            <w:tcW w:w="4275" w:type="dxa"/>
            <w:gridSpan w:val="4"/>
            <w:tcBorders>
              <w:right w:val="thinThickThinSmallGap" w:sz="24" w:space="0" w:color="auto"/>
            </w:tcBorders>
            <w:shd w:val="clear" w:color="auto" w:fill="D9D9D9" w:themeFill="background1" w:themeFillShade="D9"/>
          </w:tcPr>
          <w:p w:rsidR="00684E2B" w:rsidRPr="004E75D0" w:rsidRDefault="00684E2B" w:rsidP="007A2C4C">
            <w:pPr>
              <w:pStyle w:val="ListParagraph"/>
              <w:spacing w:after="0" w:line="240" w:lineRule="exact"/>
              <w:ind w:left="0"/>
              <w:jc w:val="center"/>
              <w:rPr>
                <w:rFonts w:cs="Times New Roman"/>
                <w:b/>
                <w:sz w:val="20"/>
                <w:szCs w:val="20"/>
              </w:rPr>
            </w:pPr>
            <w:r w:rsidRPr="004E75D0">
              <w:rPr>
                <w:rFonts w:cs="Times New Roman"/>
                <w:b/>
                <w:sz w:val="20"/>
                <w:szCs w:val="20"/>
              </w:rPr>
              <w:t xml:space="preserve">Service </w:t>
            </w:r>
            <w:r w:rsidR="00835568" w:rsidRPr="004E75D0">
              <w:rPr>
                <w:rFonts w:cs="Times New Roman"/>
                <w:b/>
                <w:sz w:val="20"/>
                <w:szCs w:val="20"/>
              </w:rPr>
              <w:t>I</w:t>
            </w:r>
            <w:r w:rsidRPr="004E75D0">
              <w:rPr>
                <w:rFonts w:cs="Times New Roman"/>
                <w:b/>
                <w:sz w:val="20"/>
                <w:szCs w:val="20"/>
              </w:rPr>
              <w:t>PEB</w:t>
            </w:r>
            <w:r w:rsidR="002B2645" w:rsidRPr="004E75D0">
              <w:rPr>
                <w:rFonts w:cs="Times New Roman"/>
                <w:b/>
                <w:sz w:val="20"/>
                <w:szCs w:val="20"/>
              </w:rPr>
              <w:t xml:space="preserve"> – Dated </w:t>
            </w:r>
            <w:r w:rsidR="007A2C4C" w:rsidRPr="004E75D0">
              <w:rPr>
                <w:rFonts w:cs="Times New Roman"/>
                <w:b/>
                <w:sz w:val="20"/>
                <w:szCs w:val="20"/>
              </w:rPr>
              <w:t>20081105</w:t>
            </w:r>
          </w:p>
        </w:tc>
        <w:tc>
          <w:tcPr>
            <w:tcW w:w="5220" w:type="dxa"/>
            <w:gridSpan w:val="4"/>
            <w:tcBorders>
              <w:left w:val="thinThickThinSmallGap" w:sz="24" w:space="0" w:color="auto"/>
            </w:tcBorders>
            <w:shd w:val="clear" w:color="auto" w:fill="D9D9D9" w:themeFill="background1" w:themeFillShade="D9"/>
          </w:tcPr>
          <w:p w:rsidR="00684E2B" w:rsidRPr="0035556D" w:rsidRDefault="00684E2B" w:rsidP="007B1B40">
            <w:pPr>
              <w:pStyle w:val="ListParagraph"/>
              <w:spacing w:after="0" w:line="240" w:lineRule="exact"/>
              <w:ind w:left="0"/>
              <w:jc w:val="center"/>
              <w:rPr>
                <w:rFonts w:cs="Times New Roman"/>
                <w:b/>
                <w:sz w:val="20"/>
                <w:szCs w:val="20"/>
              </w:rPr>
            </w:pPr>
            <w:r w:rsidRPr="0035556D">
              <w:rPr>
                <w:rFonts w:cs="Times New Roman"/>
                <w:b/>
                <w:sz w:val="20"/>
                <w:szCs w:val="20"/>
              </w:rPr>
              <w:t>VA (</w:t>
            </w:r>
            <w:r w:rsidR="007B1B40">
              <w:rPr>
                <w:rFonts w:cs="Times New Roman"/>
                <w:b/>
                <w:sz w:val="20"/>
                <w:szCs w:val="20"/>
              </w:rPr>
              <w:t>8</w:t>
            </w:r>
            <w:r w:rsidRPr="0035556D">
              <w:rPr>
                <w:rFonts w:cs="Times New Roman"/>
                <w:b/>
                <w:sz w:val="20"/>
                <w:szCs w:val="20"/>
              </w:rPr>
              <w:t xml:space="preserve"> Mo. </w:t>
            </w:r>
            <w:r w:rsidR="00A1213C" w:rsidRPr="0035556D">
              <w:rPr>
                <w:rFonts w:cs="Times New Roman"/>
                <w:b/>
                <w:sz w:val="20"/>
                <w:szCs w:val="20"/>
              </w:rPr>
              <w:t>Pre-</w:t>
            </w:r>
            <w:r w:rsidRPr="0035556D">
              <w:rPr>
                <w:rFonts w:cs="Times New Roman"/>
                <w:b/>
                <w:sz w:val="20"/>
                <w:szCs w:val="20"/>
              </w:rPr>
              <w:t>Separation)</w:t>
            </w:r>
            <w:r w:rsidR="000C3C13" w:rsidRPr="0035556D">
              <w:rPr>
                <w:rFonts w:cs="Times New Roman"/>
                <w:b/>
                <w:sz w:val="20"/>
                <w:szCs w:val="20"/>
              </w:rPr>
              <w:t xml:space="preserve"> – All Effective </w:t>
            </w:r>
            <w:r w:rsidR="00351B05" w:rsidRPr="0035556D">
              <w:rPr>
                <w:rFonts w:cs="Times New Roman"/>
                <w:b/>
                <w:sz w:val="20"/>
                <w:szCs w:val="20"/>
              </w:rPr>
              <w:t>20090131</w:t>
            </w:r>
          </w:p>
        </w:tc>
      </w:tr>
      <w:tr w:rsidR="002B2645" w:rsidRPr="004E75D0" w:rsidTr="00B6071D">
        <w:trPr>
          <w:trHeight w:val="233"/>
          <w:jc w:val="center"/>
        </w:trPr>
        <w:tc>
          <w:tcPr>
            <w:tcW w:w="2678" w:type="dxa"/>
            <w:gridSpan w:val="2"/>
            <w:tcBorders>
              <w:bottom w:val="single" w:sz="4" w:space="0" w:color="000000" w:themeColor="text1"/>
            </w:tcBorders>
            <w:shd w:val="clear" w:color="auto" w:fill="D9D9D9" w:themeFill="background1" w:themeFillShade="D9"/>
          </w:tcPr>
          <w:p w:rsidR="002B2645" w:rsidRPr="004E75D0" w:rsidRDefault="002B2645" w:rsidP="00190E48">
            <w:pPr>
              <w:pStyle w:val="ListParagraph"/>
              <w:spacing w:after="0" w:line="240" w:lineRule="exact"/>
              <w:ind w:left="0"/>
              <w:jc w:val="both"/>
              <w:rPr>
                <w:rFonts w:cs="Times New Roman"/>
                <w:b/>
                <w:sz w:val="20"/>
                <w:szCs w:val="20"/>
              </w:rPr>
            </w:pPr>
            <w:r w:rsidRPr="004E75D0">
              <w:rPr>
                <w:rFonts w:cs="Times New Roman"/>
                <w:b/>
                <w:sz w:val="20"/>
                <w:szCs w:val="20"/>
              </w:rPr>
              <w:t>Condition</w:t>
            </w:r>
          </w:p>
        </w:tc>
        <w:tc>
          <w:tcPr>
            <w:tcW w:w="787" w:type="dxa"/>
            <w:tcBorders>
              <w:bottom w:val="single" w:sz="4" w:space="0" w:color="000000" w:themeColor="text1"/>
            </w:tcBorders>
            <w:shd w:val="clear" w:color="auto" w:fill="D9D9D9" w:themeFill="background1" w:themeFillShade="D9"/>
          </w:tcPr>
          <w:p w:rsidR="002B2645" w:rsidRPr="004E75D0" w:rsidRDefault="002B2645" w:rsidP="005709F7">
            <w:pPr>
              <w:pStyle w:val="ListParagraph"/>
              <w:spacing w:after="0" w:line="240" w:lineRule="exact"/>
              <w:ind w:left="0"/>
              <w:jc w:val="center"/>
              <w:rPr>
                <w:rFonts w:cs="Times New Roman"/>
                <w:b/>
                <w:sz w:val="20"/>
                <w:szCs w:val="20"/>
              </w:rPr>
            </w:pPr>
            <w:r w:rsidRPr="004E75D0">
              <w:rPr>
                <w:rFonts w:cs="Times New Roman"/>
                <w:b/>
                <w:sz w:val="20"/>
                <w:szCs w:val="20"/>
              </w:rPr>
              <w:t>Code</w:t>
            </w:r>
          </w:p>
        </w:tc>
        <w:tc>
          <w:tcPr>
            <w:tcW w:w="810" w:type="dxa"/>
            <w:tcBorders>
              <w:bottom w:val="single" w:sz="4" w:space="0" w:color="000000" w:themeColor="text1"/>
              <w:right w:val="thinThickThinSmallGap" w:sz="24" w:space="0" w:color="auto"/>
            </w:tcBorders>
            <w:shd w:val="clear" w:color="auto" w:fill="D9D9D9" w:themeFill="background1" w:themeFillShade="D9"/>
          </w:tcPr>
          <w:p w:rsidR="002B2645" w:rsidRPr="004E75D0" w:rsidRDefault="002B2645" w:rsidP="005709F7">
            <w:pPr>
              <w:pStyle w:val="ListParagraph"/>
              <w:spacing w:after="0" w:line="240" w:lineRule="exact"/>
              <w:ind w:left="0"/>
              <w:jc w:val="center"/>
              <w:rPr>
                <w:rFonts w:cs="Times New Roman"/>
                <w:b/>
                <w:sz w:val="20"/>
                <w:szCs w:val="20"/>
              </w:rPr>
            </w:pPr>
            <w:r w:rsidRPr="004E75D0">
              <w:rPr>
                <w:rFonts w:cs="Times New Roman"/>
                <w:b/>
                <w:sz w:val="20"/>
                <w:szCs w:val="20"/>
              </w:rPr>
              <w:t>Rating</w:t>
            </w:r>
          </w:p>
        </w:tc>
        <w:tc>
          <w:tcPr>
            <w:tcW w:w="2475" w:type="dxa"/>
            <w:tcBorders>
              <w:left w:val="thinThickThinSmallGap" w:sz="24" w:space="0" w:color="auto"/>
              <w:bottom w:val="single" w:sz="4" w:space="0" w:color="000000" w:themeColor="text1"/>
            </w:tcBorders>
            <w:shd w:val="clear" w:color="auto" w:fill="D9D9D9" w:themeFill="background1" w:themeFillShade="D9"/>
          </w:tcPr>
          <w:p w:rsidR="002B2645" w:rsidRPr="004E75D0" w:rsidRDefault="002B2645" w:rsidP="00190E48">
            <w:pPr>
              <w:pStyle w:val="ListParagraph"/>
              <w:spacing w:after="0" w:line="240" w:lineRule="exact"/>
              <w:ind w:left="0"/>
              <w:jc w:val="both"/>
              <w:rPr>
                <w:rFonts w:cs="Times New Roman"/>
                <w:b/>
                <w:sz w:val="20"/>
                <w:szCs w:val="20"/>
              </w:rPr>
            </w:pPr>
            <w:r w:rsidRPr="004E75D0">
              <w:rPr>
                <w:rFonts w:cs="Times New Roman"/>
                <w:b/>
                <w:sz w:val="20"/>
                <w:szCs w:val="20"/>
              </w:rPr>
              <w:t>Condition</w:t>
            </w:r>
          </w:p>
        </w:tc>
        <w:tc>
          <w:tcPr>
            <w:tcW w:w="945" w:type="dxa"/>
            <w:tcBorders>
              <w:bottom w:val="single" w:sz="4" w:space="0" w:color="000000" w:themeColor="text1"/>
            </w:tcBorders>
            <w:shd w:val="clear" w:color="auto" w:fill="D9D9D9" w:themeFill="background1" w:themeFillShade="D9"/>
          </w:tcPr>
          <w:p w:rsidR="002B2645" w:rsidRPr="004E75D0" w:rsidRDefault="002B2645" w:rsidP="005709F7">
            <w:pPr>
              <w:pStyle w:val="ListParagraph"/>
              <w:spacing w:after="0" w:line="240" w:lineRule="exact"/>
              <w:ind w:left="0"/>
              <w:jc w:val="center"/>
              <w:rPr>
                <w:rFonts w:cs="Times New Roman"/>
                <w:b/>
                <w:sz w:val="20"/>
                <w:szCs w:val="20"/>
              </w:rPr>
            </w:pPr>
            <w:r w:rsidRPr="004E75D0">
              <w:rPr>
                <w:rFonts w:cs="Times New Roman"/>
                <w:b/>
                <w:sz w:val="20"/>
                <w:szCs w:val="20"/>
              </w:rPr>
              <w:t>Code</w:t>
            </w:r>
          </w:p>
        </w:tc>
        <w:tc>
          <w:tcPr>
            <w:tcW w:w="810" w:type="dxa"/>
            <w:tcBorders>
              <w:bottom w:val="single" w:sz="4" w:space="0" w:color="000000" w:themeColor="text1"/>
            </w:tcBorders>
            <w:shd w:val="clear" w:color="auto" w:fill="D9D9D9" w:themeFill="background1" w:themeFillShade="D9"/>
          </w:tcPr>
          <w:p w:rsidR="002B2645" w:rsidRPr="0035556D" w:rsidRDefault="002B2645" w:rsidP="005709F7">
            <w:pPr>
              <w:pStyle w:val="ListParagraph"/>
              <w:spacing w:after="0" w:line="240" w:lineRule="exact"/>
              <w:ind w:left="0"/>
              <w:jc w:val="center"/>
              <w:rPr>
                <w:rFonts w:cs="Times New Roman"/>
                <w:b/>
                <w:sz w:val="20"/>
                <w:szCs w:val="20"/>
              </w:rPr>
            </w:pPr>
            <w:r w:rsidRPr="0035556D">
              <w:rPr>
                <w:rFonts w:cs="Times New Roman"/>
                <w:b/>
                <w:sz w:val="20"/>
                <w:szCs w:val="20"/>
              </w:rPr>
              <w:t>Rating</w:t>
            </w:r>
          </w:p>
        </w:tc>
        <w:tc>
          <w:tcPr>
            <w:tcW w:w="990" w:type="dxa"/>
            <w:tcBorders>
              <w:bottom w:val="single" w:sz="4" w:space="0" w:color="000000" w:themeColor="text1"/>
            </w:tcBorders>
            <w:shd w:val="clear" w:color="auto" w:fill="D9D9D9" w:themeFill="background1" w:themeFillShade="D9"/>
          </w:tcPr>
          <w:p w:rsidR="002B2645" w:rsidRPr="0035556D" w:rsidRDefault="002B2645" w:rsidP="005709F7">
            <w:pPr>
              <w:pStyle w:val="ListParagraph"/>
              <w:spacing w:after="0" w:line="240" w:lineRule="exact"/>
              <w:ind w:left="0"/>
              <w:jc w:val="center"/>
              <w:rPr>
                <w:rFonts w:cs="Times New Roman"/>
                <w:b/>
                <w:sz w:val="20"/>
                <w:szCs w:val="20"/>
              </w:rPr>
            </w:pPr>
            <w:r w:rsidRPr="0035556D">
              <w:rPr>
                <w:rFonts w:cs="Times New Roman"/>
                <w:b/>
                <w:sz w:val="20"/>
                <w:szCs w:val="20"/>
              </w:rPr>
              <w:t>Exam</w:t>
            </w:r>
          </w:p>
        </w:tc>
      </w:tr>
      <w:tr w:rsidR="00B50B27" w:rsidRPr="004E75D0" w:rsidTr="00B6071D">
        <w:trPr>
          <w:trHeight w:val="296"/>
          <w:jc w:val="center"/>
        </w:trPr>
        <w:tc>
          <w:tcPr>
            <w:tcW w:w="2678" w:type="dxa"/>
            <w:gridSpan w:val="2"/>
            <w:shd w:val="clear" w:color="auto" w:fill="FFFFFF" w:themeFill="background1"/>
          </w:tcPr>
          <w:p w:rsidR="00B50B27" w:rsidRPr="004E75D0" w:rsidRDefault="008A425D" w:rsidP="008A425D">
            <w:pPr>
              <w:pStyle w:val="ListParagraph"/>
              <w:spacing w:after="0" w:line="240" w:lineRule="exact"/>
              <w:ind w:left="0"/>
              <w:jc w:val="both"/>
              <w:rPr>
                <w:rFonts w:cs="Times New Roman"/>
                <w:sz w:val="18"/>
                <w:szCs w:val="18"/>
              </w:rPr>
            </w:pPr>
            <w:r w:rsidRPr="004E75D0">
              <w:rPr>
                <w:rFonts w:cs="Times New Roman"/>
                <w:sz w:val="18"/>
                <w:szCs w:val="18"/>
              </w:rPr>
              <w:t xml:space="preserve">Left Ankle </w:t>
            </w:r>
            <w:r w:rsidR="00B50B27" w:rsidRPr="004E75D0">
              <w:rPr>
                <w:rFonts w:cs="Times New Roman"/>
                <w:sz w:val="18"/>
                <w:szCs w:val="18"/>
              </w:rPr>
              <w:t xml:space="preserve">DJD </w:t>
            </w:r>
            <w:r w:rsidRPr="004E75D0">
              <w:rPr>
                <w:rFonts w:cs="Times New Roman"/>
                <w:sz w:val="18"/>
                <w:szCs w:val="18"/>
              </w:rPr>
              <w:t>…</w:t>
            </w:r>
            <w:r w:rsidR="00B50B27" w:rsidRPr="004E75D0">
              <w:rPr>
                <w:rFonts w:cs="Times New Roman"/>
                <w:sz w:val="18"/>
                <w:szCs w:val="18"/>
              </w:rPr>
              <w:t xml:space="preserve"> </w:t>
            </w:r>
          </w:p>
        </w:tc>
        <w:tc>
          <w:tcPr>
            <w:tcW w:w="787" w:type="dxa"/>
            <w:shd w:val="clear" w:color="auto" w:fill="FFFFFF" w:themeFill="background1"/>
          </w:tcPr>
          <w:p w:rsidR="00B50B27" w:rsidRPr="004E75D0" w:rsidRDefault="00B50B27" w:rsidP="005709F7">
            <w:pPr>
              <w:pStyle w:val="ListParagraph"/>
              <w:spacing w:after="0" w:line="240" w:lineRule="exact"/>
              <w:ind w:left="0"/>
              <w:jc w:val="center"/>
              <w:rPr>
                <w:rFonts w:cs="Times New Roman"/>
                <w:sz w:val="18"/>
                <w:szCs w:val="18"/>
              </w:rPr>
            </w:pPr>
            <w:r w:rsidRPr="004E75D0">
              <w:rPr>
                <w:rFonts w:cs="Times New Roman"/>
                <w:sz w:val="18"/>
                <w:szCs w:val="18"/>
              </w:rPr>
              <w:t>5003</w:t>
            </w:r>
          </w:p>
        </w:tc>
        <w:tc>
          <w:tcPr>
            <w:tcW w:w="810" w:type="dxa"/>
            <w:tcBorders>
              <w:right w:val="thinThickThinSmallGap" w:sz="24" w:space="0" w:color="auto"/>
            </w:tcBorders>
            <w:shd w:val="clear" w:color="auto" w:fill="FFFFFF" w:themeFill="background1"/>
          </w:tcPr>
          <w:p w:rsidR="00B50B27" w:rsidRPr="004E75D0" w:rsidRDefault="00B50B27" w:rsidP="005709F7">
            <w:pPr>
              <w:pStyle w:val="ListParagraph"/>
              <w:spacing w:after="0" w:line="240" w:lineRule="exact"/>
              <w:ind w:left="0"/>
              <w:jc w:val="center"/>
              <w:rPr>
                <w:rFonts w:cs="Times New Roman"/>
                <w:sz w:val="18"/>
                <w:szCs w:val="18"/>
              </w:rPr>
            </w:pPr>
            <w:r w:rsidRPr="004E75D0">
              <w:rPr>
                <w:rFonts w:cs="Times New Roman"/>
                <w:sz w:val="18"/>
                <w:szCs w:val="18"/>
              </w:rPr>
              <w:t>10%</w:t>
            </w:r>
          </w:p>
        </w:tc>
        <w:tc>
          <w:tcPr>
            <w:tcW w:w="2475" w:type="dxa"/>
            <w:vMerge w:val="restart"/>
            <w:tcBorders>
              <w:left w:val="thinThickThinSmallGap" w:sz="24" w:space="0" w:color="auto"/>
            </w:tcBorders>
            <w:shd w:val="clear" w:color="auto" w:fill="FFFFFF" w:themeFill="background1"/>
          </w:tcPr>
          <w:p w:rsidR="00B50B27" w:rsidRPr="004E75D0" w:rsidRDefault="00B50B27" w:rsidP="00190E48">
            <w:pPr>
              <w:pStyle w:val="ListParagraph"/>
              <w:spacing w:after="0" w:line="240" w:lineRule="exact"/>
              <w:ind w:left="0"/>
              <w:jc w:val="both"/>
              <w:rPr>
                <w:rFonts w:cs="Times New Roman"/>
                <w:sz w:val="18"/>
                <w:szCs w:val="18"/>
              </w:rPr>
            </w:pPr>
            <w:r w:rsidRPr="004E75D0">
              <w:rPr>
                <w:rFonts w:cs="Times New Roman"/>
                <w:sz w:val="18"/>
                <w:szCs w:val="18"/>
              </w:rPr>
              <w:t>Left Ankle Trauma</w:t>
            </w:r>
            <w:r w:rsidR="008A425D" w:rsidRPr="004E75D0">
              <w:rPr>
                <w:rFonts w:cs="Times New Roman"/>
                <w:sz w:val="18"/>
                <w:szCs w:val="18"/>
              </w:rPr>
              <w:t>, Residual</w:t>
            </w:r>
          </w:p>
        </w:tc>
        <w:tc>
          <w:tcPr>
            <w:tcW w:w="945" w:type="dxa"/>
            <w:vMerge w:val="restart"/>
            <w:shd w:val="clear" w:color="auto" w:fill="FFFFFF" w:themeFill="background1"/>
          </w:tcPr>
          <w:p w:rsidR="00B50B27" w:rsidRPr="004E75D0" w:rsidRDefault="00B50B27" w:rsidP="005709F7">
            <w:pPr>
              <w:pStyle w:val="ListParagraph"/>
              <w:spacing w:after="0" w:line="240" w:lineRule="exact"/>
              <w:ind w:left="0"/>
              <w:jc w:val="center"/>
              <w:rPr>
                <w:rFonts w:cs="Times New Roman"/>
                <w:sz w:val="18"/>
                <w:szCs w:val="18"/>
              </w:rPr>
            </w:pPr>
            <w:r w:rsidRPr="004E75D0">
              <w:rPr>
                <w:rFonts w:cs="Times New Roman"/>
                <w:sz w:val="18"/>
                <w:szCs w:val="18"/>
              </w:rPr>
              <w:t>5271</w:t>
            </w:r>
          </w:p>
        </w:tc>
        <w:tc>
          <w:tcPr>
            <w:tcW w:w="810" w:type="dxa"/>
            <w:vMerge w:val="restart"/>
            <w:shd w:val="clear" w:color="auto" w:fill="FFFFFF" w:themeFill="background1"/>
          </w:tcPr>
          <w:p w:rsidR="00B50B27" w:rsidRPr="0035556D" w:rsidRDefault="00B50B27" w:rsidP="006274B4">
            <w:pPr>
              <w:pStyle w:val="ListParagraph"/>
              <w:spacing w:after="0" w:line="240" w:lineRule="exact"/>
              <w:ind w:left="0"/>
              <w:jc w:val="center"/>
              <w:rPr>
                <w:rFonts w:cs="Times New Roman"/>
                <w:sz w:val="18"/>
                <w:szCs w:val="18"/>
              </w:rPr>
            </w:pPr>
            <w:r w:rsidRPr="0035556D">
              <w:rPr>
                <w:rFonts w:cs="Times New Roman"/>
                <w:sz w:val="18"/>
                <w:szCs w:val="18"/>
              </w:rPr>
              <w:t>10%</w:t>
            </w:r>
          </w:p>
        </w:tc>
        <w:tc>
          <w:tcPr>
            <w:tcW w:w="990" w:type="dxa"/>
            <w:vMerge w:val="restart"/>
            <w:shd w:val="clear" w:color="auto" w:fill="FFFFFF" w:themeFill="background1"/>
          </w:tcPr>
          <w:p w:rsidR="00B50B27" w:rsidRPr="0035556D" w:rsidRDefault="00B50B27" w:rsidP="006274B4">
            <w:pPr>
              <w:pStyle w:val="ListParagraph"/>
              <w:spacing w:after="0" w:line="240" w:lineRule="exact"/>
              <w:ind w:left="0"/>
              <w:jc w:val="center"/>
              <w:rPr>
                <w:rFonts w:cs="Times New Roman"/>
                <w:sz w:val="18"/>
                <w:szCs w:val="18"/>
              </w:rPr>
            </w:pPr>
            <w:r w:rsidRPr="0035556D">
              <w:rPr>
                <w:rFonts w:cs="Times New Roman"/>
                <w:sz w:val="18"/>
                <w:szCs w:val="18"/>
              </w:rPr>
              <w:t>20080521</w:t>
            </w:r>
          </w:p>
        </w:tc>
      </w:tr>
      <w:tr w:rsidR="008A425D" w:rsidRPr="004E75D0" w:rsidTr="00B6071D">
        <w:trPr>
          <w:trHeight w:val="125"/>
          <w:jc w:val="center"/>
        </w:trPr>
        <w:tc>
          <w:tcPr>
            <w:tcW w:w="338" w:type="dxa"/>
            <w:shd w:val="clear" w:color="auto" w:fill="D9D9D9" w:themeFill="background1" w:themeFillShade="D9"/>
          </w:tcPr>
          <w:p w:rsidR="008A425D" w:rsidRPr="004E75D0" w:rsidRDefault="008A425D" w:rsidP="00190E48">
            <w:pPr>
              <w:pStyle w:val="ListParagraph"/>
              <w:spacing w:after="0" w:line="240" w:lineRule="exact"/>
              <w:ind w:left="0"/>
              <w:jc w:val="both"/>
              <w:rPr>
                <w:rFonts w:cs="Times New Roman"/>
                <w:sz w:val="18"/>
                <w:szCs w:val="18"/>
              </w:rPr>
            </w:pPr>
          </w:p>
        </w:tc>
        <w:tc>
          <w:tcPr>
            <w:tcW w:w="2340" w:type="dxa"/>
            <w:shd w:val="clear" w:color="auto" w:fill="FFFFFF" w:themeFill="background1"/>
          </w:tcPr>
          <w:p w:rsidR="008A425D" w:rsidRPr="004E75D0" w:rsidRDefault="008A425D" w:rsidP="00190E48">
            <w:pPr>
              <w:pStyle w:val="ListParagraph"/>
              <w:spacing w:after="0" w:line="240" w:lineRule="exact"/>
              <w:ind w:left="0"/>
              <w:jc w:val="both"/>
              <w:rPr>
                <w:rFonts w:cs="Times New Roman"/>
                <w:sz w:val="18"/>
                <w:szCs w:val="18"/>
              </w:rPr>
            </w:pPr>
            <w:proofErr w:type="spellStart"/>
            <w:r w:rsidRPr="004E75D0">
              <w:rPr>
                <w:rFonts w:cs="Times New Roman"/>
                <w:sz w:val="18"/>
                <w:szCs w:val="18"/>
              </w:rPr>
              <w:t>Osteochondral</w:t>
            </w:r>
            <w:proofErr w:type="spellEnd"/>
            <w:r w:rsidRPr="004E75D0">
              <w:rPr>
                <w:rFonts w:cs="Times New Roman"/>
                <w:sz w:val="18"/>
                <w:szCs w:val="18"/>
              </w:rPr>
              <w:t xml:space="preserve"> Defect</w:t>
            </w:r>
          </w:p>
        </w:tc>
        <w:tc>
          <w:tcPr>
            <w:tcW w:w="1597" w:type="dxa"/>
            <w:gridSpan w:val="2"/>
            <w:tcBorders>
              <w:right w:val="thinThickThinSmallGap" w:sz="24" w:space="0" w:color="auto"/>
            </w:tcBorders>
            <w:shd w:val="clear" w:color="auto" w:fill="FFFFFF" w:themeFill="background1"/>
          </w:tcPr>
          <w:p w:rsidR="008A425D" w:rsidRPr="004E75D0" w:rsidRDefault="008A425D" w:rsidP="005709F7">
            <w:pPr>
              <w:pStyle w:val="ListParagraph"/>
              <w:spacing w:after="0" w:line="240" w:lineRule="exact"/>
              <w:ind w:left="0"/>
              <w:jc w:val="center"/>
              <w:rPr>
                <w:rFonts w:cs="Times New Roman"/>
                <w:sz w:val="18"/>
                <w:szCs w:val="18"/>
              </w:rPr>
            </w:pPr>
            <w:r w:rsidRPr="004E75D0">
              <w:rPr>
                <w:rFonts w:cs="Times New Roman"/>
                <w:sz w:val="18"/>
                <w:szCs w:val="18"/>
              </w:rPr>
              <w:t>CAT II</w:t>
            </w:r>
          </w:p>
        </w:tc>
        <w:tc>
          <w:tcPr>
            <w:tcW w:w="2475" w:type="dxa"/>
            <w:vMerge/>
            <w:tcBorders>
              <w:left w:val="thinThickThinSmallGap" w:sz="24" w:space="0" w:color="auto"/>
            </w:tcBorders>
            <w:shd w:val="clear" w:color="auto" w:fill="FFFFFF" w:themeFill="background1"/>
          </w:tcPr>
          <w:p w:rsidR="008A425D" w:rsidRPr="004E75D0" w:rsidRDefault="008A425D" w:rsidP="00190E48">
            <w:pPr>
              <w:pStyle w:val="ListParagraph"/>
              <w:spacing w:after="0" w:line="240" w:lineRule="exact"/>
              <w:ind w:left="0"/>
              <w:jc w:val="both"/>
              <w:rPr>
                <w:rFonts w:cs="Times New Roman"/>
                <w:sz w:val="18"/>
                <w:szCs w:val="18"/>
              </w:rPr>
            </w:pPr>
          </w:p>
        </w:tc>
        <w:tc>
          <w:tcPr>
            <w:tcW w:w="945" w:type="dxa"/>
            <w:vMerge/>
            <w:shd w:val="clear" w:color="auto" w:fill="FFFFFF" w:themeFill="background1"/>
          </w:tcPr>
          <w:p w:rsidR="008A425D" w:rsidRPr="004E75D0" w:rsidRDefault="008A425D" w:rsidP="005709F7">
            <w:pPr>
              <w:pStyle w:val="ListParagraph"/>
              <w:spacing w:after="0" w:line="240" w:lineRule="exact"/>
              <w:ind w:left="0"/>
              <w:jc w:val="center"/>
              <w:rPr>
                <w:rFonts w:cs="Times New Roman"/>
                <w:sz w:val="18"/>
                <w:szCs w:val="18"/>
              </w:rPr>
            </w:pPr>
          </w:p>
        </w:tc>
        <w:tc>
          <w:tcPr>
            <w:tcW w:w="810" w:type="dxa"/>
            <w:vMerge/>
            <w:shd w:val="clear" w:color="auto" w:fill="FFFFFF" w:themeFill="background1"/>
          </w:tcPr>
          <w:p w:rsidR="008A425D" w:rsidRPr="0035556D" w:rsidRDefault="008A425D" w:rsidP="005709F7">
            <w:pPr>
              <w:pStyle w:val="ListParagraph"/>
              <w:spacing w:after="0" w:line="240" w:lineRule="exact"/>
              <w:ind w:left="0"/>
              <w:jc w:val="center"/>
              <w:rPr>
                <w:rFonts w:cs="Times New Roman"/>
                <w:sz w:val="18"/>
                <w:szCs w:val="18"/>
              </w:rPr>
            </w:pPr>
          </w:p>
        </w:tc>
        <w:tc>
          <w:tcPr>
            <w:tcW w:w="990" w:type="dxa"/>
            <w:vMerge/>
            <w:shd w:val="clear" w:color="auto" w:fill="FFFFFF" w:themeFill="background1"/>
          </w:tcPr>
          <w:p w:rsidR="008A425D" w:rsidRPr="0035556D" w:rsidRDefault="008A425D" w:rsidP="005709F7">
            <w:pPr>
              <w:pStyle w:val="ListParagraph"/>
              <w:spacing w:after="0" w:line="240" w:lineRule="exact"/>
              <w:ind w:left="0"/>
              <w:jc w:val="center"/>
              <w:rPr>
                <w:rFonts w:cs="Times New Roman"/>
                <w:sz w:val="18"/>
                <w:szCs w:val="18"/>
              </w:rPr>
            </w:pPr>
          </w:p>
        </w:tc>
      </w:tr>
      <w:tr w:rsidR="008A425D" w:rsidRPr="004E75D0" w:rsidTr="00B6071D">
        <w:trPr>
          <w:trHeight w:val="125"/>
          <w:jc w:val="center"/>
        </w:trPr>
        <w:tc>
          <w:tcPr>
            <w:tcW w:w="338" w:type="dxa"/>
            <w:tcBorders>
              <w:right w:val="single" w:sz="4" w:space="0" w:color="auto"/>
            </w:tcBorders>
            <w:shd w:val="clear" w:color="auto" w:fill="D9D9D9" w:themeFill="background1" w:themeFillShade="D9"/>
          </w:tcPr>
          <w:p w:rsidR="008A425D" w:rsidRPr="004E75D0" w:rsidRDefault="008A425D" w:rsidP="007A2C4C">
            <w:pPr>
              <w:pStyle w:val="ListParagraph"/>
              <w:spacing w:after="0" w:line="240" w:lineRule="exact"/>
              <w:ind w:left="0"/>
              <w:jc w:val="both"/>
              <w:rPr>
                <w:rFonts w:cs="Times New Roman"/>
                <w:sz w:val="18"/>
                <w:szCs w:val="18"/>
              </w:rPr>
            </w:pPr>
          </w:p>
        </w:tc>
        <w:tc>
          <w:tcPr>
            <w:tcW w:w="2340" w:type="dxa"/>
            <w:tcBorders>
              <w:right w:val="single" w:sz="4" w:space="0" w:color="auto"/>
            </w:tcBorders>
            <w:shd w:val="clear" w:color="auto" w:fill="FFFFFF" w:themeFill="background1"/>
          </w:tcPr>
          <w:p w:rsidR="008A425D" w:rsidRPr="004E75D0" w:rsidRDefault="008A425D" w:rsidP="007A2C4C">
            <w:pPr>
              <w:pStyle w:val="ListParagraph"/>
              <w:spacing w:after="0" w:line="240" w:lineRule="exact"/>
              <w:ind w:left="0"/>
              <w:jc w:val="both"/>
              <w:rPr>
                <w:rFonts w:cs="Times New Roman"/>
                <w:sz w:val="18"/>
                <w:szCs w:val="18"/>
              </w:rPr>
            </w:pPr>
            <w:r w:rsidRPr="004E75D0">
              <w:rPr>
                <w:rFonts w:cs="Times New Roman"/>
                <w:sz w:val="18"/>
                <w:szCs w:val="18"/>
              </w:rPr>
              <w:t>Chronic Left Ankle Pain</w:t>
            </w:r>
          </w:p>
        </w:tc>
        <w:tc>
          <w:tcPr>
            <w:tcW w:w="1597" w:type="dxa"/>
            <w:gridSpan w:val="2"/>
            <w:tcBorders>
              <w:left w:val="single" w:sz="4" w:space="0" w:color="auto"/>
              <w:right w:val="thinThickThinSmallGap" w:sz="24" w:space="0" w:color="auto"/>
            </w:tcBorders>
            <w:shd w:val="clear" w:color="auto" w:fill="FFFFFF" w:themeFill="background1"/>
          </w:tcPr>
          <w:p w:rsidR="008A425D" w:rsidRPr="004E75D0" w:rsidRDefault="008A425D" w:rsidP="005709F7">
            <w:pPr>
              <w:pStyle w:val="ListParagraph"/>
              <w:spacing w:after="0" w:line="240" w:lineRule="exact"/>
              <w:ind w:left="0"/>
              <w:jc w:val="center"/>
              <w:rPr>
                <w:rFonts w:cs="Times New Roman"/>
                <w:sz w:val="18"/>
                <w:szCs w:val="18"/>
              </w:rPr>
            </w:pPr>
            <w:r w:rsidRPr="004E75D0">
              <w:rPr>
                <w:rFonts w:cs="Times New Roman"/>
                <w:sz w:val="18"/>
                <w:szCs w:val="18"/>
              </w:rPr>
              <w:t>CAT II</w:t>
            </w:r>
          </w:p>
        </w:tc>
        <w:tc>
          <w:tcPr>
            <w:tcW w:w="2475" w:type="dxa"/>
            <w:vMerge/>
            <w:tcBorders>
              <w:left w:val="thinThickThinSmallGap" w:sz="24" w:space="0" w:color="auto"/>
            </w:tcBorders>
            <w:shd w:val="clear" w:color="auto" w:fill="FFFFFF" w:themeFill="background1"/>
          </w:tcPr>
          <w:p w:rsidR="008A425D" w:rsidRPr="004E75D0" w:rsidRDefault="008A425D" w:rsidP="00190E48">
            <w:pPr>
              <w:pStyle w:val="ListParagraph"/>
              <w:spacing w:after="0" w:line="240" w:lineRule="exact"/>
              <w:ind w:left="0"/>
              <w:jc w:val="both"/>
              <w:rPr>
                <w:rFonts w:cs="Times New Roman"/>
                <w:sz w:val="18"/>
                <w:szCs w:val="18"/>
              </w:rPr>
            </w:pPr>
          </w:p>
        </w:tc>
        <w:tc>
          <w:tcPr>
            <w:tcW w:w="945" w:type="dxa"/>
            <w:vMerge/>
            <w:shd w:val="clear" w:color="auto" w:fill="FFFFFF" w:themeFill="background1"/>
          </w:tcPr>
          <w:p w:rsidR="008A425D" w:rsidRPr="004E75D0" w:rsidRDefault="008A425D" w:rsidP="005709F7">
            <w:pPr>
              <w:pStyle w:val="ListParagraph"/>
              <w:spacing w:after="0" w:line="240" w:lineRule="exact"/>
              <w:ind w:left="0"/>
              <w:jc w:val="center"/>
              <w:rPr>
                <w:rFonts w:cs="Times New Roman"/>
                <w:sz w:val="18"/>
                <w:szCs w:val="18"/>
              </w:rPr>
            </w:pPr>
          </w:p>
        </w:tc>
        <w:tc>
          <w:tcPr>
            <w:tcW w:w="810" w:type="dxa"/>
            <w:vMerge/>
            <w:shd w:val="clear" w:color="auto" w:fill="FFFFFF" w:themeFill="background1"/>
          </w:tcPr>
          <w:p w:rsidR="008A425D" w:rsidRPr="0035556D" w:rsidRDefault="008A425D" w:rsidP="005709F7">
            <w:pPr>
              <w:pStyle w:val="ListParagraph"/>
              <w:spacing w:after="0" w:line="240" w:lineRule="exact"/>
              <w:ind w:left="0"/>
              <w:jc w:val="center"/>
              <w:rPr>
                <w:rFonts w:cs="Times New Roman"/>
                <w:sz w:val="18"/>
                <w:szCs w:val="18"/>
              </w:rPr>
            </w:pPr>
          </w:p>
        </w:tc>
        <w:tc>
          <w:tcPr>
            <w:tcW w:w="990" w:type="dxa"/>
            <w:vMerge/>
            <w:shd w:val="clear" w:color="auto" w:fill="FFFFFF" w:themeFill="background1"/>
          </w:tcPr>
          <w:p w:rsidR="008A425D" w:rsidRPr="0035556D" w:rsidRDefault="008A425D" w:rsidP="005709F7">
            <w:pPr>
              <w:pStyle w:val="ListParagraph"/>
              <w:spacing w:after="0" w:line="240" w:lineRule="exact"/>
              <w:ind w:left="0"/>
              <w:jc w:val="center"/>
              <w:rPr>
                <w:rFonts w:cs="Times New Roman"/>
                <w:sz w:val="18"/>
                <w:szCs w:val="18"/>
              </w:rPr>
            </w:pPr>
          </w:p>
        </w:tc>
      </w:tr>
      <w:tr w:rsidR="00EE7B0C" w:rsidRPr="004E75D0" w:rsidTr="00B6071D">
        <w:trPr>
          <w:trHeight w:val="125"/>
          <w:jc w:val="center"/>
        </w:trPr>
        <w:tc>
          <w:tcPr>
            <w:tcW w:w="4275" w:type="dxa"/>
            <w:gridSpan w:val="4"/>
            <w:vMerge w:val="restart"/>
            <w:tcBorders>
              <w:right w:val="thinThickThinSmallGap" w:sz="24" w:space="0" w:color="auto"/>
            </w:tcBorders>
            <w:shd w:val="clear" w:color="auto" w:fill="FFFFFF" w:themeFill="background1"/>
          </w:tcPr>
          <w:p w:rsidR="00EE7B0C" w:rsidRPr="004E75D0" w:rsidRDefault="008A425D" w:rsidP="00C87F76">
            <w:pPr>
              <w:pStyle w:val="ListParagraph"/>
              <w:spacing w:line="240" w:lineRule="exact"/>
              <w:ind w:left="0"/>
              <w:jc w:val="center"/>
              <w:rPr>
                <w:rFonts w:cs="Times New Roman"/>
                <w:sz w:val="18"/>
                <w:szCs w:val="18"/>
              </w:rPr>
            </w:pPr>
            <w:r w:rsidRPr="004E75D0">
              <w:rPr>
                <w:rFonts w:cs="Times New Roman"/>
                <w:sz w:val="18"/>
                <w:szCs w:val="18"/>
              </w:rPr>
              <w:t>↓No Additional MEB/PEB Entries↓</w:t>
            </w:r>
          </w:p>
        </w:tc>
        <w:tc>
          <w:tcPr>
            <w:tcW w:w="2475" w:type="dxa"/>
            <w:tcBorders>
              <w:left w:val="thinThickThinSmallGap" w:sz="24" w:space="0" w:color="auto"/>
            </w:tcBorders>
            <w:shd w:val="clear" w:color="auto" w:fill="FFFFFF" w:themeFill="background1"/>
          </w:tcPr>
          <w:p w:rsidR="00EE7B0C" w:rsidRPr="004E75D0" w:rsidRDefault="00EE7B0C" w:rsidP="005A464E">
            <w:pPr>
              <w:spacing w:line="240" w:lineRule="exact"/>
              <w:rPr>
                <w:rFonts w:cs="Times New Roman"/>
                <w:color w:val="auto"/>
                <w:sz w:val="18"/>
                <w:szCs w:val="18"/>
              </w:rPr>
            </w:pPr>
            <w:r w:rsidRPr="004E75D0">
              <w:rPr>
                <w:rFonts w:cs="Times New Roman"/>
                <w:color w:val="auto"/>
                <w:sz w:val="18"/>
                <w:szCs w:val="18"/>
              </w:rPr>
              <w:t>Left Ankle Scars</w:t>
            </w:r>
          </w:p>
        </w:tc>
        <w:tc>
          <w:tcPr>
            <w:tcW w:w="945" w:type="dxa"/>
            <w:shd w:val="clear" w:color="auto" w:fill="FFFFFF" w:themeFill="background1"/>
          </w:tcPr>
          <w:p w:rsidR="00EE7B0C" w:rsidRPr="004E75D0" w:rsidRDefault="00EE7B0C" w:rsidP="005709F7">
            <w:pPr>
              <w:pStyle w:val="ListParagraph"/>
              <w:spacing w:after="0" w:line="240" w:lineRule="exact"/>
              <w:ind w:left="0"/>
              <w:jc w:val="center"/>
              <w:rPr>
                <w:rFonts w:cs="Times New Roman"/>
                <w:sz w:val="18"/>
                <w:szCs w:val="18"/>
              </w:rPr>
            </w:pPr>
            <w:r w:rsidRPr="004E75D0">
              <w:rPr>
                <w:rFonts w:cs="Times New Roman"/>
                <w:sz w:val="18"/>
                <w:szCs w:val="18"/>
              </w:rPr>
              <w:t>7804</w:t>
            </w:r>
          </w:p>
        </w:tc>
        <w:tc>
          <w:tcPr>
            <w:tcW w:w="810" w:type="dxa"/>
            <w:shd w:val="clear" w:color="auto" w:fill="FFFFFF" w:themeFill="background1"/>
          </w:tcPr>
          <w:p w:rsidR="00EE7B0C" w:rsidRPr="0035556D" w:rsidRDefault="00EE7B0C" w:rsidP="005709F7">
            <w:pPr>
              <w:pStyle w:val="ListParagraph"/>
              <w:spacing w:after="0" w:line="240" w:lineRule="exact"/>
              <w:ind w:left="0"/>
              <w:jc w:val="center"/>
              <w:rPr>
                <w:rFonts w:cs="Times New Roman"/>
                <w:sz w:val="18"/>
                <w:szCs w:val="18"/>
              </w:rPr>
            </w:pPr>
            <w:r w:rsidRPr="0035556D">
              <w:rPr>
                <w:rFonts w:cs="Times New Roman"/>
                <w:sz w:val="18"/>
                <w:szCs w:val="18"/>
              </w:rPr>
              <w:t>10%</w:t>
            </w:r>
          </w:p>
        </w:tc>
        <w:tc>
          <w:tcPr>
            <w:tcW w:w="990" w:type="dxa"/>
            <w:shd w:val="clear" w:color="auto" w:fill="FFFFFF" w:themeFill="background1"/>
          </w:tcPr>
          <w:p w:rsidR="00EE7B0C" w:rsidRPr="0035556D" w:rsidRDefault="00EE7B0C" w:rsidP="005709F7">
            <w:pPr>
              <w:pStyle w:val="ListParagraph"/>
              <w:spacing w:after="0" w:line="240" w:lineRule="exact"/>
              <w:ind w:left="0"/>
              <w:jc w:val="center"/>
              <w:rPr>
                <w:rFonts w:cs="Times New Roman"/>
                <w:sz w:val="18"/>
                <w:szCs w:val="18"/>
              </w:rPr>
            </w:pPr>
            <w:r w:rsidRPr="0035556D">
              <w:rPr>
                <w:rFonts w:cs="Times New Roman"/>
                <w:sz w:val="18"/>
                <w:szCs w:val="18"/>
              </w:rPr>
              <w:t>20080521</w:t>
            </w:r>
          </w:p>
        </w:tc>
      </w:tr>
      <w:tr w:rsidR="00EE7B0C" w:rsidRPr="004E75D0" w:rsidTr="00B6071D">
        <w:trPr>
          <w:trHeight w:val="233"/>
          <w:jc w:val="center"/>
        </w:trPr>
        <w:tc>
          <w:tcPr>
            <w:tcW w:w="4275" w:type="dxa"/>
            <w:gridSpan w:val="4"/>
            <w:vMerge/>
            <w:tcBorders>
              <w:right w:val="thinThickThinSmallGap" w:sz="24" w:space="0" w:color="auto"/>
            </w:tcBorders>
            <w:shd w:val="clear" w:color="auto" w:fill="FFFFFF" w:themeFill="background1"/>
          </w:tcPr>
          <w:p w:rsidR="00EE7B0C" w:rsidRPr="004E75D0" w:rsidRDefault="00EE7B0C" w:rsidP="00C87F76">
            <w:pPr>
              <w:pStyle w:val="ListParagraph"/>
              <w:spacing w:line="240" w:lineRule="exact"/>
              <w:ind w:left="0"/>
              <w:jc w:val="center"/>
              <w:rPr>
                <w:rFonts w:cs="Times New Roman"/>
                <w:sz w:val="18"/>
                <w:szCs w:val="18"/>
              </w:rPr>
            </w:pPr>
          </w:p>
        </w:tc>
        <w:tc>
          <w:tcPr>
            <w:tcW w:w="2475" w:type="dxa"/>
            <w:tcBorders>
              <w:left w:val="thinThickThinSmallGap" w:sz="24" w:space="0" w:color="auto"/>
            </w:tcBorders>
            <w:shd w:val="clear" w:color="auto" w:fill="FFFFFF" w:themeFill="background1"/>
          </w:tcPr>
          <w:p w:rsidR="00EE7B0C" w:rsidRPr="004E75D0" w:rsidRDefault="00EE7B0C" w:rsidP="00D17DD9">
            <w:pPr>
              <w:spacing w:line="240" w:lineRule="exact"/>
              <w:jc w:val="both"/>
              <w:rPr>
                <w:color w:val="auto"/>
                <w:sz w:val="18"/>
                <w:szCs w:val="18"/>
              </w:rPr>
            </w:pPr>
            <w:r w:rsidRPr="004E75D0">
              <w:rPr>
                <w:color w:val="auto"/>
                <w:sz w:val="18"/>
                <w:szCs w:val="18"/>
              </w:rPr>
              <w:t>PTSD</w:t>
            </w:r>
          </w:p>
        </w:tc>
        <w:tc>
          <w:tcPr>
            <w:tcW w:w="945" w:type="dxa"/>
            <w:shd w:val="clear" w:color="auto" w:fill="FFFFFF" w:themeFill="background1"/>
          </w:tcPr>
          <w:p w:rsidR="00EE7B0C" w:rsidRPr="004E75D0" w:rsidRDefault="00EE7B0C" w:rsidP="005709F7">
            <w:pPr>
              <w:pStyle w:val="ListParagraph"/>
              <w:spacing w:after="0" w:line="240" w:lineRule="exact"/>
              <w:ind w:left="0"/>
              <w:jc w:val="center"/>
              <w:rPr>
                <w:rFonts w:cs="Times New Roman"/>
                <w:sz w:val="18"/>
                <w:szCs w:val="18"/>
              </w:rPr>
            </w:pPr>
            <w:r w:rsidRPr="004E75D0">
              <w:rPr>
                <w:rFonts w:cs="Times New Roman"/>
                <w:sz w:val="18"/>
                <w:szCs w:val="18"/>
              </w:rPr>
              <w:t>9411</w:t>
            </w:r>
          </w:p>
        </w:tc>
        <w:tc>
          <w:tcPr>
            <w:tcW w:w="810" w:type="dxa"/>
            <w:shd w:val="clear" w:color="auto" w:fill="FFFFFF" w:themeFill="background1"/>
          </w:tcPr>
          <w:p w:rsidR="00EE7B0C" w:rsidRPr="0035556D" w:rsidRDefault="00EE7B0C" w:rsidP="005709F7">
            <w:pPr>
              <w:pStyle w:val="ListParagraph"/>
              <w:spacing w:after="0" w:line="240" w:lineRule="exact"/>
              <w:ind w:left="0"/>
              <w:jc w:val="center"/>
              <w:rPr>
                <w:rFonts w:cs="Times New Roman"/>
                <w:sz w:val="18"/>
                <w:szCs w:val="18"/>
              </w:rPr>
            </w:pPr>
            <w:r w:rsidRPr="0035556D">
              <w:rPr>
                <w:rFonts w:cs="Times New Roman"/>
                <w:sz w:val="18"/>
                <w:szCs w:val="18"/>
              </w:rPr>
              <w:t>30%</w:t>
            </w:r>
          </w:p>
        </w:tc>
        <w:tc>
          <w:tcPr>
            <w:tcW w:w="990" w:type="dxa"/>
            <w:shd w:val="clear" w:color="auto" w:fill="FFFFFF" w:themeFill="background1"/>
          </w:tcPr>
          <w:p w:rsidR="00EE7B0C" w:rsidRPr="0035556D" w:rsidRDefault="00EE7B0C" w:rsidP="005709F7">
            <w:pPr>
              <w:pStyle w:val="ListParagraph"/>
              <w:spacing w:after="0" w:line="240" w:lineRule="exact"/>
              <w:ind w:left="0"/>
              <w:jc w:val="center"/>
              <w:rPr>
                <w:rFonts w:cs="Times New Roman"/>
                <w:sz w:val="18"/>
                <w:szCs w:val="18"/>
              </w:rPr>
            </w:pPr>
            <w:r w:rsidRPr="0035556D">
              <w:rPr>
                <w:rFonts w:cs="Times New Roman"/>
                <w:sz w:val="18"/>
                <w:szCs w:val="18"/>
              </w:rPr>
              <w:t>20080520</w:t>
            </w:r>
          </w:p>
        </w:tc>
      </w:tr>
      <w:tr w:rsidR="00EE7B0C" w:rsidRPr="004E75D0" w:rsidTr="00B6071D">
        <w:trPr>
          <w:trHeight w:val="125"/>
          <w:jc w:val="center"/>
        </w:trPr>
        <w:tc>
          <w:tcPr>
            <w:tcW w:w="4275" w:type="dxa"/>
            <w:gridSpan w:val="4"/>
            <w:vMerge/>
            <w:tcBorders>
              <w:right w:val="thinThickThinSmallGap" w:sz="24" w:space="0" w:color="auto"/>
            </w:tcBorders>
            <w:shd w:val="clear" w:color="auto" w:fill="FFFFFF" w:themeFill="background1"/>
          </w:tcPr>
          <w:p w:rsidR="00EE7B0C" w:rsidRPr="004E75D0" w:rsidRDefault="00EE7B0C" w:rsidP="00C87F76">
            <w:pPr>
              <w:pStyle w:val="ListParagraph"/>
              <w:spacing w:after="0" w:line="240" w:lineRule="exact"/>
              <w:ind w:left="0"/>
              <w:jc w:val="center"/>
              <w:rPr>
                <w:rFonts w:cs="Times New Roman"/>
                <w:sz w:val="18"/>
                <w:szCs w:val="18"/>
              </w:rPr>
            </w:pPr>
          </w:p>
        </w:tc>
        <w:tc>
          <w:tcPr>
            <w:tcW w:w="2475" w:type="dxa"/>
            <w:tcBorders>
              <w:left w:val="thinThickThinSmallGap" w:sz="24" w:space="0" w:color="auto"/>
            </w:tcBorders>
            <w:shd w:val="clear" w:color="auto" w:fill="FFFFFF" w:themeFill="background1"/>
          </w:tcPr>
          <w:p w:rsidR="00EE7B0C" w:rsidRPr="004E75D0" w:rsidRDefault="00EE7B0C" w:rsidP="00C87F76">
            <w:pPr>
              <w:spacing w:line="240" w:lineRule="exact"/>
              <w:jc w:val="both"/>
              <w:rPr>
                <w:color w:val="auto"/>
                <w:sz w:val="18"/>
                <w:szCs w:val="18"/>
              </w:rPr>
            </w:pPr>
            <w:r w:rsidRPr="004E75D0">
              <w:rPr>
                <w:color w:val="auto"/>
                <w:sz w:val="18"/>
                <w:szCs w:val="18"/>
              </w:rPr>
              <w:t>Lumbar Spine DDD</w:t>
            </w:r>
          </w:p>
        </w:tc>
        <w:tc>
          <w:tcPr>
            <w:tcW w:w="945" w:type="dxa"/>
            <w:shd w:val="clear" w:color="auto" w:fill="FFFFFF" w:themeFill="background1"/>
          </w:tcPr>
          <w:p w:rsidR="00EE7B0C" w:rsidRPr="004E75D0" w:rsidRDefault="00EE7B0C" w:rsidP="005709F7">
            <w:pPr>
              <w:pStyle w:val="ListParagraph"/>
              <w:spacing w:after="0" w:line="240" w:lineRule="exact"/>
              <w:ind w:left="0"/>
              <w:jc w:val="center"/>
              <w:rPr>
                <w:rFonts w:cs="Times New Roman"/>
                <w:sz w:val="18"/>
                <w:szCs w:val="18"/>
              </w:rPr>
            </w:pPr>
            <w:r w:rsidRPr="004E75D0">
              <w:rPr>
                <w:rFonts w:cs="Times New Roman"/>
                <w:sz w:val="18"/>
                <w:szCs w:val="18"/>
              </w:rPr>
              <w:t>5242</w:t>
            </w:r>
          </w:p>
        </w:tc>
        <w:tc>
          <w:tcPr>
            <w:tcW w:w="810" w:type="dxa"/>
            <w:shd w:val="clear" w:color="auto" w:fill="FFFFFF" w:themeFill="background1"/>
          </w:tcPr>
          <w:p w:rsidR="00EE7B0C" w:rsidRPr="0035556D" w:rsidRDefault="00EE7B0C" w:rsidP="005709F7">
            <w:pPr>
              <w:pStyle w:val="ListParagraph"/>
              <w:spacing w:after="0" w:line="240" w:lineRule="exact"/>
              <w:ind w:left="0"/>
              <w:jc w:val="center"/>
              <w:rPr>
                <w:rFonts w:cs="Times New Roman"/>
                <w:sz w:val="18"/>
                <w:szCs w:val="18"/>
              </w:rPr>
            </w:pPr>
            <w:r w:rsidRPr="0035556D">
              <w:rPr>
                <w:rFonts w:cs="Times New Roman"/>
                <w:sz w:val="18"/>
                <w:szCs w:val="18"/>
              </w:rPr>
              <w:t>10%</w:t>
            </w:r>
          </w:p>
        </w:tc>
        <w:tc>
          <w:tcPr>
            <w:tcW w:w="990" w:type="dxa"/>
            <w:shd w:val="clear" w:color="auto" w:fill="FFFFFF" w:themeFill="background1"/>
          </w:tcPr>
          <w:p w:rsidR="00EE7B0C" w:rsidRPr="0035556D" w:rsidRDefault="00EE7B0C" w:rsidP="005709F7">
            <w:pPr>
              <w:pStyle w:val="ListParagraph"/>
              <w:spacing w:after="0" w:line="240" w:lineRule="exact"/>
              <w:ind w:left="0"/>
              <w:jc w:val="center"/>
              <w:rPr>
                <w:rFonts w:cs="Times New Roman"/>
                <w:sz w:val="18"/>
                <w:szCs w:val="18"/>
              </w:rPr>
            </w:pPr>
            <w:r w:rsidRPr="0035556D">
              <w:rPr>
                <w:rFonts w:cs="Times New Roman"/>
                <w:sz w:val="18"/>
                <w:szCs w:val="18"/>
              </w:rPr>
              <w:t>20080521</w:t>
            </w:r>
          </w:p>
        </w:tc>
      </w:tr>
      <w:tr w:rsidR="00EE7B0C" w:rsidRPr="004E75D0" w:rsidTr="00B6071D">
        <w:trPr>
          <w:trHeight w:val="179"/>
          <w:jc w:val="center"/>
        </w:trPr>
        <w:tc>
          <w:tcPr>
            <w:tcW w:w="4275" w:type="dxa"/>
            <w:gridSpan w:val="4"/>
            <w:vMerge/>
            <w:tcBorders>
              <w:right w:val="thinThickThinSmallGap" w:sz="24" w:space="0" w:color="auto"/>
            </w:tcBorders>
            <w:shd w:val="clear" w:color="auto" w:fill="FFFFFF" w:themeFill="background1"/>
          </w:tcPr>
          <w:p w:rsidR="00EE7B0C" w:rsidRPr="004E75D0" w:rsidRDefault="00EE7B0C" w:rsidP="00C87F76">
            <w:pPr>
              <w:pStyle w:val="ListParagraph"/>
              <w:spacing w:line="240" w:lineRule="exact"/>
              <w:ind w:left="0"/>
              <w:jc w:val="center"/>
              <w:rPr>
                <w:rFonts w:cs="Times New Roman"/>
                <w:sz w:val="18"/>
                <w:szCs w:val="18"/>
                <w:highlight w:val="yellow"/>
              </w:rPr>
            </w:pPr>
          </w:p>
        </w:tc>
        <w:tc>
          <w:tcPr>
            <w:tcW w:w="2475" w:type="dxa"/>
            <w:tcBorders>
              <w:left w:val="thinThickThinSmallGap" w:sz="24" w:space="0" w:color="auto"/>
            </w:tcBorders>
            <w:shd w:val="clear" w:color="auto" w:fill="FFFFFF" w:themeFill="background1"/>
          </w:tcPr>
          <w:p w:rsidR="00EE7B0C" w:rsidRPr="004E75D0" w:rsidRDefault="00EE7B0C" w:rsidP="00D17DD9">
            <w:pPr>
              <w:pStyle w:val="ListParagraph"/>
              <w:spacing w:after="0" w:line="240" w:lineRule="auto"/>
              <w:ind w:left="0"/>
              <w:rPr>
                <w:sz w:val="14"/>
                <w:szCs w:val="14"/>
              </w:rPr>
            </w:pPr>
            <w:r w:rsidRPr="004E75D0">
              <w:rPr>
                <w:rFonts w:cs="Times New Roman"/>
                <w:sz w:val="18"/>
                <w:szCs w:val="18"/>
              </w:rPr>
              <w:t>GERD</w:t>
            </w:r>
          </w:p>
        </w:tc>
        <w:tc>
          <w:tcPr>
            <w:tcW w:w="945" w:type="dxa"/>
            <w:shd w:val="clear" w:color="auto" w:fill="FFFFFF" w:themeFill="background1"/>
          </w:tcPr>
          <w:p w:rsidR="00EE7B0C" w:rsidRPr="004E75D0" w:rsidRDefault="00EE7B0C" w:rsidP="005709F7">
            <w:pPr>
              <w:pStyle w:val="ListParagraph"/>
              <w:spacing w:after="0" w:line="240" w:lineRule="exact"/>
              <w:ind w:left="0"/>
              <w:jc w:val="center"/>
              <w:rPr>
                <w:rFonts w:cs="Times New Roman"/>
                <w:sz w:val="18"/>
                <w:szCs w:val="18"/>
              </w:rPr>
            </w:pPr>
            <w:r w:rsidRPr="004E75D0">
              <w:rPr>
                <w:rFonts w:cs="Times New Roman"/>
                <w:sz w:val="18"/>
                <w:szCs w:val="18"/>
              </w:rPr>
              <w:t>7346</w:t>
            </w:r>
          </w:p>
        </w:tc>
        <w:tc>
          <w:tcPr>
            <w:tcW w:w="810" w:type="dxa"/>
            <w:shd w:val="clear" w:color="auto" w:fill="FFFFFF" w:themeFill="background1"/>
          </w:tcPr>
          <w:p w:rsidR="00EE7B0C" w:rsidRPr="0035556D" w:rsidRDefault="00EE7B0C" w:rsidP="005709F7">
            <w:pPr>
              <w:pStyle w:val="ListParagraph"/>
              <w:spacing w:after="0" w:line="240" w:lineRule="exact"/>
              <w:ind w:left="0"/>
              <w:jc w:val="center"/>
              <w:rPr>
                <w:rFonts w:cs="Times New Roman"/>
                <w:sz w:val="18"/>
                <w:szCs w:val="18"/>
              </w:rPr>
            </w:pPr>
            <w:r w:rsidRPr="0035556D">
              <w:rPr>
                <w:rFonts w:cs="Times New Roman"/>
                <w:sz w:val="18"/>
                <w:szCs w:val="18"/>
              </w:rPr>
              <w:t>10%</w:t>
            </w:r>
          </w:p>
        </w:tc>
        <w:tc>
          <w:tcPr>
            <w:tcW w:w="990" w:type="dxa"/>
            <w:shd w:val="clear" w:color="auto" w:fill="FFFFFF" w:themeFill="background1"/>
          </w:tcPr>
          <w:p w:rsidR="00EE7B0C" w:rsidRPr="0035556D" w:rsidRDefault="00EE7B0C" w:rsidP="005709F7">
            <w:pPr>
              <w:pStyle w:val="ListParagraph"/>
              <w:spacing w:after="0" w:line="240" w:lineRule="exact"/>
              <w:ind w:left="0"/>
              <w:jc w:val="center"/>
              <w:rPr>
                <w:rFonts w:cs="Times New Roman"/>
                <w:sz w:val="18"/>
                <w:szCs w:val="18"/>
              </w:rPr>
            </w:pPr>
            <w:r w:rsidRPr="0035556D">
              <w:rPr>
                <w:rFonts w:cs="Times New Roman"/>
                <w:sz w:val="18"/>
                <w:szCs w:val="18"/>
              </w:rPr>
              <w:t>20080521</w:t>
            </w:r>
          </w:p>
        </w:tc>
      </w:tr>
      <w:tr w:rsidR="00EE7B0C" w:rsidRPr="004E75D0" w:rsidTr="00B6071D">
        <w:trPr>
          <w:trHeight w:val="170"/>
          <w:jc w:val="center"/>
        </w:trPr>
        <w:tc>
          <w:tcPr>
            <w:tcW w:w="4275" w:type="dxa"/>
            <w:gridSpan w:val="4"/>
            <w:vMerge/>
            <w:tcBorders>
              <w:right w:val="thinThickThinSmallGap" w:sz="24" w:space="0" w:color="auto"/>
            </w:tcBorders>
            <w:shd w:val="clear" w:color="auto" w:fill="FFFFFF" w:themeFill="background1"/>
          </w:tcPr>
          <w:p w:rsidR="00EE7B0C" w:rsidRPr="004E75D0" w:rsidRDefault="00EE7B0C" w:rsidP="00C87F76">
            <w:pPr>
              <w:pStyle w:val="ListParagraph"/>
              <w:spacing w:line="240" w:lineRule="exact"/>
              <w:ind w:left="0"/>
              <w:jc w:val="center"/>
              <w:rPr>
                <w:rFonts w:cs="Times New Roman"/>
                <w:sz w:val="18"/>
                <w:szCs w:val="18"/>
                <w:highlight w:val="yellow"/>
              </w:rPr>
            </w:pPr>
          </w:p>
        </w:tc>
        <w:tc>
          <w:tcPr>
            <w:tcW w:w="2475" w:type="dxa"/>
            <w:tcBorders>
              <w:left w:val="thinThickThinSmallGap" w:sz="24" w:space="0" w:color="auto"/>
            </w:tcBorders>
            <w:shd w:val="clear" w:color="auto" w:fill="FFFFFF" w:themeFill="background1"/>
          </w:tcPr>
          <w:p w:rsidR="00EE7B0C" w:rsidRPr="004E75D0" w:rsidRDefault="00EE7B0C" w:rsidP="00D17DD9">
            <w:pPr>
              <w:pStyle w:val="ListParagraph"/>
              <w:spacing w:after="0" w:line="240" w:lineRule="auto"/>
              <w:ind w:left="0"/>
              <w:rPr>
                <w:rFonts w:cs="Times New Roman"/>
                <w:sz w:val="18"/>
                <w:szCs w:val="18"/>
              </w:rPr>
            </w:pPr>
            <w:r w:rsidRPr="004E75D0">
              <w:rPr>
                <w:rFonts w:cs="Times New Roman"/>
                <w:sz w:val="18"/>
                <w:szCs w:val="18"/>
              </w:rPr>
              <w:t>Left Index Finger Fracture</w:t>
            </w:r>
          </w:p>
        </w:tc>
        <w:tc>
          <w:tcPr>
            <w:tcW w:w="945" w:type="dxa"/>
            <w:shd w:val="clear" w:color="auto" w:fill="FFFFFF" w:themeFill="background1"/>
          </w:tcPr>
          <w:p w:rsidR="00EE7B0C" w:rsidRPr="004E75D0" w:rsidRDefault="00EE7B0C" w:rsidP="005709F7">
            <w:pPr>
              <w:pStyle w:val="ListParagraph"/>
              <w:spacing w:after="0" w:line="240" w:lineRule="exact"/>
              <w:ind w:left="0"/>
              <w:jc w:val="center"/>
              <w:rPr>
                <w:rFonts w:cs="Times New Roman"/>
                <w:sz w:val="18"/>
                <w:szCs w:val="18"/>
              </w:rPr>
            </w:pPr>
            <w:r w:rsidRPr="004E75D0">
              <w:rPr>
                <w:rFonts w:cs="Times New Roman"/>
                <w:sz w:val="18"/>
                <w:szCs w:val="18"/>
              </w:rPr>
              <w:t>5229</w:t>
            </w:r>
          </w:p>
        </w:tc>
        <w:tc>
          <w:tcPr>
            <w:tcW w:w="810" w:type="dxa"/>
            <w:shd w:val="clear" w:color="auto" w:fill="FFFFFF" w:themeFill="background1"/>
          </w:tcPr>
          <w:p w:rsidR="00EE7B0C" w:rsidRPr="004E75D0" w:rsidRDefault="00EE7B0C" w:rsidP="005709F7">
            <w:pPr>
              <w:pStyle w:val="ListParagraph"/>
              <w:spacing w:after="0" w:line="240" w:lineRule="exact"/>
              <w:ind w:left="0"/>
              <w:jc w:val="center"/>
              <w:rPr>
                <w:rFonts w:cs="Times New Roman"/>
                <w:sz w:val="18"/>
                <w:szCs w:val="18"/>
              </w:rPr>
            </w:pPr>
            <w:r w:rsidRPr="004E75D0">
              <w:rPr>
                <w:rFonts w:cs="Times New Roman"/>
                <w:sz w:val="18"/>
                <w:szCs w:val="18"/>
              </w:rPr>
              <w:t>0%</w:t>
            </w:r>
          </w:p>
        </w:tc>
        <w:tc>
          <w:tcPr>
            <w:tcW w:w="990" w:type="dxa"/>
            <w:shd w:val="clear" w:color="auto" w:fill="FFFFFF" w:themeFill="background1"/>
          </w:tcPr>
          <w:p w:rsidR="00EE7B0C" w:rsidRPr="004E75D0" w:rsidRDefault="00EE7B0C" w:rsidP="005709F7">
            <w:pPr>
              <w:pStyle w:val="ListParagraph"/>
              <w:spacing w:after="0" w:line="240" w:lineRule="exact"/>
              <w:ind w:left="0"/>
              <w:jc w:val="center"/>
              <w:rPr>
                <w:rFonts w:cs="Times New Roman"/>
                <w:sz w:val="18"/>
                <w:szCs w:val="18"/>
              </w:rPr>
            </w:pPr>
            <w:r w:rsidRPr="004E75D0">
              <w:rPr>
                <w:rFonts w:cs="Times New Roman"/>
                <w:sz w:val="18"/>
                <w:szCs w:val="18"/>
              </w:rPr>
              <w:t>20080521</w:t>
            </w:r>
          </w:p>
        </w:tc>
      </w:tr>
      <w:tr w:rsidR="00C87F76" w:rsidRPr="004E75D0" w:rsidTr="00B6071D">
        <w:trPr>
          <w:trHeight w:val="242"/>
          <w:jc w:val="center"/>
        </w:trPr>
        <w:tc>
          <w:tcPr>
            <w:tcW w:w="4275" w:type="dxa"/>
            <w:gridSpan w:val="4"/>
            <w:tcBorders>
              <w:right w:val="thinThickThinSmallGap" w:sz="24" w:space="0" w:color="auto"/>
            </w:tcBorders>
            <w:shd w:val="clear" w:color="auto" w:fill="D9D9D9" w:themeFill="background1" w:themeFillShade="D9"/>
          </w:tcPr>
          <w:p w:rsidR="00C87F76" w:rsidRPr="004E75D0" w:rsidRDefault="00C87F76" w:rsidP="00835568">
            <w:pPr>
              <w:pStyle w:val="ListParagraph"/>
              <w:spacing w:after="0" w:line="240" w:lineRule="exact"/>
              <w:ind w:left="0"/>
              <w:jc w:val="center"/>
              <w:rPr>
                <w:rFonts w:cs="Times New Roman"/>
                <w:b/>
                <w:sz w:val="20"/>
                <w:szCs w:val="20"/>
              </w:rPr>
            </w:pPr>
            <w:r w:rsidRPr="004E75D0">
              <w:rPr>
                <w:rFonts w:cs="Times New Roman"/>
                <w:b/>
                <w:sz w:val="20"/>
                <w:szCs w:val="20"/>
              </w:rPr>
              <w:t xml:space="preserve">TOTAL Combined: </w:t>
            </w:r>
            <w:r w:rsidR="00835568" w:rsidRPr="004E75D0">
              <w:rPr>
                <w:rFonts w:cs="Times New Roman"/>
                <w:b/>
                <w:sz w:val="20"/>
                <w:szCs w:val="20"/>
              </w:rPr>
              <w:t xml:space="preserve"> 1</w:t>
            </w:r>
            <w:r w:rsidRPr="004E75D0">
              <w:rPr>
                <w:rFonts w:cs="Times New Roman"/>
                <w:b/>
                <w:sz w:val="20"/>
                <w:szCs w:val="20"/>
              </w:rPr>
              <w:t>0%</w:t>
            </w:r>
          </w:p>
        </w:tc>
        <w:tc>
          <w:tcPr>
            <w:tcW w:w="5220" w:type="dxa"/>
            <w:gridSpan w:val="4"/>
            <w:tcBorders>
              <w:left w:val="thinThickThinSmallGap" w:sz="24" w:space="0" w:color="auto"/>
            </w:tcBorders>
            <w:shd w:val="clear" w:color="auto" w:fill="D9D9D9" w:themeFill="background1" w:themeFillShade="D9"/>
          </w:tcPr>
          <w:p w:rsidR="00C87F76" w:rsidRPr="004E75D0" w:rsidRDefault="00C87F76" w:rsidP="00835568">
            <w:pPr>
              <w:pStyle w:val="ListParagraph"/>
              <w:spacing w:after="0" w:line="240" w:lineRule="exact"/>
              <w:ind w:left="0"/>
              <w:jc w:val="center"/>
              <w:rPr>
                <w:rFonts w:cs="Times New Roman"/>
                <w:b/>
                <w:sz w:val="20"/>
                <w:szCs w:val="20"/>
              </w:rPr>
            </w:pPr>
            <w:r w:rsidRPr="004E75D0">
              <w:rPr>
                <w:rFonts w:cs="Times New Roman"/>
                <w:b/>
                <w:sz w:val="20"/>
                <w:szCs w:val="20"/>
              </w:rPr>
              <w:t>TOTAL Combined</w:t>
            </w:r>
            <w:r w:rsidR="00EB3307" w:rsidRPr="004E75D0">
              <w:rPr>
                <w:rFonts w:cs="Times New Roman"/>
                <w:b/>
                <w:sz w:val="20"/>
                <w:szCs w:val="20"/>
              </w:rPr>
              <w:t xml:space="preserve"> (</w:t>
            </w:r>
            <w:r w:rsidR="00EB3307" w:rsidRPr="004E75D0">
              <w:rPr>
                <w:rFonts w:cs="Times New Roman"/>
                <w:b/>
                <w:i/>
                <w:sz w:val="20"/>
                <w:szCs w:val="20"/>
              </w:rPr>
              <w:t>Includes Non-PEB Conditions</w:t>
            </w:r>
            <w:r w:rsidR="00EB3307" w:rsidRPr="004E75D0">
              <w:rPr>
                <w:rFonts w:cs="Times New Roman"/>
                <w:b/>
                <w:sz w:val="20"/>
                <w:szCs w:val="20"/>
              </w:rPr>
              <w:t>):</w:t>
            </w:r>
            <w:r w:rsidRPr="004E75D0">
              <w:rPr>
                <w:rFonts w:cs="Times New Roman"/>
                <w:b/>
                <w:sz w:val="20"/>
                <w:szCs w:val="20"/>
              </w:rPr>
              <w:t xml:space="preserve"> </w:t>
            </w:r>
            <w:r w:rsidR="00835568" w:rsidRPr="004E75D0">
              <w:rPr>
                <w:rFonts w:cs="Times New Roman"/>
                <w:b/>
                <w:sz w:val="20"/>
                <w:szCs w:val="20"/>
              </w:rPr>
              <w:t xml:space="preserve"> 5</w:t>
            </w:r>
            <w:r w:rsidRPr="004E75D0">
              <w:rPr>
                <w:rFonts w:cs="Times New Roman"/>
                <w:b/>
                <w:sz w:val="20"/>
                <w:szCs w:val="20"/>
              </w:rPr>
              <w:t>0%</w:t>
            </w:r>
          </w:p>
        </w:tc>
      </w:tr>
    </w:tbl>
    <w:p w:rsidR="00B6071D" w:rsidRPr="004E75D0" w:rsidRDefault="00B6071D" w:rsidP="00B6071D">
      <w:pPr>
        <w:pBdr>
          <w:bottom w:val="single" w:sz="12" w:space="1" w:color="auto"/>
        </w:pBdr>
        <w:tabs>
          <w:tab w:val="left" w:pos="288"/>
          <w:tab w:val="left" w:pos="4752"/>
        </w:tabs>
        <w:spacing w:line="240" w:lineRule="exact"/>
        <w:jc w:val="both"/>
        <w:rPr>
          <w:rFonts w:ascii="Calibri" w:hAnsi="Calibri"/>
          <w:color w:val="auto"/>
          <w:szCs w:val="24"/>
        </w:rPr>
      </w:pPr>
    </w:p>
    <w:p w:rsidR="00B6071D" w:rsidRPr="00F07402" w:rsidRDefault="00B6071D" w:rsidP="00B6071D">
      <w:pPr>
        <w:tabs>
          <w:tab w:val="left" w:pos="288"/>
          <w:tab w:val="left" w:pos="4752"/>
        </w:tabs>
        <w:spacing w:line="240" w:lineRule="exact"/>
        <w:rPr>
          <w:rFonts w:ascii="Calibri" w:hAnsi="Calibri"/>
          <w:color w:val="auto"/>
          <w:szCs w:val="24"/>
        </w:rPr>
      </w:pPr>
    </w:p>
    <w:p w:rsidR="00A33E8C" w:rsidRPr="008A425D" w:rsidRDefault="002C6E5B" w:rsidP="0020745D">
      <w:pPr>
        <w:tabs>
          <w:tab w:val="left" w:pos="288"/>
          <w:tab w:val="left" w:pos="4752"/>
        </w:tabs>
        <w:spacing w:line="240" w:lineRule="exact"/>
        <w:jc w:val="both"/>
        <w:rPr>
          <w:rFonts w:asciiTheme="majorHAnsi" w:hAnsiTheme="majorHAnsi"/>
          <w:color w:val="auto"/>
          <w:szCs w:val="24"/>
        </w:rPr>
      </w:pPr>
      <w:r w:rsidRPr="008A425D">
        <w:rPr>
          <w:rFonts w:asciiTheme="minorHAnsi" w:hAnsiTheme="minorHAnsi"/>
          <w:color w:val="auto"/>
          <w:szCs w:val="24"/>
          <w:u w:val="single"/>
        </w:rPr>
        <w:t>ANALYSIS SUMMARY</w:t>
      </w:r>
      <w:r w:rsidRPr="008A425D">
        <w:rPr>
          <w:rFonts w:asciiTheme="minorHAnsi" w:hAnsiTheme="minorHAnsi"/>
          <w:color w:val="auto"/>
          <w:szCs w:val="24"/>
        </w:rPr>
        <w:t>:</w:t>
      </w:r>
      <w:r w:rsidR="00C276CD" w:rsidRPr="008A425D">
        <w:rPr>
          <w:rFonts w:asciiTheme="minorHAnsi" w:hAnsiTheme="minorHAnsi"/>
          <w:color w:val="auto"/>
          <w:szCs w:val="24"/>
        </w:rPr>
        <w:t xml:space="preserve"> </w:t>
      </w:r>
      <w:r w:rsidR="002C69E7" w:rsidRPr="008A425D">
        <w:rPr>
          <w:rFonts w:asciiTheme="minorHAnsi" w:hAnsiTheme="minorHAnsi"/>
          <w:color w:val="auto"/>
          <w:szCs w:val="24"/>
        </w:rPr>
        <w:t xml:space="preserve"> </w:t>
      </w:r>
      <w:r w:rsidR="00A33E8C" w:rsidRPr="008A425D">
        <w:rPr>
          <w:rFonts w:ascii="Calibri" w:hAnsi="Calibri"/>
          <w:color w:val="auto"/>
          <w:szCs w:val="24"/>
        </w:rPr>
        <w:t xml:space="preserve">The Board acknowledges the sentiment expressed in the CI’s application, </w:t>
      </w:r>
      <w:r w:rsidR="00B6071D">
        <w:rPr>
          <w:rFonts w:ascii="Calibri" w:hAnsi="Calibri"/>
          <w:color w:val="auto"/>
          <w:szCs w:val="24"/>
        </w:rPr>
        <w:t xml:space="preserve">that </w:t>
      </w:r>
      <w:r w:rsidR="00A33E8C" w:rsidRPr="008A425D">
        <w:rPr>
          <w:rFonts w:ascii="Calibri" w:hAnsi="Calibri"/>
          <w:color w:val="auto"/>
          <w:szCs w:val="24"/>
        </w:rPr>
        <w:t>the gravity</w:t>
      </w:r>
      <w:r w:rsidR="00A33E8C" w:rsidRPr="00A33E8C">
        <w:rPr>
          <w:rFonts w:ascii="Calibri" w:hAnsi="Calibri"/>
          <w:color w:val="auto"/>
          <w:szCs w:val="24"/>
        </w:rPr>
        <w:t xml:space="preserve"> of his </w:t>
      </w:r>
      <w:r w:rsidR="00B6071D">
        <w:rPr>
          <w:rFonts w:ascii="Calibri" w:hAnsi="Calibri"/>
          <w:color w:val="auto"/>
          <w:szCs w:val="24"/>
        </w:rPr>
        <w:t xml:space="preserve">unfitting ankle </w:t>
      </w:r>
      <w:r w:rsidR="00A33E8C" w:rsidRPr="00A33E8C">
        <w:rPr>
          <w:rFonts w:ascii="Calibri" w:hAnsi="Calibri"/>
          <w:color w:val="auto"/>
          <w:szCs w:val="24"/>
        </w:rPr>
        <w:t xml:space="preserve">condition and </w:t>
      </w:r>
      <w:r w:rsidR="00B6071D">
        <w:rPr>
          <w:rFonts w:ascii="Calibri" w:hAnsi="Calibri"/>
          <w:color w:val="auto"/>
          <w:szCs w:val="24"/>
        </w:rPr>
        <w:t xml:space="preserve">additional conditions </w:t>
      </w:r>
      <w:r w:rsidR="00A33E8C" w:rsidRPr="00A33E8C">
        <w:rPr>
          <w:rFonts w:ascii="Calibri" w:hAnsi="Calibri"/>
          <w:color w:val="auto"/>
          <w:szCs w:val="24"/>
        </w:rPr>
        <w:t>which merit consideration for a higher separation rating.  It is a fact, however, that the DES (Disability Evaluation System) has neither the role nor the authority to compensate service members for anticipated future severity or potential complications of conditions resulting in medical separation</w:t>
      </w:r>
      <w:r w:rsidR="00B6071D">
        <w:rPr>
          <w:rFonts w:ascii="Calibri" w:hAnsi="Calibri"/>
          <w:color w:val="auto"/>
          <w:szCs w:val="24"/>
        </w:rPr>
        <w:t>, or for conditions that were not unfitting for continued service</w:t>
      </w:r>
      <w:r w:rsidR="00A33E8C" w:rsidRPr="00A33E8C">
        <w:rPr>
          <w:rFonts w:ascii="Calibri" w:hAnsi="Calibri"/>
          <w:color w:val="auto"/>
          <w:szCs w:val="24"/>
        </w:rPr>
        <w:t xml:space="preserve">.  This role and authority is granted by Congress to the Veterans </w:t>
      </w:r>
      <w:r w:rsidR="00A33E8C" w:rsidRPr="008A425D">
        <w:rPr>
          <w:rFonts w:ascii="Calibri" w:hAnsi="Calibri"/>
          <w:color w:val="auto"/>
          <w:szCs w:val="24"/>
        </w:rPr>
        <w:t>Administration.</w:t>
      </w:r>
      <w:r w:rsidR="008A425D" w:rsidRPr="008A425D">
        <w:rPr>
          <w:rFonts w:ascii="Calibri" w:hAnsi="Calibri"/>
          <w:color w:val="auto"/>
          <w:szCs w:val="24"/>
        </w:rPr>
        <w:t xml:space="preserve">  </w:t>
      </w:r>
    </w:p>
    <w:p w:rsidR="00D3662E" w:rsidRPr="00396779" w:rsidRDefault="00D3662E" w:rsidP="0020745D">
      <w:pPr>
        <w:tabs>
          <w:tab w:val="left" w:pos="288"/>
          <w:tab w:val="left" w:pos="4752"/>
        </w:tabs>
        <w:spacing w:line="240" w:lineRule="exact"/>
        <w:jc w:val="both"/>
        <w:rPr>
          <w:rFonts w:asciiTheme="minorHAnsi" w:hAnsiTheme="minorHAnsi"/>
          <w:color w:val="auto"/>
          <w:szCs w:val="24"/>
        </w:rPr>
      </w:pPr>
    </w:p>
    <w:p w:rsidR="0040031A" w:rsidRPr="00396779" w:rsidRDefault="00E90561" w:rsidP="0020745D">
      <w:pPr>
        <w:spacing w:line="240" w:lineRule="exact"/>
        <w:jc w:val="both"/>
        <w:rPr>
          <w:rFonts w:asciiTheme="minorHAnsi" w:hAnsiTheme="minorHAnsi"/>
          <w:color w:val="auto"/>
          <w:szCs w:val="24"/>
        </w:rPr>
      </w:pPr>
      <w:proofErr w:type="gramStart"/>
      <w:r>
        <w:rPr>
          <w:rFonts w:asciiTheme="minorHAnsi" w:hAnsiTheme="minorHAnsi"/>
          <w:color w:val="auto"/>
          <w:szCs w:val="24"/>
          <w:u w:val="single"/>
        </w:rPr>
        <w:lastRenderedPageBreak/>
        <w:t>Left Ankle</w:t>
      </w:r>
      <w:r w:rsidR="002C6E5B" w:rsidRPr="00396779">
        <w:rPr>
          <w:rFonts w:asciiTheme="minorHAnsi" w:hAnsiTheme="minorHAnsi"/>
          <w:color w:val="auto"/>
          <w:szCs w:val="24"/>
          <w:u w:val="single"/>
        </w:rPr>
        <w:t xml:space="preserve"> Condition</w:t>
      </w:r>
      <w:r w:rsidR="002C6E5B" w:rsidRPr="00396779">
        <w:rPr>
          <w:rFonts w:asciiTheme="minorHAnsi" w:hAnsiTheme="minorHAnsi"/>
          <w:color w:val="auto"/>
          <w:szCs w:val="24"/>
        </w:rPr>
        <w:t>.</w:t>
      </w:r>
      <w:proofErr w:type="gramEnd"/>
      <w:r w:rsidR="002C6E5B" w:rsidRPr="00396779">
        <w:rPr>
          <w:rFonts w:asciiTheme="minorHAnsi" w:hAnsiTheme="minorHAnsi"/>
          <w:color w:val="auto"/>
          <w:szCs w:val="24"/>
        </w:rPr>
        <w:t xml:space="preserve">  </w:t>
      </w:r>
      <w:r w:rsidR="009044F1">
        <w:rPr>
          <w:rFonts w:ascii="Calibri" w:hAnsi="Calibri"/>
          <w:color w:val="auto"/>
          <w:szCs w:val="24"/>
        </w:rPr>
        <w:t>CI</w:t>
      </w:r>
      <w:r w:rsidR="009044F1" w:rsidRPr="009044F1">
        <w:rPr>
          <w:rFonts w:ascii="Calibri" w:hAnsi="Calibri"/>
          <w:color w:val="auto"/>
          <w:szCs w:val="24"/>
        </w:rPr>
        <w:t xml:space="preserve"> initially </w:t>
      </w:r>
      <w:r w:rsidR="007C6925">
        <w:rPr>
          <w:rFonts w:ascii="Calibri" w:hAnsi="Calibri"/>
          <w:color w:val="auto"/>
          <w:szCs w:val="24"/>
        </w:rPr>
        <w:t xml:space="preserve">injured his ankle in basic training and was </w:t>
      </w:r>
      <w:r w:rsidR="009044F1" w:rsidRPr="009044F1">
        <w:rPr>
          <w:rFonts w:ascii="Calibri" w:hAnsi="Calibri"/>
          <w:color w:val="auto"/>
          <w:szCs w:val="24"/>
        </w:rPr>
        <w:t xml:space="preserve">treated with compression and </w:t>
      </w:r>
      <w:proofErr w:type="spellStart"/>
      <w:r w:rsidR="009044F1" w:rsidRPr="009044F1">
        <w:rPr>
          <w:rFonts w:ascii="Calibri" w:hAnsi="Calibri"/>
          <w:color w:val="auto"/>
          <w:szCs w:val="24"/>
        </w:rPr>
        <w:t>non</w:t>
      </w:r>
      <w:r w:rsidR="00B6071D">
        <w:rPr>
          <w:rFonts w:ascii="Calibri" w:hAnsi="Calibri"/>
          <w:color w:val="auto"/>
          <w:szCs w:val="24"/>
        </w:rPr>
        <w:t>steroidal</w:t>
      </w:r>
      <w:proofErr w:type="spellEnd"/>
      <w:r w:rsidR="00B6071D">
        <w:rPr>
          <w:rFonts w:ascii="Calibri" w:hAnsi="Calibri"/>
          <w:color w:val="auto"/>
          <w:szCs w:val="24"/>
        </w:rPr>
        <w:t xml:space="preserve"> anti-</w:t>
      </w:r>
      <w:r w:rsidR="009044F1" w:rsidRPr="009044F1">
        <w:rPr>
          <w:rFonts w:ascii="Calibri" w:hAnsi="Calibri"/>
          <w:color w:val="auto"/>
          <w:szCs w:val="24"/>
        </w:rPr>
        <w:t xml:space="preserve">inflammatory drugs. </w:t>
      </w:r>
      <w:r w:rsidR="009044F1">
        <w:rPr>
          <w:rFonts w:ascii="Calibri" w:hAnsi="Calibri"/>
          <w:color w:val="auto"/>
          <w:szCs w:val="24"/>
        </w:rPr>
        <w:t xml:space="preserve"> </w:t>
      </w:r>
      <w:r w:rsidR="00FF01E5">
        <w:rPr>
          <w:rFonts w:ascii="Calibri" w:hAnsi="Calibri"/>
          <w:color w:val="auto"/>
          <w:szCs w:val="24"/>
        </w:rPr>
        <w:t>While in Iraq under fire, he suffered a significant inversion injury of the left ankle which did not respond to conservative management including phy</w:t>
      </w:r>
      <w:r w:rsidR="009044F1" w:rsidRPr="009044F1">
        <w:rPr>
          <w:rFonts w:ascii="Calibri" w:hAnsi="Calibri"/>
          <w:color w:val="auto"/>
          <w:szCs w:val="24"/>
        </w:rPr>
        <w:t xml:space="preserve">sical therapy. </w:t>
      </w:r>
      <w:r w:rsidR="002C69E7">
        <w:rPr>
          <w:rFonts w:ascii="Calibri" w:hAnsi="Calibri"/>
          <w:color w:val="auto"/>
          <w:szCs w:val="24"/>
        </w:rPr>
        <w:t xml:space="preserve"> </w:t>
      </w:r>
      <w:r w:rsidR="009044F1" w:rsidRPr="009044F1">
        <w:rPr>
          <w:rFonts w:ascii="Calibri" w:hAnsi="Calibri"/>
          <w:color w:val="auto"/>
          <w:szCs w:val="24"/>
        </w:rPr>
        <w:t xml:space="preserve">The </w:t>
      </w:r>
      <w:r w:rsidR="009044F1">
        <w:rPr>
          <w:rFonts w:ascii="Calibri" w:hAnsi="Calibri"/>
          <w:color w:val="auto"/>
          <w:szCs w:val="24"/>
        </w:rPr>
        <w:t>CI</w:t>
      </w:r>
      <w:r w:rsidR="009044F1" w:rsidRPr="009044F1">
        <w:rPr>
          <w:rFonts w:ascii="Calibri" w:hAnsi="Calibri"/>
          <w:color w:val="auto"/>
          <w:szCs w:val="24"/>
        </w:rPr>
        <w:t xml:space="preserve"> had significant lateral left ankle instability.</w:t>
      </w:r>
      <w:r w:rsidR="002C69E7">
        <w:rPr>
          <w:rFonts w:ascii="Calibri" w:hAnsi="Calibri"/>
          <w:color w:val="auto"/>
          <w:szCs w:val="24"/>
        </w:rPr>
        <w:t xml:space="preserve"> </w:t>
      </w:r>
      <w:r w:rsidR="009044F1" w:rsidRPr="009044F1">
        <w:rPr>
          <w:rFonts w:ascii="Calibri" w:hAnsi="Calibri"/>
          <w:color w:val="auto"/>
          <w:szCs w:val="24"/>
        </w:rPr>
        <w:t xml:space="preserve"> He underwent </w:t>
      </w:r>
      <w:r w:rsidR="00B6071D">
        <w:rPr>
          <w:rFonts w:ascii="Calibri" w:hAnsi="Calibri"/>
          <w:color w:val="auto"/>
          <w:szCs w:val="24"/>
        </w:rPr>
        <w:t xml:space="preserve">surgical </w:t>
      </w:r>
      <w:r w:rsidR="009044F1" w:rsidRPr="009044F1">
        <w:rPr>
          <w:rFonts w:ascii="Calibri" w:hAnsi="Calibri"/>
          <w:color w:val="auto"/>
          <w:szCs w:val="24"/>
        </w:rPr>
        <w:t>lateral ankle</w:t>
      </w:r>
      <w:r w:rsidR="009044F1">
        <w:rPr>
          <w:rFonts w:ascii="Calibri" w:hAnsi="Calibri"/>
          <w:color w:val="auto"/>
          <w:szCs w:val="24"/>
        </w:rPr>
        <w:t xml:space="preserve"> </w:t>
      </w:r>
      <w:r w:rsidR="009044F1" w:rsidRPr="009044F1">
        <w:rPr>
          <w:rFonts w:ascii="Calibri" w:hAnsi="Calibri"/>
          <w:color w:val="auto"/>
          <w:szCs w:val="24"/>
        </w:rPr>
        <w:t>stabilization</w:t>
      </w:r>
      <w:r w:rsidR="00FF01E5">
        <w:rPr>
          <w:rFonts w:ascii="Calibri" w:hAnsi="Calibri"/>
          <w:color w:val="auto"/>
          <w:szCs w:val="24"/>
        </w:rPr>
        <w:t xml:space="preserve"> </w:t>
      </w:r>
      <w:r w:rsidR="009044F1" w:rsidRPr="009044F1">
        <w:rPr>
          <w:rFonts w:ascii="Calibri" w:hAnsi="Calibri"/>
          <w:color w:val="auto"/>
          <w:szCs w:val="24"/>
        </w:rPr>
        <w:t>in February 2007</w:t>
      </w:r>
      <w:r w:rsidR="00B6071D">
        <w:rPr>
          <w:rFonts w:ascii="Calibri" w:hAnsi="Calibri"/>
          <w:color w:val="auto"/>
          <w:szCs w:val="24"/>
        </w:rPr>
        <w:t xml:space="preserve"> along with removal of</w:t>
      </w:r>
      <w:r w:rsidR="00FF01E5">
        <w:rPr>
          <w:rFonts w:ascii="Calibri" w:hAnsi="Calibri"/>
          <w:color w:val="auto"/>
          <w:szCs w:val="24"/>
        </w:rPr>
        <w:t xml:space="preserve"> a loose fragment in the joint</w:t>
      </w:r>
      <w:r w:rsidR="009044F1">
        <w:rPr>
          <w:rFonts w:ascii="Calibri" w:hAnsi="Calibri"/>
          <w:color w:val="auto"/>
          <w:szCs w:val="24"/>
        </w:rPr>
        <w:t xml:space="preserve">. </w:t>
      </w:r>
      <w:r w:rsidR="002C69E7">
        <w:rPr>
          <w:rFonts w:ascii="Calibri" w:hAnsi="Calibri"/>
          <w:color w:val="auto"/>
          <w:szCs w:val="24"/>
        </w:rPr>
        <w:t xml:space="preserve"> </w:t>
      </w:r>
      <w:r w:rsidR="009044F1" w:rsidRPr="009044F1">
        <w:rPr>
          <w:rFonts w:ascii="Calibri" w:hAnsi="Calibri"/>
          <w:color w:val="auto"/>
          <w:szCs w:val="24"/>
        </w:rPr>
        <w:t xml:space="preserve">The </w:t>
      </w:r>
      <w:r w:rsidR="009044F1">
        <w:rPr>
          <w:rFonts w:ascii="Calibri" w:hAnsi="Calibri"/>
          <w:color w:val="auto"/>
          <w:szCs w:val="24"/>
        </w:rPr>
        <w:t>CI</w:t>
      </w:r>
      <w:r w:rsidR="009044F1" w:rsidRPr="009044F1">
        <w:rPr>
          <w:rFonts w:ascii="Calibri" w:hAnsi="Calibri"/>
          <w:color w:val="auto"/>
          <w:szCs w:val="24"/>
        </w:rPr>
        <w:t xml:space="preserve"> stated </w:t>
      </w:r>
      <w:r w:rsidR="009044F1">
        <w:rPr>
          <w:rFonts w:ascii="Calibri" w:hAnsi="Calibri"/>
          <w:color w:val="auto"/>
          <w:szCs w:val="24"/>
        </w:rPr>
        <w:t>that he</w:t>
      </w:r>
      <w:r w:rsidR="009044F1" w:rsidRPr="009044F1">
        <w:rPr>
          <w:rFonts w:ascii="Calibri" w:hAnsi="Calibri"/>
          <w:color w:val="auto"/>
          <w:szCs w:val="24"/>
        </w:rPr>
        <w:t xml:space="preserve"> continued to have pain in the left ankle</w:t>
      </w:r>
      <w:r w:rsidR="00FF01E5">
        <w:rPr>
          <w:rFonts w:ascii="Calibri" w:hAnsi="Calibri"/>
          <w:color w:val="auto"/>
          <w:szCs w:val="24"/>
        </w:rPr>
        <w:t xml:space="preserve">, </w:t>
      </w:r>
      <w:r w:rsidR="009044F1" w:rsidRPr="009044F1">
        <w:rPr>
          <w:rFonts w:ascii="Calibri" w:hAnsi="Calibri"/>
          <w:color w:val="auto"/>
          <w:szCs w:val="24"/>
        </w:rPr>
        <w:t xml:space="preserve">although the stability of the ankle improved. </w:t>
      </w:r>
      <w:r w:rsidR="002F4EA4">
        <w:rPr>
          <w:rFonts w:ascii="Calibri" w:hAnsi="Calibri"/>
          <w:color w:val="auto"/>
          <w:szCs w:val="24"/>
        </w:rPr>
        <w:t xml:space="preserve"> </w:t>
      </w:r>
      <w:r w:rsidR="009044F1">
        <w:rPr>
          <w:rFonts w:ascii="Calibri" w:hAnsi="Calibri"/>
          <w:color w:val="auto"/>
          <w:szCs w:val="24"/>
        </w:rPr>
        <w:t>He</w:t>
      </w:r>
      <w:r w:rsidR="009044F1" w:rsidRPr="009044F1">
        <w:rPr>
          <w:rFonts w:ascii="Calibri" w:hAnsi="Calibri"/>
          <w:color w:val="auto"/>
          <w:szCs w:val="24"/>
        </w:rPr>
        <w:t xml:space="preserve"> had a diagnostic ankle arthroscopy with subsequent </w:t>
      </w:r>
      <w:proofErr w:type="spellStart"/>
      <w:r w:rsidR="009044F1" w:rsidRPr="009044F1">
        <w:rPr>
          <w:rFonts w:ascii="Calibri" w:hAnsi="Calibri"/>
          <w:color w:val="auto"/>
          <w:szCs w:val="24"/>
        </w:rPr>
        <w:t>subchondral</w:t>
      </w:r>
      <w:proofErr w:type="spellEnd"/>
      <w:r w:rsidR="009044F1" w:rsidRPr="009044F1">
        <w:rPr>
          <w:rFonts w:ascii="Calibri" w:hAnsi="Calibri"/>
          <w:color w:val="auto"/>
          <w:szCs w:val="24"/>
        </w:rPr>
        <w:t xml:space="preserve"> drilling of the </w:t>
      </w:r>
      <w:proofErr w:type="spellStart"/>
      <w:r w:rsidR="009044F1" w:rsidRPr="009044F1">
        <w:rPr>
          <w:rFonts w:ascii="Calibri" w:hAnsi="Calibri"/>
          <w:color w:val="auto"/>
          <w:szCs w:val="24"/>
        </w:rPr>
        <w:t>talar</w:t>
      </w:r>
      <w:proofErr w:type="spellEnd"/>
      <w:r w:rsidR="009044F1" w:rsidRPr="009044F1">
        <w:rPr>
          <w:rFonts w:ascii="Calibri" w:hAnsi="Calibri"/>
          <w:color w:val="auto"/>
          <w:szCs w:val="24"/>
        </w:rPr>
        <w:t xml:space="preserve"> dome in November 2007.</w:t>
      </w:r>
      <w:r w:rsidR="00AA0A16">
        <w:rPr>
          <w:rFonts w:ascii="Calibri" w:hAnsi="Calibri"/>
          <w:color w:val="auto"/>
          <w:szCs w:val="24"/>
        </w:rPr>
        <w:t xml:space="preserve"> </w:t>
      </w:r>
      <w:r w:rsidR="002C69E7">
        <w:rPr>
          <w:rFonts w:ascii="Calibri" w:hAnsi="Calibri"/>
          <w:color w:val="auto"/>
          <w:szCs w:val="24"/>
        </w:rPr>
        <w:t xml:space="preserve"> </w:t>
      </w:r>
      <w:r w:rsidR="005F4CFE">
        <w:rPr>
          <w:rFonts w:ascii="Calibri" w:hAnsi="Calibri"/>
          <w:color w:val="auto"/>
          <w:szCs w:val="24"/>
        </w:rPr>
        <w:t>Magnetic Resonance Imaging (</w:t>
      </w:r>
      <w:r w:rsidR="005A0395">
        <w:rPr>
          <w:rFonts w:ascii="Calibri" w:hAnsi="Calibri"/>
          <w:color w:val="auto"/>
          <w:szCs w:val="24"/>
        </w:rPr>
        <w:t>MRI</w:t>
      </w:r>
      <w:r w:rsidR="005F4CFE">
        <w:rPr>
          <w:rFonts w:ascii="Calibri" w:hAnsi="Calibri"/>
          <w:color w:val="auto"/>
          <w:szCs w:val="24"/>
        </w:rPr>
        <w:t xml:space="preserve">) </w:t>
      </w:r>
      <w:r w:rsidR="005A0395">
        <w:rPr>
          <w:rFonts w:ascii="Calibri" w:hAnsi="Calibri"/>
          <w:color w:val="auto"/>
          <w:szCs w:val="24"/>
        </w:rPr>
        <w:t>did show e</w:t>
      </w:r>
      <w:r w:rsidR="002C69E7">
        <w:rPr>
          <w:rFonts w:ascii="Calibri" w:hAnsi="Calibri"/>
          <w:color w:val="auto"/>
          <w:szCs w:val="24"/>
        </w:rPr>
        <w:t xml:space="preserve">vidence of </w:t>
      </w:r>
      <w:proofErr w:type="spellStart"/>
      <w:r w:rsidR="002C69E7">
        <w:rPr>
          <w:rFonts w:ascii="Calibri" w:hAnsi="Calibri"/>
          <w:color w:val="auto"/>
          <w:szCs w:val="24"/>
        </w:rPr>
        <w:t>osteo</w:t>
      </w:r>
      <w:r w:rsidR="005A0395">
        <w:rPr>
          <w:rFonts w:ascii="Calibri" w:hAnsi="Calibri"/>
          <w:color w:val="auto"/>
          <w:szCs w:val="24"/>
        </w:rPr>
        <w:t>chondral</w:t>
      </w:r>
      <w:proofErr w:type="spellEnd"/>
      <w:r w:rsidR="005A0395">
        <w:rPr>
          <w:rFonts w:ascii="Calibri" w:hAnsi="Calibri"/>
          <w:color w:val="auto"/>
          <w:szCs w:val="24"/>
        </w:rPr>
        <w:t xml:space="preserve"> injury</w:t>
      </w:r>
      <w:r w:rsidR="002C69E7">
        <w:rPr>
          <w:rFonts w:ascii="Calibri" w:hAnsi="Calibri"/>
          <w:color w:val="auto"/>
          <w:szCs w:val="24"/>
        </w:rPr>
        <w:t xml:space="preserve">.  </w:t>
      </w:r>
      <w:r w:rsidR="00FF01E5">
        <w:rPr>
          <w:rFonts w:ascii="Calibri" w:hAnsi="Calibri"/>
          <w:color w:val="auto"/>
          <w:szCs w:val="24"/>
        </w:rPr>
        <w:t xml:space="preserve">He continued rehabilitation and the last </w:t>
      </w:r>
      <w:r w:rsidR="00B6071D">
        <w:rPr>
          <w:rFonts w:ascii="Calibri" w:hAnsi="Calibri"/>
          <w:color w:val="auto"/>
          <w:szCs w:val="24"/>
        </w:rPr>
        <w:t>entry</w:t>
      </w:r>
      <w:r w:rsidR="006F165A">
        <w:rPr>
          <w:rFonts w:ascii="Calibri" w:hAnsi="Calibri"/>
          <w:color w:val="auto"/>
          <w:szCs w:val="24"/>
        </w:rPr>
        <w:t xml:space="preserve"> on</w:t>
      </w:r>
      <w:r w:rsidR="00FF01E5">
        <w:rPr>
          <w:rFonts w:ascii="Calibri" w:hAnsi="Calibri"/>
          <w:color w:val="auto"/>
          <w:szCs w:val="24"/>
        </w:rPr>
        <w:t xml:space="preserve"> 20080617 notes pain free full range of motion </w:t>
      </w:r>
      <w:r w:rsidR="006F165A">
        <w:rPr>
          <w:rFonts w:ascii="Calibri" w:hAnsi="Calibri"/>
          <w:color w:val="auto"/>
          <w:szCs w:val="24"/>
        </w:rPr>
        <w:t xml:space="preserve">(ROM) </w:t>
      </w:r>
      <w:r w:rsidR="00FF01E5" w:rsidRPr="0035556D">
        <w:rPr>
          <w:rFonts w:ascii="Calibri" w:hAnsi="Calibri"/>
          <w:color w:val="auto"/>
          <w:szCs w:val="24"/>
        </w:rPr>
        <w:t xml:space="preserve">although AP/PA </w:t>
      </w:r>
      <w:r w:rsidR="006F165A">
        <w:rPr>
          <w:rFonts w:ascii="Calibri" w:hAnsi="Calibri"/>
          <w:color w:val="auto"/>
          <w:szCs w:val="24"/>
        </w:rPr>
        <w:t>m</w:t>
      </w:r>
      <w:r w:rsidR="00FF01E5" w:rsidRPr="0035556D">
        <w:rPr>
          <w:rFonts w:ascii="Calibri" w:hAnsi="Calibri"/>
          <w:color w:val="auto"/>
          <w:szCs w:val="24"/>
        </w:rPr>
        <w:t>obs were decreased</w:t>
      </w:r>
      <w:r w:rsidR="0035556D" w:rsidRPr="0035556D">
        <w:rPr>
          <w:rFonts w:ascii="Calibri" w:hAnsi="Calibri"/>
          <w:i/>
          <w:color w:val="auto"/>
          <w:szCs w:val="24"/>
        </w:rPr>
        <w:t>.</w:t>
      </w:r>
      <w:r w:rsidR="0035556D">
        <w:rPr>
          <w:rFonts w:ascii="Calibri" w:hAnsi="Calibri"/>
          <w:color w:val="auto"/>
          <w:szCs w:val="24"/>
        </w:rPr>
        <w:t xml:space="preserve">  </w:t>
      </w:r>
      <w:r w:rsidR="005A0395" w:rsidRPr="0035556D">
        <w:rPr>
          <w:rFonts w:ascii="Calibri" w:hAnsi="Calibri"/>
          <w:color w:val="auto"/>
          <w:szCs w:val="24"/>
        </w:rPr>
        <w:t>The</w:t>
      </w:r>
      <w:r w:rsidR="005A0395">
        <w:rPr>
          <w:rFonts w:ascii="Calibri" w:hAnsi="Calibri"/>
          <w:color w:val="auto"/>
          <w:szCs w:val="24"/>
        </w:rPr>
        <w:t xml:space="preserve"> </w:t>
      </w:r>
      <w:r w:rsidR="00DC595A">
        <w:rPr>
          <w:rFonts w:ascii="Calibri" w:hAnsi="Calibri"/>
          <w:color w:val="auto"/>
          <w:szCs w:val="24"/>
        </w:rPr>
        <w:t>NARSUM</w:t>
      </w:r>
      <w:r w:rsidR="005A0395">
        <w:rPr>
          <w:rFonts w:ascii="Calibri" w:hAnsi="Calibri"/>
          <w:color w:val="auto"/>
          <w:szCs w:val="24"/>
        </w:rPr>
        <w:t xml:space="preserve"> exam, almost nine months prior to separation, noted </w:t>
      </w:r>
      <w:r w:rsidR="005A0395" w:rsidRPr="0035556D">
        <w:rPr>
          <w:rFonts w:ascii="Calibri" w:hAnsi="Calibri"/>
          <w:color w:val="auto"/>
          <w:szCs w:val="24"/>
        </w:rPr>
        <w:t>a slight antalgic gait, but made no comment on ROM.  T</w:t>
      </w:r>
      <w:r w:rsidR="00AA0A16" w:rsidRPr="0035556D">
        <w:rPr>
          <w:rFonts w:ascii="Calibri" w:hAnsi="Calibri"/>
          <w:color w:val="auto"/>
          <w:szCs w:val="24"/>
        </w:rPr>
        <w:t xml:space="preserve">he VA </w:t>
      </w:r>
      <w:r w:rsidR="005A0395" w:rsidRPr="0035556D">
        <w:rPr>
          <w:rFonts w:ascii="Calibri" w:hAnsi="Calibri"/>
          <w:color w:val="auto"/>
          <w:szCs w:val="24"/>
        </w:rPr>
        <w:t xml:space="preserve">Compensation and Pension (C&amp;P) </w:t>
      </w:r>
      <w:r w:rsidR="00AA0A16" w:rsidRPr="0035556D">
        <w:rPr>
          <w:rFonts w:ascii="Calibri" w:hAnsi="Calibri"/>
          <w:color w:val="auto"/>
          <w:szCs w:val="24"/>
        </w:rPr>
        <w:t xml:space="preserve">exam, </w:t>
      </w:r>
      <w:r w:rsidR="005A0395" w:rsidRPr="0035556D">
        <w:rPr>
          <w:rFonts w:ascii="Calibri" w:hAnsi="Calibri"/>
          <w:color w:val="auto"/>
          <w:szCs w:val="24"/>
        </w:rPr>
        <w:t xml:space="preserve">eight months prior to separation, noted a normal gait.  The exam was normal with the exception of several, hyperpigmented, tender post-surgical scars. </w:t>
      </w:r>
      <w:r w:rsidR="00AA0A16" w:rsidRPr="0035556D">
        <w:rPr>
          <w:rFonts w:ascii="Calibri" w:hAnsi="Calibri"/>
          <w:color w:val="auto"/>
          <w:szCs w:val="24"/>
        </w:rPr>
        <w:t xml:space="preserve"> </w:t>
      </w:r>
      <w:r w:rsidR="00B6071D" w:rsidRPr="0035556D">
        <w:rPr>
          <w:rFonts w:ascii="Calibri" w:hAnsi="Calibri"/>
          <w:color w:val="auto"/>
          <w:szCs w:val="24"/>
        </w:rPr>
        <w:t>ROM</w:t>
      </w:r>
      <w:r w:rsidR="00AA0A16" w:rsidRPr="0035556D">
        <w:rPr>
          <w:rFonts w:ascii="Calibri" w:hAnsi="Calibri"/>
          <w:color w:val="auto"/>
          <w:szCs w:val="24"/>
        </w:rPr>
        <w:t xml:space="preserve"> </w:t>
      </w:r>
      <w:r w:rsidR="00B6071D" w:rsidRPr="0035556D">
        <w:rPr>
          <w:rFonts w:ascii="Calibri" w:hAnsi="Calibri"/>
          <w:color w:val="auto"/>
          <w:szCs w:val="24"/>
        </w:rPr>
        <w:t>wa</w:t>
      </w:r>
      <w:r w:rsidR="00AA0A16" w:rsidRPr="0035556D">
        <w:rPr>
          <w:rFonts w:ascii="Calibri" w:hAnsi="Calibri"/>
          <w:color w:val="auto"/>
          <w:szCs w:val="24"/>
        </w:rPr>
        <w:t xml:space="preserve">s measured with the goniometer. </w:t>
      </w:r>
      <w:r w:rsidR="002C69E7" w:rsidRPr="0035556D">
        <w:rPr>
          <w:rFonts w:ascii="Calibri" w:hAnsi="Calibri"/>
          <w:color w:val="auto"/>
          <w:szCs w:val="24"/>
        </w:rPr>
        <w:t xml:space="preserve"> </w:t>
      </w:r>
      <w:r w:rsidR="00AA0A16" w:rsidRPr="0035556D">
        <w:rPr>
          <w:rFonts w:ascii="Calibri" w:hAnsi="Calibri"/>
          <w:color w:val="auto"/>
          <w:szCs w:val="24"/>
        </w:rPr>
        <w:t>Active dorsiflexion: 15</w:t>
      </w:r>
      <w:r w:rsidR="00745C4D" w:rsidRPr="0035556D">
        <w:rPr>
          <w:rFonts w:ascii="Calibri" w:eastAsia="Calibri" w:hAnsi="Calibri"/>
          <w:color w:val="auto"/>
          <w:sz w:val="22"/>
          <w:szCs w:val="22"/>
        </w:rPr>
        <w:t>⁰</w:t>
      </w:r>
      <w:r w:rsidR="00AA0A16" w:rsidRPr="0035556D">
        <w:rPr>
          <w:rFonts w:ascii="Calibri" w:hAnsi="Calibri"/>
          <w:color w:val="auto"/>
          <w:szCs w:val="24"/>
        </w:rPr>
        <w:t xml:space="preserve"> with pain </w:t>
      </w:r>
      <w:r w:rsidR="00745C4D" w:rsidRPr="0035556D">
        <w:rPr>
          <w:rFonts w:ascii="Calibri" w:hAnsi="Calibri"/>
          <w:color w:val="auto"/>
          <w:szCs w:val="24"/>
        </w:rPr>
        <w:t>(</w:t>
      </w:r>
      <w:r w:rsidR="006F165A">
        <w:rPr>
          <w:rFonts w:ascii="Calibri" w:hAnsi="Calibri"/>
          <w:color w:val="auto"/>
          <w:szCs w:val="24"/>
        </w:rPr>
        <w:t>n</w:t>
      </w:r>
      <w:r w:rsidR="00745C4D" w:rsidRPr="0035556D">
        <w:rPr>
          <w:rFonts w:ascii="Calibri" w:hAnsi="Calibri"/>
          <w:color w:val="auto"/>
          <w:szCs w:val="24"/>
        </w:rPr>
        <w:t>ormal 20</w:t>
      </w:r>
      <w:r w:rsidR="00745C4D" w:rsidRPr="0035556D">
        <w:rPr>
          <w:rFonts w:ascii="Calibri" w:eastAsia="Calibri" w:hAnsi="Calibri"/>
          <w:color w:val="auto"/>
          <w:sz w:val="22"/>
          <w:szCs w:val="22"/>
        </w:rPr>
        <w:t>⁰</w:t>
      </w:r>
      <w:r w:rsidR="00745C4D" w:rsidRPr="0035556D">
        <w:rPr>
          <w:rFonts w:ascii="Calibri" w:hAnsi="Calibri"/>
          <w:color w:val="auto"/>
          <w:szCs w:val="24"/>
        </w:rPr>
        <w:t xml:space="preserve">); </w:t>
      </w:r>
      <w:r w:rsidR="006F165A">
        <w:rPr>
          <w:rFonts w:ascii="Calibri" w:hAnsi="Calibri"/>
          <w:color w:val="auto"/>
          <w:szCs w:val="24"/>
        </w:rPr>
        <w:t>a</w:t>
      </w:r>
      <w:r w:rsidR="00AA0A16" w:rsidRPr="0035556D">
        <w:rPr>
          <w:rFonts w:ascii="Calibri" w:hAnsi="Calibri"/>
          <w:color w:val="auto"/>
          <w:szCs w:val="24"/>
        </w:rPr>
        <w:t>ctive plantar flexion: 30</w:t>
      </w:r>
      <w:r w:rsidR="00745C4D" w:rsidRPr="0035556D">
        <w:rPr>
          <w:rFonts w:ascii="Calibri" w:eastAsia="Calibri" w:hAnsi="Calibri"/>
          <w:color w:val="auto"/>
          <w:sz w:val="22"/>
          <w:szCs w:val="22"/>
        </w:rPr>
        <w:t>⁰</w:t>
      </w:r>
      <w:r w:rsidR="00AA0A16" w:rsidRPr="0035556D">
        <w:rPr>
          <w:rFonts w:ascii="Calibri" w:hAnsi="Calibri"/>
          <w:color w:val="auto"/>
          <w:szCs w:val="24"/>
        </w:rPr>
        <w:t xml:space="preserve"> with pain</w:t>
      </w:r>
      <w:r w:rsidR="00B6071D" w:rsidRPr="0035556D">
        <w:rPr>
          <w:rFonts w:ascii="Calibri" w:hAnsi="Calibri"/>
          <w:color w:val="auto"/>
          <w:szCs w:val="24"/>
        </w:rPr>
        <w:t xml:space="preserve"> </w:t>
      </w:r>
      <w:r w:rsidR="00745C4D" w:rsidRPr="0035556D">
        <w:rPr>
          <w:rFonts w:ascii="Calibri" w:hAnsi="Calibri"/>
          <w:color w:val="auto"/>
          <w:szCs w:val="24"/>
        </w:rPr>
        <w:t>(</w:t>
      </w:r>
      <w:r w:rsidR="006F165A">
        <w:rPr>
          <w:rFonts w:ascii="Calibri" w:hAnsi="Calibri"/>
          <w:color w:val="auto"/>
          <w:szCs w:val="24"/>
        </w:rPr>
        <w:t>n</w:t>
      </w:r>
      <w:r w:rsidR="00745C4D" w:rsidRPr="0035556D">
        <w:rPr>
          <w:rFonts w:ascii="Calibri" w:hAnsi="Calibri"/>
          <w:color w:val="auto"/>
          <w:szCs w:val="24"/>
        </w:rPr>
        <w:t>ormal 40</w:t>
      </w:r>
      <w:r w:rsidR="00745C4D" w:rsidRPr="0035556D">
        <w:rPr>
          <w:rFonts w:ascii="Calibri" w:eastAsia="Calibri" w:hAnsi="Calibri"/>
          <w:color w:val="auto"/>
          <w:sz w:val="22"/>
          <w:szCs w:val="22"/>
        </w:rPr>
        <w:t>⁰</w:t>
      </w:r>
      <w:r w:rsidR="00745C4D" w:rsidRPr="0035556D">
        <w:rPr>
          <w:rFonts w:ascii="Calibri" w:hAnsi="Calibri"/>
          <w:color w:val="auto"/>
          <w:szCs w:val="24"/>
        </w:rPr>
        <w:t xml:space="preserve">); </w:t>
      </w:r>
      <w:r w:rsidR="00970127" w:rsidRPr="0035556D">
        <w:rPr>
          <w:rFonts w:ascii="Calibri" w:hAnsi="Calibri"/>
          <w:color w:val="auto"/>
          <w:szCs w:val="24"/>
        </w:rPr>
        <w:t>ROM</w:t>
      </w:r>
      <w:r w:rsidR="00AA0A16" w:rsidRPr="0035556D">
        <w:rPr>
          <w:rFonts w:ascii="Calibri" w:hAnsi="Calibri"/>
          <w:color w:val="auto"/>
          <w:szCs w:val="24"/>
        </w:rPr>
        <w:t xml:space="preserve"> of the left ankle was </w:t>
      </w:r>
      <w:r w:rsidR="005A0395" w:rsidRPr="0035556D">
        <w:rPr>
          <w:rFonts w:ascii="Calibri" w:hAnsi="Calibri"/>
          <w:color w:val="auto"/>
          <w:szCs w:val="24"/>
        </w:rPr>
        <w:t xml:space="preserve">primarily </w:t>
      </w:r>
      <w:r w:rsidR="00AA0A16" w:rsidRPr="0035556D">
        <w:rPr>
          <w:rFonts w:ascii="Calibri" w:hAnsi="Calibri"/>
          <w:color w:val="auto"/>
          <w:szCs w:val="24"/>
        </w:rPr>
        <w:t>limited by pain</w:t>
      </w:r>
      <w:r w:rsidR="005A0395" w:rsidRPr="0035556D">
        <w:rPr>
          <w:rFonts w:ascii="Calibri" w:hAnsi="Calibri"/>
          <w:color w:val="auto"/>
          <w:szCs w:val="24"/>
        </w:rPr>
        <w:t xml:space="preserve">, but also by </w:t>
      </w:r>
      <w:r w:rsidR="00AA0A16" w:rsidRPr="0035556D">
        <w:rPr>
          <w:rFonts w:ascii="Calibri" w:hAnsi="Calibri"/>
          <w:color w:val="auto"/>
          <w:szCs w:val="24"/>
        </w:rPr>
        <w:t>lack of endurance after repetitive use</w:t>
      </w:r>
      <w:r w:rsidR="005A0395" w:rsidRPr="0035556D">
        <w:rPr>
          <w:rFonts w:ascii="Calibri" w:hAnsi="Calibri"/>
          <w:color w:val="auto"/>
          <w:szCs w:val="24"/>
        </w:rPr>
        <w:t xml:space="preserve">.  Other DeLuca criteria were negative.  </w:t>
      </w:r>
      <w:r w:rsidR="004E75D0" w:rsidRPr="0035556D">
        <w:rPr>
          <w:rFonts w:ascii="Calibri" w:hAnsi="Calibri"/>
          <w:color w:val="auto"/>
          <w:szCs w:val="24"/>
        </w:rPr>
        <w:t xml:space="preserve">Records indicated that the CI did not have loss of use of the foot or interference with normal walking following the MEB.  </w:t>
      </w:r>
      <w:r w:rsidR="00970127" w:rsidRPr="0035556D">
        <w:rPr>
          <w:rFonts w:ascii="Calibri" w:hAnsi="Calibri"/>
          <w:color w:val="auto"/>
          <w:szCs w:val="24"/>
        </w:rPr>
        <w:t xml:space="preserve">Using </w:t>
      </w:r>
      <w:proofErr w:type="gramStart"/>
      <w:r w:rsidR="00970127" w:rsidRPr="0035556D">
        <w:rPr>
          <w:rFonts w:ascii="Calibri" w:hAnsi="Calibri"/>
          <w:color w:val="auto"/>
          <w:szCs w:val="24"/>
        </w:rPr>
        <w:t>either military</w:t>
      </w:r>
      <w:proofErr w:type="gramEnd"/>
      <w:r w:rsidR="00970127" w:rsidRPr="0035556D">
        <w:rPr>
          <w:rFonts w:ascii="Calibri" w:hAnsi="Calibri"/>
          <w:color w:val="auto"/>
          <w:szCs w:val="24"/>
        </w:rPr>
        <w:t xml:space="preserve"> or VA exams, the CI’s ankle would meet the criteria for modera</w:t>
      </w:r>
      <w:r w:rsidR="007B1B40">
        <w:rPr>
          <w:rFonts w:ascii="Calibri" w:hAnsi="Calibri"/>
          <w:color w:val="auto"/>
          <w:szCs w:val="24"/>
        </w:rPr>
        <w:t>te limitation of motion under c</w:t>
      </w:r>
      <w:r w:rsidR="00970127" w:rsidRPr="0035556D">
        <w:rPr>
          <w:rFonts w:ascii="Calibri" w:hAnsi="Calibri"/>
          <w:color w:val="auto"/>
          <w:szCs w:val="24"/>
        </w:rPr>
        <w:t>ode 5271 (</w:t>
      </w:r>
      <w:r w:rsidR="006F165A">
        <w:rPr>
          <w:rFonts w:ascii="Calibri" w:hAnsi="Calibri"/>
          <w:color w:val="auto"/>
          <w:szCs w:val="24"/>
        </w:rPr>
        <w:t>a</w:t>
      </w:r>
      <w:r w:rsidR="00970127" w:rsidRPr="0035556D">
        <w:rPr>
          <w:rFonts w:ascii="Calibri" w:hAnsi="Calibri"/>
          <w:color w:val="auto"/>
          <w:szCs w:val="24"/>
        </w:rPr>
        <w:t xml:space="preserve">nkle, limited motion of).  The PEB </w:t>
      </w:r>
      <w:r w:rsidR="007B1B40">
        <w:rPr>
          <w:rFonts w:ascii="Calibri" w:hAnsi="Calibri"/>
          <w:color w:val="auto"/>
          <w:szCs w:val="24"/>
        </w:rPr>
        <w:t>rating</w:t>
      </w:r>
      <w:r w:rsidR="00970127" w:rsidRPr="0035556D">
        <w:rPr>
          <w:rFonts w:ascii="Calibri" w:hAnsi="Calibri"/>
          <w:color w:val="auto"/>
          <w:szCs w:val="24"/>
        </w:rPr>
        <w:t xml:space="preserve"> of 10% under code 5003 also would be correct at 10% with application of §4.59 (</w:t>
      </w:r>
      <w:r w:rsidR="006F165A">
        <w:rPr>
          <w:rFonts w:ascii="Calibri" w:hAnsi="Calibri"/>
          <w:color w:val="auto"/>
          <w:szCs w:val="24"/>
        </w:rPr>
        <w:t>p</w:t>
      </w:r>
      <w:r w:rsidR="00970127" w:rsidRPr="0035556D">
        <w:rPr>
          <w:rFonts w:ascii="Calibri" w:hAnsi="Calibri"/>
          <w:color w:val="auto"/>
          <w:szCs w:val="24"/>
        </w:rPr>
        <w:t xml:space="preserve">ainful motion).  Neither coding scheme is predominate or would be ratable at higher than 10%.  </w:t>
      </w:r>
      <w:r w:rsidR="0040031A" w:rsidRPr="0035556D">
        <w:rPr>
          <w:rFonts w:asciiTheme="minorHAnsi" w:hAnsiTheme="minorHAnsi"/>
          <w:color w:val="auto"/>
          <w:szCs w:val="24"/>
        </w:rPr>
        <w:t xml:space="preserve">All evidence considered, there is not reasonable doubt in the CI’s favor supporting a change from the PEB’s rating decision for the </w:t>
      </w:r>
      <w:r w:rsidR="006F165A">
        <w:rPr>
          <w:rFonts w:asciiTheme="minorHAnsi" w:hAnsiTheme="minorHAnsi"/>
          <w:color w:val="auto"/>
          <w:szCs w:val="24"/>
        </w:rPr>
        <w:t>l</w:t>
      </w:r>
      <w:r w:rsidR="0040031A" w:rsidRPr="0035556D">
        <w:rPr>
          <w:rFonts w:asciiTheme="minorHAnsi" w:hAnsiTheme="minorHAnsi"/>
          <w:color w:val="auto"/>
          <w:szCs w:val="24"/>
        </w:rPr>
        <w:t xml:space="preserve">eft </w:t>
      </w:r>
      <w:r w:rsidR="006F165A">
        <w:rPr>
          <w:rFonts w:asciiTheme="minorHAnsi" w:hAnsiTheme="minorHAnsi"/>
          <w:color w:val="auto"/>
          <w:szCs w:val="24"/>
        </w:rPr>
        <w:t>a</w:t>
      </w:r>
      <w:r w:rsidR="0040031A" w:rsidRPr="0035556D">
        <w:rPr>
          <w:rFonts w:asciiTheme="minorHAnsi" w:hAnsiTheme="minorHAnsi"/>
          <w:color w:val="auto"/>
          <w:szCs w:val="24"/>
        </w:rPr>
        <w:t>nkle condition</w:t>
      </w:r>
      <w:r w:rsidR="00C44F55" w:rsidRPr="0035556D">
        <w:rPr>
          <w:rFonts w:asciiTheme="minorHAnsi" w:hAnsiTheme="minorHAnsi"/>
          <w:color w:val="auto"/>
          <w:szCs w:val="24"/>
        </w:rPr>
        <w:t xml:space="preserve"> of 10% disability </w:t>
      </w:r>
      <w:r w:rsidR="00C44F55" w:rsidRPr="0035556D">
        <w:rPr>
          <w:rFonts w:asciiTheme="minorHAnsi" w:hAnsiTheme="minorHAnsi"/>
          <w:color w:val="auto"/>
        </w:rPr>
        <w:t xml:space="preserve">IAW </w:t>
      </w:r>
      <w:r w:rsidR="006F165A">
        <w:rPr>
          <w:rFonts w:asciiTheme="minorHAnsi" w:hAnsiTheme="minorHAnsi"/>
          <w:color w:val="auto"/>
        </w:rPr>
        <w:t xml:space="preserve">the VA Schedule </w:t>
      </w:r>
      <w:r w:rsidR="005F4CFE">
        <w:rPr>
          <w:rFonts w:asciiTheme="minorHAnsi" w:hAnsiTheme="minorHAnsi"/>
          <w:color w:val="auto"/>
        </w:rPr>
        <w:t>for</w:t>
      </w:r>
      <w:r w:rsidR="006F165A">
        <w:rPr>
          <w:rFonts w:asciiTheme="minorHAnsi" w:hAnsiTheme="minorHAnsi"/>
          <w:color w:val="auto"/>
        </w:rPr>
        <w:t xml:space="preserve"> Rating Disabilities (</w:t>
      </w:r>
      <w:r w:rsidR="00C44F55" w:rsidRPr="0035556D">
        <w:rPr>
          <w:rFonts w:asciiTheme="minorHAnsi" w:hAnsiTheme="minorHAnsi"/>
          <w:color w:val="auto"/>
        </w:rPr>
        <w:t>VASRD</w:t>
      </w:r>
      <w:r w:rsidR="006F165A">
        <w:rPr>
          <w:rFonts w:asciiTheme="minorHAnsi" w:hAnsiTheme="minorHAnsi"/>
          <w:color w:val="auto"/>
        </w:rPr>
        <w:t>)</w:t>
      </w:r>
      <w:r w:rsidR="00C44F55" w:rsidRPr="0035556D">
        <w:rPr>
          <w:rFonts w:asciiTheme="minorHAnsi" w:hAnsiTheme="minorHAnsi"/>
          <w:color w:val="auto"/>
        </w:rPr>
        <w:t xml:space="preserve"> §</w:t>
      </w:r>
      <w:r w:rsidR="00C44F55" w:rsidRPr="0035556D">
        <w:rPr>
          <w:rFonts w:asciiTheme="minorHAnsi" w:hAnsiTheme="minorHAnsi"/>
          <w:color w:val="auto"/>
          <w:szCs w:val="24"/>
        </w:rPr>
        <w:t>4.71a</w:t>
      </w:r>
      <w:r w:rsidR="00C44F55" w:rsidRPr="0035556D">
        <w:rPr>
          <w:rFonts w:asciiTheme="minorHAnsi" w:hAnsiTheme="minorHAnsi"/>
          <w:color w:val="auto"/>
        </w:rPr>
        <w:t>.</w:t>
      </w:r>
      <w:r w:rsidR="008A425D">
        <w:rPr>
          <w:rFonts w:asciiTheme="minorHAnsi" w:hAnsiTheme="minorHAnsi"/>
          <w:color w:val="auto"/>
        </w:rPr>
        <w:t xml:space="preserve">  </w:t>
      </w:r>
    </w:p>
    <w:p w:rsidR="009259BA" w:rsidRPr="00AA0A16" w:rsidRDefault="009259BA" w:rsidP="0020745D">
      <w:pPr>
        <w:autoSpaceDE w:val="0"/>
        <w:autoSpaceDN w:val="0"/>
        <w:adjustRightInd w:val="0"/>
        <w:spacing w:line="240" w:lineRule="exact"/>
        <w:jc w:val="both"/>
        <w:rPr>
          <w:rFonts w:ascii="Calibri" w:hAnsi="Calibri"/>
          <w:color w:val="auto"/>
          <w:szCs w:val="24"/>
        </w:rPr>
      </w:pPr>
    </w:p>
    <w:p w:rsidR="00044623" w:rsidRDefault="00745C4D" w:rsidP="0020745D">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u w:val="single"/>
        </w:rPr>
        <w:t xml:space="preserve">Other </w:t>
      </w:r>
      <w:r w:rsidR="00BC59E0" w:rsidRPr="00396779">
        <w:rPr>
          <w:rFonts w:asciiTheme="minorHAnsi" w:hAnsiTheme="minorHAnsi"/>
          <w:color w:val="auto"/>
          <w:szCs w:val="24"/>
          <w:u w:val="single"/>
        </w:rPr>
        <w:t>Conditions</w:t>
      </w:r>
      <w:r w:rsidR="002C69E7">
        <w:rPr>
          <w:rFonts w:asciiTheme="minorHAnsi" w:hAnsiTheme="minorHAnsi"/>
          <w:color w:val="auto"/>
          <w:szCs w:val="24"/>
          <w:u w:val="single"/>
        </w:rPr>
        <w:t xml:space="preserve">; </w:t>
      </w:r>
      <w:r w:rsidR="00BC59E0" w:rsidRPr="00363172">
        <w:rPr>
          <w:rFonts w:asciiTheme="minorHAnsi" w:hAnsiTheme="minorHAnsi"/>
          <w:color w:val="auto"/>
          <w:szCs w:val="24"/>
          <w:u w:val="single"/>
        </w:rPr>
        <w:t>(</w:t>
      </w:r>
      <w:r w:rsidRPr="00363172">
        <w:rPr>
          <w:rFonts w:asciiTheme="minorHAnsi" w:hAnsiTheme="minorHAnsi"/>
          <w:color w:val="auto"/>
          <w:szCs w:val="24"/>
          <w:u w:val="single"/>
        </w:rPr>
        <w:t>Post</w:t>
      </w:r>
      <w:r w:rsidR="005F4CFE">
        <w:rPr>
          <w:rFonts w:asciiTheme="minorHAnsi" w:hAnsiTheme="minorHAnsi"/>
          <w:color w:val="auto"/>
          <w:szCs w:val="24"/>
          <w:u w:val="single"/>
        </w:rPr>
        <w:t>t</w:t>
      </w:r>
      <w:r w:rsidRPr="00363172">
        <w:rPr>
          <w:rFonts w:asciiTheme="minorHAnsi" w:hAnsiTheme="minorHAnsi"/>
          <w:color w:val="auto"/>
          <w:szCs w:val="24"/>
          <w:u w:val="single"/>
        </w:rPr>
        <w:t>raumatic Stress Disorder (</w:t>
      </w:r>
      <w:r w:rsidR="00BC59E0" w:rsidRPr="00363172">
        <w:rPr>
          <w:rFonts w:asciiTheme="minorHAnsi" w:hAnsiTheme="minorHAnsi"/>
          <w:color w:val="auto"/>
          <w:szCs w:val="24"/>
          <w:u w:val="single"/>
        </w:rPr>
        <w:t>PTSD</w:t>
      </w:r>
      <w:r w:rsidRPr="00363172">
        <w:rPr>
          <w:rFonts w:asciiTheme="minorHAnsi" w:hAnsiTheme="minorHAnsi"/>
          <w:color w:val="auto"/>
          <w:szCs w:val="24"/>
          <w:u w:val="single"/>
        </w:rPr>
        <w:t>)</w:t>
      </w:r>
      <w:r w:rsidR="00BC59E0" w:rsidRPr="00363172">
        <w:rPr>
          <w:rFonts w:asciiTheme="minorHAnsi" w:hAnsiTheme="minorHAnsi"/>
          <w:color w:val="auto"/>
          <w:szCs w:val="24"/>
          <w:u w:val="single"/>
        </w:rPr>
        <w:t xml:space="preserve">, </w:t>
      </w:r>
      <w:r w:rsidRPr="00363172">
        <w:rPr>
          <w:rFonts w:asciiTheme="minorHAnsi" w:hAnsiTheme="minorHAnsi"/>
          <w:color w:val="auto"/>
          <w:szCs w:val="24"/>
          <w:u w:val="single"/>
        </w:rPr>
        <w:t xml:space="preserve">Residual Ankle Scars, </w:t>
      </w:r>
      <w:r w:rsidR="00BC59E0" w:rsidRPr="00363172">
        <w:rPr>
          <w:rFonts w:asciiTheme="minorHAnsi" w:hAnsiTheme="minorHAnsi"/>
          <w:color w:val="auto"/>
          <w:szCs w:val="24"/>
          <w:u w:val="single"/>
        </w:rPr>
        <w:t>L</w:t>
      </w:r>
      <w:r w:rsidRPr="00363172">
        <w:rPr>
          <w:rFonts w:asciiTheme="minorHAnsi" w:hAnsiTheme="minorHAnsi"/>
          <w:color w:val="auto"/>
          <w:szCs w:val="24"/>
          <w:u w:val="single"/>
        </w:rPr>
        <w:t>umbar</w:t>
      </w:r>
      <w:r w:rsidR="00BC59E0" w:rsidRPr="00363172">
        <w:rPr>
          <w:rFonts w:asciiTheme="minorHAnsi" w:hAnsiTheme="minorHAnsi"/>
          <w:color w:val="auto"/>
          <w:szCs w:val="24"/>
          <w:u w:val="single"/>
        </w:rPr>
        <w:t xml:space="preserve"> Spine D</w:t>
      </w:r>
      <w:r w:rsidRPr="00363172">
        <w:rPr>
          <w:rFonts w:asciiTheme="minorHAnsi" w:hAnsiTheme="minorHAnsi"/>
          <w:color w:val="auto"/>
          <w:szCs w:val="24"/>
          <w:u w:val="single"/>
        </w:rPr>
        <w:t>egenerative Disc Disease (D</w:t>
      </w:r>
      <w:r w:rsidR="00BC59E0" w:rsidRPr="00363172">
        <w:rPr>
          <w:rFonts w:asciiTheme="minorHAnsi" w:hAnsiTheme="minorHAnsi"/>
          <w:color w:val="auto"/>
          <w:szCs w:val="24"/>
          <w:u w:val="single"/>
        </w:rPr>
        <w:t>DD</w:t>
      </w:r>
      <w:r w:rsidRPr="00363172">
        <w:rPr>
          <w:rFonts w:asciiTheme="minorHAnsi" w:hAnsiTheme="minorHAnsi"/>
          <w:color w:val="auto"/>
          <w:szCs w:val="24"/>
          <w:u w:val="single"/>
        </w:rPr>
        <w:t>)</w:t>
      </w:r>
      <w:r w:rsidR="00BC59E0" w:rsidRPr="00363172">
        <w:rPr>
          <w:rFonts w:asciiTheme="minorHAnsi" w:hAnsiTheme="minorHAnsi"/>
          <w:color w:val="auto"/>
          <w:szCs w:val="24"/>
          <w:u w:val="single"/>
        </w:rPr>
        <w:t xml:space="preserve">, </w:t>
      </w:r>
      <w:r w:rsidRPr="00363172">
        <w:rPr>
          <w:rFonts w:asciiTheme="minorHAnsi" w:hAnsiTheme="minorHAnsi"/>
          <w:color w:val="auto"/>
          <w:szCs w:val="24"/>
          <w:u w:val="single"/>
        </w:rPr>
        <w:t>Gastro-Esophageal Reflux Disease (</w:t>
      </w:r>
      <w:r w:rsidR="00BC59E0" w:rsidRPr="00363172">
        <w:rPr>
          <w:rFonts w:asciiTheme="minorHAnsi" w:hAnsiTheme="minorHAnsi"/>
          <w:color w:val="auto"/>
          <w:szCs w:val="24"/>
          <w:u w:val="single"/>
        </w:rPr>
        <w:t>GERD</w:t>
      </w:r>
      <w:r w:rsidRPr="00363172">
        <w:rPr>
          <w:rFonts w:asciiTheme="minorHAnsi" w:hAnsiTheme="minorHAnsi"/>
          <w:color w:val="auto"/>
          <w:szCs w:val="24"/>
          <w:u w:val="single"/>
        </w:rPr>
        <w:t>)</w:t>
      </w:r>
      <w:r w:rsidR="00BC59E0" w:rsidRPr="00363172">
        <w:rPr>
          <w:rFonts w:asciiTheme="minorHAnsi" w:hAnsiTheme="minorHAnsi"/>
          <w:color w:val="auto"/>
          <w:szCs w:val="24"/>
          <w:u w:val="single"/>
        </w:rPr>
        <w:t>, and Left Finger F</w:t>
      </w:r>
      <w:r w:rsidR="00403A72">
        <w:rPr>
          <w:rFonts w:asciiTheme="minorHAnsi" w:hAnsiTheme="minorHAnsi"/>
          <w:color w:val="auto"/>
          <w:szCs w:val="24"/>
          <w:u w:val="single"/>
        </w:rPr>
        <w:t>racture</w:t>
      </w:r>
      <w:r w:rsidR="00BC59E0" w:rsidRPr="00363172">
        <w:rPr>
          <w:rFonts w:asciiTheme="minorHAnsi" w:hAnsiTheme="minorHAnsi"/>
          <w:color w:val="auto"/>
          <w:szCs w:val="24"/>
          <w:u w:val="single"/>
        </w:rPr>
        <w:t>)</w:t>
      </w:r>
      <w:r w:rsidR="002C6E5B" w:rsidRPr="00363172">
        <w:rPr>
          <w:rFonts w:asciiTheme="minorHAnsi" w:hAnsiTheme="minorHAnsi"/>
          <w:color w:val="auto"/>
          <w:szCs w:val="24"/>
        </w:rPr>
        <w:t xml:space="preserve">.  </w:t>
      </w:r>
      <w:r w:rsidR="00BC59E0">
        <w:rPr>
          <w:rFonts w:asciiTheme="minorHAnsi" w:hAnsiTheme="minorHAnsi"/>
          <w:color w:val="auto"/>
          <w:szCs w:val="24"/>
        </w:rPr>
        <w:t xml:space="preserve">The remaining conditions were mentioned in the DES file, but no symptoms rose to the level of being unfitting. </w:t>
      </w:r>
      <w:r w:rsidR="002C69E7">
        <w:rPr>
          <w:rFonts w:asciiTheme="minorHAnsi" w:hAnsiTheme="minorHAnsi"/>
          <w:color w:val="auto"/>
          <w:szCs w:val="24"/>
        </w:rPr>
        <w:t xml:space="preserve"> </w:t>
      </w:r>
      <w:r w:rsidR="00BC59E0">
        <w:rPr>
          <w:rFonts w:asciiTheme="minorHAnsi" w:hAnsiTheme="minorHAnsi"/>
          <w:color w:val="auto"/>
          <w:szCs w:val="24"/>
        </w:rPr>
        <w:t xml:space="preserve">There were </w:t>
      </w:r>
      <w:r>
        <w:rPr>
          <w:rFonts w:asciiTheme="minorHAnsi" w:hAnsiTheme="minorHAnsi"/>
          <w:color w:val="auto"/>
          <w:szCs w:val="24"/>
        </w:rPr>
        <w:t xml:space="preserve">neither </w:t>
      </w:r>
      <w:r w:rsidR="00BC59E0">
        <w:rPr>
          <w:rFonts w:asciiTheme="minorHAnsi" w:hAnsiTheme="minorHAnsi"/>
          <w:color w:val="auto"/>
          <w:szCs w:val="24"/>
        </w:rPr>
        <w:t xml:space="preserve">LIMDU periods </w:t>
      </w:r>
      <w:r>
        <w:rPr>
          <w:rFonts w:asciiTheme="minorHAnsi" w:hAnsiTheme="minorHAnsi"/>
          <w:color w:val="auto"/>
          <w:szCs w:val="24"/>
        </w:rPr>
        <w:t>n</w:t>
      </w:r>
      <w:r w:rsidR="00BC59E0">
        <w:rPr>
          <w:rFonts w:asciiTheme="minorHAnsi" w:hAnsiTheme="minorHAnsi"/>
          <w:color w:val="auto"/>
          <w:szCs w:val="24"/>
        </w:rPr>
        <w:t xml:space="preserve">or </w:t>
      </w:r>
      <w:r>
        <w:rPr>
          <w:rFonts w:asciiTheme="minorHAnsi" w:hAnsiTheme="minorHAnsi"/>
          <w:color w:val="auto"/>
          <w:szCs w:val="24"/>
        </w:rPr>
        <w:t xml:space="preserve">were these </w:t>
      </w:r>
      <w:r w:rsidR="00BC59E0">
        <w:rPr>
          <w:rFonts w:asciiTheme="minorHAnsi" w:hAnsiTheme="minorHAnsi"/>
          <w:color w:val="auto"/>
          <w:szCs w:val="24"/>
        </w:rPr>
        <w:t>mention</w:t>
      </w:r>
      <w:r w:rsidR="00B24E88">
        <w:rPr>
          <w:rFonts w:asciiTheme="minorHAnsi" w:hAnsiTheme="minorHAnsi"/>
          <w:color w:val="auto"/>
          <w:szCs w:val="24"/>
        </w:rPr>
        <w:t xml:space="preserve">ed in the </w:t>
      </w:r>
      <w:r>
        <w:rPr>
          <w:rFonts w:asciiTheme="minorHAnsi" w:hAnsiTheme="minorHAnsi"/>
          <w:color w:val="auto"/>
          <w:szCs w:val="24"/>
        </w:rPr>
        <w:t>non-medical assessment</w:t>
      </w:r>
      <w:r w:rsidR="00403A72">
        <w:rPr>
          <w:rFonts w:asciiTheme="minorHAnsi" w:hAnsiTheme="minorHAnsi"/>
          <w:color w:val="auto"/>
          <w:szCs w:val="24"/>
        </w:rPr>
        <w:t xml:space="preserve"> (NMA)</w:t>
      </w:r>
      <w:r w:rsidR="00970127">
        <w:rPr>
          <w:rFonts w:asciiTheme="minorHAnsi" w:hAnsiTheme="minorHAnsi"/>
          <w:color w:val="auto"/>
          <w:szCs w:val="24"/>
        </w:rPr>
        <w:t xml:space="preserve"> as impacting duty performance</w:t>
      </w:r>
      <w:r>
        <w:rPr>
          <w:rFonts w:asciiTheme="minorHAnsi" w:hAnsiTheme="minorHAnsi"/>
          <w:color w:val="auto"/>
          <w:szCs w:val="24"/>
        </w:rPr>
        <w:t xml:space="preserve">.  </w:t>
      </w:r>
      <w:r w:rsidR="00C44F55">
        <w:rPr>
          <w:rFonts w:asciiTheme="minorHAnsi" w:hAnsiTheme="minorHAnsi"/>
          <w:color w:val="auto"/>
          <w:szCs w:val="24"/>
        </w:rPr>
        <w:t xml:space="preserve">The </w:t>
      </w:r>
      <w:r w:rsidR="00970127">
        <w:rPr>
          <w:rFonts w:asciiTheme="minorHAnsi" w:hAnsiTheme="minorHAnsi"/>
          <w:color w:val="auto"/>
          <w:szCs w:val="24"/>
        </w:rPr>
        <w:t>NMA</w:t>
      </w:r>
      <w:r w:rsidR="00C44F55">
        <w:rPr>
          <w:rFonts w:asciiTheme="minorHAnsi" w:hAnsiTheme="minorHAnsi"/>
          <w:color w:val="auto"/>
          <w:szCs w:val="24"/>
        </w:rPr>
        <w:t xml:space="preserve"> attributed all impairment of duty to the left ankle condition. </w:t>
      </w:r>
      <w:r w:rsidR="002C69E7">
        <w:rPr>
          <w:rFonts w:asciiTheme="minorHAnsi" w:hAnsiTheme="minorHAnsi"/>
          <w:color w:val="auto"/>
          <w:szCs w:val="24"/>
        </w:rPr>
        <w:t xml:space="preserve"> </w:t>
      </w:r>
      <w:r w:rsidR="00C44F55">
        <w:rPr>
          <w:rFonts w:asciiTheme="minorHAnsi" w:hAnsiTheme="minorHAnsi"/>
          <w:color w:val="auto"/>
          <w:szCs w:val="24"/>
        </w:rPr>
        <w:t xml:space="preserve">The record specifically annotates that the PTSD </w:t>
      </w:r>
      <w:r w:rsidR="00970127">
        <w:rPr>
          <w:rFonts w:asciiTheme="minorHAnsi" w:hAnsiTheme="minorHAnsi"/>
          <w:color w:val="auto"/>
          <w:szCs w:val="24"/>
        </w:rPr>
        <w:t xml:space="preserve">condition </w:t>
      </w:r>
      <w:r w:rsidR="00C44F55">
        <w:rPr>
          <w:rFonts w:asciiTheme="minorHAnsi" w:hAnsiTheme="minorHAnsi"/>
          <w:color w:val="auto"/>
          <w:szCs w:val="24"/>
        </w:rPr>
        <w:t xml:space="preserve">did not impact duty performance.  Mechanical low back pain, GERD and the finger fracture have one to two </w:t>
      </w:r>
      <w:r w:rsidR="00970127">
        <w:rPr>
          <w:rFonts w:asciiTheme="minorHAnsi" w:hAnsiTheme="minorHAnsi"/>
          <w:color w:val="auto"/>
          <w:szCs w:val="24"/>
        </w:rPr>
        <w:t xml:space="preserve">medical record </w:t>
      </w:r>
      <w:r w:rsidR="00C44F55">
        <w:rPr>
          <w:rFonts w:asciiTheme="minorHAnsi" w:hAnsiTheme="minorHAnsi"/>
          <w:color w:val="auto"/>
          <w:szCs w:val="24"/>
        </w:rPr>
        <w:t xml:space="preserve">entries each and no indication of permanent duty impairment. </w:t>
      </w:r>
      <w:r w:rsidR="00B729D8">
        <w:rPr>
          <w:rFonts w:asciiTheme="minorHAnsi" w:hAnsiTheme="minorHAnsi"/>
          <w:color w:val="auto"/>
          <w:szCs w:val="24"/>
        </w:rPr>
        <w:t xml:space="preserve"> No mention is made of the post-surgical scars other than in passing</w:t>
      </w:r>
      <w:r w:rsidR="00970127">
        <w:rPr>
          <w:rFonts w:asciiTheme="minorHAnsi" w:hAnsiTheme="minorHAnsi"/>
          <w:color w:val="auto"/>
          <w:szCs w:val="24"/>
        </w:rPr>
        <w:t xml:space="preserve"> and there was no restriction from wearing military footgear</w:t>
      </w:r>
      <w:r w:rsidR="00B729D8">
        <w:rPr>
          <w:rFonts w:asciiTheme="minorHAnsi" w:hAnsiTheme="minorHAnsi"/>
          <w:color w:val="auto"/>
          <w:szCs w:val="24"/>
        </w:rPr>
        <w:t xml:space="preserve">.  </w:t>
      </w:r>
      <w:r w:rsidR="00C44F55">
        <w:rPr>
          <w:rFonts w:asciiTheme="minorHAnsi" w:hAnsiTheme="minorHAnsi"/>
          <w:color w:val="auto"/>
          <w:szCs w:val="24"/>
        </w:rPr>
        <w:t xml:space="preserve">It is noted that the VA granted a 30% disability rating for PTSD based on exam accomplished while on active duty.  The </w:t>
      </w:r>
      <w:r w:rsidR="00970127">
        <w:rPr>
          <w:rFonts w:asciiTheme="minorHAnsi" w:hAnsiTheme="minorHAnsi"/>
          <w:color w:val="auto"/>
          <w:szCs w:val="24"/>
        </w:rPr>
        <w:t>MEB history, taken one week</w:t>
      </w:r>
      <w:r w:rsidR="00B729D8">
        <w:rPr>
          <w:rFonts w:asciiTheme="minorHAnsi" w:hAnsiTheme="minorHAnsi"/>
          <w:color w:val="auto"/>
          <w:szCs w:val="24"/>
        </w:rPr>
        <w:t xml:space="preserve"> later notes “PT denies significant </w:t>
      </w:r>
      <w:proofErr w:type="spellStart"/>
      <w:r w:rsidR="00B729D8">
        <w:rPr>
          <w:rFonts w:asciiTheme="minorHAnsi" w:hAnsiTheme="minorHAnsi"/>
          <w:color w:val="auto"/>
          <w:szCs w:val="24"/>
        </w:rPr>
        <w:t>sx</w:t>
      </w:r>
      <w:proofErr w:type="spellEnd"/>
      <w:r w:rsidR="00B729D8">
        <w:rPr>
          <w:rFonts w:asciiTheme="minorHAnsi" w:hAnsiTheme="minorHAnsi"/>
          <w:color w:val="auto"/>
          <w:szCs w:val="24"/>
        </w:rPr>
        <w:t xml:space="preserve"> of Combat Stress/PTSD”.</w:t>
      </w:r>
      <w:r w:rsidR="00C44F55">
        <w:rPr>
          <w:rFonts w:asciiTheme="minorHAnsi" w:hAnsiTheme="minorHAnsi"/>
          <w:color w:val="auto"/>
          <w:szCs w:val="24"/>
        </w:rPr>
        <w:t xml:space="preserve"> </w:t>
      </w:r>
      <w:r w:rsidR="002C69E7">
        <w:rPr>
          <w:rFonts w:asciiTheme="minorHAnsi" w:hAnsiTheme="minorHAnsi"/>
          <w:color w:val="auto"/>
          <w:szCs w:val="24"/>
        </w:rPr>
        <w:t xml:space="preserve"> </w:t>
      </w:r>
      <w:r w:rsidR="00970127">
        <w:rPr>
          <w:rFonts w:asciiTheme="minorHAnsi" w:hAnsiTheme="minorHAnsi"/>
          <w:color w:val="auto"/>
          <w:szCs w:val="24"/>
        </w:rPr>
        <w:t xml:space="preserve">The mere presence of a diagnosis is not sufficient for indicating unfitness or for separation rating.  </w:t>
      </w:r>
      <w:r w:rsidR="00A76039">
        <w:rPr>
          <w:rFonts w:asciiTheme="minorHAnsi" w:hAnsiTheme="minorHAnsi"/>
          <w:color w:val="auto"/>
          <w:szCs w:val="24"/>
        </w:rPr>
        <w:t>All evidence considered</w:t>
      </w:r>
      <w:proofErr w:type="gramStart"/>
      <w:r w:rsidR="00A76039">
        <w:rPr>
          <w:rFonts w:asciiTheme="minorHAnsi" w:hAnsiTheme="minorHAnsi"/>
          <w:color w:val="auto"/>
          <w:szCs w:val="24"/>
        </w:rPr>
        <w:t>,</w:t>
      </w:r>
      <w:proofErr w:type="gramEnd"/>
      <w:r w:rsidR="00A76039">
        <w:rPr>
          <w:rFonts w:asciiTheme="minorHAnsi" w:hAnsiTheme="minorHAnsi"/>
          <w:color w:val="auto"/>
          <w:szCs w:val="24"/>
        </w:rPr>
        <w:t xml:space="preserve"> there is not reasonable doubt in the CI’s favor supporting addition of any of the above conditions as unfitting conditions for separation rating.  No other active medical conditions were included in the DES file and there is no evidence that would implicate them as unfitting.  No other conditions were contended or rated by the VA within 12 months of separation.  </w:t>
      </w:r>
      <w:r w:rsidR="00BC59E0">
        <w:rPr>
          <w:rFonts w:asciiTheme="minorHAnsi" w:hAnsiTheme="minorHAnsi"/>
          <w:color w:val="auto"/>
          <w:szCs w:val="24"/>
        </w:rPr>
        <w:t>The Board, therefore, has no reasonable basis for recommending any additional unfitting con</w:t>
      </w:r>
      <w:r w:rsidR="008C02AE">
        <w:rPr>
          <w:rFonts w:asciiTheme="minorHAnsi" w:hAnsiTheme="minorHAnsi"/>
          <w:color w:val="auto"/>
          <w:szCs w:val="24"/>
        </w:rPr>
        <w:t>ditions for separation rating.</w:t>
      </w:r>
      <w:r w:rsidR="00363172">
        <w:rPr>
          <w:rFonts w:asciiTheme="minorHAnsi" w:hAnsiTheme="minorHAnsi"/>
          <w:color w:val="auto"/>
          <w:szCs w:val="24"/>
        </w:rPr>
        <w:t xml:space="preserve">  </w:t>
      </w:r>
    </w:p>
    <w:p w:rsidR="00106AD8" w:rsidRPr="00363172" w:rsidRDefault="00106AD8" w:rsidP="0020745D">
      <w:pPr>
        <w:pBdr>
          <w:bottom w:val="single" w:sz="12" w:space="1" w:color="auto"/>
        </w:pBdr>
        <w:tabs>
          <w:tab w:val="left" w:pos="288"/>
          <w:tab w:val="left" w:pos="4752"/>
        </w:tabs>
        <w:spacing w:line="240" w:lineRule="exact"/>
        <w:jc w:val="both"/>
        <w:rPr>
          <w:rFonts w:ascii="Calibri" w:hAnsi="Calibri"/>
          <w:color w:val="auto"/>
          <w:szCs w:val="24"/>
        </w:rPr>
      </w:pPr>
    </w:p>
    <w:p w:rsidR="00106AD8" w:rsidRPr="00363172" w:rsidRDefault="00106AD8" w:rsidP="0020745D">
      <w:pPr>
        <w:tabs>
          <w:tab w:val="left" w:pos="288"/>
          <w:tab w:val="left" w:pos="4752"/>
        </w:tabs>
        <w:spacing w:line="240" w:lineRule="exact"/>
        <w:jc w:val="both"/>
        <w:rPr>
          <w:rFonts w:ascii="Calibri" w:hAnsi="Calibri"/>
          <w:color w:val="auto"/>
          <w:szCs w:val="24"/>
        </w:rPr>
      </w:pPr>
    </w:p>
    <w:p w:rsidR="00A76039" w:rsidRDefault="00C56FC8" w:rsidP="0020745D">
      <w:pPr>
        <w:spacing w:line="240" w:lineRule="exact"/>
        <w:jc w:val="both"/>
        <w:rPr>
          <w:rFonts w:asciiTheme="minorHAnsi" w:eastAsiaTheme="minorHAnsi" w:hAnsiTheme="minorHAnsi"/>
          <w:color w:val="auto"/>
          <w:szCs w:val="24"/>
        </w:rPr>
      </w:pPr>
      <w:r w:rsidRPr="00363172">
        <w:rPr>
          <w:rFonts w:asciiTheme="minorHAnsi" w:hAnsiTheme="minorHAnsi"/>
          <w:color w:val="auto"/>
          <w:szCs w:val="24"/>
          <w:u w:val="single"/>
        </w:rPr>
        <w:t>BOARD FINDINGS</w:t>
      </w:r>
      <w:r w:rsidRPr="00C276CD">
        <w:rPr>
          <w:rFonts w:asciiTheme="minorHAnsi" w:hAnsiTheme="minorHAnsi"/>
          <w:color w:val="auto"/>
          <w:szCs w:val="24"/>
        </w:rPr>
        <w:t>:</w:t>
      </w:r>
      <w:r w:rsidRPr="00C276CD">
        <w:rPr>
          <w:rFonts w:asciiTheme="minorHAnsi" w:eastAsiaTheme="minorHAnsi" w:hAnsiTheme="minorHAnsi"/>
          <w:color w:val="auto"/>
          <w:szCs w:val="24"/>
        </w:rPr>
        <w:t xml:space="preserve">  IAW DoDI 6040.44, provisions </w:t>
      </w:r>
      <w:r w:rsidRPr="00396779">
        <w:rPr>
          <w:rFonts w:asciiTheme="minorHAnsi" w:eastAsiaTheme="minorHAnsi" w:hAnsiTheme="minorHAnsi"/>
          <w:color w:val="auto"/>
          <w:szCs w:val="24"/>
        </w:rPr>
        <w:t xml:space="preserve">of DoD or Military Department regulations or guidelines relied upon by the PEB will not be considered by the Board to the extent they were inconsistent with the VASRD in effect at the time of the adjudication. </w:t>
      </w:r>
      <w:r w:rsidR="001D68CF" w:rsidRPr="00396779">
        <w:rPr>
          <w:rFonts w:asciiTheme="minorHAnsi" w:eastAsiaTheme="minorHAnsi" w:hAnsiTheme="minorHAnsi"/>
          <w:color w:val="auto"/>
          <w:szCs w:val="24"/>
        </w:rPr>
        <w:t xml:space="preserve"> </w:t>
      </w:r>
      <w:r w:rsidR="00C44F55">
        <w:rPr>
          <w:rFonts w:asciiTheme="minorHAnsi" w:eastAsiaTheme="minorHAnsi" w:hAnsiTheme="minorHAnsi"/>
          <w:color w:val="auto"/>
          <w:szCs w:val="24"/>
        </w:rPr>
        <w:t>T</w:t>
      </w:r>
      <w:r w:rsidRPr="00396779">
        <w:rPr>
          <w:rFonts w:asciiTheme="minorHAnsi" w:eastAsiaTheme="minorHAnsi" w:hAnsiTheme="minorHAnsi"/>
          <w:color w:val="auto"/>
          <w:szCs w:val="24"/>
        </w:rPr>
        <w:t xml:space="preserve">he Board did not surmise from the record or PEB ruling in this case that any prerogatives outside the VASRD </w:t>
      </w:r>
      <w:r w:rsidRPr="0035556D">
        <w:rPr>
          <w:rFonts w:asciiTheme="minorHAnsi" w:eastAsiaTheme="minorHAnsi" w:hAnsiTheme="minorHAnsi"/>
          <w:color w:val="auto"/>
          <w:szCs w:val="24"/>
        </w:rPr>
        <w:t>were exercised.</w:t>
      </w:r>
      <w:r w:rsidR="00C276CD" w:rsidRPr="0035556D">
        <w:rPr>
          <w:rFonts w:asciiTheme="minorHAnsi" w:eastAsiaTheme="minorHAnsi" w:hAnsiTheme="minorHAnsi"/>
          <w:color w:val="auto"/>
          <w:szCs w:val="24"/>
        </w:rPr>
        <w:t xml:space="preserve">  </w:t>
      </w:r>
      <w:r w:rsidR="00A76039" w:rsidRPr="0035556D">
        <w:rPr>
          <w:rFonts w:asciiTheme="minorHAnsi" w:eastAsiaTheme="minorHAnsi" w:hAnsiTheme="minorHAnsi"/>
          <w:color w:val="auto"/>
          <w:szCs w:val="24"/>
        </w:rPr>
        <w:t xml:space="preserve">In the matter of the </w:t>
      </w:r>
      <w:r w:rsidR="00403A72">
        <w:rPr>
          <w:rFonts w:asciiTheme="minorHAnsi" w:eastAsiaTheme="minorHAnsi" w:hAnsiTheme="minorHAnsi"/>
          <w:color w:val="auto"/>
          <w:szCs w:val="24"/>
        </w:rPr>
        <w:t>l</w:t>
      </w:r>
      <w:r w:rsidR="00A76039" w:rsidRPr="0035556D">
        <w:rPr>
          <w:rFonts w:asciiTheme="minorHAnsi" w:eastAsiaTheme="minorHAnsi" w:hAnsiTheme="minorHAnsi"/>
          <w:color w:val="auto"/>
          <w:szCs w:val="24"/>
        </w:rPr>
        <w:t xml:space="preserve">eft </w:t>
      </w:r>
      <w:r w:rsidR="00403A72">
        <w:rPr>
          <w:rFonts w:asciiTheme="minorHAnsi" w:eastAsiaTheme="minorHAnsi" w:hAnsiTheme="minorHAnsi"/>
          <w:color w:val="auto"/>
          <w:szCs w:val="24"/>
        </w:rPr>
        <w:t>a</w:t>
      </w:r>
      <w:r w:rsidR="00A76039" w:rsidRPr="0035556D">
        <w:rPr>
          <w:rFonts w:asciiTheme="minorHAnsi" w:eastAsiaTheme="minorHAnsi" w:hAnsiTheme="minorHAnsi"/>
          <w:color w:val="auto"/>
          <w:szCs w:val="24"/>
        </w:rPr>
        <w:t xml:space="preserve">nkle condition and </w:t>
      </w:r>
      <w:r w:rsidR="00A76039" w:rsidRPr="0035556D">
        <w:rPr>
          <w:rFonts w:asciiTheme="minorHAnsi" w:hAnsiTheme="minorHAnsi"/>
          <w:color w:val="auto"/>
          <w:szCs w:val="24"/>
        </w:rPr>
        <w:t>IAW VASRD §4.71a</w:t>
      </w:r>
      <w:r w:rsidR="00A76039" w:rsidRPr="0035556D">
        <w:rPr>
          <w:rFonts w:asciiTheme="minorHAnsi" w:eastAsiaTheme="minorHAnsi" w:hAnsiTheme="minorHAnsi"/>
          <w:color w:val="auto"/>
          <w:szCs w:val="24"/>
        </w:rPr>
        <w:t>, the Board unanimously recommends no change in the PEB adjudication of 5003 at 10%</w:t>
      </w:r>
      <w:r w:rsidR="00A76039" w:rsidRPr="0035556D">
        <w:rPr>
          <w:rFonts w:asciiTheme="minorHAnsi" w:hAnsiTheme="minorHAnsi"/>
          <w:color w:val="auto"/>
          <w:szCs w:val="24"/>
        </w:rPr>
        <w:t>.  In the matter of the P</w:t>
      </w:r>
      <w:r w:rsidR="00403A72">
        <w:rPr>
          <w:rFonts w:asciiTheme="minorHAnsi" w:hAnsiTheme="minorHAnsi"/>
          <w:color w:val="auto"/>
          <w:szCs w:val="24"/>
        </w:rPr>
        <w:t>TSD</w:t>
      </w:r>
      <w:r w:rsidR="00A76039" w:rsidRPr="0035556D">
        <w:rPr>
          <w:rFonts w:asciiTheme="minorHAnsi" w:hAnsiTheme="minorHAnsi"/>
          <w:color w:val="auto"/>
          <w:szCs w:val="24"/>
        </w:rPr>
        <w:t xml:space="preserve">, </w:t>
      </w:r>
      <w:r w:rsidR="00403A72">
        <w:rPr>
          <w:rFonts w:asciiTheme="minorHAnsi" w:hAnsiTheme="minorHAnsi"/>
          <w:color w:val="auto"/>
          <w:szCs w:val="24"/>
        </w:rPr>
        <w:t>r</w:t>
      </w:r>
      <w:r w:rsidR="00A76039" w:rsidRPr="0035556D">
        <w:rPr>
          <w:rFonts w:asciiTheme="minorHAnsi" w:hAnsiTheme="minorHAnsi"/>
          <w:color w:val="auto"/>
          <w:szCs w:val="24"/>
        </w:rPr>
        <w:t xml:space="preserve">esidual </w:t>
      </w:r>
      <w:r w:rsidR="00403A72">
        <w:rPr>
          <w:rFonts w:asciiTheme="minorHAnsi" w:hAnsiTheme="minorHAnsi"/>
          <w:color w:val="auto"/>
          <w:szCs w:val="24"/>
        </w:rPr>
        <w:t>a</w:t>
      </w:r>
      <w:r w:rsidR="00A76039" w:rsidRPr="0035556D">
        <w:rPr>
          <w:rFonts w:asciiTheme="minorHAnsi" w:hAnsiTheme="minorHAnsi"/>
          <w:color w:val="auto"/>
          <w:szCs w:val="24"/>
        </w:rPr>
        <w:t xml:space="preserve">nkle </w:t>
      </w:r>
      <w:r w:rsidR="00403A72">
        <w:rPr>
          <w:rFonts w:asciiTheme="minorHAnsi" w:hAnsiTheme="minorHAnsi"/>
          <w:color w:val="auto"/>
          <w:szCs w:val="24"/>
        </w:rPr>
        <w:t>s</w:t>
      </w:r>
      <w:r w:rsidR="00A76039" w:rsidRPr="0035556D">
        <w:rPr>
          <w:rFonts w:asciiTheme="minorHAnsi" w:hAnsiTheme="minorHAnsi"/>
          <w:color w:val="auto"/>
          <w:szCs w:val="24"/>
        </w:rPr>
        <w:t xml:space="preserve">cars, </w:t>
      </w:r>
      <w:r w:rsidR="00403A72">
        <w:rPr>
          <w:rFonts w:asciiTheme="minorHAnsi" w:hAnsiTheme="minorHAnsi"/>
          <w:color w:val="auto"/>
          <w:szCs w:val="24"/>
        </w:rPr>
        <w:t>l</w:t>
      </w:r>
      <w:r w:rsidR="00A76039" w:rsidRPr="0035556D">
        <w:rPr>
          <w:rFonts w:asciiTheme="minorHAnsi" w:hAnsiTheme="minorHAnsi"/>
          <w:color w:val="auto"/>
          <w:szCs w:val="24"/>
        </w:rPr>
        <w:t xml:space="preserve">umbar </w:t>
      </w:r>
      <w:r w:rsidR="00403A72">
        <w:rPr>
          <w:rFonts w:asciiTheme="minorHAnsi" w:hAnsiTheme="minorHAnsi"/>
          <w:color w:val="auto"/>
          <w:szCs w:val="24"/>
        </w:rPr>
        <w:t>s</w:t>
      </w:r>
      <w:r w:rsidR="00A76039" w:rsidRPr="0035556D">
        <w:rPr>
          <w:rFonts w:asciiTheme="minorHAnsi" w:hAnsiTheme="minorHAnsi"/>
          <w:color w:val="auto"/>
          <w:szCs w:val="24"/>
        </w:rPr>
        <w:t xml:space="preserve">pine, GERD, or </w:t>
      </w:r>
      <w:r w:rsidR="00403A72">
        <w:rPr>
          <w:rFonts w:asciiTheme="minorHAnsi" w:hAnsiTheme="minorHAnsi"/>
          <w:color w:val="auto"/>
          <w:szCs w:val="24"/>
        </w:rPr>
        <w:t>l</w:t>
      </w:r>
      <w:r w:rsidR="00A76039" w:rsidRPr="0035556D">
        <w:rPr>
          <w:rFonts w:asciiTheme="minorHAnsi" w:hAnsiTheme="minorHAnsi"/>
          <w:color w:val="auto"/>
          <w:szCs w:val="24"/>
        </w:rPr>
        <w:t xml:space="preserve">eft </w:t>
      </w:r>
      <w:r w:rsidR="00403A72">
        <w:rPr>
          <w:rFonts w:asciiTheme="minorHAnsi" w:hAnsiTheme="minorHAnsi"/>
          <w:color w:val="auto"/>
          <w:szCs w:val="24"/>
        </w:rPr>
        <w:t>f</w:t>
      </w:r>
      <w:r w:rsidR="00A76039" w:rsidRPr="0035556D">
        <w:rPr>
          <w:rFonts w:asciiTheme="minorHAnsi" w:hAnsiTheme="minorHAnsi"/>
          <w:color w:val="auto"/>
          <w:szCs w:val="24"/>
        </w:rPr>
        <w:t xml:space="preserve">inger conditions, or any other </w:t>
      </w:r>
      <w:r w:rsidR="00A76039" w:rsidRPr="0035556D">
        <w:rPr>
          <w:rFonts w:asciiTheme="minorHAnsi" w:hAnsiTheme="minorHAnsi"/>
          <w:color w:val="auto"/>
          <w:szCs w:val="24"/>
        </w:rPr>
        <w:lastRenderedPageBreak/>
        <w:t>medical conditions eligible for Board consideration; the Board unanimously agrees that it cannot recommend any findings of unfit for additional rating at separation.</w:t>
      </w:r>
      <w:r w:rsidR="00A76039">
        <w:rPr>
          <w:rFonts w:asciiTheme="minorHAnsi" w:hAnsiTheme="minorHAnsi"/>
          <w:color w:val="auto"/>
          <w:szCs w:val="24"/>
        </w:rPr>
        <w:t xml:space="preserve">  </w:t>
      </w:r>
    </w:p>
    <w:p w:rsidR="00106AD8" w:rsidRPr="00363172" w:rsidRDefault="00106AD8" w:rsidP="00106AD8">
      <w:pPr>
        <w:pBdr>
          <w:bottom w:val="single" w:sz="12" w:space="1" w:color="auto"/>
        </w:pBdr>
        <w:tabs>
          <w:tab w:val="left" w:pos="288"/>
          <w:tab w:val="left" w:pos="4752"/>
        </w:tabs>
        <w:spacing w:line="240" w:lineRule="exact"/>
        <w:jc w:val="both"/>
        <w:rPr>
          <w:rFonts w:ascii="Calibri" w:hAnsi="Calibri"/>
          <w:color w:val="auto"/>
          <w:szCs w:val="24"/>
        </w:rPr>
      </w:pPr>
    </w:p>
    <w:p w:rsidR="00106AD8" w:rsidRPr="00363172" w:rsidRDefault="00106AD8" w:rsidP="00106AD8">
      <w:pPr>
        <w:tabs>
          <w:tab w:val="left" w:pos="288"/>
          <w:tab w:val="left" w:pos="4752"/>
        </w:tabs>
        <w:spacing w:line="240" w:lineRule="exact"/>
        <w:rPr>
          <w:rFonts w:ascii="Calibri" w:hAnsi="Calibri"/>
          <w:color w:val="auto"/>
          <w:szCs w:val="24"/>
        </w:rPr>
      </w:pPr>
    </w:p>
    <w:p w:rsidR="00C56FC8" w:rsidRPr="00B427BB" w:rsidRDefault="00C56FC8" w:rsidP="00363172">
      <w:pPr>
        <w:tabs>
          <w:tab w:val="left" w:pos="288"/>
          <w:tab w:val="left" w:pos="4752"/>
        </w:tabs>
        <w:spacing w:line="240" w:lineRule="exact"/>
        <w:jc w:val="both"/>
        <w:rPr>
          <w:rFonts w:asciiTheme="minorHAnsi" w:hAnsiTheme="minorHAnsi"/>
          <w:color w:val="auto"/>
          <w:szCs w:val="24"/>
        </w:rPr>
      </w:pPr>
      <w:r w:rsidRPr="00363172">
        <w:rPr>
          <w:rFonts w:asciiTheme="minorHAnsi" w:hAnsiTheme="minorHAnsi"/>
          <w:color w:val="auto"/>
          <w:szCs w:val="24"/>
          <w:u w:val="single"/>
        </w:rPr>
        <w:t>RECOMM</w:t>
      </w:r>
      <w:r w:rsidRPr="00396779">
        <w:rPr>
          <w:rFonts w:asciiTheme="minorHAnsi" w:hAnsiTheme="minorHAnsi"/>
          <w:color w:val="auto"/>
          <w:szCs w:val="24"/>
          <w:u w:val="single"/>
        </w:rPr>
        <w:t>ENDATION</w:t>
      </w:r>
      <w:r w:rsidRPr="00396779">
        <w:rPr>
          <w:rFonts w:asciiTheme="minorHAnsi" w:hAnsiTheme="minorHAnsi"/>
          <w:color w:val="auto"/>
          <w:szCs w:val="24"/>
        </w:rPr>
        <w:t>:</w:t>
      </w:r>
      <w:r w:rsidRPr="00396779">
        <w:rPr>
          <w:rFonts w:asciiTheme="minorHAnsi" w:hAnsiTheme="minorHAnsi"/>
          <w:color w:val="000080"/>
          <w:szCs w:val="24"/>
        </w:rPr>
        <w:t xml:space="preserve"> </w:t>
      </w:r>
      <w:r w:rsidR="00363172">
        <w:rPr>
          <w:rFonts w:asciiTheme="minorHAnsi" w:hAnsiTheme="minorHAnsi"/>
          <w:color w:val="000080"/>
          <w:szCs w:val="24"/>
        </w:rPr>
        <w:t xml:space="preserve"> </w:t>
      </w:r>
      <w:r w:rsidRPr="00396779">
        <w:rPr>
          <w:rFonts w:asciiTheme="minorHAnsi" w:hAnsiTheme="minorHAnsi"/>
          <w:color w:val="auto"/>
          <w:szCs w:val="24"/>
        </w:rPr>
        <w:t>The Board</w:t>
      </w:r>
      <w:r w:rsidR="00403A72">
        <w:rPr>
          <w:rFonts w:asciiTheme="minorHAnsi" w:hAnsiTheme="minorHAnsi"/>
          <w:color w:val="auto"/>
          <w:szCs w:val="24"/>
        </w:rPr>
        <w:t>,</w:t>
      </w:r>
      <w:r w:rsidRPr="00396779">
        <w:rPr>
          <w:rFonts w:asciiTheme="minorHAnsi" w:hAnsiTheme="minorHAnsi"/>
          <w:color w:val="auto"/>
          <w:szCs w:val="24"/>
        </w:rPr>
        <w:t xml:space="preserve"> therefore</w:t>
      </w:r>
      <w:r w:rsidR="00403A72">
        <w:rPr>
          <w:rFonts w:asciiTheme="minorHAnsi" w:hAnsiTheme="minorHAnsi"/>
          <w:color w:val="auto"/>
          <w:szCs w:val="24"/>
        </w:rPr>
        <w:t>,</w:t>
      </w:r>
      <w:r w:rsidRPr="00396779">
        <w:rPr>
          <w:rFonts w:asciiTheme="minorHAnsi" w:hAnsiTheme="minorHAnsi"/>
          <w:color w:val="auto"/>
          <w:szCs w:val="24"/>
        </w:rPr>
        <w:t xml:space="preserve"> recommends that there be no recharacterization of the CI’s </w:t>
      </w:r>
      <w:r w:rsidRPr="00B427BB">
        <w:rPr>
          <w:rFonts w:asciiTheme="minorHAnsi" w:hAnsiTheme="minorHAnsi"/>
          <w:color w:val="auto"/>
          <w:szCs w:val="24"/>
        </w:rPr>
        <w:t>disability and separation determination.</w:t>
      </w:r>
      <w:r w:rsidR="00363172">
        <w:rPr>
          <w:rFonts w:asciiTheme="minorHAnsi" w:hAnsiTheme="minorHAnsi"/>
          <w:color w:val="auto"/>
          <w:szCs w:val="24"/>
        </w:rPr>
        <w:t xml:space="preserve">  </w:t>
      </w:r>
    </w:p>
    <w:p w:rsidR="004101B2" w:rsidRPr="00A76039" w:rsidRDefault="004101B2" w:rsidP="00190E48">
      <w:pPr>
        <w:tabs>
          <w:tab w:val="left" w:pos="288"/>
          <w:tab w:val="left" w:pos="4752"/>
        </w:tabs>
        <w:spacing w:line="240" w:lineRule="exact"/>
        <w:jc w:val="both"/>
        <w:rPr>
          <w:rFonts w:asciiTheme="minorHAnsi" w:hAnsiTheme="min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A76039" w:rsidTr="00911490">
        <w:trPr>
          <w:trHeight w:val="233"/>
          <w:jc w:val="center"/>
        </w:trPr>
        <w:tc>
          <w:tcPr>
            <w:tcW w:w="6480" w:type="dxa"/>
            <w:shd w:val="clear" w:color="auto" w:fill="D9D9D9"/>
          </w:tcPr>
          <w:p w:rsidR="00A95BBA" w:rsidRPr="00A76039" w:rsidRDefault="00A95BBA" w:rsidP="00106AD8">
            <w:pPr>
              <w:tabs>
                <w:tab w:val="left" w:pos="288"/>
                <w:tab w:val="left" w:pos="4752"/>
              </w:tabs>
              <w:spacing w:before="20" w:line="240" w:lineRule="exact"/>
              <w:jc w:val="both"/>
              <w:rPr>
                <w:rFonts w:asciiTheme="minorHAnsi" w:hAnsiTheme="minorHAnsi"/>
                <w:b/>
                <w:color w:val="auto"/>
                <w:szCs w:val="24"/>
              </w:rPr>
            </w:pPr>
            <w:r w:rsidRPr="00A76039">
              <w:rPr>
                <w:rFonts w:asciiTheme="minorHAnsi" w:hAnsiTheme="minorHAnsi"/>
                <w:b/>
                <w:color w:val="auto"/>
                <w:szCs w:val="24"/>
              </w:rPr>
              <w:t>UNFITTING CONDITION</w:t>
            </w:r>
          </w:p>
        </w:tc>
        <w:tc>
          <w:tcPr>
            <w:tcW w:w="1710" w:type="dxa"/>
            <w:shd w:val="clear" w:color="auto" w:fill="D9D9D9"/>
          </w:tcPr>
          <w:p w:rsidR="00A95BBA" w:rsidRPr="00A76039" w:rsidRDefault="00A95BBA" w:rsidP="00911490">
            <w:pPr>
              <w:tabs>
                <w:tab w:val="left" w:pos="288"/>
                <w:tab w:val="left" w:pos="4752"/>
              </w:tabs>
              <w:spacing w:before="20" w:line="240" w:lineRule="exact"/>
              <w:jc w:val="center"/>
              <w:rPr>
                <w:rFonts w:asciiTheme="minorHAnsi" w:hAnsiTheme="minorHAnsi"/>
                <w:b/>
                <w:color w:val="auto"/>
                <w:szCs w:val="24"/>
              </w:rPr>
            </w:pPr>
            <w:r w:rsidRPr="00A76039">
              <w:rPr>
                <w:rFonts w:asciiTheme="minorHAnsi" w:hAnsiTheme="minorHAnsi"/>
                <w:b/>
                <w:color w:val="auto"/>
                <w:szCs w:val="24"/>
              </w:rPr>
              <w:t>VASRD CODE</w:t>
            </w:r>
          </w:p>
        </w:tc>
        <w:tc>
          <w:tcPr>
            <w:tcW w:w="1170" w:type="dxa"/>
            <w:shd w:val="clear" w:color="auto" w:fill="D9D9D9"/>
          </w:tcPr>
          <w:p w:rsidR="00A95BBA" w:rsidRPr="00A76039" w:rsidRDefault="00A95BBA" w:rsidP="00911490">
            <w:pPr>
              <w:tabs>
                <w:tab w:val="left" w:pos="288"/>
                <w:tab w:val="left" w:pos="4752"/>
              </w:tabs>
              <w:spacing w:before="20" w:line="240" w:lineRule="exact"/>
              <w:jc w:val="center"/>
              <w:rPr>
                <w:rFonts w:asciiTheme="minorHAnsi" w:hAnsiTheme="minorHAnsi"/>
                <w:b/>
                <w:color w:val="auto"/>
                <w:szCs w:val="24"/>
              </w:rPr>
            </w:pPr>
            <w:r w:rsidRPr="00A76039">
              <w:rPr>
                <w:rFonts w:asciiTheme="minorHAnsi" w:hAnsiTheme="minorHAnsi"/>
                <w:b/>
                <w:color w:val="auto"/>
                <w:szCs w:val="24"/>
              </w:rPr>
              <w:t>RATING</w:t>
            </w:r>
          </w:p>
        </w:tc>
      </w:tr>
      <w:tr w:rsidR="00A95BBA" w:rsidRPr="00A76039" w:rsidTr="0085089F">
        <w:trPr>
          <w:jc w:val="center"/>
        </w:trPr>
        <w:tc>
          <w:tcPr>
            <w:tcW w:w="6480" w:type="dxa"/>
          </w:tcPr>
          <w:p w:rsidR="00A95BBA" w:rsidRPr="00A76039" w:rsidRDefault="0035556D" w:rsidP="00190E48">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Mild to Moderate Degenerative Joint Disease Of The Left Ankle</w:t>
            </w:r>
          </w:p>
        </w:tc>
        <w:tc>
          <w:tcPr>
            <w:tcW w:w="1710" w:type="dxa"/>
          </w:tcPr>
          <w:p w:rsidR="00A95BBA" w:rsidRPr="00A76039" w:rsidRDefault="0040031A" w:rsidP="00911490">
            <w:pPr>
              <w:tabs>
                <w:tab w:val="left" w:pos="288"/>
                <w:tab w:val="left" w:pos="4752"/>
              </w:tabs>
              <w:spacing w:line="240" w:lineRule="exact"/>
              <w:jc w:val="center"/>
              <w:rPr>
                <w:rFonts w:asciiTheme="minorHAnsi" w:hAnsiTheme="minorHAnsi"/>
                <w:color w:val="auto"/>
                <w:szCs w:val="24"/>
              </w:rPr>
            </w:pPr>
            <w:r w:rsidRPr="00A76039">
              <w:rPr>
                <w:rFonts w:asciiTheme="minorHAnsi" w:hAnsiTheme="minorHAnsi"/>
                <w:color w:val="auto"/>
                <w:szCs w:val="24"/>
              </w:rPr>
              <w:t>5003</w:t>
            </w:r>
          </w:p>
        </w:tc>
        <w:tc>
          <w:tcPr>
            <w:tcW w:w="1170" w:type="dxa"/>
          </w:tcPr>
          <w:p w:rsidR="00A95BBA" w:rsidRPr="00A76039" w:rsidRDefault="0040031A" w:rsidP="00911490">
            <w:pPr>
              <w:tabs>
                <w:tab w:val="left" w:pos="288"/>
                <w:tab w:val="left" w:pos="4752"/>
              </w:tabs>
              <w:spacing w:line="240" w:lineRule="exact"/>
              <w:jc w:val="center"/>
              <w:rPr>
                <w:rFonts w:asciiTheme="minorHAnsi" w:hAnsiTheme="minorHAnsi"/>
                <w:color w:val="auto"/>
                <w:szCs w:val="24"/>
              </w:rPr>
            </w:pPr>
            <w:r w:rsidRPr="00A76039">
              <w:rPr>
                <w:rFonts w:asciiTheme="minorHAnsi" w:hAnsiTheme="minorHAnsi"/>
                <w:color w:val="auto"/>
                <w:szCs w:val="24"/>
              </w:rPr>
              <w:t>1</w:t>
            </w:r>
            <w:r w:rsidR="00A95BBA" w:rsidRPr="00A76039">
              <w:rPr>
                <w:rFonts w:asciiTheme="minorHAnsi" w:hAnsiTheme="minorHAnsi"/>
                <w:color w:val="auto"/>
                <w:szCs w:val="24"/>
              </w:rPr>
              <w:t>0%</w:t>
            </w:r>
          </w:p>
        </w:tc>
      </w:tr>
      <w:tr w:rsidR="00A95BBA" w:rsidRPr="00A76039" w:rsidTr="00911490">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themeFill="background1" w:themeFillShade="D9"/>
          </w:tcPr>
          <w:p w:rsidR="00A95BBA" w:rsidRPr="00A76039" w:rsidRDefault="00A95BBA" w:rsidP="00911490">
            <w:pPr>
              <w:tabs>
                <w:tab w:val="left" w:pos="288"/>
                <w:tab w:val="left" w:pos="4752"/>
              </w:tabs>
              <w:spacing w:before="20" w:line="240" w:lineRule="exact"/>
              <w:jc w:val="center"/>
              <w:rPr>
                <w:rFonts w:asciiTheme="minorHAnsi" w:hAnsiTheme="minorHAnsi"/>
                <w:b/>
                <w:color w:val="auto"/>
                <w:szCs w:val="24"/>
              </w:rPr>
            </w:pPr>
            <w:r w:rsidRPr="00A76039">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tcPr>
          <w:p w:rsidR="00A95BBA" w:rsidRPr="00A76039" w:rsidRDefault="00C44F55" w:rsidP="00911490">
            <w:pPr>
              <w:tabs>
                <w:tab w:val="left" w:pos="288"/>
                <w:tab w:val="left" w:pos="4752"/>
              </w:tabs>
              <w:spacing w:before="20" w:line="240" w:lineRule="exact"/>
              <w:jc w:val="center"/>
              <w:rPr>
                <w:rFonts w:asciiTheme="minorHAnsi" w:hAnsiTheme="minorHAnsi"/>
                <w:b/>
                <w:color w:val="auto"/>
                <w:szCs w:val="24"/>
              </w:rPr>
            </w:pPr>
            <w:r w:rsidRPr="00A76039">
              <w:rPr>
                <w:rFonts w:asciiTheme="minorHAnsi" w:hAnsiTheme="minorHAnsi"/>
                <w:b/>
                <w:color w:val="auto"/>
                <w:szCs w:val="24"/>
              </w:rPr>
              <w:t>1</w:t>
            </w:r>
            <w:r w:rsidR="00A95BBA" w:rsidRPr="00A76039">
              <w:rPr>
                <w:rFonts w:asciiTheme="minorHAnsi" w:hAnsiTheme="minorHAnsi"/>
                <w:b/>
                <w:color w:val="auto"/>
                <w:szCs w:val="24"/>
              </w:rPr>
              <w:t>0%</w:t>
            </w:r>
          </w:p>
        </w:tc>
      </w:tr>
    </w:tbl>
    <w:p w:rsidR="00106AD8" w:rsidRPr="00363172" w:rsidRDefault="00106AD8" w:rsidP="00106AD8">
      <w:pPr>
        <w:tabs>
          <w:tab w:val="left" w:pos="288"/>
          <w:tab w:val="left" w:pos="4752"/>
        </w:tabs>
        <w:spacing w:line="240" w:lineRule="exact"/>
        <w:rPr>
          <w:rFonts w:ascii="Calibri" w:hAnsi="Calibri"/>
          <w:color w:val="auto"/>
          <w:szCs w:val="24"/>
        </w:rPr>
      </w:pPr>
    </w:p>
    <w:p w:rsidR="00D91DA6" w:rsidRPr="00006186" w:rsidRDefault="00FB1725" w:rsidP="00190E48">
      <w:pPr>
        <w:tabs>
          <w:tab w:val="left" w:pos="288"/>
          <w:tab w:val="left" w:pos="4752"/>
        </w:tabs>
        <w:spacing w:line="240" w:lineRule="exact"/>
        <w:jc w:val="both"/>
        <w:rPr>
          <w:rFonts w:asciiTheme="minorHAnsi" w:hAnsiTheme="minorHAnsi"/>
          <w:color w:val="auto"/>
        </w:rPr>
      </w:pPr>
      <w:r w:rsidRPr="00363172">
        <w:rPr>
          <w:rFonts w:asciiTheme="minorHAnsi" w:hAnsiTheme="minorHAnsi"/>
          <w:color w:val="auto"/>
        </w:rPr>
        <w:t>The</w:t>
      </w:r>
      <w:r>
        <w:rPr>
          <w:rFonts w:asciiTheme="minorHAnsi" w:hAnsiTheme="minorHAnsi"/>
          <w:color w:val="auto"/>
        </w:rPr>
        <w:t xml:space="preserve"> following documentary evidence was considered:</w:t>
      </w:r>
    </w:p>
    <w:p w:rsidR="00EB5EFD" w:rsidRPr="00006186" w:rsidRDefault="00EB5EFD" w:rsidP="00190E48">
      <w:pPr>
        <w:tabs>
          <w:tab w:val="left" w:pos="288"/>
          <w:tab w:val="left" w:pos="4752"/>
        </w:tabs>
        <w:spacing w:line="240" w:lineRule="exact"/>
        <w:jc w:val="both"/>
        <w:rPr>
          <w:rFonts w:asciiTheme="minorHAnsi" w:hAnsiTheme="minorHAnsi"/>
          <w:color w:val="auto"/>
        </w:rPr>
      </w:pPr>
    </w:p>
    <w:p w:rsidR="00114F20" w:rsidRPr="00006186" w:rsidRDefault="00FB1725" w:rsidP="00190E48">
      <w:pPr>
        <w:tabs>
          <w:tab w:val="left" w:pos="288"/>
          <w:tab w:val="left" w:pos="4752"/>
        </w:tabs>
        <w:spacing w:line="240" w:lineRule="exact"/>
        <w:jc w:val="both"/>
        <w:rPr>
          <w:rFonts w:asciiTheme="minorHAnsi" w:hAnsiTheme="minorHAnsi"/>
          <w:color w:val="auto"/>
        </w:rPr>
      </w:pPr>
      <w:r>
        <w:rPr>
          <w:rFonts w:asciiTheme="minorHAnsi" w:hAnsiTheme="minorHAnsi"/>
          <w:color w:val="auto"/>
        </w:rPr>
        <w:t>E</w:t>
      </w:r>
      <w:r w:rsidR="0040031A">
        <w:rPr>
          <w:rFonts w:asciiTheme="minorHAnsi" w:hAnsiTheme="minorHAnsi"/>
          <w:color w:val="auto"/>
        </w:rPr>
        <w:t xml:space="preserve">xhibit A.  DD Form </w:t>
      </w:r>
      <w:r w:rsidR="00B24E88">
        <w:rPr>
          <w:rFonts w:asciiTheme="minorHAnsi" w:hAnsiTheme="minorHAnsi"/>
          <w:color w:val="auto"/>
        </w:rPr>
        <w:t>294</w:t>
      </w:r>
      <w:r w:rsidR="0040031A">
        <w:rPr>
          <w:rFonts w:asciiTheme="minorHAnsi" w:hAnsiTheme="minorHAnsi"/>
          <w:color w:val="auto"/>
        </w:rPr>
        <w:t xml:space="preserve"> dated 20091124</w:t>
      </w:r>
      <w:r>
        <w:rPr>
          <w:rFonts w:asciiTheme="minorHAnsi" w:hAnsiTheme="minorHAnsi"/>
          <w:color w:val="auto"/>
        </w:rPr>
        <w:t>, w/</w:t>
      </w:r>
      <w:proofErr w:type="spellStart"/>
      <w:r>
        <w:rPr>
          <w:rFonts w:asciiTheme="minorHAnsi" w:hAnsiTheme="minorHAnsi"/>
          <w:color w:val="auto"/>
        </w:rPr>
        <w:t>atchs</w:t>
      </w:r>
      <w:proofErr w:type="spellEnd"/>
      <w:r>
        <w:rPr>
          <w:rFonts w:asciiTheme="minorHAnsi" w:hAnsiTheme="minorHAnsi"/>
          <w:color w:val="auto"/>
        </w:rPr>
        <w:t>.</w:t>
      </w:r>
    </w:p>
    <w:p w:rsidR="00114F20" w:rsidRPr="00006186" w:rsidRDefault="00FB1725" w:rsidP="00190E48">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B.  </w:t>
      </w:r>
      <w:proofErr w:type="gramStart"/>
      <w:r>
        <w:rPr>
          <w:rFonts w:asciiTheme="minorHAnsi" w:hAnsiTheme="minorHAnsi"/>
          <w:color w:val="auto"/>
        </w:rPr>
        <w:t>Service Treatment Record.</w:t>
      </w:r>
      <w:proofErr w:type="gramEnd"/>
    </w:p>
    <w:p w:rsidR="00114F20" w:rsidRPr="00006186" w:rsidRDefault="00FB1725" w:rsidP="00190E48">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C.  </w:t>
      </w:r>
      <w:proofErr w:type="gramStart"/>
      <w:r>
        <w:rPr>
          <w:rFonts w:asciiTheme="minorHAnsi" w:hAnsiTheme="minorHAnsi"/>
          <w:color w:val="auto"/>
        </w:rPr>
        <w:t>Department of Veterans' Affairs Treatment Record.</w:t>
      </w:r>
      <w:proofErr w:type="gramEnd"/>
    </w:p>
    <w:p w:rsidR="00D91DA6" w:rsidRPr="00006186" w:rsidRDefault="00D91DA6" w:rsidP="00190E48">
      <w:pPr>
        <w:tabs>
          <w:tab w:val="left" w:pos="288"/>
          <w:tab w:val="left" w:pos="4752"/>
        </w:tabs>
        <w:spacing w:line="240" w:lineRule="exact"/>
        <w:jc w:val="both"/>
        <w:rPr>
          <w:rFonts w:asciiTheme="minorHAnsi" w:hAnsiTheme="minorHAnsi"/>
          <w:color w:val="auto"/>
        </w:rPr>
      </w:pPr>
    </w:p>
    <w:p w:rsidR="00114F20" w:rsidRPr="00006186" w:rsidRDefault="00114F20" w:rsidP="00190E48">
      <w:pPr>
        <w:tabs>
          <w:tab w:val="left" w:pos="288"/>
          <w:tab w:val="left" w:pos="4752"/>
        </w:tabs>
        <w:spacing w:line="240" w:lineRule="exact"/>
        <w:jc w:val="both"/>
        <w:rPr>
          <w:rFonts w:asciiTheme="minorHAnsi" w:hAnsiTheme="minorHAnsi"/>
          <w:color w:val="auto"/>
        </w:rPr>
      </w:pPr>
    </w:p>
    <w:p w:rsidR="00114F20" w:rsidRPr="00006186" w:rsidRDefault="00114F20" w:rsidP="00190E48">
      <w:pPr>
        <w:tabs>
          <w:tab w:val="left" w:pos="288"/>
          <w:tab w:val="left" w:pos="4752"/>
        </w:tabs>
        <w:spacing w:line="240" w:lineRule="exact"/>
        <w:jc w:val="both"/>
        <w:rPr>
          <w:rFonts w:asciiTheme="minorHAnsi" w:hAnsiTheme="minorHAnsi"/>
          <w:color w:val="auto"/>
        </w:rPr>
      </w:pPr>
    </w:p>
    <w:p w:rsidR="00114F20" w:rsidRPr="00006186" w:rsidRDefault="00114F20" w:rsidP="00190E48">
      <w:pPr>
        <w:tabs>
          <w:tab w:val="left" w:pos="288"/>
          <w:tab w:val="left" w:pos="4752"/>
        </w:tabs>
        <w:spacing w:line="240" w:lineRule="exact"/>
        <w:jc w:val="both"/>
        <w:rPr>
          <w:rFonts w:asciiTheme="minorHAnsi" w:hAnsiTheme="minorHAnsi"/>
          <w:color w:val="auto"/>
        </w:rPr>
      </w:pPr>
    </w:p>
    <w:p w:rsidR="00D91DA6" w:rsidRPr="00006186" w:rsidRDefault="00FB1725" w:rsidP="00190E48">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r>
    </w:p>
    <w:p w:rsidR="00D91DA6" w:rsidRPr="00006186" w:rsidRDefault="00FB1725" w:rsidP="00190E48">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t>Deputy Director</w:t>
      </w:r>
    </w:p>
    <w:p w:rsidR="00B522CD" w:rsidRDefault="00FB1725"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Pr>
          <w:rFonts w:asciiTheme="minorHAnsi" w:hAnsiTheme="minorHAnsi"/>
          <w:color w:val="auto"/>
        </w:rPr>
        <w:tab/>
        <w:t xml:space="preserve">                           </w:t>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t>Physical Disability Board of Review</w:t>
      </w:r>
    </w:p>
    <w:p w:rsidR="00F80313" w:rsidRDefault="00F80313">
      <w:pPr>
        <w:rPr>
          <w:rFonts w:asciiTheme="minorHAnsi" w:hAnsiTheme="minorHAnsi"/>
          <w:color w:val="auto"/>
        </w:rPr>
      </w:pPr>
      <w:r>
        <w:rPr>
          <w:rFonts w:asciiTheme="minorHAnsi" w:hAnsiTheme="minorHAnsi"/>
          <w:color w:val="auto"/>
        </w:rPr>
        <w:br w:type="page"/>
      </w:r>
    </w:p>
    <w:p w:rsidR="00F80313" w:rsidRDefault="00F80313"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F80313" w:rsidRPr="00006186" w:rsidRDefault="00F80313" w:rsidP="00190E48">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3E6214" w:rsidRPr="00F80313" w:rsidRDefault="003E6214" w:rsidP="00DD64E0">
      <w:pPr>
        <w:tabs>
          <w:tab w:val="left" w:pos="288"/>
          <w:tab w:val="left" w:pos="4320"/>
          <w:tab w:val="left" w:pos="4410"/>
          <w:tab w:val="left" w:pos="4770"/>
          <w:tab w:val="left" w:pos="4860"/>
          <w:tab w:val="left" w:pos="5040"/>
        </w:tabs>
        <w:spacing w:line="240" w:lineRule="exact"/>
        <w:jc w:val="both"/>
        <w:rPr>
          <w:rFonts w:asciiTheme="minorHAnsi" w:hAnsiTheme="minorHAnsi"/>
          <w:color w:val="auto"/>
          <w:szCs w:val="24"/>
        </w:rPr>
      </w:pPr>
    </w:p>
    <w:p w:rsidR="00F80313" w:rsidRPr="00F80313" w:rsidRDefault="00F80313" w:rsidP="00F80313">
      <w:pPr>
        <w:ind w:left="-360"/>
        <w:jc w:val="both"/>
        <w:rPr>
          <w:color w:val="auto"/>
        </w:rPr>
      </w:pPr>
      <w:r w:rsidRPr="00F80313">
        <w:rPr>
          <w:color w:val="auto"/>
        </w:rPr>
        <w:t xml:space="preserve">MEMORANDUM FOR DIRECTOR, SECRETARY OF THE NAVY COUNCIL OF REVIEW  </w:t>
      </w:r>
    </w:p>
    <w:p w:rsidR="00F80313" w:rsidRPr="00F80313" w:rsidRDefault="00F80313" w:rsidP="00F80313">
      <w:pPr>
        <w:tabs>
          <w:tab w:val="left" w:pos="2070"/>
        </w:tabs>
        <w:ind w:left="-360"/>
        <w:jc w:val="both"/>
        <w:rPr>
          <w:color w:val="auto"/>
        </w:rPr>
      </w:pPr>
      <w:r w:rsidRPr="00F80313">
        <w:rPr>
          <w:color w:val="auto"/>
        </w:rPr>
        <w:t xml:space="preserve">                                        </w:t>
      </w:r>
      <w:r w:rsidRPr="00F80313">
        <w:rPr>
          <w:color w:val="auto"/>
        </w:rPr>
        <w:tab/>
        <w:t xml:space="preserve">BOARDS </w:t>
      </w:r>
    </w:p>
    <w:p w:rsidR="00F80313" w:rsidRPr="00F80313" w:rsidRDefault="00F80313" w:rsidP="00F80313">
      <w:pPr>
        <w:jc w:val="both"/>
        <w:rPr>
          <w:color w:val="auto"/>
        </w:rPr>
      </w:pPr>
    </w:p>
    <w:p w:rsidR="00F80313" w:rsidRPr="00F80313" w:rsidRDefault="00F80313" w:rsidP="00F80313">
      <w:pPr>
        <w:ind w:left="-360"/>
        <w:jc w:val="both"/>
        <w:rPr>
          <w:color w:val="auto"/>
        </w:rPr>
      </w:pPr>
      <w:proofErr w:type="spellStart"/>
      <w:r w:rsidRPr="00F80313">
        <w:rPr>
          <w:color w:val="auto"/>
        </w:rPr>
        <w:t>Subj</w:t>
      </w:r>
      <w:proofErr w:type="spellEnd"/>
      <w:r w:rsidRPr="00F80313">
        <w:rPr>
          <w:color w:val="auto"/>
        </w:rPr>
        <w:t>:  PHYSICAL DISABILITY BOARD OF REVIEW (PDBR) RECOMMENDATION</w:t>
      </w:r>
    </w:p>
    <w:p w:rsidR="00F80313" w:rsidRPr="00F80313" w:rsidRDefault="00F80313" w:rsidP="00F80313">
      <w:pPr>
        <w:tabs>
          <w:tab w:val="left" w:pos="270"/>
        </w:tabs>
        <w:jc w:val="both"/>
        <w:rPr>
          <w:color w:val="auto"/>
        </w:rPr>
      </w:pPr>
      <w:r w:rsidRPr="00F80313">
        <w:rPr>
          <w:color w:val="auto"/>
        </w:rPr>
        <w:t xml:space="preserve">    </w:t>
      </w:r>
      <w:r w:rsidRPr="00F80313">
        <w:rPr>
          <w:color w:val="auto"/>
        </w:rPr>
        <w:tab/>
        <w:t xml:space="preserve">ICO </w:t>
      </w:r>
      <w:r>
        <w:rPr>
          <w:color w:val="auto"/>
        </w:rPr>
        <w:t>XXXXXX</w:t>
      </w:r>
      <w:r w:rsidRPr="00F80313">
        <w:rPr>
          <w:color w:val="auto"/>
        </w:rPr>
        <w:t xml:space="preserve">, FORMER USMC, XXX XX </w:t>
      </w:r>
      <w:r>
        <w:rPr>
          <w:color w:val="auto"/>
        </w:rPr>
        <w:t>XXXX</w:t>
      </w:r>
    </w:p>
    <w:p w:rsidR="00F80313" w:rsidRPr="00F80313" w:rsidRDefault="00F80313" w:rsidP="00F80313">
      <w:pPr>
        <w:jc w:val="both"/>
        <w:rPr>
          <w:color w:val="auto"/>
        </w:rPr>
      </w:pPr>
    </w:p>
    <w:p w:rsidR="00F80313" w:rsidRPr="00F80313" w:rsidRDefault="00F80313" w:rsidP="00F80313">
      <w:pPr>
        <w:ind w:left="-360"/>
        <w:jc w:val="both"/>
        <w:rPr>
          <w:color w:val="auto"/>
        </w:rPr>
      </w:pPr>
      <w:r w:rsidRPr="00F80313">
        <w:rPr>
          <w:color w:val="auto"/>
        </w:rPr>
        <w:t>Ref:   (a) DoDI 6040.44</w:t>
      </w:r>
    </w:p>
    <w:p w:rsidR="00F80313" w:rsidRPr="00F80313" w:rsidRDefault="00F80313" w:rsidP="00F80313">
      <w:pPr>
        <w:ind w:left="-540"/>
        <w:jc w:val="both"/>
        <w:rPr>
          <w:color w:val="auto"/>
        </w:rPr>
      </w:pPr>
      <w:r w:rsidRPr="00F80313">
        <w:rPr>
          <w:color w:val="auto"/>
        </w:rPr>
        <w:t xml:space="preserve">             (b) PDBR </w:t>
      </w:r>
      <w:proofErr w:type="spellStart"/>
      <w:r w:rsidRPr="00F80313">
        <w:rPr>
          <w:color w:val="auto"/>
        </w:rPr>
        <w:t>ltr</w:t>
      </w:r>
      <w:proofErr w:type="spellEnd"/>
      <w:r w:rsidRPr="00F80313">
        <w:rPr>
          <w:color w:val="auto"/>
        </w:rPr>
        <w:t xml:space="preserve"> </w:t>
      </w:r>
      <w:proofErr w:type="spellStart"/>
      <w:r w:rsidRPr="00F80313">
        <w:rPr>
          <w:color w:val="auto"/>
        </w:rPr>
        <w:t>dtd</w:t>
      </w:r>
      <w:proofErr w:type="spellEnd"/>
      <w:r w:rsidRPr="00F80313">
        <w:rPr>
          <w:color w:val="auto"/>
        </w:rPr>
        <w:t xml:space="preserve"> 25Feb 11</w:t>
      </w:r>
    </w:p>
    <w:p w:rsidR="00F80313" w:rsidRPr="00F80313" w:rsidRDefault="00F80313" w:rsidP="00F80313">
      <w:pPr>
        <w:ind w:left="-540"/>
        <w:jc w:val="both"/>
        <w:rPr>
          <w:color w:val="auto"/>
        </w:rPr>
      </w:pPr>
    </w:p>
    <w:p w:rsidR="00F80313" w:rsidRPr="00F80313" w:rsidRDefault="00F80313" w:rsidP="00F80313">
      <w:pPr>
        <w:ind w:left="-360"/>
        <w:jc w:val="both"/>
        <w:rPr>
          <w:color w:val="auto"/>
        </w:rPr>
      </w:pPr>
      <w:r w:rsidRPr="00F80313">
        <w:rPr>
          <w:color w:val="auto"/>
        </w:rPr>
        <w:t xml:space="preserve">      I have reviewed the subject case pursuant to reference (a) and, for the reasons set forth in reference (b), approve the recommendation of the Physical Disability Board of Review Mr. </w:t>
      </w:r>
      <w:r>
        <w:rPr>
          <w:color w:val="auto"/>
        </w:rPr>
        <w:t>XXXX</w:t>
      </w:r>
      <w:r w:rsidRPr="00F80313">
        <w:rPr>
          <w:color w:val="auto"/>
        </w:rPr>
        <w:t>’s records not be corrected to reflect a change in either his characterization of separation or in the disability rating previously assigned by the Department of the Navy’s Physical Evaluation Board.</w:t>
      </w:r>
    </w:p>
    <w:p w:rsidR="00F80313" w:rsidRPr="00F80313" w:rsidRDefault="00F80313" w:rsidP="00F80313">
      <w:pPr>
        <w:jc w:val="both"/>
        <w:rPr>
          <w:color w:val="auto"/>
        </w:rPr>
      </w:pPr>
    </w:p>
    <w:p w:rsidR="00F80313" w:rsidRPr="00F80313" w:rsidRDefault="00F80313" w:rsidP="00F80313">
      <w:pPr>
        <w:tabs>
          <w:tab w:val="left" w:pos="4680"/>
        </w:tabs>
        <w:jc w:val="both"/>
        <w:rPr>
          <w:color w:val="auto"/>
        </w:rPr>
      </w:pPr>
    </w:p>
    <w:p w:rsidR="00F80313" w:rsidRPr="00F80313" w:rsidRDefault="00F80313" w:rsidP="00F80313">
      <w:pPr>
        <w:tabs>
          <w:tab w:val="left" w:pos="4680"/>
        </w:tabs>
        <w:jc w:val="both"/>
        <w:rPr>
          <w:color w:val="auto"/>
        </w:rPr>
      </w:pPr>
    </w:p>
    <w:p w:rsidR="00F80313" w:rsidRPr="00F80313" w:rsidRDefault="00F80313" w:rsidP="00F80313">
      <w:pPr>
        <w:tabs>
          <w:tab w:val="left" w:pos="4680"/>
        </w:tabs>
        <w:jc w:val="both"/>
        <w:rPr>
          <w:color w:val="auto"/>
        </w:rPr>
      </w:pPr>
      <w:r w:rsidRPr="00F80313">
        <w:rPr>
          <w:color w:val="auto"/>
        </w:rPr>
        <w:tab/>
      </w:r>
    </w:p>
    <w:p w:rsidR="00F80313" w:rsidRPr="00F80313" w:rsidRDefault="00F80313" w:rsidP="00F80313">
      <w:pPr>
        <w:jc w:val="both"/>
        <w:rPr>
          <w:color w:val="auto"/>
        </w:rPr>
      </w:pPr>
      <w:r w:rsidRPr="00F80313">
        <w:rPr>
          <w:color w:val="auto"/>
        </w:rPr>
        <w:tab/>
      </w:r>
      <w:r w:rsidRPr="00F80313">
        <w:rPr>
          <w:color w:val="auto"/>
        </w:rPr>
        <w:tab/>
      </w:r>
      <w:r w:rsidRPr="00F80313">
        <w:rPr>
          <w:color w:val="auto"/>
        </w:rPr>
        <w:tab/>
      </w:r>
      <w:r w:rsidRPr="00F80313">
        <w:rPr>
          <w:color w:val="auto"/>
        </w:rPr>
        <w:tab/>
      </w:r>
      <w:r w:rsidRPr="00F80313">
        <w:rPr>
          <w:color w:val="auto"/>
        </w:rPr>
        <w:tab/>
      </w:r>
      <w:r w:rsidRPr="00F80313">
        <w:rPr>
          <w:color w:val="auto"/>
        </w:rPr>
        <w:tab/>
        <w:t xml:space="preserve">      Principal Deputy</w:t>
      </w:r>
    </w:p>
    <w:p w:rsidR="00F80313" w:rsidRPr="00F80313" w:rsidRDefault="00F80313" w:rsidP="00F80313">
      <w:pPr>
        <w:jc w:val="both"/>
        <w:rPr>
          <w:color w:val="auto"/>
        </w:rPr>
      </w:pPr>
      <w:r w:rsidRPr="00F80313">
        <w:rPr>
          <w:color w:val="auto"/>
        </w:rPr>
        <w:tab/>
      </w:r>
      <w:r w:rsidRPr="00F80313">
        <w:rPr>
          <w:color w:val="auto"/>
        </w:rPr>
        <w:tab/>
      </w:r>
      <w:r w:rsidRPr="00F80313">
        <w:rPr>
          <w:color w:val="auto"/>
        </w:rPr>
        <w:tab/>
      </w:r>
      <w:r w:rsidRPr="00F80313">
        <w:rPr>
          <w:color w:val="auto"/>
        </w:rPr>
        <w:tab/>
      </w:r>
      <w:r w:rsidRPr="00F80313">
        <w:rPr>
          <w:color w:val="auto"/>
        </w:rPr>
        <w:tab/>
      </w:r>
      <w:r w:rsidRPr="00F80313">
        <w:rPr>
          <w:color w:val="auto"/>
        </w:rPr>
        <w:tab/>
        <w:t xml:space="preserve">      Assistant Secretary of the Navy </w:t>
      </w:r>
    </w:p>
    <w:p w:rsidR="00F80313" w:rsidRPr="00F80313" w:rsidRDefault="00F80313" w:rsidP="00F80313">
      <w:pPr>
        <w:jc w:val="both"/>
        <w:rPr>
          <w:color w:val="auto"/>
        </w:rPr>
      </w:pPr>
      <w:r w:rsidRPr="00F80313">
        <w:rPr>
          <w:color w:val="auto"/>
        </w:rPr>
        <w:tab/>
      </w:r>
      <w:r w:rsidRPr="00F80313">
        <w:rPr>
          <w:color w:val="auto"/>
        </w:rPr>
        <w:tab/>
      </w:r>
      <w:r w:rsidRPr="00F80313">
        <w:rPr>
          <w:color w:val="auto"/>
        </w:rPr>
        <w:tab/>
      </w:r>
      <w:r w:rsidRPr="00F80313">
        <w:rPr>
          <w:color w:val="auto"/>
        </w:rPr>
        <w:tab/>
      </w:r>
      <w:r w:rsidRPr="00F80313">
        <w:rPr>
          <w:color w:val="auto"/>
        </w:rPr>
        <w:tab/>
      </w:r>
      <w:r w:rsidRPr="00F80313">
        <w:rPr>
          <w:color w:val="auto"/>
        </w:rPr>
        <w:tab/>
        <w:t xml:space="preserve">        (Manpower &amp; Reserve Affairs)</w:t>
      </w:r>
    </w:p>
    <w:p w:rsidR="00F80313" w:rsidRPr="00F80313" w:rsidRDefault="00F80313" w:rsidP="00F80313">
      <w:pPr>
        <w:jc w:val="both"/>
        <w:rPr>
          <w:color w:val="auto"/>
        </w:rPr>
      </w:pPr>
      <w:r w:rsidRPr="00F80313">
        <w:rPr>
          <w:color w:val="auto"/>
        </w:rPr>
        <w:tab/>
      </w:r>
      <w:r w:rsidRPr="00F80313">
        <w:rPr>
          <w:color w:val="auto"/>
        </w:rPr>
        <w:tab/>
      </w:r>
      <w:r w:rsidRPr="00F80313">
        <w:rPr>
          <w:color w:val="auto"/>
        </w:rPr>
        <w:tab/>
      </w:r>
      <w:r w:rsidRPr="00F80313">
        <w:rPr>
          <w:color w:val="auto"/>
        </w:rPr>
        <w:tab/>
      </w:r>
      <w:r w:rsidRPr="00F80313">
        <w:rPr>
          <w:color w:val="auto"/>
        </w:rPr>
        <w:tab/>
      </w:r>
      <w:r w:rsidRPr="00F80313">
        <w:rPr>
          <w:color w:val="auto"/>
        </w:rPr>
        <w:tab/>
        <w:t xml:space="preserve">  </w:t>
      </w:r>
    </w:p>
    <w:p w:rsidR="003E6214" w:rsidRPr="00006186" w:rsidRDefault="003E6214" w:rsidP="00DD64E0">
      <w:pPr>
        <w:tabs>
          <w:tab w:val="left" w:pos="288"/>
          <w:tab w:val="left" w:pos="4320"/>
          <w:tab w:val="left" w:pos="4410"/>
          <w:tab w:val="left" w:pos="4770"/>
          <w:tab w:val="left" w:pos="4860"/>
          <w:tab w:val="left" w:pos="5040"/>
        </w:tabs>
        <w:spacing w:line="240" w:lineRule="exact"/>
        <w:jc w:val="both"/>
        <w:rPr>
          <w:rFonts w:asciiTheme="minorHAnsi" w:hAnsiTheme="minorHAnsi"/>
          <w:color w:val="auto"/>
          <w:szCs w:val="24"/>
        </w:rPr>
      </w:pPr>
    </w:p>
    <w:sectPr w:rsidR="003E6214" w:rsidRPr="00006186" w:rsidSect="002A5C3C">
      <w:footerReference w:type="even"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11C" w:rsidRDefault="0015311C">
      <w:r>
        <w:separator/>
      </w:r>
    </w:p>
  </w:endnote>
  <w:endnote w:type="continuationSeparator" w:id="0">
    <w:p w:rsidR="0015311C" w:rsidRDefault="001531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B0C" w:rsidRDefault="00906968">
    <w:pPr>
      <w:pStyle w:val="Footer"/>
      <w:framePr w:wrap="around" w:vAnchor="text" w:hAnchor="margin" w:xAlign="center" w:y="1"/>
      <w:rPr>
        <w:rStyle w:val="PageNumber"/>
      </w:rPr>
    </w:pPr>
    <w:r>
      <w:rPr>
        <w:rStyle w:val="PageNumber"/>
      </w:rPr>
      <w:fldChar w:fldCharType="begin"/>
    </w:r>
    <w:r w:rsidR="00EE7B0C">
      <w:rPr>
        <w:rStyle w:val="PageNumber"/>
      </w:rPr>
      <w:instrText xml:space="preserve">PAGE  </w:instrText>
    </w:r>
    <w:r>
      <w:rPr>
        <w:rStyle w:val="PageNumber"/>
      </w:rPr>
      <w:fldChar w:fldCharType="separate"/>
    </w:r>
    <w:r w:rsidR="00EE7B0C">
      <w:rPr>
        <w:rStyle w:val="PageNumber"/>
        <w:noProof/>
      </w:rPr>
      <w:t>2</w:t>
    </w:r>
    <w:r>
      <w:rPr>
        <w:rStyle w:val="PageNumber"/>
      </w:rPr>
      <w:fldChar w:fldCharType="end"/>
    </w:r>
  </w:p>
  <w:p w:rsidR="00EE7B0C" w:rsidRDefault="00EE7B0C"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B0C" w:rsidRPr="00AC713F" w:rsidRDefault="00906968">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EE7B0C"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F80313">
      <w:rPr>
        <w:rStyle w:val="PageNumber"/>
        <w:rFonts w:asciiTheme="minorHAnsi" w:hAnsiTheme="minorHAnsi"/>
        <w:noProof/>
        <w:color w:val="auto"/>
      </w:rPr>
      <w:t>2</w:t>
    </w:r>
    <w:r w:rsidRPr="00AC713F">
      <w:rPr>
        <w:rStyle w:val="PageNumber"/>
        <w:rFonts w:asciiTheme="minorHAnsi" w:hAnsiTheme="minorHAnsi"/>
        <w:color w:val="auto"/>
      </w:rPr>
      <w:fldChar w:fldCharType="end"/>
    </w:r>
  </w:p>
  <w:p w:rsidR="00F516B9" w:rsidRPr="007B1B40" w:rsidRDefault="00F516B9" w:rsidP="00F516B9">
    <w:pPr>
      <w:pStyle w:val="Footer"/>
      <w:jc w:val="right"/>
      <w:rPr>
        <w:rFonts w:asciiTheme="minorHAnsi" w:hAnsiTheme="minorHAnsi"/>
        <w:color w:val="auto"/>
        <w:sz w:val="22"/>
        <w:szCs w:val="22"/>
      </w:rPr>
    </w:pPr>
    <w:r>
      <w:tab/>
    </w:r>
    <w:r>
      <w:tab/>
    </w:r>
    <w:r w:rsidRPr="007B1B40">
      <w:rPr>
        <w:rFonts w:asciiTheme="minorHAnsi" w:hAnsiTheme="minorHAnsi"/>
        <w:caps/>
        <w:color w:val="auto"/>
        <w:sz w:val="22"/>
        <w:szCs w:val="22"/>
      </w:rPr>
      <w:t>PD1000008</w:t>
    </w:r>
  </w:p>
  <w:p w:rsidR="00EE7B0C" w:rsidRPr="007B1B40" w:rsidRDefault="00EE7B0C" w:rsidP="00F516B9">
    <w:pPr>
      <w:pStyle w:val="Footer"/>
      <w:jc w:val="right"/>
      <w:rPr>
        <w:rFonts w:asciiTheme="minorHAnsi" w:hAnsiTheme="minorHAnsi"/>
        <w:color w:val="auto"/>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11C" w:rsidRDefault="0015311C">
      <w:r>
        <w:separator/>
      </w:r>
    </w:p>
  </w:footnote>
  <w:footnote w:type="continuationSeparator" w:id="0">
    <w:p w:rsidR="0015311C" w:rsidRDefault="001531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71682"/>
  </w:hdrShapeDefaults>
  <w:footnotePr>
    <w:numRestart w:val="eachSect"/>
    <w:footnote w:id="-1"/>
    <w:footnote w:id="0"/>
  </w:footnotePr>
  <w:endnotePr>
    <w:endnote w:id="-1"/>
    <w:endnote w:id="0"/>
  </w:endnotePr>
  <w:compat/>
  <w:rsids>
    <w:rsidRoot w:val="001C28D1"/>
    <w:rsid w:val="000059FA"/>
    <w:rsid w:val="00006186"/>
    <w:rsid w:val="00006F87"/>
    <w:rsid w:val="00010ABA"/>
    <w:rsid w:val="00012428"/>
    <w:rsid w:val="00013417"/>
    <w:rsid w:val="000145C2"/>
    <w:rsid w:val="0001473F"/>
    <w:rsid w:val="00014A9E"/>
    <w:rsid w:val="00017D27"/>
    <w:rsid w:val="00021361"/>
    <w:rsid w:val="00022CF3"/>
    <w:rsid w:val="00023913"/>
    <w:rsid w:val="00023D43"/>
    <w:rsid w:val="00032E07"/>
    <w:rsid w:val="000332CA"/>
    <w:rsid w:val="0003374E"/>
    <w:rsid w:val="000344E6"/>
    <w:rsid w:val="00035C3A"/>
    <w:rsid w:val="00036E4B"/>
    <w:rsid w:val="000379D0"/>
    <w:rsid w:val="00040FC4"/>
    <w:rsid w:val="000416F8"/>
    <w:rsid w:val="00042C26"/>
    <w:rsid w:val="00043382"/>
    <w:rsid w:val="00044623"/>
    <w:rsid w:val="00051622"/>
    <w:rsid w:val="00052234"/>
    <w:rsid w:val="00053D7C"/>
    <w:rsid w:val="0005528F"/>
    <w:rsid w:val="000577C9"/>
    <w:rsid w:val="0006431E"/>
    <w:rsid w:val="000645BA"/>
    <w:rsid w:val="00065E21"/>
    <w:rsid w:val="00072433"/>
    <w:rsid w:val="00075702"/>
    <w:rsid w:val="000775C2"/>
    <w:rsid w:val="000806AD"/>
    <w:rsid w:val="00082482"/>
    <w:rsid w:val="0008708B"/>
    <w:rsid w:val="00092619"/>
    <w:rsid w:val="00092C66"/>
    <w:rsid w:val="00094E4F"/>
    <w:rsid w:val="000A2BCE"/>
    <w:rsid w:val="000A41E3"/>
    <w:rsid w:val="000A4BBA"/>
    <w:rsid w:val="000A5071"/>
    <w:rsid w:val="000B4C99"/>
    <w:rsid w:val="000C06F6"/>
    <w:rsid w:val="000C1D34"/>
    <w:rsid w:val="000C2362"/>
    <w:rsid w:val="000C3C13"/>
    <w:rsid w:val="000C53F9"/>
    <w:rsid w:val="000C5813"/>
    <w:rsid w:val="000C75CF"/>
    <w:rsid w:val="000C7B83"/>
    <w:rsid w:val="000C7DE4"/>
    <w:rsid w:val="000D15E7"/>
    <w:rsid w:val="000D1A24"/>
    <w:rsid w:val="000D21C7"/>
    <w:rsid w:val="000D248A"/>
    <w:rsid w:val="000D35D8"/>
    <w:rsid w:val="000D43F9"/>
    <w:rsid w:val="000D4717"/>
    <w:rsid w:val="000D6457"/>
    <w:rsid w:val="000D7D55"/>
    <w:rsid w:val="000E0993"/>
    <w:rsid w:val="000E37E0"/>
    <w:rsid w:val="000E5DC8"/>
    <w:rsid w:val="000E7034"/>
    <w:rsid w:val="000F02BE"/>
    <w:rsid w:val="000F427B"/>
    <w:rsid w:val="000F7181"/>
    <w:rsid w:val="001008C1"/>
    <w:rsid w:val="001023DB"/>
    <w:rsid w:val="00103CCF"/>
    <w:rsid w:val="0010417F"/>
    <w:rsid w:val="001042D2"/>
    <w:rsid w:val="0010530E"/>
    <w:rsid w:val="00105C07"/>
    <w:rsid w:val="00106AD8"/>
    <w:rsid w:val="00107EC5"/>
    <w:rsid w:val="001103CD"/>
    <w:rsid w:val="00114F20"/>
    <w:rsid w:val="001211AF"/>
    <w:rsid w:val="001219DF"/>
    <w:rsid w:val="00122ABE"/>
    <w:rsid w:val="001231DC"/>
    <w:rsid w:val="001272AE"/>
    <w:rsid w:val="001315DD"/>
    <w:rsid w:val="0013525F"/>
    <w:rsid w:val="00135385"/>
    <w:rsid w:val="001364D1"/>
    <w:rsid w:val="00142EBA"/>
    <w:rsid w:val="00143B79"/>
    <w:rsid w:val="00150B8A"/>
    <w:rsid w:val="00150DCB"/>
    <w:rsid w:val="00151912"/>
    <w:rsid w:val="0015311C"/>
    <w:rsid w:val="00153740"/>
    <w:rsid w:val="001541C5"/>
    <w:rsid w:val="0015623F"/>
    <w:rsid w:val="00156585"/>
    <w:rsid w:val="00156BA9"/>
    <w:rsid w:val="00161761"/>
    <w:rsid w:val="00166182"/>
    <w:rsid w:val="001745DD"/>
    <w:rsid w:val="00177659"/>
    <w:rsid w:val="001779E5"/>
    <w:rsid w:val="00182A4C"/>
    <w:rsid w:val="00183F77"/>
    <w:rsid w:val="001844D8"/>
    <w:rsid w:val="00185DA8"/>
    <w:rsid w:val="00185ECB"/>
    <w:rsid w:val="001865E0"/>
    <w:rsid w:val="001870F0"/>
    <w:rsid w:val="00190E48"/>
    <w:rsid w:val="0019273F"/>
    <w:rsid w:val="00193639"/>
    <w:rsid w:val="00193814"/>
    <w:rsid w:val="00193AD5"/>
    <w:rsid w:val="00194930"/>
    <w:rsid w:val="001A08CD"/>
    <w:rsid w:val="001A0A1E"/>
    <w:rsid w:val="001A5320"/>
    <w:rsid w:val="001A5E62"/>
    <w:rsid w:val="001A6848"/>
    <w:rsid w:val="001A7538"/>
    <w:rsid w:val="001B0B1A"/>
    <w:rsid w:val="001B4EC2"/>
    <w:rsid w:val="001B5B59"/>
    <w:rsid w:val="001B60E0"/>
    <w:rsid w:val="001B7C8C"/>
    <w:rsid w:val="001C181A"/>
    <w:rsid w:val="001C1877"/>
    <w:rsid w:val="001C2053"/>
    <w:rsid w:val="001C252F"/>
    <w:rsid w:val="001C28D1"/>
    <w:rsid w:val="001C5CFC"/>
    <w:rsid w:val="001C7418"/>
    <w:rsid w:val="001C7EBE"/>
    <w:rsid w:val="001D0051"/>
    <w:rsid w:val="001D0934"/>
    <w:rsid w:val="001D2224"/>
    <w:rsid w:val="001D31AA"/>
    <w:rsid w:val="001D4F88"/>
    <w:rsid w:val="001D68CF"/>
    <w:rsid w:val="001D6A8C"/>
    <w:rsid w:val="001D7A56"/>
    <w:rsid w:val="001E15C0"/>
    <w:rsid w:val="001E18E0"/>
    <w:rsid w:val="001E18E2"/>
    <w:rsid w:val="001E19D0"/>
    <w:rsid w:val="001E2A30"/>
    <w:rsid w:val="00200AA0"/>
    <w:rsid w:val="00201140"/>
    <w:rsid w:val="00202325"/>
    <w:rsid w:val="00202736"/>
    <w:rsid w:val="00203652"/>
    <w:rsid w:val="00205B4F"/>
    <w:rsid w:val="002060B6"/>
    <w:rsid w:val="002066B5"/>
    <w:rsid w:val="0020745D"/>
    <w:rsid w:val="002119B6"/>
    <w:rsid w:val="00212B40"/>
    <w:rsid w:val="00213BD0"/>
    <w:rsid w:val="0021557A"/>
    <w:rsid w:val="00215ED6"/>
    <w:rsid w:val="00216049"/>
    <w:rsid w:val="00217606"/>
    <w:rsid w:val="00217C09"/>
    <w:rsid w:val="0022073D"/>
    <w:rsid w:val="00220F5C"/>
    <w:rsid w:val="00225196"/>
    <w:rsid w:val="00225557"/>
    <w:rsid w:val="00225CB4"/>
    <w:rsid w:val="0023049F"/>
    <w:rsid w:val="00230CE7"/>
    <w:rsid w:val="002316F6"/>
    <w:rsid w:val="00232C9B"/>
    <w:rsid w:val="00232F09"/>
    <w:rsid w:val="002335D5"/>
    <w:rsid w:val="002338CA"/>
    <w:rsid w:val="00233FE5"/>
    <w:rsid w:val="00234B3B"/>
    <w:rsid w:val="0024174E"/>
    <w:rsid w:val="0024227D"/>
    <w:rsid w:val="00242D14"/>
    <w:rsid w:val="00246860"/>
    <w:rsid w:val="00246DFF"/>
    <w:rsid w:val="00246E89"/>
    <w:rsid w:val="0025183C"/>
    <w:rsid w:val="002528EC"/>
    <w:rsid w:val="00255049"/>
    <w:rsid w:val="00257DE5"/>
    <w:rsid w:val="00260531"/>
    <w:rsid w:val="0026318D"/>
    <w:rsid w:val="00270864"/>
    <w:rsid w:val="002712F7"/>
    <w:rsid w:val="0027159C"/>
    <w:rsid w:val="00274549"/>
    <w:rsid w:val="00274E46"/>
    <w:rsid w:val="00276C86"/>
    <w:rsid w:val="002810A4"/>
    <w:rsid w:val="00284A26"/>
    <w:rsid w:val="00287006"/>
    <w:rsid w:val="00292AB2"/>
    <w:rsid w:val="00294437"/>
    <w:rsid w:val="002A3237"/>
    <w:rsid w:val="002A58B7"/>
    <w:rsid w:val="002A5943"/>
    <w:rsid w:val="002A5C3C"/>
    <w:rsid w:val="002A685E"/>
    <w:rsid w:val="002A72C7"/>
    <w:rsid w:val="002B03B2"/>
    <w:rsid w:val="002B0749"/>
    <w:rsid w:val="002B2645"/>
    <w:rsid w:val="002B6FA0"/>
    <w:rsid w:val="002C14C4"/>
    <w:rsid w:val="002C5F10"/>
    <w:rsid w:val="002C69E7"/>
    <w:rsid w:val="002C6E5B"/>
    <w:rsid w:val="002D18B4"/>
    <w:rsid w:val="002D231A"/>
    <w:rsid w:val="002E0129"/>
    <w:rsid w:val="002E1877"/>
    <w:rsid w:val="002E1C31"/>
    <w:rsid w:val="002E333A"/>
    <w:rsid w:val="002E3474"/>
    <w:rsid w:val="002E400C"/>
    <w:rsid w:val="002E49C3"/>
    <w:rsid w:val="002E5114"/>
    <w:rsid w:val="002E7570"/>
    <w:rsid w:val="002E764B"/>
    <w:rsid w:val="002F0E28"/>
    <w:rsid w:val="002F287E"/>
    <w:rsid w:val="002F2D63"/>
    <w:rsid w:val="002F4EA4"/>
    <w:rsid w:val="002F7F81"/>
    <w:rsid w:val="00300A36"/>
    <w:rsid w:val="0030678B"/>
    <w:rsid w:val="00310CD7"/>
    <w:rsid w:val="0032136A"/>
    <w:rsid w:val="00323E70"/>
    <w:rsid w:val="00325BA2"/>
    <w:rsid w:val="00326C08"/>
    <w:rsid w:val="00326F7F"/>
    <w:rsid w:val="003320E8"/>
    <w:rsid w:val="0033334F"/>
    <w:rsid w:val="00333412"/>
    <w:rsid w:val="0033555E"/>
    <w:rsid w:val="00336805"/>
    <w:rsid w:val="00337351"/>
    <w:rsid w:val="00341A54"/>
    <w:rsid w:val="0034669F"/>
    <w:rsid w:val="00351498"/>
    <w:rsid w:val="00351B05"/>
    <w:rsid w:val="00352B22"/>
    <w:rsid w:val="00354547"/>
    <w:rsid w:val="0035556D"/>
    <w:rsid w:val="003567DE"/>
    <w:rsid w:val="003574F3"/>
    <w:rsid w:val="00363172"/>
    <w:rsid w:val="0036319E"/>
    <w:rsid w:val="003632A4"/>
    <w:rsid w:val="00363362"/>
    <w:rsid w:val="00367D4F"/>
    <w:rsid w:val="00370743"/>
    <w:rsid w:val="00370EF5"/>
    <w:rsid w:val="0037135B"/>
    <w:rsid w:val="00372251"/>
    <w:rsid w:val="0037520D"/>
    <w:rsid w:val="00375724"/>
    <w:rsid w:val="00375809"/>
    <w:rsid w:val="0037628C"/>
    <w:rsid w:val="00376B81"/>
    <w:rsid w:val="00377BD2"/>
    <w:rsid w:val="003821E1"/>
    <w:rsid w:val="00384866"/>
    <w:rsid w:val="00384FB2"/>
    <w:rsid w:val="003857D4"/>
    <w:rsid w:val="00385D6F"/>
    <w:rsid w:val="00387095"/>
    <w:rsid w:val="00390092"/>
    <w:rsid w:val="00393651"/>
    <w:rsid w:val="00395E12"/>
    <w:rsid w:val="00396779"/>
    <w:rsid w:val="00397DB7"/>
    <w:rsid w:val="003A27B2"/>
    <w:rsid w:val="003A40B4"/>
    <w:rsid w:val="003A41BA"/>
    <w:rsid w:val="003A6A99"/>
    <w:rsid w:val="003A7FF8"/>
    <w:rsid w:val="003B17AC"/>
    <w:rsid w:val="003B227A"/>
    <w:rsid w:val="003B5854"/>
    <w:rsid w:val="003B6764"/>
    <w:rsid w:val="003C6068"/>
    <w:rsid w:val="003D2BA3"/>
    <w:rsid w:val="003D3C22"/>
    <w:rsid w:val="003D7089"/>
    <w:rsid w:val="003D7DDB"/>
    <w:rsid w:val="003E02C7"/>
    <w:rsid w:val="003E0543"/>
    <w:rsid w:val="003E0B5A"/>
    <w:rsid w:val="003E31E3"/>
    <w:rsid w:val="003E46D1"/>
    <w:rsid w:val="003E6214"/>
    <w:rsid w:val="003F070E"/>
    <w:rsid w:val="003F58B0"/>
    <w:rsid w:val="0040031A"/>
    <w:rsid w:val="004007E9"/>
    <w:rsid w:val="00401825"/>
    <w:rsid w:val="00401BBC"/>
    <w:rsid w:val="00403A72"/>
    <w:rsid w:val="00403BFB"/>
    <w:rsid w:val="00404B45"/>
    <w:rsid w:val="00406CC5"/>
    <w:rsid w:val="004074A4"/>
    <w:rsid w:val="004101B2"/>
    <w:rsid w:val="004123D7"/>
    <w:rsid w:val="00412658"/>
    <w:rsid w:val="004172DB"/>
    <w:rsid w:val="00421485"/>
    <w:rsid w:val="00422B75"/>
    <w:rsid w:val="00433F36"/>
    <w:rsid w:val="0043503A"/>
    <w:rsid w:val="004350E9"/>
    <w:rsid w:val="0044384F"/>
    <w:rsid w:val="00444F80"/>
    <w:rsid w:val="00446018"/>
    <w:rsid w:val="004543BC"/>
    <w:rsid w:val="0045645D"/>
    <w:rsid w:val="004574C6"/>
    <w:rsid w:val="00457BCF"/>
    <w:rsid w:val="00457DCE"/>
    <w:rsid w:val="00460E3F"/>
    <w:rsid w:val="00462F68"/>
    <w:rsid w:val="00466CED"/>
    <w:rsid w:val="00467592"/>
    <w:rsid w:val="00467690"/>
    <w:rsid w:val="004718E7"/>
    <w:rsid w:val="00472535"/>
    <w:rsid w:val="004761CC"/>
    <w:rsid w:val="00480D4A"/>
    <w:rsid w:val="00481DA1"/>
    <w:rsid w:val="00484212"/>
    <w:rsid w:val="0049255F"/>
    <w:rsid w:val="0049445D"/>
    <w:rsid w:val="00495350"/>
    <w:rsid w:val="00497156"/>
    <w:rsid w:val="004A0C79"/>
    <w:rsid w:val="004A24D2"/>
    <w:rsid w:val="004A3214"/>
    <w:rsid w:val="004A4136"/>
    <w:rsid w:val="004A417B"/>
    <w:rsid w:val="004A4222"/>
    <w:rsid w:val="004B03F3"/>
    <w:rsid w:val="004B0CC9"/>
    <w:rsid w:val="004B2536"/>
    <w:rsid w:val="004B6AF3"/>
    <w:rsid w:val="004B715E"/>
    <w:rsid w:val="004B7169"/>
    <w:rsid w:val="004B79C9"/>
    <w:rsid w:val="004C5E33"/>
    <w:rsid w:val="004C6CDA"/>
    <w:rsid w:val="004C7CF8"/>
    <w:rsid w:val="004D10D4"/>
    <w:rsid w:val="004D16BD"/>
    <w:rsid w:val="004D2AAB"/>
    <w:rsid w:val="004D6F2B"/>
    <w:rsid w:val="004E0248"/>
    <w:rsid w:val="004E1B72"/>
    <w:rsid w:val="004E21A3"/>
    <w:rsid w:val="004E32EA"/>
    <w:rsid w:val="004E6866"/>
    <w:rsid w:val="004E75D0"/>
    <w:rsid w:val="004F3222"/>
    <w:rsid w:val="004F3BFA"/>
    <w:rsid w:val="005000AB"/>
    <w:rsid w:val="005025EE"/>
    <w:rsid w:val="00510588"/>
    <w:rsid w:val="00510ECC"/>
    <w:rsid w:val="0051146C"/>
    <w:rsid w:val="00514449"/>
    <w:rsid w:val="005157BD"/>
    <w:rsid w:val="005214A3"/>
    <w:rsid w:val="005222E7"/>
    <w:rsid w:val="00523A8B"/>
    <w:rsid w:val="00523E04"/>
    <w:rsid w:val="0052590B"/>
    <w:rsid w:val="00526591"/>
    <w:rsid w:val="00527178"/>
    <w:rsid w:val="005278CB"/>
    <w:rsid w:val="00534D42"/>
    <w:rsid w:val="005350A5"/>
    <w:rsid w:val="00536379"/>
    <w:rsid w:val="00537238"/>
    <w:rsid w:val="005400C5"/>
    <w:rsid w:val="00540BEF"/>
    <w:rsid w:val="00542C9A"/>
    <w:rsid w:val="005436C2"/>
    <w:rsid w:val="005442D4"/>
    <w:rsid w:val="0054586A"/>
    <w:rsid w:val="0054631F"/>
    <w:rsid w:val="0055288D"/>
    <w:rsid w:val="00555259"/>
    <w:rsid w:val="00560D57"/>
    <w:rsid w:val="00562A94"/>
    <w:rsid w:val="00567CD7"/>
    <w:rsid w:val="005709F7"/>
    <w:rsid w:val="005710A9"/>
    <w:rsid w:val="00571D1B"/>
    <w:rsid w:val="005738F5"/>
    <w:rsid w:val="0058039C"/>
    <w:rsid w:val="005877D5"/>
    <w:rsid w:val="00593043"/>
    <w:rsid w:val="00595BF0"/>
    <w:rsid w:val="005A0395"/>
    <w:rsid w:val="005A1846"/>
    <w:rsid w:val="005A258C"/>
    <w:rsid w:val="005A3560"/>
    <w:rsid w:val="005A464E"/>
    <w:rsid w:val="005A6C99"/>
    <w:rsid w:val="005A7D5D"/>
    <w:rsid w:val="005B011A"/>
    <w:rsid w:val="005B1D8F"/>
    <w:rsid w:val="005B1E94"/>
    <w:rsid w:val="005B5B3D"/>
    <w:rsid w:val="005B64CF"/>
    <w:rsid w:val="005C16F3"/>
    <w:rsid w:val="005C33A4"/>
    <w:rsid w:val="005C3758"/>
    <w:rsid w:val="005E3064"/>
    <w:rsid w:val="005E72B2"/>
    <w:rsid w:val="005F1115"/>
    <w:rsid w:val="005F13DB"/>
    <w:rsid w:val="005F1AB6"/>
    <w:rsid w:val="005F27F2"/>
    <w:rsid w:val="005F3AFE"/>
    <w:rsid w:val="005F424D"/>
    <w:rsid w:val="005F4CFE"/>
    <w:rsid w:val="005F6B6D"/>
    <w:rsid w:val="00605AAB"/>
    <w:rsid w:val="00606BEB"/>
    <w:rsid w:val="0061014A"/>
    <w:rsid w:val="0061054B"/>
    <w:rsid w:val="006139E9"/>
    <w:rsid w:val="00613E26"/>
    <w:rsid w:val="00615641"/>
    <w:rsid w:val="00616959"/>
    <w:rsid w:val="006211D0"/>
    <w:rsid w:val="00624D0C"/>
    <w:rsid w:val="00626D0E"/>
    <w:rsid w:val="006274B4"/>
    <w:rsid w:val="006307BA"/>
    <w:rsid w:val="006315BA"/>
    <w:rsid w:val="00634C4A"/>
    <w:rsid w:val="0063532E"/>
    <w:rsid w:val="00637BDC"/>
    <w:rsid w:val="006418C9"/>
    <w:rsid w:val="00642BD6"/>
    <w:rsid w:val="00645046"/>
    <w:rsid w:val="0064527A"/>
    <w:rsid w:val="00645EA2"/>
    <w:rsid w:val="00653D2D"/>
    <w:rsid w:val="006557BE"/>
    <w:rsid w:val="006573F2"/>
    <w:rsid w:val="00662F08"/>
    <w:rsid w:val="00663589"/>
    <w:rsid w:val="006708E3"/>
    <w:rsid w:val="00670DDC"/>
    <w:rsid w:val="00671EB4"/>
    <w:rsid w:val="0067443B"/>
    <w:rsid w:val="00684E2B"/>
    <w:rsid w:val="00690FDA"/>
    <w:rsid w:val="00691E61"/>
    <w:rsid w:val="00693C5E"/>
    <w:rsid w:val="00694EEA"/>
    <w:rsid w:val="006955B4"/>
    <w:rsid w:val="00696476"/>
    <w:rsid w:val="006A10FA"/>
    <w:rsid w:val="006A40E6"/>
    <w:rsid w:val="006A5C07"/>
    <w:rsid w:val="006A75FA"/>
    <w:rsid w:val="006B07D5"/>
    <w:rsid w:val="006B1309"/>
    <w:rsid w:val="006B3923"/>
    <w:rsid w:val="006B3F3E"/>
    <w:rsid w:val="006B5923"/>
    <w:rsid w:val="006B67D9"/>
    <w:rsid w:val="006B6C14"/>
    <w:rsid w:val="006B715E"/>
    <w:rsid w:val="006C1D6E"/>
    <w:rsid w:val="006C2EF6"/>
    <w:rsid w:val="006C3A68"/>
    <w:rsid w:val="006C6AB1"/>
    <w:rsid w:val="006D2D39"/>
    <w:rsid w:val="006D4E0E"/>
    <w:rsid w:val="006D5CE2"/>
    <w:rsid w:val="006E06D1"/>
    <w:rsid w:val="006E1313"/>
    <w:rsid w:val="006E2DC8"/>
    <w:rsid w:val="006E54DF"/>
    <w:rsid w:val="006E7356"/>
    <w:rsid w:val="006E77C8"/>
    <w:rsid w:val="006F149D"/>
    <w:rsid w:val="006F165A"/>
    <w:rsid w:val="006F1A46"/>
    <w:rsid w:val="006F4F06"/>
    <w:rsid w:val="006F5A4E"/>
    <w:rsid w:val="006F6005"/>
    <w:rsid w:val="00703B6C"/>
    <w:rsid w:val="00705C40"/>
    <w:rsid w:val="00706482"/>
    <w:rsid w:val="00706BEF"/>
    <w:rsid w:val="00707A56"/>
    <w:rsid w:val="00707ECE"/>
    <w:rsid w:val="00710CE8"/>
    <w:rsid w:val="007116BC"/>
    <w:rsid w:val="00713C6A"/>
    <w:rsid w:val="007165CE"/>
    <w:rsid w:val="00720968"/>
    <w:rsid w:val="00721705"/>
    <w:rsid w:val="00721D12"/>
    <w:rsid w:val="00721F8B"/>
    <w:rsid w:val="007237CE"/>
    <w:rsid w:val="00723ACD"/>
    <w:rsid w:val="00724688"/>
    <w:rsid w:val="0073062D"/>
    <w:rsid w:val="0073254D"/>
    <w:rsid w:val="00736A49"/>
    <w:rsid w:val="007419A1"/>
    <w:rsid w:val="00743B71"/>
    <w:rsid w:val="00743C2D"/>
    <w:rsid w:val="00743E36"/>
    <w:rsid w:val="007446F7"/>
    <w:rsid w:val="00744EBB"/>
    <w:rsid w:val="00745B0A"/>
    <w:rsid w:val="00745C4D"/>
    <w:rsid w:val="007468AC"/>
    <w:rsid w:val="00746AE2"/>
    <w:rsid w:val="00750C82"/>
    <w:rsid w:val="0076100C"/>
    <w:rsid w:val="007612A5"/>
    <w:rsid w:val="00763F95"/>
    <w:rsid w:val="007651ED"/>
    <w:rsid w:val="00766C87"/>
    <w:rsid w:val="00780378"/>
    <w:rsid w:val="00781BD4"/>
    <w:rsid w:val="00784832"/>
    <w:rsid w:val="00785D77"/>
    <w:rsid w:val="00786111"/>
    <w:rsid w:val="00791F1E"/>
    <w:rsid w:val="00794F3D"/>
    <w:rsid w:val="00796045"/>
    <w:rsid w:val="007968AC"/>
    <w:rsid w:val="007969AB"/>
    <w:rsid w:val="00797882"/>
    <w:rsid w:val="007A0B39"/>
    <w:rsid w:val="007A14A4"/>
    <w:rsid w:val="007A168F"/>
    <w:rsid w:val="007A28E4"/>
    <w:rsid w:val="007A2C4C"/>
    <w:rsid w:val="007A3BB3"/>
    <w:rsid w:val="007A5AD1"/>
    <w:rsid w:val="007A5B7B"/>
    <w:rsid w:val="007B0A06"/>
    <w:rsid w:val="007B1B40"/>
    <w:rsid w:val="007B5C5C"/>
    <w:rsid w:val="007B7B37"/>
    <w:rsid w:val="007B7C41"/>
    <w:rsid w:val="007C11E9"/>
    <w:rsid w:val="007C433E"/>
    <w:rsid w:val="007C4452"/>
    <w:rsid w:val="007C4B3C"/>
    <w:rsid w:val="007C4DB1"/>
    <w:rsid w:val="007C6046"/>
    <w:rsid w:val="007C6925"/>
    <w:rsid w:val="007C7552"/>
    <w:rsid w:val="007D0292"/>
    <w:rsid w:val="007D21AC"/>
    <w:rsid w:val="007D3882"/>
    <w:rsid w:val="007D568A"/>
    <w:rsid w:val="007D574E"/>
    <w:rsid w:val="007D6BFE"/>
    <w:rsid w:val="007D7D41"/>
    <w:rsid w:val="007E2046"/>
    <w:rsid w:val="007E3883"/>
    <w:rsid w:val="007E4FBB"/>
    <w:rsid w:val="007E55BF"/>
    <w:rsid w:val="007E71B1"/>
    <w:rsid w:val="007E7B4E"/>
    <w:rsid w:val="007F0CE2"/>
    <w:rsid w:val="007F0EFF"/>
    <w:rsid w:val="007F1375"/>
    <w:rsid w:val="00803850"/>
    <w:rsid w:val="00804385"/>
    <w:rsid w:val="00805AFD"/>
    <w:rsid w:val="008078D8"/>
    <w:rsid w:val="00811AFA"/>
    <w:rsid w:val="00811D5B"/>
    <w:rsid w:val="00817713"/>
    <w:rsid w:val="008220F1"/>
    <w:rsid w:val="0082340B"/>
    <w:rsid w:val="00827DB6"/>
    <w:rsid w:val="008304B2"/>
    <w:rsid w:val="00830999"/>
    <w:rsid w:val="00830D5E"/>
    <w:rsid w:val="00830F69"/>
    <w:rsid w:val="00833418"/>
    <w:rsid w:val="00834458"/>
    <w:rsid w:val="00835568"/>
    <w:rsid w:val="00835841"/>
    <w:rsid w:val="00837465"/>
    <w:rsid w:val="00841243"/>
    <w:rsid w:val="00841457"/>
    <w:rsid w:val="0084374E"/>
    <w:rsid w:val="00844842"/>
    <w:rsid w:val="00844DD0"/>
    <w:rsid w:val="0085089F"/>
    <w:rsid w:val="0085206E"/>
    <w:rsid w:val="00852AD4"/>
    <w:rsid w:val="00852BA8"/>
    <w:rsid w:val="00853718"/>
    <w:rsid w:val="008541EF"/>
    <w:rsid w:val="00856AC7"/>
    <w:rsid w:val="00856FA4"/>
    <w:rsid w:val="0086162B"/>
    <w:rsid w:val="00861D5C"/>
    <w:rsid w:val="00865207"/>
    <w:rsid w:val="008656A7"/>
    <w:rsid w:val="00866231"/>
    <w:rsid w:val="00871262"/>
    <w:rsid w:val="00871D4E"/>
    <w:rsid w:val="00871E7B"/>
    <w:rsid w:val="00875B51"/>
    <w:rsid w:val="00875F2D"/>
    <w:rsid w:val="008764DC"/>
    <w:rsid w:val="00876F4F"/>
    <w:rsid w:val="00882CC2"/>
    <w:rsid w:val="00883930"/>
    <w:rsid w:val="00896535"/>
    <w:rsid w:val="00896683"/>
    <w:rsid w:val="0089750B"/>
    <w:rsid w:val="00897589"/>
    <w:rsid w:val="00897C05"/>
    <w:rsid w:val="008A425D"/>
    <w:rsid w:val="008A63A9"/>
    <w:rsid w:val="008A7F7E"/>
    <w:rsid w:val="008B04DB"/>
    <w:rsid w:val="008B27FD"/>
    <w:rsid w:val="008B3AF2"/>
    <w:rsid w:val="008B446D"/>
    <w:rsid w:val="008B515D"/>
    <w:rsid w:val="008B5D31"/>
    <w:rsid w:val="008B6705"/>
    <w:rsid w:val="008C02AE"/>
    <w:rsid w:val="008C22F3"/>
    <w:rsid w:val="008D55B4"/>
    <w:rsid w:val="008D795D"/>
    <w:rsid w:val="008D7B07"/>
    <w:rsid w:val="008E1E94"/>
    <w:rsid w:val="008E2D99"/>
    <w:rsid w:val="008E4A60"/>
    <w:rsid w:val="008E744D"/>
    <w:rsid w:val="008F1E08"/>
    <w:rsid w:val="00900D8F"/>
    <w:rsid w:val="009014E3"/>
    <w:rsid w:val="009026E8"/>
    <w:rsid w:val="009044F1"/>
    <w:rsid w:val="00906968"/>
    <w:rsid w:val="00906EB7"/>
    <w:rsid w:val="00907D67"/>
    <w:rsid w:val="009102BF"/>
    <w:rsid w:val="00911490"/>
    <w:rsid w:val="009115F2"/>
    <w:rsid w:val="00914ADB"/>
    <w:rsid w:val="00923B25"/>
    <w:rsid w:val="0092402E"/>
    <w:rsid w:val="009259BA"/>
    <w:rsid w:val="00926FCB"/>
    <w:rsid w:val="0093311A"/>
    <w:rsid w:val="00942645"/>
    <w:rsid w:val="00942B09"/>
    <w:rsid w:val="00950A3A"/>
    <w:rsid w:val="0095340A"/>
    <w:rsid w:val="00954581"/>
    <w:rsid w:val="0095466C"/>
    <w:rsid w:val="00954E5B"/>
    <w:rsid w:val="009576BC"/>
    <w:rsid w:val="00960357"/>
    <w:rsid w:val="0096168C"/>
    <w:rsid w:val="00961840"/>
    <w:rsid w:val="00962F2D"/>
    <w:rsid w:val="009672CD"/>
    <w:rsid w:val="00970127"/>
    <w:rsid w:val="00970B57"/>
    <w:rsid w:val="00972996"/>
    <w:rsid w:val="009732B8"/>
    <w:rsid w:val="00975C72"/>
    <w:rsid w:val="00976869"/>
    <w:rsid w:val="00977740"/>
    <w:rsid w:val="00977CB4"/>
    <w:rsid w:val="009809B8"/>
    <w:rsid w:val="00981A4A"/>
    <w:rsid w:val="0098222D"/>
    <w:rsid w:val="00985099"/>
    <w:rsid w:val="0099421F"/>
    <w:rsid w:val="009A0DE3"/>
    <w:rsid w:val="009A1643"/>
    <w:rsid w:val="009A215A"/>
    <w:rsid w:val="009A49D3"/>
    <w:rsid w:val="009A4F1B"/>
    <w:rsid w:val="009A66C5"/>
    <w:rsid w:val="009A79BA"/>
    <w:rsid w:val="009B14D1"/>
    <w:rsid w:val="009B1534"/>
    <w:rsid w:val="009B4963"/>
    <w:rsid w:val="009B4A3B"/>
    <w:rsid w:val="009B69D3"/>
    <w:rsid w:val="009B7BA7"/>
    <w:rsid w:val="009C0938"/>
    <w:rsid w:val="009C22C8"/>
    <w:rsid w:val="009C3F82"/>
    <w:rsid w:val="009C72DD"/>
    <w:rsid w:val="009C7DF5"/>
    <w:rsid w:val="009D056C"/>
    <w:rsid w:val="009D060F"/>
    <w:rsid w:val="009D1ADE"/>
    <w:rsid w:val="009D37CA"/>
    <w:rsid w:val="009E09D0"/>
    <w:rsid w:val="009E1283"/>
    <w:rsid w:val="009E3A7F"/>
    <w:rsid w:val="009E57B1"/>
    <w:rsid w:val="009E6379"/>
    <w:rsid w:val="009F7809"/>
    <w:rsid w:val="009F7AF5"/>
    <w:rsid w:val="00A00D14"/>
    <w:rsid w:val="00A01408"/>
    <w:rsid w:val="00A02457"/>
    <w:rsid w:val="00A03190"/>
    <w:rsid w:val="00A0404B"/>
    <w:rsid w:val="00A0798C"/>
    <w:rsid w:val="00A07BDD"/>
    <w:rsid w:val="00A1105B"/>
    <w:rsid w:val="00A1213C"/>
    <w:rsid w:val="00A130E8"/>
    <w:rsid w:val="00A15B6B"/>
    <w:rsid w:val="00A15EB4"/>
    <w:rsid w:val="00A16876"/>
    <w:rsid w:val="00A200AA"/>
    <w:rsid w:val="00A20558"/>
    <w:rsid w:val="00A2186F"/>
    <w:rsid w:val="00A22183"/>
    <w:rsid w:val="00A2270B"/>
    <w:rsid w:val="00A23B89"/>
    <w:rsid w:val="00A23FE3"/>
    <w:rsid w:val="00A248C3"/>
    <w:rsid w:val="00A2496E"/>
    <w:rsid w:val="00A258B7"/>
    <w:rsid w:val="00A32743"/>
    <w:rsid w:val="00A33E8C"/>
    <w:rsid w:val="00A414A9"/>
    <w:rsid w:val="00A44CCA"/>
    <w:rsid w:val="00A44D75"/>
    <w:rsid w:val="00A47CF1"/>
    <w:rsid w:val="00A50418"/>
    <w:rsid w:val="00A54A47"/>
    <w:rsid w:val="00A56D26"/>
    <w:rsid w:val="00A571A7"/>
    <w:rsid w:val="00A608FB"/>
    <w:rsid w:val="00A60D83"/>
    <w:rsid w:val="00A60F68"/>
    <w:rsid w:val="00A63DF3"/>
    <w:rsid w:val="00A65C78"/>
    <w:rsid w:val="00A660A8"/>
    <w:rsid w:val="00A67591"/>
    <w:rsid w:val="00A67CA6"/>
    <w:rsid w:val="00A70E7B"/>
    <w:rsid w:val="00A73B84"/>
    <w:rsid w:val="00A7411D"/>
    <w:rsid w:val="00A76039"/>
    <w:rsid w:val="00A76094"/>
    <w:rsid w:val="00A768E2"/>
    <w:rsid w:val="00A82C52"/>
    <w:rsid w:val="00A86CB6"/>
    <w:rsid w:val="00A90D55"/>
    <w:rsid w:val="00A944D8"/>
    <w:rsid w:val="00A959E7"/>
    <w:rsid w:val="00A95BBA"/>
    <w:rsid w:val="00A961EE"/>
    <w:rsid w:val="00AA04B3"/>
    <w:rsid w:val="00AA0A16"/>
    <w:rsid w:val="00AA1253"/>
    <w:rsid w:val="00AA1ED0"/>
    <w:rsid w:val="00AA28EF"/>
    <w:rsid w:val="00AA3593"/>
    <w:rsid w:val="00AA38CA"/>
    <w:rsid w:val="00AA493E"/>
    <w:rsid w:val="00AA73AF"/>
    <w:rsid w:val="00AB0A8A"/>
    <w:rsid w:val="00AB1754"/>
    <w:rsid w:val="00AB27DD"/>
    <w:rsid w:val="00AC439D"/>
    <w:rsid w:val="00AC713F"/>
    <w:rsid w:val="00AD067E"/>
    <w:rsid w:val="00AD2801"/>
    <w:rsid w:val="00AD6870"/>
    <w:rsid w:val="00AD68C5"/>
    <w:rsid w:val="00AE1273"/>
    <w:rsid w:val="00AE2D29"/>
    <w:rsid w:val="00AE4624"/>
    <w:rsid w:val="00AE5E14"/>
    <w:rsid w:val="00AE6115"/>
    <w:rsid w:val="00AE625B"/>
    <w:rsid w:val="00AF1668"/>
    <w:rsid w:val="00AF4FA5"/>
    <w:rsid w:val="00B07955"/>
    <w:rsid w:val="00B140B8"/>
    <w:rsid w:val="00B14FAA"/>
    <w:rsid w:val="00B15851"/>
    <w:rsid w:val="00B15D30"/>
    <w:rsid w:val="00B17BEA"/>
    <w:rsid w:val="00B20624"/>
    <w:rsid w:val="00B23436"/>
    <w:rsid w:val="00B237F1"/>
    <w:rsid w:val="00B24E88"/>
    <w:rsid w:val="00B24F33"/>
    <w:rsid w:val="00B26354"/>
    <w:rsid w:val="00B26CA0"/>
    <w:rsid w:val="00B32179"/>
    <w:rsid w:val="00B33007"/>
    <w:rsid w:val="00B331A9"/>
    <w:rsid w:val="00B36569"/>
    <w:rsid w:val="00B40A05"/>
    <w:rsid w:val="00B40A3E"/>
    <w:rsid w:val="00B4106C"/>
    <w:rsid w:val="00B427BB"/>
    <w:rsid w:val="00B449EE"/>
    <w:rsid w:val="00B50227"/>
    <w:rsid w:val="00B50510"/>
    <w:rsid w:val="00B50B27"/>
    <w:rsid w:val="00B522CD"/>
    <w:rsid w:val="00B55143"/>
    <w:rsid w:val="00B555C8"/>
    <w:rsid w:val="00B55917"/>
    <w:rsid w:val="00B6071D"/>
    <w:rsid w:val="00B643A6"/>
    <w:rsid w:val="00B64DD6"/>
    <w:rsid w:val="00B6710C"/>
    <w:rsid w:val="00B67137"/>
    <w:rsid w:val="00B67E84"/>
    <w:rsid w:val="00B72076"/>
    <w:rsid w:val="00B72303"/>
    <w:rsid w:val="00B729D8"/>
    <w:rsid w:val="00B72C72"/>
    <w:rsid w:val="00B82277"/>
    <w:rsid w:val="00B91676"/>
    <w:rsid w:val="00B95833"/>
    <w:rsid w:val="00BA1824"/>
    <w:rsid w:val="00BA2D98"/>
    <w:rsid w:val="00BA30D1"/>
    <w:rsid w:val="00BA30E1"/>
    <w:rsid w:val="00BA4609"/>
    <w:rsid w:val="00BA5BE2"/>
    <w:rsid w:val="00BA7F46"/>
    <w:rsid w:val="00BB0A0A"/>
    <w:rsid w:val="00BB133C"/>
    <w:rsid w:val="00BB45B5"/>
    <w:rsid w:val="00BB6064"/>
    <w:rsid w:val="00BC09D1"/>
    <w:rsid w:val="00BC1CF3"/>
    <w:rsid w:val="00BC3573"/>
    <w:rsid w:val="00BC59E0"/>
    <w:rsid w:val="00BC7F82"/>
    <w:rsid w:val="00BD40AB"/>
    <w:rsid w:val="00BD6297"/>
    <w:rsid w:val="00BD6806"/>
    <w:rsid w:val="00BD7433"/>
    <w:rsid w:val="00BD7831"/>
    <w:rsid w:val="00BD7C10"/>
    <w:rsid w:val="00BE046F"/>
    <w:rsid w:val="00BE0DEB"/>
    <w:rsid w:val="00BE2FC1"/>
    <w:rsid w:val="00BE6365"/>
    <w:rsid w:val="00BF0B7F"/>
    <w:rsid w:val="00BF4720"/>
    <w:rsid w:val="00BF4F49"/>
    <w:rsid w:val="00BF7B4F"/>
    <w:rsid w:val="00BF7B63"/>
    <w:rsid w:val="00C038EC"/>
    <w:rsid w:val="00C05C6D"/>
    <w:rsid w:val="00C1122B"/>
    <w:rsid w:val="00C13B34"/>
    <w:rsid w:val="00C13F26"/>
    <w:rsid w:val="00C1474E"/>
    <w:rsid w:val="00C168A6"/>
    <w:rsid w:val="00C16E9F"/>
    <w:rsid w:val="00C1713D"/>
    <w:rsid w:val="00C177F1"/>
    <w:rsid w:val="00C17EE6"/>
    <w:rsid w:val="00C22F3A"/>
    <w:rsid w:val="00C23311"/>
    <w:rsid w:val="00C25978"/>
    <w:rsid w:val="00C261C6"/>
    <w:rsid w:val="00C26E7C"/>
    <w:rsid w:val="00C276CD"/>
    <w:rsid w:val="00C30A97"/>
    <w:rsid w:val="00C31DDC"/>
    <w:rsid w:val="00C34326"/>
    <w:rsid w:val="00C36201"/>
    <w:rsid w:val="00C368E8"/>
    <w:rsid w:val="00C36C3D"/>
    <w:rsid w:val="00C372C7"/>
    <w:rsid w:val="00C42344"/>
    <w:rsid w:val="00C42443"/>
    <w:rsid w:val="00C42CBA"/>
    <w:rsid w:val="00C44F55"/>
    <w:rsid w:val="00C46190"/>
    <w:rsid w:val="00C5019E"/>
    <w:rsid w:val="00C5377C"/>
    <w:rsid w:val="00C53E8A"/>
    <w:rsid w:val="00C54DF3"/>
    <w:rsid w:val="00C560A7"/>
    <w:rsid w:val="00C56FC8"/>
    <w:rsid w:val="00C60F23"/>
    <w:rsid w:val="00C62EB2"/>
    <w:rsid w:val="00C64646"/>
    <w:rsid w:val="00C71BEC"/>
    <w:rsid w:val="00C74D3A"/>
    <w:rsid w:val="00C80511"/>
    <w:rsid w:val="00C826F5"/>
    <w:rsid w:val="00C83740"/>
    <w:rsid w:val="00C84AD1"/>
    <w:rsid w:val="00C85579"/>
    <w:rsid w:val="00C863E5"/>
    <w:rsid w:val="00C87BE6"/>
    <w:rsid w:val="00C87F76"/>
    <w:rsid w:val="00C931FC"/>
    <w:rsid w:val="00C932C5"/>
    <w:rsid w:val="00C9650E"/>
    <w:rsid w:val="00CA068D"/>
    <w:rsid w:val="00CA1228"/>
    <w:rsid w:val="00CA1A90"/>
    <w:rsid w:val="00CA282D"/>
    <w:rsid w:val="00CA4670"/>
    <w:rsid w:val="00CA6B1A"/>
    <w:rsid w:val="00CB20DC"/>
    <w:rsid w:val="00CB23DC"/>
    <w:rsid w:val="00CB2487"/>
    <w:rsid w:val="00CB28E2"/>
    <w:rsid w:val="00CB7A3E"/>
    <w:rsid w:val="00CB7FF7"/>
    <w:rsid w:val="00CC0D0E"/>
    <w:rsid w:val="00CC19B3"/>
    <w:rsid w:val="00CC2044"/>
    <w:rsid w:val="00CC39D2"/>
    <w:rsid w:val="00CC69EC"/>
    <w:rsid w:val="00CD15BE"/>
    <w:rsid w:val="00CD1EF2"/>
    <w:rsid w:val="00CD32BD"/>
    <w:rsid w:val="00CD34C7"/>
    <w:rsid w:val="00CD5653"/>
    <w:rsid w:val="00CD5E6D"/>
    <w:rsid w:val="00CD63C8"/>
    <w:rsid w:val="00CF158D"/>
    <w:rsid w:val="00CF4394"/>
    <w:rsid w:val="00D000A9"/>
    <w:rsid w:val="00D005DB"/>
    <w:rsid w:val="00D0064E"/>
    <w:rsid w:val="00D00981"/>
    <w:rsid w:val="00D02596"/>
    <w:rsid w:val="00D0280D"/>
    <w:rsid w:val="00D0336D"/>
    <w:rsid w:val="00D07A72"/>
    <w:rsid w:val="00D10577"/>
    <w:rsid w:val="00D1323B"/>
    <w:rsid w:val="00D14BAE"/>
    <w:rsid w:val="00D1648B"/>
    <w:rsid w:val="00D16819"/>
    <w:rsid w:val="00D17DD9"/>
    <w:rsid w:val="00D20AC0"/>
    <w:rsid w:val="00D2321B"/>
    <w:rsid w:val="00D23DE4"/>
    <w:rsid w:val="00D26873"/>
    <w:rsid w:val="00D31683"/>
    <w:rsid w:val="00D336C8"/>
    <w:rsid w:val="00D339E8"/>
    <w:rsid w:val="00D3662E"/>
    <w:rsid w:val="00D40B1F"/>
    <w:rsid w:val="00D40D75"/>
    <w:rsid w:val="00D449F0"/>
    <w:rsid w:val="00D50C8C"/>
    <w:rsid w:val="00D52393"/>
    <w:rsid w:val="00D523E4"/>
    <w:rsid w:val="00D5279D"/>
    <w:rsid w:val="00D52A1B"/>
    <w:rsid w:val="00D52FCC"/>
    <w:rsid w:val="00D53F14"/>
    <w:rsid w:val="00D54BE4"/>
    <w:rsid w:val="00D560DC"/>
    <w:rsid w:val="00D60483"/>
    <w:rsid w:val="00D61ABB"/>
    <w:rsid w:val="00D63577"/>
    <w:rsid w:val="00D6729E"/>
    <w:rsid w:val="00D67FD7"/>
    <w:rsid w:val="00D74261"/>
    <w:rsid w:val="00D7441B"/>
    <w:rsid w:val="00D76AB2"/>
    <w:rsid w:val="00D80490"/>
    <w:rsid w:val="00D829AD"/>
    <w:rsid w:val="00D82EE2"/>
    <w:rsid w:val="00D8545C"/>
    <w:rsid w:val="00D87788"/>
    <w:rsid w:val="00D877C8"/>
    <w:rsid w:val="00D910C2"/>
    <w:rsid w:val="00D9168C"/>
    <w:rsid w:val="00D9189B"/>
    <w:rsid w:val="00D91DA6"/>
    <w:rsid w:val="00D9706F"/>
    <w:rsid w:val="00D972D4"/>
    <w:rsid w:val="00DA195B"/>
    <w:rsid w:val="00DA6B55"/>
    <w:rsid w:val="00DA6B97"/>
    <w:rsid w:val="00DB0015"/>
    <w:rsid w:val="00DB2AAD"/>
    <w:rsid w:val="00DB626D"/>
    <w:rsid w:val="00DB6365"/>
    <w:rsid w:val="00DC0BF1"/>
    <w:rsid w:val="00DC2D36"/>
    <w:rsid w:val="00DC41C3"/>
    <w:rsid w:val="00DC595A"/>
    <w:rsid w:val="00DD286D"/>
    <w:rsid w:val="00DD2CAF"/>
    <w:rsid w:val="00DD3593"/>
    <w:rsid w:val="00DD64E0"/>
    <w:rsid w:val="00DE0C67"/>
    <w:rsid w:val="00DE6952"/>
    <w:rsid w:val="00DE7E74"/>
    <w:rsid w:val="00DF071B"/>
    <w:rsid w:val="00DF6EF8"/>
    <w:rsid w:val="00E00A69"/>
    <w:rsid w:val="00E017F0"/>
    <w:rsid w:val="00E01A0E"/>
    <w:rsid w:val="00E041E4"/>
    <w:rsid w:val="00E1012B"/>
    <w:rsid w:val="00E103C8"/>
    <w:rsid w:val="00E1085B"/>
    <w:rsid w:val="00E1308B"/>
    <w:rsid w:val="00E14581"/>
    <w:rsid w:val="00E15539"/>
    <w:rsid w:val="00E16541"/>
    <w:rsid w:val="00E2536E"/>
    <w:rsid w:val="00E25B8A"/>
    <w:rsid w:val="00E2632B"/>
    <w:rsid w:val="00E322F7"/>
    <w:rsid w:val="00E3369B"/>
    <w:rsid w:val="00E36D76"/>
    <w:rsid w:val="00E405EA"/>
    <w:rsid w:val="00E408B7"/>
    <w:rsid w:val="00E41637"/>
    <w:rsid w:val="00E42789"/>
    <w:rsid w:val="00E43F59"/>
    <w:rsid w:val="00E464F0"/>
    <w:rsid w:val="00E50BEB"/>
    <w:rsid w:val="00E548FA"/>
    <w:rsid w:val="00E57ED4"/>
    <w:rsid w:val="00E6092F"/>
    <w:rsid w:val="00E62049"/>
    <w:rsid w:val="00E629DA"/>
    <w:rsid w:val="00E6469F"/>
    <w:rsid w:val="00E670F8"/>
    <w:rsid w:val="00E67FAC"/>
    <w:rsid w:val="00E7200B"/>
    <w:rsid w:val="00E738CB"/>
    <w:rsid w:val="00E73C88"/>
    <w:rsid w:val="00E74437"/>
    <w:rsid w:val="00E7443D"/>
    <w:rsid w:val="00E81C3E"/>
    <w:rsid w:val="00E82B6D"/>
    <w:rsid w:val="00E90561"/>
    <w:rsid w:val="00EA1177"/>
    <w:rsid w:val="00EA118B"/>
    <w:rsid w:val="00EA11B6"/>
    <w:rsid w:val="00EA2181"/>
    <w:rsid w:val="00EA2DD8"/>
    <w:rsid w:val="00EA4475"/>
    <w:rsid w:val="00EA681F"/>
    <w:rsid w:val="00EB3307"/>
    <w:rsid w:val="00EB3823"/>
    <w:rsid w:val="00EB47D8"/>
    <w:rsid w:val="00EB57D3"/>
    <w:rsid w:val="00EB5EFD"/>
    <w:rsid w:val="00EB679F"/>
    <w:rsid w:val="00EB76E4"/>
    <w:rsid w:val="00EC0E65"/>
    <w:rsid w:val="00EC2938"/>
    <w:rsid w:val="00EC38EF"/>
    <w:rsid w:val="00EC50C9"/>
    <w:rsid w:val="00EC58B4"/>
    <w:rsid w:val="00EC5BB2"/>
    <w:rsid w:val="00ED12F0"/>
    <w:rsid w:val="00ED4773"/>
    <w:rsid w:val="00ED664B"/>
    <w:rsid w:val="00ED6A61"/>
    <w:rsid w:val="00EE03BB"/>
    <w:rsid w:val="00EE0B44"/>
    <w:rsid w:val="00EE6FE0"/>
    <w:rsid w:val="00EE704A"/>
    <w:rsid w:val="00EE7840"/>
    <w:rsid w:val="00EE7B0C"/>
    <w:rsid w:val="00EF4C74"/>
    <w:rsid w:val="00EF5268"/>
    <w:rsid w:val="00EF608E"/>
    <w:rsid w:val="00F0044B"/>
    <w:rsid w:val="00F04957"/>
    <w:rsid w:val="00F05807"/>
    <w:rsid w:val="00F07052"/>
    <w:rsid w:val="00F0706C"/>
    <w:rsid w:val="00F07402"/>
    <w:rsid w:val="00F11EBE"/>
    <w:rsid w:val="00F12BA8"/>
    <w:rsid w:val="00F130D0"/>
    <w:rsid w:val="00F14933"/>
    <w:rsid w:val="00F1516A"/>
    <w:rsid w:val="00F22A26"/>
    <w:rsid w:val="00F24072"/>
    <w:rsid w:val="00F26432"/>
    <w:rsid w:val="00F3197A"/>
    <w:rsid w:val="00F32139"/>
    <w:rsid w:val="00F33D56"/>
    <w:rsid w:val="00F34E08"/>
    <w:rsid w:val="00F41D91"/>
    <w:rsid w:val="00F42363"/>
    <w:rsid w:val="00F46964"/>
    <w:rsid w:val="00F46F9A"/>
    <w:rsid w:val="00F470FD"/>
    <w:rsid w:val="00F50F30"/>
    <w:rsid w:val="00F5126A"/>
    <w:rsid w:val="00F5126E"/>
    <w:rsid w:val="00F516B9"/>
    <w:rsid w:val="00F6636A"/>
    <w:rsid w:val="00F667C5"/>
    <w:rsid w:val="00F67E31"/>
    <w:rsid w:val="00F718A8"/>
    <w:rsid w:val="00F72183"/>
    <w:rsid w:val="00F754B9"/>
    <w:rsid w:val="00F76D01"/>
    <w:rsid w:val="00F80313"/>
    <w:rsid w:val="00F81C35"/>
    <w:rsid w:val="00F82981"/>
    <w:rsid w:val="00F8311F"/>
    <w:rsid w:val="00F83248"/>
    <w:rsid w:val="00F83376"/>
    <w:rsid w:val="00F853AE"/>
    <w:rsid w:val="00F93C74"/>
    <w:rsid w:val="00F93DCC"/>
    <w:rsid w:val="00F9435D"/>
    <w:rsid w:val="00F97740"/>
    <w:rsid w:val="00FA2F7B"/>
    <w:rsid w:val="00FA3C97"/>
    <w:rsid w:val="00FA78C8"/>
    <w:rsid w:val="00FB09FE"/>
    <w:rsid w:val="00FB101D"/>
    <w:rsid w:val="00FB1725"/>
    <w:rsid w:val="00FB593A"/>
    <w:rsid w:val="00FB6410"/>
    <w:rsid w:val="00FB6E82"/>
    <w:rsid w:val="00FC0042"/>
    <w:rsid w:val="00FC0096"/>
    <w:rsid w:val="00FC2A13"/>
    <w:rsid w:val="00FC4284"/>
    <w:rsid w:val="00FC4576"/>
    <w:rsid w:val="00FC78FB"/>
    <w:rsid w:val="00FC7DBC"/>
    <w:rsid w:val="00FD076A"/>
    <w:rsid w:val="00FD0AA0"/>
    <w:rsid w:val="00FD1D5A"/>
    <w:rsid w:val="00FD5059"/>
    <w:rsid w:val="00FD554D"/>
    <w:rsid w:val="00FE6469"/>
    <w:rsid w:val="00FF01E5"/>
    <w:rsid w:val="00FF0FF7"/>
    <w:rsid w:val="00FF10A2"/>
    <w:rsid w:val="00FF1438"/>
    <w:rsid w:val="00FF3A38"/>
    <w:rsid w:val="00FF3C25"/>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84635328">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B2E28-BB3A-4E66-AB71-947113ED3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1354</Words>
  <Characters>7723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9059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Colleen.Toussaint</cp:lastModifiedBy>
  <cp:revision>2</cp:revision>
  <cp:lastPrinted>2011-02-24T13:20:00Z</cp:lastPrinted>
  <dcterms:created xsi:type="dcterms:W3CDTF">2012-03-07T17:29:00Z</dcterms:created>
  <dcterms:modified xsi:type="dcterms:W3CDTF">2012-03-07T17:29:00Z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