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12161B">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D37078" w:rsidRPr="00FD6C41" w:rsidRDefault="00540BEF" w:rsidP="00D37078">
      <w:pPr>
        <w:tabs>
          <w:tab w:val="left" w:pos="288"/>
          <w:tab w:val="left" w:pos="4752"/>
          <w:tab w:val="left" w:pos="5310"/>
          <w:tab w:val="left" w:pos="9270"/>
        </w:tabs>
        <w:spacing w:line="240" w:lineRule="exact"/>
        <w:jc w:val="both"/>
        <w:rPr>
          <w:rFonts w:asciiTheme="minorHAnsi" w:hAnsiTheme="minorHAnsi"/>
          <w:caps/>
          <w:color w:val="auto"/>
        </w:rPr>
      </w:pPr>
      <w:r w:rsidRPr="00B20624">
        <w:rPr>
          <w:rFonts w:asciiTheme="minorHAnsi" w:hAnsiTheme="minorHAnsi"/>
          <w:caps/>
          <w:color w:val="auto"/>
        </w:rPr>
        <w:t>NAME:</w:t>
      </w:r>
      <w:r w:rsidR="00D37078" w:rsidRPr="00D37078">
        <w:rPr>
          <w:rFonts w:asciiTheme="minorHAnsi" w:hAnsiTheme="minorHAnsi"/>
          <w:caps/>
          <w:color w:val="auto"/>
        </w:rPr>
        <w:t xml:space="preserve"> </w:t>
      </w:r>
      <w:r w:rsidR="00935C4D">
        <w:rPr>
          <w:rFonts w:asciiTheme="minorHAnsi" w:hAnsiTheme="minorHAnsi"/>
          <w:caps/>
          <w:color w:val="auto"/>
        </w:rPr>
        <w:t xml:space="preserve"> </w:t>
      </w:r>
      <w:r w:rsidR="00BA05EE">
        <w:rPr>
          <w:rFonts w:asciiTheme="minorHAnsi" w:hAnsiTheme="minorHAnsi"/>
          <w:caps/>
          <w:color w:val="auto"/>
        </w:rPr>
        <w:t>XXXXXX</w:t>
      </w:r>
      <w:r w:rsidRPr="00B20624">
        <w:rPr>
          <w:rFonts w:asciiTheme="minorHAnsi" w:hAnsiTheme="minorHAnsi"/>
          <w:caps/>
          <w:color w:val="auto"/>
        </w:rPr>
        <w:tab/>
      </w:r>
      <w:r w:rsidR="00D37078">
        <w:rPr>
          <w:rFonts w:asciiTheme="minorHAnsi" w:hAnsiTheme="minorHAnsi"/>
          <w:caps/>
          <w:color w:val="auto"/>
        </w:rPr>
        <w:t xml:space="preserve">     </w:t>
      </w:r>
      <w:r w:rsidR="002B4972">
        <w:rPr>
          <w:rFonts w:asciiTheme="minorHAnsi" w:hAnsiTheme="minorHAnsi"/>
          <w:caps/>
          <w:color w:val="auto"/>
        </w:rPr>
        <w:tab/>
      </w:r>
      <w:r w:rsidR="0012161B">
        <w:rPr>
          <w:rFonts w:asciiTheme="minorHAnsi" w:hAnsiTheme="minorHAnsi"/>
          <w:caps/>
          <w:color w:val="auto"/>
        </w:rPr>
        <w:t xml:space="preserve">      </w:t>
      </w:r>
      <w:r w:rsidRPr="00B20624">
        <w:rPr>
          <w:rFonts w:asciiTheme="minorHAnsi" w:hAnsiTheme="minorHAnsi"/>
          <w:caps/>
          <w:color w:val="auto"/>
        </w:rPr>
        <w:t xml:space="preserve">BRANCH OF SERVICE: </w:t>
      </w:r>
      <w:r w:rsidR="00935C4D">
        <w:rPr>
          <w:rFonts w:asciiTheme="minorHAnsi" w:hAnsiTheme="minorHAnsi"/>
          <w:caps/>
          <w:color w:val="auto"/>
        </w:rPr>
        <w:t xml:space="preserve"> </w:t>
      </w:r>
      <w:r w:rsidR="00D37078">
        <w:rPr>
          <w:rFonts w:asciiTheme="minorHAnsi" w:hAnsiTheme="minorHAnsi"/>
          <w:caps/>
          <w:color w:val="auto"/>
        </w:rPr>
        <w:t>mARINE cORPS</w:t>
      </w:r>
    </w:p>
    <w:p w:rsidR="00540BEF" w:rsidRPr="00B20624" w:rsidRDefault="00540BEF" w:rsidP="00D3707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CASE NUMBER:  PD</w:t>
      </w:r>
      <w:r w:rsidR="00D37078" w:rsidRPr="009D3325">
        <w:rPr>
          <w:rFonts w:asciiTheme="minorHAnsi" w:hAnsiTheme="minorHAnsi"/>
          <w:caps/>
          <w:color w:val="auto"/>
        </w:rPr>
        <w:t>09</w:t>
      </w:r>
      <w:r w:rsidR="00D37078">
        <w:rPr>
          <w:rFonts w:asciiTheme="minorHAnsi" w:hAnsiTheme="minorHAnsi"/>
          <w:caps/>
          <w:color w:val="auto"/>
        </w:rPr>
        <w:t>00574</w:t>
      </w:r>
      <w:r w:rsidR="0012161B">
        <w:rPr>
          <w:rFonts w:asciiTheme="minorHAnsi" w:hAnsiTheme="minorHAnsi"/>
          <w:caps/>
          <w:color w:val="auto"/>
        </w:rPr>
        <w:tab/>
        <w:t xml:space="preserve">                </w:t>
      </w:r>
      <w:r w:rsidR="00C22F3A" w:rsidRPr="00B20624">
        <w:rPr>
          <w:rFonts w:asciiTheme="minorHAnsi" w:hAnsiTheme="minorHAnsi"/>
          <w:caps/>
          <w:color w:val="auto"/>
        </w:rPr>
        <w:t xml:space="preserve">SEPARATION DATE: </w:t>
      </w:r>
      <w:r w:rsidR="00935C4D">
        <w:rPr>
          <w:rFonts w:asciiTheme="minorHAnsi" w:hAnsiTheme="minorHAnsi"/>
          <w:caps/>
          <w:color w:val="auto"/>
        </w:rPr>
        <w:t xml:space="preserve"> </w:t>
      </w:r>
      <w:r w:rsidR="00D37078">
        <w:rPr>
          <w:rFonts w:asciiTheme="minorHAnsi" w:hAnsiTheme="minorHAnsi"/>
          <w:caps/>
          <w:color w:val="auto"/>
        </w:rPr>
        <w:t>20060815</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935C4D">
        <w:rPr>
          <w:rFonts w:asciiTheme="minorHAnsi" w:hAnsiTheme="minorHAnsi"/>
          <w:caps/>
          <w:color w:val="auto"/>
        </w:rPr>
        <w:t xml:space="preserve"> </w:t>
      </w:r>
      <w:r w:rsidR="000F02BE" w:rsidRPr="00B20624">
        <w:rPr>
          <w:rFonts w:asciiTheme="minorHAnsi" w:hAnsiTheme="minorHAnsi"/>
          <w:caps/>
          <w:color w:val="auto"/>
        </w:rPr>
        <w:t>201</w:t>
      </w:r>
      <w:r w:rsidR="00F27B62">
        <w:rPr>
          <w:rFonts w:asciiTheme="minorHAnsi" w:hAnsiTheme="minorHAnsi"/>
          <w:caps/>
          <w:color w:val="auto"/>
        </w:rPr>
        <w:t>10427</w:t>
      </w:r>
    </w:p>
    <w:p w:rsidR="00540BEF" w:rsidRPr="00935C4D" w:rsidRDefault="00540BEF" w:rsidP="00190E48">
      <w:pPr>
        <w:tabs>
          <w:tab w:val="left" w:pos="288"/>
          <w:tab w:val="left" w:pos="4752"/>
        </w:tabs>
        <w:spacing w:line="240" w:lineRule="exact"/>
        <w:jc w:val="both"/>
        <w:rPr>
          <w:rFonts w:asciiTheme="minorHAnsi" w:hAnsiTheme="minorHAnsi"/>
          <w:caps/>
          <w:color w:val="auto"/>
        </w:rPr>
      </w:pPr>
      <w:r w:rsidRPr="00935C4D">
        <w:rPr>
          <w:rFonts w:asciiTheme="minorHAnsi" w:hAnsiTheme="minorHAnsi"/>
          <w:color w:val="auto"/>
          <w:u w:val="single"/>
        </w:rPr>
        <w:t>_______________________________________________________________</w:t>
      </w:r>
      <w:r w:rsidRPr="00935C4D">
        <w:rPr>
          <w:rFonts w:asciiTheme="minorHAnsi" w:hAnsiTheme="minorHAnsi"/>
          <w:color w:val="auto"/>
        </w:rPr>
        <w:t>_</w:t>
      </w:r>
      <w:r w:rsidR="00AC713F" w:rsidRPr="00935C4D">
        <w:rPr>
          <w:rFonts w:asciiTheme="minorHAnsi" w:hAnsiTheme="minorHAnsi"/>
          <w:color w:val="auto"/>
        </w:rPr>
        <w:t>___________</w:t>
      </w:r>
      <w:r w:rsidR="00B84801" w:rsidRPr="00935C4D">
        <w:rPr>
          <w:rFonts w:asciiTheme="minorHAnsi" w:hAnsiTheme="minorHAnsi"/>
          <w:color w:val="auto"/>
        </w:rPr>
        <w:t>___</w:t>
      </w:r>
    </w:p>
    <w:p w:rsidR="00B522CD" w:rsidRPr="00935C4D" w:rsidRDefault="00B522CD" w:rsidP="00AF1668">
      <w:pPr>
        <w:tabs>
          <w:tab w:val="left" w:pos="288"/>
          <w:tab w:val="left" w:pos="4752"/>
        </w:tabs>
        <w:spacing w:line="240" w:lineRule="exact"/>
        <w:rPr>
          <w:color w:val="auto"/>
        </w:rPr>
      </w:pPr>
    </w:p>
    <w:p w:rsidR="00CF6AFE" w:rsidRPr="0012161B" w:rsidRDefault="002C6E5B" w:rsidP="001E2883">
      <w:pPr>
        <w:tabs>
          <w:tab w:val="left" w:pos="288"/>
          <w:tab w:val="left" w:pos="4752"/>
        </w:tabs>
        <w:spacing w:line="240" w:lineRule="exact"/>
        <w:jc w:val="both"/>
        <w:rPr>
          <w:rFonts w:ascii="Calibri" w:hAnsi="Calibri"/>
          <w:strike/>
          <w:color w:val="auto"/>
          <w:szCs w:val="24"/>
        </w:rPr>
      </w:pPr>
      <w:r w:rsidRPr="0012161B">
        <w:rPr>
          <w:rFonts w:ascii="Calibri" w:hAnsi="Calibri"/>
          <w:color w:val="auto"/>
          <w:u w:val="single"/>
        </w:rPr>
        <w:t>SUMMARY OF CASE</w:t>
      </w:r>
      <w:r w:rsidRPr="0012161B">
        <w:rPr>
          <w:rFonts w:ascii="Calibri" w:hAnsi="Calibri"/>
          <w:color w:val="auto"/>
        </w:rPr>
        <w:t xml:space="preserve">: </w:t>
      </w:r>
      <w:r w:rsidR="00935C4D" w:rsidRPr="0012161B">
        <w:rPr>
          <w:rFonts w:ascii="Calibri" w:hAnsi="Calibri"/>
          <w:color w:val="auto"/>
        </w:rPr>
        <w:t xml:space="preserve"> </w:t>
      </w:r>
      <w:r w:rsidR="00D37078" w:rsidRPr="0012161B">
        <w:rPr>
          <w:rFonts w:asciiTheme="minorHAnsi" w:hAnsiTheme="minorHAnsi"/>
          <w:color w:val="auto"/>
        </w:rPr>
        <w:t xml:space="preserve">Data extracted from the available evidence of record reflects that this covered individual (CI) </w:t>
      </w:r>
      <w:r w:rsidR="00D37078" w:rsidRPr="0012161B">
        <w:rPr>
          <w:rFonts w:asciiTheme="minorHAnsi" w:hAnsiTheme="minorHAnsi"/>
          <w:color w:val="auto"/>
          <w:szCs w:val="24"/>
        </w:rPr>
        <w:t>was an active duty SGT (3043</w:t>
      </w:r>
      <w:r w:rsidR="00F262AA">
        <w:rPr>
          <w:rFonts w:asciiTheme="minorHAnsi" w:hAnsiTheme="minorHAnsi"/>
          <w:color w:val="auto"/>
          <w:szCs w:val="24"/>
        </w:rPr>
        <w:t xml:space="preserve">, </w:t>
      </w:r>
      <w:r w:rsidR="00D37078" w:rsidRPr="0012161B">
        <w:rPr>
          <w:rFonts w:asciiTheme="minorHAnsi" w:hAnsiTheme="minorHAnsi"/>
          <w:color w:val="auto"/>
          <w:szCs w:val="24"/>
        </w:rPr>
        <w:t>Operations Planning Clerk) medically separated from the Marine</w:t>
      </w:r>
      <w:r w:rsidR="00F262AA">
        <w:rPr>
          <w:rFonts w:asciiTheme="minorHAnsi" w:hAnsiTheme="minorHAnsi"/>
          <w:color w:val="auto"/>
          <w:szCs w:val="24"/>
        </w:rPr>
        <w:t xml:space="preserve"> Corp</w:t>
      </w:r>
      <w:r w:rsidR="00D37078" w:rsidRPr="0012161B">
        <w:rPr>
          <w:rFonts w:asciiTheme="minorHAnsi" w:hAnsiTheme="minorHAnsi"/>
          <w:color w:val="auto"/>
          <w:szCs w:val="24"/>
        </w:rPr>
        <w:t xml:space="preserve">s in 2006. </w:t>
      </w:r>
      <w:r w:rsidR="00531FED" w:rsidRPr="0012161B">
        <w:rPr>
          <w:rFonts w:asciiTheme="minorHAnsi" w:hAnsiTheme="minorHAnsi"/>
          <w:color w:val="auto"/>
          <w:szCs w:val="24"/>
        </w:rPr>
        <w:t xml:space="preserve"> </w:t>
      </w:r>
      <w:r w:rsidR="00D37078" w:rsidRPr="0012161B">
        <w:rPr>
          <w:rFonts w:asciiTheme="minorHAnsi" w:hAnsiTheme="minorHAnsi"/>
          <w:color w:val="auto"/>
          <w:szCs w:val="24"/>
        </w:rPr>
        <w:t xml:space="preserve">The medical basis for the separation was </w:t>
      </w:r>
      <w:r w:rsidR="00603BA3">
        <w:rPr>
          <w:rFonts w:asciiTheme="minorHAnsi" w:hAnsiTheme="minorHAnsi"/>
          <w:color w:val="auto"/>
          <w:szCs w:val="24"/>
        </w:rPr>
        <w:t>l</w:t>
      </w:r>
      <w:r w:rsidR="00D37078" w:rsidRPr="0012161B">
        <w:rPr>
          <w:rFonts w:asciiTheme="minorHAnsi" w:hAnsiTheme="minorHAnsi"/>
          <w:color w:val="auto"/>
          <w:szCs w:val="24"/>
        </w:rPr>
        <w:t xml:space="preserve">eft </w:t>
      </w:r>
      <w:r w:rsidR="00603BA3">
        <w:rPr>
          <w:rFonts w:asciiTheme="minorHAnsi" w:hAnsiTheme="minorHAnsi"/>
          <w:color w:val="auto"/>
          <w:szCs w:val="24"/>
        </w:rPr>
        <w:t>k</w:t>
      </w:r>
      <w:r w:rsidR="00D37078" w:rsidRPr="0012161B">
        <w:rPr>
          <w:rFonts w:asciiTheme="minorHAnsi" w:hAnsiTheme="minorHAnsi"/>
          <w:color w:val="auto"/>
          <w:szCs w:val="24"/>
        </w:rPr>
        <w:t xml:space="preserve">nee </w:t>
      </w:r>
      <w:r w:rsidR="00603BA3">
        <w:rPr>
          <w:rFonts w:asciiTheme="minorHAnsi" w:hAnsiTheme="minorHAnsi"/>
          <w:color w:val="auto"/>
          <w:szCs w:val="24"/>
        </w:rPr>
        <w:t>p</w:t>
      </w:r>
      <w:r w:rsidR="00D37078" w:rsidRPr="0012161B">
        <w:rPr>
          <w:rFonts w:asciiTheme="minorHAnsi" w:hAnsiTheme="minorHAnsi"/>
          <w:color w:val="auto"/>
          <w:szCs w:val="24"/>
        </w:rPr>
        <w:t xml:space="preserve">atellofemoral </w:t>
      </w:r>
      <w:r w:rsidR="00603BA3">
        <w:rPr>
          <w:rFonts w:asciiTheme="minorHAnsi" w:hAnsiTheme="minorHAnsi"/>
          <w:color w:val="auto"/>
          <w:szCs w:val="24"/>
        </w:rPr>
        <w:t>c</w:t>
      </w:r>
      <w:r w:rsidR="00D37078" w:rsidRPr="0012161B">
        <w:rPr>
          <w:rFonts w:asciiTheme="minorHAnsi" w:hAnsiTheme="minorHAnsi"/>
          <w:color w:val="auto"/>
          <w:szCs w:val="24"/>
        </w:rPr>
        <w:t xml:space="preserve">hondromalacia.  </w:t>
      </w:r>
      <w:r w:rsidR="004F5F4E" w:rsidRPr="0012161B">
        <w:rPr>
          <w:rFonts w:asciiTheme="minorHAnsi" w:hAnsiTheme="minorHAnsi"/>
          <w:color w:val="auto"/>
          <w:szCs w:val="24"/>
        </w:rPr>
        <w:t xml:space="preserve">The </w:t>
      </w:r>
      <w:r w:rsidR="00D37078" w:rsidRPr="0012161B">
        <w:rPr>
          <w:rFonts w:asciiTheme="minorHAnsi" w:hAnsiTheme="minorHAnsi"/>
          <w:color w:val="auto"/>
          <w:szCs w:val="24"/>
        </w:rPr>
        <w:t>CI began experiencing left knee pain while running an</w:t>
      </w:r>
      <w:r w:rsidR="004F5F4E" w:rsidRPr="0012161B">
        <w:rPr>
          <w:rFonts w:asciiTheme="minorHAnsi" w:hAnsiTheme="minorHAnsi"/>
          <w:color w:val="auto"/>
          <w:szCs w:val="24"/>
        </w:rPr>
        <w:t>d when going up and down stairs.</w:t>
      </w:r>
      <w:r w:rsidR="00D37078" w:rsidRPr="0012161B">
        <w:rPr>
          <w:rFonts w:asciiTheme="minorHAnsi" w:hAnsiTheme="minorHAnsi"/>
          <w:color w:val="auto"/>
          <w:szCs w:val="24"/>
        </w:rPr>
        <w:t xml:space="preserve"> </w:t>
      </w:r>
      <w:r w:rsidR="00531FED" w:rsidRPr="0012161B">
        <w:rPr>
          <w:rFonts w:asciiTheme="minorHAnsi" w:hAnsiTheme="minorHAnsi"/>
          <w:color w:val="auto"/>
          <w:szCs w:val="24"/>
        </w:rPr>
        <w:t xml:space="preserve"> </w:t>
      </w:r>
      <w:r w:rsidR="001E2883" w:rsidRPr="0012161B">
        <w:rPr>
          <w:rFonts w:asciiTheme="minorHAnsi" w:hAnsiTheme="minorHAnsi"/>
          <w:color w:val="auto"/>
          <w:szCs w:val="24"/>
        </w:rPr>
        <w:t>A</w:t>
      </w:r>
      <w:r w:rsidR="00603BA3">
        <w:rPr>
          <w:rFonts w:asciiTheme="minorHAnsi" w:hAnsiTheme="minorHAnsi"/>
          <w:color w:val="auto"/>
          <w:szCs w:val="24"/>
        </w:rPr>
        <w:t xml:space="preserve"> magnetic resonance imaging (</w:t>
      </w:r>
      <w:r w:rsidR="001E2883" w:rsidRPr="0012161B">
        <w:rPr>
          <w:rFonts w:asciiTheme="minorHAnsi" w:hAnsiTheme="minorHAnsi"/>
          <w:color w:val="auto"/>
          <w:szCs w:val="24"/>
        </w:rPr>
        <w:t>MRI</w:t>
      </w:r>
      <w:r w:rsidR="00603BA3">
        <w:rPr>
          <w:rFonts w:asciiTheme="minorHAnsi" w:hAnsiTheme="minorHAnsi"/>
          <w:color w:val="auto"/>
          <w:szCs w:val="24"/>
        </w:rPr>
        <w:t>)</w:t>
      </w:r>
      <w:r w:rsidR="00D37078" w:rsidRPr="0012161B">
        <w:rPr>
          <w:rFonts w:asciiTheme="minorHAnsi" w:hAnsiTheme="minorHAnsi"/>
          <w:color w:val="auto"/>
          <w:szCs w:val="24"/>
        </w:rPr>
        <w:t xml:space="preserve"> showed </w:t>
      </w:r>
      <w:r w:rsidR="004F5F4E" w:rsidRPr="0012161B">
        <w:rPr>
          <w:rFonts w:asciiTheme="minorHAnsi" w:hAnsiTheme="minorHAnsi"/>
          <w:color w:val="auto"/>
          <w:szCs w:val="24"/>
        </w:rPr>
        <w:t xml:space="preserve">minimal </w:t>
      </w:r>
      <w:proofErr w:type="spellStart"/>
      <w:r w:rsidR="004F5F4E" w:rsidRPr="0012161B">
        <w:rPr>
          <w:rFonts w:asciiTheme="minorHAnsi" w:hAnsiTheme="minorHAnsi"/>
          <w:color w:val="auto"/>
          <w:szCs w:val="24"/>
        </w:rPr>
        <w:t>meniscal</w:t>
      </w:r>
      <w:proofErr w:type="spellEnd"/>
      <w:r w:rsidR="004F5F4E" w:rsidRPr="0012161B">
        <w:rPr>
          <w:rFonts w:asciiTheme="minorHAnsi" w:hAnsiTheme="minorHAnsi"/>
          <w:color w:val="auto"/>
          <w:szCs w:val="24"/>
        </w:rPr>
        <w:t xml:space="preserve"> </w:t>
      </w:r>
      <w:r w:rsidR="001E2883" w:rsidRPr="0012161B">
        <w:rPr>
          <w:rFonts w:asciiTheme="minorHAnsi" w:hAnsiTheme="minorHAnsi"/>
          <w:color w:val="auto"/>
          <w:szCs w:val="24"/>
        </w:rPr>
        <w:t xml:space="preserve">abnormality. </w:t>
      </w:r>
      <w:r w:rsidR="00531FED" w:rsidRPr="0012161B">
        <w:rPr>
          <w:rFonts w:asciiTheme="minorHAnsi" w:hAnsiTheme="minorHAnsi"/>
          <w:color w:val="auto"/>
          <w:szCs w:val="24"/>
        </w:rPr>
        <w:t xml:space="preserve"> </w:t>
      </w:r>
      <w:r w:rsidR="001E2883" w:rsidRPr="0012161B">
        <w:rPr>
          <w:rFonts w:asciiTheme="minorHAnsi" w:hAnsiTheme="minorHAnsi"/>
          <w:color w:val="auto"/>
          <w:szCs w:val="24"/>
        </w:rPr>
        <w:t>The</w:t>
      </w:r>
      <w:r w:rsidR="004F5F4E" w:rsidRPr="0012161B">
        <w:rPr>
          <w:rFonts w:asciiTheme="minorHAnsi" w:hAnsiTheme="minorHAnsi"/>
          <w:color w:val="auto"/>
          <w:szCs w:val="24"/>
        </w:rPr>
        <w:t xml:space="preserve"> CI underwent </w:t>
      </w:r>
      <w:r w:rsidR="00D37078" w:rsidRPr="0012161B">
        <w:rPr>
          <w:rFonts w:asciiTheme="minorHAnsi" w:hAnsiTheme="minorHAnsi"/>
          <w:color w:val="auto"/>
          <w:szCs w:val="24"/>
        </w:rPr>
        <w:t>physical therapy</w:t>
      </w:r>
      <w:r w:rsidR="00366925">
        <w:rPr>
          <w:rFonts w:asciiTheme="minorHAnsi" w:hAnsiTheme="minorHAnsi"/>
          <w:color w:val="auto"/>
          <w:szCs w:val="24"/>
        </w:rPr>
        <w:t xml:space="preserve"> (PT)</w:t>
      </w:r>
      <w:r w:rsidR="00D37078" w:rsidRPr="0012161B">
        <w:rPr>
          <w:rFonts w:asciiTheme="minorHAnsi" w:hAnsiTheme="minorHAnsi"/>
          <w:color w:val="auto"/>
          <w:szCs w:val="24"/>
        </w:rPr>
        <w:t xml:space="preserve"> but continued to have medial joint line pain as </w:t>
      </w:r>
      <w:r w:rsidR="004F5F4E" w:rsidRPr="0012161B">
        <w:rPr>
          <w:rFonts w:asciiTheme="minorHAnsi" w:hAnsiTheme="minorHAnsi"/>
          <w:color w:val="auto"/>
          <w:szCs w:val="24"/>
        </w:rPr>
        <w:t>w</w:t>
      </w:r>
      <w:r w:rsidR="00D37078" w:rsidRPr="0012161B">
        <w:rPr>
          <w:rFonts w:asciiTheme="minorHAnsi" w:hAnsiTheme="minorHAnsi"/>
          <w:color w:val="auto"/>
          <w:szCs w:val="24"/>
        </w:rPr>
        <w:t xml:space="preserve">ell as patellofemoral pain.  </w:t>
      </w:r>
      <w:r w:rsidR="004F5F4E" w:rsidRPr="0012161B">
        <w:rPr>
          <w:rFonts w:asciiTheme="minorHAnsi" w:hAnsiTheme="minorHAnsi"/>
          <w:color w:val="auto"/>
          <w:szCs w:val="24"/>
        </w:rPr>
        <w:t>The CI then had an ar</w:t>
      </w:r>
      <w:r w:rsidR="00D37078" w:rsidRPr="0012161B">
        <w:rPr>
          <w:rFonts w:asciiTheme="minorHAnsi" w:hAnsiTheme="minorHAnsi"/>
          <w:color w:val="auto"/>
          <w:szCs w:val="24"/>
        </w:rPr>
        <w:t xml:space="preserve">throscopy and was found to have grade II-III chondromalacia of the patella.  </w:t>
      </w:r>
      <w:r w:rsidR="004F5F4E" w:rsidRPr="0012161B">
        <w:rPr>
          <w:rFonts w:asciiTheme="minorHAnsi" w:hAnsiTheme="minorHAnsi"/>
          <w:color w:val="auto"/>
          <w:szCs w:val="24"/>
        </w:rPr>
        <w:t xml:space="preserve">The </w:t>
      </w:r>
      <w:r w:rsidR="00D37078" w:rsidRPr="0012161B">
        <w:rPr>
          <w:rFonts w:asciiTheme="minorHAnsi" w:hAnsiTheme="minorHAnsi"/>
          <w:color w:val="auto"/>
          <w:szCs w:val="24"/>
        </w:rPr>
        <w:t xml:space="preserve">CI </w:t>
      </w:r>
      <w:r w:rsidR="004F5F4E" w:rsidRPr="0012161B">
        <w:rPr>
          <w:rFonts w:asciiTheme="minorHAnsi" w:hAnsiTheme="minorHAnsi"/>
          <w:color w:val="auto"/>
          <w:szCs w:val="24"/>
        </w:rPr>
        <w:t xml:space="preserve">had more </w:t>
      </w:r>
      <w:r w:rsidR="00F262AA">
        <w:rPr>
          <w:rFonts w:asciiTheme="minorHAnsi" w:hAnsiTheme="minorHAnsi"/>
          <w:color w:val="auto"/>
          <w:szCs w:val="24"/>
        </w:rPr>
        <w:t>PT</w:t>
      </w:r>
      <w:r w:rsidR="00D37078" w:rsidRPr="0012161B">
        <w:rPr>
          <w:rFonts w:asciiTheme="minorHAnsi" w:hAnsiTheme="minorHAnsi"/>
          <w:color w:val="auto"/>
          <w:szCs w:val="24"/>
        </w:rPr>
        <w:t xml:space="preserve"> and full motion, but continued to have significant pain under the kneecap and used a crutch or cane to get around.  </w:t>
      </w:r>
      <w:r w:rsidR="004B5141" w:rsidRPr="0012161B">
        <w:rPr>
          <w:rFonts w:asciiTheme="minorHAnsi" w:hAnsiTheme="minorHAnsi"/>
          <w:color w:val="auto"/>
          <w:szCs w:val="24"/>
        </w:rPr>
        <w:t>The CI</w:t>
      </w:r>
      <w:r w:rsidR="004F5F4E" w:rsidRPr="0012161B">
        <w:rPr>
          <w:rFonts w:asciiTheme="minorHAnsi" w:hAnsiTheme="minorHAnsi"/>
          <w:color w:val="auto"/>
          <w:szCs w:val="24"/>
        </w:rPr>
        <w:t xml:space="preserve"> was placed on light duty and then a four</w:t>
      </w:r>
      <w:r w:rsidR="00603BA3">
        <w:rPr>
          <w:rFonts w:asciiTheme="minorHAnsi" w:hAnsiTheme="minorHAnsi"/>
          <w:color w:val="auto"/>
          <w:szCs w:val="24"/>
        </w:rPr>
        <w:t>-</w:t>
      </w:r>
      <w:r w:rsidR="001E2883" w:rsidRPr="0012161B">
        <w:rPr>
          <w:rFonts w:asciiTheme="minorHAnsi" w:hAnsiTheme="minorHAnsi"/>
          <w:color w:val="auto"/>
          <w:szCs w:val="24"/>
        </w:rPr>
        <w:t xml:space="preserve">week </w:t>
      </w:r>
      <w:r w:rsidR="00603BA3">
        <w:rPr>
          <w:rFonts w:asciiTheme="minorHAnsi" w:hAnsiTheme="minorHAnsi"/>
          <w:color w:val="auto"/>
          <w:szCs w:val="24"/>
        </w:rPr>
        <w:t>l</w:t>
      </w:r>
      <w:r w:rsidR="001E2883" w:rsidRPr="0012161B">
        <w:rPr>
          <w:rFonts w:asciiTheme="minorHAnsi" w:hAnsiTheme="minorHAnsi"/>
          <w:color w:val="auto"/>
          <w:szCs w:val="24"/>
        </w:rPr>
        <w:t>imited</w:t>
      </w:r>
      <w:r w:rsidR="004F5F4E" w:rsidRPr="0012161B">
        <w:rPr>
          <w:rFonts w:asciiTheme="minorHAnsi" w:hAnsiTheme="minorHAnsi"/>
          <w:color w:val="auto"/>
          <w:szCs w:val="24"/>
        </w:rPr>
        <w:t xml:space="preserve"> </w:t>
      </w:r>
      <w:r w:rsidR="00603BA3">
        <w:rPr>
          <w:rFonts w:asciiTheme="minorHAnsi" w:hAnsiTheme="minorHAnsi"/>
          <w:color w:val="auto"/>
          <w:szCs w:val="24"/>
        </w:rPr>
        <w:t>d</w:t>
      </w:r>
      <w:r w:rsidR="001E2883" w:rsidRPr="0012161B">
        <w:rPr>
          <w:rFonts w:asciiTheme="minorHAnsi" w:hAnsiTheme="minorHAnsi"/>
          <w:color w:val="auto"/>
          <w:szCs w:val="24"/>
        </w:rPr>
        <w:t>uty (</w:t>
      </w:r>
      <w:r w:rsidR="004F5F4E" w:rsidRPr="0012161B">
        <w:rPr>
          <w:rFonts w:asciiTheme="minorHAnsi" w:hAnsiTheme="minorHAnsi"/>
          <w:color w:val="auto"/>
          <w:szCs w:val="24"/>
        </w:rPr>
        <w:t>LIMDU).</w:t>
      </w:r>
      <w:r w:rsidR="00D37078" w:rsidRPr="0012161B">
        <w:rPr>
          <w:rFonts w:asciiTheme="minorHAnsi" w:hAnsiTheme="minorHAnsi"/>
          <w:color w:val="auto"/>
          <w:szCs w:val="24"/>
        </w:rPr>
        <w:t xml:space="preserve"> </w:t>
      </w:r>
      <w:r w:rsidR="004B5141" w:rsidRPr="0012161B">
        <w:rPr>
          <w:rFonts w:asciiTheme="minorHAnsi" w:hAnsiTheme="minorHAnsi"/>
          <w:color w:val="auto"/>
          <w:szCs w:val="24"/>
        </w:rPr>
        <w:t xml:space="preserve"> Despite extensive PT </w:t>
      </w:r>
      <w:r w:rsidR="00F262AA">
        <w:rPr>
          <w:rFonts w:asciiTheme="minorHAnsi" w:hAnsiTheme="minorHAnsi"/>
          <w:color w:val="auto"/>
          <w:szCs w:val="24"/>
        </w:rPr>
        <w:t xml:space="preserve">that included </w:t>
      </w:r>
      <w:r w:rsidR="004B5141" w:rsidRPr="0012161B">
        <w:rPr>
          <w:rFonts w:asciiTheme="minorHAnsi" w:hAnsiTheme="minorHAnsi"/>
          <w:color w:val="auto"/>
          <w:szCs w:val="24"/>
        </w:rPr>
        <w:t>non steroidal anti-inflammatory medications, the CI was unable to return to full duty and was referred to a Medical Evaluation Board (MEB).  The MEB forwarded “</w:t>
      </w:r>
      <w:r w:rsidR="00603BA3">
        <w:rPr>
          <w:rFonts w:asciiTheme="minorHAnsi" w:hAnsiTheme="minorHAnsi"/>
          <w:color w:val="auto"/>
          <w:szCs w:val="24"/>
        </w:rPr>
        <w:t>c</w:t>
      </w:r>
      <w:r w:rsidR="001E2883" w:rsidRPr="0012161B">
        <w:rPr>
          <w:rFonts w:asciiTheme="minorHAnsi" w:hAnsiTheme="minorHAnsi"/>
          <w:color w:val="auto"/>
          <w:szCs w:val="24"/>
        </w:rPr>
        <w:t>hondromalacia</w:t>
      </w:r>
      <w:r w:rsidR="004B5141" w:rsidRPr="0012161B">
        <w:rPr>
          <w:rFonts w:asciiTheme="minorHAnsi" w:hAnsiTheme="minorHAnsi"/>
          <w:color w:val="auto"/>
          <w:szCs w:val="24"/>
        </w:rPr>
        <w:t xml:space="preserve"> </w:t>
      </w:r>
      <w:r w:rsidR="001E2883" w:rsidRPr="0012161B">
        <w:rPr>
          <w:rFonts w:asciiTheme="minorHAnsi" w:hAnsiTheme="minorHAnsi"/>
          <w:color w:val="auto"/>
          <w:szCs w:val="24"/>
        </w:rPr>
        <w:t xml:space="preserve">of </w:t>
      </w:r>
      <w:r w:rsidR="00603BA3">
        <w:rPr>
          <w:rFonts w:asciiTheme="minorHAnsi" w:hAnsiTheme="minorHAnsi"/>
          <w:color w:val="auto"/>
          <w:szCs w:val="24"/>
        </w:rPr>
        <w:t>p</w:t>
      </w:r>
      <w:r w:rsidR="001E2883" w:rsidRPr="0012161B">
        <w:rPr>
          <w:rFonts w:asciiTheme="minorHAnsi" w:hAnsiTheme="minorHAnsi"/>
          <w:color w:val="auto"/>
          <w:szCs w:val="24"/>
        </w:rPr>
        <w:t>atella</w:t>
      </w:r>
      <w:r w:rsidR="004B5141" w:rsidRPr="0012161B">
        <w:rPr>
          <w:rFonts w:asciiTheme="minorHAnsi" w:hAnsiTheme="minorHAnsi"/>
          <w:color w:val="auto"/>
          <w:szCs w:val="24"/>
        </w:rPr>
        <w:t xml:space="preserve"> and </w:t>
      </w:r>
      <w:r w:rsidR="00603BA3">
        <w:rPr>
          <w:rFonts w:asciiTheme="minorHAnsi" w:hAnsiTheme="minorHAnsi"/>
          <w:color w:val="auto"/>
          <w:szCs w:val="24"/>
        </w:rPr>
        <w:t>p</w:t>
      </w:r>
      <w:r w:rsidR="004B5141" w:rsidRPr="0012161B">
        <w:rPr>
          <w:rFonts w:asciiTheme="minorHAnsi" w:hAnsiTheme="minorHAnsi"/>
          <w:color w:val="auto"/>
          <w:szCs w:val="24"/>
        </w:rPr>
        <w:t xml:space="preserve">ain in </w:t>
      </w:r>
      <w:r w:rsidR="00603BA3">
        <w:rPr>
          <w:rFonts w:asciiTheme="minorHAnsi" w:hAnsiTheme="minorHAnsi"/>
          <w:color w:val="auto"/>
          <w:szCs w:val="24"/>
        </w:rPr>
        <w:t>j</w:t>
      </w:r>
      <w:r w:rsidR="004B5141" w:rsidRPr="0012161B">
        <w:rPr>
          <w:rFonts w:asciiTheme="minorHAnsi" w:hAnsiTheme="minorHAnsi"/>
          <w:color w:val="auto"/>
          <w:szCs w:val="24"/>
        </w:rPr>
        <w:t xml:space="preserve">oint </w:t>
      </w:r>
      <w:r w:rsidR="00603BA3">
        <w:rPr>
          <w:rFonts w:asciiTheme="minorHAnsi" w:hAnsiTheme="minorHAnsi"/>
          <w:color w:val="auto"/>
          <w:szCs w:val="24"/>
        </w:rPr>
        <w:t>l</w:t>
      </w:r>
      <w:r w:rsidR="004B5141" w:rsidRPr="0012161B">
        <w:rPr>
          <w:rFonts w:asciiTheme="minorHAnsi" w:hAnsiTheme="minorHAnsi"/>
          <w:color w:val="auto"/>
          <w:szCs w:val="24"/>
        </w:rPr>
        <w:t xml:space="preserve">ower </w:t>
      </w:r>
      <w:r w:rsidR="00603BA3">
        <w:rPr>
          <w:rFonts w:asciiTheme="minorHAnsi" w:hAnsiTheme="minorHAnsi"/>
          <w:color w:val="auto"/>
          <w:szCs w:val="24"/>
        </w:rPr>
        <w:t>l</w:t>
      </w:r>
      <w:r w:rsidR="004B5141" w:rsidRPr="0012161B">
        <w:rPr>
          <w:rFonts w:asciiTheme="minorHAnsi" w:hAnsiTheme="minorHAnsi"/>
          <w:color w:val="auto"/>
          <w:szCs w:val="24"/>
        </w:rPr>
        <w:t>eg”</w:t>
      </w:r>
      <w:r w:rsidR="00CF6AFE" w:rsidRPr="0012161B">
        <w:rPr>
          <w:rFonts w:asciiTheme="minorHAnsi" w:hAnsiTheme="minorHAnsi"/>
          <w:color w:val="auto"/>
          <w:szCs w:val="24"/>
        </w:rPr>
        <w:t xml:space="preserve"> to the Physical Evaluation Board (PEB).  The PEB adjudicated “</w:t>
      </w:r>
      <w:r w:rsidR="00603BA3">
        <w:rPr>
          <w:rFonts w:asciiTheme="minorHAnsi" w:hAnsiTheme="minorHAnsi"/>
          <w:color w:val="auto"/>
          <w:szCs w:val="24"/>
        </w:rPr>
        <w:t>l</w:t>
      </w:r>
      <w:r w:rsidR="00CF6AFE" w:rsidRPr="0012161B">
        <w:rPr>
          <w:rFonts w:asciiTheme="minorHAnsi" w:hAnsiTheme="minorHAnsi"/>
          <w:color w:val="auto"/>
          <w:szCs w:val="24"/>
        </w:rPr>
        <w:t xml:space="preserve">eft </w:t>
      </w:r>
      <w:r w:rsidR="00603BA3">
        <w:rPr>
          <w:rFonts w:asciiTheme="minorHAnsi" w:hAnsiTheme="minorHAnsi"/>
          <w:color w:val="auto"/>
          <w:szCs w:val="24"/>
        </w:rPr>
        <w:t>k</w:t>
      </w:r>
      <w:r w:rsidR="00CF6AFE" w:rsidRPr="0012161B">
        <w:rPr>
          <w:rFonts w:asciiTheme="minorHAnsi" w:hAnsiTheme="minorHAnsi"/>
          <w:color w:val="auto"/>
          <w:szCs w:val="24"/>
        </w:rPr>
        <w:t xml:space="preserve">nee </w:t>
      </w:r>
      <w:r w:rsidR="00603BA3">
        <w:rPr>
          <w:rFonts w:asciiTheme="minorHAnsi" w:hAnsiTheme="minorHAnsi"/>
          <w:color w:val="auto"/>
          <w:szCs w:val="24"/>
        </w:rPr>
        <w:t>p</w:t>
      </w:r>
      <w:r w:rsidR="00CF6AFE" w:rsidRPr="0012161B">
        <w:rPr>
          <w:rFonts w:asciiTheme="minorHAnsi" w:hAnsiTheme="minorHAnsi"/>
          <w:color w:val="auto"/>
          <w:szCs w:val="24"/>
        </w:rPr>
        <w:t xml:space="preserve">atellofemoral </w:t>
      </w:r>
      <w:r w:rsidR="00603BA3">
        <w:rPr>
          <w:rFonts w:asciiTheme="minorHAnsi" w:hAnsiTheme="minorHAnsi"/>
          <w:color w:val="auto"/>
          <w:szCs w:val="24"/>
        </w:rPr>
        <w:t>c</w:t>
      </w:r>
      <w:r w:rsidR="00CF6AFE" w:rsidRPr="0012161B">
        <w:rPr>
          <w:rFonts w:asciiTheme="minorHAnsi" w:hAnsiTheme="minorHAnsi"/>
          <w:color w:val="auto"/>
          <w:szCs w:val="24"/>
        </w:rPr>
        <w:t xml:space="preserve">hondromalacia” as unfitting rated 10% with likely application of SECNAVINST 1850.4E and/or DoDI 1332.39.  The PEB adjudicated the </w:t>
      </w:r>
      <w:r w:rsidR="00603BA3">
        <w:rPr>
          <w:rFonts w:asciiTheme="minorHAnsi" w:hAnsiTheme="minorHAnsi"/>
          <w:color w:val="auto"/>
          <w:szCs w:val="24"/>
        </w:rPr>
        <w:t>l</w:t>
      </w:r>
      <w:r w:rsidR="00CF6AFE" w:rsidRPr="0012161B">
        <w:rPr>
          <w:rFonts w:asciiTheme="minorHAnsi" w:hAnsiTheme="minorHAnsi"/>
          <w:color w:val="auto"/>
          <w:szCs w:val="24"/>
        </w:rPr>
        <w:t xml:space="preserve">eft </w:t>
      </w:r>
      <w:r w:rsidR="00603BA3">
        <w:rPr>
          <w:rFonts w:asciiTheme="minorHAnsi" w:hAnsiTheme="minorHAnsi"/>
          <w:color w:val="auto"/>
          <w:szCs w:val="24"/>
        </w:rPr>
        <w:t>k</w:t>
      </w:r>
      <w:r w:rsidR="00CF6AFE" w:rsidRPr="0012161B">
        <w:rPr>
          <w:rFonts w:asciiTheme="minorHAnsi" w:hAnsiTheme="minorHAnsi"/>
          <w:color w:val="auto"/>
          <w:szCs w:val="24"/>
        </w:rPr>
        <w:t xml:space="preserve">nee </w:t>
      </w:r>
      <w:proofErr w:type="spellStart"/>
      <w:r w:rsidR="00603BA3">
        <w:rPr>
          <w:rFonts w:asciiTheme="minorHAnsi" w:hAnsiTheme="minorHAnsi"/>
          <w:color w:val="auto"/>
          <w:szCs w:val="24"/>
        </w:rPr>
        <w:t>p</w:t>
      </w:r>
      <w:r w:rsidR="00CF6AFE" w:rsidRPr="0012161B">
        <w:rPr>
          <w:rFonts w:asciiTheme="minorHAnsi" w:hAnsiTheme="minorHAnsi"/>
          <w:color w:val="auto"/>
          <w:szCs w:val="24"/>
        </w:rPr>
        <w:t>lica</w:t>
      </w:r>
      <w:proofErr w:type="spellEnd"/>
      <w:r w:rsidR="00264A7D" w:rsidRPr="0012161B">
        <w:rPr>
          <w:rFonts w:asciiTheme="minorHAnsi" w:hAnsiTheme="minorHAnsi"/>
          <w:color w:val="auto"/>
          <w:szCs w:val="24"/>
        </w:rPr>
        <w:t xml:space="preserve"> and </w:t>
      </w:r>
      <w:r w:rsidR="00603BA3">
        <w:rPr>
          <w:rFonts w:asciiTheme="minorHAnsi" w:hAnsiTheme="minorHAnsi"/>
          <w:color w:val="auto"/>
          <w:szCs w:val="24"/>
        </w:rPr>
        <w:t>l</w:t>
      </w:r>
      <w:r w:rsidR="008B6DDA" w:rsidRPr="0012161B">
        <w:rPr>
          <w:rFonts w:asciiTheme="minorHAnsi" w:hAnsiTheme="minorHAnsi"/>
          <w:color w:val="auto"/>
          <w:szCs w:val="24"/>
        </w:rPr>
        <w:t xml:space="preserve">eft </w:t>
      </w:r>
      <w:r w:rsidR="00603BA3">
        <w:rPr>
          <w:rFonts w:asciiTheme="minorHAnsi" w:hAnsiTheme="minorHAnsi"/>
          <w:color w:val="auto"/>
          <w:szCs w:val="24"/>
        </w:rPr>
        <w:t>a</w:t>
      </w:r>
      <w:r w:rsidR="00264A7D" w:rsidRPr="0012161B">
        <w:rPr>
          <w:rFonts w:asciiTheme="minorHAnsi" w:hAnsiTheme="minorHAnsi"/>
          <w:color w:val="auto"/>
          <w:szCs w:val="24"/>
        </w:rPr>
        <w:t xml:space="preserve">nterior &amp; </w:t>
      </w:r>
      <w:r w:rsidR="00603BA3">
        <w:rPr>
          <w:rFonts w:asciiTheme="minorHAnsi" w:hAnsiTheme="minorHAnsi"/>
          <w:color w:val="auto"/>
          <w:szCs w:val="24"/>
        </w:rPr>
        <w:t>l</w:t>
      </w:r>
      <w:r w:rsidR="00264A7D" w:rsidRPr="0012161B">
        <w:rPr>
          <w:rFonts w:asciiTheme="minorHAnsi" w:hAnsiTheme="minorHAnsi"/>
          <w:color w:val="auto"/>
          <w:szCs w:val="24"/>
        </w:rPr>
        <w:t xml:space="preserve">ateral </w:t>
      </w:r>
      <w:r w:rsidR="00603BA3">
        <w:rPr>
          <w:rFonts w:asciiTheme="minorHAnsi" w:hAnsiTheme="minorHAnsi"/>
          <w:color w:val="auto"/>
          <w:szCs w:val="24"/>
        </w:rPr>
        <w:t>c</w:t>
      </w:r>
      <w:r w:rsidR="00264A7D" w:rsidRPr="0012161B">
        <w:rPr>
          <w:rFonts w:asciiTheme="minorHAnsi" w:hAnsiTheme="minorHAnsi"/>
          <w:color w:val="auto"/>
          <w:szCs w:val="24"/>
        </w:rPr>
        <w:t xml:space="preserve">ompartment </w:t>
      </w:r>
      <w:r w:rsidR="00603BA3">
        <w:rPr>
          <w:rFonts w:asciiTheme="minorHAnsi" w:hAnsiTheme="minorHAnsi"/>
          <w:color w:val="auto"/>
          <w:szCs w:val="24"/>
        </w:rPr>
        <w:t>f</w:t>
      </w:r>
      <w:r w:rsidR="00264A7D" w:rsidRPr="0012161B">
        <w:rPr>
          <w:rFonts w:asciiTheme="minorHAnsi" w:hAnsiTheme="minorHAnsi"/>
          <w:color w:val="auto"/>
          <w:szCs w:val="24"/>
        </w:rPr>
        <w:t>asciotomies</w:t>
      </w:r>
      <w:r w:rsidR="00CF6AFE" w:rsidRPr="0012161B">
        <w:rPr>
          <w:rFonts w:asciiTheme="minorHAnsi" w:hAnsiTheme="minorHAnsi"/>
          <w:color w:val="auto"/>
          <w:szCs w:val="24"/>
        </w:rPr>
        <w:t xml:space="preserve"> as a </w:t>
      </w:r>
      <w:r w:rsidR="00603BA3">
        <w:rPr>
          <w:rFonts w:asciiTheme="minorHAnsi" w:hAnsiTheme="minorHAnsi"/>
          <w:color w:val="auto"/>
          <w:szCs w:val="24"/>
        </w:rPr>
        <w:t>c</w:t>
      </w:r>
      <w:r w:rsidR="00CF6AFE" w:rsidRPr="0012161B">
        <w:rPr>
          <w:rFonts w:asciiTheme="minorHAnsi" w:hAnsiTheme="minorHAnsi"/>
          <w:color w:val="auto"/>
          <w:szCs w:val="24"/>
        </w:rPr>
        <w:t>ategory II (</w:t>
      </w:r>
      <w:r w:rsidR="00603BA3">
        <w:rPr>
          <w:rFonts w:asciiTheme="minorHAnsi" w:hAnsiTheme="minorHAnsi"/>
          <w:color w:val="auto"/>
          <w:szCs w:val="24"/>
        </w:rPr>
        <w:t>c</w:t>
      </w:r>
      <w:r w:rsidR="00CF6AFE" w:rsidRPr="0012161B">
        <w:rPr>
          <w:rFonts w:asciiTheme="minorHAnsi" w:hAnsiTheme="minorHAnsi"/>
          <w:color w:val="auto"/>
          <w:szCs w:val="24"/>
        </w:rPr>
        <w:t xml:space="preserve">onditions that </w:t>
      </w:r>
      <w:r w:rsidR="001E2883" w:rsidRPr="0012161B">
        <w:rPr>
          <w:rFonts w:asciiTheme="minorHAnsi" w:hAnsiTheme="minorHAnsi"/>
          <w:color w:val="auto"/>
          <w:szCs w:val="24"/>
        </w:rPr>
        <w:t>contribute</w:t>
      </w:r>
      <w:r w:rsidR="00CF6AFE" w:rsidRPr="0012161B">
        <w:rPr>
          <w:rFonts w:asciiTheme="minorHAnsi" w:hAnsiTheme="minorHAnsi"/>
          <w:color w:val="auto"/>
          <w:szCs w:val="24"/>
        </w:rPr>
        <w:t xml:space="preserve"> to the unfitting condition). </w:t>
      </w:r>
      <w:r w:rsidR="00531FED" w:rsidRPr="0012161B">
        <w:rPr>
          <w:rFonts w:asciiTheme="minorHAnsi" w:hAnsiTheme="minorHAnsi"/>
          <w:color w:val="auto"/>
          <w:szCs w:val="24"/>
        </w:rPr>
        <w:t xml:space="preserve"> </w:t>
      </w:r>
      <w:r w:rsidR="00CF6AFE" w:rsidRPr="0012161B">
        <w:rPr>
          <w:rFonts w:asciiTheme="minorHAnsi" w:hAnsiTheme="minorHAnsi"/>
          <w:color w:val="auto"/>
        </w:rPr>
        <w:t xml:space="preserve">The CI </w:t>
      </w:r>
      <w:r w:rsidR="00A80338" w:rsidRPr="0012161B">
        <w:rPr>
          <w:rFonts w:asciiTheme="minorHAnsi" w:hAnsiTheme="minorHAnsi"/>
          <w:color w:val="auto"/>
        </w:rPr>
        <w:t>did not appeal</w:t>
      </w:r>
      <w:r w:rsidR="00CF6AFE" w:rsidRPr="0012161B">
        <w:rPr>
          <w:rFonts w:asciiTheme="minorHAnsi" w:hAnsiTheme="minorHAnsi"/>
          <w:color w:val="auto"/>
        </w:rPr>
        <w:t>, and was</w:t>
      </w:r>
      <w:r w:rsidR="00A80338" w:rsidRPr="0012161B">
        <w:rPr>
          <w:rFonts w:asciiTheme="minorHAnsi" w:hAnsiTheme="minorHAnsi"/>
          <w:color w:val="auto"/>
        </w:rPr>
        <w:t xml:space="preserve"> </w:t>
      </w:r>
      <w:r w:rsidR="001E2883" w:rsidRPr="0012161B">
        <w:rPr>
          <w:rFonts w:asciiTheme="minorHAnsi" w:hAnsiTheme="minorHAnsi"/>
          <w:color w:val="auto"/>
        </w:rPr>
        <w:t>medically</w:t>
      </w:r>
      <w:r w:rsidR="00CF6AFE" w:rsidRPr="0012161B">
        <w:rPr>
          <w:rFonts w:asciiTheme="minorHAnsi" w:hAnsiTheme="minorHAnsi"/>
          <w:color w:val="auto"/>
        </w:rPr>
        <w:t xml:space="preserve"> separated with a </w:t>
      </w:r>
      <w:r w:rsidR="001E2883" w:rsidRPr="0012161B">
        <w:rPr>
          <w:rFonts w:asciiTheme="minorHAnsi" w:hAnsiTheme="minorHAnsi"/>
          <w:color w:val="auto"/>
        </w:rPr>
        <w:t>combined disability</w:t>
      </w:r>
      <w:r w:rsidR="00CF6AFE" w:rsidRPr="0012161B">
        <w:rPr>
          <w:rFonts w:asciiTheme="minorHAnsi" w:hAnsiTheme="minorHAnsi"/>
          <w:color w:val="auto"/>
        </w:rPr>
        <w:t xml:space="preserve"> rating </w:t>
      </w:r>
      <w:r w:rsidR="00A80338" w:rsidRPr="0012161B">
        <w:rPr>
          <w:rFonts w:asciiTheme="minorHAnsi" w:hAnsiTheme="minorHAnsi"/>
          <w:color w:val="auto"/>
        </w:rPr>
        <w:t>of 10%.</w:t>
      </w:r>
    </w:p>
    <w:p w:rsidR="00923B25" w:rsidRPr="0012161B" w:rsidRDefault="008B5D31" w:rsidP="001E2883">
      <w:pPr>
        <w:tabs>
          <w:tab w:val="left" w:pos="288"/>
          <w:tab w:val="left" w:pos="4752"/>
        </w:tabs>
        <w:spacing w:line="240" w:lineRule="exact"/>
        <w:jc w:val="both"/>
        <w:rPr>
          <w:rFonts w:asciiTheme="minorHAnsi" w:hAnsiTheme="minorHAnsi"/>
          <w:color w:val="auto"/>
          <w:szCs w:val="24"/>
        </w:rPr>
      </w:pPr>
      <w:r w:rsidRPr="0012161B">
        <w:rPr>
          <w:rFonts w:asciiTheme="minorHAnsi" w:hAnsiTheme="minorHAnsi"/>
          <w:color w:val="auto"/>
          <w:u w:val="single"/>
        </w:rPr>
        <w:t>_______________________________________________________________</w:t>
      </w:r>
      <w:r w:rsidRPr="0012161B">
        <w:rPr>
          <w:rFonts w:asciiTheme="minorHAnsi" w:hAnsiTheme="minorHAnsi"/>
          <w:color w:val="auto"/>
        </w:rPr>
        <w:t>_</w:t>
      </w:r>
      <w:r w:rsidR="00AC713F" w:rsidRPr="0012161B">
        <w:rPr>
          <w:rFonts w:asciiTheme="minorHAnsi" w:hAnsiTheme="minorHAnsi"/>
          <w:color w:val="auto"/>
        </w:rPr>
        <w:t>___________</w:t>
      </w:r>
      <w:r w:rsidR="001E2883" w:rsidRPr="0012161B">
        <w:rPr>
          <w:rFonts w:asciiTheme="minorHAnsi" w:hAnsiTheme="minorHAnsi"/>
          <w:color w:val="auto"/>
        </w:rPr>
        <w:t>___</w:t>
      </w:r>
    </w:p>
    <w:p w:rsidR="0085089F" w:rsidRPr="0012161B" w:rsidRDefault="0085089F" w:rsidP="001E2883">
      <w:pPr>
        <w:tabs>
          <w:tab w:val="left" w:pos="288"/>
          <w:tab w:val="left" w:pos="4752"/>
        </w:tabs>
        <w:spacing w:line="240" w:lineRule="exact"/>
        <w:jc w:val="both"/>
        <w:rPr>
          <w:rFonts w:asciiTheme="minorHAnsi" w:hAnsiTheme="minorHAnsi"/>
          <w:color w:val="auto"/>
          <w:u w:val="single"/>
        </w:rPr>
      </w:pPr>
    </w:p>
    <w:p w:rsidR="00D37078" w:rsidRPr="0012161B" w:rsidRDefault="002C6E5B" w:rsidP="001E2883">
      <w:pPr>
        <w:tabs>
          <w:tab w:val="left" w:pos="288"/>
          <w:tab w:val="left" w:pos="4752"/>
        </w:tabs>
        <w:spacing w:line="240" w:lineRule="exact"/>
        <w:jc w:val="both"/>
        <w:rPr>
          <w:rFonts w:asciiTheme="minorHAnsi" w:eastAsiaTheme="minorHAnsi" w:hAnsiTheme="minorHAnsi" w:cstheme="minorBidi"/>
          <w:color w:val="auto"/>
          <w:szCs w:val="24"/>
        </w:rPr>
      </w:pPr>
      <w:r w:rsidRPr="0012161B">
        <w:rPr>
          <w:rFonts w:ascii="Calibri" w:hAnsi="Calibri"/>
          <w:color w:val="auto"/>
          <w:u w:val="single"/>
        </w:rPr>
        <w:t>CI CONTENTION</w:t>
      </w:r>
      <w:r w:rsidRPr="0012161B">
        <w:rPr>
          <w:rFonts w:ascii="Calibri" w:hAnsi="Calibri"/>
          <w:color w:val="auto"/>
        </w:rPr>
        <w:t>:</w:t>
      </w:r>
      <w:r w:rsidRPr="0012161B">
        <w:rPr>
          <w:rFonts w:ascii="Calibri" w:hAnsi="Calibri"/>
          <w:color w:val="000080"/>
        </w:rPr>
        <w:t xml:space="preserve">  </w:t>
      </w:r>
      <w:r w:rsidR="00D37078" w:rsidRPr="0012161B">
        <w:rPr>
          <w:rFonts w:asciiTheme="minorHAnsi" w:hAnsiTheme="minorHAnsi"/>
          <w:color w:val="auto"/>
        </w:rPr>
        <w:t xml:space="preserve">“On May 31, 2006 I was given a disability rating of 10%.  I would like to request reconsideration with the rating decision.  I still have constant pain in my left leg and wrist.  I am a 28 year old husband and father of one, and these injuries interfere with my daily interactions with my family.  These injuries also sideline my career with the Marine Corps.  As a result of my injuries, I am not able to do the things that are necessary to be an active member of the Marine Corps. </w:t>
      </w:r>
      <w:r w:rsidR="00935C4D" w:rsidRPr="0012161B">
        <w:rPr>
          <w:rFonts w:asciiTheme="minorHAnsi" w:hAnsiTheme="minorHAnsi"/>
          <w:color w:val="auto"/>
        </w:rPr>
        <w:t xml:space="preserve"> </w:t>
      </w:r>
      <w:r w:rsidR="00D37078" w:rsidRPr="0012161B">
        <w:rPr>
          <w:rFonts w:asciiTheme="minorHAnsi" w:hAnsiTheme="minorHAnsi"/>
          <w:color w:val="auto"/>
        </w:rPr>
        <w:t xml:space="preserve">In addition, I am still plagued with hypertension that needs regular monitoring that I take medication for to regulate.  These injuries have changed my life, at 28 years </w:t>
      </w:r>
      <w:r w:rsidR="001E2883" w:rsidRPr="0012161B">
        <w:rPr>
          <w:rFonts w:asciiTheme="minorHAnsi" w:hAnsiTheme="minorHAnsi"/>
          <w:color w:val="auto"/>
        </w:rPr>
        <w:t>old;</w:t>
      </w:r>
      <w:r w:rsidR="00D37078" w:rsidRPr="0012161B">
        <w:rPr>
          <w:rFonts w:asciiTheme="minorHAnsi" w:hAnsiTheme="minorHAnsi"/>
          <w:color w:val="auto"/>
        </w:rPr>
        <w:t xml:space="preserve"> I struggle to keep up with my 2 year old son.  I cannot have my leg bent or straight for long periods of time.  I am unable to this day to sustain any type of running program due to the pain that is still present in my leg.  My conditions have gotten worse since my rating decision in 2006. </w:t>
      </w:r>
      <w:r w:rsidR="00935C4D" w:rsidRPr="0012161B">
        <w:rPr>
          <w:rFonts w:asciiTheme="minorHAnsi" w:hAnsiTheme="minorHAnsi"/>
          <w:color w:val="auto"/>
        </w:rPr>
        <w:t xml:space="preserve"> </w:t>
      </w:r>
      <w:r w:rsidR="00D37078" w:rsidRPr="0012161B">
        <w:rPr>
          <w:rFonts w:asciiTheme="minorHAnsi" w:hAnsiTheme="minorHAnsi"/>
          <w:color w:val="auto"/>
        </w:rPr>
        <w:t>I have a complete copy of my military medical records if need to be forwarded</w:t>
      </w:r>
      <w:r w:rsidR="00935C4D" w:rsidRPr="0012161B">
        <w:rPr>
          <w:rFonts w:asciiTheme="minorHAnsi" w:hAnsiTheme="minorHAnsi"/>
          <w:color w:val="auto"/>
        </w:rPr>
        <w:t>.</w:t>
      </w:r>
      <w:r w:rsidR="00D37078" w:rsidRPr="0012161B">
        <w:rPr>
          <w:rFonts w:asciiTheme="minorHAnsi" w:hAnsiTheme="minorHAnsi"/>
          <w:color w:val="auto"/>
        </w:rPr>
        <w:t>”</w:t>
      </w:r>
      <w:r w:rsidR="00D37078" w:rsidRPr="0012161B">
        <w:rPr>
          <w:rFonts w:asciiTheme="minorHAnsi" w:eastAsiaTheme="minorHAnsi" w:hAnsiTheme="minorHAnsi" w:cstheme="minorBidi"/>
          <w:color w:val="auto"/>
          <w:szCs w:val="24"/>
        </w:rPr>
        <w:t xml:space="preserve">  He additionally lists all of his VA conditions and ratings as per the rating chart below.  A contention for their inclusion in the separation rating is therefore implied.</w:t>
      </w:r>
      <w:r w:rsidR="00935C4D" w:rsidRPr="0012161B">
        <w:rPr>
          <w:rFonts w:asciiTheme="minorHAnsi" w:eastAsiaTheme="minorHAnsi" w:hAnsiTheme="minorHAnsi" w:cstheme="minorBidi"/>
          <w:color w:val="auto"/>
          <w:szCs w:val="24"/>
        </w:rPr>
        <w:t xml:space="preserve">  </w:t>
      </w:r>
    </w:p>
    <w:p w:rsidR="00BD6297" w:rsidRPr="0012161B" w:rsidRDefault="00BD6297" w:rsidP="00AF1668">
      <w:pPr>
        <w:pBdr>
          <w:bottom w:val="single" w:sz="12" w:space="1" w:color="auto"/>
        </w:pBdr>
        <w:tabs>
          <w:tab w:val="left" w:pos="288"/>
          <w:tab w:val="left" w:pos="4752"/>
        </w:tabs>
        <w:spacing w:line="240" w:lineRule="exact"/>
        <w:rPr>
          <w:rFonts w:ascii="Calibri" w:hAnsi="Calibri"/>
          <w:color w:val="auto"/>
          <w:szCs w:val="24"/>
        </w:rPr>
      </w:pPr>
    </w:p>
    <w:p w:rsidR="00A80338" w:rsidRPr="0012161B" w:rsidRDefault="00A80338" w:rsidP="007227D4">
      <w:pPr>
        <w:tabs>
          <w:tab w:val="left" w:pos="288"/>
          <w:tab w:val="left" w:pos="4752"/>
        </w:tabs>
        <w:spacing w:line="240" w:lineRule="exact"/>
        <w:rPr>
          <w:rFonts w:asciiTheme="minorHAnsi" w:hAnsiTheme="minorHAnsi"/>
          <w:color w:val="auto"/>
        </w:rPr>
      </w:pPr>
    </w:p>
    <w:p w:rsidR="00D349F4" w:rsidRDefault="00D349F4">
      <w:pPr>
        <w:rPr>
          <w:rFonts w:ascii="Calibri" w:hAnsi="Calibri"/>
          <w:color w:val="auto"/>
          <w:u w:val="single"/>
        </w:rPr>
      </w:pPr>
      <w:r>
        <w:rPr>
          <w:rFonts w:ascii="Calibri" w:hAnsi="Calibri"/>
          <w:color w:val="auto"/>
          <w:u w:val="single"/>
        </w:rPr>
        <w:br w:type="page"/>
      </w:r>
    </w:p>
    <w:p w:rsidR="002338CA" w:rsidRPr="00D349F4" w:rsidRDefault="002C6E5B" w:rsidP="007227D4">
      <w:pPr>
        <w:tabs>
          <w:tab w:val="left" w:pos="288"/>
          <w:tab w:val="left" w:pos="4752"/>
        </w:tabs>
        <w:spacing w:line="240" w:lineRule="exact"/>
        <w:rPr>
          <w:rFonts w:asciiTheme="minorHAnsi" w:hAnsiTheme="minorHAnsi"/>
          <w:color w:val="auto"/>
        </w:rPr>
      </w:pPr>
      <w:r w:rsidRPr="0012161B">
        <w:rPr>
          <w:rFonts w:ascii="Calibri" w:hAnsi="Calibri"/>
          <w:color w:val="auto"/>
          <w:u w:val="single"/>
        </w:rPr>
        <w:lastRenderedPageBreak/>
        <w:t>RATING COMPARISON</w:t>
      </w:r>
      <w:r w:rsidRPr="0012161B">
        <w:rPr>
          <w:rFonts w:ascii="Calibri" w:hAnsi="Calibri"/>
          <w:color w:val="auto"/>
        </w:rPr>
        <w:t>:</w:t>
      </w:r>
    </w:p>
    <w:p w:rsidR="00D37078" w:rsidRPr="00D349F4" w:rsidRDefault="00264A7D" w:rsidP="00D37078">
      <w:pPr>
        <w:spacing w:line="240" w:lineRule="exact"/>
        <w:rPr>
          <w:rFonts w:asciiTheme="minorHAnsi" w:hAnsiTheme="minorHAnsi"/>
          <w:color w:val="auto"/>
        </w:rPr>
      </w:pPr>
      <w:r w:rsidRPr="00D349F4">
        <w:rPr>
          <w:rFonts w:asciiTheme="minorHAnsi" w:hAnsiTheme="minorHAnsi"/>
          <w:color w:val="auto"/>
          <w:sz w:val="20"/>
        </w:rPr>
        <w:t xml:space="preserve">*Left </w:t>
      </w:r>
      <w:r w:rsidR="0012161B" w:rsidRPr="00D349F4">
        <w:rPr>
          <w:rFonts w:asciiTheme="minorHAnsi" w:hAnsiTheme="minorHAnsi"/>
          <w:color w:val="auto"/>
          <w:sz w:val="20"/>
        </w:rPr>
        <w:t>Knee,</w:t>
      </w:r>
      <w:r w:rsidRPr="00D349F4">
        <w:rPr>
          <w:rFonts w:asciiTheme="minorHAnsi" w:hAnsiTheme="minorHAnsi"/>
          <w:color w:val="auto"/>
          <w:sz w:val="20"/>
        </w:rPr>
        <w:t xml:space="preserve"> Patellar Tendonitis s/p Arthroscopy </w:t>
      </w:r>
      <w:r w:rsidR="00D349F4" w:rsidRPr="00D349F4">
        <w:rPr>
          <w:rFonts w:asciiTheme="minorHAnsi" w:hAnsiTheme="minorHAnsi"/>
          <w:color w:val="auto"/>
          <w:sz w:val="20"/>
        </w:rPr>
        <w:t>(5260) at</w:t>
      </w:r>
      <w:r w:rsidRPr="00D349F4">
        <w:rPr>
          <w:rFonts w:asciiTheme="minorHAnsi" w:hAnsiTheme="minorHAnsi"/>
          <w:color w:val="auto"/>
          <w:sz w:val="20"/>
        </w:rPr>
        <w:t xml:space="preserve"> 10% </w:t>
      </w:r>
      <w:r w:rsidR="00D349F4" w:rsidRPr="00D349F4">
        <w:rPr>
          <w:rFonts w:asciiTheme="minorHAnsi" w:hAnsiTheme="minorHAnsi"/>
          <w:color w:val="auto"/>
          <w:sz w:val="20"/>
        </w:rPr>
        <w:t xml:space="preserve">added </w:t>
      </w:r>
      <w:r w:rsidRPr="00D349F4">
        <w:rPr>
          <w:rFonts w:asciiTheme="minorHAnsi" w:hAnsiTheme="minorHAnsi"/>
          <w:color w:val="auto"/>
          <w:sz w:val="20"/>
        </w:rPr>
        <w:t>effective 20080130</w:t>
      </w:r>
    </w:p>
    <w:tbl>
      <w:tblPr>
        <w:tblStyle w:val="TableGrid"/>
        <w:tblpPr w:leftFromText="180" w:rightFromText="180" w:vertAnchor="text" w:horzAnchor="margin" w:tblpX="108" w:tblpY="-51"/>
        <w:tblW w:w="9468" w:type="dxa"/>
        <w:tblLayout w:type="fixed"/>
        <w:tblLook w:val="04A0"/>
      </w:tblPr>
      <w:tblGrid>
        <w:gridCol w:w="2268"/>
        <w:gridCol w:w="1170"/>
        <w:gridCol w:w="990"/>
        <w:gridCol w:w="2160"/>
        <w:gridCol w:w="990"/>
        <w:gridCol w:w="192"/>
        <w:gridCol w:w="618"/>
        <w:gridCol w:w="1080"/>
      </w:tblGrid>
      <w:tr w:rsidR="00D37078" w:rsidRPr="00D349F4" w:rsidTr="00264A7D">
        <w:trPr>
          <w:trHeight w:val="233"/>
        </w:trPr>
        <w:tc>
          <w:tcPr>
            <w:tcW w:w="4428" w:type="dxa"/>
            <w:gridSpan w:val="3"/>
            <w:tcBorders>
              <w:right w:val="thinThickThinSmallGap" w:sz="24" w:space="0" w:color="auto"/>
            </w:tcBorders>
            <w:shd w:val="clear" w:color="auto" w:fill="D9D9D9" w:themeFill="background1" w:themeFillShade="D9"/>
          </w:tcPr>
          <w:p w:rsidR="00D37078" w:rsidRPr="00D349F4" w:rsidRDefault="00D37078" w:rsidP="00264A7D">
            <w:pPr>
              <w:spacing w:line="240" w:lineRule="exact"/>
              <w:contextualSpacing/>
              <w:jc w:val="center"/>
              <w:rPr>
                <w:b/>
                <w:color w:val="auto"/>
                <w:sz w:val="20"/>
                <w:szCs w:val="20"/>
              </w:rPr>
            </w:pPr>
            <w:r w:rsidRPr="00D349F4">
              <w:rPr>
                <w:b/>
                <w:color w:val="auto"/>
                <w:sz w:val="20"/>
                <w:szCs w:val="20"/>
              </w:rPr>
              <w:t>Service IPEB – Dated 20060525</w:t>
            </w:r>
          </w:p>
        </w:tc>
        <w:tc>
          <w:tcPr>
            <w:tcW w:w="5040" w:type="dxa"/>
            <w:gridSpan w:val="5"/>
            <w:tcBorders>
              <w:left w:val="thinThickThinSmallGap" w:sz="24" w:space="0" w:color="auto"/>
            </w:tcBorders>
            <w:shd w:val="clear" w:color="auto" w:fill="D9D9D9" w:themeFill="background1" w:themeFillShade="D9"/>
          </w:tcPr>
          <w:p w:rsidR="00D37078" w:rsidRPr="00D349F4" w:rsidRDefault="00D37078" w:rsidP="00264A7D">
            <w:pPr>
              <w:spacing w:line="240" w:lineRule="exact"/>
              <w:contextualSpacing/>
              <w:jc w:val="center"/>
              <w:rPr>
                <w:b/>
                <w:color w:val="auto"/>
                <w:sz w:val="20"/>
                <w:szCs w:val="20"/>
              </w:rPr>
            </w:pPr>
            <w:r w:rsidRPr="00D349F4">
              <w:rPr>
                <w:b/>
                <w:color w:val="auto"/>
                <w:sz w:val="20"/>
                <w:szCs w:val="20"/>
              </w:rPr>
              <w:t>VA (3</w:t>
            </w:r>
            <w:r w:rsidR="00373946" w:rsidRPr="00D349F4">
              <w:rPr>
                <w:b/>
                <w:color w:val="auto"/>
                <w:sz w:val="20"/>
                <w:szCs w:val="20"/>
              </w:rPr>
              <w:t xml:space="preserve"> </w:t>
            </w:r>
            <w:r w:rsidRPr="00D349F4">
              <w:rPr>
                <w:b/>
                <w:color w:val="auto"/>
                <w:sz w:val="20"/>
                <w:szCs w:val="20"/>
              </w:rPr>
              <w:t>Mo. After Separation) – All Effective Date 20060816</w:t>
            </w:r>
          </w:p>
        </w:tc>
      </w:tr>
      <w:tr w:rsidR="00935C4D" w:rsidRPr="00D349F4" w:rsidTr="008B6DDA">
        <w:trPr>
          <w:trHeight w:val="278"/>
        </w:trPr>
        <w:tc>
          <w:tcPr>
            <w:tcW w:w="2268" w:type="dxa"/>
            <w:tcBorders>
              <w:bottom w:val="single" w:sz="4" w:space="0" w:color="000000" w:themeColor="text1"/>
              <w:right w:val="single" w:sz="4" w:space="0" w:color="auto"/>
            </w:tcBorders>
            <w:shd w:val="clear" w:color="auto" w:fill="D9D9D9" w:themeFill="background1" w:themeFillShade="D9"/>
          </w:tcPr>
          <w:p w:rsidR="00D37078" w:rsidRPr="00D349F4" w:rsidRDefault="00D37078" w:rsidP="00264A7D">
            <w:pPr>
              <w:spacing w:line="240" w:lineRule="exact"/>
              <w:contextualSpacing/>
              <w:jc w:val="both"/>
              <w:rPr>
                <w:b/>
                <w:color w:val="auto"/>
                <w:sz w:val="20"/>
                <w:szCs w:val="20"/>
              </w:rPr>
            </w:pPr>
            <w:r w:rsidRPr="00D349F4">
              <w:rPr>
                <w:b/>
                <w:color w:val="auto"/>
                <w:sz w:val="20"/>
                <w:szCs w:val="20"/>
              </w:rPr>
              <w:t>Condition</w:t>
            </w:r>
          </w:p>
        </w:tc>
        <w:tc>
          <w:tcPr>
            <w:tcW w:w="1170" w:type="dxa"/>
            <w:tcBorders>
              <w:left w:val="single" w:sz="4" w:space="0" w:color="auto"/>
              <w:bottom w:val="single" w:sz="4" w:space="0" w:color="000000" w:themeColor="text1"/>
            </w:tcBorders>
            <w:shd w:val="clear" w:color="auto" w:fill="D9D9D9" w:themeFill="background1" w:themeFillShade="D9"/>
          </w:tcPr>
          <w:p w:rsidR="00D37078" w:rsidRPr="00D349F4" w:rsidRDefault="00D37078" w:rsidP="00264A7D">
            <w:pPr>
              <w:spacing w:line="240" w:lineRule="exact"/>
              <w:contextualSpacing/>
              <w:jc w:val="center"/>
              <w:rPr>
                <w:b/>
                <w:color w:val="auto"/>
                <w:sz w:val="20"/>
                <w:szCs w:val="20"/>
              </w:rPr>
            </w:pPr>
            <w:r w:rsidRPr="00D349F4">
              <w:rPr>
                <w:b/>
                <w:color w:val="auto"/>
                <w:sz w:val="20"/>
                <w:szCs w:val="20"/>
              </w:rPr>
              <w:t>Code</w:t>
            </w:r>
          </w:p>
        </w:tc>
        <w:tc>
          <w:tcPr>
            <w:tcW w:w="990" w:type="dxa"/>
            <w:tcBorders>
              <w:bottom w:val="single" w:sz="4" w:space="0" w:color="000000" w:themeColor="text1"/>
              <w:right w:val="thinThickThinSmallGap" w:sz="24" w:space="0" w:color="auto"/>
            </w:tcBorders>
            <w:shd w:val="clear" w:color="auto" w:fill="D9D9D9" w:themeFill="background1" w:themeFillShade="D9"/>
          </w:tcPr>
          <w:p w:rsidR="00D37078" w:rsidRPr="00D349F4" w:rsidRDefault="00D37078" w:rsidP="00264A7D">
            <w:pPr>
              <w:spacing w:line="240" w:lineRule="exact"/>
              <w:contextualSpacing/>
              <w:jc w:val="center"/>
              <w:rPr>
                <w:b/>
                <w:color w:val="auto"/>
                <w:sz w:val="20"/>
                <w:szCs w:val="20"/>
              </w:rPr>
            </w:pPr>
            <w:r w:rsidRPr="00D349F4">
              <w:rPr>
                <w:b/>
                <w:color w:val="auto"/>
                <w:sz w:val="20"/>
                <w:szCs w:val="20"/>
              </w:rPr>
              <w:t>Rating</w:t>
            </w:r>
          </w:p>
        </w:tc>
        <w:tc>
          <w:tcPr>
            <w:tcW w:w="2160" w:type="dxa"/>
            <w:tcBorders>
              <w:left w:val="thinThickThinSmallGap" w:sz="24" w:space="0" w:color="auto"/>
              <w:bottom w:val="single" w:sz="4" w:space="0" w:color="000000" w:themeColor="text1"/>
            </w:tcBorders>
            <w:shd w:val="clear" w:color="auto" w:fill="D9D9D9" w:themeFill="background1" w:themeFillShade="D9"/>
          </w:tcPr>
          <w:p w:rsidR="00D37078" w:rsidRPr="00D349F4" w:rsidRDefault="00D37078" w:rsidP="00264A7D">
            <w:pPr>
              <w:spacing w:line="240" w:lineRule="exact"/>
              <w:contextualSpacing/>
              <w:jc w:val="both"/>
              <w:rPr>
                <w:b/>
                <w:color w:val="auto"/>
                <w:sz w:val="20"/>
                <w:szCs w:val="20"/>
              </w:rPr>
            </w:pPr>
            <w:r w:rsidRPr="00D349F4">
              <w:rPr>
                <w:b/>
                <w:color w:val="auto"/>
                <w:sz w:val="20"/>
                <w:szCs w:val="20"/>
              </w:rPr>
              <w:t>Condition</w:t>
            </w:r>
          </w:p>
        </w:tc>
        <w:tc>
          <w:tcPr>
            <w:tcW w:w="990" w:type="dxa"/>
            <w:tcBorders>
              <w:bottom w:val="single" w:sz="4" w:space="0" w:color="000000" w:themeColor="text1"/>
            </w:tcBorders>
            <w:shd w:val="clear" w:color="auto" w:fill="D9D9D9" w:themeFill="background1" w:themeFillShade="D9"/>
          </w:tcPr>
          <w:p w:rsidR="00D37078" w:rsidRPr="00D349F4" w:rsidRDefault="00D37078" w:rsidP="00264A7D">
            <w:pPr>
              <w:spacing w:line="240" w:lineRule="exact"/>
              <w:contextualSpacing/>
              <w:jc w:val="center"/>
              <w:rPr>
                <w:b/>
                <w:color w:val="auto"/>
                <w:sz w:val="20"/>
                <w:szCs w:val="20"/>
              </w:rPr>
            </w:pPr>
            <w:r w:rsidRPr="00D349F4">
              <w:rPr>
                <w:b/>
                <w:color w:val="auto"/>
                <w:sz w:val="20"/>
                <w:szCs w:val="20"/>
              </w:rPr>
              <w:t>Code</w:t>
            </w:r>
          </w:p>
        </w:tc>
        <w:tc>
          <w:tcPr>
            <w:tcW w:w="810" w:type="dxa"/>
            <w:gridSpan w:val="2"/>
            <w:tcBorders>
              <w:bottom w:val="single" w:sz="4" w:space="0" w:color="000000" w:themeColor="text1"/>
            </w:tcBorders>
            <w:shd w:val="clear" w:color="auto" w:fill="D9D9D9" w:themeFill="background1" w:themeFillShade="D9"/>
          </w:tcPr>
          <w:p w:rsidR="00D37078" w:rsidRPr="00D349F4" w:rsidRDefault="00D37078" w:rsidP="00264A7D">
            <w:pPr>
              <w:spacing w:line="240" w:lineRule="exact"/>
              <w:contextualSpacing/>
              <w:jc w:val="center"/>
              <w:rPr>
                <w:b/>
                <w:color w:val="auto"/>
                <w:sz w:val="20"/>
                <w:szCs w:val="20"/>
              </w:rPr>
            </w:pPr>
            <w:r w:rsidRPr="00D349F4">
              <w:rPr>
                <w:b/>
                <w:color w:val="auto"/>
                <w:sz w:val="20"/>
                <w:szCs w:val="20"/>
              </w:rPr>
              <w:t>Rating</w:t>
            </w:r>
          </w:p>
        </w:tc>
        <w:tc>
          <w:tcPr>
            <w:tcW w:w="1080" w:type="dxa"/>
            <w:tcBorders>
              <w:bottom w:val="single" w:sz="4" w:space="0" w:color="000000" w:themeColor="text1"/>
            </w:tcBorders>
            <w:shd w:val="clear" w:color="auto" w:fill="D9D9D9" w:themeFill="background1" w:themeFillShade="D9"/>
          </w:tcPr>
          <w:p w:rsidR="00D37078" w:rsidRPr="00D349F4" w:rsidRDefault="00D37078" w:rsidP="00264A7D">
            <w:pPr>
              <w:spacing w:line="240" w:lineRule="exact"/>
              <w:contextualSpacing/>
              <w:jc w:val="center"/>
              <w:rPr>
                <w:b/>
                <w:color w:val="auto"/>
                <w:sz w:val="20"/>
                <w:szCs w:val="20"/>
              </w:rPr>
            </w:pPr>
            <w:r w:rsidRPr="00D349F4">
              <w:rPr>
                <w:b/>
                <w:color w:val="auto"/>
                <w:sz w:val="20"/>
                <w:szCs w:val="20"/>
              </w:rPr>
              <w:t>Exam</w:t>
            </w:r>
          </w:p>
        </w:tc>
      </w:tr>
      <w:tr w:rsidR="00264A7D" w:rsidRPr="00D349F4" w:rsidTr="00264A7D">
        <w:trPr>
          <w:trHeight w:val="287"/>
        </w:trPr>
        <w:tc>
          <w:tcPr>
            <w:tcW w:w="2268" w:type="dxa"/>
            <w:tcBorders>
              <w:right w:val="single" w:sz="4" w:space="0" w:color="auto"/>
            </w:tcBorders>
            <w:shd w:val="clear" w:color="auto" w:fill="FFFFFF" w:themeFill="background1"/>
            <w:vAlign w:val="center"/>
          </w:tcPr>
          <w:p w:rsidR="00264A7D" w:rsidRPr="00D349F4" w:rsidRDefault="00264A7D" w:rsidP="00264A7D">
            <w:pPr>
              <w:spacing w:line="200" w:lineRule="exact"/>
              <w:contextualSpacing/>
              <w:rPr>
                <w:color w:val="auto"/>
                <w:sz w:val="18"/>
                <w:szCs w:val="20"/>
              </w:rPr>
            </w:pPr>
            <w:r w:rsidRPr="00D349F4">
              <w:rPr>
                <w:color w:val="auto"/>
                <w:sz w:val="18"/>
                <w:szCs w:val="20"/>
              </w:rPr>
              <w:t>Left Knee Patellofemoral Chondromalacia</w:t>
            </w:r>
          </w:p>
        </w:tc>
        <w:tc>
          <w:tcPr>
            <w:tcW w:w="1170" w:type="dxa"/>
            <w:tcBorders>
              <w:left w:val="single" w:sz="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szCs w:val="20"/>
              </w:rPr>
            </w:pPr>
            <w:r w:rsidRPr="00D349F4">
              <w:rPr>
                <w:color w:val="auto"/>
                <w:sz w:val="18"/>
                <w:szCs w:val="20"/>
              </w:rPr>
              <w:t>5099-5003</w:t>
            </w:r>
          </w:p>
        </w:tc>
        <w:tc>
          <w:tcPr>
            <w:tcW w:w="990" w:type="dxa"/>
            <w:tcBorders>
              <w:right w:val="thinThickThinSmallGap" w:sz="2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szCs w:val="20"/>
              </w:rPr>
            </w:pPr>
            <w:r w:rsidRPr="00D349F4">
              <w:rPr>
                <w:color w:val="auto"/>
                <w:sz w:val="18"/>
                <w:szCs w:val="20"/>
              </w:rPr>
              <w:t>10%</w:t>
            </w:r>
          </w:p>
        </w:tc>
        <w:tc>
          <w:tcPr>
            <w:tcW w:w="5040" w:type="dxa"/>
            <w:gridSpan w:val="5"/>
            <w:vMerge w:val="restart"/>
            <w:tcBorders>
              <w:left w:val="thinThickThinSmallGap" w:sz="2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szCs w:val="20"/>
              </w:rPr>
            </w:pPr>
            <w:r w:rsidRPr="00D349F4">
              <w:rPr>
                <w:color w:val="auto"/>
                <w:sz w:val="18"/>
                <w:szCs w:val="20"/>
              </w:rPr>
              <w:t>No VA Entry</w:t>
            </w:r>
            <w:r w:rsidR="00D349F4" w:rsidRPr="00D349F4">
              <w:rPr>
                <w:color w:val="auto"/>
                <w:sz w:val="18"/>
                <w:szCs w:val="20"/>
              </w:rPr>
              <w:t>*</w:t>
            </w:r>
          </w:p>
        </w:tc>
      </w:tr>
      <w:tr w:rsidR="00264A7D" w:rsidRPr="00D349F4" w:rsidTr="00264A7D">
        <w:trPr>
          <w:trHeight w:val="287"/>
        </w:trPr>
        <w:tc>
          <w:tcPr>
            <w:tcW w:w="2268" w:type="dxa"/>
            <w:tcBorders>
              <w:right w:val="single" w:sz="4" w:space="0" w:color="auto"/>
            </w:tcBorders>
            <w:shd w:val="clear" w:color="auto" w:fill="FFFFFF" w:themeFill="background1"/>
            <w:vAlign w:val="center"/>
          </w:tcPr>
          <w:p w:rsidR="00264A7D" w:rsidRPr="00D349F4" w:rsidRDefault="00264A7D" w:rsidP="00264A7D">
            <w:pPr>
              <w:spacing w:line="200" w:lineRule="exact"/>
              <w:contextualSpacing/>
              <w:rPr>
                <w:color w:val="auto"/>
                <w:sz w:val="18"/>
                <w:szCs w:val="20"/>
              </w:rPr>
            </w:pPr>
            <w:r w:rsidRPr="00D349F4">
              <w:rPr>
                <w:color w:val="auto"/>
                <w:sz w:val="18"/>
                <w:szCs w:val="20"/>
              </w:rPr>
              <w:t>Left Knee Plica</w:t>
            </w:r>
          </w:p>
        </w:tc>
        <w:tc>
          <w:tcPr>
            <w:tcW w:w="2160" w:type="dxa"/>
            <w:gridSpan w:val="2"/>
            <w:tcBorders>
              <w:left w:val="single" w:sz="4" w:space="0" w:color="auto"/>
              <w:bottom w:val="single" w:sz="4" w:space="0" w:color="auto"/>
              <w:right w:val="thinThickThinSmallGap" w:sz="2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szCs w:val="20"/>
              </w:rPr>
            </w:pPr>
            <w:r w:rsidRPr="00D349F4">
              <w:rPr>
                <w:color w:val="auto"/>
                <w:sz w:val="18"/>
                <w:szCs w:val="20"/>
              </w:rPr>
              <w:t>Category II</w:t>
            </w:r>
          </w:p>
        </w:tc>
        <w:tc>
          <w:tcPr>
            <w:tcW w:w="5040" w:type="dxa"/>
            <w:gridSpan w:val="5"/>
            <w:vMerge/>
            <w:tcBorders>
              <w:left w:val="thinThickThinSmallGap" w:sz="2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szCs w:val="20"/>
              </w:rPr>
            </w:pPr>
          </w:p>
        </w:tc>
      </w:tr>
      <w:tr w:rsidR="00264A7D" w:rsidRPr="00D349F4" w:rsidTr="00264A7D">
        <w:trPr>
          <w:trHeight w:val="287"/>
        </w:trPr>
        <w:tc>
          <w:tcPr>
            <w:tcW w:w="2268" w:type="dxa"/>
            <w:tcBorders>
              <w:right w:val="single" w:sz="4" w:space="0" w:color="auto"/>
            </w:tcBorders>
            <w:shd w:val="clear" w:color="auto" w:fill="FFFFFF" w:themeFill="background1"/>
            <w:vAlign w:val="center"/>
          </w:tcPr>
          <w:p w:rsidR="00264A7D" w:rsidRPr="00D349F4" w:rsidRDefault="00264A7D" w:rsidP="00264A7D">
            <w:pPr>
              <w:spacing w:line="200" w:lineRule="exact"/>
              <w:contextualSpacing/>
              <w:rPr>
                <w:color w:val="auto"/>
                <w:sz w:val="18"/>
                <w:szCs w:val="20"/>
              </w:rPr>
            </w:pPr>
            <w:r w:rsidRPr="00D349F4">
              <w:rPr>
                <w:color w:val="auto"/>
                <w:sz w:val="18"/>
                <w:szCs w:val="20"/>
              </w:rPr>
              <w:t>Left Anterior &amp; Lateral Compartment Fasciotomies</w:t>
            </w:r>
          </w:p>
        </w:tc>
        <w:tc>
          <w:tcPr>
            <w:tcW w:w="2160" w:type="dxa"/>
            <w:gridSpan w:val="2"/>
            <w:tcBorders>
              <w:top w:val="single" w:sz="4" w:space="0" w:color="auto"/>
              <w:left w:val="single" w:sz="4" w:space="0" w:color="auto"/>
              <w:right w:val="thinThickThinSmallGap" w:sz="2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szCs w:val="20"/>
              </w:rPr>
            </w:pPr>
            <w:r w:rsidRPr="00D349F4">
              <w:rPr>
                <w:color w:val="auto"/>
                <w:sz w:val="18"/>
                <w:szCs w:val="20"/>
              </w:rPr>
              <w:t>Category II</w:t>
            </w:r>
          </w:p>
        </w:tc>
        <w:tc>
          <w:tcPr>
            <w:tcW w:w="5040" w:type="dxa"/>
            <w:gridSpan w:val="5"/>
            <w:vMerge/>
            <w:tcBorders>
              <w:left w:val="thinThickThinSmallGap" w:sz="24" w:space="0" w:color="auto"/>
              <w:bottom w:val="nil"/>
            </w:tcBorders>
            <w:shd w:val="clear" w:color="auto" w:fill="FFFFFF" w:themeFill="background1"/>
            <w:vAlign w:val="center"/>
          </w:tcPr>
          <w:p w:rsidR="00264A7D" w:rsidRPr="00D349F4" w:rsidRDefault="00264A7D" w:rsidP="00264A7D">
            <w:pPr>
              <w:spacing w:line="200" w:lineRule="exact"/>
              <w:contextualSpacing/>
              <w:jc w:val="center"/>
              <w:rPr>
                <w:color w:val="auto"/>
                <w:sz w:val="18"/>
              </w:rPr>
            </w:pPr>
          </w:p>
        </w:tc>
      </w:tr>
      <w:tr w:rsidR="00264A7D" w:rsidRPr="00D349F4" w:rsidTr="008B6DDA">
        <w:trPr>
          <w:trHeight w:val="287"/>
        </w:trPr>
        <w:tc>
          <w:tcPr>
            <w:tcW w:w="4428" w:type="dxa"/>
            <w:gridSpan w:val="3"/>
            <w:vMerge w:val="restart"/>
            <w:tcBorders>
              <w:right w:val="thinThickThinSmallGap" w:sz="2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rPr>
            </w:pPr>
            <w:r w:rsidRPr="00D349F4">
              <w:rPr>
                <w:color w:val="auto"/>
                <w:sz w:val="18"/>
                <w:szCs w:val="20"/>
              </w:rPr>
              <w:t>↓No Additional MEB/PEB Entries↓</w:t>
            </w:r>
          </w:p>
        </w:tc>
        <w:tc>
          <w:tcPr>
            <w:tcW w:w="2160" w:type="dxa"/>
            <w:tcBorders>
              <w:left w:val="thinThickThinSmallGap" w:sz="24" w:space="0" w:color="auto"/>
              <w:right w:val="single" w:sz="4" w:space="0" w:color="auto"/>
            </w:tcBorders>
            <w:shd w:val="clear" w:color="auto" w:fill="FFFFFF" w:themeFill="background1"/>
            <w:vAlign w:val="center"/>
          </w:tcPr>
          <w:p w:rsidR="00264A7D" w:rsidRPr="00D349F4" w:rsidRDefault="00264A7D" w:rsidP="00D349F4">
            <w:pPr>
              <w:spacing w:line="200" w:lineRule="exact"/>
              <w:contextualSpacing/>
              <w:rPr>
                <w:color w:val="auto"/>
                <w:sz w:val="18"/>
              </w:rPr>
            </w:pPr>
            <w:r w:rsidRPr="00D349F4">
              <w:rPr>
                <w:color w:val="auto"/>
                <w:sz w:val="18"/>
              </w:rPr>
              <w:t>Arterial Hypertension</w:t>
            </w:r>
          </w:p>
        </w:tc>
        <w:tc>
          <w:tcPr>
            <w:tcW w:w="1182" w:type="dxa"/>
            <w:gridSpan w:val="2"/>
            <w:tcBorders>
              <w:left w:val="single" w:sz="4" w:space="0" w:color="auto"/>
              <w:right w:val="single" w:sz="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rPr>
            </w:pPr>
            <w:r w:rsidRPr="00D349F4">
              <w:rPr>
                <w:color w:val="auto"/>
                <w:sz w:val="18"/>
              </w:rPr>
              <w:t>7101</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rPr>
            </w:pPr>
            <w:r w:rsidRPr="00D349F4">
              <w:rPr>
                <w:color w:val="auto"/>
                <w:sz w:val="18"/>
              </w:rPr>
              <w:t>0%</w:t>
            </w:r>
          </w:p>
        </w:tc>
        <w:tc>
          <w:tcPr>
            <w:tcW w:w="1080" w:type="dxa"/>
            <w:tcBorders>
              <w:top w:val="single" w:sz="4" w:space="0" w:color="auto"/>
              <w:left w:val="single" w:sz="4" w:space="0" w:color="auto"/>
              <w:bottom w:val="single" w:sz="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rPr>
            </w:pPr>
            <w:r w:rsidRPr="00D349F4">
              <w:rPr>
                <w:color w:val="auto"/>
                <w:sz w:val="18"/>
              </w:rPr>
              <w:t>20061117</w:t>
            </w:r>
          </w:p>
        </w:tc>
      </w:tr>
      <w:tr w:rsidR="00264A7D" w:rsidRPr="00D349F4" w:rsidTr="008B6DDA">
        <w:trPr>
          <w:trHeight w:val="287"/>
        </w:trPr>
        <w:tc>
          <w:tcPr>
            <w:tcW w:w="4428" w:type="dxa"/>
            <w:gridSpan w:val="3"/>
            <w:vMerge/>
            <w:tcBorders>
              <w:right w:val="thinThickThinSmallGap" w:sz="2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rPr>
            </w:pPr>
          </w:p>
        </w:tc>
        <w:tc>
          <w:tcPr>
            <w:tcW w:w="2160" w:type="dxa"/>
            <w:tcBorders>
              <w:left w:val="thinThickThinSmallGap" w:sz="24" w:space="0" w:color="auto"/>
              <w:right w:val="single" w:sz="4" w:space="0" w:color="auto"/>
            </w:tcBorders>
            <w:shd w:val="clear" w:color="auto" w:fill="FFFFFF" w:themeFill="background1"/>
            <w:vAlign w:val="center"/>
          </w:tcPr>
          <w:p w:rsidR="00264A7D" w:rsidRPr="00D349F4" w:rsidRDefault="008B6DDA" w:rsidP="00D349F4">
            <w:pPr>
              <w:spacing w:line="200" w:lineRule="exact"/>
              <w:contextualSpacing/>
              <w:rPr>
                <w:color w:val="auto"/>
                <w:sz w:val="18"/>
              </w:rPr>
            </w:pPr>
            <w:r w:rsidRPr="00D349F4">
              <w:rPr>
                <w:color w:val="auto"/>
                <w:sz w:val="18"/>
              </w:rPr>
              <w:t xml:space="preserve">L Knee </w:t>
            </w:r>
            <w:proofErr w:type="spellStart"/>
            <w:r w:rsidRPr="00D349F4">
              <w:rPr>
                <w:color w:val="auto"/>
                <w:sz w:val="18"/>
              </w:rPr>
              <w:t>Arth</w:t>
            </w:r>
            <w:proofErr w:type="spellEnd"/>
            <w:r w:rsidR="00D349F4" w:rsidRPr="00D349F4">
              <w:rPr>
                <w:color w:val="auto"/>
                <w:sz w:val="18"/>
              </w:rPr>
              <w:t>.</w:t>
            </w:r>
            <w:r w:rsidRPr="00D349F4">
              <w:rPr>
                <w:color w:val="auto"/>
                <w:sz w:val="18"/>
              </w:rPr>
              <w:t xml:space="preserve"> Scar</w:t>
            </w:r>
            <w:r w:rsidR="00D349F4" w:rsidRPr="00D349F4">
              <w:rPr>
                <w:color w:val="auto"/>
                <w:sz w:val="18"/>
              </w:rPr>
              <w:t>, …</w:t>
            </w:r>
          </w:p>
        </w:tc>
        <w:tc>
          <w:tcPr>
            <w:tcW w:w="1182" w:type="dxa"/>
            <w:gridSpan w:val="2"/>
            <w:tcBorders>
              <w:left w:val="single" w:sz="4" w:space="0" w:color="auto"/>
              <w:right w:val="single" w:sz="4" w:space="0" w:color="auto"/>
            </w:tcBorders>
            <w:shd w:val="clear" w:color="auto" w:fill="FFFFFF" w:themeFill="background1"/>
            <w:vAlign w:val="center"/>
          </w:tcPr>
          <w:p w:rsidR="00264A7D" w:rsidRPr="00D349F4" w:rsidRDefault="008B6DDA" w:rsidP="008B6DDA">
            <w:pPr>
              <w:spacing w:line="200" w:lineRule="exact"/>
              <w:contextualSpacing/>
              <w:jc w:val="center"/>
              <w:rPr>
                <w:color w:val="auto"/>
                <w:sz w:val="18"/>
              </w:rPr>
            </w:pPr>
            <w:r w:rsidRPr="00D349F4">
              <w:rPr>
                <w:color w:val="auto"/>
                <w:sz w:val="18"/>
              </w:rPr>
              <w:t>7899-7806</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4A7D" w:rsidRPr="00D349F4" w:rsidRDefault="008B6DDA" w:rsidP="00264A7D">
            <w:pPr>
              <w:spacing w:line="200" w:lineRule="exact"/>
              <w:contextualSpacing/>
              <w:jc w:val="center"/>
              <w:rPr>
                <w:color w:val="auto"/>
                <w:sz w:val="18"/>
              </w:rPr>
            </w:pPr>
            <w:r w:rsidRPr="00D349F4">
              <w:rPr>
                <w:color w:val="auto"/>
                <w:sz w:val="18"/>
              </w:rPr>
              <w:t>0%</w:t>
            </w:r>
          </w:p>
        </w:tc>
        <w:tc>
          <w:tcPr>
            <w:tcW w:w="1080" w:type="dxa"/>
            <w:tcBorders>
              <w:top w:val="single" w:sz="4" w:space="0" w:color="auto"/>
              <w:left w:val="single" w:sz="4" w:space="0" w:color="auto"/>
              <w:bottom w:val="single" w:sz="4" w:space="0" w:color="auto"/>
            </w:tcBorders>
            <w:shd w:val="clear" w:color="auto" w:fill="FFFFFF" w:themeFill="background1"/>
            <w:vAlign w:val="center"/>
          </w:tcPr>
          <w:p w:rsidR="00264A7D" w:rsidRPr="00D349F4" w:rsidRDefault="008B6DDA" w:rsidP="00264A7D">
            <w:pPr>
              <w:spacing w:line="200" w:lineRule="exact"/>
              <w:contextualSpacing/>
              <w:jc w:val="center"/>
              <w:rPr>
                <w:color w:val="auto"/>
                <w:sz w:val="18"/>
              </w:rPr>
            </w:pPr>
            <w:r w:rsidRPr="00D349F4">
              <w:rPr>
                <w:color w:val="auto"/>
                <w:sz w:val="18"/>
              </w:rPr>
              <w:t>20061117</w:t>
            </w:r>
          </w:p>
        </w:tc>
      </w:tr>
      <w:tr w:rsidR="00264A7D" w:rsidRPr="00D349F4" w:rsidTr="008B6DDA">
        <w:trPr>
          <w:trHeight w:val="287"/>
        </w:trPr>
        <w:tc>
          <w:tcPr>
            <w:tcW w:w="4428" w:type="dxa"/>
            <w:gridSpan w:val="3"/>
            <w:vMerge/>
            <w:tcBorders>
              <w:right w:val="thinThickThinSmallGap" w:sz="2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rPr>
            </w:pPr>
          </w:p>
        </w:tc>
        <w:tc>
          <w:tcPr>
            <w:tcW w:w="2160" w:type="dxa"/>
            <w:tcBorders>
              <w:left w:val="thinThickThinSmallGap" w:sz="24" w:space="0" w:color="auto"/>
              <w:right w:val="single" w:sz="4" w:space="0" w:color="auto"/>
            </w:tcBorders>
            <w:shd w:val="clear" w:color="auto" w:fill="FFFFFF" w:themeFill="background1"/>
            <w:vAlign w:val="center"/>
          </w:tcPr>
          <w:p w:rsidR="00264A7D" w:rsidRPr="00D349F4" w:rsidRDefault="008B6DDA" w:rsidP="00D349F4">
            <w:pPr>
              <w:spacing w:line="200" w:lineRule="exact"/>
              <w:contextualSpacing/>
              <w:rPr>
                <w:color w:val="auto"/>
                <w:sz w:val="18"/>
              </w:rPr>
            </w:pPr>
            <w:r w:rsidRPr="00D349F4">
              <w:rPr>
                <w:color w:val="auto"/>
                <w:sz w:val="18"/>
              </w:rPr>
              <w:t>Skin Rash in Back</w:t>
            </w:r>
          </w:p>
        </w:tc>
        <w:tc>
          <w:tcPr>
            <w:tcW w:w="1182" w:type="dxa"/>
            <w:gridSpan w:val="2"/>
            <w:tcBorders>
              <w:left w:val="single" w:sz="4" w:space="0" w:color="auto"/>
              <w:right w:val="single" w:sz="4" w:space="0" w:color="auto"/>
            </w:tcBorders>
            <w:shd w:val="clear" w:color="auto" w:fill="FFFFFF" w:themeFill="background1"/>
            <w:vAlign w:val="center"/>
          </w:tcPr>
          <w:p w:rsidR="00264A7D" w:rsidRPr="00D349F4" w:rsidRDefault="008B6DDA" w:rsidP="00264A7D">
            <w:pPr>
              <w:spacing w:line="200" w:lineRule="exact"/>
              <w:contextualSpacing/>
              <w:jc w:val="center"/>
              <w:rPr>
                <w:color w:val="auto"/>
                <w:sz w:val="18"/>
              </w:rPr>
            </w:pPr>
            <w:r w:rsidRPr="00D349F4">
              <w:rPr>
                <w:color w:val="auto"/>
                <w:sz w:val="18"/>
              </w:rPr>
              <w:t>5299-5215</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4A7D" w:rsidRPr="00D349F4" w:rsidRDefault="008B6DDA" w:rsidP="00264A7D">
            <w:pPr>
              <w:spacing w:line="200" w:lineRule="exact"/>
              <w:contextualSpacing/>
              <w:jc w:val="center"/>
              <w:rPr>
                <w:color w:val="auto"/>
                <w:sz w:val="18"/>
              </w:rPr>
            </w:pPr>
            <w:r w:rsidRPr="00D349F4">
              <w:rPr>
                <w:color w:val="auto"/>
                <w:sz w:val="18"/>
              </w:rPr>
              <w:t>0%</w:t>
            </w:r>
          </w:p>
        </w:tc>
        <w:tc>
          <w:tcPr>
            <w:tcW w:w="1080" w:type="dxa"/>
            <w:tcBorders>
              <w:top w:val="single" w:sz="4" w:space="0" w:color="auto"/>
              <w:left w:val="single" w:sz="4" w:space="0" w:color="auto"/>
              <w:bottom w:val="single" w:sz="4" w:space="0" w:color="auto"/>
            </w:tcBorders>
            <w:shd w:val="clear" w:color="auto" w:fill="FFFFFF" w:themeFill="background1"/>
            <w:vAlign w:val="center"/>
          </w:tcPr>
          <w:p w:rsidR="00264A7D" w:rsidRPr="00D349F4" w:rsidRDefault="008B6DDA" w:rsidP="00264A7D">
            <w:pPr>
              <w:spacing w:line="200" w:lineRule="exact"/>
              <w:contextualSpacing/>
              <w:jc w:val="center"/>
              <w:rPr>
                <w:color w:val="auto"/>
                <w:sz w:val="18"/>
              </w:rPr>
            </w:pPr>
            <w:r w:rsidRPr="00D349F4">
              <w:rPr>
                <w:color w:val="auto"/>
                <w:sz w:val="18"/>
              </w:rPr>
              <w:t>20061117</w:t>
            </w:r>
          </w:p>
        </w:tc>
      </w:tr>
      <w:tr w:rsidR="00264A7D" w:rsidRPr="00D349F4" w:rsidTr="008B6DDA">
        <w:trPr>
          <w:trHeight w:val="287"/>
        </w:trPr>
        <w:tc>
          <w:tcPr>
            <w:tcW w:w="4428" w:type="dxa"/>
            <w:gridSpan w:val="3"/>
            <w:vMerge/>
            <w:tcBorders>
              <w:right w:val="thinThickThinSmallGap" w:sz="24" w:space="0" w:color="auto"/>
            </w:tcBorders>
            <w:shd w:val="clear" w:color="auto" w:fill="FFFFFF" w:themeFill="background1"/>
            <w:vAlign w:val="center"/>
          </w:tcPr>
          <w:p w:rsidR="00264A7D" w:rsidRPr="00D349F4" w:rsidRDefault="00264A7D" w:rsidP="00264A7D">
            <w:pPr>
              <w:spacing w:line="200" w:lineRule="exact"/>
              <w:contextualSpacing/>
              <w:jc w:val="center"/>
              <w:rPr>
                <w:color w:val="auto"/>
                <w:sz w:val="18"/>
              </w:rPr>
            </w:pPr>
          </w:p>
        </w:tc>
        <w:tc>
          <w:tcPr>
            <w:tcW w:w="2160" w:type="dxa"/>
            <w:tcBorders>
              <w:left w:val="thinThickThinSmallGap" w:sz="24" w:space="0" w:color="auto"/>
              <w:right w:val="single" w:sz="4" w:space="0" w:color="auto"/>
            </w:tcBorders>
            <w:shd w:val="clear" w:color="auto" w:fill="FFFFFF" w:themeFill="background1"/>
            <w:vAlign w:val="center"/>
          </w:tcPr>
          <w:p w:rsidR="00264A7D" w:rsidRPr="00D349F4" w:rsidRDefault="008B6DDA" w:rsidP="00D349F4">
            <w:pPr>
              <w:spacing w:line="200" w:lineRule="exact"/>
              <w:contextualSpacing/>
              <w:rPr>
                <w:color w:val="auto"/>
                <w:sz w:val="18"/>
              </w:rPr>
            </w:pPr>
            <w:r w:rsidRPr="00D349F4">
              <w:rPr>
                <w:color w:val="auto"/>
                <w:sz w:val="18"/>
              </w:rPr>
              <w:t>Right Wrist Condition</w:t>
            </w:r>
          </w:p>
        </w:tc>
        <w:tc>
          <w:tcPr>
            <w:tcW w:w="1182" w:type="dxa"/>
            <w:gridSpan w:val="2"/>
            <w:tcBorders>
              <w:left w:val="single" w:sz="4" w:space="0" w:color="auto"/>
              <w:right w:val="single" w:sz="4" w:space="0" w:color="auto"/>
            </w:tcBorders>
            <w:shd w:val="clear" w:color="auto" w:fill="FFFFFF" w:themeFill="background1"/>
            <w:vAlign w:val="center"/>
          </w:tcPr>
          <w:p w:rsidR="00264A7D" w:rsidRPr="00D349F4" w:rsidRDefault="008B6DDA" w:rsidP="00264A7D">
            <w:pPr>
              <w:spacing w:line="200" w:lineRule="exact"/>
              <w:contextualSpacing/>
              <w:jc w:val="center"/>
              <w:rPr>
                <w:color w:val="auto"/>
                <w:sz w:val="18"/>
              </w:rPr>
            </w:pPr>
            <w:r w:rsidRPr="00D349F4">
              <w:rPr>
                <w:color w:val="auto"/>
                <w:sz w:val="18"/>
              </w:rPr>
              <w:t>5299-5215</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4A7D" w:rsidRPr="00D349F4" w:rsidRDefault="008B6DDA" w:rsidP="00264A7D">
            <w:pPr>
              <w:spacing w:line="200" w:lineRule="exact"/>
              <w:contextualSpacing/>
              <w:jc w:val="center"/>
              <w:rPr>
                <w:color w:val="auto"/>
                <w:sz w:val="18"/>
              </w:rPr>
            </w:pPr>
            <w:r w:rsidRPr="00D349F4">
              <w:rPr>
                <w:color w:val="auto"/>
                <w:sz w:val="18"/>
              </w:rPr>
              <w:t>0%</w:t>
            </w:r>
          </w:p>
        </w:tc>
        <w:tc>
          <w:tcPr>
            <w:tcW w:w="1080" w:type="dxa"/>
            <w:tcBorders>
              <w:top w:val="single" w:sz="4" w:space="0" w:color="auto"/>
              <w:left w:val="single" w:sz="4" w:space="0" w:color="auto"/>
              <w:bottom w:val="single" w:sz="4" w:space="0" w:color="auto"/>
            </w:tcBorders>
            <w:shd w:val="clear" w:color="auto" w:fill="FFFFFF" w:themeFill="background1"/>
            <w:vAlign w:val="center"/>
          </w:tcPr>
          <w:p w:rsidR="00264A7D" w:rsidRPr="00D349F4" w:rsidRDefault="008B6DDA" w:rsidP="00264A7D">
            <w:pPr>
              <w:spacing w:line="200" w:lineRule="exact"/>
              <w:contextualSpacing/>
              <w:jc w:val="center"/>
              <w:rPr>
                <w:color w:val="auto"/>
                <w:sz w:val="18"/>
              </w:rPr>
            </w:pPr>
            <w:r w:rsidRPr="00D349F4">
              <w:rPr>
                <w:color w:val="auto"/>
                <w:sz w:val="18"/>
              </w:rPr>
              <w:t>20061117</w:t>
            </w:r>
          </w:p>
        </w:tc>
      </w:tr>
      <w:tr w:rsidR="00D37078" w:rsidRPr="00D349F4" w:rsidTr="00264A7D">
        <w:trPr>
          <w:trHeight w:val="52"/>
        </w:trPr>
        <w:tc>
          <w:tcPr>
            <w:tcW w:w="4428" w:type="dxa"/>
            <w:gridSpan w:val="3"/>
            <w:tcBorders>
              <w:right w:val="thinThickThinSmallGap" w:sz="24" w:space="0" w:color="auto"/>
            </w:tcBorders>
            <w:shd w:val="clear" w:color="auto" w:fill="D9D9D9" w:themeFill="background1" w:themeFillShade="D9"/>
            <w:vAlign w:val="center"/>
          </w:tcPr>
          <w:p w:rsidR="00D37078" w:rsidRPr="00D349F4" w:rsidRDefault="00D37078" w:rsidP="00264A7D">
            <w:pPr>
              <w:spacing w:line="240" w:lineRule="exact"/>
              <w:contextualSpacing/>
              <w:jc w:val="center"/>
              <w:rPr>
                <w:b/>
                <w:color w:val="auto"/>
                <w:sz w:val="20"/>
                <w:szCs w:val="20"/>
              </w:rPr>
            </w:pPr>
            <w:r w:rsidRPr="00D349F4">
              <w:rPr>
                <w:b/>
                <w:color w:val="auto"/>
                <w:sz w:val="20"/>
                <w:szCs w:val="20"/>
              </w:rPr>
              <w:t>Combined:  10%</w:t>
            </w:r>
          </w:p>
        </w:tc>
        <w:tc>
          <w:tcPr>
            <w:tcW w:w="5040" w:type="dxa"/>
            <w:gridSpan w:val="5"/>
            <w:tcBorders>
              <w:left w:val="thinThickThinSmallGap" w:sz="24" w:space="0" w:color="auto"/>
            </w:tcBorders>
            <w:shd w:val="clear" w:color="auto" w:fill="D9D9D9" w:themeFill="background1" w:themeFillShade="D9"/>
            <w:vAlign w:val="center"/>
          </w:tcPr>
          <w:p w:rsidR="00D37078" w:rsidRPr="00D349F4" w:rsidRDefault="00935C4D" w:rsidP="00264A7D">
            <w:pPr>
              <w:spacing w:line="240" w:lineRule="exact"/>
              <w:contextualSpacing/>
              <w:jc w:val="center"/>
              <w:rPr>
                <w:b/>
                <w:color w:val="auto"/>
                <w:sz w:val="20"/>
                <w:szCs w:val="20"/>
              </w:rPr>
            </w:pPr>
            <w:r w:rsidRPr="00D349F4">
              <w:rPr>
                <w:b/>
                <w:color w:val="auto"/>
                <w:sz w:val="20"/>
                <w:szCs w:val="20"/>
              </w:rPr>
              <w:t xml:space="preserve">Combined:  </w:t>
            </w:r>
            <w:r w:rsidR="00D37078" w:rsidRPr="00D349F4">
              <w:rPr>
                <w:b/>
                <w:color w:val="auto"/>
                <w:sz w:val="20"/>
                <w:szCs w:val="20"/>
              </w:rPr>
              <w:t>0%</w:t>
            </w:r>
          </w:p>
        </w:tc>
      </w:tr>
    </w:tbl>
    <w:p w:rsidR="00A90D55" w:rsidRPr="0012161B" w:rsidRDefault="008B5D31" w:rsidP="00190E48">
      <w:pPr>
        <w:tabs>
          <w:tab w:val="left" w:pos="288"/>
          <w:tab w:val="left" w:pos="4752"/>
        </w:tabs>
        <w:spacing w:line="240" w:lineRule="exact"/>
        <w:jc w:val="both"/>
        <w:rPr>
          <w:color w:val="auto"/>
        </w:rPr>
      </w:pPr>
      <w:r w:rsidRPr="0012161B">
        <w:rPr>
          <w:color w:val="auto"/>
          <w:u w:val="single"/>
        </w:rPr>
        <w:t>_______________________________________________________________</w:t>
      </w:r>
      <w:r w:rsidR="00A90D55" w:rsidRPr="0012161B">
        <w:rPr>
          <w:color w:val="auto"/>
        </w:rPr>
        <w:t>_</w:t>
      </w:r>
    </w:p>
    <w:p w:rsidR="00A90D55" w:rsidRPr="0012161B" w:rsidRDefault="00A90D55" w:rsidP="00190E48">
      <w:pPr>
        <w:tabs>
          <w:tab w:val="left" w:pos="288"/>
          <w:tab w:val="left" w:pos="4752"/>
        </w:tabs>
        <w:spacing w:line="240" w:lineRule="exact"/>
        <w:jc w:val="both"/>
        <w:rPr>
          <w:color w:val="auto"/>
        </w:rPr>
      </w:pPr>
    </w:p>
    <w:p w:rsidR="00531FED" w:rsidRPr="0012161B" w:rsidRDefault="002C6E5B" w:rsidP="001E2883">
      <w:pPr>
        <w:tabs>
          <w:tab w:val="left" w:pos="288"/>
          <w:tab w:val="left" w:pos="4752"/>
        </w:tabs>
        <w:spacing w:line="240" w:lineRule="exact"/>
        <w:jc w:val="both"/>
        <w:rPr>
          <w:rFonts w:asciiTheme="minorHAnsi" w:hAnsiTheme="minorHAnsi"/>
          <w:color w:val="auto"/>
          <w:szCs w:val="24"/>
        </w:rPr>
      </w:pPr>
      <w:r w:rsidRPr="0012161B">
        <w:rPr>
          <w:rFonts w:asciiTheme="minorHAnsi" w:hAnsiTheme="minorHAnsi"/>
          <w:color w:val="auto"/>
          <w:szCs w:val="24"/>
          <w:u w:val="single"/>
        </w:rPr>
        <w:t>ANALYSIS SUMMARY</w:t>
      </w:r>
      <w:r w:rsidRPr="0012161B">
        <w:rPr>
          <w:rFonts w:asciiTheme="minorHAnsi" w:hAnsiTheme="minorHAnsi"/>
          <w:color w:val="auto"/>
          <w:szCs w:val="24"/>
        </w:rPr>
        <w:t>:</w:t>
      </w:r>
      <w:r w:rsidR="00A80338" w:rsidRPr="0012161B">
        <w:rPr>
          <w:rFonts w:asciiTheme="minorHAnsi" w:hAnsiTheme="minorHAnsi"/>
          <w:color w:val="auto"/>
          <w:szCs w:val="24"/>
        </w:rPr>
        <w:t xml:space="preserve">  </w:t>
      </w:r>
      <w:r w:rsidR="00BC623C" w:rsidRPr="0012161B">
        <w:rPr>
          <w:rFonts w:asciiTheme="minorHAnsi" w:hAnsiTheme="minorHAnsi"/>
          <w:color w:val="auto"/>
          <w:szCs w:val="24"/>
        </w:rPr>
        <w:t xml:space="preserve">The Board acknowledges the sentiment expressed in the CI’s application regarding the significant impact that his service-incurred conditions have had on his quality of life.  However, the </w:t>
      </w:r>
      <w:r w:rsidR="00603BA3">
        <w:rPr>
          <w:rFonts w:asciiTheme="minorHAnsi" w:hAnsiTheme="minorHAnsi"/>
          <w:color w:val="auto"/>
          <w:szCs w:val="24"/>
        </w:rPr>
        <w:t>m</w:t>
      </w:r>
      <w:r w:rsidR="00BC623C" w:rsidRPr="0012161B">
        <w:rPr>
          <w:rFonts w:asciiTheme="minorHAnsi" w:hAnsiTheme="minorHAnsi"/>
          <w:color w:val="auto"/>
          <w:szCs w:val="24"/>
        </w:rPr>
        <w:t xml:space="preserve">ilitary </w:t>
      </w:r>
      <w:r w:rsidR="00603BA3">
        <w:rPr>
          <w:rFonts w:asciiTheme="minorHAnsi" w:hAnsiTheme="minorHAnsi"/>
          <w:color w:val="auto"/>
          <w:szCs w:val="24"/>
        </w:rPr>
        <w:t>s</w:t>
      </w:r>
      <w:r w:rsidR="00BC623C" w:rsidRPr="0012161B">
        <w:rPr>
          <w:rFonts w:asciiTheme="minorHAnsi" w:hAnsiTheme="minorHAnsi"/>
          <w:color w:val="auto"/>
          <w:szCs w:val="24"/>
        </w:rPr>
        <w:t>ervices, by law, can only rate and compensate for those conditions that were found unfitting for continued military service based on the severity of the condition at the time of separation and not based on possible future changes.  The VA</w:t>
      </w:r>
      <w:r w:rsidR="00603BA3">
        <w:rPr>
          <w:rFonts w:asciiTheme="minorHAnsi" w:hAnsiTheme="minorHAnsi"/>
          <w:color w:val="auto"/>
          <w:szCs w:val="24"/>
        </w:rPr>
        <w:t>,</w:t>
      </w:r>
      <w:r w:rsidR="00BC623C" w:rsidRPr="0012161B">
        <w:rPr>
          <w:rFonts w:asciiTheme="minorHAnsi" w:hAnsiTheme="minorHAnsi"/>
          <w:color w:val="auto"/>
          <w:szCs w:val="24"/>
        </w:rPr>
        <w:t xml:space="preserve"> however</w:t>
      </w:r>
      <w:r w:rsidR="00603BA3">
        <w:rPr>
          <w:rFonts w:asciiTheme="minorHAnsi" w:hAnsiTheme="minorHAnsi"/>
          <w:color w:val="auto"/>
          <w:szCs w:val="24"/>
        </w:rPr>
        <w:t>,</w:t>
      </w:r>
      <w:r w:rsidR="00BC623C" w:rsidRPr="0012161B">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w:t>
      </w:r>
      <w:r w:rsidR="00603BA3">
        <w:rPr>
          <w:rFonts w:asciiTheme="minorHAnsi" w:hAnsiTheme="minorHAnsi"/>
          <w:color w:val="auto"/>
          <w:szCs w:val="24"/>
        </w:rPr>
        <w:t>the VA Schedule for Rating Disabilities (</w:t>
      </w:r>
      <w:r w:rsidR="00BC623C" w:rsidRPr="0012161B">
        <w:rPr>
          <w:rFonts w:asciiTheme="minorHAnsi" w:hAnsiTheme="minorHAnsi"/>
          <w:color w:val="auto"/>
          <w:szCs w:val="24"/>
        </w:rPr>
        <w:t>VASRD</w:t>
      </w:r>
      <w:r w:rsidR="00603BA3">
        <w:rPr>
          <w:rFonts w:asciiTheme="minorHAnsi" w:hAnsiTheme="minorHAnsi"/>
          <w:color w:val="auto"/>
          <w:szCs w:val="24"/>
        </w:rPr>
        <w:t>)</w:t>
      </w:r>
      <w:r w:rsidR="00BC623C" w:rsidRPr="0012161B">
        <w:rPr>
          <w:rFonts w:asciiTheme="minorHAnsi" w:hAnsiTheme="minorHAnsi"/>
          <w:color w:val="auto"/>
          <w:szCs w:val="24"/>
        </w:rPr>
        <w:t xml:space="preserve"> standards, as well as the fairness of PEB fitness adjudications.  The Board’s threshold for countering D</w:t>
      </w:r>
      <w:r w:rsidR="00F262AA">
        <w:rPr>
          <w:rFonts w:asciiTheme="minorHAnsi" w:hAnsiTheme="minorHAnsi"/>
          <w:color w:val="auto"/>
          <w:szCs w:val="24"/>
        </w:rPr>
        <w:t>isability Evaluation System (D</w:t>
      </w:r>
      <w:r w:rsidR="00BC623C" w:rsidRPr="0012161B">
        <w:rPr>
          <w:rFonts w:asciiTheme="minorHAnsi" w:hAnsiTheme="minorHAnsi"/>
          <w:color w:val="auto"/>
          <w:szCs w:val="24"/>
        </w:rPr>
        <w:t>ES</w:t>
      </w:r>
      <w:r w:rsidR="00F262AA">
        <w:rPr>
          <w:rFonts w:asciiTheme="minorHAnsi" w:hAnsiTheme="minorHAnsi"/>
          <w:color w:val="auto"/>
          <w:szCs w:val="24"/>
        </w:rPr>
        <w:t>)</w:t>
      </w:r>
      <w:r w:rsidR="00BC623C" w:rsidRPr="0012161B">
        <w:rPr>
          <w:rFonts w:asciiTheme="minorHAnsi" w:hAnsiTheme="minorHAnsi"/>
          <w:color w:val="auto"/>
          <w:szCs w:val="24"/>
        </w:rPr>
        <w:t xml:space="preserve"> fitness determinations is higher than the VASRD §4.3 reasonable doubt standard used for its rating recommendations</w:t>
      </w:r>
      <w:r w:rsidR="00603BA3">
        <w:rPr>
          <w:rFonts w:asciiTheme="minorHAnsi" w:hAnsiTheme="minorHAnsi"/>
          <w:color w:val="auto"/>
          <w:szCs w:val="24"/>
        </w:rPr>
        <w:t>,</w:t>
      </w:r>
      <w:r w:rsidR="00BC623C" w:rsidRPr="0012161B">
        <w:rPr>
          <w:rFonts w:asciiTheme="minorHAnsi" w:hAnsiTheme="minorHAnsi"/>
          <w:color w:val="auto"/>
          <w:szCs w:val="24"/>
        </w:rPr>
        <w:t xml:space="preserve"> but remains adherent to the DoDI 6040.44 “fair and equitable” standard. </w:t>
      </w:r>
      <w:r w:rsidR="00790A30" w:rsidRPr="0012161B">
        <w:rPr>
          <w:rFonts w:asciiTheme="minorHAnsi" w:hAnsiTheme="minorHAnsi"/>
          <w:color w:val="auto"/>
          <w:szCs w:val="24"/>
        </w:rPr>
        <w:t xml:space="preserve"> </w:t>
      </w:r>
    </w:p>
    <w:p w:rsidR="00531FED" w:rsidRPr="0012161B" w:rsidRDefault="00531FED" w:rsidP="001E2883">
      <w:pPr>
        <w:tabs>
          <w:tab w:val="left" w:pos="288"/>
          <w:tab w:val="left" w:pos="4752"/>
        </w:tabs>
        <w:spacing w:line="240" w:lineRule="exact"/>
        <w:jc w:val="both"/>
        <w:rPr>
          <w:rFonts w:asciiTheme="minorHAnsi" w:hAnsiTheme="minorHAnsi"/>
          <w:color w:val="auto"/>
          <w:szCs w:val="24"/>
        </w:rPr>
      </w:pPr>
    </w:p>
    <w:p w:rsidR="00531FED" w:rsidRDefault="00790A30" w:rsidP="00603BA3">
      <w:pPr>
        <w:tabs>
          <w:tab w:val="left" w:pos="288"/>
          <w:tab w:val="left" w:pos="4752"/>
        </w:tabs>
        <w:spacing w:line="240" w:lineRule="exact"/>
        <w:jc w:val="both"/>
        <w:rPr>
          <w:rFonts w:asciiTheme="minorHAnsi" w:hAnsiTheme="minorHAnsi"/>
          <w:color w:val="auto"/>
          <w:szCs w:val="24"/>
        </w:rPr>
      </w:pPr>
      <w:r w:rsidRPr="0012161B">
        <w:rPr>
          <w:rFonts w:asciiTheme="minorHAnsi" w:hAnsiTheme="minorHAnsi"/>
          <w:color w:val="auto"/>
          <w:szCs w:val="24"/>
        </w:rPr>
        <w:t xml:space="preserve">The Board also makes incidental note that the </w:t>
      </w:r>
      <w:r w:rsidR="00531FED" w:rsidRPr="0012161B">
        <w:rPr>
          <w:rFonts w:asciiTheme="minorHAnsi" w:hAnsiTheme="minorHAnsi"/>
          <w:color w:val="auto"/>
          <w:szCs w:val="24"/>
        </w:rPr>
        <w:t xml:space="preserve">PEB worksheet </w:t>
      </w:r>
      <w:r w:rsidRPr="0012161B">
        <w:rPr>
          <w:rFonts w:asciiTheme="minorHAnsi" w:hAnsiTheme="minorHAnsi"/>
          <w:color w:val="auto"/>
          <w:szCs w:val="24"/>
        </w:rPr>
        <w:t>and LIMDU records referenced</w:t>
      </w:r>
      <w:r w:rsidR="00531FED" w:rsidRPr="0012161B">
        <w:rPr>
          <w:rFonts w:asciiTheme="minorHAnsi" w:hAnsiTheme="minorHAnsi"/>
          <w:color w:val="auto"/>
          <w:szCs w:val="24"/>
        </w:rPr>
        <w:t>,</w:t>
      </w:r>
      <w:r w:rsidRPr="0012161B">
        <w:rPr>
          <w:rFonts w:asciiTheme="minorHAnsi" w:hAnsiTheme="minorHAnsi"/>
          <w:color w:val="auto"/>
          <w:szCs w:val="24"/>
        </w:rPr>
        <w:t xml:space="preserve"> but not in evidence could not be located after requests.  Further attempts would </w:t>
      </w:r>
      <w:r w:rsidR="009F3282" w:rsidRPr="0012161B">
        <w:rPr>
          <w:rFonts w:asciiTheme="minorHAnsi" w:hAnsiTheme="minorHAnsi"/>
          <w:color w:val="auto"/>
          <w:szCs w:val="24"/>
        </w:rPr>
        <w:t>l</w:t>
      </w:r>
      <w:r w:rsidRPr="0012161B">
        <w:rPr>
          <w:rFonts w:asciiTheme="minorHAnsi" w:hAnsiTheme="minorHAnsi"/>
          <w:color w:val="auto"/>
          <w:szCs w:val="24"/>
        </w:rPr>
        <w:t>ikely be futile and would introduce further undue delay in processing the case.  The missing evidence will be mentioned where it is relevant.  It is not suspected that any of the missing evidence would significantly alter the Board’s recommendations.</w:t>
      </w:r>
    </w:p>
    <w:p w:rsidR="00603BA3" w:rsidRPr="0012161B" w:rsidRDefault="00603BA3" w:rsidP="00603BA3">
      <w:pPr>
        <w:tabs>
          <w:tab w:val="left" w:pos="288"/>
          <w:tab w:val="left" w:pos="4752"/>
        </w:tabs>
        <w:spacing w:line="240" w:lineRule="exact"/>
        <w:jc w:val="both"/>
        <w:rPr>
          <w:rFonts w:asciiTheme="minorHAnsi" w:hAnsiTheme="minorHAnsi"/>
          <w:color w:val="auto"/>
          <w:szCs w:val="24"/>
          <w:u w:val="single"/>
        </w:rPr>
      </w:pPr>
    </w:p>
    <w:p w:rsidR="0028627A" w:rsidRDefault="0046357A" w:rsidP="001E2883">
      <w:pPr>
        <w:tabs>
          <w:tab w:val="left" w:pos="288"/>
          <w:tab w:val="left" w:pos="4752"/>
        </w:tabs>
        <w:spacing w:line="240" w:lineRule="exact"/>
        <w:jc w:val="both"/>
        <w:rPr>
          <w:rFonts w:asciiTheme="minorHAnsi" w:hAnsiTheme="minorHAnsi"/>
          <w:color w:val="auto"/>
          <w:szCs w:val="24"/>
        </w:rPr>
      </w:pPr>
      <w:proofErr w:type="gramStart"/>
      <w:r w:rsidRPr="0012161B">
        <w:rPr>
          <w:rFonts w:asciiTheme="minorHAnsi" w:hAnsiTheme="minorHAnsi"/>
          <w:color w:val="auto"/>
          <w:szCs w:val="24"/>
          <w:u w:val="single"/>
        </w:rPr>
        <w:t>Left Knee Patellofemoral Chondromalacia</w:t>
      </w:r>
      <w:r w:rsidR="00603BA3">
        <w:rPr>
          <w:rFonts w:asciiTheme="minorHAnsi" w:hAnsiTheme="minorHAnsi"/>
          <w:color w:val="auto"/>
          <w:szCs w:val="24"/>
          <w:u w:val="single"/>
        </w:rPr>
        <w:t>.</w:t>
      </w:r>
      <w:proofErr w:type="gramEnd"/>
      <w:r w:rsidRPr="0012161B">
        <w:rPr>
          <w:rFonts w:asciiTheme="minorHAnsi" w:hAnsiTheme="minorHAnsi"/>
          <w:color w:val="auto"/>
          <w:szCs w:val="24"/>
        </w:rPr>
        <w:t xml:space="preserve"> </w:t>
      </w:r>
      <w:r w:rsidR="00935C4D" w:rsidRPr="0012161B">
        <w:rPr>
          <w:rFonts w:asciiTheme="minorHAnsi" w:hAnsiTheme="minorHAnsi"/>
          <w:color w:val="auto"/>
          <w:szCs w:val="24"/>
        </w:rPr>
        <w:t xml:space="preserve"> </w:t>
      </w:r>
      <w:r w:rsidRPr="0012161B">
        <w:rPr>
          <w:rFonts w:asciiTheme="minorHAnsi" w:hAnsiTheme="minorHAnsi"/>
          <w:color w:val="auto"/>
          <w:szCs w:val="24"/>
        </w:rPr>
        <w:t>The</w:t>
      </w:r>
      <w:r w:rsidR="004F5F4E" w:rsidRPr="0012161B">
        <w:rPr>
          <w:rFonts w:asciiTheme="minorHAnsi" w:hAnsiTheme="minorHAnsi"/>
          <w:color w:val="auto"/>
          <w:szCs w:val="24"/>
        </w:rPr>
        <w:t xml:space="preserve"> </w:t>
      </w:r>
      <w:r w:rsidR="007227D4" w:rsidRPr="0012161B">
        <w:rPr>
          <w:rFonts w:asciiTheme="minorHAnsi" w:hAnsiTheme="minorHAnsi"/>
          <w:color w:val="auto"/>
          <w:szCs w:val="24"/>
        </w:rPr>
        <w:t>CI had</w:t>
      </w:r>
      <w:r w:rsidRPr="0012161B">
        <w:rPr>
          <w:rFonts w:asciiTheme="minorHAnsi" w:hAnsiTheme="minorHAnsi"/>
          <w:color w:val="auto"/>
          <w:szCs w:val="24"/>
        </w:rPr>
        <w:t xml:space="preserve"> three range-of-motion (ROM) evaluations in evidence which the Board weighed in arriving at its rating recommendation. </w:t>
      </w:r>
      <w:r w:rsidR="005D0DCD" w:rsidRPr="0012161B">
        <w:rPr>
          <w:rFonts w:asciiTheme="minorHAnsi" w:hAnsiTheme="minorHAnsi"/>
          <w:color w:val="auto"/>
          <w:szCs w:val="24"/>
        </w:rPr>
        <w:t xml:space="preserve"> </w:t>
      </w:r>
      <w:r w:rsidRPr="0012161B">
        <w:rPr>
          <w:rFonts w:asciiTheme="minorHAnsi" w:hAnsiTheme="minorHAnsi"/>
          <w:color w:val="auto"/>
          <w:szCs w:val="24"/>
        </w:rPr>
        <w:t xml:space="preserve">All exams are summarized in the </w:t>
      </w:r>
      <w:r w:rsidR="00603BA3">
        <w:rPr>
          <w:rFonts w:asciiTheme="minorHAnsi" w:hAnsiTheme="minorHAnsi"/>
          <w:color w:val="auto"/>
          <w:szCs w:val="24"/>
        </w:rPr>
        <w:t xml:space="preserve">following </w:t>
      </w:r>
      <w:r w:rsidRPr="0012161B">
        <w:rPr>
          <w:rFonts w:asciiTheme="minorHAnsi" w:hAnsiTheme="minorHAnsi"/>
          <w:color w:val="auto"/>
          <w:szCs w:val="24"/>
        </w:rPr>
        <w:t>chart</w:t>
      </w:r>
      <w:r w:rsidR="00603BA3">
        <w:rPr>
          <w:rFonts w:asciiTheme="minorHAnsi" w:hAnsiTheme="minorHAnsi"/>
          <w:color w:val="auto"/>
          <w:szCs w:val="24"/>
        </w:rPr>
        <w:t>.</w:t>
      </w:r>
    </w:p>
    <w:p w:rsidR="00603BA3" w:rsidRDefault="00603BA3" w:rsidP="001E2883">
      <w:pPr>
        <w:tabs>
          <w:tab w:val="left" w:pos="288"/>
          <w:tab w:val="left" w:pos="4752"/>
        </w:tabs>
        <w:spacing w:line="240" w:lineRule="exact"/>
        <w:jc w:val="both"/>
        <w:rPr>
          <w:rFonts w:asciiTheme="minorHAnsi" w:hAnsiTheme="minorHAnsi"/>
          <w:color w:val="auto"/>
          <w:szCs w:val="24"/>
        </w:rPr>
      </w:pPr>
    </w:p>
    <w:p w:rsidR="00603BA3" w:rsidRDefault="00603BA3" w:rsidP="001E2883">
      <w:pPr>
        <w:tabs>
          <w:tab w:val="left" w:pos="288"/>
          <w:tab w:val="left" w:pos="4752"/>
        </w:tabs>
        <w:spacing w:line="240" w:lineRule="exact"/>
        <w:jc w:val="both"/>
        <w:rPr>
          <w:rFonts w:asciiTheme="minorHAnsi" w:hAnsiTheme="minorHAnsi"/>
          <w:color w:val="auto"/>
          <w:szCs w:val="24"/>
        </w:rPr>
      </w:pPr>
    </w:p>
    <w:p w:rsidR="00603BA3" w:rsidRDefault="00603BA3" w:rsidP="001E2883">
      <w:pPr>
        <w:tabs>
          <w:tab w:val="left" w:pos="288"/>
          <w:tab w:val="left" w:pos="4752"/>
        </w:tabs>
        <w:spacing w:line="240" w:lineRule="exact"/>
        <w:jc w:val="both"/>
        <w:rPr>
          <w:rFonts w:asciiTheme="minorHAnsi" w:hAnsiTheme="minorHAnsi"/>
          <w:color w:val="auto"/>
          <w:szCs w:val="24"/>
        </w:rPr>
      </w:pPr>
    </w:p>
    <w:p w:rsidR="00603BA3" w:rsidRDefault="00603BA3" w:rsidP="001E2883">
      <w:pPr>
        <w:tabs>
          <w:tab w:val="left" w:pos="288"/>
          <w:tab w:val="left" w:pos="4752"/>
        </w:tabs>
        <w:spacing w:line="240" w:lineRule="exact"/>
        <w:jc w:val="both"/>
        <w:rPr>
          <w:rFonts w:asciiTheme="minorHAnsi" w:hAnsiTheme="minorHAnsi"/>
          <w:color w:val="auto"/>
          <w:szCs w:val="24"/>
        </w:rPr>
      </w:pPr>
    </w:p>
    <w:p w:rsidR="00603BA3" w:rsidRDefault="00603BA3" w:rsidP="001E2883">
      <w:pPr>
        <w:tabs>
          <w:tab w:val="left" w:pos="288"/>
          <w:tab w:val="left" w:pos="4752"/>
        </w:tabs>
        <w:spacing w:line="240" w:lineRule="exact"/>
        <w:jc w:val="both"/>
        <w:rPr>
          <w:rFonts w:asciiTheme="minorHAnsi" w:hAnsiTheme="minorHAnsi"/>
          <w:color w:val="auto"/>
          <w:szCs w:val="24"/>
        </w:rPr>
      </w:pPr>
    </w:p>
    <w:p w:rsidR="00603BA3" w:rsidRDefault="00603BA3" w:rsidP="001E2883">
      <w:pPr>
        <w:tabs>
          <w:tab w:val="left" w:pos="288"/>
          <w:tab w:val="left" w:pos="4752"/>
        </w:tabs>
        <w:spacing w:line="240" w:lineRule="exact"/>
        <w:jc w:val="both"/>
        <w:rPr>
          <w:rFonts w:asciiTheme="minorHAnsi" w:hAnsiTheme="minorHAnsi"/>
          <w:color w:val="auto"/>
          <w:szCs w:val="24"/>
        </w:rPr>
      </w:pPr>
    </w:p>
    <w:p w:rsidR="00603BA3" w:rsidRDefault="00603BA3" w:rsidP="001E2883">
      <w:pPr>
        <w:tabs>
          <w:tab w:val="left" w:pos="288"/>
          <w:tab w:val="left" w:pos="4752"/>
        </w:tabs>
        <w:spacing w:line="240" w:lineRule="exact"/>
        <w:jc w:val="both"/>
        <w:rPr>
          <w:rFonts w:asciiTheme="minorHAnsi" w:hAnsiTheme="minorHAnsi"/>
          <w:color w:val="auto"/>
          <w:szCs w:val="24"/>
        </w:rPr>
      </w:pPr>
    </w:p>
    <w:p w:rsidR="00603BA3" w:rsidRDefault="00603BA3" w:rsidP="001E2883">
      <w:pPr>
        <w:tabs>
          <w:tab w:val="left" w:pos="288"/>
          <w:tab w:val="left" w:pos="4752"/>
        </w:tabs>
        <w:spacing w:line="240" w:lineRule="exact"/>
        <w:jc w:val="both"/>
        <w:rPr>
          <w:rFonts w:asciiTheme="minorHAnsi" w:hAnsiTheme="minorHAnsi"/>
          <w:color w:val="auto"/>
          <w:szCs w:val="24"/>
        </w:rPr>
      </w:pPr>
    </w:p>
    <w:p w:rsidR="00603BA3" w:rsidRDefault="00603BA3" w:rsidP="001E2883">
      <w:pPr>
        <w:tabs>
          <w:tab w:val="left" w:pos="288"/>
          <w:tab w:val="left" w:pos="4752"/>
        </w:tabs>
        <w:spacing w:line="240" w:lineRule="exact"/>
        <w:jc w:val="both"/>
        <w:rPr>
          <w:rFonts w:asciiTheme="minorHAnsi" w:hAnsiTheme="minorHAnsi"/>
          <w:color w:val="auto"/>
          <w:szCs w:val="24"/>
        </w:rPr>
      </w:pPr>
    </w:p>
    <w:p w:rsidR="00603BA3" w:rsidRDefault="00603BA3" w:rsidP="001E2883">
      <w:pPr>
        <w:tabs>
          <w:tab w:val="left" w:pos="288"/>
          <w:tab w:val="left" w:pos="4752"/>
        </w:tabs>
        <w:spacing w:line="240" w:lineRule="exact"/>
        <w:jc w:val="both"/>
        <w:rPr>
          <w:rFonts w:asciiTheme="minorHAnsi" w:hAnsiTheme="minorHAnsi"/>
          <w:color w:val="auto"/>
          <w:szCs w:val="24"/>
        </w:rPr>
      </w:pPr>
    </w:p>
    <w:p w:rsidR="00603BA3" w:rsidRDefault="00603BA3" w:rsidP="001E2883">
      <w:pPr>
        <w:tabs>
          <w:tab w:val="left" w:pos="288"/>
          <w:tab w:val="left" w:pos="4752"/>
        </w:tabs>
        <w:spacing w:line="240" w:lineRule="exact"/>
        <w:jc w:val="both"/>
        <w:rPr>
          <w:rFonts w:asciiTheme="minorHAnsi" w:hAnsiTheme="minorHAnsi"/>
          <w:color w:val="auto"/>
          <w:szCs w:val="24"/>
        </w:rPr>
      </w:pPr>
    </w:p>
    <w:p w:rsidR="00603BA3" w:rsidRDefault="00603BA3" w:rsidP="001E2883">
      <w:pPr>
        <w:tabs>
          <w:tab w:val="left" w:pos="288"/>
          <w:tab w:val="left" w:pos="4752"/>
        </w:tabs>
        <w:spacing w:line="240" w:lineRule="exact"/>
        <w:jc w:val="both"/>
        <w:rPr>
          <w:rFonts w:asciiTheme="minorHAnsi" w:hAnsiTheme="minorHAnsi"/>
          <w:color w:val="auto"/>
          <w:szCs w:val="24"/>
        </w:rPr>
      </w:pPr>
    </w:p>
    <w:tbl>
      <w:tblPr>
        <w:tblW w:w="9619" w:type="dxa"/>
        <w:jc w:val="center"/>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0"/>
        <w:gridCol w:w="2070"/>
        <w:gridCol w:w="1874"/>
        <w:gridCol w:w="2266"/>
        <w:gridCol w:w="1839"/>
      </w:tblGrid>
      <w:tr w:rsidR="00D349F4" w:rsidRPr="00D349F4" w:rsidTr="00D349F4">
        <w:trPr>
          <w:jc w:val="center"/>
        </w:trPr>
        <w:tc>
          <w:tcPr>
            <w:tcW w:w="1570" w:type="dxa"/>
            <w:shd w:val="clear" w:color="auto" w:fill="D9D9D9" w:themeFill="background1" w:themeFillShade="D9"/>
          </w:tcPr>
          <w:p w:rsidR="00D349F4" w:rsidRPr="00D349F4" w:rsidRDefault="00D349F4" w:rsidP="00531FED">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Left Knee</w:t>
            </w:r>
          </w:p>
        </w:tc>
        <w:tc>
          <w:tcPr>
            <w:tcW w:w="8049" w:type="dxa"/>
            <w:gridSpan w:val="4"/>
            <w:shd w:val="clear" w:color="auto" w:fill="D9D9D9" w:themeFill="background1" w:themeFillShade="D9"/>
          </w:tcPr>
          <w:p w:rsidR="00D349F4" w:rsidRPr="00D349F4" w:rsidRDefault="00D349F4" w:rsidP="0069471D">
            <w:pPr>
              <w:tabs>
                <w:tab w:val="left" w:pos="288"/>
                <w:tab w:val="center" w:pos="3703"/>
                <w:tab w:val="left" w:pos="4752"/>
              </w:tabs>
              <w:spacing w:line="240" w:lineRule="exact"/>
              <w:ind w:right="-1260"/>
              <w:jc w:val="both"/>
              <w:rPr>
                <w:rFonts w:ascii="Calibri" w:eastAsia="Calibri" w:hAnsi="Calibri"/>
                <w:color w:val="auto"/>
                <w:sz w:val="20"/>
              </w:rPr>
            </w:pPr>
            <w:r w:rsidRPr="00D349F4">
              <w:rPr>
                <w:rFonts w:ascii="Calibri" w:eastAsia="Calibri" w:hAnsi="Calibri"/>
                <w:color w:val="auto"/>
                <w:sz w:val="20"/>
              </w:rPr>
              <w:t>Surgery:  20060111</w:t>
            </w:r>
            <w:r w:rsidRPr="00D349F4">
              <w:rPr>
                <w:rFonts w:ascii="Calibri" w:eastAsia="Calibri" w:hAnsi="Calibri"/>
                <w:color w:val="auto"/>
                <w:sz w:val="20"/>
              </w:rPr>
              <w:tab/>
            </w:r>
            <w:r>
              <w:rPr>
                <w:rFonts w:ascii="Calibri" w:eastAsia="Calibri" w:hAnsi="Calibri"/>
                <w:color w:val="auto"/>
                <w:sz w:val="20"/>
              </w:rPr>
              <w:t xml:space="preserve">                                               </w:t>
            </w:r>
            <w:r w:rsidRPr="00D349F4">
              <w:rPr>
                <w:rFonts w:ascii="Calibri" w:eastAsia="Calibri" w:hAnsi="Calibri"/>
                <w:color w:val="auto"/>
                <w:sz w:val="20"/>
              </w:rPr>
              <w:t>Separation Date:</w:t>
            </w:r>
            <w:r w:rsidRPr="00D349F4">
              <w:rPr>
                <w:rFonts w:asciiTheme="minorHAnsi" w:hAnsiTheme="minorHAnsi"/>
                <w:caps/>
                <w:color w:val="auto"/>
                <w:sz w:val="20"/>
              </w:rPr>
              <w:t xml:space="preserve">  20060815</w:t>
            </w:r>
          </w:p>
        </w:tc>
      </w:tr>
      <w:tr w:rsidR="0069471D" w:rsidRPr="00D349F4" w:rsidTr="00D349F4">
        <w:trPr>
          <w:jc w:val="center"/>
        </w:trPr>
        <w:tc>
          <w:tcPr>
            <w:tcW w:w="1570" w:type="dxa"/>
            <w:shd w:val="clear" w:color="auto" w:fill="D9D9D9" w:themeFill="background1" w:themeFillShade="D9"/>
          </w:tcPr>
          <w:p w:rsidR="0069471D" w:rsidRPr="00D349F4" w:rsidRDefault="0069471D" w:rsidP="00BC623C">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Goniometric ROM</w:t>
            </w:r>
          </w:p>
        </w:tc>
        <w:tc>
          <w:tcPr>
            <w:tcW w:w="2070" w:type="dxa"/>
            <w:shd w:val="clear" w:color="auto" w:fill="D9D9D9" w:themeFill="background1" w:themeFillShade="D9"/>
          </w:tcPr>
          <w:p w:rsidR="0069471D" w:rsidRPr="00D349F4" w:rsidRDefault="0069471D" w:rsidP="0046357A">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 xml:space="preserve">PT </w:t>
            </w:r>
            <w:r w:rsidRPr="00D349F4">
              <w:rPr>
                <w:rFonts w:ascii="Calibri" w:eastAsiaTheme="minorHAnsi" w:hAnsi="Calibri" w:cstheme="minorBidi"/>
                <w:color w:val="auto"/>
                <w:sz w:val="20"/>
              </w:rPr>
              <w:t xml:space="preserve">  ̃4 mos pre sep</w:t>
            </w:r>
            <w:r w:rsidRPr="00D349F4">
              <w:rPr>
                <w:rFonts w:ascii="Calibri" w:eastAsia="Calibri" w:hAnsi="Calibri"/>
                <w:color w:val="auto"/>
                <w:sz w:val="20"/>
              </w:rPr>
              <w:t xml:space="preserve"> (20060404)</w:t>
            </w:r>
          </w:p>
        </w:tc>
        <w:tc>
          <w:tcPr>
            <w:tcW w:w="1874" w:type="dxa"/>
            <w:shd w:val="clear" w:color="auto" w:fill="D9D9D9" w:themeFill="background1" w:themeFillShade="D9"/>
          </w:tcPr>
          <w:p w:rsidR="0069471D" w:rsidRPr="00D349F4" w:rsidRDefault="0069471D" w:rsidP="0046357A">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 xml:space="preserve">MEB </w:t>
            </w:r>
            <w:r w:rsidRPr="00D349F4">
              <w:rPr>
                <w:rFonts w:ascii="Calibri" w:eastAsiaTheme="minorHAnsi" w:hAnsi="Calibri" w:cstheme="minorBidi"/>
                <w:color w:val="auto"/>
                <w:sz w:val="20"/>
              </w:rPr>
              <w:t xml:space="preserve">  ̃4 mos pre sep</w:t>
            </w:r>
          </w:p>
          <w:p w:rsidR="0069471D" w:rsidRPr="00D349F4" w:rsidRDefault="0069471D" w:rsidP="0046357A">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(20060412)</w:t>
            </w:r>
          </w:p>
        </w:tc>
        <w:tc>
          <w:tcPr>
            <w:tcW w:w="2266" w:type="dxa"/>
            <w:shd w:val="clear" w:color="auto" w:fill="D9D9D9" w:themeFill="background1" w:themeFillShade="D9"/>
          </w:tcPr>
          <w:p w:rsidR="0069471D" w:rsidRPr="00D349F4" w:rsidRDefault="0069471D" w:rsidP="0069471D">
            <w:pPr>
              <w:spacing w:line="240" w:lineRule="exact"/>
              <w:contextualSpacing/>
              <w:jc w:val="center"/>
              <w:rPr>
                <w:rFonts w:ascii="Calibri" w:eastAsiaTheme="minorHAnsi" w:hAnsi="Calibri" w:cstheme="minorBidi"/>
                <w:color w:val="auto"/>
                <w:sz w:val="20"/>
              </w:rPr>
            </w:pPr>
            <w:r w:rsidRPr="00D349F4">
              <w:rPr>
                <w:rFonts w:ascii="Calibri" w:eastAsia="Calibri" w:hAnsi="Calibri"/>
                <w:color w:val="auto"/>
                <w:sz w:val="20"/>
              </w:rPr>
              <w:t>VA</w:t>
            </w:r>
            <w:r w:rsidRPr="00D349F4">
              <w:rPr>
                <w:rFonts w:ascii="Calibri" w:eastAsiaTheme="minorHAnsi" w:hAnsi="Calibri" w:cstheme="minorBidi"/>
                <w:color w:val="auto"/>
                <w:sz w:val="20"/>
              </w:rPr>
              <w:t xml:space="preserve"> C&amp;P   ̃3 mos post sep</w:t>
            </w:r>
          </w:p>
          <w:p w:rsidR="0069471D" w:rsidRPr="00D349F4" w:rsidRDefault="0069471D" w:rsidP="0069471D">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(20061101)</w:t>
            </w:r>
          </w:p>
        </w:tc>
        <w:tc>
          <w:tcPr>
            <w:tcW w:w="1839" w:type="dxa"/>
            <w:shd w:val="clear" w:color="auto" w:fill="D9D9D9" w:themeFill="background1" w:themeFillShade="D9"/>
          </w:tcPr>
          <w:p w:rsidR="0069471D" w:rsidRPr="00D349F4" w:rsidRDefault="0069471D" w:rsidP="007543F9">
            <w:pPr>
              <w:spacing w:line="240" w:lineRule="exact"/>
              <w:contextualSpacing/>
              <w:jc w:val="center"/>
              <w:rPr>
                <w:rFonts w:ascii="Calibri" w:eastAsiaTheme="minorHAnsi" w:hAnsi="Calibri" w:cstheme="minorBidi"/>
                <w:color w:val="auto"/>
                <w:sz w:val="20"/>
              </w:rPr>
            </w:pPr>
            <w:r w:rsidRPr="00D349F4">
              <w:rPr>
                <w:rFonts w:ascii="Calibri" w:eastAsia="Calibri" w:hAnsi="Calibri"/>
                <w:color w:val="auto"/>
                <w:sz w:val="20"/>
              </w:rPr>
              <w:t>VA</w:t>
            </w:r>
            <w:r w:rsidRPr="00D349F4">
              <w:rPr>
                <w:rFonts w:ascii="Calibri" w:eastAsiaTheme="minorHAnsi" w:hAnsi="Calibri" w:cstheme="minorBidi"/>
                <w:color w:val="auto"/>
                <w:sz w:val="20"/>
              </w:rPr>
              <w:t xml:space="preserve"> C&amp;P   ̃20 mos post sep</w:t>
            </w:r>
          </w:p>
          <w:p w:rsidR="0069471D" w:rsidRPr="00D349F4" w:rsidRDefault="0069471D" w:rsidP="007543F9">
            <w:pPr>
              <w:spacing w:line="240" w:lineRule="exact"/>
              <w:contextualSpacing/>
              <w:jc w:val="center"/>
              <w:rPr>
                <w:rFonts w:ascii="Calibri" w:eastAsiaTheme="minorHAnsi" w:hAnsi="Calibri" w:cstheme="minorBidi"/>
                <w:color w:val="auto"/>
                <w:sz w:val="20"/>
              </w:rPr>
            </w:pPr>
            <w:r w:rsidRPr="00D349F4">
              <w:rPr>
                <w:rFonts w:ascii="Calibri" w:eastAsia="Calibri" w:hAnsi="Calibri"/>
                <w:color w:val="auto"/>
                <w:sz w:val="20"/>
              </w:rPr>
              <w:t>(20080422)</w:t>
            </w:r>
          </w:p>
        </w:tc>
      </w:tr>
      <w:tr w:rsidR="0069471D" w:rsidRPr="00D349F4" w:rsidTr="00D349F4">
        <w:trPr>
          <w:jc w:val="center"/>
        </w:trPr>
        <w:tc>
          <w:tcPr>
            <w:tcW w:w="1570" w:type="dxa"/>
          </w:tcPr>
          <w:p w:rsidR="0069471D" w:rsidRPr="00D349F4" w:rsidRDefault="0069471D" w:rsidP="00603BA3">
            <w:pPr>
              <w:spacing w:line="240" w:lineRule="exact"/>
              <w:contextualSpacing/>
              <w:rPr>
                <w:rFonts w:ascii="Calibri" w:eastAsia="Calibri" w:hAnsi="Calibri"/>
                <w:color w:val="auto"/>
                <w:sz w:val="20"/>
              </w:rPr>
            </w:pPr>
            <w:r w:rsidRPr="00D349F4">
              <w:rPr>
                <w:rFonts w:ascii="Calibri" w:eastAsia="Calibri" w:hAnsi="Calibri"/>
                <w:color w:val="auto"/>
                <w:sz w:val="20"/>
              </w:rPr>
              <w:t xml:space="preserve">Flexion </w:t>
            </w:r>
            <w:r w:rsidR="00D349F4">
              <w:rPr>
                <w:rFonts w:ascii="Calibri" w:eastAsia="Calibri" w:hAnsi="Calibri"/>
                <w:color w:val="auto"/>
                <w:sz w:val="20"/>
              </w:rPr>
              <w:t>(</w:t>
            </w:r>
            <w:r w:rsidRPr="00D349F4">
              <w:rPr>
                <w:rFonts w:ascii="Calibri" w:eastAsia="Calibri" w:hAnsi="Calibri"/>
                <w:color w:val="auto"/>
                <w:sz w:val="20"/>
              </w:rPr>
              <w:t>0-140⁰</w:t>
            </w:r>
            <w:r w:rsidR="00D349F4">
              <w:rPr>
                <w:rFonts w:ascii="Calibri" w:eastAsia="Calibri" w:hAnsi="Calibri"/>
                <w:color w:val="auto"/>
                <w:sz w:val="20"/>
              </w:rPr>
              <w:t>)</w:t>
            </w:r>
          </w:p>
        </w:tc>
        <w:tc>
          <w:tcPr>
            <w:tcW w:w="2070" w:type="dxa"/>
          </w:tcPr>
          <w:p w:rsidR="0069471D" w:rsidRPr="00D349F4" w:rsidRDefault="0069471D" w:rsidP="002159DB">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0⁰-108⁰</w:t>
            </w:r>
          </w:p>
        </w:tc>
        <w:tc>
          <w:tcPr>
            <w:tcW w:w="1874" w:type="dxa"/>
          </w:tcPr>
          <w:p w:rsidR="0069471D" w:rsidRPr="00D349F4" w:rsidRDefault="0069471D" w:rsidP="00BC623C">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No Goniometrics done</w:t>
            </w:r>
          </w:p>
        </w:tc>
        <w:tc>
          <w:tcPr>
            <w:tcW w:w="2266" w:type="dxa"/>
          </w:tcPr>
          <w:p w:rsidR="0069471D" w:rsidRPr="00D349F4" w:rsidRDefault="0069471D" w:rsidP="007543F9">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140⁰</w:t>
            </w:r>
          </w:p>
        </w:tc>
        <w:tc>
          <w:tcPr>
            <w:tcW w:w="1839" w:type="dxa"/>
          </w:tcPr>
          <w:p w:rsidR="0069471D" w:rsidRPr="00D349F4" w:rsidRDefault="0069471D" w:rsidP="007543F9">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0⁰-45⁰ with pain at 40⁰</w:t>
            </w:r>
          </w:p>
        </w:tc>
      </w:tr>
      <w:tr w:rsidR="0069471D" w:rsidRPr="00D349F4" w:rsidTr="00D349F4">
        <w:trPr>
          <w:jc w:val="center"/>
        </w:trPr>
        <w:tc>
          <w:tcPr>
            <w:tcW w:w="1570" w:type="dxa"/>
          </w:tcPr>
          <w:p w:rsidR="0069471D" w:rsidRPr="00D349F4" w:rsidRDefault="0069471D" w:rsidP="00603BA3">
            <w:pPr>
              <w:spacing w:line="240" w:lineRule="exact"/>
              <w:contextualSpacing/>
              <w:rPr>
                <w:rFonts w:ascii="Calibri" w:eastAsia="Calibri" w:hAnsi="Calibri"/>
                <w:color w:val="auto"/>
                <w:sz w:val="20"/>
              </w:rPr>
            </w:pPr>
            <w:r w:rsidRPr="00D349F4">
              <w:rPr>
                <w:rFonts w:ascii="Calibri" w:eastAsia="Calibri" w:hAnsi="Calibri"/>
                <w:color w:val="auto"/>
                <w:sz w:val="20"/>
              </w:rPr>
              <w:t xml:space="preserve">Extension </w:t>
            </w:r>
            <w:r w:rsidR="00D349F4">
              <w:rPr>
                <w:rFonts w:ascii="Calibri" w:eastAsia="Calibri" w:hAnsi="Calibri"/>
                <w:color w:val="auto"/>
                <w:sz w:val="20"/>
              </w:rPr>
              <w:t>(</w:t>
            </w:r>
            <w:r w:rsidRPr="00D349F4">
              <w:rPr>
                <w:rFonts w:ascii="Calibri" w:eastAsia="Calibri" w:hAnsi="Calibri"/>
                <w:color w:val="auto"/>
                <w:sz w:val="20"/>
              </w:rPr>
              <w:t>0⁰</w:t>
            </w:r>
            <w:r w:rsidR="00D349F4">
              <w:rPr>
                <w:rFonts w:ascii="Calibri" w:eastAsia="Calibri" w:hAnsi="Calibri"/>
                <w:color w:val="auto"/>
                <w:sz w:val="20"/>
              </w:rPr>
              <w:t>)</w:t>
            </w:r>
            <w:r w:rsidRPr="00D349F4">
              <w:rPr>
                <w:rFonts w:ascii="Calibri" w:eastAsia="Calibri" w:hAnsi="Calibri"/>
                <w:color w:val="auto"/>
                <w:sz w:val="20"/>
              </w:rPr>
              <w:t xml:space="preserve"> </w:t>
            </w:r>
          </w:p>
        </w:tc>
        <w:tc>
          <w:tcPr>
            <w:tcW w:w="2070" w:type="dxa"/>
          </w:tcPr>
          <w:p w:rsidR="0069471D" w:rsidRPr="00D349F4" w:rsidRDefault="0069471D" w:rsidP="00BC623C">
            <w:pPr>
              <w:spacing w:line="240" w:lineRule="exact"/>
              <w:contextualSpacing/>
              <w:jc w:val="center"/>
              <w:rPr>
                <w:rFonts w:ascii="Calibri" w:eastAsia="Calibri" w:hAnsi="Calibri"/>
                <w:color w:val="auto"/>
                <w:sz w:val="20"/>
              </w:rPr>
            </w:pPr>
            <w:r w:rsidRPr="00D349F4">
              <w:rPr>
                <w:rFonts w:ascii="Calibri" w:eastAsia="Calibri" w:hAnsi="Calibri"/>
                <w:b/>
                <w:color w:val="auto"/>
                <w:sz w:val="20"/>
              </w:rPr>
              <w:t>-</w:t>
            </w:r>
            <w:r w:rsidRPr="00D349F4">
              <w:rPr>
                <w:rFonts w:ascii="Calibri" w:eastAsia="Calibri" w:hAnsi="Calibri"/>
                <w:color w:val="auto"/>
                <w:sz w:val="20"/>
              </w:rPr>
              <w:t>2⁰</w:t>
            </w:r>
          </w:p>
        </w:tc>
        <w:tc>
          <w:tcPr>
            <w:tcW w:w="1874" w:type="dxa"/>
          </w:tcPr>
          <w:p w:rsidR="0069471D" w:rsidRPr="00D349F4" w:rsidRDefault="0069471D" w:rsidP="00BC623C">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w:t>
            </w:r>
          </w:p>
        </w:tc>
        <w:tc>
          <w:tcPr>
            <w:tcW w:w="2266" w:type="dxa"/>
          </w:tcPr>
          <w:p w:rsidR="0069471D" w:rsidRPr="00D349F4" w:rsidRDefault="0069471D" w:rsidP="00BC623C">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0⁰</w:t>
            </w:r>
          </w:p>
        </w:tc>
        <w:tc>
          <w:tcPr>
            <w:tcW w:w="1839" w:type="dxa"/>
          </w:tcPr>
          <w:p w:rsidR="0069471D" w:rsidRPr="00D349F4" w:rsidRDefault="0069471D" w:rsidP="00BC623C">
            <w:pPr>
              <w:spacing w:line="240" w:lineRule="exact"/>
              <w:contextualSpacing/>
              <w:jc w:val="center"/>
              <w:rPr>
                <w:rFonts w:ascii="Calibri" w:eastAsia="Calibri" w:hAnsi="Calibri"/>
                <w:color w:val="auto"/>
                <w:sz w:val="20"/>
              </w:rPr>
            </w:pPr>
            <w:r w:rsidRPr="00D349F4">
              <w:rPr>
                <w:rFonts w:ascii="Calibri" w:eastAsia="Calibri" w:hAnsi="Calibri"/>
                <w:color w:val="auto"/>
                <w:sz w:val="20"/>
              </w:rPr>
              <w:t>0⁰</w:t>
            </w:r>
          </w:p>
        </w:tc>
      </w:tr>
      <w:tr w:rsidR="0069471D" w:rsidRPr="00D349F4" w:rsidTr="00D349F4">
        <w:trPr>
          <w:jc w:val="center"/>
        </w:trPr>
        <w:tc>
          <w:tcPr>
            <w:tcW w:w="1570" w:type="dxa"/>
          </w:tcPr>
          <w:p w:rsidR="0069471D" w:rsidRPr="00D349F4" w:rsidRDefault="0069471D" w:rsidP="00603BA3">
            <w:pPr>
              <w:tabs>
                <w:tab w:val="left" w:pos="288"/>
                <w:tab w:val="left" w:pos="4752"/>
              </w:tabs>
              <w:spacing w:line="240" w:lineRule="exact"/>
              <w:rPr>
                <w:rFonts w:asciiTheme="minorHAnsi" w:eastAsiaTheme="minorHAnsi" w:hAnsiTheme="minorHAnsi"/>
                <w:color w:val="auto"/>
                <w:sz w:val="20"/>
              </w:rPr>
            </w:pPr>
            <w:r w:rsidRPr="00D349F4">
              <w:rPr>
                <w:rFonts w:asciiTheme="minorHAnsi" w:eastAsiaTheme="minorHAnsi" w:hAnsiTheme="minorHAnsi"/>
                <w:color w:val="auto"/>
                <w:sz w:val="20"/>
              </w:rPr>
              <w:t>Comments</w:t>
            </w:r>
          </w:p>
        </w:tc>
        <w:tc>
          <w:tcPr>
            <w:tcW w:w="2070" w:type="dxa"/>
          </w:tcPr>
          <w:p w:rsidR="0069471D" w:rsidRPr="00D349F4" w:rsidRDefault="0069471D" w:rsidP="00531FED">
            <w:pPr>
              <w:tabs>
                <w:tab w:val="left" w:pos="288"/>
                <w:tab w:val="left" w:pos="4752"/>
              </w:tabs>
              <w:spacing w:line="240" w:lineRule="exact"/>
              <w:rPr>
                <w:rFonts w:asciiTheme="minorHAnsi" w:eastAsiaTheme="minorHAnsi" w:hAnsiTheme="minorHAnsi"/>
                <w:color w:val="auto"/>
                <w:sz w:val="20"/>
              </w:rPr>
            </w:pPr>
            <w:r w:rsidRPr="00D349F4">
              <w:rPr>
                <w:rFonts w:asciiTheme="minorHAnsi" w:eastAsiaTheme="minorHAnsi" w:hAnsiTheme="minorHAnsi"/>
                <w:color w:val="auto"/>
                <w:sz w:val="20"/>
              </w:rPr>
              <w:t>5/10 pain on flexion and anterior pulling, slight patellar tendon tenderness; decreased ROM; uses crutch/cane</w:t>
            </w:r>
          </w:p>
        </w:tc>
        <w:tc>
          <w:tcPr>
            <w:tcW w:w="1874" w:type="dxa"/>
          </w:tcPr>
          <w:p w:rsidR="0069471D" w:rsidRPr="00D349F4" w:rsidRDefault="0069471D" w:rsidP="00531FED">
            <w:pPr>
              <w:tabs>
                <w:tab w:val="left" w:pos="288"/>
                <w:tab w:val="left" w:pos="4752"/>
              </w:tabs>
              <w:spacing w:line="240" w:lineRule="exact"/>
              <w:rPr>
                <w:rFonts w:asciiTheme="minorHAnsi" w:eastAsiaTheme="minorHAnsi" w:hAnsiTheme="minorHAnsi"/>
                <w:color w:val="auto"/>
                <w:sz w:val="20"/>
              </w:rPr>
            </w:pPr>
            <w:r w:rsidRPr="00D349F4">
              <w:rPr>
                <w:rFonts w:asciiTheme="minorHAnsi" w:eastAsiaTheme="minorHAnsi" w:hAnsiTheme="minorHAnsi"/>
                <w:color w:val="auto"/>
                <w:sz w:val="20"/>
              </w:rPr>
              <w:t>Full ROM but pain and patella sx; Crepitus, pain, compression</w:t>
            </w:r>
          </w:p>
        </w:tc>
        <w:tc>
          <w:tcPr>
            <w:tcW w:w="2266" w:type="dxa"/>
          </w:tcPr>
          <w:p w:rsidR="0069471D" w:rsidRPr="00D349F4" w:rsidRDefault="0069471D" w:rsidP="0069471D">
            <w:pPr>
              <w:tabs>
                <w:tab w:val="left" w:pos="288"/>
                <w:tab w:val="left" w:pos="4752"/>
              </w:tabs>
              <w:spacing w:line="240" w:lineRule="exact"/>
              <w:rPr>
                <w:rFonts w:asciiTheme="minorHAnsi" w:eastAsiaTheme="minorHAnsi" w:hAnsiTheme="minorHAnsi"/>
                <w:color w:val="auto"/>
                <w:sz w:val="20"/>
              </w:rPr>
            </w:pPr>
            <w:r w:rsidRPr="00D349F4">
              <w:rPr>
                <w:rFonts w:asciiTheme="minorHAnsi" w:eastAsiaTheme="minorHAnsi" w:hAnsiTheme="minorHAnsi"/>
                <w:color w:val="auto"/>
                <w:sz w:val="20"/>
              </w:rPr>
              <w:t>No abnormal movement Negative laxity, negative DeLuca.</w:t>
            </w:r>
          </w:p>
        </w:tc>
        <w:tc>
          <w:tcPr>
            <w:tcW w:w="1839" w:type="dxa"/>
          </w:tcPr>
          <w:p w:rsidR="0069471D" w:rsidRPr="00D349F4" w:rsidRDefault="0069471D" w:rsidP="0069471D">
            <w:pPr>
              <w:tabs>
                <w:tab w:val="left" w:pos="288"/>
                <w:tab w:val="left" w:pos="4752"/>
              </w:tabs>
              <w:spacing w:line="240" w:lineRule="exact"/>
              <w:rPr>
                <w:rFonts w:asciiTheme="minorHAnsi" w:eastAsiaTheme="minorHAnsi" w:hAnsiTheme="minorHAnsi"/>
                <w:color w:val="auto"/>
                <w:sz w:val="20"/>
              </w:rPr>
            </w:pPr>
            <w:r w:rsidRPr="00D349F4">
              <w:rPr>
                <w:rFonts w:asciiTheme="minorHAnsi" w:eastAsiaTheme="minorHAnsi" w:hAnsiTheme="minorHAnsi"/>
                <w:color w:val="auto"/>
                <w:sz w:val="20"/>
              </w:rPr>
              <w:t>Joint function limited by pain on repetitive use; c/o locking</w:t>
            </w:r>
            <w:r w:rsidR="00D349F4">
              <w:rPr>
                <w:rFonts w:asciiTheme="minorHAnsi" w:eastAsiaTheme="minorHAnsi" w:hAnsiTheme="minorHAnsi"/>
                <w:color w:val="auto"/>
                <w:sz w:val="20"/>
              </w:rPr>
              <w:t>,</w:t>
            </w:r>
            <w:r w:rsidRPr="00D349F4">
              <w:rPr>
                <w:rFonts w:asciiTheme="minorHAnsi" w:eastAsiaTheme="minorHAnsi" w:hAnsiTheme="minorHAnsi"/>
                <w:color w:val="auto"/>
                <w:sz w:val="20"/>
              </w:rPr>
              <w:t xml:space="preserve"> pain; Abnormal gait-limping; Stability wnl; no laxity</w:t>
            </w:r>
          </w:p>
        </w:tc>
      </w:tr>
      <w:tr w:rsidR="0069471D" w:rsidRPr="00D349F4" w:rsidTr="00D349F4">
        <w:trPr>
          <w:jc w:val="center"/>
        </w:trPr>
        <w:tc>
          <w:tcPr>
            <w:tcW w:w="1570" w:type="dxa"/>
          </w:tcPr>
          <w:p w:rsidR="0069471D" w:rsidRPr="00D349F4" w:rsidRDefault="0069471D" w:rsidP="00603BA3">
            <w:pPr>
              <w:tabs>
                <w:tab w:val="left" w:pos="288"/>
                <w:tab w:val="left" w:pos="4752"/>
              </w:tabs>
              <w:spacing w:line="240" w:lineRule="exact"/>
              <w:rPr>
                <w:rFonts w:asciiTheme="minorHAnsi" w:eastAsiaTheme="minorHAnsi" w:hAnsiTheme="minorHAnsi"/>
                <w:color w:val="auto"/>
                <w:sz w:val="20"/>
              </w:rPr>
            </w:pPr>
            <w:r w:rsidRPr="00D349F4">
              <w:rPr>
                <w:rFonts w:asciiTheme="minorHAnsi" w:eastAsiaTheme="minorHAnsi" w:hAnsiTheme="minorHAnsi"/>
                <w:color w:val="auto"/>
                <w:sz w:val="20"/>
              </w:rPr>
              <w:t>§4.71a Rating</w:t>
            </w:r>
          </w:p>
        </w:tc>
        <w:tc>
          <w:tcPr>
            <w:tcW w:w="2070" w:type="dxa"/>
          </w:tcPr>
          <w:p w:rsidR="0069471D" w:rsidRPr="00D349F4" w:rsidRDefault="0069471D" w:rsidP="00BC623C">
            <w:pPr>
              <w:tabs>
                <w:tab w:val="left" w:pos="288"/>
                <w:tab w:val="left" w:pos="4752"/>
              </w:tabs>
              <w:spacing w:line="240" w:lineRule="exact"/>
              <w:jc w:val="center"/>
              <w:rPr>
                <w:rFonts w:asciiTheme="minorHAnsi" w:eastAsiaTheme="minorHAnsi" w:hAnsiTheme="minorHAnsi"/>
                <w:color w:val="auto"/>
                <w:sz w:val="20"/>
              </w:rPr>
            </w:pPr>
            <w:r w:rsidRPr="00D349F4">
              <w:rPr>
                <w:rFonts w:asciiTheme="minorHAnsi" w:eastAsiaTheme="minorHAnsi" w:hAnsiTheme="minorHAnsi"/>
                <w:color w:val="auto"/>
                <w:sz w:val="20"/>
              </w:rPr>
              <w:t>10%</w:t>
            </w:r>
          </w:p>
        </w:tc>
        <w:tc>
          <w:tcPr>
            <w:tcW w:w="1874" w:type="dxa"/>
          </w:tcPr>
          <w:p w:rsidR="0069471D" w:rsidRPr="00D349F4" w:rsidRDefault="0069471D" w:rsidP="00531FED">
            <w:pPr>
              <w:tabs>
                <w:tab w:val="left" w:pos="288"/>
                <w:tab w:val="left" w:pos="4752"/>
              </w:tabs>
              <w:spacing w:line="240" w:lineRule="exact"/>
              <w:jc w:val="center"/>
              <w:rPr>
                <w:rFonts w:asciiTheme="minorHAnsi" w:eastAsiaTheme="minorHAnsi" w:hAnsiTheme="minorHAnsi"/>
                <w:color w:val="auto"/>
                <w:sz w:val="20"/>
              </w:rPr>
            </w:pPr>
            <w:r w:rsidRPr="00D349F4">
              <w:rPr>
                <w:rFonts w:asciiTheme="minorHAnsi" w:eastAsiaTheme="minorHAnsi" w:hAnsiTheme="minorHAnsi"/>
                <w:color w:val="auto"/>
                <w:sz w:val="20"/>
              </w:rPr>
              <w:t>10% (MEB 10%)</w:t>
            </w:r>
          </w:p>
        </w:tc>
        <w:tc>
          <w:tcPr>
            <w:tcW w:w="2266" w:type="dxa"/>
          </w:tcPr>
          <w:p w:rsidR="0069471D" w:rsidRPr="00D349F4" w:rsidRDefault="0069471D" w:rsidP="00531FED">
            <w:pPr>
              <w:tabs>
                <w:tab w:val="left" w:pos="288"/>
                <w:tab w:val="left" w:pos="4752"/>
              </w:tabs>
              <w:spacing w:line="240" w:lineRule="exact"/>
              <w:jc w:val="center"/>
              <w:rPr>
                <w:rFonts w:asciiTheme="minorHAnsi" w:eastAsiaTheme="minorHAnsi" w:hAnsiTheme="minorHAnsi"/>
                <w:color w:val="auto"/>
                <w:sz w:val="20"/>
              </w:rPr>
            </w:pPr>
            <w:r w:rsidRPr="00D349F4">
              <w:rPr>
                <w:rFonts w:asciiTheme="minorHAnsi" w:eastAsiaTheme="minorHAnsi" w:hAnsiTheme="minorHAnsi"/>
                <w:color w:val="auto"/>
                <w:sz w:val="20"/>
              </w:rPr>
              <w:t>0%</w:t>
            </w:r>
            <w:r w:rsidR="005D0DCD" w:rsidRPr="00D349F4">
              <w:rPr>
                <w:rFonts w:asciiTheme="minorHAnsi" w:eastAsiaTheme="minorHAnsi" w:hAnsiTheme="minorHAnsi"/>
                <w:color w:val="auto"/>
                <w:sz w:val="20"/>
              </w:rPr>
              <w:t xml:space="preserve"> (VA 10%)</w:t>
            </w:r>
          </w:p>
        </w:tc>
        <w:tc>
          <w:tcPr>
            <w:tcW w:w="1839" w:type="dxa"/>
            <w:shd w:val="clear" w:color="auto" w:fill="auto"/>
          </w:tcPr>
          <w:p w:rsidR="0069471D" w:rsidRPr="00D349F4" w:rsidRDefault="0069471D" w:rsidP="00531FED">
            <w:pPr>
              <w:tabs>
                <w:tab w:val="left" w:pos="288"/>
                <w:tab w:val="left" w:pos="4752"/>
              </w:tabs>
              <w:spacing w:line="240" w:lineRule="exact"/>
              <w:jc w:val="center"/>
              <w:rPr>
                <w:rFonts w:asciiTheme="minorHAnsi" w:eastAsiaTheme="minorHAnsi" w:hAnsiTheme="minorHAnsi"/>
                <w:color w:val="auto"/>
                <w:sz w:val="20"/>
              </w:rPr>
            </w:pPr>
            <w:r w:rsidRPr="00D349F4">
              <w:rPr>
                <w:rFonts w:asciiTheme="minorHAnsi" w:eastAsiaTheme="minorHAnsi" w:hAnsiTheme="minorHAnsi"/>
                <w:color w:val="auto"/>
                <w:sz w:val="20"/>
              </w:rPr>
              <w:t>10% (VA 10%)</w:t>
            </w:r>
          </w:p>
        </w:tc>
      </w:tr>
    </w:tbl>
    <w:p w:rsidR="00997CEE" w:rsidRPr="00D349F4" w:rsidRDefault="00997CEE" w:rsidP="00AF1668">
      <w:pPr>
        <w:tabs>
          <w:tab w:val="left" w:pos="2980"/>
        </w:tabs>
        <w:spacing w:line="240" w:lineRule="exact"/>
        <w:rPr>
          <w:rFonts w:asciiTheme="minorHAnsi" w:hAnsiTheme="minorHAnsi"/>
          <w:color w:val="auto"/>
          <w:szCs w:val="24"/>
        </w:rPr>
      </w:pPr>
    </w:p>
    <w:p w:rsidR="00D079A0" w:rsidRPr="0012161B" w:rsidRDefault="008014BD" w:rsidP="001E2883">
      <w:pPr>
        <w:tabs>
          <w:tab w:val="left" w:pos="2980"/>
        </w:tabs>
        <w:spacing w:line="240" w:lineRule="exact"/>
        <w:jc w:val="both"/>
        <w:rPr>
          <w:rFonts w:asciiTheme="minorHAnsi" w:hAnsiTheme="minorHAnsi"/>
          <w:color w:val="auto"/>
          <w:szCs w:val="24"/>
        </w:rPr>
      </w:pPr>
      <w:r w:rsidRPr="00D349F4">
        <w:rPr>
          <w:rFonts w:asciiTheme="minorHAnsi" w:hAnsiTheme="minorHAnsi"/>
          <w:color w:val="auto"/>
          <w:szCs w:val="24"/>
        </w:rPr>
        <w:t>There was no evidence of instability of the left knee on exam.  The CI</w:t>
      </w:r>
      <w:r w:rsidR="00790A30" w:rsidRPr="00D349F4">
        <w:rPr>
          <w:rFonts w:asciiTheme="minorHAnsi" w:hAnsiTheme="minorHAnsi"/>
          <w:color w:val="auto"/>
          <w:szCs w:val="24"/>
        </w:rPr>
        <w:t xml:space="preserve"> </w:t>
      </w:r>
      <w:r w:rsidRPr="00D349F4">
        <w:rPr>
          <w:rFonts w:asciiTheme="minorHAnsi" w:hAnsiTheme="minorHAnsi"/>
          <w:color w:val="auto"/>
          <w:szCs w:val="24"/>
        </w:rPr>
        <w:t xml:space="preserve">had </w:t>
      </w:r>
      <w:r w:rsidR="00790A30" w:rsidRPr="00D349F4">
        <w:rPr>
          <w:rFonts w:asciiTheme="minorHAnsi" w:hAnsiTheme="minorHAnsi"/>
          <w:color w:val="auto"/>
          <w:szCs w:val="24"/>
        </w:rPr>
        <w:t xml:space="preserve">left leg </w:t>
      </w:r>
      <w:r w:rsidRPr="00D349F4">
        <w:rPr>
          <w:rFonts w:asciiTheme="minorHAnsi" w:hAnsiTheme="minorHAnsi"/>
          <w:color w:val="auto"/>
          <w:szCs w:val="24"/>
        </w:rPr>
        <w:t>a</w:t>
      </w:r>
      <w:r w:rsidR="00790A30" w:rsidRPr="00D349F4">
        <w:rPr>
          <w:rFonts w:asciiTheme="minorHAnsi" w:hAnsiTheme="minorHAnsi"/>
          <w:color w:val="auto"/>
          <w:szCs w:val="24"/>
        </w:rPr>
        <w:t xml:space="preserve">nterior and lateral compartment fasciotomies on </w:t>
      </w:r>
      <w:r w:rsidR="00603BA3">
        <w:rPr>
          <w:rFonts w:asciiTheme="minorHAnsi" w:hAnsiTheme="minorHAnsi"/>
          <w:color w:val="auto"/>
          <w:szCs w:val="24"/>
        </w:rPr>
        <w:t xml:space="preserve">28 July </w:t>
      </w:r>
      <w:r w:rsidR="00790A30" w:rsidRPr="00D349F4">
        <w:rPr>
          <w:rFonts w:asciiTheme="minorHAnsi" w:hAnsiTheme="minorHAnsi"/>
          <w:color w:val="auto"/>
          <w:szCs w:val="24"/>
        </w:rPr>
        <w:t xml:space="preserve">2003.  </w:t>
      </w:r>
      <w:r w:rsidR="004336A2" w:rsidRPr="00D349F4">
        <w:rPr>
          <w:rFonts w:asciiTheme="minorHAnsi" w:hAnsiTheme="minorHAnsi"/>
          <w:color w:val="auto"/>
          <w:szCs w:val="24"/>
        </w:rPr>
        <w:t>An MRI d</w:t>
      </w:r>
      <w:r w:rsidR="004336A2" w:rsidRPr="0012161B">
        <w:rPr>
          <w:rFonts w:asciiTheme="minorHAnsi" w:hAnsiTheme="minorHAnsi"/>
          <w:color w:val="auto"/>
          <w:szCs w:val="24"/>
        </w:rPr>
        <w:t>one in 2005 showed some signal in the medial meniscus</w:t>
      </w:r>
      <w:r w:rsidR="00531FED" w:rsidRPr="0012161B">
        <w:rPr>
          <w:rFonts w:asciiTheme="minorHAnsi" w:hAnsiTheme="minorHAnsi"/>
          <w:color w:val="auto"/>
          <w:szCs w:val="24"/>
        </w:rPr>
        <w:t>,</w:t>
      </w:r>
      <w:r w:rsidR="004336A2" w:rsidRPr="0012161B">
        <w:rPr>
          <w:rFonts w:asciiTheme="minorHAnsi" w:hAnsiTheme="minorHAnsi"/>
          <w:color w:val="auto"/>
          <w:szCs w:val="24"/>
        </w:rPr>
        <w:t xml:space="preserve"> but there was no significant intra</w:t>
      </w:r>
      <w:r w:rsidR="00603BA3">
        <w:rPr>
          <w:rFonts w:asciiTheme="minorHAnsi" w:hAnsiTheme="minorHAnsi"/>
          <w:color w:val="auto"/>
          <w:szCs w:val="24"/>
        </w:rPr>
        <w:t>-</w:t>
      </w:r>
      <w:r w:rsidR="004336A2" w:rsidRPr="0012161B">
        <w:rPr>
          <w:rFonts w:asciiTheme="minorHAnsi" w:hAnsiTheme="minorHAnsi"/>
          <w:color w:val="auto"/>
          <w:szCs w:val="24"/>
        </w:rPr>
        <w:t xml:space="preserve">articular </w:t>
      </w:r>
      <w:r w:rsidR="001E2883" w:rsidRPr="0012161B">
        <w:rPr>
          <w:rFonts w:asciiTheme="minorHAnsi" w:hAnsiTheme="minorHAnsi"/>
          <w:color w:val="auto"/>
          <w:szCs w:val="24"/>
        </w:rPr>
        <w:t>involvement;</w:t>
      </w:r>
      <w:r w:rsidR="004336A2" w:rsidRPr="0012161B">
        <w:rPr>
          <w:rFonts w:asciiTheme="minorHAnsi" w:hAnsiTheme="minorHAnsi"/>
          <w:color w:val="auto"/>
          <w:szCs w:val="24"/>
        </w:rPr>
        <w:t xml:space="preserve"> however</w:t>
      </w:r>
      <w:r w:rsidR="00531FED" w:rsidRPr="0012161B">
        <w:rPr>
          <w:rFonts w:asciiTheme="minorHAnsi" w:hAnsiTheme="minorHAnsi"/>
          <w:color w:val="auto"/>
          <w:szCs w:val="24"/>
        </w:rPr>
        <w:t>,</w:t>
      </w:r>
      <w:r w:rsidR="004336A2" w:rsidRPr="0012161B">
        <w:rPr>
          <w:rFonts w:asciiTheme="minorHAnsi" w:hAnsiTheme="minorHAnsi"/>
          <w:color w:val="auto"/>
          <w:szCs w:val="24"/>
        </w:rPr>
        <w:t xml:space="preserve"> the CI continued to have medial joint line pain as well as patellofemoral pain</w:t>
      </w:r>
      <w:r w:rsidR="00603BA3">
        <w:rPr>
          <w:rFonts w:asciiTheme="minorHAnsi" w:hAnsiTheme="minorHAnsi"/>
          <w:color w:val="auto"/>
          <w:szCs w:val="24"/>
        </w:rPr>
        <w:t>,</w:t>
      </w:r>
      <w:r w:rsidR="004336A2" w:rsidRPr="0012161B">
        <w:rPr>
          <w:rFonts w:asciiTheme="minorHAnsi" w:hAnsiTheme="minorHAnsi"/>
          <w:color w:val="auto"/>
          <w:szCs w:val="24"/>
        </w:rPr>
        <w:t xml:space="preserve"> despite extensive PT.  He underwent a left knee meniscus repair and cartilage debridement on</w:t>
      </w:r>
      <w:r w:rsidR="00603BA3">
        <w:rPr>
          <w:rFonts w:asciiTheme="minorHAnsi" w:hAnsiTheme="minorHAnsi"/>
          <w:color w:val="auto"/>
          <w:szCs w:val="24"/>
        </w:rPr>
        <w:t xml:space="preserve"> 11 January </w:t>
      </w:r>
      <w:r w:rsidR="004336A2" w:rsidRPr="0012161B">
        <w:rPr>
          <w:rFonts w:asciiTheme="minorHAnsi" w:hAnsiTheme="minorHAnsi"/>
          <w:color w:val="auto"/>
          <w:szCs w:val="24"/>
        </w:rPr>
        <w:t>2006.</w:t>
      </w:r>
      <w:r w:rsidR="00A04B54" w:rsidRPr="0012161B">
        <w:rPr>
          <w:rFonts w:asciiTheme="minorHAnsi" w:hAnsiTheme="minorHAnsi"/>
          <w:color w:val="auto"/>
          <w:szCs w:val="24"/>
        </w:rPr>
        <w:t xml:space="preserve">  </w:t>
      </w:r>
      <w:r w:rsidR="00D079A0" w:rsidRPr="0012161B">
        <w:rPr>
          <w:rFonts w:asciiTheme="minorHAnsi" w:hAnsiTheme="minorHAnsi"/>
          <w:color w:val="auto"/>
          <w:szCs w:val="24"/>
        </w:rPr>
        <w:t>The MEB exam</w:t>
      </w:r>
      <w:r w:rsidR="00603BA3">
        <w:rPr>
          <w:rFonts w:asciiTheme="minorHAnsi" w:hAnsiTheme="minorHAnsi"/>
          <w:color w:val="auto"/>
          <w:szCs w:val="24"/>
        </w:rPr>
        <w:t xml:space="preserve"> on 12 April </w:t>
      </w:r>
      <w:r w:rsidR="00D079A0" w:rsidRPr="0012161B">
        <w:rPr>
          <w:rFonts w:ascii="Calibri" w:eastAsia="Calibri" w:hAnsi="Calibri"/>
          <w:color w:val="auto"/>
          <w:sz w:val="22"/>
          <w:szCs w:val="22"/>
        </w:rPr>
        <w:t>2006, three months post-surgery</w:t>
      </w:r>
      <w:r w:rsidR="00603BA3">
        <w:rPr>
          <w:rFonts w:ascii="Calibri" w:eastAsia="Calibri" w:hAnsi="Calibri"/>
          <w:color w:val="auto"/>
          <w:sz w:val="22"/>
          <w:szCs w:val="22"/>
        </w:rPr>
        <w:t>,</w:t>
      </w:r>
      <w:r w:rsidR="00D079A0" w:rsidRPr="0012161B">
        <w:rPr>
          <w:rFonts w:asciiTheme="minorHAnsi" w:hAnsiTheme="minorHAnsi"/>
          <w:color w:val="auto"/>
          <w:szCs w:val="24"/>
        </w:rPr>
        <w:t xml:space="preserve"> specified painful motion on flexion and anterior pulling, tenderness, and </w:t>
      </w:r>
      <w:r w:rsidR="00603BA3">
        <w:rPr>
          <w:rFonts w:asciiTheme="minorHAnsi" w:hAnsiTheme="minorHAnsi"/>
          <w:color w:val="auto"/>
          <w:szCs w:val="24"/>
        </w:rPr>
        <w:t xml:space="preserve">the </w:t>
      </w:r>
      <w:r w:rsidR="00D079A0" w:rsidRPr="0012161B">
        <w:rPr>
          <w:rFonts w:asciiTheme="minorHAnsi" w:hAnsiTheme="minorHAnsi"/>
          <w:color w:val="auto"/>
          <w:szCs w:val="24"/>
        </w:rPr>
        <w:t xml:space="preserve">use of a crutch/cane for assisted walking.  There was no laxity noted.  At the VA </w:t>
      </w:r>
      <w:r w:rsidR="00603BA3">
        <w:rPr>
          <w:rFonts w:asciiTheme="minorHAnsi" w:hAnsiTheme="minorHAnsi"/>
          <w:color w:val="auto"/>
          <w:szCs w:val="24"/>
        </w:rPr>
        <w:t>c</w:t>
      </w:r>
      <w:r w:rsidR="00D079A0" w:rsidRPr="0012161B">
        <w:rPr>
          <w:rFonts w:asciiTheme="minorHAnsi" w:hAnsiTheme="minorHAnsi"/>
          <w:color w:val="auto"/>
          <w:szCs w:val="24"/>
        </w:rPr>
        <w:t xml:space="preserve">ompensation </w:t>
      </w:r>
      <w:r w:rsidR="00603BA3">
        <w:rPr>
          <w:rFonts w:asciiTheme="minorHAnsi" w:hAnsiTheme="minorHAnsi"/>
          <w:color w:val="auto"/>
          <w:szCs w:val="24"/>
        </w:rPr>
        <w:t>and p</w:t>
      </w:r>
      <w:r w:rsidR="00D079A0" w:rsidRPr="0012161B">
        <w:rPr>
          <w:rFonts w:asciiTheme="minorHAnsi" w:hAnsiTheme="minorHAnsi"/>
          <w:color w:val="auto"/>
          <w:szCs w:val="24"/>
        </w:rPr>
        <w:t>ension (C&amp;P) exam three months post</w:t>
      </w:r>
      <w:r w:rsidR="00603BA3">
        <w:rPr>
          <w:rFonts w:asciiTheme="minorHAnsi" w:hAnsiTheme="minorHAnsi"/>
          <w:color w:val="auto"/>
          <w:szCs w:val="24"/>
        </w:rPr>
        <w:t>-</w:t>
      </w:r>
      <w:r w:rsidR="00D079A0" w:rsidRPr="0012161B">
        <w:rPr>
          <w:rFonts w:asciiTheme="minorHAnsi" w:hAnsiTheme="minorHAnsi"/>
          <w:color w:val="auto"/>
          <w:szCs w:val="24"/>
        </w:rPr>
        <w:t xml:space="preserve">separation, the knee exam was essentially normal with full and painless </w:t>
      </w:r>
      <w:r w:rsidR="00603BA3">
        <w:rPr>
          <w:rFonts w:asciiTheme="minorHAnsi" w:hAnsiTheme="minorHAnsi"/>
          <w:color w:val="auto"/>
          <w:szCs w:val="24"/>
        </w:rPr>
        <w:t>range of motion (</w:t>
      </w:r>
      <w:r w:rsidR="00D079A0" w:rsidRPr="0012161B">
        <w:rPr>
          <w:rFonts w:asciiTheme="minorHAnsi" w:hAnsiTheme="minorHAnsi"/>
          <w:color w:val="auto"/>
          <w:szCs w:val="24"/>
        </w:rPr>
        <w:t>ROM</w:t>
      </w:r>
      <w:r w:rsidR="00603BA3">
        <w:rPr>
          <w:rFonts w:asciiTheme="minorHAnsi" w:hAnsiTheme="minorHAnsi"/>
          <w:color w:val="auto"/>
          <w:szCs w:val="24"/>
        </w:rPr>
        <w:t>)</w:t>
      </w:r>
      <w:r w:rsidR="00D079A0" w:rsidRPr="0012161B">
        <w:rPr>
          <w:rFonts w:asciiTheme="minorHAnsi" w:hAnsiTheme="minorHAnsi"/>
          <w:color w:val="auto"/>
          <w:szCs w:val="24"/>
        </w:rPr>
        <w:t>.</w:t>
      </w:r>
      <w:r w:rsidR="00D079A0" w:rsidRPr="0012161B">
        <w:rPr>
          <w:rFonts w:ascii="Calibri" w:eastAsia="Calibri" w:hAnsi="Calibri"/>
          <w:color w:val="auto"/>
          <w:szCs w:val="24"/>
        </w:rPr>
        <w:t xml:space="preserve">  The CI was significantly more symptomatic a</w:t>
      </w:r>
      <w:r w:rsidR="00D079A0" w:rsidRPr="0012161B">
        <w:rPr>
          <w:rFonts w:asciiTheme="minorHAnsi" w:hAnsiTheme="minorHAnsi"/>
          <w:color w:val="auto"/>
          <w:szCs w:val="24"/>
        </w:rPr>
        <w:t>t the C&amp;P exam</w:t>
      </w:r>
      <w:r w:rsidR="00D079A0" w:rsidRPr="0012161B">
        <w:rPr>
          <w:rFonts w:ascii="Calibri" w:eastAsia="Calibri" w:hAnsi="Calibri"/>
          <w:color w:val="auto"/>
          <w:szCs w:val="24"/>
        </w:rPr>
        <w:t xml:space="preserve"> </w:t>
      </w:r>
      <w:r w:rsidR="00603BA3">
        <w:rPr>
          <w:rFonts w:ascii="Calibri" w:eastAsia="Calibri" w:hAnsi="Calibri"/>
          <w:color w:val="auto"/>
          <w:szCs w:val="24"/>
        </w:rPr>
        <w:t xml:space="preserve">on 22 April </w:t>
      </w:r>
      <w:r w:rsidR="00D079A0" w:rsidRPr="0012161B">
        <w:rPr>
          <w:rFonts w:ascii="Calibri" w:eastAsia="Calibri" w:hAnsi="Calibri"/>
          <w:color w:val="auto"/>
          <w:szCs w:val="24"/>
        </w:rPr>
        <w:t>2008</w:t>
      </w:r>
      <w:r w:rsidR="00D079A0" w:rsidRPr="0012161B">
        <w:rPr>
          <w:rFonts w:asciiTheme="minorHAnsi" w:hAnsiTheme="minorHAnsi"/>
          <w:color w:val="auto"/>
          <w:szCs w:val="24"/>
        </w:rPr>
        <w:t>, twenty months post</w:t>
      </w:r>
      <w:r w:rsidR="00603BA3">
        <w:rPr>
          <w:rFonts w:asciiTheme="minorHAnsi" w:hAnsiTheme="minorHAnsi"/>
          <w:color w:val="auto"/>
          <w:szCs w:val="24"/>
        </w:rPr>
        <w:t>-</w:t>
      </w:r>
      <w:r w:rsidR="00D079A0" w:rsidRPr="0012161B">
        <w:rPr>
          <w:rFonts w:asciiTheme="minorHAnsi" w:hAnsiTheme="minorHAnsi"/>
          <w:color w:val="auto"/>
          <w:szCs w:val="24"/>
        </w:rPr>
        <w:t xml:space="preserve">separation (complaints of stiffness, giving way and locking; constant throbbing pain radiating from the knee down to ankle); however, objective testing indicated no instability of the knee.  </w:t>
      </w:r>
    </w:p>
    <w:p w:rsidR="00D079A0" w:rsidRPr="0012161B" w:rsidRDefault="00D079A0" w:rsidP="001E2883">
      <w:pPr>
        <w:tabs>
          <w:tab w:val="left" w:pos="2980"/>
        </w:tabs>
        <w:spacing w:line="240" w:lineRule="exact"/>
        <w:jc w:val="both"/>
        <w:rPr>
          <w:rFonts w:asciiTheme="minorHAnsi" w:hAnsiTheme="minorHAnsi"/>
          <w:color w:val="auto"/>
          <w:szCs w:val="24"/>
        </w:rPr>
      </w:pPr>
    </w:p>
    <w:p w:rsidR="00480D4A" w:rsidRPr="0012161B" w:rsidRDefault="00A04B54" w:rsidP="001E2883">
      <w:pPr>
        <w:tabs>
          <w:tab w:val="left" w:pos="2980"/>
        </w:tabs>
        <w:spacing w:line="240" w:lineRule="exact"/>
        <w:jc w:val="both"/>
        <w:rPr>
          <w:rFonts w:asciiTheme="minorHAnsi" w:hAnsiTheme="minorHAnsi"/>
          <w:color w:val="auto"/>
          <w:szCs w:val="24"/>
        </w:rPr>
      </w:pPr>
      <w:r w:rsidRPr="0012161B">
        <w:rPr>
          <w:rFonts w:asciiTheme="minorHAnsi" w:hAnsiTheme="minorHAnsi"/>
          <w:color w:val="auto"/>
          <w:szCs w:val="24"/>
        </w:rPr>
        <w:t xml:space="preserve">The PEB unfitting determination for the </w:t>
      </w:r>
      <w:r w:rsidR="00603BA3">
        <w:rPr>
          <w:rFonts w:asciiTheme="minorHAnsi" w:hAnsiTheme="minorHAnsi"/>
          <w:color w:val="auto"/>
          <w:szCs w:val="24"/>
        </w:rPr>
        <w:t>l</w:t>
      </w:r>
      <w:r w:rsidRPr="0012161B">
        <w:rPr>
          <w:rFonts w:asciiTheme="minorHAnsi" w:hAnsiTheme="minorHAnsi"/>
          <w:color w:val="auto"/>
          <w:szCs w:val="24"/>
        </w:rPr>
        <w:t xml:space="preserve">eft </w:t>
      </w:r>
      <w:r w:rsidR="00603BA3">
        <w:rPr>
          <w:rFonts w:asciiTheme="minorHAnsi" w:hAnsiTheme="minorHAnsi"/>
          <w:color w:val="auto"/>
          <w:szCs w:val="24"/>
        </w:rPr>
        <w:t>k</w:t>
      </w:r>
      <w:r w:rsidRPr="0012161B">
        <w:rPr>
          <w:rFonts w:asciiTheme="minorHAnsi" w:hAnsiTheme="minorHAnsi"/>
          <w:color w:val="auto"/>
          <w:szCs w:val="24"/>
        </w:rPr>
        <w:t xml:space="preserve">nee </w:t>
      </w:r>
      <w:r w:rsidR="00603BA3">
        <w:rPr>
          <w:rFonts w:asciiTheme="minorHAnsi" w:hAnsiTheme="minorHAnsi"/>
          <w:color w:val="auto"/>
          <w:szCs w:val="24"/>
        </w:rPr>
        <w:t>p</w:t>
      </w:r>
      <w:r w:rsidRPr="0012161B">
        <w:rPr>
          <w:rFonts w:asciiTheme="minorHAnsi" w:hAnsiTheme="minorHAnsi"/>
          <w:color w:val="auto"/>
          <w:szCs w:val="24"/>
        </w:rPr>
        <w:t xml:space="preserve">atellofemoral </w:t>
      </w:r>
      <w:r w:rsidR="00603BA3">
        <w:rPr>
          <w:rFonts w:asciiTheme="minorHAnsi" w:hAnsiTheme="minorHAnsi"/>
          <w:color w:val="auto"/>
          <w:szCs w:val="24"/>
        </w:rPr>
        <w:t>c</w:t>
      </w:r>
      <w:r w:rsidRPr="0012161B">
        <w:rPr>
          <w:rFonts w:asciiTheme="minorHAnsi" w:hAnsiTheme="minorHAnsi"/>
          <w:color w:val="auto"/>
          <w:szCs w:val="24"/>
        </w:rPr>
        <w:t xml:space="preserve">hondromalacia was coded analogously to arthritis (5099-5003) at 10%.  The VA rated the </w:t>
      </w:r>
      <w:r w:rsidR="00603BA3">
        <w:rPr>
          <w:rFonts w:asciiTheme="minorHAnsi" w:hAnsiTheme="minorHAnsi"/>
          <w:color w:val="auto"/>
          <w:szCs w:val="24"/>
        </w:rPr>
        <w:t>p</w:t>
      </w:r>
      <w:r w:rsidRPr="0012161B">
        <w:rPr>
          <w:rFonts w:asciiTheme="minorHAnsi" w:hAnsiTheme="minorHAnsi"/>
          <w:color w:val="auto"/>
          <w:szCs w:val="24"/>
        </w:rPr>
        <w:t xml:space="preserve">atellar </w:t>
      </w:r>
      <w:r w:rsidR="00603BA3">
        <w:rPr>
          <w:rFonts w:asciiTheme="minorHAnsi" w:hAnsiTheme="minorHAnsi"/>
          <w:color w:val="auto"/>
          <w:szCs w:val="24"/>
        </w:rPr>
        <w:t>t</w:t>
      </w:r>
      <w:r w:rsidRPr="0012161B">
        <w:rPr>
          <w:rFonts w:asciiTheme="minorHAnsi" w:hAnsiTheme="minorHAnsi"/>
          <w:color w:val="auto"/>
          <w:szCs w:val="24"/>
        </w:rPr>
        <w:t xml:space="preserve">endonitis </w:t>
      </w:r>
      <w:r w:rsidR="00603BA3">
        <w:rPr>
          <w:rFonts w:asciiTheme="minorHAnsi" w:hAnsiTheme="minorHAnsi"/>
          <w:color w:val="auto"/>
          <w:szCs w:val="24"/>
        </w:rPr>
        <w:t>l</w:t>
      </w:r>
      <w:r w:rsidRPr="0012161B">
        <w:rPr>
          <w:rFonts w:asciiTheme="minorHAnsi" w:hAnsiTheme="minorHAnsi"/>
          <w:color w:val="auto"/>
          <w:szCs w:val="24"/>
        </w:rPr>
        <w:t>eft</w:t>
      </w:r>
      <w:r w:rsidRPr="0012161B">
        <w:rPr>
          <w:color w:val="auto"/>
          <w:szCs w:val="24"/>
        </w:rPr>
        <w:t xml:space="preserve"> </w:t>
      </w:r>
      <w:r w:rsidR="00603BA3" w:rsidRPr="00603BA3">
        <w:rPr>
          <w:rFonts w:asciiTheme="minorHAnsi" w:hAnsiTheme="minorHAnsi"/>
          <w:color w:val="auto"/>
          <w:szCs w:val="24"/>
        </w:rPr>
        <w:t>k</w:t>
      </w:r>
      <w:r w:rsidRPr="0012161B">
        <w:rPr>
          <w:rFonts w:asciiTheme="minorHAnsi" w:hAnsiTheme="minorHAnsi"/>
          <w:color w:val="auto"/>
          <w:szCs w:val="24"/>
        </w:rPr>
        <w:t xml:space="preserve">nee </w:t>
      </w:r>
      <w:r w:rsidR="00603BA3">
        <w:rPr>
          <w:rFonts w:asciiTheme="minorHAnsi" w:hAnsiTheme="minorHAnsi"/>
          <w:color w:val="auto"/>
          <w:szCs w:val="24"/>
        </w:rPr>
        <w:t>status post a</w:t>
      </w:r>
      <w:r w:rsidRPr="0012161B">
        <w:rPr>
          <w:rFonts w:asciiTheme="minorHAnsi" w:hAnsiTheme="minorHAnsi"/>
          <w:color w:val="auto"/>
          <w:szCs w:val="24"/>
        </w:rPr>
        <w:t xml:space="preserve">rthroscopy </w:t>
      </w:r>
      <w:r w:rsidR="00317E8A" w:rsidRPr="0012161B">
        <w:rPr>
          <w:rFonts w:asciiTheme="minorHAnsi" w:hAnsiTheme="minorHAnsi"/>
          <w:color w:val="auto"/>
          <w:szCs w:val="24"/>
        </w:rPr>
        <w:t>as 5261 (</w:t>
      </w:r>
      <w:r w:rsidR="00603BA3">
        <w:rPr>
          <w:rFonts w:asciiTheme="minorHAnsi" w:hAnsiTheme="minorHAnsi"/>
          <w:color w:val="auto"/>
          <w:szCs w:val="24"/>
        </w:rPr>
        <w:t>l</w:t>
      </w:r>
      <w:r w:rsidR="00317E8A" w:rsidRPr="0012161B">
        <w:rPr>
          <w:rFonts w:asciiTheme="minorHAnsi" w:hAnsiTheme="minorHAnsi"/>
          <w:color w:val="auto"/>
          <w:szCs w:val="24"/>
        </w:rPr>
        <w:t xml:space="preserve">eg, limitation of extension </w:t>
      </w:r>
      <w:r w:rsidR="001E2883" w:rsidRPr="0012161B">
        <w:rPr>
          <w:rFonts w:asciiTheme="minorHAnsi" w:hAnsiTheme="minorHAnsi"/>
          <w:color w:val="auto"/>
          <w:szCs w:val="24"/>
        </w:rPr>
        <w:t>of)</w:t>
      </w:r>
      <w:r w:rsidR="008B6DDA" w:rsidRPr="0012161B">
        <w:rPr>
          <w:rFonts w:asciiTheme="minorHAnsi" w:hAnsiTheme="minorHAnsi"/>
          <w:color w:val="auto"/>
          <w:szCs w:val="24"/>
        </w:rPr>
        <w:t xml:space="preserve"> initially rated this condition at 0%</w:t>
      </w:r>
      <w:r w:rsidR="00603BA3">
        <w:rPr>
          <w:rFonts w:asciiTheme="minorHAnsi" w:hAnsiTheme="minorHAnsi"/>
          <w:color w:val="auto"/>
          <w:szCs w:val="24"/>
        </w:rPr>
        <w:t>,</w:t>
      </w:r>
      <w:r w:rsidR="008B6DDA" w:rsidRPr="0012161B">
        <w:rPr>
          <w:rFonts w:asciiTheme="minorHAnsi" w:hAnsiTheme="minorHAnsi"/>
          <w:color w:val="auto"/>
          <w:szCs w:val="24"/>
        </w:rPr>
        <w:t xml:space="preserve"> and then this condition </w:t>
      </w:r>
      <w:r w:rsidR="0012161B" w:rsidRPr="0012161B">
        <w:rPr>
          <w:rFonts w:asciiTheme="minorHAnsi" w:hAnsiTheme="minorHAnsi"/>
          <w:color w:val="auto"/>
          <w:szCs w:val="24"/>
        </w:rPr>
        <w:t>was increased</w:t>
      </w:r>
      <w:r w:rsidR="008B6DDA" w:rsidRPr="0012161B">
        <w:rPr>
          <w:rFonts w:asciiTheme="minorHAnsi" w:hAnsiTheme="minorHAnsi"/>
          <w:color w:val="auto"/>
          <w:szCs w:val="24"/>
        </w:rPr>
        <w:t xml:space="preserve"> to 10%</w:t>
      </w:r>
      <w:r w:rsidR="00603BA3">
        <w:rPr>
          <w:rFonts w:asciiTheme="minorHAnsi" w:hAnsiTheme="minorHAnsi"/>
          <w:color w:val="auto"/>
          <w:szCs w:val="24"/>
        </w:rPr>
        <w:t>,</w:t>
      </w:r>
      <w:r w:rsidR="008B6DDA" w:rsidRPr="0012161B">
        <w:rPr>
          <w:rFonts w:asciiTheme="minorHAnsi" w:hAnsiTheme="minorHAnsi"/>
          <w:color w:val="auto"/>
          <w:szCs w:val="24"/>
        </w:rPr>
        <w:t xml:space="preserve"> effective </w:t>
      </w:r>
      <w:r w:rsidR="00603BA3">
        <w:rPr>
          <w:rFonts w:asciiTheme="minorHAnsi" w:hAnsiTheme="minorHAnsi"/>
          <w:color w:val="auto"/>
          <w:szCs w:val="24"/>
        </w:rPr>
        <w:t xml:space="preserve">30 January </w:t>
      </w:r>
      <w:r w:rsidR="008B6DDA" w:rsidRPr="0012161B">
        <w:rPr>
          <w:rFonts w:asciiTheme="minorHAnsi" w:hAnsiTheme="minorHAnsi"/>
          <w:color w:val="auto"/>
          <w:szCs w:val="24"/>
        </w:rPr>
        <w:t>2008</w:t>
      </w:r>
      <w:r w:rsidR="00603BA3">
        <w:rPr>
          <w:rFonts w:asciiTheme="minorHAnsi" w:hAnsiTheme="minorHAnsi"/>
          <w:color w:val="auto"/>
          <w:szCs w:val="24"/>
        </w:rPr>
        <w:t xml:space="preserve">.  </w:t>
      </w:r>
      <w:r w:rsidR="00D079A0" w:rsidRPr="0012161B">
        <w:rPr>
          <w:rFonts w:asciiTheme="minorHAnsi" w:hAnsiTheme="minorHAnsi"/>
          <w:color w:val="auto"/>
          <w:szCs w:val="24"/>
        </w:rPr>
        <w:t>The left knee was tender and demonstrated painful motion on the preponderance of exams.  No exam indicate</w:t>
      </w:r>
      <w:r w:rsidR="00603BA3">
        <w:rPr>
          <w:rFonts w:asciiTheme="minorHAnsi" w:hAnsiTheme="minorHAnsi"/>
          <w:color w:val="auto"/>
          <w:szCs w:val="24"/>
        </w:rPr>
        <w:t>s</w:t>
      </w:r>
      <w:r w:rsidR="00D079A0" w:rsidRPr="0012161B">
        <w:rPr>
          <w:rFonts w:asciiTheme="minorHAnsi" w:hAnsiTheme="minorHAnsi"/>
          <w:color w:val="auto"/>
          <w:szCs w:val="24"/>
        </w:rPr>
        <w:t xml:space="preserve"> limited ROM to a compensable level without application of §4.59 (painful motion).  VASRD</w:t>
      </w:r>
      <w:r w:rsidR="00603BA3">
        <w:rPr>
          <w:rFonts w:asciiTheme="minorHAnsi" w:hAnsiTheme="minorHAnsi"/>
          <w:color w:val="auto"/>
          <w:szCs w:val="24"/>
        </w:rPr>
        <w:t xml:space="preserve"> </w:t>
      </w:r>
      <w:r w:rsidR="00D079A0" w:rsidRPr="0012161B">
        <w:rPr>
          <w:rFonts w:asciiTheme="minorHAnsi" w:hAnsiTheme="minorHAnsi"/>
          <w:color w:val="auto"/>
          <w:szCs w:val="24"/>
        </w:rPr>
        <w:t>§4.71a specifies for 5003 that “satisfactory evidence of painful motion” constitutes limitation of motion and specifies application of a 10% rating “for each such major joint or group of minor joints affected by limitation of motion</w:t>
      </w:r>
      <w:r w:rsidR="006E29DF">
        <w:rPr>
          <w:rFonts w:asciiTheme="minorHAnsi" w:hAnsiTheme="minorHAnsi"/>
          <w:color w:val="auto"/>
          <w:szCs w:val="24"/>
        </w:rPr>
        <w:t>.</w:t>
      </w:r>
      <w:r w:rsidR="00D079A0" w:rsidRPr="0012161B">
        <w:rPr>
          <w:rFonts w:asciiTheme="minorHAnsi" w:hAnsiTheme="minorHAnsi"/>
          <w:color w:val="auto"/>
          <w:szCs w:val="24"/>
        </w:rPr>
        <w:t xml:space="preserve">”  </w:t>
      </w:r>
      <w:r w:rsidR="009A1295" w:rsidRPr="0012161B">
        <w:rPr>
          <w:rFonts w:asciiTheme="minorHAnsi" w:hAnsiTheme="minorHAnsi"/>
          <w:color w:val="auto"/>
          <w:szCs w:val="24"/>
        </w:rPr>
        <w:t xml:space="preserve">The PEB and the VA chose different coding options but this did not bear on the rating.  The knee </w:t>
      </w:r>
      <w:r w:rsidR="00E700DC" w:rsidRPr="0012161B">
        <w:rPr>
          <w:rFonts w:asciiTheme="minorHAnsi" w:hAnsiTheme="minorHAnsi"/>
          <w:color w:val="auto"/>
          <w:szCs w:val="24"/>
        </w:rPr>
        <w:t xml:space="preserve">condition </w:t>
      </w:r>
      <w:r w:rsidR="009A1295" w:rsidRPr="0012161B">
        <w:rPr>
          <w:rFonts w:asciiTheme="minorHAnsi" w:hAnsiTheme="minorHAnsi"/>
          <w:color w:val="auto"/>
          <w:szCs w:val="24"/>
        </w:rPr>
        <w:t xml:space="preserve">could not be reasonably rated higher than 10% using any exam proximate to separation or any alternate coding schema.  </w:t>
      </w:r>
      <w:r w:rsidR="00D079A0" w:rsidRPr="0012161B">
        <w:rPr>
          <w:rFonts w:asciiTheme="minorHAnsi" w:hAnsiTheme="minorHAnsi"/>
          <w:color w:val="auto"/>
          <w:szCs w:val="24"/>
        </w:rPr>
        <w:t>The Board considered additional rating under 5259 (</w:t>
      </w:r>
      <w:r w:rsidR="006E29DF">
        <w:rPr>
          <w:rFonts w:asciiTheme="minorHAnsi" w:hAnsiTheme="minorHAnsi"/>
          <w:color w:val="auto"/>
          <w:szCs w:val="24"/>
        </w:rPr>
        <w:t>c</w:t>
      </w:r>
      <w:r w:rsidR="00D079A0" w:rsidRPr="0012161B">
        <w:rPr>
          <w:rFonts w:asciiTheme="minorHAnsi" w:hAnsiTheme="minorHAnsi"/>
          <w:color w:val="auto"/>
          <w:szCs w:val="24"/>
        </w:rPr>
        <w:t xml:space="preserve">artilage, semilunar, removal of, symptomatic), but would have had to resort to pyramiding for any additional rating.  </w:t>
      </w:r>
      <w:r w:rsidR="009A1295" w:rsidRPr="0012161B">
        <w:rPr>
          <w:rFonts w:asciiTheme="minorHAnsi" w:hAnsiTheme="minorHAnsi"/>
          <w:color w:val="auto"/>
          <w:szCs w:val="24"/>
        </w:rPr>
        <w:t xml:space="preserve">After due deliberation, there is not reasonable doubt in the CI’s favor to justify a Board recommendation for other than the 10% </w:t>
      </w:r>
      <w:r w:rsidR="001E2883" w:rsidRPr="0012161B">
        <w:rPr>
          <w:rFonts w:asciiTheme="minorHAnsi" w:hAnsiTheme="minorHAnsi"/>
          <w:color w:val="auto"/>
          <w:szCs w:val="24"/>
        </w:rPr>
        <w:t>rating</w:t>
      </w:r>
      <w:r w:rsidR="009A1295" w:rsidRPr="0012161B">
        <w:rPr>
          <w:rFonts w:asciiTheme="minorHAnsi" w:hAnsiTheme="minorHAnsi"/>
          <w:color w:val="auto"/>
          <w:szCs w:val="24"/>
        </w:rPr>
        <w:t xml:space="preserve"> assigned by the PEB for </w:t>
      </w:r>
      <w:r w:rsidR="006E29DF">
        <w:rPr>
          <w:rFonts w:asciiTheme="minorHAnsi" w:hAnsiTheme="minorHAnsi"/>
          <w:color w:val="auto"/>
          <w:szCs w:val="24"/>
        </w:rPr>
        <w:t>l</w:t>
      </w:r>
      <w:r w:rsidR="00D03A0A" w:rsidRPr="0012161B">
        <w:rPr>
          <w:rFonts w:asciiTheme="minorHAnsi" w:hAnsiTheme="minorHAnsi"/>
          <w:color w:val="auto"/>
          <w:szCs w:val="24"/>
        </w:rPr>
        <w:t xml:space="preserve">eft </w:t>
      </w:r>
      <w:r w:rsidR="006E29DF">
        <w:rPr>
          <w:rFonts w:asciiTheme="minorHAnsi" w:hAnsiTheme="minorHAnsi"/>
          <w:color w:val="auto"/>
          <w:szCs w:val="24"/>
        </w:rPr>
        <w:t>k</w:t>
      </w:r>
      <w:r w:rsidR="00D03A0A" w:rsidRPr="0012161B">
        <w:rPr>
          <w:rFonts w:asciiTheme="minorHAnsi" w:hAnsiTheme="minorHAnsi"/>
          <w:color w:val="auto"/>
          <w:szCs w:val="24"/>
        </w:rPr>
        <w:t xml:space="preserve">nee </w:t>
      </w:r>
      <w:r w:rsidR="006E29DF">
        <w:rPr>
          <w:rFonts w:asciiTheme="minorHAnsi" w:hAnsiTheme="minorHAnsi"/>
          <w:color w:val="auto"/>
          <w:szCs w:val="24"/>
        </w:rPr>
        <w:t>p</w:t>
      </w:r>
      <w:r w:rsidR="00D03A0A" w:rsidRPr="0012161B">
        <w:rPr>
          <w:rFonts w:asciiTheme="minorHAnsi" w:hAnsiTheme="minorHAnsi"/>
          <w:color w:val="auto"/>
          <w:szCs w:val="24"/>
        </w:rPr>
        <w:t xml:space="preserve">atellofemoral </w:t>
      </w:r>
      <w:r w:rsidR="006E29DF">
        <w:rPr>
          <w:rFonts w:asciiTheme="minorHAnsi" w:hAnsiTheme="minorHAnsi"/>
          <w:color w:val="auto"/>
          <w:szCs w:val="24"/>
        </w:rPr>
        <w:t>c</w:t>
      </w:r>
      <w:r w:rsidR="00D03A0A" w:rsidRPr="0012161B">
        <w:rPr>
          <w:rFonts w:asciiTheme="minorHAnsi" w:hAnsiTheme="minorHAnsi"/>
          <w:color w:val="auto"/>
          <w:szCs w:val="24"/>
        </w:rPr>
        <w:t>hondromalacia.</w:t>
      </w:r>
    </w:p>
    <w:p w:rsidR="008B6DDA" w:rsidRPr="0012161B" w:rsidRDefault="008B6DDA" w:rsidP="001E2883">
      <w:pPr>
        <w:tabs>
          <w:tab w:val="left" w:pos="2980"/>
        </w:tabs>
        <w:spacing w:line="240" w:lineRule="exact"/>
        <w:jc w:val="both"/>
        <w:rPr>
          <w:rFonts w:asciiTheme="minorHAnsi" w:hAnsiTheme="minorHAnsi"/>
          <w:color w:val="auto"/>
          <w:szCs w:val="24"/>
          <w:u w:val="single"/>
        </w:rPr>
      </w:pPr>
    </w:p>
    <w:p w:rsidR="00D03A0A" w:rsidRPr="0012161B" w:rsidRDefault="00D03A0A" w:rsidP="001E2883">
      <w:pPr>
        <w:tabs>
          <w:tab w:val="left" w:pos="2980"/>
        </w:tabs>
        <w:spacing w:line="240" w:lineRule="exact"/>
        <w:jc w:val="both"/>
        <w:rPr>
          <w:rFonts w:asciiTheme="minorHAnsi" w:hAnsiTheme="minorHAnsi"/>
          <w:color w:val="auto"/>
          <w:szCs w:val="24"/>
        </w:rPr>
      </w:pPr>
      <w:proofErr w:type="gramStart"/>
      <w:r w:rsidRPr="0012161B">
        <w:rPr>
          <w:rFonts w:asciiTheme="minorHAnsi" w:hAnsiTheme="minorHAnsi"/>
          <w:color w:val="auto"/>
          <w:szCs w:val="24"/>
          <w:u w:val="single"/>
        </w:rPr>
        <w:t xml:space="preserve">Left Knee </w:t>
      </w:r>
      <w:proofErr w:type="spellStart"/>
      <w:r w:rsidRPr="0012161B">
        <w:rPr>
          <w:rFonts w:asciiTheme="minorHAnsi" w:hAnsiTheme="minorHAnsi"/>
          <w:color w:val="auto"/>
          <w:szCs w:val="24"/>
          <w:u w:val="single"/>
        </w:rPr>
        <w:t>Plica</w:t>
      </w:r>
      <w:proofErr w:type="spellEnd"/>
      <w:r w:rsidR="006E29DF">
        <w:rPr>
          <w:rFonts w:asciiTheme="minorHAnsi" w:hAnsiTheme="minorHAnsi"/>
          <w:color w:val="auto"/>
          <w:szCs w:val="24"/>
          <w:u w:val="single"/>
        </w:rPr>
        <w:t>.</w:t>
      </w:r>
      <w:proofErr w:type="gramEnd"/>
      <w:r w:rsidRPr="0012161B">
        <w:rPr>
          <w:rFonts w:asciiTheme="minorHAnsi" w:hAnsiTheme="minorHAnsi"/>
          <w:color w:val="auto"/>
          <w:szCs w:val="24"/>
        </w:rPr>
        <w:t xml:space="preserve">  The PEB found the </w:t>
      </w:r>
      <w:r w:rsidR="006E29DF">
        <w:rPr>
          <w:rFonts w:asciiTheme="minorHAnsi" w:hAnsiTheme="minorHAnsi"/>
          <w:color w:val="auto"/>
          <w:szCs w:val="24"/>
        </w:rPr>
        <w:t>l</w:t>
      </w:r>
      <w:r w:rsidRPr="0012161B">
        <w:rPr>
          <w:rFonts w:asciiTheme="minorHAnsi" w:hAnsiTheme="minorHAnsi"/>
          <w:color w:val="auto"/>
          <w:szCs w:val="24"/>
        </w:rPr>
        <w:t xml:space="preserve">eft </w:t>
      </w:r>
      <w:r w:rsidR="006E29DF">
        <w:rPr>
          <w:rFonts w:asciiTheme="minorHAnsi" w:hAnsiTheme="minorHAnsi"/>
          <w:color w:val="auto"/>
          <w:szCs w:val="24"/>
        </w:rPr>
        <w:t>k</w:t>
      </w:r>
      <w:r w:rsidRPr="0012161B">
        <w:rPr>
          <w:rFonts w:asciiTheme="minorHAnsi" w:hAnsiTheme="minorHAnsi"/>
          <w:color w:val="auto"/>
          <w:szCs w:val="24"/>
        </w:rPr>
        <w:t xml:space="preserve">nee </w:t>
      </w:r>
      <w:proofErr w:type="spellStart"/>
      <w:r w:rsidR="006E29DF">
        <w:rPr>
          <w:rFonts w:asciiTheme="minorHAnsi" w:hAnsiTheme="minorHAnsi"/>
          <w:color w:val="auto"/>
          <w:szCs w:val="24"/>
        </w:rPr>
        <w:t>p</w:t>
      </w:r>
      <w:r w:rsidRPr="0012161B">
        <w:rPr>
          <w:rFonts w:asciiTheme="minorHAnsi" w:hAnsiTheme="minorHAnsi"/>
          <w:color w:val="auto"/>
          <w:szCs w:val="24"/>
        </w:rPr>
        <w:t>lica</w:t>
      </w:r>
      <w:proofErr w:type="spellEnd"/>
      <w:r w:rsidRPr="0012161B">
        <w:rPr>
          <w:rFonts w:asciiTheme="minorHAnsi" w:hAnsiTheme="minorHAnsi"/>
          <w:color w:val="auto"/>
          <w:szCs w:val="24"/>
        </w:rPr>
        <w:t xml:space="preserve"> as a </w:t>
      </w:r>
      <w:r w:rsidR="006E29DF">
        <w:rPr>
          <w:rFonts w:asciiTheme="minorHAnsi" w:hAnsiTheme="minorHAnsi"/>
          <w:color w:val="auto"/>
          <w:szCs w:val="24"/>
        </w:rPr>
        <w:t>c</w:t>
      </w:r>
      <w:r w:rsidRPr="0012161B">
        <w:rPr>
          <w:rFonts w:asciiTheme="minorHAnsi" w:hAnsiTheme="minorHAnsi"/>
          <w:color w:val="auto"/>
          <w:szCs w:val="24"/>
        </w:rPr>
        <w:t>ategory II condition</w:t>
      </w:r>
      <w:r w:rsidR="00507542">
        <w:rPr>
          <w:rFonts w:asciiTheme="minorHAnsi" w:hAnsiTheme="minorHAnsi"/>
          <w:color w:val="auto"/>
          <w:szCs w:val="24"/>
        </w:rPr>
        <w:t xml:space="preserve">.  </w:t>
      </w:r>
      <w:r w:rsidR="00A862F3" w:rsidRPr="0012161B">
        <w:rPr>
          <w:rFonts w:asciiTheme="minorHAnsi" w:hAnsiTheme="minorHAnsi"/>
          <w:color w:val="auto"/>
          <w:szCs w:val="24"/>
        </w:rPr>
        <w:t xml:space="preserve">The </w:t>
      </w:r>
      <w:r w:rsidR="006E29DF">
        <w:rPr>
          <w:rFonts w:asciiTheme="minorHAnsi" w:hAnsiTheme="minorHAnsi"/>
          <w:color w:val="auto"/>
          <w:szCs w:val="24"/>
        </w:rPr>
        <w:t>n</w:t>
      </w:r>
      <w:r w:rsidR="00A862F3" w:rsidRPr="0012161B">
        <w:rPr>
          <w:rFonts w:asciiTheme="minorHAnsi" w:hAnsiTheme="minorHAnsi"/>
          <w:color w:val="auto"/>
          <w:szCs w:val="24"/>
        </w:rPr>
        <w:t xml:space="preserve">arrative </w:t>
      </w:r>
      <w:r w:rsidR="006E29DF">
        <w:rPr>
          <w:rFonts w:asciiTheme="minorHAnsi" w:hAnsiTheme="minorHAnsi"/>
          <w:color w:val="auto"/>
          <w:szCs w:val="24"/>
        </w:rPr>
        <w:t>s</w:t>
      </w:r>
      <w:r w:rsidR="00A862F3" w:rsidRPr="0012161B">
        <w:rPr>
          <w:rFonts w:asciiTheme="minorHAnsi" w:hAnsiTheme="minorHAnsi"/>
          <w:color w:val="auto"/>
          <w:szCs w:val="24"/>
        </w:rPr>
        <w:t xml:space="preserve">ummary </w:t>
      </w:r>
      <w:r w:rsidR="001E2883" w:rsidRPr="0012161B">
        <w:rPr>
          <w:rFonts w:asciiTheme="minorHAnsi" w:hAnsiTheme="minorHAnsi"/>
          <w:color w:val="auto"/>
          <w:szCs w:val="24"/>
        </w:rPr>
        <w:t>examiner</w:t>
      </w:r>
      <w:r w:rsidR="00A862F3" w:rsidRPr="0012161B">
        <w:rPr>
          <w:rFonts w:asciiTheme="minorHAnsi" w:hAnsiTheme="minorHAnsi"/>
          <w:color w:val="auto"/>
          <w:szCs w:val="24"/>
        </w:rPr>
        <w:t xml:space="preserve"> </w:t>
      </w:r>
      <w:r w:rsidR="001E2883" w:rsidRPr="0012161B">
        <w:rPr>
          <w:rFonts w:asciiTheme="minorHAnsi" w:hAnsiTheme="minorHAnsi"/>
          <w:color w:val="auto"/>
          <w:szCs w:val="24"/>
        </w:rPr>
        <w:t>documented</w:t>
      </w:r>
      <w:r w:rsidR="00A862F3" w:rsidRPr="0012161B">
        <w:rPr>
          <w:rFonts w:asciiTheme="minorHAnsi" w:hAnsiTheme="minorHAnsi"/>
          <w:color w:val="auto"/>
          <w:szCs w:val="24"/>
        </w:rPr>
        <w:t xml:space="preserve"> that the CI had the plica debrided during the left knee cartilage debridement in 2006.  There is no further discussion of this condition </w:t>
      </w:r>
      <w:r w:rsidR="00FB2CC9" w:rsidRPr="0012161B">
        <w:rPr>
          <w:rFonts w:asciiTheme="minorHAnsi" w:hAnsiTheme="minorHAnsi"/>
          <w:color w:val="auto"/>
          <w:szCs w:val="24"/>
        </w:rPr>
        <w:t xml:space="preserve">in either the PT exams </w:t>
      </w:r>
      <w:r w:rsidR="001E2883" w:rsidRPr="0012161B">
        <w:rPr>
          <w:rFonts w:asciiTheme="minorHAnsi" w:hAnsiTheme="minorHAnsi"/>
          <w:color w:val="auto"/>
          <w:szCs w:val="24"/>
        </w:rPr>
        <w:t>or</w:t>
      </w:r>
      <w:r w:rsidR="00A862F3" w:rsidRPr="0012161B">
        <w:rPr>
          <w:rFonts w:asciiTheme="minorHAnsi" w:hAnsiTheme="minorHAnsi"/>
          <w:color w:val="auto"/>
          <w:szCs w:val="24"/>
        </w:rPr>
        <w:t xml:space="preserve"> in the VA C&amp;P exam post</w:t>
      </w:r>
      <w:r w:rsidR="006E29DF">
        <w:rPr>
          <w:rFonts w:asciiTheme="minorHAnsi" w:hAnsiTheme="minorHAnsi"/>
          <w:color w:val="auto"/>
          <w:szCs w:val="24"/>
        </w:rPr>
        <w:t>-</w:t>
      </w:r>
      <w:r w:rsidR="00A862F3" w:rsidRPr="0012161B">
        <w:rPr>
          <w:rFonts w:asciiTheme="minorHAnsi" w:hAnsiTheme="minorHAnsi"/>
          <w:color w:val="auto"/>
          <w:szCs w:val="24"/>
        </w:rPr>
        <w:t xml:space="preserve">separation.  </w:t>
      </w:r>
      <w:r w:rsidR="00FB2CC9" w:rsidRPr="0012161B">
        <w:rPr>
          <w:rFonts w:asciiTheme="minorHAnsi" w:hAnsiTheme="minorHAnsi"/>
          <w:color w:val="auto"/>
          <w:szCs w:val="24"/>
        </w:rPr>
        <w:t xml:space="preserve">Any contribution of painful motion to the knee from this condition was considered in the CI’s primary unfitting coding above.  </w:t>
      </w:r>
      <w:r w:rsidR="00A862F3" w:rsidRPr="0012161B">
        <w:rPr>
          <w:rFonts w:asciiTheme="minorHAnsi" w:hAnsiTheme="minorHAnsi"/>
          <w:color w:val="auto"/>
          <w:szCs w:val="24"/>
        </w:rPr>
        <w:t xml:space="preserve">After a review of all of the findings, the Board therefore has no reasonable basis for recommending the </w:t>
      </w:r>
      <w:r w:rsidR="006E29DF">
        <w:rPr>
          <w:rFonts w:asciiTheme="minorHAnsi" w:hAnsiTheme="minorHAnsi"/>
          <w:color w:val="auto"/>
          <w:szCs w:val="24"/>
        </w:rPr>
        <w:t>l</w:t>
      </w:r>
      <w:r w:rsidR="00A862F3" w:rsidRPr="0012161B">
        <w:rPr>
          <w:rFonts w:asciiTheme="minorHAnsi" w:hAnsiTheme="minorHAnsi"/>
          <w:color w:val="auto"/>
          <w:szCs w:val="24"/>
        </w:rPr>
        <w:t xml:space="preserve">eft </w:t>
      </w:r>
      <w:r w:rsidR="006E29DF">
        <w:rPr>
          <w:rFonts w:asciiTheme="minorHAnsi" w:hAnsiTheme="minorHAnsi"/>
          <w:color w:val="auto"/>
          <w:szCs w:val="24"/>
        </w:rPr>
        <w:t>k</w:t>
      </w:r>
      <w:r w:rsidR="00A862F3" w:rsidRPr="0012161B">
        <w:rPr>
          <w:rFonts w:asciiTheme="minorHAnsi" w:hAnsiTheme="minorHAnsi"/>
          <w:color w:val="auto"/>
          <w:szCs w:val="24"/>
        </w:rPr>
        <w:t xml:space="preserve">nee </w:t>
      </w:r>
      <w:proofErr w:type="spellStart"/>
      <w:r w:rsidR="006E29DF">
        <w:rPr>
          <w:rFonts w:asciiTheme="minorHAnsi" w:hAnsiTheme="minorHAnsi"/>
          <w:color w:val="auto"/>
          <w:szCs w:val="24"/>
        </w:rPr>
        <w:t>p</w:t>
      </w:r>
      <w:r w:rsidR="00A862F3" w:rsidRPr="0012161B">
        <w:rPr>
          <w:rFonts w:asciiTheme="minorHAnsi" w:hAnsiTheme="minorHAnsi"/>
          <w:color w:val="auto"/>
          <w:szCs w:val="24"/>
        </w:rPr>
        <w:t>lica</w:t>
      </w:r>
      <w:proofErr w:type="spellEnd"/>
      <w:r w:rsidR="00A862F3" w:rsidRPr="0012161B">
        <w:rPr>
          <w:rFonts w:asciiTheme="minorHAnsi" w:hAnsiTheme="minorHAnsi"/>
          <w:color w:val="auto"/>
          <w:szCs w:val="24"/>
        </w:rPr>
        <w:t xml:space="preserve"> as an unfitting condition for separation rating.</w:t>
      </w:r>
    </w:p>
    <w:p w:rsidR="00D03A0A" w:rsidRPr="0012161B" w:rsidRDefault="00D03A0A" w:rsidP="001E2883">
      <w:pPr>
        <w:tabs>
          <w:tab w:val="left" w:pos="2980"/>
        </w:tabs>
        <w:spacing w:line="240" w:lineRule="exact"/>
        <w:jc w:val="both"/>
        <w:rPr>
          <w:rFonts w:asciiTheme="minorHAnsi" w:hAnsiTheme="minorHAnsi"/>
          <w:color w:val="auto"/>
          <w:szCs w:val="24"/>
          <w:u w:val="single"/>
        </w:rPr>
      </w:pPr>
    </w:p>
    <w:p w:rsidR="005C69B2" w:rsidRPr="0012161B" w:rsidRDefault="00A862F3" w:rsidP="001E2883">
      <w:pPr>
        <w:tabs>
          <w:tab w:val="left" w:pos="2980"/>
        </w:tabs>
        <w:spacing w:line="240" w:lineRule="exact"/>
        <w:jc w:val="both"/>
        <w:rPr>
          <w:rFonts w:asciiTheme="minorHAnsi" w:hAnsiTheme="minorHAnsi"/>
          <w:color w:val="auto"/>
          <w:szCs w:val="24"/>
        </w:rPr>
      </w:pPr>
      <w:r w:rsidRPr="0012161B">
        <w:rPr>
          <w:rFonts w:asciiTheme="minorHAnsi" w:hAnsiTheme="minorHAnsi"/>
          <w:color w:val="auto"/>
          <w:szCs w:val="24"/>
          <w:u w:val="single"/>
        </w:rPr>
        <w:t>Left Anterior Compartment Fasciotomies</w:t>
      </w:r>
      <w:r w:rsidR="006E29DF">
        <w:rPr>
          <w:rFonts w:asciiTheme="minorHAnsi" w:hAnsiTheme="minorHAnsi"/>
          <w:color w:val="auto"/>
          <w:szCs w:val="24"/>
          <w:u w:val="single"/>
        </w:rPr>
        <w:t>.</w:t>
      </w:r>
      <w:r w:rsidRPr="0012161B">
        <w:rPr>
          <w:rFonts w:asciiTheme="minorHAnsi" w:hAnsiTheme="minorHAnsi"/>
          <w:color w:val="auto"/>
          <w:szCs w:val="24"/>
        </w:rPr>
        <w:t xml:space="preserve">  The PEB found the </w:t>
      </w:r>
      <w:r w:rsidR="006E29DF">
        <w:rPr>
          <w:rFonts w:asciiTheme="minorHAnsi" w:hAnsiTheme="minorHAnsi"/>
          <w:color w:val="auto"/>
          <w:szCs w:val="24"/>
        </w:rPr>
        <w:t>l</w:t>
      </w:r>
      <w:r w:rsidRPr="0012161B">
        <w:rPr>
          <w:rFonts w:asciiTheme="minorHAnsi" w:hAnsiTheme="minorHAnsi"/>
          <w:color w:val="auto"/>
          <w:szCs w:val="24"/>
        </w:rPr>
        <w:t xml:space="preserve">eft </w:t>
      </w:r>
      <w:r w:rsidR="006E29DF">
        <w:rPr>
          <w:rFonts w:asciiTheme="minorHAnsi" w:hAnsiTheme="minorHAnsi"/>
          <w:color w:val="auto"/>
          <w:szCs w:val="24"/>
        </w:rPr>
        <w:t>a</w:t>
      </w:r>
      <w:r w:rsidRPr="0012161B">
        <w:rPr>
          <w:rFonts w:asciiTheme="minorHAnsi" w:hAnsiTheme="minorHAnsi"/>
          <w:color w:val="auto"/>
          <w:szCs w:val="24"/>
        </w:rPr>
        <w:t xml:space="preserve">nterior </w:t>
      </w:r>
      <w:r w:rsidR="006E29DF">
        <w:rPr>
          <w:rFonts w:asciiTheme="minorHAnsi" w:hAnsiTheme="minorHAnsi"/>
          <w:color w:val="auto"/>
          <w:szCs w:val="24"/>
        </w:rPr>
        <w:t>c</w:t>
      </w:r>
      <w:r w:rsidRPr="0012161B">
        <w:rPr>
          <w:rFonts w:asciiTheme="minorHAnsi" w:hAnsiTheme="minorHAnsi"/>
          <w:color w:val="auto"/>
          <w:szCs w:val="24"/>
        </w:rPr>
        <w:t xml:space="preserve">ompartment </w:t>
      </w:r>
      <w:r w:rsidR="006E29DF">
        <w:rPr>
          <w:rFonts w:asciiTheme="minorHAnsi" w:hAnsiTheme="minorHAnsi"/>
          <w:color w:val="auto"/>
          <w:szCs w:val="24"/>
        </w:rPr>
        <w:t>f</w:t>
      </w:r>
      <w:r w:rsidRPr="0012161B">
        <w:rPr>
          <w:rFonts w:asciiTheme="minorHAnsi" w:hAnsiTheme="minorHAnsi"/>
          <w:color w:val="auto"/>
          <w:szCs w:val="24"/>
        </w:rPr>
        <w:t xml:space="preserve">asciotomies as a </w:t>
      </w:r>
      <w:r w:rsidR="006E29DF">
        <w:rPr>
          <w:rFonts w:asciiTheme="minorHAnsi" w:hAnsiTheme="minorHAnsi"/>
          <w:color w:val="auto"/>
          <w:szCs w:val="24"/>
        </w:rPr>
        <w:t>c</w:t>
      </w:r>
      <w:r w:rsidRPr="0012161B">
        <w:rPr>
          <w:rFonts w:asciiTheme="minorHAnsi" w:hAnsiTheme="minorHAnsi"/>
          <w:color w:val="auto"/>
          <w:szCs w:val="24"/>
        </w:rPr>
        <w:t>ategory II condition (</w:t>
      </w:r>
      <w:r w:rsidR="006E29DF">
        <w:rPr>
          <w:rFonts w:asciiTheme="minorHAnsi" w:hAnsiTheme="minorHAnsi"/>
          <w:color w:val="auto"/>
          <w:szCs w:val="24"/>
        </w:rPr>
        <w:t>c</w:t>
      </w:r>
      <w:r w:rsidRPr="0012161B">
        <w:rPr>
          <w:rFonts w:asciiTheme="minorHAnsi" w:hAnsiTheme="minorHAnsi"/>
          <w:color w:val="auto"/>
          <w:szCs w:val="24"/>
        </w:rPr>
        <w:t xml:space="preserve">onditions that </w:t>
      </w:r>
      <w:r w:rsidR="001E2883" w:rsidRPr="0012161B">
        <w:rPr>
          <w:rFonts w:asciiTheme="minorHAnsi" w:hAnsiTheme="minorHAnsi"/>
          <w:color w:val="auto"/>
          <w:szCs w:val="24"/>
        </w:rPr>
        <w:t>contribute</w:t>
      </w:r>
      <w:r w:rsidRPr="0012161B">
        <w:rPr>
          <w:rFonts w:asciiTheme="minorHAnsi" w:hAnsiTheme="minorHAnsi"/>
          <w:color w:val="auto"/>
          <w:szCs w:val="24"/>
        </w:rPr>
        <w:t xml:space="preserve"> to the unfitting condition).  The CI had the anterior-lateral </w:t>
      </w:r>
      <w:r w:rsidR="005C69B2" w:rsidRPr="0012161B">
        <w:rPr>
          <w:rFonts w:asciiTheme="minorHAnsi" w:hAnsiTheme="minorHAnsi"/>
          <w:color w:val="auto"/>
          <w:szCs w:val="24"/>
        </w:rPr>
        <w:t>fasciotomies in</w:t>
      </w:r>
      <w:r w:rsidRPr="0012161B">
        <w:rPr>
          <w:rFonts w:asciiTheme="minorHAnsi" w:hAnsiTheme="minorHAnsi"/>
          <w:color w:val="auto"/>
          <w:szCs w:val="24"/>
        </w:rPr>
        <w:t xml:space="preserve"> </w:t>
      </w:r>
      <w:r w:rsidR="006E29DF">
        <w:rPr>
          <w:rFonts w:asciiTheme="minorHAnsi" w:hAnsiTheme="minorHAnsi"/>
          <w:color w:val="auto"/>
          <w:szCs w:val="24"/>
        </w:rPr>
        <w:t xml:space="preserve">28 July </w:t>
      </w:r>
      <w:r w:rsidRPr="0012161B">
        <w:rPr>
          <w:rFonts w:asciiTheme="minorHAnsi" w:hAnsiTheme="minorHAnsi"/>
          <w:color w:val="auto"/>
          <w:szCs w:val="24"/>
        </w:rPr>
        <w:t>2003</w:t>
      </w:r>
      <w:r w:rsidR="005C69B2" w:rsidRPr="0012161B">
        <w:rPr>
          <w:rFonts w:asciiTheme="minorHAnsi" w:hAnsiTheme="minorHAnsi"/>
          <w:color w:val="auto"/>
          <w:szCs w:val="24"/>
        </w:rPr>
        <w:t>.</w:t>
      </w:r>
      <w:r w:rsidR="00FB2CC9" w:rsidRPr="0012161B">
        <w:rPr>
          <w:rFonts w:asciiTheme="minorHAnsi" w:hAnsiTheme="minorHAnsi"/>
          <w:color w:val="auto"/>
          <w:szCs w:val="24"/>
        </w:rPr>
        <w:t xml:space="preserve">  </w:t>
      </w:r>
      <w:r w:rsidR="005C69B2" w:rsidRPr="0012161B">
        <w:rPr>
          <w:rFonts w:asciiTheme="minorHAnsi" w:hAnsiTheme="minorHAnsi"/>
          <w:color w:val="auto"/>
          <w:szCs w:val="24"/>
        </w:rPr>
        <w:t xml:space="preserve">He underwent PT as part of his treatment for the left knee </w:t>
      </w:r>
      <w:r w:rsidR="001E2883" w:rsidRPr="0012161B">
        <w:rPr>
          <w:rFonts w:asciiTheme="minorHAnsi" w:hAnsiTheme="minorHAnsi"/>
          <w:color w:val="auto"/>
          <w:szCs w:val="24"/>
        </w:rPr>
        <w:t>chondromalacia</w:t>
      </w:r>
      <w:r w:rsidR="005C69B2" w:rsidRPr="0012161B">
        <w:rPr>
          <w:rFonts w:asciiTheme="minorHAnsi" w:hAnsiTheme="minorHAnsi"/>
          <w:color w:val="auto"/>
          <w:szCs w:val="24"/>
        </w:rPr>
        <w:t xml:space="preserve">.  There is not a separate evaluation of this </w:t>
      </w:r>
      <w:r w:rsidR="00D079A0" w:rsidRPr="0012161B">
        <w:rPr>
          <w:rFonts w:asciiTheme="minorHAnsi" w:hAnsiTheme="minorHAnsi"/>
          <w:color w:val="auto"/>
          <w:szCs w:val="24"/>
        </w:rPr>
        <w:t>condition</w:t>
      </w:r>
      <w:r w:rsidR="00FB2CC9" w:rsidRPr="0012161B">
        <w:rPr>
          <w:rFonts w:asciiTheme="minorHAnsi" w:hAnsiTheme="minorHAnsi"/>
          <w:color w:val="auto"/>
          <w:szCs w:val="24"/>
        </w:rPr>
        <w:t xml:space="preserve"> and no indication of disability or interference in performance of duties attributable to this condition</w:t>
      </w:r>
      <w:r w:rsidR="005C69B2" w:rsidRPr="0012161B">
        <w:rPr>
          <w:rFonts w:asciiTheme="minorHAnsi" w:hAnsiTheme="minorHAnsi"/>
          <w:color w:val="auto"/>
          <w:szCs w:val="24"/>
        </w:rPr>
        <w:t xml:space="preserve">. </w:t>
      </w:r>
      <w:r w:rsidR="00FB2CC9" w:rsidRPr="0012161B">
        <w:rPr>
          <w:rFonts w:asciiTheme="minorHAnsi" w:hAnsiTheme="minorHAnsi"/>
          <w:color w:val="auto"/>
          <w:szCs w:val="24"/>
        </w:rPr>
        <w:t xml:space="preserve"> </w:t>
      </w:r>
      <w:r w:rsidR="005C69B2" w:rsidRPr="0012161B">
        <w:rPr>
          <w:rFonts w:asciiTheme="minorHAnsi" w:hAnsiTheme="minorHAnsi"/>
          <w:color w:val="auto"/>
          <w:szCs w:val="24"/>
        </w:rPr>
        <w:t xml:space="preserve">After a review of all of the findings, the Board therefore has no reasonable basis for recommending the </w:t>
      </w:r>
      <w:r w:rsidR="006E29DF">
        <w:rPr>
          <w:rFonts w:asciiTheme="minorHAnsi" w:hAnsiTheme="minorHAnsi"/>
          <w:color w:val="auto"/>
          <w:szCs w:val="24"/>
        </w:rPr>
        <w:t>l</w:t>
      </w:r>
      <w:r w:rsidR="005C69B2" w:rsidRPr="0012161B">
        <w:rPr>
          <w:rFonts w:asciiTheme="minorHAnsi" w:hAnsiTheme="minorHAnsi"/>
          <w:color w:val="auto"/>
          <w:szCs w:val="24"/>
        </w:rPr>
        <w:t xml:space="preserve">eft </w:t>
      </w:r>
      <w:r w:rsidR="006E29DF">
        <w:rPr>
          <w:rFonts w:asciiTheme="minorHAnsi" w:hAnsiTheme="minorHAnsi"/>
          <w:color w:val="auto"/>
          <w:szCs w:val="24"/>
        </w:rPr>
        <w:t>a</w:t>
      </w:r>
      <w:r w:rsidR="005C69B2" w:rsidRPr="0012161B">
        <w:rPr>
          <w:rFonts w:asciiTheme="minorHAnsi" w:hAnsiTheme="minorHAnsi"/>
          <w:color w:val="auto"/>
          <w:szCs w:val="24"/>
        </w:rPr>
        <w:t xml:space="preserve">nterior </w:t>
      </w:r>
      <w:r w:rsidR="006E29DF">
        <w:rPr>
          <w:rFonts w:asciiTheme="minorHAnsi" w:hAnsiTheme="minorHAnsi"/>
          <w:color w:val="auto"/>
          <w:szCs w:val="24"/>
        </w:rPr>
        <w:t>c</w:t>
      </w:r>
      <w:r w:rsidR="005C69B2" w:rsidRPr="0012161B">
        <w:rPr>
          <w:rFonts w:asciiTheme="minorHAnsi" w:hAnsiTheme="minorHAnsi"/>
          <w:color w:val="auto"/>
          <w:szCs w:val="24"/>
        </w:rPr>
        <w:t xml:space="preserve">ompartment </w:t>
      </w:r>
      <w:r w:rsidR="006E29DF">
        <w:rPr>
          <w:rFonts w:asciiTheme="minorHAnsi" w:hAnsiTheme="minorHAnsi"/>
          <w:color w:val="auto"/>
          <w:szCs w:val="24"/>
        </w:rPr>
        <w:t>f</w:t>
      </w:r>
      <w:r w:rsidR="005C69B2" w:rsidRPr="0012161B">
        <w:rPr>
          <w:rFonts w:asciiTheme="minorHAnsi" w:hAnsiTheme="minorHAnsi"/>
          <w:color w:val="auto"/>
          <w:szCs w:val="24"/>
        </w:rPr>
        <w:t>asciotomies as an unfitting condition for separation rating.</w:t>
      </w:r>
    </w:p>
    <w:p w:rsidR="00D079A0" w:rsidRPr="0012161B" w:rsidRDefault="00D079A0" w:rsidP="001E2883">
      <w:pPr>
        <w:tabs>
          <w:tab w:val="left" w:pos="2980"/>
        </w:tabs>
        <w:spacing w:line="240" w:lineRule="exact"/>
        <w:jc w:val="both"/>
        <w:rPr>
          <w:rFonts w:asciiTheme="minorHAnsi" w:hAnsiTheme="minorHAnsi"/>
          <w:color w:val="auto"/>
          <w:szCs w:val="24"/>
        </w:rPr>
      </w:pPr>
    </w:p>
    <w:p w:rsidR="00E700DC" w:rsidRPr="0012161B" w:rsidRDefault="00E700DC" w:rsidP="00E700DC">
      <w:pPr>
        <w:tabs>
          <w:tab w:val="left" w:pos="2980"/>
        </w:tabs>
        <w:spacing w:line="240" w:lineRule="exact"/>
        <w:jc w:val="both"/>
        <w:rPr>
          <w:rFonts w:asciiTheme="minorHAnsi" w:hAnsiTheme="minorHAnsi"/>
          <w:color w:val="auto"/>
          <w:szCs w:val="24"/>
        </w:rPr>
      </w:pPr>
      <w:r w:rsidRPr="0012161B">
        <w:rPr>
          <w:rFonts w:asciiTheme="minorHAnsi" w:hAnsiTheme="minorHAnsi"/>
          <w:color w:val="auto"/>
          <w:szCs w:val="24"/>
          <w:u w:val="single"/>
        </w:rPr>
        <w:t>Remaining Conditions</w:t>
      </w:r>
      <w:r w:rsidRPr="0012161B">
        <w:rPr>
          <w:rFonts w:asciiTheme="minorHAnsi" w:hAnsiTheme="minorHAnsi"/>
          <w:color w:val="auto"/>
          <w:szCs w:val="24"/>
        </w:rPr>
        <w:t xml:space="preserve">.  The CI contends for his wrist and hypertension which were identified in the </w:t>
      </w:r>
      <w:r w:rsidR="006E29DF">
        <w:rPr>
          <w:rFonts w:asciiTheme="minorHAnsi" w:hAnsiTheme="minorHAnsi"/>
          <w:color w:val="auto"/>
          <w:szCs w:val="24"/>
        </w:rPr>
        <w:t>D</w:t>
      </w:r>
      <w:r w:rsidRPr="0012161B">
        <w:rPr>
          <w:rFonts w:asciiTheme="minorHAnsi" w:hAnsiTheme="minorHAnsi"/>
          <w:color w:val="auto"/>
          <w:szCs w:val="24"/>
        </w:rPr>
        <w:t xml:space="preserve">ES file.  Neither of these conditions were significantly clinically active during the MEB period, neither was occupationally significant, the basis for limited duty, or implicated in the </w:t>
      </w:r>
      <w:r w:rsidR="006E29DF">
        <w:rPr>
          <w:rFonts w:asciiTheme="minorHAnsi" w:hAnsiTheme="minorHAnsi"/>
          <w:color w:val="auto"/>
          <w:szCs w:val="24"/>
        </w:rPr>
        <w:t>non-medical assessment</w:t>
      </w:r>
      <w:r w:rsidRPr="0012161B">
        <w:rPr>
          <w:rFonts w:asciiTheme="minorHAnsi" w:hAnsiTheme="minorHAnsi"/>
          <w:color w:val="auto"/>
          <w:szCs w:val="24"/>
        </w:rPr>
        <w:t>.  These conditions were reviewed by the action officer and considered by the Board.  It was determined that neither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A90D55" w:rsidRPr="0012161B" w:rsidRDefault="008B5D31" w:rsidP="001E2883">
      <w:pPr>
        <w:tabs>
          <w:tab w:val="left" w:pos="2980"/>
        </w:tabs>
        <w:spacing w:line="240" w:lineRule="exact"/>
        <w:jc w:val="both"/>
        <w:rPr>
          <w:rFonts w:asciiTheme="minorHAnsi" w:hAnsiTheme="minorHAnsi"/>
          <w:color w:val="auto"/>
          <w:szCs w:val="24"/>
        </w:rPr>
      </w:pPr>
      <w:r w:rsidRPr="0012161B">
        <w:rPr>
          <w:rFonts w:asciiTheme="minorHAnsi" w:hAnsiTheme="minorHAnsi"/>
          <w:color w:val="auto"/>
          <w:u w:val="single"/>
        </w:rPr>
        <w:t>______________________________________________________</w:t>
      </w:r>
      <w:r w:rsidR="005C69B2" w:rsidRPr="0012161B">
        <w:rPr>
          <w:rFonts w:asciiTheme="minorHAnsi" w:hAnsiTheme="minorHAnsi"/>
          <w:color w:val="auto"/>
          <w:u w:val="single"/>
        </w:rPr>
        <w:t>________________________</w:t>
      </w:r>
    </w:p>
    <w:p w:rsidR="00FB2CC9" w:rsidRPr="0012161B" w:rsidRDefault="00FB2CC9" w:rsidP="001E2883">
      <w:pPr>
        <w:tabs>
          <w:tab w:val="left" w:pos="2980"/>
        </w:tabs>
        <w:spacing w:line="240" w:lineRule="exact"/>
        <w:jc w:val="both"/>
        <w:rPr>
          <w:rFonts w:asciiTheme="minorHAnsi" w:hAnsiTheme="minorHAnsi"/>
          <w:color w:val="auto"/>
          <w:szCs w:val="24"/>
          <w:u w:val="single"/>
        </w:rPr>
      </w:pPr>
    </w:p>
    <w:p w:rsidR="005C69B2" w:rsidRPr="0012161B" w:rsidRDefault="00C56FC8" w:rsidP="001E2883">
      <w:pPr>
        <w:tabs>
          <w:tab w:val="left" w:pos="2980"/>
        </w:tabs>
        <w:spacing w:line="240" w:lineRule="exact"/>
        <w:jc w:val="both"/>
        <w:rPr>
          <w:rFonts w:asciiTheme="minorHAnsi" w:hAnsiTheme="minorHAnsi"/>
          <w:color w:val="auto"/>
          <w:szCs w:val="24"/>
        </w:rPr>
      </w:pPr>
      <w:r w:rsidRPr="0012161B">
        <w:rPr>
          <w:rFonts w:asciiTheme="minorHAnsi" w:hAnsiTheme="minorHAnsi"/>
          <w:color w:val="auto"/>
          <w:szCs w:val="24"/>
          <w:u w:val="single"/>
        </w:rPr>
        <w:t>BOARD FINDINGS</w:t>
      </w:r>
      <w:r w:rsidRPr="0012161B">
        <w:rPr>
          <w:rFonts w:asciiTheme="minorHAnsi" w:hAnsiTheme="minorHAnsi"/>
          <w:color w:val="auto"/>
          <w:szCs w:val="24"/>
        </w:rPr>
        <w:t>:</w:t>
      </w:r>
      <w:r w:rsidRPr="0012161B">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12161B">
        <w:rPr>
          <w:rFonts w:asciiTheme="minorHAnsi" w:eastAsiaTheme="minorHAnsi" w:hAnsiTheme="minorHAnsi"/>
          <w:color w:val="auto"/>
          <w:szCs w:val="24"/>
        </w:rPr>
        <w:t xml:space="preserve"> </w:t>
      </w:r>
      <w:r w:rsidR="005C69B2" w:rsidRPr="0012161B">
        <w:rPr>
          <w:rFonts w:asciiTheme="minorHAnsi" w:eastAsiaTheme="minorHAnsi" w:hAnsiTheme="minorHAnsi"/>
          <w:color w:val="auto"/>
          <w:szCs w:val="24"/>
        </w:rPr>
        <w:t xml:space="preserve">In the matter of the </w:t>
      </w:r>
      <w:r w:rsidR="006E29DF">
        <w:rPr>
          <w:rFonts w:asciiTheme="minorHAnsi" w:eastAsiaTheme="minorHAnsi" w:hAnsiTheme="minorHAnsi"/>
          <w:color w:val="auto"/>
          <w:szCs w:val="24"/>
        </w:rPr>
        <w:t>l</w:t>
      </w:r>
      <w:r w:rsidR="005C69B2" w:rsidRPr="0012161B">
        <w:rPr>
          <w:rFonts w:asciiTheme="minorHAnsi" w:hAnsiTheme="minorHAnsi"/>
          <w:color w:val="auto"/>
          <w:szCs w:val="24"/>
        </w:rPr>
        <w:t xml:space="preserve">eft </w:t>
      </w:r>
      <w:r w:rsidR="006E29DF">
        <w:rPr>
          <w:rFonts w:asciiTheme="minorHAnsi" w:hAnsiTheme="minorHAnsi"/>
          <w:color w:val="auto"/>
          <w:szCs w:val="24"/>
        </w:rPr>
        <w:t>k</w:t>
      </w:r>
      <w:r w:rsidR="005C69B2" w:rsidRPr="0012161B">
        <w:rPr>
          <w:rFonts w:asciiTheme="minorHAnsi" w:hAnsiTheme="minorHAnsi"/>
          <w:color w:val="auto"/>
          <w:szCs w:val="24"/>
        </w:rPr>
        <w:t xml:space="preserve">nee </w:t>
      </w:r>
      <w:r w:rsidR="006E29DF">
        <w:rPr>
          <w:rFonts w:asciiTheme="minorHAnsi" w:hAnsiTheme="minorHAnsi"/>
          <w:color w:val="auto"/>
          <w:szCs w:val="24"/>
        </w:rPr>
        <w:t>p</w:t>
      </w:r>
      <w:r w:rsidR="005C69B2" w:rsidRPr="0012161B">
        <w:rPr>
          <w:rFonts w:asciiTheme="minorHAnsi" w:hAnsiTheme="minorHAnsi"/>
          <w:color w:val="auto"/>
          <w:szCs w:val="24"/>
        </w:rPr>
        <w:t xml:space="preserve">atellofemoral </w:t>
      </w:r>
      <w:r w:rsidR="006E29DF">
        <w:rPr>
          <w:rFonts w:asciiTheme="minorHAnsi" w:hAnsiTheme="minorHAnsi"/>
          <w:color w:val="auto"/>
          <w:szCs w:val="24"/>
        </w:rPr>
        <w:t>c</w:t>
      </w:r>
      <w:r w:rsidR="005C69B2" w:rsidRPr="0012161B">
        <w:rPr>
          <w:rFonts w:asciiTheme="minorHAnsi" w:hAnsiTheme="minorHAnsi"/>
          <w:color w:val="auto"/>
          <w:szCs w:val="24"/>
        </w:rPr>
        <w:t xml:space="preserve">hondromalacia </w:t>
      </w:r>
      <w:r w:rsidR="005C69B2" w:rsidRPr="0012161B">
        <w:rPr>
          <w:rFonts w:asciiTheme="minorHAnsi" w:eastAsiaTheme="minorHAnsi" w:hAnsiTheme="minorHAnsi"/>
          <w:color w:val="auto"/>
          <w:szCs w:val="24"/>
        </w:rPr>
        <w:t xml:space="preserve">condition and </w:t>
      </w:r>
      <w:r w:rsidR="005C69B2" w:rsidRPr="0012161B">
        <w:rPr>
          <w:rFonts w:asciiTheme="minorHAnsi" w:hAnsiTheme="minorHAnsi"/>
          <w:color w:val="auto"/>
          <w:szCs w:val="24"/>
        </w:rPr>
        <w:t>IAW VASRD §4.71a</w:t>
      </w:r>
      <w:r w:rsidR="005C69B2" w:rsidRPr="0012161B">
        <w:rPr>
          <w:rFonts w:asciiTheme="minorHAnsi" w:eastAsiaTheme="minorHAnsi" w:hAnsiTheme="minorHAnsi"/>
          <w:color w:val="auto"/>
          <w:szCs w:val="24"/>
        </w:rPr>
        <w:t>, the Board unanimously recommends no change in the PEB adjudication</w:t>
      </w:r>
      <w:r w:rsidR="005C69B2" w:rsidRPr="0012161B">
        <w:rPr>
          <w:rFonts w:asciiTheme="minorHAnsi" w:hAnsiTheme="minorHAnsi"/>
          <w:color w:val="auto"/>
          <w:szCs w:val="24"/>
        </w:rPr>
        <w:t xml:space="preserve">.  In the matter of </w:t>
      </w:r>
      <w:r w:rsidR="006E29DF">
        <w:rPr>
          <w:rFonts w:asciiTheme="minorHAnsi" w:hAnsiTheme="minorHAnsi"/>
          <w:color w:val="auto"/>
          <w:szCs w:val="24"/>
        </w:rPr>
        <w:t>l</w:t>
      </w:r>
      <w:r w:rsidR="005C69B2" w:rsidRPr="0012161B">
        <w:rPr>
          <w:rFonts w:asciiTheme="minorHAnsi" w:hAnsiTheme="minorHAnsi"/>
          <w:color w:val="auto"/>
          <w:szCs w:val="24"/>
        </w:rPr>
        <w:t xml:space="preserve">eft </w:t>
      </w:r>
      <w:r w:rsidR="006E29DF">
        <w:rPr>
          <w:rFonts w:asciiTheme="minorHAnsi" w:hAnsiTheme="minorHAnsi"/>
          <w:color w:val="auto"/>
          <w:szCs w:val="24"/>
        </w:rPr>
        <w:t>k</w:t>
      </w:r>
      <w:r w:rsidR="005C69B2" w:rsidRPr="0012161B">
        <w:rPr>
          <w:rFonts w:asciiTheme="minorHAnsi" w:hAnsiTheme="minorHAnsi"/>
          <w:color w:val="auto"/>
          <w:szCs w:val="24"/>
        </w:rPr>
        <w:t xml:space="preserve">nee </w:t>
      </w:r>
      <w:proofErr w:type="spellStart"/>
      <w:r w:rsidR="006E29DF">
        <w:rPr>
          <w:rFonts w:asciiTheme="minorHAnsi" w:hAnsiTheme="minorHAnsi"/>
          <w:color w:val="auto"/>
          <w:szCs w:val="24"/>
        </w:rPr>
        <w:t>p</w:t>
      </w:r>
      <w:r w:rsidR="005C69B2" w:rsidRPr="0012161B">
        <w:rPr>
          <w:rFonts w:asciiTheme="minorHAnsi" w:hAnsiTheme="minorHAnsi"/>
          <w:color w:val="auto"/>
          <w:szCs w:val="24"/>
        </w:rPr>
        <w:t>lica</w:t>
      </w:r>
      <w:proofErr w:type="spellEnd"/>
      <w:r w:rsidR="00E700DC" w:rsidRPr="0012161B">
        <w:rPr>
          <w:rFonts w:asciiTheme="minorHAnsi" w:hAnsiTheme="minorHAnsi"/>
          <w:color w:val="auto"/>
          <w:szCs w:val="24"/>
        </w:rPr>
        <w:t>,</w:t>
      </w:r>
      <w:r w:rsidR="005C69B2" w:rsidRPr="0012161B">
        <w:rPr>
          <w:rFonts w:asciiTheme="minorHAnsi" w:hAnsiTheme="minorHAnsi"/>
          <w:color w:val="auto"/>
          <w:szCs w:val="24"/>
        </w:rPr>
        <w:t xml:space="preserve"> </w:t>
      </w:r>
      <w:r w:rsidR="006E29DF">
        <w:rPr>
          <w:rFonts w:asciiTheme="minorHAnsi" w:hAnsiTheme="minorHAnsi"/>
          <w:color w:val="auto"/>
          <w:szCs w:val="24"/>
        </w:rPr>
        <w:t>l</w:t>
      </w:r>
      <w:r w:rsidR="005C69B2" w:rsidRPr="0012161B">
        <w:rPr>
          <w:rFonts w:asciiTheme="minorHAnsi" w:hAnsiTheme="minorHAnsi"/>
          <w:color w:val="auto"/>
          <w:szCs w:val="24"/>
        </w:rPr>
        <w:t xml:space="preserve">eft </w:t>
      </w:r>
      <w:r w:rsidR="006E29DF">
        <w:rPr>
          <w:rFonts w:asciiTheme="minorHAnsi" w:hAnsiTheme="minorHAnsi"/>
          <w:color w:val="auto"/>
          <w:szCs w:val="24"/>
        </w:rPr>
        <w:t>a</w:t>
      </w:r>
      <w:r w:rsidR="005C69B2" w:rsidRPr="0012161B">
        <w:rPr>
          <w:rFonts w:asciiTheme="minorHAnsi" w:hAnsiTheme="minorHAnsi"/>
          <w:color w:val="auto"/>
          <w:szCs w:val="24"/>
        </w:rPr>
        <w:t xml:space="preserve">nterior </w:t>
      </w:r>
      <w:r w:rsidR="006E29DF">
        <w:rPr>
          <w:rFonts w:asciiTheme="minorHAnsi" w:hAnsiTheme="minorHAnsi"/>
          <w:color w:val="auto"/>
          <w:szCs w:val="24"/>
        </w:rPr>
        <w:t>c</w:t>
      </w:r>
      <w:r w:rsidR="005C69B2" w:rsidRPr="0012161B">
        <w:rPr>
          <w:rFonts w:asciiTheme="minorHAnsi" w:hAnsiTheme="minorHAnsi"/>
          <w:color w:val="auto"/>
          <w:szCs w:val="24"/>
        </w:rPr>
        <w:t xml:space="preserve">ompartment </w:t>
      </w:r>
      <w:r w:rsidR="006E29DF">
        <w:rPr>
          <w:rFonts w:asciiTheme="minorHAnsi" w:hAnsiTheme="minorHAnsi"/>
          <w:color w:val="auto"/>
          <w:szCs w:val="24"/>
        </w:rPr>
        <w:t>f</w:t>
      </w:r>
      <w:r w:rsidR="005C69B2" w:rsidRPr="0012161B">
        <w:rPr>
          <w:rFonts w:asciiTheme="minorHAnsi" w:hAnsiTheme="minorHAnsi"/>
          <w:color w:val="auto"/>
          <w:szCs w:val="24"/>
        </w:rPr>
        <w:t>asciotomies</w:t>
      </w:r>
      <w:r w:rsidR="00E700DC" w:rsidRPr="0012161B">
        <w:rPr>
          <w:rFonts w:asciiTheme="minorHAnsi" w:hAnsiTheme="minorHAnsi"/>
          <w:color w:val="auto"/>
          <w:szCs w:val="24"/>
        </w:rPr>
        <w:t>, wrist, hypertension</w:t>
      </w:r>
      <w:r w:rsidR="005C69B2" w:rsidRPr="0012161B">
        <w:rPr>
          <w:rFonts w:asciiTheme="minorHAnsi" w:hAnsiTheme="minorHAnsi"/>
          <w:color w:val="auto"/>
          <w:szCs w:val="24"/>
        </w:rPr>
        <w:t xml:space="preserve"> or any other medical conditions eligible for </w:t>
      </w:r>
      <w:r w:rsidR="001E2883" w:rsidRPr="0012161B">
        <w:rPr>
          <w:rFonts w:asciiTheme="minorHAnsi" w:hAnsiTheme="minorHAnsi"/>
          <w:color w:val="auto"/>
          <w:szCs w:val="24"/>
        </w:rPr>
        <w:t>B</w:t>
      </w:r>
      <w:r w:rsidR="005C69B2" w:rsidRPr="0012161B">
        <w:rPr>
          <w:rFonts w:asciiTheme="minorHAnsi" w:hAnsiTheme="minorHAnsi"/>
          <w:color w:val="auto"/>
          <w:szCs w:val="24"/>
        </w:rPr>
        <w:t>oard consideration, the Board unanimously agrees th</w:t>
      </w:r>
      <w:r w:rsidR="00935C4D" w:rsidRPr="0012161B">
        <w:rPr>
          <w:rFonts w:asciiTheme="minorHAnsi" w:hAnsiTheme="minorHAnsi"/>
          <w:color w:val="auto"/>
          <w:szCs w:val="24"/>
        </w:rPr>
        <w:t>a</w:t>
      </w:r>
      <w:r w:rsidR="005C69B2" w:rsidRPr="0012161B">
        <w:rPr>
          <w:rFonts w:asciiTheme="minorHAnsi" w:hAnsiTheme="minorHAnsi"/>
          <w:color w:val="auto"/>
          <w:szCs w:val="24"/>
        </w:rPr>
        <w:t xml:space="preserve">t it cannot recommend any findings of unfit for additional rating at </w:t>
      </w:r>
      <w:r w:rsidR="001E2883" w:rsidRPr="0012161B">
        <w:rPr>
          <w:rFonts w:asciiTheme="minorHAnsi" w:hAnsiTheme="minorHAnsi"/>
          <w:color w:val="auto"/>
          <w:szCs w:val="24"/>
        </w:rPr>
        <w:t>separation</w:t>
      </w:r>
      <w:r w:rsidR="005C69B2" w:rsidRPr="0012161B">
        <w:rPr>
          <w:rFonts w:asciiTheme="minorHAnsi" w:hAnsiTheme="minorHAnsi"/>
          <w:color w:val="auto"/>
          <w:szCs w:val="24"/>
        </w:rPr>
        <w:t>.</w:t>
      </w:r>
    </w:p>
    <w:p w:rsidR="00FB593A" w:rsidRPr="0012161B" w:rsidRDefault="008B5D31" w:rsidP="001E2883">
      <w:pPr>
        <w:tabs>
          <w:tab w:val="left" w:pos="288"/>
          <w:tab w:val="left" w:pos="4752"/>
        </w:tabs>
        <w:spacing w:line="240" w:lineRule="exact"/>
        <w:jc w:val="both"/>
        <w:rPr>
          <w:rFonts w:asciiTheme="minorHAnsi" w:hAnsiTheme="minorHAnsi"/>
          <w:color w:val="auto"/>
        </w:rPr>
      </w:pPr>
      <w:r w:rsidRPr="0012161B">
        <w:rPr>
          <w:rFonts w:asciiTheme="minorHAnsi" w:hAnsiTheme="minorHAnsi"/>
          <w:color w:val="auto"/>
          <w:u w:val="single"/>
        </w:rPr>
        <w:t>_______________________________________________________________</w:t>
      </w:r>
      <w:r w:rsidRPr="0012161B">
        <w:rPr>
          <w:rFonts w:asciiTheme="minorHAnsi" w:hAnsiTheme="minorHAnsi"/>
          <w:color w:val="auto"/>
        </w:rPr>
        <w:t>_</w:t>
      </w:r>
      <w:r w:rsidR="00AC713F" w:rsidRPr="0012161B">
        <w:rPr>
          <w:rFonts w:asciiTheme="minorHAnsi" w:hAnsiTheme="minorHAnsi"/>
          <w:color w:val="auto"/>
        </w:rPr>
        <w:t>_____________</w:t>
      </w:r>
    </w:p>
    <w:p w:rsidR="00FB593A" w:rsidRPr="0012161B" w:rsidRDefault="00FB593A" w:rsidP="001E2883">
      <w:pPr>
        <w:tabs>
          <w:tab w:val="left" w:pos="288"/>
          <w:tab w:val="left" w:pos="4752"/>
        </w:tabs>
        <w:spacing w:line="240" w:lineRule="exact"/>
        <w:jc w:val="both"/>
        <w:rPr>
          <w:color w:val="auto"/>
        </w:rPr>
      </w:pPr>
    </w:p>
    <w:p w:rsidR="00C56FC8" w:rsidRPr="0012161B" w:rsidRDefault="00C56FC8" w:rsidP="001E2883">
      <w:pPr>
        <w:tabs>
          <w:tab w:val="left" w:pos="288"/>
          <w:tab w:val="left" w:pos="4752"/>
        </w:tabs>
        <w:spacing w:line="240" w:lineRule="exact"/>
        <w:jc w:val="both"/>
        <w:rPr>
          <w:rFonts w:asciiTheme="minorHAnsi" w:hAnsiTheme="minorHAnsi"/>
          <w:color w:val="auto"/>
          <w:szCs w:val="24"/>
        </w:rPr>
      </w:pPr>
      <w:r w:rsidRPr="0012161B">
        <w:rPr>
          <w:rFonts w:asciiTheme="minorHAnsi" w:hAnsiTheme="minorHAnsi"/>
          <w:color w:val="auto"/>
          <w:szCs w:val="24"/>
          <w:u w:val="single"/>
        </w:rPr>
        <w:t>RECOMMENDATION</w:t>
      </w:r>
      <w:r w:rsidRPr="0012161B">
        <w:rPr>
          <w:rFonts w:asciiTheme="minorHAnsi" w:hAnsiTheme="minorHAnsi"/>
          <w:color w:val="auto"/>
          <w:szCs w:val="24"/>
        </w:rPr>
        <w:t>:</w:t>
      </w:r>
      <w:r w:rsidR="001E2883" w:rsidRPr="0012161B">
        <w:rPr>
          <w:rFonts w:asciiTheme="minorHAnsi" w:hAnsiTheme="minorHAnsi"/>
          <w:color w:val="auto"/>
          <w:szCs w:val="24"/>
        </w:rPr>
        <w:t xml:space="preserve">  </w:t>
      </w:r>
      <w:r w:rsidRPr="0012161B">
        <w:rPr>
          <w:rFonts w:asciiTheme="minorHAnsi" w:hAnsiTheme="minorHAnsi"/>
          <w:color w:val="auto"/>
          <w:szCs w:val="24"/>
        </w:rPr>
        <w:t>The Board therefore recommends that there be no recharacterization of the CI’s disability and separation determination.</w:t>
      </w:r>
    </w:p>
    <w:p w:rsidR="006E2DC8" w:rsidRPr="00D349F4" w:rsidRDefault="006E2DC8" w:rsidP="00AF1668">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D349F4" w:rsidTr="0085089F">
        <w:trPr>
          <w:trHeight w:val="287"/>
          <w:jc w:val="center"/>
        </w:trPr>
        <w:tc>
          <w:tcPr>
            <w:tcW w:w="6480" w:type="dxa"/>
            <w:shd w:val="clear" w:color="auto" w:fill="D9D9D9"/>
          </w:tcPr>
          <w:p w:rsidR="00A95BBA" w:rsidRPr="00D349F4" w:rsidRDefault="00A95BBA" w:rsidP="00190E48">
            <w:pPr>
              <w:tabs>
                <w:tab w:val="left" w:pos="288"/>
                <w:tab w:val="left" w:pos="4752"/>
              </w:tabs>
              <w:spacing w:line="240" w:lineRule="exact"/>
              <w:jc w:val="both"/>
              <w:rPr>
                <w:rFonts w:asciiTheme="minorHAnsi" w:hAnsiTheme="minorHAnsi"/>
                <w:b/>
                <w:color w:val="auto"/>
                <w:szCs w:val="24"/>
              </w:rPr>
            </w:pPr>
            <w:r w:rsidRPr="00D349F4">
              <w:rPr>
                <w:rFonts w:asciiTheme="minorHAnsi" w:hAnsiTheme="minorHAnsi"/>
                <w:b/>
                <w:color w:val="auto"/>
                <w:szCs w:val="24"/>
              </w:rPr>
              <w:t>UNFITTING CONDITION</w:t>
            </w:r>
          </w:p>
        </w:tc>
        <w:tc>
          <w:tcPr>
            <w:tcW w:w="1710" w:type="dxa"/>
            <w:shd w:val="clear" w:color="auto" w:fill="D9D9D9"/>
          </w:tcPr>
          <w:p w:rsidR="00A95BBA" w:rsidRPr="00D349F4" w:rsidRDefault="00A95BBA" w:rsidP="007D6BFE">
            <w:pPr>
              <w:tabs>
                <w:tab w:val="left" w:pos="288"/>
                <w:tab w:val="left" w:pos="4752"/>
              </w:tabs>
              <w:spacing w:line="240" w:lineRule="exact"/>
              <w:jc w:val="center"/>
              <w:rPr>
                <w:rFonts w:asciiTheme="minorHAnsi" w:hAnsiTheme="minorHAnsi"/>
                <w:b/>
                <w:color w:val="auto"/>
                <w:szCs w:val="24"/>
              </w:rPr>
            </w:pPr>
            <w:r w:rsidRPr="00D349F4">
              <w:rPr>
                <w:rFonts w:asciiTheme="minorHAnsi" w:hAnsiTheme="minorHAnsi"/>
                <w:b/>
                <w:color w:val="auto"/>
                <w:szCs w:val="24"/>
              </w:rPr>
              <w:t>VASRD CODE</w:t>
            </w:r>
          </w:p>
        </w:tc>
        <w:tc>
          <w:tcPr>
            <w:tcW w:w="1170" w:type="dxa"/>
            <w:shd w:val="clear" w:color="auto" w:fill="D9D9D9"/>
          </w:tcPr>
          <w:p w:rsidR="00A95BBA" w:rsidRPr="00D349F4" w:rsidRDefault="00A95BBA" w:rsidP="007D6BFE">
            <w:pPr>
              <w:tabs>
                <w:tab w:val="left" w:pos="288"/>
                <w:tab w:val="left" w:pos="4752"/>
              </w:tabs>
              <w:spacing w:line="240" w:lineRule="exact"/>
              <w:jc w:val="center"/>
              <w:rPr>
                <w:rFonts w:asciiTheme="minorHAnsi" w:hAnsiTheme="minorHAnsi"/>
                <w:b/>
                <w:color w:val="auto"/>
                <w:szCs w:val="24"/>
              </w:rPr>
            </w:pPr>
            <w:r w:rsidRPr="00D349F4">
              <w:rPr>
                <w:rFonts w:asciiTheme="minorHAnsi" w:hAnsiTheme="minorHAnsi"/>
                <w:b/>
                <w:color w:val="auto"/>
                <w:szCs w:val="24"/>
              </w:rPr>
              <w:t>RATING</w:t>
            </w:r>
          </w:p>
        </w:tc>
      </w:tr>
      <w:tr w:rsidR="00A95BBA" w:rsidRPr="00D349F4" w:rsidTr="0085089F">
        <w:trPr>
          <w:jc w:val="center"/>
        </w:trPr>
        <w:tc>
          <w:tcPr>
            <w:tcW w:w="6480" w:type="dxa"/>
          </w:tcPr>
          <w:p w:rsidR="00A95BBA" w:rsidRPr="00D349F4" w:rsidRDefault="001E2883" w:rsidP="00935C4D">
            <w:pPr>
              <w:tabs>
                <w:tab w:val="left" w:pos="2980"/>
              </w:tabs>
              <w:spacing w:line="240" w:lineRule="exact"/>
              <w:rPr>
                <w:rFonts w:asciiTheme="minorHAnsi" w:hAnsiTheme="minorHAnsi"/>
                <w:color w:val="auto"/>
                <w:szCs w:val="24"/>
              </w:rPr>
            </w:pPr>
            <w:r w:rsidRPr="00D349F4">
              <w:rPr>
                <w:rFonts w:asciiTheme="minorHAnsi" w:hAnsiTheme="minorHAnsi"/>
                <w:color w:val="auto"/>
                <w:szCs w:val="24"/>
              </w:rPr>
              <w:t>Left Kne</w:t>
            </w:r>
            <w:r w:rsidR="00935C4D" w:rsidRPr="00D349F4">
              <w:rPr>
                <w:rFonts w:asciiTheme="minorHAnsi" w:hAnsiTheme="minorHAnsi"/>
                <w:color w:val="auto"/>
                <w:szCs w:val="24"/>
              </w:rPr>
              <w:t>e Patellofemoral Chondromalacia</w:t>
            </w:r>
          </w:p>
        </w:tc>
        <w:tc>
          <w:tcPr>
            <w:tcW w:w="1710" w:type="dxa"/>
          </w:tcPr>
          <w:p w:rsidR="00A95BBA" w:rsidRPr="00D349F4" w:rsidRDefault="001E2883" w:rsidP="001E2883">
            <w:pPr>
              <w:tabs>
                <w:tab w:val="left" w:pos="288"/>
                <w:tab w:val="left" w:pos="4752"/>
              </w:tabs>
              <w:spacing w:line="240" w:lineRule="exact"/>
              <w:jc w:val="center"/>
              <w:rPr>
                <w:rFonts w:asciiTheme="minorHAnsi" w:hAnsiTheme="minorHAnsi"/>
                <w:color w:val="auto"/>
                <w:szCs w:val="24"/>
              </w:rPr>
            </w:pPr>
            <w:r w:rsidRPr="00D349F4">
              <w:rPr>
                <w:rFonts w:asciiTheme="minorHAnsi" w:hAnsiTheme="minorHAnsi"/>
                <w:color w:val="auto"/>
                <w:szCs w:val="24"/>
              </w:rPr>
              <w:t>5099-5003</w:t>
            </w:r>
          </w:p>
        </w:tc>
        <w:tc>
          <w:tcPr>
            <w:tcW w:w="1170" w:type="dxa"/>
          </w:tcPr>
          <w:p w:rsidR="00A95BBA" w:rsidRPr="00D349F4" w:rsidRDefault="001E2883" w:rsidP="007D6BFE">
            <w:pPr>
              <w:tabs>
                <w:tab w:val="left" w:pos="288"/>
                <w:tab w:val="left" w:pos="4752"/>
              </w:tabs>
              <w:spacing w:line="240" w:lineRule="exact"/>
              <w:jc w:val="center"/>
              <w:rPr>
                <w:rFonts w:asciiTheme="minorHAnsi" w:hAnsiTheme="minorHAnsi"/>
                <w:color w:val="auto"/>
                <w:szCs w:val="24"/>
              </w:rPr>
            </w:pPr>
            <w:r w:rsidRPr="00D349F4">
              <w:rPr>
                <w:rFonts w:asciiTheme="minorHAnsi" w:hAnsiTheme="minorHAnsi"/>
                <w:color w:val="auto"/>
                <w:szCs w:val="24"/>
              </w:rPr>
              <w:t>1</w:t>
            </w:r>
            <w:r w:rsidR="00A95BBA" w:rsidRPr="00D349F4">
              <w:rPr>
                <w:rFonts w:asciiTheme="minorHAnsi" w:hAnsiTheme="minorHAnsi"/>
                <w:color w:val="auto"/>
                <w:szCs w:val="24"/>
              </w:rPr>
              <w:t>0%</w:t>
            </w:r>
          </w:p>
        </w:tc>
      </w:tr>
      <w:tr w:rsidR="00A95BBA" w:rsidRPr="00D349F4"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D349F4" w:rsidRDefault="00A95BBA" w:rsidP="007D6BFE">
            <w:pPr>
              <w:tabs>
                <w:tab w:val="left" w:pos="288"/>
                <w:tab w:val="left" w:pos="4752"/>
              </w:tabs>
              <w:spacing w:line="240" w:lineRule="exact"/>
              <w:jc w:val="center"/>
              <w:rPr>
                <w:rFonts w:asciiTheme="minorHAnsi" w:hAnsiTheme="minorHAnsi"/>
                <w:b/>
                <w:color w:val="auto"/>
                <w:szCs w:val="24"/>
              </w:rPr>
            </w:pPr>
            <w:r w:rsidRPr="00D349F4">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D349F4" w:rsidRDefault="00935C4D" w:rsidP="007D6BFE">
            <w:pPr>
              <w:tabs>
                <w:tab w:val="left" w:pos="288"/>
                <w:tab w:val="left" w:pos="4752"/>
              </w:tabs>
              <w:spacing w:line="240" w:lineRule="exact"/>
              <w:jc w:val="center"/>
              <w:rPr>
                <w:rFonts w:asciiTheme="minorHAnsi" w:hAnsiTheme="minorHAnsi"/>
                <w:b/>
                <w:color w:val="auto"/>
                <w:szCs w:val="24"/>
              </w:rPr>
            </w:pPr>
            <w:r w:rsidRPr="00D349F4">
              <w:rPr>
                <w:rFonts w:asciiTheme="minorHAnsi" w:hAnsiTheme="minorHAnsi"/>
                <w:b/>
                <w:color w:val="auto"/>
                <w:szCs w:val="24"/>
              </w:rPr>
              <w:t>1</w:t>
            </w:r>
            <w:r w:rsidR="00A95BBA" w:rsidRPr="00D349F4">
              <w:rPr>
                <w:rFonts w:asciiTheme="minorHAnsi" w:hAnsiTheme="minorHAnsi"/>
                <w:b/>
                <w:color w:val="auto"/>
                <w:szCs w:val="24"/>
              </w:rPr>
              <w:t>0%</w:t>
            </w:r>
          </w:p>
        </w:tc>
      </w:tr>
    </w:tbl>
    <w:p w:rsidR="00B522CD" w:rsidRPr="00D349F4" w:rsidRDefault="008B5D31" w:rsidP="00190E48">
      <w:pPr>
        <w:tabs>
          <w:tab w:val="left" w:pos="288"/>
          <w:tab w:val="left" w:pos="4752"/>
        </w:tabs>
        <w:spacing w:line="240" w:lineRule="exact"/>
        <w:jc w:val="both"/>
        <w:rPr>
          <w:rFonts w:asciiTheme="minorHAnsi" w:hAnsiTheme="minorHAnsi"/>
          <w:color w:val="auto"/>
        </w:rPr>
      </w:pPr>
      <w:r w:rsidRPr="00D349F4">
        <w:rPr>
          <w:rFonts w:asciiTheme="minorHAnsi" w:hAnsiTheme="minorHAnsi"/>
          <w:color w:val="auto"/>
          <w:u w:val="single"/>
        </w:rPr>
        <w:t>_______________________________________________________________</w:t>
      </w:r>
      <w:r w:rsidRPr="00D349F4">
        <w:rPr>
          <w:rFonts w:asciiTheme="minorHAnsi" w:hAnsiTheme="minorHAnsi"/>
          <w:color w:val="auto"/>
        </w:rPr>
        <w:t>_</w:t>
      </w:r>
      <w:r w:rsidR="00AC713F" w:rsidRPr="00D349F4">
        <w:rPr>
          <w:rFonts w:asciiTheme="minorHAnsi" w:hAnsiTheme="minorHAnsi"/>
          <w:color w:val="auto"/>
        </w:rPr>
        <w:t>______________</w:t>
      </w:r>
    </w:p>
    <w:p w:rsidR="00D91DA6" w:rsidRPr="00D349F4" w:rsidRDefault="00D91DA6" w:rsidP="00190E48">
      <w:pPr>
        <w:tabs>
          <w:tab w:val="left" w:pos="288"/>
          <w:tab w:val="left" w:pos="4752"/>
        </w:tabs>
        <w:spacing w:line="240" w:lineRule="exact"/>
        <w:jc w:val="both"/>
        <w:rPr>
          <w:rFonts w:asciiTheme="minorHAnsi" w:hAnsiTheme="minorHAnsi"/>
          <w:color w:val="auto"/>
        </w:rPr>
      </w:pPr>
    </w:p>
    <w:p w:rsidR="00D91DA6" w:rsidRPr="00D349F4" w:rsidRDefault="00114F20" w:rsidP="00190E48">
      <w:pPr>
        <w:tabs>
          <w:tab w:val="left" w:pos="288"/>
          <w:tab w:val="left" w:pos="4752"/>
        </w:tabs>
        <w:spacing w:line="240" w:lineRule="exact"/>
        <w:jc w:val="both"/>
        <w:rPr>
          <w:rFonts w:asciiTheme="minorHAnsi" w:hAnsiTheme="minorHAnsi"/>
          <w:color w:val="auto"/>
        </w:rPr>
      </w:pPr>
      <w:r w:rsidRPr="00D349F4">
        <w:rPr>
          <w:rFonts w:asciiTheme="minorHAnsi" w:hAnsiTheme="minorHAnsi"/>
          <w:color w:val="auto"/>
        </w:rPr>
        <w:t>The following documentary evidence was considered:</w:t>
      </w:r>
    </w:p>
    <w:p w:rsidR="00EB5EFD" w:rsidRPr="0012161B" w:rsidRDefault="00EB5EFD" w:rsidP="00190E48">
      <w:pPr>
        <w:tabs>
          <w:tab w:val="left" w:pos="288"/>
          <w:tab w:val="left" w:pos="4752"/>
        </w:tabs>
        <w:spacing w:line="240" w:lineRule="exact"/>
        <w:jc w:val="both"/>
        <w:rPr>
          <w:rFonts w:asciiTheme="minorHAnsi" w:hAnsiTheme="minorHAnsi"/>
          <w:color w:val="auto"/>
        </w:rPr>
      </w:pPr>
    </w:p>
    <w:p w:rsidR="00114F20" w:rsidRPr="0012161B" w:rsidRDefault="0051146C" w:rsidP="00190E48">
      <w:pPr>
        <w:tabs>
          <w:tab w:val="left" w:pos="288"/>
          <w:tab w:val="left" w:pos="4752"/>
        </w:tabs>
        <w:spacing w:line="240" w:lineRule="exact"/>
        <w:jc w:val="both"/>
        <w:rPr>
          <w:rFonts w:asciiTheme="minorHAnsi" w:hAnsiTheme="minorHAnsi"/>
          <w:color w:val="auto"/>
        </w:rPr>
      </w:pPr>
      <w:r w:rsidRPr="0012161B">
        <w:rPr>
          <w:rFonts w:asciiTheme="minorHAnsi" w:hAnsiTheme="minorHAnsi"/>
          <w:color w:val="auto"/>
        </w:rPr>
        <w:t xml:space="preserve">Exhibit A.  DD Form </w:t>
      </w:r>
      <w:proofErr w:type="gramStart"/>
      <w:r w:rsidRPr="0012161B">
        <w:rPr>
          <w:rFonts w:asciiTheme="minorHAnsi" w:hAnsiTheme="minorHAnsi"/>
          <w:color w:val="auto"/>
        </w:rPr>
        <w:t>294,</w:t>
      </w:r>
      <w:proofErr w:type="gramEnd"/>
      <w:r w:rsidRPr="0012161B">
        <w:rPr>
          <w:rFonts w:asciiTheme="minorHAnsi" w:hAnsiTheme="minorHAnsi"/>
          <w:color w:val="auto"/>
        </w:rPr>
        <w:t xml:space="preserve"> dated </w:t>
      </w:r>
      <w:r w:rsidR="0019273F" w:rsidRPr="0012161B">
        <w:rPr>
          <w:rFonts w:asciiTheme="minorHAnsi" w:hAnsiTheme="minorHAnsi"/>
          <w:color w:val="auto"/>
        </w:rPr>
        <w:t>20</w:t>
      </w:r>
      <w:r w:rsidR="00D37078" w:rsidRPr="0012161B">
        <w:rPr>
          <w:rFonts w:asciiTheme="minorHAnsi" w:hAnsiTheme="minorHAnsi"/>
          <w:color w:val="auto"/>
        </w:rPr>
        <w:t>090921</w:t>
      </w:r>
      <w:r w:rsidR="00114F20" w:rsidRPr="0012161B">
        <w:rPr>
          <w:rFonts w:asciiTheme="minorHAnsi" w:hAnsiTheme="minorHAnsi"/>
          <w:color w:val="auto"/>
        </w:rPr>
        <w:t>, w/</w:t>
      </w:r>
      <w:proofErr w:type="spellStart"/>
      <w:r w:rsidR="00114F20" w:rsidRPr="0012161B">
        <w:rPr>
          <w:rFonts w:asciiTheme="minorHAnsi" w:hAnsiTheme="minorHAnsi"/>
          <w:color w:val="auto"/>
        </w:rPr>
        <w:t>atchs</w:t>
      </w:r>
      <w:proofErr w:type="spellEnd"/>
      <w:r w:rsidR="00114F20" w:rsidRPr="0012161B">
        <w:rPr>
          <w:rFonts w:asciiTheme="minorHAnsi" w:hAnsiTheme="minorHAnsi"/>
          <w:color w:val="auto"/>
        </w:rPr>
        <w:t>.</w:t>
      </w:r>
    </w:p>
    <w:p w:rsidR="00114F20" w:rsidRPr="0012161B" w:rsidRDefault="00114F20" w:rsidP="00190E48">
      <w:pPr>
        <w:tabs>
          <w:tab w:val="left" w:pos="288"/>
          <w:tab w:val="left" w:pos="4752"/>
        </w:tabs>
        <w:spacing w:line="240" w:lineRule="exact"/>
        <w:jc w:val="both"/>
        <w:rPr>
          <w:rFonts w:asciiTheme="minorHAnsi" w:hAnsiTheme="minorHAnsi"/>
          <w:color w:val="auto"/>
        </w:rPr>
      </w:pPr>
      <w:r w:rsidRPr="0012161B">
        <w:rPr>
          <w:rFonts w:asciiTheme="minorHAnsi" w:hAnsiTheme="minorHAnsi"/>
          <w:color w:val="auto"/>
        </w:rPr>
        <w:t xml:space="preserve">Exhibit B.  </w:t>
      </w:r>
      <w:proofErr w:type="gramStart"/>
      <w:r w:rsidRPr="0012161B">
        <w:rPr>
          <w:rFonts w:asciiTheme="minorHAnsi" w:hAnsiTheme="minorHAnsi"/>
          <w:color w:val="auto"/>
        </w:rPr>
        <w:t>Service Treatment Record.</w:t>
      </w:r>
      <w:proofErr w:type="gramEnd"/>
    </w:p>
    <w:p w:rsidR="00B84801" w:rsidRDefault="00114F20" w:rsidP="00B84801">
      <w:pPr>
        <w:tabs>
          <w:tab w:val="left" w:pos="288"/>
          <w:tab w:val="left" w:pos="4752"/>
        </w:tabs>
        <w:spacing w:line="240" w:lineRule="exact"/>
        <w:jc w:val="both"/>
        <w:rPr>
          <w:rFonts w:asciiTheme="minorHAnsi" w:hAnsiTheme="minorHAnsi"/>
          <w:color w:val="auto"/>
        </w:rPr>
      </w:pPr>
      <w:r w:rsidRPr="0012161B">
        <w:rPr>
          <w:rFonts w:asciiTheme="minorHAnsi" w:hAnsiTheme="minorHAnsi"/>
          <w:color w:val="auto"/>
        </w:rPr>
        <w:t>Exhibit C.  Department of Veterans</w:t>
      </w:r>
      <w:r w:rsidR="00385D6F" w:rsidRPr="0012161B">
        <w:rPr>
          <w:rFonts w:asciiTheme="minorHAnsi" w:hAnsiTheme="minorHAnsi"/>
          <w:color w:val="auto"/>
        </w:rPr>
        <w:t>'</w:t>
      </w:r>
      <w:r w:rsidRPr="0012161B">
        <w:rPr>
          <w:rFonts w:asciiTheme="minorHAnsi" w:hAnsiTheme="minorHAnsi"/>
          <w:color w:val="auto"/>
        </w:rPr>
        <w:t xml:space="preserve"> Affairs Treatment </w:t>
      </w:r>
      <w:r w:rsidR="0012161B">
        <w:rPr>
          <w:rFonts w:asciiTheme="minorHAnsi" w:hAnsiTheme="minorHAnsi"/>
          <w:color w:val="auto"/>
        </w:rPr>
        <w:t>Record</w:t>
      </w:r>
    </w:p>
    <w:p w:rsidR="002B4972" w:rsidRDefault="002B4972" w:rsidP="00B84801">
      <w:pPr>
        <w:tabs>
          <w:tab w:val="left" w:pos="288"/>
          <w:tab w:val="left" w:pos="4752"/>
        </w:tabs>
        <w:spacing w:line="240" w:lineRule="exact"/>
        <w:jc w:val="both"/>
        <w:rPr>
          <w:rFonts w:asciiTheme="minorHAnsi" w:hAnsiTheme="minorHAnsi"/>
          <w:color w:val="auto"/>
        </w:rPr>
      </w:pPr>
    </w:p>
    <w:p w:rsidR="00D349F4" w:rsidRDefault="00D349F4" w:rsidP="00B84801">
      <w:pPr>
        <w:tabs>
          <w:tab w:val="left" w:pos="288"/>
          <w:tab w:val="left" w:pos="4752"/>
        </w:tabs>
        <w:spacing w:line="240" w:lineRule="exact"/>
        <w:jc w:val="both"/>
        <w:rPr>
          <w:rFonts w:asciiTheme="minorHAnsi" w:hAnsiTheme="minorHAnsi"/>
          <w:color w:val="auto"/>
        </w:rPr>
      </w:pPr>
    </w:p>
    <w:p w:rsidR="00D349F4" w:rsidRDefault="00D349F4" w:rsidP="00B84801">
      <w:pPr>
        <w:tabs>
          <w:tab w:val="left" w:pos="288"/>
          <w:tab w:val="left" w:pos="4752"/>
        </w:tabs>
        <w:spacing w:line="240" w:lineRule="exact"/>
        <w:jc w:val="both"/>
        <w:rPr>
          <w:rFonts w:asciiTheme="minorHAnsi" w:hAnsiTheme="minorHAnsi"/>
          <w:color w:val="auto"/>
        </w:rPr>
      </w:pPr>
    </w:p>
    <w:p w:rsidR="00D349F4" w:rsidRDefault="00D349F4" w:rsidP="00B84801">
      <w:pPr>
        <w:tabs>
          <w:tab w:val="left" w:pos="288"/>
          <w:tab w:val="left" w:pos="4752"/>
        </w:tabs>
        <w:spacing w:line="240" w:lineRule="exact"/>
        <w:jc w:val="both"/>
        <w:rPr>
          <w:rFonts w:asciiTheme="minorHAnsi" w:hAnsiTheme="minorHAnsi"/>
          <w:color w:val="auto"/>
        </w:rPr>
      </w:pPr>
    </w:p>
    <w:p w:rsidR="008B6DDA" w:rsidRDefault="0012161B" w:rsidP="008B6DDA">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                                                                               </w:t>
      </w:r>
      <w:r w:rsidR="006E29DF">
        <w:rPr>
          <w:rFonts w:asciiTheme="minorHAnsi" w:hAnsiTheme="minorHAnsi"/>
          <w:color w:val="auto"/>
        </w:rPr>
        <w:tab/>
      </w:r>
    </w:p>
    <w:p w:rsidR="007F27F2" w:rsidRPr="00006186" w:rsidRDefault="008B6DDA" w:rsidP="008B6DDA">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                                                                              </w:t>
      </w:r>
      <w:r w:rsidR="006E29DF">
        <w:rPr>
          <w:rFonts w:asciiTheme="minorHAnsi" w:hAnsiTheme="minorHAnsi"/>
          <w:color w:val="auto"/>
        </w:rPr>
        <w:tab/>
      </w:r>
      <w:r w:rsidR="007F27F2">
        <w:rPr>
          <w:rFonts w:asciiTheme="minorHAnsi" w:hAnsiTheme="minorHAnsi"/>
          <w:color w:val="auto"/>
        </w:rPr>
        <w:t>Deputy Director</w:t>
      </w:r>
    </w:p>
    <w:p w:rsidR="007F27F2" w:rsidRDefault="007F27F2"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sidR="006E29DF">
        <w:rPr>
          <w:rFonts w:asciiTheme="minorHAnsi" w:hAnsiTheme="minorHAnsi"/>
          <w:color w:val="auto"/>
        </w:rPr>
        <w:tab/>
      </w:r>
      <w:r w:rsidR="006E29DF">
        <w:rPr>
          <w:rFonts w:asciiTheme="minorHAnsi" w:hAnsiTheme="minorHAnsi"/>
          <w:color w:val="auto"/>
        </w:rPr>
        <w:tab/>
        <w:t>P</w:t>
      </w:r>
      <w:r>
        <w:rPr>
          <w:rFonts w:asciiTheme="minorHAnsi" w:hAnsiTheme="minorHAnsi"/>
          <w:color w:val="auto"/>
        </w:rPr>
        <w:t>hysical Disability Board of Review</w:t>
      </w:r>
    </w:p>
    <w:p w:rsidR="00BA05EE" w:rsidRDefault="00BA05EE"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A05EE" w:rsidRDefault="00BA05EE">
      <w:pPr>
        <w:rPr>
          <w:color w:val="auto"/>
        </w:rPr>
      </w:pPr>
      <w:r>
        <w:rPr>
          <w:color w:val="auto"/>
        </w:rPr>
        <w:br w:type="page"/>
      </w:r>
    </w:p>
    <w:p w:rsidR="00BA05EE" w:rsidRPr="00BA05EE" w:rsidRDefault="00BA05EE" w:rsidP="00BA05EE">
      <w:pPr>
        <w:jc w:val="both"/>
        <w:rPr>
          <w:color w:val="auto"/>
        </w:rPr>
      </w:pPr>
      <w:r w:rsidRPr="00BA05EE">
        <w:rPr>
          <w:color w:val="auto"/>
        </w:rPr>
        <w:lastRenderedPageBreak/>
        <w:t xml:space="preserve">MEMORANDUM FOR DIRECTOR, SECRETARY OF THE NAVY COUNCIL OF REVIEW           </w:t>
      </w:r>
    </w:p>
    <w:p w:rsidR="00BA05EE" w:rsidRPr="00BA05EE" w:rsidRDefault="00BA05EE" w:rsidP="00BA05EE">
      <w:pPr>
        <w:tabs>
          <w:tab w:val="left" w:pos="2430"/>
        </w:tabs>
        <w:jc w:val="both"/>
        <w:rPr>
          <w:color w:val="auto"/>
        </w:rPr>
      </w:pPr>
      <w:r w:rsidRPr="00BA05EE">
        <w:rPr>
          <w:color w:val="auto"/>
        </w:rPr>
        <w:t xml:space="preserve">                                        </w:t>
      </w:r>
      <w:r w:rsidRPr="00BA05EE">
        <w:rPr>
          <w:color w:val="auto"/>
        </w:rPr>
        <w:tab/>
        <w:t xml:space="preserve">BOARDS </w:t>
      </w:r>
    </w:p>
    <w:p w:rsidR="00BA05EE" w:rsidRPr="00BA05EE" w:rsidRDefault="00BA05EE" w:rsidP="00BA05EE">
      <w:pPr>
        <w:jc w:val="both"/>
        <w:rPr>
          <w:color w:val="auto"/>
        </w:rPr>
      </w:pPr>
    </w:p>
    <w:p w:rsidR="00BA05EE" w:rsidRPr="00BA05EE" w:rsidRDefault="00BA05EE" w:rsidP="00BA05EE">
      <w:pPr>
        <w:jc w:val="both"/>
        <w:rPr>
          <w:color w:val="auto"/>
        </w:rPr>
      </w:pPr>
      <w:proofErr w:type="spellStart"/>
      <w:r w:rsidRPr="00BA05EE">
        <w:rPr>
          <w:color w:val="auto"/>
        </w:rPr>
        <w:t>Subj</w:t>
      </w:r>
      <w:proofErr w:type="spellEnd"/>
      <w:r w:rsidRPr="00BA05EE">
        <w:rPr>
          <w:color w:val="auto"/>
        </w:rPr>
        <w:t>:  PHYSICAL DISABILITY BOARD OF REVIEW (PDBR) RECOMMENDATION</w:t>
      </w:r>
    </w:p>
    <w:p w:rsidR="00BA05EE" w:rsidRPr="00BA05EE" w:rsidRDefault="00BA05EE" w:rsidP="00BA05EE">
      <w:pPr>
        <w:tabs>
          <w:tab w:val="left" w:pos="630"/>
        </w:tabs>
        <w:jc w:val="both"/>
        <w:rPr>
          <w:color w:val="auto"/>
        </w:rPr>
      </w:pPr>
      <w:r w:rsidRPr="00BA05EE">
        <w:rPr>
          <w:color w:val="auto"/>
        </w:rPr>
        <w:t xml:space="preserve">          </w:t>
      </w:r>
      <w:r w:rsidRPr="00BA05EE">
        <w:rPr>
          <w:color w:val="auto"/>
        </w:rPr>
        <w:tab/>
        <w:t xml:space="preserve">ICO </w:t>
      </w:r>
      <w:r>
        <w:rPr>
          <w:color w:val="auto"/>
        </w:rPr>
        <w:t>XXXX</w:t>
      </w:r>
      <w:r w:rsidRPr="00BA05EE">
        <w:rPr>
          <w:color w:val="auto"/>
        </w:rPr>
        <w:t>, FORMER USMC</w:t>
      </w:r>
    </w:p>
    <w:p w:rsidR="00BA05EE" w:rsidRPr="00BA05EE" w:rsidRDefault="00BA05EE" w:rsidP="00BA05EE">
      <w:pPr>
        <w:jc w:val="both"/>
        <w:rPr>
          <w:color w:val="auto"/>
        </w:rPr>
      </w:pPr>
    </w:p>
    <w:p w:rsidR="00BA05EE" w:rsidRPr="00BA05EE" w:rsidRDefault="00BA05EE" w:rsidP="00BA05EE">
      <w:pPr>
        <w:jc w:val="both"/>
        <w:rPr>
          <w:color w:val="auto"/>
        </w:rPr>
      </w:pPr>
      <w:r w:rsidRPr="00BA05EE">
        <w:rPr>
          <w:color w:val="auto"/>
        </w:rPr>
        <w:t>Ref:   (a) DoDI 6040.44</w:t>
      </w:r>
    </w:p>
    <w:p w:rsidR="00BA05EE" w:rsidRPr="00BA05EE" w:rsidRDefault="00BA05EE" w:rsidP="00BA05EE">
      <w:pPr>
        <w:ind w:left="-540"/>
        <w:jc w:val="both"/>
        <w:rPr>
          <w:color w:val="auto"/>
        </w:rPr>
      </w:pPr>
      <w:r w:rsidRPr="00BA05EE">
        <w:rPr>
          <w:color w:val="auto"/>
        </w:rPr>
        <w:t xml:space="preserve">                   (b) PDBR </w:t>
      </w:r>
      <w:proofErr w:type="spellStart"/>
      <w:r w:rsidRPr="00BA05EE">
        <w:rPr>
          <w:color w:val="auto"/>
        </w:rPr>
        <w:t>ltr</w:t>
      </w:r>
      <w:proofErr w:type="spellEnd"/>
      <w:r w:rsidRPr="00BA05EE">
        <w:rPr>
          <w:color w:val="auto"/>
        </w:rPr>
        <w:t xml:space="preserve"> </w:t>
      </w:r>
      <w:proofErr w:type="spellStart"/>
      <w:r w:rsidRPr="00BA05EE">
        <w:rPr>
          <w:color w:val="auto"/>
        </w:rPr>
        <w:t>dtd</w:t>
      </w:r>
      <w:proofErr w:type="spellEnd"/>
      <w:r w:rsidRPr="00BA05EE">
        <w:rPr>
          <w:color w:val="auto"/>
        </w:rPr>
        <w:t xml:space="preserve"> 11 May 11</w:t>
      </w:r>
    </w:p>
    <w:p w:rsidR="00BA05EE" w:rsidRPr="00BA05EE" w:rsidRDefault="00BA05EE" w:rsidP="00BA05EE">
      <w:pPr>
        <w:ind w:left="-540"/>
        <w:jc w:val="both"/>
        <w:rPr>
          <w:color w:val="auto"/>
        </w:rPr>
      </w:pPr>
    </w:p>
    <w:p w:rsidR="00BA05EE" w:rsidRPr="00BA05EE" w:rsidRDefault="00BA05EE" w:rsidP="00BA05EE">
      <w:pPr>
        <w:jc w:val="both"/>
        <w:rPr>
          <w:color w:val="auto"/>
        </w:rPr>
      </w:pPr>
      <w:r w:rsidRPr="00BA05EE">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BA05EE">
        <w:rPr>
          <w:color w:val="auto"/>
        </w:rPr>
        <w:t>’s records not be corrected to reflect a change in either his characterization of separation or in the disability rating previously assigned by the Department of the Navy’s Physical Evaluation Board.</w:t>
      </w:r>
    </w:p>
    <w:p w:rsidR="00BA05EE" w:rsidRPr="00BA05EE" w:rsidRDefault="00BA05EE" w:rsidP="00BA05EE">
      <w:pPr>
        <w:jc w:val="both"/>
        <w:rPr>
          <w:color w:val="auto"/>
        </w:rPr>
      </w:pPr>
    </w:p>
    <w:p w:rsidR="00BA05EE" w:rsidRPr="00BA05EE" w:rsidRDefault="00BA05EE" w:rsidP="00BA05EE">
      <w:pPr>
        <w:jc w:val="both"/>
        <w:rPr>
          <w:color w:val="auto"/>
        </w:rPr>
      </w:pPr>
    </w:p>
    <w:p w:rsidR="00BA05EE" w:rsidRPr="00BA05EE" w:rsidRDefault="00BA05EE" w:rsidP="00BA05EE">
      <w:pPr>
        <w:jc w:val="both"/>
        <w:rPr>
          <w:color w:val="auto"/>
        </w:rPr>
      </w:pPr>
    </w:p>
    <w:p w:rsidR="00BA05EE" w:rsidRPr="00BA05EE" w:rsidRDefault="00BA05EE" w:rsidP="00BA05EE">
      <w:pPr>
        <w:tabs>
          <w:tab w:val="left" w:pos="4680"/>
        </w:tabs>
        <w:jc w:val="both"/>
        <w:rPr>
          <w:color w:val="auto"/>
        </w:rPr>
      </w:pPr>
      <w:r w:rsidRPr="00BA05EE">
        <w:rPr>
          <w:color w:val="auto"/>
        </w:rPr>
        <w:tab/>
      </w:r>
      <w:r>
        <w:rPr>
          <w:color w:val="auto"/>
        </w:rPr>
        <w:t>\</w:t>
      </w:r>
    </w:p>
    <w:p w:rsidR="00BA05EE" w:rsidRPr="00BA05EE" w:rsidRDefault="00BA05EE" w:rsidP="00BA05EE">
      <w:pPr>
        <w:jc w:val="both"/>
        <w:rPr>
          <w:color w:val="auto"/>
        </w:rPr>
      </w:pPr>
      <w:r w:rsidRPr="00BA05EE">
        <w:rPr>
          <w:color w:val="auto"/>
        </w:rPr>
        <w:tab/>
        <w:t xml:space="preserve">     </w:t>
      </w:r>
      <w:r w:rsidRPr="00BA05EE">
        <w:rPr>
          <w:color w:val="auto"/>
        </w:rPr>
        <w:tab/>
      </w:r>
      <w:r w:rsidRPr="00BA05EE">
        <w:rPr>
          <w:color w:val="auto"/>
        </w:rPr>
        <w:tab/>
      </w:r>
      <w:r w:rsidRPr="00BA05EE">
        <w:rPr>
          <w:color w:val="auto"/>
        </w:rPr>
        <w:tab/>
      </w:r>
      <w:r w:rsidRPr="00BA05EE">
        <w:rPr>
          <w:color w:val="auto"/>
        </w:rPr>
        <w:tab/>
      </w:r>
      <w:r w:rsidRPr="00BA05EE">
        <w:rPr>
          <w:color w:val="auto"/>
        </w:rPr>
        <w:tab/>
        <w:t xml:space="preserve">      Assistant General Counsel</w:t>
      </w:r>
    </w:p>
    <w:p w:rsidR="00BA05EE" w:rsidRPr="00BA05EE" w:rsidRDefault="00BA05EE" w:rsidP="00BA05EE">
      <w:pPr>
        <w:jc w:val="both"/>
        <w:rPr>
          <w:color w:val="auto"/>
        </w:rPr>
      </w:pPr>
      <w:r w:rsidRPr="00BA05EE">
        <w:rPr>
          <w:color w:val="auto"/>
        </w:rPr>
        <w:tab/>
      </w:r>
      <w:r w:rsidRPr="00BA05EE">
        <w:rPr>
          <w:color w:val="auto"/>
        </w:rPr>
        <w:tab/>
      </w:r>
      <w:r w:rsidRPr="00BA05EE">
        <w:rPr>
          <w:color w:val="auto"/>
        </w:rPr>
        <w:tab/>
      </w:r>
      <w:r w:rsidRPr="00BA05EE">
        <w:rPr>
          <w:color w:val="auto"/>
        </w:rPr>
        <w:tab/>
      </w:r>
      <w:r w:rsidRPr="00BA05EE">
        <w:rPr>
          <w:color w:val="auto"/>
        </w:rPr>
        <w:tab/>
      </w:r>
      <w:r w:rsidRPr="00BA05EE">
        <w:rPr>
          <w:color w:val="auto"/>
        </w:rPr>
        <w:tab/>
        <w:t xml:space="preserve">        (Manpower &amp; Reserve Affairs)</w:t>
      </w:r>
    </w:p>
    <w:p w:rsidR="00BA05EE" w:rsidRDefault="00BA05EE" w:rsidP="00BA05EE">
      <w:pPr>
        <w:jc w:val="both"/>
      </w:pPr>
      <w:r w:rsidRPr="00BA05EE">
        <w:rPr>
          <w:color w:val="auto"/>
        </w:rPr>
        <w:tab/>
      </w:r>
      <w:r w:rsidRPr="00BA05EE">
        <w:rPr>
          <w:color w:val="auto"/>
        </w:rPr>
        <w:tab/>
      </w:r>
      <w:r w:rsidRPr="00BA05EE">
        <w:rPr>
          <w:color w:val="auto"/>
        </w:rPr>
        <w:tab/>
      </w:r>
      <w:r w:rsidRPr="00BA05EE">
        <w:rPr>
          <w:color w:val="auto"/>
        </w:rPr>
        <w:tab/>
      </w:r>
      <w:r>
        <w:tab/>
      </w:r>
      <w:r>
        <w:tab/>
        <w:t xml:space="preserve">  </w:t>
      </w:r>
    </w:p>
    <w:p w:rsidR="00BA05EE" w:rsidRDefault="00BA05EE" w:rsidP="00BA05EE">
      <w:pPr>
        <w:jc w:val="both"/>
      </w:pPr>
    </w:p>
    <w:p w:rsidR="00BA05EE" w:rsidRPr="00006186" w:rsidRDefault="00BA05EE"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A05EE" w:rsidRPr="00006186"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1F" w:rsidRDefault="00A4181F">
      <w:r>
        <w:separator/>
      </w:r>
    </w:p>
  </w:endnote>
  <w:endnote w:type="continuationSeparator" w:id="0">
    <w:p w:rsidR="00A4181F" w:rsidRDefault="00A4181F">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3C" w:rsidRDefault="00446AC6">
    <w:pPr>
      <w:pStyle w:val="Footer"/>
      <w:framePr w:wrap="around" w:vAnchor="text" w:hAnchor="margin" w:xAlign="center" w:y="1"/>
      <w:rPr>
        <w:rStyle w:val="PageNumber"/>
      </w:rPr>
    </w:pPr>
    <w:r>
      <w:rPr>
        <w:rStyle w:val="PageNumber"/>
      </w:rPr>
      <w:fldChar w:fldCharType="begin"/>
    </w:r>
    <w:r w:rsidR="00BC623C">
      <w:rPr>
        <w:rStyle w:val="PageNumber"/>
      </w:rPr>
      <w:instrText xml:space="preserve">PAGE  </w:instrText>
    </w:r>
    <w:r>
      <w:rPr>
        <w:rStyle w:val="PageNumber"/>
      </w:rPr>
      <w:fldChar w:fldCharType="separate"/>
    </w:r>
    <w:r w:rsidR="00BC623C">
      <w:rPr>
        <w:rStyle w:val="PageNumber"/>
        <w:noProof/>
      </w:rPr>
      <w:t>2</w:t>
    </w:r>
    <w:r>
      <w:rPr>
        <w:rStyle w:val="PageNumber"/>
      </w:rPr>
      <w:fldChar w:fldCharType="end"/>
    </w:r>
  </w:p>
  <w:p w:rsidR="00BC623C" w:rsidRDefault="00BC623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3C" w:rsidRPr="00AC713F" w:rsidRDefault="00446AC6">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BC623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BA05EE">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BC623C" w:rsidRPr="00546EA0" w:rsidRDefault="00BC623C" w:rsidP="002B0749">
    <w:pPr>
      <w:pStyle w:val="Footer"/>
      <w:jc w:val="right"/>
      <w:rPr>
        <w:rFonts w:asciiTheme="minorHAnsi" w:hAnsiTheme="minorHAnsi"/>
        <w:color w:val="auto"/>
      </w:rPr>
    </w:pPr>
    <w:r>
      <w:tab/>
    </w:r>
    <w:r>
      <w:tab/>
    </w:r>
    <w:r w:rsidRPr="00546EA0">
      <w:rPr>
        <w:rFonts w:asciiTheme="minorHAnsi" w:hAnsiTheme="minorHAnsi"/>
        <w:caps/>
        <w:color w:val="auto"/>
      </w:rPr>
      <w:t>PD0900574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1F" w:rsidRDefault="00A4181F">
      <w:r>
        <w:separator/>
      </w:r>
    </w:p>
  </w:footnote>
  <w:footnote w:type="continuationSeparator" w:id="0">
    <w:p w:rsidR="00A4181F" w:rsidRDefault="00A418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7714"/>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259C"/>
    <w:rsid w:val="00023913"/>
    <w:rsid w:val="00023D43"/>
    <w:rsid w:val="00032E07"/>
    <w:rsid w:val="000332CA"/>
    <w:rsid w:val="0003374E"/>
    <w:rsid w:val="000344E6"/>
    <w:rsid w:val="00035C3A"/>
    <w:rsid w:val="00036E4B"/>
    <w:rsid w:val="000370F7"/>
    <w:rsid w:val="000379D0"/>
    <w:rsid w:val="00040FC4"/>
    <w:rsid w:val="000416F8"/>
    <w:rsid w:val="00042C26"/>
    <w:rsid w:val="00043382"/>
    <w:rsid w:val="00051622"/>
    <w:rsid w:val="00052234"/>
    <w:rsid w:val="00053D7C"/>
    <w:rsid w:val="000577C9"/>
    <w:rsid w:val="0006431E"/>
    <w:rsid w:val="00072433"/>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DE4"/>
    <w:rsid w:val="000D12D5"/>
    <w:rsid w:val="000D15E7"/>
    <w:rsid w:val="000D1A24"/>
    <w:rsid w:val="000D21C7"/>
    <w:rsid w:val="000D248A"/>
    <w:rsid w:val="000D35D8"/>
    <w:rsid w:val="000D43F9"/>
    <w:rsid w:val="000D4717"/>
    <w:rsid w:val="000D6457"/>
    <w:rsid w:val="000D7D55"/>
    <w:rsid w:val="000E0993"/>
    <w:rsid w:val="000E37E0"/>
    <w:rsid w:val="000F02BE"/>
    <w:rsid w:val="000F427B"/>
    <w:rsid w:val="000F7181"/>
    <w:rsid w:val="000F7945"/>
    <w:rsid w:val="001008C1"/>
    <w:rsid w:val="001023DB"/>
    <w:rsid w:val="00103CCF"/>
    <w:rsid w:val="0010417F"/>
    <w:rsid w:val="001042D2"/>
    <w:rsid w:val="0010530E"/>
    <w:rsid w:val="00105C07"/>
    <w:rsid w:val="00107EC5"/>
    <w:rsid w:val="001103CD"/>
    <w:rsid w:val="00114F20"/>
    <w:rsid w:val="001211AF"/>
    <w:rsid w:val="0012161B"/>
    <w:rsid w:val="001219DF"/>
    <w:rsid w:val="001231DC"/>
    <w:rsid w:val="001272AE"/>
    <w:rsid w:val="001315DD"/>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599F"/>
    <w:rsid w:val="001D68CF"/>
    <w:rsid w:val="001D6A8C"/>
    <w:rsid w:val="001D7A56"/>
    <w:rsid w:val="001E15C0"/>
    <w:rsid w:val="001E18E0"/>
    <w:rsid w:val="001E18E2"/>
    <w:rsid w:val="001E19D0"/>
    <w:rsid w:val="001E2883"/>
    <w:rsid w:val="001E2A30"/>
    <w:rsid w:val="001E6A81"/>
    <w:rsid w:val="00200AA0"/>
    <w:rsid w:val="00202325"/>
    <w:rsid w:val="00202736"/>
    <w:rsid w:val="00203652"/>
    <w:rsid w:val="002060B6"/>
    <w:rsid w:val="002066B5"/>
    <w:rsid w:val="002159DB"/>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7F6"/>
    <w:rsid w:val="002528EC"/>
    <w:rsid w:val="00255049"/>
    <w:rsid w:val="00257DE5"/>
    <w:rsid w:val="00260531"/>
    <w:rsid w:val="0026318D"/>
    <w:rsid w:val="00264A7D"/>
    <w:rsid w:val="00270864"/>
    <w:rsid w:val="002712F7"/>
    <w:rsid w:val="0027159C"/>
    <w:rsid w:val="00274549"/>
    <w:rsid w:val="00274E46"/>
    <w:rsid w:val="00276C86"/>
    <w:rsid w:val="002810A4"/>
    <w:rsid w:val="00284A26"/>
    <w:rsid w:val="0028627A"/>
    <w:rsid w:val="00287006"/>
    <w:rsid w:val="00294437"/>
    <w:rsid w:val="002A3237"/>
    <w:rsid w:val="002A58B7"/>
    <w:rsid w:val="002A685E"/>
    <w:rsid w:val="002A72C7"/>
    <w:rsid w:val="002B03B2"/>
    <w:rsid w:val="002B0749"/>
    <w:rsid w:val="002B2645"/>
    <w:rsid w:val="002B4972"/>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17765"/>
    <w:rsid w:val="00317E8A"/>
    <w:rsid w:val="0032136A"/>
    <w:rsid w:val="00323E70"/>
    <w:rsid w:val="00325BA2"/>
    <w:rsid w:val="00326F7F"/>
    <w:rsid w:val="003320E8"/>
    <w:rsid w:val="00333693"/>
    <w:rsid w:val="0033555E"/>
    <w:rsid w:val="00336805"/>
    <w:rsid w:val="00337351"/>
    <w:rsid w:val="00341A54"/>
    <w:rsid w:val="0034669F"/>
    <w:rsid w:val="003510C6"/>
    <w:rsid w:val="00351498"/>
    <w:rsid w:val="00352B22"/>
    <w:rsid w:val="00354547"/>
    <w:rsid w:val="003567DE"/>
    <w:rsid w:val="003574F3"/>
    <w:rsid w:val="0036174C"/>
    <w:rsid w:val="0036319E"/>
    <w:rsid w:val="003632A4"/>
    <w:rsid w:val="00363362"/>
    <w:rsid w:val="00366925"/>
    <w:rsid w:val="00367D4F"/>
    <w:rsid w:val="00370743"/>
    <w:rsid w:val="00370EF5"/>
    <w:rsid w:val="0037135B"/>
    <w:rsid w:val="00372251"/>
    <w:rsid w:val="00373946"/>
    <w:rsid w:val="0037520D"/>
    <w:rsid w:val="00375809"/>
    <w:rsid w:val="0037628C"/>
    <w:rsid w:val="00376B81"/>
    <w:rsid w:val="00377BD2"/>
    <w:rsid w:val="003821E1"/>
    <w:rsid w:val="00384866"/>
    <w:rsid w:val="003857D4"/>
    <w:rsid w:val="00385D6F"/>
    <w:rsid w:val="00387095"/>
    <w:rsid w:val="00390092"/>
    <w:rsid w:val="00392DF3"/>
    <w:rsid w:val="00393651"/>
    <w:rsid w:val="00395E12"/>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F1C4C"/>
    <w:rsid w:val="003F58B0"/>
    <w:rsid w:val="004007E9"/>
    <w:rsid w:val="00401825"/>
    <w:rsid w:val="00401BBC"/>
    <w:rsid w:val="00403BFB"/>
    <w:rsid w:val="00404B45"/>
    <w:rsid w:val="00406CC5"/>
    <w:rsid w:val="004074A4"/>
    <w:rsid w:val="00407F18"/>
    <w:rsid w:val="004101B2"/>
    <w:rsid w:val="004123D7"/>
    <w:rsid w:val="00412658"/>
    <w:rsid w:val="004172DB"/>
    <w:rsid w:val="00417FF9"/>
    <w:rsid w:val="00421485"/>
    <w:rsid w:val="00422B75"/>
    <w:rsid w:val="004336A2"/>
    <w:rsid w:val="00433F36"/>
    <w:rsid w:val="0043503A"/>
    <w:rsid w:val="0044384F"/>
    <w:rsid w:val="00444F80"/>
    <w:rsid w:val="00446018"/>
    <w:rsid w:val="00446AC6"/>
    <w:rsid w:val="004543BC"/>
    <w:rsid w:val="0045645D"/>
    <w:rsid w:val="004574C6"/>
    <w:rsid w:val="00457BCF"/>
    <w:rsid w:val="00457DCE"/>
    <w:rsid w:val="00460E3F"/>
    <w:rsid w:val="0046357A"/>
    <w:rsid w:val="00466CED"/>
    <w:rsid w:val="00467592"/>
    <w:rsid w:val="00467690"/>
    <w:rsid w:val="004718E7"/>
    <w:rsid w:val="00472535"/>
    <w:rsid w:val="004761CC"/>
    <w:rsid w:val="00480D4A"/>
    <w:rsid w:val="00481DA1"/>
    <w:rsid w:val="0049255F"/>
    <w:rsid w:val="0049445D"/>
    <w:rsid w:val="00495350"/>
    <w:rsid w:val="00497156"/>
    <w:rsid w:val="004A24D2"/>
    <w:rsid w:val="004A3214"/>
    <w:rsid w:val="004A4136"/>
    <w:rsid w:val="004A417B"/>
    <w:rsid w:val="004B03F3"/>
    <w:rsid w:val="004B2536"/>
    <w:rsid w:val="004B5141"/>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4F5F4E"/>
    <w:rsid w:val="005000AB"/>
    <w:rsid w:val="005014DE"/>
    <w:rsid w:val="005025EE"/>
    <w:rsid w:val="00507542"/>
    <w:rsid w:val="00510588"/>
    <w:rsid w:val="0051146C"/>
    <w:rsid w:val="00514449"/>
    <w:rsid w:val="005222E7"/>
    <w:rsid w:val="00523A8B"/>
    <w:rsid w:val="00523E04"/>
    <w:rsid w:val="0052590B"/>
    <w:rsid w:val="00526591"/>
    <w:rsid w:val="00527178"/>
    <w:rsid w:val="005278CB"/>
    <w:rsid w:val="00531FED"/>
    <w:rsid w:val="00534D42"/>
    <w:rsid w:val="005350A5"/>
    <w:rsid w:val="00536379"/>
    <w:rsid w:val="00537238"/>
    <w:rsid w:val="005400C5"/>
    <w:rsid w:val="00540BEF"/>
    <w:rsid w:val="00542C9A"/>
    <w:rsid w:val="005436C2"/>
    <w:rsid w:val="005442D4"/>
    <w:rsid w:val="0054586A"/>
    <w:rsid w:val="0054631F"/>
    <w:rsid w:val="00546EA0"/>
    <w:rsid w:val="0055288D"/>
    <w:rsid w:val="00552CC2"/>
    <w:rsid w:val="00555259"/>
    <w:rsid w:val="00560D57"/>
    <w:rsid w:val="00562A94"/>
    <w:rsid w:val="005709F7"/>
    <w:rsid w:val="005710A9"/>
    <w:rsid w:val="00571D1B"/>
    <w:rsid w:val="00584229"/>
    <w:rsid w:val="005879F8"/>
    <w:rsid w:val="00593043"/>
    <w:rsid w:val="00595BF0"/>
    <w:rsid w:val="005A1846"/>
    <w:rsid w:val="005A258C"/>
    <w:rsid w:val="005A3560"/>
    <w:rsid w:val="005A6C99"/>
    <w:rsid w:val="005A7D5D"/>
    <w:rsid w:val="005B011A"/>
    <w:rsid w:val="005B14FC"/>
    <w:rsid w:val="005B1D8F"/>
    <w:rsid w:val="005B1E94"/>
    <w:rsid w:val="005B5B3D"/>
    <w:rsid w:val="005B6643"/>
    <w:rsid w:val="005C16F3"/>
    <w:rsid w:val="005C3758"/>
    <w:rsid w:val="005C69B2"/>
    <w:rsid w:val="005D0DCD"/>
    <w:rsid w:val="005E3064"/>
    <w:rsid w:val="005E72B2"/>
    <w:rsid w:val="005F1115"/>
    <w:rsid w:val="005F1AB6"/>
    <w:rsid w:val="005F27F2"/>
    <w:rsid w:val="005F3AFE"/>
    <w:rsid w:val="005F424D"/>
    <w:rsid w:val="005F6B6D"/>
    <w:rsid w:val="00603275"/>
    <w:rsid w:val="00603BA3"/>
    <w:rsid w:val="00605AAB"/>
    <w:rsid w:val="00606BEB"/>
    <w:rsid w:val="0061014A"/>
    <w:rsid w:val="0061054B"/>
    <w:rsid w:val="00613E26"/>
    <w:rsid w:val="00615641"/>
    <w:rsid w:val="00616959"/>
    <w:rsid w:val="006211D0"/>
    <w:rsid w:val="006213A4"/>
    <w:rsid w:val="00624D0C"/>
    <w:rsid w:val="006307BA"/>
    <w:rsid w:val="006315BA"/>
    <w:rsid w:val="00634C4A"/>
    <w:rsid w:val="0063532E"/>
    <w:rsid w:val="00637BDC"/>
    <w:rsid w:val="006418C9"/>
    <w:rsid w:val="00642BD6"/>
    <w:rsid w:val="00645046"/>
    <w:rsid w:val="0064527A"/>
    <w:rsid w:val="00645EA2"/>
    <w:rsid w:val="006573F2"/>
    <w:rsid w:val="00662F08"/>
    <w:rsid w:val="00663589"/>
    <w:rsid w:val="006708E3"/>
    <w:rsid w:val="00670DDC"/>
    <w:rsid w:val="00671EB4"/>
    <w:rsid w:val="0067443B"/>
    <w:rsid w:val="00684E2B"/>
    <w:rsid w:val="00690FDA"/>
    <w:rsid w:val="00691E61"/>
    <w:rsid w:val="00693C5E"/>
    <w:rsid w:val="0069471D"/>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E06D1"/>
    <w:rsid w:val="006E1313"/>
    <w:rsid w:val="006E29DF"/>
    <w:rsid w:val="006E2DC8"/>
    <w:rsid w:val="006E7356"/>
    <w:rsid w:val="006E77C8"/>
    <w:rsid w:val="006F149D"/>
    <w:rsid w:val="006F1A46"/>
    <w:rsid w:val="006F5A4E"/>
    <w:rsid w:val="00703B6C"/>
    <w:rsid w:val="00705C40"/>
    <w:rsid w:val="00706482"/>
    <w:rsid w:val="00706BEF"/>
    <w:rsid w:val="007116BC"/>
    <w:rsid w:val="007165CE"/>
    <w:rsid w:val="00720968"/>
    <w:rsid w:val="00721392"/>
    <w:rsid w:val="00721D12"/>
    <w:rsid w:val="00721F8B"/>
    <w:rsid w:val="007227D4"/>
    <w:rsid w:val="007237CE"/>
    <w:rsid w:val="00724688"/>
    <w:rsid w:val="0073062D"/>
    <w:rsid w:val="0073254D"/>
    <w:rsid w:val="0073639D"/>
    <w:rsid w:val="00736A49"/>
    <w:rsid w:val="00743B71"/>
    <w:rsid w:val="00743C2D"/>
    <w:rsid w:val="00743E36"/>
    <w:rsid w:val="007446F7"/>
    <w:rsid w:val="00744EBB"/>
    <w:rsid w:val="00745B0A"/>
    <w:rsid w:val="007468AC"/>
    <w:rsid w:val="00746AE2"/>
    <w:rsid w:val="00750C82"/>
    <w:rsid w:val="007543F9"/>
    <w:rsid w:val="0076100C"/>
    <w:rsid w:val="007651ED"/>
    <w:rsid w:val="00766C87"/>
    <w:rsid w:val="00781BD4"/>
    <w:rsid w:val="00781E20"/>
    <w:rsid w:val="00784832"/>
    <w:rsid w:val="00784F01"/>
    <w:rsid w:val="00785D77"/>
    <w:rsid w:val="00786111"/>
    <w:rsid w:val="00790A30"/>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7F27F2"/>
    <w:rsid w:val="007F3593"/>
    <w:rsid w:val="008014BD"/>
    <w:rsid w:val="00803850"/>
    <w:rsid w:val="00803D75"/>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4F10"/>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86CCC"/>
    <w:rsid w:val="00896535"/>
    <w:rsid w:val="00896683"/>
    <w:rsid w:val="00897589"/>
    <w:rsid w:val="008A63A9"/>
    <w:rsid w:val="008A7F7E"/>
    <w:rsid w:val="008B04DB"/>
    <w:rsid w:val="008B27FD"/>
    <w:rsid w:val="008B3AF2"/>
    <w:rsid w:val="008B515D"/>
    <w:rsid w:val="008B5D31"/>
    <w:rsid w:val="008B6705"/>
    <w:rsid w:val="008B6DDA"/>
    <w:rsid w:val="008C22F3"/>
    <w:rsid w:val="008C7C1C"/>
    <w:rsid w:val="008D795D"/>
    <w:rsid w:val="008D7B07"/>
    <w:rsid w:val="008E1E94"/>
    <w:rsid w:val="008E2D99"/>
    <w:rsid w:val="008E4A60"/>
    <w:rsid w:val="008E5102"/>
    <w:rsid w:val="008E744D"/>
    <w:rsid w:val="008F1E08"/>
    <w:rsid w:val="00900D8F"/>
    <w:rsid w:val="009014E3"/>
    <w:rsid w:val="009026E8"/>
    <w:rsid w:val="00905374"/>
    <w:rsid w:val="00906EB7"/>
    <w:rsid w:val="009102BF"/>
    <w:rsid w:val="009115F2"/>
    <w:rsid w:val="00914ADB"/>
    <w:rsid w:val="00923B25"/>
    <w:rsid w:val="0092402E"/>
    <w:rsid w:val="009259BA"/>
    <w:rsid w:val="00926FCB"/>
    <w:rsid w:val="0093311A"/>
    <w:rsid w:val="00935C4D"/>
    <w:rsid w:val="00942645"/>
    <w:rsid w:val="00950A3A"/>
    <w:rsid w:val="00950B9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97CEE"/>
    <w:rsid w:val="009A0DE3"/>
    <w:rsid w:val="009A1295"/>
    <w:rsid w:val="009A1643"/>
    <w:rsid w:val="009A215A"/>
    <w:rsid w:val="009A4F1B"/>
    <w:rsid w:val="009A66C5"/>
    <w:rsid w:val="009A79BA"/>
    <w:rsid w:val="009B04E4"/>
    <w:rsid w:val="009B14D1"/>
    <w:rsid w:val="009B1534"/>
    <w:rsid w:val="009B399A"/>
    <w:rsid w:val="009B4A3B"/>
    <w:rsid w:val="009B69D3"/>
    <w:rsid w:val="009B7BA7"/>
    <w:rsid w:val="009C0938"/>
    <w:rsid w:val="009C22C8"/>
    <w:rsid w:val="009C3F82"/>
    <w:rsid w:val="009C72DD"/>
    <w:rsid w:val="009C7DF5"/>
    <w:rsid w:val="009D056C"/>
    <w:rsid w:val="009D060F"/>
    <w:rsid w:val="009D1ADE"/>
    <w:rsid w:val="009D76B3"/>
    <w:rsid w:val="009E09D0"/>
    <w:rsid w:val="009E1283"/>
    <w:rsid w:val="009E3A7F"/>
    <w:rsid w:val="009E57B1"/>
    <w:rsid w:val="009E6379"/>
    <w:rsid w:val="009F3282"/>
    <w:rsid w:val="009F4635"/>
    <w:rsid w:val="009F7809"/>
    <w:rsid w:val="009F7AF5"/>
    <w:rsid w:val="00A00D14"/>
    <w:rsid w:val="00A01408"/>
    <w:rsid w:val="00A02457"/>
    <w:rsid w:val="00A03190"/>
    <w:rsid w:val="00A0404B"/>
    <w:rsid w:val="00A04B54"/>
    <w:rsid w:val="00A0798C"/>
    <w:rsid w:val="00A07BDD"/>
    <w:rsid w:val="00A10524"/>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181F"/>
    <w:rsid w:val="00A44CCA"/>
    <w:rsid w:val="00A44D75"/>
    <w:rsid w:val="00A47CF1"/>
    <w:rsid w:val="00A50418"/>
    <w:rsid w:val="00A54A47"/>
    <w:rsid w:val="00A56D26"/>
    <w:rsid w:val="00A571A7"/>
    <w:rsid w:val="00A608FB"/>
    <w:rsid w:val="00A60D83"/>
    <w:rsid w:val="00A60F68"/>
    <w:rsid w:val="00A63DF3"/>
    <w:rsid w:val="00A65C78"/>
    <w:rsid w:val="00A660A8"/>
    <w:rsid w:val="00A669A6"/>
    <w:rsid w:val="00A67591"/>
    <w:rsid w:val="00A67CA6"/>
    <w:rsid w:val="00A70E7B"/>
    <w:rsid w:val="00A73B84"/>
    <w:rsid w:val="00A7411D"/>
    <w:rsid w:val="00A76094"/>
    <w:rsid w:val="00A768E2"/>
    <w:rsid w:val="00A80338"/>
    <w:rsid w:val="00A82C52"/>
    <w:rsid w:val="00A862F3"/>
    <w:rsid w:val="00A86CB6"/>
    <w:rsid w:val="00A90D55"/>
    <w:rsid w:val="00A944D8"/>
    <w:rsid w:val="00A959E7"/>
    <w:rsid w:val="00A95BBA"/>
    <w:rsid w:val="00A961EE"/>
    <w:rsid w:val="00AA04B3"/>
    <w:rsid w:val="00AA1253"/>
    <w:rsid w:val="00AA28EF"/>
    <w:rsid w:val="00AA493E"/>
    <w:rsid w:val="00AA73AF"/>
    <w:rsid w:val="00AB1754"/>
    <w:rsid w:val="00AB27DD"/>
    <w:rsid w:val="00AC36EB"/>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223F"/>
    <w:rsid w:val="00B07955"/>
    <w:rsid w:val="00B14FAA"/>
    <w:rsid w:val="00B15D30"/>
    <w:rsid w:val="00B20624"/>
    <w:rsid w:val="00B23436"/>
    <w:rsid w:val="00B26354"/>
    <w:rsid w:val="00B26CA0"/>
    <w:rsid w:val="00B32179"/>
    <w:rsid w:val="00B331A9"/>
    <w:rsid w:val="00B36569"/>
    <w:rsid w:val="00B40A05"/>
    <w:rsid w:val="00B40A3E"/>
    <w:rsid w:val="00B50227"/>
    <w:rsid w:val="00B50510"/>
    <w:rsid w:val="00B522CD"/>
    <w:rsid w:val="00B55143"/>
    <w:rsid w:val="00B55917"/>
    <w:rsid w:val="00B643A6"/>
    <w:rsid w:val="00B64DD6"/>
    <w:rsid w:val="00B6710C"/>
    <w:rsid w:val="00B72076"/>
    <w:rsid w:val="00B72303"/>
    <w:rsid w:val="00B73FB2"/>
    <w:rsid w:val="00B82277"/>
    <w:rsid w:val="00B84801"/>
    <w:rsid w:val="00B91676"/>
    <w:rsid w:val="00B95833"/>
    <w:rsid w:val="00BA05EE"/>
    <w:rsid w:val="00BA1824"/>
    <w:rsid w:val="00BA2D98"/>
    <w:rsid w:val="00BA30D1"/>
    <w:rsid w:val="00BA4609"/>
    <w:rsid w:val="00BA5BE2"/>
    <w:rsid w:val="00BA7B11"/>
    <w:rsid w:val="00BA7F46"/>
    <w:rsid w:val="00BB0044"/>
    <w:rsid w:val="00BB0A0A"/>
    <w:rsid w:val="00BB45B5"/>
    <w:rsid w:val="00BB6064"/>
    <w:rsid w:val="00BC09D1"/>
    <w:rsid w:val="00BC1CF3"/>
    <w:rsid w:val="00BC623C"/>
    <w:rsid w:val="00BC7F82"/>
    <w:rsid w:val="00BD40AB"/>
    <w:rsid w:val="00BD6297"/>
    <w:rsid w:val="00BD6806"/>
    <w:rsid w:val="00BD7433"/>
    <w:rsid w:val="00BD7831"/>
    <w:rsid w:val="00BD7C10"/>
    <w:rsid w:val="00BE046F"/>
    <w:rsid w:val="00BE0DEB"/>
    <w:rsid w:val="00BE2FC1"/>
    <w:rsid w:val="00BE6365"/>
    <w:rsid w:val="00BF0B7F"/>
    <w:rsid w:val="00BF4720"/>
    <w:rsid w:val="00BF61E3"/>
    <w:rsid w:val="00BF7B63"/>
    <w:rsid w:val="00C01CEA"/>
    <w:rsid w:val="00C038EC"/>
    <w:rsid w:val="00C05C6D"/>
    <w:rsid w:val="00C1122B"/>
    <w:rsid w:val="00C13B34"/>
    <w:rsid w:val="00C13F26"/>
    <w:rsid w:val="00C16E9F"/>
    <w:rsid w:val="00C1713D"/>
    <w:rsid w:val="00C177F1"/>
    <w:rsid w:val="00C22F3A"/>
    <w:rsid w:val="00C24E72"/>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4D3A"/>
    <w:rsid w:val="00C761CD"/>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4FDF"/>
    <w:rsid w:val="00CC69EC"/>
    <w:rsid w:val="00CD15BE"/>
    <w:rsid w:val="00CD1EF2"/>
    <w:rsid w:val="00CD32BD"/>
    <w:rsid w:val="00CD34C7"/>
    <w:rsid w:val="00CD5653"/>
    <w:rsid w:val="00CD5E6D"/>
    <w:rsid w:val="00CD63C8"/>
    <w:rsid w:val="00CF158D"/>
    <w:rsid w:val="00CF4394"/>
    <w:rsid w:val="00CF6AFE"/>
    <w:rsid w:val="00D000A9"/>
    <w:rsid w:val="00D005DB"/>
    <w:rsid w:val="00D0064E"/>
    <w:rsid w:val="00D00981"/>
    <w:rsid w:val="00D0280D"/>
    <w:rsid w:val="00D03A0A"/>
    <w:rsid w:val="00D079A0"/>
    <w:rsid w:val="00D07A72"/>
    <w:rsid w:val="00D10577"/>
    <w:rsid w:val="00D1323B"/>
    <w:rsid w:val="00D14BAE"/>
    <w:rsid w:val="00D1648B"/>
    <w:rsid w:val="00D16819"/>
    <w:rsid w:val="00D20AC0"/>
    <w:rsid w:val="00D221C6"/>
    <w:rsid w:val="00D2321B"/>
    <w:rsid w:val="00D23DE4"/>
    <w:rsid w:val="00D26873"/>
    <w:rsid w:val="00D31683"/>
    <w:rsid w:val="00D336C8"/>
    <w:rsid w:val="00D339E8"/>
    <w:rsid w:val="00D349F4"/>
    <w:rsid w:val="00D3662E"/>
    <w:rsid w:val="00D37078"/>
    <w:rsid w:val="00D40B1F"/>
    <w:rsid w:val="00D40D75"/>
    <w:rsid w:val="00D449F0"/>
    <w:rsid w:val="00D451C0"/>
    <w:rsid w:val="00D50C8C"/>
    <w:rsid w:val="00D52393"/>
    <w:rsid w:val="00D523E4"/>
    <w:rsid w:val="00D5279D"/>
    <w:rsid w:val="00D52A1B"/>
    <w:rsid w:val="00D53F14"/>
    <w:rsid w:val="00D54BE4"/>
    <w:rsid w:val="00D60483"/>
    <w:rsid w:val="00D61ABB"/>
    <w:rsid w:val="00D63577"/>
    <w:rsid w:val="00D67FD7"/>
    <w:rsid w:val="00D7032D"/>
    <w:rsid w:val="00D70425"/>
    <w:rsid w:val="00D706CA"/>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4B7A"/>
    <w:rsid w:val="00DB6119"/>
    <w:rsid w:val="00DB626D"/>
    <w:rsid w:val="00DB6365"/>
    <w:rsid w:val="00DC0BF1"/>
    <w:rsid w:val="00DC41C3"/>
    <w:rsid w:val="00DD3593"/>
    <w:rsid w:val="00DE0C67"/>
    <w:rsid w:val="00DE190B"/>
    <w:rsid w:val="00DE6952"/>
    <w:rsid w:val="00DE7E74"/>
    <w:rsid w:val="00DF6EF8"/>
    <w:rsid w:val="00E00A69"/>
    <w:rsid w:val="00E017F0"/>
    <w:rsid w:val="00E01A0E"/>
    <w:rsid w:val="00E041E4"/>
    <w:rsid w:val="00E1012B"/>
    <w:rsid w:val="00E103C8"/>
    <w:rsid w:val="00E1085B"/>
    <w:rsid w:val="00E1308B"/>
    <w:rsid w:val="00E1339F"/>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4EC8"/>
    <w:rsid w:val="00E464F0"/>
    <w:rsid w:val="00E50BEB"/>
    <w:rsid w:val="00E548FA"/>
    <w:rsid w:val="00E6092F"/>
    <w:rsid w:val="00E62049"/>
    <w:rsid w:val="00E629DA"/>
    <w:rsid w:val="00E6469F"/>
    <w:rsid w:val="00E67FAC"/>
    <w:rsid w:val="00E700DC"/>
    <w:rsid w:val="00E7200B"/>
    <w:rsid w:val="00E738CB"/>
    <w:rsid w:val="00E73C88"/>
    <w:rsid w:val="00E74437"/>
    <w:rsid w:val="00E7443D"/>
    <w:rsid w:val="00E81C3E"/>
    <w:rsid w:val="00E825B5"/>
    <w:rsid w:val="00E82B6D"/>
    <w:rsid w:val="00E84D0F"/>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043"/>
    <w:rsid w:val="00F22A26"/>
    <w:rsid w:val="00F24072"/>
    <w:rsid w:val="00F262AA"/>
    <w:rsid w:val="00F26432"/>
    <w:rsid w:val="00F27B62"/>
    <w:rsid w:val="00F3197A"/>
    <w:rsid w:val="00F32139"/>
    <w:rsid w:val="00F3342B"/>
    <w:rsid w:val="00F33D56"/>
    <w:rsid w:val="00F34E08"/>
    <w:rsid w:val="00F41D91"/>
    <w:rsid w:val="00F42363"/>
    <w:rsid w:val="00F45D27"/>
    <w:rsid w:val="00F46964"/>
    <w:rsid w:val="00F46F9A"/>
    <w:rsid w:val="00F5126A"/>
    <w:rsid w:val="00F6636A"/>
    <w:rsid w:val="00F667C5"/>
    <w:rsid w:val="00F67E31"/>
    <w:rsid w:val="00F718A8"/>
    <w:rsid w:val="00F72183"/>
    <w:rsid w:val="00F76D01"/>
    <w:rsid w:val="00F81C35"/>
    <w:rsid w:val="00F82981"/>
    <w:rsid w:val="00F8311F"/>
    <w:rsid w:val="00F83248"/>
    <w:rsid w:val="00F83376"/>
    <w:rsid w:val="00F853AE"/>
    <w:rsid w:val="00F92761"/>
    <w:rsid w:val="00F93C74"/>
    <w:rsid w:val="00F93DCC"/>
    <w:rsid w:val="00F9435D"/>
    <w:rsid w:val="00F97740"/>
    <w:rsid w:val="00FA2F7B"/>
    <w:rsid w:val="00FB09FE"/>
    <w:rsid w:val="00FB2CC9"/>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7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72109417">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711D-3D0A-4FB7-9A2F-2E0B5ACD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2011-05-04T12:49:00Z</cp:lastPrinted>
  <dcterms:created xsi:type="dcterms:W3CDTF">2012-03-07T19:39:00Z</dcterms:created>
  <dcterms:modified xsi:type="dcterms:W3CDTF">2012-03-07T19:39:00Z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