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0452D7">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0452D7">
      <w:pPr>
        <w:tabs>
          <w:tab w:val="left" w:pos="288"/>
          <w:tab w:val="left" w:pos="4752"/>
        </w:tabs>
        <w:spacing w:line="240" w:lineRule="exact"/>
        <w:jc w:val="both"/>
        <w:rPr>
          <w:rFonts w:asciiTheme="minorHAnsi" w:hAnsiTheme="minorHAnsi"/>
          <w:caps/>
          <w:color w:val="auto"/>
        </w:rPr>
      </w:pPr>
    </w:p>
    <w:p w:rsidR="00F629C0" w:rsidRPr="00FD6C41" w:rsidRDefault="00F629C0" w:rsidP="00F629C0">
      <w:pPr>
        <w:tabs>
          <w:tab w:val="left" w:pos="288"/>
          <w:tab w:val="left" w:pos="4752"/>
          <w:tab w:val="left" w:pos="531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5322A">
        <w:rPr>
          <w:rFonts w:asciiTheme="minorHAnsi" w:hAnsiTheme="minorHAnsi"/>
          <w:caps/>
          <w:color w:val="auto"/>
        </w:rPr>
        <w:t xml:space="preserve"> </w:t>
      </w:r>
      <w:r w:rsidRPr="00FD6C41">
        <w:rPr>
          <w:rFonts w:asciiTheme="minorHAnsi" w:hAnsiTheme="minorHAnsi"/>
          <w:caps/>
          <w:color w:val="auto"/>
        </w:rPr>
        <w:tab/>
      </w:r>
      <w:r w:rsidRPr="00FD6C41">
        <w:rPr>
          <w:rFonts w:asciiTheme="minorHAnsi" w:hAnsiTheme="minorHAnsi"/>
          <w:caps/>
          <w:color w:val="auto"/>
        </w:rPr>
        <w:tab/>
        <w:t xml:space="preserve">BRANCH OF SERVICE: </w:t>
      </w:r>
      <w:r>
        <w:rPr>
          <w:rFonts w:asciiTheme="minorHAnsi" w:hAnsiTheme="minorHAnsi"/>
          <w:caps/>
          <w:color w:val="auto"/>
        </w:rPr>
        <w:t xml:space="preserve"> </w:t>
      </w:r>
      <w:r w:rsidR="003B5A81">
        <w:rPr>
          <w:rFonts w:asciiTheme="minorHAnsi" w:hAnsiTheme="minorHAnsi"/>
          <w:caps/>
          <w:color w:val="auto"/>
        </w:rPr>
        <w:t>marine corps</w:t>
      </w:r>
    </w:p>
    <w:p w:rsidR="00F629C0" w:rsidRPr="00FD6C41" w:rsidRDefault="00F629C0" w:rsidP="00F629C0">
      <w:pPr>
        <w:tabs>
          <w:tab w:val="left" w:pos="288"/>
          <w:tab w:val="left" w:pos="4752"/>
          <w:tab w:val="left" w:pos="5310"/>
        </w:tabs>
        <w:spacing w:line="240" w:lineRule="exact"/>
        <w:ind w:right="-900"/>
        <w:jc w:val="both"/>
        <w:rPr>
          <w:rFonts w:asciiTheme="minorHAnsi" w:hAnsiTheme="minorHAnsi"/>
          <w:caps/>
          <w:color w:val="auto"/>
        </w:rPr>
      </w:pPr>
      <w:r w:rsidRPr="00FD6C41">
        <w:rPr>
          <w:rFonts w:asciiTheme="minorHAnsi" w:hAnsiTheme="minorHAnsi"/>
          <w:caps/>
          <w:color w:val="auto"/>
        </w:rPr>
        <w:t xml:space="preserve">CASE NUMBER: </w:t>
      </w:r>
      <w:r>
        <w:rPr>
          <w:rFonts w:asciiTheme="minorHAnsi" w:hAnsiTheme="minorHAnsi"/>
          <w:caps/>
          <w:color w:val="auto"/>
        </w:rPr>
        <w:t xml:space="preserve"> </w:t>
      </w:r>
      <w:r w:rsidRPr="00FD6C41">
        <w:rPr>
          <w:rFonts w:asciiTheme="minorHAnsi" w:hAnsiTheme="minorHAnsi"/>
          <w:caps/>
          <w:color w:val="auto"/>
        </w:rPr>
        <w:t>PD</w:t>
      </w:r>
      <w:r w:rsidR="003B5A81">
        <w:rPr>
          <w:rFonts w:asciiTheme="minorHAnsi" w:hAnsiTheme="minorHAnsi"/>
          <w:caps/>
          <w:color w:val="auto"/>
        </w:rPr>
        <w:t>200900733</w:t>
      </w:r>
      <w:r w:rsidRPr="00FD6C41">
        <w:rPr>
          <w:rFonts w:asciiTheme="minorHAnsi" w:hAnsiTheme="minorHAnsi"/>
          <w:caps/>
          <w:color w:val="auto"/>
        </w:rPr>
        <w:tab/>
      </w:r>
      <w:r w:rsidR="008724C7">
        <w:rPr>
          <w:rFonts w:asciiTheme="minorHAnsi" w:hAnsiTheme="minorHAnsi"/>
          <w:caps/>
          <w:color w:val="auto"/>
        </w:rPr>
        <w:tab/>
      </w:r>
      <w:r w:rsidRPr="00FD6C41">
        <w:rPr>
          <w:rFonts w:asciiTheme="minorHAnsi" w:hAnsiTheme="minorHAnsi"/>
          <w:caps/>
          <w:color w:val="auto"/>
        </w:rPr>
        <w:t xml:space="preserve">SEPARATION DATE: </w:t>
      </w:r>
      <w:r>
        <w:rPr>
          <w:rFonts w:asciiTheme="minorHAnsi" w:hAnsiTheme="minorHAnsi"/>
          <w:caps/>
          <w:color w:val="auto"/>
        </w:rPr>
        <w:t xml:space="preserve"> </w:t>
      </w:r>
      <w:r w:rsidRPr="00FD6C41">
        <w:rPr>
          <w:rFonts w:asciiTheme="minorHAnsi" w:hAnsiTheme="minorHAnsi"/>
          <w:caps/>
          <w:color w:val="auto"/>
        </w:rPr>
        <w:t>200</w:t>
      </w:r>
      <w:r w:rsidR="003B5A81">
        <w:rPr>
          <w:rFonts w:asciiTheme="minorHAnsi" w:hAnsiTheme="minorHAnsi"/>
          <w:caps/>
          <w:color w:val="auto"/>
        </w:rPr>
        <w:t>70228</w:t>
      </w:r>
    </w:p>
    <w:p w:rsidR="00F629C0" w:rsidRPr="00FD6C41" w:rsidRDefault="00F629C0" w:rsidP="00F629C0">
      <w:pPr>
        <w:tabs>
          <w:tab w:val="left" w:pos="288"/>
          <w:tab w:val="left" w:pos="531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442009">
        <w:rPr>
          <w:rFonts w:asciiTheme="minorHAnsi" w:hAnsiTheme="minorHAnsi"/>
          <w:caps/>
          <w:color w:val="auto"/>
        </w:rPr>
        <w:t>0330</w:t>
      </w:r>
      <w:r w:rsidRPr="00FD6C41">
        <w:rPr>
          <w:rFonts w:asciiTheme="minorHAnsi" w:hAnsiTheme="minorHAnsi"/>
          <w:caps/>
          <w:color w:val="auto"/>
        </w:rPr>
        <w:tab/>
      </w:r>
    </w:p>
    <w:p w:rsidR="00D560DC" w:rsidRPr="00C14BD4" w:rsidRDefault="00D560DC" w:rsidP="000452D7">
      <w:pPr>
        <w:tabs>
          <w:tab w:val="left" w:pos="288"/>
          <w:tab w:val="left" w:pos="4752"/>
        </w:tabs>
        <w:spacing w:line="240" w:lineRule="exact"/>
        <w:jc w:val="both"/>
        <w:rPr>
          <w:rFonts w:asciiTheme="minorHAnsi" w:hAnsiTheme="minorHAnsi"/>
          <w:caps/>
          <w:color w:val="auto"/>
          <w:u w:val="single"/>
        </w:rPr>
      </w:pPr>
      <w:r w:rsidRPr="00C14BD4">
        <w:rPr>
          <w:rFonts w:asciiTheme="minorHAnsi" w:hAnsiTheme="minorHAnsi"/>
          <w:color w:val="auto"/>
          <w:u w:val="single"/>
        </w:rPr>
        <w:t>______________________________________________________________________________</w:t>
      </w:r>
    </w:p>
    <w:p w:rsidR="00D50DB0" w:rsidRPr="00C14BD4" w:rsidRDefault="00D50DB0" w:rsidP="000452D7">
      <w:pPr>
        <w:tabs>
          <w:tab w:val="left" w:pos="288"/>
          <w:tab w:val="left" w:pos="4752"/>
        </w:tabs>
        <w:spacing w:line="240" w:lineRule="exact"/>
        <w:rPr>
          <w:color w:val="auto"/>
          <w:szCs w:val="24"/>
        </w:rPr>
      </w:pPr>
    </w:p>
    <w:p w:rsidR="005D01C5" w:rsidRPr="00C14BD4" w:rsidRDefault="002C6E5B" w:rsidP="00C43453">
      <w:pPr>
        <w:tabs>
          <w:tab w:val="left" w:pos="288"/>
          <w:tab w:val="left" w:pos="4752"/>
        </w:tabs>
        <w:spacing w:line="240" w:lineRule="exact"/>
        <w:jc w:val="both"/>
        <w:rPr>
          <w:rFonts w:asciiTheme="minorHAnsi" w:hAnsiTheme="minorHAnsi"/>
          <w:color w:val="auto"/>
        </w:rPr>
      </w:pPr>
      <w:r w:rsidRPr="00C14BD4">
        <w:rPr>
          <w:rFonts w:asciiTheme="minorHAnsi" w:hAnsiTheme="minorHAnsi"/>
          <w:color w:val="auto"/>
          <w:u w:val="single"/>
        </w:rPr>
        <w:t>SUMMARY OF CASE</w:t>
      </w:r>
      <w:r w:rsidRPr="00C14BD4">
        <w:rPr>
          <w:rFonts w:asciiTheme="minorHAnsi" w:hAnsiTheme="minorHAnsi"/>
          <w:color w:val="auto"/>
        </w:rPr>
        <w:t>:</w:t>
      </w:r>
      <w:r w:rsidR="008724C7" w:rsidRPr="00C14BD4">
        <w:rPr>
          <w:rFonts w:asciiTheme="minorHAnsi" w:hAnsiTheme="minorHAnsi"/>
          <w:color w:val="auto"/>
        </w:rPr>
        <w:t xml:space="preserve">  </w:t>
      </w:r>
      <w:r w:rsidR="009759C2" w:rsidRPr="00C14BD4">
        <w:rPr>
          <w:rFonts w:asciiTheme="minorHAnsi" w:hAnsiTheme="minorHAnsi"/>
          <w:color w:val="auto"/>
        </w:rPr>
        <w:t>Data extracted from the available evidence of record reflects that this covered individual (CI)</w:t>
      </w:r>
      <w:r w:rsidR="00570754" w:rsidRPr="00C14BD4">
        <w:rPr>
          <w:rFonts w:asciiTheme="minorHAnsi" w:hAnsiTheme="minorHAnsi"/>
          <w:color w:val="auto"/>
        </w:rPr>
        <w:t xml:space="preserve"> </w:t>
      </w:r>
      <w:r w:rsidRPr="00442009">
        <w:rPr>
          <w:rFonts w:asciiTheme="minorHAnsi" w:hAnsiTheme="minorHAnsi"/>
          <w:color w:val="auto"/>
        </w:rPr>
        <w:t xml:space="preserve">was </w:t>
      </w:r>
      <w:r w:rsidR="00E322F7" w:rsidRPr="00442009">
        <w:rPr>
          <w:rFonts w:asciiTheme="minorHAnsi" w:hAnsiTheme="minorHAnsi"/>
          <w:color w:val="auto"/>
        </w:rPr>
        <w:t>a</w:t>
      </w:r>
      <w:r w:rsidR="00C43453" w:rsidRPr="00442009">
        <w:rPr>
          <w:rFonts w:asciiTheme="minorHAnsi" w:hAnsiTheme="minorHAnsi"/>
          <w:color w:val="auto"/>
        </w:rPr>
        <w:t xml:space="preserve"> Reserve </w:t>
      </w:r>
      <w:proofErr w:type="spellStart"/>
      <w:r w:rsidR="00544999" w:rsidRPr="00442009">
        <w:rPr>
          <w:rFonts w:asciiTheme="minorHAnsi" w:hAnsiTheme="minorHAnsi"/>
          <w:color w:val="auto"/>
        </w:rPr>
        <w:t>LC</w:t>
      </w:r>
      <w:r w:rsidR="003D1562" w:rsidRPr="00442009">
        <w:rPr>
          <w:rFonts w:asciiTheme="minorHAnsi" w:hAnsiTheme="minorHAnsi"/>
          <w:color w:val="auto"/>
        </w:rPr>
        <w:t>pl</w:t>
      </w:r>
      <w:proofErr w:type="spellEnd"/>
      <w:r w:rsidR="00C519BB" w:rsidRPr="00442009">
        <w:rPr>
          <w:rFonts w:asciiTheme="minorHAnsi" w:hAnsiTheme="minorHAnsi"/>
          <w:color w:val="auto"/>
        </w:rPr>
        <w:t xml:space="preserve"> </w:t>
      </w:r>
      <w:r w:rsidR="00705C40" w:rsidRPr="00442009">
        <w:rPr>
          <w:rFonts w:asciiTheme="minorHAnsi" w:hAnsiTheme="minorHAnsi"/>
          <w:color w:val="auto"/>
        </w:rPr>
        <w:t>(</w:t>
      </w:r>
      <w:r w:rsidR="00C519BB" w:rsidRPr="00442009">
        <w:rPr>
          <w:rFonts w:asciiTheme="minorHAnsi" w:hAnsiTheme="minorHAnsi"/>
          <w:color w:val="auto"/>
        </w:rPr>
        <w:t>5962</w:t>
      </w:r>
      <w:r w:rsidR="00C43453" w:rsidRPr="00442009">
        <w:rPr>
          <w:rFonts w:asciiTheme="minorHAnsi" w:hAnsiTheme="minorHAnsi"/>
          <w:color w:val="auto"/>
        </w:rPr>
        <w:t xml:space="preserve">, </w:t>
      </w:r>
      <w:r w:rsidR="00C519BB" w:rsidRPr="00442009">
        <w:rPr>
          <w:rFonts w:asciiTheme="minorHAnsi" w:hAnsiTheme="minorHAnsi"/>
          <w:color w:val="auto"/>
        </w:rPr>
        <w:t>Data Systems Equip Repairer</w:t>
      </w:r>
      <w:r w:rsidR="00D50DB0" w:rsidRPr="00442009">
        <w:rPr>
          <w:rFonts w:asciiTheme="minorHAnsi" w:hAnsiTheme="minorHAnsi"/>
          <w:color w:val="auto"/>
        </w:rPr>
        <w:t xml:space="preserve"> </w:t>
      </w:r>
      <w:r w:rsidR="00C43453" w:rsidRPr="00442009">
        <w:rPr>
          <w:rFonts w:asciiTheme="minorHAnsi" w:hAnsiTheme="minorHAnsi"/>
          <w:color w:val="auto"/>
        </w:rPr>
        <w:t xml:space="preserve">/ 3043 </w:t>
      </w:r>
      <w:r w:rsidR="00A80225" w:rsidRPr="00442009">
        <w:rPr>
          <w:rFonts w:asciiTheme="minorHAnsi" w:hAnsiTheme="minorHAnsi"/>
          <w:color w:val="auto"/>
        </w:rPr>
        <w:t>S</w:t>
      </w:r>
      <w:r w:rsidR="00D50DB0" w:rsidRPr="00442009">
        <w:rPr>
          <w:rFonts w:asciiTheme="minorHAnsi" w:hAnsiTheme="minorHAnsi"/>
          <w:color w:val="auto"/>
        </w:rPr>
        <w:t xml:space="preserve">upply </w:t>
      </w:r>
      <w:r w:rsidR="00A80225" w:rsidRPr="00442009">
        <w:rPr>
          <w:rFonts w:asciiTheme="minorHAnsi" w:hAnsiTheme="minorHAnsi"/>
          <w:color w:val="auto"/>
        </w:rPr>
        <w:t>A</w:t>
      </w:r>
      <w:r w:rsidR="00D50DB0" w:rsidRPr="00442009">
        <w:rPr>
          <w:rFonts w:asciiTheme="minorHAnsi" w:hAnsiTheme="minorHAnsi"/>
          <w:color w:val="auto"/>
        </w:rPr>
        <w:t>dmin</w:t>
      </w:r>
      <w:r w:rsidR="00C519BB" w:rsidRPr="00442009">
        <w:rPr>
          <w:rFonts w:asciiTheme="minorHAnsi" w:hAnsiTheme="minorHAnsi"/>
          <w:color w:val="auto"/>
        </w:rPr>
        <w:t>)</w:t>
      </w:r>
      <w:r w:rsidR="00C75F3D" w:rsidRPr="00442009">
        <w:rPr>
          <w:rFonts w:asciiTheme="minorHAnsi" w:hAnsiTheme="minorHAnsi"/>
          <w:color w:val="auto"/>
        </w:rPr>
        <w:t xml:space="preserve">, </w:t>
      </w:r>
      <w:r w:rsidRPr="00442009">
        <w:rPr>
          <w:rFonts w:asciiTheme="minorHAnsi" w:hAnsiTheme="minorHAnsi"/>
          <w:color w:val="auto"/>
        </w:rPr>
        <w:t xml:space="preserve">medically separated from the </w:t>
      </w:r>
      <w:r w:rsidR="00544999" w:rsidRPr="00442009">
        <w:rPr>
          <w:rFonts w:asciiTheme="minorHAnsi" w:hAnsiTheme="minorHAnsi"/>
          <w:color w:val="auto"/>
        </w:rPr>
        <w:t>Marines</w:t>
      </w:r>
      <w:r w:rsidRPr="00442009">
        <w:rPr>
          <w:rFonts w:asciiTheme="minorHAnsi" w:hAnsiTheme="minorHAnsi"/>
          <w:color w:val="auto"/>
        </w:rPr>
        <w:t xml:space="preserve"> in 200</w:t>
      </w:r>
      <w:r w:rsidR="00544999" w:rsidRPr="00442009">
        <w:rPr>
          <w:rFonts w:asciiTheme="minorHAnsi" w:hAnsiTheme="minorHAnsi"/>
          <w:color w:val="auto"/>
        </w:rPr>
        <w:t>7</w:t>
      </w:r>
      <w:r w:rsidR="00D3300D">
        <w:rPr>
          <w:rFonts w:asciiTheme="minorHAnsi" w:hAnsiTheme="minorHAnsi"/>
          <w:color w:val="auto"/>
        </w:rPr>
        <w:t xml:space="preserve">. </w:t>
      </w:r>
      <w:r w:rsidR="00C43453" w:rsidRPr="00442009">
        <w:rPr>
          <w:rFonts w:asciiTheme="minorHAnsi" w:hAnsiTheme="minorHAnsi"/>
          <w:color w:val="auto"/>
        </w:rPr>
        <w:t xml:space="preserve"> </w:t>
      </w:r>
      <w:r w:rsidRPr="00442009">
        <w:rPr>
          <w:rFonts w:asciiTheme="minorHAnsi" w:hAnsiTheme="minorHAnsi"/>
          <w:color w:val="auto"/>
        </w:rPr>
        <w:t>The medical bas</w:t>
      </w:r>
      <w:r w:rsidR="00F37B72">
        <w:rPr>
          <w:rFonts w:asciiTheme="minorHAnsi" w:hAnsiTheme="minorHAnsi"/>
          <w:color w:val="auto"/>
        </w:rPr>
        <w:t>e</w:t>
      </w:r>
      <w:r w:rsidRPr="00442009">
        <w:rPr>
          <w:rFonts w:asciiTheme="minorHAnsi" w:hAnsiTheme="minorHAnsi"/>
          <w:color w:val="auto"/>
        </w:rPr>
        <w:t>s for the separation w</w:t>
      </w:r>
      <w:r w:rsidR="00F37B72">
        <w:rPr>
          <w:rFonts w:asciiTheme="minorHAnsi" w:hAnsiTheme="minorHAnsi"/>
          <w:color w:val="auto"/>
        </w:rPr>
        <w:t>ere</w:t>
      </w:r>
      <w:r w:rsidRPr="00442009">
        <w:rPr>
          <w:rFonts w:asciiTheme="minorHAnsi" w:hAnsiTheme="minorHAnsi"/>
          <w:color w:val="auto"/>
        </w:rPr>
        <w:t xml:space="preserve"> </w:t>
      </w:r>
      <w:r w:rsidR="00C43453" w:rsidRPr="00442009">
        <w:rPr>
          <w:rFonts w:asciiTheme="minorHAnsi" w:hAnsiTheme="minorHAnsi"/>
          <w:color w:val="auto"/>
        </w:rPr>
        <w:t>b</w:t>
      </w:r>
      <w:r w:rsidR="00544999" w:rsidRPr="00442009">
        <w:rPr>
          <w:rFonts w:asciiTheme="minorHAnsi" w:hAnsiTheme="minorHAnsi"/>
          <w:color w:val="auto"/>
        </w:rPr>
        <w:t xml:space="preserve">ipolar </w:t>
      </w:r>
      <w:r w:rsidR="00C43453" w:rsidRPr="00442009">
        <w:rPr>
          <w:rFonts w:asciiTheme="minorHAnsi" w:hAnsiTheme="minorHAnsi"/>
          <w:color w:val="auto"/>
        </w:rPr>
        <w:t>d</w:t>
      </w:r>
      <w:r w:rsidR="00544999" w:rsidRPr="00442009">
        <w:rPr>
          <w:rFonts w:asciiTheme="minorHAnsi" w:hAnsiTheme="minorHAnsi"/>
          <w:color w:val="auto"/>
        </w:rPr>
        <w:t>isorder II</w:t>
      </w:r>
      <w:r w:rsidR="00127D7F" w:rsidRPr="00442009">
        <w:rPr>
          <w:rFonts w:asciiTheme="minorHAnsi" w:hAnsiTheme="minorHAnsi"/>
          <w:color w:val="auto"/>
        </w:rPr>
        <w:t xml:space="preserve"> </w:t>
      </w:r>
      <w:r w:rsidR="005A718B" w:rsidRPr="00442009">
        <w:rPr>
          <w:rFonts w:asciiTheme="minorHAnsi" w:hAnsiTheme="minorHAnsi"/>
          <w:color w:val="auto"/>
        </w:rPr>
        <w:t xml:space="preserve">and </w:t>
      </w:r>
      <w:r w:rsidR="00C43453" w:rsidRPr="00442009">
        <w:rPr>
          <w:rFonts w:asciiTheme="minorHAnsi" w:hAnsiTheme="minorHAnsi"/>
          <w:color w:val="auto"/>
        </w:rPr>
        <w:t>bilateral hip o</w:t>
      </w:r>
      <w:r w:rsidR="005A718B" w:rsidRPr="00442009">
        <w:rPr>
          <w:rFonts w:asciiTheme="minorHAnsi" w:hAnsiTheme="minorHAnsi"/>
          <w:color w:val="auto"/>
        </w:rPr>
        <w:t>steoarthritis</w:t>
      </w:r>
      <w:r w:rsidR="00544999" w:rsidRPr="00442009">
        <w:rPr>
          <w:rFonts w:asciiTheme="minorHAnsi" w:hAnsiTheme="minorHAnsi"/>
          <w:color w:val="auto"/>
        </w:rPr>
        <w:t>.</w:t>
      </w:r>
      <w:r w:rsidR="00C43453" w:rsidRPr="00442009">
        <w:rPr>
          <w:rFonts w:asciiTheme="minorHAnsi" w:hAnsiTheme="minorHAnsi"/>
          <w:color w:val="auto"/>
        </w:rPr>
        <w:t xml:space="preserve">  In late 2003, between periods of active duty service, the CI </w:t>
      </w:r>
      <w:r w:rsidR="00A401F2" w:rsidRPr="00442009">
        <w:rPr>
          <w:rFonts w:asciiTheme="minorHAnsi" w:hAnsiTheme="minorHAnsi"/>
          <w:color w:val="auto"/>
        </w:rPr>
        <w:t>develop</w:t>
      </w:r>
      <w:r w:rsidR="00AD2715" w:rsidRPr="00442009">
        <w:rPr>
          <w:rFonts w:asciiTheme="minorHAnsi" w:hAnsiTheme="minorHAnsi"/>
          <w:color w:val="auto"/>
        </w:rPr>
        <w:t>ed</w:t>
      </w:r>
      <w:r w:rsidR="00A401F2" w:rsidRPr="00442009">
        <w:rPr>
          <w:rFonts w:asciiTheme="minorHAnsi" w:hAnsiTheme="minorHAnsi"/>
          <w:color w:val="auto"/>
        </w:rPr>
        <w:t xml:space="preserve"> mood swings</w:t>
      </w:r>
      <w:r w:rsidR="00AD2715" w:rsidRPr="00442009">
        <w:rPr>
          <w:rFonts w:asciiTheme="minorHAnsi" w:hAnsiTheme="minorHAnsi"/>
          <w:color w:val="auto"/>
        </w:rPr>
        <w:t>, and periods of</w:t>
      </w:r>
      <w:r w:rsidR="00A401F2" w:rsidRPr="00442009">
        <w:rPr>
          <w:rFonts w:asciiTheme="minorHAnsi" w:hAnsiTheme="minorHAnsi"/>
          <w:color w:val="auto"/>
        </w:rPr>
        <w:t xml:space="preserve"> increased energy </w:t>
      </w:r>
      <w:r w:rsidR="00F63B31" w:rsidRPr="00442009">
        <w:rPr>
          <w:rFonts w:asciiTheme="minorHAnsi" w:hAnsiTheme="minorHAnsi"/>
          <w:color w:val="auto"/>
        </w:rPr>
        <w:t xml:space="preserve">with </w:t>
      </w:r>
      <w:r w:rsidR="00C43453" w:rsidRPr="00442009">
        <w:rPr>
          <w:rFonts w:asciiTheme="minorHAnsi" w:hAnsiTheme="minorHAnsi"/>
          <w:color w:val="auto"/>
        </w:rPr>
        <w:t>decreased need for sleep</w:t>
      </w:r>
      <w:r w:rsidR="00AD2715" w:rsidRPr="00442009">
        <w:rPr>
          <w:rFonts w:asciiTheme="minorHAnsi" w:hAnsiTheme="minorHAnsi"/>
          <w:color w:val="auto"/>
        </w:rPr>
        <w:t xml:space="preserve"> lasting several days</w:t>
      </w:r>
      <w:r w:rsidR="00C43453" w:rsidRPr="00442009">
        <w:rPr>
          <w:rFonts w:asciiTheme="minorHAnsi" w:hAnsiTheme="minorHAnsi"/>
          <w:color w:val="auto"/>
        </w:rPr>
        <w:t xml:space="preserve">.  He was diagnosed with bipolar II disorder and treatment resulted in resolution of symptoms and </w:t>
      </w:r>
      <w:r w:rsidR="00166C19" w:rsidRPr="00442009">
        <w:rPr>
          <w:rFonts w:asciiTheme="minorHAnsi" w:hAnsiTheme="minorHAnsi"/>
          <w:color w:val="auto"/>
        </w:rPr>
        <w:t>full remission.</w:t>
      </w:r>
      <w:r w:rsidR="00C43453" w:rsidRPr="00442009">
        <w:rPr>
          <w:rFonts w:asciiTheme="minorHAnsi" w:hAnsiTheme="minorHAnsi"/>
          <w:color w:val="auto"/>
        </w:rPr>
        <w:t xml:space="preserve">  During his last period of active duty service, his bipolar condition remained stable</w:t>
      </w:r>
      <w:r w:rsidR="003A7DCF" w:rsidRPr="00442009">
        <w:rPr>
          <w:rFonts w:asciiTheme="minorHAnsi" w:hAnsiTheme="minorHAnsi"/>
          <w:color w:val="auto"/>
        </w:rPr>
        <w:t xml:space="preserve"> in remission</w:t>
      </w:r>
      <w:r w:rsidR="00B77CD9" w:rsidRPr="00442009">
        <w:rPr>
          <w:rFonts w:asciiTheme="minorHAnsi" w:hAnsiTheme="minorHAnsi"/>
          <w:color w:val="auto"/>
        </w:rPr>
        <w:t xml:space="preserve"> on medication</w:t>
      </w:r>
      <w:r w:rsidR="00C43453" w:rsidRPr="00442009">
        <w:rPr>
          <w:rFonts w:asciiTheme="minorHAnsi" w:hAnsiTheme="minorHAnsi"/>
          <w:color w:val="auto"/>
        </w:rPr>
        <w:t xml:space="preserve">.  </w:t>
      </w:r>
      <w:r w:rsidR="003A7DCF" w:rsidRPr="00442009">
        <w:rPr>
          <w:rFonts w:asciiTheme="minorHAnsi" w:hAnsiTheme="minorHAnsi"/>
          <w:color w:val="auto"/>
        </w:rPr>
        <w:t>During his first period of active duty service, t</w:t>
      </w:r>
      <w:r w:rsidR="00C43453" w:rsidRPr="00442009">
        <w:rPr>
          <w:rFonts w:asciiTheme="minorHAnsi" w:hAnsiTheme="minorHAnsi"/>
          <w:color w:val="auto"/>
        </w:rPr>
        <w:t>he CI presented for care of hip pain</w:t>
      </w:r>
      <w:r w:rsidR="00C14BD4" w:rsidRPr="00442009">
        <w:rPr>
          <w:rFonts w:asciiTheme="minorHAnsi" w:hAnsiTheme="minorHAnsi"/>
          <w:color w:val="auto"/>
        </w:rPr>
        <w:t>,</w:t>
      </w:r>
      <w:r w:rsidR="00C43453" w:rsidRPr="00442009">
        <w:rPr>
          <w:rFonts w:asciiTheme="minorHAnsi" w:hAnsiTheme="minorHAnsi"/>
          <w:color w:val="auto"/>
        </w:rPr>
        <w:t xml:space="preserve"> but completed training and was playing soccer the month prior to discharge.</w:t>
      </w:r>
      <w:r w:rsidR="00B77CD9" w:rsidRPr="00442009">
        <w:rPr>
          <w:rFonts w:asciiTheme="minorHAnsi" w:hAnsiTheme="minorHAnsi"/>
          <w:color w:val="auto"/>
        </w:rPr>
        <w:t xml:space="preserve">  </w:t>
      </w:r>
      <w:r w:rsidR="00C43453" w:rsidRPr="00442009">
        <w:rPr>
          <w:rFonts w:asciiTheme="minorHAnsi" w:hAnsiTheme="minorHAnsi"/>
          <w:color w:val="auto"/>
        </w:rPr>
        <w:t>Upon reactivation to active duty in October 2005</w:t>
      </w:r>
      <w:r w:rsidR="00D3300D">
        <w:rPr>
          <w:rFonts w:asciiTheme="minorHAnsi" w:hAnsiTheme="minorHAnsi"/>
          <w:color w:val="auto"/>
        </w:rPr>
        <w:t>,</w:t>
      </w:r>
      <w:r w:rsidR="00C43453" w:rsidRPr="00442009">
        <w:rPr>
          <w:rFonts w:asciiTheme="minorHAnsi" w:hAnsiTheme="minorHAnsi"/>
          <w:color w:val="auto"/>
        </w:rPr>
        <w:t xml:space="preserve"> he complained of duty limiting hip pain </w:t>
      </w:r>
      <w:r w:rsidR="00B77CD9" w:rsidRPr="00442009">
        <w:rPr>
          <w:rFonts w:asciiTheme="minorHAnsi" w:hAnsiTheme="minorHAnsi"/>
          <w:color w:val="auto"/>
        </w:rPr>
        <w:t xml:space="preserve">and remained in a limited duty status until separation.  He was </w:t>
      </w:r>
      <w:r w:rsidR="00C43453" w:rsidRPr="00442009">
        <w:rPr>
          <w:rFonts w:asciiTheme="minorHAnsi" w:hAnsiTheme="minorHAnsi"/>
          <w:color w:val="auto"/>
        </w:rPr>
        <w:t>diagnos</w:t>
      </w:r>
      <w:r w:rsidR="00B77CD9" w:rsidRPr="00442009">
        <w:rPr>
          <w:rFonts w:asciiTheme="minorHAnsi" w:hAnsiTheme="minorHAnsi"/>
          <w:color w:val="auto"/>
        </w:rPr>
        <w:t xml:space="preserve">ed with </w:t>
      </w:r>
      <w:r w:rsidR="00A06C5D" w:rsidRPr="00442009">
        <w:rPr>
          <w:rFonts w:asciiTheme="minorHAnsi" w:hAnsiTheme="minorHAnsi"/>
          <w:color w:val="auto"/>
        </w:rPr>
        <w:t>degenerative joint disease of both hips attributed to a childhood developmental abnormality, slipped femoral capital epiphysis.</w:t>
      </w:r>
      <w:r w:rsidR="00B77CD9" w:rsidRPr="00442009">
        <w:rPr>
          <w:rFonts w:asciiTheme="minorHAnsi" w:hAnsiTheme="minorHAnsi"/>
          <w:color w:val="auto"/>
        </w:rPr>
        <w:t xml:space="preserve">  </w:t>
      </w:r>
      <w:r w:rsidR="00A06C5D" w:rsidRPr="00442009">
        <w:rPr>
          <w:rFonts w:asciiTheme="minorHAnsi" w:hAnsiTheme="minorHAnsi"/>
          <w:color w:val="auto"/>
        </w:rPr>
        <w:t>In J</w:t>
      </w:r>
      <w:r w:rsidR="00127D7F" w:rsidRPr="00442009">
        <w:rPr>
          <w:rFonts w:asciiTheme="minorHAnsi" w:hAnsiTheme="minorHAnsi"/>
          <w:color w:val="auto"/>
        </w:rPr>
        <w:t>u</w:t>
      </w:r>
      <w:r w:rsidR="00A06C5D" w:rsidRPr="00442009">
        <w:rPr>
          <w:rFonts w:asciiTheme="minorHAnsi" w:hAnsiTheme="minorHAnsi"/>
          <w:color w:val="auto"/>
        </w:rPr>
        <w:t>ly 2006 h</w:t>
      </w:r>
      <w:r w:rsidR="00580C99" w:rsidRPr="00442009">
        <w:rPr>
          <w:rFonts w:asciiTheme="minorHAnsi" w:hAnsiTheme="minorHAnsi"/>
          <w:color w:val="auto"/>
        </w:rPr>
        <w:t xml:space="preserve">e </w:t>
      </w:r>
      <w:r w:rsidR="00DE3648" w:rsidRPr="00442009">
        <w:rPr>
          <w:rFonts w:asciiTheme="minorHAnsi" w:hAnsiTheme="minorHAnsi"/>
          <w:color w:val="auto"/>
        </w:rPr>
        <w:t xml:space="preserve">underwent a total </w:t>
      </w:r>
      <w:r w:rsidR="00240779" w:rsidRPr="00442009">
        <w:rPr>
          <w:rFonts w:asciiTheme="minorHAnsi" w:hAnsiTheme="minorHAnsi"/>
          <w:color w:val="auto"/>
        </w:rPr>
        <w:t xml:space="preserve">right </w:t>
      </w:r>
      <w:r w:rsidR="00DE3648" w:rsidRPr="00442009">
        <w:rPr>
          <w:rFonts w:asciiTheme="minorHAnsi" w:hAnsiTheme="minorHAnsi"/>
          <w:color w:val="auto"/>
        </w:rPr>
        <w:t xml:space="preserve">hip </w:t>
      </w:r>
      <w:r w:rsidR="00A06C5D" w:rsidRPr="00442009">
        <w:rPr>
          <w:rFonts w:asciiTheme="minorHAnsi" w:hAnsiTheme="minorHAnsi"/>
          <w:color w:val="auto"/>
        </w:rPr>
        <w:t xml:space="preserve">replacement surgery.  </w:t>
      </w:r>
      <w:r w:rsidR="00580C99" w:rsidRPr="00442009">
        <w:rPr>
          <w:rFonts w:asciiTheme="minorHAnsi" w:hAnsiTheme="minorHAnsi"/>
          <w:color w:val="auto"/>
        </w:rPr>
        <w:t>He</w:t>
      </w:r>
      <w:r w:rsidR="00A06C5D" w:rsidRPr="00442009">
        <w:rPr>
          <w:rFonts w:asciiTheme="minorHAnsi" w:hAnsiTheme="minorHAnsi"/>
          <w:color w:val="auto"/>
        </w:rPr>
        <w:t xml:space="preserve"> </w:t>
      </w:r>
      <w:r w:rsidR="00580C99" w:rsidRPr="00442009">
        <w:rPr>
          <w:rFonts w:asciiTheme="minorHAnsi" w:hAnsiTheme="minorHAnsi"/>
          <w:color w:val="auto"/>
        </w:rPr>
        <w:t>was unable to perform within his military occupational specialty or participate in a physical fitness test</w:t>
      </w:r>
      <w:r w:rsidR="00D3300D">
        <w:rPr>
          <w:rFonts w:asciiTheme="minorHAnsi" w:hAnsiTheme="minorHAnsi"/>
          <w:color w:val="auto"/>
        </w:rPr>
        <w:t>,</w:t>
      </w:r>
      <w:r w:rsidR="00580C99" w:rsidRPr="00442009">
        <w:rPr>
          <w:rFonts w:asciiTheme="minorHAnsi" w:hAnsiTheme="minorHAnsi"/>
          <w:color w:val="auto"/>
        </w:rPr>
        <w:t xml:space="preserve"> and underwent a Medical Evaluation Board (MEB).  Bipolar </w:t>
      </w:r>
      <w:r w:rsidR="00A06C5D" w:rsidRPr="00442009">
        <w:rPr>
          <w:rFonts w:asciiTheme="minorHAnsi" w:hAnsiTheme="minorHAnsi"/>
          <w:color w:val="auto"/>
        </w:rPr>
        <w:t>d</w:t>
      </w:r>
      <w:r w:rsidR="00580C99" w:rsidRPr="00442009">
        <w:rPr>
          <w:rFonts w:asciiTheme="minorHAnsi" w:hAnsiTheme="minorHAnsi"/>
          <w:color w:val="auto"/>
        </w:rPr>
        <w:t xml:space="preserve">isorder II and </w:t>
      </w:r>
      <w:r w:rsidR="00A06C5D" w:rsidRPr="00442009">
        <w:rPr>
          <w:rFonts w:asciiTheme="minorHAnsi" w:hAnsiTheme="minorHAnsi"/>
          <w:color w:val="auto"/>
        </w:rPr>
        <w:t>bilateral hip o</w:t>
      </w:r>
      <w:r w:rsidR="00580C99" w:rsidRPr="00442009">
        <w:rPr>
          <w:rFonts w:asciiTheme="minorHAnsi" w:hAnsiTheme="minorHAnsi"/>
          <w:color w:val="auto"/>
        </w:rPr>
        <w:t>steoarthritis were forwarded to the Physical Evaluation Board (PEB) as medically unacceptable IAW SECNAVINST 1850.4E.</w:t>
      </w:r>
      <w:r w:rsidR="005D01C5" w:rsidRPr="00442009">
        <w:rPr>
          <w:rFonts w:asciiTheme="minorHAnsi" w:hAnsiTheme="minorHAnsi"/>
          <w:color w:val="auto"/>
        </w:rPr>
        <w:t xml:space="preserve">  No other conditions appeared on the MEB’s submission.  The PEB adjudicated the </w:t>
      </w:r>
      <w:r w:rsidR="00A06C5D" w:rsidRPr="00442009">
        <w:rPr>
          <w:rFonts w:asciiTheme="minorHAnsi" w:hAnsiTheme="minorHAnsi"/>
          <w:color w:val="auto"/>
        </w:rPr>
        <w:t>b</w:t>
      </w:r>
      <w:r w:rsidR="005D01C5" w:rsidRPr="00442009">
        <w:rPr>
          <w:rFonts w:asciiTheme="minorHAnsi" w:hAnsiTheme="minorHAnsi"/>
          <w:color w:val="auto"/>
        </w:rPr>
        <w:t xml:space="preserve">ipolar </w:t>
      </w:r>
      <w:r w:rsidR="00A06C5D" w:rsidRPr="00442009">
        <w:rPr>
          <w:rFonts w:asciiTheme="minorHAnsi" w:hAnsiTheme="minorHAnsi"/>
          <w:color w:val="auto"/>
        </w:rPr>
        <w:t>d</w:t>
      </w:r>
      <w:r w:rsidR="005D01C5" w:rsidRPr="00442009">
        <w:rPr>
          <w:rFonts w:asciiTheme="minorHAnsi" w:hAnsiTheme="minorHAnsi"/>
          <w:color w:val="auto"/>
        </w:rPr>
        <w:t xml:space="preserve">isorder II and </w:t>
      </w:r>
      <w:r w:rsidR="00A06C5D" w:rsidRPr="00442009">
        <w:rPr>
          <w:rFonts w:asciiTheme="minorHAnsi" w:hAnsiTheme="minorHAnsi"/>
          <w:color w:val="auto"/>
        </w:rPr>
        <w:t>bilateral hip o</w:t>
      </w:r>
      <w:r w:rsidR="005D01C5" w:rsidRPr="00442009">
        <w:rPr>
          <w:rFonts w:asciiTheme="minorHAnsi" w:hAnsiTheme="minorHAnsi"/>
          <w:color w:val="auto"/>
        </w:rPr>
        <w:t xml:space="preserve">steoarthritis conditions as unfitting, rated </w:t>
      </w:r>
      <w:r w:rsidR="009108C1" w:rsidRPr="00442009">
        <w:rPr>
          <w:rFonts w:asciiTheme="minorHAnsi" w:hAnsiTheme="minorHAnsi"/>
          <w:color w:val="auto"/>
        </w:rPr>
        <w:t xml:space="preserve">the </w:t>
      </w:r>
      <w:r w:rsidR="00D3300D">
        <w:rPr>
          <w:rFonts w:asciiTheme="minorHAnsi" w:hAnsiTheme="minorHAnsi"/>
          <w:color w:val="auto"/>
        </w:rPr>
        <w:t>b</w:t>
      </w:r>
      <w:r w:rsidR="009108C1" w:rsidRPr="00442009">
        <w:rPr>
          <w:rFonts w:asciiTheme="minorHAnsi" w:hAnsiTheme="minorHAnsi"/>
          <w:color w:val="auto"/>
        </w:rPr>
        <w:t xml:space="preserve">ipolar </w:t>
      </w:r>
      <w:r w:rsidR="00D3300D">
        <w:rPr>
          <w:rFonts w:asciiTheme="minorHAnsi" w:hAnsiTheme="minorHAnsi"/>
          <w:color w:val="auto"/>
        </w:rPr>
        <w:t>d</w:t>
      </w:r>
      <w:r w:rsidR="009108C1" w:rsidRPr="00442009">
        <w:rPr>
          <w:rFonts w:asciiTheme="minorHAnsi" w:hAnsiTheme="minorHAnsi"/>
          <w:color w:val="auto"/>
        </w:rPr>
        <w:t xml:space="preserve">isorder at </w:t>
      </w:r>
      <w:r w:rsidR="005D01C5" w:rsidRPr="00442009">
        <w:rPr>
          <w:rFonts w:asciiTheme="minorHAnsi" w:hAnsiTheme="minorHAnsi"/>
          <w:color w:val="auto"/>
        </w:rPr>
        <w:t>10%</w:t>
      </w:r>
      <w:r w:rsidR="00A06C5D" w:rsidRPr="00442009">
        <w:rPr>
          <w:rFonts w:asciiTheme="minorHAnsi" w:hAnsiTheme="minorHAnsi"/>
          <w:color w:val="auto"/>
        </w:rPr>
        <w:t>,</w:t>
      </w:r>
      <w:r w:rsidR="009108C1" w:rsidRPr="00442009">
        <w:rPr>
          <w:rFonts w:asciiTheme="minorHAnsi" w:hAnsiTheme="minorHAnsi"/>
          <w:color w:val="auto"/>
        </w:rPr>
        <w:t xml:space="preserve"> </w:t>
      </w:r>
      <w:r w:rsidR="00655776" w:rsidRPr="00442009">
        <w:rPr>
          <w:rFonts w:asciiTheme="minorHAnsi" w:hAnsiTheme="minorHAnsi"/>
          <w:color w:val="auto"/>
        </w:rPr>
        <w:t xml:space="preserve">and </w:t>
      </w:r>
      <w:r w:rsidR="00A06C5D" w:rsidRPr="00442009">
        <w:rPr>
          <w:rFonts w:asciiTheme="minorHAnsi" w:hAnsiTheme="minorHAnsi"/>
          <w:color w:val="auto"/>
        </w:rPr>
        <w:t>determined the bilateral hip o</w:t>
      </w:r>
      <w:r w:rsidR="00655776" w:rsidRPr="00442009">
        <w:rPr>
          <w:rFonts w:asciiTheme="minorHAnsi" w:hAnsiTheme="minorHAnsi"/>
          <w:color w:val="auto"/>
        </w:rPr>
        <w:t xml:space="preserve">steoarthritis </w:t>
      </w:r>
      <w:r w:rsidR="00A06C5D" w:rsidRPr="00442009">
        <w:rPr>
          <w:rFonts w:asciiTheme="minorHAnsi" w:hAnsiTheme="minorHAnsi"/>
          <w:color w:val="auto"/>
        </w:rPr>
        <w:t>wa</w:t>
      </w:r>
      <w:r w:rsidR="00655776" w:rsidRPr="00442009">
        <w:rPr>
          <w:rFonts w:asciiTheme="minorHAnsi" w:hAnsiTheme="minorHAnsi"/>
          <w:color w:val="auto"/>
        </w:rPr>
        <w:t xml:space="preserve">s a pre-existing condition </w:t>
      </w:r>
      <w:r w:rsidR="00A06C5D" w:rsidRPr="00442009">
        <w:rPr>
          <w:rFonts w:asciiTheme="minorHAnsi" w:hAnsiTheme="minorHAnsi"/>
          <w:color w:val="auto"/>
        </w:rPr>
        <w:t xml:space="preserve">without permanent service aggravation </w:t>
      </w:r>
      <w:r w:rsidR="005D01C5" w:rsidRPr="00442009">
        <w:rPr>
          <w:rFonts w:asciiTheme="minorHAnsi" w:hAnsiTheme="minorHAnsi"/>
          <w:color w:val="auto"/>
        </w:rPr>
        <w:t xml:space="preserve">with application of the SECNAVINST 1850.4E </w:t>
      </w:r>
      <w:r w:rsidR="009108C1" w:rsidRPr="00442009">
        <w:rPr>
          <w:rFonts w:asciiTheme="minorHAnsi" w:hAnsiTheme="minorHAnsi"/>
          <w:color w:val="auto"/>
        </w:rPr>
        <w:t>a</w:t>
      </w:r>
      <w:r w:rsidR="005D01C5" w:rsidRPr="00442009">
        <w:rPr>
          <w:rFonts w:asciiTheme="minorHAnsi" w:hAnsiTheme="minorHAnsi"/>
          <w:color w:val="auto"/>
        </w:rPr>
        <w:t xml:space="preserve">nd DoDI 1332.39. </w:t>
      </w:r>
      <w:r w:rsidR="00C14BD4" w:rsidRPr="00442009">
        <w:rPr>
          <w:rFonts w:asciiTheme="minorHAnsi" w:hAnsiTheme="minorHAnsi"/>
          <w:color w:val="auto"/>
        </w:rPr>
        <w:t xml:space="preserve"> </w:t>
      </w:r>
      <w:r w:rsidR="005D01C5" w:rsidRPr="00C14BD4">
        <w:rPr>
          <w:rFonts w:asciiTheme="minorHAnsi" w:hAnsiTheme="minorHAnsi"/>
          <w:color w:val="auto"/>
        </w:rPr>
        <w:t xml:space="preserve">The CI made no appeals, and was medically separated with a </w:t>
      </w:r>
      <w:r w:rsidR="009108C1" w:rsidRPr="00C14BD4">
        <w:rPr>
          <w:rFonts w:asciiTheme="minorHAnsi" w:hAnsiTheme="minorHAnsi"/>
          <w:color w:val="auto"/>
        </w:rPr>
        <w:t>10</w:t>
      </w:r>
      <w:r w:rsidR="005D01C5" w:rsidRPr="00C14BD4">
        <w:rPr>
          <w:rFonts w:asciiTheme="minorHAnsi" w:hAnsiTheme="minorHAnsi"/>
          <w:color w:val="auto"/>
        </w:rPr>
        <w:t xml:space="preserve">% disability rating.  </w:t>
      </w:r>
    </w:p>
    <w:p w:rsidR="00A83C15" w:rsidRPr="00C14BD4" w:rsidRDefault="00A83C15" w:rsidP="000452D7">
      <w:pPr>
        <w:tabs>
          <w:tab w:val="left" w:pos="288"/>
          <w:tab w:val="left" w:pos="4752"/>
        </w:tabs>
        <w:spacing w:line="240" w:lineRule="exact"/>
        <w:jc w:val="both"/>
        <w:rPr>
          <w:rFonts w:asciiTheme="minorHAnsi" w:hAnsiTheme="minorHAnsi"/>
          <w:caps/>
          <w:color w:val="auto"/>
          <w:u w:val="single"/>
        </w:rPr>
      </w:pPr>
      <w:r w:rsidRPr="00C14BD4">
        <w:rPr>
          <w:rFonts w:asciiTheme="minorHAnsi" w:hAnsiTheme="minorHAnsi"/>
          <w:color w:val="auto"/>
          <w:u w:val="single"/>
        </w:rPr>
        <w:t>______________________________________________________________________________</w:t>
      </w:r>
    </w:p>
    <w:p w:rsidR="00106AD8" w:rsidRPr="00C14BD4" w:rsidRDefault="00106AD8" w:rsidP="000452D7">
      <w:pPr>
        <w:tabs>
          <w:tab w:val="left" w:pos="288"/>
          <w:tab w:val="left" w:pos="4752"/>
        </w:tabs>
        <w:spacing w:line="240" w:lineRule="exact"/>
        <w:rPr>
          <w:color w:val="auto"/>
          <w:szCs w:val="24"/>
        </w:rPr>
      </w:pPr>
    </w:p>
    <w:p w:rsidR="00B53FFE" w:rsidRDefault="002C6E5B" w:rsidP="001470A1">
      <w:pPr>
        <w:tabs>
          <w:tab w:val="left" w:pos="288"/>
          <w:tab w:val="left" w:pos="4752"/>
        </w:tabs>
        <w:spacing w:line="240" w:lineRule="exact"/>
        <w:jc w:val="both"/>
        <w:rPr>
          <w:rFonts w:asciiTheme="minorHAnsi" w:hAnsiTheme="minorHAnsi"/>
          <w:color w:val="auto"/>
        </w:rPr>
      </w:pPr>
      <w:r w:rsidRPr="00C14BD4">
        <w:rPr>
          <w:rFonts w:asciiTheme="minorHAnsi" w:hAnsiTheme="minorHAnsi"/>
          <w:color w:val="auto"/>
          <w:u w:val="single"/>
        </w:rPr>
        <w:t>CI CONTENTION</w:t>
      </w:r>
      <w:r w:rsidRPr="00C14BD4">
        <w:rPr>
          <w:rFonts w:asciiTheme="minorHAnsi" w:hAnsiTheme="minorHAnsi"/>
          <w:color w:val="auto"/>
        </w:rPr>
        <w:t xml:space="preserve">:  </w:t>
      </w:r>
      <w:r w:rsidR="00B53FFE" w:rsidRPr="00C14BD4">
        <w:rPr>
          <w:rFonts w:asciiTheme="minorHAnsi" w:hAnsiTheme="minorHAnsi"/>
          <w:color w:val="auto"/>
        </w:rPr>
        <w:t>The CI requests disability rating for his bilateral hip osteoarthritis, status post right total hip replacement contending the condition was incurred by military service.  He additionally</w:t>
      </w:r>
      <w:r w:rsidR="00B53FFE" w:rsidRPr="00B53FFE">
        <w:rPr>
          <w:rFonts w:asciiTheme="minorHAnsi" w:hAnsiTheme="minorHAnsi"/>
          <w:color w:val="auto"/>
        </w:rPr>
        <w:t xml:space="preserve"> lists all of his VA conditions and ratings as per the rating chart below.</w:t>
      </w:r>
      <w:r w:rsidR="00B53FFE">
        <w:rPr>
          <w:rFonts w:asciiTheme="minorHAnsi" w:hAnsiTheme="minorHAnsi"/>
          <w:color w:val="auto"/>
        </w:rPr>
        <w:t xml:space="preserve">  </w:t>
      </w:r>
      <w:r w:rsidR="009108C1">
        <w:rPr>
          <w:rFonts w:asciiTheme="minorHAnsi" w:hAnsiTheme="minorHAnsi"/>
          <w:color w:val="auto"/>
        </w:rPr>
        <w:t xml:space="preserve">The CI states </w:t>
      </w:r>
    </w:p>
    <w:p w:rsidR="00B53FFE" w:rsidRDefault="00B53FFE" w:rsidP="001470A1">
      <w:pPr>
        <w:tabs>
          <w:tab w:val="left" w:pos="288"/>
          <w:tab w:val="left" w:pos="4752"/>
        </w:tabs>
        <w:spacing w:line="240" w:lineRule="exact"/>
        <w:jc w:val="both"/>
        <w:rPr>
          <w:rFonts w:asciiTheme="minorHAnsi" w:hAnsiTheme="minorHAnsi"/>
          <w:color w:val="auto"/>
        </w:rPr>
      </w:pPr>
    </w:p>
    <w:p w:rsidR="00B53FFE" w:rsidRPr="00B6253C" w:rsidRDefault="009108C1" w:rsidP="00B6253C">
      <w:pPr>
        <w:tabs>
          <w:tab w:val="left" w:pos="288"/>
          <w:tab w:val="left" w:pos="4752"/>
        </w:tabs>
        <w:spacing w:line="200" w:lineRule="exact"/>
        <w:ind w:left="288" w:right="288"/>
        <w:jc w:val="both"/>
        <w:rPr>
          <w:rFonts w:eastAsiaTheme="minorHAnsi" w:cstheme="minorBidi"/>
          <w:color w:val="auto"/>
          <w:sz w:val="20"/>
          <w:szCs w:val="24"/>
        </w:rPr>
      </w:pPr>
      <w:r w:rsidRPr="00B6253C">
        <w:rPr>
          <w:rFonts w:asciiTheme="minorHAnsi" w:hAnsiTheme="minorHAnsi"/>
          <w:color w:val="auto"/>
          <w:sz w:val="20"/>
        </w:rPr>
        <w:t>“I began suffering from pain in my right hip while serving in the Marine Corps; it was found that I needed a total hip replacement.  I received the surgery in July of</w:t>
      </w:r>
      <w:r w:rsidR="00655776" w:rsidRPr="00B6253C">
        <w:rPr>
          <w:rFonts w:asciiTheme="minorHAnsi" w:hAnsiTheme="minorHAnsi"/>
          <w:color w:val="auto"/>
          <w:sz w:val="20"/>
        </w:rPr>
        <w:t xml:space="preserve"> </w:t>
      </w:r>
      <w:r w:rsidRPr="00B6253C">
        <w:rPr>
          <w:rFonts w:asciiTheme="minorHAnsi" w:hAnsiTheme="minorHAnsi"/>
          <w:color w:val="auto"/>
          <w:sz w:val="20"/>
        </w:rPr>
        <w:t xml:space="preserve">2006. </w:t>
      </w:r>
      <w:r w:rsidR="00D3300D">
        <w:rPr>
          <w:rFonts w:asciiTheme="minorHAnsi" w:hAnsiTheme="minorHAnsi"/>
          <w:color w:val="auto"/>
          <w:sz w:val="20"/>
        </w:rPr>
        <w:t xml:space="preserve"> </w:t>
      </w:r>
      <w:r w:rsidRPr="00B6253C">
        <w:rPr>
          <w:rFonts w:asciiTheme="minorHAnsi" w:hAnsiTheme="minorHAnsi"/>
          <w:color w:val="auto"/>
          <w:sz w:val="20"/>
        </w:rPr>
        <w:t>In my PEB decision, I was told that my hips were to be considered a pre-existing condition because I did not serve enough time in the military, and the military could not find my x-rays from my enlistment.</w:t>
      </w:r>
      <w:r w:rsidR="001470A1" w:rsidRPr="00B6253C">
        <w:rPr>
          <w:rFonts w:asciiTheme="minorHAnsi" w:hAnsiTheme="minorHAnsi"/>
          <w:color w:val="auto"/>
          <w:sz w:val="20"/>
        </w:rPr>
        <w:t xml:space="preserve">  </w:t>
      </w:r>
      <w:proofErr w:type="gramStart"/>
      <w:r w:rsidR="001470A1" w:rsidRPr="00442009">
        <w:rPr>
          <w:rFonts w:asciiTheme="minorHAnsi" w:hAnsiTheme="minorHAnsi"/>
          <w:color w:val="auto"/>
          <w:sz w:val="20"/>
        </w:rPr>
        <w:t>X-rays which the VA found showing that my lower extremities were normal.</w:t>
      </w:r>
      <w:proofErr w:type="gramEnd"/>
      <w:r w:rsidR="001470A1" w:rsidRPr="00442009">
        <w:rPr>
          <w:rFonts w:asciiTheme="minorHAnsi" w:hAnsiTheme="minorHAnsi"/>
          <w:color w:val="auto"/>
          <w:sz w:val="20"/>
        </w:rPr>
        <w:t xml:space="preserve">  I was also treated for back pain several times while I served but I was told by Senior Chief G</w:t>
      </w:r>
      <w:r w:rsidR="00C24344">
        <w:rPr>
          <w:rFonts w:asciiTheme="minorHAnsi" w:hAnsiTheme="minorHAnsi"/>
          <w:color w:val="auto"/>
          <w:sz w:val="20"/>
        </w:rPr>
        <w:t>---</w:t>
      </w:r>
      <w:r w:rsidR="001470A1" w:rsidRPr="00442009">
        <w:rPr>
          <w:rFonts w:asciiTheme="minorHAnsi" w:hAnsiTheme="minorHAnsi"/>
          <w:color w:val="auto"/>
          <w:sz w:val="20"/>
        </w:rPr>
        <w:t xml:space="preserve"> not to put that on my paperwork to the PEB.  Also</w:t>
      </w:r>
      <w:r w:rsidR="00655776" w:rsidRPr="00442009">
        <w:rPr>
          <w:rFonts w:asciiTheme="minorHAnsi" w:hAnsiTheme="minorHAnsi"/>
          <w:color w:val="auto"/>
          <w:sz w:val="20"/>
        </w:rPr>
        <w:t>,</w:t>
      </w:r>
      <w:r w:rsidR="001470A1" w:rsidRPr="00442009">
        <w:rPr>
          <w:rFonts w:asciiTheme="minorHAnsi" w:hAnsiTheme="minorHAnsi"/>
          <w:color w:val="auto"/>
          <w:sz w:val="20"/>
        </w:rPr>
        <w:t xml:space="preserve"> I developed a worse case of flat feet and again I was told not to put that on the paperwork to the PEB. </w:t>
      </w:r>
      <w:r w:rsidR="00655776" w:rsidRPr="00442009">
        <w:rPr>
          <w:rFonts w:asciiTheme="minorHAnsi" w:hAnsiTheme="minorHAnsi"/>
          <w:color w:val="auto"/>
          <w:sz w:val="20"/>
        </w:rPr>
        <w:t xml:space="preserve"> </w:t>
      </w:r>
      <w:r w:rsidR="001470A1" w:rsidRPr="00442009">
        <w:rPr>
          <w:rFonts w:asciiTheme="minorHAnsi" w:hAnsiTheme="minorHAnsi"/>
          <w:color w:val="auto"/>
          <w:sz w:val="20"/>
        </w:rPr>
        <w:t xml:space="preserve">I suffered an injury to my ribs during MCT (Marine Combat Training) and suffer from </w:t>
      </w:r>
      <w:proofErr w:type="spellStart"/>
      <w:r w:rsidR="001470A1" w:rsidRPr="00442009">
        <w:rPr>
          <w:rFonts w:asciiTheme="minorHAnsi" w:hAnsiTheme="minorHAnsi"/>
          <w:color w:val="auto"/>
          <w:sz w:val="20"/>
        </w:rPr>
        <w:t>Costrochrondroitis</w:t>
      </w:r>
      <w:proofErr w:type="spellEnd"/>
      <w:r w:rsidR="001470A1" w:rsidRPr="00442009">
        <w:rPr>
          <w:rFonts w:asciiTheme="minorHAnsi" w:hAnsiTheme="minorHAnsi"/>
          <w:color w:val="auto"/>
          <w:sz w:val="20"/>
        </w:rPr>
        <w:t xml:space="preserve"> but I failed to put that on my paperwork to the PEB.  Also I broke my left great toe while training and I did not put that info in the PEB paperwork because I was told it was not relevant. </w:t>
      </w:r>
      <w:r w:rsidR="00655776" w:rsidRPr="00442009">
        <w:rPr>
          <w:rFonts w:asciiTheme="minorHAnsi" w:hAnsiTheme="minorHAnsi"/>
          <w:color w:val="auto"/>
          <w:sz w:val="20"/>
        </w:rPr>
        <w:t xml:space="preserve"> </w:t>
      </w:r>
      <w:r w:rsidR="001470A1" w:rsidRPr="00442009">
        <w:rPr>
          <w:rFonts w:asciiTheme="minorHAnsi" w:hAnsiTheme="minorHAnsi"/>
          <w:color w:val="auto"/>
          <w:sz w:val="20"/>
        </w:rPr>
        <w:t>When I received my decision from the VA</w:t>
      </w:r>
      <w:r w:rsidR="00655776" w:rsidRPr="00442009">
        <w:rPr>
          <w:rFonts w:asciiTheme="minorHAnsi" w:hAnsiTheme="minorHAnsi"/>
          <w:color w:val="auto"/>
          <w:sz w:val="20"/>
        </w:rPr>
        <w:t>,</w:t>
      </w:r>
      <w:r w:rsidR="001470A1" w:rsidRPr="00442009">
        <w:rPr>
          <w:rFonts w:asciiTheme="minorHAnsi" w:hAnsiTheme="minorHAnsi"/>
          <w:color w:val="auto"/>
          <w:sz w:val="20"/>
        </w:rPr>
        <w:t xml:space="preserve"> it was found that my lower extremities were in normal condition when I enlisted and that I did not suffer from any problems with my joints, and was granted a 30% rating for my right hip and a 20% rating for my left hip; I was given</w:t>
      </w:r>
      <w:r w:rsidR="001470A1" w:rsidRPr="00B6253C">
        <w:rPr>
          <w:rFonts w:eastAsiaTheme="minorHAnsi" w:cstheme="minorBidi"/>
          <w:color w:val="auto"/>
          <w:sz w:val="20"/>
          <w:szCs w:val="24"/>
        </w:rPr>
        <w:t xml:space="preserve"> a 20% rating for my back, and I was given 10% for my flat feet as well as 10% for my great toe.  It is based on this information that I request that my case be reevaluated”.  </w:t>
      </w:r>
    </w:p>
    <w:p w:rsidR="00A83C15" w:rsidRPr="00D560DC" w:rsidRDefault="00A83C15" w:rsidP="000452D7">
      <w:pPr>
        <w:tabs>
          <w:tab w:val="left" w:pos="288"/>
          <w:tab w:val="left" w:pos="4752"/>
        </w:tabs>
        <w:spacing w:line="240" w:lineRule="exact"/>
        <w:jc w:val="both"/>
        <w:rPr>
          <w:rFonts w:asciiTheme="minorHAnsi" w:hAnsiTheme="minorHAnsi"/>
          <w:caps/>
          <w:color w:val="auto"/>
          <w:u w:val="single"/>
        </w:rPr>
      </w:pPr>
      <w:r w:rsidRPr="00D560DC">
        <w:rPr>
          <w:rFonts w:asciiTheme="minorHAnsi" w:hAnsiTheme="minorHAnsi"/>
          <w:color w:val="auto"/>
          <w:u w:val="single"/>
        </w:rPr>
        <w:t>______________________________________________________________________________</w:t>
      </w:r>
    </w:p>
    <w:p w:rsidR="00865FA3" w:rsidRDefault="00865FA3">
      <w:pPr>
        <w:rPr>
          <w:rFonts w:asciiTheme="minorHAnsi" w:hAnsiTheme="minorHAnsi"/>
          <w:color w:val="auto"/>
          <w:szCs w:val="24"/>
          <w:u w:val="single"/>
        </w:rPr>
      </w:pPr>
    </w:p>
    <w:p w:rsidR="00D3300D" w:rsidRDefault="00D3300D">
      <w:pPr>
        <w:rPr>
          <w:rFonts w:asciiTheme="minorHAnsi" w:hAnsiTheme="minorHAnsi"/>
          <w:color w:val="auto"/>
          <w:szCs w:val="24"/>
          <w:u w:val="single"/>
        </w:rPr>
      </w:pPr>
    </w:p>
    <w:p w:rsidR="00D3300D" w:rsidRDefault="00D3300D">
      <w:pPr>
        <w:rPr>
          <w:rFonts w:asciiTheme="minorHAnsi" w:hAnsiTheme="minorHAnsi"/>
          <w:color w:val="auto"/>
          <w:szCs w:val="24"/>
          <w:u w:val="single"/>
        </w:rPr>
      </w:pPr>
    </w:p>
    <w:p w:rsidR="00D3300D" w:rsidRDefault="00D3300D">
      <w:pPr>
        <w:rPr>
          <w:rFonts w:asciiTheme="minorHAnsi" w:hAnsiTheme="minorHAnsi"/>
          <w:color w:val="auto"/>
          <w:szCs w:val="24"/>
          <w:u w:val="single"/>
        </w:rPr>
      </w:pPr>
    </w:p>
    <w:p w:rsidR="00442009" w:rsidRDefault="007F0AB7" w:rsidP="00196A11">
      <w:pPr>
        <w:rPr>
          <w:rFonts w:asciiTheme="minorHAnsi" w:hAnsiTheme="minorHAnsi"/>
          <w:color w:val="auto"/>
        </w:rPr>
      </w:pPr>
      <w:r>
        <w:rPr>
          <w:rFonts w:asciiTheme="minorHAnsi" w:hAnsiTheme="minorHAnsi"/>
          <w:color w:val="auto"/>
          <w:u w:val="single"/>
        </w:rPr>
        <w:lastRenderedPageBreak/>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196A11" w:rsidRPr="00B32C47" w:rsidRDefault="00196A11" w:rsidP="000452D7">
      <w:pPr>
        <w:spacing w:line="240" w:lineRule="exact"/>
        <w:rPr>
          <w:rFonts w:asciiTheme="minorHAnsi" w:hAnsiTheme="minorHAnsi"/>
          <w:color w:val="auto"/>
        </w:rPr>
      </w:pPr>
    </w:p>
    <w:tbl>
      <w:tblPr>
        <w:tblStyle w:val="TableGrid"/>
        <w:tblpPr w:leftFromText="180" w:rightFromText="180" w:vertAnchor="text" w:horzAnchor="margin" w:tblpX="108" w:tblpY="-51"/>
        <w:tblW w:w="9270" w:type="dxa"/>
        <w:tblLayout w:type="fixed"/>
        <w:tblLook w:val="04A0"/>
      </w:tblPr>
      <w:tblGrid>
        <w:gridCol w:w="2448"/>
        <w:gridCol w:w="681"/>
        <w:gridCol w:w="810"/>
        <w:gridCol w:w="2541"/>
        <w:gridCol w:w="810"/>
        <w:gridCol w:w="810"/>
        <w:gridCol w:w="1170"/>
      </w:tblGrid>
      <w:tr w:rsidR="002B4E22" w:rsidRPr="00B32C47" w:rsidTr="00D3300D">
        <w:trPr>
          <w:trHeight w:val="233"/>
        </w:trPr>
        <w:tc>
          <w:tcPr>
            <w:tcW w:w="3939" w:type="dxa"/>
            <w:gridSpan w:val="3"/>
            <w:tcBorders>
              <w:right w:val="thinThickThinSmallGap" w:sz="24" w:space="0" w:color="auto"/>
            </w:tcBorders>
            <w:shd w:val="clear" w:color="auto" w:fill="D9D9D9" w:themeFill="background1" w:themeFillShade="D9"/>
          </w:tcPr>
          <w:p w:rsidR="002B4E22" w:rsidRPr="00B32C47" w:rsidRDefault="00B731E4" w:rsidP="00D3300D">
            <w:pPr>
              <w:spacing w:line="240" w:lineRule="exact"/>
              <w:contextualSpacing/>
              <w:jc w:val="center"/>
              <w:rPr>
                <w:b/>
                <w:color w:val="auto"/>
                <w:sz w:val="20"/>
                <w:szCs w:val="20"/>
              </w:rPr>
            </w:pPr>
            <w:r w:rsidRPr="00B32C47">
              <w:rPr>
                <w:b/>
                <w:color w:val="auto"/>
                <w:sz w:val="20"/>
                <w:szCs w:val="20"/>
              </w:rPr>
              <w:t xml:space="preserve">Service </w:t>
            </w:r>
            <w:r w:rsidR="00544999" w:rsidRPr="00B32C47">
              <w:rPr>
                <w:b/>
                <w:color w:val="auto"/>
                <w:sz w:val="20"/>
                <w:szCs w:val="20"/>
              </w:rPr>
              <w:t>I</w:t>
            </w:r>
            <w:r w:rsidRPr="00B32C47">
              <w:rPr>
                <w:b/>
                <w:color w:val="auto"/>
                <w:sz w:val="20"/>
                <w:szCs w:val="20"/>
              </w:rPr>
              <w:t xml:space="preserve">PEB – Dated </w:t>
            </w:r>
            <w:r w:rsidR="00680EBA" w:rsidRPr="00B32C47">
              <w:rPr>
                <w:b/>
                <w:color w:val="auto"/>
                <w:sz w:val="20"/>
                <w:szCs w:val="20"/>
              </w:rPr>
              <w:t>2006</w:t>
            </w:r>
            <w:r w:rsidR="005A718B" w:rsidRPr="00B32C47">
              <w:rPr>
                <w:b/>
                <w:color w:val="auto"/>
                <w:sz w:val="20"/>
                <w:szCs w:val="20"/>
              </w:rPr>
              <w:t>1212</w:t>
            </w:r>
          </w:p>
        </w:tc>
        <w:tc>
          <w:tcPr>
            <w:tcW w:w="5331" w:type="dxa"/>
            <w:gridSpan w:val="4"/>
            <w:tcBorders>
              <w:left w:val="thinThickThinSmallGap" w:sz="24" w:space="0" w:color="auto"/>
            </w:tcBorders>
            <w:shd w:val="clear" w:color="auto" w:fill="D9D9D9" w:themeFill="background1" w:themeFillShade="D9"/>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VA (</w:t>
            </w:r>
            <w:r w:rsidR="00655776" w:rsidRPr="00B32C47">
              <w:rPr>
                <w:b/>
                <w:color w:val="auto"/>
                <w:sz w:val="20"/>
                <w:szCs w:val="20"/>
              </w:rPr>
              <w:t xml:space="preserve">6 </w:t>
            </w:r>
            <w:r w:rsidRPr="00B32C47">
              <w:rPr>
                <w:b/>
                <w:color w:val="auto"/>
                <w:sz w:val="20"/>
                <w:szCs w:val="20"/>
              </w:rPr>
              <w:t>Mo</w:t>
            </w:r>
            <w:r w:rsidR="00655776" w:rsidRPr="00B32C47">
              <w:rPr>
                <w:b/>
                <w:color w:val="auto"/>
                <w:sz w:val="20"/>
                <w:szCs w:val="20"/>
              </w:rPr>
              <w:t>s</w:t>
            </w:r>
            <w:r w:rsidRPr="00B32C47">
              <w:rPr>
                <w:b/>
                <w:color w:val="auto"/>
                <w:sz w:val="20"/>
                <w:szCs w:val="20"/>
              </w:rPr>
              <w:t xml:space="preserve">. After  Separation) – All Effective Date </w:t>
            </w:r>
            <w:r w:rsidR="005A718B" w:rsidRPr="00B32C47">
              <w:rPr>
                <w:b/>
                <w:caps/>
                <w:color w:val="auto"/>
                <w:sz w:val="20"/>
                <w:szCs w:val="20"/>
              </w:rPr>
              <w:t>20070228</w:t>
            </w:r>
          </w:p>
        </w:tc>
      </w:tr>
      <w:tr w:rsidR="002B4E22" w:rsidRPr="00B32C47" w:rsidTr="00D3300D">
        <w:trPr>
          <w:trHeight w:val="278"/>
        </w:trPr>
        <w:tc>
          <w:tcPr>
            <w:tcW w:w="2448" w:type="dxa"/>
            <w:tcBorders>
              <w:bottom w:val="single" w:sz="4" w:space="0" w:color="000000" w:themeColor="text1"/>
              <w:right w:val="single" w:sz="4" w:space="0" w:color="auto"/>
            </w:tcBorders>
            <w:shd w:val="clear" w:color="auto" w:fill="D9D9D9" w:themeFill="background1" w:themeFillShade="D9"/>
          </w:tcPr>
          <w:p w:rsidR="002B4E22" w:rsidRPr="00B32C47" w:rsidRDefault="002B4E22" w:rsidP="00D3300D">
            <w:pPr>
              <w:spacing w:line="240" w:lineRule="exact"/>
              <w:contextualSpacing/>
              <w:jc w:val="both"/>
              <w:rPr>
                <w:b/>
                <w:color w:val="auto"/>
                <w:sz w:val="20"/>
                <w:szCs w:val="20"/>
              </w:rPr>
            </w:pPr>
            <w:r w:rsidRPr="00B32C47">
              <w:rPr>
                <w:b/>
                <w:color w:val="auto"/>
                <w:sz w:val="20"/>
                <w:szCs w:val="20"/>
              </w:rPr>
              <w:t>Condition</w:t>
            </w:r>
          </w:p>
        </w:tc>
        <w:tc>
          <w:tcPr>
            <w:tcW w:w="681" w:type="dxa"/>
            <w:tcBorders>
              <w:left w:val="single" w:sz="4" w:space="0" w:color="auto"/>
              <w:bottom w:val="single" w:sz="4" w:space="0" w:color="000000" w:themeColor="text1"/>
            </w:tcBorders>
            <w:shd w:val="clear" w:color="auto" w:fill="D9D9D9" w:themeFill="background1" w:themeFillShade="D9"/>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Rating</w:t>
            </w:r>
          </w:p>
        </w:tc>
        <w:tc>
          <w:tcPr>
            <w:tcW w:w="2541" w:type="dxa"/>
            <w:tcBorders>
              <w:left w:val="thinThickThinSmallGap" w:sz="24" w:space="0" w:color="auto"/>
              <w:bottom w:val="single" w:sz="4" w:space="0" w:color="000000" w:themeColor="text1"/>
            </w:tcBorders>
            <w:shd w:val="clear" w:color="auto" w:fill="D9D9D9" w:themeFill="background1" w:themeFillShade="D9"/>
          </w:tcPr>
          <w:p w:rsidR="002B4E22" w:rsidRPr="00B32C47" w:rsidRDefault="002B4E22" w:rsidP="00D3300D">
            <w:pPr>
              <w:spacing w:line="240" w:lineRule="exact"/>
              <w:contextualSpacing/>
              <w:jc w:val="both"/>
              <w:rPr>
                <w:b/>
                <w:color w:val="auto"/>
                <w:sz w:val="20"/>
                <w:szCs w:val="20"/>
              </w:rPr>
            </w:pPr>
            <w:r w:rsidRPr="00B32C47">
              <w:rPr>
                <w:b/>
                <w:color w:val="auto"/>
                <w:sz w:val="20"/>
                <w:szCs w:val="20"/>
              </w:rPr>
              <w:t>Condition</w:t>
            </w:r>
          </w:p>
        </w:tc>
        <w:tc>
          <w:tcPr>
            <w:tcW w:w="810" w:type="dxa"/>
            <w:tcBorders>
              <w:bottom w:val="single" w:sz="4" w:space="0" w:color="000000" w:themeColor="text1"/>
            </w:tcBorders>
            <w:shd w:val="clear" w:color="auto" w:fill="D9D9D9" w:themeFill="background1" w:themeFillShade="D9"/>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Code</w:t>
            </w:r>
          </w:p>
        </w:tc>
        <w:tc>
          <w:tcPr>
            <w:tcW w:w="810" w:type="dxa"/>
            <w:tcBorders>
              <w:bottom w:val="single" w:sz="4" w:space="0" w:color="000000" w:themeColor="text1"/>
            </w:tcBorders>
            <w:shd w:val="clear" w:color="auto" w:fill="D9D9D9" w:themeFill="background1" w:themeFillShade="D9"/>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Rating</w:t>
            </w:r>
          </w:p>
        </w:tc>
        <w:tc>
          <w:tcPr>
            <w:tcW w:w="1170" w:type="dxa"/>
            <w:tcBorders>
              <w:bottom w:val="single" w:sz="4" w:space="0" w:color="000000" w:themeColor="text1"/>
            </w:tcBorders>
            <w:shd w:val="clear" w:color="auto" w:fill="D9D9D9" w:themeFill="background1" w:themeFillShade="D9"/>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Exam</w:t>
            </w:r>
          </w:p>
        </w:tc>
      </w:tr>
      <w:tr w:rsidR="002B4E22" w:rsidRPr="00B32C47" w:rsidTr="00D3300D">
        <w:trPr>
          <w:trHeight w:val="287"/>
        </w:trPr>
        <w:tc>
          <w:tcPr>
            <w:tcW w:w="2448" w:type="dxa"/>
            <w:tcBorders>
              <w:right w:val="single" w:sz="4" w:space="0" w:color="auto"/>
            </w:tcBorders>
            <w:shd w:val="clear" w:color="auto" w:fill="FFFFFF" w:themeFill="background1"/>
            <w:vAlign w:val="center"/>
          </w:tcPr>
          <w:p w:rsidR="002B4E22" w:rsidRPr="00B32C47" w:rsidRDefault="00544999" w:rsidP="00D3300D">
            <w:pPr>
              <w:spacing w:line="240" w:lineRule="exact"/>
              <w:contextualSpacing/>
              <w:rPr>
                <w:color w:val="auto"/>
                <w:sz w:val="20"/>
                <w:szCs w:val="20"/>
              </w:rPr>
            </w:pPr>
            <w:r w:rsidRPr="00B32C47">
              <w:rPr>
                <w:color w:val="auto"/>
                <w:sz w:val="20"/>
                <w:szCs w:val="20"/>
              </w:rPr>
              <w:t>Bipolar Disorder II</w:t>
            </w:r>
          </w:p>
        </w:tc>
        <w:tc>
          <w:tcPr>
            <w:tcW w:w="681" w:type="dxa"/>
            <w:tcBorders>
              <w:left w:val="single" w:sz="4" w:space="0" w:color="auto"/>
            </w:tcBorders>
            <w:shd w:val="clear" w:color="auto" w:fill="FFFFFF" w:themeFill="background1"/>
            <w:vAlign w:val="center"/>
          </w:tcPr>
          <w:p w:rsidR="002B4E22" w:rsidRPr="00B32C47" w:rsidRDefault="00544999" w:rsidP="00D3300D">
            <w:pPr>
              <w:spacing w:line="240" w:lineRule="exact"/>
              <w:contextualSpacing/>
              <w:jc w:val="center"/>
              <w:rPr>
                <w:color w:val="auto"/>
                <w:sz w:val="20"/>
                <w:szCs w:val="20"/>
              </w:rPr>
            </w:pPr>
            <w:r w:rsidRPr="00B32C47">
              <w:rPr>
                <w:color w:val="auto"/>
                <w:sz w:val="20"/>
                <w:szCs w:val="20"/>
              </w:rPr>
              <w:t>9432</w:t>
            </w:r>
          </w:p>
        </w:tc>
        <w:tc>
          <w:tcPr>
            <w:tcW w:w="810" w:type="dxa"/>
            <w:tcBorders>
              <w:right w:val="thinThickThinSmallGap" w:sz="24" w:space="0" w:color="auto"/>
            </w:tcBorders>
            <w:shd w:val="clear" w:color="auto" w:fill="FFFFFF" w:themeFill="background1"/>
            <w:vAlign w:val="center"/>
          </w:tcPr>
          <w:p w:rsidR="002B4E22" w:rsidRPr="00B32C47" w:rsidRDefault="005A718B" w:rsidP="00D3300D">
            <w:pPr>
              <w:spacing w:line="240" w:lineRule="exact"/>
              <w:contextualSpacing/>
              <w:jc w:val="center"/>
              <w:rPr>
                <w:color w:val="auto"/>
                <w:sz w:val="20"/>
                <w:szCs w:val="20"/>
              </w:rPr>
            </w:pPr>
            <w:r w:rsidRPr="00B32C47">
              <w:rPr>
                <w:color w:val="auto"/>
                <w:sz w:val="20"/>
                <w:szCs w:val="20"/>
              </w:rPr>
              <w:t>10%</w:t>
            </w:r>
          </w:p>
        </w:tc>
        <w:tc>
          <w:tcPr>
            <w:tcW w:w="2541" w:type="dxa"/>
            <w:tcBorders>
              <w:left w:val="thinThickThinSmallGap" w:sz="24" w:space="0" w:color="auto"/>
            </w:tcBorders>
            <w:shd w:val="clear" w:color="auto" w:fill="FFFFFF" w:themeFill="background1"/>
            <w:vAlign w:val="center"/>
          </w:tcPr>
          <w:p w:rsidR="002B4E22" w:rsidRPr="00B32C47" w:rsidRDefault="00680EBA" w:rsidP="00D3300D">
            <w:pPr>
              <w:spacing w:line="240" w:lineRule="exact"/>
              <w:contextualSpacing/>
              <w:rPr>
                <w:color w:val="auto"/>
                <w:sz w:val="20"/>
                <w:szCs w:val="20"/>
              </w:rPr>
            </w:pPr>
            <w:r w:rsidRPr="00B32C47">
              <w:rPr>
                <w:color w:val="auto"/>
                <w:sz w:val="20"/>
                <w:szCs w:val="20"/>
              </w:rPr>
              <w:t>Bipolar II Disorder</w:t>
            </w:r>
          </w:p>
        </w:tc>
        <w:tc>
          <w:tcPr>
            <w:tcW w:w="810" w:type="dxa"/>
            <w:shd w:val="clear" w:color="auto" w:fill="FFFFFF" w:themeFill="background1"/>
          </w:tcPr>
          <w:p w:rsidR="002B4E22" w:rsidRPr="00B32C47" w:rsidRDefault="00680EBA" w:rsidP="00D3300D">
            <w:pPr>
              <w:spacing w:line="240" w:lineRule="exact"/>
              <w:contextualSpacing/>
              <w:jc w:val="center"/>
              <w:rPr>
                <w:color w:val="auto"/>
                <w:sz w:val="20"/>
                <w:szCs w:val="20"/>
              </w:rPr>
            </w:pPr>
            <w:r w:rsidRPr="00B32C47">
              <w:rPr>
                <w:color w:val="auto"/>
                <w:sz w:val="20"/>
                <w:szCs w:val="20"/>
              </w:rPr>
              <w:t>9432</w:t>
            </w:r>
          </w:p>
        </w:tc>
        <w:tc>
          <w:tcPr>
            <w:tcW w:w="810" w:type="dxa"/>
            <w:shd w:val="clear" w:color="auto" w:fill="FFFFFF" w:themeFill="background1"/>
          </w:tcPr>
          <w:p w:rsidR="002B4E22" w:rsidRPr="00B32C47" w:rsidRDefault="00680EBA" w:rsidP="00D3300D">
            <w:pPr>
              <w:spacing w:line="240" w:lineRule="exact"/>
              <w:contextualSpacing/>
              <w:jc w:val="center"/>
              <w:rPr>
                <w:color w:val="auto"/>
                <w:sz w:val="20"/>
                <w:szCs w:val="20"/>
              </w:rPr>
            </w:pPr>
            <w:r w:rsidRPr="00B32C47">
              <w:rPr>
                <w:color w:val="auto"/>
                <w:sz w:val="20"/>
                <w:szCs w:val="20"/>
              </w:rPr>
              <w:t>NSC</w:t>
            </w:r>
          </w:p>
        </w:tc>
        <w:tc>
          <w:tcPr>
            <w:tcW w:w="1170" w:type="dxa"/>
            <w:shd w:val="clear" w:color="auto" w:fill="FFFFFF" w:themeFill="background1"/>
            <w:vAlign w:val="center"/>
          </w:tcPr>
          <w:p w:rsidR="002B4E22" w:rsidRPr="00B32C47" w:rsidRDefault="003C2891" w:rsidP="00D3300D">
            <w:pPr>
              <w:spacing w:line="240" w:lineRule="exact"/>
              <w:contextualSpacing/>
              <w:jc w:val="center"/>
              <w:rPr>
                <w:color w:val="auto"/>
                <w:sz w:val="20"/>
                <w:szCs w:val="20"/>
              </w:rPr>
            </w:pPr>
            <w:r w:rsidRPr="00B32C47">
              <w:rPr>
                <w:color w:val="auto"/>
                <w:sz w:val="20"/>
                <w:szCs w:val="20"/>
              </w:rPr>
              <w:t>20070802</w:t>
            </w:r>
          </w:p>
        </w:tc>
      </w:tr>
      <w:tr w:rsidR="00B6253C" w:rsidRPr="00B32C47" w:rsidTr="00D3300D">
        <w:trPr>
          <w:trHeight w:val="287"/>
        </w:trPr>
        <w:tc>
          <w:tcPr>
            <w:tcW w:w="2448" w:type="dxa"/>
            <w:vMerge w:val="restart"/>
            <w:tcBorders>
              <w:right w:val="single" w:sz="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r w:rsidRPr="00B32C47">
              <w:rPr>
                <w:color w:val="auto"/>
                <w:sz w:val="20"/>
              </w:rPr>
              <w:t>Bilateral Hip Osteoarthritis</w:t>
            </w:r>
          </w:p>
        </w:tc>
        <w:tc>
          <w:tcPr>
            <w:tcW w:w="1491" w:type="dxa"/>
            <w:gridSpan w:val="2"/>
            <w:vMerge w:val="restart"/>
            <w:tcBorders>
              <w:left w:val="single" w:sz="4" w:space="0" w:color="auto"/>
              <w:right w:val="thinThickThinSmallGap" w:sz="24" w:space="0" w:color="auto"/>
            </w:tcBorders>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rPr>
              <w:t>EPTS</w:t>
            </w:r>
          </w:p>
        </w:tc>
        <w:tc>
          <w:tcPr>
            <w:tcW w:w="2541" w:type="dxa"/>
            <w:tcBorders>
              <w:left w:val="thinThickThinSmallGap" w:sz="2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r w:rsidRPr="00B32C47">
              <w:rPr>
                <w:color w:val="auto"/>
                <w:sz w:val="20"/>
              </w:rPr>
              <w:t xml:space="preserve">L Hip, Osteoarthritis </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5010-5252</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10%</w:t>
            </w:r>
          </w:p>
        </w:tc>
        <w:tc>
          <w:tcPr>
            <w:tcW w:w="1170" w:type="dxa"/>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rPr>
              <w:t>20070710</w:t>
            </w:r>
          </w:p>
        </w:tc>
      </w:tr>
      <w:tr w:rsidR="00B6253C" w:rsidRPr="00B32C47" w:rsidTr="00D3300D">
        <w:trPr>
          <w:trHeight w:val="287"/>
        </w:trPr>
        <w:tc>
          <w:tcPr>
            <w:tcW w:w="2448" w:type="dxa"/>
            <w:vMerge/>
            <w:tcBorders>
              <w:right w:val="single" w:sz="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p>
        </w:tc>
        <w:tc>
          <w:tcPr>
            <w:tcW w:w="1491" w:type="dxa"/>
            <w:gridSpan w:val="2"/>
            <w:vMerge/>
            <w:tcBorders>
              <w:left w:val="single" w:sz="4" w:space="0" w:color="auto"/>
              <w:right w:val="thinThickThinSmallGap" w:sz="24" w:space="0" w:color="auto"/>
            </w:tcBorders>
            <w:shd w:val="clear" w:color="auto" w:fill="FFFFFF" w:themeFill="background1"/>
            <w:vAlign w:val="center"/>
          </w:tcPr>
          <w:p w:rsidR="00B6253C" w:rsidRPr="00B32C47" w:rsidRDefault="00B6253C" w:rsidP="00D3300D">
            <w:pPr>
              <w:spacing w:line="240" w:lineRule="exact"/>
              <w:contextualSpacing/>
              <w:jc w:val="center"/>
              <w:rPr>
                <w:color w:val="auto"/>
                <w:sz w:val="20"/>
              </w:rPr>
            </w:pPr>
          </w:p>
        </w:tc>
        <w:tc>
          <w:tcPr>
            <w:tcW w:w="2541" w:type="dxa"/>
            <w:tcBorders>
              <w:left w:val="thinThickThinSmallGap" w:sz="2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r w:rsidRPr="00B32C47">
              <w:rPr>
                <w:color w:val="auto"/>
                <w:sz w:val="20"/>
              </w:rPr>
              <w:t xml:space="preserve">R Hip, Total </w:t>
            </w:r>
            <w:proofErr w:type="spellStart"/>
            <w:r w:rsidRPr="00B32C47">
              <w:rPr>
                <w:color w:val="auto"/>
                <w:sz w:val="20"/>
              </w:rPr>
              <w:t>Arthroplasty</w:t>
            </w:r>
            <w:proofErr w:type="spellEnd"/>
            <w:r w:rsidRPr="00B32C47">
              <w:rPr>
                <w:color w:val="auto"/>
                <w:sz w:val="20"/>
              </w:rPr>
              <w:t xml:space="preserve"> …</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5054</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30%</w:t>
            </w:r>
          </w:p>
        </w:tc>
        <w:tc>
          <w:tcPr>
            <w:tcW w:w="1170" w:type="dxa"/>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rPr>
              <w:t>20070710</w:t>
            </w:r>
          </w:p>
        </w:tc>
      </w:tr>
      <w:tr w:rsidR="00B6253C" w:rsidRPr="00B32C47" w:rsidTr="00D3300D">
        <w:trPr>
          <w:trHeight w:val="287"/>
        </w:trPr>
        <w:tc>
          <w:tcPr>
            <w:tcW w:w="3939" w:type="dxa"/>
            <w:gridSpan w:val="3"/>
            <w:vMerge w:val="restart"/>
            <w:tcBorders>
              <w:right w:val="thinThickThinSmallGap" w:sz="24" w:space="0" w:color="auto"/>
            </w:tcBorders>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szCs w:val="20"/>
              </w:rPr>
              <w:t>↓No Additional MEB/PEB Entries↓</w:t>
            </w:r>
          </w:p>
        </w:tc>
        <w:tc>
          <w:tcPr>
            <w:tcW w:w="2541" w:type="dxa"/>
            <w:tcBorders>
              <w:left w:val="thinThickThinSmallGap" w:sz="2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r w:rsidRPr="00B32C47">
              <w:rPr>
                <w:color w:val="auto"/>
                <w:sz w:val="20"/>
              </w:rPr>
              <w:t>Lumbar DJD, L4-5</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5242</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20%</w:t>
            </w:r>
          </w:p>
        </w:tc>
        <w:tc>
          <w:tcPr>
            <w:tcW w:w="1170" w:type="dxa"/>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rPr>
              <w:t>20070710</w:t>
            </w:r>
          </w:p>
        </w:tc>
      </w:tr>
      <w:tr w:rsidR="00B6253C" w:rsidRPr="00B32C47" w:rsidTr="00D3300D">
        <w:trPr>
          <w:trHeight w:val="287"/>
        </w:trPr>
        <w:tc>
          <w:tcPr>
            <w:tcW w:w="3939" w:type="dxa"/>
            <w:gridSpan w:val="3"/>
            <w:vMerge/>
            <w:tcBorders>
              <w:right w:val="thinThickThinSmallGap" w:sz="24" w:space="0" w:color="auto"/>
            </w:tcBorders>
            <w:shd w:val="clear" w:color="auto" w:fill="FFFFFF" w:themeFill="background1"/>
            <w:vAlign w:val="center"/>
          </w:tcPr>
          <w:p w:rsidR="00B6253C" w:rsidRPr="00B32C47" w:rsidRDefault="00B6253C" w:rsidP="00D3300D">
            <w:pPr>
              <w:spacing w:line="240" w:lineRule="exact"/>
              <w:contextualSpacing/>
              <w:jc w:val="center"/>
              <w:rPr>
                <w:color w:val="auto"/>
                <w:sz w:val="20"/>
              </w:rPr>
            </w:pPr>
          </w:p>
        </w:tc>
        <w:tc>
          <w:tcPr>
            <w:tcW w:w="2541" w:type="dxa"/>
            <w:tcBorders>
              <w:left w:val="thinThickThinSmallGap" w:sz="2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r w:rsidRPr="00B32C47">
              <w:rPr>
                <w:color w:val="auto"/>
                <w:sz w:val="20"/>
              </w:rPr>
              <w:t xml:space="preserve">Bilateral Flat Feet </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5276</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10%</w:t>
            </w:r>
          </w:p>
        </w:tc>
        <w:tc>
          <w:tcPr>
            <w:tcW w:w="1170" w:type="dxa"/>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rPr>
              <w:t>20070710</w:t>
            </w:r>
          </w:p>
        </w:tc>
      </w:tr>
      <w:tr w:rsidR="00B6253C" w:rsidRPr="00B32C47" w:rsidTr="00D3300D">
        <w:trPr>
          <w:trHeight w:val="287"/>
        </w:trPr>
        <w:tc>
          <w:tcPr>
            <w:tcW w:w="3939" w:type="dxa"/>
            <w:gridSpan w:val="3"/>
            <w:vMerge/>
            <w:tcBorders>
              <w:right w:val="thinThickThinSmallGap" w:sz="24" w:space="0" w:color="auto"/>
            </w:tcBorders>
            <w:shd w:val="clear" w:color="auto" w:fill="FFFFFF" w:themeFill="background1"/>
            <w:vAlign w:val="center"/>
          </w:tcPr>
          <w:p w:rsidR="00B6253C" w:rsidRPr="00B32C47" w:rsidRDefault="00B6253C" w:rsidP="00D3300D">
            <w:pPr>
              <w:spacing w:line="240" w:lineRule="exact"/>
              <w:contextualSpacing/>
              <w:jc w:val="center"/>
              <w:rPr>
                <w:color w:val="auto"/>
                <w:sz w:val="20"/>
              </w:rPr>
            </w:pPr>
          </w:p>
        </w:tc>
        <w:tc>
          <w:tcPr>
            <w:tcW w:w="2541" w:type="dxa"/>
            <w:tcBorders>
              <w:left w:val="thinThickThinSmallGap" w:sz="24" w:space="0" w:color="auto"/>
            </w:tcBorders>
            <w:shd w:val="clear" w:color="auto" w:fill="FFFFFF" w:themeFill="background1"/>
            <w:vAlign w:val="center"/>
          </w:tcPr>
          <w:p w:rsidR="00B6253C" w:rsidRPr="00B32C47" w:rsidRDefault="00B6253C" w:rsidP="00D3300D">
            <w:pPr>
              <w:spacing w:line="240" w:lineRule="exact"/>
              <w:contextualSpacing/>
              <w:rPr>
                <w:color w:val="auto"/>
                <w:sz w:val="20"/>
              </w:rPr>
            </w:pPr>
            <w:r w:rsidRPr="00B32C47">
              <w:rPr>
                <w:color w:val="auto"/>
                <w:sz w:val="20"/>
              </w:rPr>
              <w:t>Fracture L Great Toe</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5284</w:t>
            </w:r>
          </w:p>
        </w:tc>
        <w:tc>
          <w:tcPr>
            <w:tcW w:w="810" w:type="dxa"/>
            <w:shd w:val="clear" w:color="auto" w:fill="FFFFFF" w:themeFill="background1"/>
          </w:tcPr>
          <w:p w:rsidR="00B6253C" w:rsidRPr="00B32C47" w:rsidRDefault="00B6253C" w:rsidP="00D3300D">
            <w:pPr>
              <w:spacing w:line="240" w:lineRule="exact"/>
              <w:contextualSpacing/>
              <w:jc w:val="center"/>
              <w:rPr>
                <w:color w:val="auto"/>
                <w:sz w:val="20"/>
              </w:rPr>
            </w:pPr>
            <w:r w:rsidRPr="00B32C47">
              <w:rPr>
                <w:color w:val="auto"/>
                <w:sz w:val="20"/>
              </w:rPr>
              <w:t>10%</w:t>
            </w:r>
          </w:p>
        </w:tc>
        <w:tc>
          <w:tcPr>
            <w:tcW w:w="1170" w:type="dxa"/>
            <w:shd w:val="clear" w:color="auto" w:fill="FFFFFF" w:themeFill="background1"/>
            <w:vAlign w:val="center"/>
          </w:tcPr>
          <w:p w:rsidR="00B6253C" w:rsidRPr="00B32C47" w:rsidRDefault="00B6253C" w:rsidP="00D3300D">
            <w:pPr>
              <w:spacing w:line="240" w:lineRule="exact"/>
              <w:contextualSpacing/>
              <w:jc w:val="center"/>
              <w:rPr>
                <w:color w:val="auto"/>
                <w:sz w:val="20"/>
              </w:rPr>
            </w:pPr>
            <w:r w:rsidRPr="00B32C47">
              <w:rPr>
                <w:color w:val="auto"/>
                <w:sz w:val="20"/>
              </w:rPr>
              <w:t>20070710</w:t>
            </w:r>
          </w:p>
        </w:tc>
      </w:tr>
      <w:tr w:rsidR="00F63B31" w:rsidRPr="00B32C47" w:rsidTr="00D3300D">
        <w:trPr>
          <w:trHeight w:val="267"/>
        </w:trPr>
        <w:tc>
          <w:tcPr>
            <w:tcW w:w="3939" w:type="dxa"/>
            <w:gridSpan w:val="3"/>
            <w:vMerge/>
            <w:tcBorders>
              <w:right w:val="thinThickThinSmallGap" w:sz="24" w:space="0" w:color="auto"/>
            </w:tcBorders>
            <w:shd w:val="clear" w:color="auto" w:fill="FFFFFF" w:themeFill="background1"/>
          </w:tcPr>
          <w:p w:rsidR="00F63B31" w:rsidRPr="00B32C47" w:rsidRDefault="00F63B31" w:rsidP="00D3300D">
            <w:pPr>
              <w:spacing w:line="240" w:lineRule="exact"/>
              <w:contextualSpacing/>
              <w:jc w:val="center"/>
              <w:rPr>
                <w:color w:val="auto"/>
                <w:sz w:val="20"/>
                <w:szCs w:val="20"/>
              </w:rPr>
            </w:pPr>
          </w:p>
        </w:tc>
        <w:tc>
          <w:tcPr>
            <w:tcW w:w="5331" w:type="dxa"/>
            <w:gridSpan w:val="4"/>
            <w:tcBorders>
              <w:left w:val="thinThickThinSmallGap" w:sz="24" w:space="0" w:color="auto"/>
            </w:tcBorders>
            <w:shd w:val="clear" w:color="auto" w:fill="FFFFFF" w:themeFill="background1"/>
            <w:vAlign w:val="center"/>
          </w:tcPr>
          <w:p w:rsidR="00F63B31" w:rsidRPr="00B32C47" w:rsidRDefault="00F63B31" w:rsidP="00D3300D">
            <w:pPr>
              <w:spacing w:line="240" w:lineRule="exact"/>
              <w:contextualSpacing/>
              <w:jc w:val="center"/>
              <w:rPr>
                <w:color w:val="auto"/>
                <w:sz w:val="20"/>
                <w:szCs w:val="20"/>
              </w:rPr>
            </w:pPr>
            <w:r w:rsidRPr="00B32C47">
              <w:rPr>
                <w:rFonts w:cs="Times New Roman"/>
                <w:color w:val="auto"/>
                <w:sz w:val="20"/>
                <w:szCs w:val="20"/>
              </w:rPr>
              <w:t>0% X 0 / Not Service Connected X 3</w:t>
            </w:r>
          </w:p>
        </w:tc>
      </w:tr>
      <w:tr w:rsidR="002B4E22" w:rsidRPr="00B32C47" w:rsidTr="00D3300D">
        <w:trPr>
          <w:trHeight w:val="96"/>
        </w:trPr>
        <w:tc>
          <w:tcPr>
            <w:tcW w:w="3939" w:type="dxa"/>
            <w:gridSpan w:val="3"/>
            <w:tcBorders>
              <w:right w:val="thinThickThinSmallGap" w:sz="24" w:space="0" w:color="auto"/>
            </w:tcBorders>
            <w:shd w:val="clear" w:color="auto" w:fill="D9D9D9" w:themeFill="background1" w:themeFillShade="D9"/>
            <w:vAlign w:val="center"/>
          </w:tcPr>
          <w:p w:rsidR="002B4E22" w:rsidRPr="00B32C47" w:rsidRDefault="002B4E22" w:rsidP="00D3300D">
            <w:pPr>
              <w:spacing w:line="240" w:lineRule="exact"/>
              <w:contextualSpacing/>
              <w:jc w:val="center"/>
              <w:rPr>
                <w:b/>
                <w:color w:val="auto"/>
                <w:sz w:val="20"/>
                <w:szCs w:val="20"/>
              </w:rPr>
            </w:pPr>
            <w:r w:rsidRPr="00B32C47">
              <w:rPr>
                <w:b/>
                <w:color w:val="auto"/>
                <w:sz w:val="20"/>
                <w:szCs w:val="20"/>
              </w:rPr>
              <w:t xml:space="preserve">Final Combined:  </w:t>
            </w:r>
            <w:r w:rsidR="00544999" w:rsidRPr="00B32C47">
              <w:rPr>
                <w:b/>
                <w:color w:val="auto"/>
                <w:sz w:val="20"/>
                <w:szCs w:val="20"/>
              </w:rPr>
              <w:t>1</w:t>
            </w:r>
            <w:r w:rsidRPr="00B32C47">
              <w:rPr>
                <w:b/>
                <w:color w:val="auto"/>
                <w:sz w:val="20"/>
                <w:szCs w:val="20"/>
              </w:rPr>
              <w:t>0%</w:t>
            </w:r>
          </w:p>
        </w:tc>
        <w:tc>
          <w:tcPr>
            <w:tcW w:w="5331" w:type="dxa"/>
            <w:gridSpan w:val="4"/>
            <w:tcBorders>
              <w:left w:val="thinThickThinSmallGap" w:sz="24" w:space="0" w:color="auto"/>
            </w:tcBorders>
            <w:shd w:val="clear" w:color="auto" w:fill="D9D9D9" w:themeFill="background1" w:themeFillShade="D9"/>
            <w:vAlign w:val="center"/>
          </w:tcPr>
          <w:p w:rsidR="002B4E22" w:rsidRPr="00B32C47" w:rsidRDefault="007A2346" w:rsidP="00D3300D">
            <w:pPr>
              <w:spacing w:line="240" w:lineRule="exact"/>
              <w:contextualSpacing/>
              <w:jc w:val="center"/>
              <w:rPr>
                <w:b/>
                <w:color w:val="auto"/>
                <w:sz w:val="20"/>
                <w:szCs w:val="20"/>
              </w:rPr>
            </w:pPr>
            <w:r w:rsidRPr="00B32C47">
              <w:rPr>
                <w:b/>
                <w:color w:val="auto"/>
                <w:sz w:val="20"/>
                <w:szCs w:val="20"/>
              </w:rPr>
              <w:t xml:space="preserve">Total Combined: </w:t>
            </w:r>
            <w:r w:rsidR="00C14BD4" w:rsidRPr="00B32C47">
              <w:rPr>
                <w:b/>
                <w:color w:val="auto"/>
                <w:sz w:val="20"/>
                <w:szCs w:val="20"/>
              </w:rPr>
              <w:t xml:space="preserve"> </w:t>
            </w:r>
            <w:r w:rsidR="00680EBA" w:rsidRPr="00B32C47">
              <w:rPr>
                <w:b/>
                <w:color w:val="auto"/>
                <w:sz w:val="20"/>
                <w:szCs w:val="20"/>
              </w:rPr>
              <w:t>6</w:t>
            </w:r>
            <w:r w:rsidRPr="00B32C47">
              <w:rPr>
                <w:b/>
                <w:color w:val="auto"/>
                <w:sz w:val="20"/>
                <w:szCs w:val="20"/>
              </w:rPr>
              <w:t>0%</w:t>
            </w:r>
          </w:p>
        </w:tc>
      </w:tr>
    </w:tbl>
    <w:p w:rsidR="007F0AB7" w:rsidRPr="00B32C47" w:rsidRDefault="0041604B" w:rsidP="007F0AB7">
      <w:pPr>
        <w:tabs>
          <w:tab w:val="left" w:pos="288"/>
          <w:tab w:val="left" w:pos="4752"/>
        </w:tabs>
        <w:spacing w:line="240" w:lineRule="exact"/>
        <w:jc w:val="both"/>
        <w:rPr>
          <w:rFonts w:asciiTheme="minorHAnsi" w:hAnsiTheme="minorHAnsi"/>
          <w:color w:val="auto"/>
          <w:u w:val="single"/>
        </w:rPr>
      </w:pPr>
      <w:r w:rsidRPr="00B32C47">
        <w:rPr>
          <w:rFonts w:asciiTheme="minorHAnsi" w:hAnsiTheme="minorHAnsi"/>
          <w:color w:val="auto"/>
          <w:u w:val="single"/>
        </w:rPr>
        <w:t>___________________________________________________________________________</w:t>
      </w:r>
    </w:p>
    <w:p w:rsidR="008724C7" w:rsidRPr="00B32C47" w:rsidRDefault="008724C7" w:rsidP="007F0AB7">
      <w:pPr>
        <w:tabs>
          <w:tab w:val="left" w:pos="288"/>
          <w:tab w:val="left" w:pos="4752"/>
        </w:tabs>
        <w:spacing w:line="240" w:lineRule="exact"/>
        <w:jc w:val="both"/>
        <w:rPr>
          <w:rFonts w:asciiTheme="minorHAnsi" w:hAnsiTheme="minorHAnsi"/>
          <w:color w:val="auto"/>
          <w:szCs w:val="24"/>
          <w:u w:val="single"/>
        </w:rPr>
      </w:pPr>
    </w:p>
    <w:p w:rsidR="008724C7" w:rsidRDefault="002C6E5B" w:rsidP="00B77CD9">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r w:rsidR="00C276CD">
        <w:rPr>
          <w:rFonts w:asciiTheme="minorHAnsi" w:hAnsiTheme="minorHAnsi"/>
          <w:color w:val="auto"/>
          <w:szCs w:val="24"/>
        </w:rPr>
        <w:t xml:space="preserve">  </w:t>
      </w:r>
      <w:r w:rsidR="008724C7" w:rsidRPr="008724C7">
        <w:rPr>
          <w:rFonts w:asciiTheme="minorHAnsi" w:hAnsiTheme="minorHAnsi"/>
          <w:color w:val="auto"/>
          <w:szCs w:val="24"/>
        </w:rPr>
        <w:t xml:space="preserve">The Board acknowledges the sentiment expressed in the CI’s application regarding the significant impact that his service-incurred conditions have had on his quality of life.  However, the </w:t>
      </w:r>
      <w:r w:rsidR="00D3300D">
        <w:rPr>
          <w:rFonts w:asciiTheme="minorHAnsi" w:hAnsiTheme="minorHAnsi"/>
          <w:color w:val="auto"/>
          <w:szCs w:val="24"/>
        </w:rPr>
        <w:t>m</w:t>
      </w:r>
      <w:r w:rsidR="008724C7" w:rsidRPr="008724C7">
        <w:rPr>
          <w:rFonts w:asciiTheme="minorHAnsi" w:hAnsiTheme="minorHAnsi"/>
          <w:color w:val="auto"/>
          <w:szCs w:val="24"/>
        </w:rPr>
        <w:t xml:space="preserve">ilitary </w:t>
      </w:r>
      <w:r w:rsidR="00D3300D">
        <w:rPr>
          <w:rFonts w:asciiTheme="minorHAnsi" w:hAnsiTheme="minorHAnsi"/>
          <w:color w:val="auto"/>
          <w:szCs w:val="24"/>
        </w:rPr>
        <w:t>s</w:t>
      </w:r>
      <w:r w:rsidR="008724C7" w:rsidRPr="008724C7">
        <w:rPr>
          <w:rFonts w:asciiTheme="minorHAnsi" w:hAnsiTheme="minorHAnsi"/>
          <w:color w:val="auto"/>
          <w:szCs w:val="24"/>
        </w:rPr>
        <w:t>ervices, by law, can only rate and compensate for those conditions that were found unfitting for continued military service based on the severity of the condition at the time of separation and not based on possible future changes.  The VA</w:t>
      </w:r>
      <w:r w:rsidR="00D3300D">
        <w:rPr>
          <w:rFonts w:asciiTheme="minorHAnsi" w:hAnsiTheme="minorHAnsi"/>
          <w:color w:val="auto"/>
          <w:szCs w:val="24"/>
        </w:rPr>
        <w:t>,</w:t>
      </w:r>
      <w:r w:rsidR="008724C7" w:rsidRPr="008724C7">
        <w:rPr>
          <w:rFonts w:asciiTheme="minorHAnsi" w:hAnsiTheme="minorHAnsi"/>
          <w:color w:val="auto"/>
          <w:szCs w:val="24"/>
        </w:rPr>
        <w:t xml:space="preserve"> however</w:t>
      </w:r>
      <w:r w:rsidR="00D3300D">
        <w:rPr>
          <w:rFonts w:asciiTheme="minorHAnsi" w:hAnsiTheme="minorHAnsi"/>
          <w:color w:val="auto"/>
          <w:szCs w:val="24"/>
        </w:rPr>
        <w:t>,</w:t>
      </w:r>
      <w:r w:rsidR="008724C7" w:rsidRPr="008724C7">
        <w:rPr>
          <w:rFonts w:asciiTheme="minorHAnsi" w:hAnsiTheme="minorHAnsi"/>
          <w:color w:val="auto"/>
          <w:szCs w:val="24"/>
        </w:rPr>
        <w:t xml:space="preserve"> can rate and compensate all service connected conditions without regard to their impact on performance of military duties, including conditions developing after separation that are direct complications of a service connected condition.  The VA can also increase or decrease ratings based on the changing severity of each condition over time.  The Board’s role is confined to the review of medical records and all evidence at hand to assess the fairness of PEB rating determinations compared to VASRD standards, as well as the fairness of PEB fitness adjudications.  The Board’s threshold for countering DES fitness determinations is higher than the VASRD §4.3 reasonable doubt standard used for its rating recommendations but remains adherent to the DoDI 6040.44 “fair and equitable” standard.  </w:t>
      </w:r>
    </w:p>
    <w:p w:rsidR="00196A11" w:rsidRDefault="00196A11" w:rsidP="00630690">
      <w:pPr>
        <w:spacing w:line="240" w:lineRule="exact"/>
        <w:jc w:val="both"/>
        <w:rPr>
          <w:rFonts w:asciiTheme="minorHAnsi" w:hAnsiTheme="minorHAnsi"/>
          <w:color w:val="auto"/>
          <w:szCs w:val="24"/>
          <w:u w:val="single"/>
        </w:rPr>
      </w:pPr>
    </w:p>
    <w:p w:rsidR="00127D7F" w:rsidRDefault="00127D7F" w:rsidP="00630690">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t>Bipolar Disorder</w:t>
      </w:r>
      <w:r w:rsidR="00FB108D">
        <w:rPr>
          <w:rFonts w:asciiTheme="minorHAnsi" w:hAnsiTheme="minorHAnsi"/>
          <w:color w:val="auto"/>
          <w:szCs w:val="24"/>
          <w:u w:val="single"/>
        </w:rPr>
        <w:t>.</w:t>
      </w:r>
      <w:proofErr w:type="gramEnd"/>
      <w:r w:rsidR="00645D3E" w:rsidRPr="00390270">
        <w:rPr>
          <w:rFonts w:asciiTheme="minorHAnsi" w:hAnsiTheme="minorHAnsi"/>
          <w:color w:val="auto"/>
          <w:szCs w:val="24"/>
        </w:rPr>
        <w:t xml:space="preserve">  </w:t>
      </w:r>
      <w:r w:rsidR="00390270">
        <w:rPr>
          <w:rFonts w:asciiTheme="minorHAnsi" w:hAnsiTheme="minorHAnsi"/>
          <w:color w:val="auto"/>
          <w:szCs w:val="24"/>
        </w:rPr>
        <w:t xml:space="preserve">The </w:t>
      </w:r>
      <w:r w:rsidRPr="00A06C5D">
        <w:rPr>
          <w:rFonts w:asciiTheme="minorHAnsi" w:hAnsiTheme="minorHAnsi"/>
          <w:color w:val="auto"/>
          <w:szCs w:val="24"/>
        </w:rPr>
        <w:t xml:space="preserve">CI </w:t>
      </w:r>
      <w:r>
        <w:rPr>
          <w:rFonts w:asciiTheme="minorHAnsi" w:hAnsiTheme="minorHAnsi"/>
          <w:color w:val="auto"/>
          <w:szCs w:val="24"/>
        </w:rPr>
        <w:t xml:space="preserve">experienced onset of symptoms in late 2003 to early 2004 </w:t>
      </w:r>
      <w:r w:rsidRPr="00A06C5D">
        <w:rPr>
          <w:rFonts w:asciiTheme="minorHAnsi" w:hAnsiTheme="minorHAnsi"/>
          <w:color w:val="auto"/>
          <w:szCs w:val="24"/>
        </w:rPr>
        <w:t xml:space="preserve">diagnosed </w:t>
      </w:r>
      <w:r>
        <w:rPr>
          <w:rFonts w:asciiTheme="minorHAnsi" w:hAnsiTheme="minorHAnsi"/>
          <w:color w:val="auto"/>
          <w:szCs w:val="24"/>
        </w:rPr>
        <w:t xml:space="preserve">as </w:t>
      </w:r>
      <w:r w:rsidRPr="00A06C5D">
        <w:rPr>
          <w:rFonts w:asciiTheme="minorHAnsi" w:hAnsiTheme="minorHAnsi"/>
          <w:color w:val="auto"/>
          <w:szCs w:val="24"/>
        </w:rPr>
        <w:t>bipolar II disorder while in inactive status</w:t>
      </w:r>
      <w:r>
        <w:rPr>
          <w:rFonts w:asciiTheme="minorHAnsi" w:hAnsiTheme="minorHAnsi"/>
          <w:color w:val="auto"/>
          <w:szCs w:val="24"/>
        </w:rPr>
        <w:t xml:space="preserve"> between periods of active duty (</w:t>
      </w:r>
      <w:r w:rsidR="00FB108D">
        <w:rPr>
          <w:rFonts w:asciiTheme="minorHAnsi" w:hAnsiTheme="minorHAnsi"/>
          <w:color w:val="auto"/>
          <w:szCs w:val="24"/>
        </w:rPr>
        <w:t xml:space="preserve">per </w:t>
      </w:r>
      <w:r>
        <w:rPr>
          <w:rFonts w:asciiTheme="minorHAnsi" w:hAnsiTheme="minorHAnsi"/>
          <w:color w:val="auto"/>
          <w:szCs w:val="24"/>
        </w:rPr>
        <w:t xml:space="preserve">DD </w:t>
      </w:r>
      <w:r w:rsidR="00FB108D">
        <w:rPr>
          <w:rFonts w:asciiTheme="minorHAnsi" w:hAnsiTheme="minorHAnsi"/>
          <w:color w:val="auto"/>
          <w:szCs w:val="24"/>
        </w:rPr>
        <w:t xml:space="preserve">Form </w:t>
      </w:r>
      <w:r>
        <w:rPr>
          <w:rFonts w:asciiTheme="minorHAnsi" w:hAnsiTheme="minorHAnsi"/>
          <w:color w:val="auto"/>
          <w:szCs w:val="24"/>
        </w:rPr>
        <w:t>214 and Reserve Annual Retirement Credit Record).  However, the mental health clinic encounter dated</w:t>
      </w:r>
      <w:r w:rsidR="00AB1094">
        <w:rPr>
          <w:rFonts w:asciiTheme="minorHAnsi" w:hAnsiTheme="minorHAnsi"/>
          <w:color w:val="auto"/>
          <w:szCs w:val="24"/>
        </w:rPr>
        <w:t xml:space="preserve"> </w:t>
      </w:r>
      <w:r>
        <w:rPr>
          <w:rFonts w:asciiTheme="minorHAnsi" w:hAnsiTheme="minorHAnsi"/>
          <w:color w:val="auto"/>
          <w:szCs w:val="24"/>
        </w:rPr>
        <w:t xml:space="preserve">September </w:t>
      </w:r>
      <w:r w:rsidR="00AB1094">
        <w:rPr>
          <w:rFonts w:asciiTheme="minorHAnsi" w:hAnsiTheme="minorHAnsi"/>
          <w:color w:val="auto"/>
          <w:szCs w:val="24"/>
        </w:rPr>
        <w:t xml:space="preserve">22, </w:t>
      </w:r>
      <w:r>
        <w:rPr>
          <w:rFonts w:asciiTheme="minorHAnsi" w:hAnsiTheme="minorHAnsi"/>
          <w:color w:val="auto"/>
          <w:szCs w:val="24"/>
        </w:rPr>
        <w:t>2006 stated active duty E-3 USMC “with 4 years of CAD</w:t>
      </w:r>
      <w:r w:rsidR="00FB108D">
        <w:rPr>
          <w:rFonts w:asciiTheme="minorHAnsi" w:hAnsiTheme="minorHAnsi"/>
          <w:color w:val="auto"/>
          <w:szCs w:val="24"/>
        </w:rPr>
        <w:t>,</w:t>
      </w:r>
      <w:r>
        <w:rPr>
          <w:rFonts w:asciiTheme="minorHAnsi" w:hAnsiTheme="minorHAnsi"/>
          <w:color w:val="auto"/>
          <w:szCs w:val="24"/>
        </w:rPr>
        <w:t xml:space="preserve">” </w:t>
      </w:r>
      <w:r w:rsidR="00390270">
        <w:rPr>
          <w:rFonts w:asciiTheme="minorHAnsi" w:hAnsiTheme="minorHAnsi"/>
          <w:color w:val="auto"/>
          <w:szCs w:val="24"/>
        </w:rPr>
        <w:t xml:space="preserve">indicating </w:t>
      </w:r>
      <w:r>
        <w:rPr>
          <w:rFonts w:asciiTheme="minorHAnsi" w:hAnsiTheme="minorHAnsi"/>
          <w:color w:val="auto"/>
          <w:szCs w:val="24"/>
        </w:rPr>
        <w:t xml:space="preserve">continuous active duty, which was not the case.  While this fact was lost during the military disability processing, the VA noted this and </w:t>
      </w:r>
      <w:r w:rsidR="0001374B">
        <w:rPr>
          <w:rFonts w:asciiTheme="minorHAnsi" w:hAnsiTheme="minorHAnsi"/>
          <w:color w:val="auto"/>
          <w:szCs w:val="24"/>
        </w:rPr>
        <w:t xml:space="preserve">did </w:t>
      </w:r>
      <w:r>
        <w:rPr>
          <w:rFonts w:asciiTheme="minorHAnsi" w:hAnsiTheme="minorHAnsi"/>
          <w:color w:val="auto"/>
          <w:szCs w:val="24"/>
        </w:rPr>
        <w:t xml:space="preserve">not grant service connection for bipolar disorder.  At the time of the MEB psychiatry NARSUM, five months before separation, the CI’s bipolar disorder was in full remission on medication.  The CI was “essentially symptom free…and doing well.”  </w:t>
      </w:r>
      <w:r w:rsidR="00FB108D">
        <w:rPr>
          <w:rFonts w:asciiTheme="minorHAnsi" w:hAnsiTheme="minorHAnsi"/>
          <w:color w:val="auto"/>
          <w:szCs w:val="24"/>
        </w:rPr>
        <w:t>His m</w:t>
      </w:r>
      <w:r>
        <w:rPr>
          <w:rFonts w:asciiTheme="minorHAnsi" w:hAnsiTheme="minorHAnsi"/>
          <w:color w:val="auto"/>
          <w:szCs w:val="24"/>
        </w:rPr>
        <w:t xml:space="preserve">ental status examination was normal including mood, affect, thought processes, cognition, memory, judgment, and insight.  There was no suicidal ideation.  At the time of a psychiatry compensation and pension (C&amp;P) examination </w:t>
      </w:r>
      <w:r w:rsidR="00FB108D">
        <w:rPr>
          <w:rFonts w:asciiTheme="minorHAnsi" w:hAnsiTheme="minorHAnsi"/>
          <w:color w:val="auto"/>
          <w:szCs w:val="24"/>
        </w:rPr>
        <w:t>five</w:t>
      </w:r>
      <w:r>
        <w:rPr>
          <w:rFonts w:asciiTheme="minorHAnsi" w:hAnsiTheme="minorHAnsi"/>
          <w:color w:val="auto"/>
          <w:szCs w:val="24"/>
        </w:rPr>
        <w:t xml:space="preserve"> months after separation, the clinical history of onset in late 2003 was recorded.</w:t>
      </w:r>
      <w:r w:rsidR="0001374B">
        <w:rPr>
          <w:rFonts w:asciiTheme="minorHAnsi" w:hAnsiTheme="minorHAnsi"/>
          <w:color w:val="auto"/>
          <w:szCs w:val="24"/>
        </w:rPr>
        <w:t xml:space="preserve">  At the time of C&amp;P examination </w:t>
      </w:r>
      <w:r w:rsidR="0001374B" w:rsidRPr="00196A11">
        <w:rPr>
          <w:rFonts w:asciiTheme="minorHAnsi" w:hAnsiTheme="minorHAnsi"/>
          <w:color w:val="auto"/>
          <w:szCs w:val="24"/>
        </w:rPr>
        <w:t>t</w:t>
      </w:r>
      <w:r w:rsidRPr="00196A11">
        <w:rPr>
          <w:rFonts w:asciiTheme="minorHAnsi" w:hAnsiTheme="minorHAnsi"/>
          <w:color w:val="auto"/>
          <w:szCs w:val="24"/>
        </w:rPr>
        <w:t xml:space="preserve">he CI was having symptoms but he had </w:t>
      </w:r>
      <w:r w:rsidR="0001374B" w:rsidRPr="00196A11">
        <w:rPr>
          <w:rFonts w:asciiTheme="minorHAnsi" w:hAnsiTheme="minorHAnsi"/>
          <w:color w:val="auto"/>
          <w:szCs w:val="24"/>
        </w:rPr>
        <w:t xml:space="preserve">stopped </w:t>
      </w:r>
      <w:r w:rsidRPr="00196A11">
        <w:rPr>
          <w:rFonts w:asciiTheme="minorHAnsi" w:hAnsiTheme="minorHAnsi"/>
          <w:color w:val="auto"/>
          <w:szCs w:val="24"/>
        </w:rPr>
        <w:t>taking medications</w:t>
      </w:r>
      <w:r>
        <w:rPr>
          <w:rFonts w:asciiTheme="minorHAnsi" w:hAnsiTheme="minorHAnsi"/>
          <w:color w:val="auto"/>
          <w:szCs w:val="24"/>
        </w:rPr>
        <w:t xml:space="preserve"> since separation from the military.  The psychiatrist noted the most recent episode was </w:t>
      </w:r>
      <w:r w:rsidRPr="00196A11">
        <w:rPr>
          <w:rFonts w:asciiTheme="minorHAnsi" w:hAnsiTheme="minorHAnsi"/>
          <w:color w:val="auto"/>
          <w:szCs w:val="24"/>
        </w:rPr>
        <w:t>depressed and mild without psychotic features</w:t>
      </w:r>
      <w:r>
        <w:rPr>
          <w:rFonts w:asciiTheme="minorHAnsi" w:hAnsiTheme="minorHAnsi"/>
          <w:color w:val="auto"/>
          <w:szCs w:val="24"/>
        </w:rPr>
        <w:t>.  The psychiatrist opined that the bipolar disorder was “l</w:t>
      </w:r>
      <w:r w:rsidRPr="00127D7F">
        <w:rPr>
          <w:rFonts w:asciiTheme="minorHAnsi" w:hAnsiTheme="minorHAnsi"/>
          <w:color w:val="auto"/>
          <w:szCs w:val="24"/>
        </w:rPr>
        <w:t>ess than likely related to his military service</w:t>
      </w:r>
      <w:r w:rsidR="00FB108D">
        <w:rPr>
          <w:rFonts w:asciiTheme="minorHAnsi" w:hAnsiTheme="minorHAnsi"/>
          <w:color w:val="auto"/>
          <w:szCs w:val="24"/>
        </w:rPr>
        <w:t>.</w:t>
      </w:r>
      <w:r w:rsidRPr="00127D7F">
        <w:rPr>
          <w:rFonts w:asciiTheme="minorHAnsi" w:hAnsiTheme="minorHAnsi"/>
          <w:color w:val="auto"/>
          <w:szCs w:val="24"/>
        </w:rPr>
        <w:t>"</w:t>
      </w:r>
      <w:r w:rsidR="00196A11">
        <w:rPr>
          <w:rFonts w:asciiTheme="minorHAnsi" w:hAnsiTheme="minorHAnsi"/>
          <w:color w:val="auto"/>
          <w:szCs w:val="24"/>
        </w:rPr>
        <w:t xml:space="preserve">  </w:t>
      </w:r>
      <w:r w:rsidR="000623EF">
        <w:rPr>
          <w:rFonts w:asciiTheme="minorHAnsi" w:hAnsiTheme="minorHAnsi"/>
          <w:color w:val="auto"/>
          <w:szCs w:val="24"/>
        </w:rPr>
        <w:t xml:space="preserve">There is no indication that the CI’s </w:t>
      </w:r>
      <w:r w:rsidR="000623EF" w:rsidRPr="000623EF">
        <w:rPr>
          <w:rFonts w:asciiTheme="minorHAnsi" w:hAnsiTheme="minorHAnsi"/>
          <w:color w:val="auto"/>
          <w:szCs w:val="24"/>
        </w:rPr>
        <w:t>mental disorder develop</w:t>
      </w:r>
      <w:r w:rsidR="000623EF">
        <w:rPr>
          <w:rFonts w:asciiTheme="minorHAnsi" w:hAnsiTheme="minorHAnsi"/>
          <w:color w:val="auto"/>
          <w:szCs w:val="24"/>
        </w:rPr>
        <w:t>ed</w:t>
      </w:r>
      <w:r w:rsidR="000623EF" w:rsidRPr="000623EF">
        <w:rPr>
          <w:rFonts w:asciiTheme="minorHAnsi" w:hAnsiTheme="minorHAnsi"/>
          <w:color w:val="auto"/>
          <w:szCs w:val="24"/>
        </w:rPr>
        <w:t xml:space="preserve"> as a result of a highly stressful event</w:t>
      </w:r>
      <w:r w:rsidR="000623EF">
        <w:rPr>
          <w:rFonts w:asciiTheme="minorHAnsi" w:hAnsiTheme="minorHAnsi"/>
          <w:color w:val="auto"/>
          <w:szCs w:val="24"/>
        </w:rPr>
        <w:t xml:space="preserve"> and the provisions of VASRD §4.129 are not applicable.  </w:t>
      </w:r>
      <w:r>
        <w:rPr>
          <w:rFonts w:asciiTheme="minorHAnsi" w:hAnsiTheme="minorHAnsi"/>
          <w:color w:val="auto"/>
          <w:szCs w:val="24"/>
        </w:rPr>
        <w:t>While it appears that the PEB made an error with regard to service connection</w:t>
      </w:r>
      <w:r w:rsidR="00B32C47">
        <w:rPr>
          <w:rFonts w:asciiTheme="minorHAnsi" w:hAnsiTheme="minorHAnsi"/>
          <w:color w:val="auto"/>
          <w:szCs w:val="24"/>
        </w:rPr>
        <w:t xml:space="preserve"> (</w:t>
      </w:r>
      <w:r w:rsidR="00B32C47" w:rsidRPr="00196A11">
        <w:rPr>
          <w:rFonts w:asciiTheme="minorHAnsi" w:hAnsiTheme="minorHAnsi"/>
          <w:color w:val="auto"/>
          <w:szCs w:val="24"/>
        </w:rPr>
        <w:t>in favor of the CI</w:t>
      </w:r>
      <w:r w:rsidR="00B32C47">
        <w:rPr>
          <w:rFonts w:asciiTheme="minorHAnsi" w:hAnsiTheme="minorHAnsi"/>
          <w:color w:val="auto"/>
          <w:szCs w:val="24"/>
        </w:rPr>
        <w:t>)</w:t>
      </w:r>
      <w:r>
        <w:rPr>
          <w:rFonts w:asciiTheme="minorHAnsi" w:hAnsiTheme="minorHAnsi"/>
          <w:color w:val="auto"/>
          <w:szCs w:val="24"/>
        </w:rPr>
        <w:t>, the Board does not have the authority to change the PEB</w:t>
      </w:r>
      <w:r w:rsidR="00FB108D">
        <w:rPr>
          <w:rFonts w:asciiTheme="minorHAnsi" w:hAnsiTheme="minorHAnsi"/>
          <w:color w:val="auto"/>
          <w:szCs w:val="24"/>
        </w:rPr>
        <w:t>’</w:t>
      </w:r>
      <w:r>
        <w:rPr>
          <w:rFonts w:asciiTheme="minorHAnsi" w:hAnsiTheme="minorHAnsi"/>
          <w:color w:val="auto"/>
          <w:szCs w:val="24"/>
        </w:rPr>
        <w:t>s finding of service incurred</w:t>
      </w:r>
      <w:r w:rsidR="0001374B">
        <w:rPr>
          <w:rFonts w:asciiTheme="minorHAnsi" w:hAnsiTheme="minorHAnsi"/>
          <w:color w:val="auto"/>
          <w:szCs w:val="24"/>
        </w:rPr>
        <w:t xml:space="preserve"> or aggravated</w:t>
      </w:r>
      <w:r>
        <w:rPr>
          <w:rFonts w:asciiTheme="minorHAnsi" w:hAnsiTheme="minorHAnsi"/>
          <w:color w:val="auto"/>
          <w:szCs w:val="24"/>
        </w:rPr>
        <w:t xml:space="preserve">, unfit or </w:t>
      </w:r>
      <w:r w:rsidR="00A9735C">
        <w:rPr>
          <w:rFonts w:asciiTheme="minorHAnsi" w:hAnsiTheme="minorHAnsi"/>
          <w:color w:val="auto"/>
          <w:szCs w:val="24"/>
        </w:rPr>
        <w:t xml:space="preserve">to </w:t>
      </w:r>
      <w:r>
        <w:rPr>
          <w:rFonts w:asciiTheme="minorHAnsi" w:hAnsiTheme="minorHAnsi"/>
          <w:color w:val="auto"/>
          <w:szCs w:val="24"/>
        </w:rPr>
        <w:t xml:space="preserve">reduce the rating.  The Board agreed with the rating adjudicated by the PEB, 10% for mild symptoms or symptoms controlled by medications. </w:t>
      </w:r>
    </w:p>
    <w:p w:rsidR="00645D3E" w:rsidRDefault="00127D7F" w:rsidP="00630690">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Bilateral hip osteoarthritis</w:t>
      </w:r>
      <w:r w:rsidR="00FB108D">
        <w:rPr>
          <w:rFonts w:asciiTheme="minorHAnsi" w:hAnsiTheme="minorHAnsi"/>
          <w:color w:val="auto"/>
          <w:szCs w:val="24"/>
          <w:u w:val="single"/>
        </w:rPr>
        <w:t>.</w:t>
      </w:r>
      <w:proofErr w:type="gramEnd"/>
      <w:r w:rsidR="00645D3E">
        <w:rPr>
          <w:rFonts w:asciiTheme="minorHAnsi" w:hAnsiTheme="minorHAnsi"/>
          <w:color w:val="auto"/>
          <w:szCs w:val="24"/>
        </w:rPr>
        <w:t xml:space="preserve">  </w:t>
      </w:r>
      <w:r w:rsidRPr="00127D7F">
        <w:rPr>
          <w:rFonts w:asciiTheme="minorHAnsi" w:hAnsiTheme="minorHAnsi"/>
          <w:color w:val="auto"/>
          <w:szCs w:val="24"/>
        </w:rPr>
        <w:t xml:space="preserve">The PEB determined the CI’s hip condition </w:t>
      </w:r>
      <w:r>
        <w:rPr>
          <w:rFonts w:asciiTheme="minorHAnsi" w:hAnsiTheme="minorHAnsi"/>
          <w:color w:val="auto"/>
          <w:szCs w:val="24"/>
        </w:rPr>
        <w:t xml:space="preserve">existed prior to service and </w:t>
      </w:r>
      <w:r w:rsidRPr="00127D7F">
        <w:rPr>
          <w:rFonts w:asciiTheme="minorHAnsi" w:hAnsiTheme="minorHAnsi"/>
          <w:color w:val="auto"/>
          <w:szCs w:val="24"/>
        </w:rPr>
        <w:t xml:space="preserve">was </w:t>
      </w:r>
      <w:r>
        <w:rPr>
          <w:rFonts w:asciiTheme="minorHAnsi" w:hAnsiTheme="minorHAnsi"/>
          <w:color w:val="auto"/>
          <w:szCs w:val="24"/>
        </w:rPr>
        <w:t xml:space="preserve">not permanently aggravated by service beyond the natural progression of the disease.  There was no injury in service of sufficient magnitude to result in degenerative joint disease in both hips of this severity </w:t>
      </w:r>
      <w:r w:rsidR="000E6308">
        <w:rPr>
          <w:rFonts w:asciiTheme="minorHAnsi" w:hAnsiTheme="minorHAnsi"/>
          <w:color w:val="auto"/>
          <w:szCs w:val="24"/>
        </w:rPr>
        <w:t>and advanced stage with</w:t>
      </w:r>
      <w:r>
        <w:rPr>
          <w:rFonts w:asciiTheme="minorHAnsi" w:hAnsiTheme="minorHAnsi"/>
          <w:color w:val="auto"/>
          <w:szCs w:val="24"/>
        </w:rPr>
        <w:t>in the few years under consideration.</w:t>
      </w:r>
      <w:r w:rsidR="000E6308">
        <w:rPr>
          <w:rFonts w:asciiTheme="minorHAnsi" w:hAnsiTheme="minorHAnsi"/>
          <w:color w:val="auto"/>
          <w:szCs w:val="24"/>
        </w:rPr>
        <w:t xml:space="preserve">  </w:t>
      </w:r>
      <w:r>
        <w:rPr>
          <w:rFonts w:asciiTheme="minorHAnsi" w:hAnsiTheme="minorHAnsi"/>
          <w:color w:val="auto"/>
          <w:szCs w:val="24"/>
        </w:rPr>
        <w:t xml:space="preserve">Treating orthopedic surgeons opined that the condition was likely the result of a childhood developmental defect, slipped femoral capital epiphysis.  </w:t>
      </w:r>
      <w:r w:rsidRPr="00196A11">
        <w:rPr>
          <w:rFonts w:asciiTheme="minorHAnsi" w:hAnsiTheme="minorHAnsi"/>
          <w:color w:val="auto"/>
          <w:szCs w:val="24"/>
        </w:rPr>
        <w:t xml:space="preserve">While the VA cited the October 2001 enlistment examination as showing no evidence of hip disease in its decision to grant service connection, </w:t>
      </w:r>
      <w:r w:rsidR="00DD72C6" w:rsidRPr="00196A11">
        <w:rPr>
          <w:rFonts w:asciiTheme="minorHAnsi" w:hAnsiTheme="minorHAnsi"/>
          <w:color w:val="auto"/>
          <w:szCs w:val="24"/>
        </w:rPr>
        <w:t xml:space="preserve">accepted medical principles and </w:t>
      </w:r>
      <w:r w:rsidRPr="00196A11">
        <w:rPr>
          <w:rFonts w:asciiTheme="minorHAnsi" w:hAnsiTheme="minorHAnsi"/>
          <w:color w:val="auto"/>
          <w:szCs w:val="24"/>
        </w:rPr>
        <w:t>service medical documentation</w:t>
      </w:r>
      <w:r w:rsidR="00DD72C6" w:rsidRPr="00196A11">
        <w:rPr>
          <w:rFonts w:asciiTheme="minorHAnsi" w:hAnsiTheme="minorHAnsi"/>
          <w:color w:val="auto"/>
          <w:szCs w:val="24"/>
        </w:rPr>
        <w:t xml:space="preserve"> does not support that conclusion.</w:t>
      </w:r>
      <w:r w:rsidR="00DD72C6">
        <w:rPr>
          <w:rFonts w:asciiTheme="minorHAnsi" w:hAnsiTheme="minorHAnsi"/>
          <w:color w:val="auto"/>
          <w:szCs w:val="24"/>
        </w:rPr>
        <w:t xml:space="preserve">  The CI first entered active duty on January </w:t>
      </w:r>
      <w:r w:rsidR="00AB1094">
        <w:rPr>
          <w:rFonts w:asciiTheme="minorHAnsi" w:hAnsiTheme="minorHAnsi"/>
          <w:color w:val="auto"/>
          <w:szCs w:val="24"/>
        </w:rPr>
        <w:t xml:space="preserve">28, </w:t>
      </w:r>
      <w:r w:rsidR="00DD72C6">
        <w:rPr>
          <w:rFonts w:asciiTheme="minorHAnsi" w:hAnsiTheme="minorHAnsi"/>
          <w:color w:val="auto"/>
          <w:szCs w:val="24"/>
        </w:rPr>
        <w:t>2002.</w:t>
      </w:r>
      <w:r w:rsidR="006533B5">
        <w:rPr>
          <w:rFonts w:asciiTheme="minorHAnsi" w:hAnsiTheme="minorHAnsi"/>
          <w:color w:val="auto"/>
          <w:szCs w:val="24"/>
        </w:rPr>
        <w:t xml:space="preserve">  </w:t>
      </w:r>
      <w:r w:rsidR="00DD72C6">
        <w:rPr>
          <w:rFonts w:asciiTheme="minorHAnsi" w:hAnsiTheme="minorHAnsi"/>
          <w:color w:val="auto"/>
          <w:szCs w:val="24"/>
        </w:rPr>
        <w:t xml:space="preserve">He presented for </w:t>
      </w:r>
      <w:r w:rsidR="006533B5">
        <w:rPr>
          <w:rFonts w:asciiTheme="minorHAnsi" w:hAnsiTheme="minorHAnsi"/>
          <w:color w:val="auto"/>
          <w:szCs w:val="24"/>
        </w:rPr>
        <w:t xml:space="preserve">care of </w:t>
      </w:r>
      <w:r w:rsidR="00DD72C6" w:rsidRPr="00196A11">
        <w:rPr>
          <w:rFonts w:asciiTheme="minorHAnsi" w:hAnsiTheme="minorHAnsi"/>
          <w:color w:val="auto"/>
          <w:szCs w:val="24"/>
        </w:rPr>
        <w:t>hip and leg pain 11 days later</w:t>
      </w:r>
      <w:r w:rsidR="00DD72C6">
        <w:rPr>
          <w:rFonts w:asciiTheme="minorHAnsi" w:hAnsiTheme="minorHAnsi"/>
          <w:color w:val="auto"/>
          <w:szCs w:val="24"/>
        </w:rPr>
        <w:t xml:space="preserve"> </w:t>
      </w:r>
      <w:r w:rsidR="006533B5">
        <w:rPr>
          <w:rFonts w:asciiTheme="minorHAnsi" w:hAnsiTheme="minorHAnsi"/>
          <w:color w:val="auto"/>
          <w:szCs w:val="24"/>
        </w:rPr>
        <w:t xml:space="preserve">on </w:t>
      </w:r>
      <w:r w:rsidR="00DD72C6">
        <w:rPr>
          <w:rFonts w:asciiTheme="minorHAnsi" w:hAnsiTheme="minorHAnsi"/>
          <w:color w:val="auto"/>
          <w:szCs w:val="24"/>
        </w:rPr>
        <w:t>February</w:t>
      </w:r>
      <w:r w:rsidR="00F37B72">
        <w:rPr>
          <w:rFonts w:asciiTheme="minorHAnsi" w:hAnsiTheme="minorHAnsi"/>
          <w:color w:val="auto"/>
          <w:szCs w:val="24"/>
        </w:rPr>
        <w:t xml:space="preserve"> 9</w:t>
      </w:r>
      <w:r w:rsidR="006533B5">
        <w:rPr>
          <w:rFonts w:asciiTheme="minorHAnsi" w:hAnsiTheme="minorHAnsi"/>
          <w:color w:val="auto"/>
          <w:szCs w:val="24"/>
        </w:rPr>
        <w:t>,</w:t>
      </w:r>
      <w:r w:rsidR="00DD72C6">
        <w:rPr>
          <w:rFonts w:asciiTheme="minorHAnsi" w:hAnsiTheme="minorHAnsi"/>
          <w:color w:val="auto"/>
          <w:szCs w:val="24"/>
        </w:rPr>
        <w:t xml:space="preserve"> </w:t>
      </w:r>
      <w:r w:rsidR="00F37B72">
        <w:rPr>
          <w:rFonts w:asciiTheme="minorHAnsi" w:hAnsiTheme="minorHAnsi"/>
          <w:color w:val="auto"/>
          <w:szCs w:val="24"/>
        </w:rPr>
        <w:t xml:space="preserve">2002 </w:t>
      </w:r>
      <w:r w:rsidR="00DD72C6">
        <w:rPr>
          <w:rFonts w:asciiTheme="minorHAnsi" w:hAnsiTheme="minorHAnsi"/>
          <w:color w:val="auto"/>
          <w:szCs w:val="24"/>
        </w:rPr>
        <w:t xml:space="preserve">reporting </w:t>
      </w:r>
      <w:r w:rsidR="000E6308">
        <w:rPr>
          <w:rFonts w:asciiTheme="minorHAnsi" w:hAnsiTheme="minorHAnsi"/>
          <w:color w:val="auto"/>
          <w:szCs w:val="24"/>
        </w:rPr>
        <w:t>that he had been kicked during martial arts training (</w:t>
      </w:r>
      <w:r w:rsidR="000E6308" w:rsidRPr="000E6308">
        <w:rPr>
          <w:rFonts w:asciiTheme="minorHAnsi" w:hAnsiTheme="minorHAnsi"/>
          <w:color w:val="auto"/>
          <w:szCs w:val="24"/>
        </w:rPr>
        <w:t>MCMAP</w:t>
      </w:r>
      <w:r w:rsidR="000E6308">
        <w:rPr>
          <w:rFonts w:asciiTheme="minorHAnsi" w:hAnsiTheme="minorHAnsi"/>
          <w:color w:val="auto"/>
          <w:szCs w:val="24"/>
        </w:rPr>
        <w:t xml:space="preserve">; </w:t>
      </w:r>
      <w:r w:rsidR="000E6308" w:rsidRPr="000E6308">
        <w:rPr>
          <w:rFonts w:asciiTheme="minorHAnsi" w:hAnsiTheme="minorHAnsi"/>
          <w:color w:val="auto"/>
          <w:szCs w:val="24"/>
        </w:rPr>
        <w:t>Marine Corp Martial Arts Program</w:t>
      </w:r>
      <w:r w:rsidR="000E6308">
        <w:rPr>
          <w:rFonts w:asciiTheme="minorHAnsi" w:hAnsiTheme="minorHAnsi"/>
          <w:color w:val="auto"/>
          <w:szCs w:val="24"/>
        </w:rPr>
        <w:t>)</w:t>
      </w:r>
      <w:r w:rsidR="006533B5">
        <w:rPr>
          <w:rFonts w:asciiTheme="minorHAnsi" w:hAnsiTheme="minorHAnsi"/>
          <w:color w:val="auto"/>
          <w:szCs w:val="24"/>
        </w:rPr>
        <w:t xml:space="preserve">.  However, he </w:t>
      </w:r>
      <w:r w:rsidR="000E6308">
        <w:rPr>
          <w:rFonts w:asciiTheme="minorHAnsi" w:hAnsiTheme="minorHAnsi"/>
          <w:color w:val="auto"/>
          <w:szCs w:val="24"/>
        </w:rPr>
        <w:t xml:space="preserve">also </w:t>
      </w:r>
      <w:r w:rsidR="006533B5">
        <w:rPr>
          <w:rFonts w:asciiTheme="minorHAnsi" w:hAnsiTheme="minorHAnsi"/>
          <w:color w:val="auto"/>
          <w:szCs w:val="24"/>
        </w:rPr>
        <w:t xml:space="preserve">reported that he </w:t>
      </w:r>
      <w:r w:rsidR="006533B5" w:rsidRPr="00196A11">
        <w:rPr>
          <w:rFonts w:asciiTheme="minorHAnsi" w:hAnsiTheme="minorHAnsi"/>
          <w:color w:val="auto"/>
          <w:szCs w:val="24"/>
        </w:rPr>
        <w:t xml:space="preserve">had </w:t>
      </w:r>
      <w:r w:rsidR="00DD72C6" w:rsidRPr="00196A11">
        <w:rPr>
          <w:rFonts w:asciiTheme="minorHAnsi" w:hAnsiTheme="minorHAnsi"/>
          <w:color w:val="auto"/>
          <w:szCs w:val="24"/>
        </w:rPr>
        <w:t xml:space="preserve">symptoms for </w:t>
      </w:r>
      <w:r w:rsidR="00FB108D">
        <w:rPr>
          <w:rFonts w:asciiTheme="minorHAnsi" w:hAnsiTheme="minorHAnsi"/>
          <w:color w:val="auto"/>
          <w:szCs w:val="24"/>
        </w:rPr>
        <w:t>three</w:t>
      </w:r>
      <w:r w:rsidR="00DD72C6" w:rsidRPr="00196A11">
        <w:rPr>
          <w:rFonts w:asciiTheme="minorHAnsi" w:hAnsiTheme="minorHAnsi"/>
          <w:color w:val="auto"/>
          <w:szCs w:val="24"/>
        </w:rPr>
        <w:t xml:space="preserve"> months without resolution</w:t>
      </w:r>
      <w:r w:rsidR="000E6308">
        <w:rPr>
          <w:rFonts w:asciiTheme="minorHAnsi" w:hAnsiTheme="minorHAnsi"/>
          <w:color w:val="auto"/>
          <w:szCs w:val="24"/>
        </w:rPr>
        <w:t>.</w:t>
      </w:r>
      <w:r w:rsidR="006533B5">
        <w:rPr>
          <w:rFonts w:asciiTheme="minorHAnsi" w:hAnsiTheme="minorHAnsi"/>
          <w:color w:val="auto"/>
          <w:szCs w:val="24"/>
        </w:rPr>
        <w:t xml:space="preserve">  </w:t>
      </w:r>
      <w:r w:rsidR="00DD72C6">
        <w:rPr>
          <w:rFonts w:asciiTheme="minorHAnsi" w:hAnsiTheme="minorHAnsi"/>
          <w:color w:val="auto"/>
          <w:szCs w:val="24"/>
        </w:rPr>
        <w:t xml:space="preserve">At the time of a </w:t>
      </w:r>
      <w:r>
        <w:rPr>
          <w:rFonts w:asciiTheme="minorHAnsi" w:hAnsiTheme="minorHAnsi"/>
          <w:color w:val="auto"/>
          <w:szCs w:val="24"/>
        </w:rPr>
        <w:t xml:space="preserve">February </w:t>
      </w:r>
      <w:r w:rsidR="00AB1094">
        <w:rPr>
          <w:rFonts w:asciiTheme="minorHAnsi" w:hAnsiTheme="minorHAnsi"/>
          <w:color w:val="auto"/>
          <w:szCs w:val="24"/>
        </w:rPr>
        <w:t xml:space="preserve">11, </w:t>
      </w:r>
      <w:r>
        <w:rPr>
          <w:rFonts w:asciiTheme="minorHAnsi" w:hAnsiTheme="minorHAnsi"/>
          <w:color w:val="auto"/>
          <w:szCs w:val="24"/>
        </w:rPr>
        <w:t>2002 sports medicine clinic encounter</w:t>
      </w:r>
      <w:r w:rsidR="00DD72C6">
        <w:rPr>
          <w:rFonts w:asciiTheme="minorHAnsi" w:hAnsiTheme="minorHAnsi"/>
          <w:color w:val="auto"/>
          <w:szCs w:val="24"/>
        </w:rPr>
        <w:t>,</w:t>
      </w:r>
      <w:r w:rsidR="00390270">
        <w:rPr>
          <w:rFonts w:asciiTheme="minorHAnsi" w:hAnsiTheme="minorHAnsi"/>
          <w:color w:val="auto"/>
          <w:szCs w:val="24"/>
        </w:rPr>
        <w:t xml:space="preserve"> the physician</w:t>
      </w:r>
      <w:r w:rsidR="00DD72C6">
        <w:rPr>
          <w:rFonts w:asciiTheme="minorHAnsi" w:hAnsiTheme="minorHAnsi"/>
          <w:color w:val="auto"/>
          <w:szCs w:val="24"/>
        </w:rPr>
        <w:t xml:space="preserve"> records that the CI had symptoms of right hip pain</w:t>
      </w:r>
      <w:r>
        <w:rPr>
          <w:rFonts w:asciiTheme="minorHAnsi" w:hAnsiTheme="minorHAnsi"/>
          <w:color w:val="auto"/>
          <w:szCs w:val="24"/>
        </w:rPr>
        <w:t xml:space="preserve"> </w:t>
      </w:r>
      <w:r w:rsidR="00DD72C6">
        <w:rPr>
          <w:rFonts w:asciiTheme="minorHAnsi" w:hAnsiTheme="minorHAnsi"/>
          <w:color w:val="auto"/>
          <w:szCs w:val="24"/>
        </w:rPr>
        <w:t xml:space="preserve">during receiving </w:t>
      </w:r>
      <w:r w:rsidR="00390270">
        <w:rPr>
          <w:rFonts w:asciiTheme="minorHAnsi" w:hAnsiTheme="minorHAnsi"/>
          <w:color w:val="auto"/>
          <w:szCs w:val="24"/>
        </w:rPr>
        <w:t xml:space="preserve">(in-processing of new recruits entering basic training) </w:t>
      </w:r>
      <w:r w:rsidR="00DD72C6">
        <w:rPr>
          <w:rFonts w:asciiTheme="minorHAnsi" w:hAnsiTheme="minorHAnsi"/>
          <w:color w:val="auto"/>
          <w:szCs w:val="24"/>
        </w:rPr>
        <w:t>while sitting Indian style, further aggravated by sitting and sta</w:t>
      </w:r>
      <w:r w:rsidR="00390270">
        <w:rPr>
          <w:rFonts w:asciiTheme="minorHAnsi" w:hAnsiTheme="minorHAnsi"/>
          <w:color w:val="auto"/>
          <w:szCs w:val="24"/>
        </w:rPr>
        <w:t>n</w:t>
      </w:r>
      <w:r w:rsidR="00DD72C6">
        <w:rPr>
          <w:rFonts w:asciiTheme="minorHAnsi" w:hAnsiTheme="minorHAnsi"/>
          <w:color w:val="auto"/>
          <w:szCs w:val="24"/>
        </w:rPr>
        <w:t xml:space="preserve">ding for prolonged periods of time.  The examiner also recorded “PTE” (prior to entry) in May </w:t>
      </w:r>
      <w:proofErr w:type="gramStart"/>
      <w:r w:rsidR="00DD72C6">
        <w:rPr>
          <w:rFonts w:asciiTheme="minorHAnsi" w:hAnsiTheme="minorHAnsi"/>
          <w:color w:val="auto"/>
          <w:szCs w:val="24"/>
        </w:rPr>
        <w:t>2001, that the CI “</w:t>
      </w:r>
      <w:r w:rsidR="00DD72C6" w:rsidRPr="00DD72C6">
        <w:rPr>
          <w:rFonts w:asciiTheme="minorHAnsi" w:hAnsiTheme="minorHAnsi"/>
          <w:color w:val="auto"/>
          <w:szCs w:val="24"/>
        </w:rPr>
        <w:t>fell onto R hip during M.A. (martial arts) maneuver</w:t>
      </w:r>
      <w:r w:rsidR="00DD72C6">
        <w:rPr>
          <w:rFonts w:asciiTheme="minorHAnsi" w:hAnsiTheme="minorHAnsi"/>
          <w:color w:val="auto"/>
          <w:szCs w:val="24"/>
        </w:rPr>
        <w:t xml:space="preserve"> -</w:t>
      </w:r>
      <w:r w:rsidR="00DD72C6" w:rsidRPr="00DD72C6">
        <w:rPr>
          <w:rFonts w:asciiTheme="minorHAnsi" w:hAnsiTheme="minorHAnsi"/>
          <w:color w:val="auto"/>
          <w:szCs w:val="24"/>
        </w:rPr>
        <w:t xml:space="preserve"> jumping, spinning</w:t>
      </w:r>
      <w:r w:rsidR="00DD72C6">
        <w:rPr>
          <w:rFonts w:asciiTheme="minorHAnsi" w:hAnsiTheme="minorHAnsi"/>
          <w:color w:val="auto"/>
          <w:szCs w:val="24"/>
        </w:rPr>
        <w:t>,</w:t>
      </w:r>
      <w:r w:rsidR="00DD72C6" w:rsidRPr="00DD72C6">
        <w:rPr>
          <w:rFonts w:asciiTheme="minorHAnsi" w:hAnsiTheme="minorHAnsi"/>
          <w:color w:val="auto"/>
          <w:szCs w:val="24"/>
        </w:rPr>
        <w:t xml:space="preserve"> </w:t>
      </w:r>
      <w:r w:rsidR="00FB108D" w:rsidRPr="00DD72C6">
        <w:rPr>
          <w:rFonts w:asciiTheme="minorHAnsi" w:hAnsiTheme="minorHAnsi"/>
          <w:color w:val="auto"/>
          <w:szCs w:val="24"/>
        </w:rPr>
        <w:t>and reverse</w:t>
      </w:r>
      <w:r w:rsidR="00DD72C6" w:rsidRPr="00DD72C6">
        <w:rPr>
          <w:rFonts w:asciiTheme="minorHAnsi" w:hAnsiTheme="minorHAnsi"/>
          <w:color w:val="auto"/>
          <w:szCs w:val="24"/>
        </w:rPr>
        <w:t xml:space="preserve"> roundhouse kick.</w:t>
      </w:r>
      <w:proofErr w:type="gramEnd"/>
      <w:r w:rsidR="00DD72C6" w:rsidRPr="00DD72C6">
        <w:rPr>
          <w:rFonts w:asciiTheme="minorHAnsi" w:hAnsiTheme="minorHAnsi"/>
          <w:color w:val="auto"/>
          <w:szCs w:val="24"/>
        </w:rPr>
        <w:t xml:space="preserve">  No hip pain prior to this injury. </w:t>
      </w:r>
      <w:r w:rsidR="00DD72C6">
        <w:rPr>
          <w:rFonts w:asciiTheme="minorHAnsi" w:hAnsiTheme="minorHAnsi"/>
          <w:color w:val="auto"/>
          <w:szCs w:val="24"/>
        </w:rPr>
        <w:t xml:space="preserve"> </w:t>
      </w:r>
      <w:proofErr w:type="gramStart"/>
      <w:r w:rsidR="00DD72C6" w:rsidRPr="00DD72C6">
        <w:rPr>
          <w:rFonts w:asciiTheme="minorHAnsi" w:hAnsiTheme="minorHAnsi"/>
          <w:color w:val="auto"/>
          <w:szCs w:val="24"/>
        </w:rPr>
        <w:t>Stopped MAs.</w:t>
      </w:r>
      <w:proofErr w:type="gramEnd"/>
      <w:r w:rsidR="00DD72C6" w:rsidRPr="00DD72C6">
        <w:rPr>
          <w:rFonts w:asciiTheme="minorHAnsi" w:hAnsiTheme="minorHAnsi"/>
          <w:color w:val="auto"/>
          <w:szCs w:val="24"/>
        </w:rPr>
        <w:t xml:space="preserve">  </w:t>
      </w:r>
      <w:proofErr w:type="gramStart"/>
      <w:r w:rsidR="00DD72C6" w:rsidRPr="00DD72C6">
        <w:rPr>
          <w:rFonts w:asciiTheme="minorHAnsi" w:hAnsiTheme="minorHAnsi"/>
          <w:color w:val="auto"/>
          <w:szCs w:val="24"/>
        </w:rPr>
        <w:t>Continued to have mild pain, posterior right hip running.</w:t>
      </w:r>
      <w:r w:rsidR="00DD72C6">
        <w:rPr>
          <w:rFonts w:asciiTheme="minorHAnsi" w:hAnsiTheme="minorHAnsi"/>
          <w:color w:val="auto"/>
          <w:szCs w:val="24"/>
        </w:rPr>
        <w:t>”</w:t>
      </w:r>
      <w:proofErr w:type="gramEnd"/>
      <w:r w:rsidR="00DD72C6">
        <w:rPr>
          <w:rFonts w:asciiTheme="minorHAnsi" w:hAnsiTheme="minorHAnsi"/>
          <w:color w:val="auto"/>
          <w:szCs w:val="24"/>
        </w:rPr>
        <w:t xml:space="preserve">  </w:t>
      </w:r>
      <w:r w:rsidR="000E6308">
        <w:rPr>
          <w:rFonts w:asciiTheme="minorHAnsi" w:hAnsiTheme="minorHAnsi"/>
          <w:color w:val="auto"/>
          <w:szCs w:val="24"/>
        </w:rPr>
        <w:t>CI enlisted October 20, 2001 and there is no documentary evidence that the May 2001 incident was incurred in training conducted by the military.</w:t>
      </w:r>
      <w:r w:rsidR="006533B5">
        <w:rPr>
          <w:rFonts w:asciiTheme="minorHAnsi" w:hAnsiTheme="minorHAnsi"/>
          <w:color w:val="auto"/>
          <w:szCs w:val="24"/>
        </w:rPr>
        <w:t xml:space="preserve">  </w:t>
      </w:r>
      <w:r w:rsidR="00DD72C6">
        <w:rPr>
          <w:rFonts w:asciiTheme="minorHAnsi" w:hAnsiTheme="minorHAnsi"/>
          <w:color w:val="auto"/>
          <w:szCs w:val="24"/>
        </w:rPr>
        <w:t>Despite his condition, the CI successfully completed training and</w:t>
      </w:r>
      <w:r w:rsidR="00FB108D">
        <w:rPr>
          <w:rFonts w:asciiTheme="minorHAnsi" w:hAnsiTheme="minorHAnsi"/>
          <w:color w:val="auto"/>
          <w:szCs w:val="24"/>
        </w:rPr>
        <w:t>,</w:t>
      </w:r>
      <w:r w:rsidR="00DD72C6">
        <w:rPr>
          <w:rFonts w:asciiTheme="minorHAnsi" w:hAnsiTheme="minorHAnsi"/>
          <w:color w:val="auto"/>
          <w:szCs w:val="24"/>
        </w:rPr>
        <w:t xml:space="preserve"> just prior to discharge</w:t>
      </w:r>
      <w:r w:rsidR="00FB108D">
        <w:rPr>
          <w:rFonts w:asciiTheme="minorHAnsi" w:hAnsiTheme="minorHAnsi"/>
          <w:color w:val="auto"/>
          <w:szCs w:val="24"/>
        </w:rPr>
        <w:t xml:space="preserve"> while </w:t>
      </w:r>
      <w:r w:rsidR="00DD72C6">
        <w:rPr>
          <w:rFonts w:asciiTheme="minorHAnsi" w:hAnsiTheme="minorHAnsi"/>
          <w:color w:val="auto"/>
          <w:szCs w:val="24"/>
        </w:rPr>
        <w:t>playing soccer</w:t>
      </w:r>
      <w:r w:rsidR="00FB108D">
        <w:rPr>
          <w:rFonts w:asciiTheme="minorHAnsi" w:hAnsiTheme="minorHAnsi"/>
          <w:color w:val="auto"/>
          <w:szCs w:val="24"/>
        </w:rPr>
        <w:t>,</w:t>
      </w:r>
      <w:r w:rsidR="00DD72C6">
        <w:rPr>
          <w:rFonts w:asciiTheme="minorHAnsi" w:hAnsiTheme="minorHAnsi"/>
          <w:color w:val="auto"/>
          <w:szCs w:val="24"/>
        </w:rPr>
        <w:t xml:space="preserve"> </w:t>
      </w:r>
      <w:r w:rsidR="00FB108D">
        <w:rPr>
          <w:rFonts w:asciiTheme="minorHAnsi" w:hAnsiTheme="minorHAnsi"/>
          <w:color w:val="auto"/>
          <w:szCs w:val="24"/>
        </w:rPr>
        <w:t xml:space="preserve">he </w:t>
      </w:r>
      <w:r w:rsidR="00B063BB">
        <w:rPr>
          <w:rFonts w:asciiTheme="minorHAnsi" w:hAnsiTheme="minorHAnsi"/>
          <w:color w:val="auto"/>
          <w:szCs w:val="24"/>
        </w:rPr>
        <w:t>injured his left great toe</w:t>
      </w:r>
      <w:r w:rsidR="00FB108D">
        <w:rPr>
          <w:rFonts w:asciiTheme="minorHAnsi" w:hAnsiTheme="minorHAnsi"/>
          <w:color w:val="auto"/>
          <w:szCs w:val="24"/>
        </w:rPr>
        <w:t>.</w:t>
      </w:r>
      <w:r w:rsidR="00B063BB">
        <w:rPr>
          <w:rFonts w:asciiTheme="minorHAnsi" w:hAnsiTheme="minorHAnsi"/>
          <w:color w:val="auto"/>
          <w:szCs w:val="24"/>
        </w:rPr>
        <w:t xml:space="preserve">  A February 21, 2003 medical record entry recorded that the CI was p</w:t>
      </w:r>
      <w:r w:rsidR="00C86CEE">
        <w:rPr>
          <w:rFonts w:asciiTheme="minorHAnsi" w:hAnsiTheme="minorHAnsi"/>
          <w:color w:val="auto"/>
          <w:szCs w:val="24"/>
        </w:rPr>
        <w:t xml:space="preserve">hysically qualified for separation from </w:t>
      </w:r>
      <w:r w:rsidR="00B063BB">
        <w:rPr>
          <w:rFonts w:asciiTheme="minorHAnsi" w:hAnsiTheme="minorHAnsi"/>
          <w:color w:val="auto"/>
          <w:szCs w:val="24"/>
        </w:rPr>
        <w:t>active duty (effective March 22, 2003).</w:t>
      </w:r>
      <w:r w:rsidR="006533B5">
        <w:rPr>
          <w:rFonts w:asciiTheme="minorHAnsi" w:hAnsiTheme="minorHAnsi"/>
          <w:color w:val="auto"/>
          <w:szCs w:val="24"/>
        </w:rPr>
        <w:t xml:space="preserve">  </w:t>
      </w:r>
      <w:r w:rsidR="00B063BB">
        <w:rPr>
          <w:rFonts w:asciiTheme="minorHAnsi" w:hAnsiTheme="minorHAnsi"/>
          <w:color w:val="auto"/>
          <w:szCs w:val="24"/>
        </w:rPr>
        <w:t xml:space="preserve">Documentation </w:t>
      </w:r>
      <w:r w:rsidR="006533B5">
        <w:rPr>
          <w:rFonts w:asciiTheme="minorHAnsi" w:hAnsiTheme="minorHAnsi"/>
          <w:color w:val="auto"/>
          <w:szCs w:val="24"/>
        </w:rPr>
        <w:t xml:space="preserve">shows </w:t>
      </w:r>
      <w:r w:rsidR="00B063BB">
        <w:rPr>
          <w:rFonts w:asciiTheme="minorHAnsi" w:hAnsiTheme="minorHAnsi"/>
          <w:color w:val="auto"/>
          <w:szCs w:val="24"/>
        </w:rPr>
        <w:t xml:space="preserve">that the CI </w:t>
      </w:r>
      <w:r w:rsidR="006533B5">
        <w:rPr>
          <w:rFonts w:asciiTheme="minorHAnsi" w:hAnsiTheme="minorHAnsi"/>
          <w:color w:val="auto"/>
          <w:szCs w:val="24"/>
        </w:rPr>
        <w:t xml:space="preserve">was playing flag football in October 2003 while in inactive status (when he </w:t>
      </w:r>
      <w:r w:rsidR="00F63B31">
        <w:rPr>
          <w:rFonts w:asciiTheme="minorHAnsi" w:hAnsiTheme="minorHAnsi"/>
          <w:color w:val="auto"/>
          <w:szCs w:val="24"/>
        </w:rPr>
        <w:t xml:space="preserve">sought care </w:t>
      </w:r>
      <w:r w:rsidR="006533B5">
        <w:rPr>
          <w:rFonts w:asciiTheme="minorHAnsi" w:hAnsiTheme="minorHAnsi"/>
          <w:color w:val="auto"/>
          <w:szCs w:val="24"/>
        </w:rPr>
        <w:t xml:space="preserve">for a </w:t>
      </w:r>
      <w:r w:rsidR="00B063BB">
        <w:rPr>
          <w:rFonts w:asciiTheme="minorHAnsi" w:hAnsiTheme="minorHAnsi"/>
          <w:color w:val="auto"/>
          <w:szCs w:val="24"/>
        </w:rPr>
        <w:t>twisted ankle, knee</w:t>
      </w:r>
      <w:r w:rsidR="00FB108D">
        <w:rPr>
          <w:rFonts w:asciiTheme="minorHAnsi" w:hAnsiTheme="minorHAnsi"/>
          <w:color w:val="auto"/>
          <w:szCs w:val="24"/>
        </w:rPr>
        <w:t>,</w:t>
      </w:r>
      <w:r w:rsidR="00B063BB">
        <w:rPr>
          <w:rFonts w:asciiTheme="minorHAnsi" w:hAnsiTheme="minorHAnsi"/>
          <w:color w:val="auto"/>
          <w:szCs w:val="24"/>
        </w:rPr>
        <w:t xml:space="preserve"> and back</w:t>
      </w:r>
      <w:r w:rsidR="006533B5">
        <w:rPr>
          <w:rFonts w:asciiTheme="minorHAnsi" w:hAnsiTheme="minorHAnsi"/>
          <w:color w:val="auto"/>
          <w:szCs w:val="24"/>
        </w:rPr>
        <w:t xml:space="preserve">) </w:t>
      </w:r>
      <w:r w:rsidR="00B063BB">
        <w:rPr>
          <w:rFonts w:asciiTheme="minorHAnsi" w:hAnsiTheme="minorHAnsi"/>
          <w:color w:val="auto"/>
          <w:szCs w:val="24"/>
        </w:rPr>
        <w:t xml:space="preserve">also reflecting evidence that the preceding period of active duty service </w:t>
      </w:r>
      <w:r w:rsidR="00F63B31">
        <w:rPr>
          <w:rFonts w:asciiTheme="minorHAnsi" w:hAnsiTheme="minorHAnsi"/>
          <w:color w:val="auto"/>
          <w:szCs w:val="24"/>
        </w:rPr>
        <w:t xml:space="preserve">did not </w:t>
      </w:r>
      <w:r w:rsidR="00B063BB">
        <w:rPr>
          <w:rFonts w:asciiTheme="minorHAnsi" w:hAnsiTheme="minorHAnsi"/>
          <w:color w:val="auto"/>
          <w:szCs w:val="24"/>
        </w:rPr>
        <w:t>permanently aggravate his existing prior to service condition.</w:t>
      </w:r>
      <w:r w:rsidR="006533B5">
        <w:rPr>
          <w:rFonts w:asciiTheme="minorHAnsi" w:hAnsiTheme="minorHAnsi"/>
          <w:color w:val="auto"/>
          <w:szCs w:val="24"/>
        </w:rPr>
        <w:t xml:space="preserve">  </w:t>
      </w:r>
      <w:r w:rsidR="00B063BB">
        <w:rPr>
          <w:rFonts w:asciiTheme="minorHAnsi" w:hAnsiTheme="minorHAnsi"/>
          <w:color w:val="auto"/>
          <w:szCs w:val="24"/>
        </w:rPr>
        <w:t xml:space="preserve">In July 2005, while still in inactive status, the CI presented for complaints of symptoms </w:t>
      </w:r>
      <w:r w:rsidR="00390270">
        <w:rPr>
          <w:rFonts w:asciiTheme="minorHAnsi" w:hAnsiTheme="minorHAnsi"/>
          <w:color w:val="auto"/>
          <w:szCs w:val="24"/>
        </w:rPr>
        <w:t xml:space="preserve">that at the time were </w:t>
      </w:r>
      <w:r w:rsidR="00B063BB">
        <w:rPr>
          <w:rFonts w:asciiTheme="minorHAnsi" w:hAnsiTheme="minorHAnsi"/>
          <w:color w:val="auto"/>
          <w:szCs w:val="24"/>
        </w:rPr>
        <w:t xml:space="preserve">attributed to muscle strain </w:t>
      </w:r>
      <w:r w:rsidR="00390270">
        <w:rPr>
          <w:rFonts w:asciiTheme="minorHAnsi" w:hAnsiTheme="minorHAnsi"/>
          <w:color w:val="auto"/>
          <w:szCs w:val="24"/>
        </w:rPr>
        <w:t xml:space="preserve">but were consistent with his </w:t>
      </w:r>
      <w:r w:rsidR="006533B5">
        <w:rPr>
          <w:rFonts w:asciiTheme="minorHAnsi" w:hAnsiTheme="minorHAnsi"/>
          <w:color w:val="auto"/>
          <w:szCs w:val="24"/>
        </w:rPr>
        <w:t xml:space="preserve">chronic </w:t>
      </w:r>
      <w:r w:rsidR="00390270">
        <w:rPr>
          <w:rFonts w:asciiTheme="minorHAnsi" w:hAnsiTheme="minorHAnsi"/>
          <w:color w:val="auto"/>
          <w:szCs w:val="24"/>
        </w:rPr>
        <w:t xml:space="preserve">hip condition.  </w:t>
      </w:r>
      <w:r w:rsidR="00B063BB">
        <w:rPr>
          <w:rFonts w:asciiTheme="minorHAnsi" w:hAnsiTheme="minorHAnsi"/>
          <w:color w:val="auto"/>
          <w:szCs w:val="24"/>
        </w:rPr>
        <w:t xml:space="preserve">He re-entered active duty on October 13, 2005.  Six days after re-entering active duty he presented to the clinic with a complaint of right hip region pain for four months and was placed on limited duty.  He remained on limited duty </w:t>
      </w:r>
      <w:r w:rsidR="00390270">
        <w:rPr>
          <w:rFonts w:asciiTheme="minorHAnsi" w:hAnsiTheme="minorHAnsi"/>
          <w:color w:val="auto"/>
          <w:szCs w:val="24"/>
        </w:rPr>
        <w:t xml:space="preserve">from </w:t>
      </w:r>
      <w:r w:rsidR="00B063BB">
        <w:rPr>
          <w:rFonts w:asciiTheme="minorHAnsi" w:hAnsiTheme="minorHAnsi"/>
          <w:color w:val="auto"/>
          <w:szCs w:val="24"/>
        </w:rPr>
        <w:t>that time until discharge in 2007.  Persist</w:t>
      </w:r>
      <w:r w:rsidR="005C326C">
        <w:rPr>
          <w:rFonts w:asciiTheme="minorHAnsi" w:hAnsiTheme="minorHAnsi"/>
          <w:color w:val="auto"/>
          <w:szCs w:val="24"/>
        </w:rPr>
        <w:t>e</w:t>
      </w:r>
      <w:r w:rsidR="00FB108D">
        <w:rPr>
          <w:rFonts w:asciiTheme="minorHAnsi" w:hAnsiTheme="minorHAnsi"/>
          <w:color w:val="auto"/>
          <w:szCs w:val="24"/>
        </w:rPr>
        <w:t>nt</w:t>
      </w:r>
      <w:r w:rsidR="00B063BB">
        <w:rPr>
          <w:rFonts w:asciiTheme="minorHAnsi" w:hAnsiTheme="minorHAnsi"/>
          <w:color w:val="auto"/>
          <w:szCs w:val="24"/>
        </w:rPr>
        <w:t xml:space="preserve"> symptoms prompted orthopedic surgery evaluation in January 2006 when advanced degenerative joint disease of both hips was diagnosed</w:t>
      </w:r>
      <w:r w:rsidR="00A2630F">
        <w:rPr>
          <w:rFonts w:asciiTheme="minorHAnsi" w:hAnsiTheme="minorHAnsi"/>
          <w:color w:val="auto"/>
          <w:szCs w:val="24"/>
        </w:rPr>
        <w:t xml:space="preserve">.  The </w:t>
      </w:r>
      <w:r w:rsidR="005C326C">
        <w:rPr>
          <w:rFonts w:asciiTheme="minorHAnsi" w:hAnsiTheme="minorHAnsi"/>
          <w:color w:val="auto"/>
          <w:szCs w:val="24"/>
        </w:rPr>
        <w:t>X</w:t>
      </w:r>
      <w:r w:rsidR="00A2630F">
        <w:rPr>
          <w:rFonts w:asciiTheme="minorHAnsi" w:hAnsiTheme="minorHAnsi"/>
          <w:color w:val="auto"/>
          <w:szCs w:val="24"/>
        </w:rPr>
        <w:t>-ray changes present (</w:t>
      </w:r>
      <w:r w:rsidR="00B063BB">
        <w:rPr>
          <w:rFonts w:asciiTheme="minorHAnsi" w:hAnsiTheme="minorHAnsi"/>
          <w:color w:val="auto"/>
          <w:szCs w:val="24"/>
        </w:rPr>
        <w:t>joint space narrowing with formation of bone spurs</w:t>
      </w:r>
      <w:r w:rsidR="00A2630F">
        <w:rPr>
          <w:rFonts w:asciiTheme="minorHAnsi" w:hAnsiTheme="minorHAnsi"/>
          <w:color w:val="auto"/>
          <w:szCs w:val="24"/>
        </w:rPr>
        <w:t>)</w:t>
      </w:r>
      <w:r w:rsidR="00B063BB">
        <w:rPr>
          <w:rFonts w:asciiTheme="minorHAnsi" w:hAnsiTheme="minorHAnsi"/>
          <w:color w:val="auto"/>
          <w:szCs w:val="24"/>
        </w:rPr>
        <w:t xml:space="preserve"> take many years </w:t>
      </w:r>
      <w:r w:rsidR="00F63B31">
        <w:rPr>
          <w:rFonts w:asciiTheme="minorHAnsi" w:hAnsiTheme="minorHAnsi"/>
          <w:color w:val="auto"/>
          <w:szCs w:val="24"/>
        </w:rPr>
        <w:t xml:space="preserve">preceding CI’s enlistment </w:t>
      </w:r>
      <w:r w:rsidR="00B063BB">
        <w:rPr>
          <w:rFonts w:asciiTheme="minorHAnsi" w:hAnsiTheme="minorHAnsi"/>
          <w:color w:val="auto"/>
          <w:szCs w:val="24"/>
        </w:rPr>
        <w:t>to develop.</w:t>
      </w:r>
      <w:r w:rsidR="00A2630F">
        <w:rPr>
          <w:rFonts w:asciiTheme="minorHAnsi" w:hAnsiTheme="minorHAnsi"/>
          <w:color w:val="auto"/>
          <w:szCs w:val="24"/>
        </w:rPr>
        <w:t xml:space="preserve">  </w:t>
      </w:r>
      <w:r w:rsidR="00B063BB">
        <w:rPr>
          <w:rFonts w:asciiTheme="minorHAnsi" w:hAnsiTheme="minorHAnsi"/>
          <w:color w:val="auto"/>
          <w:szCs w:val="24"/>
        </w:rPr>
        <w:t>The January 20, 2006 orthopedic surgery note records that there were no inciting factors or injury.</w:t>
      </w:r>
      <w:r w:rsidR="00F10686">
        <w:rPr>
          <w:rFonts w:asciiTheme="minorHAnsi" w:hAnsiTheme="minorHAnsi"/>
          <w:color w:val="auto"/>
          <w:szCs w:val="24"/>
        </w:rPr>
        <w:t xml:space="preserve">  Subsequent orthopedic surgery notes reflect persistent limiting right greater than left hip pain.  In J</w:t>
      </w:r>
      <w:r w:rsidR="00F10686" w:rsidRPr="00196A11">
        <w:rPr>
          <w:rFonts w:asciiTheme="minorHAnsi" w:hAnsiTheme="minorHAnsi"/>
          <w:color w:val="auto"/>
          <w:szCs w:val="24"/>
        </w:rPr>
        <w:t>uly 2006, the CI underwent right total hip replacement</w:t>
      </w:r>
      <w:r w:rsidR="00F10686">
        <w:rPr>
          <w:rFonts w:asciiTheme="minorHAnsi" w:hAnsiTheme="minorHAnsi"/>
          <w:color w:val="auto"/>
          <w:szCs w:val="24"/>
        </w:rPr>
        <w:t>, and</w:t>
      </w:r>
      <w:r w:rsidR="005C326C">
        <w:rPr>
          <w:rFonts w:asciiTheme="minorHAnsi" w:hAnsiTheme="minorHAnsi"/>
          <w:color w:val="auto"/>
          <w:szCs w:val="24"/>
        </w:rPr>
        <w:t>,</w:t>
      </w:r>
      <w:r w:rsidR="00F10686">
        <w:rPr>
          <w:rFonts w:asciiTheme="minorHAnsi" w:hAnsiTheme="minorHAnsi"/>
          <w:color w:val="auto"/>
          <w:szCs w:val="24"/>
        </w:rPr>
        <w:t xml:space="preserve"> following recovery, he underwent MEB and was medically discharged.</w:t>
      </w:r>
      <w:r w:rsidR="006533B5">
        <w:rPr>
          <w:rFonts w:asciiTheme="minorHAnsi" w:hAnsiTheme="minorHAnsi"/>
          <w:color w:val="auto"/>
          <w:szCs w:val="24"/>
        </w:rPr>
        <w:t xml:space="preserve">  All Board members agreed that the evidence demonstrated the CI’s hip condition existed prior to service.  </w:t>
      </w:r>
      <w:r w:rsidR="00F10686">
        <w:rPr>
          <w:rFonts w:asciiTheme="minorHAnsi" w:hAnsiTheme="minorHAnsi"/>
          <w:color w:val="auto"/>
          <w:szCs w:val="24"/>
        </w:rPr>
        <w:t xml:space="preserve">In its deliberations regarding whether the CI’s pre-existing hip condition warranted a finding of permanent service aggravation, the Board noted the report of symptoms prior to enlisting in the Marines.  The mild symptoms during the first period of active duty did not prevent completion of training with return to full activity consistent with no permanent service aggravation during that period of active duty.  The CI entered the second period of active duty with duty limiting pain </w:t>
      </w:r>
      <w:r w:rsidR="005322B5">
        <w:rPr>
          <w:rFonts w:asciiTheme="minorHAnsi" w:hAnsiTheme="minorHAnsi"/>
          <w:color w:val="auto"/>
          <w:szCs w:val="24"/>
        </w:rPr>
        <w:t xml:space="preserve">that had begun in the preceding months </w:t>
      </w:r>
      <w:r w:rsidR="00F10686">
        <w:rPr>
          <w:rFonts w:asciiTheme="minorHAnsi" w:hAnsiTheme="minorHAnsi"/>
          <w:color w:val="auto"/>
          <w:szCs w:val="24"/>
        </w:rPr>
        <w:t xml:space="preserve">and was immediately placed </w:t>
      </w:r>
      <w:r w:rsidR="00F63B31">
        <w:rPr>
          <w:rFonts w:asciiTheme="minorHAnsi" w:hAnsiTheme="minorHAnsi"/>
          <w:color w:val="auto"/>
          <w:szCs w:val="24"/>
        </w:rPr>
        <w:t xml:space="preserve">in a </w:t>
      </w:r>
      <w:r w:rsidR="00F10686">
        <w:rPr>
          <w:rFonts w:asciiTheme="minorHAnsi" w:hAnsiTheme="minorHAnsi"/>
          <w:color w:val="auto"/>
          <w:szCs w:val="24"/>
        </w:rPr>
        <w:t>limited duty</w:t>
      </w:r>
      <w:r w:rsidR="00F63B31">
        <w:rPr>
          <w:rFonts w:asciiTheme="minorHAnsi" w:hAnsiTheme="minorHAnsi"/>
          <w:color w:val="auto"/>
          <w:szCs w:val="24"/>
        </w:rPr>
        <w:t xml:space="preserve"> status</w:t>
      </w:r>
      <w:r w:rsidR="005322B5">
        <w:rPr>
          <w:rFonts w:asciiTheme="minorHAnsi" w:hAnsiTheme="minorHAnsi"/>
          <w:color w:val="auto"/>
          <w:szCs w:val="24"/>
        </w:rPr>
        <w:t>.  T</w:t>
      </w:r>
      <w:r w:rsidR="00F10686">
        <w:rPr>
          <w:rFonts w:asciiTheme="minorHAnsi" w:hAnsiTheme="minorHAnsi"/>
          <w:color w:val="auto"/>
          <w:szCs w:val="24"/>
        </w:rPr>
        <w:t>hus</w:t>
      </w:r>
      <w:r w:rsidR="00F63B31">
        <w:rPr>
          <w:rFonts w:asciiTheme="minorHAnsi" w:hAnsiTheme="minorHAnsi"/>
          <w:color w:val="auto"/>
          <w:szCs w:val="24"/>
        </w:rPr>
        <w:t>,</w:t>
      </w:r>
      <w:r w:rsidR="00F10686">
        <w:rPr>
          <w:rFonts w:asciiTheme="minorHAnsi" w:hAnsiTheme="minorHAnsi"/>
          <w:color w:val="auto"/>
          <w:szCs w:val="24"/>
        </w:rPr>
        <w:t xml:space="preserve"> there was no military related activity </w:t>
      </w:r>
      <w:r w:rsidR="002F76DD">
        <w:rPr>
          <w:rFonts w:asciiTheme="minorHAnsi" w:hAnsiTheme="minorHAnsi"/>
          <w:color w:val="auto"/>
          <w:szCs w:val="24"/>
        </w:rPr>
        <w:t xml:space="preserve">in the second period of active duty </w:t>
      </w:r>
      <w:r w:rsidR="00F10686">
        <w:rPr>
          <w:rFonts w:asciiTheme="minorHAnsi" w:hAnsiTheme="minorHAnsi"/>
          <w:color w:val="auto"/>
          <w:szCs w:val="24"/>
        </w:rPr>
        <w:t>that would have aggravated the condition beyond the natural progression of the disease.</w:t>
      </w:r>
      <w:r w:rsidR="005322B5">
        <w:rPr>
          <w:rFonts w:asciiTheme="minorHAnsi" w:hAnsiTheme="minorHAnsi"/>
          <w:color w:val="auto"/>
          <w:szCs w:val="24"/>
        </w:rPr>
        <w:t xml:space="preserve">  </w:t>
      </w:r>
      <w:r w:rsidR="00F10686">
        <w:rPr>
          <w:rFonts w:asciiTheme="minorHAnsi" w:hAnsiTheme="minorHAnsi"/>
          <w:color w:val="auto"/>
          <w:szCs w:val="24"/>
        </w:rPr>
        <w:t xml:space="preserve">There was no specific injury reported while on active duty or during drills that could </w:t>
      </w:r>
      <w:r w:rsidR="00F63B31">
        <w:rPr>
          <w:rFonts w:asciiTheme="minorHAnsi" w:hAnsiTheme="minorHAnsi"/>
          <w:color w:val="auto"/>
          <w:szCs w:val="24"/>
        </w:rPr>
        <w:t xml:space="preserve">have </w:t>
      </w:r>
      <w:r w:rsidR="00F10686">
        <w:rPr>
          <w:rFonts w:asciiTheme="minorHAnsi" w:hAnsiTheme="minorHAnsi"/>
          <w:color w:val="auto"/>
          <w:szCs w:val="24"/>
        </w:rPr>
        <w:t>cause</w:t>
      </w:r>
      <w:r w:rsidR="00F63B31">
        <w:rPr>
          <w:rFonts w:asciiTheme="minorHAnsi" w:hAnsiTheme="minorHAnsi"/>
          <w:color w:val="auto"/>
          <w:szCs w:val="24"/>
        </w:rPr>
        <w:t>d</w:t>
      </w:r>
      <w:r w:rsidR="00F10686">
        <w:rPr>
          <w:rFonts w:asciiTheme="minorHAnsi" w:hAnsiTheme="minorHAnsi"/>
          <w:color w:val="auto"/>
          <w:szCs w:val="24"/>
        </w:rPr>
        <w:t xml:space="preserve"> the disease</w:t>
      </w:r>
      <w:r w:rsidR="00645D3E">
        <w:rPr>
          <w:rFonts w:asciiTheme="minorHAnsi" w:hAnsiTheme="minorHAnsi"/>
          <w:color w:val="auto"/>
          <w:szCs w:val="24"/>
        </w:rPr>
        <w:t>,</w:t>
      </w:r>
      <w:r w:rsidR="00F10686">
        <w:rPr>
          <w:rFonts w:asciiTheme="minorHAnsi" w:hAnsiTheme="minorHAnsi"/>
          <w:color w:val="auto"/>
          <w:szCs w:val="24"/>
        </w:rPr>
        <w:t xml:space="preserve"> or resulted in </w:t>
      </w:r>
      <w:r w:rsidR="005322B5">
        <w:rPr>
          <w:rFonts w:asciiTheme="minorHAnsi" w:hAnsiTheme="minorHAnsi"/>
          <w:color w:val="auto"/>
          <w:szCs w:val="24"/>
        </w:rPr>
        <w:t>symptom aggravation that did not resolve.</w:t>
      </w:r>
      <w:r w:rsidR="00F10686">
        <w:rPr>
          <w:rFonts w:asciiTheme="minorHAnsi" w:hAnsiTheme="minorHAnsi"/>
          <w:color w:val="auto"/>
          <w:szCs w:val="24"/>
        </w:rPr>
        <w:t xml:space="preserve">  </w:t>
      </w:r>
      <w:r w:rsidR="00645D3E" w:rsidRPr="008F30C0">
        <w:rPr>
          <w:rFonts w:asciiTheme="minorHAnsi" w:hAnsiTheme="minorHAnsi"/>
          <w:color w:val="auto"/>
          <w:szCs w:val="24"/>
        </w:rPr>
        <w:t xml:space="preserve">After due deliberation, and in consideration of the totality of the evidence, the Board cannot find adequate justification for recommending the </w:t>
      </w:r>
      <w:r w:rsidR="00645D3E">
        <w:rPr>
          <w:rFonts w:asciiTheme="minorHAnsi" w:hAnsiTheme="minorHAnsi"/>
          <w:color w:val="auto"/>
          <w:szCs w:val="24"/>
        </w:rPr>
        <w:t xml:space="preserve">bilateral hip osteoarthritis </w:t>
      </w:r>
      <w:r w:rsidR="00645D3E" w:rsidRPr="008F30C0">
        <w:rPr>
          <w:rFonts w:asciiTheme="minorHAnsi" w:hAnsiTheme="minorHAnsi"/>
          <w:color w:val="auto"/>
          <w:szCs w:val="24"/>
        </w:rPr>
        <w:t xml:space="preserve">as </w:t>
      </w:r>
      <w:r w:rsidR="005532C0">
        <w:rPr>
          <w:rFonts w:asciiTheme="minorHAnsi" w:hAnsiTheme="minorHAnsi"/>
          <w:color w:val="auto"/>
          <w:szCs w:val="24"/>
        </w:rPr>
        <w:t xml:space="preserve">incurred or </w:t>
      </w:r>
      <w:r w:rsidR="002F76DD">
        <w:rPr>
          <w:rFonts w:asciiTheme="minorHAnsi" w:hAnsiTheme="minorHAnsi"/>
          <w:color w:val="auto"/>
          <w:szCs w:val="24"/>
        </w:rPr>
        <w:t>permanent</w:t>
      </w:r>
      <w:r w:rsidR="005532C0">
        <w:rPr>
          <w:rFonts w:asciiTheme="minorHAnsi" w:hAnsiTheme="minorHAnsi"/>
          <w:color w:val="auto"/>
          <w:szCs w:val="24"/>
        </w:rPr>
        <w:t>ly</w:t>
      </w:r>
      <w:r w:rsidR="002F76DD">
        <w:rPr>
          <w:rFonts w:asciiTheme="minorHAnsi" w:hAnsiTheme="minorHAnsi"/>
          <w:color w:val="auto"/>
          <w:szCs w:val="24"/>
        </w:rPr>
        <w:t xml:space="preserve"> aggravated by service beyond the natural progression of the disease </w:t>
      </w:r>
      <w:r w:rsidR="005532C0">
        <w:rPr>
          <w:rFonts w:asciiTheme="minorHAnsi" w:hAnsiTheme="minorHAnsi"/>
          <w:color w:val="auto"/>
          <w:szCs w:val="24"/>
        </w:rPr>
        <w:t>for separation rating.</w:t>
      </w:r>
    </w:p>
    <w:p w:rsidR="00196A11" w:rsidRDefault="00196A11" w:rsidP="00630690">
      <w:pPr>
        <w:spacing w:line="240" w:lineRule="exact"/>
        <w:jc w:val="both"/>
        <w:rPr>
          <w:rFonts w:asciiTheme="minorHAnsi" w:hAnsiTheme="minorHAnsi"/>
          <w:color w:val="auto"/>
          <w:szCs w:val="24"/>
        </w:rPr>
      </w:pPr>
    </w:p>
    <w:p w:rsidR="00F54E54" w:rsidRDefault="0013191F" w:rsidP="00630690">
      <w:pPr>
        <w:spacing w:line="240" w:lineRule="exact"/>
        <w:jc w:val="both"/>
        <w:rPr>
          <w:rFonts w:asciiTheme="minorHAnsi" w:hAnsiTheme="minorHAnsi"/>
          <w:color w:val="auto"/>
          <w:szCs w:val="24"/>
        </w:rPr>
      </w:pPr>
      <w:proofErr w:type="gramStart"/>
      <w:r w:rsidRPr="00EC337D">
        <w:rPr>
          <w:rFonts w:asciiTheme="minorHAnsi" w:eastAsia="HiddenHorzOCR" w:hAnsiTheme="minorHAnsi"/>
          <w:color w:val="auto"/>
          <w:szCs w:val="24"/>
          <w:u w:val="single"/>
        </w:rPr>
        <w:lastRenderedPageBreak/>
        <w:t>Other Contended Conditions</w:t>
      </w:r>
      <w:r w:rsidR="005C326C">
        <w:rPr>
          <w:rFonts w:asciiTheme="minorHAnsi" w:eastAsia="HiddenHorzOCR" w:hAnsiTheme="minorHAnsi"/>
          <w:color w:val="auto"/>
          <w:szCs w:val="24"/>
          <w:u w:val="single"/>
        </w:rPr>
        <w:t>.</w:t>
      </w:r>
      <w:proofErr w:type="gramEnd"/>
      <w:r w:rsidRPr="00EC337D">
        <w:rPr>
          <w:rFonts w:asciiTheme="minorHAnsi" w:eastAsia="HiddenHorzOCR" w:hAnsiTheme="minorHAnsi"/>
          <w:color w:val="auto"/>
          <w:szCs w:val="24"/>
        </w:rPr>
        <w:t xml:space="preserve">  The CI’s application asserts that compensable ratings should be considered for </w:t>
      </w:r>
      <w:r>
        <w:rPr>
          <w:rFonts w:asciiTheme="minorHAnsi" w:eastAsia="HiddenHorzOCR" w:hAnsiTheme="minorHAnsi"/>
          <w:color w:val="auto"/>
          <w:szCs w:val="24"/>
        </w:rPr>
        <w:t>b</w:t>
      </w:r>
      <w:r w:rsidRPr="00521466">
        <w:rPr>
          <w:rFonts w:asciiTheme="minorHAnsi" w:eastAsia="HiddenHorzOCR" w:hAnsiTheme="minorHAnsi"/>
          <w:color w:val="auto"/>
          <w:szCs w:val="24"/>
        </w:rPr>
        <w:t xml:space="preserve">ack </w:t>
      </w:r>
      <w:r>
        <w:rPr>
          <w:rFonts w:asciiTheme="minorHAnsi" w:eastAsia="HiddenHorzOCR" w:hAnsiTheme="minorHAnsi"/>
          <w:color w:val="auto"/>
          <w:szCs w:val="24"/>
        </w:rPr>
        <w:t>p</w:t>
      </w:r>
      <w:r w:rsidRPr="00521466">
        <w:rPr>
          <w:rFonts w:asciiTheme="minorHAnsi" w:eastAsia="HiddenHorzOCR" w:hAnsiTheme="minorHAnsi"/>
          <w:color w:val="auto"/>
          <w:szCs w:val="24"/>
        </w:rPr>
        <w:t xml:space="preserve">ain, </w:t>
      </w:r>
      <w:r>
        <w:rPr>
          <w:rFonts w:asciiTheme="minorHAnsi" w:eastAsia="HiddenHorzOCR" w:hAnsiTheme="minorHAnsi"/>
          <w:color w:val="auto"/>
          <w:szCs w:val="24"/>
        </w:rPr>
        <w:t>r</w:t>
      </w:r>
      <w:r w:rsidRPr="00521466">
        <w:rPr>
          <w:rFonts w:asciiTheme="minorHAnsi" w:eastAsia="HiddenHorzOCR" w:hAnsiTheme="minorHAnsi"/>
          <w:color w:val="auto"/>
          <w:szCs w:val="24"/>
        </w:rPr>
        <w:t xml:space="preserve">ib </w:t>
      </w:r>
      <w:r>
        <w:rPr>
          <w:rFonts w:asciiTheme="minorHAnsi" w:eastAsia="HiddenHorzOCR" w:hAnsiTheme="minorHAnsi"/>
          <w:color w:val="auto"/>
          <w:szCs w:val="24"/>
        </w:rPr>
        <w:t>i</w:t>
      </w:r>
      <w:r w:rsidRPr="00521466">
        <w:rPr>
          <w:rFonts w:asciiTheme="minorHAnsi" w:eastAsia="HiddenHorzOCR" w:hAnsiTheme="minorHAnsi"/>
          <w:color w:val="auto"/>
          <w:szCs w:val="24"/>
        </w:rPr>
        <w:t>njury</w:t>
      </w:r>
      <w:r>
        <w:rPr>
          <w:rFonts w:asciiTheme="minorHAnsi" w:eastAsia="HiddenHorzOCR" w:hAnsiTheme="minorHAnsi"/>
          <w:color w:val="auto"/>
          <w:szCs w:val="24"/>
        </w:rPr>
        <w:t>/c</w:t>
      </w:r>
      <w:r w:rsidRPr="00521466">
        <w:rPr>
          <w:rFonts w:asciiTheme="minorHAnsi" w:eastAsia="HiddenHorzOCR" w:hAnsiTheme="minorHAnsi"/>
          <w:color w:val="auto"/>
          <w:szCs w:val="24"/>
        </w:rPr>
        <w:t xml:space="preserve">ostochondritis, </w:t>
      </w:r>
      <w:r>
        <w:rPr>
          <w:rFonts w:asciiTheme="minorHAnsi" w:eastAsia="HiddenHorzOCR" w:hAnsiTheme="minorHAnsi"/>
          <w:color w:val="auto"/>
          <w:szCs w:val="24"/>
        </w:rPr>
        <w:t>fracture of the left g</w:t>
      </w:r>
      <w:r w:rsidRPr="00521466">
        <w:rPr>
          <w:rFonts w:asciiTheme="minorHAnsi" w:eastAsia="HiddenHorzOCR" w:hAnsiTheme="minorHAnsi"/>
          <w:color w:val="auto"/>
          <w:szCs w:val="24"/>
        </w:rPr>
        <w:t xml:space="preserve">reat </w:t>
      </w:r>
      <w:r>
        <w:rPr>
          <w:rFonts w:asciiTheme="minorHAnsi" w:eastAsia="HiddenHorzOCR" w:hAnsiTheme="minorHAnsi"/>
          <w:color w:val="auto"/>
          <w:szCs w:val="24"/>
        </w:rPr>
        <w:t>t</w:t>
      </w:r>
      <w:r w:rsidRPr="00521466">
        <w:rPr>
          <w:rFonts w:asciiTheme="minorHAnsi" w:eastAsia="HiddenHorzOCR" w:hAnsiTheme="minorHAnsi"/>
          <w:color w:val="auto"/>
          <w:szCs w:val="24"/>
        </w:rPr>
        <w:t>oe</w:t>
      </w:r>
      <w:r w:rsidR="004D0D4F">
        <w:rPr>
          <w:rFonts w:asciiTheme="minorHAnsi" w:eastAsia="HiddenHorzOCR" w:hAnsiTheme="minorHAnsi"/>
          <w:color w:val="auto"/>
          <w:szCs w:val="24"/>
        </w:rPr>
        <w:t>, and f</w:t>
      </w:r>
      <w:r w:rsidR="004D0D4F" w:rsidRPr="00521466">
        <w:rPr>
          <w:rFonts w:asciiTheme="minorHAnsi" w:eastAsia="HiddenHorzOCR" w:hAnsiTheme="minorHAnsi"/>
          <w:color w:val="auto"/>
          <w:szCs w:val="24"/>
        </w:rPr>
        <w:t xml:space="preserve">lat </w:t>
      </w:r>
      <w:r w:rsidR="004D0D4F">
        <w:rPr>
          <w:rFonts w:asciiTheme="minorHAnsi" w:eastAsia="HiddenHorzOCR" w:hAnsiTheme="minorHAnsi"/>
          <w:color w:val="auto"/>
          <w:szCs w:val="24"/>
        </w:rPr>
        <w:t>f</w:t>
      </w:r>
      <w:r w:rsidR="004D0D4F" w:rsidRPr="00521466">
        <w:rPr>
          <w:rFonts w:asciiTheme="minorHAnsi" w:eastAsia="HiddenHorzOCR" w:hAnsiTheme="minorHAnsi"/>
          <w:color w:val="auto"/>
          <w:szCs w:val="24"/>
        </w:rPr>
        <w:t>eet</w:t>
      </w:r>
      <w:r w:rsidR="004D0D4F">
        <w:rPr>
          <w:rFonts w:asciiTheme="minorHAnsi" w:eastAsia="HiddenHorzOCR" w:hAnsiTheme="minorHAnsi"/>
          <w:color w:val="auto"/>
          <w:szCs w:val="24"/>
        </w:rPr>
        <w:t xml:space="preserve"> (pes planus</w:t>
      </w:r>
      <w:r w:rsidR="004D0D4F" w:rsidRPr="00196A11">
        <w:rPr>
          <w:rFonts w:asciiTheme="minorHAnsi" w:eastAsia="HiddenHorzOCR" w:hAnsiTheme="minorHAnsi"/>
          <w:color w:val="auto"/>
          <w:szCs w:val="24"/>
        </w:rPr>
        <w:t xml:space="preserve">).  </w:t>
      </w:r>
      <w:r w:rsidRPr="00196A11">
        <w:rPr>
          <w:rFonts w:asciiTheme="minorHAnsi" w:hAnsiTheme="minorHAnsi"/>
          <w:color w:val="auto"/>
          <w:szCs w:val="24"/>
        </w:rPr>
        <w:t xml:space="preserve">CI had documented </w:t>
      </w:r>
      <w:r w:rsidR="00F54E54" w:rsidRPr="00196A11">
        <w:rPr>
          <w:rFonts w:asciiTheme="minorHAnsi" w:hAnsiTheme="minorHAnsi"/>
          <w:color w:val="auto"/>
          <w:szCs w:val="24"/>
        </w:rPr>
        <w:t xml:space="preserve">history of low back pain with radiculopathy </w:t>
      </w:r>
      <w:r w:rsidR="004D0D4F" w:rsidRPr="00196A11">
        <w:rPr>
          <w:rFonts w:asciiTheme="minorHAnsi" w:hAnsiTheme="minorHAnsi"/>
          <w:color w:val="auto"/>
          <w:szCs w:val="24"/>
        </w:rPr>
        <w:t xml:space="preserve">prior to service with abnormal findings on </w:t>
      </w:r>
      <w:r w:rsidR="005C326C">
        <w:rPr>
          <w:rFonts w:asciiTheme="minorHAnsi" w:hAnsiTheme="minorHAnsi"/>
          <w:color w:val="auto"/>
          <w:szCs w:val="24"/>
        </w:rPr>
        <w:t>X</w:t>
      </w:r>
      <w:r w:rsidR="004D0D4F" w:rsidRPr="00196A11">
        <w:rPr>
          <w:rFonts w:asciiTheme="minorHAnsi" w:hAnsiTheme="minorHAnsi"/>
          <w:color w:val="auto"/>
          <w:szCs w:val="24"/>
        </w:rPr>
        <w:t>-ray at the time of his pre-enlistment medical examination</w:t>
      </w:r>
      <w:r w:rsidR="002F76DD" w:rsidRPr="00196A11">
        <w:rPr>
          <w:rFonts w:asciiTheme="minorHAnsi" w:hAnsiTheme="minorHAnsi"/>
          <w:color w:val="auto"/>
          <w:szCs w:val="24"/>
        </w:rPr>
        <w:t xml:space="preserve"> (disc space narrowing)</w:t>
      </w:r>
      <w:r w:rsidR="004D0D4F" w:rsidRPr="00196A11">
        <w:rPr>
          <w:rFonts w:asciiTheme="minorHAnsi" w:hAnsiTheme="minorHAnsi"/>
          <w:color w:val="auto"/>
          <w:szCs w:val="24"/>
        </w:rPr>
        <w:t xml:space="preserve">.  </w:t>
      </w:r>
      <w:r w:rsidRPr="00196A11">
        <w:rPr>
          <w:rFonts w:asciiTheme="minorHAnsi" w:hAnsiTheme="minorHAnsi"/>
          <w:color w:val="auto"/>
          <w:szCs w:val="24"/>
        </w:rPr>
        <w:t xml:space="preserve">While </w:t>
      </w:r>
      <w:r w:rsidR="004D0D4F" w:rsidRPr="00196A11">
        <w:rPr>
          <w:rFonts w:asciiTheme="minorHAnsi" w:hAnsiTheme="minorHAnsi"/>
          <w:color w:val="auto"/>
          <w:szCs w:val="24"/>
        </w:rPr>
        <w:t xml:space="preserve">the </w:t>
      </w:r>
      <w:r w:rsidRPr="00196A11">
        <w:rPr>
          <w:rFonts w:asciiTheme="minorHAnsi" w:hAnsiTheme="minorHAnsi"/>
          <w:color w:val="auto"/>
          <w:szCs w:val="24"/>
        </w:rPr>
        <w:t>CI had occasional complaint of low back pain, there is no evidence it interfered with performance of duties.</w:t>
      </w:r>
      <w:r w:rsidR="004D0D4F" w:rsidRPr="00196A11">
        <w:rPr>
          <w:rFonts w:asciiTheme="minorHAnsi" w:hAnsiTheme="minorHAnsi"/>
          <w:color w:val="auto"/>
          <w:szCs w:val="24"/>
        </w:rPr>
        <w:t xml:space="preserve">  </w:t>
      </w:r>
      <w:r w:rsidRPr="00196A11">
        <w:rPr>
          <w:rFonts w:asciiTheme="minorHAnsi" w:eastAsia="HiddenHorzOCR" w:hAnsiTheme="minorHAnsi"/>
          <w:color w:val="auto"/>
          <w:szCs w:val="24"/>
        </w:rPr>
        <w:t xml:space="preserve">CI sustained a rib injury to the rib cage in May 2002 during training.  Service records reflect medical treatment </w:t>
      </w:r>
      <w:r w:rsidR="00F54E54" w:rsidRPr="00196A11">
        <w:rPr>
          <w:rFonts w:asciiTheme="minorHAnsi" w:eastAsia="HiddenHorzOCR" w:hAnsiTheme="minorHAnsi"/>
          <w:color w:val="auto"/>
          <w:szCs w:val="24"/>
        </w:rPr>
        <w:t>that did not prevent continued training or military duties.</w:t>
      </w:r>
      <w:r w:rsidRPr="00196A11">
        <w:rPr>
          <w:rFonts w:asciiTheme="minorHAnsi" w:eastAsia="HiddenHorzOCR" w:hAnsiTheme="minorHAnsi"/>
          <w:color w:val="auto"/>
          <w:szCs w:val="24"/>
        </w:rPr>
        <w:t xml:space="preserve"> </w:t>
      </w:r>
      <w:r w:rsidR="00F54E54" w:rsidRPr="00196A11">
        <w:rPr>
          <w:rFonts w:asciiTheme="minorHAnsi" w:eastAsia="HiddenHorzOCR" w:hAnsiTheme="minorHAnsi"/>
          <w:color w:val="auto"/>
          <w:szCs w:val="24"/>
        </w:rPr>
        <w:t xml:space="preserve"> </w:t>
      </w:r>
      <w:r w:rsidRPr="00196A11">
        <w:rPr>
          <w:rFonts w:asciiTheme="minorHAnsi" w:eastAsia="HiddenHorzOCR" w:hAnsiTheme="minorHAnsi"/>
          <w:color w:val="auto"/>
          <w:szCs w:val="24"/>
        </w:rPr>
        <w:t>A December 10, 2002</w:t>
      </w:r>
      <w:r w:rsidR="00F54E54" w:rsidRPr="00196A11">
        <w:rPr>
          <w:rFonts w:asciiTheme="minorHAnsi" w:eastAsia="HiddenHorzOCR" w:hAnsiTheme="minorHAnsi"/>
          <w:color w:val="auto"/>
          <w:szCs w:val="24"/>
        </w:rPr>
        <w:t xml:space="preserve"> clinic record documents </w:t>
      </w:r>
      <w:r w:rsidR="005C326C">
        <w:rPr>
          <w:rFonts w:asciiTheme="minorHAnsi" w:eastAsia="HiddenHorzOCR" w:hAnsiTheme="minorHAnsi"/>
          <w:color w:val="auto"/>
          <w:szCs w:val="24"/>
        </w:rPr>
        <w:t xml:space="preserve">his </w:t>
      </w:r>
      <w:r w:rsidR="00F54E54" w:rsidRPr="00196A11">
        <w:rPr>
          <w:rFonts w:asciiTheme="minorHAnsi" w:eastAsia="HiddenHorzOCR" w:hAnsiTheme="minorHAnsi"/>
          <w:color w:val="auto"/>
          <w:szCs w:val="24"/>
        </w:rPr>
        <w:t>return to full duty.  There are no further medical documents reflecting problems with this condition.</w:t>
      </w:r>
      <w:r w:rsidR="004D0D4F" w:rsidRPr="00196A11">
        <w:rPr>
          <w:rFonts w:asciiTheme="minorHAnsi" w:eastAsia="HiddenHorzOCR" w:hAnsiTheme="minorHAnsi"/>
          <w:color w:val="auto"/>
          <w:szCs w:val="24"/>
        </w:rPr>
        <w:t xml:space="preserve">  </w:t>
      </w:r>
      <w:r w:rsidR="004D0D4F" w:rsidRPr="00196A11">
        <w:rPr>
          <w:rFonts w:asciiTheme="minorHAnsi" w:hAnsiTheme="minorHAnsi"/>
          <w:color w:val="auto"/>
          <w:szCs w:val="24"/>
        </w:rPr>
        <w:t xml:space="preserve">CI sustained a fracture of the great toe while </w:t>
      </w:r>
      <w:r w:rsidR="002F76DD" w:rsidRPr="00196A11">
        <w:rPr>
          <w:rFonts w:asciiTheme="minorHAnsi" w:hAnsiTheme="minorHAnsi"/>
          <w:color w:val="auto"/>
          <w:szCs w:val="24"/>
        </w:rPr>
        <w:t xml:space="preserve">playing soccer while </w:t>
      </w:r>
      <w:r w:rsidR="004D0D4F" w:rsidRPr="00196A11">
        <w:rPr>
          <w:rFonts w:asciiTheme="minorHAnsi" w:hAnsiTheme="minorHAnsi"/>
          <w:color w:val="auto"/>
          <w:szCs w:val="24"/>
        </w:rPr>
        <w:t>on active duty in January 2003.</w:t>
      </w:r>
      <w:r w:rsidR="002F76DD" w:rsidRPr="00196A11">
        <w:rPr>
          <w:rFonts w:asciiTheme="minorHAnsi" w:hAnsiTheme="minorHAnsi"/>
          <w:color w:val="auto"/>
          <w:szCs w:val="24"/>
        </w:rPr>
        <w:t xml:space="preserve">  There are no further documented toe problems and records </w:t>
      </w:r>
      <w:r w:rsidR="004D0D4F" w:rsidRPr="00196A11">
        <w:rPr>
          <w:rFonts w:asciiTheme="minorHAnsi" w:hAnsiTheme="minorHAnsi"/>
          <w:color w:val="auto"/>
          <w:szCs w:val="24"/>
        </w:rPr>
        <w:t>indicate he was playing football in October 2003</w:t>
      </w:r>
      <w:r w:rsidR="002F76DD" w:rsidRPr="00196A11">
        <w:rPr>
          <w:rFonts w:asciiTheme="minorHAnsi" w:hAnsiTheme="minorHAnsi"/>
          <w:color w:val="auto"/>
          <w:szCs w:val="24"/>
        </w:rPr>
        <w:t xml:space="preserve">.  </w:t>
      </w:r>
      <w:r w:rsidR="004D0D4F" w:rsidRPr="00196A11">
        <w:rPr>
          <w:rFonts w:asciiTheme="minorHAnsi" w:hAnsiTheme="minorHAnsi"/>
          <w:color w:val="auto"/>
          <w:szCs w:val="24"/>
        </w:rPr>
        <w:t>CI was noted to have mild pes planus at the time of his pre-enlistment medical examination.  At the time of the MEB history and physical examination, pes planus was characteri</w:t>
      </w:r>
      <w:r w:rsidR="00A9735C" w:rsidRPr="00196A11">
        <w:rPr>
          <w:rFonts w:asciiTheme="minorHAnsi" w:hAnsiTheme="minorHAnsi"/>
          <w:color w:val="auto"/>
          <w:szCs w:val="24"/>
        </w:rPr>
        <w:t xml:space="preserve">zed as moderate and </w:t>
      </w:r>
      <w:r w:rsidR="004D0D4F" w:rsidRPr="00196A11">
        <w:rPr>
          <w:rFonts w:asciiTheme="minorHAnsi" w:hAnsiTheme="minorHAnsi"/>
          <w:color w:val="auto"/>
          <w:szCs w:val="24"/>
        </w:rPr>
        <w:t>symptomatic</w:t>
      </w:r>
      <w:r w:rsidR="005C326C">
        <w:rPr>
          <w:rFonts w:asciiTheme="minorHAnsi" w:hAnsiTheme="minorHAnsi"/>
          <w:color w:val="auto"/>
          <w:szCs w:val="24"/>
        </w:rPr>
        <w:t>;</w:t>
      </w:r>
      <w:r w:rsidR="004D0D4F" w:rsidRPr="00196A11">
        <w:rPr>
          <w:rFonts w:asciiTheme="minorHAnsi" w:hAnsiTheme="minorHAnsi"/>
          <w:color w:val="auto"/>
          <w:szCs w:val="24"/>
        </w:rPr>
        <w:t xml:space="preserve"> however</w:t>
      </w:r>
      <w:r w:rsidR="00A9735C" w:rsidRPr="00196A11">
        <w:rPr>
          <w:rFonts w:asciiTheme="minorHAnsi" w:hAnsiTheme="minorHAnsi"/>
          <w:color w:val="auto"/>
          <w:szCs w:val="24"/>
        </w:rPr>
        <w:t>,</w:t>
      </w:r>
      <w:r w:rsidR="004D0D4F" w:rsidRPr="00196A11">
        <w:rPr>
          <w:rFonts w:asciiTheme="minorHAnsi" w:hAnsiTheme="minorHAnsi"/>
          <w:color w:val="auto"/>
          <w:szCs w:val="24"/>
        </w:rPr>
        <w:t xml:space="preserve"> there is no documentation of duty limiting symptoms.  </w:t>
      </w:r>
      <w:r w:rsidR="00F54E54" w:rsidRPr="00EC337D">
        <w:rPr>
          <w:rFonts w:asciiTheme="minorHAnsi" w:hAnsiTheme="minorHAnsi"/>
          <w:color w:val="auto"/>
          <w:szCs w:val="24"/>
        </w:rPr>
        <w:t xml:space="preserve">None of these conditions were </w:t>
      </w:r>
      <w:r w:rsidR="00A9735C" w:rsidRPr="00196A11">
        <w:rPr>
          <w:rFonts w:asciiTheme="minorHAnsi" w:hAnsiTheme="minorHAnsi"/>
          <w:color w:val="auto"/>
          <w:szCs w:val="24"/>
        </w:rPr>
        <w:t>significantly</w:t>
      </w:r>
      <w:r w:rsidR="00A9735C">
        <w:rPr>
          <w:rFonts w:asciiTheme="minorHAnsi" w:hAnsiTheme="minorHAnsi"/>
          <w:color w:val="auto"/>
          <w:szCs w:val="24"/>
        </w:rPr>
        <w:t xml:space="preserve"> </w:t>
      </w:r>
      <w:r w:rsidR="00F54E54" w:rsidRPr="00EC337D">
        <w:rPr>
          <w:rFonts w:asciiTheme="minorHAnsi" w:hAnsiTheme="minorHAnsi"/>
          <w:color w:val="auto"/>
          <w:szCs w:val="24"/>
        </w:rPr>
        <w:t>clinically active during the MEB period</w:t>
      </w:r>
      <w:r w:rsidR="005C326C">
        <w:rPr>
          <w:rFonts w:asciiTheme="minorHAnsi" w:hAnsiTheme="minorHAnsi"/>
          <w:color w:val="auto"/>
          <w:szCs w:val="24"/>
        </w:rPr>
        <w:t>,</w:t>
      </w:r>
      <w:r w:rsidR="00F54E54" w:rsidRPr="00EC337D">
        <w:rPr>
          <w:rFonts w:asciiTheme="minorHAnsi" w:hAnsiTheme="minorHAnsi"/>
          <w:color w:val="auto"/>
          <w:szCs w:val="24"/>
        </w:rPr>
        <w:t xml:space="preserve"> none carried attached profiles</w:t>
      </w:r>
      <w:r w:rsidR="005C326C">
        <w:rPr>
          <w:rFonts w:asciiTheme="minorHAnsi" w:hAnsiTheme="minorHAnsi"/>
          <w:color w:val="auto"/>
          <w:szCs w:val="24"/>
        </w:rPr>
        <w:t>,</w:t>
      </w:r>
      <w:r w:rsidR="00F54E54" w:rsidRPr="00EC337D">
        <w:rPr>
          <w:rFonts w:asciiTheme="minorHAnsi" w:hAnsiTheme="minorHAnsi"/>
          <w:color w:val="auto"/>
          <w:szCs w:val="24"/>
        </w:rPr>
        <w:t xml:space="preserve"> and none were implicated in the </w:t>
      </w:r>
      <w:r w:rsidR="005C326C">
        <w:rPr>
          <w:rFonts w:asciiTheme="minorHAnsi" w:hAnsiTheme="minorHAnsi"/>
          <w:color w:val="auto"/>
          <w:szCs w:val="24"/>
        </w:rPr>
        <w:t>c</w:t>
      </w:r>
      <w:r w:rsidR="00F54E54" w:rsidRPr="00EC337D">
        <w:rPr>
          <w:rFonts w:asciiTheme="minorHAnsi" w:hAnsiTheme="minorHAnsi"/>
          <w:color w:val="auto"/>
          <w:szCs w:val="24"/>
        </w:rPr>
        <w:t xml:space="preserve">ommander’s statement.  These conditions were reviewed by the </w:t>
      </w:r>
      <w:r w:rsidR="005C326C">
        <w:rPr>
          <w:rFonts w:asciiTheme="minorHAnsi" w:hAnsiTheme="minorHAnsi"/>
          <w:color w:val="auto"/>
          <w:szCs w:val="24"/>
        </w:rPr>
        <w:t>a</w:t>
      </w:r>
      <w:r w:rsidR="00F54E54" w:rsidRPr="00EC337D">
        <w:rPr>
          <w:rFonts w:asciiTheme="minorHAnsi" w:hAnsiTheme="minorHAnsi"/>
          <w:color w:val="auto"/>
          <w:szCs w:val="24"/>
        </w:rPr>
        <w:t xml:space="preserve">ction </w:t>
      </w:r>
      <w:r w:rsidR="005C326C">
        <w:rPr>
          <w:rFonts w:asciiTheme="minorHAnsi" w:hAnsiTheme="minorHAnsi"/>
          <w:color w:val="auto"/>
          <w:szCs w:val="24"/>
        </w:rPr>
        <w:t>o</w:t>
      </w:r>
      <w:r w:rsidR="00F54E54" w:rsidRPr="00EC337D">
        <w:rPr>
          <w:rFonts w:asciiTheme="minorHAnsi" w:hAnsiTheme="minorHAnsi"/>
          <w:color w:val="auto"/>
          <w:szCs w:val="24"/>
        </w:rPr>
        <w:t xml:space="preserve">fficer and considered by the Board.  It was determined that none could be argued as unfitting and subject to separation rating.  </w:t>
      </w:r>
      <w:r w:rsidR="00F54E54" w:rsidRPr="00F6196E">
        <w:rPr>
          <w:rFonts w:asciiTheme="minorHAnsi" w:hAnsiTheme="minorHAnsi"/>
          <w:color w:val="auto"/>
          <w:szCs w:val="24"/>
        </w:rPr>
        <w:t>No other conditions were service connected with a compensable rating by the VA within twelve months of separation or contended by the CI.  The Board therefore has no reasonable basis for recommending any additional unfitting conditions for separation rating.</w:t>
      </w:r>
    </w:p>
    <w:p w:rsidR="00A83C15" w:rsidRPr="00A9735C" w:rsidRDefault="00A83C15" w:rsidP="00630690">
      <w:pPr>
        <w:tabs>
          <w:tab w:val="left" w:pos="288"/>
          <w:tab w:val="left" w:pos="4752"/>
        </w:tabs>
        <w:spacing w:line="240" w:lineRule="exact"/>
        <w:jc w:val="both"/>
        <w:rPr>
          <w:rFonts w:asciiTheme="minorHAnsi" w:hAnsiTheme="minorHAnsi"/>
          <w:caps/>
          <w:color w:val="auto"/>
          <w:u w:val="single"/>
        </w:rPr>
      </w:pPr>
      <w:r w:rsidRPr="00A9735C">
        <w:rPr>
          <w:rFonts w:asciiTheme="minorHAnsi" w:hAnsiTheme="minorHAnsi"/>
          <w:color w:val="auto"/>
          <w:u w:val="single"/>
        </w:rPr>
        <w:t>______________________________________________________________________________</w:t>
      </w:r>
    </w:p>
    <w:p w:rsidR="00106AD8" w:rsidRPr="00A9735C" w:rsidRDefault="00106AD8" w:rsidP="00630690">
      <w:pPr>
        <w:tabs>
          <w:tab w:val="left" w:pos="288"/>
          <w:tab w:val="left" w:pos="4752"/>
        </w:tabs>
        <w:spacing w:line="240" w:lineRule="exact"/>
        <w:jc w:val="both"/>
        <w:rPr>
          <w:color w:val="auto"/>
          <w:szCs w:val="24"/>
        </w:rPr>
      </w:pPr>
    </w:p>
    <w:p w:rsidR="0001374B" w:rsidRPr="00B6253C" w:rsidRDefault="00C56FC8" w:rsidP="00630690">
      <w:pPr>
        <w:spacing w:line="240" w:lineRule="exact"/>
        <w:jc w:val="both"/>
        <w:rPr>
          <w:rFonts w:asciiTheme="minorHAnsi" w:eastAsiaTheme="minorHAnsi" w:hAnsiTheme="minorHAnsi"/>
          <w:color w:val="auto"/>
          <w:szCs w:val="24"/>
        </w:rPr>
      </w:pPr>
      <w:r w:rsidRPr="00C276CD">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of DoD or Military Department regulations or guidelines relied upon by the PEB will not be considered by the Board to the extent they were inconsistent with the VASRD in effect at the time of the adjudication.</w:t>
      </w:r>
      <w:r w:rsidR="006533B5">
        <w:rPr>
          <w:rFonts w:asciiTheme="minorHAnsi" w:eastAsiaTheme="minorHAnsi" w:hAnsiTheme="minorHAnsi"/>
          <w:color w:val="auto"/>
          <w:szCs w:val="24"/>
        </w:rPr>
        <w:t xml:space="preserve">  </w:t>
      </w:r>
      <w:r w:rsidR="0001374B" w:rsidRPr="00F65B4F">
        <w:rPr>
          <w:rFonts w:asciiTheme="minorHAnsi" w:eastAsiaTheme="minorHAnsi" w:hAnsiTheme="minorHAnsi"/>
          <w:color w:val="auto"/>
          <w:szCs w:val="24"/>
        </w:rPr>
        <w:t xml:space="preserve">As discussed above, PEB reliance on DoDI 1332.39 for rating the </w:t>
      </w:r>
      <w:r w:rsidR="006533B5">
        <w:rPr>
          <w:rFonts w:asciiTheme="minorHAnsi" w:eastAsiaTheme="minorHAnsi" w:hAnsiTheme="minorHAnsi"/>
          <w:color w:val="auto"/>
          <w:szCs w:val="24"/>
        </w:rPr>
        <w:t xml:space="preserve">bipolar condition </w:t>
      </w:r>
      <w:r w:rsidR="0001374B" w:rsidRPr="00F65B4F">
        <w:rPr>
          <w:rFonts w:asciiTheme="minorHAnsi" w:eastAsiaTheme="minorHAnsi" w:hAnsiTheme="minorHAnsi"/>
          <w:color w:val="auto"/>
          <w:szCs w:val="24"/>
        </w:rPr>
        <w:t>was operant in this case and the condition was adjudicated independently of that instruction and regulation by the Board.</w:t>
      </w:r>
      <w:r w:rsidR="00196A11">
        <w:rPr>
          <w:rFonts w:asciiTheme="minorHAnsi" w:eastAsiaTheme="minorHAnsi" w:hAnsiTheme="minorHAnsi"/>
          <w:color w:val="auto"/>
          <w:szCs w:val="24"/>
        </w:rPr>
        <w:t xml:space="preserve">  </w:t>
      </w:r>
      <w:r w:rsidR="0001374B" w:rsidRPr="00AE3316">
        <w:rPr>
          <w:rFonts w:asciiTheme="minorHAnsi" w:eastAsiaTheme="minorHAnsi" w:hAnsiTheme="minorHAnsi"/>
          <w:color w:val="auto"/>
          <w:szCs w:val="24"/>
        </w:rPr>
        <w:t xml:space="preserve">In the matter of the </w:t>
      </w:r>
      <w:r w:rsidR="0001374B">
        <w:rPr>
          <w:rFonts w:asciiTheme="minorHAnsi" w:eastAsiaTheme="minorHAnsi" w:hAnsiTheme="minorHAnsi"/>
          <w:color w:val="auto"/>
          <w:szCs w:val="24"/>
        </w:rPr>
        <w:t xml:space="preserve">bipolar disorder II condition </w:t>
      </w:r>
      <w:r w:rsidR="0001374B" w:rsidRPr="00AE3316">
        <w:rPr>
          <w:rFonts w:asciiTheme="minorHAnsi" w:eastAsiaTheme="minorHAnsi" w:hAnsiTheme="minorHAnsi"/>
          <w:color w:val="auto"/>
          <w:szCs w:val="24"/>
        </w:rPr>
        <w:t xml:space="preserve">and </w:t>
      </w:r>
      <w:r w:rsidR="0001374B" w:rsidRPr="00AE3316">
        <w:rPr>
          <w:rFonts w:asciiTheme="minorHAnsi" w:hAnsiTheme="minorHAnsi"/>
          <w:color w:val="auto"/>
          <w:szCs w:val="24"/>
        </w:rPr>
        <w:t>IAW VASRD §</w:t>
      </w:r>
      <w:r w:rsidR="0001374B" w:rsidRPr="00473F40">
        <w:rPr>
          <w:rFonts w:asciiTheme="minorHAnsi" w:hAnsiTheme="minorHAnsi"/>
          <w:color w:val="auto"/>
          <w:szCs w:val="24"/>
        </w:rPr>
        <w:t>4.</w:t>
      </w:r>
      <w:r w:rsidR="0001374B">
        <w:rPr>
          <w:rFonts w:asciiTheme="minorHAnsi" w:hAnsiTheme="minorHAnsi"/>
          <w:color w:val="auto"/>
          <w:szCs w:val="24"/>
        </w:rPr>
        <w:t>130</w:t>
      </w:r>
      <w:r w:rsidR="0001374B" w:rsidRPr="00AE3316">
        <w:rPr>
          <w:rFonts w:asciiTheme="minorHAnsi" w:eastAsiaTheme="minorHAnsi" w:hAnsiTheme="minorHAnsi"/>
          <w:color w:val="auto"/>
          <w:szCs w:val="24"/>
        </w:rPr>
        <w:t>, the Board</w:t>
      </w:r>
      <w:r w:rsidR="0001374B">
        <w:rPr>
          <w:rFonts w:asciiTheme="minorHAnsi" w:eastAsiaTheme="minorHAnsi" w:hAnsiTheme="minorHAnsi"/>
          <w:color w:val="auto"/>
          <w:szCs w:val="24"/>
        </w:rPr>
        <w:t xml:space="preserve"> </w:t>
      </w:r>
      <w:r w:rsidR="0001374B" w:rsidRPr="00196A11">
        <w:rPr>
          <w:rFonts w:asciiTheme="minorHAnsi" w:eastAsiaTheme="minorHAnsi" w:hAnsiTheme="minorHAnsi"/>
          <w:color w:val="auto"/>
          <w:szCs w:val="24"/>
        </w:rPr>
        <w:t>unanimously</w:t>
      </w:r>
      <w:r w:rsidR="0001374B" w:rsidRPr="00AE3316">
        <w:rPr>
          <w:rFonts w:asciiTheme="minorHAnsi" w:eastAsiaTheme="minorHAnsi" w:hAnsiTheme="minorHAnsi"/>
          <w:color w:val="auto"/>
          <w:szCs w:val="24"/>
        </w:rPr>
        <w:t xml:space="preserve"> recommends no </w:t>
      </w:r>
      <w:r w:rsidR="0001374B">
        <w:rPr>
          <w:rFonts w:asciiTheme="minorHAnsi" w:eastAsiaTheme="minorHAnsi" w:hAnsiTheme="minorHAnsi"/>
          <w:color w:val="auto"/>
          <w:szCs w:val="24"/>
        </w:rPr>
        <w:t>change in</w:t>
      </w:r>
      <w:r w:rsidR="0001374B" w:rsidRPr="00AE3316">
        <w:rPr>
          <w:rFonts w:asciiTheme="minorHAnsi" w:eastAsiaTheme="minorHAnsi" w:hAnsiTheme="minorHAnsi"/>
          <w:color w:val="auto"/>
          <w:szCs w:val="24"/>
        </w:rPr>
        <w:t xml:space="preserve"> the PEB </w:t>
      </w:r>
      <w:r w:rsidR="006533B5">
        <w:rPr>
          <w:rFonts w:asciiTheme="minorHAnsi" w:eastAsiaTheme="minorHAnsi" w:hAnsiTheme="minorHAnsi"/>
          <w:color w:val="auto"/>
          <w:szCs w:val="24"/>
        </w:rPr>
        <w:t>rating</w:t>
      </w:r>
      <w:r w:rsidR="0001374B" w:rsidRPr="00196A11">
        <w:rPr>
          <w:rFonts w:asciiTheme="minorHAnsi" w:eastAsiaTheme="minorHAnsi" w:hAnsiTheme="minorHAnsi"/>
          <w:color w:val="auto"/>
          <w:szCs w:val="24"/>
        </w:rPr>
        <w:t>.</w:t>
      </w:r>
      <w:r w:rsidR="00196A11" w:rsidRPr="00196A11">
        <w:rPr>
          <w:rFonts w:asciiTheme="minorHAnsi" w:eastAsiaTheme="minorHAnsi" w:hAnsiTheme="minorHAnsi"/>
          <w:color w:val="auto"/>
          <w:szCs w:val="24"/>
        </w:rPr>
        <w:t xml:space="preserve">  </w:t>
      </w:r>
      <w:r w:rsidR="0001374B" w:rsidRPr="00F65B4F">
        <w:rPr>
          <w:rFonts w:asciiTheme="minorHAnsi" w:eastAsiaTheme="minorHAnsi" w:hAnsiTheme="minorHAnsi"/>
          <w:color w:val="auto"/>
          <w:szCs w:val="24"/>
        </w:rPr>
        <w:t xml:space="preserve">In the matter of the </w:t>
      </w:r>
      <w:r w:rsidR="0001374B">
        <w:rPr>
          <w:rFonts w:asciiTheme="minorHAnsi" w:eastAsiaTheme="minorHAnsi" w:hAnsiTheme="minorHAnsi"/>
          <w:color w:val="auto"/>
          <w:szCs w:val="24"/>
        </w:rPr>
        <w:t>bilateral hip osteoarthritis</w:t>
      </w:r>
      <w:r w:rsidR="0001374B" w:rsidRPr="00F65B4F">
        <w:rPr>
          <w:rFonts w:asciiTheme="minorHAnsi" w:eastAsiaTheme="minorHAnsi" w:hAnsiTheme="minorHAnsi"/>
          <w:color w:val="auto"/>
          <w:szCs w:val="24"/>
        </w:rPr>
        <w:t xml:space="preserve">, the Board </w:t>
      </w:r>
      <w:r w:rsidR="0001374B" w:rsidRPr="00196A11">
        <w:rPr>
          <w:rFonts w:asciiTheme="minorHAnsi" w:eastAsiaTheme="minorHAnsi" w:hAnsiTheme="minorHAnsi"/>
          <w:color w:val="auto"/>
          <w:szCs w:val="24"/>
        </w:rPr>
        <w:t>unanimously</w:t>
      </w:r>
      <w:r w:rsidR="0001374B" w:rsidRPr="00F65B4F">
        <w:rPr>
          <w:rFonts w:asciiTheme="minorHAnsi" w:eastAsiaTheme="minorHAnsi" w:hAnsiTheme="minorHAnsi"/>
          <w:color w:val="auto"/>
          <w:szCs w:val="24"/>
        </w:rPr>
        <w:t xml:space="preserve"> agrees that it cannot recommend a finding of </w:t>
      </w:r>
      <w:r w:rsidR="0001374B">
        <w:rPr>
          <w:rFonts w:asciiTheme="minorHAnsi" w:eastAsiaTheme="minorHAnsi" w:hAnsiTheme="minorHAnsi"/>
          <w:color w:val="auto"/>
          <w:szCs w:val="24"/>
        </w:rPr>
        <w:t xml:space="preserve">service incurred or permanently aggravated </w:t>
      </w:r>
      <w:r w:rsidR="0001374B" w:rsidRPr="00F65B4F">
        <w:rPr>
          <w:rFonts w:asciiTheme="minorHAnsi" w:eastAsiaTheme="minorHAnsi" w:hAnsiTheme="minorHAnsi"/>
          <w:color w:val="auto"/>
          <w:szCs w:val="24"/>
        </w:rPr>
        <w:t>for additional rating at separation.</w:t>
      </w:r>
      <w:r w:rsidR="00196A11">
        <w:rPr>
          <w:rFonts w:asciiTheme="minorHAnsi" w:eastAsiaTheme="minorHAnsi" w:hAnsiTheme="minorHAnsi"/>
          <w:color w:val="auto"/>
          <w:szCs w:val="24"/>
        </w:rPr>
        <w:t xml:space="preserve">  </w:t>
      </w:r>
      <w:r w:rsidR="0001374B" w:rsidRPr="00F65B4F">
        <w:rPr>
          <w:rFonts w:asciiTheme="minorHAnsi" w:eastAsiaTheme="minorHAnsi" w:hAnsiTheme="minorHAnsi"/>
          <w:color w:val="auto"/>
          <w:szCs w:val="24"/>
        </w:rPr>
        <w:t xml:space="preserve">In the matter of </w:t>
      </w:r>
      <w:r w:rsidR="0001374B" w:rsidRPr="00196A11">
        <w:rPr>
          <w:rFonts w:asciiTheme="minorHAnsi" w:eastAsiaTheme="minorHAnsi" w:hAnsiTheme="minorHAnsi"/>
          <w:color w:val="auto"/>
          <w:szCs w:val="24"/>
        </w:rPr>
        <w:t>back pain, rib injury/</w:t>
      </w:r>
      <w:proofErr w:type="spellStart"/>
      <w:r w:rsidR="0001374B" w:rsidRPr="00196A11">
        <w:rPr>
          <w:rFonts w:asciiTheme="minorHAnsi" w:eastAsiaTheme="minorHAnsi" w:hAnsiTheme="minorHAnsi"/>
          <w:color w:val="auto"/>
          <w:szCs w:val="24"/>
        </w:rPr>
        <w:t>costochondritis</w:t>
      </w:r>
      <w:proofErr w:type="spellEnd"/>
      <w:r w:rsidR="0001374B" w:rsidRPr="00196A11">
        <w:rPr>
          <w:rFonts w:asciiTheme="minorHAnsi" w:eastAsiaTheme="minorHAnsi" w:hAnsiTheme="minorHAnsi"/>
          <w:color w:val="auto"/>
          <w:szCs w:val="24"/>
        </w:rPr>
        <w:t xml:space="preserve">, fracture of the left great toe, and pes planus, </w:t>
      </w:r>
      <w:r w:rsidR="0001374B" w:rsidRPr="00F65B4F">
        <w:rPr>
          <w:rFonts w:asciiTheme="minorHAnsi" w:eastAsiaTheme="minorHAnsi" w:hAnsiTheme="minorHAnsi"/>
          <w:color w:val="auto"/>
          <w:szCs w:val="24"/>
        </w:rPr>
        <w:t>or any other medical conditions eligible for Board consideration</w:t>
      </w:r>
      <w:r w:rsidR="005C326C">
        <w:rPr>
          <w:rFonts w:asciiTheme="minorHAnsi" w:eastAsiaTheme="minorHAnsi" w:hAnsiTheme="minorHAnsi"/>
          <w:color w:val="auto"/>
          <w:szCs w:val="24"/>
        </w:rPr>
        <w:t>,</w:t>
      </w:r>
      <w:r w:rsidR="0001374B" w:rsidRPr="00F65B4F">
        <w:rPr>
          <w:rFonts w:asciiTheme="minorHAnsi" w:eastAsiaTheme="minorHAnsi" w:hAnsiTheme="minorHAnsi"/>
          <w:color w:val="auto"/>
          <w:szCs w:val="24"/>
        </w:rPr>
        <w:t xml:space="preserve"> the Board </w:t>
      </w:r>
      <w:r w:rsidR="0001374B" w:rsidRPr="00196A11">
        <w:rPr>
          <w:rFonts w:asciiTheme="minorHAnsi" w:eastAsiaTheme="minorHAnsi" w:hAnsiTheme="minorHAnsi"/>
          <w:color w:val="auto"/>
          <w:szCs w:val="24"/>
        </w:rPr>
        <w:t>unanimously</w:t>
      </w:r>
      <w:r w:rsidR="0001374B" w:rsidRPr="00F65B4F">
        <w:rPr>
          <w:rFonts w:asciiTheme="minorHAnsi" w:eastAsiaTheme="minorHAnsi" w:hAnsiTheme="minorHAnsi"/>
          <w:color w:val="auto"/>
          <w:szCs w:val="24"/>
        </w:rPr>
        <w:t xml:space="preserve"> agrees that it cannot recommend any findings of unfit for additional rating at </w:t>
      </w:r>
      <w:r w:rsidR="0001374B" w:rsidRPr="00B6253C">
        <w:rPr>
          <w:rFonts w:asciiTheme="minorHAnsi" w:eastAsiaTheme="minorHAnsi" w:hAnsiTheme="minorHAnsi"/>
          <w:color w:val="auto"/>
          <w:szCs w:val="24"/>
        </w:rPr>
        <w:t>separation.</w:t>
      </w:r>
    </w:p>
    <w:p w:rsidR="00A83C15" w:rsidRPr="00B6253C" w:rsidRDefault="00A83C15" w:rsidP="00630690">
      <w:pPr>
        <w:tabs>
          <w:tab w:val="left" w:pos="288"/>
          <w:tab w:val="left" w:pos="4752"/>
        </w:tabs>
        <w:spacing w:line="240" w:lineRule="exact"/>
        <w:jc w:val="both"/>
        <w:rPr>
          <w:rFonts w:asciiTheme="minorHAnsi" w:hAnsiTheme="minorHAnsi"/>
          <w:caps/>
          <w:color w:val="auto"/>
          <w:u w:val="single"/>
        </w:rPr>
      </w:pPr>
      <w:r w:rsidRPr="00B6253C">
        <w:rPr>
          <w:rFonts w:asciiTheme="minorHAnsi" w:hAnsiTheme="minorHAnsi"/>
          <w:color w:val="auto"/>
          <w:u w:val="single"/>
        </w:rPr>
        <w:t>______________________________________________________________________________</w:t>
      </w:r>
    </w:p>
    <w:p w:rsidR="00106AD8" w:rsidRPr="00B6253C" w:rsidRDefault="00106AD8" w:rsidP="00630690">
      <w:pPr>
        <w:tabs>
          <w:tab w:val="left" w:pos="288"/>
          <w:tab w:val="left" w:pos="4752"/>
        </w:tabs>
        <w:spacing w:line="240" w:lineRule="exact"/>
        <w:jc w:val="both"/>
        <w:rPr>
          <w:color w:val="auto"/>
          <w:szCs w:val="24"/>
        </w:rPr>
      </w:pPr>
    </w:p>
    <w:p w:rsidR="000623EF" w:rsidRDefault="000623EF">
      <w:pPr>
        <w:rPr>
          <w:rFonts w:asciiTheme="minorHAnsi" w:hAnsiTheme="minorHAnsi"/>
          <w:color w:val="auto"/>
          <w:szCs w:val="24"/>
          <w:u w:val="single"/>
        </w:rPr>
      </w:pPr>
      <w:r>
        <w:rPr>
          <w:rFonts w:asciiTheme="minorHAnsi" w:hAnsiTheme="minorHAnsi"/>
          <w:color w:val="auto"/>
          <w:szCs w:val="24"/>
          <w:u w:val="single"/>
        </w:rPr>
        <w:br w:type="page"/>
      </w:r>
    </w:p>
    <w:p w:rsidR="004D0D4F" w:rsidRPr="000623EF" w:rsidRDefault="00C56FC8" w:rsidP="00630690">
      <w:pPr>
        <w:spacing w:line="240" w:lineRule="exact"/>
        <w:jc w:val="both"/>
        <w:rPr>
          <w:rFonts w:asciiTheme="minorHAnsi" w:hAnsiTheme="minorHAnsi"/>
          <w:color w:val="auto"/>
          <w:szCs w:val="24"/>
        </w:rPr>
      </w:pPr>
      <w:r w:rsidRPr="00396779">
        <w:rPr>
          <w:rFonts w:asciiTheme="minorHAnsi" w:hAnsiTheme="minorHAnsi"/>
          <w:color w:val="auto"/>
          <w:szCs w:val="24"/>
          <w:u w:val="single"/>
        </w:rPr>
        <w:lastRenderedPageBreak/>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4D0D4F">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that there be </w:t>
      </w:r>
      <w:r w:rsidRPr="000623EF">
        <w:rPr>
          <w:rFonts w:asciiTheme="minorHAnsi" w:hAnsiTheme="minorHAnsi"/>
          <w:color w:val="auto"/>
          <w:szCs w:val="24"/>
        </w:rPr>
        <w:t>no recharacterization of the CI’s disability and separation determination.</w:t>
      </w:r>
      <w:r w:rsidR="003604A5" w:rsidRPr="000623EF">
        <w:rPr>
          <w:rFonts w:asciiTheme="minorHAnsi" w:hAnsiTheme="minorHAnsi"/>
          <w:color w:val="auto"/>
          <w:szCs w:val="24"/>
        </w:rPr>
        <w:t xml:space="preserve"> </w:t>
      </w:r>
    </w:p>
    <w:p w:rsidR="009732B8" w:rsidRPr="000623EF" w:rsidRDefault="009732B8" w:rsidP="00630690">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B6253C" w:rsidRPr="000623EF" w:rsidTr="005B5D7F">
        <w:trPr>
          <w:trHeight w:val="233"/>
          <w:jc w:val="center"/>
        </w:trPr>
        <w:tc>
          <w:tcPr>
            <w:tcW w:w="6480" w:type="dxa"/>
            <w:shd w:val="clear" w:color="auto" w:fill="D9D9D9"/>
          </w:tcPr>
          <w:p w:rsidR="00B6253C" w:rsidRPr="000623EF" w:rsidRDefault="00B6253C" w:rsidP="00B6253C">
            <w:pPr>
              <w:tabs>
                <w:tab w:val="left" w:pos="288"/>
                <w:tab w:val="left" w:pos="4752"/>
              </w:tabs>
              <w:spacing w:before="20" w:line="240" w:lineRule="exact"/>
              <w:jc w:val="both"/>
              <w:rPr>
                <w:rFonts w:asciiTheme="minorHAnsi" w:hAnsiTheme="minorHAnsi"/>
                <w:b/>
                <w:color w:val="auto"/>
                <w:szCs w:val="24"/>
              </w:rPr>
            </w:pPr>
            <w:r w:rsidRPr="000623EF">
              <w:rPr>
                <w:rFonts w:asciiTheme="minorHAnsi" w:hAnsiTheme="minorHAnsi"/>
                <w:b/>
                <w:color w:val="auto"/>
                <w:szCs w:val="24"/>
              </w:rPr>
              <w:t>UNFITTING CONDITION</w:t>
            </w:r>
          </w:p>
        </w:tc>
        <w:tc>
          <w:tcPr>
            <w:tcW w:w="1710" w:type="dxa"/>
            <w:shd w:val="clear" w:color="auto" w:fill="D9D9D9"/>
          </w:tcPr>
          <w:p w:rsidR="00B6253C" w:rsidRPr="000623EF" w:rsidRDefault="00B6253C" w:rsidP="00B6253C">
            <w:pPr>
              <w:tabs>
                <w:tab w:val="left" w:pos="288"/>
                <w:tab w:val="left" w:pos="4752"/>
              </w:tabs>
              <w:spacing w:before="20" w:line="240" w:lineRule="exact"/>
              <w:jc w:val="center"/>
              <w:rPr>
                <w:rFonts w:asciiTheme="minorHAnsi" w:hAnsiTheme="minorHAnsi"/>
                <w:b/>
                <w:color w:val="auto"/>
                <w:szCs w:val="24"/>
              </w:rPr>
            </w:pPr>
            <w:r w:rsidRPr="000623EF">
              <w:rPr>
                <w:rFonts w:asciiTheme="minorHAnsi" w:hAnsiTheme="minorHAnsi"/>
                <w:b/>
                <w:color w:val="auto"/>
                <w:szCs w:val="24"/>
              </w:rPr>
              <w:t>VASRD CODE</w:t>
            </w:r>
          </w:p>
        </w:tc>
        <w:tc>
          <w:tcPr>
            <w:tcW w:w="1170" w:type="dxa"/>
            <w:shd w:val="clear" w:color="auto" w:fill="D9D9D9"/>
          </w:tcPr>
          <w:p w:rsidR="00B6253C" w:rsidRPr="000623EF" w:rsidRDefault="00B6253C" w:rsidP="00B6253C">
            <w:pPr>
              <w:tabs>
                <w:tab w:val="left" w:pos="288"/>
                <w:tab w:val="left" w:pos="4752"/>
              </w:tabs>
              <w:spacing w:before="20" w:line="240" w:lineRule="exact"/>
              <w:jc w:val="center"/>
              <w:rPr>
                <w:rFonts w:asciiTheme="minorHAnsi" w:hAnsiTheme="minorHAnsi"/>
                <w:b/>
                <w:color w:val="auto"/>
                <w:szCs w:val="24"/>
              </w:rPr>
            </w:pPr>
            <w:r w:rsidRPr="000623EF">
              <w:rPr>
                <w:rFonts w:asciiTheme="minorHAnsi" w:hAnsiTheme="minorHAnsi"/>
                <w:b/>
                <w:color w:val="auto"/>
                <w:szCs w:val="24"/>
              </w:rPr>
              <w:t>RATING</w:t>
            </w:r>
          </w:p>
        </w:tc>
      </w:tr>
      <w:tr w:rsidR="00B6253C" w:rsidRPr="000623EF" w:rsidTr="00B6253C">
        <w:trPr>
          <w:jc w:val="center"/>
        </w:trPr>
        <w:tc>
          <w:tcPr>
            <w:tcW w:w="6480" w:type="dxa"/>
            <w:tcBorders>
              <w:bottom w:val="single" w:sz="4" w:space="0" w:color="auto"/>
            </w:tcBorders>
            <w:vAlign w:val="center"/>
          </w:tcPr>
          <w:p w:rsidR="00B6253C" w:rsidRPr="000623EF" w:rsidRDefault="00B6253C" w:rsidP="00B6253C">
            <w:pPr>
              <w:spacing w:line="240" w:lineRule="exact"/>
              <w:contextualSpacing/>
              <w:rPr>
                <w:color w:val="auto"/>
                <w:szCs w:val="24"/>
              </w:rPr>
            </w:pPr>
            <w:r w:rsidRPr="000623EF">
              <w:rPr>
                <w:color w:val="auto"/>
                <w:szCs w:val="24"/>
              </w:rPr>
              <w:t>Bipolar Disorder II</w:t>
            </w:r>
          </w:p>
        </w:tc>
        <w:tc>
          <w:tcPr>
            <w:tcW w:w="1710" w:type="dxa"/>
            <w:tcBorders>
              <w:bottom w:val="single" w:sz="4" w:space="0" w:color="auto"/>
            </w:tcBorders>
            <w:vAlign w:val="center"/>
          </w:tcPr>
          <w:p w:rsidR="00B6253C" w:rsidRPr="000623EF" w:rsidRDefault="00B6253C" w:rsidP="00B6253C">
            <w:pPr>
              <w:spacing w:line="240" w:lineRule="exact"/>
              <w:contextualSpacing/>
              <w:jc w:val="center"/>
              <w:rPr>
                <w:color w:val="auto"/>
                <w:szCs w:val="24"/>
              </w:rPr>
            </w:pPr>
            <w:r w:rsidRPr="000623EF">
              <w:rPr>
                <w:color w:val="auto"/>
                <w:szCs w:val="24"/>
              </w:rPr>
              <w:t>9432</w:t>
            </w:r>
          </w:p>
        </w:tc>
        <w:tc>
          <w:tcPr>
            <w:tcW w:w="1170" w:type="dxa"/>
            <w:tcBorders>
              <w:bottom w:val="single" w:sz="4" w:space="0" w:color="auto"/>
            </w:tcBorders>
            <w:vAlign w:val="center"/>
          </w:tcPr>
          <w:p w:rsidR="00B6253C" w:rsidRPr="000623EF" w:rsidRDefault="00B6253C" w:rsidP="00B6253C">
            <w:pPr>
              <w:spacing w:line="240" w:lineRule="exact"/>
              <w:contextualSpacing/>
              <w:jc w:val="center"/>
              <w:rPr>
                <w:color w:val="auto"/>
                <w:szCs w:val="24"/>
              </w:rPr>
            </w:pPr>
            <w:r w:rsidRPr="000623EF">
              <w:rPr>
                <w:color w:val="auto"/>
                <w:szCs w:val="24"/>
              </w:rPr>
              <w:t>10%</w:t>
            </w:r>
          </w:p>
        </w:tc>
      </w:tr>
      <w:tr w:rsidR="00B6253C" w:rsidRPr="000623EF" w:rsidTr="00B6253C">
        <w:trPr>
          <w:jc w:val="center"/>
        </w:trPr>
        <w:tc>
          <w:tcPr>
            <w:tcW w:w="6480" w:type="dxa"/>
            <w:tcBorders>
              <w:top w:val="single" w:sz="4" w:space="0" w:color="auto"/>
              <w:left w:val="single" w:sz="4" w:space="0" w:color="auto"/>
              <w:bottom w:val="single" w:sz="4" w:space="0" w:color="auto"/>
              <w:right w:val="single" w:sz="4" w:space="0" w:color="auto"/>
            </w:tcBorders>
          </w:tcPr>
          <w:p w:rsidR="00B6253C" w:rsidRPr="000623EF" w:rsidRDefault="00B6253C" w:rsidP="00B6253C">
            <w:pPr>
              <w:tabs>
                <w:tab w:val="left" w:pos="288"/>
                <w:tab w:val="left" w:pos="4752"/>
              </w:tabs>
              <w:spacing w:line="240" w:lineRule="exact"/>
              <w:jc w:val="both"/>
              <w:rPr>
                <w:rFonts w:asciiTheme="minorHAnsi" w:hAnsiTheme="minorHAnsi"/>
                <w:color w:val="auto"/>
                <w:szCs w:val="24"/>
              </w:rPr>
            </w:pPr>
            <w:r w:rsidRPr="000623EF">
              <w:rPr>
                <w:color w:val="auto"/>
                <w:szCs w:val="24"/>
              </w:rPr>
              <w:t>Bilateral Hip Osteoarthritis</w:t>
            </w:r>
          </w:p>
        </w:tc>
        <w:tc>
          <w:tcPr>
            <w:tcW w:w="1710" w:type="dxa"/>
            <w:tcBorders>
              <w:top w:val="single" w:sz="4" w:space="0" w:color="auto"/>
              <w:left w:val="single" w:sz="4" w:space="0" w:color="auto"/>
              <w:bottom w:val="single" w:sz="4" w:space="0" w:color="auto"/>
              <w:right w:val="single" w:sz="4" w:space="0" w:color="auto"/>
            </w:tcBorders>
          </w:tcPr>
          <w:p w:rsidR="00B6253C" w:rsidRPr="000623EF" w:rsidRDefault="00B6253C" w:rsidP="00B6253C">
            <w:pPr>
              <w:tabs>
                <w:tab w:val="left" w:pos="288"/>
                <w:tab w:val="left" w:pos="4752"/>
              </w:tabs>
              <w:spacing w:line="240" w:lineRule="exact"/>
              <w:jc w:val="center"/>
              <w:rPr>
                <w:rFonts w:asciiTheme="minorHAnsi" w:hAnsiTheme="minorHAnsi"/>
                <w:color w:val="auto"/>
                <w:szCs w:val="24"/>
              </w:rPr>
            </w:pPr>
            <w:r w:rsidRPr="000623EF">
              <w:rPr>
                <w:rFonts w:asciiTheme="minorHAnsi" w:hAnsiTheme="minorHAnsi"/>
                <w:color w:val="auto"/>
                <w:szCs w:val="24"/>
              </w:rPr>
              <w:t>EPTS</w:t>
            </w:r>
          </w:p>
        </w:tc>
        <w:tc>
          <w:tcPr>
            <w:tcW w:w="1170" w:type="dxa"/>
            <w:tcBorders>
              <w:top w:val="single" w:sz="4" w:space="0" w:color="auto"/>
              <w:left w:val="single" w:sz="4" w:space="0" w:color="auto"/>
              <w:bottom w:val="single" w:sz="4" w:space="0" w:color="auto"/>
              <w:right w:val="single" w:sz="4" w:space="0" w:color="auto"/>
            </w:tcBorders>
          </w:tcPr>
          <w:p w:rsidR="00B6253C" w:rsidRPr="000623EF" w:rsidRDefault="00B6253C" w:rsidP="00B6253C">
            <w:pPr>
              <w:tabs>
                <w:tab w:val="left" w:pos="288"/>
                <w:tab w:val="left" w:pos="4752"/>
              </w:tabs>
              <w:spacing w:line="240" w:lineRule="exact"/>
              <w:jc w:val="center"/>
              <w:rPr>
                <w:rFonts w:asciiTheme="minorHAnsi" w:hAnsiTheme="minorHAnsi"/>
                <w:color w:val="auto"/>
                <w:szCs w:val="24"/>
              </w:rPr>
            </w:pPr>
            <w:r w:rsidRPr="000623EF">
              <w:rPr>
                <w:rFonts w:asciiTheme="minorHAnsi" w:hAnsiTheme="minorHAnsi"/>
                <w:color w:val="auto"/>
                <w:szCs w:val="24"/>
              </w:rPr>
              <w:t>--</w:t>
            </w:r>
          </w:p>
        </w:tc>
      </w:tr>
      <w:tr w:rsidR="00B6253C" w:rsidRPr="000623EF" w:rsidTr="005B5D7F">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B6253C" w:rsidRPr="000623EF" w:rsidRDefault="00B6253C" w:rsidP="00B6253C">
            <w:pPr>
              <w:tabs>
                <w:tab w:val="left" w:pos="288"/>
                <w:tab w:val="left" w:pos="4752"/>
              </w:tabs>
              <w:spacing w:before="20" w:line="240" w:lineRule="exact"/>
              <w:jc w:val="center"/>
              <w:rPr>
                <w:rFonts w:asciiTheme="minorHAnsi" w:hAnsiTheme="minorHAnsi"/>
                <w:b/>
                <w:color w:val="auto"/>
                <w:szCs w:val="24"/>
              </w:rPr>
            </w:pPr>
            <w:r w:rsidRPr="000623E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B6253C" w:rsidRPr="000623EF" w:rsidRDefault="00B6253C" w:rsidP="00B6253C">
            <w:pPr>
              <w:tabs>
                <w:tab w:val="left" w:pos="288"/>
                <w:tab w:val="left" w:pos="4752"/>
              </w:tabs>
              <w:spacing w:before="20" w:line="240" w:lineRule="exact"/>
              <w:jc w:val="center"/>
              <w:rPr>
                <w:rFonts w:asciiTheme="minorHAnsi" w:hAnsiTheme="minorHAnsi"/>
                <w:b/>
                <w:color w:val="auto"/>
                <w:szCs w:val="24"/>
              </w:rPr>
            </w:pPr>
            <w:r w:rsidRPr="000623EF">
              <w:rPr>
                <w:rFonts w:asciiTheme="minorHAnsi" w:hAnsiTheme="minorHAnsi"/>
                <w:b/>
                <w:color w:val="auto"/>
                <w:szCs w:val="24"/>
              </w:rPr>
              <w:t>10%</w:t>
            </w:r>
          </w:p>
        </w:tc>
      </w:tr>
    </w:tbl>
    <w:p w:rsidR="00196A11" w:rsidRPr="000623EF" w:rsidRDefault="00196A11" w:rsidP="000452D7">
      <w:pPr>
        <w:tabs>
          <w:tab w:val="left" w:pos="288"/>
          <w:tab w:val="left" w:pos="1710"/>
        </w:tabs>
        <w:spacing w:line="240" w:lineRule="exact"/>
        <w:jc w:val="both"/>
        <w:rPr>
          <w:rFonts w:asciiTheme="minorHAnsi" w:hAnsiTheme="minorHAnsi"/>
          <w:color w:val="auto"/>
          <w:szCs w:val="24"/>
          <w:highlight w:val="yellow"/>
        </w:rPr>
      </w:pPr>
    </w:p>
    <w:p w:rsidR="00A83C15" w:rsidRPr="000623EF" w:rsidRDefault="00A83C15" w:rsidP="007F0AB7">
      <w:pPr>
        <w:tabs>
          <w:tab w:val="left" w:pos="288"/>
          <w:tab w:val="left" w:pos="1710"/>
        </w:tabs>
        <w:spacing w:line="240" w:lineRule="exact"/>
        <w:rPr>
          <w:rFonts w:asciiTheme="minorHAnsi" w:hAnsiTheme="minorHAnsi"/>
          <w:caps/>
          <w:color w:val="auto"/>
          <w:u w:val="single"/>
        </w:rPr>
      </w:pPr>
      <w:r w:rsidRPr="000623EF">
        <w:rPr>
          <w:rFonts w:asciiTheme="minorHAnsi" w:hAnsiTheme="minorHAnsi"/>
          <w:color w:val="auto"/>
          <w:u w:val="single"/>
        </w:rPr>
        <w:t>______________________________________________________________________________</w:t>
      </w:r>
    </w:p>
    <w:p w:rsidR="00106AD8" w:rsidRPr="000623EF" w:rsidRDefault="00106AD8" w:rsidP="000452D7">
      <w:pPr>
        <w:tabs>
          <w:tab w:val="left" w:pos="288"/>
          <w:tab w:val="left" w:pos="4752"/>
        </w:tabs>
        <w:spacing w:line="240" w:lineRule="exact"/>
        <w:rPr>
          <w:color w:val="auto"/>
          <w:szCs w:val="24"/>
        </w:rPr>
      </w:pPr>
    </w:p>
    <w:p w:rsidR="00D91DA6" w:rsidRPr="00006186" w:rsidRDefault="00FB1725" w:rsidP="000452D7">
      <w:pPr>
        <w:tabs>
          <w:tab w:val="left" w:pos="288"/>
          <w:tab w:val="left" w:pos="4752"/>
        </w:tabs>
        <w:spacing w:line="240" w:lineRule="exact"/>
        <w:jc w:val="both"/>
        <w:rPr>
          <w:rFonts w:asciiTheme="minorHAnsi" w:hAnsiTheme="minorHAnsi"/>
          <w:color w:val="auto"/>
        </w:rPr>
      </w:pPr>
      <w:r w:rsidRPr="000623EF">
        <w:rPr>
          <w:rFonts w:asciiTheme="minorHAnsi" w:hAnsiTheme="minorHAnsi"/>
          <w:color w:val="auto"/>
        </w:rPr>
        <w:t>The following</w:t>
      </w:r>
      <w:r>
        <w:rPr>
          <w:rFonts w:asciiTheme="minorHAnsi" w:hAnsiTheme="minorHAnsi"/>
          <w:color w:val="auto"/>
        </w:rPr>
        <w:t xml:space="preserve"> documentary evidence was considered:</w:t>
      </w:r>
    </w:p>
    <w:p w:rsidR="00EB5EFD" w:rsidRPr="00006186" w:rsidRDefault="00EB5EFD" w:rsidP="000452D7">
      <w:pPr>
        <w:tabs>
          <w:tab w:val="left" w:pos="288"/>
          <w:tab w:val="left" w:pos="4752"/>
        </w:tabs>
        <w:spacing w:line="240" w:lineRule="exact"/>
        <w:jc w:val="both"/>
        <w:rPr>
          <w:rFonts w:asciiTheme="minorHAnsi" w:hAnsiTheme="minorHAnsi"/>
          <w:color w:val="auto"/>
        </w:rPr>
      </w:pP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3B5A81">
        <w:rPr>
          <w:rFonts w:asciiTheme="minorHAnsi" w:hAnsiTheme="minorHAnsi"/>
          <w:color w:val="auto"/>
        </w:rPr>
        <w:t>091201</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0452D7">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114F20" w:rsidRPr="00006186" w:rsidRDefault="00114F20" w:rsidP="000452D7">
      <w:pPr>
        <w:tabs>
          <w:tab w:val="left" w:pos="288"/>
          <w:tab w:val="left" w:pos="4752"/>
        </w:tabs>
        <w:spacing w:line="240" w:lineRule="exact"/>
        <w:jc w:val="both"/>
        <w:rPr>
          <w:rFonts w:asciiTheme="minorHAnsi" w:hAnsiTheme="minorHAnsi"/>
          <w:color w:val="auto"/>
        </w:rPr>
      </w:pPr>
    </w:p>
    <w:p w:rsidR="0035322A" w:rsidRDefault="00FB1725" w:rsidP="0035322A">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35322A" w:rsidRDefault="0035322A">
      <w:pPr>
        <w:rPr>
          <w:rFonts w:asciiTheme="minorHAnsi" w:hAnsiTheme="minorHAnsi"/>
          <w:color w:val="auto"/>
        </w:rPr>
      </w:pPr>
      <w:r>
        <w:rPr>
          <w:rFonts w:asciiTheme="minorHAnsi" w:hAnsiTheme="minorHAnsi"/>
          <w:color w:val="auto"/>
        </w:rPr>
        <w:br w:type="page"/>
      </w:r>
    </w:p>
    <w:p w:rsidR="0035322A" w:rsidRDefault="0035322A" w:rsidP="0035322A">
      <w:pPr>
        <w:jc w:val="both"/>
      </w:pPr>
      <w:r>
        <w:lastRenderedPageBreak/>
        <w:t>MEMORANDUM FOR DIRECTOR, SECRETARY OF THE NAVY COUNCIL</w:t>
      </w:r>
    </w:p>
    <w:p w:rsidR="0035322A" w:rsidRDefault="0035322A" w:rsidP="0035322A">
      <w:pPr>
        <w:tabs>
          <w:tab w:val="left" w:pos="2430"/>
        </w:tabs>
        <w:jc w:val="both"/>
      </w:pPr>
      <w:r>
        <w:t xml:space="preserve">                                  </w:t>
      </w:r>
      <w:r>
        <w:tab/>
        <w:t xml:space="preserve">OF REVIEW BOARDS </w:t>
      </w:r>
    </w:p>
    <w:p w:rsidR="0035322A" w:rsidRDefault="0035322A" w:rsidP="0035322A">
      <w:pPr>
        <w:jc w:val="both"/>
      </w:pPr>
    </w:p>
    <w:p w:rsidR="0035322A" w:rsidRDefault="0035322A" w:rsidP="0035322A">
      <w:pPr>
        <w:jc w:val="both"/>
      </w:pPr>
      <w:proofErr w:type="spellStart"/>
      <w:r>
        <w:t>Subj</w:t>
      </w:r>
      <w:proofErr w:type="spellEnd"/>
      <w:r>
        <w:t>:  PHYSICAL DISABILITY BOARD OF REVIEW (PDBR) RECOMMENDATION</w:t>
      </w:r>
    </w:p>
    <w:p w:rsidR="0035322A" w:rsidRDefault="0035322A" w:rsidP="0035322A">
      <w:pPr>
        <w:tabs>
          <w:tab w:val="left" w:pos="270"/>
        </w:tabs>
        <w:jc w:val="both"/>
      </w:pPr>
      <w:r>
        <w:t xml:space="preserve">    </w:t>
      </w:r>
      <w:r>
        <w:tab/>
        <w:t xml:space="preserve">       </w:t>
      </w:r>
    </w:p>
    <w:p w:rsidR="0035322A" w:rsidRDefault="0035322A" w:rsidP="0035322A">
      <w:pPr>
        <w:jc w:val="both"/>
      </w:pPr>
    </w:p>
    <w:p w:rsidR="0035322A" w:rsidRDefault="0035322A" w:rsidP="0035322A">
      <w:pPr>
        <w:jc w:val="both"/>
      </w:pPr>
      <w:r>
        <w:t xml:space="preserve">Ref:   (a) </w:t>
      </w:r>
      <w:proofErr w:type="spellStart"/>
      <w:r>
        <w:t>DoDI</w:t>
      </w:r>
      <w:proofErr w:type="spellEnd"/>
      <w:r>
        <w:t xml:space="preserve"> 6040.44</w:t>
      </w:r>
    </w:p>
    <w:p w:rsidR="0035322A" w:rsidRDefault="0035322A" w:rsidP="0035322A">
      <w:pPr>
        <w:ind w:left="-540"/>
        <w:jc w:val="both"/>
      </w:pPr>
      <w:r>
        <w:t xml:space="preserve">                   (b) PDBR </w:t>
      </w:r>
      <w:proofErr w:type="spellStart"/>
      <w:r>
        <w:t>ltr</w:t>
      </w:r>
      <w:proofErr w:type="spellEnd"/>
      <w:r>
        <w:t xml:space="preserve"> </w:t>
      </w:r>
      <w:proofErr w:type="spellStart"/>
      <w:r>
        <w:t>dtd</w:t>
      </w:r>
      <w:proofErr w:type="spellEnd"/>
      <w:r>
        <w:t xml:space="preserve"> 8 Apr 11</w:t>
      </w:r>
    </w:p>
    <w:p w:rsidR="0035322A" w:rsidRDefault="0035322A" w:rsidP="0035322A">
      <w:pPr>
        <w:ind w:left="-540"/>
        <w:jc w:val="both"/>
      </w:pPr>
    </w:p>
    <w:p w:rsidR="0035322A" w:rsidRDefault="0035322A" w:rsidP="0035322A">
      <w:pPr>
        <w:tabs>
          <w:tab w:val="left" w:pos="4680"/>
        </w:tabs>
        <w:jc w:val="both"/>
      </w:pPr>
      <w:r>
        <w:t xml:space="preserve">      I have reviewed the subject case pursuant to reference (a) and, for the reasons set forth in reference (b), approve the recommendation of the Physical Disability Board of Review    </w:t>
      </w:r>
      <w:proofErr w:type="spellStart"/>
      <w:r>
        <w:t>xxxxxxxxxx</w:t>
      </w:r>
      <w:proofErr w:type="spellEnd"/>
      <w:r>
        <w:t xml:space="preserve"> records not be corrected to reflect a change in either his characterization of separation or in the disability rating previously assigned by the Department of the Navy’s Physical Evaluation Board.</w:t>
      </w:r>
    </w:p>
    <w:p w:rsidR="0035322A" w:rsidRDefault="0035322A" w:rsidP="0035322A">
      <w:pPr>
        <w:jc w:val="both"/>
      </w:pPr>
    </w:p>
    <w:p w:rsidR="0035322A" w:rsidRDefault="0035322A" w:rsidP="0035322A">
      <w:pPr>
        <w:jc w:val="both"/>
      </w:pPr>
    </w:p>
    <w:p w:rsidR="0035322A" w:rsidRDefault="0035322A" w:rsidP="0035322A">
      <w:pPr>
        <w:jc w:val="both"/>
      </w:pPr>
    </w:p>
    <w:p w:rsidR="0035322A" w:rsidRDefault="0035322A" w:rsidP="0035322A">
      <w:pPr>
        <w:tabs>
          <w:tab w:val="left" w:pos="4680"/>
        </w:tabs>
        <w:jc w:val="both"/>
      </w:pPr>
      <w:r>
        <w:tab/>
        <w:t xml:space="preserve"> </w:t>
      </w:r>
    </w:p>
    <w:p w:rsidR="0035322A" w:rsidRDefault="0035322A" w:rsidP="0035322A">
      <w:pPr>
        <w:jc w:val="both"/>
      </w:pPr>
      <w:r>
        <w:tab/>
      </w:r>
      <w:r>
        <w:tab/>
      </w:r>
      <w:r>
        <w:tab/>
      </w:r>
      <w:r>
        <w:tab/>
      </w:r>
      <w:r>
        <w:tab/>
      </w:r>
      <w:r>
        <w:tab/>
        <w:t xml:space="preserve">      Assistant General Counsel</w:t>
      </w:r>
    </w:p>
    <w:p w:rsidR="0035322A" w:rsidRDefault="0035322A" w:rsidP="0035322A">
      <w:pPr>
        <w:jc w:val="both"/>
      </w:pPr>
      <w:r>
        <w:tab/>
      </w:r>
      <w:r>
        <w:tab/>
      </w:r>
      <w:r>
        <w:tab/>
      </w:r>
      <w:r>
        <w:tab/>
      </w:r>
      <w:r>
        <w:tab/>
      </w:r>
      <w:r>
        <w:tab/>
        <w:t xml:space="preserve">         (Manpower &amp; Reserve Affairs)</w:t>
      </w:r>
    </w:p>
    <w:p w:rsidR="004D0D4F" w:rsidRDefault="004D0D4F" w:rsidP="0035322A">
      <w:pPr>
        <w:tabs>
          <w:tab w:val="left" w:pos="0"/>
          <w:tab w:val="left" w:pos="4320"/>
        </w:tabs>
        <w:spacing w:line="240" w:lineRule="exact"/>
        <w:jc w:val="both"/>
        <w:rPr>
          <w:rFonts w:asciiTheme="minorHAnsi" w:hAnsiTheme="minorHAnsi"/>
          <w:b/>
          <w:color w:val="auto"/>
          <w:szCs w:val="24"/>
          <w:u w:val="single"/>
        </w:rPr>
      </w:pPr>
    </w:p>
    <w:sectPr w:rsidR="004D0D4F" w:rsidSect="002A5C3C">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DB" w:rsidRDefault="00CA33DB">
      <w:r>
        <w:separator/>
      </w:r>
    </w:p>
  </w:endnote>
  <w:endnote w:type="continuationSeparator" w:id="0">
    <w:p w:rsidR="00CA33DB" w:rsidRDefault="00CA33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4766"/>
      <w:docPartObj>
        <w:docPartGallery w:val="Page Numbers (Bottom of Page)"/>
        <w:docPartUnique/>
      </w:docPartObj>
    </w:sdtPr>
    <w:sdtEndPr>
      <w:rPr>
        <w:color w:val="auto"/>
      </w:rPr>
    </w:sdtEndPr>
    <w:sdtContent>
      <w:p w:rsidR="0013191F" w:rsidRPr="00B32C47" w:rsidRDefault="007A7E24" w:rsidP="00F65ED5">
        <w:pPr>
          <w:pStyle w:val="Footer"/>
          <w:jc w:val="right"/>
          <w:rPr>
            <w:color w:val="auto"/>
          </w:rPr>
        </w:pPr>
        <w:r w:rsidRPr="00B32C47">
          <w:rPr>
            <w:color w:val="auto"/>
          </w:rPr>
          <w:fldChar w:fldCharType="begin"/>
        </w:r>
        <w:r w:rsidR="0013191F" w:rsidRPr="00B32C47">
          <w:rPr>
            <w:color w:val="auto"/>
          </w:rPr>
          <w:instrText xml:space="preserve"> PAGE   \* MERGEFORMAT </w:instrText>
        </w:r>
        <w:r w:rsidRPr="00B32C47">
          <w:rPr>
            <w:color w:val="auto"/>
          </w:rPr>
          <w:fldChar w:fldCharType="separate"/>
        </w:r>
        <w:r w:rsidR="00C24344">
          <w:rPr>
            <w:noProof/>
            <w:color w:val="auto"/>
          </w:rPr>
          <w:t>6</w:t>
        </w:r>
        <w:r w:rsidRPr="00B32C47">
          <w:rPr>
            <w:color w:val="auto"/>
          </w:rPr>
          <w:fldChar w:fldCharType="end"/>
        </w:r>
        <w:r w:rsidR="0013191F" w:rsidRPr="00B32C47">
          <w:rPr>
            <w:color w:val="auto"/>
          </w:rPr>
          <w:t xml:space="preserve">                                                           PD200900733</w:t>
        </w:r>
      </w:p>
    </w:sdtContent>
  </w:sdt>
  <w:p w:rsidR="0013191F" w:rsidRPr="00B32C47" w:rsidRDefault="0013191F">
    <w:pPr>
      <w:pStyle w:val="Footer"/>
      <w:rPr>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91F" w:rsidRPr="00396779" w:rsidRDefault="0013191F" w:rsidP="00EA52FE">
    <w:pPr>
      <w:pStyle w:val="Footer"/>
      <w:jc w:val="right"/>
      <w:rPr>
        <w:rFonts w:asciiTheme="minorHAnsi" w:hAnsiTheme="minorHAnsi"/>
        <w:color w:val="auto"/>
      </w:rPr>
    </w:pPr>
    <w:r>
      <w:t xml:space="preserve">                      </w:t>
    </w:r>
  </w:p>
  <w:p w:rsidR="0013191F" w:rsidRDefault="0013191F" w:rsidP="004766C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DB" w:rsidRDefault="00CA33DB">
      <w:r>
        <w:separator/>
      </w:r>
    </w:p>
  </w:footnote>
  <w:footnote w:type="continuationSeparator" w:id="0">
    <w:p w:rsidR="00CA33DB" w:rsidRDefault="00CA3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4753"/>
  </w:hdrShapeDefaults>
  <w:footnotePr>
    <w:numRestart w:val="eachSect"/>
    <w:footnote w:id="-1"/>
    <w:footnote w:id="0"/>
  </w:footnotePr>
  <w:endnotePr>
    <w:endnote w:id="-1"/>
    <w:endnote w:id="0"/>
  </w:endnotePr>
  <w:compat/>
  <w:rsids>
    <w:rsidRoot w:val="001C28D1"/>
    <w:rsid w:val="00001229"/>
    <w:rsid w:val="000059FA"/>
    <w:rsid w:val="00006186"/>
    <w:rsid w:val="00006F87"/>
    <w:rsid w:val="00007107"/>
    <w:rsid w:val="00010ABA"/>
    <w:rsid w:val="00012428"/>
    <w:rsid w:val="00013417"/>
    <w:rsid w:val="0001374B"/>
    <w:rsid w:val="000145C2"/>
    <w:rsid w:val="0001473F"/>
    <w:rsid w:val="00014A9E"/>
    <w:rsid w:val="00021361"/>
    <w:rsid w:val="00022CF3"/>
    <w:rsid w:val="00023913"/>
    <w:rsid w:val="00023D43"/>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2234"/>
    <w:rsid w:val="00053D7C"/>
    <w:rsid w:val="000575C5"/>
    <w:rsid w:val="000577C9"/>
    <w:rsid w:val="000623EF"/>
    <w:rsid w:val="0006431E"/>
    <w:rsid w:val="00065E21"/>
    <w:rsid w:val="00072433"/>
    <w:rsid w:val="00075702"/>
    <w:rsid w:val="000775C2"/>
    <w:rsid w:val="000806AD"/>
    <w:rsid w:val="00082482"/>
    <w:rsid w:val="00084CF2"/>
    <w:rsid w:val="00085D7B"/>
    <w:rsid w:val="0008708B"/>
    <w:rsid w:val="00092619"/>
    <w:rsid w:val="00092C66"/>
    <w:rsid w:val="000949DD"/>
    <w:rsid w:val="00094E4F"/>
    <w:rsid w:val="000A2BCE"/>
    <w:rsid w:val="000A33C8"/>
    <w:rsid w:val="000A41E3"/>
    <w:rsid w:val="000A4BBA"/>
    <w:rsid w:val="000A4CE4"/>
    <w:rsid w:val="000A5071"/>
    <w:rsid w:val="000B0966"/>
    <w:rsid w:val="000B0AD2"/>
    <w:rsid w:val="000B1022"/>
    <w:rsid w:val="000B2FB8"/>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3817"/>
    <w:rsid w:val="000D43F9"/>
    <w:rsid w:val="000D4717"/>
    <w:rsid w:val="000D6457"/>
    <w:rsid w:val="000D7D55"/>
    <w:rsid w:val="000E0993"/>
    <w:rsid w:val="000E37E0"/>
    <w:rsid w:val="000E3F20"/>
    <w:rsid w:val="000E478F"/>
    <w:rsid w:val="000E6308"/>
    <w:rsid w:val="000E7034"/>
    <w:rsid w:val="000F02BE"/>
    <w:rsid w:val="000F0928"/>
    <w:rsid w:val="000F427B"/>
    <w:rsid w:val="000F43D0"/>
    <w:rsid w:val="000F4F18"/>
    <w:rsid w:val="000F688E"/>
    <w:rsid w:val="000F7181"/>
    <w:rsid w:val="001008C1"/>
    <w:rsid w:val="001023DB"/>
    <w:rsid w:val="00103CCF"/>
    <w:rsid w:val="0010417F"/>
    <w:rsid w:val="001042D2"/>
    <w:rsid w:val="0010530E"/>
    <w:rsid w:val="00105C07"/>
    <w:rsid w:val="00106AD8"/>
    <w:rsid w:val="00107EC5"/>
    <w:rsid w:val="001103CD"/>
    <w:rsid w:val="00114F20"/>
    <w:rsid w:val="001211AF"/>
    <w:rsid w:val="00121601"/>
    <w:rsid w:val="001219DF"/>
    <w:rsid w:val="0012220B"/>
    <w:rsid w:val="00122ABE"/>
    <w:rsid w:val="001231DC"/>
    <w:rsid w:val="0012489B"/>
    <w:rsid w:val="001272AE"/>
    <w:rsid w:val="00127D7F"/>
    <w:rsid w:val="001315DD"/>
    <w:rsid w:val="0013191F"/>
    <w:rsid w:val="00134EFF"/>
    <w:rsid w:val="0013525F"/>
    <w:rsid w:val="00135385"/>
    <w:rsid w:val="001364D1"/>
    <w:rsid w:val="00142EBA"/>
    <w:rsid w:val="00143B79"/>
    <w:rsid w:val="0014642B"/>
    <w:rsid w:val="001470A1"/>
    <w:rsid w:val="001503D7"/>
    <w:rsid w:val="00150B8A"/>
    <w:rsid w:val="00150DCB"/>
    <w:rsid w:val="00151912"/>
    <w:rsid w:val="00153740"/>
    <w:rsid w:val="001541C5"/>
    <w:rsid w:val="0015623F"/>
    <w:rsid w:val="00156585"/>
    <w:rsid w:val="00156BA9"/>
    <w:rsid w:val="00161761"/>
    <w:rsid w:val="00166182"/>
    <w:rsid w:val="00166C19"/>
    <w:rsid w:val="001745DD"/>
    <w:rsid w:val="00177659"/>
    <w:rsid w:val="00177766"/>
    <w:rsid w:val="001779E5"/>
    <w:rsid w:val="00181240"/>
    <w:rsid w:val="00182A4C"/>
    <w:rsid w:val="001834EE"/>
    <w:rsid w:val="00183F77"/>
    <w:rsid w:val="001844D8"/>
    <w:rsid w:val="00185DA8"/>
    <w:rsid w:val="00185ECB"/>
    <w:rsid w:val="001865E0"/>
    <w:rsid w:val="001870F0"/>
    <w:rsid w:val="00190E48"/>
    <w:rsid w:val="0019273F"/>
    <w:rsid w:val="00193814"/>
    <w:rsid w:val="00193AD5"/>
    <w:rsid w:val="00194930"/>
    <w:rsid w:val="00196A11"/>
    <w:rsid w:val="001A025E"/>
    <w:rsid w:val="001A08CD"/>
    <w:rsid w:val="001A0A1E"/>
    <w:rsid w:val="001A2182"/>
    <w:rsid w:val="001A48C0"/>
    <w:rsid w:val="001A5320"/>
    <w:rsid w:val="001A5E62"/>
    <w:rsid w:val="001A6848"/>
    <w:rsid w:val="001A7538"/>
    <w:rsid w:val="001B0B1A"/>
    <w:rsid w:val="001B41E8"/>
    <w:rsid w:val="001B4EC2"/>
    <w:rsid w:val="001B5B59"/>
    <w:rsid w:val="001B60E0"/>
    <w:rsid w:val="001B7C8C"/>
    <w:rsid w:val="001C0688"/>
    <w:rsid w:val="001C181A"/>
    <w:rsid w:val="001C1877"/>
    <w:rsid w:val="001C2053"/>
    <w:rsid w:val="001C252F"/>
    <w:rsid w:val="001C28D1"/>
    <w:rsid w:val="001C3473"/>
    <w:rsid w:val="001C5CFC"/>
    <w:rsid w:val="001C7418"/>
    <w:rsid w:val="001C7EBE"/>
    <w:rsid w:val="001D0051"/>
    <w:rsid w:val="001D2224"/>
    <w:rsid w:val="001D31AA"/>
    <w:rsid w:val="001D4F88"/>
    <w:rsid w:val="001D68CF"/>
    <w:rsid w:val="001D6A8C"/>
    <w:rsid w:val="001D76F0"/>
    <w:rsid w:val="001D7A56"/>
    <w:rsid w:val="001E15C0"/>
    <w:rsid w:val="001E18E0"/>
    <w:rsid w:val="001E18E2"/>
    <w:rsid w:val="001E19D0"/>
    <w:rsid w:val="001E2A30"/>
    <w:rsid w:val="001E521A"/>
    <w:rsid w:val="001E635C"/>
    <w:rsid w:val="001F1E3B"/>
    <w:rsid w:val="00200AA0"/>
    <w:rsid w:val="00202325"/>
    <w:rsid w:val="00202736"/>
    <w:rsid w:val="00203652"/>
    <w:rsid w:val="00205B4F"/>
    <w:rsid w:val="002060B6"/>
    <w:rsid w:val="002066B5"/>
    <w:rsid w:val="002119B6"/>
    <w:rsid w:val="00212B40"/>
    <w:rsid w:val="00213BD0"/>
    <w:rsid w:val="00214DBA"/>
    <w:rsid w:val="002151AB"/>
    <w:rsid w:val="00215ED6"/>
    <w:rsid w:val="00216049"/>
    <w:rsid w:val="002163FA"/>
    <w:rsid w:val="00217606"/>
    <w:rsid w:val="00217C09"/>
    <w:rsid w:val="002206AA"/>
    <w:rsid w:val="00220F5C"/>
    <w:rsid w:val="00221B9B"/>
    <w:rsid w:val="00225196"/>
    <w:rsid w:val="00225CB4"/>
    <w:rsid w:val="00226B1A"/>
    <w:rsid w:val="0023049F"/>
    <w:rsid w:val="002316F6"/>
    <w:rsid w:val="00232C9B"/>
    <w:rsid w:val="00232E73"/>
    <w:rsid w:val="00232F09"/>
    <w:rsid w:val="002335D5"/>
    <w:rsid w:val="002338CA"/>
    <w:rsid w:val="00233FE5"/>
    <w:rsid w:val="00234B3B"/>
    <w:rsid w:val="002374C9"/>
    <w:rsid w:val="00240779"/>
    <w:rsid w:val="0024174E"/>
    <w:rsid w:val="0024227D"/>
    <w:rsid w:val="00242D14"/>
    <w:rsid w:val="00246860"/>
    <w:rsid w:val="00246DFF"/>
    <w:rsid w:val="00246E89"/>
    <w:rsid w:val="0025183C"/>
    <w:rsid w:val="002528EC"/>
    <w:rsid w:val="00255049"/>
    <w:rsid w:val="00257DE5"/>
    <w:rsid w:val="00260531"/>
    <w:rsid w:val="00260B9A"/>
    <w:rsid w:val="0026318D"/>
    <w:rsid w:val="00270864"/>
    <w:rsid w:val="002712F7"/>
    <w:rsid w:val="0027159C"/>
    <w:rsid w:val="002722F2"/>
    <w:rsid w:val="00274549"/>
    <w:rsid w:val="00274E46"/>
    <w:rsid w:val="002769AF"/>
    <w:rsid w:val="00276C86"/>
    <w:rsid w:val="00277217"/>
    <w:rsid w:val="002810A4"/>
    <w:rsid w:val="00282F90"/>
    <w:rsid w:val="00284A26"/>
    <w:rsid w:val="00287006"/>
    <w:rsid w:val="00292AB2"/>
    <w:rsid w:val="00293FE8"/>
    <w:rsid w:val="00294437"/>
    <w:rsid w:val="00297A45"/>
    <w:rsid w:val="002A233F"/>
    <w:rsid w:val="002A3237"/>
    <w:rsid w:val="002A58B7"/>
    <w:rsid w:val="002A5943"/>
    <w:rsid w:val="002A5C3C"/>
    <w:rsid w:val="002A685E"/>
    <w:rsid w:val="002A72C7"/>
    <w:rsid w:val="002B03B2"/>
    <w:rsid w:val="002B0749"/>
    <w:rsid w:val="002B0C12"/>
    <w:rsid w:val="002B2645"/>
    <w:rsid w:val="002B4E22"/>
    <w:rsid w:val="002B601A"/>
    <w:rsid w:val="002B6FA0"/>
    <w:rsid w:val="002C3B6D"/>
    <w:rsid w:val="002C5D9D"/>
    <w:rsid w:val="002C5F10"/>
    <w:rsid w:val="002C6E5B"/>
    <w:rsid w:val="002D18B4"/>
    <w:rsid w:val="002D231A"/>
    <w:rsid w:val="002D7787"/>
    <w:rsid w:val="002E1877"/>
    <w:rsid w:val="002E1C31"/>
    <w:rsid w:val="002E2E0F"/>
    <w:rsid w:val="002E333A"/>
    <w:rsid w:val="002E3474"/>
    <w:rsid w:val="002E400C"/>
    <w:rsid w:val="002E49C3"/>
    <w:rsid w:val="002E5114"/>
    <w:rsid w:val="002E5988"/>
    <w:rsid w:val="002E59D0"/>
    <w:rsid w:val="002E7570"/>
    <w:rsid w:val="002E764B"/>
    <w:rsid w:val="002F0E28"/>
    <w:rsid w:val="002F287E"/>
    <w:rsid w:val="002F2981"/>
    <w:rsid w:val="002F2D63"/>
    <w:rsid w:val="002F52CC"/>
    <w:rsid w:val="002F6AD8"/>
    <w:rsid w:val="002F76DD"/>
    <w:rsid w:val="002F7F81"/>
    <w:rsid w:val="00300A36"/>
    <w:rsid w:val="00304188"/>
    <w:rsid w:val="0030678B"/>
    <w:rsid w:val="00310CD7"/>
    <w:rsid w:val="0032136A"/>
    <w:rsid w:val="00323E70"/>
    <w:rsid w:val="003258A7"/>
    <w:rsid w:val="00325BA2"/>
    <w:rsid w:val="00326B1C"/>
    <w:rsid w:val="00326C08"/>
    <w:rsid w:val="00326F7F"/>
    <w:rsid w:val="00327227"/>
    <w:rsid w:val="003320E8"/>
    <w:rsid w:val="003328FD"/>
    <w:rsid w:val="0033334F"/>
    <w:rsid w:val="0033555E"/>
    <w:rsid w:val="00336805"/>
    <w:rsid w:val="00337351"/>
    <w:rsid w:val="00341A54"/>
    <w:rsid w:val="0034669F"/>
    <w:rsid w:val="00351498"/>
    <w:rsid w:val="00352B22"/>
    <w:rsid w:val="00352CBF"/>
    <w:rsid w:val="0035322A"/>
    <w:rsid w:val="00354547"/>
    <w:rsid w:val="003567DE"/>
    <w:rsid w:val="003574F3"/>
    <w:rsid w:val="003604A5"/>
    <w:rsid w:val="00360C3A"/>
    <w:rsid w:val="0036319E"/>
    <w:rsid w:val="003632A4"/>
    <w:rsid w:val="00363362"/>
    <w:rsid w:val="00367D4F"/>
    <w:rsid w:val="00370743"/>
    <w:rsid w:val="00370EF5"/>
    <w:rsid w:val="0037135B"/>
    <w:rsid w:val="00372251"/>
    <w:rsid w:val="0037520D"/>
    <w:rsid w:val="00375724"/>
    <w:rsid w:val="00375809"/>
    <w:rsid w:val="0037628C"/>
    <w:rsid w:val="00376B81"/>
    <w:rsid w:val="00376E08"/>
    <w:rsid w:val="00377BD2"/>
    <w:rsid w:val="00380FD4"/>
    <w:rsid w:val="003821E1"/>
    <w:rsid w:val="003840F6"/>
    <w:rsid w:val="00384866"/>
    <w:rsid w:val="003857D4"/>
    <w:rsid w:val="00385D6F"/>
    <w:rsid w:val="00386D43"/>
    <w:rsid w:val="00387095"/>
    <w:rsid w:val="00390092"/>
    <w:rsid w:val="00390270"/>
    <w:rsid w:val="00393651"/>
    <w:rsid w:val="0039497A"/>
    <w:rsid w:val="00395651"/>
    <w:rsid w:val="00395E12"/>
    <w:rsid w:val="00396779"/>
    <w:rsid w:val="00397DB7"/>
    <w:rsid w:val="003A27B2"/>
    <w:rsid w:val="003A40B4"/>
    <w:rsid w:val="003A41BA"/>
    <w:rsid w:val="003A5491"/>
    <w:rsid w:val="003A6A99"/>
    <w:rsid w:val="003A6EF1"/>
    <w:rsid w:val="003A7DCF"/>
    <w:rsid w:val="003A7FF8"/>
    <w:rsid w:val="003B17AC"/>
    <w:rsid w:val="003B227A"/>
    <w:rsid w:val="003B55D7"/>
    <w:rsid w:val="003B5854"/>
    <w:rsid w:val="003B5A81"/>
    <w:rsid w:val="003B6764"/>
    <w:rsid w:val="003B7E77"/>
    <w:rsid w:val="003C2891"/>
    <w:rsid w:val="003C5046"/>
    <w:rsid w:val="003C6068"/>
    <w:rsid w:val="003C6A4F"/>
    <w:rsid w:val="003D1562"/>
    <w:rsid w:val="003D2BA3"/>
    <w:rsid w:val="003D3C22"/>
    <w:rsid w:val="003D56A0"/>
    <w:rsid w:val="003D7089"/>
    <w:rsid w:val="003D7DDB"/>
    <w:rsid w:val="003E02C7"/>
    <w:rsid w:val="003E0543"/>
    <w:rsid w:val="003E061D"/>
    <w:rsid w:val="003E0B5A"/>
    <w:rsid w:val="003E31E3"/>
    <w:rsid w:val="003E46D1"/>
    <w:rsid w:val="003E6214"/>
    <w:rsid w:val="003F070E"/>
    <w:rsid w:val="003F1206"/>
    <w:rsid w:val="003F2D19"/>
    <w:rsid w:val="003F58B0"/>
    <w:rsid w:val="003F776F"/>
    <w:rsid w:val="0040070B"/>
    <w:rsid w:val="004007E9"/>
    <w:rsid w:val="00400810"/>
    <w:rsid w:val="00401825"/>
    <w:rsid w:val="00401BBC"/>
    <w:rsid w:val="00403BFB"/>
    <w:rsid w:val="00404B45"/>
    <w:rsid w:val="00406CC5"/>
    <w:rsid w:val="004074A4"/>
    <w:rsid w:val="004101B2"/>
    <w:rsid w:val="004123D7"/>
    <w:rsid w:val="00412658"/>
    <w:rsid w:val="004129DA"/>
    <w:rsid w:val="00415EA4"/>
    <w:rsid w:val="0041604B"/>
    <w:rsid w:val="004172DB"/>
    <w:rsid w:val="00421485"/>
    <w:rsid w:val="00422B75"/>
    <w:rsid w:val="00424612"/>
    <w:rsid w:val="00425A6A"/>
    <w:rsid w:val="00425A8A"/>
    <w:rsid w:val="00427F54"/>
    <w:rsid w:val="00433F36"/>
    <w:rsid w:val="0043503A"/>
    <w:rsid w:val="00437D77"/>
    <w:rsid w:val="00442009"/>
    <w:rsid w:val="004435BE"/>
    <w:rsid w:val="0044384F"/>
    <w:rsid w:val="0044411E"/>
    <w:rsid w:val="00444F80"/>
    <w:rsid w:val="00446018"/>
    <w:rsid w:val="0045027B"/>
    <w:rsid w:val="004543BC"/>
    <w:rsid w:val="00455ABB"/>
    <w:rsid w:val="0045645D"/>
    <w:rsid w:val="004574C6"/>
    <w:rsid w:val="00457BCF"/>
    <w:rsid w:val="00457DCE"/>
    <w:rsid w:val="00460E3F"/>
    <w:rsid w:val="00462F68"/>
    <w:rsid w:val="004640E9"/>
    <w:rsid w:val="00466CED"/>
    <w:rsid w:val="00467592"/>
    <w:rsid w:val="00467690"/>
    <w:rsid w:val="004718E7"/>
    <w:rsid w:val="00472535"/>
    <w:rsid w:val="004761CC"/>
    <w:rsid w:val="004766C9"/>
    <w:rsid w:val="00480D4A"/>
    <w:rsid w:val="00481DA1"/>
    <w:rsid w:val="00484212"/>
    <w:rsid w:val="00486720"/>
    <w:rsid w:val="0049255F"/>
    <w:rsid w:val="0049445D"/>
    <w:rsid w:val="00495350"/>
    <w:rsid w:val="00497156"/>
    <w:rsid w:val="004A0C79"/>
    <w:rsid w:val="004A24D2"/>
    <w:rsid w:val="004A3214"/>
    <w:rsid w:val="004A4136"/>
    <w:rsid w:val="004A417B"/>
    <w:rsid w:val="004A4378"/>
    <w:rsid w:val="004B03F3"/>
    <w:rsid w:val="004B0CC9"/>
    <w:rsid w:val="004B2536"/>
    <w:rsid w:val="004B6AF3"/>
    <w:rsid w:val="004B715E"/>
    <w:rsid w:val="004B7169"/>
    <w:rsid w:val="004B79C9"/>
    <w:rsid w:val="004C0776"/>
    <w:rsid w:val="004C2E19"/>
    <w:rsid w:val="004C5E33"/>
    <w:rsid w:val="004C60A3"/>
    <w:rsid w:val="004C6CDA"/>
    <w:rsid w:val="004D0D4F"/>
    <w:rsid w:val="004D10D4"/>
    <w:rsid w:val="004D16BD"/>
    <w:rsid w:val="004D2AAB"/>
    <w:rsid w:val="004D6F2B"/>
    <w:rsid w:val="004E0248"/>
    <w:rsid w:val="004E21A3"/>
    <w:rsid w:val="004E32EA"/>
    <w:rsid w:val="004E6866"/>
    <w:rsid w:val="004F0D63"/>
    <w:rsid w:val="004F3222"/>
    <w:rsid w:val="004F3BFA"/>
    <w:rsid w:val="004F530D"/>
    <w:rsid w:val="004F7B90"/>
    <w:rsid w:val="005000AB"/>
    <w:rsid w:val="00500F3C"/>
    <w:rsid w:val="005025EE"/>
    <w:rsid w:val="00505524"/>
    <w:rsid w:val="00506688"/>
    <w:rsid w:val="00510588"/>
    <w:rsid w:val="0051146C"/>
    <w:rsid w:val="0051220B"/>
    <w:rsid w:val="00512484"/>
    <w:rsid w:val="00514449"/>
    <w:rsid w:val="00515419"/>
    <w:rsid w:val="005157BD"/>
    <w:rsid w:val="00521466"/>
    <w:rsid w:val="005214A3"/>
    <w:rsid w:val="005222E7"/>
    <w:rsid w:val="00523A8B"/>
    <w:rsid w:val="00523E04"/>
    <w:rsid w:val="00525003"/>
    <w:rsid w:val="0052590B"/>
    <w:rsid w:val="00526591"/>
    <w:rsid w:val="00527178"/>
    <w:rsid w:val="005278CB"/>
    <w:rsid w:val="005322B5"/>
    <w:rsid w:val="00534D42"/>
    <w:rsid w:val="005350A5"/>
    <w:rsid w:val="00536379"/>
    <w:rsid w:val="00537238"/>
    <w:rsid w:val="005400C5"/>
    <w:rsid w:val="00540BE0"/>
    <w:rsid w:val="00540BEF"/>
    <w:rsid w:val="00542C9A"/>
    <w:rsid w:val="005436C2"/>
    <w:rsid w:val="005442D4"/>
    <w:rsid w:val="00544999"/>
    <w:rsid w:val="0054586A"/>
    <w:rsid w:val="0054631F"/>
    <w:rsid w:val="00546C24"/>
    <w:rsid w:val="0055288D"/>
    <w:rsid w:val="005532C0"/>
    <w:rsid w:val="00555259"/>
    <w:rsid w:val="005569EF"/>
    <w:rsid w:val="00560D57"/>
    <w:rsid w:val="00562A94"/>
    <w:rsid w:val="00563794"/>
    <w:rsid w:val="00570754"/>
    <w:rsid w:val="005709F7"/>
    <w:rsid w:val="005710A9"/>
    <w:rsid w:val="00571D1B"/>
    <w:rsid w:val="005738F5"/>
    <w:rsid w:val="00573D34"/>
    <w:rsid w:val="0058039C"/>
    <w:rsid w:val="00580841"/>
    <w:rsid w:val="00580A63"/>
    <w:rsid w:val="00580C99"/>
    <w:rsid w:val="00583379"/>
    <w:rsid w:val="0058417C"/>
    <w:rsid w:val="00586EC6"/>
    <w:rsid w:val="00587DDE"/>
    <w:rsid w:val="00593043"/>
    <w:rsid w:val="00595BF0"/>
    <w:rsid w:val="005A0B1D"/>
    <w:rsid w:val="005A1846"/>
    <w:rsid w:val="005A258C"/>
    <w:rsid w:val="005A3560"/>
    <w:rsid w:val="005A464E"/>
    <w:rsid w:val="005A62FC"/>
    <w:rsid w:val="005A6C99"/>
    <w:rsid w:val="005A718B"/>
    <w:rsid w:val="005A7D5D"/>
    <w:rsid w:val="005B011A"/>
    <w:rsid w:val="005B1D8F"/>
    <w:rsid w:val="005B1E94"/>
    <w:rsid w:val="005B5B3D"/>
    <w:rsid w:val="005B64CF"/>
    <w:rsid w:val="005C16F3"/>
    <w:rsid w:val="005C326C"/>
    <w:rsid w:val="005C3758"/>
    <w:rsid w:val="005C4D72"/>
    <w:rsid w:val="005D01C5"/>
    <w:rsid w:val="005D5E91"/>
    <w:rsid w:val="005D5F3B"/>
    <w:rsid w:val="005D67EF"/>
    <w:rsid w:val="005E3064"/>
    <w:rsid w:val="005E72B2"/>
    <w:rsid w:val="005F1115"/>
    <w:rsid w:val="005F1AB6"/>
    <w:rsid w:val="005F27F2"/>
    <w:rsid w:val="005F3AFE"/>
    <w:rsid w:val="005F424D"/>
    <w:rsid w:val="005F6B6D"/>
    <w:rsid w:val="00605AAB"/>
    <w:rsid w:val="00606BEB"/>
    <w:rsid w:val="0061014A"/>
    <w:rsid w:val="0061054B"/>
    <w:rsid w:val="00613E26"/>
    <w:rsid w:val="00615641"/>
    <w:rsid w:val="00615E3A"/>
    <w:rsid w:val="00616959"/>
    <w:rsid w:val="006211D0"/>
    <w:rsid w:val="00624D0C"/>
    <w:rsid w:val="006274B4"/>
    <w:rsid w:val="00630690"/>
    <w:rsid w:val="006307BA"/>
    <w:rsid w:val="006315BA"/>
    <w:rsid w:val="00634C4A"/>
    <w:rsid w:val="0063532E"/>
    <w:rsid w:val="00637BDC"/>
    <w:rsid w:val="006418C9"/>
    <w:rsid w:val="00642BD6"/>
    <w:rsid w:val="00645046"/>
    <w:rsid w:val="0064527A"/>
    <w:rsid w:val="00645D3E"/>
    <w:rsid w:val="00645EA2"/>
    <w:rsid w:val="00651E6D"/>
    <w:rsid w:val="006533B5"/>
    <w:rsid w:val="00653D2D"/>
    <w:rsid w:val="00655776"/>
    <w:rsid w:val="006573F2"/>
    <w:rsid w:val="00662AD0"/>
    <w:rsid w:val="00662F08"/>
    <w:rsid w:val="00663589"/>
    <w:rsid w:val="00665D75"/>
    <w:rsid w:val="006708E3"/>
    <w:rsid w:val="00670DDC"/>
    <w:rsid w:val="00671389"/>
    <w:rsid w:val="00671EB4"/>
    <w:rsid w:val="0067443B"/>
    <w:rsid w:val="00680EBA"/>
    <w:rsid w:val="00684E2B"/>
    <w:rsid w:val="00690569"/>
    <w:rsid w:val="00690FDA"/>
    <w:rsid w:val="00691E61"/>
    <w:rsid w:val="00693C5E"/>
    <w:rsid w:val="00694EEA"/>
    <w:rsid w:val="006955B4"/>
    <w:rsid w:val="00696476"/>
    <w:rsid w:val="00696C74"/>
    <w:rsid w:val="006A10FA"/>
    <w:rsid w:val="006A3233"/>
    <w:rsid w:val="006A40E6"/>
    <w:rsid w:val="006A5C07"/>
    <w:rsid w:val="006A75FA"/>
    <w:rsid w:val="006B00F5"/>
    <w:rsid w:val="006B07D5"/>
    <w:rsid w:val="006B1309"/>
    <w:rsid w:val="006B3923"/>
    <w:rsid w:val="006B3F3E"/>
    <w:rsid w:val="006B5923"/>
    <w:rsid w:val="006B67D9"/>
    <w:rsid w:val="006B6C14"/>
    <w:rsid w:val="006B715E"/>
    <w:rsid w:val="006B7AAE"/>
    <w:rsid w:val="006C03FF"/>
    <w:rsid w:val="006C1D6E"/>
    <w:rsid w:val="006C2EF6"/>
    <w:rsid w:val="006C3A68"/>
    <w:rsid w:val="006C6AB1"/>
    <w:rsid w:val="006C6E6B"/>
    <w:rsid w:val="006D2000"/>
    <w:rsid w:val="006D241E"/>
    <w:rsid w:val="006D2D39"/>
    <w:rsid w:val="006D4250"/>
    <w:rsid w:val="006D4E0E"/>
    <w:rsid w:val="006D5CE2"/>
    <w:rsid w:val="006E06D1"/>
    <w:rsid w:val="006E1313"/>
    <w:rsid w:val="006E15B8"/>
    <w:rsid w:val="006E2DC8"/>
    <w:rsid w:val="006E7356"/>
    <w:rsid w:val="006E77C8"/>
    <w:rsid w:val="006F149D"/>
    <w:rsid w:val="006F1A46"/>
    <w:rsid w:val="006F4F06"/>
    <w:rsid w:val="006F5A4E"/>
    <w:rsid w:val="006F6005"/>
    <w:rsid w:val="00703B6C"/>
    <w:rsid w:val="00705C40"/>
    <w:rsid w:val="00706482"/>
    <w:rsid w:val="00706BEF"/>
    <w:rsid w:val="00707ECE"/>
    <w:rsid w:val="00710CE8"/>
    <w:rsid w:val="007116BC"/>
    <w:rsid w:val="00711CA6"/>
    <w:rsid w:val="007165CE"/>
    <w:rsid w:val="00720968"/>
    <w:rsid w:val="00721705"/>
    <w:rsid w:val="00721B7A"/>
    <w:rsid w:val="00721D12"/>
    <w:rsid w:val="00721F8B"/>
    <w:rsid w:val="007237CE"/>
    <w:rsid w:val="00724688"/>
    <w:rsid w:val="0073062D"/>
    <w:rsid w:val="0073254D"/>
    <w:rsid w:val="00736A49"/>
    <w:rsid w:val="0074181F"/>
    <w:rsid w:val="007419A1"/>
    <w:rsid w:val="00743B71"/>
    <w:rsid w:val="00743C2D"/>
    <w:rsid w:val="00743E36"/>
    <w:rsid w:val="00743F05"/>
    <w:rsid w:val="007446F7"/>
    <w:rsid w:val="00744C4C"/>
    <w:rsid w:val="00744EBB"/>
    <w:rsid w:val="00745B0A"/>
    <w:rsid w:val="00745DBE"/>
    <w:rsid w:val="007468AC"/>
    <w:rsid w:val="00746AE2"/>
    <w:rsid w:val="00750C82"/>
    <w:rsid w:val="00751077"/>
    <w:rsid w:val="00753027"/>
    <w:rsid w:val="0076100C"/>
    <w:rsid w:val="007612A5"/>
    <w:rsid w:val="00763F95"/>
    <w:rsid w:val="007651ED"/>
    <w:rsid w:val="00766C87"/>
    <w:rsid w:val="007700F0"/>
    <w:rsid w:val="00780378"/>
    <w:rsid w:val="00781BD4"/>
    <w:rsid w:val="00782562"/>
    <w:rsid w:val="007828B4"/>
    <w:rsid w:val="00784832"/>
    <w:rsid w:val="00785D77"/>
    <w:rsid w:val="00786111"/>
    <w:rsid w:val="00790963"/>
    <w:rsid w:val="00791F1E"/>
    <w:rsid w:val="00793BA6"/>
    <w:rsid w:val="00794ADE"/>
    <w:rsid w:val="00794F3D"/>
    <w:rsid w:val="00796045"/>
    <w:rsid w:val="007968AC"/>
    <w:rsid w:val="007969AB"/>
    <w:rsid w:val="007A0B39"/>
    <w:rsid w:val="007A14A4"/>
    <w:rsid w:val="007A168F"/>
    <w:rsid w:val="007A2346"/>
    <w:rsid w:val="007A28E4"/>
    <w:rsid w:val="007A3BB3"/>
    <w:rsid w:val="007A3F91"/>
    <w:rsid w:val="007A5AD1"/>
    <w:rsid w:val="007A5B7B"/>
    <w:rsid w:val="007A7E24"/>
    <w:rsid w:val="007B0A06"/>
    <w:rsid w:val="007B1A30"/>
    <w:rsid w:val="007B5C5C"/>
    <w:rsid w:val="007B7B37"/>
    <w:rsid w:val="007B7C41"/>
    <w:rsid w:val="007C11E9"/>
    <w:rsid w:val="007C433E"/>
    <w:rsid w:val="007C4452"/>
    <w:rsid w:val="007C4B3C"/>
    <w:rsid w:val="007C4DB1"/>
    <w:rsid w:val="007C6046"/>
    <w:rsid w:val="007C6F0C"/>
    <w:rsid w:val="007D0292"/>
    <w:rsid w:val="007D21AC"/>
    <w:rsid w:val="007D24B0"/>
    <w:rsid w:val="007D3882"/>
    <w:rsid w:val="007D568A"/>
    <w:rsid w:val="007D574E"/>
    <w:rsid w:val="007D57C0"/>
    <w:rsid w:val="007D6BFE"/>
    <w:rsid w:val="007E2046"/>
    <w:rsid w:val="007E3883"/>
    <w:rsid w:val="007E4FBB"/>
    <w:rsid w:val="007E55BF"/>
    <w:rsid w:val="007E71B1"/>
    <w:rsid w:val="007E7B4E"/>
    <w:rsid w:val="007F0AB7"/>
    <w:rsid w:val="007F0CE2"/>
    <w:rsid w:val="007F0EFF"/>
    <w:rsid w:val="007F1375"/>
    <w:rsid w:val="0080064F"/>
    <w:rsid w:val="00803850"/>
    <w:rsid w:val="008039E8"/>
    <w:rsid w:val="00804385"/>
    <w:rsid w:val="00804BD2"/>
    <w:rsid w:val="00805AFD"/>
    <w:rsid w:val="008078D8"/>
    <w:rsid w:val="00811D5B"/>
    <w:rsid w:val="00813C51"/>
    <w:rsid w:val="00817713"/>
    <w:rsid w:val="008220F1"/>
    <w:rsid w:val="0082340B"/>
    <w:rsid w:val="00827DB6"/>
    <w:rsid w:val="008304B2"/>
    <w:rsid w:val="00830999"/>
    <w:rsid w:val="00830D5E"/>
    <w:rsid w:val="00830F69"/>
    <w:rsid w:val="00833418"/>
    <w:rsid w:val="0083387F"/>
    <w:rsid w:val="00834458"/>
    <w:rsid w:val="00834AEA"/>
    <w:rsid w:val="00835841"/>
    <w:rsid w:val="00837465"/>
    <w:rsid w:val="00840621"/>
    <w:rsid w:val="00841243"/>
    <w:rsid w:val="00841457"/>
    <w:rsid w:val="0084374E"/>
    <w:rsid w:val="00844842"/>
    <w:rsid w:val="00844A53"/>
    <w:rsid w:val="00844DD0"/>
    <w:rsid w:val="0085089F"/>
    <w:rsid w:val="0085206E"/>
    <w:rsid w:val="00852AD4"/>
    <w:rsid w:val="00852BA8"/>
    <w:rsid w:val="00853718"/>
    <w:rsid w:val="008541EF"/>
    <w:rsid w:val="00856AC7"/>
    <w:rsid w:val="00856FA4"/>
    <w:rsid w:val="00860E60"/>
    <w:rsid w:val="0086162B"/>
    <w:rsid w:val="00861D5C"/>
    <w:rsid w:val="00865207"/>
    <w:rsid w:val="008656A7"/>
    <w:rsid w:val="00865FA3"/>
    <w:rsid w:val="00866231"/>
    <w:rsid w:val="00871262"/>
    <w:rsid w:val="00871D4E"/>
    <w:rsid w:val="00871E7B"/>
    <w:rsid w:val="008724C7"/>
    <w:rsid w:val="0087566D"/>
    <w:rsid w:val="00875B51"/>
    <w:rsid w:val="00875F2D"/>
    <w:rsid w:val="008764DC"/>
    <w:rsid w:val="00882CC2"/>
    <w:rsid w:val="00883930"/>
    <w:rsid w:val="0089038F"/>
    <w:rsid w:val="00892B90"/>
    <w:rsid w:val="00896535"/>
    <w:rsid w:val="00896683"/>
    <w:rsid w:val="0089750B"/>
    <w:rsid w:val="00897589"/>
    <w:rsid w:val="008A0D4F"/>
    <w:rsid w:val="008A5C34"/>
    <w:rsid w:val="008A63A9"/>
    <w:rsid w:val="008A7073"/>
    <w:rsid w:val="008A7F7E"/>
    <w:rsid w:val="008B04DB"/>
    <w:rsid w:val="008B09B4"/>
    <w:rsid w:val="008B1D0B"/>
    <w:rsid w:val="008B27FD"/>
    <w:rsid w:val="008B3AF2"/>
    <w:rsid w:val="008B446D"/>
    <w:rsid w:val="008B515D"/>
    <w:rsid w:val="008B5D31"/>
    <w:rsid w:val="008B6705"/>
    <w:rsid w:val="008C22F3"/>
    <w:rsid w:val="008D1E72"/>
    <w:rsid w:val="008D29E7"/>
    <w:rsid w:val="008D6E91"/>
    <w:rsid w:val="008D795D"/>
    <w:rsid w:val="008D7B07"/>
    <w:rsid w:val="008E1E94"/>
    <w:rsid w:val="008E2D99"/>
    <w:rsid w:val="008E38B0"/>
    <w:rsid w:val="008E4A60"/>
    <w:rsid w:val="008E6D06"/>
    <w:rsid w:val="008E744D"/>
    <w:rsid w:val="008F1E08"/>
    <w:rsid w:val="00900D8F"/>
    <w:rsid w:val="009014E3"/>
    <w:rsid w:val="009026E8"/>
    <w:rsid w:val="00902FDD"/>
    <w:rsid w:val="00905EEF"/>
    <w:rsid w:val="00906EB7"/>
    <w:rsid w:val="009102BF"/>
    <w:rsid w:val="009108C1"/>
    <w:rsid w:val="00911490"/>
    <w:rsid w:val="009115F2"/>
    <w:rsid w:val="00914ADB"/>
    <w:rsid w:val="00923B25"/>
    <w:rsid w:val="0092402E"/>
    <w:rsid w:val="009259BA"/>
    <w:rsid w:val="00926FCB"/>
    <w:rsid w:val="009303BB"/>
    <w:rsid w:val="0093311A"/>
    <w:rsid w:val="00941A4C"/>
    <w:rsid w:val="00941E7E"/>
    <w:rsid w:val="00942645"/>
    <w:rsid w:val="009461E6"/>
    <w:rsid w:val="00950A3A"/>
    <w:rsid w:val="0095340A"/>
    <w:rsid w:val="00954581"/>
    <w:rsid w:val="0095466C"/>
    <w:rsid w:val="00954E5B"/>
    <w:rsid w:val="009576BC"/>
    <w:rsid w:val="00957E68"/>
    <w:rsid w:val="00960357"/>
    <w:rsid w:val="0096168C"/>
    <w:rsid w:val="00961840"/>
    <w:rsid w:val="009625E3"/>
    <w:rsid w:val="00962F2D"/>
    <w:rsid w:val="009672CD"/>
    <w:rsid w:val="00972996"/>
    <w:rsid w:val="009732B8"/>
    <w:rsid w:val="009759C2"/>
    <w:rsid w:val="00975C72"/>
    <w:rsid w:val="00976869"/>
    <w:rsid w:val="009776A8"/>
    <w:rsid w:val="00977740"/>
    <w:rsid w:val="00977CB4"/>
    <w:rsid w:val="009809B8"/>
    <w:rsid w:val="009818AF"/>
    <w:rsid w:val="0098222D"/>
    <w:rsid w:val="00985099"/>
    <w:rsid w:val="0099421F"/>
    <w:rsid w:val="009A0DE3"/>
    <w:rsid w:val="009A1643"/>
    <w:rsid w:val="009A215A"/>
    <w:rsid w:val="009A49D3"/>
    <w:rsid w:val="009A4F1B"/>
    <w:rsid w:val="009A5043"/>
    <w:rsid w:val="009A66C5"/>
    <w:rsid w:val="009A79BA"/>
    <w:rsid w:val="009B0535"/>
    <w:rsid w:val="009B14D1"/>
    <w:rsid w:val="009B1534"/>
    <w:rsid w:val="009B4963"/>
    <w:rsid w:val="009B4A3B"/>
    <w:rsid w:val="009B69D3"/>
    <w:rsid w:val="009B7BA7"/>
    <w:rsid w:val="009C0000"/>
    <w:rsid w:val="009C0938"/>
    <w:rsid w:val="009C22C8"/>
    <w:rsid w:val="009C3F82"/>
    <w:rsid w:val="009C72DD"/>
    <w:rsid w:val="009C7DF5"/>
    <w:rsid w:val="009D056C"/>
    <w:rsid w:val="009D060F"/>
    <w:rsid w:val="009D1ADE"/>
    <w:rsid w:val="009D37CA"/>
    <w:rsid w:val="009D4229"/>
    <w:rsid w:val="009E09D0"/>
    <w:rsid w:val="009E1283"/>
    <w:rsid w:val="009E3A7F"/>
    <w:rsid w:val="009E4DFC"/>
    <w:rsid w:val="009E5789"/>
    <w:rsid w:val="009E57B1"/>
    <w:rsid w:val="009E6379"/>
    <w:rsid w:val="009F3B63"/>
    <w:rsid w:val="009F4078"/>
    <w:rsid w:val="009F6292"/>
    <w:rsid w:val="009F7809"/>
    <w:rsid w:val="009F7AF5"/>
    <w:rsid w:val="00A00D14"/>
    <w:rsid w:val="00A01408"/>
    <w:rsid w:val="00A02457"/>
    <w:rsid w:val="00A03190"/>
    <w:rsid w:val="00A0404B"/>
    <w:rsid w:val="00A06C5D"/>
    <w:rsid w:val="00A0798C"/>
    <w:rsid w:val="00A07BDD"/>
    <w:rsid w:val="00A07F12"/>
    <w:rsid w:val="00A1105B"/>
    <w:rsid w:val="00A1213C"/>
    <w:rsid w:val="00A130E8"/>
    <w:rsid w:val="00A1440D"/>
    <w:rsid w:val="00A15B6B"/>
    <w:rsid w:val="00A15EB4"/>
    <w:rsid w:val="00A16876"/>
    <w:rsid w:val="00A200AA"/>
    <w:rsid w:val="00A20558"/>
    <w:rsid w:val="00A2186F"/>
    <w:rsid w:val="00A22307"/>
    <w:rsid w:val="00A2270B"/>
    <w:rsid w:val="00A23B89"/>
    <w:rsid w:val="00A23FE3"/>
    <w:rsid w:val="00A248C3"/>
    <w:rsid w:val="00A2496E"/>
    <w:rsid w:val="00A258B7"/>
    <w:rsid w:val="00A2630F"/>
    <w:rsid w:val="00A32743"/>
    <w:rsid w:val="00A401F2"/>
    <w:rsid w:val="00A41468"/>
    <w:rsid w:val="00A414A9"/>
    <w:rsid w:val="00A44141"/>
    <w:rsid w:val="00A44CCA"/>
    <w:rsid w:val="00A44D75"/>
    <w:rsid w:val="00A47CF1"/>
    <w:rsid w:val="00A50418"/>
    <w:rsid w:val="00A54A47"/>
    <w:rsid w:val="00A56D26"/>
    <w:rsid w:val="00A571A7"/>
    <w:rsid w:val="00A5729B"/>
    <w:rsid w:val="00A57BA8"/>
    <w:rsid w:val="00A608FB"/>
    <w:rsid w:val="00A60D83"/>
    <w:rsid w:val="00A60F68"/>
    <w:rsid w:val="00A632E0"/>
    <w:rsid w:val="00A63DF3"/>
    <w:rsid w:val="00A65C78"/>
    <w:rsid w:val="00A660A8"/>
    <w:rsid w:val="00A67193"/>
    <w:rsid w:val="00A67591"/>
    <w:rsid w:val="00A67CA6"/>
    <w:rsid w:val="00A70E7B"/>
    <w:rsid w:val="00A73B84"/>
    <w:rsid w:val="00A7411D"/>
    <w:rsid w:val="00A7592B"/>
    <w:rsid w:val="00A76094"/>
    <w:rsid w:val="00A768E2"/>
    <w:rsid w:val="00A80225"/>
    <w:rsid w:val="00A82C52"/>
    <w:rsid w:val="00A83C15"/>
    <w:rsid w:val="00A86CB6"/>
    <w:rsid w:val="00A90D55"/>
    <w:rsid w:val="00A944D8"/>
    <w:rsid w:val="00A959E7"/>
    <w:rsid w:val="00A95BBA"/>
    <w:rsid w:val="00A961EE"/>
    <w:rsid w:val="00A9735C"/>
    <w:rsid w:val="00AA04B3"/>
    <w:rsid w:val="00AA1253"/>
    <w:rsid w:val="00AA1ED0"/>
    <w:rsid w:val="00AA1F5B"/>
    <w:rsid w:val="00AA28EF"/>
    <w:rsid w:val="00AA2CA1"/>
    <w:rsid w:val="00AA3593"/>
    <w:rsid w:val="00AA38CA"/>
    <w:rsid w:val="00AA493E"/>
    <w:rsid w:val="00AA73AF"/>
    <w:rsid w:val="00AB0A8A"/>
    <w:rsid w:val="00AB1094"/>
    <w:rsid w:val="00AB1754"/>
    <w:rsid w:val="00AB1F8D"/>
    <w:rsid w:val="00AB27DD"/>
    <w:rsid w:val="00AC439D"/>
    <w:rsid w:val="00AC713F"/>
    <w:rsid w:val="00AC7329"/>
    <w:rsid w:val="00AD067E"/>
    <w:rsid w:val="00AD2715"/>
    <w:rsid w:val="00AD2801"/>
    <w:rsid w:val="00AD3496"/>
    <w:rsid w:val="00AD5771"/>
    <w:rsid w:val="00AD6870"/>
    <w:rsid w:val="00AD68C5"/>
    <w:rsid w:val="00AD7F8F"/>
    <w:rsid w:val="00AE1273"/>
    <w:rsid w:val="00AE18C5"/>
    <w:rsid w:val="00AE2D29"/>
    <w:rsid w:val="00AE4624"/>
    <w:rsid w:val="00AE5E14"/>
    <w:rsid w:val="00AE6115"/>
    <w:rsid w:val="00AE625B"/>
    <w:rsid w:val="00AF1103"/>
    <w:rsid w:val="00AF1668"/>
    <w:rsid w:val="00AF4FA5"/>
    <w:rsid w:val="00AF5511"/>
    <w:rsid w:val="00B04562"/>
    <w:rsid w:val="00B063BB"/>
    <w:rsid w:val="00B07955"/>
    <w:rsid w:val="00B114BA"/>
    <w:rsid w:val="00B12572"/>
    <w:rsid w:val="00B140B8"/>
    <w:rsid w:val="00B14FAA"/>
    <w:rsid w:val="00B15BED"/>
    <w:rsid w:val="00B15D30"/>
    <w:rsid w:val="00B20624"/>
    <w:rsid w:val="00B23436"/>
    <w:rsid w:val="00B237F1"/>
    <w:rsid w:val="00B24F33"/>
    <w:rsid w:val="00B26354"/>
    <w:rsid w:val="00B26CA0"/>
    <w:rsid w:val="00B32179"/>
    <w:rsid w:val="00B32C47"/>
    <w:rsid w:val="00B33007"/>
    <w:rsid w:val="00B331A9"/>
    <w:rsid w:val="00B33498"/>
    <w:rsid w:val="00B36569"/>
    <w:rsid w:val="00B40A05"/>
    <w:rsid w:val="00B40A3E"/>
    <w:rsid w:val="00B427BB"/>
    <w:rsid w:val="00B449EE"/>
    <w:rsid w:val="00B454AE"/>
    <w:rsid w:val="00B458ED"/>
    <w:rsid w:val="00B50227"/>
    <w:rsid w:val="00B50510"/>
    <w:rsid w:val="00B522CD"/>
    <w:rsid w:val="00B52831"/>
    <w:rsid w:val="00B53FFE"/>
    <w:rsid w:val="00B55143"/>
    <w:rsid w:val="00B555C8"/>
    <w:rsid w:val="00B55917"/>
    <w:rsid w:val="00B6253C"/>
    <w:rsid w:val="00B643A6"/>
    <w:rsid w:val="00B64DD6"/>
    <w:rsid w:val="00B6710C"/>
    <w:rsid w:val="00B67E84"/>
    <w:rsid w:val="00B72076"/>
    <w:rsid w:val="00B72303"/>
    <w:rsid w:val="00B72C72"/>
    <w:rsid w:val="00B731E4"/>
    <w:rsid w:val="00B76796"/>
    <w:rsid w:val="00B77CD9"/>
    <w:rsid w:val="00B803EC"/>
    <w:rsid w:val="00B82277"/>
    <w:rsid w:val="00B8478F"/>
    <w:rsid w:val="00B91676"/>
    <w:rsid w:val="00B95833"/>
    <w:rsid w:val="00BA1824"/>
    <w:rsid w:val="00BA2D98"/>
    <w:rsid w:val="00BA2F0C"/>
    <w:rsid w:val="00BA30D1"/>
    <w:rsid w:val="00BA30E1"/>
    <w:rsid w:val="00BA4609"/>
    <w:rsid w:val="00BA5BE2"/>
    <w:rsid w:val="00BA69D9"/>
    <w:rsid w:val="00BA7F46"/>
    <w:rsid w:val="00BB0A0A"/>
    <w:rsid w:val="00BB133C"/>
    <w:rsid w:val="00BB1F04"/>
    <w:rsid w:val="00BB45B5"/>
    <w:rsid w:val="00BB6064"/>
    <w:rsid w:val="00BB7012"/>
    <w:rsid w:val="00BC09D1"/>
    <w:rsid w:val="00BC1CF3"/>
    <w:rsid w:val="00BC3573"/>
    <w:rsid w:val="00BC7F82"/>
    <w:rsid w:val="00BD40AB"/>
    <w:rsid w:val="00BD6297"/>
    <w:rsid w:val="00BD6806"/>
    <w:rsid w:val="00BD7433"/>
    <w:rsid w:val="00BD7831"/>
    <w:rsid w:val="00BD7C10"/>
    <w:rsid w:val="00BE046F"/>
    <w:rsid w:val="00BE0DEB"/>
    <w:rsid w:val="00BE2FC1"/>
    <w:rsid w:val="00BE3142"/>
    <w:rsid w:val="00BE4039"/>
    <w:rsid w:val="00BE6365"/>
    <w:rsid w:val="00BF0B7F"/>
    <w:rsid w:val="00BF2988"/>
    <w:rsid w:val="00BF3EEF"/>
    <w:rsid w:val="00BF4720"/>
    <w:rsid w:val="00BF4F49"/>
    <w:rsid w:val="00BF6759"/>
    <w:rsid w:val="00BF7B4F"/>
    <w:rsid w:val="00BF7B63"/>
    <w:rsid w:val="00C00606"/>
    <w:rsid w:val="00C038EC"/>
    <w:rsid w:val="00C05C6D"/>
    <w:rsid w:val="00C1122B"/>
    <w:rsid w:val="00C11234"/>
    <w:rsid w:val="00C13B34"/>
    <w:rsid w:val="00C13F26"/>
    <w:rsid w:val="00C1474E"/>
    <w:rsid w:val="00C14BD4"/>
    <w:rsid w:val="00C14C37"/>
    <w:rsid w:val="00C16E9F"/>
    <w:rsid w:val="00C1713D"/>
    <w:rsid w:val="00C17523"/>
    <w:rsid w:val="00C177F1"/>
    <w:rsid w:val="00C17EE6"/>
    <w:rsid w:val="00C2272E"/>
    <w:rsid w:val="00C22F3A"/>
    <w:rsid w:val="00C23311"/>
    <w:rsid w:val="00C23788"/>
    <w:rsid w:val="00C24344"/>
    <w:rsid w:val="00C24B04"/>
    <w:rsid w:val="00C25978"/>
    <w:rsid w:val="00C261C6"/>
    <w:rsid w:val="00C26621"/>
    <w:rsid w:val="00C26E7C"/>
    <w:rsid w:val="00C276CD"/>
    <w:rsid w:val="00C30A97"/>
    <w:rsid w:val="00C31D9D"/>
    <w:rsid w:val="00C31DDC"/>
    <w:rsid w:val="00C34326"/>
    <w:rsid w:val="00C36201"/>
    <w:rsid w:val="00C368E8"/>
    <w:rsid w:val="00C36C3D"/>
    <w:rsid w:val="00C372C7"/>
    <w:rsid w:val="00C42443"/>
    <w:rsid w:val="00C42CBA"/>
    <w:rsid w:val="00C4338C"/>
    <w:rsid w:val="00C43453"/>
    <w:rsid w:val="00C472C7"/>
    <w:rsid w:val="00C5019E"/>
    <w:rsid w:val="00C519BB"/>
    <w:rsid w:val="00C5377C"/>
    <w:rsid w:val="00C53E8A"/>
    <w:rsid w:val="00C54DF3"/>
    <w:rsid w:val="00C560A7"/>
    <w:rsid w:val="00C56FC8"/>
    <w:rsid w:val="00C60F23"/>
    <w:rsid w:val="00C62EB2"/>
    <w:rsid w:val="00C71BEC"/>
    <w:rsid w:val="00C74D3A"/>
    <w:rsid w:val="00C75F3D"/>
    <w:rsid w:val="00C80511"/>
    <w:rsid w:val="00C826F5"/>
    <w:rsid w:val="00C83740"/>
    <w:rsid w:val="00C84AD1"/>
    <w:rsid w:val="00C85579"/>
    <w:rsid w:val="00C863E5"/>
    <w:rsid w:val="00C86CEE"/>
    <w:rsid w:val="00C87BE6"/>
    <w:rsid w:val="00C87F76"/>
    <w:rsid w:val="00C931FC"/>
    <w:rsid w:val="00C932C5"/>
    <w:rsid w:val="00C954AF"/>
    <w:rsid w:val="00C95A72"/>
    <w:rsid w:val="00C9650E"/>
    <w:rsid w:val="00CA068D"/>
    <w:rsid w:val="00CA1228"/>
    <w:rsid w:val="00CA1C73"/>
    <w:rsid w:val="00CA282D"/>
    <w:rsid w:val="00CA33DB"/>
    <w:rsid w:val="00CA4670"/>
    <w:rsid w:val="00CA6B1A"/>
    <w:rsid w:val="00CB14D1"/>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D15BE"/>
    <w:rsid w:val="00CD1EF2"/>
    <w:rsid w:val="00CD32BD"/>
    <w:rsid w:val="00CD34C7"/>
    <w:rsid w:val="00CD5653"/>
    <w:rsid w:val="00CD5E6D"/>
    <w:rsid w:val="00CD63C8"/>
    <w:rsid w:val="00CE069E"/>
    <w:rsid w:val="00CF158D"/>
    <w:rsid w:val="00CF4394"/>
    <w:rsid w:val="00D000A9"/>
    <w:rsid w:val="00D005DB"/>
    <w:rsid w:val="00D0064E"/>
    <w:rsid w:val="00D00981"/>
    <w:rsid w:val="00D02596"/>
    <w:rsid w:val="00D0280D"/>
    <w:rsid w:val="00D05669"/>
    <w:rsid w:val="00D06952"/>
    <w:rsid w:val="00D07A72"/>
    <w:rsid w:val="00D10577"/>
    <w:rsid w:val="00D12A4E"/>
    <w:rsid w:val="00D1323B"/>
    <w:rsid w:val="00D14BAE"/>
    <w:rsid w:val="00D1648B"/>
    <w:rsid w:val="00D16819"/>
    <w:rsid w:val="00D17DD9"/>
    <w:rsid w:val="00D20AC0"/>
    <w:rsid w:val="00D2321B"/>
    <w:rsid w:val="00D23DE4"/>
    <w:rsid w:val="00D25A5C"/>
    <w:rsid w:val="00D26873"/>
    <w:rsid w:val="00D31683"/>
    <w:rsid w:val="00D3300D"/>
    <w:rsid w:val="00D336C8"/>
    <w:rsid w:val="00D339E8"/>
    <w:rsid w:val="00D34810"/>
    <w:rsid w:val="00D3654A"/>
    <w:rsid w:val="00D3662E"/>
    <w:rsid w:val="00D40B1F"/>
    <w:rsid w:val="00D40D75"/>
    <w:rsid w:val="00D43978"/>
    <w:rsid w:val="00D449F0"/>
    <w:rsid w:val="00D50C8C"/>
    <w:rsid w:val="00D50DB0"/>
    <w:rsid w:val="00D51CEE"/>
    <w:rsid w:val="00D52393"/>
    <w:rsid w:val="00D523E4"/>
    <w:rsid w:val="00D5279D"/>
    <w:rsid w:val="00D52A1B"/>
    <w:rsid w:val="00D52AA7"/>
    <w:rsid w:val="00D52FCC"/>
    <w:rsid w:val="00D53F14"/>
    <w:rsid w:val="00D54BE4"/>
    <w:rsid w:val="00D560DC"/>
    <w:rsid w:val="00D56602"/>
    <w:rsid w:val="00D57ED5"/>
    <w:rsid w:val="00D60483"/>
    <w:rsid w:val="00D61ABB"/>
    <w:rsid w:val="00D62D5C"/>
    <w:rsid w:val="00D63577"/>
    <w:rsid w:val="00D67168"/>
    <w:rsid w:val="00D67FD7"/>
    <w:rsid w:val="00D712F6"/>
    <w:rsid w:val="00D72410"/>
    <w:rsid w:val="00D7408A"/>
    <w:rsid w:val="00D74261"/>
    <w:rsid w:val="00D7441B"/>
    <w:rsid w:val="00D75589"/>
    <w:rsid w:val="00D76AB2"/>
    <w:rsid w:val="00D80490"/>
    <w:rsid w:val="00D829AD"/>
    <w:rsid w:val="00D82EE2"/>
    <w:rsid w:val="00D82EFD"/>
    <w:rsid w:val="00D8545C"/>
    <w:rsid w:val="00D861A1"/>
    <w:rsid w:val="00D865CC"/>
    <w:rsid w:val="00D87788"/>
    <w:rsid w:val="00D877C8"/>
    <w:rsid w:val="00D91040"/>
    <w:rsid w:val="00D910C2"/>
    <w:rsid w:val="00D9168C"/>
    <w:rsid w:val="00D9189B"/>
    <w:rsid w:val="00D91DA6"/>
    <w:rsid w:val="00D935D6"/>
    <w:rsid w:val="00D93B9A"/>
    <w:rsid w:val="00D95984"/>
    <w:rsid w:val="00D9706F"/>
    <w:rsid w:val="00D972D4"/>
    <w:rsid w:val="00DA195B"/>
    <w:rsid w:val="00DA6B55"/>
    <w:rsid w:val="00DA6B97"/>
    <w:rsid w:val="00DB0015"/>
    <w:rsid w:val="00DB0359"/>
    <w:rsid w:val="00DB0ABB"/>
    <w:rsid w:val="00DB2AAD"/>
    <w:rsid w:val="00DB4456"/>
    <w:rsid w:val="00DB5941"/>
    <w:rsid w:val="00DB626D"/>
    <w:rsid w:val="00DB6365"/>
    <w:rsid w:val="00DC0BF1"/>
    <w:rsid w:val="00DC41C3"/>
    <w:rsid w:val="00DC4FA4"/>
    <w:rsid w:val="00DC72E4"/>
    <w:rsid w:val="00DC7FD6"/>
    <w:rsid w:val="00DD286D"/>
    <w:rsid w:val="00DD2CAF"/>
    <w:rsid w:val="00DD3593"/>
    <w:rsid w:val="00DD64E0"/>
    <w:rsid w:val="00DD72C6"/>
    <w:rsid w:val="00DE0C67"/>
    <w:rsid w:val="00DE3648"/>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02F4"/>
    <w:rsid w:val="00E2536E"/>
    <w:rsid w:val="00E25B8A"/>
    <w:rsid w:val="00E2632B"/>
    <w:rsid w:val="00E270C1"/>
    <w:rsid w:val="00E322F7"/>
    <w:rsid w:val="00E3369B"/>
    <w:rsid w:val="00E36D76"/>
    <w:rsid w:val="00E40478"/>
    <w:rsid w:val="00E405EA"/>
    <w:rsid w:val="00E408B7"/>
    <w:rsid w:val="00E41637"/>
    <w:rsid w:val="00E42266"/>
    <w:rsid w:val="00E42789"/>
    <w:rsid w:val="00E433AD"/>
    <w:rsid w:val="00E43F59"/>
    <w:rsid w:val="00E464F0"/>
    <w:rsid w:val="00E46EF3"/>
    <w:rsid w:val="00E46FBC"/>
    <w:rsid w:val="00E473E9"/>
    <w:rsid w:val="00E50BEB"/>
    <w:rsid w:val="00E548FA"/>
    <w:rsid w:val="00E55301"/>
    <w:rsid w:val="00E57703"/>
    <w:rsid w:val="00E57ED4"/>
    <w:rsid w:val="00E6092F"/>
    <w:rsid w:val="00E62049"/>
    <w:rsid w:val="00E629DA"/>
    <w:rsid w:val="00E6469F"/>
    <w:rsid w:val="00E65D39"/>
    <w:rsid w:val="00E670F8"/>
    <w:rsid w:val="00E67FAC"/>
    <w:rsid w:val="00E7200B"/>
    <w:rsid w:val="00E738CB"/>
    <w:rsid w:val="00E73C88"/>
    <w:rsid w:val="00E74437"/>
    <w:rsid w:val="00E7443D"/>
    <w:rsid w:val="00E75ACE"/>
    <w:rsid w:val="00E81C3E"/>
    <w:rsid w:val="00E82B6D"/>
    <w:rsid w:val="00E83C38"/>
    <w:rsid w:val="00E8608F"/>
    <w:rsid w:val="00E9289D"/>
    <w:rsid w:val="00EA1177"/>
    <w:rsid w:val="00EA118B"/>
    <w:rsid w:val="00EA11B6"/>
    <w:rsid w:val="00EA2181"/>
    <w:rsid w:val="00EA2DD8"/>
    <w:rsid w:val="00EA4475"/>
    <w:rsid w:val="00EA52FE"/>
    <w:rsid w:val="00EA59A5"/>
    <w:rsid w:val="00EA681F"/>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4773"/>
    <w:rsid w:val="00ED5284"/>
    <w:rsid w:val="00ED664B"/>
    <w:rsid w:val="00ED6A61"/>
    <w:rsid w:val="00ED6A62"/>
    <w:rsid w:val="00ED7DA4"/>
    <w:rsid w:val="00EE03BB"/>
    <w:rsid w:val="00EE0B44"/>
    <w:rsid w:val="00EE635F"/>
    <w:rsid w:val="00EE6FE0"/>
    <w:rsid w:val="00EE704A"/>
    <w:rsid w:val="00EE7840"/>
    <w:rsid w:val="00EF4C74"/>
    <w:rsid w:val="00EF5268"/>
    <w:rsid w:val="00EF608E"/>
    <w:rsid w:val="00F0044B"/>
    <w:rsid w:val="00F03525"/>
    <w:rsid w:val="00F04957"/>
    <w:rsid w:val="00F05807"/>
    <w:rsid w:val="00F07052"/>
    <w:rsid w:val="00F0706C"/>
    <w:rsid w:val="00F10686"/>
    <w:rsid w:val="00F11EBE"/>
    <w:rsid w:val="00F12BA8"/>
    <w:rsid w:val="00F130D0"/>
    <w:rsid w:val="00F14933"/>
    <w:rsid w:val="00F1516A"/>
    <w:rsid w:val="00F171F9"/>
    <w:rsid w:val="00F22A26"/>
    <w:rsid w:val="00F24072"/>
    <w:rsid w:val="00F26432"/>
    <w:rsid w:val="00F3197A"/>
    <w:rsid w:val="00F32139"/>
    <w:rsid w:val="00F33D56"/>
    <w:rsid w:val="00F34E08"/>
    <w:rsid w:val="00F37B72"/>
    <w:rsid w:val="00F41D91"/>
    <w:rsid w:val="00F42363"/>
    <w:rsid w:val="00F43288"/>
    <w:rsid w:val="00F46964"/>
    <w:rsid w:val="00F46F9A"/>
    <w:rsid w:val="00F470FD"/>
    <w:rsid w:val="00F50F30"/>
    <w:rsid w:val="00F5126A"/>
    <w:rsid w:val="00F5126E"/>
    <w:rsid w:val="00F51755"/>
    <w:rsid w:val="00F54E54"/>
    <w:rsid w:val="00F6196E"/>
    <w:rsid w:val="00F624DD"/>
    <w:rsid w:val="00F629C0"/>
    <w:rsid w:val="00F63B31"/>
    <w:rsid w:val="00F63FC7"/>
    <w:rsid w:val="00F65ED5"/>
    <w:rsid w:val="00F6608B"/>
    <w:rsid w:val="00F6636A"/>
    <w:rsid w:val="00F667C5"/>
    <w:rsid w:val="00F67E31"/>
    <w:rsid w:val="00F718A8"/>
    <w:rsid w:val="00F72183"/>
    <w:rsid w:val="00F769AC"/>
    <w:rsid w:val="00F76D01"/>
    <w:rsid w:val="00F77018"/>
    <w:rsid w:val="00F81C35"/>
    <w:rsid w:val="00F82981"/>
    <w:rsid w:val="00F8311F"/>
    <w:rsid w:val="00F83248"/>
    <w:rsid w:val="00F83376"/>
    <w:rsid w:val="00F853AE"/>
    <w:rsid w:val="00F92E1E"/>
    <w:rsid w:val="00F93C74"/>
    <w:rsid w:val="00F93DCC"/>
    <w:rsid w:val="00F9435D"/>
    <w:rsid w:val="00F966F9"/>
    <w:rsid w:val="00F96F61"/>
    <w:rsid w:val="00F97740"/>
    <w:rsid w:val="00FA2DEF"/>
    <w:rsid w:val="00FA2F7B"/>
    <w:rsid w:val="00FA3C97"/>
    <w:rsid w:val="00FA3D30"/>
    <w:rsid w:val="00FA78C8"/>
    <w:rsid w:val="00FB09FE"/>
    <w:rsid w:val="00FB101D"/>
    <w:rsid w:val="00FB108D"/>
    <w:rsid w:val="00FB1725"/>
    <w:rsid w:val="00FB2493"/>
    <w:rsid w:val="00FB593A"/>
    <w:rsid w:val="00FB6410"/>
    <w:rsid w:val="00FB6E82"/>
    <w:rsid w:val="00FB792E"/>
    <w:rsid w:val="00FC0042"/>
    <w:rsid w:val="00FC1E67"/>
    <w:rsid w:val="00FC2A13"/>
    <w:rsid w:val="00FC4284"/>
    <w:rsid w:val="00FC4576"/>
    <w:rsid w:val="00FC78FB"/>
    <w:rsid w:val="00FC7DBC"/>
    <w:rsid w:val="00FD076A"/>
    <w:rsid w:val="00FD0AA0"/>
    <w:rsid w:val="00FD1D5A"/>
    <w:rsid w:val="00FD5059"/>
    <w:rsid w:val="00FD554D"/>
    <w:rsid w:val="00FD5BCC"/>
    <w:rsid w:val="00FE5D0A"/>
    <w:rsid w:val="00FE6469"/>
    <w:rsid w:val="00FF06CE"/>
    <w:rsid w:val="00FF0FF7"/>
    <w:rsid w:val="00FF10A2"/>
    <w:rsid w:val="00FF1438"/>
    <w:rsid w:val="00FF3A38"/>
    <w:rsid w:val="00FF3C25"/>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142"/>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806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D20E6-C4CD-40C6-BE19-04EFB50E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2632</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3</cp:revision>
  <cp:lastPrinted>2011-04-07T13:55:00Z</cp:lastPrinted>
  <dcterms:created xsi:type="dcterms:W3CDTF">2012-03-01T13:19:00Z</dcterms:created>
  <dcterms:modified xsi:type="dcterms:W3CDTF">2012-03-06T15:19:00Z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