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11EB8" w:rsidRDefault="005D3F1E" w:rsidP="00660807">
      <w:pPr>
        <w:tabs>
          <w:tab w:val="left" w:pos="288"/>
          <w:tab w:val="left" w:pos="4752"/>
        </w:tabs>
        <w:spacing w:line="240" w:lineRule="exact"/>
        <w:jc w:val="center"/>
        <w:rPr>
          <w:rFonts w:asciiTheme="minorHAnsi" w:hAnsiTheme="minorHAnsi"/>
          <w:color w:val="auto"/>
        </w:rPr>
      </w:pPr>
      <w:r>
        <w:rPr>
          <w:rFonts w:asciiTheme="minorHAnsi" w:hAnsiTheme="minorHAnsi"/>
          <w:color w:val="auto"/>
        </w:rPr>
        <w:t>RE</w:t>
      </w:r>
      <w:r w:rsidR="00540BEF" w:rsidRPr="00611EB8">
        <w:rPr>
          <w:rFonts w:asciiTheme="minorHAnsi" w:hAnsiTheme="minorHAnsi"/>
          <w:color w:val="auto"/>
        </w:rPr>
        <w:t>CORD OF PROCEEDINGS</w:t>
      </w:r>
    </w:p>
    <w:p w:rsidR="00540BEF" w:rsidRPr="00611EB8" w:rsidRDefault="00540BEF" w:rsidP="00660807">
      <w:pPr>
        <w:tabs>
          <w:tab w:val="left" w:pos="288"/>
          <w:tab w:val="left" w:pos="4752"/>
        </w:tabs>
        <w:spacing w:line="240" w:lineRule="exact"/>
        <w:jc w:val="center"/>
        <w:rPr>
          <w:rFonts w:asciiTheme="minorHAnsi" w:hAnsiTheme="minorHAnsi"/>
          <w:color w:val="auto"/>
        </w:rPr>
      </w:pPr>
      <w:r w:rsidRPr="00611EB8">
        <w:rPr>
          <w:rFonts w:asciiTheme="minorHAnsi" w:hAnsiTheme="minorHAnsi"/>
          <w:color w:val="auto"/>
        </w:rPr>
        <w:t>PHYSICAL DISABILITY BOARD OF REVIEW</w:t>
      </w:r>
    </w:p>
    <w:p w:rsidR="00540BEF" w:rsidRPr="00611EB8" w:rsidRDefault="00540BEF" w:rsidP="00660807">
      <w:pPr>
        <w:tabs>
          <w:tab w:val="left" w:pos="288"/>
          <w:tab w:val="left" w:pos="4752"/>
        </w:tabs>
        <w:spacing w:line="240" w:lineRule="exact"/>
        <w:jc w:val="both"/>
        <w:rPr>
          <w:rFonts w:asciiTheme="minorHAnsi" w:hAnsiTheme="minorHAnsi"/>
          <w:caps/>
          <w:color w:val="auto"/>
        </w:rPr>
      </w:pPr>
    </w:p>
    <w:p w:rsidR="008B446D" w:rsidRPr="00611EB8" w:rsidRDefault="008B446D" w:rsidP="00660807">
      <w:pPr>
        <w:tabs>
          <w:tab w:val="left" w:pos="288"/>
          <w:tab w:val="left" w:pos="4752"/>
        </w:tabs>
        <w:spacing w:line="240" w:lineRule="exact"/>
        <w:ind w:right="-1260"/>
        <w:jc w:val="both"/>
        <w:rPr>
          <w:rFonts w:asciiTheme="minorHAnsi" w:hAnsiTheme="minorHAnsi"/>
          <w:caps/>
          <w:color w:val="auto"/>
        </w:rPr>
      </w:pPr>
      <w:r w:rsidRPr="00611EB8">
        <w:rPr>
          <w:rFonts w:asciiTheme="minorHAnsi" w:hAnsiTheme="minorHAnsi"/>
          <w:caps/>
          <w:color w:val="auto"/>
        </w:rPr>
        <w:t xml:space="preserve">NAME: </w:t>
      </w:r>
      <w:r w:rsidR="00A076B0">
        <w:rPr>
          <w:rFonts w:asciiTheme="minorHAnsi" w:hAnsiTheme="minorHAnsi"/>
          <w:caps/>
          <w:color w:val="auto"/>
        </w:rPr>
        <w:t>XXXXXXXX</w:t>
      </w:r>
      <w:r w:rsidR="00A758C5">
        <w:rPr>
          <w:rFonts w:asciiTheme="minorHAnsi" w:hAnsiTheme="minorHAnsi"/>
          <w:caps/>
          <w:color w:val="auto"/>
        </w:rPr>
        <w:tab/>
      </w:r>
      <w:r w:rsidR="00A758C5">
        <w:rPr>
          <w:rFonts w:asciiTheme="minorHAnsi" w:hAnsiTheme="minorHAnsi"/>
          <w:caps/>
          <w:color w:val="auto"/>
        </w:rPr>
        <w:tab/>
      </w:r>
      <w:r w:rsidR="008C5D79">
        <w:rPr>
          <w:rFonts w:asciiTheme="minorHAnsi" w:hAnsiTheme="minorHAnsi"/>
          <w:caps/>
          <w:color w:val="auto"/>
        </w:rPr>
        <w:tab/>
      </w:r>
      <w:r w:rsidRPr="00611EB8">
        <w:rPr>
          <w:rFonts w:asciiTheme="minorHAnsi" w:hAnsiTheme="minorHAnsi"/>
          <w:caps/>
          <w:color w:val="auto"/>
        </w:rPr>
        <w:t xml:space="preserve">BRANCH OF SERVICE: </w:t>
      </w:r>
      <w:r w:rsidR="00930F6E" w:rsidRPr="00611EB8">
        <w:rPr>
          <w:rFonts w:asciiTheme="minorHAnsi" w:hAnsiTheme="minorHAnsi"/>
          <w:caps/>
          <w:color w:val="auto"/>
        </w:rPr>
        <w:t>Marine Corps</w:t>
      </w:r>
    </w:p>
    <w:p w:rsidR="008B446D" w:rsidRPr="00611EB8" w:rsidRDefault="008B446D" w:rsidP="00660807">
      <w:pPr>
        <w:tabs>
          <w:tab w:val="left" w:pos="288"/>
          <w:tab w:val="left" w:pos="4752"/>
        </w:tabs>
        <w:spacing w:line="240" w:lineRule="exact"/>
        <w:ind w:right="-900"/>
        <w:jc w:val="both"/>
        <w:rPr>
          <w:rFonts w:asciiTheme="minorHAnsi" w:hAnsiTheme="minorHAnsi"/>
          <w:caps/>
          <w:color w:val="auto"/>
        </w:rPr>
      </w:pPr>
      <w:r w:rsidRPr="00611EB8">
        <w:rPr>
          <w:rFonts w:asciiTheme="minorHAnsi" w:hAnsiTheme="minorHAnsi"/>
          <w:caps/>
          <w:color w:val="auto"/>
        </w:rPr>
        <w:t>CASE NUMBER: PD</w:t>
      </w:r>
      <w:r w:rsidR="00865E60" w:rsidRPr="00611EB8">
        <w:rPr>
          <w:rFonts w:asciiTheme="minorHAnsi" w:hAnsiTheme="minorHAnsi"/>
          <w:caps/>
          <w:color w:val="auto"/>
        </w:rPr>
        <w:t>0900731</w:t>
      </w:r>
      <w:r w:rsidR="00A758C5">
        <w:rPr>
          <w:rFonts w:asciiTheme="minorHAnsi" w:hAnsiTheme="minorHAnsi"/>
          <w:caps/>
          <w:color w:val="auto"/>
        </w:rPr>
        <w:tab/>
      </w:r>
      <w:r w:rsidR="00A758C5">
        <w:rPr>
          <w:rFonts w:asciiTheme="minorHAnsi" w:hAnsiTheme="minorHAnsi"/>
          <w:caps/>
          <w:color w:val="auto"/>
        </w:rPr>
        <w:tab/>
      </w:r>
      <w:r w:rsidR="008C5D79">
        <w:rPr>
          <w:rFonts w:asciiTheme="minorHAnsi" w:hAnsiTheme="minorHAnsi"/>
          <w:caps/>
          <w:color w:val="auto"/>
        </w:rPr>
        <w:tab/>
      </w:r>
      <w:r w:rsidRPr="00611EB8">
        <w:rPr>
          <w:rFonts w:asciiTheme="minorHAnsi" w:hAnsiTheme="minorHAnsi"/>
          <w:caps/>
          <w:color w:val="auto"/>
        </w:rPr>
        <w:t>SEPARATION DATE: 200</w:t>
      </w:r>
      <w:r w:rsidR="00865E60" w:rsidRPr="00611EB8">
        <w:rPr>
          <w:rFonts w:asciiTheme="minorHAnsi" w:hAnsiTheme="minorHAnsi"/>
          <w:caps/>
          <w:color w:val="auto"/>
        </w:rPr>
        <w:t>80331</w:t>
      </w:r>
    </w:p>
    <w:p w:rsidR="008C5D79" w:rsidRPr="008C5D79" w:rsidRDefault="008B446D" w:rsidP="00660807">
      <w:pPr>
        <w:tabs>
          <w:tab w:val="left" w:pos="288"/>
          <w:tab w:val="left" w:pos="4752"/>
        </w:tabs>
        <w:spacing w:line="240" w:lineRule="exact"/>
        <w:jc w:val="both"/>
        <w:rPr>
          <w:rFonts w:asciiTheme="minorHAnsi" w:hAnsiTheme="minorHAnsi"/>
          <w:caps/>
          <w:color w:val="auto"/>
        </w:rPr>
      </w:pPr>
      <w:r w:rsidRPr="00611EB8">
        <w:rPr>
          <w:rFonts w:asciiTheme="minorHAnsi" w:hAnsiTheme="minorHAnsi"/>
          <w:caps/>
          <w:color w:val="auto"/>
        </w:rPr>
        <w:t>BOARD DATE: 201</w:t>
      </w:r>
      <w:r w:rsidR="00646A91">
        <w:rPr>
          <w:rFonts w:asciiTheme="minorHAnsi" w:hAnsiTheme="minorHAnsi"/>
          <w:caps/>
          <w:color w:val="auto"/>
        </w:rPr>
        <w:t>1</w:t>
      </w:r>
      <w:r w:rsidR="00607109">
        <w:rPr>
          <w:rFonts w:asciiTheme="minorHAnsi" w:hAnsiTheme="minorHAnsi"/>
          <w:caps/>
          <w:color w:val="auto"/>
        </w:rPr>
        <w:t>0317</w:t>
      </w:r>
      <w:r w:rsidRPr="00611EB8">
        <w:rPr>
          <w:rFonts w:asciiTheme="minorHAnsi" w:hAnsiTheme="minorHAnsi"/>
          <w:caps/>
          <w:color w:val="auto"/>
        </w:rPr>
        <w:tab/>
      </w:r>
      <w:r w:rsidRPr="00611EB8">
        <w:rPr>
          <w:rFonts w:asciiTheme="minorHAnsi" w:hAnsiTheme="minorHAnsi"/>
          <w:caps/>
          <w:color w:val="auto"/>
        </w:rPr>
        <w:tab/>
      </w:r>
      <w:r w:rsidRPr="00611EB8">
        <w:rPr>
          <w:rFonts w:asciiTheme="minorHAnsi" w:hAnsiTheme="minorHAnsi"/>
          <w:caps/>
          <w:color w:val="auto"/>
        </w:rPr>
        <w:tab/>
      </w:r>
    </w:p>
    <w:p w:rsidR="008C5D79" w:rsidRDefault="008C5D79" w:rsidP="008C5D79">
      <w:pPr>
        <w:pBdr>
          <w:bottom w:val="single" w:sz="12" w:space="1" w:color="auto"/>
        </w:pBdr>
        <w:tabs>
          <w:tab w:val="left" w:pos="288"/>
          <w:tab w:val="left" w:pos="4752"/>
        </w:tabs>
        <w:spacing w:line="240" w:lineRule="exact"/>
        <w:jc w:val="both"/>
        <w:rPr>
          <w:rFonts w:ascii="Calibri" w:hAnsi="Calibri"/>
          <w:color w:val="auto"/>
          <w:szCs w:val="24"/>
        </w:rPr>
      </w:pPr>
    </w:p>
    <w:p w:rsidR="00106AD8" w:rsidRPr="00611EB8" w:rsidRDefault="00106AD8" w:rsidP="00660807">
      <w:pPr>
        <w:tabs>
          <w:tab w:val="left" w:pos="288"/>
          <w:tab w:val="left" w:pos="4752"/>
        </w:tabs>
        <w:spacing w:line="240" w:lineRule="exact"/>
        <w:rPr>
          <w:rFonts w:asciiTheme="minorHAnsi" w:hAnsiTheme="minorHAnsi"/>
          <w:color w:val="000080"/>
          <w:szCs w:val="24"/>
        </w:rPr>
      </w:pPr>
    </w:p>
    <w:p w:rsidR="00B20624" w:rsidRPr="00611EB8" w:rsidRDefault="002C6E5B" w:rsidP="00660807">
      <w:pPr>
        <w:tabs>
          <w:tab w:val="left" w:pos="288"/>
          <w:tab w:val="left" w:pos="4752"/>
        </w:tabs>
        <w:spacing w:line="240" w:lineRule="exact"/>
        <w:jc w:val="both"/>
        <w:rPr>
          <w:rFonts w:asciiTheme="minorHAnsi" w:hAnsiTheme="minorHAnsi"/>
          <w:color w:val="auto"/>
          <w:szCs w:val="24"/>
        </w:rPr>
      </w:pPr>
      <w:r w:rsidRPr="00611EB8">
        <w:rPr>
          <w:rFonts w:asciiTheme="minorHAnsi" w:hAnsiTheme="minorHAnsi"/>
          <w:color w:val="auto"/>
          <w:u w:val="single"/>
        </w:rPr>
        <w:t>SUMMARY OF CASE</w:t>
      </w:r>
      <w:r w:rsidRPr="00611EB8">
        <w:rPr>
          <w:rFonts w:asciiTheme="minorHAnsi" w:hAnsiTheme="minorHAnsi"/>
          <w:color w:val="auto"/>
        </w:rPr>
        <w:t xml:space="preserve">:  </w:t>
      </w:r>
      <w:r w:rsidR="00FF0EFB" w:rsidRPr="00611EB8">
        <w:rPr>
          <w:rFonts w:asciiTheme="minorHAnsi" w:hAnsiTheme="minorHAnsi"/>
          <w:color w:val="auto"/>
          <w:szCs w:val="24"/>
        </w:rPr>
        <w:t xml:space="preserve">Data extracted from the available evidence of record reflects that this covered individual (CI) </w:t>
      </w:r>
      <w:r w:rsidRPr="00611EB8">
        <w:rPr>
          <w:rFonts w:asciiTheme="minorHAnsi" w:hAnsiTheme="minorHAnsi"/>
          <w:color w:val="auto"/>
          <w:szCs w:val="24"/>
        </w:rPr>
        <w:t xml:space="preserve">was </w:t>
      </w:r>
      <w:r w:rsidR="00E322F7" w:rsidRPr="00611EB8">
        <w:rPr>
          <w:rFonts w:asciiTheme="minorHAnsi" w:hAnsiTheme="minorHAnsi"/>
          <w:color w:val="auto"/>
          <w:szCs w:val="24"/>
        </w:rPr>
        <w:t>an active duty</w:t>
      </w:r>
      <w:r w:rsidR="006D4E0E" w:rsidRPr="00611EB8">
        <w:rPr>
          <w:rFonts w:asciiTheme="minorHAnsi" w:hAnsiTheme="minorHAnsi"/>
          <w:color w:val="auto"/>
          <w:szCs w:val="24"/>
        </w:rPr>
        <w:t xml:space="preserve"> </w:t>
      </w:r>
      <w:r w:rsidR="00930F6E" w:rsidRPr="00611EB8">
        <w:rPr>
          <w:rFonts w:asciiTheme="minorHAnsi" w:hAnsiTheme="minorHAnsi"/>
          <w:color w:val="auto"/>
          <w:szCs w:val="24"/>
        </w:rPr>
        <w:t>S</w:t>
      </w:r>
      <w:r w:rsidR="005D3F1E">
        <w:rPr>
          <w:rFonts w:asciiTheme="minorHAnsi" w:hAnsiTheme="minorHAnsi"/>
          <w:color w:val="auto"/>
          <w:szCs w:val="24"/>
        </w:rPr>
        <w:t>gt</w:t>
      </w:r>
      <w:r w:rsidR="00A17CD5" w:rsidRPr="00611EB8">
        <w:rPr>
          <w:rFonts w:asciiTheme="minorHAnsi" w:hAnsiTheme="minorHAnsi"/>
          <w:color w:val="auto"/>
          <w:szCs w:val="24"/>
        </w:rPr>
        <w:t>/E-5</w:t>
      </w:r>
      <w:r w:rsidR="00705C40" w:rsidRPr="00611EB8">
        <w:rPr>
          <w:rFonts w:asciiTheme="minorHAnsi" w:hAnsiTheme="minorHAnsi"/>
          <w:color w:val="auto"/>
          <w:szCs w:val="24"/>
        </w:rPr>
        <w:t xml:space="preserve"> (</w:t>
      </w:r>
      <w:r w:rsidR="00930F6E" w:rsidRPr="00611EB8">
        <w:rPr>
          <w:rFonts w:asciiTheme="minorHAnsi" w:hAnsiTheme="minorHAnsi"/>
          <w:color w:val="auto"/>
          <w:szCs w:val="24"/>
        </w:rPr>
        <w:t>3381</w:t>
      </w:r>
      <w:r w:rsidR="00646A91">
        <w:rPr>
          <w:rFonts w:asciiTheme="minorHAnsi" w:hAnsiTheme="minorHAnsi"/>
          <w:color w:val="auto"/>
          <w:szCs w:val="24"/>
        </w:rPr>
        <w:t>, Food Service</w:t>
      </w:r>
      <w:r w:rsidR="00E322F7" w:rsidRPr="00611EB8">
        <w:rPr>
          <w:rFonts w:asciiTheme="minorHAnsi" w:hAnsiTheme="minorHAnsi"/>
          <w:color w:val="auto"/>
          <w:szCs w:val="24"/>
        </w:rPr>
        <w:t xml:space="preserve">) </w:t>
      </w:r>
      <w:r w:rsidRPr="00611EB8">
        <w:rPr>
          <w:rFonts w:asciiTheme="minorHAnsi" w:hAnsiTheme="minorHAnsi"/>
          <w:color w:val="auto"/>
          <w:szCs w:val="24"/>
        </w:rPr>
        <w:t xml:space="preserve">medically separated from the </w:t>
      </w:r>
      <w:r w:rsidR="002729B7" w:rsidRPr="00611EB8">
        <w:rPr>
          <w:rFonts w:asciiTheme="minorHAnsi" w:hAnsiTheme="minorHAnsi"/>
          <w:color w:val="auto"/>
          <w:szCs w:val="24"/>
        </w:rPr>
        <w:t xml:space="preserve">Marine Corps </w:t>
      </w:r>
      <w:r w:rsidRPr="00611EB8">
        <w:rPr>
          <w:rFonts w:asciiTheme="minorHAnsi" w:hAnsiTheme="minorHAnsi"/>
          <w:color w:val="auto"/>
          <w:szCs w:val="24"/>
        </w:rPr>
        <w:t xml:space="preserve">in </w:t>
      </w:r>
      <w:r w:rsidR="00646A91">
        <w:rPr>
          <w:rFonts w:asciiTheme="minorHAnsi" w:hAnsiTheme="minorHAnsi"/>
          <w:color w:val="auto"/>
          <w:szCs w:val="24"/>
        </w:rPr>
        <w:t xml:space="preserve">March </w:t>
      </w:r>
      <w:r w:rsidRPr="00611EB8">
        <w:rPr>
          <w:rFonts w:asciiTheme="minorHAnsi" w:hAnsiTheme="minorHAnsi"/>
          <w:color w:val="auto"/>
          <w:szCs w:val="24"/>
        </w:rPr>
        <w:t>200</w:t>
      </w:r>
      <w:r w:rsidR="002729B7" w:rsidRPr="00611EB8">
        <w:rPr>
          <w:rFonts w:asciiTheme="minorHAnsi" w:hAnsiTheme="minorHAnsi"/>
          <w:color w:val="auto"/>
          <w:szCs w:val="24"/>
        </w:rPr>
        <w:t>8</w:t>
      </w:r>
      <w:r w:rsidR="0040269F">
        <w:rPr>
          <w:rFonts w:asciiTheme="minorHAnsi" w:hAnsiTheme="minorHAnsi"/>
          <w:color w:val="auto"/>
          <w:szCs w:val="24"/>
        </w:rPr>
        <w:t>.</w:t>
      </w:r>
      <w:r w:rsidR="00646A91">
        <w:rPr>
          <w:rFonts w:asciiTheme="minorHAnsi" w:hAnsiTheme="minorHAnsi"/>
          <w:color w:val="auto"/>
          <w:szCs w:val="24"/>
        </w:rPr>
        <w:t xml:space="preserve">  The medical basis for </w:t>
      </w:r>
      <w:r w:rsidRPr="00611EB8">
        <w:rPr>
          <w:rFonts w:asciiTheme="minorHAnsi" w:hAnsiTheme="minorHAnsi"/>
          <w:color w:val="auto"/>
          <w:szCs w:val="24"/>
        </w:rPr>
        <w:t xml:space="preserve">separation was </w:t>
      </w:r>
      <w:r w:rsidR="00C51DDD">
        <w:rPr>
          <w:rFonts w:asciiTheme="minorHAnsi" w:hAnsiTheme="minorHAnsi"/>
          <w:color w:val="auto"/>
          <w:szCs w:val="24"/>
        </w:rPr>
        <w:t>a</w:t>
      </w:r>
      <w:r w:rsidR="005A6643" w:rsidRPr="00611EB8">
        <w:rPr>
          <w:rFonts w:asciiTheme="minorHAnsi" w:hAnsiTheme="minorHAnsi"/>
          <w:color w:val="auto"/>
          <w:szCs w:val="24"/>
        </w:rPr>
        <w:t xml:space="preserve">nxiety </w:t>
      </w:r>
      <w:r w:rsidR="00295F47">
        <w:rPr>
          <w:rFonts w:asciiTheme="minorHAnsi" w:hAnsiTheme="minorHAnsi"/>
          <w:color w:val="auto"/>
          <w:szCs w:val="24"/>
        </w:rPr>
        <w:t>disorder</w:t>
      </w:r>
      <w:r w:rsidR="00C51DDD">
        <w:rPr>
          <w:rFonts w:asciiTheme="minorHAnsi" w:hAnsiTheme="minorHAnsi"/>
          <w:color w:val="auto"/>
          <w:szCs w:val="24"/>
        </w:rPr>
        <w:t xml:space="preserve"> </w:t>
      </w:r>
      <w:r w:rsidR="00295F47">
        <w:rPr>
          <w:rFonts w:asciiTheme="minorHAnsi" w:hAnsiTheme="minorHAnsi"/>
          <w:color w:val="auto"/>
          <w:szCs w:val="24"/>
        </w:rPr>
        <w:t xml:space="preserve">and </w:t>
      </w:r>
      <w:r w:rsidR="00C51DDD">
        <w:rPr>
          <w:rFonts w:asciiTheme="minorHAnsi" w:hAnsiTheme="minorHAnsi"/>
          <w:color w:val="auto"/>
          <w:szCs w:val="24"/>
        </w:rPr>
        <w:t>l</w:t>
      </w:r>
      <w:r w:rsidR="002729B7" w:rsidRPr="00611EB8">
        <w:rPr>
          <w:rFonts w:asciiTheme="minorHAnsi" w:hAnsiTheme="minorHAnsi"/>
          <w:color w:val="auto"/>
          <w:szCs w:val="24"/>
        </w:rPr>
        <w:t>ow</w:t>
      </w:r>
      <w:r w:rsidR="00295F47">
        <w:rPr>
          <w:rFonts w:asciiTheme="minorHAnsi" w:hAnsiTheme="minorHAnsi"/>
          <w:color w:val="auto"/>
          <w:szCs w:val="24"/>
        </w:rPr>
        <w:t>er</w:t>
      </w:r>
      <w:r w:rsidR="002729B7" w:rsidRPr="00611EB8">
        <w:rPr>
          <w:rFonts w:asciiTheme="minorHAnsi" w:hAnsiTheme="minorHAnsi"/>
          <w:color w:val="auto"/>
          <w:szCs w:val="24"/>
        </w:rPr>
        <w:t xml:space="preserve"> </w:t>
      </w:r>
      <w:r w:rsidR="00295F47">
        <w:rPr>
          <w:rFonts w:asciiTheme="minorHAnsi" w:hAnsiTheme="minorHAnsi"/>
          <w:color w:val="auto"/>
          <w:szCs w:val="24"/>
        </w:rPr>
        <w:t>b</w:t>
      </w:r>
      <w:r w:rsidR="002729B7" w:rsidRPr="00611EB8">
        <w:rPr>
          <w:rFonts w:asciiTheme="minorHAnsi" w:hAnsiTheme="minorHAnsi"/>
          <w:color w:val="auto"/>
          <w:szCs w:val="24"/>
        </w:rPr>
        <w:t xml:space="preserve">ack </w:t>
      </w:r>
      <w:r w:rsidR="00295F47">
        <w:rPr>
          <w:rFonts w:asciiTheme="minorHAnsi" w:hAnsiTheme="minorHAnsi"/>
          <w:color w:val="auto"/>
          <w:szCs w:val="24"/>
        </w:rPr>
        <w:t>p</w:t>
      </w:r>
      <w:r w:rsidR="005D3F1E">
        <w:rPr>
          <w:rFonts w:asciiTheme="minorHAnsi" w:hAnsiTheme="minorHAnsi"/>
          <w:color w:val="auto"/>
          <w:szCs w:val="24"/>
        </w:rPr>
        <w:t>ain</w:t>
      </w:r>
      <w:r w:rsidR="00295F47">
        <w:rPr>
          <w:rFonts w:asciiTheme="minorHAnsi" w:hAnsiTheme="minorHAnsi"/>
          <w:color w:val="auto"/>
          <w:szCs w:val="24"/>
        </w:rPr>
        <w:t>/</w:t>
      </w:r>
      <w:r w:rsidR="00C51DDD">
        <w:rPr>
          <w:rFonts w:asciiTheme="minorHAnsi" w:hAnsiTheme="minorHAnsi"/>
          <w:color w:val="auto"/>
          <w:szCs w:val="24"/>
        </w:rPr>
        <w:t>e</w:t>
      </w:r>
      <w:r w:rsidR="002729B7" w:rsidRPr="00611EB8">
        <w:rPr>
          <w:rFonts w:asciiTheme="minorHAnsi" w:hAnsiTheme="minorHAnsi"/>
          <w:color w:val="auto"/>
          <w:szCs w:val="24"/>
        </w:rPr>
        <w:t>x</w:t>
      </w:r>
      <w:r w:rsidR="00DC35AA">
        <w:rPr>
          <w:rFonts w:asciiTheme="minorHAnsi" w:hAnsiTheme="minorHAnsi"/>
          <w:color w:val="auto"/>
          <w:szCs w:val="24"/>
        </w:rPr>
        <w:t xml:space="preserve">tremity </w:t>
      </w:r>
      <w:r w:rsidR="00295F47">
        <w:rPr>
          <w:rFonts w:asciiTheme="minorHAnsi" w:hAnsiTheme="minorHAnsi"/>
          <w:color w:val="auto"/>
          <w:szCs w:val="24"/>
        </w:rPr>
        <w:t>p</w:t>
      </w:r>
      <w:r w:rsidR="00DC35AA">
        <w:rPr>
          <w:rFonts w:asciiTheme="minorHAnsi" w:hAnsiTheme="minorHAnsi"/>
          <w:color w:val="auto"/>
          <w:szCs w:val="24"/>
        </w:rPr>
        <w:t xml:space="preserve">ain.  </w:t>
      </w:r>
      <w:r w:rsidR="00DB43DC" w:rsidRPr="00611EB8">
        <w:rPr>
          <w:rFonts w:asciiTheme="minorHAnsi" w:hAnsiTheme="minorHAnsi"/>
          <w:color w:val="auto"/>
          <w:szCs w:val="24"/>
        </w:rPr>
        <w:t xml:space="preserve">At his Medical Evaluation Board (MEB), </w:t>
      </w:r>
      <w:r w:rsidR="00C51DDD">
        <w:rPr>
          <w:rFonts w:asciiTheme="minorHAnsi" w:hAnsiTheme="minorHAnsi"/>
          <w:color w:val="auto"/>
          <w:szCs w:val="24"/>
        </w:rPr>
        <w:t>p</w:t>
      </w:r>
      <w:r w:rsidR="00B7111B" w:rsidRPr="00611EB8">
        <w:rPr>
          <w:rFonts w:asciiTheme="minorHAnsi" w:hAnsiTheme="minorHAnsi"/>
          <w:color w:val="auto"/>
          <w:szCs w:val="24"/>
        </w:rPr>
        <w:t>ost</w:t>
      </w:r>
      <w:r w:rsidR="00C51DDD">
        <w:rPr>
          <w:rFonts w:asciiTheme="minorHAnsi" w:hAnsiTheme="minorHAnsi"/>
          <w:color w:val="auto"/>
          <w:szCs w:val="24"/>
        </w:rPr>
        <w:t>t</w:t>
      </w:r>
      <w:r w:rsidR="00DC35AA">
        <w:rPr>
          <w:rFonts w:asciiTheme="minorHAnsi" w:hAnsiTheme="minorHAnsi"/>
          <w:color w:val="auto"/>
          <w:szCs w:val="24"/>
        </w:rPr>
        <w:t>raumatic stress d</w:t>
      </w:r>
      <w:r w:rsidR="005A6643" w:rsidRPr="00611EB8">
        <w:rPr>
          <w:rFonts w:asciiTheme="minorHAnsi" w:hAnsiTheme="minorHAnsi"/>
          <w:color w:val="auto"/>
          <w:szCs w:val="24"/>
        </w:rPr>
        <w:t>isorder</w:t>
      </w:r>
      <w:r w:rsidR="00457383" w:rsidRPr="00611EB8">
        <w:rPr>
          <w:rFonts w:asciiTheme="minorHAnsi" w:hAnsiTheme="minorHAnsi"/>
          <w:color w:val="auto"/>
          <w:szCs w:val="24"/>
        </w:rPr>
        <w:t xml:space="preserve"> (PTSD)</w:t>
      </w:r>
      <w:r w:rsidR="00DC35AA">
        <w:rPr>
          <w:rFonts w:asciiTheme="minorHAnsi" w:hAnsiTheme="minorHAnsi"/>
          <w:color w:val="auto"/>
          <w:szCs w:val="24"/>
        </w:rPr>
        <w:t xml:space="preserve"> and </w:t>
      </w:r>
      <w:r w:rsidR="00C51DDD">
        <w:rPr>
          <w:rFonts w:asciiTheme="minorHAnsi" w:hAnsiTheme="minorHAnsi"/>
          <w:color w:val="auto"/>
          <w:szCs w:val="24"/>
        </w:rPr>
        <w:t>l</w:t>
      </w:r>
      <w:r w:rsidR="00DC35AA">
        <w:rPr>
          <w:rFonts w:asciiTheme="minorHAnsi" w:hAnsiTheme="minorHAnsi"/>
          <w:color w:val="auto"/>
          <w:szCs w:val="24"/>
        </w:rPr>
        <w:t>ower back s</w:t>
      </w:r>
      <w:r w:rsidR="00DB43DC" w:rsidRPr="00611EB8">
        <w:rPr>
          <w:rFonts w:asciiTheme="minorHAnsi" w:hAnsiTheme="minorHAnsi"/>
          <w:color w:val="auto"/>
          <w:szCs w:val="24"/>
        </w:rPr>
        <w:t>tra</w:t>
      </w:r>
      <w:r w:rsidR="00457383" w:rsidRPr="00611EB8">
        <w:rPr>
          <w:rFonts w:asciiTheme="minorHAnsi" w:hAnsiTheme="minorHAnsi"/>
          <w:color w:val="auto"/>
          <w:szCs w:val="24"/>
        </w:rPr>
        <w:t>in</w:t>
      </w:r>
      <w:r w:rsidR="00AE5E14" w:rsidRPr="00611EB8">
        <w:rPr>
          <w:rFonts w:asciiTheme="minorHAnsi" w:hAnsiTheme="minorHAnsi"/>
          <w:color w:val="auto"/>
          <w:szCs w:val="24"/>
        </w:rPr>
        <w:t xml:space="preserve"> were </w:t>
      </w:r>
      <w:r w:rsidR="00DB43DC" w:rsidRPr="00611EB8">
        <w:rPr>
          <w:rFonts w:asciiTheme="minorHAnsi" w:hAnsiTheme="minorHAnsi"/>
          <w:color w:val="auto"/>
          <w:szCs w:val="24"/>
        </w:rPr>
        <w:t>determined to be medically unacceptable</w:t>
      </w:r>
      <w:r w:rsidR="005D3F1E">
        <w:rPr>
          <w:rFonts w:asciiTheme="minorHAnsi" w:hAnsiTheme="minorHAnsi"/>
          <w:color w:val="auto"/>
          <w:szCs w:val="24"/>
        </w:rPr>
        <w:t xml:space="preserve"> and were </w:t>
      </w:r>
      <w:r w:rsidR="00AE5E14" w:rsidRPr="00611EB8">
        <w:rPr>
          <w:rFonts w:asciiTheme="minorHAnsi" w:hAnsiTheme="minorHAnsi"/>
          <w:color w:val="auto"/>
          <w:szCs w:val="24"/>
        </w:rPr>
        <w:t xml:space="preserve">forwarded to the </w:t>
      </w:r>
      <w:r w:rsidR="00B20624" w:rsidRPr="00611EB8">
        <w:rPr>
          <w:rFonts w:asciiTheme="minorHAnsi" w:hAnsiTheme="minorHAnsi"/>
          <w:color w:val="auto"/>
          <w:szCs w:val="24"/>
        </w:rPr>
        <w:t>Physical Evaluation Board (</w:t>
      </w:r>
      <w:r w:rsidR="00AE5E14" w:rsidRPr="00611EB8">
        <w:rPr>
          <w:rFonts w:asciiTheme="minorHAnsi" w:hAnsiTheme="minorHAnsi"/>
          <w:color w:val="auto"/>
          <w:szCs w:val="24"/>
        </w:rPr>
        <w:t>PEB</w:t>
      </w:r>
      <w:r w:rsidR="00B20624" w:rsidRPr="00611EB8">
        <w:rPr>
          <w:rFonts w:asciiTheme="minorHAnsi" w:hAnsiTheme="minorHAnsi"/>
          <w:color w:val="auto"/>
          <w:szCs w:val="24"/>
        </w:rPr>
        <w:t>)</w:t>
      </w:r>
      <w:r w:rsidR="00AE5E14" w:rsidRPr="00611EB8">
        <w:rPr>
          <w:rFonts w:asciiTheme="minorHAnsi" w:hAnsiTheme="minorHAnsi"/>
          <w:color w:val="auto"/>
          <w:szCs w:val="24"/>
        </w:rPr>
        <w:t>.</w:t>
      </w:r>
      <w:r w:rsidR="00975DD7" w:rsidRPr="00611EB8">
        <w:rPr>
          <w:rFonts w:asciiTheme="minorHAnsi" w:hAnsiTheme="minorHAnsi"/>
          <w:color w:val="auto"/>
          <w:szCs w:val="24"/>
        </w:rPr>
        <w:t xml:space="preserve"> </w:t>
      </w:r>
      <w:r w:rsidR="00DB43DC" w:rsidRPr="00611EB8">
        <w:rPr>
          <w:rFonts w:asciiTheme="minorHAnsi" w:hAnsiTheme="minorHAnsi"/>
          <w:color w:val="auto"/>
          <w:szCs w:val="24"/>
        </w:rPr>
        <w:t xml:space="preserve"> </w:t>
      </w:r>
      <w:r w:rsidR="00694EEA" w:rsidRPr="00611EB8">
        <w:rPr>
          <w:rFonts w:asciiTheme="minorHAnsi" w:hAnsiTheme="minorHAnsi"/>
          <w:color w:val="auto"/>
          <w:szCs w:val="24"/>
        </w:rPr>
        <w:t xml:space="preserve">Additional conditions </w:t>
      </w:r>
      <w:r w:rsidR="005D3F1E">
        <w:rPr>
          <w:rFonts w:asciiTheme="minorHAnsi" w:hAnsiTheme="minorHAnsi"/>
          <w:color w:val="auto"/>
          <w:szCs w:val="24"/>
        </w:rPr>
        <w:t>listed</w:t>
      </w:r>
      <w:r w:rsidR="00694EEA" w:rsidRPr="00611EB8">
        <w:rPr>
          <w:rFonts w:asciiTheme="minorHAnsi" w:hAnsiTheme="minorHAnsi"/>
          <w:color w:val="auto"/>
          <w:szCs w:val="24"/>
        </w:rPr>
        <w:t xml:space="preserve"> in the </w:t>
      </w:r>
      <w:r w:rsidR="00705C40" w:rsidRPr="00611EB8">
        <w:rPr>
          <w:rFonts w:asciiTheme="minorHAnsi" w:hAnsiTheme="minorHAnsi"/>
          <w:color w:val="auto"/>
          <w:szCs w:val="24"/>
        </w:rPr>
        <w:t>Disability Evaluation System (</w:t>
      </w:r>
      <w:r w:rsidR="00694EEA" w:rsidRPr="00611EB8">
        <w:rPr>
          <w:rFonts w:asciiTheme="minorHAnsi" w:hAnsiTheme="minorHAnsi"/>
          <w:color w:val="auto"/>
          <w:szCs w:val="24"/>
        </w:rPr>
        <w:t>DES</w:t>
      </w:r>
      <w:r w:rsidR="00705C40" w:rsidRPr="00611EB8">
        <w:rPr>
          <w:rFonts w:asciiTheme="minorHAnsi" w:hAnsiTheme="minorHAnsi"/>
          <w:color w:val="auto"/>
          <w:szCs w:val="24"/>
        </w:rPr>
        <w:t xml:space="preserve">) </w:t>
      </w:r>
      <w:r w:rsidR="00DB43DC" w:rsidRPr="00611EB8">
        <w:rPr>
          <w:rFonts w:asciiTheme="minorHAnsi" w:hAnsiTheme="minorHAnsi"/>
          <w:color w:val="auto"/>
          <w:szCs w:val="24"/>
        </w:rPr>
        <w:t>file</w:t>
      </w:r>
      <w:r w:rsidR="00694EEA" w:rsidRPr="00611EB8">
        <w:rPr>
          <w:rFonts w:asciiTheme="minorHAnsi" w:hAnsiTheme="minorHAnsi"/>
          <w:color w:val="auto"/>
          <w:szCs w:val="24"/>
        </w:rPr>
        <w:t xml:space="preserve"> are discussed below</w:t>
      </w:r>
      <w:r w:rsidR="00AE5E14" w:rsidRPr="00611EB8">
        <w:rPr>
          <w:rFonts w:asciiTheme="minorHAnsi" w:hAnsiTheme="minorHAnsi"/>
          <w:color w:val="auto"/>
          <w:szCs w:val="24"/>
        </w:rPr>
        <w:t>.</w:t>
      </w:r>
      <w:r w:rsidR="00DB43DC" w:rsidRPr="00611EB8">
        <w:rPr>
          <w:rFonts w:asciiTheme="minorHAnsi" w:hAnsiTheme="minorHAnsi"/>
          <w:color w:val="auto"/>
          <w:szCs w:val="24"/>
        </w:rPr>
        <w:t xml:space="preserve">  </w:t>
      </w:r>
      <w:r w:rsidR="00B20624" w:rsidRPr="00611EB8">
        <w:rPr>
          <w:rFonts w:asciiTheme="minorHAnsi" w:hAnsiTheme="minorHAnsi"/>
          <w:color w:val="auto"/>
          <w:szCs w:val="24"/>
        </w:rPr>
        <w:t xml:space="preserve">The PEB </w:t>
      </w:r>
      <w:r w:rsidR="00BD3B8E" w:rsidRPr="00611EB8">
        <w:rPr>
          <w:rFonts w:asciiTheme="minorHAnsi" w:hAnsiTheme="minorHAnsi"/>
          <w:color w:val="auto"/>
          <w:szCs w:val="24"/>
        </w:rPr>
        <w:t xml:space="preserve">changed his </w:t>
      </w:r>
      <w:r w:rsidR="00295F47">
        <w:rPr>
          <w:rFonts w:asciiTheme="minorHAnsi" w:hAnsiTheme="minorHAnsi"/>
          <w:color w:val="auto"/>
          <w:szCs w:val="24"/>
        </w:rPr>
        <w:t xml:space="preserve">primary </w:t>
      </w:r>
      <w:r w:rsidR="00BD3B8E" w:rsidRPr="00611EB8">
        <w:rPr>
          <w:rFonts w:asciiTheme="minorHAnsi" w:hAnsiTheme="minorHAnsi"/>
          <w:color w:val="auto"/>
          <w:szCs w:val="24"/>
        </w:rPr>
        <w:t xml:space="preserve">mental </w:t>
      </w:r>
      <w:r w:rsidR="00295F47">
        <w:rPr>
          <w:rFonts w:asciiTheme="minorHAnsi" w:hAnsiTheme="minorHAnsi"/>
          <w:color w:val="auto"/>
          <w:szCs w:val="24"/>
        </w:rPr>
        <w:t xml:space="preserve">condition </w:t>
      </w:r>
      <w:r w:rsidR="00DC35AA">
        <w:rPr>
          <w:rFonts w:asciiTheme="minorHAnsi" w:hAnsiTheme="minorHAnsi"/>
          <w:color w:val="auto"/>
          <w:szCs w:val="24"/>
        </w:rPr>
        <w:t xml:space="preserve">to </w:t>
      </w:r>
      <w:r w:rsidR="00C51DDD">
        <w:rPr>
          <w:rFonts w:asciiTheme="minorHAnsi" w:hAnsiTheme="minorHAnsi"/>
          <w:color w:val="auto"/>
          <w:szCs w:val="24"/>
        </w:rPr>
        <w:t>a</w:t>
      </w:r>
      <w:r w:rsidR="00DC35AA">
        <w:rPr>
          <w:rFonts w:asciiTheme="minorHAnsi" w:hAnsiTheme="minorHAnsi"/>
          <w:color w:val="auto"/>
          <w:szCs w:val="24"/>
        </w:rPr>
        <w:t>nxiety d</w:t>
      </w:r>
      <w:r w:rsidR="00BD3B8E" w:rsidRPr="00611EB8">
        <w:rPr>
          <w:rFonts w:asciiTheme="minorHAnsi" w:hAnsiTheme="minorHAnsi"/>
          <w:color w:val="auto"/>
          <w:szCs w:val="24"/>
        </w:rPr>
        <w:t>isorder</w:t>
      </w:r>
      <w:r w:rsidR="00531AB1">
        <w:rPr>
          <w:rFonts w:asciiTheme="minorHAnsi" w:hAnsiTheme="minorHAnsi"/>
          <w:color w:val="auto"/>
          <w:szCs w:val="24"/>
        </w:rPr>
        <w:t>, determined it to be</w:t>
      </w:r>
      <w:r w:rsidR="00295F47">
        <w:rPr>
          <w:rFonts w:asciiTheme="minorHAnsi" w:hAnsiTheme="minorHAnsi"/>
          <w:color w:val="auto"/>
          <w:szCs w:val="24"/>
        </w:rPr>
        <w:t xml:space="preserve"> unfitting, </w:t>
      </w:r>
      <w:r w:rsidR="00B20624" w:rsidRPr="00611EB8">
        <w:rPr>
          <w:rFonts w:asciiTheme="minorHAnsi" w:hAnsiTheme="minorHAnsi"/>
          <w:color w:val="auto"/>
          <w:szCs w:val="24"/>
        </w:rPr>
        <w:t xml:space="preserve">and </w:t>
      </w:r>
      <w:r w:rsidR="00295F47">
        <w:rPr>
          <w:rFonts w:asciiTheme="minorHAnsi" w:hAnsiTheme="minorHAnsi"/>
          <w:color w:val="auto"/>
          <w:szCs w:val="24"/>
        </w:rPr>
        <w:t xml:space="preserve">rated it </w:t>
      </w:r>
      <w:r w:rsidR="00531AB1">
        <w:rPr>
          <w:rFonts w:asciiTheme="minorHAnsi" w:hAnsiTheme="minorHAnsi"/>
          <w:color w:val="auto"/>
          <w:szCs w:val="24"/>
        </w:rPr>
        <w:t xml:space="preserve">at </w:t>
      </w:r>
      <w:r w:rsidR="00295F47">
        <w:rPr>
          <w:rFonts w:asciiTheme="minorHAnsi" w:hAnsiTheme="minorHAnsi"/>
          <w:color w:val="auto"/>
          <w:szCs w:val="24"/>
        </w:rPr>
        <w:t>10%</w:t>
      </w:r>
      <w:r w:rsidR="00D905D1">
        <w:rPr>
          <w:rFonts w:asciiTheme="minorHAnsi" w:hAnsiTheme="minorHAnsi"/>
          <w:color w:val="auto"/>
          <w:szCs w:val="24"/>
        </w:rPr>
        <w:t xml:space="preserve">.  </w:t>
      </w:r>
      <w:r w:rsidR="00531AB1">
        <w:rPr>
          <w:rFonts w:asciiTheme="minorHAnsi" w:hAnsiTheme="minorHAnsi"/>
          <w:color w:val="auto"/>
          <w:szCs w:val="24"/>
        </w:rPr>
        <w:t xml:space="preserve">PTSD and </w:t>
      </w:r>
      <w:r w:rsidR="00C51DDD">
        <w:rPr>
          <w:rFonts w:asciiTheme="minorHAnsi" w:hAnsiTheme="minorHAnsi"/>
          <w:color w:val="auto"/>
          <w:szCs w:val="24"/>
        </w:rPr>
        <w:t>s</w:t>
      </w:r>
      <w:r w:rsidR="00531AB1">
        <w:rPr>
          <w:rFonts w:asciiTheme="minorHAnsi" w:hAnsiTheme="minorHAnsi"/>
          <w:color w:val="auto"/>
          <w:szCs w:val="24"/>
        </w:rPr>
        <w:t>leep disorder were found to be C</w:t>
      </w:r>
      <w:r w:rsidR="00531AB1" w:rsidRPr="00611EB8">
        <w:rPr>
          <w:rFonts w:asciiTheme="minorHAnsi" w:hAnsiTheme="minorHAnsi"/>
          <w:color w:val="auto"/>
          <w:szCs w:val="24"/>
        </w:rPr>
        <w:t xml:space="preserve">ategory </w:t>
      </w:r>
      <w:r w:rsidR="00531AB1">
        <w:rPr>
          <w:rFonts w:asciiTheme="minorHAnsi" w:hAnsiTheme="minorHAnsi"/>
          <w:color w:val="auto"/>
          <w:szCs w:val="24"/>
        </w:rPr>
        <w:t>II</w:t>
      </w:r>
      <w:r w:rsidR="00531AB1" w:rsidRPr="00611EB8">
        <w:rPr>
          <w:rFonts w:asciiTheme="minorHAnsi" w:hAnsiTheme="minorHAnsi"/>
          <w:color w:val="auto"/>
          <w:szCs w:val="24"/>
        </w:rPr>
        <w:t xml:space="preserve"> </w:t>
      </w:r>
      <w:r w:rsidR="00531AB1">
        <w:rPr>
          <w:rFonts w:asciiTheme="minorHAnsi" w:hAnsiTheme="minorHAnsi"/>
          <w:color w:val="auto"/>
          <w:szCs w:val="24"/>
        </w:rPr>
        <w:t xml:space="preserve">(contributing to the unfitting </w:t>
      </w:r>
      <w:r w:rsidR="00C51DDD">
        <w:rPr>
          <w:rFonts w:asciiTheme="minorHAnsi" w:hAnsiTheme="minorHAnsi"/>
          <w:color w:val="auto"/>
          <w:szCs w:val="24"/>
        </w:rPr>
        <w:t>a</w:t>
      </w:r>
      <w:r w:rsidR="00531AB1">
        <w:rPr>
          <w:rFonts w:asciiTheme="minorHAnsi" w:hAnsiTheme="minorHAnsi"/>
          <w:color w:val="auto"/>
          <w:szCs w:val="24"/>
        </w:rPr>
        <w:t xml:space="preserve">nxiety disorder).  </w:t>
      </w:r>
      <w:r w:rsidR="00D905D1">
        <w:rPr>
          <w:rFonts w:asciiTheme="minorHAnsi" w:hAnsiTheme="minorHAnsi"/>
          <w:color w:val="auto"/>
          <w:szCs w:val="24"/>
        </w:rPr>
        <w:t>C</w:t>
      </w:r>
      <w:r w:rsidR="00DC35AA">
        <w:rPr>
          <w:rFonts w:asciiTheme="minorHAnsi" w:hAnsiTheme="minorHAnsi"/>
          <w:color w:val="auto"/>
          <w:szCs w:val="24"/>
        </w:rPr>
        <w:t>hronic lower b</w:t>
      </w:r>
      <w:r w:rsidR="00975DD7" w:rsidRPr="00611EB8">
        <w:rPr>
          <w:rFonts w:asciiTheme="minorHAnsi" w:hAnsiTheme="minorHAnsi"/>
          <w:color w:val="auto"/>
          <w:szCs w:val="24"/>
        </w:rPr>
        <w:t xml:space="preserve">ack </w:t>
      </w:r>
      <w:r w:rsidR="00DC35AA">
        <w:rPr>
          <w:rFonts w:asciiTheme="minorHAnsi" w:hAnsiTheme="minorHAnsi"/>
          <w:color w:val="auto"/>
          <w:szCs w:val="24"/>
        </w:rPr>
        <w:t>and e</w:t>
      </w:r>
      <w:r w:rsidR="00537553" w:rsidRPr="00611EB8">
        <w:rPr>
          <w:rFonts w:asciiTheme="minorHAnsi" w:hAnsiTheme="minorHAnsi"/>
          <w:color w:val="auto"/>
          <w:szCs w:val="24"/>
        </w:rPr>
        <w:t xml:space="preserve">xtremity </w:t>
      </w:r>
      <w:r w:rsidR="00DC35AA">
        <w:rPr>
          <w:rFonts w:asciiTheme="minorHAnsi" w:hAnsiTheme="minorHAnsi"/>
          <w:color w:val="auto"/>
          <w:szCs w:val="24"/>
        </w:rPr>
        <w:t>p</w:t>
      </w:r>
      <w:r w:rsidR="00975DD7" w:rsidRPr="00611EB8">
        <w:rPr>
          <w:rFonts w:asciiTheme="minorHAnsi" w:hAnsiTheme="minorHAnsi"/>
          <w:color w:val="auto"/>
          <w:szCs w:val="24"/>
        </w:rPr>
        <w:t>ain</w:t>
      </w:r>
      <w:r w:rsidR="00D905D1">
        <w:rPr>
          <w:rFonts w:asciiTheme="minorHAnsi" w:hAnsiTheme="minorHAnsi"/>
          <w:color w:val="auto"/>
          <w:szCs w:val="24"/>
        </w:rPr>
        <w:t xml:space="preserve"> was also found unfi</w:t>
      </w:r>
      <w:r w:rsidR="00B20624" w:rsidRPr="00611EB8">
        <w:rPr>
          <w:rFonts w:asciiTheme="minorHAnsi" w:hAnsiTheme="minorHAnsi"/>
          <w:color w:val="auto"/>
          <w:szCs w:val="24"/>
        </w:rPr>
        <w:t>tting</w:t>
      </w:r>
      <w:r w:rsidR="00D905D1">
        <w:rPr>
          <w:rFonts w:asciiTheme="minorHAnsi" w:hAnsiTheme="minorHAnsi"/>
          <w:color w:val="auto"/>
          <w:szCs w:val="24"/>
        </w:rPr>
        <w:t xml:space="preserve"> and </w:t>
      </w:r>
      <w:r w:rsidR="00B20624" w:rsidRPr="00611EB8">
        <w:rPr>
          <w:rFonts w:asciiTheme="minorHAnsi" w:hAnsiTheme="minorHAnsi"/>
          <w:color w:val="auto"/>
          <w:szCs w:val="24"/>
        </w:rPr>
        <w:t xml:space="preserve">rated </w:t>
      </w:r>
      <w:r w:rsidR="00D905D1">
        <w:rPr>
          <w:rFonts w:asciiTheme="minorHAnsi" w:hAnsiTheme="minorHAnsi"/>
          <w:color w:val="auto"/>
          <w:szCs w:val="24"/>
        </w:rPr>
        <w:t xml:space="preserve">at </w:t>
      </w:r>
      <w:r w:rsidR="00975DD7" w:rsidRPr="00611EB8">
        <w:rPr>
          <w:rFonts w:asciiTheme="minorHAnsi" w:hAnsiTheme="minorHAnsi"/>
          <w:color w:val="auto"/>
          <w:szCs w:val="24"/>
        </w:rPr>
        <w:t>10</w:t>
      </w:r>
      <w:r w:rsidR="00B20624" w:rsidRPr="00611EB8">
        <w:rPr>
          <w:rFonts w:asciiTheme="minorHAnsi" w:hAnsiTheme="minorHAnsi"/>
          <w:color w:val="auto"/>
          <w:szCs w:val="24"/>
        </w:rPr>
        <w:t>%</w:t>
      </w:r>
      <w:r w:rsidR="00D905D1">
        <w:rPr>
          <w:rFonts w:asciiTheme="minorHAnsi" w:hAnsiTheme="minorHAnsi"/>
          <w:color w:val="auto"/>
          <w:szCs w:val="24"/>
        </w:rPr>
        <w:t xml:space="preserve">.  </w:t>
      </w:r>
      <w:r w:rsidR="00531AB1">
        <w:rPr>
          <w:rFonts w:asciiTheme="minorHAnsi" w:hAnsiTheme="minorHAnsi"/>
          <w:color w:val="auto"/>
          <w:szCs w:val="24"/>
        </w:rPr>
        <w:t xml:space="preserve">Three other lower back conditions were found to be Category II.  Headaches and </w:t>
      </w:r>
      <w:r w:rsidR="00C51DDD">
        <w:rPr>
          <w:rFonts w:asciiTheme="minorHAnsi" w:hAnsiTheme="minorHAnsi"/>
          <w:color w:val="auto"/>
          <w:szCs w:val="24"/>
        </w:rPr>
        <w:t>g</w:t>
      </w:r>
      <w:r w:rsidR="00531AB1">
        <w:rPr>
          <w:rFonts w:asciiTheme="minorHAnsi" w:hAnsiTheme="minorHAnsi"/>
          <w:color w:val="auto"/>
          <w:szCs w:val="24"/>
        </w:rPr>
        <w:t xml:space="preserve">anglion cysts (bilateral) were determined to be Category III (not separately unfitting and not related to the unfitting conditions).  </w:t>
      </w:r>
      <w:r w:rsidR="00457383" w:rsidRPr="00611EB8">
        <w:rPr>
          <w:rFonts w:asciiTheme="minorHAnsi" w:hAnsiTheme="minorHAnsi"/>
          <w:color w:val="auto"/>
          <w:szCs w:val="24"/>
        </w:rPr>
        <w:t>The CI accepted the PEB findings and was separated at 20% combined disability using the Veterans Administration Schedule for Rating Disabili</w:t>
      </w:r>
      <w:r w:rsidR="00DB43DC" w:rsidRPr="00611EB8">
        <w:rPr>
          <w:rFonts w:asciiTheme="minorHAnsi" w:hAnsiTheme="minorHAnsi"/>
          <w:color w:val="auto"/>
          <w:szCs w:val="24"/>
        </w:rPr>
        <w:t>ties (VASRD) and applicable Navy</w:t>
      </w:r>
      <w:r w:rsidR="00457383" w:rsidRPr="00611EB8">
        <w:rPr>
          <w:rFonts w:asciiTheme="minorHAnsi" w:hAnsiTheme="minorHAnsi"/>
          <w:color w:val="auto"/>
          <w:szCs w:val="24"/>
        </w:rPr>
        <w:t xml:space="preserve"> and </w:t>
      </w:r>
      <w:proofErr w:type="gramStart"/>
      <w:r w:rsidR="00457383" w:rsidRPr="00611EB8">
        <w:rPr>
          <w:rFonts w:asciiTheme="minorHAnsi" w:hAnsiTheme="minorHAnsi"/>
          <w:color w:val="auto"/>
          <w:szCs w:val="24"/>
        </w:rPr>
        <w:t>DoD</w:t>
      </w:r>
      <w:proofErr w:type="gramEnd"/>
      <w:r w:rsidR="00457383" w:rsidRPr="00611EB8">
        <w:rPr>
          <w:rFonts w:asciiTheme="minorHAnsi" w:hAnsiTheme="minorHAnsi"/>
          <w:color w:val="auto"/>
          <w:szCs w:val="24"/>
        </w:rPr>
        <w:t xml:space="preserve"> regulations.</w:t>
      </w:r>
      <w:r w:rsidR="00B20624" w:rsidRPr="00611EB8">
        <w:rPr>
          <w:rFonts w:asciiTheme="minorHAnsi" w:hAnsiTheme="minorHAnsi"/>
          <w:color w:val="auto"/>
        </w:rPr>
        <w:t xml:space="preserve"> </w:t>
      </w:r>
    </w:p>
    <w:p w:rsidR="00106AD8" w:rsidRPr="00611EB8" w:rsidRDefault="00106AD8" w:rsidP="00660807">
      <w:pPr>
        <w:pBdr>
          <w:bottom w:val="single" w:sz="12" w:space="1" w:color="auto"/>
        </w:pBdr>
        <w:tabs>
          <w:tab w:val="left" w:pos="288"/>
          <w:tab w:val="left" w:pos="4752"/>
        </w:tabs>
        <w:spacing w:line="240" w:lineRule="exact"/>
        <w:jc w:val="both"/>
        <w:rPr>
          <w:rFonts w:asciiTheme="minorHAnsi" w:hAnsiTheme="minorHAnsi"/>
          <w:color w:val="auto"/>
          <w:szCs w:val="24"/>
        </w:rPr>
      </w:pPr>
    </w:p>
    <w:p w:rsidR="00106AD8" w:rsidRPr="00611EB8" w:rsidRDefault="00106AD8" w:rsidP="00660807">
      <w:pPr>
        <w:tabs>
          <w:tab w:val="left" w:pos="288"/>
          <w:tab w:val="left" w:pos="4752"/>
        </w:tabs>
        <w:spacing w:line="240" w:lineRule="exact"/>
        <w:rPr>
          <w:rFonts w:asciiTheme="minorHAnsi" w:hAnsiTheme="minorHAnsi"/>
          <w:color w:val="000080"/>
          <w:szCs w:val="24"/>
        </w:rPr>
      </w:pPr>
    </w:p>
    <w:p w:rsidR="00122ABE" w:rsidRPr="00611EB8" w:rsidRDefault="005D3F1E" w:rsidP="0066080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u w:val="single"/>
        </w:rPr>
        <w:t>CI</w:t>
      </w:r>
      <w:r w:rsidR="00607109">
        <w:rPr>
          <w:rFonts w:asciiTheme="minorHAnsi" w:hAnsiTheme="minorHAnsi"/>
          <w:color w:val="auto"/>
          <w:u w:val="single"/>
        </w:rPr>
        <w:t>‘s</w:t>
      </w:r>
      <w:r>
        <w:rPr>
          <w:rFonts w:asciiTheme="minorHAnsi" w:hAnsiTheme="minorHAnsi"/>
          <w:color w:val="auto"/>
          <w:u w:val="single"/>
        </w:rPr>
        <w:t xml:space="preserve"> </w:t>
      </w:r>
      <w:r w:rsidR="002C6E5B" w:rsidRPr="00611EB8">
        <w:rPr>
          <w:rFonts w:asciiTheme="minorHAnsi" w:hAnsiTheme="minorHAnsi"/>
          <w:color w:val="auto"/>
          <w:u w:val="single"/>
        </w:rPr>
        <w:t>CONTENTION</w:t>
      </w:r>
      <w:r w:rsidR="002C6E5B" w:rsidRPr="00611EB8">
        <w:rPr>
          <w:rFonts w:asciiTheme="minorHAnsi" w:hAnsiTheme="minorHAnsi"/>
          <w:color w:val="auto"/>
        </w:rPr>
        <w:t xml:space="preserve">:  </w:t>
      </w:r>
      <w:r w:rsidR="002C6E5B" w:rsidRPr="00611EB8">
        <w:rPr>
          <w:rFonts w:asciiTheme="minorHAnsi" w:hAnsiTheme="minorHAnsi"/>
          <w:color w:val="auto"/>
          <w:szCs w:val="24"/>
        </w:rPr>
        <w:t>The CI states</w:t>
      </w:r>
      <w:r>
        <w:rPr>
          <w:rFonts w:asciiTheme="minorHAnsi" w:hAnsiTheme="minorHAnsi"/>
          <w:color w:val="auto"/>
          <w:szCs w:val="24"/>
        </w:rPr>
        <w:t>, “</w:t>
      </w:r>
      <w:r w:rsidR="00A7271A" w:rsidRPr="00611EB8">
        <w:rPr>
          <w:rFonts w:asciiTheme="minorHAnsi" w:hAnsiTheme="minorHAnsi"/>
          <w:color w:val="auto"/>
          <w:szCs w:val="24"/>
        </w:rPr>
        <w:t xml:space="preserve">I was rated 70% by the VA. </w:t>
      </w:r>
      <w:r w:rsidR="00653349" w:rsidRPr="00611EB8">
        <w:rPr>
          <w:rFonts w:asciiTheme="minorHAnsi" w:hAnsiTheme="minorHAnsi"/>
          <w:color w:val="auto"/>
          <w:szCs w:val="24"/>
        </w:rPr>
        <w:t xml:space="preserve"> </w:t>
      </w:r>
      <w:r w:rsidR="00A7271A" w:rsidRPr="00611EB8">
        <w:rPr>
          <w:rFonts w:asciiTheme="minorHAnsi" w:hAnsiTheme="minorHAnsi"/>
          <w:color w:val="auto"/>
          <w:szCs w:val="24"/>
        </w:rPr>
        <w:t>I feel I should be retired because I have a lot of ailments that hinder my work performance and I could also use base facilities to get extra help when I need it</w:t>
      </w:r>
      <w:r>
        <w:rPr>
          <w:rFonts w:asciiTheme="minorHAnsi" w:hAnsiTheme="minorHAnsi"/>
          <w:color w:val="auto"/>
          <w:szCs w:val="24"/>
        </w:rPr>
        <w:t>.</w:t>
      </w:r>
      <w:r w:rsidR="00A7271A" w:rsidRPr="00611EB8">
        <w:rPr>
          <w:rFonts w:asciiTheme="minorHAnsi" w:hAnsiTheme="minorHAnsi"/>
          <w:color w:val="auto"/>
          <w:szCs w:val="24"/>
        </w:rPr>
        <w:t xml:space="preserve">” </w:t>
      </w:r>
      <w:r w:rsidR="00A03C03" w:rsidRPr="00611EB8">
        <w:rPr>
          <w:rFonts w:asciiTheme="minorHAnsi" w:hAnsiTheme="minorHAnsi"/>
          <w:color w:val="auto"/>
          <w:szCs w:val="24"/>
        </w:rPr>
        <w:t xml:space="preserve"> </w:t>
      </w:r>
    </w:p>
    <w:p w:rsidR="00106AD8" w:rsidRPr="00611EB8" w:rsidRDefault="00106AD8" w:rsidP="00660807">
      <w:pPr>
        <w:pBdr>
          <w:bottom w:val="single" w:sz="12" w:space="1" w:color="auto"/>
        </w:pBdr>
        <w:tabs>
          <w:tab w:val="left" w:pos="288"/>
          <w:tab w:val="left" w:pos="4752"/>
        </w:tabs>
        <w:spacing w:line="240" w:lineRule="exact"/>
        <w:jc w:val="both"/>
        <w:rPr>
          <w:rFonts w:asciiTheme="minorHAnsi" w:hAnsiTheme="minorHAnsi"/>
          <w:color w:val="auto"/>
          <w:szCs w:val="24"/>
        </w:rPr>
      </w:pPr>
    </w:p>
    <w:p w:rsidR="00106AD8" w:rsidRPr="00611EB8" w:rsidRDefault="00106AD8" w:rsidP="00660807">
      <w:pPr>
        <w:tabs>
          <w:tab w:val="left" w:pos="288"/>
          <w:tab w:val="left" w:pos="4752"/>
        </w:tabs>
        <w:spacing w:line="240" w:lineRule="exact"/>
        <w:rPr>
          <w:rFonts w:asciiTheme="minorHAnsi" w:hAnsiTheme="minorHAnsi"/>
          <w:color w:val="000080"/>
          <w:szCs w:val="24"/>
        </w:rPr>
      </w:pPr>
    </w:p>
    <w:p w:rsidR="002338CA" w:rsidRPr="00611EB8" w:rsidRDefault="002C6E5B" w:rsidP="00660807">
      <w:pPr>
        <w:spacing w:line="240" w:lineRule="exact"/>
        <w:rPr>
          <w:rFonts w:asciiTheme="minorHAnsi" w:hAnsiTheme="minorHAnsi"/>
          <w:color w:val="auto"/>
        </w:rPr>
      </w:pPr>
      <w:r w:rsidRPr="00611EB8">
        <w:rPr>
          <w:rFonts w:asciiTheme="minorHAnsi" w:hAnsiTheme="minorHAnsi"/>
          <w:color w:val="auto"/>
          <w:u w:val="single"/>
        </w:rPr>
        <w:t>RATING COMPARISON</w:t>
      </w:r>
      <w:r w:rsidRPr="00611EB8">
        <w:rPr>
          <w:rFonts w:asciiTheme="minorHAnsi" w:hAnsiTheme="minorHAnsi"/>
          <w:color w:val="auto"/>
        </w:rPr>
        <w:t>:</w:t>
      </w:r>
    </w:p>
    <w:p w:rsidR="00F82981" w:rsidRPr="00611EB8" w:rsidRDefault="00F82981" w:rsidP="00660807">
      <w:pPr>
        <w:tabs>
          <w:tab w:val="left" w:pos="288"/>
          <w:tab w:val="left" w:pos="4752"/>
        </w:tabs>
        <w:spacing w:line="240" w:lineRule="exact"/>
        <w:jc w:val="both"/>
        <w:rPr>
          <w:rFonts w:asciiTheme="minorHAnsi" w:hAnsiTheme="minorHAnsi"/>
          <w:color w:val="auto"/>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7"/>
        <w:gridCol w:w="713"/>
        <w:gridCol w:w="810"/>
        <w:gridCol w:w="2115"/>
        <w:gridCol w:w="1305"/>
        <w:gridCol w:w="810"/>
        <w:gridCol w:w="990"/>
      </w:tblGrid>
      <w:tr w:rsidR="00684E2B" w:rsidRPr="00611EB8" w:rsidTr="00A03C03">
        <w:trPr>
          <w:trHeight w:val="233"/>
          <w:jc w:val="center"/>
        </w:trPr>
        <w:tc>
          <w:tcPr>
            <w:tcW w:w="4050" w:type="dxa"/>
            <w:gridSpan w:val="4"/>
            <w:tcBorders>
              <w:right w:val="thinThickThinSmallGap" w:sz="24" w:space="0" w:color="auto"/>
            </w:tcBorders>
            <w:shd w:val="clear" w:color="auto" w:fill="D9D9D9"/>
          </w:tcPr>
          <w:p w:rsidR="00684E2B" w:rsidRPr="00611EB8" w:rsidRDefault="005D3F1E" w:rsidP="00660807">
            <w:pPr>
              <w:pStyle w:val="ListParagraph"/>
              <w:spacing w:after="0" w:line="240" w:lineRule="exact"/>
              <w:ind w:left="0"/>
              <w:jc w:val="center"/>
              <w:rPr>
                <w:rFonts w:asciiTheme="minorHAnsi" w:hAnsiTheme="minorHAnsi"/>
                <w:b/>
                <w:sz w:val="20"/>
                <w:szCs w:val="20"/>
              </w:rPr>
            </w:pPr>
            <w:r>
              <w:rPr>
                <w:rFonts w:asciiTheme="minorHAnsi" w:hAnsiTheme="minorHAnsi"/>
                <w:b/>
                <w:sz w:val="20"/>
                <w:szCs w:val="20"/>
              </w:rPr>
              <w:t>Navy</w:t>
            </w:r>
            <w:r w:rsidR="00684E2B" w:rsidRPr="00611EB8">
              <w:rPr>
                <w:rFonts w:asciiTheme="minorHAnsi" w:hAnsiTheme="minorHAnsi"/>
                <w:b/>
                <w:sz w:val="20"/>
                <w:szCs w:val="20"/>
              </w:rPr>
              <w:t xml:space="preserve"> </w:t>
            </w:r>
            <w:r w:rsidR="00803C68">
              <w:rPr>
                <w:rFonts w:asciiTheme="minorHAnsi" w:hAnsiTheme="minorHAnsi"/>
                <w:b/>
                <w:sz w:val="20"/>
                <w:szCs w:val="20"/>
              </w:rPr>
              <w:t>I</w:t>
            </w:r>
            <w:r w:rsidR="00684E2B" w:rsidRPr="00611EB8">
              <w:rPr>
                <w:rFonts w:asciiTheme="minorHAnsi" w:hAnsiTheme="minorHAnsi"/>
                <w:b/>
                <w:sz w:val="20"/>
                <w:szCs w:val="20"/>
              </w:rPr>
              <w:t>PEB</w:t>
            </w:r>
            <w:r w:rsidR="002B2645" w:rsidRPr="00611EB8">
              <w:rPr>
                <w:rFonts w:asciiTheme="minorHAnsi" w:hAnsiTheme="minorHAnsi"/>
                <w:b/>
                <w:sz w:val="20"/>
                <w:szCs w:val="20"/>
              </w:rPr>
              <w:t xml:space="preserve"> – </w:t>
            </w:r>
            <w:r>
              <w:rPr>
                <w:rFonts w:asciiTheme="minorHAnsi" w:hAnsiTheme="minorHAnsi"/>
                <w:b/>
                <w:sz w:val="20"/>
                <w:szCs w:val="20"/>
              </w:rPr>
              <w:t>d</w:t>
            </w:r>
            <w:r w:rsidR="002B2645" w:rsidRPr="00611EB8">
              <w:rPr>
                <w:rFonts w:asciiTheme="minorHAnsi" w:hAnsiTheme="minorHAnsi"/>
                <w:b/>
                <w:sz w:val="20"/>
                <w:szCs w:val="20"/>
              </w:rPr>
              <w:t xml:space="preserve">ated </w:t>
            </w:r>
            <w:r w:rsidR="00FF4FC6" w:rsidRPr="00611EB8">
              <w:rPr>
                <w:rFonts w:asciiTheme="minorHAnsi" w:hAnsiTheme="minorHAnsi"/>
                <w:b/>
                <w:sz w:val="20"/>
                <w:szCs w:val="20"/>
              </w:rPr>
              <w:t>20080110</w:t>
            </w:r>
          </w:p>
        </w:tc>
        <w:tc>
          <w:tcPr>
            <w:tcW w:w="5220" w:type="dxa"/>
            <w:gridSpan w:val="4"/>
            <w:tcBorders>
              <w:left w:val="thinThickThinSmallGap" w:sz="24" w:space="0" w:color="auto"/>
            </w:tcBorders>
            <w:shd w:val="clear" w:color="auto" w:fill="D9D9D9"/>
          </w:tcPr>
          <w:p w:rsidR="00684E2B" w:rsidRPr="00611EB8" w:rsidRDefault="00684E2B"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VA (</w:t>
            </w:r>
            <w:r w:rsidR="001617D9">
              <w:rPr>
                <w:rFonts w:asciiTheme="minorHAnsi" w:hAnsiTheme="minorHAnsi"/>
                <w:b/>
                <w:sz w:val="20"/>
                <w:szCs w:val="20"/>
              </w:rPr>
              <w:t>~</w:t>
            </w:r>
            <w:r w:rsidR="00FF4FC6" w:rsidRPr="00611EB8">
              <w:rPr>
                <w:rFonts w:asciiTheme="minorHAnsi" w:hAnsiTheme="minorHAnsi"/>
                <w:b/>
                <w:sz w:val="20"/>
                <w:szCs w:val="20"/>
              </w:rPr>
              <w:t xml:space="preserve">8 </w:t>
            </w:r>
            <w:r w:rsidR="005D3F1E">
              <w:rPr>
                <w:rFonts w:asciiTheme="minorHAnsi" w:hAnsiTheme="minorHAnsi"/>
                <w:b/>
                <w:sz w:val="20"/>
                <w:szCs w:val="20"/>
              </w:rPr>
              <w:t>m</w:t>
            </w:r>
            <w:r w:rsidRPr="00611EB8">
              <w:rPr>
                <w:rFonts w:asciiTheme="minorHAnsi" w:hAnsiTheme="minorHAnsi"/>
                <w:b/>
                <w:sz w:val="20"/>
                <w:szCs w:val="20"/>
              </w:rPr>
              <w:t xml:space="preserve">o. </w:t>
            </w:r>
            <w:r w:rsidR="00FF4FC6" w:rsidRPr="00611EB8">
              <w:rPr>
                <w:rFonts w:asciiTheme="minorHAnsi" w:hAnsiTheme="minorHAnsi"/>
                <w:b/>
                <w:sz w:val="20"/>
                <w:szCs w:val="20"/>
              </w:rPr>
              <w:t>Post</w:t>
            </w:r>
            <w:r w:rsidRPr="00611EB8">
              <w:rPr>
                <w:rFonts w:asciiTheme="minorHAnsi" w:hAnsiTheme="minorHAnsi"/>
                <w:b/>
                <w:sz w:val="20"/>
                <w:szCs w:val="20"/>
              </w:rPr>
              <w:t xml:space="preserve"> Separation)</w:t>
            </w:r>
            <w:r w:rsidR="000C3C13" w:rsidRPr="00611EB8">
              <w:rPr>
                <w:rFonts w:asciiTheme="minorHAnsi" w:hAnsiTheme="minorHAnsi"/>
                <w:b/>
                <w:sz w:val="20"/>
                <w:szCs w:val="20"/>
              </w:rPr>
              <w:t xml:space="preserve"> – All Effective </w:t>
            </w:r>
            <w:r w:rsidR="00FF4FC6" w:rsidRPr="00611EB8">
              <w:rPr>
                <w:rFonts w:asciiTheme="minorHAnsi" w:hAnsiTheme="minorHAnsi"/>
                <w:b/>
                <w:sz w:val="20"/>
                <w:szCs w:val="20"/>
              </w:rPr>
              <w:t>20080401</w:t>
            </w:r>
          </w:p>
        </w:tc>
      </w:tr>
      <w:tr w:rsidR="002266C5" w:rsidRPr="00611EB8" w:rsidTr="00A03C03">
        <w:trPr>
          <w:trHeight w:val="233"/>
          <w:jc w:val="center"/>
        </w:trPr>
        <w:tc>
          <w:tcPr>
            <w:tcW w:w="2520" w:type="dxa"/>
            <w:tcBorders>
              <w:bottom w:val="single" w:sz="4" w:space="0" w:color="000000"/>
            </w:tcBorders>
            <w:shd w:val="clear" w:color="auto" w:fill="D9D9D9"/>
          </w:tcPr>
          <w:p w:rsidR="002B2645" w:rsidRPr="00611EB8" w:rsidRDefault="002B2645" w:rsidP="00660807">
            <w:pPr>
              <w:pStyle w:val="ListParagraph"/>
              <w:spacing w:after="0" w:line="240" w:lineRule="exact"/>
              <w:ind w:left="0"/>
              <w:jc w:val="both"/>
              <w:rPr>
                <w:rFonts w:asciiTheme="minorHAnsi" w:hAnsiTheme="minorHAnsi"/>
                <w:b/>
                <w:sz w:val="20"/>
                <w:szCs w:val="20"/>
              </w:rPr>
            </w:pPr>
            <w:r w:rsidRPr="00611EB8">
              <w:rPr>
                <w:rFonts w:asciiTheme="minorHAnsi" w:hAnsiTheme="minorHAnsi"/>
                <w:b/>
                <w:sz w:val="20"/>
                <w:szCs w:val="20"/>
              </w:rPr>
              <w:t>Condition</w:t>
            </w:r>
          </w:p>
        </w:tc>
        <w:tc>
          <w:tcPr>
            <w:tcW w:w="720" w:type="dxa"/>
            <w:gridSpan w:val="2"/>
            <w:tcBorders>
              <w:bottom w:val="single" w:sz="4" w:space="0" w:color="000000"/>
            </w:tcBorders>
            <w:shd w:val="clear" w:color="auto" w:fill="D9D9D9"/>
          </w:tcPr>
          <w:p w:rsidR="002B2645" w:rsidRPr="00611EB8" w:rsidRDefault="002B2645"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Code</w:t>
            </w:r>
          </w:p>
        </w:tc>
        <w:tc>
          <w:tcPr>
            <w:tcW w:w="810" w:type="dxa"/>
            <w:tcBorders>
              <w:bottom w:val="single" w:sz="4" w:space="0" w:color="000000"/>
              <w:right w:val="thinThickThinSmallGap" w:sz="24" w:space="0" w:color="auto"/>
            </w:tcBorders>
            <w:shd w:val="clear" w:color="auto" w:fill="D9D9D9"/>
          </w:tcPr>
          <w:p w:rsidR="002B2645" w:rsidRPr="00611EB8" w:rsidRDefault="002B2645"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Rating</w:t>
            </w:r>
          </w:p>
        </w:tc>
        <w:tc>
          <w:tcPr>
            <w:tcW w:w="2115" w:type="dxa"/>
            <w:tcBorders>
              <w:left w:val="thinThickThinSmallGap" w:sz="24" w:space="0" w:color="auto"/>
              <w:bottom w:val="single" w:sz="4" w:space="0" w:color="000000"/>
            </w:tcBorders>
            <w:shd w:val="clear" w:color="auto" w:fill="D9D9D9"/>
          </w:tcPr>
          <w:p w:rsidR="002B2645" w:rsidRPr="00611EB8" w:rsidRDefault="002B2645" w:rsidP="00660807">
            <w:pPr>
              <w:pStyle w:val="ListParagraph"/>
              <w:spacing w:after="0" w:line="240" w:lineRule="exact"/>
              <w:ind w:left="0"/>
              <w:jc w:val="both"/>
              <w:rPr>
                <w:rFonts w:asciiTheme="minorHAnsi" w:hAnsiTheme="minorHAnsi"/>
                <w:b/>
                <w:sz w:val="20"/>
                <w:szCs w:val="20"/>
              </w:rPr>
            </w:pPr>
            <w:r w:rsidRPr="00611EB8">
              <w:rPr>
                <w:rFonts w:asciiTheme="minorHAnsi" w:hAnsiTheme="minorHAnsi"/>
                <w:b/>
                <w:sz w:val="20"/>
                <w:szCs w:val="20"/>
              </w:rPr>
              <w:t>Condition</w:t>
            </w:r>
          </w:p>
        </w:tc>
        <w:tc>
          <w:tcPr>
            <w:tcW w:w="1305" w:type="dxa"/>
            <w:tcBorders>
              <w:bottom w:val="single" w:sz="4" w:space="0" w:color="000000"/>
            </w:tcBorders>
            <w:shd w:val="clear" w:color="auto" w:fill="D9D9D9"/>
          </w:tcPr>
          <w:p w:rsidR="002B2645" w:rsidRPr="00611EB8" w:rsidRDefault="002B2645"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Code</w:t>
            </w:r>
          </w:p>
        </w:tc>
        <w:tc>
          <w:tcPr>
            <w:tcW w:w="810" w:type="dxa"/>
            <w:tcBorders>
              <w:bottom w:val="single" w:sz="4" w:space="0" w:color="000000"/>
            </w:tcBorders>
            <w:shd w:val="clear" w:color="auto" w:fill="D9D9D9"/>
          </w:tcPr>
          <w:p w:rsidR="002B2645" w:rsidRPr="00611EB8" w:rsidRDefault="002B2645"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Rating</w:t>
            </w:r>
          </w:p>
        </w:tc>
        <w:tc>
          <w:tcPr>
            <w:tcW w:w="990" w:type="dxa"/>
            <w:tcBorders>
              <w:bottom w:val="single" w:sz="4" w:space="0" w:color="000000"/>
            </w:tcBorders>
            <w:shd w:val="clear" w:color="auto" w:fill="D9D9D9"/>
          </w:tcPr>
          <w:p w:rsidR="002B2645" w:rsidRPr="00611EB8" w:rsidRDefault="002B2645"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Exam</w:t>
            </w:r>
          </w:p>
        </w:tc>
      </w:tr>
      <w:tr w:rsidR="00540748" w:rsidRPr="00611EB8" w:rsidTr="00540748">
        <w:trPr>
          <w:trHeight w:val="179"/>
          <w:jc w:val="center"/>
        </w:trPr>
        <w:tc>
          <w:tcPr>
            <w:tcW w:w="2520" w:type="dxa"/>
            <w:shd w:val="clear" w:color="auto" w:fill="FFFFFF"/>
            <w:vAlign w:val="center"/>
          </w:tcPr>
          <w:p w:rsidR="00540748" w:rsidRPr="00611EB8" w:rsidRDefault="00540748" w:rsidP="00540748">
            <w:pPr>
              <w:pStyle w:val="ListParagraph"/>
              <w:spacing w:after="0" w:line="180" w:lineRule="exact"/>
              <w:ind w:left="0"/>
              <w:rPr>
                <w:rFonts w:asciiTheme="minorHAnsi" w:hAnsiTheme="minorHAnsi"/>
                <w:sz w:val="18"/>
                <w:szCs w:val="18"/>
              </w:rPr>
            </w:pPr>
            <w:r w:rsidRPr="00611EB8">
              <w:rPr>
                <w:rFonts w:asciiTheme="minorHAnsi" w:hAnsiTheme="minorHAnsi"/>
                <w:sz w:val="18"/>
                <w:szCs w:val="18"/>
              </w:rPr>
              <w:t>Anxiety Disorder</w:t>
            </w:r>
          </w:p>
        </w:tc>
        <w:tc>
          <w:tcPr>
            <w:tcW w:w="720" w:type="dxa"/>
            <w:gridSpan w:val="2"/>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9413</w:t>
            </w:r>
          </w:p>
        </w:tc>
        <w:tc>
          <w:tcPr>
            <w:tcW w:w="810" w:type="dxa"/>
            <w:tcBorders>
              <w:right w:val="thinThickThinSmallGap" w:sz="24" w:space="0" w:color="auto"/>
            </w:tcBorders>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10%</w:t>
            </w:r>
          </w:p>
        </w:tc>
        <w:tc>
          <w:tcPr>
            <w:tcW w:w="2115" w:type="dxa"/>
            <w:vMerge w:val="restart"/>
            <w:tcBorders>
              <w:left w:val="thinThickThinSmallGap" w:sz="24" w:space="0" w:color="auto"/>
            </w:tcBorders>
            <w:shd w:val="clear" w:color="auto" w:fill="FFFFFF"/>
            <w:vAlign w:val="center"/>
          </w:tcPr>
          <w:p w:rsidR="00540748" w:rsidRPr="00611EB8" w:rsidRDefault="00540748" w:rsidP="00540748">
            <w:pPr>
              <w:pStyle w:val="ListParagraph"/>
              <w:spacing w:after="0" w:line="180" w:lineRule="exact"/>
              <w:ind w:left="0"/>
              <w:rPr>
                <w:rFonts w:asciiTheme="minorHAnsi" w:hAnsiTheme="minorHAnsi"/>
                <w:sz w:val="18"/>
                <w:szCs w:val="18"/>
              </w:rPr>
            </w:pPr>
            <w:r w:rsidRPr="00611EB8">
              <w:rPr>
                <w:rFonts w:asciiTheme="minorHAnsi" w:hAnsiTheme="minorHAnsi"/>
                <w:sz w:val="18"/>
                <w:szCs w:val="18"/>
              </w:rPr>
              <w:t>PTSD</w:t>
            </w:r>
            <w:r>
              <w:rPr>
                <w:rFonts w:asciiTheme="minorHAnsi" w:hAnsiTheme="minorHAnsi"/>
                <w:sz w:val="18"/>
                <w:szCs w:val="18"/>
              </w:rPr>
              <w:t xml:space="preserve"> and MDD (also claimed as Sleep Disorder)</w:t>
            </w:r>
          </w:p>
        </w:tc>
        <w:tc>
          <w:tcPr>
            <w:tcW w:w="1305" w:type="dxa"/>
            <w:vMerge w:val="restart"/>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9411</w:t>
            </w:r>
          </w:p>
        </w:tc>
        <w:tc>
          <w:tcPr>
            <w:tcW w:w="810" w:type="dxa"/>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50%*</w:t>
            </w:r>
          </w:p>
        </w:tc>
        <w:tc>
          <w:tcPr>
            <w:tcW w:w="990" w:type="dxa"/>
            <w:shd w:val="clear" w:color="auto" w:fill="FFFFFF"/>
          </w:tcPr>
          <w:p w:rsidR="00540748" w:rsidRPr="00646A91" w:rsidRDefault="00540748" w:rsidP="00540748">
            <w:pPr>
              <w:pStyle w:val="ListParagraph"/>
              <w:spacing w:after="0" w:line="180" w:lineRule="exact"/>
              <w:ind w:left="0"/>
              <w:jc w:val="center"/>
              <w:rPr>
                <w:rFonts w:asciiTheme="minorHAnsi" w:hAnsiTheme="minorHAnsi"/>
                <w:sz w:val="18"/>
                <w:szCs w:val="18"/>
              </w:rPr>
            </w:pPr>
            <w:r w:rsidRPr="00646A91">
              <w:rPr>
                <w:rFonts w:asciiTheme="minorHAnsi" w:hAnsiTheme="minorHAnsi"/>
                <w:sz w:val="18"/>
                <w:szCs w:val="18"/>
              </w:rPr>
              <w:t>20081031</w:t>
            </w:r>
          </w:p>
        </w:tc>
      </w:tr>
      <w:tr w:rsidR="00540748" w:rsidRPr="00611EB8" w:rsidTr="00540748">
        <w:trPr>
          <w:trHeight w:val="161"/>
          <w:jc w:val="center"/>
        </w:trPr>
        <w:tc>
          <w:tcPr>
            <w:tcW w:w="2520" w:type="dxa"/>
            <w:shd w:val="clear" w:color="auto" w:fill="FFFFFF"/>
            <w:vAlign w:val="center"/>
          </w:tcPr>
          <w:p w:rsidR="00540748" w:rsidRPr="00611EB8" w:rsidRDefault="00540748" w:rsidP="00540748">
            <w:pPr>
              <w:pStyle w:val="ListParagraph"/>
              <w:spacing w:after="0" w:line="180" w:lineRule="exact"/>
              <w:ind w:left="0"/>
              <w:rPr>
                <w:rFonts w:asciiTheme="minorHAnsi" w:hAnsiTheme="minorHAnsi"/>
                <w:sz w:val="18"/>
                <w:szCs w:val="18"/>
              </w:rPr>
            </w:pPr>
            <w:r>
              <w:rPr>
                <w:rFonts w:asciiTheme="minorHAnsi" w:hAnsiTheme="minorHAnsi"/>
                <w:sz w:val="18"/>
                <w:szCs w:val="18"/>
              </w:rPr>
              <w:t>PTSD</w:t>
            </w:r>
          </w:p>
        </w:tc>
        <w:tc>
          <w:tcPr>
            <w:tcW w:w="1530" w:type="dxa"/>
            <w:gridSpan w:val="3"/>
            <w:vMerge w:val="restart"/>
            <w:tcBorders>
              <w:right w:val="thinThickThinSmallGap" w:sz="24" w:space="0" w:color="auto"/>
            </w:tcBorders>
            <w:shd w:val="clear" w:color="auto" w:fill="FFFFFF"/>
            <w:vAlign w:val="center"/>
          </w:tcPr>
          <w:p w:rsidR="00540748" w:rsidRPr="00611EB8" w:rsidRDefault="004713A6" w:rsidP="004713A6">
            <w:pPr>
              <w:pStyle w:val="ListParagraph"/>
              <w:spacing w:after="0" w:line="180" w:lineRule="exact"/>
              <w:ind w:left="0"/>
              <w:jc w:val="center"/>
              <w:rPr>
                <w:rFonts w:asciiTheme="minorHAnsi" w:hAnsiTheme="minorHAnsi"/>
                <w:sz w:val="18"/>
                <w:szCs w:val="18"/>
              </w:rPr>
            </w:pPr>
            <w:r>
              <w:rPr>
                <w:rFonts w:asciiTheme="minorHAnsi" w:hAnsiTheme="minorHAnsi"/>
                <w:sz w:val="18"/>
                <w:szCs w:val="18"/>
              </w:rPr>
              <w:t>Not unfitting</w:t>
            </w:r>
          </w:p>
        </w:tc>
        <w:tc>
          <w:tcPr>
            <w:tcW w:w="2115" w:type="dxa"/>
            <w:vMerge/>
            <w:tcBorders>
              <w:left w:val="thinThickThinSmallGap" w:sz="24" w:space="0" w:color="auto"/>
            </w:tcBorders>
            <w:shd w:val="clear" w:color="auto" w:fill="FFFFFF"/>
            <w:vAlign w:val="center"/>
          </w:tcPr>
          <w:p w:rsidR="00540748" w:rsidRPr="00611EB8" w:rsidRDefault="00540748" w:rsidP="00540748">
            <w:pPr>
              <w:pStyle w:val="ListParagraph"/>
              <w:spacing w:after="0" w:line="180" w:lineRule="exact"/>
              <w:ind w:left="0"/>
              <w:rPr>
                <w:rFonts w:asciiTheme="minorHAnsi" w:hAnsiTheme="minorHAnsi"/>
                <w:sz w:val="18"/>
                <w:szCs w:val="18"/>
              </w:rPr>
            </w:pPr>
          </w:p>
        </w:tc>
        <w:tc>
          <w:tcPr>
            <w:tcW w:w="1305" w:type="dxa"/>
            <w:vMerge/>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p>
        </w:tc>
        <w:tc>
          <w:tcPr>
            <w:tcW w:w="810" w:type="dxa"/>
            <w:vMerge w:val="restart"/>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30%</w:t>
            </w:r>
          </w:p>
        </w:tc>
        <w:tc>
          <w:tcPr>
            <w:tcW w:w="990" w:type="dxa"/>
            <w:vMerge w:val="restart"/>
            <w:shd w:val="clear" w:color="auto" w:fill="FFFFFF"/>
            <w:vAlign w:val="center"/>
          </w:tcPr>
          <w:p w:rsidR="00540748" w:rsidRPr="00646A91" w:rsidRDefault="00540748" w:rsidP="00540748">
            <w:pPr>
              <w:pStyle w:val="ListParagraph"/>
              <w:spacing w:after="0" w:line="180" w:lineRule="exact"/>
              <w:ind w:left="0"/>
              <w:jc w:val="center"/>
              <w:rPr>
                <w:rFonts w:asciiTheme="minorHAnsi" w:hAnsiTheme="minorHAnsi"/>
                <w:sz w:val="18"/>
                <w:szCs w:val="18"/>
              </w:rPr>
            </w:pPr>
            <w:r w:rsidRPr="00646A91">
              <w:rPr>
                <w:rFonts w:asciiTheme="minorHAnsi" w:hAnsiTheme="minorHAnsi"/>
                <w:sz w:val="18"/>
                <w:szCs w:val="18"/>
              </w:rPr>
              <w:t>20081031</w:t>
            </w:r>
          </w:p>
        </w:tc>
      </w:tr>
      <w:tr w:rsidR="00540748" w:rsidRPr="00611EB8" w:rsidTr="00540748">
        <w:trPr>
          <w:trHeight w:val="161"/>
          <w:jc w:val="center"/>
        </w:trPr>
        <w:tc>
          <w:tcPr>
            <w:tcW w:w="2520" w:type="dxa"/>
            <w:shd w:val="clear" w:color="auto" w:fill="FFFFFF"/>
            <w:vAlign w:val="center"/>
          </w:tcPr>
          <w:p w:rsidR="00540748" w:rsidRPr="00540748" w:rsidRDefault="00540748" w:rsidP="00540748">
            <w:pPr>
              <w:pStyle w:val="ListParagraph"/>
              <w:spacing w:after="0" w:line="180" w:lineRule="exact"/>
              <w:ind w:left="0"/>
              <w:rPr>
                <w:rFonts w:asciiTheme="minorHAnsi" w:hAnsiTheme="minorHAnsi"/>
                <w:sz w:val="18"/>
                <w:szCs w:val="18"/>
              </w:rPr>
            </w:pPr>
            <w:r w:rsidRPr="00540748">
              <w:rPr>
                <w:rFonts w:asciiTheme="minorHAnsi" w:hAnsiTheme="minorHAnsi"/>
                <w:sz w:val="18"/>
                <w:szCs w:val="18"/>
              </w:rPr>
              <w:t>Sleep Disorder</w:t>
            </w:r>
          </w:p>
        </w:tc>
        <w:tc>
          <w:tcPr>
            <w:tcW w:w="1530" w:type="dxa"/>
            <w:gridSpan w:val="3"/>
            <w:vMerge/>
            <w:tcBorders>
              <w:right w:val="thinThickThinSmallGap" w:sz="24" w:space="0" w:color="auto"/>
            </w:tcBorders>
            <w:shd w:val="clear" w:color="auto" w:fill="FFFFFF"/>
            <w:vAlign w:val="center"/>
          </w:tcPr>
          <w:p w:rsidR="00540748" w:rsidRDefault="00540748" w:rsidP="00540748">
            <w:pPr>
              <w:pStyle w:val="ListParagraph"/>
              <w:spacing w:after="0" w:line="180" w:lineRule="exact"/>
              <w:ind w:left="0"/>
              <w:jc w:val="center"/>
              <w:rPr>
                <w:rFonts w:asciiTheme="minorHAnsi" w:hAnsiTheme="minorHAnsi"/>
                <w:sz w:val="18"/>
                <w:szCs w:val="18"/>
              </w:rPr>
            </w:pPr>
          </w:p>
        </w:tc>
        <w:tc>
          <w:tcPr>
            <w:tcW w:w="2115" w:type="dxa"/>
            <w:vMerge/>
            <w:tcBorders>
              <w:left w:val="thinThickThinSmallGap" w:sz="24" w:space="0" w:color="auto"/>
            </w:tcBorders>
            <w:shd w:val="clear" w:color="auto" w:fill="FFFFFF"/>
            <w:vAlign w:val="center"/>
          </w:tcPr>
          <w:p w:rsidR="00540748" w:rsidRPr="00611EB8" w:rsidRDefault="00540748" w:rsidP="00540748">
            <w:pPr>
              <w:pStyle w:val="ListParagraph"/>
              <w:spacing w:after="0" w:line="180" w:lineRule="exact"/>
              <w:ind w:left="0"/>
              <w:rPr>
                <w:rFonts w:asciiTheme="minorHAnsi" w:hAnsiTheme="minorHAnsi"/>
                <w:sz w:val="18"/>
                <w:szCs w:val="18"/>
              </w:rPr>
            </w:pPr>
          </w:p>
        </w:tc>
        <w:tc>
          <w:tcPr>
            <w:tcW w:w="1305" w:type="dxa"/>
            <w:vMerge/>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p>
        </w:tc>
        <w:tc>
          <w:tcPr>
            <w:tcW w:w="810" w:type="dxa"/>
            <w:vMerge/>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p>
        </w:tc>
        <w:tc>
          <w:tcPr>
            <w:tcW w:w="990" w:type="dxa"/>
            <w:vMerge/>
            <w:shd w:val="clear" w:color="auto" w:fill="FFFFFF"/>
          </w:tcPr>
          <w:p w:rsidR="00540748" w:rsidRPr="00646A91" w:rsidRDefault="00540748" w:rsidP="00540748">
            <w:pPr>
              <w:pStyle w:val="ListParagraph"/>
              <w:spacing w:after="0" w:line="180" w:lineRule="exact"/>
              <w:ind w:left="0"/>
              <w:jc w:val="center"/>
              <w:rPr>
                <w:rFonts w:asciiTheme="minorHAnsi" w:hAnsiTheme="minorHAnsi"/>
                <w:sz w:val="18"/>
                <w:szCs w:val="18"/>
              </w:rPr>
            </w:pPr>
          </w:p>
        </w:tc>
      </w:tr>
      <w:tr w:rsidR="00540748" w:rsidRPr="00611EB8" w:rsidTr="00C84990">
        <w:trPr>
          <w:trHeight w:val="125"/>
          <w:jc w:val="center"/>
        </w:trPr>
        <w:tc>
          <w:tcPr>
            <w:tcW w:w="2520" w:type="dxa"/>
            <w:vMerge w:val="restart"/>
            <w:shd w:val="clear" w:color="auto" w:fill="FFFFFF"/>
            <w:vAlign w:val="center"/>
          </w:tcPr>
          <w:p w:rsidR="00540748" w:rsidRPr="00611EB8" w:rsidRDefault="00540748" w:rsidP="00540748">
            <w:pPr>
              <w:pStyle w:val="ListParagraph"/>
              <w:spacing w:after="0" w:line="180" w:lineRule="exact"/>
              <w:ind w:left="0"/>
              <w:rPr>
                <w:rFonts w:asciiTheme="minorHAnsi" w:hAnsiTheme="minorHAnsi"/>
                <w:sz w:val="18"/>
                <w:szCs w:val="18"/>
              </w:rPr>
            </w:pPr>
            <w:r w:rsidRPr="00611EB8">
              <w:rPr>
                <w:rFonts w:asciiTheme="minorHAnsi" w:hAnsiTheme="minorHAnsi"/>
                <w:sz w:val="18"/>
                <w:szCs w:val="18"/>
              </w:rPr>
              <w:t>Chronic Lower Back and Extremity Pain</w:t>
            </w:r>
          </w:p>
        </w:tc>
        <w:tc>
          <w:tcPr>
            <w:tcW w:w="720" w:type="dxa"/>
            <w:gridSpan w:val="2"/>
            <w:vMerge w:val="restart"/>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5237</w:t>
            </w:r>
          </w:p>
        </w:tc>
        <w:tc>
          <w:tcPr>
            <w:tcW w:w="810" w:type="dxa"/>
            <w:vMerge w:val="restart"/>
            <w:tcBorders>
              <w:right w:val="thinThickThinSmallGap" w:sz="24" w:space="0" w:color="auto"/>
            </w:tcBorders>
            <w:shd w:val="clear" w:color="auto" w:fill="FFFFFF"/>
            <w:vAlign w:val="center"/>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10%</w:t>
            </w:r>
          </w:p>
        </w:tc>
        <w:tc>
          <w:tcPr>
            <w:tcW w:w="2115" w:type="dxa"/>
            <w:tcBorders>
              <w:left w:val="thinThickThinSmallGap" w:sz="24" w:space="0" w:color="auto"/>
            </w:tcBorders>
            <w:shd w:val="clear" w:color="auto" w:fill="FFFFFF"/>
          </w:tcPr>
          <w:p w:rsidR="00540748" w:rsidRPr="00611EB8" w:rsidRDefault="00540748" w:rsidP="00540748">
            <w:pPr>
              <w:pStyle w:val="ListParagraph"/>
              <w:spacing w:after="0" w:line="180" w:lineRule="exact"/>
              <w:ind w:left="0"/>
              <w:jc w:val="both"/>
              <w:rPr>
                <w:rFonts w:asciiTheme="minorHAnsi" w:hAnsiTheme="minorHAnsi"/>
                <w:sz w:val="18"/>
                <w:szCs w:val="18"/>
              </w:rPr>
            </w:pPr>
            <w:r w:rsidRPr="00611EB8">
              <w:rPr>
                <w:rFonts w:asciiTheme="minorHAnsi" w:hAnsiTheme="minorHAnsi"/>
                <w:sz w:val="18"/>
                <w:szCs w:val="18"/>
              </w:rPr>
              <w:t>Herniated Disc</w:t>
            </w:r>
          </w:p>
        </w:tc>
        <w:tc>
          <w:tcPr>
            <w:tcW w:w="1305" w:type="dxa"/>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5242</w:t>
            </w:r>
          </w:p>
        </w:tc>
        <w:tc>
          <w:tcPr>
            <w:tcW w:w="810" w:type="dxa"/>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w:t>
            </w:r>
          </w:p>
        </w:tc>
        <w:tc>
          <w:tcPr>
            <w:tcW w:w="990" w:type="dxa"/>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540748" w:rsidRPr="00611EB8" w:rsidTr="00A03C03">
        <w:trPr>
          <w:trHeight w:val="125"/>
          <w:jc w:val="center"/>
        </w:trPr>
        <w:tc>
          <w:tcPr>
            <w:tcW w:w="2520" w:type="dxa"/>
            <w:vMerge/>
            <w:shd w:val="clear" w:color="auto" w:fill="FFFFFF"/>
          </w:tcPr>
          <w:p w:rsidR="00540748" w:rsidRPr="00611EB8" w:rsidRDefault="00540748" w:rsidP="00540748">
            <w:pPr>
              <w:pStyle w:val="ListParagraph"/>
              <w:spacing w:after="0" w:line="180" w:lineRule="exact"/>
              <w:ind w:left="0"/>
              <w:jc w:val="both"/>
              <w:rPr>
                <w:rFonts w:asciiTheme="minorHAnsi" w:hAnsiTheme="minorHAnsi"/>
                <w:sz w:val="18"/>
                <w:szCs w:val="18"/>
              </w:rPr>
            </w:pPr>
          </w:p>
        </w:tc>
        <w:tc>
          <w:tcPr>
            <w:tcW w:w="720" w:type="dxa"/>
            <w:gridSpan w:val="2"/>
            <w:vMerge/>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p>
        </w:tc>
        <w:tc>
          <w:tcPr>
            <w:tcW w:w="810" w:type="dxa"/>
            <w:vMerge/>
            <w:tcBorders>
              <w:right w:val="thinThickThinSmallGap" w:sz="24" w:space="0" w:color="auto"/>
            </w:tcBorders>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p>
        </w:tc>
        <w:tc>
          <w:tcPr>
            <w:tcW w:w="2115" w:type="dxa"/>
            <w:tcBorders>
              <w:left w:val="thinThickThinSmallGap" w:sz="24" w:space="0" w:color="auto"/>
            </w:tcBorders>
            <w:shd w:val="clear" w:color="auto" w:fill="FFFFFF"/>
          </w:tcPr>
          <w:p w:rsidR="00540748" w:rsidRPr="00611EB8" w:rsidRDefault="00540748" w:rsidP="00540748">
            <w:pPr>
              <w:pStyle w:val="ListParagraph"/>
              <w:spacing w:after="0" w:line="180" w:lineRule="exact"/>
              <w:ind w:left="0"/>
              <w:jc w:val="both"/>
              <w:rPr>
                <w:rFonts w:asciiTheme="minorHAnsi" w:hAnsiTheme="minorHAnsi"/>
                <w:sz w:val="18"/>
                <w:szCs w:val="18"/>
              </w:rPr>
            </w:pPr>
            <w:r w:rsidRPr="00611EB8">
              <w:rPr>
                <w:rFonts w:asciiTheme="minorHAnsi" w:hAnsiTheme="minorHAnsi"/>
                <w:sz w:val="18"/>
                <w:szCs w:val="18"/>
              </w:rPr>
              <w:t>(R)LE Radiculopathy</w:t>
            </w:r>
          </w:p>
        </w:tc>
        <w:tc>
          <w:tcPr>
            <w:tcW w:w="1305" w:type="dxa"/>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8520</w:t>
            </w:r>
          </w:p>
        </w:tc>
        <w:tc>
          <w:tcPr>
            <w:tcW w:w="810" w:type="dxa"/>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10%</w:t>
            </w:r>
          </w:p>
        </w:tc>
        <w:tc>
          <w:tcPr>
            <w:tcW w:w="990" w:type="dxa"/>
            <w:shd w:val="clear" w:color="auto" w:fill="FFFFFF"/>
          </w:tcPr>
          <w:p w:rsidR="00540748" w:rsidRPr="00611EB8" w:rsidRDefault="00540748"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713310" w:rsidRPr="00611EB8" w:rsidTr="00A25BF6">
        <w:trPr>
          <w:trHeight w:val="125"/>
          <w:jc w:val="center"/>
        </w:trPr>
        <w:tc>
          <w:tcPr>
            <w:tcW w:w="2520" w:type="dxa"/>
            <w:tcBorders>
              <w:right w:val="single" w:sz="4" w:space="0" w:color="auto"/>
            </w:tcBorders>
            <w:shd w:val="clear" w:color="auto" w:fill="FFFFFF"/>
          </w:tcPr>
          <w:p w:rsidR="00713310" w:rsidRPr="00713310" w:rsidRDefault="00713310" w:rsidP="00540748">
            <w:pPr>
              <w:pStyle w:val="ListParagraph"/>
              <w:spacing w:after="0" w:line="180" w:lineRule="exact"/>
              <w:ind w:left="0"/>
              <w:jc w:val="both"/>
              <w:rPr>
                <w:rFonts w:asciiTheme="minorHAnsi" w:hAnsiTheme="minorHAnsi"/>
                <w:sz w:val="18"/>
                <w:szCs w:val="18"/>
              </w:rPr>
            </w:pPr>
            <w:r w:rsidRPr="00713310">
              <w:rPr>
                <w:rFonts w:asciiTheme="minorHAnsi" w:hAnsiTheme="minorHAnsi"/>
                <w:sz w:val="18"/>
                <w:szCs w:val="18"/>
              </w:rPr>
              <w:t>Lumbar Sprain</w:t>
            </w:r>
          </w:p>
        </w:tc>
        <w:tc>
          <w:tcPr>
            <w:tcW w:w="1530" w:type="dxa"/>
            <w:gridSpan w:val="3"/>
            <w:vMerge w:val="restart"/>
            <w:tcBorders>
              <w:left w:val="single" w:sz="4" w:space="0" w:color="auto"/>
              <w:right w:val="thinThickThinSmallGap" w:sz="24" w:space="0" w:color="auto"/>
            </w:tcBorders>
            <w:shd w:val="clear" w:color="auto" w:fill="FFFFFF"/>
          </w:tcPr>
          <w:p w:rsidR="00713310" w:rsidRDefault="004713A6" w:rsidP="00540748">
            <w:pPr>
              <w:pStyle w:val="ListParagraph"/>
              <w:spacing w:after="0" w:line="180" w:lineRule="exact"/>
              <w:ind w:left="0"/>
              <w:jc w:val="center"/>
              <w:rPr>
                <w:rFonts w:asciiTheme="minorHAnsi" w:hAnsiTheme="minorHAnsi"/>
                <w:sz w:val="18"/>
                <w:szCs w:val="18"/>
              </w:rPr>
            </w:pPr>
            <w:r>
              <w:rPr>
                <w:rFonts w:asciiTheme="minorHAnsi" w:hAnsiTheme="minorHAnsi"/>
                <w:sz w:val="18"/>
                <w:szCs w:val="18"/>
              </w:rPr>
              <w:t>Not unfitting</w:t>
            </w:r>
          </w:p>
        </w:tc>
        <w:tc>
          <w:tcPr>
            <w:tcW w:w="5220" w:type="dxa"/>
            <w:gridSpan w:val="4"/>
            <w:vMerge w:val="restart"/>
            <w:tcBorders>
              <w:left w:val="thinThickThinSmallGap" w:sz="24" w:space="0" w:color="auto"/>
            </w:tcBorders>
            <w:shd w:val="clear" w:color="auto" w:fill="FFFFFF"/>
          </w:tcPr>
          <w:p w:rsidR="00713310" w:rsidRPr="00611EB8" w:rsidRDefault="004713A6" w:rsidP="00540748">
            <w:pPr>
              <w:pStyle w:val="ListParagraph"/>
              <w:spacing w:after="0" w:line="180" w:lineRule="exact"/>
              <w:ind w:left="0"/>
              <w:jc w:val="center"/>
              <w:rPr>
                <w:rFonts w:asciiTheme="minorHAnsi" w:hAnsiTheme="minorHAnsi"/>
                <w:sz w:val="18"/>
                <w:szCs w:val="18"/>
              </w:rPr>
            </w:pPr>
            <w:r>
              <w:rPr>
                <w:rFonts w:asciiTheme="minorHAnsi" w:hAnsiTheme="minorHAnsi"/>
                <w:sz w:val="18"/>
                <w:szCs w:val="18"/>
              </w:rPr>
              <w:t>No corresponding VA entry</w:t>
            </w:r>
          </w:p>
        </w:tc>
      </w:tr>
      <w:tr w:rsidR="00713310" w:rsidRPr="00611EB8" w:rsidTr="00A25BF6">
        <w:trPr>
          <w:trHeight w:val="125"/>
          <w:jc w:val="center"/>
        </w:trPr>
        <w:tc>
          <w:tcPr>
            <w:tcW w:w="2520" w:type="dxa"/>
            <w:tcBorders>
              <w:right w:val="single" w:sz="4" w:space="0" w:color="auto"/>
            </w:tcBorders>
            <w:shd w:val="clear" w:color="auto" w:fill="FFFFFF"/>
          </w:tcPr>
          <w:p w:rsidR="00713310" w:rsidRPr="00713310" w:rsidRDefault="00713310" w:rsidP="00540748">
            <w:pPr>
              <w:pStyle w:val="ListParagraph"/>
              <w:spacing w:after="0" w:line="180" w:lineRule="exact"/>
              <w:ind w:left="0"/>
              <w:jc w:val="both"/>
              <w:rPr>
                <w:rFonts w:asciiTheme="minorHAnsi" w:hAnsiTheme="minorHAnsi"/>
                <w:sz w:val="18"/>
                <w:szCs w:val="18"/>
              </w:rPr>
            </w:pPr>
            <w:r w:rsidRPr="00713310">
              <w:rPr>
                <w:rFonts w:asciiTheme="minorHAnsi" w:hAnsiTheme="minorHAnsi"/>
                <w:sz w:val="18"/>
                <w:szCs w:val="18"/>
              </w:rPr>
              <w:t>L4-5 Disk Bulge</w:t>
            </w:r>
          </w:p>
        </w:tc>
        <w:tc>
          <w:tcPr>
            <w:tcW w:w="1530" w:type="dxa"/>
            <w:gridSpan w:val="3"/>
            <w:vMerge/>
            <w:tcBorders>
              <w:left w:val="single" w:sz="4" w:space="0" w:color="auto"/>
              <w:right w:val="thinThickThinSmallGap" w:sz="24" w:space="0" w:color="auto"/>
            </w:tcBorders>
            <w:shd w:val="clear" w:color="auto" w:fill="FFFFFF"/>
          </w:tcPr>
          <w:p w:rsidR="00713310" w:rsidRPr="00611EB8" w:rsidRDefault="00713310" w:rsidP="00540748">
            <w:pPr>
              <w:pStyle w:val="ListParagraph"/>
              <w:spacing w:after="0" w:line="180" w:lineRule="exact"/>
              <w:ind w:left="0"/>
              <w:jc w:val="center"/>
              <w:rPr>
                <w:rFonts w:asciiTheme="minorHAnsi" w:hAnsiTheme="minorHAnsi"/>
                <w:sz w:val="18"/>
                <w:szCs w:val="18"/>
              </w:rPr>
            </w:pPr>
          </w:p>
        </w:tc>
        <w:tc>
          <w:tcPr>
            <w:tcW w:w="5220" w:type="dxa"/>
            <w:gridSpan w:val="4"/>
            <w:vMerge/>
            <w:tcBorders>
              <w:left w:val="thinThickThinSmallGap" w:sz="24" w:space="0" w:color="auto"/>
            </w:tcBorders>
            <w:shd w:val="clear" w:color="auto" w:fill="FFFFFF"/>
          </w:tcPr>
          <w:p w:rsidR="00713310" w:rsidRPr="00611EB8" w:rsidRDefault="00713310" w:rsidP="00540748">
            <w:pPr>
              <w:pStyle w:val="ListParagraph"/>
              <w:spacing w:after="0" w:line="180" w:lineRule="exact"/>
              <w:ind w:left="0"/>
              <w:jc w:val="center"/>
              <w:rPr>
                <w:rFonts w:asciiTheme="minorHAnsi" w:hAnsiTheme="minorHAnsi"/>
                <w:sz w:val="18"/>
                <w:szCs w:val="18"/>
              </w:rPr>
            </w:pPr>
          </w:p>
        </w:tc>
      </w:tr>
      <w:tr w:rsidR="00713310" w:rsidRPr="00611EB8" w:rsidTr="00A25BF6">
        <w:trPr>
          <w:trHeight w:val="125"/>
          <w:jc w:val="center"/>
        </w:trPr>
        <w:tc>
          <w:tcPr>
            <w:tcW w:w="2520" w:type="dxa"/>
            <w:tcBorders>
              <w:right w:val="single" w:sz="4" w:space="0" w:color="auto"/>
            </w:tcBorders>
            <w:shd w:val="clear" w:color="auto" w:fill="FFFFFF"/>
          </w:tcPr>
          <w:p w:rsidR="00713310" w:rsidRPr="00713310" w:rsidRDefault="00713310" w:rsidP="00540748">
            <w:pPr>
              <w:pStyle w:val="ListParagraph"/>
              <w:spacing w:after="0" w:line="180" w:lineRule="exact"/>
              <w:ind w:left="0"/>
              <w:jc w:val="both"/>
              <w:rPr>
                <w:rFonts w:asciiTheme="minorHAnsi" w:hAnsiTheme="minorHAnsi"/>
                <w:sz w:val="18"/>
                <w:szCs w:val="18"/>
              </w:rPr>
            </w:pPr>
            <w:r w:rsidRPr="00713310">
              <w:rPr>
                <w:rFonts w:asciiTheme="minorHAnsi" w:hAnsiTheme="minorHAnsi"/>
                <w:sz w:val="18"/>
                <w:szCs w:val="18"/>
              </w:rPr>
              <w:t>L5-S1 Disk Bulge</w:t>
            </w:r>
          </w:p>
        </w:tc>
        <w:tc>
          <w:tcPr>
            <w:tcW w:w="1530" w:type="dxa"/>
            <w:gridSpan w:val="3"/>
            <w:vMerge/>
            <w:tcBorders>
              <w:left w:val="single" w:sz="4" w:space="0" w:color="auto"/>
              <w:right w:val="thinThickThinSmallGap" w:sz="24" w:space="0" w:color="auto"/>
            </w:tcBorders>
            <w:shd w:val="clear" w:color="auto" w:fill="FFFFFF"/>
          </w:tcPr>
          <w:p w:rsidR="00713310" w:rsidRPr="00611EB8" w:rsidRDefault="00713310" w:rsidP="00540748">
            <w:pPr>
              <w:pStyle w:val="ListParagraph"/>
              <w:spacing w:after="0" w:line="180" w:lineRule="exact"/>
              <w:ind w:left="0"/>
              <w:jc w:val="center"/>
              <w:rPr>
                <w:rFonts w:asciiTheme="minorHAnsi" w:hAnsiTheme="minorHAnsi"/>
                <w:sz w:val="18"/>
                <w:szCs w:val="18"/>
              </w:rPr>
            </w:pPr>
          </w:p>
        </w:tc>
        <w:tc>
          <w:tcPr>
            <w:tcW w:w="5220" w:type="dxa"/>
            <w:gridSpan w:val="4"/>
            <w:vMerge/>
            <w:tcBorders>
              <w:left w:val="thinThickThinSmallGap" w:sz="24" w:space="0" w:color="auto"/>
            </w:tcBorders>
            <w:shd w:val="clear" w:color="auto" w:fill="FFFFFF"/>
          </w:tcPr>
          <w:p w:rsidR="00713310" w:rsidRPr="00611EB8" w:rsidRDefault="00713310" w:rsidP="00540748">
            <w:pPr>
              <w:pStyle w:val="ListParagraph"/>
              <w:spacing w:after="0" w:line="180" w:lineRule="exact"/>
              <w:ind w:left="0"/>
              <w:jc w:val="center"/>
              <w:rPr>
                <w:rFonts w:asciiTheme="minorHAnsi" w:hAnsiTheme="minorHAnsi"/>
                <w:sz w:val="18"/>
                <w:szCs w:val="18"/>
              </w:rPr>
            </w:pPr>
          </w:p>
        </w:tc>
      </w:tr>
      <w:tr w:rsidR="00540748" w:rsidRPr="00611EB8" w:rsidTr="00A03C03">
        <w:trPr>
          <w:trHeight w:val="125"/>
          <w:jc w:val="center"/>
        </w:trPr>
        <w:tc>
          <w:tcPr>
            <w:tcW w:w="2527" w:type="dxa"/>
            <w:gridSpan w:val="2"/>
            <w:tcBorders>
              <w:bottom w:val="single" w:sz="4" w:space="0" w:color="auto"/>
              <w:right w:val="single" w:sz="4" w:space="0" w:color="auto"/>
            </w:tcBorders>
            <w:shd w:val="clear" w:color="auto" w:fill="FFFFFF"/>
          </w:tcPr>
          <w:p w:rsidR="00540748" w:rsidRPr="00611EB8" w:rsidRDefault="00540748" w:rsidP="00C76AB1">
            <w:pPr>
              <w:pStyle w:val="ListParagraph"/>
              <w:spacing w:after="0" w:line="180" w:lineRule="exact"/>
              <w:ind w:left="0"/>
              <w:jc w:val="both"/>
              <w:rPr>
                <w:rFonts w:asciiTheme="minorHAnsi" w:hAnsiTheme="minorHAnsi"/>
                <w:sz w:val="18"/>
                <w:szCs w:val="18"/>
              </w:rPr>
            </w:pPr>
            <w:r w:rsidRPr="00611EB8">
              <w:rPr>
                <w:rFonts w:asciiTheme="minorHAnsi" w:hAnsiTheme="minorHAnsi"/>
                <w:sz w:val="18"/>
                <w:szCs w:val="18"/>
              </w:rPr>
              <w:t>Tension/Migraine Headache</w:t>
            </w:r>
          </w:p>
        </w:tc>
        <w:tc>
          <w:tcPr>
            <w:tcW w:w="1523" w:type="dxa"/>
            <w:gridSpan w:val="2"/>
            <w:tcBorders>
              <w:left w:val="single" w:sz="4" w:space="0" w:color="auto"/>
              <w:bottom w:val="single" w:sz="4" w:space="0" w:color="auto"/>
              <w:right w:val="thinThickThinSmallGap" w:sz="24" w:space="0" w:color="auto"/>
            </w:tcBorders>
            <w:shd w:val="clear" w:color="auto" w:fill="FFFFFF"/>
          </w:tcPr>
          <w:p w:rsidR="00540748" w:rsidRPr="00611EB8" w:rsidRDefault="004713A6" w:rsidP="00C76AB1">
            <w:pPr>
              <w:pStyle w:val="ListParagraph"/>
              <w:spacing w:after="0" w:line="180" w:lineRule="exact"/>
              <w:ind w:left="0"/>
              <w:jc w:val="center"/>
              <w:rPr>
                <w:rFonts w:asciiTheme="minorHAnsi" w:hAnsiTheme="minorHAnsi"/>
                <w:sz w:val="18"/>
                <w:szCs w:val="18"/>
              </w:rPr>
            </w:pPr>
            <w:r>
              <w:rPr>
                <w:rFonts w:asciiTheme="minorHAnsi" w:hAnsiTheme="minorHAnsi"/>
                <w:sz w:val="18"/>
                <w:szCs w:val="18"/>
              </w:rPr>
              <w:t>Not unfitting</w:t>
            </w:r>
          </w:p>
        </w:tc>
        <w:tc>
          <w:tcPr>
            <w:tcW w:w="2115" w:type="dxa"/>
            <w:tcBorders>
              <w:left w:val="thinThickThinSmallGap" w:sz="24" w:space="0" w:color="auto"/>
            </w:tcBorders>
            <w:shd w:val="clear" w:color="auto" w:fill="FFFFFF"/>
          </w:tcPr>
          <w:p w:rsidR="00540748" w:rsidRPr="00611EB8" w:rsidRDefault="00540748" w:rsidP="00C76AB1">
            <w:pPr>
              <w:pStyle w:val="ListParagraph"/>
              <w:spacing w:after="0" w:line="180" w:lineRule="exact"/>
              <w:ind w:left="0"/>
              <w:jc w:val="both"/>
              <w:rPr>
                <w:rFonts w:asciiTheme="minorHAnsi" w:hAnsiTheme="minorHAnsi"/>
                <w:sz w:val="18"/>
                <w:szCs w:val="18"/>
              </w:rPr>
            </w:pPr>
            <w:r w:rsidRPr="00611EB8">
              <w:rPr>
                <w:rFonts w:asciiTheme="minorHAnsi" w:hAnsiTheme="minorHAnsi"/>
                <w:sz w:val="18"/>
                <w:szCs w:val="18"/>
              </w:rPr>
              <w:t>Migraine Headache</w:t>
            </w:r>
          </w:p>
        </w:tc>
        <w:tc>
          <w:tcPr>
            <w:tcW w:w="1305" w:type="dxa"/>
            <w:shd w:val="clear" w:color="auto" w:fill="FFFFFF"/>
          </w:tcPr>
          <w:p w:rsidR="00540748" w:rsidRPr="00611EB8" w:rsidRDefault="00540748" w:rsidP="00C76AB1">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8100</w:t>
            </w:r>
          </w:p>
        </w:tc>
        <w:tc>
          <w:tcPr>
            <w:tcW w:w="810" w:type="dxa"/>
            <w:shd w:val="clear" w:color="auto" w:fill="FFFFFF"/>
          </w:tcPr>
          <w:p w:rsidR="00540748" w:rsidRPr="00611EB8" w:rsidRDefault="00540748" w:rsidP="00C76AB1">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30%</w:t>
            </w:r>
          </w:p>
        </w:tc>
        <w:tc>
          <w:tcPr>
            <w:tcW w:w="990" w:type="dxa"/>
            <w:shd w:val="clear" w:color="auto" w:fill="FFFFFF"/>
          </w:tcPr>
          <w:p w:rsidR="00540748" w:rsidRPr="00611EB8" w:rsidRDefault="00540748" w:rsidP="00C76AB1">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3A384F" w:rsidRPr="00611EB8" w:rsidTr="000C2C56">
        <w:trPr>
          <w:trHeight w:val="125"/>
          <w:jc w:val="center"/>
        </w:trPr>
        <w:tc>
          <w:tcPr>
            <w:tcW w:w="2527" w:type="dxa"/>
            <w:gridSpan w:val="2"/>
            <w:vMerge w:val="restart"/>
            <w:tcBorders>
              <w:right w:val="single" w:sz="4" w:space="0" w:color="auto"/>
            </w:tcBorders>
            <w:shd w:val="clear" w:color="auto" w:fill="FFFFFF"/>
          </w:tcPr>
          <w:p w:rsidR="003A384F" w:rsidRPr="00611EB8" w:rsidRDefault="003A384F" w:rsidP="00C76AB1">
            <w:pPr>
              <w:pStyle w:val="ListParagraph"/>
              <w:spacing w:after="0" w:line="180" w:lineRule="exact"/>
              <w:ind w:left="0"/>
              <w:rPr>
                <w:rFonts w:asciiTheme="minorHAnsi" w:hAnsiTheme="minorHAnsi"/>
                <w:sz w:val="18"/>
                <w:szCs w:val="18"/>
              </w:rPr>
            </w:pPr>
            <w:r w:rsidRPr="00611EB8">
              <w:rPr>
                <w:rFonts w:asciiTheme="minorHAnsi" w:hAnsiTheme="minorHAnsi"/>
                <w:sz w:val="18"/>
                <w:szCs w:val="18"/>
              </w:rPr>
              <w:t>Ganglion Cyst (R) &amp; (L) Wrist</w:t>
            </w:r>
          </w:p>
        </w:tc>
        <w:tc>
          <w:tcPr>
            <w:tcW w:w="1523" w:type="dxa"/>
            <w:gridSpan w:val="2"/>
            <w:vMerge w:val="restart"/>
            <w:tcBorders>
              <w:left w:val="single" w:sz="4" w:space="0" w:color="auto"/>
              <w:right w:val="thinThickThinSmallGap" w:sz="24" w:space="0" w:color="auto"/>
            </w:tcBorders>
            <w:shd w:val="clear" w:color="auto" w:fill="FFFFFF"/>
          </w:tcPr>
          <w:p w:rsidR="003A384F" w:rsidRPr="00611EB8" w:rsidRDefault="004713A6" w:rsidP="00C76AB1">
            <w:pPr>
              <w:pStyle w:val="ListParagraph"/>
              <w:spacing w:after="0" w:line="180" w:lineRule="exact"/>
              <w:ind w:left="0"/>
              <w:jc w:val="center"/>
              <w:rPr>
                <w:rFonts w:asciiTheme="minorHAnsi" w:hAnsiTheme="minorHAnsi"/>
                <w:sz w:val="18"/>
                <w:szCs w:val="18"/>
              </w:rPr>
            </w:pPr>
            <w:r>
              <w:rPr>
                <w:rFonts w:asciiTheme="minorHAnsi" w:hAnsiTheme="minorHAnsi"/>
                <w:sz w:val="18"/>
                <w:szCs w:val="18"/>
              </w:rPr>
              <w:t>Not unfitting</w:t>
            </w:r>
            <w:r w:rsidR="003A384F" w:rsidRPr="00611EB8">
              <w:rPr>
                <w:rFonts w:asciiTheme="minorHAnsi" w:hAnsiTheme="minorHAnsi"/>
                <w:sz w:val="18"/>
                <w:szCs w:val="18"/>
              </w:rPr>
              <w:t xml:space="preserve"> </w:t>
            </w:r>
          </w:p>
        </w:tc>
        <w:tc>
          <w:tcPr>
            <w:tcW w:w="2115" w:type="dxa"/>
            <w:tcBorders>
              <w:left w:val="thinThickThinSmallGap" w:sz="24" w:space="0" w:color="auto"/>
            </w:tcBorders>
            <w:shd w:val="clear" w:color="auto" w:fill="FFFFFF"/>
          </w:tcPr>
          <w:p w:rsidR="003A384F" w:rsidRPr="00611EB8" w:rsidRDefault="003A384F" w:rsidP="00713310">
            <w:pPr>
              <w:spacing w:line="180" w:lineRule="exact"/>
              <w:rPr>
                <w:rFonts w:asciiTheme="minorHAnsi" w:eastAsia="Calibri" w:hAnsiTheme="minorHAnsi"/>
                <w:color w:val="auto"/>
                <w:sz w:val="18"/>
                <w:szCs w:val="18"/>
              </w:rPr>
            </w:pPr>
            <w:r w:rsidRPr="00611EB8">
              <w:rPr>
                <w:rFonts w:asciiTheme="minorHAnsi" w:eastAsia="Calibri" w:hAnsiTheme="minorHAnsi"/>
                <w:color w:val="auto"/>
                <w:sz w:val="18"/>
                <w:szCs w:val="18"/>
              </w:rPr>
              <w:t>(</w:t>
            </w:r>
            <w:r>
              <w:rPr>
                <w:rFonts w:asciiTheme="minorHAnsi" w:eastAsia="Calibri" w:hAnsiTheme="minorHAnsi"/>
                <w:color w:val="auto"/>
                <w:sz w:val="18"/>
                <w:szCs w:val="18"/>
              </w:rPr>
              <w:t>R</w:t>
            </w:r>
            <w:r w:rsidRPr="00611EB8">
              <w:rPr>
                <w:rFonts w:asciiTheme="minorHAnsi" w:eastAsia="Calibri" w:hAnsiTheme="minorHAnsi"/>
                <w:color w:val="auto"/>
                <w:sz w:val="18"/>
                <w:szCs w:val="18"/>
              </w:rPr>
              <w:t>) Wrist Ganglion Cyst</w:t>
            </w:r>
          </w:p>
        </w:tc>
        <w:tc>
          <w:tcPr>
            <w:tcW w:w="1305" w:type="dxa"/>
            <w:shd w:val="clear" w:color="auto" w:fill="FFFFFF"/>
          </w:tcPr>
          <w:p w:rsidR="003A384F" w:rsidRPr="00611EB8" w:rsidRDefault="003A384F" w:rsidP="00C76AB1">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7819</w:t>
            </w:r>
            <w:r>
              <w:rPr>
                <w:rFonts w:asciiTheme="minorHAnsi" w:hAnsiTheme="minorHAnsi"/>
                <w:sz w:val="18"/>
                <w:szCs w:val="18"/>
              </w:rPr>
              <w:t>-</w:t>
            </w:r>
            <w:r w:rsidRPr="00611EB8">
              <w:rPr>
                <w:rFonts w:asciiTheme="minorHAnsi" w:hAnsiTheme="minorHAnsi"/>
                <w:sz w:val="18"/>
                <w:szCs w:val="18"/>
              </w:rPr>
              <w:t>5215</w:t>
            </w:r>
          </w:p>
        </w:tc>
        <w:tc>
          <w:tcPr>
            <w:tcW w:w="810" w:type="dxa"/>
            <w:shd w:val="clear" w:color="auto" w:fill="FFFFFF"/>
          </w:tcPr>
          <w:p w:rsidR="003A384F" w:rsidRPr="00611EB8" w:rsidRDefault="003A384F" w:rsidP="00C76AB1">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0%</w:t>
            </w:r>
          </w:p>
        </w:tc>
        <w:tc>
          <w:tcPr>
            <w:tcW w:w="990" w:type="dxa"/>
            <w:shd w:val="clear" w:color="auto" w:fill="FFFFFF"/>
          </w:tcPr>
          <w:p w:rsidR="003A384F" w:rsidRPr="00611EB8" w:rsidRDefault="003A384F" w:rsidP="00C76AB1">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3A384F" w:rsidRPr="00611EB8" w:rsidTr="00A03C03">
        <w:trPr>
          <w:trHeight w:val="125"/>
          <w:jc w:val="center"/>
        </w:trPr>
        <w:tc>
          <w:tcPr>
            <w:tcW w:w="2527" w:type="dxa"/>
            <w:gridSpan w:val="2"/>
            <w:vMerge/>
            <w:tcBorders>
              <w:bottom w:val="single" w:sz="4" w:space="0" w:color="auto"/>
              <w:right w:val="single" w:sz="4" w:space="0" w:color="auto"/>
            </w:tcBorders>
            <w:shd w:val="clear" w:color="auto" w:fill="FFFFFF"/>
          </w:tcPr>
          <w:p w:rsidR="003A384F" w:rsidRPr="00611EB8" w:rsidRDefault="003A384F" w:rsidP="00540748">
            <w:pPr>
              <w:pStyle w:val="ListParagraph"/>
              <w:spacing w:after="0" w:line="180" w:lineRule="exact"/>
              <w:ind w:left="0"/>
              <w:rPr>
                <w:rFonts w:asciiTheme="minorHAnsi" w:hAnsiTheme="minorHAnsi"/>
                <w:sz w:val="18"/>
                <w:szCs w:val="18"/>
              </w:rPr>
            </w:pPr>
          </w:p>
        </w:tc>
        <w:tc>
          <w:tcPr>
            <w:tcW w:w="1523" w:type="dxa"/>
            <w:gridSpan w:val="2"/>
            <w:vMerge/>
            <w:tcBorders>
              <w:left w:val="single" w:sz="4" w:space="0" w:color="auto"/>
              <w:bottom w:val="single" w:sz="4" w:space="0" w:color="auto"/>
              <w:right w:val="thinThickThinSmallGap" w:sz="24" w:space="0" w:color="auto"/>
            </w:tcBorders>
            <w:shd w:val="clear" w:color="auto" w:fill="FFFFFF"/>
          </w:tcPr>
          <w:p w:rsidR="003A384F" w:rsidRDefault="003A384F" w:rsidP="00540748">
            <w:pPr>
              <w:pStyle w:val="ListParagraph"/>
              <w:spacing w:after="0" w:line="180" w:lineRule="exact"/>
              <w:ind w:left="0"/>
              <w:jc w:val="center"/>
              <w:rPr>
                <w:rFonts w:asciiTheme="minorHAnsi" w:hAnsiTheme="minorHAnsi"/>
                <w:sz w:val="18"/>
                <w:szCs w:val="18"/>
              </w:rPr>
            </w:pPr>
          </w:p>
        </w:tc>
        <w:tc>
          <w:tcPr>
            <w:tcW w:w="2115" w:type="dxa"/>
            <w:tcBorders>
              <w:left w:val="thinThickThinSmallGap" w:sz="24" w:space="0" w:color="auto"/>
            </w:tcBorders>
            <w:shd w:val="clear" w:color="auto" w:fill="FFFFFF"/>
          </w:tcPr>
          <w:p w:rsidR="003A384F" w:rsidRPr="00611EB8" w:rsidRDefault="003A384F" w:rsidP="00F173B6">
            <w:pPr>
              <w:spacing w:line="180" w:lineRule="exact"/>
              <w:rPr>
                <w:rFonts w:asciiTheme="minorHAnsi" w:eastAsia="Calibri" w:hAnsiTheme="minorHAnsi"/>
                <w:color w:val="auto"/>
                <w:sz w:val="18"/>
                <w:szCs w:val="18"/>
              </w:rPr>
            </w:pPr>
            <w:r w:rsidRPr="00611EB8">
              <w:rPr>
                <w:rFonts w:asciiTheme="minorHAnsi" w:eastAsia="Calibri" w:hAnsiTheme="minorHAnsi"/>
                <w:color w:val="auto"/>
                <w:sz w:val="18"/>
                <w:szCs w:val="18"/>
              </w:rPr>
              <w:t>(L) Wrist Ganglion Cyst</w:t>
            </w:r>
          </w:p>
        </w:tc>
        <w:tc>
          <w:tcPr>
            <w:tcW w:w="1305" w:type="dxa"/>
            <w:shd w:val="clear" w:color="auto" w:fill="FFFFFF"/>
          </w:tcPr>
          <w:p w:rsidR="003A384F" w:rsidRPr="00611EB8" w:rsidRDefault="003A384F" w:rsidP="00F173B6">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7819</w:t>
            </w:r>
            <w:r>
              <w:rPr>
                <w:rFonts w:asciiTheme="minorHAnsi" w:hAnsiTheme="minorHAnsi"/>
                <w:sz w:val="18"/>
                <w:szCs w:val="18"/>
              </w:rPr>
              <w:t>-</w:t>
            </w:r>
            <w:r w:rsidRPr="00611EB8">
              <w:rPr>
                <w:rFonts w:asciiTheme="minorHAnsi" w:hAnsiTheme="minorHAnsi"/>
                <w:sz w:val="18"/>
                <w:szCs w:val="18"/>
              </w:rPr>
              <w:t>5215</w:t>
            </w:r>
          </w:p>
        </w:tc>
        <w:tc>
          <w:tcPr>
            <w:tcW w:w="810" w:type="dxa"/>
            <w:shd w:val="clear" w:color="auto" w:fill="FFFFFF"/>
          </w:tcPr>
          <w:p w:rsidR="003A384F" w:rsidRPr="00611EB8" w:rsidRDefault="003A384F" w:rsidP="00F173B6">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0%</w:t>
            </w:r>
          </w:p>
        </w:tc>
        <w:tc>
          <w:tcPr>
            <w:tcW w:w="990" w:type="dxa"/>
            <w:shd w:val="clear" w:color="auto" w:fill="FFFFFF"/>
          </w:tcPr>
          <w:p w:rsidR="003A384F" w:rsidRPr="00611EB8" w:rsidRDefault="003A384F" w:rsidP="00F173B6">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3A384F" w:rsidRPr="00611EB8" w:rsidTr="00A03C03">
        <w:trPr>
          <w:trHeight w:val="125"/>
          <w:jc w:val="center"/>
        </w:trPr>
        <w:tc>
          <w:tcPr>
            <w:tcW w:w="4050" w:type="dxa"/>
            <w:gridSpan w:val="4"/>
            <w:vMerge w:val="restart"/>
            <w:tcBorders>
              <w:right w:val="thinThickThinSmallGap" w:sz="24" w:space="0" w:color="auto"/>
            </w:tcBorders>
            <w:shd w:val="clear" w:color="auto" w:fill="FFFFFF"/>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↓No Additional MEB Entries↓</w:t>
            </w:r>
          </w:p>
        </w:tc>
        <w:tc>
          <w:tcPr>
            <w:tcW w:w="2115" w:type="dxa"/>
            <w:tcBorders>
              <w:left w:val="thinThickThinSmallGap" w:sz="24" w:space="0" w:color="auto"/>
            </w:tcBorders>
            <w:shd w:val="clear" w:color="auto" w:fill="FFFFFF"/>
          </w:tcPr>
          <w:p w:rsidR="003A384F" w:rsidRPr="00611EB8" w:rsidRDefault="003A384F" w:rsidP="00540748">
            <w:pPr>
              <w:spacing w:line="180" w:lineRule="exact"/>
              <w:rPr>
                <w:rFonts w:asciiTheme="minorHAnsi" w:eastAsia="Calibri" w:hAnsiTheme="minorHAnsi"/>
                <w:color w:val="auto"/>
                <w:sz w:val="18"/>
                <w:szCs w:val="18"/>
              </w:rPr>
            </w:pPr>
            <w:r w:rsidRPr="00611EB8">
              <w:rPr>
                <w:rFonts w:asciiTheme="minorHAnsi" w:eastAsia="Calibri" w:hAnsiTheme="minorHAnsi"/>
                <w:color w:val="auto"/>
                <w:sz w:val="18"/>
                <w:szCs w:val="18"/>
              </w:rPr>
              <w:t>Tinnitus</w:t>
            </w:r>
          </w:p>
        </w:tc>
        <w:tc>
          <w:tcPr>
            <w:tcW w:w="1305" w:type="dxa"/>
            <w:shd w:val="clear" w:color="auto" w:fill="FFFFFF"/>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6260</w:t>
            </w:r>
          </w:p>
        </w:tc>
        <w:tc>
          <w:tcPr>
            <w:tcW w:w="810" w:type="dxa"/>
            <w:shd w:val="clear" w:color="auto" w:fill="FFFFFF"/>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10%</w:t>
            </w:r>
          </w:p>
        </w:tc>
        <w:tc>
          <w:tcPr>
            <w:tcW w:w="990" w:type="dxa"/>
            <w:shd w:val="clear" w:color="auto" w:fill="FFFFFF"/>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3A384F" w:rsidRPr="00611EB8" w:rsidTr="003A384F">
        <w:trPr>
          <w:trHeight w:val="242"/>
          <w:jc w:val="center"/>
        </w:trPr>
        <w:tc>
          <w:tcPr>
            <w:tcW w:w="4050" w:type="dxa"/>
            <w:gridSpan w:val="4"/>
            <w:vMerge/>
            <w:tcBorders>
              <w:right w:val="thinThickThinSmallGap" w:sz="24" w:space="0" w:color="auto"/>
            </w:tcBorders>
            <w:shd w:val="clear" w:color="auto" w:fill="FFFFFF"/>
          </w:tcPr>
          <w:p w:rsidR="003A384F" w:rsidRPr="00611EB8" w:rsidRDefault="003A384F" w:rsidP="00540748">
            <w:pPr>
              <w:pStyle w:val="ListParagraph"/>
              <w:spacing w:after="0" w:line="180" w:lineRule="exact"/>
              <w:ind w:left="0"/>
              <w:jc w:val="center"/>
              <w:rPr>
                <w:rFonts w:asciiTheme="minorHAnsi" w:hAnsiTheme="minorHAnsi"/>
                <w:sz w:val="18"/>
                <w:szCs w:val="18"/>
              </w:rPr>
            </w:pPr>
          </w:p>
        </w:tc>
        <w:tc>
          <w:tcPr>
            <w:tcW w:w="2115" w:type="dxa"/>
            <w:tcBorders>
              <w:left w:val="thinThickThinSmallGap" w:sz="24" w:space="0" w:color="auto"/>
            </w:tcBorders>
            <w:shd w:val="clear" w:color="auto" w:fill="FFFFFF"/>
            <w:vAlign w:val="center"/>
          </w:tcPr>
          <w:p w:rsidR="003A384F" w:rsidRPr="00611EB8" w:rsidRDefault="003A384F" w:rsidP="00540748">
            <w:pPr>
              <w:spacing w:line="180" w:lineRule="exact"/>
              <w:rPr>
                <w:rFonts w:asciiTheme="minorHAnsi" w:eastAsia="Calibri" w:hAnsiTheme="minorHAnsi"/>
                <w:color w:val="auto"/>
                <w:sz w:val="18"/>
                <w:szCs w:val="18"/>
              </w:rPr>
            </w:pPr>
            <w:r w:rsidRPr="00611EB8">
              <w:rPr>
                <w:rFonts w:asciiTheme="minorHAnsi" w:eastAsia="Calibri" w:hAnsiTheme="minorHAnsi"/>
                <w:color w:val="auto"/>
                <w:sz w:val="18"/>
                <w:szCs w:val="18"/>
              </w:rPr>
              <w:t>Hearing Loss</w:t>
            </w:r>
          </w:p>
        </w:tc>
        <w:tc>
          <w:tcPr>
            <w:tcW w:w="1305" w:type="dxa"/>
            <w:shd w:val="clear" w:color="auto" w:fill="FFFFFF"/>
            <w:vAlign w:val="center"/>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6100</w:t>
            </w:r>
          </w:p>
        </w:tc>
        <w:tc>
          <w:tcPr>
            <w:tcW w:w="810" w:type="dxa"/>
            <w:shd w:val="clear" w:color="auto" w:fill="FFFFFF"/>
            <w:vAlign w:val="center"/>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0%</w:t>
            </w:r>
          </w:p>
        </w:tc>
        <w:tc>
          <w:tcPr>
            <w:tcW w:w="990" w:type="dxa"/>
            <w:shd w:val="clear" w:color="auto" w:fill="FFFFFF"/>
            <w:vAlign w:val="center"/>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3A384F" w:rsidRPr="00611EB8" w:rsidTr="003A384F">
        <w:trPr>
          <w:trHeight w:val="188"/>
          <w:jc w:val="center"/>
        </w:trPr>
        <w:tc>
          <w:tcPr>
            <w:tcW w:w="4050" w:type="dxa"/>
            <w:gridSpan w:val="4"/>
            <w:vMerge/>
            <w:tcBorders>
              <w:right w:val="thinThickThinSmallGap" w:sz="24" w:space="0" w:color="auto"/>
            </w:tcBorders>
            <w:shd w:val="clear" w:color="auto" w:fill="FFFFFF"/>
          </w:tcPr>
          <w:p w:rsidR="003A384F" w:rsidRPr="00611EB8" w:rsidRDefault="003A384F" w:rsidP="00540748">
            <w:pPr>
              <w:pStyle w:val="ListParagraph"/>
              <w:spacing w:after="0" w:line="180" w:lineRule="exact"/>
              <w:ind w:left="0"/>
              <w:jc w:val="center"/>
              <w:rPr>
                <w:rFonts w:asciiTheme="minorHAnsi" w:hAnsiTheme="minorHAnsi"/>
                <w:sz w:val="18"/>
                <w:szCs w:val="18"/>
              </w:rPr>
            </w:pPr>
          </w:p>
        </w:tc>
        <w:tc>
          <w:tcPr>
            <w:tcW w:w="4230" w:type="dxa"/>
            <w:gridSpan w:val="3"/>
            <w:tcBorders>
              <w:left w:val="thinThickThinSmallGap" w:sz="24" w:space="0" w:color="auto"/>
            </w:tcBorders>
            <w:shd w:val="clear" w:color="auto" w:fill="FFFFFF"/>
            <w:vAlign w:val="center"/>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3A384F">
              <w:rPr>
                <w:rFonts w:asciiTheme="minorHAnsi" w:hAnsiTheme="minorHAnsi"/>
                <w:sz w:val="18"/>
                <w:szCs w:val="18"/>
              </w:rPr>
              <w:t xml:space="preserve">Not Service Connected X </w:t>
            </w:r>
            <w:r>
              <w:rPr>
                <w:rFonts w:asciiTheme="minorHAnsi" w:hAnsiTheme="minorHAnsi"/>
                <w:sz w:val="18"/>
                <w:szCs w:val="18"/>
              </w:rPr>
              <w:t>2</w:t>
            </w:r>
          </w:p>
        </w:tc>
        <w:tc>
          <w:tcPr>
            <w:tcW w:w="990" w:type="dxa"/>
            <w:shd w:val="clear" w:color="auto" w:fill="FFFFFF"/>
            <w:vAlign w:val="center"/>
          </w:tcPr>
          <w:p w:rsidR="003A384F" w:rsidRPr="00611EB8" w:rsidRDefault="003A384F" w:rsidP="00540748">
            <w:pPr>
              <w:pStyle w:val="ListParagraph"/>
              <w:spacing w:after="0" w:line="180" w:lineRule="exact"/>
              <w:ind w:left="0"/>
              <w:jc w:val="center"/>
              <w:rPr>
                <w:rFonts w:asciiTheme="minorHAnsi" w:hAnsiTheme="minorHAnsi"/>
                <w:sz w:val="18"/>
                <w:szCs w:val="18"/>
              </w:rPr>
            </w:pPr>
            <w:r w:rsidRPr="00611EB8">
              <w:rPr>
                <w:rFonts w:asciiTheme="minorHAnsi" w:hAnsiTheme="minorHAnsi"/>
                <w:sz w:val="18"/>
                <w:szCs w:val="18"/>
              </w:rPr>
              <w:t>20081120</w:t>
            </w:r>
          </w:p>
        </w:tc>
      </w:tr>
      <w:tr w:rsidR="00713310" w:rsidRPr="00611EB8" w:rsidTr="00A03C03">
        <w:trPr>
          <w:trHeight w:val="242"/>
          <w:jc w:val="center"/>
        </w:trPr>
        <w:tc>
          <w:tcPr>
            <w:tcW w:w="4050" w:type="dxa"/>
            <w:gridSpan w:val="4"/>
            <w:tcBorders>
              <w:right w:val="thinThickThinSmallGap" w:sz="24" w:space="0" w:color="auto"/>
            </w:tcBorders>
            <w:shd w:val="clear" w:color="auto" w:fill="D9D9D9"/>
          </w:tcPr>
          <w:p w:rsidR="00713310" w:rsidRPr="00611EB8" w:rsidRDefault="00713310"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TOTAL Combined: 20%</w:t>
            </w:r>
          </w:p>
        </w:tc>
        <w:tc>
          <w:tcPr>
            <w:tcW w:w="5220" w:type="dxa"/>
            <w:gridSpan w:val="4"/>
            <w:tcBorders>
              <w:left w:val="thinThickThinSmallGap" w:sz="24" w:space="0" w:color="auto"/>
            </w:tcBorders>
            <w:shd w:val="clear" w:color="auto" w:fill="D9D9D9"/>
          </w:tcPr>
          <w:p w:rsidR="00713310" w:rsidRPr="00611EB8" w:rsidRDefault="00713310" w:rsidP="00660807">
            <w:pPr>
              <w:pStyle w:val="ListParagraph"/>
              <w:spacing w:after="0" w:line="240" w:lineRule="exact"/>
              <w:ind w:left="0"/>
              <w:jc w:val="center"/>
              <w:rPr>
                <w:rFonts w:asciiTheme="minorHAnsi" w:hAnsiTheme="minorHAnsi"/>
                <w:b/>
                <w:sz w:val="20"/>
                <w:szCs w:val="20"/>
              </w:rPr>
            </w:pPr>
            <w:r w:rsidRPr="00611EB8">
              <w:rPr>
                <w:rFonts w:asciiTheme="minorHAnsi" w:hAnsiTheme="minorHAnsi"/>
                <w:b/>
                <w:sz w:val="20"/>
                <w:szCs w:val="20"/>
              </w:rPr>
              <w:t>TOTAL Combined (</w:t>
            </w:r>
            <w:r w:rsidRPr="00611EB8">
              <w:rPr>
                <w:rFonts w:asciiTheme="minorHAnsi" w:hAnsiTheme="minorHAnsi"/>
                <w:b/>
                <w:i/>
                <w:sz w:val="20"/>
                <w:szCs w:val="20"/>
              </w:rPr>
              <w:t>Includes Non-PEB Conditions</w:t>
            </w:r>
            <w:r w:rsidRPr="00611EB8">
              <w:rPr>
                <w:rFonts w:asciiTheme="minorHAnsi" w:hAnsiTheme="minorHAnsi"/>
                <w:b/>
                <w:sz w:val="20"/>
                <w:szCs w:val="20"/>
              </w:rPr>
              <w:t>): 70%</w:t>
            </w:r>
          </w:p>
        </w:tc>
      </w:tr>
    </w:tbl>
    <w:p w:rsidR="00022CF3" w:rsidRPr="00EB7E57" w:rsidRDefault="00646A91" w:rsidP="00660807">
      <w:pPr>
        <w:tabs>
          <w:tab w:val="left" w:pos="288"/>
          <w:tab w:val="left" w:pos="4752"/>
        </w:tabs>
        <w:spacing w:line="240" w:lineRule="exact"/>
        <w:rPr>
          <w:rFonts w:asciiTheme="minorHAnsi" w:hAnsiTheme="minorHAnsi"/>
          <w:color w:val="auto"/>
          <w:sz w:val="20"/>
        </w:rPr>
      </w:pPr>
      <w:r>
        <w:rPr>
          <w:rFonts w:asciiTheme="minorHAnsi" w:hAnsiTheme="minorHAnsi"/>
          <w:color w:val="auto"/>
          <w:sz w:val="18"/>
          <w:szCs w:val="18"/>
        </w:rPr>
        <w:tab/>
      </w:r>
      <w:r w:rsidR="00022CF3" w:rsidRPr="00EB7E57">
        <w:rPr>
          <w:rFonts w:asciiTheme="minorHAnsi" w:hAnsiTheme="minorHAnsi"/>
          <w:color w:val="auto"/>
          <w:sz w:val="20"/>
        </w:rPr>
        <w:t>*</w:t>
      </w:r>
      <w:r w:rsidR="00FF4FC6" w:rsidRPr="00EB7E57">
        <w:rPr>
          <w:rFonts w:asciiTheme="minorHAnsi" w:hAnsiTheme="minorHAnsi"/>
          <w:color w:val="auto"/>
          <w:sz w:val="20"/>
        </w:rPr>
        <w:t xml:space="preserve"> PTSD Initial Rating</w:t>
      </w:r>
      <w:r w:rsidR="00022CF3" w:rsidRPr="00EB7E57">
        <w:rPr>
          <w:rFonts w:asciiTheme="minorHAnsi" w:hAnsiTheme="minorHAnsi"/>
          <w:color w:val="auto"/>
          <w:sz w:val="20"/>
        </w:rPr>
        <w:t xml:space="preserve"> </w:t>
      </w:r>
      <w:r w:rsidR="00FF4FC6" w:rsidRPr="00EB7E57">
        <w:rPr>
          <w:rFonts w:asciiTheme="minorHAnsi" w:hAnsiTheme="minorHAnsi"/>
          <w:color w:val="auto"/>
          <w:sz w:val="20"/>
        </w:rPr>
        <w:t>5</w:t>
      </w:r>
      <w:r w:rsidR="00022CF3" w:rsidRPr="00EB7E57">
        <w:rPr>
          <w:rFonts w:asciiTheme="minorHAnsi" w:hAnsiTheme="minorHAnsi"/>
          <w:color w:val="auto"/>
          <w:sz w:val="20"/>
        </w:rPr>
        <w:t xml:space="preserve">0% </w:t>
      </w:r>
      <w:r w:rsidR="00FF4FC6" w:rsidRPr="00EB7E57">
        <w:rPr>
          <w:rFonts w:asciiTheme="minorHAnsi" w:hAnsiTheme="minorHAnsi"/>
          <w:color w:val="auto"/>
          <w:sz w:val="20"/>
        </w:rPr>
        <w:t xml:space="preserve">20080401(combined 80%). </w:t>
      </w:r>
      <w:r w:rsidR="00CA37E7" w:rsidRPr="00EB7E57">
        <w:rPr>
          <w:rFonts w:asciiTheme="minorHAnsi" w:hAnsiTheme="minorHAnsi"/>
          <w:color w:val="auto"/>
          <w:sz w:val="20"/>
        </w:rPr>
        <w:t xml:space="preserve"> </w:t>
      </w:r>
      <w:r w:rsidR="00FF4FC6" w:rsidRPr="00EB7E57">
        <w:rPr>
          <w:rFonts w:asciiTheme="minorHAnsi" w:hAnsiTheme="minorHAnsi"/>
          <w:color w:val="auto"/>
          <w:sz w:val="20"/>
        </w:rPr>
        <w:t xml:space="preserve">PTSD decrease 30% </w:t>
      </w:r>
      <w:r w:rsidR="00022CF3" w:rsidRPr="00EB7E57">
        <w:rPr>
          <w:rFonts w:asciiTheme="minorHAnsi" w:hAnsiTheme="minorHAnsi"/>
          <w:color w:val="auto"/>
          <w:sz w:val="20"/>
        </w:rPr>
        <w:t>effective 200</w:t>
      </w:r>
      <w:r w:rsidR="00FF4FC6" w:rsidRPr="00EB7E57">
        <w:rPr>
          <w:rFonts w:asciiTheme="minorHAnsi" w:hAnsiTheme="minorHAnsi"/>
          <w:color w:val="auto"/>
          <w:sz w:val="20"/>
        </w:rPr>
        <w:t>81001</w:t>
      </w:r>
      <w:r w:rsidRPr="00EB7E57">
        <w:rPr>
          <w:rFonts w:asciiTheme="minorHAnsi" w:hAnsiTheme="minorHAnsi"/>
          <w:color w:val="auto"/>
          <w:sz w:val="20"/>
        </w:rPr>
        <w:t xml:space="preserve"> (combined 70%)</w:t>
      </w:r>
    </w:p>
    <w:p w:rsidR="005D3F1E" w:rsidRPr="00EB7E57" w:rsidRDefault="005D3F1E" w:rsidP="00660807">
      <w:pPr>
        <w:tabs>
          <w:tab w:val="left" w:pos="288"/>
          <w:tab w:val="left" w:pos="4752"/>
        </w:tabs>
        <w:spacing w:line="240" w:lineRule="exact"/>
        <w:jc w:val="both"/>
        <w:rPr>
          <w:rFonts w:asciiTheme="minorHAnsi" w:hAnsiTheme="minorHAnsi"/>
          <w:color w:val="auto"/>
          <w:sz w:val="20"/>
          <w:u w:val="single"/>
        </w:rPr>
      </w:pPr>
    </w:p>
    <w:p w:rsidR="00C901C2" w:rsidRDefault="00C901C2" w:rsidP="00660807">
      <w:pPr>
        <w:tabs>
          <w:tab w:val="left" w:pos="288"/>
          <w:tab w:val="left" w:pos="4752"/>
        </w:tabs>
        <w:spacing w:line="240" w:lineRule="exact"/>
        <w:jc w:val="both"/>
        <w:rPr>
          <w:rFonts w:asciiTheme="minorHAnsi" w:hAnsiTheme="minorHAnsi"/>
          <w:color w:val="auto"/>
          <w:szCs w:val="24"/>
          <w:u w:val="single"/>
        </w:rPr>
      </w:pPr>
    </w:p>
    <w:p w:rsidR="00D234B9" w:rsidRDefault="00D234B9" w:rsidP="00660807">
      <w:pPr>
        <w:tabs>
          <w:tab w:val="left" w:pos="288"/>
          <w:tab w:val="left" w:pos="4752"/>
        </w:tabs>
        <w:spacing w:line="240" w:lineRule="exact"/>
        <w:jc w:val="both"/>
        <w:rPr>
          <w:rFonts w:asciiTheme="minorHAnsi" w:hAnsiTheme="minorHAnsi"/>
          <w:color w:val="auto"/>
          <w:szCs w:val="24"/>
          <w:u w:val="single"/>
        </w:rPr>
      </w:pPr>
    </w:p>
    <w:p w:rsidR="00D234B9" w:rsidRDefault="00D234B9" w:rsidP="00660807">
      <w:pPr>
        <w:tabs>
          <w:tab w:val="left" w:pos="288"/>
          <w:tab w:val="left" w:pos="4752"/>
        </w:tabs>
        <w:spacing w:line="240" w:lineRule="exact"/>
        <w:jc w:val="both"/>
        <w:rPr>
          <w:rFonts w:asciiTheme="minorHAnsi" w:hAnsiTheme="minorHAnsi"/>
          <w:color w:val="auto"/>
          <w:szCs w:val="24"/>
          <w:u w:val="single"/>
        </w:rPr>
      </w:pPr>
    </w:p>
    <w:p w:rsidR="00D234B9" w:rsidRDefault="00D234B9" w:rsidP="00660807">
      <w:pPr>
        <w:tabs>
          <w:tab w:val="left" w:pos="288"/>
          <w:tab w:val="left" w:pos="4752"/>
        </w:tabs>
        <w:spacing w:line="240" w:lineRule="exact"/>
        <w:jc w:val="both"/>
        <w:rPr>
          <w:rFonts w:asciiTheme="minorHAnsi" w:hAnsiTheme="minorHAnsi"/>
          <w:color w:val="auto"/>
          <w:szCs w:val="24"/>
          <w:u w:val="single"/>
        </w:rPr>
      </w:pPr>
    </w:p>
    <w:p w:rsidR="00653349" w:rsidRPr="00611EB8" w:rsidRDefault="002C6E5B" w:rsidP="00660807">
      <w:pPr>
        <w:tabs>
          <w:tab w:val="left" w:pos="288"/>
          <w:tab w:val="left" w:pos="4752"/>
        </w:tabs>
        <w:spacing w:line="240" w:lineRule="exact"/>
        <w:jc w:val="both"/>
        <w:rPr>
          <w:rFonts w:asciiTheme="minorHAnsi" w:hAnsiTheme="minorHAnsi"/>
          <w:color w:val="auto"/>
          <w:szCs w:val="24"/>
        </w:rPr>
      </w:pPr>
      <w:r w:rsidRPr="00611EB8">
        <w:rPr>
          <w:rFonts w:asciiTheme="minorHAnsi" w:hAnsiTheme="minorHAnsi"/>
          <w:color w:val="auto"/>
          <w:szCs w:val="24"/>
          <w:u w:val="single"/>
        </w:rPr>
        <w:lastRenderedPageBreak/>
        <w:t>ANALYSIS SUMMARY</w:t>
      </w:r>
      <w:r w:rsidRPr="00611EB8">
        <w:rPr>
          <w:rFonts w:asciiTheme="minorHAnsi" w:hAnsiTheme="minorHAnsi"/>
          <w:color w:val="auto"/>
          <w:szCs w:val="24"/>
        </w:rPr>
        <w:t>:</w:t>
      </w:r>
      <w:r w:rsidR="00C276CD" w:rsidRPr="00611EB8">
        <w:rPr>
          <w:rFonts w:asciiTheme="minorHAnsi" w:hAnsiTheme="minorHAnsi"/>
          <w:color w:val="auto"/>
          <w:szCs w:val="24"/>
        </w:rPr>
        <w:t xml:space="preserve">  </w:t>
      </w:r>
    </w:p>
    <w:p w:rsidR="00646A91" w:rsidRDefault="00646A91" w:rsidP="00660807">
      <w:pPr>
        <w:autoSpaceDE w:val="0"/>
        <w:autoSpaceDN w:val="0"/>
        <w:adjustRightInd w:val="0"/>
        <w:spacing w:line="240" w:lineRule="exact"/>
        <w:rPr>
          <w:rFonts w:asciiTheme="minorHAnsi" w:hAnsiTheme="minorHAnsi"/>
          <w:color w:val="auto"/>
          <w:szCs w:val="24"/>
          <w:u w:val="single"/>
        </w:rPr>
      </w:pPr>
    </w:p>
    <w:p w:rsidR="00A758C5" w:rsidRDefault="00646A91" w:rsidP="00660807">
      <w:pPr>
        <w:autoSpaceDE w:val="0"/>
        <w:autoSpaceDN w:val="0"/>
        <w:adjustRightInd w:val="0"/>
        <w:spacing w:line="240" w:lineRule="exact"/>
        <w:jc w:val="both"/>
        <w:rPr>
          <w:rFonts w:asciiTheme="minorHAnsi" w:hAnsiTheme="minorHAnsi" w:cs="Arial"/>
          <w:color w:val="auto"/>
          <w:szCs w:val="24"/>
        </w:rPr>
      </w:pPr>
      <w:proofErr w:type="gramStart"/>
      <w:r>
        <w:rPr>
          <w:rFonts w:asciiTheme="minorHAnsi" w:hAnsiTheme="minorHAnsi"/>
          <w:color w:val="auto"/>
          <w:szCs w:val="24"/>
          <w:u w:val="single"/>
        </w:rPr>
        <w:t>Mental</w:t>
      </w:r>
      <w:r w:rsidR="00653349" w:rsidRPr="00611EB8">
        <w:rPr>
          <w:rFonts w:asciiTheme="minorHAnsi" w:hAnsiTheme="minorHAnsi"/>
          <w:color w:val="auto"/>
          <w:szCs w:val="24"/>
          <w:u w:val="single"/>
        </w:rPr>
        <w:t xml:space="preserve"> </w:t>
      </w:r>
      <w:r w:rsidR="004713A6">
        <w:rPr>
          <w:rFonts w:asciiTheme="minorHAnsi" w:hAnsiTheme="minorHAnsi"/>
          <w:color w:val="auto"/>
          <w:szCs w:val="24"/>
          <w:u w:val="single"/>
        </w:rPr>
        <w:t xml:space="preserve">Health </w:t>
      </w:r>
      <w:r w:rsidR="00653349" w:rsidRPr="00611EB8">
        <w:rPr>
          <w:rFonts w:asciiTheme="minorHAnsi" w:hAnsiTheme="minorHAnsi"/>
          <w:color w:val="auto"/>
          <w:szCs w:val="24"/>
          <w:u w:val="single"/>
        </w:rPr>
        <w:t>Condition</w:t>
      </w:r>
      <w:r>
        <w:rPr>
          <w:rFonts w:asciiTheme="minorHAnsi" w:hAnsiTheme="minorHAnsi"/>
          <w:color w:val="auto"/>
          <w:szCs w:val="24"/>
        </w:rPr>
        <w:t>.</w:t>
      </w:r>
      <w:proofErr w:type="gramEnd"/>
      <w:r w:rsidR="00C630BB" w:rsidRPr="00611EB8">
        <w:rPr>
          <w:rFonts w:asciiTheme="minorHAnsi" w:hAnsiTheme="minorHAnsi"/>
          <w:color w:val="auto"/>
          <w:szCs w:val="24"/>
        </w:rPr>
        <w:t xml:space="preserve">  </w:t>
      </w:r>
      <w:r w:rsidR="00E80145" w:rsidRPr="00611EB8">
        <w:rPr>
          <w:rFonts w:asciiTheme="minorHAnsi" w:hAnsiTheme="minorHAnsi"/>
          <w:color w:val="auto"/>
          <w:szCs w:val="24"/>
        </w:rPr>
        <w:t>Th</w:t>
      </w:r>
      <w:r w:rsidR="009A5EC2">
        <w:rPr>
          <w:rFonts w:asciiTheme="minorHAnsi" w:hAnsiTheme="minorHAnsi"/>
          <w:color w:val="auto"/>
          <w:szCs w:val="24"/>
        </w:rPr>
        <w:t xml:space="preserve">e CI entered the </w:t>
      </w:r>
      <w:r>
        <w:rPr>
          <w:rFonts w:asciiTheme="minorHAnsi" w:hAnsiTheme="minorHAnsi"/>
          <w:color w:val="auto"/>
          <w:szCs w:val="24"/>
        </w:rPr>
        <w:t>Marine</w:t>
      </w:r>
      <w:r w:rsidR="009A5EC2">
        <w:rPr>
          <w:rFonts w:asciiTheme="minorHAnsi" w:hAnsiTheme="minorHAnsi"/>
          <w:color w:val="auto"/>
          <w:szCs w:val="24"/>
        </w:rPr>
        <w:t xml:space="preserve"> Corps in May 2001, and almost immediately began receiving treatment for mental problems including </w:t>
      </w:r>
      <w:r w:rsidR="00E80145" w:rsidRPr="00611EB8">
        <w:rPr>
          <w:rFonts w:asciiTheme="minorHAnsi" w:hAnsiTheme="minorHAnsi"/>
          <w:color w:val="auto"/>
          <w:szCs w:val="24"/>
        </w:rPr>
        <w:t>attention deficit/hyperactivity disorder</w:t>
      </w:r>
      <w:r w:rsidR="00E96C22" w:rsidRPr="00611EB8">
        <w:rPr>
          <w:rFonts w:asciiTheme="minorHAnsi" w:hAnsiTheme="minorHAnsi"/>
          <w:color w:val="auto"/>
          <w:szCs w:val="24"/>
        </w:rPr>
        <w:t xml:space="preserve"> (ADHD)</w:t>
      </w:r>
      <w:r w:rsidR="00E80145" w:rsidRPr="00611EB8">
        <w:rPr>
          <w:rFonts w:asciiTheme="minorHAnsi" w:hAnsiTheme="minorHAnsi"/>
          <w:color w:val="auto"/>
          <w:szCs w:val="24"/>
        </w:rPr>
        <w:t xml:space="preserve">, depression and anxiety.  </w:t>
      </w:r>
      <w:r w:rsidR="009A5EC2">
        <w:rPr>
          <w:rFonts w:asciiTheme="minorHAnsi" w:hAnsiTheme="minorHAnsi"/>
          <w:color w:val="auto"/>
          <w:szCs w:val="24"/>
        </w:rPr>
        <w:t>During his years of active duty, h</w:t>
      </w:r>
      <w:r w:rsidR="00E80145" w:rsidRPr="00611EB8">
        <w:rPr>
          <w:rFonts w:asciiTheme="minorHAnsi" w:hAnsiTheme="minorHAnsi"/>
          <w:color w:val="auto"/>
          <w:szCs w:val="24"/>
        </w:rPr>
        <w:t>e was on various medications</w:t>
      </w:r>
      <w:r w:rsidR="00CE6729">
        <w:rPr>
          <w:rFonts w:asciiTheme="minorHAnsi" w:hAnsiTheme="minorHAnsi"/>
          <w:color w:val="auto"/>
          <w:szCs w:val="24"/>
        </w:rPr>
        <w:t>,</w:t>
      </w:r>
      <w:r w:rsidR="00E80145" w:rsidRPr="00611EB8">
        <w:rPr>
          <w:rFonts w:asciiTheme="minorHAnsi" w:hAnsiTheme="minorHAnsi"/>
          <w:color w:val="auto"/>
          <w:szCs w:val="24"/>
        </w:rPr>
        <w:t xml:space="preserve"> but was kept at full duty status </w:t>
      </w:r>
      <w:r w:rsidR="009A5EC2">
        <w:rPr>
          <w:rFonts w:asciiTheme="minorHAnsi" w:hAnsiTheme="minorHAnsi"/>
          <w:color w:val="auto"/>
          <w:szCs w:val="24"/>
        </w:rPr>
        <w:t>the entire time, including</w:t>
      </w:r>
      <w:r w:rsidR="00E80145" w:rsidRPr="00611EB8">
        <w:rPr>
          <w:rFonts w:asciiTheme="minorHAnsi" w:hAnsiTheme="minorHAnsi"/>
          <w:color w:val="auto"/>
          <w:szCs w:val="24"/>
        </w:rPr>
        <w:t xml:space="preserve"> deployments</w:t>
      </w:r>
      <w:r w:rsidR="003C169C">
        <w:rPr>
          <w:rFonts w:asciiTheme="minorHAnsi" w:hAnsiTheme="minorHAnsi"/>
          <w:color w:val="auto"/>
          <w:szCs w:val="24"/>
        </w:rPr>
        <w:t xml:space="preserve">.  </w:t>
      </w:r>
      <w:r w:rsidR="00653349" w:rsidRPr="00611EB8">
        <w:rPr>
          <w:rFonts w:asciiTheme="minorHAnsi" w:hAnsiTheme="minorHAnsi"/>
          <w:color w:val="auto"/>
          <w:szCs w:val="24"/>
        </w:rPr>
        <w:t>The CI was dep</w:t>
      </w:r>
      <w:r w:rsidR="009D306A" w:rsidRPr="00611EB8">
        <w:rPr>
          <w:rFonts w:asciiTheme="minorHAnsi" w:hAnsiTheme="minorHAnsi"/>
          <w:color w:val="auto"/>
          <w:szCs w:val="24"/>
        </w:rPr>
        <w:t>lo</w:t>
      </w:r>
      <w:r w:rsidR="003C169C">
        <w:rPr>
          <w:rFonts w:asciiTheme="minorHAnsi" w:hAnsiTheme="minorHAnsi"/>
          <w:color w:val="auto"/>
          <w:szCs w:val="24"/>
        </w:rPr>
        <w:t xml:space="preserve">yed to Iraq in 2003 and </w:t>
      </w:r>
      <w:r w:rsidR="009A5EC2">
        <w:rPr>
          <w:rFonts w:asciiTheme="minorHAnsi" w:hAnsiTheme="minorHAnsi"/>
          <w:color w:val="auto"/>
          <w:szCs w:val="24"/>
        </w:rPr>
        <w:t xml:space="preserve">again in </w:t>
      </w:r>
      <w:r w:rsidR="003C169C">
        <w:rPr>
          <w:rFonts w:asciiTheme="minorHAnsi" w:hAnsiTheme="minorHAnsi"/>
          <w:color w:val="auto"/>
          <w:szCs w:val="24"/>
        </w:rPr>
        <w:t xml:space="preserve">2005.  </w:t>
      </w:r>
      <w:r w:rsidR="004045D0" w:rsidRPr="00611EB8">
        <w:rPr>
          <w:rFonts w:asciiTheme="minorHAnsi" w:hAnsiTheme="minorHAnsi"/>
          <w:color w:val="auto"/>
          <w:szCs w:val="24"/>
        </w:rPr>
        <w:t>After his 2003 deployment</w:t>
      </w:r>
      <w:r w:rsidR="009A5EC2">
        <w:rPr>
          <w:rFonts w:asciiTheme="minorHAnsi" w:hAnsiTheme="minorHAnsi"/>
          <w:color w:val="auto"/>
          <w:szCs w:val="24"/>
        </w:rPr>
        <w:t>,</w:t>
      </w:r>
      <w:r w:rsidR="004045D0" w:rsidRPr="00611EB8">
        <w:rPr>
          <w:rFonts w:asciiTheme="minorHAnsi" w:hAnsiTheme="minorHAnsi"/>
          <w:color w:val="auto"/>
          <w:szCs w:val="24"/>
        </w:rPr>
        <w:t xml:space="preserve"> he denied any symptoms of PTSD</w:t>
      </w:r>
      <w:r w:rsidR="009A5EC2">
        <w:rPr>
          <w:rFonts w:asciiTheme="minorHAnsi" w:hAnsiTheme="minorHAnsi"/>
          <w:color w:val="auto"/>
          <w:szCs w:val="24"/>
        </w:rPr>
        <w:t xml:space="preserve">.  He </w:t>
      </w:r>
      <w:r w:rsidR="004045D0" w:rsidRPr="00611EB8">
        <w:rPr>
          <w:rFonts w:asciiTheme="minorHAnsi" w:hAnsiTheme="minorHAnsi"/>
          <w:color w:val="auto"/>
          <w:szCs w:val="24"/>
        </w:rPr>
        <w:t>denied any exp</w:t>
      </w:r>
      <w:r w:rsidR="003C169C">
        <w:rPr>
          <w:rFonts w:asciiTheme="minorHAnsi" w:hAnsiTheme="minorHAnsi"/>
          <w:color w:val="auto"/>
          <w:szCs w:val="24"/>
        </w:rPr>
        <w:t xml:space="preserve">osure to significant combat </w:t>
      </w:r>
      <w:r w:rsidR="009A5EC2">
        <w:rPr>
          <w:rFonts w:asciiTheme="minorHAnsi" w:hAnsiTheme="minorHAnsi"/>
          <w:color w:val="auto"/>
          <w:szCs w:val="24"/>
        </w:rPr>
        <w:t>stressors,</w:t>
      </w:r>
      <w:r w:rsidR="004045D0" w:rsidRPr="00611EB8">
        <w:rPr>
          <w:rFonts w:asciiTheme="minorHAnsi" w:hAnsiTheme="minorHAnsi"/>
          <w:color w:val="auto"/>
          <w:szCs w:val="24"/>
        </w:rPr>
        <w:t xml:space="preserve"> or difficulty in adjusting to the combat situation.  </w:t>
      </w:r>
      <w:r w:rsidR="00E96C22" w:rsidRPr="00611EB8">
        <w:rPr>
          <w:rFonts w:asciiTheme="minorHAnsi" w:hAnsiTheme="minorHAnsi"/>
          <w:color w:val="auto"/>
          <w:szCs w:val="24"/>
        </w:rPr>
        <w:t>While deployed in 2005</w:t>
      </w:r>
      <w:r w:rsidR="009A5EC2">
        <w:rPr>
          <w:rFonts w:asciiTheme="minorHAnsi" w:hAnsiTheme="minorHAnsi"/>
          <w:color w:val="auto"/>
          <w:szCs w:val="24"/>
        </w:rPr>
        <w:t>,</w:t>
      </w:r>
      <w:r w:rsidR="00E96C22" w:rsidRPr="00611EB8">
        <w:rPr>
          <w:rFonts w:asciiTheme="minorHAnsi" w:hAnsiTheme="minorHAnsi"/>
          <w:color w:val="auto"/>
          <w:szCs w:val="24"/>
        </w:rPr>
        <w:t xml:space="preserve"> he was seen by the Combat Stress Control Team on several occasions </w:t>
      </w:r>
      <w:r w:rsidR="004045D0" w:rsidRPr="00611EB8">
        <w:rPr>
          <w:rFonts w:asciiTheme="minorHAnsi" w:hAnsiTheme="minorHAnsi"/>
          <w:color w:val="auto"/>
          <w:szCs w:val="24"/>
        </w:rPr>
        <w:t>for his ADHD</w:t>
      </w:r>
      <w:r w:rsidR="00E96C22" w:rsidRPr="00611EB8">
        <w:rPr>
          <w:rFonts w:asciiTheme="minorHAnsi" w:hAnsiTheme="minorHAnsi"/>
          <w:color w:val="auto"/>
          <w:szCs w:val="24"/>
        </w:rPr>
        <w:t xml:space="preserve"> and his </w:t>
      </w:r>
      <w:r w:rsidR="004713A6">
        <w:rPr>
          <w:rFonts w:asciiTheme="minorHAnsi" w:hAnsiTheme="minorHAnsi"/>
          <w:color w:val="auto"/>
          <w:szCs w:val="24"/>
        </w:rPr>
        <w:t>a</w:t>
      </w:r>
      <w:r w:rsidR="00E96C22" w:rsidRPr="00611EB8">
        <w:rPr>
          <w:rFonts w:asciiTheme="minorHAnsi" w:hAnsiTheme="minorHAnsi"/>
          <w:color w:val="auto"/>
          <w:szCs w:val="24"/>
        </w:rPr>
        <w:t xml:space="preserve">nxiety disorder and to have his medication adjusted.  </w:t>
      </w:r>
      <w:r w:rsidR="009A5EC2">
        <w:rPr>
          <w:rFonts w:asciiTheme="minorHAnsi" w:hAnsiTheme="minorHAnsi"/>
          <w:color w:val="auto"/>
          <w:szCs w:val="24"/>
        </w:rPr>
        <w:t xml:space="preserve">During the 2005 deployment, </w:t>
      </w:r>
      <w:r w:rsidR="00653349" w:rsidRPr="00611EB8">
        <w:rPr>
          <w:rFonts w:asciiTheme="minorHAnsi" w:hAnsiTheme="minorHAnsi"/>
          <w:color w:val="auto"/>
          <w:szCs w:val="24"/>
        </w:rPr>
        <w:t xml:space="preserve">he experienced indirect combat fire including </w:t>
      </w:r>
      <w:r w:rsidR="009A5EC2">
        <w:rPr>
          <w:rFonts w:asciiTheme="minorHAnsi" w:hAnsiTheme="minorHAnsi"/>
          <w:color w:val="auto"/>
          <w:szCs w:val="24"/>
        </w:rPr>
        <w:t xml:space="preserve">indirect </w:t>
      </w:r>
      <w:r w:rsidR="00653349" w:rsidRPr="00611EB8">
        <w:rPr>
          <w:rFonts w:asciiTheme="minorHAnsi" w:hAnsiTheme="minorHAnsi"/>
          <w:color w:val="auto"/>
          <w:szCs w:val="24"/>
        </w:rPr>
        <w:t xml:space="preserve">exposure to mortar rounds and </w:t>
      </w:r>
      <w:r w:rsidR="004713A6">
        <w:rPr>
          <w:rFonts w:asciiTheme="minorHAnsi" w:hAnsiTheme="minorHAnsi"/>
          <w:color w:val="auto"/>
          <w:szCs w:val="24"/>
        </w:rPr>
        <w:t>improvised explosive devices</w:t>
      </w:r>
      <w:r w:rsidR="00705857" w:rsidRPr="00611EB8">
        <w:rPr>
          <w:rFonts w:asciiTheme="minorHAnsi" w:hAnsiTheme="minorHAnsi"/>
          <w:color w:val="auto"/>
          <w:szCs w:val="24"/>
        </w:rPr>
        <w:t>.  The CI stated that he</w:t>
      </w:r>
      <w:r w:rsidR="00653349" w:rsidRPr="00611EB8">
        <w:rPr>
          <w:rFonts w:asciiTheme="minorHAnsi" w:hAnsiTheme="minorHAnsi"/>
          <w:color w:val="auto"/>
          <w:szCs w:val="24"/>
        </w:rPr>
        <w:t xml:space="preserve"> had nightmares and flashbacks related to h</w:t>
      </w:r>
      <w:r w:rsidR="00077151" w:rsidRPr="00611EB8">
        <w:rPr>
          <w:rFonts w:asciiTheme="minorHAnsi" w:hAnsiTheme="minorHAnsi"/>
          <w:color w:val="auto"/>
          <w:szCs w:val="24"/>
        </w:rPr>
        <w:t xml:space="preserve">is </w:t>
      </w:r>
      <w:r w:rsidR="00EC4CB7" w:rsidRPr="00611EB8">
        <w:rPr>
          <w:rFonts w:asciiTheme="minorHAnsi" w:hAnsiTheme="minorHAnsi"/>
          <w:color w:val="auto"/>
          <w:szCs w:val="24"/>
        </w:rPr>
        <w:t>combat e</w:t>
      </w:r>
      <w:r w:rsidR="004045D0" w:rsidRPr="00611EB8">
        <w:rPr>
          <w:rFonts w:asciiTheme="minorHAnsi" w:hAnsiTheme="minorHAnsi"/>
          <w:color w:val="auto"/>
          <w:szCs w:val="24"/>
        </w:rPr>
        <w:t>xposure</w:t>
      </w:r>
      <w:r w:rsidR="00EC4CB7" w:rsidRPr="00611EB8">
        <w:rPr>
          <w:rFonts w:asciiTheme="minorHAnsi" w:hAnsiTheme="minorHAnsi"/>
          <w:color w:val="auto"/>
          <w:szCs w:val="24"/>
        </w:rPr>
        <w:t xml:space="preserve">.  </w:t>
      </w:r>
      <w:r w:rsidR="00C63B70">
        <w:rPr>
          <w:rFonts w:asciiTheme="minorHAnsi" w:hAnsiTheme="minorHAnsi"/>
          <w:color w:val="auto"/>
          <w:szCs w:val="24"/>
        </w:rPr>
        <w:t xml:space="preserve">Other </w:t>
      </w:r>
      <w:r w:rsidR="00E80145" w:rsidRPr="00611EB8">
        <w:rPr>
          <w:rFonts w:asciiTheme="minorHAnsi" w:hAnsiTheme="minorHAnsi" w:cs="Arial"/>
          <w:color w:val="auto"/>
          <w:szCs w:val="24"/>
        </w:rPr>
        <w:t xml:space="preserve">symptoms </w:t>
      </w:r>
      <w:r w:rsidR="00C63B70">
        <w:rPr>
          <w:rFonts w:asciiTheme="minorHAnsi" w:hAnsiTheme="minorHAnsi" w:cs="Arial"/>
          <w:color w:val="auto"/>
          <w:szCs w:val="24"/>
        </w:rPr>
        <w:t>included</w:t>
      </w:r>
      <w:r w:rsidR="00EC4CB7" w:rsidRPr="00611EB8">
        <w:rPr>
          <w:rFonts w:asciiTheme="minorHAnsi" w:hAnsiTheme="minorHAnsi" w:cs="Arial"/>
          <w:color w:val="auto"/>
          <w:szCs w:val="24"/>
        </w:rPr>
        <w:t xml:space="preserve"> fatigue, </w:t>
      </w:r>
      <w:r w:rsidR="00C63B70">
        <w:rPr>
          <w:rFonts w:asciiTheme="minorHAnsi" w:hAnsiTheme="minorHAnsi" w:cs="Arial"/>
          <w:color w:val="auto"/>
          <w:szCs w:val="24"/>
        </w:rPr>
        <w:t>insomnia</w:t>
      </w:r>
      <w:r w:rsidR="00EC4CB7" w:rsidRPr="00611EB8">
        <w:rPr>
          <w:rFonts w:asciiTheme="minorHAnsi" w:hAnsiTheme="minorHAnsi" w:cs="Arial"/>
          <w:color w:val="auto"/>
          <w:szCs w:val="24"/>
        </w:rPr>
        <w:t>, restlessness, irritabil</w:t>
      </w:r>
      <w:r w:rsidR="00CA37E7">
        <w:rPr>
          <w:rFonts w:asciiTheme="minorHAnsi" w:hAnsiTheme="minorHAnsi" w:cs="Arial"/>
          <w:color w:val="auto"/>
          <w:szCs w:val="24"/>
        </w:rPr>
        <w:t xml:space="preserve">ity, </w:t>
      </w:r>
      <w:r w:rsidR="000D2A3A">
        <w:rPr>
          <w:rFonts w:asciiTheme="minorHAnsi" w:hAnsiTheme="minorHAnsi" w:cs="Arial"/>
          <w:color w:val="auto"/>
          <w:szCs w:val="24"/>
        </w:rPr>
        <w:t xml:space="preserve">and </w:t>
      </w:r>
      <w:r w:rsidR="009D306A" w:rsidRPr="00611EB8">
        <w:rPr>
          <w:rFonts w:asciiTheme="minorHAnsi" w:hAnsiTheme="minorHAnsi" w:cs="Arial"/>
          <w:color w:val="auto"/>
          <w:szCs w:val="24"/>
        </w:rPr>
        <w:t>muscle tension</w:t>
      </w:r>
      <w:r w:rsidR="000D2A3A">
        <w:rPr>
          <w:rFonts w:asciiTheme="minorHAnsi" w:hAnsiTheme="minorHAnsi" w:cs="Arial"/>
          <w:color w:val="auto"/>
          <w:szCs w:val="24"/>
        </w:rPr>
        <w:t xml:space="preserve">.  The symptoms </w:t>
      </w:r>
      <w:r w:rsidR="00E96C22" w:rsidRPr="00611EB8">
        <w:rPr>
          <w:rFonts w:asciiTheme="minorHAnsi" w:hAnsiTheme="minorHAnsi" w:cs="Arial"/>
          <w:color w:val="auto"/>
          <w:szCs w:val="24"/>
        </w:rPr>
        <w:t>continued after he re</w:t>
      </w:r>
      <w:r w:rsidR="00C63B70">
        <w:rPr>
          <w:rFonts w:asciiTheme="minorHAnsi" w:hAnsiTheme="minorHAnsi" w:cs="Arial"/>
          <w:color w:val="auto"/>
          <w:szCs w:val="24"/>
        </w:rPr>
        <w:t>turned to the U.S.</w:t>
      </w:r>
      <w:r w:rsidR="004713A6">
        <w:rPr>
          <w:rFonts w:asciiTheme="minorHAnsi" w:hAnsiTheme="minorHAnsi" w:cs="Arial"/>
          <w:color w:val="auto"/>
          <w:szCs w:val="24"/>
        </w:rPr>
        <w:t xml:space="preserve"> in </w:t>
      </w:r>
      <w:r w:rsidR="00E96C22" w:rsidRPr="00611EB8">
        <w:rPr>
          <w:rFonts w:asciiTheme="minorHAnsi" w:hAnsiTheme="minorHAnsi" w:cs="Arial"/>
          <w:color w:val="auto"/>
          <w:szCs w:val="24"/>
        </w:rPr>
        <w:t xml:space="preserve">August 2005.  </w:t>
      </w:r>
      <w:r w:rsidR="009D306A" w:rsidRPr="00611EB8">
        <w:rPr>
          <w:rFonts w:asciiTheme="minorHAnsi" w:hAnsiTheme="minorHAnsi" w:cs="Arial"/>
          <w:color w:val="auto"/>
          <w:szCs w:val="24"/>
        </w:rPr>
        <w:t xml:space="preserve">During a mental health </w:t>
      </w:r>
      <w:r w:rsidR="000D2A3A">
        <w:rPr>
          <w:rFonts w:asciiTheme="minorHAnsi" w:hAnsiTheme="minorHAnsi" w:cs="Arial"/>
          <w:color w:val="auto"/>
          <w:szCs w:val="24"/>
        </w:rPr>
        <w:t xml:space="preserve">(MH) visit in </w:t>
      </w:r>
      <w:r w:rsidR="00DE0E1F" w:rsidRPr="00611EB8">
        <w:rPr>
          <w:rFonts w:asciiTheme="minorHAnsi" w:hAnsiTheme="minorHAnsi" w:cs="Arial"/>
          <w:color w:val="auto"/>
          <w:szCs w:val="24"/>
        </w:rPr>
        <w:t>November 2005</w:t>
      </w:r>
      <w:r w:rsidR="000D2A3A">
        <w:rPr>
          <w:rFonts w:asciiTheme="minorHAnsi" w:hAnsiTheme="minorHAnsi" w:cs="Arial"/>
          <w:color w:val="auto"/>
          <w:szCs w:val="24"/>
        </w:rPr>
        <w:t xml:space="preserve">, </w:t>
      </w:r>
      <w:r w:rsidR="00DE0E1F" w:rsidRPr="00611EB8">
        <w:rPr>
          <w:rFonts w:asciiTheme="minorHAnsi" w:hAnsiTheme="minorHAnsi" w:cs="Arial"/>
          <w:color w:val="auto"/>
          <w:szCs w:val="24"/>
        </w:rPr>
        <w:t xml:space="preserve">it was felt that his symptoms were consistent with PTSD </w:t>
      </w:r>
      <w:r w:rsidR="009D306A" w:rsidRPr="00611EB8">
        <w:rPr>
          <w:rFonts w:asciiTheme="minorHAnsi" w:hAnsiTheme="minorHAnsi" w:cs="Arial"/>
          <w:color w:val="auto"/>
          <w:szCs w:val="24"/>
        </w:rPr>
        <w:t>and his medicat</w:t>
      </w:r>
      <w:r w:rsidR="007C33D2" w:rsidRPr="00611EB8">
        <w:rPr>
          <w:rFonts w:asciiTheme="minorHAnsi" w:hAnsiTheme="minorHAnsi" w:cs="Arial"/>
          <w:color w:val="auto"/>
          <w:szCs w:val="24"/>
        </w:rPr>
        <w:t>ions were adjusted</w:t>
      </w:r>
      <w:r w:rsidR="009D306A" w:rsidRPr="00611EB8">
        <w:rPr>
          <w:rFonts w:asciiTheme="minorHAnsi" w:hAnsiTheme="minorHAnsi" w:cs="Arial"/>
          <w:color w:val="auto"/>
          <w:szCs w:val="24"/>
        </w:rPr>
        <w:t xml:space="preserve">. </w:t>
      </w:r>
      <w:r w:rsidR="00B14FDC" w:rsidRPr="00611EB8">
        <w:rPr>
          <w:rFonts w:asciiTheme="minorHAnsi" w:hAnsiTheme="minorHAnsi" w:cs="Arial"/>
          <w:color w:val="auto"/>
          <w:szCs w:val="24"/>
        </w:rPr>
        <w:t xml:space="preserve"> </w:t>
      </w:r>
      <w:r w:rsidR="009D306A" w:rsidRPr="00611EB8">
        <w:rPr>
          <w:rFonts w:asciiTheme="minorHAnsi" w:hAnsiTheme="minorHAnsi" w:cs="Arial"/>
          <w:color w:val="auto"/>
          <w:szCs w:val="24"/>
        </w:rPr>
        <w:t xml:space="preserve">By </w:t>
      </w:r>
      <w:r w:rsidR="00B14FDC" w:rsidRPr="00611EB8">
        <w:rPr>
          <w:rFonts w:asciiTheme="minorHAnsi" w:hAnsiTheme="minorHAnsi" w:cs="Arial"/>
          <w:color w:val="auto"/>
          <w:szCs w:val="24"/>
        </w:rPr>
        <w:t>December 2006</w:t>
      </w:r>
      <w:r w:rsidR="006932F5" w:rsidRPr="00611EB8">
        <w:rPr>
          <w:rFonts w:asciiTheme="minorHAnsi" w:hAnsiTheme="minorHAnsi" w:cs="Arial"/>
          <w:color w:val="auto"/>
          <w:szCs w:val="24"/>
        </w:rPr>
        <w:t xml:space="preserve"> </w:t>
      </w:r>
      <w:r w:rsidR="00B14FDC" w:rsidRPr="00611EB8">
        <w:rPr>
          <w:rFonts w:asciiTheme="minorHAnsi" w:hAnsiTheme="minorHAnsi" w:cs="Arial"/>
          <w:color w:val="auto"/>
          <w:szCs w:val="24"/>
        </w:rPr>
        <w:t xml:space="preserve">his </w:t>
      </w:r>
      <w:r w:rsidR="00EC1524" w:rsidRPr="00611EB8">
        <w:rPr>
          <w:rFonts w:asciiTheme="minorHAnsi" w:hAnsiTheme="minorHAnsi" w:cs="Arial"/>
          <w:color w:val="auto"/>
          <w:szCs w:val="24"/>
        </w:rPr>
        <w:t xml:space="preserve">psychiatric </w:t>
      </w:r>
      <w:r w:rsidR="00B14FDC" w:rsidRPr="00611EB8">
        <w:rPr>
          <w:rFonts w:asciiTheme="minorHAnsi" w:hAnsiTheme="minorHAnsi" w:cs="Arial"/>
          <w:color w:val="auto"/>
          <w:szCs w:val="24"/>
        </w:rPr>
        <w:t>sympt</w:t>
      </w:r>
      <w:r w:rsidR="009D306A" w:rsidRPr="00611EB8">
        <w:rPr>
          <w:rFonts w:asciiTheme="minorHAnsi" w:hAnsiTheme="minorHAnsi" w:cs="Arial"/>
          <w:color w:val="auto"/>
          <w:szCs w:val="24"/>
        </w:rPr>
        <w:t>oms had worsened</w:t>
      </w:r>
      <w:r w:rsidR="004713A6">
        <w:rPr>
          <w:rFonts w:asciiTheme="minorHAnsi" w:hAnsiTheme="minorHAnsi" w:cs="Arial"/>
          <w:color w:val="auto"/>
          <w:szCs w:val="24"/>
        </w:rPr>
        <w:t>,</w:t>
      </w:r>
      <w:r w:rsidR="009D306A" w:rsidRPr="00611EB8">
        <w:rPr>
          <w:rFonts w:asciiTheme="minorHAnsi" w:hAnsiTheme="minorHAnsi" w:cs="Arial"/>
          <w:color w:val="auto"/>
          <w:szCs w:val="24"/>
        </w:rPr>
        <w:t xml:space="preserve"> </w:t>
      </w:r>
      <w:r w:rsidR="00B411F9" w:rsidRPr="00611EB8">
        <w:rPr>
          <w:rFonts w:asciiTheme="minorHAnsi" w:hAnsiTheme="minorHAnsi" w:cs="Arial"/>
          <w:color w:val="auto"/>
          <w:szCs w:val="24"/>
        </w:rPr>
        <w:t>despite different medication trials</w:t>
      </w:r>
      <w:r w:rsidR="007C33D2" w:rsidRPr="00611EB8">
        <w:rPr>
          <w:rFonts w:asciiTheme="minorHAnsi" w:hAnsiTheme="minorHAnsi" w:cs="Arial"/>
          <w:color w:val="auto"/>
          <w:szCs w:val="24"/>
        </w:rPr>
        <w:t xml:space="preserve"> and psychotherapy</w:t>
      </w:r>
      <w:r w:rsidR="006932F5" w:rsidRPr="00611EB8">
        <w:rPr>
          <w:rFonts w:asciiTheme="minorHAnsi" w:hAnsiTheme="minorHAnsi" w:cs="Arial"/>
          <w:color w:val="auto"/>
          <w:szCs w:val="24"/>
        </w:rPr>
        <w:t xml:space="preserve">.  </w:t>
      </w:r>
      <w:r w:rsidR="00F11081" w:rsidRPr="00611EB8">
        <w:rPr>
          <w:rFonts w:asciiTheme="minorHAnsi" w:hAnsiTheme="minorHAnsi" w:cs="Arial"/>
          <w:color w:val="auto"/>
          <w:szCs w:val="24"/>
        </w:rPr>
        <w:t>By October 2007</w:t>
      </w:r>
      <w:r w:rsidR="00EC1524" w:rsidRPr="00611EB8">
        <w:rPr>
          <w:rFonts w:asciiTheme="minorHAnsi" w:hAnsiTheme="minorHAnsi" w:cs="Arial"/>
          <w:color w:val="auto"/>
          <w:szCs w:val="24"/>
        </w:rPr>
        <w:t xml:space="preserve">, </w:t>
      </w:r>
      <w:r w:rsidR="00F11081" w:rsidRPr="00611EB8">
        <w:rPr>
          <w:rFonts w:asciiTheme="minorHAnsi" w:hAnsiTheme="minorHAnsi" w:cs="Arial"/>
          <w:color w:val="auto"/>
          <w:szCs w:val="24"/>
        </w:rPr>
        <w:t xml:space="preserve">the CI’s symptoms </w:t>
      </w:r>
      <w:r w:rsidR="00DE0E1F" w:rsidRPr="00611EB8">
        <w:rPr>
          <w:rFonts w:asciiTheme="minorHAnsi" w:hAnsiTheme="minorHAnsi" w:cs="Arial"/>
          <w:color w:val="auto"/>
          <w:szCs w:val="24"/>
        </w:rPr>
        <w:t xml:space="preserve">now </w:t>
      </w:r>
      <w:r w:rsidR="00F11081" w:rsidRPr="00611EB8">
        <w:rPr>
          <w:rFonts w:asciiTheme="minorHAnsi" w:hAnsiTheme="minorHAnsi" w:cs="Arial"/>
          <w:color w:val="auto"/>
          <w:szCs w:val="24"/>
        </w:rPr>
        <w:t>consisted of anxiety, insomnia, irritability, decreased e</w:t>
      </w:r>
      <w:r w:rsidR="006932F5" w:rsidRPr="00611EB8">
        <w:rPr>
          <w:rFonts w:asciiTheme="minorHAnsi" w:hAnsiTheme="minorHAnsi" w:cs="Arial"/>
          <w:color w:val="auto"/>
          <w:szCs w:val="24"/>
        </w:rPr>
        <w:t>nergy, decreased concentration</w:t>
      </w:r>
      <w:r w:rsidR="00EC1524" w:rsidRPr="00611EB8">
        <w:rPr>
          <w:rFonts w:asciiTheme="minorHAnsi" w:hAnsiTheme="minorHAnsi" w:cs="Arial"/>
          <w:color w:val="auto"/>
          <w:szCs w:val="24"/>
        </w:rPr>
        <w:t>,</w:t>
      </w:r>
      <w:r w:rsidR="00C63B70">
        <w:rPr>
          <w:rFonts w:asciiTheme="minorHAnsi" w:hAnsiTheme="minorHAnsi" w:cs="Arial"/>
          <w:color w:val="auto"/>
          <w:szCs w:val="24"/>
        </w:rPr>
        <w:t xml:space="preserve"> and</w:t>
      </w:r>
      <w:r w:rsidR="00EC1524" w:rsidRPr="00611EB8">
        <w:rPr>
          <w:rFonts w:asciiTheme="minorHAnsi" w:hAnsiTheme="minorHAnsi" w:cs="Arial"/>
          <w:color w:val="auto"/>
          <w:szCs w:val="24"/>
        </w:rPr>
        <w:t xml:space="preserve"> </w:t>
      </w:r>
      <w:r w:rsidR="006932F5" w:rsidRPr="00611EB8">
        <w:rPr>
          <w:rFonts w:asciiTheme="minorHAnsi" w:hAnsiTheme="minorHAnsi" w:cs="Arial"/>
          <w:color w:val="auto"/>
          <w:szCs w:val="24"/>
        </w:rPr>
        <w:t xml:space="preserve">fear of crowds.  </w:t>
      </w:r>
      <w:r w:rsidR="00C63B70">
        <w:rPr>
          <w:rFonts w:asciiTheme="minorHAnsi" w:hAnsiTheme="minorHAnsi" w:cs="Arial"/>
          <w:color w:val="auto"/>
          <w:szCs w:val="24"/>
        </w:rPr>
        <w:t>D</w:t>
      </w:r>
      <w:r w:rsidR="00EC1524" w:rsidRPr="00611EB8">
        <w:rPr>
          <w:rFonts w:asciiTheme="minorHAnsi" w:hAnsiTheme="minorHAnsi" w:cs="Arial"/>
          <w:color w:val="auto"/>
          <w:szCs w:val="24"/>
        </w:rPr>
        <w:t xml:space="preserve">ue to </w:t>
      </w:r>
      <w:r w:rsidR="004713A6">
        <w:rPr>
          <w:rFonts w:asciiTheme="minorHAnsi" w:hAnsiTheme="minorHAnsi" w:cs="Arial"/>
          <w:color w:val="auto"/>
          <w:szCs w:val="24"/>
        </w:rPr>
        <w:t xml:space="preserve">his </w:t>
      </w:r>
      <w:r w:rsidR="00EC1524" w:rsidRPr="00611EB8">
        <w:rPr>
          <w:rFonts w:asciiTheme="minorHAnsi" w:hAnsiTheme="minorHAnsi" w:cs="Arial"/>
          <w:color w:val="auto"/>
          <w:szCs w:val="24"/>
        </w:rPr>
        <w:t xml:space="preserve">persistent symptoms, </w:t>
      </w:r>
      <w:r w:rsidR="006932F5" w:rsidRPr="00611EB8">
        <w:rPr>
          <w:rFonts w:asciiTheme="minorHAnsi" w:hAnsiTheme="minorHAnsi" w:cs="Arial"/>
          <w:color w:val="auto"/>
          <w:szCs w:val="24"/>
        </w:rPr>
        <w:t xml:space="preserve">an MEB was initiated.  </w:t>
      </w:r>
    </w:p>
    <w:p w:rsidR="00A758C5" w:rsidRDefault="00A758C5" w:rsidP="00660807">
      <w:pPr>
        <w:autoSpaceDE w:val="0"/>
        <w:autoSpaceDN w:val="0"/>
        <w:adjustRightInd w:val="0"/>
        <w:spacing w:line="240" w:lineRule="exact"/>
        <w:jc w:val="both"/>
        <w:rPr>
          <w:rFonts w:asciiTheme="minorHAnsi" w:hAnsiTheme="minorHAnsi" w:cs="Arial"/>
          <w:color w:val="auto"/>
          <w:szCs w:val="24"/>
        </w:rPr>
      </w:pPr>
    </w:p>
    <w:p w:rsidR="0011666B" w:rsidRPr="00A758C5" w:rsidRDefault="00F11081" w:rsidP="00660807">
      <w:pPr>
        <w:autoSpaceDE w:val="0"/>
        <w:autoSpaceDN w:val="0"/>
        <w:adjustRightInd w:val="0"/>
        <w:spacing w:line="240" w:lineRule="exact"/>
        <w:jc w:val="both"/>
        <w:rPr>
          <w:rFonts w:asciiTheme="minorHAnsi" w:hAnsiTheme="minorHAnsi" w:cs="Arial"/>
          <w:color w:val="auto"/>
          <w:szCs w:val="24"/>
        </w:rPr>
      </w:pPr>
      <w:r w:rsidRPr="008C4B73">
        <w:rPr>
          <w:rFonts w:asciiTheme="minorHAnsi" w:hAnsiTheme="minorHAnsi" w:cs="Arial"/>
          <w:color w:val="auto"/>
          <w:szCs w:val="24"/>
        </w:rPr>
        <w:t xml:space="preserve">At </w:t>
      </w:r>
      <w:r w:rsidR="00077151" w:rsidRPr="008C4B73">
        <w:rPr>
          <w:rFonts w:asciiTheme="minorHAnsi" w:hAnsiTheme="minorHAnsi" w:cs="Arial"/>
          <w:color w:val="auto"/>
          <w:szCs w:val="24"/>
        </w:rPr>
        <w:t>the time of his MEB psych</w:t>
      </w:r>
      <w:r w:rsidR="00C63B70">
        <w:rPr>
          <w:rFonts w:asciiTheme="minorHAnsi" w:hAnsiTheme="minorHAnsi" w:cs="Arial"/>
          <w:color w:val="auto"/>
          <w:szCs w:val="24"/>
        </w:rPr>
        <w:t>ological</w:t>
      </w:r>
      <w:r w:rsidR="00077151" w:rsidRPr="008C4B73">
        <w:rPr>
          <w:rFonts w:asciiTheme="minorHAnsi" w:hAnsiTheme="minorHAnsi" w:cs="Arial"/>
          <w:color w:val="auto"/>
          <w:szCs w:val="24"/>
        </w:rPr>
        <w:t xml:space="preserve"> exam </w:t>
      </w:r>
      <w:r w:rsidR="004713A6">
        <w:rPr>
          <w:rFonts w:asciiTheme="minorHAnsi" w:hAnsiTheme="minorHAnsi" w:cs="Arial"/>
          <w:color w:val="auto"/>
          <w:szCs w:val="24"/>
        </w:rPr>
        <w:t xml:space="preserve">in </w:t>
      </w:r>
      <w:r w:rsidR="00211739">
        <w:rPr>
          <w:rFonts w:asciiTheme="minorHAnsi" w:hAnsiTheme="minorHAnsi" w:cs="Arial"/>
          <w:color w:val="auto"/>
          <w:szCs w:val="24"/>
        </w:rPr>
        <w:t>November</w:t>
      </w:r>
      <w:r w:rsidR="009716E5" w:rsidRPr="008C4B73">
        <w:rPr>
          <w:rFonts w:asciiTheme="minorHAnsi" w:hAnsiTheme="minorHAnsi" w:cs="Arial"/>
          <w:color w:val="auto"/>
          <w:szCs w:val="24"/>
        </w:rPr>
        <w:t xml:space="preserve"> 2007</w:t>
      </w:r>
      <w:r w:rsidR="004713A6">
        <w:rPr>
          <w:rFonts w:asciiTheme="minorHAnsi" w:hAnsiTheme="minorHAnsi" w:cs="Arial"/>
          <w:color w:val="auto"/>
          <w:szCs w:val="24"/>
        </w:rPr>
        <w:t>,</w:t>
      </w:r>
      <w:r w:rsidR="00077151" w:rsidRPr="008C4B73">
        <w:rPr>
          <w:rFonts w:asciiTheme="minorHAnsi" w:hAnsiTheme="minorHAnsi" w:cs="Arial"/>
          <w:color w:val="auto"/>
          <w:szCs w:val="24"/>
        </w:rPr>
        <w:t xml:space="preserve"> the </w:t>
      </w:r>
      <w:r w:rsidR="00C63B70">
        <w:rPr>
          <w:rFonts w:asciiTheme="minorHAnsi" w:hAnsiTheme="minorHAnsi" w:cs="Arial"/>
          <w:color w:val="auto"/>
          <w:szCs w:val="24"/>
        </w:rPr>
        <w:t>CI reported his</w:t>
      </w:r>
      <w:r w:rsidR="009716E5" w:rsidRPr="00611EB8">
        <w:rPr>
          <w:rFonts w:asciiTheme="minorHAnsi" w:hAnsiTheme="minorHAnsi" w:cs="Arial"/>
          <w:color w:val="auto"/>
          <w:szCs w:val="24"/>
        </w:rPr>
        <w:t xml:space="preserve"> medication “only takes the edge off</w:t>
      </w:r>
      <w:r w:rsidR="004713A6">
        <w:rPr>
          <w:rFonts w:asciiTheme="minorHAnsi" w:hAnsiTheme="minorHAnsi" w:cs="Arial"/>
          <w:color w:val="auto"/>
          <w:szCs w:val="24"/>
        </w:rPr>
        <w:t>,</w:t>
      </w:r>
      <w:r w:rsidR="009716E5" w:rsidRPr="00611EB8">
        <w:rPr>
          <w:rFonts w:asciiTheme="minorHAnsi" w:hAnsiTheme="minorHAnsi" w:cs="Arial"/>
          <w:color w:val="auto"/>
          <w:szCs w:val="24"/>
        </w:rPr>
        <w:t xml:space="preserve">” but helps control his irritability and anxiety.  </w:t>
      </w:r>
      <w:r w:rsidR="006932F5" w:rsidRPr="00611EB8">
        <w:rPr>
          <w:rFonts w:asciiTheme="minorHAnsi" w:hAnsiTheme="minorHAnsi" w:cs="Arial"/>
          <w:color w:val="auto"/>
          <w:szCs w:val="24"/>
        </w:rPr>
        <w:t>The CI reported occasional panic-like attacks</w:t>
      </w:r>
      <w:r w:rsidR="004713A6">
        <w:rPr>
          <w:rFonts w:asciiTheme="minorHAnsi" w:hAnsiTheme="minorHAnsi" w:cs="Arial"/>
          <w:color w:val="auto"/>
          <w:szCs w:val="24"/>
        </w:rPr>
        <w:t>,</w:t>
      </w:r>
      <w:r w:rsidR="006932F5" w:rsidRPr="00611EB8">
        <w:rPr>
          <w:rFonts w:asciiTheme="minorHAnsi" w:hAnsiTheme="minorHAnsi" w:cs="Arial"/>
          <w:color w:val="auto"/>
          <w:szCs w:val="24"/>
        </w:rPr>
        <w:t xml:space="preserve"> described as periods of intense anger, shortness of breath, twitching of the r</w:t>
      </w:r>
      <w:r w:rsidR="00FE2037">
        <w:rPr>
          <w:rFonts w:asciiTheme="minorHAnsi" w:hAnsiTheme="minorHAnsi" w:cs="Arial"/>
          <w:color w:val="auto"/>
          <w:szCs w:val="24"/>
        </w:rPr>
        <w:t>ight eye, and light</w:t>
      </w:r>
      <w:r w:rsidR="00C63B70">
        <w:rPr>
          <w:rFonts w:asciiTheme="minorHAnsi" w:hAnsiTheme="minorHAnsi" w:cs="Arial"/>
          <w:color w:val="auto"/>
          <w:szCs w:val="24"/>
        </w:rPr>
        <w:t>-</w:t>
      </w:r>
      <w:r w:rsidR="00FE2037">
        <w:rPr>
          <w:rFonts w:asciiTheme="minorHAnsi" w:hAnsiTheme="minorHAnsi" w:cs="Arial"/>
          <w:color w:val="auto"/>
          <w:szCs w:val="24"/>
        </w:rPr>
        <w:t xml:space="preserve">headedness.  </w:t>
      </w:r>
      <w:r w:rsidR="006932F5" w:rsidRPr="00611EB8">
        <w:rPr>
          <w:rFonts w:asciiTheme="minorHAnsi" w:hAnsiTheme="minorHAnsi" w:cs="Arial"/>
          <w:color w:val="auto"/>
          <w:szCs w:val="24"/>
        </w:rPr>
        <w:t>He also reported a decrease in frustration tolerance an</w:t>
      </w:r>
      <w:r w:rsidR="007C33D2" w:rsidRPr="00611EB8">
        <w:rPr>
          <w:rFonts w:asciiTheme="minorHAnsi" w:hAnsiTheme="minorHAnsi" w:cs="Arial"/>
          <w:color w:val="auto"/>
          <w:szCs w:val="24"/>
        </w:rPr>
        <w:t>d that he angered</w:t>
      </w:r>
      <w:r w:rsidR="006932F5" w:rsidRPr="00611EB8">
        <w:rPr>
          <w:rFonts w:asciiTheme="minorHAnsi" w:hAnsiTheme="minorHAnsi" w:cs="Arial"/>
          <w:color w:val="auto"/>
          <w:szCs w:val="24"/>
        </w:rPr>
        <w:t xml:space="preserve"> quickly.  The CI stated that he was </w:t>
      </w:r>
      <w:r w:rsidR="006932F5" w:rsidRPr="003C169C">
        <w:rPr>
          <w:rFonts w:asciiTheme="minorHAnsi" w:hAnsiTheme="minorHAnsi" w:cs="Arial"/>
          <w:color w:val="auto"/>
          <w:szCs w:val="24"/>
        </w:rPr>
        <w:t>concerned about acting on his anger</w:t>
      </w:r>
      <w:r w:rsidR="006932F5" w:rsidRPr="00611EB8">
        <w:rPr>
          <w:rFonts w:asciiTheme="minorHAnsi" w:hAnsiTheme="minorHAnsi" w:cs="Arial"/>
          <w:color w:val="auto"/>
          <w:szCs w:val="24"/>
        </w:rPr>
        <w:t>, but he had been able to manage it thus far.  Th</w:t>
      </w:r>
      <w:r w:rsidR="00C63B70">
        <w:rPr>
          <w:rFonts w:asciiTheme="minorHAnsi" w:hAnsiTheme="minorHAnsi" w:cs="Arial"/>
          <w:color w:val="auto"/>
          <w:szCs w:val="24"/>
        </w:rPr>
        <w:t xml:space="preserve">e CI denied any </w:t>
      </w:r>
      <w:r w:rsidR="006932F5" w:rsidRPr="00611EB8">
        <w:rPr>
          <w:rFonts w:asciiTheme="minorHAnsi" w:hAnsiTheme="minorHAnsi" w:cs="Arial"/>
          <w:color w:val="auto"/>
          <w:szCs w:val="24"/>
        </w:rPr>
        <w:t xml:space="preserve">hallucinations or significant paranoid ideation.  He also denied symptoms </w:t>
      </w:r>
      <w:r w:rsidR="00C63B70">
        <w:rPr>
          <w:rFonts w:asciiTheme="minorHAnsi" w:hAnsiTheme="minorHAnsi" w:cs="Arial"/>
          <w:color w:val="auto"/>
          <w:szCs w:val="24"/>
        </w:rPr>
        <w:t>of</w:t>
      </w:r>
      <w:r w:rsidR="006932F5" w:rsidRPr="00611EB8">
        <w:rPr>
          <w:rFonts w:asciiTheme="minorHAnsi" w:hAnsiTheme="minorHAnsi" w:cs="Arial"/>
          <w:color w:val="auto"/>
          <w:szCs w:val="24"/>
        </w:rPr>
        <w:t xml:space="preserve"> depression</w:t>
      </w:r>
      <w:r w:rsidR="00C63B70">
        <w:rPr>
          <w:rFonts w:asciiTheme="minorHAnsi" w:hAnsiTheme="minorHAnsi" w:cs="Arial"/>
          <w:color w:val="auto"/>
          <w:szCs w:val="24"/>
        </w:rPr>
        <w:t>,</w:t>
      </w:r>
      <w:r w:rsidR="006932F5" w:rsidRPr="00611EB8">
        <w:rPr>
          <w:rFonts w:asciiTheme="minorHAnsi" w:hAnsiTheme="minorHAnsi" w:cs="Arial"/>
          <w:color w:val="auto"/>
          <w:szCs w:val="24"/>
        </w:rPr>
        <w:t xml:space="preserve"> aside from sleep onset insomnia. </w:t>
      </w:r>
      <w:r w:rsidR="00066CF5" w:rsidRPr="00611EB8">
        <w:rPr>
          <w:rFonts w:asciiTheme="minorHAnsi" w:hAnsiTheme="minorHAnsi" w:cs="Arial"/>
          <w:color w:val="auto"/>
          <w:szCs w:val="24"/>
        </w:rPr>
        <w:t xml:space="preserve"> </w:t>
      </w:r>
      <w:r w:rsidR="006932F5" w:rsidRPr="00611EB8">
        <w:rPr>
          <w:rFonts w:asciiTheme="minorHAnsi" w:hAnsiTheme="minorHAnsi" w:cs="Arial"/>
          <w:color w:val="auto"/>
          <w:szCs w:val="24"/>
        </w:rPr>
        <w:t xml:space="preserve">The CI denied symptoms consistent with mania and </w:t>
      </w:r>
      <w:r w:rsidR="00705857" w:rsidRPr="00611EB8">
        <w:rPr>
          <w:rFonts w:asciiTheme="minorHAnsi" w:hAnsiTheme="minorHAnsi" w:cs="Arial"/>
          <w:color w:val="auto"/>
          <w:szCs w:val="24"/>
        </w:rPr>
        <w:t>had</w:t>
      </w:r>
      <w:r w:rsidR="006932F5" w:rsidRPr="00611EB8">
        <w:rPr>
          <w:rFonts w:asciiTheme="minorHAnsi" w:hAnsiTheme="minorHAnsi" w:cs="Arial"/>
          <w:color w:val="auto"/>
          <w:szCs w:val="24"/>
        </w:rPr>
        <w:t xml:space="preserve"> never been suicidal.  </w:t>
      </w:r>
      <w:r w:rsidR="009716E5" w:rsidRPr="00611EB8">
        <w:rPr>
          <w:rFonts w:asciiTheme="minorHAnsi" w:hAnsiTheme="minorHAnsi" w:cs="Arial"/>
          <w:color w:val="auto"/>
          <w:szCs w:val="24"/>
        </w:rPr>
        <w:t>On mental status exam</w:t>
      </w:r>
      <w:r w:rsidR="005039DF">
        <w:rPr>
          <w:rFonts w:asciiTheme="minorHAnsi" w:hAnsiTheme="minorHAnsi" w:cs="Arial"/>
          <w:color w:val="auto"/>
          <w:szCs w:val="24"/>
        </w:rPr>
        <w:t xml:space="preserve"> (MSE)</w:t>
      </w:r>
      <w:r w:rsidR="000D2A3A">
        <w:rPr>
          <w:rFonts w:asciiTheme="minorHAnsi" w:hAnsiTheme="minorHAnsi" w:cs="Arial"/>
          <w:color w:val="auto"/>
          <w:szCs w:val="24"/>
        </w:rPr>
        <w:t xml:space="preserve"> </w:t>
      </w:r>
      <w:r w:rsidR="00C63B70">
        <w:rPr>
          <w:rFonts w:asciiTheme="minorHAnsi" w:hAnsiTheme="minorHAnsi" w:cs="Arial"/>
          <w:color w:val="auto"/>
          <w:szCs w:val="24"/>
        </w:rPr>
        <w:t xml:space="preserve">there was </w:t>
      </w:r>
      <w:r w:rsidR="009716E5" w:rsidRPr="00611EB8">
        <w:rPr>
          <w:rFonts w:asciiTheme="minorHAnsi" w:hAnsiTheme="minorHAnsi" w:cs="Arial"/>
          <w:color w:val="auto"/>
          <w:szCs w:val="24"/>
        </w:rPr>
        <w:t>no evidence of psychomotor disturbance</w:t>
      </w:r>
      <w:r w:rsidR="00C63B70">
        <w:rPr>
          <w:rFonts w:asciiTheme="minorHAnsi" w:hAnsiTheme="minorHAnsi" w:cs="Arial"/>
          <w:color w:val="auto"/>
          <w:szCs w:val="24"/>
        </w:rPr>
        <w:t xml:space="preserve">.  His </w:t>
      </w:r>
      <w:r w:rsidR="009716E5" w:rsidRPr="00611EB8">
        <w:rPr>
          <w:rFonts w:asciiTheme="minorHAnsi" w:hAnsiTheme="minorHAnsi" w:cs="Arial"/>
          <w:color w:val="auto"/>
          <w:szCs w:val="24"/>
        </w:rPr>
        <w:t xml:space="preserve">behavior was cooperative, respectful and pleasant.  </w:t>
      </w:r>
      <w:r w:rsidR="00C63B70">
        <w:rPr>
          <w:rFonts w:asciiTheme="minorHAnsi" w:hAnsiTheme="minorHAnsi" w:cs="Arial"/>
          <w:color w:val="auto"/>
          <w:szCs w:val="24"/>
        </w:rPr>
        <w:t>A</w:t>
      </w:r>
      <w:r w:rsidR="009716E5" w:rsidRPr="00611EB8">
        <w:rPr>
          <w:rFonts w:asciiTheme="minorHAnsi" w:hAnsiTheme="minorHAnsi" w:cs="Arial"/>
          <w:color w:val="auto"/>
          <w:szCs w:val="24"/>
        </w:rPr>
        <w:t>ffect was congruent, appropriate</w:t>
      </w:r>
      <w:r w:rsidR="00705857" w:rsidRPr="00611EB8">
        <w:rPr>
          <w:rFonts w:asciiTheme="minorHAnsi" w:hAnsiTheme="minorHAnsi" w:cs="Arial"/>
          <w:color w:val="auto"/>
          <w:szCs w:val="24"/>
        </w:rPr>
        <w:t>,</w:t>
      </w:r>
      <w:r w:rsidR="009716E5" w:rsidRPr="00611EB8">
        <w:rPr>
          <w:rFonts w:asciiTheme="minorHAnsi" w:hAnsiTheme="minorHAnsi" w:cs="Arial"/>
          <w:color w:val="auto"/>
          <w:szCs w:val="24"/>
        </w:rPr>
        <w:t xml:space="preserve"> but anxious.  His mood was “frustrated</w:t>
      </w:r>
      <w:r w:rsidR="000D2A3A">
        <w:rPr>
          <w:rFonts w:asciiTheme="minorHAnsi" w:hAnsiTheme="minorHAnsi" w:cs="Arial"/>
          <w:color w:val="auto"/>
          <w:szCs w:val="24"/>
        </w:rPr>
        <w:t>.</w:t>
      </w:r>
      <w:r w:rsidR="009716E5" w:rsidRPr="00611EB8">
        <w:rPr>
          <w:rFonts w:asciiTheme="minorHAnsi" w:hAnsiTheme="minorHAnsi" w:cs="Arial"/>
          <w:color w:val="auto"/>
          <w:szCs w:val="24"/>
        </w:rPr>
        <w:t>”</w:t>
      </w:r>
      <w:r w:rsidR="000D2A3A">
        <w:rPr>
          <w:rFonts w:asciiTheme="minorHAnsi" w:hAnsiTheme="minorHAnsi" w:cs="Arial"/>
          <w:color w:val="auto"/>
          <w:szCs w:val="24"/>
        </w:rPr>
        <w:t xml:space="preserve">  T</w:t>
      </w:r>
      <w:r w:rsidR="009716E5" w:rsidRPr="00611EB8">
        <w:rPr>
          <w:rFonts w:asciiTheme="minorHAnsi" w:hAnsiTheme="minorHAnsi" w:cs="Arial"/>
          <w:color w:val="auto"/>
          <w:szCs w:val="24"/>
        </w:rPr>
        <w:t>hought processes and thought conte</w:t>
      </w:r>
      <w:r w:rsidR="000D2A3A">
        <w:rPr>
          <w:rFonts w:asciiTheme="minorHAnsi" w:hAnsiTheme="minorHAnsi" w:cs="Arial"/>
          <w:color w:val="auto"/>
          <w:szCs w:val="24"/>
        </w:rPr>
        <w:t>nt were normal.  C</w:t>
      </w:r>
      <w:r w:rsidR="009716E5" w:rsidRPr="00611EB8">
        <w:rPr>
          <w:rFonts w:asciiTheme="minorHAnsi" w:hAnsiTheme="minorHAnsi" w:cs="Arial"/>
          <w:color w:val="auto"/>
          <w:szCs w:val="24"/>
        </w:rPr>
        <w:t>oncentration and memory were intact</w:t>
      </w:r>
      <w:r w:rsidR="000D2A3A">
        <w:rPr>
          <w:rFonts w:asciiTheme="minorHAnsi" w:hAnsiTheme="minorHAnsi" w:cs="Arial"/>
          <w:color w:val="auto"/>
          <w:szCs w:val="24"/>
        </w:rPr>
        <w:t>,</w:t>
      </w:r>
      <w:r w:rsidR="009716E5" w:rsidRPr="00611EB8">
        <w:rPr>
          <w:rFonts w:asciiTheme="minorHAnsi" w:hAnsiTheme="minorHAnsi" w:cs="Arial"/>
          <w:color w:val="auto"/>
          <w:szCs w:val="24"/>
        </w:rPr>
        <w:t xml:space="preserve"> and he had good judgment</w:t>
      </w:r>
      <w:r w:rsidR="000D2A3A">
        <w:rPr>
          <w:rFonts w:asciiTheme="minorHAnsi" w:hAnsiTheme="minorHAnsi" w:cs="Arial"/>
          <w:color w:val="auto"/>
          <w:szCs w:val="24"/>
        </w:rPr>
        <w:t>/</w:t>
      </w:r>
      <w:r w:rsidR="009716E5" w:rsidRPr="00611EB8">
        <w:rPr>
          <w:rFonts w:asciiTheme="minorHAnsi" w:hAnsiTheme="minorHAnsi" w:cs="Arial"/>
          <w:color w:val="auto"/>
          <w:szCs w:val="24"/>
        </w:rPr>
        <w:t xml:space="preserve">insight.  His impulse control was intact and there were no suicidal or homicidal ideations.  </w:t>
      </w:r>
      <w:r w:rsidR="00EC1524" w:rsidRPr="00611EB8">
        <w:rPr>
          <w:rFonts w:asciiTheme="minorHAnsi" w:hAnsiTheme="minorHAnsi" w:cs="Arial"/>
          <w:color w:val="auto"/>
          <w:szCs w:val="24"/>
        </w:rPr>
        <w:t xml:space="preserve">The </w:t>
      </w:r>
      <w:r w:rsidR="004713A6">
        <w:rPr>
          <w:rFonts w:asciiTheme="minorHAnsi" w:hAnsiTheme="minorHAnsi" w:cs="Arial"/>
          <w:color w:val="auto"/>
          <w:szCs w:val="24"/>
        </w:rPr>
        <w:t>g</w:t>
      </w:r>
      <w:r w:rsidR="00EC1524" w:rsidRPr="00611EB8">
        <w:rPr>
          <w:rFonts w:asciiTheme="minorHAnsi" w:hAnsiTheme="minorHAnsi" w:cs="Arial"/>
          <w:color w:val="auto"/>
          <w:szCs w:val="24"/>
        </w:rPr>
        <w:t xml:space="preserve">lobal </w:t>
      </w:r>
      <w:r w:rsidR="004713A6">
        <w:rPr>
          <w:rFonts w:asciiTheme="minorHAnsi" w:hAnsiTheme="minorHAnsi" w:cs="Arial"/>
          <w:color w:val="auto"/>
          <w:szCs w:val="24"/>
        </w:rPr>
        <w:t>a</w:t>
      </w:r>
      <w:r w:rsidR="00EC1524" w:rsidRPr="00611EB8">
        <w:rPr>
          <w:rFonts w:asciiTheme="minorHAnsi" w:hAnsiTheme="minorHAnsi" w:cs="Arial"/>
          <w:color w:val="auto"/>
          <w:szCs w:val="24"/>
        </w:rPr>
        <w:t xml:space="preserve">ssessment of </w:t>
      </w:r>
      <w:r w:rsidR="004713A6">
        <w:rPr>
          <w:rFonts w:asciiTheme="minorHAnsi" w:hAnsiTheme="minorHAnsi" w:cs="Arial"/>
          <w:color w:val="auto"/>
          <w:szCs w:val="24"/>
        </w:rPr>
        <w:t>f</w:t>
      </w:r>
      <w:r w:rsidR="00EC1524" w:rsidRPr="00611EB8">
        <w:rPr>
          <w:rFonts w:asciiTheme="minorHAnsi" w:hAnsiTheme="minorHAnsi" w:cs="Arial"/>
          <w:color w:val="auto"/>
          <w:szCs w:val="24"/>
        </w:rPr>
        <w:t xml:space="preserve">unctioning </w:t>
      </w:r>
      <w:r w:rsidR="00EC1524" w:rsidRPr="003C169C">
        <w:rPr>
          <w:rFonts w:asciiTheme="minorHAnsi" w:hAnsiTheme="minorHAnsi" w:cs="Arial"/>
          <w:color w:val="auto"/>
          <w:szCs w:val="24"/>
        </w:rPr>
        <w:t xml:space="preserve">(GAF) was 51-60, </w:t>
      </w:r>
      <w:r w:rsidR="000D2A3A" w:rsidRPr="003C169C">
        <w:rPr>
          <w:rFonts w:asciiTheme="minorHAnsi" w:hAnsiTheme="minorHAnsi" w:cs="Arial"/>
          <w:color w:val="auto"/>
          <w:szCs w:val="24"/>
        </w:rPr>
        <w:t xml:space="preserve">indicating </w:t>
      </w:r>
      <w:r w:rsidR="00EC1524" w:rsidRPr="003C169C">
        <w:rPr>
          <w:rFonts w:asciiTheme="minorHAnsi" w:hAnsiTheme="minorHAnsi" w:cs="Arial"/>
          <w:color w:val="auto"/>
          <w:szCs w:val="24"/>
        </w:rPr>
        <w:t>moderate difficulty in social</w:t>
      </w:r>
      <w:r w:rsidR="00C630BB" w:rsidRPr="003C169C">
        <w:rPr>
          <w:rFonts w:asciiTheme="minorHAnsi" w:hAnsiTheme="minorHAnsi" w:cs="Arial"/>
          <w:color w:val="auto"/>
          <w:szCs w:val="24"/>
        </w:rPr>
        <w:t xml:space="preserve"> </w:t>
      </w:r>
      <w:r w:rsidR="00EE4BC3">
        <w:rPr>
          <w:rFonts w:asciiTheme="minorHAnsi" w:hAnsiTheme="minorHAnsi" w:cs="Arial"/>
          <w:color w:val="auto"/>
          <w:szCs w:val="24"/>
        </w:rPr>
        <w:t>or</w:t>
      </w:r>
      <w:r w:rsidR="00C630BB" w:rsidRPr="003C169C">
        <w:rPr>
          <w:rFonts w:asciiTheme="minorHAnsi" w:hAnsiTheme="minorHAnsi" w:cs="Arial"/>
          <w:color w:val="auto"/>
          <w:szCs w:val="24"/>
        </w:rPr>
        <w:t xml:space="preserve"> occupational functioning.</w:t>
      </w:r>
      <w:r w:rsidR="00C630BB" w:rsidRPr="00611EB8">
        <w:rPr>
          <w:rFonts w:asciiTheme="minorHAnsi" w:hAnsiTheme="minorHAnsi" w:cs="Arial"/>
          <w:color w:val="auto"/>
          <w:szCs w:val="24"/>
        </w:rPr>
        <w:t xml:space="preserve">  </w:t>
      </w:r>
      <w:r w:rsidR="00EC1524" w:rsidRPr="00611EB8">
        <w:rPr>
          <w:rFonts w:asciiTheme="minorHAnsi" w:hAnsiTheme="minorHAnsi" w:cs="Arial"/>
          <w:color w:val="auto"/>
          <w:szCs w:val="24"/>
        </w:rPr>
        <w:t xml:space="preserve">PTSD was found to be medically unacceptable by the MEB and was forwarded to the PEB.  The </w:t>
      </w:r>
      <w:r w:rsidR="00C63B70">
        <w:rPr>
          <w:rFonts w:asciiTheme="minorHAnsi" w:hAnsiTheme="minorHAnsi" w:cs="Arial"/>
          <w:color w:val="auto"/>
          <w:szCs w:val="24"/>
        </w:rPr>
        <w:t>PEB</w:t>
      </w:r>
      <w:r w:rsidR="004713A6">
        <w:rPr>
          <w:rFonts w:asciiTheme="minorHAnsi" w:hAnsiTheme="minorHAnsi" w:cs="Arial"/>
          <w:color w:val="auto"/>
          <w:szCs w:val="24"/>
        </w:rPr>
        <w:t xml:space="preserve"> in </w:t>
      </w:r>
      <w:r w:rsidR="005C1049" w:rsidRPr="00611EB8">
        <w:rPr>
          <w:rFonts w:asciiTheme="minorHAnsi" w:hAnsiTheme="minorHAnsi" w:cs="Arial"/>
          <w:color w:val="auto"/>
          <w:szCs w:val="24"/>
        </w:rPr>
        <w:t>Jan</w:t>
      </w:r>
      <w:r w:rsidR="00211739">
        <w:rPr>
          <w:rFonts w:asciiTheme="minorHAnsi" w:hAnsiTheme="minorHAnsi" w:cs="Arial"/>
          <w:color w:val="auto"/>
          <w:szCs w:val="24"/>
        </w:rPr>
        <w:t>uary</w:t>
      </w:r>
      <w:r w:rsidR="005C1049" w:rsidRPr="00611EB8">
        <w:rPr>
          <w:rFonts w:asciiTheme="minorHAnsi" w:hAnsiTheme="minorHAnsi" w:cs="Arial"/>
          <w:color w:val="auto"/>
          <w:szCs w:val="24"/>
        </w:rPr>
        <w:t xml:space="preserve"> 2008 changed the primary </w:t>
      </w:r>
      <w:r w:rsidR="000D2A3A">
        <w:rPr>
          <w:rFonts w:asciiTheme="minorHAnsi" w:hAnsiTheme="minorHAnsi" w:cs="Arial"/>
          <w:color w:val="auto"/>
          <w:szCs w:val="24"/>
        </w:rPr>
        <w:t xml:space="preserve">MH </w:t>
      </w:r>
      <w:r w:rsidR="00211739">
        <w:rPr>
          <w:rFonts w:asciiTheme="minorHAnsi" w:hAnsiTheme="minorHAnsi" w:cs="Arial"/>
          <w:color w:val="auto"/>
          <w:szCs w:val="24"/>
        </w:rPr>
        <w:t xml:space="preserve">diagnosis to </w:t>
      </w:r>
      <w:r w:rsidR="005039DF">
        <w:rPr>
          <w:rFonts w:asciiTheme="minorHAnsi" w:hAnsiTheme="minorHAnsi" w:cs="Arial"/>
          <w:color w:val="auto"/>
          <w:szCs w:val="24"/>
        </w:rPr>
        <w:t>a</w:t>
      </w:r>
      <w:r w:rsidR="00211739">
        <w:rPr>
          <w:rFonts w:asciiTheme="minorHAnsi" w:hAnsiTheme="minorHAnsi" w:cs="Arial"/>
          <w:color w:val="auto"/>
          <w:szCs w:val="24"/>
        </w:rPr>
        <w:t>nxiety d</w:t>
      </w:r>
      <w:r w:rsidR="005C1049" w:rsidRPr="00611EB8">
        <w:rPr>
          <w:rFonts w:asciiTheme="minorHAnsi" w:hAnsiTheme="minorHAnsi" w:cs="Arial"/>
          <w:color w:val="auto"/>
          <w:szCs w:val="24"/>
        </w:rPr>
        <w:t>isorder</w:t>
      </w:r>
      <w:r w:rsidR="00A758C5">
        <w:rPr>
          <w:rFonts w:asciiTheme="minorHAnsi" w:hAnsiTheme="minorHAnsi" w:cs="Arial"/>
          <w:color w:val="auto"/>
          <w:szCs w:val="24"/>
        </w:rPr>
        <w:t xml:space="preserve">.  </w:t>
      </w:r>
      <w:r w:rsidR="00211739">
        <w:rPr>
          <w:rFonts w:asciiTheme="minorHAnsi" w:hAnsiTheme="minorHAnsi" w:cs="Arial"/>
          <w:color w:val="auto"/>
          <w:szCs w:val="24"/>
        </w:rPr>
        <w:t>PTSD and sleep d</w:t>
      </w:r>
      <w:r w:rsidR="005C1049" w:rsidRPr="00611EB8">
        <w:rPr>
          <w:rFonts w:asciiTheme="minorHAnsi" w:hAnsiTheme="minorHAnsi" w:cs="Arial"/>
          <w:color w:val="auto"/>
          <w:szCs w:val="24"/>
        </w:rPr>
        <w:t>isorder were listed as rela</w:t>
      </w:r>
      <w:r w:rsidR="00211739">
        <w:rPr>
          <w:rFonts w:asciiTheme="minorHAnsi" w:hAnsiTheme="minorHAnsi" w:cs="Arial"/>
          <w:color w:val="auto"/>
          <w:szCs w:val="24"/>
        </w:rPr>
        <w:t xml:space="preserve">ted </w:t>
      </w:r>
      <w:r w:rsidR="005039DF">
        <w:rPr>
          <w:rFonts w:asciiTheme="minorHAnsi" w:hAnsiTheme="minorHAnsi" w:cs="Arial"/>
          <w:color w:val="auto"/>
          <w:szCs w:val="24"/>
        </w:rPr>
        <w:t>C</w:t>
      </w:r>
      <w:r w:rsidR="00211739">
        <w:rPr>
          <w:rFonts w:asciiTheme="minorHAnsi" w:hAnsiTheme="minorHAnsi" w:cs="Arial"/>
          <w:color w:val="auto"/>
          <w:szCs w:val="24"/>
        </w:rPr>
        <w:t xml:space="preserve">ategory </w:t>
      </w:r>
      <w:r w:rsidR="00B82AFF">
        <w:rPr>
          <w:rFonts w:asciiTheme="minorHAnsi" w:hAnsiTheme="minorHAnsi" w:cs="Arial"/>
          <w:color w:val="auto"/>
          <w:szCs w:val="24"/>
        </w:rPr>
        <w:t xml:space="preserve">II </w:t>
      </w:r>
      <w:r w:rsidR="00C63B70">
        <w:rPr>
          <w:rFonts w:asciiTheme="minorHAnsi" w:hAnsiTheme="minorHAnsi" w:cs="Arial"/>
          <w:color w:val="auto"/>
          <w:szCs w:val="24"/>
        </w:rPr>
        <w:t>conditions</w:t>
      </w:r>
      <w:r w:rsidR="00211739">
        <w:rPr>
          <w:rFonts w:asciiTheme="minorHAnsi" w:hAnsiTheme="minorHAnsi" w:cs="Arial"/>
          <w:color w:val="auto"/>
          <w:szCs w:val="24"/>
        </w:rPr>
        <w:t xml:space="preserve">.  The </w:t>
      </w:r>
      <w:r w:rsidR="005039DF">
        <w:rPr>
          <w:rFonts w:asciiTheme="minorHAnsi" w:hAnsiTheme="minorHAnsi" w:cs="Arial"/>
          <w:color w:val="auto"/>
          <w:szCs w:val="24"/>
        </w:rPr>
        <w:t>a</w:t>
      </w:r>
      <w:r w:rsidR="00211739">
        <w:rPr>
          <w:rFonts w:asciiTheme="minorHAnsi" w:hAnsiTheme="minorHAnsi" w:cs="Arial"/>
          <w:color w:val="auto"/>
          <w:szCs w:val="24"/>
        </w:rPr>
        <w:t>nxiety d</w:t>
      </w:r>
      <w:r w:rsidR="005C1049" w:rsidRPr="00611EB8">
        <w:rPr>
          <w:rFonts w:asciiTheme="minorHAnsi" w:hAnsiTheme="minorHAnsi" w:cs="Arial"/>
          <w:color w:val="auto"/>
          <w:szCs w:val="24"/>
        </w:rPr>
        <w:t xml:space="preserve">isorder was </w:t>
      </w:r>
      <w:r w:rsidR="00BF0DFD">
        <w:rPr>
          <w:rFonts w:asciiTheme="minorHAnsi" w:hAnsiTheme="minorHAnsi" w:cs="Arial"/>
          <w:color w:val="auto"/>
          <w:szCs w:val="24"/>
        </w:rPr>
        <w:t>found to be</w:t>
      </w:r>
      <w:r w:rsidR="005C1049" w:rsidRPr="00611EB8">
        <w:rPr>
          <w:rFonts w:asciiTheme="minorHAnsi" w:hAnsiTheme="minorHAnsi" w:cs="Arial"/>
          <w:color w:val="auto"/>
          <w:szCs w:val="24"/>
        </w:rPr>
        <w:t xml:space="preserve"> mild</w:t>
      </w:r>
      <w:r w:rsidR="00A758C5">
        <w:rPr>
          <w:rFonts w:asciiTheme="minorHAnsi" w:hAnsiTheme="minorHAnsi" w:cs="Arial"/>
          <w:color w:val="auto"/>
          <w:szCs w:val="24"/>
        </w:rPr>
        <w:t>,</w:t>
      </w:r>
      <w:r w:rsidR="005C1049" w:rsidRPr="00611EB8">
        <w:rPr>
          <w:rFonts w:asciiTheme="minorHAnsi" w:hAnsiTheme="minorHAnsi" w:cs="Arial"/>
          <w:color w:val="auto"/>
          <w:szCs w:val="24"/>
        </w:rPr>
        <w:t xml:space="preserve"> and the CI was separated with a 10% disability rating.  </w:t>
      </w:r>
    </w:p>
    <w:p w:rsidR="0011666B" w:rsidRPr="00611EB8" w:rsidRDefault="0011666B" w:rsidP="00660807">
      <w:pPr>
        <w:tabs>
          <w:tab w:val="left" w:pos="288"/>
          <w:tab w:val="left" w:pos="4752"/>
        </w:tabs>
        <w:spacing w:line="240" w:lineRule="exact"/>
        <w:jc w:val="both"/>
        <w:rPr>
          <w:rFonts w:asciiTheme="minorHAnsi" w:hAnsiTheme="minorHAnsi"/>
          <w:color w:val="auto"/>
          <w:szCs w:val="24"/>
        </w:rPr>
      </w:pPr>
    </w:p>
    <w:p w:rsidR="00BF0DFD" w:rsidRDefault="005C1049" w:rsidP="00660807">
      <w:pPr>
        <w:autoSpaceDE w:val="0"/>
        <w:autoSpaceDN w:val="0"/>
        <w:adjustRightInd w:val="0"/>
        <w:spacing w:line="240" w:lineRule="exact"/>
        <w:jc w:val="both"/>
        <w:rPr>
          <w:rFonts w:asciiTheme="minorHAnsi" w:hAnsiTheme="minorHAnsi"/>
          <w:color w:val="auto"/>
          <w:szCs w:val="24"/>
        </w:rPr>
      </w:pPr>
      <w:r w:rsidRPr="00611EB8">
        <w:rPr>
          <w:rFonts w:asciiTheme="minorHAnsi" w:hAnsiTheme="minorHAnsi"/>
          <w:color w:val="auto"/>
          <w:szCs w:val="24"/>
        </w:rPr>
        <w:t xml:space="preserve">The Board carefully reviewed all evidentiary information available.  </w:t>
      </w:r>
      <w:r w:rsidR="00CE6729">
        <w:rPr>
          <w:rFonts w:asciiTheme="minorHAnsi" w:hAnsiTheme="minorHAnsi" w:cs="Courier New"/>
          <w:color w:val="auto"/>
          <w:szCs w:val="24"/>
        </w:rPr>
        <w:t>Based upon the CI’s psychological condition at the time of separation, t</w:t>
      </w:r>
      <w:r w:rsidR="00C901C2">
        <w:rPr>
          <w:rFonts w:asciiTheme="minorHAnsi" w:hAnsiTheme="minorHAnsi" w:cs="Courier New"/>
          <w:color w:val="auto"/>
          <w:szCs w:val="24"/>
        </w:rPr>
        <w:t xml:space="preserve">he Board </w:t>
      </w:r>
      <w:r w:rsidRPr="00611EB8">
        <w:rPr>
          <w:rFonts w:asciiTheme="minorHAnsi" w:hAnsiTheme="minorHAnsi" w:cs="Courier New"/>
          <w:color w:val="auto"/>
          <w:szCs w:val="24"/>
        </w:rPr>
        <w:t>recommends</w:t>
      </w:r>
      <w:r w:rsidR="00A758C5">
        <w:rPr>
          <w:rFonts w:asciiTheme="minorHAnsi" w:hAnsiTheme="minorHAnsi" w:cs="Courier New"/>
          <w:color w:val="auto"/>
          <w:szCs w:val="24"/>
        </w:rPr>
        <w:t xml:space="preserve"> </w:t>
      </w:r>
      <w:r w:rsidR="00C901C2">
        <w:rPr>
          <w:rFonts w:asciiTheme="minorHAnsi" w:hAnsiTheme="minorHAnsi" w:cs="Courier New"/>
          <w:color w:val="auto"/>
          <w:szCs w:val="24"/>
        </w:rPr>
        <w:t xml:space="preserve">by majority decision (2:1 vote) </w:t>
      </w:r>
      <w:r w:rsidR="00A758C5">
        <w:rPr>
          <w:rFonts w:asciiTheme="minorHAnsi" w:hAnsiTheme="minorHAnsi" w:cs="Courier New"/>
          <w:color w:val="auto"/>
          <w:szCs w:val="24"/>
        </w:rPr>
        <w:t xml:space="preserve">an initial 50% rating </w:t>
      </w:r>
      <w:r w:rsidRPr="00611EB8">
        <w:rPr>
          <w:rFonts w:asciiTheme="minorHAnsi" w:hAnsiTheme="minorHAnsi" w:cs="Courier New"/>
          <w:color w:val="auto"/>
          <w:szCs w:val="24"/>
        </w:rPr>
        <w:t>in retroactive compliance with VASRD §4.129.  The permanent rating should be based on the CI’s level of functioning si</w:t>
      </w:r>
      <w:r w:rsidR="00FE2037">
        <w:rPr>
          <w:rFonts w:asciiTheme="minorHAnsi" w:hAnsiTheme="minorHAnsi" w:cs="Courier New"/>
          <w:color w:val="auto"/>
          <w:szCs w:val="24"/>
        </w:rPr>
        <w:t xml:space="preserve">x months following separation.  </w:t>
      </w:r>
      <w:r w:rsidRPr="00611EB8">
        <w:rPr>
          <w:rFonts w:asciiTheme="minorHAnsi" w:hAnsiTheme="minorHAnsi" w:cs="Courier New"/>
          <w:color w:val="auto"/>
          <w:szCs w:val="24"/>
        </w:rPr>
        <w:t>A full, comprehensive psychological evaluation was not performed right at the six</w:t>
      </w:r>
      <w:r w:rsidR="005039DF">
        <w:rPr>
          <w:rFonts w:asciiTheme="minorHAnsi" w:hAnsiTheme="minorHAnsi" w:cs="Courier New"/>
          <w:color w:val="auto"/>
          <w:szCs w:val="24"/>
        </w:rPr>
        <w:t>-</w:t>
      </w:r>
      <w:r w:rsidRPr="00611EB8">
        <w:rPr>
          <w:rFonts w:asciiTheme="minorHAnsi" w:hAnsiTheme="minorHAnsi" w:cs="Courier New"/>
          <w:color w:val="auto"/>
          <w:szCs w:val="24"/>
        </w:rPr>
        <w:t>month point (1 Oct</w:t>
      </w:r>
      <w:r w:rsidR="001B45BB">
        <w:rPr>
          <w:rFonts w:asciiTheme="minorHAnsi" w:hAnsiTheme="minorHAnsi" w:cs="Courier New"/>
          <w:color w:val="auto"/>
          <w:szCs w:val="24"/>
        </w:rPr>
        <w:t>ober</w:t>
      </w:r>
      <w:r w:rsidRPr="00611EB8">
        <w:rPr>
          <w:rFonts w:asciiTheme="minorHAnsi" w:hAnsiTheme="minorHAnsi" w:cs="Courier New"/>
          <w:color w:val="auto"/>
          <w:szCs w:val="24"/>
        </w:rPr>
        <w:t xml:space="preserve"> 2008), so the Board must use the best evidence available.  </w:t>
      </w:r>
      <w:r w:rsidR="00BF0DFD">
        <w:rPr>
          <w:rFonts w:asciiTheme="minorHAnsi" w:hAnsiTheme="minorHAnsi" w:cs="Courier New"/>
          <w:color w:val="auto"/>
          <w:szCs w:val="24"/>
        </w:rPr>
        <w:t>Th</w:t>
      </w:r>
      <w:r w:rsidR="00111F64" w:rsidRPr="00611EB8">
        <w:rPr>
          <w:rFonts w:asciiTheme="minorHAnsi" w:hAnsiTheme="minorHAnsi" w:cs="Courier New"/>
          <w:color w:val="auto"/>
          <w:szCs w:val="24"/>
        </w:rPr>
        <w:t xml:space="preserve">e CI was seen by </w:t>
      </w:r>
      <w:r w:rsidR="00503B78" w:rsidRPr="00611EB8">
        <w:rPr>
          <w:rFonts w:asciiTheme="minorHAnsi" w:hAnsiTheme="minorHAnsi" w:cs="Courier New"/>
          <w:color w:val="auto"/>
          <w:szCs w:val="24"/>
        </w:rPr>
        <w:t xml:space="preserve">VA </w:t>
      </w:r>
      <w:r w:rsidR="00111F64" w:rsidRPr="00611EB8">
        <w:rPr>
          <w:rFonts w:asciiTheme="minorHAnsi" w:hAnsiTheme="minorHAnsi" w:cs="Courier New"/>
          <w:color w:val="auto"/>
          <w:szCs w:val="24"/>
        </w:rPr>
        <w:t>mental health providers in September 2008</w:t>
      </w:r>
      <w:r w:rsidR="00BF0DFD">
        <w:rPr>
          <w:rFonts w:asciiTheme="minorHAnsi" w:hAnsiTheme="minorHAnsi" w:cs="Courier New"/>
          <w:color w:val="auto"/>
          <w:szCs w:val="24"/>
        </w:rPr>
        <w:t xml:space="preserve">.  </w:t>
      </w:r>
      <w:r w:rsidR="00663B56">
        <w:rPr>
          <w:rFonts w:asciiTheme="minorHAnsi" w:hAnsiTheme="minorHAnsi" w:cs="Courier New"/>
          <w:color w:val="auto"/>
          <w:szCs w:val="24"/>
        </w:rPr>
        <w:t>However, t</w:t>
      </w:r>
      <w:r w:rsidR="00111F64" w:rsidRPr="00611EB8">
        <w:rPr>
          <w:rFonts w:asciiTheme="minorHAnsi" w:hAnsiTheme="minorHAnsi" w:cs="Courier New"/>
          <w:color w:val="auto"/>
          <w:szCs w:val="24"/>
        </w:rPr>
        <w:t xml:space="preserve">he exam </w:t>
      </w:r>
      <w:r w:rsidR="00461ECD">
        <w:rPr>
          <w:rFonts w:asciiTheme="minorHAnsi" w:hAnsiTheme="minorHAnsi" w:cs="Courier New"/>
          <w:color w:val="auto"/>
          <w:szCs w:val="24"/>
        </w:rPr>
        <w:t xml:space="preserve">with </w:t>
      </w:r>
      <w:r w:rsidR="00BF0DFD">
        <w:rPr>
          <w:rFonts w:asciiTheme="minorHAnsi" w:hAnsiTheme="minorHAnsi" w:cs="Courier New"/>
          <w:color w:val="auto"/>
          <w:szCs w:val="24"/>
        </w:rPr>
        <w:t xml:space="preserve">the </w:t>
      </w:r>
      <w:r w:rsidR="00461ECD">
        <w:rPr>
          <w:rFonts w:asciiTheme="minorHAnsi" w:hAnsiTheme="minorHAnsi" w:cs="Courier New"/>
          <w:color w:val="auto"/>
          <w:szCs w:val="24"/>
        </w:rPr>
        <w:t xml:space="preserve">greatest </w:t>
      </w:r>
      <w:r w:rsidR="00461ECD" w:rsidRPr="00611EB8">
        <w:rPr>
          <w:rFonts w:asciiTheme="minorHAnsi" w:hAnsiTheme="minorHAnsi" w:cs="Courier New"/>
          <w:color w:val="auto"/>
          <w:szCs w:val="24"/>
        </w:rPr>
        <w:t>probative</w:t>
      </w:r>
      <w:r w:rsidR="00461ECD">
        <w:rPr>
          <w:rFonts w:asciiTheme="minorHAnsi" w:hAnsiTheme="minorHAnsi" w:cs="Courier New"/>
          <w:color w:val="auto"/>
          <w:szCs w:val="24"/>
        </w:rPr>
        <w:t xml:space="preserve"> value</w:t>
      </w:r>
      <w:r w:rsidR="00461ECD" w:rsidRPr="00611EB8">
        <w:rPr>
          <w:rFonts w:asciiTheme="minorHAnsi" w:hAnsiTheme="minorHAnsi" w:cs="Courier New"/>
          <w:color w:val="auto"/>
          <w:szCs w:val="24"/>
        </w:rPr>
        <w:t xml:space="preserve"> </w:t>
      </w:r>
      <w:r w:rsidR="00111F64" w:rsidRPr="00611EB8">
        <w:rPr>
          <w:rFonts w:asciiTheme="minorHAnsi" w:hAnsiTheme="minorHAnsi" w:cs="Courier New"/>
          <w:color w:val="auto"/>
          <w:szCs w:val="24"/>
        </w:rPr>
        <w:t xml:space="preserve">was </w:t>
      </w:r>
      <w:r w:rsidR="00461ECD">
        <w:rPr>
          <w:rFonts w:asciiTheme="minorHAnsi" w:hAnsiTheme="minorHAnsi" w:cs="Courier New"/>
          <w:color w:val="auto"/>
          <w:szCs w:val="24"/>
        </w:rPr>
        <w:t xml:space="preserve">the </w:t>
      </w:r>
      <w:r w:rsidR="00663B56">
        <w:rPr>
          <w:rFonts w:asciiTheme="minorHAnsi" w:hAnsiTheme="minorHAnsi" w:cs="Courier New"/>
          <w:color w:val="auto"/>
          <w:szCs w:val="24"/>
        </w:rPr>
        <w:t xml:space="preserve">psychological </w:t>
      </w:r>
      <w:r w:rsidR="00461ECD">
        <w:rPr>
          <w:rFonts w:asciiTheme="minorHAnsi" w:hAnsiTheme="minorHAnsi" w:cs="Courier New"/>
          <w:color w:val="auto"/>
          <w:szCs w:val="24"/>
        </w:rPr>
        <w:t>Compensation and Pension (</w:t>
      </w:r>
      <w:r w:rsidR="00111F64" w:rsidRPr="00611EB8">
        <w:rPr>
          <w:rFonts w:asciiTheme="minorHAnsi" w:hAnsiTheme="minorHAnsi" w:cs="Courier New"/>
          <w:color w:val="auto"/>
          <w:szCs w:val="24"/>
        </w:rPr>
        <w:t>C&amp;P</w:t>
      </w:r>
      <w:r w:rsidR="00461ECD">
        <w:rPr>
          <w:rFonts w:asciiTheme="minorHAnsi" w:hAnsiTheme="minorHAnsi" w:cs="Courier New"/>
          <w:color w:val="auto"/>
          <w:szCs w:val="24"/>
        </w:rPr>
        <w:t>)</w:t>
      </w:r>
      <w:r w:rsidR="00111F64" w:rsidRPr="00611EB8">
        <w:rPr>
          <w:rFonts w:asciiTheme="minorHAnsi" w:hAnsiTheme="minorHAnsi" w:cs="Courier New"/>
          <w:color w:val="auto"/>
          <w:szCs w:val="24"/>
        </w:rPr>
        <w:t xml:space="preserve"> exam completed on </w:t>
      </w:r>
      <w:r w:rsidRPr="00611EB8">
        <w:rPr>
          <w:rFonts w:asciiTheme="minorHAnsi" w:hAnsiTheme="minorHAnsi"/>
          <w:color w:val="auto"/>
          <w:szCs w:val="24"/>
        </w:rPr>
        <w:t>31 Oct</w:t>
      </w:r>
      <w:r w:rsidR="00211739">
        <w:rPr>
          <w:rFonts w:asciiTheme="minorHAnsi" w:hAnsiTheme="minorHAnsi"/>
          <w:color w:val="auto"/>
          <w:szCs w:val="24"/>
        </w:rPr>
        <w:t>ober</w:t>
      </w:r>
      <w:r w:rsidRPr="00611EB8">
        <w:rPr>
          <w:rFonts w:asciiTheme="minorHAnsi" w:hAnsiTheme="minorHAnsi"/>
          <w:color w:val="auto"/>
          <w:szCs w:val="24"/>
        </w:rPr>
        <w:t xml:space="preserve"> 2008</w:t>
      </w:r>
      <w:r w:rsidR="00AD46C3" w:rsidRPr="00611EB8">
        <w:rPr>
          <w:rFonts w:asciiTheme="minorHAnsi" w:hAnsiTheme="minorHAnsi"/>
          <w:color w:val="auto"/>
          <w:szCs w:val="24"/>
        </w:rPr>
        <w:t xml:space="preserve"> (</w:t>
      </w:r>
      <w:r w:rsidR="005039DF">
        <w:rPr>
          <w:rFonts w:asciiTheme="minorHAnsi" w:hAnsiTheme="minorHAnsi"/>
          <w:color w:val="auto"/>
          <w:szCs w:val="24"/>
        </w:rPr>
        <w:t>one month</w:t>
      </w:r>
      <w:r w:rsidRPr="003C169C">
        <w:rPr>
          <w:rFonts w:asciiTheme="minorHAnsi" w:hAnsiTheme="minorHAnsi"/>
          <w:color w:val="auto"/>
          <w:szCs w:val="24"/>
        </w:rPr>
        <w:t xml:space="preserve"> </w:t>
      </w:r>
      <w:r w:rsidR="00AD46C3" w:rsidRPr="003C169C">
        <w:rPr>
          <w:rFonts w:asciiTheme="minorHAnsi" w:hAnsiTheme="minorHAnsi"/>
          <w:color w:val="auto"/>
          <w:szCs w:val="24"/>
        </w:rPr>
        <w:t xml:space="preserve">after </w:t>
      </w:r>
      <w:r w:rsidRPr="003C169C">
        <w:rPr>
          <w:rFonts w:asciiTheme="minorHAnsi" w:hAnsiTheme="minorHAnsi"/>
          <w:color w:val="auto"/>
          <w:szCs w:val="24"/>
        </w:rPr>
        <w:t>the six</w:t>
      </w:r>
      <w:r w:rsidR="005039DF">
        <w:rPr>
          <w:rFonts w:asciiTheme="minorHAnsi" w:hAnsiTheme="minorHAnsi"/>
          <w:color w:val="auto"/>
          <w:szCs w:val="24"/>
        </w:rPr>
        <w:t>-</w:t>
      </w:r>
      <w:r w:rsidRPr="003C169C">
        <w:rPr>
          <w:rFonts w:asciiTheme="minorHAnsi" w:hAnsiTheme="minorHAnsi"/>
          <w:color w:val="auto"/>
          <w:szCs w:val="24"/>
        </w:rPr>
        <w:t>month point</w:t>
      </w:r>
      <w:r w:rsidRPr="00611EB8">
        <w:rPr>
          <w:rFonts w:asciiTheme="minorHAnsi" w:hAnsiTheme="minorHAnsi"/>
          <w:color w:val="auto"/>
          <w:szCs w:val="24"/>
        </w:rPr>
        <w:t xml:space="preserve">).  </w:t>
      </w:r>
    </w:p>
    <w:p w:rsidR="00BF0DFD" w:rsidRDefault="00BF0DFD" w:rsidP="00660807">
      <w:pPr>
        <w:autoSpaceDE w:val="0"/>
        <w:autoSpaceDN w:val="0"/>
        <w:adjustRightInd w:val="0"/>
        <w:spacing w:line="240" w:lineRule="exact"/>
        <w:jc w:val="both"/>
        <w:rPr>
          <w:rFonts w:asciiTheme="minorHAnsi" w:hAnsiTheme="minorHAnsi"/>
          <w:color w:val="auto"/>
          <w:szCs w:val="24"/>
        </w:rPr>
      </w:pPr>
    </w:p>
    <w:p w:rsidR="00640225" w:rsidRPr="00611EB8" w:rsidRDefault="00AD46C3" w:rsidP="00660807">
      <w:pPr>
        <w:autoSpaceDE w:val="0"/>
        <w:autoSpaceDN w:val="0"/>
        <w:adjustRightInd w:val="0"/>
        <w:spacing w:line="240" w:lineRule="exact"/>
        <w:jc w:val="both"/>
        <w:rPr>
          <w:rFonts w:asciiTheme="minorHAnsi" w:hAnsiTheme="minorHAnsi"/>
          <w:color w:val="auto"/>
          <w:szCs w:val="24"/>
        </w:rPr>
      </w:pPr>
      <w:r w:rsidRPr="00611EB8">
        <w:rPr>
          <w:rFonts w:asciiTheme="minorHAnsi" w:hAnsiTheme="minorHAnsi"/>
          <w:color w:val="auto"/>
          <w:szCs w:val="24"/>
        </w:rPr>
        <w:t>At that exam</w:t>
      </w:r>
      <w:r w:rsidR="005039DF">
        <w:rPr>
          <w:rFonts w:asciiTheme="minorHAnsi" w:hAnsiTheme="minorHAnsi"/>
          <w:color w:val="auto"/>
          <w:szCs w:val="24"/>
        </w:rPr>
        <w:t>,</w:t>
      </w:r>
      <w:r w:rsidRPr="00611EB8">
        <w:rPr>
          <w:rFonts w:asciiTheme="minorHAnsi" w:hAnsiTheme="minorHAnsi"/>
          <w:color w:val="auto"/>
          <w:szCs w:val="24"/>
        </w:rPr>
        <w:t xml:space="preserve"> the CI reported persistent problems with anxiety and</w:t>
      </w:r>
      <w:r w:rsidR="00C630BB" w:rsidRPr="00611EB8">
        <w:rPr>
          <w:rFonts w:asciiTheme="minorHAnsi" w:hAnsiTheme="minorHAnsi"/>
          <w:color w:val="auto"/>
          <w:szCs w:val="24"/>
        </w:rPr>
        <w:t xml:space="preserve"> insomnia despite medications.  </w:t>
      </w:r>
      <w:r w:rsidRPr="00611EB8">
        <w:rPr>
          <w:rFonts w:asciiTheme="minorHAnsi" w:hAnsiTheme="minorHAnsi"/>
          <w:color w:val="auto"/>
          <w:szCs w:val="24"/>
        </w:rPr>
        <w:t xml:space="preserve">He </w:t>
      </w:r>
      <w:r w:rsidR="000929D1" w:rsidRPr="00611EB8">
        <w:rPr>
          <w:rFonts w:asciiTheme="minorHAnsi" w:hAnsiTheme="minorHAnsi"/>
          <w:color w:val="auto"/>
          <w:szCs w:val="24"/>
        </w:rPr>
        <w:t>was separated from his wife and daughter, lived alone</w:t>
      </w:r>
      <w:r w:rsidR="00611EB8" w:rsidRPr="00611EB8">
        <w:rPr>
          <w:rFonts w:asciiTheme="minorHAnsi" w:hAnsiTheme="minorHAnsi"/>
          <w:color w:val="auto"/>
          <w:szCs w:val="24"/>
        </w:rPr>
        <w:t>,</w:t>
      </w:r>
      <w:r w:rsidR="000929D1" w:rsidRPr="00611EB8">
        <w:rPr>
          <w:rFonts w:asciiTheme="minorHAnsi" w:hAnsiTheme="minorHAnsi"/>
          <w:color w:val="auto"/>
          <w:szCs w:val="24"/>
        </w:rPr>
        <w:t xml:space="preserve"> and was </w:t>
      </w:r>
      <w:r w:rsidRPr="00611EB8">
        <w:rPr>
          <w:rFonts w:asciiTheme="minorHAnsi" w:hAnsiTheme="minorHAnsi"/>
          <w:color w:val="auto"/>
          <w:szCs w:val="24"/>
        </w:rPr>
        <w:t>working as a roofer.  He stat</w:t>
      </w:r>
      <w:r w:rsidR="00E54E8B" w:rsidRPr="00611EB8">
        <w:rPr>
          <w:rFonts w:asciiTheme="minorHAnsi" w:hAnsiTheme="minorHAnsi"/>
          <w:color w:val="auto"/>
          <w:szCs w:val="24"/>
        </w:rPr>
        <w:t>ed that his back pain makes the</w:t>
      </w:r>
      <w:r w:rsidRPr="00611EB8">
        <w:rPr>
          <w:rFonts w:asciiTheme="minorHAnsi" w:hAnsiTheme="minorHAnsi"/>
          <w:color w:val="auto"/>
          <w:szCs w:val="24"/>
        </w:rPr>
        <w:t xml:space="preserve"> job a struggle a</w:t>
      </w:r>
      <w:r w:rsidR="00E54E8B" w:rsidRPr="00611EB8">
        <w:rPr>
          <w:rFonts w:asciiTheme="minorHAnsi" w:hAnsiTheme="minorHAnsi"/>
          <w:color w:val="auto"/>
          <w:szCs w:val="24"/>
        </w:rPr>
        <w:t>nd he wa</w:t>
      </w:r>
      <w:r w:rsidRPr="00611EB8">
        <w:rPr>
          <w:rFonts w:asciiTheme="minorHAnsi" w:hAnsiTheme="minorHAnsi"/>
          <w:color w:val="auto"/>
          <w:szCs w:val="24"/>
        </w:rPr>
        <w:t xml:space="preserve">s trying to find other employment.  </w:t>
      </w:r>
      <w:r w:rsidR="00D03065" w:rsidRPr="00611EB8">
        <w:rPr>
          <w:rFonts w:asciiTheme="minorHAnsi" w:hAnsiTheme="minorHAnsi"/>
          <w:color w:val="auto"/>
          <w:szCs w:val="24"/>
        </w:rPr>
        <w:t xml:space="preserve">The CI described intrusive thoughts of his experiences in Iraq occurring </w:t>
      </w:r>
      <w:r w:rsidR="00E54E8B" w:rsidRPr="00611EB8">
        <w:rPr>
          <w:rFonts w:asciiTheme="minorHAnsi" w:hAnsiTheme="minorHAnsi"/>
          <w:color w:val="auto"/>
          <w:szCs w:val="24"/>
        </w:rPr>
        <w:t xml:space="preserve">on a </w:t>
      </w:r>
      <w:r w:rsidR="00D03065" w:rsidRPr="00611EB8">
        <w:rPr>
          <w:rFonts w:asciiTheme="minorHAnsi" w:hAnsiTheme="minorHAnsi"/>
          <w:color w:val="auto"/>
          <w:szCs w:val="24"/>
        </w:rPr>
        <w:t xml:space="preserve">daily </w:t>
      </w:r>
      <w:r w:rsidR="00D03065" w:rsidRPr="00611EB8">
        <w:rPr>
          <w:rFonts w:asciiTheme="minorHAnsi" w:hAnsiTheme="minorHAnsi"/>
          <w:color w:val="auto"/>
          <w:szCs w:val="24"/>
        </w:rPr>
        <w:lastRenderedPageBreak/>
        <w:t>basis.  He stated</w:t>
      </w:r>
      <w:r w:rsidR="007C33D2" w:rsidRPr="00611EB8">
        <w:rPr>
          <w:rFonts w:asciiTheme="minorHAnsi" w:hAnsiTheme="minorHAnsi"/>
          <w:color w:val="auto"/>
          <w:szCs w:val="24"/>
        </w:rPr>
        <w:t xml:space="preserve"> that his memories of Iraq brought</w:t>
      </w:r>
      <w:r w:rsidR="00D03065" w:rsidRPr="00611EB8">
        <w:rPr>
          <w:rFonts w:asciiTheme="minorHAnsi" w:hAnsiTheme="minorHAnsi"/>
          <w:color w:val="auto"/>
          <w:szCs w:val="24"/>
        </w:rPr>
        <w:t xml:space="preserve"> on feelings of sadness and fear.  His mood appeared to be quite anxious and he demonstrated an increase in physiologic arousal and psychomotor agitation when the dis</w:t>
      </w:r>
      <w:r w:rsidR="00E54E8B" w:rsidRPr="00611EB8">
        <w:rPr>
          <w:rFonts w:asciiTheme="minorHAnsi" w:hAnsiTheme="minorHAnsi"/>
          <w:color w:val="auto"/>
          <w:szCs w:val="24"/>
        </w:rPr>
        <w:t>cussion turned</w:t>
      </w:r>
      <w:r w:rsidR="001B45BB">
        <w:rPr>
          <w:rFonts w:asciiTheme="minorHAnsi" w:hAnsiTheme="minorHAnsi"/>
          <w:color w:val="auto"/>
          <w:szCs w:val="24"/>
        </w:rPr>
        <w:t xml:space="preserve"> toward Iraq.  </w:t>
      </w:r>
      <w:r w:rsidR="00D03065" w:rsidRPr="00611EB8">
        <w:rPr>
          <w:rFonts w:asciiTheme="minorHAnsi" w:hAnsiTheme="minorHAnsi"/>
          <w:color w:val="auto"/>
          <w:szCs w:val="24"/>
        </w:rPr>
        <w:t>The CI indicated that he had been bothered by frequent nightmares</w:t>
      </w:r>
      <w:r w:rsidR="00E54E8B" w:rsidRPr="00611EB8">
        <w:rPr>
          <w:rFonts w:asciiTheme="minorHAnsi" w:hAnsiTheme="minorHAnsi"/>
          <w:color w:val="auto"/>
          <w:szCs w:val="24"/>
        </w:rPr>
        <w:t>, multiple</w:t>
      </w:r>
      <w:r w:rsidR="00D03065" w:rsidRPr="00611EB8">
        <w:rPr>
          <w:rFonts w:asciiTheme="minorHAnsi" w:hAnsiTheme="minorHAnsi"/>
          <w:color w:val="auto"/>
          <w:szCs w:val="24"/>
        </w:rPr>
        <w:t xml:space="preserve"> times per week, related to events that occurred in Iraq. </w:t>
      </w:r>
      <w:r w:rsidR="00E54E8B" w:rsidRPr="00611EB8">
        <w:rPr>
          <w:rFonts w:asciiTheme="minorHAnsi" w:hAnsiTheme="minorHAnsi"/>
          <w:color w:val="auto"/>
          <w:szCs w:val="24"/>
        </w:rPr>
        <w:t xml:space="preserve"> </w:t>
      </w:r>
      <w:r w:rsidR="00D03065" w:rsidRPr="00611EB8">
        <w:rPr>
          <w:rFonts w:asciiTheme="minorHAnsi" w:hAnsiTheme="minorHAnsi"/>
          <w:color w:val="auto"/>
          <w:szCs w:val="24"/>
        </w:rPr>
        <w:t>He described problems with exaggerated startle response</w:t>
      </w:r>
      <w:r w:rsidR="00611EB8">
        <w:rPr>
          <w:rFonts w:asciiTheme="minorHAnsi" w:hAnsiTheme="minorHAnsi"/>
          <w:color w:val="auto"/>
          <w:szCs w:val="24"/>
        </w:rPr>
        <w:t>,</w:t>
      </w:r>
      <w:r w:rsidR="00D03065" w:rsidRPr="00611EB8">
        <w:rPr>
          <w:rFonts w:asciiTheme="minorHAnsi" w:hAnsiTheme="minorHAnsi"/>
          <w:color w:val="auto"/>
          <w:szCs w:val="24"/>
        </w:rPr>
        <w:t xml:space="preserve"> and</w:t>
      </w:r>
      <w:r w:rsidR="005039DF">
        <w:rPr>
          <w:rFonts w:asciiTheme="minorHAnsi" w:hAnsiTheme="minorHAnsi"/>
          <w:color w:val="auto"/>
          <w:szCs w:val="24"/>
        </w:rPr>
        <w:t>,</w:t>
      </w:r>
      <w:r w:rsidR="00D03065" w:rsidRPr="00611EB8">
        <w:rPr>
          <w:rFonts w:asciiTheme="minorHAnsi" w:hAnsiTheme="minorHAnsi"/>
          <w:color w:val="auto"/>
          <w:szCs w:val="24"/>
        </w:rPr>
        <w:t xml:space="preserve"> for example, stated that his roofing job had</w:t>
      </w:r>
      <w:r w:rsidR="00E54E8B" w:rsidRPr="00611EB8">
        <w:rPr>
          <w:rFonts w:asciiTheme="minorHAnsi" w:hAnsiTheme="minorHAnsi"/>
          <w:color w:val="auto"/>
          <w:szCs w:val="24"/>
        </w:rPr>
        <w:t xml:space="preserve"> </w:t>
      </w:r>
      <w:r w:rsidR="00D03065" w:rsidRPr="00611EB8">
        <w:rPr>
          <w:rFonts w:asciiTheme="minorHAnsi" w:hAnsiTheme="minorHAnsi"/>
          <w:color w:val="auto"/>
          <w:szCs w:val="24"/>
        </w:rPr>
        <w:t>forced him to work near Fort Lee and he had</w:t>
      </w:r>
      <w:r w:rsidR="00E54E8B" w:rsidRPr="00611EB8">
        <w:rPr>
          <w:rFonts w:asciiTheme="minorHAnsi" w:hAnsiTheme="minorHAnsi"/>
          <w:color w:val="auto"/>
          <w:szCs w:val="24"/>
        </w:rPr>
        <w:t xml:space="preserve"> experienced</w:t>
      </w:r>
      <w:r w:rsidR="00D03065" w:rsidRPr="00611EB8">
        <w:rPr>
          <w:rFonts w:asciiTheme="minorHAnsi" w:hAnsiTheme="minorHAnsi"/>
          <w:color w:val="auto"/>
          <w:szCs w:val="24"/>
        </w:rPr>
        <w:t xml:space="preserve"> trouble coping with sounds of munitions going off</w:t>
      </w:r>
      <w:r w:rsidR="00E54E8B" w:rsidRPr="00611EB8">
        <w:rPr>
          <w:rFonts w:asciiTheme="minorHAnsi" w:hAnsiTheme="minorHAnsi"/>
          <w:color w:val="auto"/>
          <w:szCs w:val="24"/>
        </w:rPr>
        <w:t>.  The CI reported that he had</w:t>
      </w:r>
      <w:r w:rsidR="00D03065" w:rsidRPr="00611EB8">
        <w:rPr>
          <w:rFonts w:asciiTheme="minorHAnsi" w:hAnsiTheme="minorHAnsi"/>
          <w:color w:val="auto"/>
          <w:szCs w:val="24"/>
        </w:rPr>
        <w:t xml:space="preserve"> been </w:t>
      </w:r>
      <w:r w:rsidR="00D03065" w:rsidRPr="003C169C">
        <w:rPr>
          <w:rFonts w:asciiTheme="minorHAnsi" w:hAnsiTheme="minorHAnsi"/>
          <w:color w:val="auto"/>
          <w:szCs w:val="24"/>
        </w:rPr>
        <w:t>quite w</w:t>
      </w:r>
      <w:r w:rsidR="00E54E8B" w:rsidRPr="003C169C">
        <w:rPr>
          <w:rFonts w:asciiTheme="minorHAnsi" w:hAnsiTheme="minorHAnsi"/>
          <w:color w:val="auto"/>
          <w:szCs w:val="24"/>
        </w:rPr>
        <w:t>ithdrawn socially</w:t>
      </w:r>
      <w:r w:rsidR="005039DF">
        <w:rPr>
          <w:rFonts w:asciiTheme="minorHAnsi" w:hAnsiTheme="minorHAnsi"/>
          <w:color w:val="auto"/>
          <w:szCs w:val="24"/>
        </w:rPr>
        <w:t>,</w:t>
      </w:r>
      <w:r w:rsidR="00E54E8B" w:rsidRPr="00611EB8">
        <w:rPr>
          <w:rFonts w:asciiTheme="minorHAnsi" w:hAnsiTheme="minorHAnsi"/>
          <w:color w:val="auto"/>
          <w:szCs w:val="24"/>
        </w:rPr>
        <w:t xml:space="preserve"> </w:t>
      </w:r>
      <w:r w:rsidR="00640225" w:rsidRPr="00611EB8">
        <w:rPr>
          <w:rFonts w:asciiTheme="minorHAnsi" w:hAnsiTheme="minorHAnsi"/>
          <w:color w:val="auto"/>
          <w:szCs w:val="24"/>
        </w:rPr>
        <w:t>and that</w:t>
      </w:r>
      <w:r w:rsidR="00D03065" w:rsidRPr="00611EB8">
        <w:rPr>
          <w:rFonts w:asciiTheme="minorHAnsi" w:hAnsiTheme="minorHAnsi"/>
          <w:color w:val="auto"/>
          <w:szCs w:val="24"/>
        </w:rPr>
        <w:t xml:space="preserve"> he descr</w:t>
      </w:r>
      <w:r w:rsidR="00E54E8B" w:rsidRPr="00611EB8">
        <w:rPr>
          <w:rFonts w:asciiTheme="minorHAnsi" w:hAnsiTheme="minorHAnsi"/>
          <w:color w:val="auto"/>
          <w:szCs w:val="24"/>
        </w:rPr>
        <w:t xml:space="preserve">ibed feeling </w:t>
      </w:r>
      <w:proofErr w:type="spellStart"/>
      <w:r w:rsidR="00E54E8B" w:rsidRPr="00611EB8">
        <w:rPr>
          <w:rFonts w:asciiTheme="minorHAnsi" w:hAnsiTheme="minorHAnsi"/>
          <w:color w:val="auto"/>
          <w:szCs w:val="24"/>
        </w:rPr>
        <w:t>hypervigilant</w:t>
      </w:r>
      <w:proofErr w:type="spellEnd"/>
      <w:r w:rsidR="00E54E8B" w:rsidRPr="00611EB8">
        <w:rPr>
          <w:rFonts w:asciiTheme="minorHAnsi" w:hAnsiTheme="minorHAnsi"/>
          <w:color w:val="auto"/>
          <w:szCs w:val="24"/>
        </w:rPr>
        <w:t xml:space="preserve"> in a </w:t>
      </w:r>
      <w:r w:rsidR="00D03065" w:rsidRPr="00611EB8">
        <w:rPr>
          <w:rFonts w:asciiTheme="minorHAnsi" w:hAnsiTheme="minorHAnsi"/>
          <w:color w:val="auto"/>
          <w:szCs w:val="24"/>
        </w:rPr>
        <w:t>variety</w:t>
      </w:r>
      <w:r w:rsidR="00C630BB" w:rsidRPr="00611EB8">
        <w:rPr>
          <w:rFonts w:asciiTheme="minorHAnsi" w:hAnsiTheme="minorHAnsi"/>
          <w:color w:val="auto"/>
          <w:szCs w:val="24"/>
        </w:rPr>
        <w:t xml:space="preserve"> of social settings.  </w:t>
      </w:r>
      <w:r w:rsidR="00E54E8B" w:rsidRPr="00611EB8">
        <w:rPr>
          <w:rFonts w:asciiTheme="minorHAnsi" w:hAnsiTheme="minorHAnsi"/>
          <w:color w:val="auto"/>
          <w:szCs w:val="24"/>
        </w:rPr>
        <w:t xml:space="preserve">He stated that he found </w:t>
      </w:r>
      <w:r w:rsidR="00D03065" w:rsidRPr="00611EB8">
        <w:rPr>
          <w:rFonts w:asciiTheme="minorHAnsi" w:hAnsiTheme="minorHAnsi"/>
          <w:color w:val="auto"/>
          <w:szCs w:val="24"/>
        </w:rPr>
        <w:t>it</w:t>
      </w:r>
      <w:r w:rsidR="00E54E8B" w:rsidRPr="00611EB8">
        <w:rPr>
          <w:rFonts w:asciiTheme="minorHAnsi" w:hAnsiTheme="minorHAnsi"/>
          <w:color w:val="auto"/>
          <w:szCs w:val="24"/>
        </w:rPr>
        <w:t xml:space="preserve"> </w:t>
      </w:r>
      <w:r w:rsidR="00D03065" w:rsidRPr="00611EB8">
        <w:rPr>
          <w:rFonts w:asciiTheme="minorHAnsi" w:hAnsiTheme="minorHAnsi"/>
          <w:color w:val="auto"/>
          <w:szCs w:val="24"/>
        </w:rPr>
        <w:t>difficult to discuss his experiences</w:t>
      </w:r>
      <w:r w:rsidR="00E54E8B" w:rsidRPr="00611EB8">
        <w:rPr>
          <w:rFonts w:asciiTheme="minorHAnsi" w:hAnsiTheme="minorHAnsi"/>
          <w:color w:val="auto"/>
          <w:szCs w:val="24"/>
        </w:rPr>
        <w:t xml:space="preserve"> in Iraq in great detail but had</w:t>
      </w:r>
      <w:r w:rsidR="00D03065" w:rsidRPr="00611EB8">
        <w:rPr>
          <w:rFonts w:asciiTheme="minorHAnsi" w:hAnsiTheme="minorHAnsi"/>
          <w:color w:val="auto"/>
          <w:szCs w:val="24"/>
        </w:rPr>
        <w:t xml:space="preserve"> been</w:t>
      </w:r>
      <w:r w:rsidR="00E54E8B" w:rsidRPr="00611EB8">
        <w:rPr>
          <w:rFonts w:asciiTheme="minorHAnsi" w:hAnsiTheme="minorHAnsi"/>
          <w:color w:val="auto"/>
          <w:szCs w:val="24"/>
        </w:rPr>
        <w:t xml:space="preserve"> </w:t>
      </w:r>
      <w:r w:rsidR="00D03065" w:rsidRPr="00611EB8">
        <w:rPr>
          <w:rFonts w:asciiTheme="minorHAnsi" w:hAnsiTheme="minorHAnsi"/>
          <w:color w:val="auto"/>
          <w:szCs w:val="24"/>
        </w:rPr>
        <w:t>trying to reach out for assistance in recent months.</w:t>
      </w:r>
      <w:r w:rsidR="00E54E8B" w:rsidRPr="00611EB8">
        <w:rPr>
          <w:rFonts w:asciiTheme="minorHAnsi" w:hAnsiTheme="minorHAnsi"/>
          <w:color w:val="auto"/>
          <w:szCs w:val="24"/>
        </w:rPr>
        <w:t xml:space="preserve">  </w:t>
      </w:r>
      <w:r w:rsidRPr="00611EB8">
        <w:rPr>
          <w:rFonts w:asciiTheme="minorHAnsi" w:hAnsiTheme="minorHAnsi"/>
          <w:color w:val="auto"/>
          <w:szCs w:val="24"/>
        </w:rPr>
        <w:t xml:space="preserve">On </w:t>
      </w:r>
      <w:r w:rsidR="00461ECD">
        <w:rPr>
          <w:rFonts w:asciiTheme="minorHAnsi" w:hAnsiTheme="minorHAnsi"/>
          <w:color w:val="auto"/>
          <w:szCs w:val="24"/>
        </w:rPr>
        <w:t xml:space="preserve">MSE, </w:t>
      </w:r>
      <w:r w:rsidRPr="00611EB8">
        <w:rPr>
          <w:rFonts w:asciiTheme="minorHAnsi" w:hAnsiTheme="minorHAnsi"/>
          <w:color w:val="auto"/>
          <w:szCs w:val="24"/>
        </w:rPr>
        <w:t>it was noted that his affect was sad</w:t>
      </w:r>
      <w:r w:rsidR="00461ECD">
        <w:rPr>
          <w:rFonts w:asciiTheme="minorHAnsi" w:hAnsiTheme="minorHAnsi"/>
          <w:color w:val="auto"/>
          <w:szCs w:val="24"/>
        </w:rPr>
        <w:t>,</w:t>
      </w:r>
      <w:r w:rsidRPr="00611EB8">
        <w:rPr>
          <w:rFonts w:asciiTheme="minorHAnsi" w:hAnsiTheme="minorHAnsi"/>
          <w:color w:val="auto"/>
          <w:szCs w:val="24"/>
        </w:rPr>
        <w:t xml:space="preserve"> and he w</w:t>
      </w:r>
      <w:r w:rsidR="00E54E8B" w:rsidRPr="00611EB8">
        <w:rPr>
          <w:rFonts w:asciiTheme="minorHAnsi" w:hAnsiTheme="minorHAnsi"/>
          <w:color w:val="auto"/>
          <w:szCs w:val="24"/>
        </w:rPr>
        <w:t>as tearful during</w:t>
      </w:r>
      <w:r w:rsidRPr="00611EB8">
        <w:rPr>
          <w:rFonts w:asciiTheme="minorHAnsi" w:hAnsiTheme="minorHAnsi"/>
          <w:color w:val="auto"/>
          <w:szCs w:val="24"/>
        </w:rPr>
        <w:t xml:space="preserve"> the </w:t>
      </w:r>
      <w:r w:rsidR="00461ECD">
        <w:rPr>
          <w:rFonts w:asciiTheme="minorHAnsi" w:hAnsiTheme="minorHAnsi"/>
          <w:color w:val="auto"/>
          <w:szCs w:val="24"/>
        </w:rPr>
        <w:t>interview</w:t>
      </w:r>
      <w:r w:rsidRPr="00611EB8">
        <w:rPr>
          <w:rFonts w:asciiTheme="minorHAnsi" w:hAnsiTheme="minorHAnsi"/>
          <w:color w:val="auto"/>
          <w:szCs w:val="24"/>
        </w:rPr>
        <w:t xml:space="preserve">.  </w:t>
      </w:r>
      <w:r w:rsidR="00461ECD">
        <w:rPr>
          <w:rFonts w:asciiTheme="minorHAnsi" w:hAnsiTheme="minorHAnsi"/>
          <w:color w:val="auto"/>
          <w:szCs w:val="24"/>
        </w:rPr>
        <w:t>M</w:t>
      </w:r>
      <w:r w:rsidRPr="00611EB8">
        <w:rPr>
          <w:rFonts w:asciiTheme="minorHAnsi" w:hAnsiTheme="minorHAnsi"/>
          <w:color w:val="auto"/>
          <w:szCs w:val="24"/>
        </w:rPr>
        <w:t xml:space="preserve">ood was reported as </w:t>
      </w:r>
      <w:r w:rsidR="00E54E8B" w:rsidRPr="00611EB8">
        <w:rPr>
          <w:rFonts w:asciiTheme="minorHAnsi" w:hAnsiTheme="minorHAnsi"/>
          <w:color w:val="auto"/>
          <w:szCs w:val="24"/>
        </w:rPr>
        <w:t xml:space="preserve">anxious and </w:t>
      </w:r>
      <w:r w:rsidRPr="00611EB8">
        <w:rPr>
          <w:rFonts w:asciiTheme="minorHAnsi" w:hAnsiTheme="minorHAnsi"/>
          <w:color w:val="auto"/>
          <w:szCs w:val="24"/>
        </w:rPr>
        <w:t>depressed.</w:t>
      </w:r>
      <w:r w:rsidR="00461ECD">
        <w:rPr>
          <w:rFonts w:asciiTheme="minorHAnsi" w:hAnsiTheme="minorHAnsi"/>
          <w:color w:val="auto"/>
          <w:szCs w:val="24"/>
        </w:rPr>
        <w:t xml:space="preserve">  T</w:t>
      </w:r>
      <w:r w:rsidRPr="00611EB8">
        <w:rPr>
          <w:rFonts w:asciiTheme="minorHAnsi" w:hAnsiTheme="minorHAnsi"/>
          <w:color w:val="auto"/>
          <w:szCs w:val="24"/>
        </w:rPr>
        <w:t>hought content was rational</w:t>
      </w:r>
      <w:r w:rsidR="00461ECD">
        <w:rPr>
          <w:rFonts w:asciiTheme="minorHAnsi" w:hAnsiTheme="minorHAnsi"/>
          <w:color w:val="auto"/>
          <w:szCs w:val="24"/>
        </w:rPr>
        <w:t>.  H</w:t>
      </w:r>
      <w:r w:rsidRPr="00611EB8">
        <w:rPr>
          <w:rFonts w:asciiTheme="minorHAnsi" w:hAnsiTheme="minorHAnsi"/>
          <w:color w:val="auto"/>
          <w:szCs w:val="24"/>
        </w:rPr>
        <w:t>e denie</w:t>
      </w:r>
      <w:r w:rsidR="00C630BB" w:rsidRPr="00611EB8">
        <w:rPr>
          <w:rFonts w:asciiTheme="minorHAnsi" w:hAnsiTheme="minorHAnsi"/>
          <w:color w:val="auto"/>
          <w:szCs w:val="24"/>
        </w:rPr>
        <w:t xml:space="preserve">d hallucinations or delusions.  </w:t>
      </w:r>
      <w:r w:rsidR="00E54E8B" w:rsidRPr="00611EB8">
        <w:rPr>
          <w:rFonts w:asciiTheme="minorHAnsi" w:hAnsiTheme="minorHAnsi"/>
          <w:color w:val="auto"/>
          <w:szCs w:val="24"/>
        </w:rPr>
        <w:t xml:space="preserve">The CI's insight and judgment were reported as fair and adequate for current safety.  </w:t>
      </w:r>
      <w:r w:rsidR="00D03065" w:rsidRPr="00611EB8">
        <w:rPr>
          <w:rFonts w:asciiTheme="minorHAnsi" w:hAnsiTheme="minorHAnsi"/>
          <w:color w:val="auto"/>
          <w:szCs w:val="24"/>
        </w:rPr>
        <w:t>The CI reported that he struggle</w:t>
      </w:r>
      <w:r w:rsidR="00705857" w:rsidRPr="00611EB8">
        <w:rPr>
          <w:rFonts w:asciiTheme="minorHAnsi" w:hAnsiTheme="minorHAnsi"/>
          <w:color w:val="auto"/>
          <w:szCs w:val="24"/>
        </w:rPr>
        <w:t>d</w:t>
      </w:r>
      <w:r w:rsidR="00D03065" w:rsidRPr="00611EB8">
        <w:rPr>
          <w:rFonts w:asciiTheme="minorHAnsi" w:hAnsiTheme="minorHAnsi"/>
          <w:color w:val="auto"/>
          <w:szCs w:val="24"/>
        </w:rPr>
        <w:t xml:space="preserve"> with motivation, in part due to inadequate sleep.  The CI reported </w:t>
      </w:r>
      <w:r w:rsidR="00D03065" w:rsidRPr="003C169C">
        <w:rPr>
          <w:rFonts w:asciiTheme="minorHAnsi" w:hAnsiTheme="minorHAnsi"/>
          <w:color w:val="auto"/>
          <w:szCs w:val="24"/>
        </w:rPr>
        <w:t>experiencing fleeting suicid</w:t>
      </w:r>
      <w:r w:rsidR="00E54E8B" w:rsidRPr="003C169C">
        <w:rPr>
          <w:rFonts w:asciiTheme="minorHAnsi" w:hAnsiTheme="minorHAnsi"/>
          <w:color w:val="auto"/>
          <w:szCs w:val="24"/>
        </w:rPr>
        <w:t>al thoughts</w:t>
      </w:r>
      <w:r w:rsidR="00E54E8B" w:rsidRPr="00611EB8">
        <w:rPr>
          <w:rFonts w:asciiTheme="minorHAnsi" w:hAnsiTheme="minorHAnsi"/>
          <w:color w:val="auto"/>
          <w:szCs w:val="24"/>
        </w:rPr>
        <w:t xml:space="preserve"> but denied</w:t>
      </w:r>
      <w:r w:rsidR="00D03065" w:rsidRPr="00611EB8">
        <w:rPr>
          <w:rFonts w:asciiTheme="minorHAnsi" w:hAnsiTheme="minorHAnsi"/>
          <w:color w:val="auto"/>
          <w:szCs w:val="24"/>
        </w:rPr>
        <w:t xml:space="preserve"> intent or plan to hurt </w:t>
      </w:r>
      <w:proofErr w:type="gramStart"/>
      <w:r w:rsidR="00D03065" w:rsidRPr="00611EB8">
        <w:rPr>
          <w:rFonts w:asciiTheme="minorHAnsi" w:hAnsiTheme="minorHAnsi"/>
          <w:color w:val="auto"/>
          <w:szCs w:val="24"/>
        </w:rPr>
        <w:t>himself</w:t>
      </w:r>
      <w:proofErr w:type="gramEnd"/>
      <w:r w:rsidR="00D03065" w:rsidRPr="00611EB8">
        <w:rPr>
          <w:rFonts w:asciiTheme="minorHAnsi" w:hAnsiTheme="minorHAnsi"/>
          <w:color w:val="auto"/>
          <w:szCs w:val="24"/>
        </w:rPr>
        <w:t xml:space="preserve">.  The CI was judged to be largely </w:t>
      </w:r>
      <w:proofErr w:type="spellStart"/>
      <w:r w:rsidR="00D03065" w:rsidRPr="00611EB8">
        <w:rPr>
          <w:rFonts w:asciiTheme="minorHAnsi" w:hAnsiTheme="minorHAnsi"/>
          <w:color w:val="auto"/>
          <w:szCs w:val="24"/>
        </w:rPr>
        <w:t>anhedonic</w:t>
      </w:r>
      <w:proofErr w:type="spellEnd"/>
      <w:r w:rsidR="00D03065" w:rsidRPr="00611EB8">
        <w:rPr>
          <w:rFonts w:asciiTheme="minorHAnsi" w:hAnsiTheme="minorHAnsi"/>
          <w:color w:val="auto"/>
          <w:szCs w:val="24"/>
        </w:rPr>
        <w:t xml:space="preserve"> and reported that he had difficulty </w:t>
      </w:r>
      <w:r w:rsidR="005039DF">
        <w:rPr>
          <w:rFonts w:asciiTheme="minorHAnsi" w:hAnsiTheme="minorHAnsi"/>
          <w:color w:val="auto"/>
          <w:szCs w:val="24"/>
        </w:rPr>
        <w:t xml:space="preserve">feeling </w:t>
      </w:r>
      <w:r w:rsidR="00D03065" w:rsidRPr="00611EB8">
        <w:rPr>
          <w:rFonts w:asciiTheme="minorHAnsi" w:hAnsiTheme="minorHAnsi"/>
          <w:color w:val="auto"/>
          <w:szCs w:val="24"/>
        </w:rPr>
        <w:t xml:space="preserve">enjoyment from any experiences.  The CI was </w:t>
      </w:r>
      <w:r w:rsidR="00D03065" w:rsidRPr="003C169C">
        <w:rPr>
          <w:rFonts w:asciiTheme="minorHAnsi" w:hAnsiTheme="minorHAnsi"/>
          <w:color w:val="auto"/>
          <w:szCs w:val="24"/>
        </w:rPr>
        <w:t>pessimistic regarding his</w:t>
      </w:r>
      <w:r w:rsidR="007C33D2" w:rsidRPr="003C169C">
        <w:rPr>
          <w:rFonts w:asciiTheme="minorHAnsi" w:hAnsiTheme="minorHAnsi"/>
          <w:color w:val="auto"/>
          <w:szCs w:val="24"/>
        </w:rPr>
        <w:t xml:space="preserve"> future</w:t>
      </w:r>
      <w:r w:rsidR="007C33D2" w:rsidRPr="00611EB8">
        <w:rPr>
          <w:rFonts w:asciiTheme="minorHAnsi" w:hAnsiTheme="minorHAnsi"/>
          <w:color w:val="auto"/>
          <w:szCs w:val="24"/>
        </w:rPr>
        <w:t xml:space="preserve"> and stated that he </w:t>
      </w:r>
      <w:r w:rsidR="007C33D2" w:rsidRPr="003C169C">
        <w:rPr>
          <w:rFonts w:asciiTheme="minorHAnsi" w:hAnsiTheme="minorHAnsi"/>
          <w:color w:val="auto"/>
          <w:szCs w:val="24"/>
        </w:rPr>
        <w:t>felt</w:t>
      </w:r>
      <w:r w:rsidR="00D03065" w:rsidRPr="003C169C">
        <w:rPr>
          <w:rFonts w:asciiTheme="minorHAnsi" w:hAnsiTheme="minorHAnsi"/>
          <w:color w:val="auto"/>
          <w:szCs w:val="24"/>
        </w:rPr>
        <w:t xml:space="preserve"> “worthless” since leaving the Marine Corps</w:t>
      </w:r>
      <w:r w:rsidR="00D03065" w:rsidRPr="00611EB8">
        <w:rPr>
          <w:rFonts w:asciiTheme="minorHAnsi" w:hAnsiTheme="minorHAnsi"/>
          <w:color w:val="auto"/>
          <w:szCs w:val="24"/>
        </w:rPr>
        <w:t>.</w:t>
      </w:r>
      <w:r w:rsidR="00E54E8B" w:rsidRPr="00611EB8">
        <w:rPr>
          <w:rFonts w:asciiTheme="minorHAnsi" w:hAnsiTheme="minorHAnsi"/>
          <w:color w:val="auto"/>
          <w:szCs w:val="24"/>
        </w:rPr>
        <w:t xml:space="preserve">  The CI was diagnosed with PTSD</w:t>
      </w:r>
      <w:r w:rsidR="00640225" w:rsidRPr="00611EB8">
        <w:rPr>
          <w:rFonts w:asciiTheme="minorHAnsi" w:hAnsiTheme="minorHAnsi"/>
          <w:color w:val="auto"/>
          <w:szCs w:val="24"/>
        </w:rPr>
        <w:t>,</w:t>
      </w:r>
      <w:r w:rsidR="00E54E8B" w:rsidRPr="00611EB8">
        <w:rPr>
          <w:rFonts w:asciiTheme="minorHAnsi" w:hAnsiTheme="minorHAnsi"/>
          <w:color w:val="auto"/>
          <w:szCs w:val="24"/>
        </w:rPr>
        <w:t xml:space="preserve"> major</w:t>
      </w:r>
      <w:r w:rsidR="00640225" w:rsidRPr="00611EB8">
        <w:rPr>
          <w:rFonts w:asciiTheme="minorHAnsi" w:hAnsiTheme="minorHAnsi"/>
          <w:color w:val="auto"/>
          <w:szCs w:val="24"/>
        </w:rPr>
        <w:t xml:space="preserve"> depressive disorder, moderate, and </w:t>
      </w:r>
      <w:r w:rsidR="00640225" w:rsidRPr="003C169C">
        <w:rPr>
          <w:rFonts w:asciiTheme="minorHAnsi" w:hAnsiTheme="minorHAnsi"/>
          <w:color w:val="auto"/>
          <w:szCs w:val="24"/>
        </w:rPr>
        <w:t>his GAF was 55</w:t>
      </w:r>
      <w:r w:rsidR="00640225" w:rsidRPr="00611EB8">
        <w:rPr>
          <w:rFonts w:asciiTheme="minorHAnsi" w:hAnsiTheme="minorHAnsi"/>
          <w:color w:val="auto"/>
          <w:szCs w:val="24"/>
        </w:rPr>
        <w:t>.  In conclusion</w:t>
      </w:r>
      <w:r w:rsidR="005039DF">
        <w:rPr>
          <w:rFonts w:asciiTheme="minorHAnsi" w:hAnsiTheme="minorHAnsi"/>
          <w:color w:val="auto"/>
          <w:szCs w:val="24"/>
        </w:rPr>
        <w:t>,</w:t>
      </w:r>
      <w:r w:rsidR="00640225" w:rsidRPr="00611EB8">
        <w:rPr>
          <w:rFonts w:asciiTheme="minorHAnsi" w:hAnsiTheme="minorHAnsi"/>
          <w:color w:val="auto"/>
          <w:szCs w:val="24"/>
        </w:rPr>
        <w:t xml:space="preserve"> the examiner felt the CI could tolerate workplace stressors and that his mental health problems could lead to periods of inefficiency</w:t>
      </w:r>
      <w:r w:rsidR="005039DF">
        <w:rPr>
          <w:rFonts w:asciiTheme="minorHAnsi" w:hAnsiTheme="minorHAnsi"/>
          <w:color w:val="auto"/>
          <w:szCs w:val="24"/>
        </w:rPr>
        <w:t>,</w:t>
      </w:r>
      <w:r w:rsidR="00640225" w:rsidRPr="00611EB8">
        <w:rPr>
          <w:rFonts w:asciiTheme="minorHAnsi" w:hAnsiTheme="minorHAnsi"/>
          <w:color w:val="auto"/>
          <w:szCs w:val="24"/>
        </w:rPr>
        <w:t xml:space="preserve"> but would not preclude him from working on a consistent basis.</w:t>
      </w:r>
      <w:r w:rsidR="003C169C">
        <w:rPr>
          <w:rFonts w:asciiTheme="minorHAnsi" w:hAnsiTheme="minorHAnsi"/>
          <w:color w:val="auto"/>
          <w:szCs w:val="24"/>
        </w:rPr>
        <w:t xml:space="preserve">  </w:t>
      </w:r>
      <w:r w:rsidR="00640225" w:rsidRPr="00611EB8">
        <w:rPr>
          <w:rFonts w:asciiTheme="minorHAnsi" w:hAnsiTheme="minorHAnsi" w:cs="Courier New"/>
          <w:color w:val="auto"/>
          <w:szCs w:val="24"/>
        </w:rPr>
        <w:t>The Board determined that, although the CI was generally functioning satisfactorily (with routine behavior, self-care, and conversation normal)</w:t>
      </w:r>
      <w:proofErr w:type="gramStart"/>
      <w:r w:rsidR="005039DF">
        <w:rPr>
          <w:rFonts w:asciiTheme="minorHAnsi" w:hAnsiTheme="minorHAnsi" w:cs="Courier New"/>
          <w:color w:val="auto"/>
          <w:szCs w:val="24"/>
        </w:rPr>
        <w:t>,</w:t>
      </w:r>
      <w:proofErr w:type="gramEnd"/>
      <w:r w:rsidR="00640225" w:rsidRPr="00611EB8">
        <w:rPr>
          <w:rFonts w:asciiTheme="minorHAnsi" w:hAnsiTheme="minorHAnsi" w:cs="Courier New"/>
          <w:color w:val="auto"/>
          <w:szCs w:val="24"/>
        </w:rPr>
        <w:t xml:space="preserve"> his symptoms caused a moderate degree of occupational and social impairment, with occasional decreases in work efficiency and intermittent periods of inability to perform certain tasks.  A</w:t>
      </w:r>
      <w:r w:rsidR="00640225" w:rsidRPr="00611EB8">
        <w:rPr>
          <w:rFonts w:asciiTheme="minorHAnsi" w:hAnsiTheme="minorHAnsi"/>
          <w:color w:val="auto"/>
          <w:szCs w:val="24"/>
        </w:rPr>
        <w:t xml:space="preserve">fter considerable discussion and </w:t>
      </w:r>
      <w:r w:rsidR="00A758C5">
        <w:rPr>
          <w:rFonts w:asciiTheme="minorHAnsi" w:hAnsiTheme="minorHAnsi"/>
          <w:color w:val="auto"/>
          <w:szCs w:val="24"/>
        </w:rPr>
        <w:t>due</w:t>
      </w:r>
      <w:r w:rsidR="00640225" w:rsidRPr="00611EB8">
        <w:rPr>
          <w:rFonts w:asciiTheme="minorHAnsi" w:hAnsiTheme="minorHAnsi"/>
          <w:color w:val="auto"/>
          <w:szCs w:val="24"/>
        </w:rPr>
        <w:t xml:space="preserve"> deliberation, t</w:t>
      </w:r>
      <w:r w:rsidR="00DC35AA">
        <w:rPr>
          <w:rFonts w:asciiTheme="minorHAnsi" w:hAnsiTheme="minorHAnsi" w:cs="Courier New"/>
          <w:color w:val="auto"/>
          <w:szCs w:val="24"/>
        </w:rPr>
        <w:t xml:space="preserve">he Board determined by majority decision (2:1 vote) that the </w:t>
      </w:r>
      <w:r w:rsidR="005039DF">
        <w:rPr>
          <w:rFonts w:asciiTheme="minorHAnsi" w:hAnsiTheme="minorHAnsi" w:cs="Courier New"/>
          <w:color w:val="auto"/>
          <w:szCs w:val="24"/>
        </w:rPr>
        <w:t>m</w:t>
      </w:r>
      <w:r w:rsidR="00DC35AA">
        <w:rPr>
          <w:rFonts w:asciiTheme="minorHAnsi" w:hAnsiTheme="minorHAnsi" w:cs="Courier New"/>
          <w:color w:val="auto"/>
          <w:szCs w:val="24"/>
        </w:rPr>
        <w:t xml:space="preserve">ental </w:t>
      </w:r>
      <w:r w:rsidR="005039DF">
        <w:rPr>
          <w:rFonts w:asciiTheme="minorHAnsi" w:hAnsiTheme="minorHAnsi" w:cs="Courier New"/>
          <w:color w:val="auto"/>
          <w:szCs w:val="24"/>
        </w:rPr>
        <w:t>c</w:t>
      </w:r>
      <w:r w:rsidR="00DC35AA">
        <w:rPr>
          <w:rFonts w:asciiTheme="minorHAnsi" w:hAnsiTheme="minorHAnsi" w:cs="Courier New"/>
          <w:color w:val="auto"/>
          <w:szCs w:val="24"/>
        </w:rPr>
        <w:t xml:space="preserve">ondition (PTSD, with </w:t>
      </w:r>
      <w:r w:rsidR="005039DF">
        <w:rPr>
          <w:rFonts w:asciiTheme="minorHAnsi" w:hAnsiTheme="minorHAnsi" w:cs="Courier New"/>
          <w:color w:val="auto"/>
          <w:szCs w:val="24"/>
        </w:rPr>
        <w:t>a</w:t>
      </w:r>
      <w:r w:rsidR="00DC35AA">
        <w:rPr>
          <w:rFonts w:asciiTheme="minorHAnsi" w:hAnsiTheme="minorHAnsi" w:cs="Courier New"/>
          <w:color w:val="auto"/>
          <w:szCs w:val="24"/>
        </w:rPr>
        <w:t xml:space="preserve">nxiety disorder) should be given </w:t>
      </w:r>
      <w:r w:rsidR="008E7F80">
        <w:rPr>
          <w:rFonts w:asciiTheme="minorHAnsi" w:hAnsiTheme="minorHAnsi" w:cs="Courier New"/>
          <w:color w:val="auto"/>
          <w:szCs w:val="24"/>
        </w:rPr>
        <w:t xml:space="preserve">a permanent </w:t>
      </w:r>
      <w:r w:rsidR="00640225" w:rsidRPr="00611EB8">
        <w:rPr>
          <w:rFonts w:asciiTheme="minorHAnsi" w:hAnsiTheme="minorHAnsi" w:cs="Courier New"/>
          <w:color w:val="auto"/>
          <w:szCs w:val="24"/>
        </w:rPr>
        <w:t>separation rating of 30%</w:t>
      </w:r>
      <w:r w:rsidR="00640225" w:rsidRPr="00611EB8">
        <w:rPr>
          <w:rFonts w:asciiTheme="minorHAnsi" w:hAnsiTheme="minorHAnsi"/>
          <w:color w:val="auto"/>
          <w:szCs w:val="24"/>
        </w:rPr>
        <w:t xml:space="preserve"> IAW VASRD §4.130.  </w:t>
      </w:r>
    </w:p>
    <w:p w:rsidR="00653349" w:rsidRPr="00611EB8" w:rsidRDefault="00653349" w:rsidP="00660807">
      <w:pPr>
        <w:autoSpaceDE w:val="0"/>
        <w:autoSpaceDN w:val="0"/>
        <w:adjustRightInd w:val="0"/>
        <w:spacing w:line="240" w:lineRule="exact"/>
        <w:rPr>
          <w:rFonts w:asciiTheme="minorHAnsi" w:hAnsiTheme="minorHAnsi"/>
          <w:color w:val="auto"/>
          <w:szCs w:val="24"/>
        </w:rPr>
      </w:pPr>
    </w:p>
    <w:p w:rsidR="00340EBD" w:rsidRDefault="00B7111B" w:rsidP="00BF0DFD">
      <w:pPr>
        <w:autoSpaceDE w:val="0"/>
        <w:autoSpaceDN w:val="0"/>
        <w:adjustRightInd w:val="0"/>
        <w:spacing w:line="240" w:lineRule="exact"/>
        <w:jc w:val="both"/>
        <w:rPr>
          <w:rFonts w:asciiTheme="minorHAnsi" w:hAnsiTheme="minorHAnsi"/>
          <w:color w:val="auto"/>
          <w:szCs w:val="24"/>
        </w:rPr>
      </w:pPr>
      <w:r w:rsidRPr="00611EB8">
        <w:rPr>
          <w:rFonts w:asciiTheme="minorHAnsi" w:hAnsiTheme="minorHAnsi"/>
          <w:color w:val="auto"/>
          <w:szCs w:val="24"/>
          <w:u w:val="single"/>
        </w:rPr>
        <w:t>Low Back</w:t>
      </w:r>
      <w:r w:rsidR="00AC29E1">
        <w:rPr>
          <w:rFonts w:asciiTheme="minorHAnsi" w:hAnsiTheme="minorHAnsi"/>
          <w:color w:val="auto"/>
          <w:szCs w:val="24"/>
          <w:u w:val="single"/>
        </w:rPr>
        <w:t xml:space="preserve"> Pain</w:t>
      </w:r>
      <w:r w:rsidRPr="00611EB8">
        <w:rPr>
          <w:rFonts w:asciiTheme="minorHAnsi" w:hAnsiTheme="minorHAnsi"/>
          <w:color w:val="auto"/>
          <w:szCs w:val="24"/>
          <w:u w:val="single"/>
        </w:rPr>
        <w:t xml:space="preserve"> and Extremity P</w:t>
      </w:r>
      <w:r w:rsidR="00C630BB" w:rsidRPr="00611EB8">
        <w:rPr>
          <w:rFonts w:asciiTheme="minorHAnsi" w:hAnsiTheme="minorHAnsi"/>
          <w:color w:val="auto"/>
          <w:szCs w:val="24"/>
          <w:u w:val="single"/>
        </w:rPr>
        <w:t>ain</w:t>
      </w:r>
      <w:r w:rsidR="00C630BB" w:rsidRPr="00DC35AA">
        <w:rPr>
          <w:rFonts w:asciiTheme="minorHAnsi" w:hAnsiTheme="minorHAnsi"/>
          <w:color w:val="auto"/>
          <w:szCs w:val="24"/>
        </w:rPr>
        <w:t>.</w:t>
      </w:r>
      <w:r w:rsidR="00C630BB" w:rsidRPr="00611EB8">
        <w:rPr>
          <w:rFonts w:asciiTheme="minorHAnsi" w:hAnsiTheme="minorHAnsi"/>
          <w:color w:val="auto"/>
          <w:szCs w:val="24"/>
        </w:rPr>
        <w:t xml:space="preserve"> </w:t>
      </w:r>
      <w:r w:rsidR="00D517A2" w:rsidRPr="00611EB8">
        <w:rPr>
          <w:rFonts w:asciiTheme="minorHAnsi" w:hAnsiTheme="minorHAnsi"/>
          <w:color w:val="auto"/>
          <w:szCs w:val="24"/>
        </w:rPr>
        <w:t xml:space="preserve"> </w:t>
      </w:r>
      <w:r w:rsidR="00FB3403" w:rsidRPr="00611EB8">
        <w:rPr>
          <w:rFonts w:asciiTheme="minorHAnsi" w:hAnsiTheme="minorHAnsi"/>
          <w:color w:val="auto"/>
          <w:szCs w:val="24"/>
        </w:rPr>
        <w:t>The CI injured his back in May</w:t>
      </w:r>
      <w:r w:rsidR="0024565F" w:rsidRPr="00611EB8">
        <w:rPr>
          <w:rFonts w:asciiTheme="minorHAnsi" w:hAnsiTheme="minorHAnsi"/>
          <w:color w:val="auto"/>
          <w:szCs w:val="24"/>
        </w:rPr>
        <w:t xml:space="preserve"> 2006</w:t>
      </w:r>
      <w:r w:rsidR="00FB3403" w:rsidRPr="00611EB8">
        <w:rPr>
          <w:rFonts w:asciiTheme="minorHAnsi" w:hAnsiTheme="minorHAnsi"/>
          <w:color w:val="auto"/>
          <w:szCs w:val="24"/>
        </w:rPr>
        <w:t xml:space="preserve"> wh</w:t>
      </w:r>
      <w:r w:rsidR="008E7F80">
        <w:rPr>
          <w:rFonts w:asciiTheme="minorHAnsi" w:hAnsiTheme="minorHAnsi"/>
          <w:color w:val="auto"/>
          <w:szCs w:val="24"/>
        </w:rPr>
        <w:t>ile</w:t>
      </w:r>
      <w:r w:rsidR="00FB3403" w:rsidRPr="00611EB8">
        <w:rPr>
          <w:rFonts w:asciiTheme="minorHAnsi" w:hAnsiTheme="minorHAnsi"/>
          <w:color w:val="auto"/>
          <w:szCs w:val="24"/>
        </w:rPr>
        <w:t xml:space="preserve"> playing basketball.  He landed on his buttocks and complained of pain radiating down his right leg. </w:t>
      </w:r>
      <w:r w:rsidR="0024565F" w:rsidRPr="00611EB8">
        <w:rPr>
          <w:rFonts w:asciiTheme="minorHAnsi" w:hAnsiTheme="minorHAnsi"/>
          <w:color w:val="auto"/>
          <w:szCs w:val="24"/>
        </w:rPr>
        <w:t xml:space="preserve"> </w:t>
      </w:r>
      <w:r w:rsidR="00A17CD5" w:rsidRPr="00611EB8">
        <w:rPr>
          <w:rFonts w:asciiTheme="minorHAnsi" w:hAnsiTheme="minorHAnsi"/>
          <w:color w:val="auto"/>
          <w:szCs w:val="24"/>
        </w:rPr>
        <w:t xml:space="preserve">X-rays of </w:t>
      </w:r>
      <w:r w:rsidR="00461ECD">
        <w:rPr>
          <w:rFonts w:asciiTheme="minorHAnsi" w:hAnsiTheme="minorHAnsi"/>
          <w:color w:val="auto"/>
          <w:szCs w:val="24"/>
        </w:rPr>
        <w:t>the</w:t>
      </w:r>
      <w:r w:rsidR="00A17CD5" w:rsidRPr="00611EB8">
        <w:rPr>
          <w:rFonts w:asciiTheme="minorHAnsi" w:hAnsiTheme="minorHAnsi"/>
          <w:color w:val="auto"/>
          <w:szCs w:val="24"/>
        </w:rPr>
        <w:t xml:space="preserve"> lumbar spine were normal</w:t>
      </w:r>
      <w:r w:rsidR="007C33D2" w:rsidRPr="00611EB8">
        <w:rPr>
          <w:rFonts w:asciiTheme="minorHAnsi" w:hAnsiTheme="minorHAnsi"/>
          <w:color w:val="auto"/>
          <w:szCs w:val="24"/>
        </w:rPr>
        <w:t>.  H</w:t>
      </w:r>
      <w:r w:rsidR="00FB3403" w:rsidRPr="00611EB8">
        <w:rPr>
          <w:rFonts w:asciiTheme="minorHAnsi" w:hAnsiTheme="minorHAnsi"/>
          <w:color w:val="auto"/>
          <w:szCs w:val="24"/>
        </w:rPr>
        <w:t>e was treated with medication</w:t>
      </w:r>
      <w:r w:rsidR="00A758C5">
        <w:rPr>
          <w:rFonts w:asciiTheme="minorHAnsi" w:hAnsiTheme="minorHAnsi"/>
          <w:color w:val="auto"/>
          <w:szCs w:val="24"/>
        </w:rPr>
        <w:t>,</w:t>
      </w:r>
      <w:r w:rsidR="007C33D2" w:rsidRPr="00611EB8">
        <w:rPr>
          <w:rFonts w:asciiTheme="minorHAnsi" w:hAnsiTheme="minorHAnsi"/>
          <w:color w:val="auto"/>
          <w:szCs w:val="24"/>
        </w:rPr>
        <w:t xml:space="preserve"> </w:t>
      </w:r>
      <w:r w:rsidR="00FB3403" w:rsidRPr="00611EB8">
        <w:rPr>
          <w:rFonts w:asciiTheme="minorHAnsi" w:hAnsiTheme="minorHAnsi"/>
          <w:color w:val="auto"/>
          <w:szCs w:val="24"/>
        </w:rPr>
        <w:t>and was referred to physic</w:t>
      </w:r>
      <w:r w:rsidR="00646A91">
        <w:rPr>
          <w:rFonts w:asciiTheme="minorHAnsi" w:hAnsiTheme="minorHAnsi"/>
          <w:color w:val="auto"/>
          <w:szCs w:val="24"/>
        </w:rPr>
        <w:t>al therapy</w:t>
      </w:r>
      <w:r w:rsidR="00A758C5">
        <w:rPr>
          <w:rFonts w:asciiTheme="minorHAnsi" w:hAnsiTheme="minorHAnsi"/>
          <w:color w:val="auto"/>
          <w:szCs w:val="24"/>
        </w:rPr>
        <w:t xml:space="preserve"> (PT)</w:t>
      </w:r>
      <w:r w:rsidR="00646A91">
        <w:rPr>
          <w:rFonts w:asciiTheme="minorHAnsi" w:hAnsiTheme="minorHAnsi"/>
          <w:color w:val="auto"/>
          <w:szCs w:val="24"/>
        </w:rPr>
        <w:t xml:space="preserve"> in October 2006.</w:t>
      </w:r>
      <w:r w:rsidR="00461ECD">
        <w:rPr>
          <w:rFonts w:asciiTheme="minorHAnsi" w:hAnsiTheme="minorHAnsi"/>
          <w:color w:val="auto"/>
          <w:szCs w:val="24"/>
        </w:rPr>
        <w:t xml:space="preserve"> </w:t>
      </w:r>
      <w:r w:rsidR="00646A91">
        <w:rPr>
          <w:rFonts w:asciiTheme="minorHAnsi" w:hAnsiTheme="minorHAnsi"/>
          <w:color w:val="auto"/>
          <w:szCs w:val="24"/>
        </w:rPr>
        <w:t xml:space="preserve"> </w:t>
      </w:r>
      <w:r w:rsidR="007B1BF0" w:rsidRPr="00611EB8">
        <w:rPr>
          <w:rFonts w:asciiTheme="minorHAnsi" w:hAnsiTheme="minorHAnsi"/>
          <w:color w:val="auto"/>
          <w:szCs w:val="24"/>
        </w:rPr>
        <w:t xml:space="preserve">Pain medication and </w:t>
      </w:r>
      <w:r w:rsidR="002F392E">
        <w:rPr>
          <w:rFonts w:asciiTheme="minorHAnsi" w:hAnsiTheme="minorHAnsi"/>
          <w:color w:val="auto"/>
          <w:szCs w:val="24"/>
        </w:rPr>
        <w:t>PT</w:t>
      </w:r>
      <w:r w:rsidR="007B1BF0" w:rsidRPr="00611EB8">
        <w:rPr>
          <w:rFonts w:asciiTheme="minorHAnsi" w:hAnsiTheme="minorHAnsi"/>
          <w:color w:val="auto"/>
          <w:szCs w:val="24"/>
        </w:rPr>
        <w:t xml:space="preserve"> produced minimal improvement</w:t>
      </w:r>
      <w:r w:rsidR="002F392E">
        <w:rPr>
          <w:rFonts w:asciiTheme="minorHAnsi" w:hAnsiTheme="minorHAnsi"/>
          <w:color w:val="auto"/>
          <w:szCs w:val="24"/>
        </w:rPr>
        <w:t xml:space="preserve">.  </w:t>
      </w:r>
      <w:r w:rsidR="005039DF">
        <w:rPr>
          <w:rFonts w:asciiTheme="minorHAnsi" w:hAnsiTheme="minorHAnsi"/>
          <w:color w:val="auto"/>
          <w:szCs w:val="24"/>
        </w:rPr>
        <w:t>A m</w:t>
      </w:r>
      <w:r w:rsidR="002F392E">
        <w:rPr>
          <w:rFonts w:asciiTheme="minorHAnsi" w:hAnsiTheme="minorHAnsi"/>
          <w:color w:val="auto"/>
          <w:szCs w:val="24"/>
        </w:rPr>
        <w:t xml:space="preserve">agnetic </w:t>
      </w:r>
      <w:r w:rsidR="005039DF">
        <w:rPr>
          <w:rFonts w:asciiTheme="minorHAnsi" w:hAnsiTheme="minorHAnsi"/>
          <w:color w:val="auto"/>
          <w:szCs w:val="24"/>
        </w:rPr>
        <w:t>r</w:t>
      </w:r>
      <w:r w:rsidR="002F392E">
        <w:rPr>
          <w:rFonts w:asciiTheme="minorHAnsi" w:hAnsiTheme="minorHAnsi"/>
          <w:color w:val="auto"/>
          <w:szCs w:val="24"/>
        </w:rPr>
        <w:t xml:space="preserve">esonance </w:t>
      </w:r>
      <w:r w:rsidR="005039DF">
        <w:rPr>
          <w:rFonts w:asciiTheme="minorHAnsi" w:hAnsiTheme="minorHAnsi"/>
          <w:color w:val="auto"/>
          <w:szCs w:val="24"/>
        </w:rPr>
        <w:t>i</w:t>
      </w:r>
      <w:r w:rsidR="002F392E">
        <w:rPr>
          <w:rFonts w:asciiTheme="minorHAnsi" w:hAnsiTheme="minorHAnsi"/>
          <w:color w:val="auto"/>
          <w:szCs w:val="24"/>
        </w:rPr>
        <w:t>maging (</w:t>
      </w:r>
      <w:r w:rsidR="00900F9E" w:rsidRPr="00611EB8">
        <w:rPr>
          <w:rFonts w:asciiTheme="minorHAnsi" w:hAnsiTheme="minorHAnsi"/>
          <w:color w:val="auto"/>
          <w:szCs w:val="24"/>
        </w:rPr>
        <w:t>MRI</w:t>
      </w:r>
      <w:r w:rsidR="002F392E">
        <w:rPr>
          <w:rFonts w:asciiTheme="minorHAnsi" w:hAnsiTheme="minorHAnsi"/>
          <w:color w:val="auto"/>
          <w:szCs w:val="24"/>
        </w:rPr>
        <w:t>) in November</w:t>
      </w:r>
      <w:r w:rsidR="007B1BF0" w:rsidRPr="00611EB8">
        <w:rPr>
          <w:rFonts w:asciiTheme="minorHAnsi" w:hAnsiTheme="minorHAnsi"/>
          <w:color w:val="auto"/>
          <w:szCs w:val="24"/>
        </w:rPr>
        <w:t xml:space="preserve"> 2006</w:t>
      </w:r>
      <w:r w:rsidR="00900F9E" w:rsidRPr="00611EB8">
        <w:rPr>
          <w:rFonts w:asciiTheme="minorHAnsi" w:hAnsiTheme="minorHAnsi"/>
          <w:color w:val="auto"/>
          <w:szCs w:val="24"/>
        </w:rPr>
        <w:t xml:space="preserve"> showed bulging discs at L4-L5 and L5-S1</w:t>
      </w:r>
      <w:r w:rsidR="008E7F80">
        <w:rPr>
          <w:rFonts w:asciiTheme="minorHAnsi" w:hAnsiTheme="minorHAnsi"/>
          <w:color w:val="auto"/>
          <w:szCs w:val="24"/>
        </w:rPr>
        <w:t>,</w:t>
      </w:r>
      <w:r w:rsidR="00900F9E" w:rsidRPr="00611EB8">
        <w:rPr>
          <w:rFonts w:asciiTheme="minorHAnsi" w:hAnsiTheme="minorHAnsi"/>
          <w:color w:val="auto"/>
          <w:szCs w:val="24"/>
        </w:rPr>
        <w:t xml:space="preserve"> </w:t>
      </w:r>
      <w:r w:rsidR="00477D09" w:rsidRPr="003C169C">
        <w:rPr>
          <w:rFonts w:asciiTheme="minorHAnsi" w:hAnsiTheme="minorHAnsi"/>
          <w:color w:val="auto"/>
          <w:szCs w:val="24"/>
        </w:rPr>
        <w:t>but the spinal canal a</w:t>
      </w:r>
      <w:r w:rsidR="00646A91" w:rsidRPr="003C169C">
        <w:rPr>
          <w:rFonts w:asciiTheme="minorHAnsi" w:hAnsiTheme="minorHAnsi"/>
          <w:color w:val="auto"/>
          <w:szCs w:val="24"/>
        </w:rPr>
        <w:t>nd neural foram</w:t>
      </w:r>
      <w:r w:rsidR="002F392E" w:rsidRPr="003C169C">
        <w:rPr>
          <w:rFonts w:asciiTheme="minorHAnsi" w:hAnsiTheme="minorHAnsi"/>
          <w:color w:val="auto"/>
          <w:szCs w:val="24"/>
        </w:rPr>
        <w:t>ina</w:t>
      </w:r>
      <w:r w:rsidR="00646A91" w:rsidRPr="003C169C">
        <w:rPr>
          <w:rFonts w:asciiTheme="minorHAnsi" w:hAnsiTheme="minorHAnsi"/>
          <w:color w:val="auto"/>
          <w:szCs w:val="24"/>
        </w:rPr>
        <w:t xml:space="preserve"> were patent</w:t>
      </w:r>
      <w:r w:rsidR="00646A91">
        <w:rPr>
          <w:rFonts w:asciiTheme="minorHAnsi" w:hAnsiTheme="minorHAnsi"/>
          <w:color w:val="auto"/>
          <w:szCs w:val="24"/>
        </w:rPr>
        <w:t xml:space="preserve">. </w:t>
      </w:r>
      <w:r w:rsidR="005039DF">
        <w:rPr>
          <w:rFonts w:asciiTheme="minorHAnsi" w:hAnsiTheme="minorHAnsi"/>
          <w:color w:val="auto"/>
          <w:szCs w:val="24"/>
        </w:rPr>
        <w:t xml:space="preserve"> </w:t>
      </w:r>
      <w:r w:rsidR="00477D09" w:rsidRPr="00611EB8">
        <w:rPr>
          <w:rFonts w:asciiTheme="minorHAnsi" w:hAnsiTheme="minorHAnsi"/>
          <w:color w:val="auto"/>
          <w:szCs w:val="24"/>
        </w:rPr>
        <w:t>T</w:t>
      </w:r>
      <w:r w:rsidR="00900F9E" w:rsidRPr="00611EB8">
        <w:rPr>
          <w:rFonts w:asciiTheme="minorHAnsi" w:hAnsiTheme="minorHAnsi"/>
          <w:color w:val="auto"/>
          <w:szCs w:val="24"/>
        </w:rPr>
        <w:t xml:space="preserve">he impression was lumbar </w:t>
      </w:r>
      <w:proofErr w:type="spellStart"/>
      <w:r w:rsidR="00900F9E" w:rsidRPr="00611EB8">
        <w:rPr>
          <w:rFonts w:asciiTheme="minorHAnsi" w:hAnsiTheme="minorHAnsi"/>
          <w:color w:val="auto"/>
          <w:szCs w:val="24"/>
        </w:rPr>
        <w:t>spondylosis</w:t>
      </w:r>
      <w:proofErr w:type="spellEnd"/>
      <w:r w:rsidR="00900F9E" w:rsidRPr="00611EB8">
        <w:rPr>
          <w:rFonts w:asciiTheme="minorHAnsi" w:hAnsiTheme="minorHAnsi"/>
          <w:color w:val="auto"/>
          <w:szCs w:val="24"/>
        </w:rPr>
        <w:t xml:space="preserve">.  </w:t>
      </w:r>
      <w:r w:rsidR="007B1BF0" w:rsidRPr="00611EB8">
        <w:rPr>
          <w:rFonts w:asciiTheme="minorHAnsi" w:hAnsiTheme="minorHAnsi"/>
          <w:color w:val="auto"/>
          <w:szCs w:val="24"/>
        </w:rPr>
        <w:t>The neurologist felt his problem was mecha</w:t>
      </w:r>
      <w:r w:rsidR="002F392E">
        <w:rPr>
          <w:rFonts w:asciiTheme="minorHAnsi" w:hAnsiTheme="minorHAnsi"/>
          <w:color w:val="auto"/>
          <w:szCs w:val="24"/>
        </w:rPr>
        <w:t>nical</w:t>
      </w:r>
      <w:r w:rsidR="007B1BF0" w:rsidRPr="00611EB8">
        <w:rPr>
          <w:rFonts w:asciiTheme="minorHAnsi" w:hAnsiTheme="minorHAnsi"/>
          <w:color w:val="auto"/>
          <w:szCs w:val="24"/>
        </w:rPr>
        <w:t xml:space="preserve"> rather than radicular.</w:t>
      </w:r>
      <w:r w:rsidR="008E7F80">
        <w:rPr>
          <w:rFonts w:asciiTheme="minorHAnsi" w:hAnsiTheme="minorHAnsi"/>
          <w:color w:val="auto"/>
          <w:szCs w:val="24"/>
        </w:rPr>
        <w:t xml:space="preserve">  Computerized tomography (CT)</w:t>
      </w:r>
      <w:r w:rsidR="00053392" w:rsidRPr="00611EB8">
        <w:rPr>
          <w:rFonts w:asciiTheme="minorHAnsi" w:hAnsiTheme="minorHAnsi"/>
          <w:color w:val="auto"/>
          <w:szCs w:val="24"/>
        </w:rPr>
        <w:t xml:space="preserve"> </w:t>
      </w:r>
      <w:r w:rsidR="007B1BF0" w:rsidRPr="00611EB8">
        <w:rPr>
          <w:rFonts w:asciiTheme="minorHAnsi" w:hAnsiTheme="minorHAnsi"/>
          <w:color w:val="auto"/>
          <w:szCs w:val="24"/>
        </w:rPr>
        <w:t xml:space="preserve">was negative for lumbar disease but did show some asymmetric </w:t>
      </w:r>
      <w:r w:rsidR="00071BC7" w:rsidRPr="00611EB8">
        <w:rPr>
          <w:rFonts w:asciiTheme="minorHAnsi" w:hAnsiTheme="minorHAnsi"/>
          <w:color w:val="auto"/>
          <w:szCs w:val="24"/>
        </w:rPr>
        <w:t>degeneration in the right sacro</w:t>
      </w:r>
      <w:r w:rsidR="007B1BF0" w:rsidRPr="00611EB8">
        <w:rPr>
          <w:rFonts w:asciiTheme="minorHAnsi" w:hAnsiTheme="minorHAnsi"/>
          <w:color w:val="auto"/>
          <w:szCs w:val="24"/>
        </w:rPr>
        <w:t>ilia</w:t>
      </w:r>
      <w:r w:rsidR="00900F9E" w:rsidRPr="00611EB8">
        <w:rPr>
          <w:rFonts w:asciiTheme="minorHAnsi" w:hAnsiTheme="minorHAnsi"/>
          <w:color w:val="auto"/>
          <w:szCs w:val="24"/>
        </w:rPr>
        <w:t>c</w:t>
      </w:r>
      <w:r w:rsidR="00645F6D" w:rsidRPr="00611EB8">
        <w:rPr>
          <w:rFonts w:asciiTheme="minorHAnsi" w:hAnsiTheme="minorHAnsi"/>
          <w:color w:val="auto"/>
          <w:szCs w:val="24"/>
        </w:rPr>
        <w:t xml:space="preserve"> (SI)</w:t>
      </w:r>
      <w:r w:rsidR="00900F9E" w:rsidRPr="00611EB8">
        <w:rPr>
          <w:rFonts w:asciiTheme="minorHAnsi" w:hAnsiTheme="minorHAnsi"/>
          <w:color w:val="auto"/>
          <w:szCs w:val="24"/>
        </w:rPr>
        <w:t xml:space="preserve"> </w:t>
      </w:r>
      <w:r w:rsidR="00646A91">
        <w:rPr>
          <w:rFonts w:asciiTheme="minorHAnsi" w:hAnsiTheme="minorHAnsi"/>
          <w:color w:val="auto"/>
          <w:szCs w:val="24"/>
        </w:rPr>
        <w:t xml:space="preserve">joint. </w:t>
      </w:r>
      <w:r w:rsidR="00C630BB" w:rsidRPr="00611EB8">
        <w:rPr>
          <w:rFonts w:asciiTheme="minorHAnsi" w:hAnsiTheme="minorHAnsi"/>
          <w:color w:val="auto"/>
          <w:szCs w:val="24"/>
        </w:rPr>
        <w:t xml:space="preserve">The CI was evaluated </w:t>
      </w:r>
      <w:r w:rsidR="007B0206" w:rsidRPr="00611EB8">
        <w:rPr>
          <w:rFonts w:asciiTheme="minorHAnsi" w:hAnsiTheme="minorHAnsi"/>
          <w:color w:val="auto"/>
          <w:szCs w:val="24"/>
        </w:rPr>
        <w:t xml:space="preserve">by </w:t>
      </w:r>
      <w:r w:rsidR="005039DF">
        <w:rPr>
          <w:rFonts w:asciiTheme="minorHAnsi" w:hAnsiTheme="minorHAnsi"/>
          <w:color w:val="auto"/>
          <w:szCs w:val="24"/>
        </w:rPr>
        <w:t>n</w:t>
      </w:r>
      <w:r w:rsidR="007B0206" w:rsidRPr="00611EB8">
        <w:rPr>
          <w:rFonts w:asciiTheme="minorHAnsi" w:hAnsiTheme="minorHAnsi"/>
          <w:color w:val="auto"/>
          <w:szCs w:val="24"/>
        </w:rPr>
        <w:t xml:space="preserve">eurosurgery </w:t>
      </w:r>
      <w:r w:rsidR="00C630BB" w:rsidRPr="00611EB8">
        <w:rPr>
          <w:rFonts w:asciiTheme="minorHAnsi" w:hAnsiTheme="minorHAnsi"/>
          <w:color w:val="auto"/>
          <w:szCs w:val="24"/>
        </w:rPr>
        <w:t xml:space="preserve">in January </w:t>
      </w:r>
      <w:r w:rsidR="00684AF9" w:rsidRPr="00611EB8">
        <w:rPr>
          <w:rFonts w:asciiTheme="minorHAnsi" w:hAnsiTheme="minorHAnsi"/>
          <w:color w:val="auto"/>
          <w:szCs w:val="24"/>
        </w:rPr>
        <w:t>2007 due to the persistent back and right leg pain.</w:t>
      </w:r>
      <w:r w:rsidR="00C630BB" w:rsidRPr="00611EB8">
        <w:rPr>
          <w:rFonts w:asciiTheme="minorHAnsi" w:hAnsiTheme="minorHAnsi"/>
          <w:color w:val="auto"/>
          <w:szCs w:val="24"/>
        </w:rPr>
        <w:t xml:space="preserve"> </w:t>
      </w:r>
      <w:r w:rsidR="00F81165" w:rsidRPr="00611EB8">
        <w:rPr>
          <w:rFonts w:asciiTheme="minorHAnsi" w:hAnsiTheme="minorHAnsi"/>
          <w:color w:val="auto"/>
          <w:szCs w:val="24"/>
        </w:rPr>
        <w:t xml:space="preserve"> </w:t>
      </w:r>
      <w:r w:rsidR="00684AF9" w:rsidRPr="00611EB8">
        <w:rPr>
          <w:rFonts w:asciiTheme="minorHAnsi" w:hAnsiTheme="minorHAnsi"/>
          <w:color w:val="auto"/>
          <w:szCs w:val="24"/>
        </w:rPr>
        <w:t xml:space="preserve">During this exam, the CI </w:t>
      </w:r>
      <w:r w:rsidR="008E7F80">
        <w:rPr>
          <w:rFonts w:asciiTheme="minorHAnsi" w:hAnsiTheme="minorHAnsi"/>
          <w:color w:val="auto"/>
          <w:szCs w:val="24"/>
        </w:rPr>
        <w:t>said</w:t>
      </w:r>
      <w:r w:rsidR="00684AF9" w:rsidRPr="00611EB8">
        <w:rPr>
          <w:rFonts w:asciiTheme="minorHAnsi" w:hAnsiTheme="minorHAnsi"/>
          <w:color w:val="auto"/>
          <w:szCs w:val="24"/>
        </w:rPr>
        <w:t xml:space="preserve"> that his</w:t>
      </w:r>
      <w:r w:rsidR="00C630BB" w:rsidRPr="00611EB8">
        <w:rPr>
          <w:rFonts w:asciiTheme="minorHAnsi" w:hAnsiTheme="minorHAnsi"/>
          <w:color w:val="auto"/>
          <w:szCs w:val="24"/>
        </w:rPr>
        <w:t xml:space="preserve"> back pain</w:t>
      </w:r>
      <w:r w:rsidR="00053392" w:rsidRPr="00611EB8">
        <w:rPr>
          <w:rFonts w:asciiTheme="minorHAnsi" w:hAnsiTheme="minorHAnsi"/>
          <w:color w:val="auto"/>
          <w:szCs w:val="24"/>
        </w:rPr>
        <w:t xml:space="preserve"> and leg symptoms were worse with bending, prolonged standing, walking, running, and prolonged sitting</w:t>
      </w:r>
      <w:r w:rsidR="00C630BB" w:rsidRPr="00611EB8">
        <w:rPr>
          <w:rFonts w:asciiTheme="minorHAnsi" w:hAnsiTheme="minorHAnsi"/>
          <w:color w:val="auto"/>
          <w:szCs w:val="24"/>
        </w:rPr>
        <w:t xml:space="preserve">.  The CI </w:t>
      </w:r>
      <w:r w:rsidR="00684AF9" w:rsidRPr="00611EB8">
        <w:rPr>
          <w:rFonts w:asciiTheme="minorHAnsi" w:hAnsiTheme="minorHAnsi"/>
          <w:color w:val="auto"/>
          <w:szCs w:val="24"/>
        </w:rPr>
        <w:t xml:space="preserve">also </w:t>
      </w:r>
      <w:r w:rsidR="008E7F80">
        <w:rPr>
          <w:rFonts w:asciiTheme="minorHAnsi" w:hAnsiTheme="minorHAnsi"/>
          <w:color w:val="auto"/>
          <w:szCs w:val="24"/>
        </w:rPr>
        <w:t xml:space="preserve">reported </w:t>
      </w:r>
      <w:r w:rsidR="00211739">
        <w:rPr>
          <w:rFonts w:asciiTheme="minorHAnsi" w:hAnsiTheme="minorHAnsi"/>
          <w:color w:val="auto"/>
          <w:szCs w:val="24"/>
        </w:rPr>
        <w:t>intermittent pain</w:t>
      </w:r>
      <w:r w:rsidR="008E7F80">
        <w:rPr>
          <w:rFonts w:asciiTheme="minorHAnsi" w:hAnsiTheme="minorHAnsi"/>
          <w:color w:val="auto"/>
          <w:szCs w:val="24"/>
        </w:rPr>
        <w:t xml:space="preserve"> in the </w:t>
      </w:r>
      <w:r w:rsidR="00C630BB" w:rsidRPr="00611EB8">
        <w:rPr>
          <w:rFonts w:asciiTheme="minorHAnsi" w:hAnsiTheme="minorHAnsi"/>
          <w:color w:val="auto"/>
          <w:szCs w:val="24"/>
        </w:rPr>
        <w:t xml:space="preserve">right foot. </w:t>
      </w:r>
      <w:r w:rsidR="00053392" w:rsidRPr="00611EB8">
        <w:rPr>
          <w:rFonts w:asciiTheme="minorHAnsi" w:hAnsiTheme="minorHAnsi"/>
          <w:color w:val="auto"/>
          <w:szCs w:val="24"/>
        </w:rPr>
        <w:t xml:space="preserve"> </w:t>
      </w:r>
      <w:r w:rsidR="00900F9E" w:rsidRPr="00611EB8">
        <w:rPr>
          <w:rFonts w:asciiTheme="minorHAnsi" w:hAnsiTheme="minorHAnsi"/>
          <w:color w:val="auto"/>
          <w:szCs w:val="24"/>
        </w:rPr>
        <w:t xml:space="preserve"> A second</w:t>
      </w:r>
      <w:r w:rsidR="00684AF9" w:rsidRPr="00611EB8">
        <w:rPr>
          <w:rFonts w:asciiTheme="minorHAnsi" w:hAnsiTheme="minorHAnsi"/>
          <w:color w:val="auto"/>
          <w:szCs w:val="24"/>
        </w:rPr>
        <w:t xml:space="preserve"> </w:t>
      </w:r>
      <w:r w:rsidR="00250385" w:rsidRPr="00611EB8">
        <w:rPr>
          <w:rFonts w:asciiTheme="minorHAnsi" w:hAnsiTheme="minorHAnsi"/>
          <w:color w:val="auto"/>
          <w:szCs w:val="24"/>
        </w:rPr>
        <w:t xml:space="preserve">lumbar </w:t>
      </w:r>
      <w:r w:rsidR="00C630BB" w:rsidRPr="00611EB8">
        <w:rPr>
          <w:rFonts w:asciiTheme="minorHAnsi" w:hAnsiTheme="minorHAnsi"/>
          <w:color w:val="auto"/>
          <w:szCs w:val="24"/>
        </w:rPr>
        <w:t>MRI</w:t>
      </w:r>
      <w:r w:rsidR="00900F9E" w:rsidRPr="00611EB8">
        <w:rPr>
          <w:rFonts w:asciiTheme="minorHAnsi" w:hAnsiTheme="minorHAnsi"/>
          <w:color w:val="auto"/>
          <w:szCs w:val="24"/>
        </w:rPr>
        <w:t xml:space="preserve"> </w:t>
      </w:r>
      <w:r w:rsidR="005039DF">
        <w:rPr>
          <w:rFonts w:asciiTheme="minorHAnsi" w:hAnsiTheme="minorHAnsi"/>
          <w:color w:val="auto"/>
          <w:szCs w:val="24"/>
        </w:rPr>
        <w:t xml:space="preserve">in </w:t>
      </w:r>
      <w:r w:rsidR="00900F9E" w:rsidRPr="00611EB8">
        <w:rPr>
          <w:rFonts w:asciiTheme="minorHAnsi" w:hAnsiTheme="minorHAnsi"/>
          <w:color w:val="auto"/>
          <w:szCs w:val="24"/>
        </w:rPr>
        <w:t>Mar</w:t>
      </w:r>
      <w:r w:rsidR="00211739">
        <w:rPr>
          <w:rFonts w:asciiTheme="minorHAnsi" w:hAnsiTheme="minorHAnsi"/>
          <w:color w:val="auto"/>
          <w:szCs w:val="24"/>
        </w:rPr>
        <w:t>ch</w:t>
      </w:r>
      <w:r w:rsidR="00900F9E" w:rsidRPr="00611EB8">
        <w:rPr>
          <w:rFonts w:asciiTheme="minorHAnsi" w:hAnsiTheme="minorHAnsi"/>
          <w:color w:val="auto"/>
          <w:szCs w:val="24"/>
        </w:rPr>
        <w:t xml:space="preserve"> 2007 again</w:t>
      </w:r>
      <w:r w:rsidR="00C630BB" w:rsidRPr="00611EB8">
        <w:rPr>
          <w:rFonts w:asciiTheme="minorHAnsi" w:hAnsiTheme="minorHAnsi"/>
          <w:color w:val="auto"/>
          <w:szCs w:val="24"/>
        </w:rPr>
        <w:t xml:space="preserve"> showed a </w:t>
      </w:r>
      <w:r w:rsidR="00900F9E" w:rsidRPr="00211739">
        <w:rPr>
          <w:rFonts w:asciiTheme="minorHAnsi" w:hAnsiTheme="minorHAnsi"/>
          <w:color w:val="auto"/>
          <w:szCs w:val="24"/>
        </w:rPr>
        <w:t xml:space="preserve">mild </w:t>
      </w:r>
      <w:r w:rsidR="00C630BB" w:rsidRPr="00211739">
        <w:rPr>
          <w:rFonts w:asciiTheme="minorHAnsi" w:hAnsiTheme="minorHAnsi"/>
          <w:color w:val="auto"/>
          <w:szCs w:val="24"/>
        </w:rPr>
        <w:t>b</w:t>
      </w:r>
      <w:r w:rsidR="00684AF9" w:rsidRPr="00211739">
        <w:rPr>
          <w:rFonts w:asciiTheme="minorHAnsi" w:hAnsiTheme="minorHAnsi"/>
          <w:color w:val="auto"/>
          <w:szCs w:val="24"/>
        </w:rPr>
        <w:t>ulge</w:t>
      </w:r>
      <w:r w:rsidR="00684AF9" w:rsidRPr="00611EB8">
        <w:rPr>
          <w:rFonts w:asciiTheme="minorHAnsi" w:hAnsiTheme="minorHAnsi"/>
          <w:color w:val="auto"/>
          <w:szCs w:val="24"/>
        </w:rPr>
        <w:t xml:space="preserve"> between L4-5 and L5-S</w:t>
      </w:r>
      <w:r w:rsidR="002F392E">
        <w:rPr>
          <w:rFonts w:asciiTheme="minorHAnsi" w:hAnsiTheme="minorHAnsi"/>
          <w:color w:val="auto"/>
          <w:szCs w:val="24"/>
        </w:rPr>
        <w:t>1,</w:t>
      </w:r>
      <w:r w:rsidR="00900F9E" w:rsidRPr="00611EB8">
        <w:rPr>
          <w:rFonts w:asciiTheme="minorHAnsi" w:hAnsiTheme="minorHAnsi"/>
          <w:color w:val="auto"/>
          <w:szCs w:val="24"/>
        </w:rPr>
        <w:t xml:space="preserve"> and some degenerative changes at L5-S1</w:t>
      </w:r>
      <w:r w:rsidR="00FF6CC0" w:rsidRPr="00611EB8">
        <w:rPr>
          <w:rFonts w:asciiTheme="minorHAnsi" w:hAnsiTheme="minorHAnsi"/>
          <w:color w:val="auto"/>
          <w:szCs w:val="24"/>
        </w:rPr>
        <w:t xml:space="preserve">.  </w:t>
      </w:r>
      <w:r w:rsidR="005039DF">
        <w:rPr>
          <w:rFonts w:asciiTheme="minorHAnsi" w:hAnsiTheme="minorHAnsi"/>
          <w:color w:val="auto"/>
          <w:szCs w:val="24"/>
        </w:rPr>
        <w:t>Plain X</w:t>
      </w:r>
      <w:r w:rsidR="007B0206" w:rsidRPr="00611EB8">
        <w:rPr>
          <w:rFonts w:asciiTheme="minorHAnsi" w:hAnsiTheme="minorHAnsi"/>
          <w:color w:val="auto"/>
          <w:szCs w:val="24"/>
        </w:rPr>
        <w:t>-rays of his lumba</w:t>
      </w:r>
      <w:r w:rsidR="0024565F" w:rsidRPr="00611EB8">
        <w:rPr>
          <w:rFonts w:asciiTheme="minorHAnsi" w:hAnsiTheme="minorHAnsi"/>
          <w:color w:val="auto"/>
          <w:szCs w:val="24"/>
        </w:rPr>
        <w:t xml:space="preserve">r spine showed no instability and the </w:t>
      </w:r>
      <w:r w:rsidR="00FF6CC0" w:rsidRPr="00611EB8">
        <w:rPr>
          <w:rFonts w:asciiTheme="minorHAnsi" w:hAnsiTheme="minorHAnsi"/>
          <w:color w:val="auto"/>
          <w:szCs w:val="24"/>
        </w:rPr>
        <w:t>CI</w:t>
      </w:r>
      <w:r w:rsidR="00C630BB" w:rsidRPr="00611EB8">
        <w:rPr>
          <w:rFonts w:asciiTheme="minorHAnsi" w:hAnsiTheme="minorHAnsi"/>
          <w:color w:val="auto"/>
          <w:szCs w:val="24"/>
        </w:rPr>
        <w:t xml:space="preserve"> denied any bowel o</w:t>
      </w:r>
      <w:r w:rsidR="005039DF">
        <w:rPr>
          <w:rFonts w:asciiTheme="minorHAnsi" w:hAnsiTheme="minorHAnsi"/>
          <w:color w:val="auto"/>
          <w:szCs w:val="24"/>
        </w:rPr>
        <w:t>r</w:t>
      </w:r>
      <w:r w:rsidR="00FF6CC0" w:rsidRPr="00611EB8">
        <w:rPr>
          <w:rFonts w:asciiTheme="minorHAnsi" w:hAnsiTheme="minorHAnsi"/>
          <w:color w:val="auto"/>
          <w:szCs w:val="24"/>
        </w:rPr>
        <w:t xml:space="preserve"> </w:t>
      </w:r>
      <w:r w:rsidR="00C630BB" w:rsidRPr="00611EB8">
        <w:rPr>
          <w:rFonts w:asciiTheme="minorHAnsi" w:hAnsiTheme="minorHAnsi"/>
          <w:color w:val="auto"/>
          <w:szCs w:val="24"/>
        </w:rPr>
        <w:t>bladder dysfunction.</w:t>
      </w:r>
      <w:r w:rsidR="00211739">
        <w:rPr>
          <w:rFonts w:asciiTheme="minorHAnsi" w:hAnsiTheme="minorHAnsi"/>
          <w:color w:val="auto"/>
          <w:szCs w:val="24"/>
        </w:rPr>
        <w:t xml:space="preserve">  </w:t>
      </w:r>
      <w:r w:rsidR="008E7F80">
        <w:rPr>
          <w:rFonts w:asciiTheme="minorHAnsi" w:hAnsiTheme="minorHAnsi"/>
          <w:color w:val="auto"/>
          <w:szCs w:val="24"/>
        </w:rPr>
        <w:t>T</w:t>
      </w:r>
      <w:r w:rsidR="007B0206" w:rsidRPr="00611EB8">
        <w:rPr>
          <w:rFonts w:asciiTheme="minorHAnsi" w:hAnsiTheme="minorHAnsi"/>
          <w:color w:val="auto"/>
          <w:szCs w:val="24"/>
        </w:rPr>
        <w:t>he CI underwent a</w:t>
      </w:r>
      <w:r w:rsidR="00684AF9" w:rsidRPr="00611EB8">
        <w:rPr>
          <w:rFonts w:asciiTheme="minorHAnsi" w:hAnsiTheme="minorHAnsi"/>
          <w:color w:val="auto"/>
          <w:szCs w:val="24"/>
        </w:rPr>
        <w:t>nother</w:t>
      </w:r>
      <w:r w:rsidR="007B0206" w:rsidRPr="00611EB8">
        <w:rPr>
          <w:rFonts w:asciiTheme="minorHAnsi" w:hAnsiTheme="minorHAnsi"/>
          <w:color w:val="auto"/>
          <w:szCs w:val="24"/>
        </w:rPr>
        <w:t xml:space="preserve"> trial of </w:t>
      </w:r>
      <w:r w:rsidR="002F392E">
        <w:rPr>
          <w:rFonts w:asciiTheme="minorHAnsi" w:hAnsiTheme="minorHAnsi"/>
          <w:color w:val="auto"/>
          <w:szCs w:val="24"/>
        </w:rPr>
        <w:t>PT</w:t>
      </w:r>
      <w:r w:rsidR="00645F6D" w:rsidRPr="00611EB8">
        <w:rPr>
          <w:rFonts w:asciiTheme="minorHAnsi" w:hAnsiTheme="minorHAnsi"/>
          <w:color w:val="auto"/>
          <w:szCs w:val="24"/>
        </w:rPr>
        <w:t xml:space="preserve"> for </w:t>
      </w:r>
      <w:r w:rsidR="005039DF">
        <w:rPr>
          <w:rFonts w:asciiTheme="minorHAnsi" w:hAnsiTheme="minorHAnsi"/>
          <w:color w:val="auto"/>
          <w:szCs w:val="24"/>
        </w:rPr>
        <w:t>eight</w:t>
      </w:r>
      <w:r w:rsidR="00645F6D" w:rsidRPr="00611EB8">
        <w:rPr>
          <w:rFonts w:asciiTheme="minorHAnsi" w:hAnsiTheme="minorHAnsi"/>
          <w:color w:val="auto"/>
          <w:szCs w:val="24"/>
        </w:rPr>
        <w:t xml:space="preserve"> weeks, </w:t>
      </w:r>
      <w:r w:rsidR="00846AF8" w:rsidRPr="00611EB8">
        <w:rPr>
          <w:rFonts w:asciiTheme="minorHAnsi" w:hAnsiTheme="minorHAnsi"/>
          <w:color w:val="auto"/>
          <w:szCs w:val="24"/>
        </w:rPr>
        <w:t xml:space="preserve">was referred to the pain management clinic, </w:t>
      </w:r>
      <w:r w:rsidR="004C1549" w:rsidRPr="00611EB8">
        <w:rPr>
          <w:rFonts w:asciiTheme="minorHAnsi" w:hAnsiTheme="minorHAnsi"/>
          <w:color w:val="auto"/>
          <w:szCs w:val="24"/>
        </w:rPr>
        <w:t>and had</w:t>
      </w:r>
      <w:r w:rsidR="00684AF9" w:rsidRPr="00611EB8">
        <w:rPr>
          <w:rFonts w:asciiTheme="minorHAnsi" w:hAnsiTheme="minorHAnsi"/>
          <w:color w:val="auto"/>
          <w:szCs w:val="24"/>
        </w:rPr>
        <w:t xml:space="preserve"> </w:t>
      </w:r>
      <w:r w:rsidR="007B0206" w:rsidRPr="00611EB8">
        <w:rPr>
          <w:rFonts w:asciiTheme="minorHAnsi" w:hAnsiTheme="minorHAnsi"/>
          <w:color w:val="auto"/>
          <w:szCs w:val="24"/>
        </w:rPr>
        <w:t>epi</w:t>
      </w:r>
      <w:r w:rsidR="00684AF9" w:rsidRPr="00611EB8">
        <w:rPr>
          <w:rFonts w:asciiTheme="minorHAnsi" w:hAnsiTheme="minorHAnsi"/>
          <w:color w:val="auto"/>
          <w:szCs w:val="24"/>
        </w:rPr>
        <w:t>dural steroid injections</w:t>
      </w:r>
      <w:r w:rsidR="00645F6D" w:rsidRPr="00611EB8">
        <w:rPr>
          <w:rFonts w:asciiTheme="minorHAnsi" w:hAnsiTheme="minorHAnsi"/>
          <w:color w:val="auto"/>
          <w:szCs w:val="24"/>
        </w:rPr>
        <w:t xml:space="preserve">, </w:t>
      </w:r>
      <w:r w:rsidR="00846AF8" w:rsidRPr="00611EB8">
        <w:rPr>
          <w:rFonts w:asciiTheme="minorHAnsi" w:hAnsiTheme="minorHAnsi"/>
          <w:color w:val="auto"/>
          <w:szCs w:val="24"/>
        </w:rPr>
        <w:t xml:space="preserve">a </w:t>
      </w:r>
      <w:r w:rsidR="00645F6D" w:rsidRPr="00611EB8">
        <w:rPr>
          <w:rFonts w:asciiTheme="minorHAnsi" w:hAnsiTheme="minorHAnsi"/>
          <w:color w:val="auto"/>
          <w:szCs w:val="24"/>
        </w:rPr>
        <w:t>caudal coccyx steroid injection and a right SI joint</w:t>
      </w:r>
      <w:r w:rsidR="00684AF9" w:rsidRPr="00611EB8">
        <w:rPr>
          <w:rFonts w:asciiTheme="minorHAnsi" w:hAnsiTheme="minorHAnsi"/>
          <w:color w:val="auto"/>
          <w:szCs w:val="24"/>
        </w:rPr>
        <w:t xml:space="preserve"> </w:t>
      </w:r>
      <w:r w:rsidR="00645F6D" w:rsidRPr="00611EB8">
        <w:rPr>
          <w:rFonts w:asciiTheme="minorHAnsi" w:hAnsiTheme="minorHAnsi"/>
          <w:color w:val="auto"/>
          <w:szCs w:val="24"/>
        </w:rPr>
        <w:t>injection</w:t>
      </w:r>
      <w:r w:rsidR="008E7F80">
        <w:rPr>
          <w:rFonts w:asciiTheme="minorHAnsi" w:hAnsiTheme="minorHAnsi"/>
          <w:color w:val="auto"/>
          <w:szCs w:val="24"/>
        </w:rPr>
        <w:t>.  None of these</w:t>
      </w:r>
      <w:r w:rsidR="007B0206" w:rsidRPr="00611EB8">
        <w:rPr>
          <w:rFonts w:asciiTheme="minorHAnsi" w:hAnsiTheme="minorHAnsi"/>
          <w:color w:val="auto"/>
          <w:szCs w:val="24"/>
        </w:rPr>
        <w:t xml:space="preserve"> improve</w:t>
      </w:r>
      <w:r w:rsidR="008E7F80">
        <w:rPr>
          <w:rFonts w:asciiTheme="minorHAnsi" w:hAnsiTheme="minorHAnsi"/>
          <w:color w:val="auto"/>
          <w:szCs w:val="24"/>
        </w:rPr>
        <w:t>d</w:t>
      </w:r>
      <w:r w:rsidR="007B0206" w:rsidRPr="00611EB8">
        <w:rPr>
          <w:rFonts w:asciiTheme="minorHAnsi" w:hAnsiTheme="minorHAnsi"/>
          <w:color w:val="auto"/>
          <w:szCs w:val="24"/>
        </w:rPr>
        <w:t xml:space="preserve"> his symptoms.  </w:t>
      </w:r>
      <w:r w:rsidR="002F392E">
        <w:rPr>
          <w:rFonts w:asciiTheme="minorHAnsi" w:hAnsiTheme="minorHAnsi"/>
          <w:color w:val="auto"/>
          <w:szCs w:val="24"/>
        </w:rPr>
        <w:t>B</w:t>
      </w:r>
      <w:r w:rsidR="00250385" w:rsidRPr="00611EB8">
        <w:rPr>
          <w:rFonts w:asciiTheme="minorHAnsi" w:hAnsiTheme="minorHAnsi"/>
          <w:color w:val="auto"/>
          <w:szCs w:val="24"/>
        </w:rPr>
        <w:t>one scan and MRI</w:t>
      </w:r>
      <w:r w:rsidR="002F392E">
        <w:rPr>
          <w:rFonts w:asciiTheme="minorHAnsi" w:hAnsiTheme="minorHAnsi"/>
          <w:color w:val="auto"/>
          <w:szCs w:val="24"/>
        </w:rPr>
        <w:t xml:space="preserve"> </w:t>
      </w:r>
      <w:r w:rsidR="00D842F9">
        <w:rPr>
          <w:rFonts w:asciiTheme="minorHAnsi" w:hAnsiTheme="minorHAnsi"/>
          <w:color w:val="auto"/>
          <w:szCs w:val="24"/>
        </w:rPr>
        <w:t>of the pelvis</w:t>
      </w:r>
      <w:r w:rsidR="005039DF">
        <w:rPr>
          <w:rFonts w:asciiTheme="minorHAnsi" w:hAnsiTheme="minorHAnsi"/>
          <w:color w:val="auto"/>
          <w:szCs w:val="24"/>
        </w:rPr>
        <w:t xml:space="preserve"> in </w:t>
      </w:r>
      <w:r w:rsidR="00250385" w:rsidRPr="00611EB8">
        <w:rPr>
          <w:rFonts w:asciiTheme="minorHAnsi" w:hAnsiTheme="minorHAnsi"/>
          <w:color w:val="auto"/>
          <w:szCs w:val="24"/>
        </w:rPr>
        <w:t xml:space="preserve">October 2007 were both normal.  </w:t>
      </w:r>
      <w:r w:rsidR="008E7F80">
        <w:rPr>
          <w:rFonts w:asciiTheme="minorHAnsi" w:hAnsiTheme="minorHAnsi"/>
          <w:color w:val="auto"/>
          <w:szCs w:val="24"/>
        </w:rPr>
        <w:t>I</w:t>
      </w:r>
      <w:r w:rsidR="00250385" w:rsidRPr="00611EB8">
        <w:rPr>
          <w:rFonts w:asciiTheme="minorHAnsi" w:hAnsiTheme="minorHAnsi"/>
          <w:color w:val="auto"/>
          <w:szCs w:val="24"/>
        </w:rPr>
        <w:t>n Oct</w:t>
      </w:r>
      <w:r w:rsidR="00211739">
        <w:rPr>
          <w:rFonts w:asciiTheme="minorHAnsi" w:hAnsiTheme="minorHAnsi"/>
          <w:color w:val="auto"/>
          <w:szCs w:val="24"/>
        </w:rPr>
        <w:t>ober</w:t>
      </w:r>
      <w:r w:rsidR="00250385" w:rsidRPr="00611EB8">
        <w:rPr>
          <w:rFonts w:asciiTheme="minorHAnsi" w:hAnsiTheme="minorHAnsi"/>
          <w:color w:val="auto"/>
          <w:szCs w:val="24"/>
        </w:rPr>
        <w:t xml:space="preserve"> </w:t>
      </w:r>
      <w:r w:rsidR="007B0206" w:rsidRPr="00611EB8">
        <w:rPr>
          <w:rFonts w:asciiTheme="minorHAnsi" w:hAnsiTheme="minorHAnsi"/>
          <w:color w:val="auto"/>
          <w:szCs w:val="24"/>
        </w:rPr>
        <w:t>2007</w:t>
      </w:r>
      <w:r w:rsidR="0024565F" w:rsidRPr="00611EB8">
        <w:rPr>
          <w:rFonts w:asciiTheme="minorHAnsi" w:hAnsiTheme="minorHAnsi"/>
          <w:color w:val="auto"/>
          <w:szCs w:val="24"/>
        </w:rPr>
        <w:t>,</w:t>
      </w:r>
      <w:r w:rsidR="007B0206" w:rsidRPr="00611EB8">
        <w:rPr>
          <w:rFonts w:asciiTheme="minorHAnsi" w:hAnsiTheme="minorHAnsi"/>
          <w:color w:val="auto"/>
          <w:szCs w:val="24"/>
        </w:rPr>
        <w:t xml:space="preserve"> the CI unde</w:t>
      </w:r>
      <w:r w:rsidR="00211739">
        <w:rPr>
          <w:rFonts w:asciiTheme="minorHAnsi" w:hAnsiTheme="minorHAnsi"/>
          <w:color w:val="auto"/>
          <w:szCs w:val="24"/>
        </w:rPr>
        <w:t xml:space="preserve">rwent a </w:t>
      </w:r>
      <w:r w:rsidR="007B0206" w:rsidRPr="00611EB8">
        <w:rPr>
          <w:rFonts w:asciiTheme="minorHAnsi" w:hAnsiTheme="minorHAnsi"/>
          <w:color w:val="auto"/>
          <w:szCs w:val="24"/>
        </w:rPr>
        <w:t xml:space="preserve">pulse radiofrequency </w:t>
      </w:r>
      <w:r w:rsidR="00211739">
        <w:rPr>
          <w:rFonts w:asciiTheme="minorHAnsi" w:hAnsiTheme="minorHAnsi"/>
          <w:color w:val="auto"/>
          <w:szCs w:val="24"/>
        </w:rPr>
        <w:t xml:space="preserve">nerve </w:t>
      </w:r>
      <w:r w:rsidR="007B0206" w:rsidRPr="00611EB8">
        <w:rPr>
          <w:rFonts w:asciiTheme="minorHAnsi" w:hAnsiTheme="minorHAnsi"/>
          <w:color w:val="auto"/>
          <w:szCs w:val="24"/>
        </w:rPr>
        <w:t xml:space="preserve">block </w:t>
      </w:r>
      <w:r w:rsidR="00211739">
        <w:rPr>
          <w:rFonts w:asciiTheme="minorHAnsi" w:hAnsiTheme="minorHAnsi"/>
          <w:color w:val="auto"/>
          <w:szCs w:val="24"/>
        </w:rPr>
        <w:t xml:space="preserve">procedure </w:t>
      </w:r>
      <w:r w:rsidR="007B0206" w:rsidRPr="00611EB8">
        <w:rPr>
          <w:rFonts w:asciiTheme="minorHAnsi" w:hAnsiTheme="minorHAnsi"/>
          <w:color w:val="auto"/>
          <w:szCs w:val="24"/>
        </w:rPr>
        <w:t>at L4</w:t>
      </w:r>
      <w:r w:rsidR="008E7F80">
        <w:rPr>
          <w:rFonts w:asciiTheme="minorHAnsi" w:hAnsiTheme="minorHAnsi"/>
          <w:color w:val="auto"/>
          <w:szCs w:val="24"/>
        </w:rPr>
        <w:t>-</w:t>
      </w:r>
      <w:r w:rsidR="007B0206" w:rsidRPr="00611EB8">
        <w:rPr>
          <w:rFonts w:asciiTheme="minorHAnsi" w:hAnsiTheme="minorHAnsi"/>
          <w:color w:val="auto"/>
          <w:szCs w:val="24"/>
        </w:rPr>
        <w:t>L5</w:t>
      </w:r>
      <w:r w:rsidR="005039DF">
        <w:rPr>
          <w:rFonts w:asciiTheme="minorHAnsi" w:hAnsiTheme="minorHAnsi"/>
          <w:color w:val="auto"/>
          <w:szCs w:val="24"/>
        </w:rPr>
        <w:t>,</w:t>
      </w:r>
      <w:r w:rsidR="0024565F" w:rsidRPr="00611EB8">
        <w:rPr>
          <w:rFonts w:asciiTheme="minorHAnsi" w:hAnsiTheme="minorHAnsi"/>
          <w:color w:val="auto"/>
          <w:szCs w:val="24"/>
        </w:rPr>
        <w:t xml:space="preserve"> which was also unsuccessful in relieving his pain</w:t>
      </w:r>
      <w:r w:rsidR="008E7F80">
        <w:rPr>
          <w:rFonts w:asciiTheme="minorHAnsi" w:hAnsiTheme="minorHAnsi"/>
          <w:color w:val="auto"/>
          <w:szCs w:val="24"/>
        </w:rPr>
        <w:t xml:space="preserve">.  By November </w:t>
      </w:r>
      <w:r w:rsidR="00F81165" w:rsidRPr="00611EB8">
        <w:rPr>
          <w:rFonts w:asciiTheme="minorHAnsi" w:hAnsiTheme="minorHAnsi"/>
          <w:color w:val="auto"/>
          <w:szCs w:val="24"/>
        </w:rPr>
        <w:t>2007 it was felt that the CI had exhausted all treatment regimens</w:t>
      </w:r>
      <w:r w:rsidR="007A3EAD" w:rsidRPr="00611EB8">
        <w:rPr>
          <w:rFonts w:asciiTheme="minorHAnsi" w:hAnsiTheme="minorHAnsi"/>
          <w:color w:val="auto"/>
          <w:szCs w:val="24"/>
        </w:rPr>
        <w:t xml:space="preserve"> and </w:t>
      </w:r>
      <w:r w:rsidR="00F81165" w:rsidRPr="00611EB8">
        <w:rPr>
          <w:rFonts w:asciiTheme="minorHAnsi" w:hAnsiTheme="minorHAnsi"/>
          <w:color w:val="auto"/>
          <w:szCs w:val="24"/>
        </w:rPr>
        <w:t xml:space="preserve">MEB was initiated.  At the time of the MEB </w:t>
      </w:r>
      <w:r w:rsidR="005039DF">
        <w:rPr>
          <w:rFonts w:asciiTheme="minorHAnsi" w:hAnsiTheme="minorHAnsi"/>
          <w:color w:val="auto"/>
          <w:szCs w:val="24"/>
        </w:rPr>
        <w:t xml:space="preserve">on </w:t>
      </w:r>
      <w:r w:rsidR="00F81165" w:rsidRPr="00611EB8">
        <w:rPr>
          <w:rFonts w:asciiTheme="minorHAnsi" w:hAnsiTheme="minorHAnsi"/>
          <w:color w:val="auto"/>
          <w:szCs w:val="24"/>
        </w:rPr>
        <w:t>9 Nov</w:t>
      </w:r>
      <w:r w:rsidR="00211739">
        <w:rPr>
          <w:rFonts w:asciiTheme="minorHAnsi" w:hAnsiTheme="minorHAnsi"/>
          <w:color w:val="auto"/>
          <w:szCs w:val="24"/>
        </w:rPr>
        <w:t>ember</w:t>
      </w:r>
      <w:r w:rsidR="00F81165" w:rsidRPr="00611EB8">
        <w:rPr>
          <w:rFonts w:asciiTheme="minorHAnsi" w:hAnsiTheme="minorHAnsi"/>
          <w:color w:val="auto"/>
          <w:szCs w:val="24"/>
        </w:rPr>
        <w:t xml:space="preserve"> 2007, the CI required several medications including morphine to help control his pain.  </w:t>
      </w:r>
      <w:r w:rsidR="00FF6CC0" w:rsidRPr="00611EB8">
        <w:rPr>
          <w:rFonts w:asciiTheme="minorHAnsi" w:hAnsiTheme="minorHAnsi"/>
          <w:color w:val="auto"/>
          <w:szCs w:val="24"/>
        </w:rPr>
        <w:t xml:space="preserve">The MEB exam revealed that the CI had a </w:t>
      </w:r>
      <w:r w:rsidR="00FF6CC0" w:rsidRPr="00211739">
        <w:rPr>
          <w:rFonts w:asciiTheme="minorHAnsi" w:hAnsiTheme="minorHAnsi"/>
          <w:color w:val="auto"/>
          <w:szCs w:val="24"/>
        </w:rPr>
        <w:t>slight decrease in muscle strength of his right hamstring and quadriceps.</w:t>
      </w:r>
      <w:r w:rsidR="00FF6CC0" w:rsidRPr="00611EB8">
        <w:rPr>
          <w:rFonts w:asciiTheme="minorHAnsi" w:hAnsiTheme="minorHAnsi"/>
          <w:color w:val="auto"/>
          <w:szCs w:val="24"/>
        </w:rPr>
        <w:t xml:space="preserve">  It was also noted that he had a slight decrease in pinprick sensation along the lateral aspect of his right thigh.  </w:t>
      </w:r>
      <w:r w:rsidR="007B0206" w:rsidRPr="00611EB8">
        <w:rPr>
          <w:rFonts w:asciiTheme="minorHAnsi" w:hAnsiTheme="minorHAnsi"/>
          <w:color w:val="auto"/>
          <w:szCs w:val="24"/>
        </w:rPr>
        <w:t xml:space="preserve">There was some mild to moderate tenderness in the region of his </w:t>
      </w:r>
      <w:proofErr w:type="spellStart"/>
      <w:r w:rsidR="007B0206" w:rsidRPr="00611EB8">
        <w:rPr>
          <w:rFonts w:asciiTheme="minorHAnsi" w:hAnsiTheme="minorHAnsi"/>
          <w:color w:val="auto"/>
          <w:szCs w:val="24"/>
        </w:rPr>
        <w:t>intragluteal</w:t>
      </w:r>
      <w:proofErr w:type="spellEnd"/>
      <w:r w:rsidR="007B0206" w:rsidRPr="00611EB8">
        <w:rPr>
          <w:rFonts w:asciiTheme="minorHAnsi" w:hAnsiTheme="minorHAnsi"/>
          <w:color w:val="auto"/>
          <w:szCs w:val="24"/>
        </w:rPr>
        <w:t xml:space="preserve"> folds</w:t>
      </w:r>
      <w:r w:rsidR="001201AD" w:rsidRPr="00611EB8">
        <w:rPr>
          <w:rFonts w:asciiTheme="minorHAnsi" w:hAnsiTheme="minorHAnsi"/>
          <w:color w:val="auto"/>
          <w:szCs w:val="24"/>
        </w:rPr>
        <w:t xml:space="preserve"> but no mention of </w:t>
      </w:r>
      <w:proofErr w:type="spellStart"/>
      <w:r w:rsidR="001201AD" w:rsidRPr="00611EB8">
        <w:rPr>
          <w:rFonts w:asciiTheme="minorHAnsi" w:hAnsiTheme="minorHAnsi"/>
          <w:color w:val="auto"/>
          <w:szCs w:val="24"/>
        </w:rPr>
        <w:t>paravertebral</w:t>
      </w:r>
      <w:proofErr w:type="spellEnd"/>
      <w:r w:rsidR="001201AD" w:rsidRPr="00611EB8">
        <w:rPr>
          <w:rFonts w:asciiTheme="minorHAnsi" w:hAnsiTheme="minorHAnsi"/>
          <w:color w:val="auto"/>
          <w:szCs w:val="24"/>
        </w:rPr>
        <w:t xml:space="preserve"> muscle spasm or tenderness</w:t>
      </w:r>
      <w:r w:rsidR="007B0206" w:rsidRPr="00611EB8">
        <w:rPr>
          <w:rFonts w:asciiTheme="minorHAnsi" w:hAnsiTheme="minorHAnsi"/>
          <w:color w:val="auto"/>
          <w:szCs w:val="24"/>
        </w:rPr>
        <w:t xml:space="preserve">.  </w:t>
      </w:r>
      <w:r w:rsidR="00FF6CC0" w:rsidRPr="00611EB8">
        <w:rPr>
          <w:rFonts w:asciiTheme="minorHAnsi" w:hAnsiTheme="minorHAnsi"/>
          <w:color w:val="auto"/>
          <w:szCs w:val="24"/>
        </w:rPr>
        <w:t>The CI had a negative straight leg rais</w:t>
      </w:r>
      <w:r w:rsidR="004F3C44">
        <w:rPr>
          <w:rFonts w:asciiTheme="minorHAnsi" w:hAnsiTheme="minorHAnsi"/>
          <w:color w:val="auto"/>
          <w:szCs w:val="24"/>
        </w:rPr>
        <w:t>e</w:t>
      </w:r>
      <w:r w:rsidR="00FF6CC0" w:rsidRPr="00611EB8">
        <w:rPr>
          <w:rFonts w:asciiTheme="minorHAnsi" w:hAnsiTheme="minorHAnsi"/>
          <w:color w:val="auto"/>
          <w:szCs w:val="24"/>
        </w:rPr>
        <w:t xml:space="preserve"> </w:t>
      </w:r>
      <w:r w:rsidR="004F3C44">
        <w:rPr>
          <w:rFonts w:asciiTheme="minorHAnsi" w:hAnsiTheme="minorHAnsi"/>
          <w:color w:val="auto"/>
          <w:szCs w:val="24"/>
        </w:rPr>
        <w:t xml:space="preserve">(SLR) </w:t>
      </w:r>
      <w:r w:rsidR="00FF6CC0" w:rsidRPr="00611EB8">
        <w:rPr>
          <w:rFonts w:asciiTheme="minorHAnsi" w:hAnsiTheme="minorHAnsi"/>
          <w:color w:val="auto"/>
          <w:szCs w:val="24"/>
        </w:rPr>
        <w:t xml:space="preserve">test </w:t>
      </w:r>
      <w:r w:rsidR="00FF6CC0" w:rsidRPr="00611EB8">
        <w:rPr>
          <w:rFonts w:asciiTheme="minorHAnsi" w:hAnsiTheme="minorHAnsi"/>
          <w:color w:val="auto"/>
          <w:szCs w:val="24"/>
        </w:rPr>
        <w:lastRenderedPageBreak/>
        <w:t>bilaterally and a normal gait.  His deep tendon reflexes were normal for both lower extremities.  The examiner reported that the CI was able to flex and extend at the waist without difficulty</w:t>
      </w:r>
      <w:r w:rsidR="00211739">
        <w:rPr>
          <w:rFonts w:asciiTheme="minorHAnsi" w:hAnsiTheme="minorHAnsi"/>
          <w:color w:val="auto"/>
          <w:szCs w:val="24"/>
        </w:rPr>
        <w:t xml:space="preserve"> but no goniometric measurements were documented</w:t>
      </w:r>
      <w:r w:rsidR="00250385" w:rsidRPr="00611EB8">
        <w:rPr>
          <w:rFonts w:asciiTheme="minorHAnsi" w:hAnsiTheme="minorHAnsi"/>
          <w:color w:val="auto"/>
          <w:szCs w:val="24"/>
        </w:rPr>
        <w:t>.</w:t>
      </w:r>
      <w:r w:rsidR="0024565F" w:rsidRPr="00611EB8">
        <w:rPr>
          <w:rFonts w:asciiTheme="minorHAnsi" w:hAnsiTheme="minorHAnsi"/>
          <w:color w:val="auto"/>
          <w:szCs w:val="24"/>
        </w:rPr>
        <w:t xml:space="preserve">  His condition was determined to be medically unaccept</w:t>
      </w:r>
      <w:r w:rsidR="00211739">
        <w:rPr>
          <w:rFonts w:asciiTheme="minorHAnsi" w:hAnsiTheme="minorHAnsi"/>
          <w:color w:val="auto"/>
          <w:szCs w:val="24"/>
        </w:rPr>
        <w:t>able and he was diagnosed with lower back strain and bulging disc</w:t>
      </w:r>
      <w:r w:rsidR="009F12EE" w:rsidRPr="00611EB8">
        <w:rPr>
          <w:rFonts w:asciiTheme="minorHAnsi" w:hAnsiTheme="minorHAnsi"/>
          <w:color w:val="auto"/>
          <w:szCs w:val="24"/>
        </w:rPr>
        <w:t>s at L4-L5, L5-S1</w:t>
      </w:r>
      <w:r w:rsidR="004F3C44">
        <w:rPr>
          <w:rFonts w:asciiTheme="minorHAnsi" w:hAnsiTheme="minorHAnsi"/>
          <w:color w:val="auto"/>
          <w:szCs w:val="24"/>
        </w:rPr>
        <w:t xml:space="preserve">.  The PEB </w:t>
      </w:r>
      <w:r w:rsidR="005039DF">
        <w:rPr>
          <w:rFonts w:asciiTheme="minorHAnsi" w:hAnsiTheme="minorHAnsi"/>
          <w:color w:val="auto"/>
          <w:szCs w:val="24"/>
        </w:rPr>
        <w:t xml:space="preserve">in </w:t>
      </w:r>
      <w:r w:rsidR="0024565F" w:rsidRPr="00611EB8">
        <w:rPr>
          <w:rFonts w:asciiTheme="minorHAnsi" w:hAnsiTheme="minorHAnsi"/>
          <w:color w:val="auto"/>
          <w:szCs w:val="24"/>
        </w:rPr>
        <w:t>Jan</w:t>
      </w:r>
      <w:r w:rsidR="00211739">
        <w:rPr>
          <w:rFonts w:asciiTheme="minorHAnsi" w:hAnsiTheme="minorHAnsi"/>
          <w:color w:val="auto"/>
          <w:szCs w:val="24"/>
        </w:rPr>
        <w:t>uary</w:t>
      </w:r>
      <w:r w:rsidR="0024565F" w:rsidRPr="00611EB8">
        <w:rPr>
          <w:rFonts w:asciiTheme="minorHAnsi" w:hAnsiTheme="minorHAnsi"/>
          <w:color w:val="auto"/>
          <w:szCs w:val="24"/>
        </w:rPr>
        <w:t xml:space="preserve"> 2008 found him unfi</w:t>
      </w:r>
      <w:r w:rsidR="00211739">
        <w:rPr>
          <w:rFonts w:asciiTheme="minorHAnsi" w:hAnsiTheme="minorHAnsi"/>
          <w:color w:val="auto"/>
          <w:szCs w:val="24"/>
        </w:rPr>
        <w:t>t for military service</w:t>
      </w:r>
      <w:r w:rsidR="008E7F80">
        <w:rPr>
          <w:rFonts w:asciiTheme="minorHAnsi" w:hAnsiTheme="minorHAnsi"/>
          <w:color w:val="auto"/>
          <w:szCs w:val="24"/>
        </w:rPr>
        <w:t>.  H</w:t>
      </w:r>
      <w:r w:rsidR="00211739">
        <w:rPr>
          <w:rFonts w:asciiTheme="minorHAnsi" w:hAnsiTheme="minorHAnsi"/>
          <w:color w:val="auto"/>
          <w:szCs w:val="24"/>
        </w:rPr>
        <w:t>is chronic lower back and e</w:t>
      </w:r>
      <w:r w:rsidR="0024565F" w:rsidRPr="00611EB8">
        <w:rPr>
          <w:rFonts w:asciiTheme="minorHAnsi" w:hAnsiTheme="minorHAnsi"/>
          <w:color w:val="auto"/>
          <w:szCs w:val="24"/>
        </w:rPr>
        <w:t>xtremit</w:t>
      </w:r>
      <w:r w:rsidR="00211739">
        <w:rPr>
          <w:rFonts w:asciiTheme="minorHAnsi" w:hAnsiTheme="minorHAnsi"/>
          <w:color w:val="auto"/>
          <w:szCs w:val="24"/>
        </w:rPr>
        <w:t>y p</w:t>
      </w:r>
      <w:r w:rsidR="0024565F" w:rsidRPr="00611EB8">
        <w:rPr>
          <w:rFonts w:asciiTheme="minorHAnsi" w:hAnsiTheme="minorHAnsi"/>
          <w:color w:val="auto"/>
          <w:szCs w:val="24"/>
        </w:rPr>
        <w:t xml:space="preserve">ain were rated at 10%.  </w:t>
      </w:r>
      <w:r w:rsidR="008E7F80">
        <w:rPr>
          <w:rFonts w:asciiTheme="minorHAnsi" w:hAnsiTheme="minorHAnsi"/>
          <w:color w:val="auto"/>
          <w:szCs w:val="24"/>
        </w:rPr>
        <w:t xml:space="preserve">His </w:t>
      </w:r>
      <w:r w:rsidR="004B46DB" w:rsidRPr="00611EB8">
        <w:rPr>
          <w:rFonts w:asciiTheme="minorHAnsi" w:hAnsiTheme="minorHAnsi"/>
          <w:color w:val="auto"/>
          <w:szCs w:val="24"/>
        </w:rPr>
        <w:t xml:space="preserve">VA </w:t>
      </w:r>
      <w:r w:rsidR="000C39FE">
        <w:rPr>
          <w:rFonts w:asciiTheme="minorHAnsi" w:hAnsiTheme="minorHAnsi"/>
          <w:color w:val="auto"/>
          <w:szCs w:val="24"/>
        </w:rPr>
        <w:t xml:space="preserve">general medical </w:t>
      </w:r>
      <w:r w:rsidR="004B46DB" w:rsidRPr="00611EB8">
        <w:rPr>
          <w:rFonts w:asciiTheme="minorHAnsi" w:hAnsiTheme="minorHAnsi"/>
          <w:color w:val="auto"/>
          <w:szCs w:val="24"/>
        </w:rPr>
        <w:t>C&amp;P exa</w:t>
      </w:r>
      <w:r w:rsidRPr="00611EB8">
        <w:rPr>
          <w:rFonts w:asciiTheme="minorHAnsi" w:hAnsiTheme="minorHAnsi"/>
          <w:color w:val="auto"/>
          <w:szCs w:val="24"/>
        </w:rPr>
        <w:t>m was completed on 21</w:t>
      </w:r>
      <w:r w:rsidR="00C15602">
        <w:rPr>
          <w:rFonts w:asciiTheme="minorHAnsi" w:hAnsiTheme="minorHAnsi"/>
          <w:color w:val="auto"/>
          <w:szCs w:val="24"/>
        </w:rPr>
        <w:t> </w:t>
      </w:r>
      <w:r w:rsidRPr="00611EB8">
        <w:rPr>
          <w:rFonts w:asciiTheme="minorHAnsi" w:hAnsiTheme="minorHAnsi"/>
          <w:color w:val="auto"/>
          <w:szCs w:val="24"/>
        </w:rPr>
        <w:t>Nov</w:t>
      </w:r>
      <w:r w:rsidR="00211739">
        <w:rPr>
          <w:rFonts w:asciiTheme="minorHAnsi" w:hAnsiTheme="minorHAnsi"/>
          <w:color w:val="auto"/>
          <w:szCs w:val="24"/>
        </w:rPr>
        <w:t>ember</w:t>
      </w:r>
      <w:r w:rsidRPr="00611EB8">
        <w:rPr>
          <w:rFonts w:asciiTheme="minorHAnsi" w:hAnsiTheme="minorHAnsi"/>
          <w:color w:val="auto"/>
          <w:szCs w:val="24"/>
        </w:rPr>
        <w:t xml:space="preserve"> 2008, </w:t>
      </w:r>
      <w:r w:rsidR="004B46DB" w:rsidRPr="00611EB8">
        <w:rPr>
          <w:rFonts w:asciiTheme="minorHAnsi" w:hAnsiTheme="minorHAnsi"/>
          <w:color w:val="auto"/>
          <w:szCs w:val="24"/>
        </w:rPr>
        <w:t>a</w:t>
      </w:r>
      <w:r w:rsidRPr="00611EB8">
        <w:rPr>
          <w:rFonts w:asciiTheme="minorHAnsi" w:hAnsiTheme="minorHAnsi"/>
          <w:color w:val="auto"/>
          <w:szCs w:val="24"/>
        </w:rPr>
        <w:t xml:space="preserve">lmost </w:t>
      </w:r>
      <w:r w:rsidR="005039DF">
        <w:rPr>
          <w:rFonts w:asciiTheme="minorHAnsi" w:hAnsiTheme="minorHAnsi"/>
          <w:color w:val="auto"/>
          <w:szCs w:val="24"/>
        </w:rPr>
        <w:t>eight</w:t>
      </w:r>
      <w:r w:rsidRPr="00611EB8">
        <w:rPr>
          <w:rFonts w:asciiTheme="minorHAnsi" w:hAnsiTheme="minorHAnsi"/>
          <w:color w:val="auto"/>
          <w:szCs w:val="24"/>
        </w:rPr>
        <w:t xml:space="preserve"> months after separation</w:t>
      </w:r>
      <w:r w:rsidR="004B46DB" w:rsidRPr="00611EB8">
        <w:rPr>
          <w:rFonts w:asciiTheme="minorHAnsi" w:hAnsiTheme="minorHAnsi"/>
          <w:color w:val="auto"/>
          <w:szCs w:val="24"/>
        </w:rPr>
        <w:t>.  The examiner reported no strength or neurological</w:t>
      </w:r>
      <w:r w:rsidR="008B1BEA" w:rsidRPr="00611EB8">
        <w:rPr>
          <w:rFonts w:asciiTheme="minorHAnsi" w:hAnsiTheme="minorHAnsi"/>
          <w:color w:val="auto"/>
          <w:szCs w:val="24"/>
        </w:rPr>
        <w:t xml:space="preserve"> deficits of the extremities or</w:t>
      </w:r>
      <w:r w:rsidR="004B46DB" w:rsidRPr="00611EB8">
        <w:rPr>
          <w:rFonts w:asciiTheme="minorHAnsi" w:hAnsiTheme="minorHAnsi"/>
          <w:color w:val="auto"/>
          <w:szCs w:val="24"/>
        </w:rPr>
        <w:t xml:space="preserve"> spine</w:t>
      </w:r>
      <w:r w:rsidR="00340EBD">
        <w:rPr>
          <w:rFonts w:asciiTheme="minorHAnsi" w:hAnsiTheme="minorHAnsi"/>
          <w:color w:val="auto"/>
          <w:szCs w:val="24"/>
        </w:rPr>
        <w:t>.  The thoracolumbar range</w:t>
      </w:r>
      <w:r w:rsidR="005039DF">
        <w:rPr>
          <w:rFonts w:asciiTheme="minorHAnsi" w:hAnsiTheme="minorHAnsi"/>
          <w:color w:val="auto"/>
          <w:szCs w:val="24"/>
        </w:rPr>
        <w:t xml:space="preserve"> </w:t>
      </w:r>
      <w:r w:rsidR="00340EBD">
        <w:rPr>
          <w:rFonts w:asciiTheme="minorHAnsi" w:hAnsiTheme="minorHAnsi"/>
          <w:color w:val="auto"/>
          <w:szCs w:val="24"/>
        </w:rPr>
        <w:t>of</w:t>
      </w:r>
      <w:r w:rsidR="005039DF">
        <w:rPr>
          <w:rFonts w:asciiTheme="minorHAnsi" w:hAnsiTheme="minorHAnsi"/>
          <w:color w:val="auto"/>
          <w:szCs w:val="24"/>
        </w:rPr>
        <w:t xml:space="preserve"> </w:t>
      </w:r>
      <w:r w:rsidR="00340EBD">
        <w:rPr>
          <w:rFonts w:asciiTheme="minorHAnsi" w:hAnsiTheme="minorHAnsi"/>
          <w:color w:val="auto"/>
          <w:szCs w:val="24"/>
        </w:rPr>
        <w:t xml:space="preserve">motion (ROM) is summarized in this table: </w:t>
      </w:r>
    </w:p>
    <w:p w:rsidR="00340EBD" w:rsidRDefault="00340EBD" w:rsidP="00660807">
      <w:pPr>
        <w:tabs>
          <w:tab w:val="left" w:pos="8085"/>
        </w:tabs>
        <w:autoSpaceDE w:val="0"/>
        <w:autoSpaceDN w:val="0"/>
        <w:adjustRightInd w:val="0"/>
        <w:spacing w:line="240" w:lineRule="exact"/>
        <w:rPr>
          <w:rFonts w:asciiTheme="minorHAnsi" w:hAnsiTheme="minorHAnsi"/>
          <w:color w:val="auto"/>
          <w:szCs w:val="24"/>
        </w:rPr>
      </w:pPr>
      <w:r>
        <w:rPr>
          <w:rFonts w:asciiTheme="minorHAnsi" w:hAnsiTheme="minorHAnsi"/>
          <w:color w:val="auto"/>
          <w:szCs w:val="24"/>
        </w:rPr>
        <w:tab/>
      </w:r>
    </w:p>
    <w:tbl>
      <w:tblPr>
        <w:tblW w:w="0" w:type="auto"/>
        <w:jc w:val="center"/>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0"/>
        <w:gridCol w:w="3343"/>
      </w:tblGrid>
      <w:tr w:rsidR="00340EBD" w:rsidTr="00340EBD">
        <w:trPr>
          <w:jc w:val="center"/>
        </w:trPr>
        <w:tc>
          <w:tcPr>
            <w:tcW w:w="28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Thoracolumbar</w:t>
            </w:r>
          </w:p>
        </w:tc>
        <w:tc>
          <w:tcPr>
            <w:tcW w:w="33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Separation Date:  20080331</w:t>
            </w:r>
          </w:p>
        </w:tc>
      </w:tr>
      <w:tr w:rsidR="00340EBD" w:rsidTr="00340EBD">
        <w:trPr>
          <w:jc w:val="center"/>
        </w:trPr>
        <w:tc>
          <w:tcPr>
            <w:tcW w:w="28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Goniometric ROM</w:t>
            </w:r>
          </w:p>
        </w:tc>
        <w:tc>
          <w:tcPr>
            <w:tcW w:w="33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VA C&amp;P - 20081120</w:t>
            </w:r>
          </w:p>
        </w:tc>
      </w:tr>
      <w:tr w:rsidR="00340EBD" w:rsidTr="00340EBD">
        <w:trPr>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 xml:space="preserve">Flexion </w:t>
            </w:r>
            <w:r>
              <w:rPr>
                <w:rFonts w:ascii="Calibri" w:eastAsia="Calibri" w:hAnsi="Calibri"/>
                <w:color w:val="auto"/>
              </w:rPr>
              <w:t>(90⁰normal)</w:t>
            </w:r>
          </w:p>
        </w:tc>
        <w:tc>
          <w:tcPr>
            <w:tcW w:w="3343" w:type="dxa"/>
            <w:tcBorders>
              <w:top w:val="single" w:sz="4" w:space="0" w:color="000000"/>
              <w:left w:val="single" w:sz="4" w:space="0" w:color="000000"/>
              <w:bottom w:val="single" w:sz="4" w:space="0" w:color="000000"/>
              <w:right w:val="single" w:sz="4" w:space="0" w:color="000000"/>
            </w:tcBorders>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90</w:t>
            </w:r>
            <w:r>
              <w:rPr>
                <w:rFonts w:ascii="Calibri" w:eastAsia="Calibri" w:hAnsi="Calibri"/>
                <w:color w:val="auto"/>
              </w:rPr>
              <w:t>⁰</w:t>
            </w:r>
          </w:p>
        </w:tc>
      </w:tr>
      <w:tr w:rsidR="00340EBD" w:rsidTr="00340EBD">
        <w:trPr>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Combined (240</w:t>
            </w:r>
            <w:r>
              <w:rPr>
                <w:rFonts w:ascii="Calibri" w:eastAsia="Calibri" w:hAnsi="Calibri"/>
                <w:color w:val="auto"/>
              </w:rPr>
              <w:t>⁰ normal)</w:t>
            </w:r>
          </w:p>
        </w:tc>
        <w:tc>
          <w:tcPr>
            <w:tcW w:w="3343" w:type="dxa"/>
            <w:tcBorders>
              <w:top w:val="single" w:sz="4" w:space="0" w:color="000000"/>
              <w:left w:val="single" w:sz="4" w:space="0" w:color="000000"/>
              <w:bottom w:val="single" w:sz="4" w:space="0" w:color="000000"/>
              <w:right w:val="single" w:sz="4" w:space="0" w:color="000000"/>
            </w:tcBorders>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230</w:t>
            </w:r>
            <w:r>
              <w:rPr>
                <w:rFonts w:ascii="Calibri" w:eastAsia="Calibri" w:hAnsi="Calibri"/>
                <w:color w:val="auto"/>
              </w:rPr>
              <w:t>⁰</w:t>
            </w:r>
          </w:p>
        </w:tc>
      </w:tr>
      <w:tr w:rsidR="00340EBD" w:rsidTr="00340EBD">
        <w:trPr>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40EBD" w:rsidRDefault="00340EBD"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Comments</w:t>
            </w:r>
          </w:p>
        </w:tc>
        <w:tc>
          <w:tcPr>
            <w:tcW w:w="3343" w:type="dxa"/>
            <w:tcBorders>
              <w:top w:val="single" w:sz="4" w:space="0" w:color="000000"/>
              <w:left w:val="single" w:sz="4" w:space="0" w:color="000000"/>
              <w:bottom w:val="single" w:sz="4" w:space="0" w:color="000000"/>
              <w:right w:val="single" w:sz="4" w:space="0" w:color="000000"/>
            </w:tcBorders>
            <w:vAlign w:val="center"/>
            <w:hideMark/>
          </w:tcPr>
          <w:p w:rsidR="00340EBD" w:rsidRDefault="004F3C44"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p</w:t>
            </w:r>
            <w:r w:rsidR="00340EBD">
              <w:rPr>
                <w:rFonts w:asciiTheme="minorHAnsi" w:hAnsiTheme="minorHAnsi"/>
                <w:color w:val="auto"/>
                <w:szCs w:val="24"/>
              </w:rPr>
              <w:t>ain began at ROM endpoints</w:t>
            </w:r>
          </w:p>
        </w:tc>
      </w:tr>
      <w:tr w:rsidR="00340EBD" w:rsidTr="00340EBD">
        <w:trPr>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40EBD" w:rsidRDefault="004F3C44" w:rsidP="004F3C4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VASRD</w:t>
            </w:r>
            <w:r w:rsidR="00340EBD">
              <w:rPr>
                <w:rFonts w:asciiTheme="minorHAnsi" w:hAnsiTheme="minorHAnsi"/>
                <w:color w:val="auto"/>
                <w:szCs w:val="24"/>
              </w:rPr>
              <w:t xml:space="preserve"> </w:t>
            </w:r>
            <w:r w:rsidR="00340EBD">
              <w:rPr>
                <w:rFonts w:ascii="Calibri" w:eastAsia="Calibri" w:hAnsi="Calibri"/>
                <w:color w:val="auto"/>
              </w:rPr>
              <w:t>§4.71a Rating</w:t>
            </w:r>
            <w:r w:rsidR="00BE41BA">
              <w:rPr>
                <w:rFonts w:ascii="Calibri" w:eastAsia="Calibri" w:hAnsi="Calibri"/>
                <w:color w:val="auto"/>
              </w:rPr>
              <w:t xml:space="preserve"> </w:t>
            </w:r>
          </w:p>
        </w:tc>
        <w:tc>
          <w:tcPr>
            <w:tcW w:w="3343" w:type="dxa"/>
            <w:tcBorders>
              <w:top w:val="single" w:sz="4" w:space="0" w:color="000000"/>
              <w:left w:val="single" w:sz="4" w:space="0" w:color="000000"/>
              <w:bottom w:val="single" w:sz="4" w:space="0" w:color="000000"/>
              <w:right w:val="single" w:sz="4" w:space="0" w:color="000000"/>
            </w:tcBorders>
            <w:vAlign w:val="center"/>
            <w:hideMark/>
          </w:tcPr>
          <w:p w:rsidR="00340EBD" w:rsidRDefault="00BE41BA" w:rsidP="0066080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340EBD">
              <w:rPr>
                <w:rFonts w:asciiTheme="minorHAnsi" w:hAnsiTheme="minorHAnsi"/>
                <w:color w:val="auto"/>
                <w:szCs w:val="24"/>
              </w:rPr>
              <w:t>0%</w:t>
            </w:r>
            <w:r w:rsidR="004F3C44">
              <w:rPr>
                <w:rFonts w:asciiTheme="minorHAnsi" w:hAnsiTheme="minorHAnsi"/>
                <w:color w:val="auto"/>
                <w:szCs w:val="24"/>
              </w:rPr>
              <w:t>, based on painful motion</w:t>
            </w:r>
          </w:p>
        </w:tc>
      </w:tr>
    </w:tbl>
    <w:p w:rsidR="00340EBD" w:rsidRDefault="00340EBD" w:rsidP="00660807">
      <w:pPr>
        <w:autoSpaceDE w:val="0"/>
        <w:autoSpaceDN w:val="0"/>
        <w:adjustRightInd w:val="0"/>
        <w:spacing w:line="240" w:lineRule="exact"/>
        <w:jc w:val="both"/>
        <w:rPr>
          <w:rFonts w:asciiTheme="minorHAnsi" w:hAnsiTheme="minorHAnsi"/>
          <w:color w:val="auto"/>
          <w:szCs w:val="24"/>
        </w:rPr>
      </w:pPr>
    </w:p>
    <w:p w:rsidR="005C1049" w:rsidRPr="00AC29E1" w:rsidRDefault="00AB399C" w:rsidP="00660807">
      <w:pPr>
        <w:autoSpaceDE w:val="0"/>
        <w:autoSpaceDN w:val="0"/>
        <w:adjustRightInd w:val="0"/>
        <w:spacing w:line="240" w:lineRule="exact"/>
        <w:jc w:val="both"/>
        <w:rPr>
          <w:rFonts w:asciiTheme="minorHAnsi" w:hAnsiTheme="minorHAnsi"/>
          <w:color w:val="auto"/>
          <w:szCs w:val="24"/>
          <w:u w:val="single"/>
        </w:rPr>
      </w:pPr>
      <w:r w:rsidRPr="00611EB8">
        <w:rPr>
          <w:rFonts w:asciiTheme="minorHAnsi" w:hAnsiTheme="minorHAnsi"/>
          <w:color w:val="auto"/>
          <w:szCs w:val="24"/>
        </w:rPr>
        <w:t xml:space="preserve">There was no reported additional loss of motion on repetition. </w:t>
      </w:r>
      <w:r w:rsidR="005039DF">
        <w:rPr>
          <w:rFonts w:asciiTheme="minorHAnsi" w:hAnsiTheme="minorHAnsi"/>
          <w:color w:val="auto"/>
          <w:szCs w:val="24"/>
        </w:rPr>
        <w:t xml:space="preserve"> A</w:t>
      </w:r>
      <w:r w:rsidRPr="00611EB8">
        <w:rPr>
          <w:rFonts w:asciiTheme="minorHAnsi" w:hAnsiTheme="minorHAnsi"/>
          <w:color w:val="auto"/>
          <w:szCs w:val="24"/>
        </w:rPr>
        <w:t xml:space="preserve"> MRI</w:t>
      </w:r>
      <w:r w:rsidR="002F392E">
        <w:rPr>
          <w:rFonts w:asciiTheme="minorHAnsi" w:hAnsiTheme="minorHAnsi"/>
          <w:color w:val="auto"/>
          <w:szCs w:val="24"/>
        </w:rPr>
        <w:t xml:space="preserve"> </w:t>
      </w:r>
      <w:r w:rsidR="005039DF">
        <w:rPr>
          <w:rFonts w:asciiTheme="minorHAnsi" w:hAnsiTheme="minorHAnsi"/>
          <w:color w:val="auto"/>
          <w:szCs w:val="24"/>
        </w:rPr>
        <w:t xml:space="preserve">on </w:t>
      </w:r>
      <w:r w:rsidRPr="00611EB8">
        <w:rPr>
          <w:rFonts w:asciiTheme="minorHAnsi" w:hAnsiTheme="minorHAnsi"/>
          <w:color w:val="auto"/>
          <w:szCs w:val="24"/>
        </w:rPr>
        <w:t>13 Jun</w:t>
      </w:r>
      <w:r w:rsidR="004047D3">
        <w:rPr>
          <w:rFonts w:asciiTheme="minorHAnsi" w:hAnsiTheme="minorHAnsi"/>
          <w:color w:val="auto"/>
          <w:szCs w:val="24"/>
        </w:rPr>
        <w:t>e</w:t>
      </w:r>
      <w:r w:rsidRPr="00611EB8">
        <w:rPr>
          <w:rFonts w:asciiTheme="minorHAnsi" w:hAnsiTheme="minorHAnsi"/>
          <w:color w:val="auto"/>
          <w:szCs w:val="24"/>
        </w:rPr>
        <w:t xml:space="preserve"> 2008</w:t>
      </w:r>
      <w:r w:rsidR="005039DF">
        <w:rPr>
          <w:rFonts w:asciiTheme="minorHAnsi" w:hAnsiTheme="minorHAnsi"/>
          <w:color w:val="auto"/>
          <w:szCs w:val="24"/>
        </w:rPr>
        <w:t xml:space="preserve"> </w:t>
      </w:r>
      <w:r w:rsidRPr="00611EB8">
        <w:rPr>
          <w:rFonts w:asciiTheme="minorHAnsi" w:hAnsiTheme="minorHAnsi"/>
          <w:color w:val="auto"/>
          <w:szCs w:val="24"/>
        </w:rPr>
        <w:t xml:space="preserve">showed mild degenerative disc disease at L5-S1 with </w:t>
      </w:r>
      <w:r w:rsidRPr="004047D3">
        <w:rPr>
          <w:rFonts w:asciiTheme="minorHAnsi" w:hAnsiTheme="minorHAnsi"/>
          <w:color w:val="auto"/>
          <w:szCs w:val="24"/>
        </w:rPr>
        <w:t>mild disc bulging</w:t>
      </w:r>
      <w:r w:rsidRPr="00611EB8">
        <w:rPr>
          <w:rFonts w:asciiTheme="minorHAnsi" w:hAnsiTheme="minorHAnsi"/>
          <w:color w:val="auto"/>
          <w:szCs w:val="24"/>
        </w:rPr>
        <w:t xml:space="preserve">, </w:t>
      </w:r>
      <w:r w:rsidR="008B1BEA" w:rsidRPr="00611EB8">
        <w:rPr>
          <w:rFonts w:asciiTheme="minorHAnsi" w:hAnsiTheme="minorHAnsi"/>
          <w:color w:val="auto"/>
          <w:szCs w:val="24"/>
        </w:rPr>
        <w:t xml:space="preserve">mild facet arthropathy at L4-L5 and L5-S1, </w:t>
      </w:r>
      <w:r w:rsidRPr="00611EB8">
        <w:rPr>
          <w:rFonts w:asciiTheme="minorHAnsi" w:hAnsiTheme="minorHAnsi"/>
          <w:color w:val="auto"/>
          <w:szCs w:val="24"/>
        </w:rPr>
        <w:t>but no spinal stenosis or neural foramina</w:t>
      </w:r>
      <w:r w:rsidR="00C901C2">
        <w:rPr>
          <w:rFonts w:asciiTheme="minorHAnsi" w:hAnsiTheme="minorHAnsi"/>
          <w:color w:val="auto"/>
          <w:szCs w:val="24"/>
        </w:rPr>
        <w:t>l</w:t>
      </w:r>
      <w:r w:rsidRPr="00611EB8">
        <w:rPr>
          <w:rFonts w:asciiTheme="minorHAnsi" w:hAnsiTheme="minorHAnsi"/>
          <w:color w:val="auto"/>
          <w:szCs w:val="24"/>
        </w:rPr>
        <w:t xml:space="preserve"> narrowing throughout the lumbar spine.  The diagnosis was </w:t>
      </w:r>
      <w:r w:rsidR="008B1BEA" w:rsidRPr="00611EB8">
        <w:rPr>
          <w:rFonts w:asciiTheme="minorHAnsi" w:hAnsiTheme="minorHAnsi"/>
          <w:color w:val="auto"/>
          <w:szCs w:val="24"/>
        </w:rPr>
        <w:t>herniated disc, degenerative disc disease and degenerative joint disease of the lumbosacral spine</w:t>
      </w:r>
      <w:r w:rsidR="002F392E">
        <w:rPr>
          <w:rFonts w:asciiTheme="minorHAnsi" w:hAnsiTheme="minorHAnsi"/>
          <w:color w:val="auto"/>
          <w:szCs w:val="24"/>
        </w:rPr>
        <w:t xml:space="preserve">.  </w:t>
      </w:r>
    </w:p>
    <w:p w:rsidR="00CC2E6B" w:rsidRPr="008C4B73" w:rsidRDefault="00CC2E6B" w:rsidP="00660807">
      <w:pPr>
        <w:autoSpaceDE w:val="0"/>
        <w:autoSpaceDN w:val="0"/>
        <w:adjustRightInd w:val="0"/>
        <w:spacing w:line="240" w:lineRule="exact"/>
        <w:rPr>
          <w:rFonts w:asciiTheme="minorHAnsi" w:hAnsiTheme="minorHAnsi"/>
          <w:color w:val="FF0000"/>
          <w:szCs w:val="24"/>
        </w:rPr>
      </w:pPr>
    </w:p>
    <w:p w:rsidR="008F6CBA" w:rsidRPr="00611EB8" w:rsidRDefault="00CC2E6B" w:rsidP="00660807">
      <w:pPr>
        <w:autoSpaceDE w:val="0"/>
        <w:autoSpaceDN w:val="0"/>
        <w:adjustRightInd w:val="0"/>
        <w:spacing w:line="240" w:lineRule="exact"/>
        <w:jc w:val="both"/>
        <w:rPr>
          <w:rFonts w:asciiTheme="minorHAnsi" w:hAnsiTheme="minorHAnsi"/>
          <w:color w:val="auto"/>
          <w:szCs w:val="24"/>
        </w:rPr>
      </w:pPr>
      <w:r w:rsidRPr="001B45BB">
        <w:rPr>
          <w:rFonts w:asciiTheme="minorHAnsi" w:hAnsiTheme="minorHAnsi"/>
          <w:color w:val="auto"/>
          <w:szCs w:val="24"/>
        </w:rPr>
        <w:t xml:space="preserve">Although the </w:t>
      </w:r>
      <w:r w:rsidR="0086419D" w:rsidRPr="001B45BB">
        <w:rPr>
          <w:rFonts w:asciiTheme="minorHAnsi" w:hAnsiTheme="minorHAnsi"/>
          <w:color w:val="auto"/>
          <w:szCs w:val="24"/>
        </w:rPr>
        <w:t>CI had</w:t>
      </w:r>
      <w:r w:rsidRPr="001B45BB">
        <w:rPr>
          <w:rFonts w:asciiTheme="minorHAnsi" w:hAnsiTheme="minorHAnsi"/>
          <w:color w:val="auto"/>
          <w:szCs w:val="24"/>
        </w:rPr>
        <w:t xml:space="preserve"> subjective right foot complaints and some slight decrease in sensation in the right leg, the</w:t>
      </w:r>
      <w:r w:rsidR="0086419D" w:rsidRPr="001B45BB">
        <w:rPr>
          <w:rFonts w:asciiTheme="minorHAnsi" w:hAnsiTheme="minorHAnsi"/>
          <w:color w:val="auto"/>
          <w:szCs w:val="24"/>
        </w:rPr>
        <w:t xml:space="preserve">re was no evidence that these radicular symptoms prevented the CI from performing </w:t>
      </w:r>
      <w:r w:rsidR="005039DF">
        <w:rPr>
          <w:rFonts w:asciiTheme="minorHAnsi" w:hAnsiTheme="minorHAnsi"/>
          <w:color w:val="auto"/>
          <w:szCs w:val="24"/>
        </w:rPr>
        <w:t xml:space="preserve">his </w:t>
      </w:r>
      <w:r w:rsidR="0086419D" w:rsidRPr="001B45BB">
        <w:rPr>
          <w:rFonts w:asciiTheme="minorHAnsi" w:hAnsiTheme="minorHAnsi"/>
          <w:color w:val="auto"/>
          <w:szCs w:val="24"/>
        </w:rPr>
        <w:t xml:space="preserve">duties </w:t>
      </w:r>
      <w:r w:rsidR="008F6CBA" w:rsidRPr="001B45BB">
        <w:rPr>
          <w:rFonts w:asciiTheme="minorHAnsi" w:hAnsiTheme="minorHAnsi"/>
          <w:color w:val="auto"/>
          <w:szCs w:val="24"/>
        </w:rPr>
        <w:t>at the time of sep</w:t>
      </w:r>
      <w:r w:rsidR="001B45BB">
        <w:rPr>
          <w:rFonts w:asciiTheme="minorHAnsi" w:hAnsiTheme="minorHAnsi"/>
          <w:color w:val="auto"/>
          <w:szCs w:val="24"/>
        </w:rPr>
        <w:t>aration.</w:t>
      </w:r>
      <w:r w:rsidR="00340EBD">
        <w:rPr>
          <w:rFonts w:asciiTheme="minorHAnsi" w:hAnsiTheme="minorHAnsi"/>
          <w:color w:val="auto"/>
          <w:szCs w:val="24"/>
        </w:rPr>
        <w:t xml:space="preserve">  </w:t>
      </w:r>
      <w:r w:rsidR="0086419D" w:rsidRPr="00611EB8">
        <w:rPr>
          <w:rFonts w:asciiTheme="minorHAnsi" w:hAnsiTheme="minorHAnsi"/>
          <w:color w:val="auto"/>
          <w:szCs w:val="24"/>
        </w:rPr>
        <w:t>All evidence considered</w:t>
      </w:r>
      <w:proofErr w:type="gramStart"/>
      <w:r w:rsidR="0086419D" w:rsidRPr="00611EB8">
        <w:rPr>
          <w:rFonts w:asciiTheme="minorHAnsi" w:hAnsiTheme="minorHAnsi"/>
          <w:color w:val="auto"/>
          <w:szCs w:val="24"/>
        </w:rPr>
        <w:t>,</w:t>
      </w:r>
      <w:proofErr w:type="gramEnd"/>
      <w:r w:rsidR="0086419D" w:rsidRPr="00611EB8">
        <w:rPr>
          <w:rFonts w:asciiTheme="minorHAnsi" w:hAnsiTheme="minorHAnsi"/>
          <w:color w:val="auto"/>
          <w:szCs w:val="24"/>
        </w:rPr>
        <w:t xml:space="preserve"> the Board cannot find sufficient evidence to support recommending lumbar radiculopathy as additionally unfitting for separation</w:t>
      </w:r>
      <w:r w:rsidR="001B45BB">
        <w:rPr>
          <w:rFonts w:asciiTheme="minorHAnsi" w:hAnsiTheme="minorHAnsi"/>
          <w:color w:val="auto"/>
          <w:szCs w:val="24"/>
        </w:rPr>
        <w:t xml:space="preserve">.  </w:t>
      </w:r>
      <w:r w:rsidR="008F6CBA" w:rsidRPr="00611EB8">
        <w:rPr>
          <w:rFonts w:asciiTheme="minorHAnsi" w:hAnsiTheme="minorHAnsi"/>
          <w:color w:val="auto"/>
          <w:szCs w:val="24"/>
        </w:rPr>
        <w:t xml:space="preserve">There is not reasonable doubt in the CI’s favor therefore to justify a Board recommendation for other than the 10% rating assigned by the PEB for the </w:t>
      </w:r>
      <w:r w:rsidR="001B45BB">
        <w:rPr>
          <w:rFonts w:asciiTheme="minorHAnsi" w:hAnsiTheme="minorHAnsi"/>
          <w:color w:val="auto"/>
          <w:szCs w:val="24"/>
        </w:rPr>
        <w:t>c</w:t>
      </w:r>
      <w:r w:rsidR="005D3E44" w:rsidRPr="00611EB8">
        <w:rPr>
          <w:rFonts w:asciiTheme="minorHAnsi" w:hAnsiTheme="minorHAnsi"/>
          <w:color w:val="auto"/>
          <w:szCs w:val="24"/>
        </w:rPr>
        <w:t xml:space="preserve">hronic </w:t>
      </w:r>
      <w:r w:rsidR="001B45BB">
        <w:rPr>
          <w:rFonts w:asciiTheme="minorHAnsi" w:hAnsiTheme="minorHAnsi"/>
          <w:color w:val="auto"/>
          <w:szCs w:val="24"/>
        </w:rPr>
        <w:t>lower b</w:t>
      </w:r>
      <w:r w:rsidR="008F6CBA" w:rsidRPr="00611EB8">
        <w:rPr>
          <w:rFonts w:asciiTheme="minorHAnsi" w:hAnsiTheme="minorHAnsi"/>
          <w:color w:val="auto"/>
          <w:szCs w:val="24"/>
        </w:rPr>
        <w:t xml:space="preserve">ack </w:t>
      </w:r>
      <w:r w:rsidR="001B45BB">
        <w:rPr>
          <w:rFonts w:asciiTheme="minorHAnsi" w:hAnsiTheme="minorHAnsi"/>
          <w:color w:val="auto"/>
          <w:szCs w:val="24"/>
        </w:rPr>
        <w:t>and e</w:t>
      </w:r>
      <w:r w:rsidR="005D3E44" w:rsidRPr="00611EB8">
        <w:rPr>
          <w:rFonts w:asciiTheme="minorHAnsi" w:hAnsiTheme="minorHAnsi"/>
          <w:color w:val="auto"/>
          <w:szCs w:val="24"/>
        </w:rPr>
        <w:t xml:space="preserve">xtremity </w:t>
      </w:r>
      <w:r w:rsidR="001B45BB">
        <w:rPr>
          <w:rFonts w:asciiTheme="minorHAnsi" w:hAnsiTheme="minorHAnsi"/>
          <w:color w:val="auto"/>
          <w:szCs w:val="24"/>
        </w:rPr>
        <w:t>p</w:t>
      </w:r>
      <w:r w:rsidR="008F6CBA" w:rsidRPr="00611EB8">
        <w:rPr>
          <w:rFonts w:asciiTheme="minorHAnsi" w:hAnsiTheme="minorHAnsi"/>
          <w:color w:val="auto"/>
          <w:szCs w:val="24"/>
        </w:rPr>
        <w:t xml:space="preserve">ain condition.  </w:t>
      </w:r>
    </w:p>
    <w:p w:rsidR="008F6CBA" w:rsidRDefault="008F6CBA" w:rsidP="00660807">
      <w:pPr>
        <w:tabs>
          <w:tab w:val="left" w:pos="288"/>
          <w:tab w:val="left" w:pos="4752"/>
        </w:tabs>
        <w:spacing w:line="240" w:lineRule="exact"/>
        <w:jc w:val="both"/>
        <w:rPr>
          <w:rFonts w:asciiTheme="minorHAnsi" w:eastAsia="Calibri" w:hAnsiTheme="minorHAnsi"/>
          <w:strike/>
          <w:color w:val="auto"/>
          <w:szCs w:val="24"/>
        </w:rPr>
      </w:pPr>
    </w:p>
    <w:p w:rsidR="009345CA" w:rsidRDefault="009345CA" w:rsidP="00660807">
      <w:pPr>
        <w:tabs>
          <w:tab w:val="left" w:pos="288"/>
          <w:tab w:val="left" w:pos="4752"/>
        </w:tabs>
        <w:spacing w:line="240" w:lineRule="exact"/>
        <w:jc w:val="both"/>
        <w:rPr>
          <w:rFonts w:asciiTheme="minorHAnsi" w:eastAsia="Calibri" w:hAnsiTheme="minorHAnsi"/>
          <w:strike/>
          <w:color w:val="auto"/>
          <w:szCs w:val="24"/>
        </w:rPr>
      </w:pPr>
      <w:proofErr w:type="gramStart"/>
      <w:r>
        <w:rPr>
          <w:rFonts w:asciiTheme="minorHAnsi" w:eastAsiaTheme="minorHAnsi" w:hAnsiTheme="minorHAnsi" w:cstheme="minorBidi"/>
          <w:color w:val="auto"/>
          <w:szCs w:val="24"/>
          <w:u w:val="single"/>
        </w:rPr>
        <w:t>Other PEB Conditions</w:t>
      </w:r>
      <w:r>
        <w:rPr>
          <w:rFonts w:asciiTheme="minorHAnsi" w:eastAsiaTheme="minorHAnsi" w:hAnsiTheme="minorHAnsi" w:cstheme="minorBidi"/>
          <w:color w:val="auto"/>
          <w:szCs w:val="24"/>
        </w:rPr>
        <w:t>.</w:t>
      </w:r>
      <w:proofErr w:type="gramEnd"/>
      <w:r>
        <w:rPr>
          <w:rFonts w:asciiTheme="minorHAnsi" w:eastAsiaTheme="minorHAnsi" w:hAnsiTheme="minorHAnsi" w:cstheme="minorBidi"/>
          <w:color w:val="auto"/>
          <w:szCs w:val="24"/>
        </w:rPr>
        <w:t xml:space="preserve">  </w:t>
      </w:r>
      <w:r w:rsidR="00D56AAD">
        <w:rPr>
          <w:rFonts w:asciiTheme="minorHAnsi" w:eastAsiaTheme="minorHAnsi" w:hAnsiTheme="minorHAnsi" w:cstheme="minorBidi"/>
          <w:color w:val="auto"/>
          <w:szCs w:val="24"/>
        </w:rPr>
        <w:t xml:space="preserve">The Navy PEB had determined that </w:t>
      </w:r>
      <w:r w:rsidR="00390741">
        <w:rPr>
          <w:rFonts w:asciiTheme="minorHAnsi" w:eastAsiaTheme="minorHAnsi" w:hAnsiTheme="minorHAnsi" w:cstheme="minorBidi"/>
          <w:color w:val="auto"/>
          <w:szCs w:val="24"/>
        </w:rPr>
        <w:t xml:space="preserve">PTSD was Category </w:t>
      </w:r>
      <w:r w:rsidR="00A208E3">
        <w:rPr>
          <w:rFonts w:asciiTheme="minorHAnsi" w:eastAsiaTheme="minorHAnsi" w:hAnsiTheme="minorHAnsi" w:cstheme="minorBidi"/>
          <w:color w:val="auto"/>
          <w:szCs w:val="24"/>
        </w:rPr>
        <w:t>II</w:t>
      </w:r>
      <w:r w:rsidR="00390741">
        <w:rPr>
          <w:rFonts w:asciiTheme="minorHAnsi" w:eastAsiaTheme="minorHAnsi" w:hAnsiTheme="minorHAnsi" w:cstheme="minorBidi"/>
          <w:color w:val="auto"/>
          <w:szCs w:val="24"/>
        </w:rPr>
        <w:t xml:space="preserve"> (related to one of the unfitting conditions).  The Navy PEB also determined that </w:t>
      </w:r>
      <w:r w:rsidR="005039DF">
        <w:rPr>
          <w:rFonts w:asciiTheme="minorHAnsi" w:eastAsiaTheme="minorHAnsi" w:hAnsiTheme="minorHAnsi" w:cstheme="minorBidi"/>
          <w:color w:val="auto"/>
          <w:szCs w:val="24"/>
        </w:rPr>
        <w:t>s</w:t>
      </w:r>
      <w:r w:rsidR="00D56AAD">
        <w:rPr>
          <w:rFonts w:asciiTheme="minorHAnsi" w:eastAsiaTheme="minorHAnsi" w:hAnsiTheme="minorHAnsi" w:cstheme="minorBidi"/>
          <w:color w:val="auto"/>
          <w:szCs w:val="24"/>
        </w:rPr>
        <w:t xml:space="preserve">leep disorder, </w:t>
      </w:r>
      <w:r w:rsidR="005039DF">
        <w:rPr>
          <w:rFonts w:asciiTheme="minorHAnsi" w:eastAsiaTheme="minorHAnsi" w:hAnsiTheme="minorHAnsi" w:cstheme="minorBidi"/>
          <w:color w:val="auto"/>
          <w:szCs w:val="24"/>
        </w:rPr>
        <w:t>l</w:t>
      </w:r>
      <w:r w:rsidR="00D56AAD">
        <w:rPr>
          <w:rFonts w:asciiTheme="minorHAnsi" w:eastAsiaTheme="minorHAnsi" w:hAnsiTheme="minorHAnsi" w:cstheme="minorBidi"/>
          <w:color w:val="auto"/>
          <w:szCs w:val="24"/>
        </w:rPr>
        <w:t xml:space="preserve">umbar sprain, L4-L5 disc bulge, and L5-S1 disc bulge were all Category </w:t>
      </w:r>
      <w:r w:rsidR="00A208E3">
        <w:rPr>
          <w:rFonts w:asciiTheme="minorHAnsi" w:eastAsiaTheme="minorHAnsi" w:hAnsiTheme="minorHAnsi" w:cstheme="minorBidi"/>
          <w:color w:val="auto"/>
          <w:szCs w:val="24"/>
        </w:rPr>
        <w:t>II</w:t>
      </w:r>
      <w:r w:rsidR="00D56AAD">
        <w:rPr>
          <w:rFonts w:asciiTheme="minorHAnsi" w:eastAsiaTheme="minorHAnsi" w:hAnsiTheme="minorHAnsi" w:cstheme="minorBidi"/>
          <w:color w:val="auto"/>
          <w:szCs w:val="24"/>
        </w:rPr>
        <w:t xml:space="preserve"> (related to one of the unfitting conditions).  The PEB also found that </w:t>
      </w:r>
      <w:r w:rsidR="005039DF">
        <w:rPr>
          <w:rFonts w:asciiTheme="minorHAnsi" w:eastAsiaTheme="minorHAnsi" w:hAnsiTheme="minorHAnsi" w:cstheme="minorBidi"/>
          <w:color w:val="auto"/>
          <w:szCs w:val="24"/>
        </w:rPr>
        <w:t>h</w:t>
      </w:r>
      <w:r w:rsidR="00D56AAD">
        <w:rPr>
          <w:rFonts w:asciiTheme="minorHAnsi" w:eastAsiaTheme="minorHAnsi" w:hAnsiTheme="minorHAnsi" w:cstheme="minorBidi"/>
          <w:color w:val="auto"/>
          <w:szCs w:val="24"/>
        </w:rPr>
        <w:t xml:space="preserve">eadaches and </w:t>
      </w:r>
      <w:r w:rsidR="005039DF">
        <w:rPr>
          <w:rFonts w:asciiTheme="minorHAnsi" w:eastAsiaTheme="minorHAnsi" w:hAnsiTheme="minorHAnsi" w:cstheme="minorBidi"/>
          <w:color w:val="auto"/>
          <w:szCs w:val="24"/>
        </w:rPr>
        <w:t>g</w:t>
      </w:r>
      <w:r w:rsidR="00D56AAD">
        <w:rPr>
          <w:rFonts w:asciiTheme="minorHAnsi" w:eastAsiaTheme="minorHAnsi" w:hAnsiTheme="minorHAnsi" w:cstheme="minorBidi"/>
          <w:color w:val="auto"/>
          <w:szCs w:val="24"/>
        </w:rPr>
        <w:t xml:space="preserve">anglion cysts (of both wrists) were Category </w:t>
      </w:r>
      <w:r w:rsidR="00A208E3">
        <w:rPr>
          <w:rFonts w:asciiTheme="minorHAnsi" w:eastAsiaTheme="minorHAnsi" w:hAnsiTheme="minorHAnsi" w:cstheme="minorBidi"/>
          <w:color w:val="auto"/>
          <w:szCs w:val="24"/>
        </w:rPr>
        <w:t>III</w:t>
      </w:r>
      <w:r w:rsidR="00D56AAD">
        <w:rPr>
          <w:rFonts w:asciiTheme="minorHAnsi" w:eastAsiaTheme="minorHAnsi" w:hAnsiTheme="minorHAnsi" w:cstheme="minorBidi"/>
          <w:color w:val="auto"/>
          <w:szCs w:val="24"/>
        </w:rPr>
        <w:t xml:space="preserve"> (not separately unfitting, and not contributing to either of the unfitting conditions).  </w:t>
      </w:r>
      <w:r w:rsidR="00D56AAD" w:rsidRPr="00611EB8">
        <w:rPr>
          <w:rFonts w:asciiTheme="minorHAnsi" w:hAnsiTheme="minorHAnsi"/>
          <w:color w:val="auto"/>
          <w:szCs w:val="24"/>
        </w:rPr>
        <w:t>All evidence considered</w:t>
      </w:r>
      <w:proofErr w:type="gramStart"/>
      <w:r w:rsidR="00D56AAD" w:rsidRPr="00611EB8">
        <w:rPr>
          <w:rFonts w:asciiTheme="minorHAnsi" w:hAnsiTheme="minorHAnsi"/>
          <w:color w:val="auto"/>
          <w:szCs w:val="24"/>
        </w:rPr>
        <w:t>,</w:t>
      </w:r>
      <w:proofErr w:type="gramEnd"/>
      <w:r w:rsidR="00D56AAD" w:rsidRPr="00611EB8">
        <w:rPr>
          <w:rFonts w:asciiTheme="minorHAnsi" w:hAnsiTheme="minorHAnsi"/>
          <w:color w:val="auto"/>
          <w:szCs w:val="24"/>
        </w:rPr>
        <w:t xml:space="preserve"> the Board cannot find sufficient evidence to support recommending </w:t>
      </w:r>
      <w:r w:rsidR="00D56AAD">
        <w:rPr>
          <w:rFonts w:asciiTheme="minorHAnsi" w:hAnsiTheme="minorHAnsi"/>
          <w:color w:val="auto"/>
          <w:szCs w:val="24"/>
        </w:rPr>
        <w:t xml:space="preserve">any of these other </w:t>
      </w:r>
      <w:r w:rsidR="00390741">
        <w:rPr>
          <w:rFonts w:asciiTheme="minorHAnsi" w:hAnsiTheme="minorHAnsi"/>
          <w:color w:val="auto"/>
          <w:szCs w:val="24"/>
        </w:rPr>
        <w:t xml:space="preserve">six </w:t>
      </w:r>
      <w:r w:rsidR="00D56AAD">
        <w:rPr>
          <w:rFonts w:asciiTheme="minorHAnsi" w:hAnsiTheme="minorHAnsi"/>
          <w:color w:val="auto"/>
          <w:szCs w:val="24"/>
        </w:rPr>
        <w:t>PEB conditions</w:t>
      </w:r>
      <w:r w:rsidR="00D56AAD" w:rsidRPr="00611EB8">
        <w:rPr>
          <w:rFonts w:asciiTheme="minorHAnsi" w:hAnsiTheme="minorHAnsi"/>
          <w:color w:val="auto"/>
          <w:szCs w:val="24"/>
        </w:rPr>
        <w:t xml:space="preserve"> as additionally unfitting for separation</w:t>
      </w:r>
      <w:r w:rsidR="00D56AAD">
        <w:rPr>
          <w:rFonts w:asciiTheme="minorHAnsi" w:hAnsiTheme="minorHAnsi"/>
          <w:color w:val="auto"/>
          <w:szCs w:val="24"/>
        </w:rPr>
        <w:t>.</w:t>
      </w:r>
      <w:r w:rsidR="00390741">
        <w:rPr>
          <w:rFonts w:asciiTheme="minorHAnsi" w:hAnsiTheme="minorHAnsi"/>
          <w:color w:val="auto"/>
          <w:szCs w:val="24"/>
        </w:rPr>
        <w:t xml:space="preserve">   </w:t>
      </w:r>
    </w:p>
    <w:p w:rsidR="009345CA" w:rsidRPr="00611EB8" w:rsidRDefault="009345CA" w:rsidP="00660807">
      <w:pPr>
        <w:tabs>
          <w:tab w:val="left" w:pos="288"/>
          <w:tab w:val="left" w:pos="4752"/>
        </w:tabs>
        <w:spacing w:line="240" w:lineRule="exact"/>
        <w:jc w:val="both"/>
        <w:rPr>
          <w:rFonts w:asciiTheme="minorHAnsi" w:eastAsia="Calibri" w:hAnsiTheme="minorHAnsi"/>
          <w:strike/>
          <w:color w:val="auto"/>
          <w:szCs w:val="24"/>
        </w:rPr>
      </w:pPr>
    </w:p>
    <w:p w:rsidR="00106AD8" w:rsidRPr="005D3F1E" w:rsidRDefault="001B45BB" w:rsidP="00660807">
      <w:pPr>
        <w:tabs>
          <w:tab w:val="left" w:pos="288"/>
          <w:tab w:val="left" w:pos="4752"/>
        </w:tabs>
        <w:spacing w:line="240" w:lineRule="exact"/>
        <w:jc w:val="both"/>
        <w:rPr>
          <w:rFonts w:asciiTheme="minorHAnsi" w:hAnsiTheme="minorHAnsi" w:cs="Courier New"/>
          <w:color w:val="auto"/>
          <w:szCs w:val="24"/>
        </w:rPr>
      </w:pPr>
      <w:proofErr w:type="gramStart"/>
      <w:r>
        <w:rPr>
          <w:rFonts w:asciiTheme="minorHAnsi" w:eastAsiaTheme="minorHAnsi" w:hAnsiTheme="minorHAnsi" w:cstheme="minorBidi"/>
          <w:color w:val="auto"/>
          <w:szCs w:val="24"/>
          <w:u w:val="single"/>
        </w:rPr>
        <w:t>Remaining Conditions</w:t>
      </w:r>
      <w:r>
        <w:rPr>
          <w:rFonts w:asciiTheme="minorHAnsi" w:eastAsiaTheme="minorHAnsi" w:hAnsiTheme="minorHAnsi" w:cstheme="minorBidi"/>
          <w:color w:val="auto"/>
          <w:szCs w:val="24"/>
        </w:rPr>
        <w:t>.</w:t>
      </w:r>
      <w:proofErr w:type="gramEnd"/>
      <w:r>
        <w:rPr>
          <w:rFonts w:asciiTheme="minorHAnsi" w:eastAsiaTheme="minorHAnsi" w:hAnsiTheme="minorHAnsi" w:cstheme="minorBidi"/>
          <w:color w:val="auto"/>
          <w:szCs w:val="24"/>
        </w:rPr>
        <w:t xml:space="preserve">  </w:t>
      </w:r>
      <w:r w:rsidR="00390741">
        <w:rPr>
          <w:rFonts w:asciiTheme="minorHAnsi" w:eastAsiaTheme="minorHAnsi" w:hAnsiTheme="minorHAnsi" w:cstheme="minorBidi"/>
          <w:color w:val="auto"/>
          <w:szCs w:val="24"/>
        </w:rPr>
        <w:t>P</w:t>
      </w:r>
      <w:r w:rsidRPr="00611EB8">
        <w:rPr>
          <w:rFonts w:asciiTheme="minorHAnsi" w:hAnsiTheme="minorHAnsi" w:cs="Courier New"/>
          <w:color w:val="auto"/>
          <w:szCs w:val="24"/>
        </w:rPr>
        <w:t xml:space="preserve">es planus and knee pain </w:t>
      </w:r>
      <w:r>
        <w:rPr>
          <w:rFonts w:asciiTheme="minorHAnsi" w:eastAsiaTheme="minorHAnsi" w:hAnsiTheme="minorHAnsi" w:cstheme="minorBidi"/>
          <w:color w:val="auto"/>
          <w:szCs w:val="24"/>
        </w:rPr>
        <w:t xml:space="preserve">were also mentioned in the </w:t>
      </w:r>
      <w:r w:rsidRPr="001161A7">
        <w:rPr>
          <w:rFonts w:ascii="Calibri" w:eastAsiaTheme="minorHAnsi" w:hAnsi="Calibri" w:cs="Courier New"/>
          <w:color w:val="auto"/>
          <w:szCs w:val="24"/>
        </w:rPr>
        <w:t xml:space="preserve">Disability Evaluation System </w:t>
      </w:r>
      <w:r w:rsidR="00DC35AA">
        <w:rPr>
          <w:rFonts w:asciiTheme="minorHAnsi" w:eastAsiaTheme="minorHAnsi" w:hAnsiTheme="minorHAnsi" w:cstheme="minorBidi"/>
          <w:color w:val="auto"/>
          <w:szCs w:val="24"/>
        </w:rPr>
        <w:t xml:space="preserve">(DES) file.  </w:t>
      </w:r>
      <w:r>
        <w:rPr>
          <w:rFonts w:asciiTheme="minorHAnsi" w:eastAsiaTheme="minorHAnsi" w:hAnsiTheme="minorHAnsi" w:cstheme="minorBidi"/>
          <w:color w:val="auto"/>
          <w:szCs w:val="24"/>
        </w:rPr>
        <w:t>Several additional condit</w:t>
      </w:r>
      <w:r w:rsidR="008E59EA">
        <w:rPr>
          <w:rFonts w:asciiTheme="minorHAnsi" w:eastAsiaTheme="minorHAnsi" w:hAnsiTheme="minorHAnsi" w:cstheme="minorBidi"/>
          <w:color w:val="auto"/>
          <w:szCs w:val="24"/>
        </w:rPr>
        <w:t xml:space="preserve">ions were also documented.  </w:t>
      </w:r>
      <w:r w:rsidR="00390741">
        <w:rPr>
          <w:rFonts w:asciiTheme="minorHAnsi" w:eastAsiaTheme="minorHAnsi" w:hAnsiTheme="minorHAnsi" w:cstheme="minorBidi"/>
          <w:color w:val="auto"/>
          <w:szCs w:val="24"/>
        </w:rPr>
        <w:t>None</w:t>
      </w:r>
      <w:r>
        <w:rPr>
          <w:rFonts w:asciiTheme="minorHAnsi" w:eastAsiaTheme="minorHAnsi" w:hAnsiTheme="minorHAnsi" w:cstheme="minorBidi"/>
          <w:color w:val="auto"/>
          <w:szCs w:val="24"/>
        </w:rPr>
        <w:t xml:space="preserve"> of these other conditions were implicated</w:t>
      </w:r>
      <w:r w:rsidR="00DC35AA">
        <w:rPr>
          <w:rFonts w:asciiTheme="minorHAnsi" w:eastAsiaTheme="minorHAnsi" w:hAnsiTheme="minorHAnsi" w:cstheme="minorBidi"/>
          <w:color w:val="auto"/>
          <w:szCs w:val="24"/>
        </w:rPr>
        <w:t xml:space="preserve"> in the </w:t>
      </w:r>
      <w:r w:rsidR="005039DF">
        <w:rPr>
          <w:rFonts w:asciiTheme="minorHAnsi" w:eastAsiaTheme="minorHAnsi" w:hAnsiTheme="minorHAnsi" w:cstheme="minorBidi"/>
          <w:color w:val="auto"/>
          <w:szCs w:val="24"/>
        </w:rPr>
        <w:t>c</w:t>
      </w:r>
      <w:r w:rsidR="00DC35AA">
        <w:rPr>
          <w:rFonts w:asciiTheme="minorHAnsi" w:eastAsiaTheme="minorHAnsi" w:hAnsiTheme="minorHAnsi" w:cstheme="minorBidi"/>
          <w:color w:val="auto"/>
          <w:szCs w:val="24"/>
        </w:rPr>
        <w:t xml:space="preserve">ommander’s statement.  </w:t>
      </w:r>
      <w:r>
        <w:rPr>
          <w:rFonts w:asciiTheme="minorHAnsi" w:eastAsiaTheme="minorHAnsi" w:hAnsiTheme="minorHAnsi" w:cstheme="minorBidi"/>
          <w:color w:val="auto"/>
          <w:szCs w:val="24"/>
        </w:rPr>
        <w:t xml:space="preserve">These conditions were reviewed by the </w:t>
      </w:r>
      <w:r w:rsidR="005039DF">
        <w:rPr>
          <w:rFonts w:asciiTheme="minorHAnsi" w:eastAsiaTheme="minorHAnsi" w:hAnsiTheme="minorHAnsi" w:cstheme="minorBidi"/>
          <w:color w:val="auto"/>
          <w:szCs w:val="24"/>
        </w:rPr>
        <w:t>a</w:t>
      </w:r>
      <w:r>
        <w:rPr>
          <w:rFonts w:asciiTheme="minorHAnsi" w:eastAsiaTheme="minorHAnsi" w:hAnsiTheme="minorHAnsi" w:cstheme="minorBidi"/>
          <w:color w:val="auto"/>
          <w:szCs w:val="24"/>
        </w:rPr>
        <w:t xml:space="preserve">ction </w:t>
      </w:r>
      <w:r w:rsidR="005039DF">
        <w:rPr>
          <w:rFonts w:asciiTheme="minorHAnsi" w:eastAsiaTheme="minorHAnsi" w:hAnsiTheme="minorHAnsi" w:cstheme="minorBidi"/>
          <w:color w:val="auto"/>
          <w:szCs w:val="24"/>
        </w:rPr>
        <w:t>o</w:t>
      </w:r>
      <w:r>
        <w:rPr>
          <w:rFonts w:asciiTheme="minorHAnsi" w:eastAsiaTheme="minorHAnsi" w:hAnsiTheme="minorHAnsi" w:cstheme="minorBidi"/>
          <w:color w:val="auto"/>
          <w:szCs w:val="24"/>
        </w:rPr>
        <w:t>fficer and considered by the Board.  It was determined that none could be argued as unfitting and subject to separation rating.</w:t>
      </w:r>
      <w:r w:rsidR="008D31BA" w:rsidRPr="00611EB8">
        <w:rPr>
          <w:rFonts w:asciiTheme="minorHAnsi" w:hAnsiTheme="minorHAnsi" w:cs="Courier New"/>
          <w:color w:val="auto"/>
          <w:szCs w:val="24"/>
        </w:rPr>
        <w:t xml:space="preserve"> </w:t>
      </w:r>
    </w:p>
    <w:p w:rsidR="005D3F1E" w:rsidRPr="00611EB8" w:rsidRDefault="005D3F1E" w:rsidP="00660807">
      <w:pPr>
        <w:pBdr>
          <w:bottom w:val="single" w:sz="12" w:space="1" w:color="auto"/>
        </w:pBdr>
        <w:tabs>
          <w:tab w:val="left" w:pos="288"/>
          <w:tab w:val="left" w:pos="4752"/>
        </w:tabs>
        <w:spacing w:line="240" w:lineRule="exact"/>
        <w:jc w:val="both"/>
        <w:rPr>
          <w:rFonts w:asciiTheme="minorHAnsi" w:hAnsiTheme="minorHAnsi"/>
          <w:color w:val="auto"/>
          <w:szCs w:val="24"/>
        </w:rPr>
      </w:pPr>
    </w:p>
    <w:p w:rsidR="005D3F1E" w:rsidRPr="00611EB8" w:rsidRDefault="005D3F1E" w:rsidP="00660807">
      <w:pPr>
        <w:tabs>
          <w:tab w:val="left" w:pos="288"/>
          <w:tab w:val="left" w:pos="4752"/>
        </w:tabs>
        <w:spacing w:line="240" w:lineRule="exact"/>
        <w:rPr>
          <w:rFonts w:asciiTheme="minorHAnsi" w:hAnsiTheme="minorHAnsi"/>
          <w:color w:val="000080"/>
          <w:szCs w:val="24"/>
        </w:rPr>
      </w:pPr>
    </w:p>
    <w:p w:rsidR="007C5029" w:rsidRPr="00611EB8" w:rsidRDefault="00C56FC8" w:rsidP="00660807">
      <w:pPr>
        <w:spacing w:line="240" w:lineRule="exact"/>
        <w:jc w:val="both"/>
        <w:rPr>
          <w:rFonts w:asciiTheme="minorHAnsi" w:hAnsiTheme="minorHAnsi"/>
          <w:color w:val="auto"/>
          <w:szCs w:val="24"/>
        </w:rPr>
      </w:pPr>
      <w:r w:rsidRPr="00611EB8">
        <w:rPr>
          <w:rFonts w:asciiTheme="minorHAnsi" w:hAnsiTheme="minorHAnsi"/>
          <w:color w:val="auto"/>
          <w:szCs w:val="24"/>
          <w:u w:val="single"/>
        </w:rPr>
        <w:t>BOARD FINDINGS</w:t>
      </w:r>
      <w:r w:rsidRPr="00611EB8">
        <w:rPr>
          <w:rFonts w:asciiTheme="minorHAnsi" w:hAnsiTheme="minorHAnsi"/>
          <w:color w:val="auto"/>
          <w:szCs w:val="24"/>
        </w:rPr>
        <w:t>:</w:t>
      </w:r>
      <w:r w:rsidRPr="00611EB8">
        <w:rPr>
          <w:rFonts w:asciiTheme="minorHAnsi" w:eastAsia="Calibri" w:hAnsiTheme="minorHAnsi"/>
          <w:color w:val="auto"/>
          <w:szCs w:val="24"/>
        </w:rPr>
        <w:t xml:space="preserve">  </w:t>
      </w:r>
      <w:r w:rsidR="007C5029" w:rsidRPr="00611EB8">
        <w:rPr>
          <w:rFonts w:asciiTheme="minorHAnsi" w:eastAsia="Calibri" w:hAnsiTheme="minorHAnsi"/>
          <w:color w:val="auto"/>
          <w:szCs w:val="24"/>
        </w:rPr>
        <w:t xml:space="preserve">IAW DoDI 6040.44, provisions of DoD or Military Department regulations or guidelines relied upon by the PEB will not be considered by the Board to the extent they were inconsistent with the VASRD in effect at the time of the adjudication.  </w:t>
      </w:r>
      <w:r w:rsidR="00660807">
        <w:rPr>
          <w:rFonts w:asciiTheme="minorHAnsi" w:eastAsiaTheme="minorHAnsi" w:hAnsiTheme="minorHAnsi"/>
          <w:color w:val="auto"/>
          <w:szCs w:val="24"/>
        </w:rPr>
        <w:t xml:space="preserve">In the matter of the </w:t>
      </w:r>
      <w:r w:rsidR="005039DF">
        <w:rPr>
          <w:rFonts w:asciiTheme="minorHAnsi" w:eastAsiaTheme="minorHAnsi" w:hAnsiTheme="minorHAnsi"/>
          <w:color w:val="auto"/>
          <w:szCs w:val="24"/>
        </w:rPr>
        <w:t>m</w:t>
      </w:r>
      <w:r w:rsidR="00660807">
        <w:rPr>
          <w:rFonts w:asciiTheme="minorHAnsi" w:eastAsiaTheme="minorHAnsi" w:hAnsiTheme="minorHAnsi"/>
          <w:color w:val="auto"/>
          <w:szCs w:val="24"/>
        </w:rPr>
        <w:t xml:space="preserve">ental </w:t>
      </w:r>
      <w:r w:rsidR="005039DF">
        <w:rPr>
          <w:rFonts w:asciiTheme="minorHAnsi" w:eastAsiaTheme="minorHAnsi" w:hAnsiTheme="minorHAnsi"/>
          <w:color w:val="auto"/>
          <w:szCs w:val="24"/>
        </w:rPr>
        <w:t>c</w:t>
      </w:r>
      <w:r w:rsidR="00660807">
        <w:rPr>
          <w:rFonts w:asciiTheme="minorHAnsi" w:eastAsiaTheme="minorHAnsi" w:hAnsiTheme="minorHAnsi"/>
          <w:color w:val="auto"/>
          <w:szCs w:val="24"/>
        </w:rPr>
        <w:t xml:space="preserve">ondition (PTSD, with </w:t>
      </w:r>
      <w:r w:rsidR="005039DF">
        <w:rPr>
          <w:rFonts w:asciiTheme="minorHAnsi" w:eastAsiaTheme="minorHAnsi" w:hAnsiTheme="minorHAnsi"/>
          <w:color w:val="auto"/>
          <w:szCs w:val="24"/>
        </w:rPr>
        <w:t>a</w:t>
      </w:r>
      <w:r w:rsidR="00660807">
        <w:rPr>
          <w:rFonts w:asciiTheme="minorHAnsi" w:eastAsiaTheme="minorHAnsi" w:hAnsiTheme="minorHAnsi"/>
          <w:color w:val="auto"/>
          <w:szCs w:val="24"/>
        </w:rPr>
        <w:t>nxiety disorder), the Board by majority decision (2:1</w:t>
      </w:r>
      <w:r w:rsidR="00DC35AA">
        <w:rPr>
          <w:rFonts w:asciiTheme="minorHAnsi" w:eastAsiaTheme="minorHAnsi" w:hAnsiTheme="minorHAnsi"/>
          <w:color w:val="auto"/>
          <w:szCs w:val="24"/>
        </w:rPr>
        <w:t xml:space="preserve"> vote</w:t>
      </w:r>
      <w:r w:rsidR="00660807">
        <w:rPr>
          <w:rFonts w:asciiTheme="minorHAnsi" w:eastAsiaTheme="minorHAnsi" w:hAnsiTheme="minorHAnsi"/>
          <w:color w:val="auto"/>
          <w:szCs w:val="24"/>
        </w:rPr>
        <w:t>) recommends an initial Temporary Disability Retired List (TDRL) rating of 50% in retroactive compliance with VASRD</w:t>
      </w:r>
      <w:r w:rsidR="00660807">
        <w:rPr>
          <w:rFonts w:asciiTheme="minorHAnsi" w:hAnsiTheme="minorHAnsi"/>
          <w:color w:val="auto"/>
          <w:szCs w:val="24"/>
        </w:rPr>
        <w:t xml:space="preserve"> §4.129, as directed by DoD.  The </w:t>
      </w:r>
      <w:r w:rsidR="00660807">
        <w:rPr>
          <w:rFonts w:asciiTheme="minorHAnsi" w:eastAsiaTheme="minorHAnsi" w:hAnsiTheme="minorHAnsi"/>
          <w:color w:val="auto"/>
          <w:szCs w:val="24"/>
        </w:rPr>
        <w:t>Board by majority decision (2:1 vote) recommends a permanent rating of 30% at six months following separation IAW VASRD</w:t>
      </w:r>
      <w:r w:rsidR="00660807">
        <w:rPr>
          <w:rFonts w:asciiTheme="minorHAnsi" w:hAnsiTheme="minorHAnsi"/>
          <w:color w:val="auto"/>
          <w:szCs w:val="24"/>
        </w:rPr>
        <w:t xml:space="preserve"> §4.130.  </w:t>
      </w:r>
      <w:r w:rsidR="00660807">
        <w:rPr>
          <w:rFonts w:asciiTheme="minorHAnsi" w:hAnsiTheme="minorHAnsi"/>
          <w:color w:val="auto"/>
          <w:szCs w:val="24"/>
        </w:rPr>
        <w:lastRenderedPageBreak/>
        <w:t xml:space="preserve">The single voter for dissent (who recommended </w:t>
      </w:r>
      <w:r w:rsidR="00FE1FE3">
        <w:rPr>
          <w:rFonts w:asciiTheme="minorHAnsi" w:hAnsiTheme="minorHAnsi"/>
          <w:color w:val="auto"/>
          <w:szCs w:val="24"/>
        </w:rPr>
        <w:t>no re-characterization of the PEB adjudication)</w:t>
      </w:r>
      <w:r w:rsidR="00660807">
        <w:rPr>
          <w:rFonts w:asciiTheme="minorHAnsi" w:hAnsiTheme="minorHAnsi"/>
          <w:color w:val="auto"/>
          <w:szCs w:val="24"/>
        </w:rPr>
        <w:t xml:space="preserve"> </w:t>
      </w:r>
      <w:r w:rsidR="00C901C2">
        <w:rPr>
          <w:rFonts w:asciiTheme="minorHAnsi" w:hAnsiTheme="minorHAnsi"/>
          <w:color w:val="auto"/>
          <w:szCs w:val="24"/>
        </w:rPr>
        <w:t>has</w:t>
      </w:r>
      <w:r w:rsidR="00660807">
        <w:rPr>
          <w:rFonts w:asciiTheme="minorHAnsi" w:hAnsiTheme="minorHAnsi"/>
          <w:color w:val="auto"/>
          <w:szCs w:val="24"/>
        </w:rPr>
        <w:t xml:space="preserve"> elect</w:t>
      </w:r>
      <w:r w:rsidR="00C901C2">
        <w:rPr>
          <w:rFonts w:asciiTheme="minorHAnsi" w:hAnsiTheme="minorHAnsi"/>
          <w:color w:val="auto"/>
          <w:szCs w:val="24"/>
        </w:rPr>
        <w:t>ed</w:t>
      </w:r>
      <w:r w:rsidR="00660807">
        <w:rPr>
          <w:rFonts w:asciiTheme="minorHAnsi" w:hAnsiTheme="minorHAnsi"/>
          <w:color w:val="auto"/>
          <w:szCs w:val="24"/>
        </w:rPr>
        <w:t xml:space="preserve"> </w:t>
      </w:r>
      <w:r w:rsidR="00CD44A8">
        <w:rPr>
          <w:rFonts w:asciiTheme="minorHAnsi" w:hAnsiTheme="minorHAnsi"/>
          <w:color w:val="auto"/>
          <w:szCs w:val="24"/>
        </w:rPr>
        <w:t xml:space="preserve">not </w:t>
      </w:r>
      <w:r w:rsidR="00660807">
        <w:rPr>
          <w:rFonts w:asciiTheme="minorHAnsi" w:hAnsiTheme="minorHAnsi"/>
          <w:color w:val="auto"/>
          <w:szCs w:val="24"/>
        </w:rPr>
        <w:t>to submit a minority opinion.</w:t>
      </w:r>
      <w:r w:rsidR="005039DF">
        <w:rPr>
          <w:rFonts w:asciiTheme="minorHAnsi" w:hAnsiTheme="minorHAnsi"/>
          <w:color w:val="auto"/>
          <w:szCs w:val="24"/>
        </w:rPr>
        <w:t xml:space="preserve">  </w:t>
      </w:r>
      <w:r w:rsidR="007C5029" w:rsidRPr="00611EB8">
        <w:rPr>
          <w:rFonts w:asciiTheme="minorHAnsi" w:eastAsia="Calibri" w:hAnsiTheme="minorHAnsi"/>
          <w:color w:val="auto"/>
          <w:szCs w:val="24"/>
        </w:rPr>
        <w:t>In the matter of the lower back condition</w:t>
      </w:r>
      <w:r w:rsidR="00FE1FE3">
        <w:rPr>
          <w:rFonts w:asciiTheme="minorHAnsi" w:eastAsia="Calibri" w:hAnsiTheme="minorHAnsi"/>
          <w:color w:val="auto"/>
          <w:szCs w:val="24"/>
        </w:rPr>
        <w:t xml:space="preserve"> (back pain and leg pain), </w:t>
      </w:r>
      <w:r w:rsidR="007C5029" w:rsidRPr="00611EB8">
        <w:rPr>
          <w:rFonts w:asciiTheme="minorHAnsi" w:eastAsia="Calibri" w:hAnsiTheme="minorHAnsi"/>
          <w:color w:val="auto"/>
          <w:szCs w:val="24"/>
        </w:rPr>
        <w:t xml:space="preserve">the Board unanimously recommends </w:t>
      </w:r>
      <w:r w:rsidR="00FE1FE3">
        <w:rPr>
          <w:rFonts w:asciiTheme="minorHAnsi" w:eastAsia="Calibri" w:hAnsiTheme="minorHAnsi"/>
          <w:color w:val="auto"/>
          <w:szCs w:val="24"/>
        </w:rPr>
        <w:t xml:space="preserve">a rating of 10% (coded 5237) IAW </w:t>
      </w:r>
      <w:r w:rsidR="00FE1FE3" w:rsidRPr="00611EB8">
        <w:rPr>
          <w:rFonts w:asciiTheme="minorHAnsi" w:hAnsiTheme="minorHAnsi"/>
          <w:color w:val="auto"/>
          <w:szCs w:val="24"/>
        </w:rPr>
        <w:t>VASRD §4.71a</w:t>
      </w:r>
      <w:r w:rsidR="007C5029" w:rsidRPr="00611EB8">
        <w:rPr>
          <w:rFonts w:asciiTheme="minorHAnsi" w:hAnsiTheme="minorHAnsi"/>
          <w:color w:val="auto"/>
          <w:szCs w:val="24"/>
        </w:rPr>
        <w:t xml:space="preserve">. </w:t>
      </w:r>
      <w:r w:rsidR="005039DF">
        <w:rPr>
          <w:rFonts w:asciiTheme="minorHAnsi" w:hAnsiTheme="minorHAnsi"/>
          <w:color w:val="auto"/>
          <w:szCs w:val="24"/>
        </w:rPr>
        <w:t xml:space="preserve"> </w:t>
      </w:r>
      <w:r w:rsidR="007C5029" w:rsidRPr="00611EB8">
        <w:rPr>
          <w:rFonts w:asciiTheme="minorHAnsi" w:hAnsiTheme="minorHAnsi"/>
          <w:color w:val="auto"/>
          <w:szCs w:val="24"/>
        </w:rPr>
        <w:t xml:space="preserve">In the matter of the </w:t>
      </w:r>
      <w:r w:rsidR="005039DF">
        <w:rPr>
          <w:rFonts w:asciiTheme="minorHAnsi" w:hAnsiTheme="minorHAnsi"/>
          <w:color w:val="auto"/>
          <w:szCs w:val="24"/>
        </w:rPr>
        <w:t>h</w:t>
      </w:r>
      <w:r w:rsidR="007C5029" w:rsidRPr="00611EB8">
        <w:rPr>
          <w:rFonts w:asciiTheme="minorHAnsi" w:eastAsia="Calibri" w:hAnsiTheme="minorHAnsi"/>
          <w:color w:val="auto"/>
          <w:szCs w:val="24"/>
        </w:rPr>
        <w:t xml:space="preserve">eadaches, </w:t>
      </w:r>
      <w:r w:rsidR="005039DF">
        <w:rPr>
          <w:rFonts w:asciiTheme="minorHAnsi" w:eastAsia="Calibri" w:hAnsiTheme="minorHAnsi"/>
          <w:color w:val="auto"/>
          <w:szCs w:val="24"/>
        </w:rPr>
        <w:t>g</w:t>
      </w:r>
      <w:r w:rsidR="007C5029" w:rsidRPr="00611EB8">
        <w:rPr>
          <w:rFonts w:asciiTheme="minorHAnsi" w:eastAsia="Calibri" w:hAnsiTheme="minorHAnsi"/>
          <w:color w:val="auto"/>
          <w:szCs w:val="24"/>
        </w:rPr>
        <w:t>anglion cysts</w:t>
      </w:r>
      <w:r w:rsidR="00FE1FE3">
        <w:rPr>
          <w:rFonts w:asciiTheme="minorHAnsi" w:eastAsia="Calibri" w:hAnsiTheme="minorHAnsi"/>
          <w:color w:val="auto"/>
          <w:szCs w:val="24"/>
        </w:rPr>
        <w:t xml:space="preserve">, </w:t>
      </w:r>
      <w:r w:rsidR="005039DF">
        <w:rPr>
          <w:rFonts w:asciiTheme="minorHAnsi" w:eastAsia="Calibri" w:hAnsiTheme="minorHAnsi"/>
          <w:color w:val="auto"/>
          <w:szCs w:val="24"/>
        </w:rPr>
        <w:t>p</w:t>
      </w:r>
      <w:r w:rsidR="00FE1FE3">
        <w:rPr>
          <w:rFonts w:asciiTheme="minorHAnsi" w:eastAsia="Calibri" w:hAnsiTheme="minorHAnsi"/>
          <w:color w:val="auto"/>
          <w:szCs w:val="24"/>
        </w:rPr>
        <w:t xml:space="preserve">es planus, </w:t>
      </w:r>
      <w:r w:rsidR="005039DF">
        <w:rPr>
          <w:rFonts w:asciiTheme="minorHAnsi" w:eastAsia="Calibri" w:hAnsiTheme="minorHAnsi"/>
          <w:color w:val="auto"/>
          <w:szCs w:val="24"/>
        </w:rPr>
        <w:t>k</w:t>
      </w:r>
      <w:r w:rsidR="00FE1FE3">
        <w:rPr>
          <w:rFonts w:asciiTheme="minorHAnsi" w:eastAsia="Calibri" w:hAnsiTheme="minorHAnsi"/>
          <w:color w:val="auto"/>
          <w:szCs w:val="24"/>
        </w:rPr>
        <w:t xml:space="preserve">nee pain, and </w:t>
      </w:r>
      <w:r w:rsidR="007C5029" w:rsidRPr="00611EB8">
        <w:rPr>
          <w:rFonts w:asciiTheme="minorHAnsi" w:hAnsiTheme="minorHAnsi"/>
          <w:color w:val="auto"/>
          <w:szCs w:val="24"/>
        </w:rPr>
        <w:t>any other medical conditions eligible for Board consideration</w:t>
      </w:r>
      <w:r w:rsidR="005039DF">
        <w:rPr>
          <w:rFonts w:asciiTheme="minorHAnsi" w:hAnsiTheme="minorHAnsi"/>
          <w:color w:val="auto"/>
          <w:szCs w:val="24"/>
        </w:rPr>
        <w:t>,</w:t>
      </w:r>
      <w:r w:rsidR="007C5029" w:rsidRPr="00611EB8">
        <w:rPr>
          <w:rFonts w:asciiTheme="minorHAnsi" w:hAnsiTheme="minorHAnsi"/>
          <w:color w:val="auto"/>
          <w:szCs w:val="24"/>
        </w:rPr>
        <w:t xml:space="preserve"> the Board unanimously agrees that it cannot</w:t>
      </w:r>
      <w:r w:rsidR="007C5029" w:rsidRPr="00611EB8">
        <w:rPr>
          <w:rFonts w:asciiTheme="minorHAnsi" w:hAnsiTheme="minorHAnsi"/>
          <w:color w:val="000080"/>
          <w:szCs w:val="24"/>
        </w:rPr>
        <w:t xml:space="preserve"> </w:t>
      </w:r>
      <w:r w:rsidR="007C5029" w:rsidRPr="00611EB8">
        <w:rPr>
          <w:rFonts w:asciiTheme="minorHAnsi" w:hAnsiTheme="minorHAnsi"/>
          <w:color w:val="auto"/>
          <w:szCs w:val="24"/>
        </w:rPr>
        <w:t>recommend any findings of unfit for additional rating at separation.</w:t>
      </w:r>
    </w:p>
    <w:p w:rsidR="00106AD8" w:rsidRPr="00611EB8" w:rsidRDefault="00106AD8" w:rsidP="00660807">
      <w:pPr>
        <w:pBdr>
          <w:bottom w:val="single" w:sz="12" w:space="1" w:color="auto"/>
        </w:pBdr>
        <w:tabs>
          <w:tab w:val="left" w:pos="288"/>
          <w:tab w:val="left" w:pos="4752"/>
        </w:tabs>
        <w:spacing w:line="240" w:lineRule="exact"/>
        <w:jc w:val="both"/>
        <w:rPr>
          <w:rFonts w:asciiTheme="minorHAnsi" w:hAnsiTheme="minorHAnsi"/>
          <w:color w:val="auto"/>
          <w:szCs w:val="24"/>
        </w:rPr>
      </w:pPr>
    </w:p>
    <w:p w:rsidR="00106AD8" w:rsidRPr="00611EB8" w:rsidRDefault="00106AD8" w:rsidP="00660807">
      <w:pPr>
        <w:tabs>
          <w:tab w:val="left" w:pos="288"/>
          <w:tab w:val="left" w:pos="4752"/>
        </w:tabs>
        <w:spacing w:line="240" w:lineRule="exact"/>
        <w:rPr>
          <w:rFonts w:asciiTheme="minorHAnsi" w:hAnsiTheme="minorHAnsi"/>
          <w:color w:val="000080"/>
          <w:szCs w:val="24"/>
        </w:rPr>
      </w:pPr>
    </w:p>
    <w:p w:rsidR="007C5029" w:rsidRPr="00611EB8" w:rsidRDefault="00C56FC8" w:rsidP="00660807">
      <w:pPr>
        <w:tabs>
          <w:tab w:val="left" w:pos="288"/>
          <w:tab w:val="left" w:pos="4752"/>
        </w:tabs>
        <w:spacing w:line="240" w:lineRule="exact"/>
        <w:jc w:val="both"/>
        <w:rPr>
          <w:rFonts w:asciiTheme="minorHAnsi" w:hAnsiTheme="minorHAnsi" w:cs="Courier New"/>
          <w:color w:val="auto"/>
          <w:szCs w:val="24"/>
        </w:rPr>
      </w:pPr>
      <w:r w:rsidRPr="00611EB8">
        <w:rPr>
          <w:rFonts w:asciiTheme="minorHAnsi" w:hAnsiTheme="minorHAnsi"/>
          <w:color w:val="auto"/>
          <w:szCs w:val="24"/>
          <w:u w:val="single"/>
        </w:rPr>
        <w:t>RECOMMENDATION</w:t>
      </w:r>
      <w:r w:rsidRPr="00611EB8">
        <w:rPr>
          <w:rFonts w:asciiTheme="minorHAnsi" w:hAnsiTheme="minorHAnsi"/>
          <w:color w:val="auto"/>
          <w:szCs w:val="24"/>
        </w:rPr>
        <w:t>:</w:t>
      </w:r>
      <w:r w:rsidRPr="00611EB8">
        <w:rPr>
          <w:rFonts w:asciiTheme="minorHAnsi" w:hAnsiTheme="minorHAnsi"/>
          <w:color w:val="000080"/>
          <w:szCs w:val="24"/>
        </w:rPr>
        <w:t xml:space="preserve"> </w:t>
      </w:r>
      <w:r w:rsidR="007C5029" w:rsidRPr="00611EB8">
        <w:rPr>
          <w:rFonts w:asciiTheme="minorHAnsi" w:hAnsiTheme="minorHAnsi" w:cs="Courier New"/>
          <w:color w:val="auto"/>
          <w:szCs w:val="24"/>
        </w:rPr>
        <w:t>The Board recommends that the CI’s prior separation be re-characterized to reflect that, rather than discharge with severance pay, th</w:t>
      </w:r>
      <w:r w:rsidR="00FE2037">
        <w:rPr>
          <w:rFonts w:asciiTheme="minorHAnsi" w:hAnsiTheme="minorHAnsi" w:cs="Courier New"/>
          <w:color w:val="auto"/>
          <w:szCs w:val="24"/>
        </w:rPr>
        <w:t>e CI was placed on the TDRL at 6</w:t>
      </w:r>
      <w:r w:rsidR="007C5029" w:rsidRPr="00611EB8">
        <w:rPr>
          <w:rFonts w:asciiTheme="minorHAnsi" w:hAnsiTheme="minorHAnsi" w:cs="Courier New"/>
          <w:color w:val="auto"/>
          <w:szCs w:val="24"/>
        </w:rPr>
        <w:t xml:space="preserve">0% for a </w:t>
      </w:r>
      <w:r w:rsidR="00FE1FE3">
        <w:rPr>
          <w:rFonts w:asciiTheme="minorHAnsi" w:hAnsiTheme="minorHAnsi" w:cs="Courier New"/>
          <w:color w:val="auto"/>
          <w:szCs w:val="24"/>
        </w:rPr>
        <w:t xml:space="preserve">period of </w:t>
      </w:r>
      <w:r w:rsidR="005039DF">
        <w:rPr>
          <w:rFonts w:asciiTheme="minorHAnsi" w:hAnsiTheme="minorHAnsi" w:cs="Courier New"/>
          <w:color w:val="auto"/>
          <w:szCs w:val="24"/>
        </w:rPr>
        <w:t>six</w:t>
      </w:r>
      <w:r w:rsidR="00FE1FE3">
        <w:rPr>
          <w:rFonts w:asciiTheme="minorHAnsi" w:hAnsiTheme="minorHAnsi" w:cs="Courier New"/>
          <w:color w:val="auto"/>
          <w:szCs w:val="24"/>
        </w:rPr>
        <w:t xml:space="preserve"> months (</w:t>
      </w:r>
      <w:r w:rsidR="007C5029" w:rsidRPr="00611EB8">
        <w:rPr>
          <w:rFonts w:asciiTheme="minorHAnsi" w:hAnsiTheme="minorHAnsi" w:cs="Courier New"/>
          <w:color w:val="auto"/>
          <w:szCs w:val="24"/>
        </w:rPr>
        <w:t>IAW §4.129 and DoD direction) and then permanently retired by reason of ph</w:t>
      </w:r>
      <w:r w:rsidR="00FE2037">
        <w:rPr>
          <w:rFonts w:asciiTheme="minorHAnsi" w:hAnsiTheme="minorHAnsi" w:cs="Courier New"/>
          <w:color w:val="auto"/>
          <w:szCs w:val="24"/>
        </w:rPr>
        <w:t>ysical disability with a final 4</w:t>
      </w:r>
      <w:r w:rsidR="007C5029" w:rsidRPr="00611EB8">
        <w:rPr>
          <w:rFonts w:asciiTheme="minorHAnsi" w:hAnsiTheme="minorHAnsi" w:cs="Courier New"/>
          <w:color w:val="auto"/>
          <w:szCs w:val="24"/>
        </w:rPr>
        <w:t xml:space="preserve">0% rating as indicated below.  </w:t>
      </w:r>
    </w:p>
    <w:p w:rsidR="007C5029" w:rsidRPr="00611EB8" w:rsidRDefault="007C5029" w:rsidP="00660807">
      <w:pPr>
        <w:tabs>
          <w:tab w:val="left" w:pos="288"/>
          <w:tab w:val="left" w:pos="4752"/>
        </w:tabs>
        <w:spacing w:line="240" w:lineRule="exact"/>
        <w:jc w:val="both"/>
        <w:rPr>
          <w:rFonts w:asciiTheme="minorHAnsi" w:hAnsiTheme="minorHAnsi"/>
          <w:color w:val="FF000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6"/>
        <w:gridCol w:w="1710"/>
        <w:gridCol w:w="1170"/>
        <w:gridCol w:w="1530"/>
      </w:tblGrid>
      <w:tr w:rsidR="007C5029" w:rsidRPr="00611EB8" w:rsidTr="00AC29E1">
        <w:tc>
          <w:tcPr>
            <w:tcW w:w="4766" w:type="dxa"/>
            <w:shd w:val="clear" w:color="auto" w:fill="D9D9D9"/>
          </w:tcPr>
          <w:p w:rsidR="007C5029" w:rsidRPr="00611EB8" w:rsidRDefault="007C502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UNFITTING CONDITION</w:t>
            </w:r>
          </w:p>
        </w:tc>
        <w:tc>
          <w:tcPr>
            <w:tcW w:w="1710" w:type="dxa"/>
            <w:shd w:val="clear" w:color="auto" w:fill="D9D9D9"/>
          </w:tcPr>
          <w:p w:rsidR="007C5029" w:rsidRPr="00611EB8" w:rsidRDefault="007C502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VASRD CODE</w:t>
            </w:r>
          </w:p>
        </w:tc>
        <w:tc>
          <w:tcPr>
            <w:tcW w:w="1170" w:type="dxa"/>
            <w:shd w:val="clear" w:color="auto" w:fill="D9D9D9"/>
          </w:tcPr>
          <w:p w:rsidR="007C5029" w:rsidRPr="00611EB8" w:rsidRDefault="007C502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TDRL RATING</w:t>
            </w:r>
          </w:p>
        </w:tc>
        <w:tc>
          <w:tcPr>
            <w:tcW w:w="1530" w:type="dxa"/>
            <w:shd w:val="pct15" w:color="auto" w:fill="auto"/>
          </w:tcPr>
          <w:p w:rsidR="007C5029" w:rsidRPr="00611EB8" w:rsidRDefault="007C502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PERMANENT</w:t>
            </w:r>
          </w:p>
          <w:p w:rsidR="007C5029" w:rsidRPr="00611EB8" w:rsidRDefault="007C502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RATING</w:t>
            </w:r>
          </w:p>
        </w:tc>
      </w:tr>
      <w:tr w:rsidR="007C5029" w:rsidRPr="00611EB8" w:rsidTr="00AC29E1">
        <w:trPr>
          <w:trHeight w:val="305"/>
        </w:trPr>
        <w:tc>
          <w:tcPr>
            <w:tcW w:w="4766" w:type="dxa"/>
          </w:tcPr>
          <w:p w:rsidR="007C5029" w:rsidRPr="00611EB8" w:rsidRDefault="007C5029" w:rsidP="00EB7E57">
            <w:pPr>
              <w:tabs>
                <w:tab w:val="left" w:pos="288"/>
                <w:tab w:val="left" w:pos="4752"/>
              </w:tabs>
              <w:spacing w:line="240" w:lineRule="exact"/>
              <w:rPr>
                <w:rFonts w:asciiTheme="minorHAnsi" w:hAnsiTheme="minorHAnsi"/>
                <w:color w:val="auto"/>
                <w:szCs w:val="24"/>
              </w:rPr>
            </w:pPr>
            <w:r w:rsidRPr="00611EB8">
              <w:rPr>
                <w:rFonts w:asciiTheme="minorHAnsi" w:hAnsiTheme="minorHAnsi"/>
                <w:color w:val="auto"/>
                <w:szCs w:val="24"/>
              </w:rPr>
              <w:t>P</w:t>
            </w:r>
            <w:r w:rsidR="00461ECD">
              <w:rPr>
                <w:rFonts w:asciiTheme="minorHAnsi" w:hAnsiTheme="minorHAnsi"/>
                <w:color w:val="auto"/>
                <w:szCs w:val="24"/>
              </w:rPr>
              <w:t>TSD with Anxiety Disorder</w:t>
            </w:r>
          </w:p>
        </w:tc>
        <w:tc>
          <w:tcPr>
            <w:tcW w:w="1710" w:type="dxa"/>
            <w:tcBorders>
              <w:bottom w:val="single" w:sz="4" w:space="0" w:color="000000"/>
            </w:tcBorders>
          </w:tcPr>
          <w:p w:rsidR="007C5029" w:rsidRPr="00611EB8" w:rsidRDefault="007C5029" w:rsidP="00660807">
            <w:pPr>
              <w:tabs>
                <w:tab w:val="left" w:pos="288"/>
                <w:tab w:val="left" w:pos="4752"/>
              </w:tabs>
              <w:spacing w:line="240" w:lineRule="exact"/>
              <w:jc w:val="center"/>
              <w:rPr>
                <w:rFonts w:asciiTheme="minorHAnsi" w:hAnsiTheme="minorHAnsi"/>
                <w:color w:val="auto"/>
                <w:szCs w:val="24"/>
              </w:rPr>
            </w:pPr>
            <w:r w:rsidRPr="00611EB8">
              <w:rPr>
                <w:rFonts w:asciiTheme="minorHAnsi" w:hAnsiTheme="minorHAnsi"/>
                <w:color w:val="auto"/>
                <w:szCs w:val="24"/>
              </w:rPr>
              <w:t>9411</w:t>
            </w:r>
            <w:r w:rsidR="00461ECD">
              <w:rPr>
                <w:rFonts w:asciiTheme="minorHAnsi" w:hAnsiTheme="minorHAnsi"/>
                <w:color w:val="auto"/>
                <w:szCs w:val="24"/>
              </w:rPr>
              <w:t>-9413</w:t>
            </w:r>
          </w:p>
        </w:tc>
        <w:tc>
          <w:tcPr>
            <w:tcW w:w="1170" w:type="dxa"/>
            <w:tcBorders>
              <w:bottom w:val="single" w:sz="4" w:space="0" w:color="000000"/>
            </w:tcBorders>
          </w:tcPr>
          <w:p w:rsidR="007C5029" w:rsidRPr="00611EB8" w:rsidRDefault="007C5029" w:rsidP="00660807">
            <w:pPr>
              <w:tabs>
                <w:tab w:val="left" w:pos="288"/>
                <w:tab w:val="left" w:pos="4752"/>
              </w:tabs>
              <w:spacing w:line="240" w:lineRule="exact"/>
              <w:jc w:val="center"/>
              <w:rPr>
                <w:rFonts w:asciiTheme="minorHAnsi" w:hAnsiTheme="minorHAnsi"/>
                <w:color w:val="auto"/>
                <w:szCs w:val="24"/>
              </w:rPr>
            </w:pPr>
            <w:r w:rsidRPr="00611EB8">
              <w:rPr>
                <w:rFonts w:asciiTheme="minorHAnsi" w:hAnsiTheme="minorHAnsi"/>
                <w:color w:val="auto"/>
                <w:szCs w:val="24"/>
              </w:rPr>
              <w:t>50%</w:t>
            </w:r>
          </w:p>
        </w:tc>
        <w:tc>
          <w:tcPr>
            <w:tcW w:w="1530" w:type="dxa"/>
            <w:tcBorders>
              <w:bottom w:val="single" w:sz="4" w:space="0" w:color="000000"/>
            </w:tcBorders>
          </w:tcPr>
          <w:p w:rsidR="007C5029" w:rsidRPr="00611EB8" w:rsidRDefault="007C5029" w:rsidP="00660807">
            <w:pPr>
              <w:tabs>
                <w:tab w:val="left" w:pos="288"/>
                <w:tab w:val="left" w:pos="4752"/>
              </w:tabs>
              <w:spacing w:line="240" w:lineRule="exact"/>
              <w:jc w:val="center"/>
              <w:rPr>
                <w:rFonts w:asciiTheme="minorHAnsi" w:hAnsiTheme="minorHAnsi"/>
                <w:color w:val="auto"/>
                <w:szCs w:val="24"/>
              </w:rPr>
            </w:pPr>
            <w:r w:rsidRPr="00611EB8">
              <w:rPr>
                <w:rFonts w:asciiTheme="minorHAnsi" w:hAnsiTheme="minorHAnsi"/>
                <w:color w:val="auto"/>
                <w:szCs w:val="24"/>
              </w:rPr>
              <w:t>30</w:t>
            </w:r>
            <w:r w:rsidRPr="00611EB8">
              <w:rPr>
                <w:rFonts w:asciiTheme="minorHAnsi" w:hAnsiTheme="minorHAnsi"/>
                <w:b/>
                <w:color w:val="auto"/>
                <w:szCs w:val="24"/>
              </w:rPr>
              <w:t>%</w:t>
            </w:r>
          </w:p>
        </w:tc>
      </w:tr>
      <w:tr w:rsidR="007C5029" w:rsidRPr="00611EB8" w:rsidTr="00AC29E1">
        <w:trPr>
          <w:trHeight w:val="305"/>
        </w:trPr>
        <w:tc>
          <w:tcPr>
            <w:tcW w:w="4766" w:type="dxa"/>
          </w:tcPr>
          <w:p w:rsidR="007C5029" w:rsidRPr="00611EB8" w:rsidRDefault="00B7111B" w:rsidP="00EB7E57">
            <w:pPr>
              <w:tabs>
                <w:tab w:val="left" w:pos="288"/>
                <w:tab w:val="left" w:pos="4752"/>
              </w:tabs>
              <w:spacing w:line="240" w:lineRule="exact"/>
              <w:rPr>
                <w:rFonts w:asciiTheme="minorHAnsi" w:hAnsiTheme="minorHAnsi"/>
                <w:color w:val="auto"/>
                <w:szCs w:val="24"/>
              </w:rPr>
            </w:pPr>
            <w:r w:rsidRPr="00611EB8">
              <w:rPr>
                <w:rFonts w:asciiTheme="minorHAnsi" w:hAnsiTheme="minorHAnsi"/>
                <w:color w:val="auto"/>
                <w:szCs w:val="24"/>
              </w:rPr>
              <w:t>Low Back</w:t>
            </w:r>
            <w:r w:rsidR="00AC29E1">
              <w:rPr>
                <w:rFonts w:asciiTheme="minorHAnsi" w:hAnsiTheme="minorHAnsi"/>
                <w:color w:val="auto"/>
                <w:szCs w:val="24"/>
              </w:rPr>
              <w:t xml:space="preserve"> Pain with radiation to Right Leg</w:t>
            </w:r>
          </w:p>
        </w:tc>
        <w:tc>
          <w:tcPr>
            <w:tcW w:w="1710" w:type="dxa"/>
            <w:tcBorders>
              <w:bottom w:val="single" w:sz="4" w:space="0" w:color="000000"/>
            </w:tcBorders>
          </w:tcPr>
          <w:p w:rsidR="007C5029" w:rsidRPr="00611EB8" w:rsidRDefault="007C5029" w:rsidP="00660807">
            <w:pPr>
              <w:tabs>
                <w:tab w:val="left" w:pos="288"/>
                <w:tab w:val="left" w:pos="4752"/>
              </w:tabs>
              <w:spacing w:line="240" w:lineRule="exact"/>
              <w:jc w:val="center"/>
              <w:rPr>
                <w:rFonts w:asciiTheme="minorHAnsi" w:hAnsiTheme="minorHAnsi"/>
                <w:color w:val="auto"/>
                <w:szCs w:val="24"/>
              </w:rPr>
            </w:pPr>
            <w:r w:rsidRPr="00611EB8">
              <w:rPr>
                <w:rFonts w:asciiTheme="minorHAnsi" w:hAnsiTheme="minorHAnsi"/>
                <w:color w:val="auto"/>
                <w:szCs w:val="24"/>
              </w:rPr>
              <w:t>5237</w:t>
            </w:r>
          </w:p>
        </w:tc>
        <w:tc>
          <w:tcPr>
            <w:tcW w:w="1170" w:type="dxa"/>
            <w:tcBorders>
              <w:bottom w:val="single" w:sz="4" w:space="0" w:color="000000"/>
            </w:tcBorders>
          </w:tcPr>
          <w:p w:rsidR="007C5029" w:rsidRPr="00611EB8" w:rsidRDefault="007C5029" w:rsidP="00660807">
            <w:pPr>
              <w:tabs>
                <w:tab w:val="left" w:pos="288"/>
                <w:tab w:val="left" w:pos="4752"/>
              </w:tabs>
              <w:spacing w:line="240" w:lineRule="exact"/>
              <w:jc w:val="center"/>
              <w:rPr>
                <w:rFonts w:asciiTheme="minorHAnsi" w:hAnsiTheme="minorHAnsi"/>
                <w:color w:val="auto"/>
                <w:szCs w:val="24"/>
              </w:rPr>
            </w:pPr>
            <w:r w:rsidRPr="00611EB8">
              <w:rPr>
                <w:rFonts w:asciiTheme="minorHAnsi" w:hAnsiTheme="minorHAnsi"/>
                <w:color w:val="auto"/>
                <w:szCs w:val="24"/>
              </w:rPr>
              <w:t>10%</w:t>
            </w:r>
          </w:p>
        </w:tc>
        <w:tc>
          <w:tcPr>
            <w:tcW w:w="1530" w:type="dxa"/>
            <w:tcBorders>
              <w:bottom w:val="single" w:sz="4" w:space="0" w:color="000000"/>
            </w:tcBorders>
          </w:tcPr>
          <w:p w:rsidR="007C5029" w:rsidRPr="00611EB8" w:rsidRDefault="007C5029" w:rsidP="00660807">
            <w:pPr>
              <w:tabs>
                <w:tab w:val="left" w:pos="288"/>
                <w:tab w:val="left" w:pos="4752"/>
              </w:tabs>
              <w:spacing w:line="240" w:lineRule="exact"/>
              <w:jc w:val="center"/>
              <w:rPr>
                <w:rFonts w:asciiTheme="minorHAnsi" w:hAnsiTheme="minorHAnsi"/>
                <w:color w:val="auto"/>
                <w:szCs w:val="24"/>
              </w:rPr>
            </w:pPr>
            <w:r w:rsidRPr="00611EB8">
              <w:rPr>
                <w:rFonts w:asciiTheme="minorHAnsi" w:hAnsiTheme="minorHAnsi"/>
                <w:color w:val="auto"/>
                <w:szCs w:val="24"/>
              </w:rPr>
              <w:t>10%</w:t>
            </w:r>
          </w:p>
        </w:tc>
      </w:tr>
      <w:tr w:rsidR="007C5029" w:rsidRPr="00611EB8" w:rsidTr="00AC29E1">
        <w:tblPrEx>
          <w:tblLook w:val="0000"/>
        </w:tblPrEx>
        <w:trPr>
          <w:gridBefore w:val="1"/>
          <w:wBefore w:w="4766" w:type="dxa"/>
          <w:trHeight w:val="350"/>
        </w:trPr>
        <w:tc>
          <w:tcPr>
            <w:tcW w:w="1710" w:type="dxa"/>
            <w:tcBorders>
              <w:left w:val="single" w:sz="4" w:space="0" w:color="auto"/>
            </w:tcBorders>
            <w:shd w:val="pct15" w:color="auto" w:fill="auto"/>
          </w:tcPr>
          <w:p w:rsidR="007C5029" w:rsidRPr="00611EB8" w:rsidRDefault="007C502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COMBINED</w:t>
            </w:r>
          </w:p>
        </w:tc>
        <w:tc>
          <w:tcPr>
            <w:tcW w:w="1170" w:type="dxa"/>
            <w:tcBorders>
              <w:left w:val="single" w:sz="4" w:space="0" w:color="auto"/>
            </w:tcBorders>
            <w:shd w:val="pct15" w:color="auto" w:fill="auto"/>
          </w:tcPr>
          <w:p w:rsidR="007C5029" w:rsidRPr="00611EB8" w:rsidRDefault="006B171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6</w:t>
            </w:r>
            <w:r w:rsidR="007C5029" w:rsidRPr="00611EB8">
              <w:rPr>
                <w:rFonts w:asciiTheme="minorHAnsi" w:hAnsiTheme="minorHAnsi"/>
                <w:b/>
                <w:color w:val="auto"/>
                <w:szCs w:val="24"/>
              </w:rPr>
              <w:t>0%</w:t>
            </w:r>
          </w:p>
        </w:tc>
        <w:tc>
          <w:tcPr>
            <w:tcW w:w="1530" w:type="dxa"/>
            <w:shd w:val="pct15" w:color="auto" w:fill="auto"/>
          </w:tcPr>
          <w:p w:rsidR="007C5029" w:rsidRPr="00611EB8" w:rsidRDefault="007C5029" w:rsidP="00660807">
            <w:pPr>
              <w:tabs>
                <w:tab w:val="left" w:pos="288"/>
                <w:tab w:val="left" w:pos="4752"/>
              </w:tabs>
              <w:spacing w:line="240" w:lineRule="exact"/>
              <w:jc w:val="center"/>
              <w:rPr>
                <w:rFonts w:asciiTheme="minorHAnsi" w:hAnsiTheme="minorHAnsi"/>
                <w:b/>
                <w:color w:val="auto"/>
                <w:szCs w:val="24"/>
              </w:rPr>
            </w:pPr>
            <w:r w:rsidRPr="00611EB8">
              <w:rPr>
                <w:rFonts w:asciiTheme="minorHAnsi" w:hAnsiTheme="minorHAnsi"/>
                <w:b/>
                <w:color w:val="auto"/>
                <w:szCs w:val="24"/>
              </w:rPr>
              <w:t>40%</w:t>
            </w:r>
          </w:p>
        </w:tc>
      </w:tr>
    </w:tbl>
    <w:p w:rsidR="00106AD8" w:rsidRPr="00611EB8" w:rsidRDefault="00106AD8" w:rsidP="00660807">
      <w:pPr>
        <w:pBdr>
          <w:bottom w:val="single" w:sz="12" w:space="1" w:color="auto"/>
        </w:pBdr>
        <w:tabs>
          <w:tab w:val="left" w:pos="288"/>
          <w:tab w:val="left" w:pos="4752"/>
        </w:tabs>
        <w:spacing w:line="240" w:lineRule="exact"/>
        <w:jc w:val="both"/>
        <w:rPr>
          <w:rFonts w:asciiTheme="minorHAnsi" w:hAnsiTheme="minorHAnsi"/>
          <w:color w:val="auto"/>
          <w:szCs w:val="24"/>
        </w:rPr>
      </w:pPr>
    </w:p>
    <w:p w:rsidR="006B7879" w:rsidRPr="00611EB8" w:rsidRDefault="006B7879" w:rsidP="00660807">
      <w:pPr>
        <w:tabs>
          <w:tab w:val="left" w:pos="288"/>
          <w:tab w:val="left" w:pos="4752"/>
        </w:tabs>
        <w:spacing w:line="240" w:lineRule="exact"/>
        <w:rPr>
          <w:rFonts w:asciiTheme="minorHAnsi" w:hAnsiTheme="minorHAnsi"/>
          <w:color w:val="000080"/>
          <w:szCs w:val="24"/>
        </w:rPr>
      </w:pPr>
    </w:p>
    <w:p w:rsidR="00D91DA6" w:rsidRPr="00611EB8" w:rsidRDefault="00FB1725" w:rsidP="00660807">
      <w:pPr>
        <w:tabs>
          <w:tab w:val="left" w:pos="288"/>
          <w:tab w:val="left" w:pos="4752"/>
        </w:tabs>
        <w:spacing w:line="240" w:lineRule="exact"/>
        <w:jc w:val="both"/>
        <w:rPr>
          <w:rFonts w:asciiTheme="minorHAnsi" w:hAnsiTheme="minorHAnsi"/>
          <w:color w:val="auto"/>
        </w:rPr>
      </w:pPr>
      <w:r w:rsidRPr="00611EB8">
        <w:rPr>
          <w:rFonts w:asciiTheme="minorHAnsi" w:hAnsiTheme="minorHAnsi"/>
          <w:color w:val="auto"/>
        </w:rPr>
        <w:t>The following documentary evidence was considered:</w:t>
      </w:r>
    </w:p>
    <w:p w:rsidR="00EB5EFD" w:rsidRPr="00611EB8" w:rsidRDefault="00EB5EFD" w:rsidP="00660807">
      <w:pPr>
        <w:tabs>
          <w:tab w:val="left" w:pos="288"/>
          <w:tab w:val="left" w:pos="4752"/>
        </w:tabs>
        <w:spacing w:line="240" w:lineRule="exact"/>
        <w:jc w:val="both"/>
        <w:rPr>
          <w:rFonts w:asciiTheme="minorHAnsi" w:hAnsiTheme="minorHAnsi"/>
          <w:color w:val="auto"/>
        </w:rPr>
      </w:pPr>
    </w:p>
    <w:p w:rsidR="00114F20" w:rsidRPr="00611EB8" w:rsidRDefault="00FB1725" w:rsidP="00660807">
      <w:pPr>
        <w:tabs>
          <w:tab w:val="left" w:pos="288"/>
          <w:tab w:val="left" w:pos="4752"/>
        </w:tabs>
        <w:spacing w:line="240" w:lineRule="exact"/>
        <w:jc w:val="both"/>
        <w:rPr>
          <w:rFonts w:asciiTheme="minorHAnsi" w:hAnsiTheme="minorHAnsi"/>
          <w:color w:val="auto"/>
        </w:rPr>
      </w:pPr>
      <w:r w:rsidRPr="00611EB8">
        <w:rPr>
          <w:rFonts w:asciiTheme="minorHAnsi" w:hAnsiTheme="minorHAnsi"/>
          <w:color w:val="auto"/>
        </w:rPr>
        <w:t xml:space="preserve">Exhibit A.  DD Form </w:t>
      </w:r>
      <w:r w:rsidR="006B7879" w:rsidRPr="00611EB8">
        <w:rPr>
          <w:rFonts w:asciiTheme="minorHAnsi" w:hAnsiTheme="minorHAnsi"/>
          <w:color w:val="auto"/>
        </w:rPr>
        <w:t>294</w:t>
      </w:r>
      <w:r w:rsidRPr="00611EB8">
        <w:rPr>
          <w:rFonts w:asciiTheme="minorHAnsi" w:hAnsiTheme="minorHAnsi"/>
          <w:color w:val="auto"/>
        </w:rPr>
        <w:t xml:space="preserve"> dated 20</w:t>
      </w:r>
      <w:r w:rsidR="006B7879" w:rsidRPr="00611EB8">
        <w:rPr>
          <w:rFonts w:asciiTheme="minorHAnsi" w:hAnsiTheme="minorHAnsi"/>
          <w:color w:val="auto"/>
        </w:rPr>
        <w:t>091216</w:t>
      </w:r>
      <w:r w:rsidRPr="00611EB8">
        <w:rPr>
          <w:rFonts w:asciiTheme="minorHAnsi" w:hAnsiTheme="minorHAnsi"/>
          <w:color w:val="auto"/>
        </w:rPr>
        <w:t>, w/</w:t>
      </w:r>
      <w:proofErr w:type="spellStart"/>
      <w:r w:rsidRPr="00611EB8">
        <w:rPr>
          <w:rFonts w:asciiTheme="minorHAnsi" w:hAnsiTheme="minorHAnsi"/>
          <w:color w:val="auto"/>
        </w:rPr>
        <w:t>atchs</w:t>
      </w:r>
      <w:proofErr w:type="spellEnd"/>
      <w:r w:rsidRPr="00611EB8">
        <w:rPr>
          <w:rFonts w:asciiTheme="minorHAnsi" w:hAnsiTheme="minorHAnsi"/>
          <w:color w:val="auto"/>
        </w:rPr>
        <w:t>.</w:t>
      </w:r>
    </w:p>
    <w:p w:rsidR="00114F20" w:rsidRPr="00611EB8" w:rsidRDefault="00FB1725" w:rsidP="00660807">
      <w:pPr>
        <w:tabs>
          <w:tab w:val="left" w:pos="288"/>
          <w:tab w:val="left" w:pos="4752"/>
        </w:tabs>
        <w:spacing w:line="240" w:lineRule="exact"/>
        <w:jc w:val="both"/>
        <w:rPr>
          <w:rFonts w:asciiTheme="minorHAnsi" w:hAnsiTheme="minorHAnsi"/>
          <w:color w:val="auto"/>
        </w:rPr>
      </w:pPr>
      <w:r w:rsidRPr="00611EB8">
        <w:rPr>
          <w:rFonts w:asciiTheme="minorHAnsi" w:hAnsiTheme="minorHAnsi"/>
          <w:color w:val="auto"/>
        </w:rPr>
        <w:t xml:space="preserve">Exhibit B.  </w:t>
      </w:r>
      <w:proofErr w:type="gramStart"/>
      <w:r w:rsidRPr="00611EB8">
        <w:rPr>
          <w:rFonts w:asciiTheme="minorHAnsi" w:hAnsiTheme="minorHAnsi"/>
          <w:color w:val="auto"/>
        </w:rPr>
        <w:t>Service Treatment Record.</w:t>
      </w:r>
      <w:proofErr w:type="gramEnd"/>
    </w:p>
    <w:p w:rsidR="00114F20" w:rsidRPr="00611EB8" w:rsidRDefault="00FB1725" w:rsidP="00660807">
      <w:pPr>
        <w:tabs>
          <w:tab w:val="left" w:pos="288"/>
          <w:tab w:val="left" w:pos="4752"/>
        </w:tabs>
        <w:spacing w:line="240" w:lineRule="exact"/>
        <w:jc w:val="both"/>
        <w:rPr>
          <w:rFonts w:asciiTheme="minorHAnsi" w:hAnsiTheme="minorHAnsi"/>
          <w:color w:val="auto"/>
        </w:rPr>
      </w:pPr>
      <w:r w:rsidRPr="00611EB8">
        <w:rPr>
          <w:rFonts w:asciiTheme="minorHAnsi" w:hAnsiTheme="minorHAnsi"/>
          <w:color w:val="auto"/>
        </w:rPr>
        <w:t xml:space="preserve">Exhibit C.  </w:t>
      </w:r>
      <w:proofErr w:type="gramStart"/>
      <w:r w:rsidRPr="00611EB8">
        <w:rPr>
          <w:rFonts w:asciiTheme="minorHAnsi" w:hAnsiTheme="minorHAnsi"/>
          <w:color w:val="auto"/>
        </w:rPr>
        <w:t>Department of Veterans' Affairs Treatment Record.</w:t>
      </w:r>
      <w:proofErr w:type="gramEnd"/>
    </w:p>
    <w:p w:rsidR="00D91DA6" w:rsidRPr="00611EB8" w:rsidRDefault="00D91DA6" w:rsidP="00660807">
      <w:pPr>
        <w:tabs>
          <w:tab w:val="left" w:pos="288"/>
          <w:tab w:val="left" w:pos="4752"/>
        </w:tabs>
        <w:spacing w:line="240" w:lineRule="exact"/>
        <w:jc w:val="both"/>
        <w:rPr>
          <w:rFonts w:asciiTheme="minorHAnsi" w:hAnsiTheme="minorHAnsi"/>
          <w:color w:val="auto"/>
        </w:rPr>
      </w:pPr>
    </w:p>
    <w:p w:rsidR="00114F20" w:rsidRPr="00611EB8" w:rsidRDefault="00114F20" w:rsidP="00660807">
      <w:pPr>
        <w:tabs>
          <w:tab w:val="left" w:pos="288"/>
          <w:tab w:val="left" w:pos="4752"/>
        </w:tabs>
        <w:spacing w:line="240" w:lineRule="exact"/>
        <w:jc w:val="both"/>
        <w:rPr>
          <w:rFonts w:asciiTheme="minorHAnsi" w:hAnsiTheme="minorHAnsi"/>
          <w:color w:val="auto"/>
        </w:rPr>
      </w:pPr>
    </w:p>
    <w:p w:rsidR="00114F20" w:rsidRPr="00611EB8" w:rsidRDefault="00114F20" w:rsidP="00660807">
      <w:pPr>
        <w:tabs>
          <w:tab w:val="left" w:pos="288"/>
          <w:tab w:val="left" w:pos="4752"/>
        </w:tabs>
        <w:spacing w:line="240" w:lineRule="exact"/>
        <w:jc w:val="both"/>
        <w:rPr>
          <w:rFonts w:asciiTheme="minorHAnsi" w:hAnsiTheme="minorHAnsi"/>
          <w:color w:val="auto"/>
        </w:rPr>
      </w:pPr>
    </w:p>
    <w:p w:rsidR="00D91DA6" w:rsidRPr="00611EB8" w:rsidRDefault="00FB1725" w:rsidP="00660807">
      <w:pPr>
        <w:tabs>
          <w:tab w:val="left" w:pos="0"/>
          <w:tab w:val="left" w:pos="4320"/>
        </w:tabs>
        <w:spacing w:line="240" w:lineRule="exact"/>
        <w:jc w:val="both"/>
        <w:rPr>
          <w:rFonts w:asciiTheme="minorHAnsi" w:hAnsiTheme="minorHAnsi"/>
          <w:color w:val="auto"/>
        </w:rPr>
      </w:pPr>
      <w:r w:rsidRPr="00611EB8">
        <w:rPr>
          <w:rFonts w:asciiTheme="minorHAnsi" w:hAnsiTheme="minorHAnsi"/>
          <w:color w:val="auto"/>
        </w:rPr>
        <w:t xml:space="preserve">                             </w:t>
      </w:r>
      <w:r w:rsidRPr="00611EB8">
        <w:rPr>
          <w:rFonts w:asciiTheme="minorHAnsi" w:hAnsiTheme="minorHAnsi"/>
          <w:color w:val="auto"/>
        </w:rPr>
        <w:tab/>
      </w:r>
      <w:r w:rsidRPr="00611EB8">
        <w:rPr>
          <w:rFonts w:asciiTheme="minorHAnsi" w:hAnsiTheme="minorHAnsi"/>
          <w:color w:val="auto"/>
        </w:rPr>
        <w:tab/>
        <w:t>Deputy Director</w:t>
      </w:r>
    </w:p>
    <w:p w:rsidR="00B522CD" w:rsidRPr="00611EB8" w:rsidRDefault="00FB1725" w:rsidP="0066080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11EB8">
        <w:rPr>
          <w:rFonts w:asciiTheme="minorHAnsi" w:hAnsiTheme="minorHAnsi"/>
          <w:color w:val="auto"/>
        </w:rPr>
        <w:tab/>
        <w:t xml:space="preserve">                           </w:t>
      </w:r>
      <w:r w:rsidRPr="00611EB8">
        <w:rPr>
          <w:rFonts w:asciiTheme="minorHAnsi" w:hAnsiTheme="minorHAnsi"/>
          <w:color w:val="auto"/>
        </w:rPr>
        <w:tab/>
      </w:r>
      <w:r w:rsidRPr="00611EB8">
        <w:rPr>
          <w:rFonts w:asciiTheme="minorHAnsi" w:hAnsiTheme="minorHAnsi"/>
          <w:color w:val="auto"/>
        </w:rPr>
        <w:tab/>
      </w:r>
      <w:r w:rsidRPr="00611EB8">
        <w:rPr>
          <w:rFonts w:asciiTheme="minorHAnsi" w:hAnsiTheme="minorHAnsi"/>
          <w:color w:val="auto"/>
        </w:rPr>
        <w:tab/>
      </w:r>
      <w:r w:rsidRPr="00611EB8">
        <w:rPr>
          <w:rFonts w:asciiTheme="minorHAnsi" w:hAnsiTheme="minorHAnsi"/>
          <w:color w:val="auto"/>
        </w:rPr>
        <w:tab/>
      </w:r>
      <w:r w:rsidRPr="00611EB8">
        <w:rPr>
          <w:rFonts w:asciiTheme="minorHAnsi" w:hAnsiTheme="minorHAnsi"/>
          <w:color w:val="auto"/>
        </w:rPr>
        <w:tab/>
        <w:t>Physical Disability Board of Review</w:t>
      </w:r>
    </w:p>
    <w:p w:rsidR="00A076B0" w:rsidRDefault="00A076B0">
      <w:pPr>
        <w:rPr>
          <w:color w:val="auto"/>
        </w:rPr>
      </w:pPr>
      <w:r>
        <w:rPr>
          <w:color w:val="auto"/>
        </w:rPr>
        <w:br w:type="page"/>
      </w:r>
    </w:p>
    <w:p w:rsidR="00A076B0" w:rsidRDefault="00A076B0" w:rsidP="00A076B0">
      <w:pPr>
        <w:rPr>
          <w:color w:val="auto"/>
        </w:rPr>
      </w:pPr>
    </w:p>
    <w:p w:rsidR="00A076B0" w:rsidRPr="00A076B0" w:rsidRDefault="00A076B0" w:rsidP="00A076B0">
      <w:pPr>
        <w:rPr>
          <w:color w:val="auto"/>
        </w:rPr>
      </w:pPr>
      <w:r w:rsidRPr="00A076B0">
        <w:rPr>
          <w:color w:val="auto"/>
        </w:rPr>
        <w:t>MEMORANDUM FOR DEPUTY COMMANDANT, MANPOWER &amp; RESERVE AFFAIRS</w:t>
      </w:r>
    </w:p>
    <w:p w:rsidR="00A076B0" w:rsidRPr="00A076B0" w:rsidRDefault="00A076B0" w:rsidP="00A076B0">
      <w:pPr>
        <w:rPr>
          <w:color w:val="auto"/>
        </w:rPr>
      </w:pPr>
    </w:p>
    <w:p w:rsidR="00A076B0" w:rsidRPr="00A076B0" w:rsidRDefault="00A076B0" w:rsidP="00A076B0">
      <w:pPr>
        <w:rPr>
          <w:color w:val="auto"/>
        </w:rPr>
      </w:pPr>
      <w:proofErr w:type="spellStart"/>
      <w:r w:rsidRPr="00A076B0">
        <w:rPr>
          <w:color w:val="auto"/>
        </w:rPr>
        <w:t>Subj</w:t>
      </w:r>
      <w:proofErr w:type="spellEnd"/>
      <w:r w:rsidRPr="00A076B0">
        <w:rPr>
          <w:color w:val="auto"/>
        </w:rPr>
        <w:t>:  PHYSICAL DISABILITY BOARD OF REVIEW (PDBR) RECOMMENDATION</w:t>
      </w:r>
    </w:p>
    <w:p w:rsidR="00A076B0" w:rsidRPr="00A076B0" w:rsidRDefault="00A076B0" w:rsidP="00A076B0">
      <w:pPr>
        <w:tabs>
          <w:tab w:val="left" w:pos="630"/>
        </w:tabs>
        <w:rPr>
          <w:color w:val="auto"/>
        </w:rPr>
      </w:pPr>
      <w:r w:rsidRPr="00A076B0">
        <w:rPr>
          <w:color w:val="auto"/>
        </w:rPr>
        <w:t xml:space="preserve">          </w:t>
      </w:r>
      <w:r w:rsidRPr="00A076B0">
        <w:rPr>
          <w:color w:val="auto"/>
        </w:rPr>
        <w:tab/>
        <w:t xml:space="preserve">ICO </w:t>
      </w:r>
      <w:r>
        <w:rPr>
          <w:color w:val="auto"/>
        </w:rPr>
        <w:t>XXXXXX</w:t>
      </w:r>
      <w:r w:rsidRPr="00A076B0">
        <w:rPr>
          <w:color w:val="auto"/>
        </w:rPr>
        <w:t xml:space="preserve">, FORMER USMC, XXX XX </w:t>
      </w:r>
      <w:r>
        <w:rPr>
          <w:color w:val="auto"/>
        </w:rPr>
        <w:t>XXXXX</w:t>
      </w:r>
    </w:p>
    <w:p w:rsidR="00A076B0" w:rsidRPr="00A076B0" w:rsidRDefault="00A076B0" w:rsidP="00A076B0">
      <w:pPr>
        <w:rPr>
          <w:color w:val="auto"/>
        </w:rPr>
      </w:pPr>
    </w:p>
    <w:p w:rsidR="00A076B0" w:rsidRPr="00A076B0" w:rsidRDefault="00A076B0" w:rsidP="00A076B0">
      <w:pPr>
        <w:rPr>
          <w:color w:val="auto"/>
        </w:rPr>
      </w:pPr>
      <w:r w:rsidRPr="00A076B0">
        <w:rPr>
          <w:color w:val="auto"/>
        </w:rPr>
        <w:t>Ref:   (a) DoDI 6040.44</w:t>
      </w:r>
    </w:p>
    <w:p w:rsidR="00A076B0" w:rsidRPr="00A076B0" w:rsidRDefault="00A076B0" w:rsidP="00A076B0">
      <w:pPr>
        <w:rPr>
          <w:color w:val="auto"/>
        </w:rPr>
      </w:pPr>
    </w:p>
    <w:p w:rsidR="00A076B0" w:rsidRPr="00A076B0" w:rsidRDefault="00A076B0" w:rsidP="00A076B0">
      <w:pPr>
        <w:rPr>
          <w:color w:val="auto"/>
        </w:rPr>
      </w:pPr>
      <w:r w:rsidRPr="00A076B0">
        <w:rPr>
          <w:color w:val="auto"/>
        </w:rPr>
        <w:t>1.  I have reviewed the subject case pursuant to reference (a).  The subject member’s official records are to be corrected to reflect the following retroactive disposition:</w:t>
      </w:r>
    </w:p>
    <w:p w:rsidR="00A076B0" w:rsidRPr="00A076B0" w:rsidRDefault="00A076B0" w:rsidP="00A076B0">
      <w:pPr>
        <w:rPr>
          <w:color w:val="auto"/>
        </w:rPr>
      </w:pPr>
    </w:p>
    <w:p w:rsidR="00A076B0" w:rsidRPr="00A076B0" w:rsidRDefault="00A076B0" w:rsidP="00A076B0">
      <w:pPr>
        <w:rPr>
          <w:color w:val="auto"/>
        </w:rPr>
      </w:pPr>
      <w:r w:rsidRPr="00A076B0">
        <w:rPr>
          <w:color w:val="auto"/>
        </w:rPr>
        <w:tab/>
        <w:t>a. Separation from the naval service due to physical disability with placement on the Temporary Disability Retired List with a disability rating of 60% for the period 31 March 2008 thru 30 September 2008.</w:t>
      </w:r>
    </w:p>
    <w:p w:rsidR="00A076B0" w:rsidRPr="00A076B0" w:rsidRDefault="00A076B0" w:rsidP="00A076B0">
      <w:pPr>
        <w:rPr>
          <w:color w:val="auto"/>
        </w:rPr>
      </w:pPr>
    </w:p>
    <w:p w:rsidR="00A076B0" w:rsidRPr="00A076B0" w:rsidRDefault="00A076B0" w:rsidP="00A076B0">
      <w:pPr>
        <w:rPr>
          <w:color w:val="auto"/>
        </w:rPr>
      </w:pPr>
      <w:r w:rsidRPr="00A076B0">
        <w:rPr>
          <w:color w:val="auto"/>
        </w:rPr>
        <w:tab/>
        <w:t>b. Final separation from naval service due to physical disability effective 1 October 2008 with a disability rating of 40% and placement on the Permanent Disability Retired List.</w:t>
      </w:r>
    </w:p>
    <w:p w:rsidR="00A076B0" w:rsidRPr="00A076B0" w:rsidRDefault="00A076B0" w:rsidP="00A076B0">
      <w:pPr>
        <w:rPr>
          <w:color w:val="auto"/>
        </w:rPr>
      </w:pPr>
    </w:p>
    <w:p w:rsidR="00A076B0" w:rsidRPr="00A076B0" w:rsidRDefault="00A076B0" w:rsidP="00A076B0">
      <w:pPr>
        <w:rPr>
          <w:color w:val="auto"/>
        </w:rPr>
      </w:pPr>
      <w:r w:rsidRPr="00A076B0">
        <w:rPr>
          <w:color w:val="auto"/>
        </w:rPr>
        <w:t>2.  Please ensure all necessary actions are taken to implement this decision, including the recoupment of previously paid funds if appropriate, and notification to the subject member once those actions are completed.</w:t>
      </w:r>
    </w:p>
    <w:p w:rsidR="00A076B0" w:rsidRPr="00A076B0" w:rsidRDefault="00A076B0" w:rsidP="00A076B0">
      <w:pPr>
        <w:rPr>
          <w:color w:val="auto"/>
        </w:rPr>
      </w:pPr>
    </w:p>
    <w:p w:rsidR="00A076B0" w:rsidRPr="00A076B0" w:rsidRDefault="00A076B0" w:rsidP="00A076B0">
      <w:pPr>
        <w:rPr>
          <w:color w:val="auto"/>
        </w:rPr>
      </w:pPr>
    </w:p>
    <w:p w:rsidR="00A076B0" w:rsidRPr="00A076B0" w:rsidRDefault="00A076B0" w:rsidP="00A076B0">
      <w:pPr>
        <w:rPr>
          <w:color w:val="auto"/>
        </w:rPr>
      </w:pPr>
    </w:p>
    <w:p w:rsidR="00A076B0" w:rsidRPr="00A076B0" w:rsidRDefault="00A076B0" w:rsidP="00A076B0">
      <w:pPr>
        <w:tabs>
          <w:tab w:val="left" w:pos="4680"/>
        </w:tabs>
        <w:rPr>
          <w:color w:val="auto"/>
        </w:rPr>
      </w:pPr>
      <w:r w:rsidRPr="00A076B0">
        <w:rPr>
          <w:color w:val="auto"/>
        </w:rPr>
        <w:tab/>
      </w:r>
    </w:p>
    <w:p w:rsidR="00A076B0" w:rsidRPr="00A076B0" w:rsidRDefault="00A076B0" w:rsidP="00A076B0">
      <w:pPr>
        <w:rPr>
          <w:color w:val="auto"/>
        </w:rPr>
      </w:pPr>
      <w:r w:rsidRPr="00A076B0">
        <w:rPr>
          <w:color w:val="auto"/>
        </w:rPr>
        <w:tab/>
      </w:r>
      <w:r w:rsidRPr="00A076B0">
        <w:rPr>
          <w:color w:val="auto"/>
        </w:rPr>
        <w:tab/>
      </w:r>
      <w:r w:rsidRPr="00A076B0">
        <w:rPr>
          <w:color w:val="auto"/>
        </w:rPr>
        <w:tab/>
      </w:r>
      <w:r w:rsidRPr="00A076B0">
        <w:rPr>
          <w:color w:val="auto"/>
        </w:rPr>
        <w:tab/>
      </w:r>
      <w:r w:rsidRPr="00A076B0">
        <w:rPr>
          <w:color w:val="auto"/>
        </w:rPr>
        <w:tab/>
      </w:r>
      <w:r w:rsidRPr="00A076B0">
        <w:rPr>
          <w:color w:val="auto"/>
        </w:rPr>
        <w:tab/>
        <w:t xml:space="preserve">      Principal Deputy</w:t>
      </w:r>
    </w:p>
    <w:p w:rsidR="00A076B0" w:rsidRPr="00A076B0" w:rsidRDefault="00A076B0" w:rsidP="00A076B0">
      <w:pPr>
        <w:rPr>
          <w:color w:val="auto"/>
        </w:rPr>
      </w:pPr>
      <w:r w:rsidRPr="00A076B0">
        <w:rPr>
          <w:color w:val="auto"/>
        </w:rPr>
        <w:tab/>
      </w:r>
      <w:r w:rsidRPr="00A076B0">
        <w:rPr>
          <w:color w:val="auto"/>
        </w:rPr>
        <w:tab/>
      </w:r>
      <w:r w:rsidRPr="00A076B0">
        <w:rPr>
          <w:color w:val="auto"/>
        </w:rPr>
        <w:tab/>
      </w:r>
      <w:r w:rsidRPr="00A076B0">
        <w:rPr>
          <w:color w:val="auto"/>
        </w:rPr>
        <w:tab/>
      </w:r>
      <w:r w:rsidRPr="00A076B0">
        <w:rPr>
          <w:color w:val="auto"/>
        </w:rPr>
        <w:tab/>
      </w:r>
      <w:r w:rsidRPr="00A076B0">
        <w:rPr>
          <w:color w:val="auto"/>
        </w:rPr>
        <w:tab/>
        <w:t xml:space="preserve">      Assistant Secretary of the Navy</w:t>
      </w:r>
    </w:p>
    <w:p w:rsidR="00A076B0" w:rsidRPr="00A076B0" w:rsidRDefault="00A076B0" w:rsidP="00A076B0">
      <w:pPr>
        <w:rPr>
          <w:color w:val="auto"/>
        </w:rPr>
      </w:pPr>
      <w:r w:rsidRPr="00A076B0">
        <w:rPr>
          <w:color w:val="auto"/>
        </w:rPr>
        <w:tab/>
      </w:r>
      <w:r w:rsidRPr="00A076B0">
        <w:rPr>
          <w:color w:val="auto"/>
        </w:rPr>
        <w:tab/>
      </w:r>
      <w:r w:rsidRPr="00A076B0">
        <w:rPr>
          <w:color w:val="auto"/>
        </w:rPr>
        <w:tab/>
      </w:r>
      <w:r w:rsidRPr="00A076B0">
        <w:rPr>
          <w:color w:val="auto"/>
        </w:rPr>
        <w:tab/>
      </w:r>
      <w:r w:rsidRPr="00A076B0">
        <w:rPr>
          <w:color w:val="auto"/>
        </w:rPr>
        <w:tab/>
      </w:r>
      <w:r w:rsidRPr="00A076B0">
        <w:rPr>
          <w:color w:val="auto"/>
        </w:rPr>
        <w:tab/>
        <w:t xml:space="preserve">        (Manpower &amp; Reserve Affairs)</w:t>
      </w:r>
    </w:p>
    <w:p w:rsidR="00A076B0" w:rsidRDefault="00A076B0" w:rsidP="00A076B0"/>
    <w:p w:rsidR="008D31BA" w:rsidRPr="00611EB8" w:rsidRDefault="008D31BA" w:rsidP="00660807">
      <w:pPr>
        <w:tabs>
          <w:tab w:val="left" w:pos="288"/>
          <w:tab w:val="left" w:pos="4320"/>
          <w:tab w:val="left" w:pos="4410"/>
          <w:tab w:val="left" w:pos="4770"/>
          <w:tab w:val="left" w:pos="4860"/>
          <w:tab w:val="left" w:pos="5040"/>
        </w:tabs>
        <w:spacing w:line="240" w:lineRule="exact"/>
        <w:jc w:val="both"/>
        <w:rPr>
          <w:rFonts w:asciiTheme="minorHAnsi" w:hAnsiTheme="minorHAnsi"/>
          <w:color w:val="auto"/>
          <w:highlight w:val="yellow"/>
        </w:rPr>
      </w:pPr>
    </w:p>
    <w:sectPr w:rsidR="008D31BA" w:rsidRPr="00611EB8"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06" w:rsidRDefault="00AE0D06">
      <w:r>
        <w:separator/>
      </w:r>
    </w:p>
  </w:endnote>
  <w:endnote w:type="continuationSeparator" w:id="0">
    <w:p w:rsidR="00AE0D06" w:rsidRDefault="00AE0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F9" w:rsidRDefault="00973ED9">
    <w:pPr>
      <w:pStyle w:val="Footer"/>
      <w:framePr w:wrap="around" w:vAnchor="text" w:hAnchor="margin" w:xAlign="center" w:y="1"/>
      <w:rPr>
        <w:rStyle w:val="PageNumber"/>
      </w:rPr>
    </w:pPr>
    <w:r>
      <w:rPr>
        <w:rStyle w:val="PageNumber"/>
      </w:rPr>
      <w:fldChar w:fldCharType="begin"/>
    </w:r>
    <w:r w:rsidR="00B411F9">
      <w:rPr>
        <w:rStyle w:val="PageNumber"/>
      </w:rPr>
      <w:instrText xml:space="preserve">PAGE  </w:instrText>
    </w:r>
    <w:r>
      <w:rPr>
        <w:rStyle w:val="PageNumber"/>
      </w:rPr>
      <w:fldChar w:fldCharType="separate"/>
    </w:r>
    <w:r w:rsidR="00B411F9">
      <w:rPr>
        <w:rStyle w:val="PageNumber"/>
        <w:noProof/>
      </w:rPr>
      <w:t>2</w:t>
    </w:r>
    <w:r>
      <w:rPr>
        <w:rStyle w:val="PageNumber"/>
      </w:rPr>
      <w:fldChar w:fldCharType="end"/>
    </w:r>
  </w:p>
  <w:p w:rsidR="00B411F9" w:rsidRDefault="00B411F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F9" w:rsidRPr="00AC713F" w:rsidRDefault="00973ED9">
    <w:pPr>
      <w:pStyle w:val="Footer"/>
      <w:framePr w:wrap="around" w:vAnchor="text" w:hAnchor="margin" w:xAlign="center" w:y="1"/>
      <w:rPr>
        <w:rStyle w:val="PageNumber"/>
        <w:rFonts w:ascii="Calibri" w:hAnsi="Calibri"/>
        <w:color w:val="auto"/>
      </w:rPr>
    </w:pPr>
    <w:r w:rsidRPr="00AC713F">
      <w:rPr>
        <w:rStyle w:val="PageNumber"/>
        <w:rFonts w:ascii="Calibri" w:hAnsi="Calibri"/>
        <w:color w:val="auto"/>
      </w:rPr>
      <w:fldChar w:fldCharType="begin"/>
    </w:r>
    <w:r w:rsidR="00B411F9" w:rsidRPr="00AC713F">
      <w:rPr>
        <w:rStyle w:val="PageNumber"/>
        <w:rFonts w:ascii="Calibri" w:hAnsi="Calibri"/>
        <w:color w:val="auto"/>
      </w:rPr>
      <w:instrText xml:space="preserve">PAGE  </w:instrText>
    </w:r>
    <w:r w:rsidRPr="00AC713F">
      <w:rPr>
        <w:rStyle w:val="PageNumber"/>
        <w:rFonts w:ascii="Calibri" w:hAnsi="Calibri"/>
        <w:color w:val="auto"/>
      </w:rPr>
      <w:fldChar w:fldCharType="separate"/>
    </w:r>
    <w:r w:rsidR="00A076B0">
      <w:rPr>
        <w:rStyle w:val="PageNumber"/>
        <w:rFonts w:ascii="Calibri" w:hAnsi="Calibri"/>
        <w:noProof/>
        <w:color w:val="auto"/>
      </w:rPr>
      <w:t>2</w:t>
    </w:r>
    <w:r w:rsidRPr="00AC713F">
      <w:rPr>
        <w:rStyle w:val="PageNumber"/>
        <w:rFonts w:ascii="Calibri" w:hAnsi="Calibri"/>
        <w:color w:val="auto"/>
      </w:rPr>
      <w:fldChar w:fldCharType="end"/>
    </w:r>
  </w:p>
  <w:p w:rsidR="00B411F9" w:rsidRPr="00396779" w:rsidRDefault="00B411F9" w:rsidP="002B0749">
    <w:pPr>
      <w:pStyle w:val="Footer"/>
      <w:jc w:val="right"/>
      <w:rPr>
        <w:rFonts w:ascii="Calibri" w:hAnsi="Calibri"/>
        <w:color w:val="auto"/>
      </w:rPr>
    </w:pPr>
    <w:r>
      <w:tab/>
    </w:r>
    <w:r>
      <w:tab/>
    </w:r>
    <w:r w:rsidRPr="00396779">
      <w:rPr>
        <w:rFonts w:ascii="Calibri" w:hAnsi="Calibri"/>
        <w:caps/>
        <w:color w:val="auto"/>
      </w:rPr>
      <w:t>PD</w:t>
    </w:r>
    <w:r>
      <w:rPr>
        <w:rFonts w:ascii="Calibri" w:hAnsi="Calibri"/>
        <w:caps/>
        <w:color w:val="auto"/>
      </w:rPr>
      <w:t>0900731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06" w:rsidRDefault="00AE0D06">
      <w:r>
        <w:separator/>
      </w:r>
    </w:p>
  </w:footnote>
  <w:footnote w:type="continuationSeparator" w:id="0">
    <w:p w:rsidR="00AE0D06" w:rsidRDefault="00AE0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33122"/>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D43"/>
    <w:rsid w:val="00025DEB"/>
    <w:rsid w:val="00032E07"/>
    <w:rsid w:val="000332CA"/>
    <w:rsid w:val="0003374E"/>
    <w:rsid w:val="000344E6"/>
    <w:rsid w:val="00035307"/>
    <w:rsid w:val="00035C3A"/>
    <w:rsid w:val="00036E4B"/>
    <w:rsid w:val="000379D0"/>
    <w:rsid w:val="00040FC4"/>
    <w:rsid w:val="000416F8"/>
    <w:rsid w:val="00042C26"/>
    <w:rsid w:val="00043382"/>
    <w:rsid w:val="00044623"/>
    <w:rsid w:val="00051622"/>
    <w:rsid w:val="00052234"/>
    <w:rsid w:val="00053392"/>
    <w:rsid w:val="00053D7C"/>
    <w:rsid w:val="000577C9"/>
    <w:rsid w:val="0006431E"/>
    <w:rsid w:val="00065E21"/>
    <w:rsid w:val="00066CF5"/>
    <w:rsid w:val="00071BC7"/>
    <w:rsid w:val="00072433"/>
    <w:rsid w:val="00075702"/>
    <w:rsid w:val="00075893"/>
    <w:rsid w:val="00077151"/>
    <w:rsid w:val="000775C2"/>
    <w:rsid w:val="000806AD"/>
    <w:rsid w:val="00082482"/>
    <w:rsid w:val="00087051"/>
    <w:rsid w:val="0008708B"/>
    <w:rsid w:val="00092619"/>
    <w:rsid w:val="000929D1"/>
    <w:rsid w:val="00092C66"/>
    <w:rsid w:val="00094E4F"/>
    <w:rsid w:val="000A2BCE"/>
    <w:rsid w:val="000A41E3"/>
    <w:rsid w:val="000A4BBA"/>
    <w:rsid w:val="000A5071"/>
    <w:rsid w:val="000B4C99"/>
    <w:rsid w:val="000B7EEE"/>
    <w:rsid w:val="000C06F6"/>
    <w:rsid w:val="000C178A"/>
    <w:rsid w:val="000C1D34"/>
    <w:rsid w:val="000C2362"/>
    <w:rsid w:val="000C39FE"/>
    <w:rsid w:val="000C3C13"/>
    <w:rsid w:val="000C53F9"/>
    <w:rsid w:val="000C5813"/>
    <w:rsid w:val="000C75CF"/>
    <w:rsid w:val="000C7B83"/>
    <w:rsid w:val="000C7DE4"/>
    <w:rsid w:val="000D15E7"/>
    <w:rsid w:val="000D1A24"/>
    <w:rsid w:val="000D21C7"/>
    <w:rsid w:val="000D248A"/>
    <w:rsid w:val="000D2A3A"/>
    <w:rsid w:val="000D35D8"/>
    <w:rsid w:val="000D43F9"/>
    <w:rsid w:val="000D4717"/>
    <w:rsid w:val="000D6457"/>
    <w:rsid w:val="000D7D55"/>
    <w:rsid w:val="000E0993"/>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07C6"/>
    <w:rsid w:val="00111F64"/>
    <w:rsid w:val="00114F20"/>
    <w:rsid w:val="0011666B"/>
    <w:rsid w:val="001201AD"/>
    <w:rsid w:val="00120AF4"/>
    <w:rsid w:val="001211AF"/>
    <w:rsid w:val="001219DF"/>
    <w:rsid w:val="00122ABE"/>
    <w:rsid w:val="001231DC"/>
    <w:rsid w:val="001272AE"/>
    <w:rsid w:val="001315DD"/>
    <w:rsid w:val="00131641"/>
    <w:rsid w:val="0013525F"/>
    <w:rsid w:val="00135385"/>
    <w:rsid w:val="001364D1"/>
    <w:rsid w:val="00142EBA"/>
    <w:rsid w:val="00143B79"/>
    <w:rsid w:val="00150B8A"/>
    <w:rsid w:val="00150C02"/>
    <w:rsid w:val="00150DCB"/>
    <w:rsid w:val="00151912"/>
    <w:rsid w:val="00153740"/>
    <w:rsid w:val="001541C5"/>
    <w:rsid w:val="0015623F"/>
    <w:rsid w:val="00156585"/>
    <w:rsid w:val="00156BA9"/>
    <w:rsid w:val="001574B5"/>
    <w:rsid w:val="00160E67"/>
    <w:rsid w:val="00161761"/>
    <w:rsid w:val="001617D9"/>
    <w:rsid w:val="001651B4"/>
    <w:rsid w:val="00166182"/>
    <w:rsid w:val="001745DD"/>
    <w:rsid w:val="00174C39"/>
    <w:rsid w:val="00177659"/>
    <w:rsid w:val="001779E5"/>
    <w:rsid w:val="00180B2E"/>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5BB"/>
    <w:rsid w:val="001B4EC2"/>
    <w:rsid w:val="001B5B59"/>
    <w:rsid w:val="001B60E0"/>
    <w:rsid w:val="001B7C8C"/>
    <w:rsid w:val="001C181A"/>
    <w:rsid w:val="001C1877"/>
    <w:rsid w:val="001C2053"/>
    <w:rsid w:val="001C252F"/>
    <w:rsid w:val="001C28D1"/>
    <w:rsid w:val="001C3258"/>
    <w:rsid w:val="001C5CFC"/>
    <w:rsid w:val="001C7418"/>
    <w:rsid w:val="001C7EBE"/>
    <w:rsid w:val="001D0051"/>
    <w:rsid w:val="001D03A8"/>
    <w:rsid w:val="001D2224"/>
    <w:rsid w:val="001D31AA"/>
    <w:rsid w:val="001D4F88"/>
    <w:rsid w:val="001D68CF"/>
    <w:rsid w:val="001D6A8C"/>
    <w:rsid w:val="001D7A56"/>
    <w:rsid w:val="001E15C0"/>
    <w:rsid w:val="001E18E0"/>
    <w:rsid w:val="001E18E2"/>
    <w:rsid w:val="001E19D0"/>
    <w:rsid w:val="001E2A30"/>
    <w:rsid w:val="001F4F10"/>
    <w:rsid w:val="00200AA0"/>
    <w:rsid w:val="00202325"/>
    <w:rsid w:val="00202736"/>
    <w:rsid w:val="00202BC1"/>
    <w:rsid w:val="00203652"/>
    <w:rsid w:val="00205B4F"/>
    <w:rsid w:val="002060B6"/>
    <w:rsid w:val="002066B5"/>
    <w:rsid w:val="00211739"/>
    <w:rsid w:val="002119B6"/>
    <w:rsid w:val="00212243"/>
    <w:rsid w:val="00212B40"/>
    <w:rsid w:val="00213BD0"/>
    <w:rsid w:val="00215ED6"/>
    <w:rsid w:val="00216049"/>
    <w:rsid w:val="00217606"/>
    <w:rsid w:val="00217C09"/>
    <w:rsid w:val="00220F5C"/>
    <w:rsid w:val="00225196"/>
    <w:rsid w:val="00225CB4"/>
    <w:rsid w:val="002266C5"/>
    <w:rsid w:val="0023049F"/>
    <w:rsid w:val="002316F6"/>
    <w:rsid w:val="00232C9B"/>
    <w:rsid w:val="00232F09"/>
    <w:rsid w:val="002335D5"/>
    <w:rsid w:val="002338CA"/>
    <w:rsid w:val="00233FE5"/>
    <w:rsid w:val="00234B3B"/>
    <w:rsid w:val="0024174E"/>
    <w:rsid w:val="0024227D"/>
    <w:rsid w:val="00242D14"/>
    <w:rsid w:val="0024565F"/>
    <w:rsid w:val="00246860"/>
    <w:rsid w:val="00246DFF"/>
    <w:rsid w:val="00246E89"/>
    <w:rsid w:val="00250385"/>
    <w:rsid w:val="0025183C"/>
    <w:rsid w:val="002528EC"/>
    <w:rsid w:val="00255049"/>
    <w:rsid w:val="00257DE5"/>
    <w:rsid w:val="00257EC5"/>
    <w:rsid w:val="00260531"/>
    <w:rsid w:val="00262923"/>
    <w:rsid w:val="0026318D"/>
    <w:rsid w:val="00270864"/>
    <w:rsid w:val="002712F7"/>
    <w:rsid w:val="0027159C"/>
    <w:rsid w:val="002729B7"/>
    <w:rsid w:val="00274549"/>
    <w:rsid w:val="00274E46"/>
    <w:rsid w:val="00276C86"/>
    <w:rsid w:val="002810A4"/>
    <w:rsid w:val="00284A26"/>
    <w:rsid w:val="00287006"/>
    <w:rsid w:val="00292AB2"/>
    <w:rsid w:val="00294437"/>
    <w:rsid w:val="00295F47"/>
    <w:rsid w:val="00297BBA"/>
    <w:rsid w:val="002A3237"/>
    <w:rsid w:val="002A58B7"/>
    <w:rsid w:val="002A5943"/>
    <w:rsid w:val="002A5C3C"/>
    <w:rsid w:val="002A685E"/>
    <w:rsid w:val="002A72C7"/>
    <w:rsid w:val="002A7D6B"/>
    <w:rsid w:val="002B03B2"/>
    <w:rsid w:val="002B0749"/>
    <w:rsid w:val="002B2645"/>
    <w:rsid w:val="002B6FA0"/>
    <w:rsid w:val="002C5F10"/>
    <w:rsid w:val="002C6E5B"/>
    <w:rsid w:val="002D1030"/>
    <w:rsid w:val="002D1709"/>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392E"/>
    <w:rsid w:val="002F3FB9"/>
    <w:rsid w:val="002F7F81"/>
    <w:rsid w:val="00300A36"/>
    <w:rsid w:val="00304CAA"/>
    <w:rsid w:val="0030678B"/>
    <w:rsid w:val="00310CD7"/>
    <w:rsid w:val="0032136A"/>
    <w:rsid w:val="00323E70"/>
    <w:rsid w:val="00325BA2"/>
    <w:rsid w:val="00326C08"/>
    <w:rsid w:val="00326F7F"/>
    <w:rsid w:val="003320E8"/>
    <w:rsid w:val="00332889"/>
    <w:rsid w:val="0033334F"/>
    <w:rsid w:val="0033555E"/>
    <w:rsid w:val="00336805"/>
    <w:rsid w:val="00337351"/>
    <w:rsid w:val="00340EBD"/>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42CE"/>
    <w:rsid w:val="0037520D"/>
    <w:rsid w:val="00375724"/>
    <w:rsid w:val="00375809"/>
    <w:rsid w:val="0037628C"/>
    <w:rsid w:val="00376B81"/>
    <w:rsid w:val="00377BD2"/>
    <w:rsid w:val="003821E1"/>
    <w:rsid w:val="00384866"/>
    <w:rsid w:val="00384B1F"/>
    <w:rsid w:val="003857D4"/>
    <w:rsid w:val="00385D6F"/>
    <w:rsid w:val="00387095"/>
    <w:rsid w:val="00390092"/>
    <w:rsid w:val="00390741"/>
    <w:rsid w:val="00393651"/>
    <w:rsid w:val="00395E12"/>
    <w:rsid w:val="00396779"/>
    <w:rsid w:val="00397004"/>
    <w:rsid w:val="00397DB7"/>
    <w:rsid w:val="003A27B2"/>
    <w:rsid w:val="003A384F"/>
    <w:rsid w:val="003A40B4"/>
    <w:rsid w:val="003A41BA"/>
    <w:rsid w:val="003A6A99"/>
    <w:rsid w:val="003A7FF8"/>
    <w:rsid w:val="003B17AC"/>
    <w:rsid w:val="003B227A"/>
    <w:rsid w:val="003B5854"/>
    <w:rsid w:val="003B6764"/>
    <w:rsid w:val="003C169C"/>
    <w:rsid w:val="003C6068"/>
    <w:rsid w:val="003C7D23"/>
    <w:rsid w:val="003D2BA3"/>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269F"/>
    <w:rsid w:val="00403BFB"/>
    <w:rsid w:val="004045D0"/>
    <w:rsid w:val="004047D3"/>
    <w:rsid w:val="00404B45"/>
    <w:rsid w:val="00406CC5"/>
    <w:rsid w:val="004074A4"/>
    <w:rsid w:val="004101B2"/>
    <w:rsid w:val="00410290"/>
    <w:rsid w:val="004123D7"/>
    <w:rsid w:val="00412658"/>
    <w:rsid w:val="004172DB"/>
    <w:rsid w:val="00421485"/>
    <w:rsid w:val="00421745"/>
    <w:rsid w:val="00422B75"/>
    <w:rsid w:val="00433F36"/>
    <w:rsid w:val="0043503A"/>
    <w:rsid w:val="0044384F"/>
    <w:rsid w:val="00444F80"/>
    <w:rsid w:val="00446018"/>
    <w:rsid w:val="004543BC"/>
    <w:rsid w:val="0045645D"/>
    <w:rsid w:val="00457383"/>
    <w:rsid w:val="004574C6"/>
    <w:rsid w:val="00457BCF"/>
    <w:rsid w:val="00457DCE"/>
    <w:rsid w:val="00460BCD"/>
    <w:rsid w:val="00460E3F"/>
    <w:rsid w:val="00461ECD"/>
    <w:rsid w:val="00462F68"/>
    <w:rsid w:val="00466CED"/>
    <w:rsid w:val="00467592"/>
    <w:rsid w:val="00467690"/>
    <w:rsid w:val="004713A6"/>
    <w:rsid w:val="00471500"/>
    <w:rsid w:val="004718E7"/>
    <w:rsid w:val="00471C1C"/>
    <w:rsid w:val="0047227C"/>
    <w:rsid w:val="00472535"/>
    <w:rsid w:val="00473DEB"/>
    <w:rsid w:val="004761CC"/>
    <w:rsid w:val="00477D09"/>
    <w:rsid w:val="00480D4A"/>
    <w:rsid w:val="00480FF2"/>
    <w:rsid w:val="00481DA1"/>
    <w:rsid w:val="00484212"/>
    <w:rsid w:val="0049255F"/>
    <w:rsid w:val="004929E1"/>
    <w:rsid w:val="0049445D"/>
    <w:rsid w:val="00495350"/>
    <w:rsid w:val="00497156"/>
    <w:rsid w:val="004A0C79"/>
    <w:rsid w:val="004A24D2"/>
    <w:rsid w:val="004A3214"/>
    <w:rsid w:val="004A3CFB"/>
    <w:rsid w:val="004A4136"/>
    <w:rsid w:val="004A417B"/>
    <w:rsid w:val="004A4222"/>
    <w:rsid w:val="004B03F3"/>
    <w:rsid w:val="004B0CC9"/>
    <w:rsid w:val="004B2536"/>
    <w:rsid w:val="004B46DB"/>
    <w:rsid w:val="004B6AF3"/>
    <w:rsid w:val="004B715E"/>
    <w:rsid w:val="004B7169"/>
    <w:rsid w:val="004B79C9"/>
    <w:rsid w:val="004C1549"/>
    <w:rsid w:val="004C33BB"/>
    <w:rsid w:val="004C5E33"/>
    <w:rsid w:val="004C6CDA"/>
    <w:rsid w:val="004D10D4"/>
    <w:rsid w:val="004D16BD"/>
    <w:rsid w:val="004D2AAB"/>
    <w:rsid w:val="004D6F2B"/>
    <w:rsid w:val="004E0248"/>
    <w:rsid w:val="004E21A3"/>
    <w:rsid w:val="004E32EA"/>
    <w:rsid w:val="004E6866"/>
    <w:rsid w:val="004F3222"/>
    <w:rsid w:val="004F3BFA"/>
    <w:rsid w:val="004F3C44"/>
    <w:rsid w:val="005000AB"/>
    <w:rsid w:val="005025EE"/>
    <w:rsid w:val="005039DF"/>
    <w:rsid w:val="00503B78"/>
    <w:rsid w:val="00506C3A"/>
    <w:rsid w:val="00507389"/>
    <w:rsid w:val="00510588"/>
    <w:rsid w:val="0051146C"/>
    <w:rsid w:val="00514449"/>
    <w:rsid w:val="005157BD"/>
    <w:rsid w:val="005214A3"/>
    <w:rsid w:val="005222E7"/>
    <w:rsid w:val="00523A8B"/>
    <w:rsid w:val="00523E04"/>
    <w:rsid w:val="0052590B"/>
    <w:rsid w:val="00526591"/>
    <w:rsid w:val="00527178"/>
    <w:rsid w:val="005278CB"/>
    <w:rsid w:val="00531AB1"/>
    <w:rsid w:val="00534D42"/>
    <w:rsid w:val="005350A5"/>
    <w:rsid w:val="00536379"/>
    <w:rsid w:val="00537238"/>
    <w:rsid w:val="00537553"/>
    <w:rsid w:val="005400C5"/>
    <w:rsid w:val="00540748"/>
    <w:rsid w:val="00540BEF"/>
    <w:rsid w:val="00542C9A"/>
    <w:rsid w:val="005436C2"/>
    <w:rsid w:val="005442D4"/>
    <w:rsid w:val="00545735"/>
    <w:rsid w:val="0054586A"/>
    <w:rsid w:val="0054631F"/>
    <w:rsid w:val="0055288D"/>
    <w:rsid w:val="00555259"/>
    <w:rsid w:val="00560D57"/>
    <w:rsid w:val="00562A94"/>
    <w:rsid w:val="005709F7"/>
    <w:rsid w:val="005710A9"/>
    <w:rsid w:val="00571D1B"/>
    <w:rsid w:val="005738F5"/>
    <w:rsid w:val="0058039C"/>
    <w:rsid w:val="00585A58"/>
    <w:rsid w:val="00586484"/>
    <w:rsid w:val="00587445"/>
    <w:rsid w:val="00593043"/>
    <w:rsid w:val="00595BF0"/>
    <w:rsid w:val="005A1846"/>
    <w:rsid w:val="005A258C"/>
    <w:rsid w:val="005A3560"/>
    <w:rsid w:val="005A464E"/>
    <w:rsid w:val="005A6643"/>
    <w:rsid w:val="005A6C99"/>
    <w:rsid w:val="005A7D5D"/>
    <w:rsid w:val="005B011A"/>
    <w:rsid w:val="005B1D8F"/>
    <w:rsid w:val="005B1E94"/>
    <w:rsid w:val="005B5B3D"/>
    <w:rsid w:val="005B64CF"/>
    <w:rsid w:val="005C1049"/>
    <w:rsid w:val="005C16F3"/>
    <w:rsid w:val="005C3758"/>
    <w:rsid w:val="005C7031"/>
    <w:rsid w:val="005D0CB3"/>
    <w:rsid w:val="005D3E44"/>
    <w:rsid w:val="005D3F1E"/>
    <w:rsid w:val="005D479D"/>
    <w:rsid w:val="005E3064"/>
    <w:rsid w:val="005E43A9"/>
    <w:rsid w:val="005E72B2"/>
    <w:rsid w:val="005F1115"/>
    <w:rsid w:val="005F1AB6"/>
    <w:rsid w:val="005F27F2"/>
    <w:rsid w:val="005F3AFE"/>
    <w:rsid w:val="005F424D"/>
    <w:rsid w:val="005F6B6D"/>
    <w:rsid w:val="00605AAB"/>
    <w:rsid w:val="00606BEB"/>
    <w:rsid w:val="00607109"/>
    <w:rsid w:val="0061014A"/>
    <w:rsid w:val="0061054B"/>
    <w:rsid w:val="00611EB8"/>
    <w:rsid w:val="00613E26"/>
    <w:rsid w:val="006154C1"/>
    <w:rsid w:val="00615641"/>
    <w:rsid w:val="00616959"/>
    <w:rsid w:val="006211D0"/>
    <w:rsid w:val="00624D0C"/>
    <w:rsid w:val="006274B4"/>
    <w:rsid w:val="006305D6"/>
    <w:rsid w:val="006307BA"/>
    <w:rsid w:val="006315BA"/>
    <w:rsid w:val="00634C4A"/>
    <w:rsid w:val="0063532E"/>
    <w:rsid w:val="00637BDC"/>
    <w:rsid w:val="00640225"/>
    <w:rsid w:val="006418C9"/>
    <w:rsid w:val="00642BD6"/>
    <w:rsid w:val="00645046"/>
    <w:rsid w:val="0064527A"/>
    <w:rsid w:val="00645EA2"/>
    <w:rsid w:val="00645F6D"/>
    <w:rsid w:val="00646A91"/>
    <w:rsid w:val="00653349"/>
    <w:rsid w:val="00653D2D"/>
    <w:rsid w:val="006573F2"/>
    <w:rsid w:val="00660807"/>
    <w:rsid w:val="00662F08"/>
    <w:rsid w:val="00663589"/>
    <w:rsid w:val="00663B56"/>
    <w:rsid w:val="006708E3"/>
    <w:rsid w:val="00670DDC"/>
    <w:rsid w:val="00671EB4"/>
    <w:rsid w:val="0067443B"/>
    <w:rsid w:val="00676036"/>
    <w:rsid w:val="00681162"/>
    <w:rsid w:val="00684AF9"/>
    <w:rsid w:val="00684E2B"/>
    <w:rsid w:val="00690FDA"/>
    <w:rsid w:val="00691E61"/>
    <w:rsid w:val="006932F5"/>
    <w:rsid w:val="00693C5E"/>
    <w:rsid w:val="00694EEA"/>
    <w:rsid w:val="006955B4"/>
    <w:rsid w:val="00696476"/>
    <w:rsid w:val="006A10FA"/>
    <w:rsid w:val="006A40E6"/>
    <w:rsid w:val="006A5C07"/>
    <w:rsid w:val="006A75FA"/>
    <w:rsid w:val="006B07D5"/>
    <w:rsid w:val="006B1309"/>
    <w:rsid w:val="006B1719"/>
    <w:rsid w:val="006B3923"/>
    <w:rsid w:val="006B3F3E"/>
    <w:rsid w:val="006B5923"/>
    <w:rsid w:val="006B67D9"/>
    <w:rsid w:val="006B6C14"/>
    <w:rsid w:val="006B715E"/>
    <w:rsid w:val="006B7879"/>
    <w:rsid w:val="006C1D6E"/>
    <w:rsid w:val="006C2EF6"/>
    <w:rsid w:val="006C3A68"/>
    <w:rsid w:val="006C6AB1"/>
    <w:rsid w:val="006D2D39"/>
    <w:rsid w:val="006D493C"/>
    <w:rsid w:val="006D4E0E"/>
    <w:rsid w:val="006D5CE2"/>
    <w:rsid w:val="006E06D1"/>
    <w:rsid w:val="006E1313"/>
    <w:rsid w:val="006E2DC8"/>
    <w:rsid w:val="006E7356"/>
    <w:rsid w:val="006E77C8"/>
    <w:rsid w:val="006F149D"/>
    <w:rsid w:val="006F1A46"/>
    <w:rsid w:val="006F4BA8"/>
    <w:rsid w:val="006F4F06"/>
    <w:rsid w:val="006F5A4E"/>
    <w:rsid w:val="006F6005"/>
    <w:rsid w:val="00703B6C"/>
    <w:rsid w:val="00705857"/>
    <w:rsid w:val="00705C40"/>
    <w:rsid w:val="00706482"/>
    <w:rsid w:val="00706BEF"/>
    <w:rsid w:val="007073D3"/>
    <w:rsid w:val="00707ECE"/>
    <w:rsid w:val="00710CE8"/>
    <w:rsid w:val="007116BC"/>
    <w:rsid w:val="00713310"/>
    <w:rsid w:val="007165CE"/>
    <w:rsid w:val="00720968"/>
    <w:rsid w:val="00721705"/>
    <w:rsid w:val="00721D12"/>
    <w:rsid w:val="00721F8B"/>
    <w:rsid w:val="007237CE"/>
    <w:rsid w:val="00724688"/>
    <w:rsid w:val="0073062D"/>
    <w:rsid w:val="0073254D"/>
    <w:rsid w:val="00736A49"/>
    <w:rsid w:val="007419A1"/>
    <w:rsid w:val="00743283"/>
    <w:rsid w:val="00743B71"/>
    <w:rsid w:val="00743C2D"/>
    <w:rsid w:val="00743E36"/>
    <w:rsid w:val="007446F7"/>
    <w:rsid w:val="00744EBB"/>
    <w:rsid w:val="00745B0A"/>
    <w:rsid w:val="007468AC"/>
    <w:rsid w:val="00746AE2"/>
    <w:rsid w:val="00750C82"/>
    <w:rsid w:val="00750FC0"/>
    <w:rsid w:val="0076100C"/>
    <w:rsid w:val="007612A5"/>
    <w:rsid w:val="00763F95"/>
    <w:rsid w:val="007651ED"/>
    <w:rsid w:val="00766C87"/>
    <w:rsid w:val="00780378"/>
    <w:rsid w:val="00781BD4"/>
    <w:rsid w:val="00784832"/>
    <w:rsid w:val="00784E5D"/>
    <w:rsid w:val="00785D77"/>
    <w:rsid w:val="00786111"/>
    <w:rsid w:val="007914A5"/>
    <w:rsid w:val="00791F1E"/>
    <w:rsid w:val="00794F3D"/>
    <w:rsid w:val="00796045"/>
    <w:rsid w:val="007968AC"/>
    <w:rsid w:val="007969AB"/>
    <w:rsid w:val="00797882"/>
    <w:rsid w:val="007A0B39"/>
    <w:rsid w:val="007A14A4"/>
    <w:rsid w:val="007A168F"/>
    <w:rsid w:val="007A28E4"/>
    <w:rsid w:val="007A3BB3"/>
    <w:rsid w:val="007A3EAD"/>
    <w:rsid w:val="007A5AD1"/>
    <w:rsid w:val="007A5B7B"/>
    <w:rsid w:val="007B0206"/>
    <w:rsid w:val="007B0681"/>
    <w:rsid w:val="007B0A06"/>
    <w:rsid w:val="007B1BF0"/>
    <w:rsid w:val="007B5C5C"/>
    <w:rsid w:val="007B7B37"/>
    <w:rsid w:val="007B7C41"/>
    <w:rsid w:val="007C067A"/>
    <w:rsid w:val="007C11E9"/>
    <w:rsid w:val="007C33D2"/>
    <w:rsid w:val="007C433E"/>
    <w:rsid w:val="007C4452"/>
    <w:rsid w:val="007C4B3C"/>
    <w:rsid w:val="007C4DB1"/>
    <w:rsid w:val="007C5029"/>
    <w:rsid w:val="007C6046"/>
    <w:rsid w:val="007D0292"/>
    <w:rsid w:val="007D21AC"/>
    <w:rsid w:val="007D3882"/>
    <w:rsid w:val="007D568A"/>
    <w:rsid w:val="007D574E"/>
    <w:rsid w:val="007D6BFE"/>
    <w:rsid w:val="007E2046"/>
    <w:rsid w:val="007E3883"/>
    <w:rsid w:val="007E4A74"/>
    <w:rsid w:val="007E4FBB"/>
    <w:rsid w:val="007E55BF"/>
    <w:rsid w:val="007E71B1"/>
    <w:rsid w:val="007E7B4E"/>
    <w:rsid w:val="007F06BF"/>
    <w:rsid w:val="007F0CE2"/>
    <w:rsid w:val="007F0EFF"/>
    <w:rsid w:val="007F1375"/>
    <w:rsid w:val="00802143"/>
    <w:rsid w:val="00803850"/>
    <w:rsid w:val="00803C68"/>
    <w:rsid w:val="00804385"/>
    <w:rsid w:val="00805AFD"/>
    <w:rsid w:val="008078D8"/>
    <w:rsid w:val="0080797B"/>
    <w:rsid w:val="00811D5B"/>
    <w:rsid w:val="00817713"/>
    <w:rsid w:val="008220F1"/>
    <w:rsid w:val="0082340B"/>
    <w:rsid w:val="00827DB6"/>
    <w:rsid w:val="008304B2"/>
    <w:rsid w:val="00830999"/>
    <w:rsid w:val="00830D5E"/>
    <w:rsid w:val="00830F69"/>
    <w:rsid w:val="00833418"/>
    <w:rsid w:val="00834458"/>
    <w:rsid w:val="00835841"/>
    <w:rsid w:val="00837465"/>
    <w:rsid w:val="0084027E"/>
    <w:rsid w:val="00841243"/>
    <w:rsid w:val="00841457"/>
    <w:rsid w:val="0084374E"/>
    <w:rsid w:val="00844842"/>
    <w:rsid w:val="00844DD0"/>
    <w:rsid w:val="00846AF8"/>
    <w:rsid w:val="0085089F"/>
    <w:rsid w:val="00850D26"/>
    <w:rsid w:val="0085206E"/>
    <w:rsid w:val="00852AD4"/>
    <w:rsid w:val="00852BA8"/>
    <w:rsid w:val="00853718"/>
    <w:rsid w:val="008541EF"/>
    <w:rsid w:val="00856AC7"/>
    <w:rsid w:val="00856FA4"/>
    <w:rsid w:val="0086162B"/>
    <w:rsid w:val="00861D5C"/>
    <w:rsid w:val="0086419D"/>
    <w:rsid w:val="00865207"/>
    <w:rsid w:val="008656A7"/>
    <w:rsid w:val="00865E60"/>
    <w:rsid w:val="00866231"/>
    <w:rsid w:val="00871262"/>
    <w:rsid w:val="00871D4E"/>
    <w:rsid w:val="00871E7B"/>
    <w:rsid w:val="00875B51"/>
    <w:rsid w:val="00875F2D"/>
    <w:rsid w:val="008764DC"/>
    <w:rsid w:val="00882CC2"/>
    <w:rsid w:val="00883930"/>
    <w:rsid w:val="00890DAD"/>
    <w:rsid w:val="00896535"/>
    <w:rsid w:val="00896683"/>
    <w:rsid w:val="0089750B"/>
    <w:rsid w:val="00897589"/>
    <w:rsid w:val="008A026A"/>
    <w:rsid w:val="008A63A9"/>
    <w:rsid w:val="008A702C"/>
    <w:rsid w:val="008A7F7E"/>
    <w:rsid w:val="008B04DB"/>
    <w:rsid w:val="008B1BEA"/>
    <w:rsid w:val="008B27FD"/>
    <w:rsid w:val="008B3AF2"/>
    <w:rsid w:val="008B446D"/>
    <w:rsid w:val="008B515D"/>
    <w:rsid w:val="008B5D31"/>
    <w:rsid w:val="008B6705"/>
    <w:rsid w:val="008C15E4"/>
    <w:rsid w:val="008C22F3"/>
    <w:rsid w:val="008C4B73"/>
    <w:rsid w:val="008C5D79"/>
    <w:rsid w:val="008D31BA"/>
    <w:rsid w:val="008D795D"/>
    <w:rsid w:val="008D7B07"/>
    <w:rsid w:val="008E1E94"/>
    <w:rsid w:val="008E2D99"/>
    <w:rsid w:val="008E4A60"/>
    <w:rsid w:val="008E59EA"/>
    <w:rsid w:val="008E744D"/>
    <w:rsid w:val="008E7F80"/>
    <w:rsid w:val="008F1E08"/>
    <w:rsid w:val="008F545E"/>
    <w:rsid w:val="008F6CBA"/>
    <w:rsid w:val="008F771D"/>
    <w:rsid w:val="00900D8F"/>
    <w:rsid w:val="00900F9E"/>
    <w:rsid w:val="009014E3"/>
    <w:rsid w:val="009026E8"/>
    <w:rsid w:val="00905786"/>
    <w:rsid w:val="00906EB7"/>
    <w:rsid w:val="009102BF"/>
    <w:rsid w:val="00911490"/>
    <w:rsid w:val="009115F2"/>
    <w:rsid w:val="00912189"/>
    <w:rsid w:val="00914ADB"/>
    <w:rsid w:val="00923B25"/>
    <w:rsid w:val="0092402E"/>
    <w:rsid w:val="009259BA"/>
    <w:rsid w:val="00926FCB"/>
    <w:rsid w:val="00930F6E"/>
    <w:rsid w:val="0093267F"/>
    <w:rsid w:val="0093311A"/>
    <w:rsid w:val="009345CA"/>
    <w:rsid w:val="00941AB7"/>
    <w:rsid w:val="00942645"/>
    <w:rsid w:val="00943597"/>
    <w:rsid w:val="00943FCE"/>
    <w:rsid w:val="00950A3A"/>
    <w:rsid w:val="0095340A"/>
    <w:rsid w:val="00954581"/>
    <w:rsid w:val="0095466C"/>
    <w:rsid w:val="00954E5B"/>
    <w:rsid w:val="009576BC"/>
    <w:rsid w:val="00960357"/>
    <w:rsid w:val="0096168C"/>
    <w:rsid w:val="00961840"/>
    <w:rsid w:val="00962F2D"/>
    <w:rsid w:val="00963948"/>
    <w:rsid w:val="009672CD"/>
    <w:rsid w:val="009716E5"/>
    <w:rsid w:val="00972996"/>
    <w:rsid w:val="0097306B"/>
    <w:rsid w:val="009732B8"/>
    <w:rsid w:val="00973ED9"/>
    <w:rsid w:val="00975C72"/>
    <w:rsid w:val="00975DD7"/>
    <w:rsid w:val="00976869"/>
    <w:rsid w:val="00977740"/>
    <w:rsid w:val="00977CB4"/>
    <w:rsid w:val="009809B8"/>
    <w:rsid w:val="009814D7"/>
    <w:rsid w:val="0098222D"/>
    <w:rsid w:val="00983BC2"/>
    <w:rsid w:val="00985099"/>
    <w:rsid w:val="0099421F"/>
    <w:rsid w:val="009957D4"/>
    <w:rsid w:val="009A0DE3"/>
    <w:rsid w:val="009A1643"/>
    <w:rsid w:val="009A215A"/>
    <w:rsid w:val="009A49D3"/>
    <w:rsid w:val="009A4F1B"/>
    <w:rsid w:val="009A5EC2"/>
    <w:rsid w:val="009A66C5"/>
    <w:rsid w:val="009A79BA"/>
    <w:rsid w:val="009A7A92"/>
    <w:rsid w:val="009B14D1"/>
    <w:rsid w:val="009B1534"/>
    <w:rsid w:val="009B4963"/>
    <w:rsid w:val="009B4A3B"/>
    <w:rsid w:val="009B69D3"/>
    <w:rsid w:val="009B7073"/>
    <w:rsid w:val="009B7BA7"/>
    <w:rsid w:val="009C0938"/>
    <w:rsid w:val="009C22C8"/>
    <w:rsid w:val="009C3F82"/>
    <w:rsid w:val="009C72DD"/>
    <w:rsid w:val="009C7DF5"/>
    <w:rsid w:val="009D056C"/>
    <w:rsid w:val="009D060F"/>
    <w:rsid w:val="009D1ADE"/>
    <w:rsid w:val="009D306A"/>
    <w:rsid w:val="009D37CA"/>
    <w:rsid w:val="009E09D0"/>
    <w:rsid w:val="009E1283"/>
    <w:rsid w:val="009E3A7F"/>
    <w:rsid w:val="009E57B1"/>
    <w:rsid w:val="009E6379"/>
    <w:rsid w:val="009F12EE"/>
    <w:rsid w:val="009F5486"/>
    <w:rsid w:val="009F7809"/>
    <w:rsid w:val="009F7AF5"/>
    <w:rsid w:val="00A00D14"/>
    <w:rsid w:val="00A01408"/>
    <w:rsid w:val="00A02457"/>
    <w:rsid w:val="00A03190"/>
    <w:rsid w:val="00A03C03"/>
    <w:rsid w:val="00A0404B"/>
    <w:rsid w:val="00A076B0"/>
    <w:rsid w:val="00A0798C"/>
    <w:rsid w:val="00A07BDD"/>
    <w:rsid w:val="00A1105B"/>
    <w:rsid w:val="00A1213C"/>
    <w:rsid w:val="00A130E8"/>
    <w:rsid w:val="00A15B6B"/>
    <w:rsid w:val="00A15EB4"/>
    <w:rsid w:val="00A16876"/>
    <w:rsid w:val="00A17CD5"/>
    <w:rsid w:val="00A200AA"/>
    <w:rsid w:val="00A20558"/>
    <w:rsid w:val="00A208E3"/>
    <w:rsid w:val="00A2186F"/>
    <w:rsid w:val="00A2270B"/>
    <w:rsid w:val="00A23B89"/>
    <w:rsid w:val="00A23FE3"/>
    <w:rsid w:val="00A248C3"/>
    <w:rsid w:val="00A2496E"/>
    <w:rsid w:val="00A258B7"/>
    <w:rsid w:val="00A2707C"/>
    <w:rsid w:val="00A32743"/>
    <w:rsid w:val="00A3725A"/>
    <w:rsid w:val="00A414A9"/>
    <w:rsid w:val="00A44CCA"/>
    <w:rsid w:val="00A44D75"/>
    <w:rsid w:val="00A47CF1"/>
    <w:rsid w:val="00A5007E"/>
    <w:rsid w:val="00A50418"/>
    <w:rsid w:val="00A53565"/>
    <w:rsid w:val="00A54A47"/>
    <w:rsid w:val="00A56D26"/>
    <w:rsid w:val="00A571A7"/>
    <w:rsid w:val="00A608FB"/>
    <w:rsid w:val="00A60D83"/>
    <w:rsid w:val="00A60F68"/>
    <w:rsid w:val="00A63DF3"/>
    <w:rsid w:val="00A65C78"/>
    <w:rsid w:val="00A660A8"/>
    <w:rsid w:val="00A67591"/>
    <w:rsid w:val="00A67CA6"/>
    <w:rsid w:val="00A70E7B"/>
    <w:rsid w:val="00A711E8"/>
    <w:rsid w:val="00A7271A"/>
    <w:rsid w:val="00A73B84"/>
    <w:rsid w:val="00A7411D"/>
    <w:rsid w:val="00A758C5"/>
    <w:rsid w:val="00A76094"/>
    <w:rsid w:val="00A768E2"/>
    <w:rsid w:val="00A82C52"/>
    <w:rsid w:val="00A83B33"/>
    <w:rsid w:val="00A86CB6"/>
    <w:rsid w:val="00A90D55"/>
    <w:rsid w:val="00A944D8"/>
    <w:rsid w:val="00A959E7"/>
    <w:rsid w:val="00A95BBA"/>
    <w:rsid w:val="00A961EE"/>
    <w:rsid w:val="00AA04B3"/>
    <w:rsid w:val="00AA1253"/>
    <w:rsid w:val="00AA1ED0"/>
    <w:rsid w:val="00AA28EF"/>
    <w:rsid w:val="00AA3593"/>
    <w:rsid w:val="00AA38CA"/>
    <w:rsid w:val="00AA493E"/>
    <w:rsid w:val="00AA508B"/>
    <w:rsid w:val="00AA73AF"/>
    <w:rsid w:val="00AB0A8A"/>
    <w:rsid w:val="00AB1754"/>
    <w:rsid w:val="00AB27DD"/>
    <w:rsid w:val="00AB399C"/>
    <w:rsid w:val="00AC29E1"/>
    <w:rsid w:val="00AC439D"/>
    <w:rsid w:val="00AC713F"/>
    <w:rsid w:val="00AC7CF8"/>
    <w:rsid w:val="00AD067E"/>
    <w:rsid w:val="00AD25D3"/>
    <w:rsid w:val="00AD2801"/>
    <w:rsid w:val="00AD46C3"/>
    <w:rsid w:val="00AD6870"/>
    <w:rsid w:val="00AD68C5"/>
    <w:rsid w:val="00AE0D06"/>
    <w:rsid w:val="00AE1273"/>
    <w:rsid w:val="00AE2D29"/>
    <w:rsid w:val="00AE4624"/>
    <w:rsid w:val="00AE5E14"/>
    <w:rsid w:val="00AE6115"/>
    <w:rsid w:val="00AE625B"/>
    <w:rsid w:val="00AF1668"/>
    <w:rsid w:val="00AF4FA5"/>
    <w:rsid w:val="00AF74A3"/>
    <w:rsid w:val="00B07955"/>
    <w:rsid w:val="00B140B8"/>
    <w:rsid w:val="00B14DDE"/>
    <w:rsid w:val="00B14FAA"/>
    <w:rsid w:val="00B14FDC"/>
    <w:rsid w:val="00B15D30"/>
    <w:rsid w:val="00B20624"/>
    <w:rsid w:val="00B212F3"/>
    <w:rsid w:val="00B23436"/>
    <w:rsid w:val="00B237F1"/>
    <w:rsid w:val="00B24F33"/>
    <w:rsid w:val="00B25648"/>
    <w:rsid w:val="00B26354"/>
    <w:rsid w:val="00B26CA0"/>
    <w:rsid w:val="00B31402"/>
    <w:rsid w:val="00B32179"/>
    <w:rsid w:val="00B33007"/>
    <w:rsid w:val="00B331A9"/>
    <w:rsid w:val="00B348B1"/>
    <w:rsid w:val="00B36569"/>
    <w:rsid w:val="00B4019A"/>
    <w:rsid w:val="00B40A05"/>
    <w:rsid w:val="00B40A3E"/>
    <w:rsid w:val="00B411F9"/>
    <w:rsid w:val="00B427BB"/>
    <w:rsid w:val="00B42CB3"/>
    <w:rsid w:val="00B431D1"/>
    <w:rsid w:val="00B449EE"/>
    <w:rsid w:val="00B50227"/>
    <w:rsid w:val="00B50510"/>
    <w:rsid w:val="00B522CD"/>
    <w:rsid w:val="00B55143"/>
    <w:rsid w:val="00B555C8"/>
    <w:rsid w:val="00B55917"/>
    <w:rsid w:val="00B643A6"/>
    <w:rsid w:val="00B64DD6"/>
    <w:rsid w:val="00B6710C"/>
    <w:rsid w:val="00B67E84"/>
    <w:rsid w:val="00B7111B"/>
    <w:rsid w:val="00B72076"/>
    <w:rsid w:val="00B72303"/>
    <w:rsid w:val="00B72C72"/>
    <w:rsid w:val="00B82277"/>
    <w:rsid w:val="00B82AFF"/>
    <w:rsid w:val="00B86A95"/>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0DF7"/>
    <w:rsid w:val="00BC1CF3"/>
    <w:rsid w:val="00BC3573"/>
    <w:rsid w:val="00BC7F82"/>
    <w:rsid w:val="00BD1B7C"/>
    <w:rsid w:val="00BD2C4A"/>
    <w:rsid w:val="00BD3B8E"/>
    <w:rsid w:val="00BD40AB"/>
    <w:rsid w:val="00BD6297"/>
    <w:rsid w:val="00BD6806"/>
    <w:rsid w:val="00BD7433"/>
    <w:rsid w:val="00BD7831"/>
    <w:rsid w:val="00BD7C10"/>
    <w:rsid w:val="00BE046F"/>
    <w:rsid w:val="00BE0DEB"/>
    <w:rsid w:val="00BE2FC1"/>
    <w:rsid w:val="00BE41BA"/>
    <w:rsid w:val="00BE6365"/>
    <w:rsid w:val="00BF0B7F"/>
    <w:rsid w:val="00BF0DFD"/>
    <w:rsid w:val="00BF4720"/>
    <w:rsid w:val="00BF4F49"/>
    <w:rsid w:val="00BF7B4F"/>
    <w:rsid w:val="00BF7B63"/>
    <w:rsid w:val="00C038EC"/>
    <w:rsid w:val="00C05C6D"/>
    <w:rsid w:val="00C1122B"/>
    <w:rsid w:val="00C13B34"/>
    <w:rsid w:val="00C13F26"/>
    <w:rsid w:val="00C1474E"/>
    <w:rsid w:val="00C15602"/>
    <w:rsid w:val="00C16E9F"/>
    <w:rsid w:val="00C1713D"/>
    <w:rsid w:val="00C177F1"/>
    <w:rsid w:val="00C17EE6"/>
    <w:rsid w:val="00C22F3A"/>
    <w:rsid w:val="00C23311"/>
    <w:rsid w:val="00C23CF3"/>
    <w:rsid w:val="00C25978"/>
    <w:rsid w:val="00C261C6"/>
    <w:rsid w:val="00C26E7C"/>
    <w:rsid w:val="00C276CD"/>
    <w:rsid w:val="00C30A97"/>
    <w:rsid w:val="00C31DDC"/>
    <w:rsid w:val="00C3299F"/>
    <w:rsid w:val="00C34326"/>
    <w:rsid w:val="00C36201"/>
    <w:rsid w:val="00C368E8"/>
    <w:rsid w:val="00C36C3D"/>
    <w:rsid w:val="00C372C7"/>
    <w:rsid w:val="00C406C2"/>
    <w:rsid w:val="00C42443"/>
    <w:rsid w:val="00C42CBA"/>
    <w:rsid w:val="00C5019E"/>
    <w:rsid w:val="00C51DDD"/>
    <w:rsid w:val="00C5377C"/>
    <w:rsid w:val="00C53E8A"/>
    <w:rsid w:val="00C54DF3"/>
    <w:rsid w:val="00C560A7"/>
    <w:rsid w:val="00C56FC8"/>
    <w:rsid w:val="00C60F23"/>
    <w:rsid w:val="00C62EB2"/>
    <w:rsid w:val="00C630BB"/>
    <w:rsid w:val="00C63B70"/>
    <w:rsid w:val="00C63F01"/>
    <w:rsid w:val="00C71BEC"/>
    <w:rsid w:val="00C74D3A"/>
    <w:rsid w:val="00C80511"/>
    <w:rsid w:val="00C826F5"/>
    <w:rsid w:val="00C83740"/>
    <w:rsid w:val="00C84990"/>
    <w:rsid w:val="00C84AD1"/>
    <w:rsid w:val="00C85579"/>
    <w:rsid w:val="00C863E5"/>
    <w:rsid w:val="00C87BE6"/>
    <w:rsid w:val="00C87F76"/>
    <w:rsid w:val="00C901C2"/>
    <w:rsid w:val="00C92A35"/>
    <w:rsid w:val="00C931FC"/>
    <w:rsid w:val="00C932C5"/>
    <w:rsid w:val="00C9650E"/>
    <w:rsid w:val="00CA068D"/>
    <w:rsid w:val="00CA1228"/>
    <w:rsid w:val="00CA282D"/>
    <w:rsid w:val="00CA37E7"/>
    <w:rsid w:val="00CA38EF"/>
    <w:rsid w:val="00CA4670"/>
    <w:rsid w:val="00CA6B1A"/>
    <w:rsid w:val="00CB20DC"/>
    <w:rsid w:val="00CB23DC"/>
    <w:rsid w:val="00CB2487"/>
    <w:rsid w:val="00CB28E2"/>
    <w:rsid w:val="00CB7A3E"/>
    <w:rsid w:val="00CB7FF7"/>
    <w:rsid w:val="00CC0D0E"/>
    <w:rsid w:val="00CC19B3"/>
    <w:rsid w:val="00CC2044"/>
    <w:rsid w:val="00CC2E6B"/>
    <w:rsid w:val="00CC39D2"/>
    <w:rsid w:val="00CC43D4"/>
    <w:rsid w:val="00CC69EC"/>
    <w:rsid w:val="00CD15BE"/>
    <w:rsid w:val="00CD1EF2"/>
    <w:rsid w:val="00CD32BD"/>
    <w:rsid w:val="00CD34C7"/>
    <w:rsid w:val="00CD44A8"/>
    <w:rsid w:val="00CD5653"/>
    <w:rsid w:val="00CD5E6D"/>
    <w:rsid w:val="00CD63C8"/>
    <w:rsid w:val="00CE6729"/>
    <w:rsid w:val="00CF01E9"/>
    <w:rsid w:val="00CF158D"/>
    <w:rsid w:val="00CF4394"/>
    <w:rsid w:val="00D000A9"/>
    <w:rsid w:val="00D005DB"/>
    <w:rsid w:val="00D0064E"/>
    <w:rsid w:val="00D00981"/>
    <w:rsid w:val="00D02596"/>
    <w:rsid w:val="00D0280D"/>
    <w:rsid w:val="00D03065"/>
    <w:rsid w:val="00D07A72"/>
    <w:rsid w:val="00D10577"/>
    <w:rsid w:val="00D1323B"/>
    <w:rsid w:val="00D14BAE"/>
    <w:rsid w:val="00D1648B"/>
    <w:rsid w:val="00D16819"/>
    <w:rsid w:val="00D175A9"/>
    <w:rsid w:val="00D17DD9"/>
    <w:rsid w:val="00D20AC0"/>
    <w:rsid w:val="00D2321B"/>
    <w:rsid w:val="00D234B9"/>
    <w:rsid w:val="00D23DE4"/>
    <w:rsid w:val="00D26873"/>
    <w:rsid w:val="00D31683"/>
    <w:rsid w:val="00D31E75"/>
    <w:rsid w:val="00D336C8"/>
    <w:rsid w:val="00D339E8"/>
    <w:rsid w:val="00D3662E"/>
    <w:rsid w:val="00D40B1F"/>
    <w:rsid w:val="00D40D75"/>
    <w:rsid w:val="00D449F0"/>
    <w:rsid w:val="00D50C8C"/>
    <w:rsid w:val="00D517A2"/>
    <w:rsid w:val="00D52393"/>
    <w:rsid w:val="00D523E4"/>
    <w:rsid w:val="00D5279D"/>
    <w:rsid w:val="00D52A1B"/>
    <w:rsid w:val="00D52FCC"/>
    <w:rsid w:val="00D53F14"/>
    <w:rsid w:val="00D54BE4"/>
    <w:rsid w:val="00D560DC"/>
    <w:rsid w:val="00D56AAD"/>
    <w:rsid w:val="00D60483"/>
    <w:rsid w:val="00D61ABB"/>
    <w:rsid w:val="00D625C1"/>
    <w:rsid w:val="00D63577"/>
    <w:rsid w:val="00D67FD7"/>
    <w:rsid w:val="00D716F6"/>
    <w:rsid w:val="00D74261"/>
    <w:rsid w:val="00D7441B"/>
    <w:rsid w:val="00D76AB2"/>
    <w:rsid w:val="00D80490"/>
    <w:rsid w:val="00D829AD"/>
    <w:rsid w:val="00D82EE2"/>
    <w:rsid w:val="00D842F9"/>
    <w:rsid w:val="00D8545C"/>
    <w:rsid w:val="00D87788"/>
    <w:rsid w:val="00D877C8"/>
    <w:rsid w:val="00D905D1"/>
    <w:rsid w:val="00D910C2"/>
    <w:rsid w:val="00D9168C"/>
    <w:rsid w:val="00D9189B"/>
    <w:rsid w:val="00D91DA6"/>
    <w:rsid w:val="00D9706F"/>
    <w:rsid w:val="00D972D4"/>
    <w:rsid w:val="00DA195B"/>
    <w:rsid w:val="00DA6B55"/>
    <w:rsid w:val="00DA6B97"/>
    <w:rsid w:val="00DB0015"/>
    <w:rsid w:val="00DB2AAD"/>
    <w:rsid w:val="00DB2D41"/>
    <w:rsid w:val="00DB43DC"/>
    <w:rsid w:val="00DB626D"/>
    <w:rsid w:val="00DB6365"/>
    <w:rsid w:val="00DC0BF1"/>
    <w:rsid w:val="00DC35AA"/>
    <w:rsid w:val="00DC41C3"/>
    <w:rsid w:val="00DD286D"/>
    <w:rsid w:val="00DD2CAF"/>
    <w:rsid w:val="00DD3593"/>
    <w:rsid w:val="00DD64E0"/>
    <w:rsid w:val="00DE0C67"/>
    <w:rsid w:val="00DE0E1F"/>
    <w:rsid w:val="00DE3851"/>
    <w:rsid w:val="00DE6952"/>
    <w:rsid w:val="00DE7E74"/>
    <w:rsid w:val="00DF03D2"/>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5FC"/>
    <w:rsid w:val="00E42789"/>
    <w:rsid w:val="00E43487"/>
    <w:rsid w:val="00E43F59"/>
    <w:rsid w:val="00E464F0"/>
    <w:rsid w:val="00E50BEB"/>
    <w:rsid w:val="00E548FA"/>
    <w:rsid w:val="00E54E8B"/>
    <w:rsid w:val="00E577EB"/>
    <w:rsid w:val="00E57ED4"/>
    <w:rsid w:val="00E6092F"/>
    <w:rsid w:val="00E62049"/>
    <w:rsid w:val="00E629DA"/>
    <w:rsid w:val="00E6469F"/>
    <w:rsid w:val="00E670F8"/>
    <w:rsid w:val="00E67FAC"/>
    <w:rsid w:val="00E7200B"/>
    <w:rsid w:val="00E72CA0"/>
    <w:rsid w:val="00E738CB"/>
    <w:rsid w:val="00E73C88"/>
    <w:rsid w:val="00E74437"/>
    <w:rsid w:val="00E7443D"/>
    <w:rsid w:val="00E80145"/>
    <w:rsid w:val="00E81C3E"/>
    <w:rsid w:val="00E82B6D"/>
    <w:rsid w:val="00E96C22"/>
    <w:rsid w:val="00EA1177"/>
    <w:rsid w:val="00EA118B"/>
    <w:rsid w:val="00EA11B6"/>
    <w:rsid w:val="00EA2181"/>
    <w:rsid w:val="00EA2DD8"/>
    <w:rsid w:val="00EA4475"/>
    <w:rsid w:val="00EA681F"/>
    <w:rsid w:val="00EB04EF"/>
    <w:rsid w:val="00EB3307"/>
    <w:rsid w:val="00EB3823"/>
    <w:rsid w:val="00EB47D8"/>
    <w:rsid w:val="00EB57D3"/>
    <w:rsid w:val="00EB5EFD"/>
    <w:rsid w:val="00EB679F"/>
    <w:rsid w:val="00EB76E4"/>
    <w:rsid w:val="00EB7E57"/>
    <w:rsid w:val="00EC0E65"/>
    <w:rsid w:val="00EC1524"/>
    <w:rsid w:val="00EC2938"/>
    <w:rsid w:val="00EC38EF"/>
    <w:rsid w:val="00EC4CB7"/>
    <w:rsid w:val="00EC50C9"/>
    <w:rsid w:val="00EC58B4"/>
    <w:rsid w:val="00EC5BB2"/>
    <w:rsid w:val="00ED12F0"/>
    <w:rsid w:val="00ED4773"/>
    <w:rsid w:val="00ED664B"/>
    <w:rsid w:val="00ED6A61"/>
    <w:rsid w:val="00EE03BB"/>
    <w:rsid w:val="00EE0B44"/>
    <w:rsid w:val="00EE4BC3"/>
    <w:rsid w:val="00EE5EB6"/>
    <w:rsid w:val="00EE6FE0"/>
    <w:rsid w:val="00EE704A"/>
    <w:rsid w:val="00EE7840"/>
    <w:rsid w:val="00EF006B"/>
    <w:rsid w:val="00EF4C74"/>
    <w:rsid w:val="00EF5268"/>
    <w:rsid w:val="00EF608E"/>
    <w:rsid w:val="00F0044B"/>
    <w:rsid w:val="00F04957"/>
    <w:rsid w:val="00F05807"/>
    <w:rsid w:val="00F07052"/>
    <w:rsid w:val="00F0706C"/>
    <w:rsid w:val="00F11081"/>
    <w:rsid w:val="00F11EBE"/>
    <w:rsid w:val="00F12BA8"/>
    <w:rsid w:val="00F130D0"/>
    <w:rsid w:val="00F14933"/>
    <w:rsid w:val="00F1516A"/>
    <w:rsid w:val="00F21546"/>
    <w:rsid w:val="00F22A26"/>
    <w:rsid w:val="00F24072"/>
    <w:rsid w:val="00F26432"/>
    <w:rsid w:val="00F3197A"/>
    <w:rsid w:val="00F31EDF"/>
    <w:rsid w:val="00F32139"/>
    <w:rsid w:val="00F323C8"/>
    <w:rsid w:val="00F33D56"/>
    <w:rsid w:val="00F34E08"/>
    <w:rsid w:val="00F419F6"/>
    <w:rsid w:val="00F41D91"/>
    <w:rsid w:val="00F42363"/>
    <w:rsid w:val="00F46964"/>
    <w:rsid w:val="00F46F9A"/>
    <w:rsid w:val="00F470FD"/>
    <w:rsid w:val="00F47728"/>
    <w:rsid w:val="00F50F30"/>
    <w:rsid w:val="00F5126A"/>
    <w:rsid w:val="00F5126E"/>
    <w:rsid w:val="00F63756"/>
    <w:rsid w:val="00F6636A"/>
    <w:rsid w:val="00F667C5"/>
    <w:rsid w:val="00F67E31"/>
    <w:rsid w:val="00F70DCE"/>
    <w:rsid w:val="00F718A8"/>
    <w:rsid w:val="00F72183"/>
    <w:rsid w:val="00F725E0"/>
    <w:rsid w:val="00F76D01"/>
    <w:rsid w:val="00F7703D"/>
    <w:rsid w:val="00F81165"/>
    <w:rsid w:val="00F817C3"/>
    <w:rsid w:val="00F81C35"/>
    <w:rsid w:val="00F82981"/>
    <w:rsid w:val="00F8311F"/>
    <w:rsid w:val="00F83248"/>
    <w:rsid w:val="00F83376"/>
    <w:rsid w:val="00F853AE"/>
    <w:rsid w:val="00F93C74"/>
    <w:rsid w:val="00F93DCC"/>
    <w:rsid w:val="00F9435D"/>
    <w:rsid w:val="00F97740"/>
    <w:rsid w:val="00FA2F7B"/>
    <w:rsid w:val="00FA3C97"/>
    <w:rsid w:val="00FA40BF"/>
    <w:rsid w:val="00FA4C8F"/>
    <w:rsid w:val="00FA78C8"/>
    <w:rsid w:val="00FB09FE"/>
    <w:rsid w:val="00FB101D"/>
    <w:rsid w:val="00FB1725"/>
    <w:rsid w:val="00FB3403"/>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E1FE3"/>
    <w:rsid w:val="00FE2037"/>
    <w:rsid w:val="00FE403C"/>
    <w:rsid w:val="00FE6469"/>
    <w:rsid w:val="00FF0661"/>
    <w:rsid w:val="00FF0EFB"/>
    <w:rsid w:val="00FF0FF7"/>
    <w:rsid w:val="00FF10A2"/>
    <w:rsid w:val="00FF1438"/>
    <w:rsid w:val="00FF3A38"/>
    <w:rsid w:val="00FF3C25"/>
    <w:rsid w:val="00FF4FC6"/>
    <w:rsid w:val="00FF5FB1"/>
    <w:rsid w:val="00FF61BD"/>
    <w:rsid w:val="00FF6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77972965">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2781415">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33762542">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808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34A5-DE45-4E0F-8B27-4C530CFD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2011-03-31T13:12:00Z</cp:lastPrinted>
  <dcterms:created xsi:type="dcterms:W3CDTF">2012-03-09T00:36:00Z</dcterms:created>
  <dcterms:modified xsi:type="dcterms:W3CDTF">2012-03-09T00:36:00Z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