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D355CD" w:rsidRDefault="00540BEF" w:rsidP="000452D7">
      <w:pPr>
        <w:tabs>
          <w:tab w:val="left" w:pos="288"/>
          <w:tab w:val="left" w:pos="4752"/>
        </w:tabs>
        <w:spacing w:line="240" w:lineRule="exact"/>
        <w:jc w:val="center"/>
        <w:rPr>
          <w:rFonts w:asciiTheme="minorHAnsi" w:hAnsiTheme="minorHAnsi"/>
          <w:color w:val="auto"/>
        </w:rPr>
      </w:pPr>
      <w:r w:rsidRPr="00D355CD">
        <w:rPr>
          <w:rFonts w:asciiTheme="minorHAnsi" w:hAnsiTheme="minorHAnsi"/>
          <w:color w:val="auto"/>
        </w:rPr>
        <w:t>RECORD OF PROCEEDINGS</w:t>
      </w:r>
    </w:p>
    <w:p w:rsidR="00540BEF" w:rsidRPr="00D355CD" w:rsidRDefault="00540BEF" w:rsidP="000452D7">
      <w:pPr>
        <w:tabs>
          <w:tab w:val="left" w:pos="288"/>
          <w:tab w:val="left" w:pos="4752"/>
        </w:tabs>
        <w:spacing w:line="240" w:lineRule="exact"/>
        <w:jc w:val="center"/>
        <w:rPr>
          <w:rFonts w:asciiTheme="minorHAnsi" w:hAnsiTheme="minorHAnsi"/>
          <w:color w:val="auto"/>
        </w:rPr>
      </w:pPr>
      <w:r w:rsidRPr="00D355CD">
        <w:rPr>
          <w:rFonts w:asciiTheme="minorHAnsi" w:hAnsiTheme="minorHAnsi"/>
          <w:color w:val="auto"/>
        </w:rPr>
        <w:t>PHYSICAL DISABILITY BOARD OF REVIEW</w:t>
      </w:r>
    </w:p>
    <w:p w:rsidR="00540BEF" w:rsidRPr="00D355CD" w:rsidRDefault="00540BEF" w:rsidP="000452D7">
      <w:pPr>
        <w:tabs>
          <w:tab w:val="left" w:pos="288"/>
          <w:tab w:val="left" w:pos="4752"/>
        </w:tabs>
        <w:spacing w:line="240" w:lineRule="exact"/>
        <w:jc w:val="both"/>
        <w:rPr>
          <w:rFonts w:asciiTheme="minorHAnsi" w:hAnsiTheme="minorHAnsi"/>
          <w:caps/>
          <w:color w:val="auto"/>
        </w:rPr>
      </w:pPr>
    </w:p>
    <w:p w:rsidR="00F629C0" w:rsidRPr="00D355CD" w:rsidRDefault="00F629C0" w:rsidP="00F629C0">
      <w:pPr>
        <w:tabs>
          <w:tab w:val="left" w:pos="288"/>
          <w:tab w:val="left" w:pos="4752"/>
          <w:tab w:val="left" w:pos="5310"/>
          <w:tab w:val="left" w:pos="9270"/>
        </w:tabs>
        <w:spacing w:line="240" w:lineRule="exact"/>
        <w:jc w:val="both"/>
        <w:rPr>
          <w:rFonts w:asciiTheme="minorHAnsi" w:hAnsiTheme="minorHAnsi"/>
          <w:caps/>
          <w:color w:val="auto"/>
        </w:rPr>
      </w:pPr>
      <w:r w:rsidRPr="00D355CD">
        <w:rPr>
          <w:rFonts w:asciiTheme="minorHAnsi" w:hAnsiTheme="minorHAnsi"/>
          <w:caps/>
          <w:color w:val="auto"/>
        </w:rPr>
        <w:t xml:space="preserve">NAME:  </w:t>
      </w:r>
      <w:r w:rsidR="00BE6F2C">
        <w:rPr>
          <w:rFonts w:asciiTheme="minorHAnsi" w:hAnsiTheme="minorHAnsi"/>
          <w:caps/>
          <w:color w:val="auto"/>
        </w:rPr>
        <w:t>XXXXXXX</w:t>
      </w:r>
      <w:r w:rsidR="00467A21" w:rsidRPr="00D355CD">
        <w:rPr>
          <w:rFonts w:asciiTheme="minorHAnsi" w:hAnsiTheme="minorHAnsi"/>
          <w:caps/>
          <w:color w:val="auto"/>
        </w:rPr>
        <w:t xml:space="preserve"> </w:t>
      </w:r>
      <w:r w:rsidRPr="00D355CD">
        <w:rPr>
          <w:rFonts w:asciiTheme="minorHAnsi" w:hAnsiTheme="minorHAnsi"/>
          <w:caps/>
          <w:color w:val="auto"/>
        </w:rPr>
        <w:tab/>
      </w:r>
      <w:r w:rsidRPr="00D355CD">
        <w:rPr>
          <w:rFonts w:asciiTheme="minorHAnsi" w:hAnsiTheme="minorHAnsi"/>
          <w:caps/>
          <w:color w:val="auto"/>
        </w:rPr>
        <w:tab/>
      </w:r>
      <w:r w:rsidR="004B3837" w:rsidRPr="00D355CD">
        <w:rPr>
          <w:rFonts w:asciiTheme="minorHAnsi" w:hAnsiTheme="minorHAnsi"/>
          <w:caps/>
          <w:color w:val="auto"/>
        </w:rPr>
        <w:t xml:space="preserve">      </w:t>
      </w:r>
      <w:r w:rsidRPr="00D355CD">
        <w:rPr>
          <w:rFonts w:asciiTheme="minorHAnsi" w:hAnsiTheme="minorHAnsi"/>
          <w:caps/>
          <w:color w:val="auto"/>
        </w:rPr>
        <w:t xml:space="preserve">BRANCH OF SERVICE:  </w:t>
      </w:r>
      <w:r w:rsidR="00467A21" w:rsidRPr="00D355CD">
        <w:rPr>
          <w:rFonts w:asciiTheme="minorHAnsi" w:hAnsiTheme="minorHAnsi"/>
          <w:caps/>
          <w:color w:val="auto"/>
        </w:rPr>
        <w:t>mARINE CORPS</w:t>
      </w:r>
    </w:p>
    <w:p w:rsidR="00F629C0" w:rsidRPr="00D355CD" w:rsidRDefault="00F629C0" w:rsidP="00F629C0">
      <w:pPr>
        <w:tabs>
          <w:tab w:val="left" w:pos="288"/>
          <w:tab w:val="left" w:pos="4752"/>
          <w:tab w:val="left" w:pos="5310"/>
        </w:tabs>
        <w:spacing w:line="240" w:lineRule="exact"/>
        <w:ind w:right="-900"/>
        <w:jc w:val="both"/>
        <w:rPr>
          <w:rFonts w:asciiTheme="minorHAnsi" w:hAnsiTheme="minorHAnsi"/>
          <w:caps/>
          <w:color w:val="auto"/>
        </w:rPr>
      </w:pPr>
      <w:r w:rsidRPr="00D355CD">
        <w:rPr>
          <w:rFonts w:asciiTheme="minorHAnsi" w:hAnsiTheme="minorHAnsi"/>
          <w:caps/>
          <w:color w:val="auto"/>
        </w:rPr>
        <w:t>CASE NUMBER:  PD</w:t>
      </w:r>
      <w:r w:rsidR="00467A21" w:rsidRPr="00D355CD">
        <w:rPr>
          <w:rFonts w:asciiTheme="minorHAnsi" w:hAnsiTheme="minorHAnsi"/>
          <w:caps/>
          <w:color w:val="auto"/>
        </w:rPr>
        <w:t>200900730</w:t>
      </w:r>
      <w:r w:rsidRPr="00D355CD">
        <w:rPr>
          <w:rFonts w:asciiTheme="minorHAnsi" w:hAnsiTheme="minorHAnsi"/>
          <w:caps/>
          <w:color w:val="auto"/>
        </w:rPr>
        <w:tab/>
      </w:r>
      <w:r w:rsidRPr="00D355CD">
        <w:rPr>
          <w:rFonts w:asciiTheme="minorHAnsi" w:hAnsiTheme="minorHAnsi"/>
          <w:caps/>
          <w:color w:val="auto"/>
        </w:rPr>
        <w:tab/>
      </w:r>
      <w:r w:rsidR="003C1726" w:rsidRPr="00D355CD">
        <w:rPr>
          <w:rFonts w:asciiTheme="minorHAnsi" w:hAnsiTheme="minorHAnsi"/>
          <w:caps/>
          <w:color w:val="auto"/>
        </w:rPr>
        <w:tab/>
        <w:t xml:space="preserve">          </w:t>
      </w:r>
      <w:r w:rsidRPr="00D355CD">
        <w:rPr>
          <w:rFonts w:asciiTheme="minorHAnsi" w:hAnsiTheme="minorHAnsi"/>
          <w:caps/>
          <w:color w:val="auto"/>
        </w:rPr>
        <w:t>SEPARATION DATE:  200</w:t>
      </w:r>
      <w:r w:rsidR="00467A21" w:rsidRPr="00D355CD">
        <w:rPr>
          <w:rFonts w:asciiTheme="minorHAnsi" w:hAnsiTheme="minorHAnsi"/>
          <w:caps/>
          <w:color w:val="auto"/>
        </w:rPr>
        <w:t>90130</w:t>
      </w:r>
    </w:p>
    <w:p w:rsidR="00F629C0" w:rsidRPr="00D355CD" w:rsidRDefault="00F629C0" w:rsidP="00F629C0">
      <w:pPr>
        <w:tabs>
          <w:tab w:val="left" w:pos="288"/>
          <w:tab w:val="left" w:pos="5310"/>
        </w:tabs>
        <w:spacing w:line="240" w:lineRule="exact"/>
        <w:jc w:val="both"/>
        <w:rPr>
          <w:rFonts w:asciiTheme="minorHAnsi" w:hAnsiTheme="minorHAnsi"/>
          <w:color w:val="auto"/>
        </w:rPr>
      </w:pPr>
      <w:r w:rsidRPr="00D355CD">
        <w:rPr>
          <w:rFonts w:asciiTheme="minorHAnsi" w:hAnsiTheme="minorHAnsi"/>
          <w:caps/>
          <w:color w:val="auto"/>
        </w:rPr>
        <w:t>BOARD DATE:  2011</w:t>
      </w:r>
      <w:r w:rsidR="002E4AFF" w:rsidRPr="00D355CD">
        <w:rPr>
          <w:rFonts w:asciiTheme="minorHAnsi" w:hAnsiTheme="minorHAnsi"/>
          <w:caps/>
          <w:color w:val="auto"/>
        </w:rPr>
        <w:t>0601</w:t>
      </w:r>
    </w:p>
    <w:p w:rsidR="00D560DC" w:rsidRPr="00D355CD" w:rsidRDefault="00D560DC" w:rsidP="000452D7">
      <w:pPr>
        <w:tabs>
          <w:tab w:val="left" w:pos="288"/>
          <w:tab w:val="left" w:pos="4752"/>
        </w:tabs>
        <w:spacing w:line="240" w:lineRule="exact"/>
        <w:jc w:val="both"/>
        <w:rPr>
          <w:rFonts w:asciiTheme="minorHAnsi" w:hAnsiTheme="minorHAnsi"/>
          <w:b/>
          <w:caps/>
          <w:color w:val="auto"/>
          <w:u w:val="single"/>
        </w:rPr>
      </w:pPr>
      <w:r w:rsidRPr="00D355CD">
        <w:rPr>
          <w:rFonts w:asciiTheme="minorHAnsi" w:hAnsiTheme="minorHAnsi"/>
          <w:b/>
          <w:color w:val="auto"/>
          <w:u w:val="single"/>
        </w:rPr>
        <w:t>______________________________________________________________________________</w:t>
      </w:r>
    </w:p>
    <w:p w:rsidR="00106AD8" w:rsidRPr="00D355CD" w:rsidRDefault="00106AD8" w:rsidP="000452D7">
      <w:pPr>
        <w:tabs>
          <w:tab w:val="left" w:pos="288"/>
          <w:tab w:val="left" w:pos="4752"/>
        </w:tabs>
        <w:spacing w:line="240" w:lineRule="exact"/>
        <w:rPr>
          <w:b/>
          <w:color w:val="auto"/>
          <w:szCs w:val="24"/>
        </w:rPr>
      </w:pPr>
    </w:p>
    <w:p w:rsidR="004B3837" w:rsidRPr="00D355CD" w:rsidRDefault="002C6E5B" w:rsidP="000452D7">
      <w:pPr>
        <w:tabs>
          <w:tab w:val="left" w:pos="288"/>
          <w:tab w:val="left" w:pos="4752"/>
        </w:tabs>
        <w:spacing w:line="240" w:lineRule="exact"/>
        <w:jc w:val="both"/>
        <w:rPr>
          <w:rFonts w:asciiTheme="minorHAnsi" w:hAnsiTheme="minorHAnsi"/>
          <w:color w:val="auto"/>
        </w:rPr>
      </w:pPr>
      <w:r w:rsidRPr="00D355CD">
        <w:rPr>
          <w:rFonts w:asciiTheme="minorHAnsi" w:hAnsiTheme="minorHAnsi"/>
          <w:color w:val="auto"/>
          <w:u w:val="single"/>
        </w:rPr>
        <w:t>SUMMARY OF CASE</w:t>
      </w:r>
      <w:r w:rsidRPr="00D355CD">
        <w:rPr>
          <w:rFonts w:asciiTheme="minorHAnsi" w:hAnsiTheme="minorHAnsi"/>
          <w:color w:val="auto"/>
        </w:rPr>
        <w:t xml:space="preserve">:  </w:t>
      </w:r>
      <w:r w:rsidR="009759C2" w:rsidRPr="00D355CD">
        <w:rPr>
          <w:rFonts w:asciiTheme="minorHAnsi" w:hAnsiTheme="minorHAnsi"/>
          <w:color w:val="auto"/>
        </w:rPr>
        <w:t>Data extracted from the available evidence of record reflects that this covered individual (CI)</w:t>
      </w:r>
      <w:r w:rsidR="00570754" w:rsidRPr="00D355CD">
        <w:rPr>
          <w:rFonts w:asciiTheme="minorHAnsi" w:hAnsiTheme="minorHAnsi"/>
          <w:color w:val="auto"/>
        </w:rPr>
        <w:t xml:space="preserve"> </w:t>
      </w:r>
      <w:r w:rsidRPr="00D355CD">
        <w:rPr>
          <w:rFonts w:asciiTheme="minorHAnsi" w:hAnsiTheme="minorHAnsi"/>
          <w:color w:val="auto"/>
          <w:szCs w:val="24"/>
        </w:rPr>
        <w:t xml:space="preserve">was </w:t>
      </w:r>
      <w:r w:rsidR="00E322F7" w:rsidRPr="00D355CD">
        <w:rPr>
          <w:rFonts w:asciiTheme="minorHAnsi" w:hAnsiTheme="minorHAnsi"/>
          <w:color w:val="auto"/>
          <w:szCs w:val="24"/>
        </w:rPr>
        <w:t>an active duty</w:t>
      </w:r>
      <w:r w:rsidR="00806504" w:rsidRPr="00D355CD">
        <w:rPr>
          <w:rFonts w:asciiTheme="minorHAnsi" w:hAnsiTheme="minorHAnsi"/>
          <w:color w:val="auto"/>
          <w:szCs w:val="24"/>
        </w:rPr>
        <w:t xml:space="preserve"> </w:t>
      </w:r>
      <w:r w:rsidR="00E05DC8" w:rsidRPr="00D355CD">
        <w:rPr>
          <w:rFonts w:asciiTheme="minorHAnsi" w:hAnsiTheme="minorHAnsi"/>
          <w:color w:val="auto"/>
          <w:szCs w:val="24"/>
        </w:rPr>
        <w:t>Cpl</w:t>
      </w:r>
      <w:r w:rsidR="00705C40" w:rsidRPr="00D355CD">
        <w:rPr>
          <w:rFonts w:asciiTheme="minorHAnsi" w:hAnsiTheme="minorHAnsi"/>
          <w:color w:val="auto"/>
          <w:szCs w:val="24"/>
        </w:rPr>
        <w:t xml:space="preserve"> (</w:t>
      </w:r>
      <w:r w:rsidR="001F03FD" w:rsidRPr="00D355CD">
        <w:rPr>
          <w:rFonts w:asciiTheme="minorHAnsi" w:hAnsiTheme="minorHAnsi"/>
          <w:color w:val="auto"/>
          <w:szCs w:val="24"/>
        </w:rPr>
        <w:t>2676</w:t>
      </w:r>
      <w:r w:rsidR="00C75F3D" w:rsidRPr="00D355CD">
        <w:rPr>
          <w:rFonts w:asciiTheme="minorHAnsi" w:hAnsiTheme="minorHAnsi"/>
          <w:color w:val="auto"/>
          <w:szCs w:val="24"/>
        </w:rPr>
        <w:t>/</w:t>
      </w:r>
      <w:r w:rsidR="001F03FD" w:rsidRPr="00D355CD">
        <w:rPr>
          <w:rFonts w:asciiTheme="minorHAnsi" w:hAnsiTheme="minorHAnsi"/>
          <w:color w:val="auto"/>
          <w:szCs w:val="24"/>
        </w:rPr>
        <w:t>Linguist</w:t>
      </w:r>
      <w:r w:rsidR="00E322F7" w:rsidRPr="00D355CD">
        <w:rPr>
          <w:rFonts w:asciiTheme="minorHAnsi" w:hAnsiTheme="minorHAnsi"/>
          <w:color w:val="auto"/>
          <w:szCs w:val="24"/>
        </w:rPr>
        <w:t xml:space="preserve">) </w:t>
      </w:r>
      <w:r w:rsidRPr="00D355CD">
        <w:rPr>
          <w:rFonts w:asciiTheme="minorHAnsi" w:hAnsiTheme="minorHAnsi"/>
          <w:color w:val="auto"/>
          <w:szCs w:val="24"/>
        </w:rPr>
        <w:t>medically separated from the</w:t>
      </w:r>
      <w:r w:rsidR="003C77AF" w:rsidRPr="00D355CD">
        <w:rPr>
          <w:rFonts w:asciiTheme="minorHAnsi" w:hAnsiTheme="minorHAnsi"/>
          <w:color w:val="auto"/>
          <w:szCs w:val="24"/>
        </w:rPr>
        <w:t xml:space="preserve"> Marine</w:t>
      </w:r>
      <w:r w:rsidR="00CF14F0">
        <w:rPr>
          <w:rFonts w:asciiTheme="minorHAnsi" w:hAnsiTheme="minorHAnsi"/>
          <w:color w:val="auto"/>
          <w:szCs w:val="24"/>
        </w:rPr>
        <w:t xml:space="preserve"> Corp</w:t>
      </w:r>
      <w:r w:rsidR="003C77AF" w:rsidRPr="00D355CD">
        <w:rPr>
          <w:rFonts w:asciiTheme="minorHAnsi" w:hAnsiTheme="minorHAnsi"/>
          <w:color w:val="auto"/>
          <w:szCs w:val="24"/>
        </w:rPr>
        <w:t xml:space="preserve">s </w:t>
      </w:r>
      <w:r w:rsidR="00BB02BF" w:rsidRPr="00D355CD">
        <w:rPr>
          <w:rFonts w:asciiTheme="minorHAnsi" w:hAnsiTheme="minorHAnsi"/>
          <w:color w:val="auto"/>
          <w:szCs w:val="24"/>
        </w:rPr>
        <w:t xml:space="preserve">in </w:t>
      </w:r>
      <w:r w:rsidRPr="00D355CD">
        <w:rPr>
          <w:rFonts w:asciiTheme="minorHAnsi" w:hAnsiTheme="minorHAnsi"/>
          <w:color w:val="auto"/>
          <w:szCs w:val="24"/>
        </w:rPr>
        <w:t>200</w:t>
      </w:r>
      <w:r w:rsidR="003C77AF" w:rsidRPr="00D355CD">
        <w:rPr>
          <w:rFonts w:asciiTheme="minorHAnsi" w:hAnsiTheme="minorHAnsi"/>
          <w:color w:val="auto"/>
          <w:szCs w:val="24"/>
        </w:rPr>
        <w:t>9</w:t>
      </w:r>
      <w:r w:rsidR="003F1206" w:rsidRPr="00D355CD">
        <w:rPr>
          <w:rFonts w:asciiTheme="minorHAnsi" w:hAnsiTheme="minorHAnsi"/>
          <w:color w:val="auto"/>
          <w:szCs w:val="24"/>
        </w:rPr>
        <w:t>.</w:t>
      </w:r>
      <w:r w:rsidR="003C77AF" w:rsidRPr="00D355CD">
        <w:rPr>
          <w:rFonts w:asciiTheme="minorHAnsi" w:hAnsiTheme="minorHAnsi"/>
          <w:color w:val="auto"/>
          <w:szCs w:val="24"/>
        </w:rPr>
        <w:t xml:space="preserve">  </w:t>
      </w:r>
      <w:r w:rsidRPr="00D355CD">
        <w:rPr>
          <w:rFonts w:asciiTheme="minorHAnsi" w:hAnsiTheme="minorHAnsi"/>
          <w:color w:val="auto"/>
          <w:szCs w:val="24"/>
        </w:rPr>
        <w:t xml:space="preserve">The medical basis for the separation was </w:t>
      </w:r>
      <w:r w:rsidR="00BB02BF" w:rsidRPr="00D355CD">
        <w:rPr>
          <w:rFonts w:asciiTheme="minorHAnsi" w:hAnsiTheme="minorHAnsi"/>
          <w:color w:val="auto"/>
          <w:szCs w:val="24"/>
        </w:rPr>
        <w:t>d</w:t>
      </w:r>
      <w:r w:rsidR="003C77AF" w:rsidRPr="00D355CD">
        <w:rPr>
          <w:rFonts w:asciiTheme="minorHAnsi" w:hAnsiTheme="minorHAnsi"/>
          <w:color w:val="auto"/>
          <w:szCs w:val="24"/>
        </w:rPr>
        <w:t xml:space="preserve">egenerative </w:t>
      </w:r>
      <w:r w:rsidR="00BB02BF" w:rsidRPr="00D355CD">
        <w:rPr>
          <w:rFonts w:asciiTheme="minorHAnsi" w:hAnsiTheme="minorHAnsi"/>
          <w:color w:val="auto"/>
          <w:szCs w:val="24"/>
        </w:rPr>
        <w:t>d</w:t>
      </w:r>
      <w:r w:rsidR="003C77AF" w:rsidRPr="00D355CD">
        <w:rPr>
          <w:rFonts w:asciiTheme="minorHAnsi" w:hAnsiTheme="minorHAnsi"/>
          <w:color w:val="auto"/>
          <w:szCs w:val="24"/>
        </w:rPr>
        <w:t xml:space="preserve">isk </w:t>
      </w:r>
      <w:r w:rsidR="00BB02BF" w:rsidRPr="00D355CD">
        <w:rPr>
          <w:rFonts w:asciiTheme="minorHAnsi" w:hAnsiTheme="minorHAnsi"/>
          <w:color w:val="auto"/>
          <w:szCs w:val="24"/>
        </w:rPr>
        <w:t>d</w:t>
      </w:r>
      <w:r w:rsidR="003C77AF" w:rsidRPr="00D355CD">
        <w:rPr>
          <w:rFonts w:asciiTheme="minorHAnsi" w:hAnsiTheme="minorHAnsi"/>
          <w:color w:val="auto"/>
          <w:szCs w:val="24"/>
        </w:rPr>
        <w:t>isease (DDD)</w:t>
      </w:r>
      <w:r w:rsidR="00BB02BF" w:rsidRPr="00D355CD">
        <w:rPr>
          <w:rFonts w:asciiTheme="minorHAnsi" w:hAnsiTheme="minorHAnsi"/>
          <w:color w:val="auto"/>
          <w:szCs w:val="24"/>
        </w:rPr>
        <w:t>,</w:t>
      </w:r>
      <w:r w:rsidR="003C77AF" w:rsidRPr="00D355CD">
        <w:rPr>
          <w:rFonts w:asciiTheme="minorHAnsi" w:hAnsiTheme="minorHAnsi"/>
          <w:color w:val="auto"/>
          <w:szCs w:val="24"/>
        </w:rPr>
        <w:t xml:space="preserve"> L4/L5 and L5/S1.</w:t>
      </w:r>
      <w:r w:rsidR="00BB02BF" w:rsidRPr="00D355CD">
        <w:rPr>
          <w:rFonts w:asciiTheme="minorHAnsi" w:hAnsiTheme="minorHAnsi"/>
          <w:color w:val="auto"/>
          <w:szCs w:val="24"/>
        </w:rPr>
        <w:t xml:space="preserve">  </w:t>
      </w:r>
      <w:r w:rsidR="00806504" w:rsidRPr="00D355CD">
        <w:rPr>
          <w:rFonts w:asciiTheme="minorHAnsi" w:hAnsiTheme="minorHAnsi"/>
          <w:color w:val="auto"/>
          <w:szCs w:val="24"/>
        </w:rPr>
        <w:t>He did not respond adequately to treatment and was unable to perform within his military occupational specialty,</w:t>
      </w:r>
      <w:r w:rsidR="004B3837" w:rsidRPr="00D355CD">
        <w:rPr>
          <w:rFonts w:asciiTheme="minorHAnsi" w:hAnsiTheme="minorHAnsi"/>
          <w:color w:val="auto"/>
          <w:szCs w:val="24"/>
        </w:rPr>
        <w:t xml:space="preserve"> or </w:t>
      </w:r>
      <w:r w:rsidR="00806504" w:rsidRPr="00D355CD">
        <w:rPr>
          <w:rFonts w:asciiTheme="minorHAnsi" w:hAnsiTheme="minorHAnsi"/>
          <w:color w:val="auto"/>
          <w:szCs w:val="24"/>
        </w:rPr>
        <w:t xml:space="preserve">participate in a physical fitness test.  He was placed on </w:t>
      </w:r>
      <w:r w:rsidR="00CF14F0" w:rsidRPr="00D355CD">
        <w:rPr>
          <w:rFonts w:asciiTheme="minorHAnsi" w:hAnsiTheme="minorHAnsi"/>
          <w:color w:val="auto"/>
          <w:szCs w:val="24"/>
        </w:rPr>
        <w:t>limited d</w:t>
      </w:r>
      <w:r w:rsidR="00806504" w:rsidRPr="00D355CD">
        <w:rPr>
          <w:rFonts w:asciiTheme="minorHAnsi" w:hAnsiTheme="minorHAnsi"/>
          <w:color w:val="auto"/>
          <w:szCs w:val="24"/>
        </w:rPr>
        <w:t xml:space="preserve">uty and underwent a Medical Evaluation Board (MEB).  </w:t>
      </w:r>
      <w:r w:rsidR="00E05DC8" w:rsidRPr="00D355CD">
        <w:rPr>
          <w:rFonts w:asciiTheme="minorHAnsi" w:hAnsiTheme="minorHAnsi"/>
          <w:color w:val="auto"/>
          <w:szCs w:val="24"/>
        </w:rPr>
        <w:t>DDD L4/L5 and L5/S1 was</w:t>
      </w:r>
      <w:r w:rsidR="00806504" w:rsidRPr="00D355CD">
        <w:rPr>
          <w:rFonts w:asciiTheme="minorHAnsi" w:hAnsiTheme="minorHAnsi"/>
          <w:color w:val="auto"/>
          <w:szCs w:val="24"/>
        </w:rPr>
        <w:t xml:space="preserve"> forwarded to the Physical Evaluation Board (PEB) as medically unacceptable IAW SECNAVINST 1850.4E.</w:t>
      </w:r>
      <w:r w:rsidR="00E05DC8" w:rsidRPr="00D355CD">
        <w:rPr>
          <w:rFonts w:asciiTheme="minorHAnsi" w:hAnsiTheme="minorHAnsi"/>
          <w:color w:val="auto"/>
          <w:szCs w:val="24"/>
        </w:rPr>
        <w:t xml:space="preserve"> </w:t>
      </w:r>
      <w:r w:rsidR="004B3837" w:rsidRPr="00D355CD">
        <w:rPr>
          <w:rFonts w:asciiTheme="minorHAnsi" w:hAnsiTheme="minorHAnsi"/>
          <w:color w:val="auto"/>
          <w:szCs w:val="24"/>
        </w:rPr>
        <w:t xml:space="preserve"> </w:t>
      </w:r>
      <w:r w:rsidR="00E05DC8" w:rsidRPr="00D355CD">
        <w:rPr>
          <w:rFonts w:asciiTheme="minorHAnsi" w:hAnsiTheme="minorHAnsi"/>
          <w:color w:val="auto"/>
          <w:szCs w:val="24"/>
        </w:rPr>
        <w:t xml:space="preserve">The </w:t>
      </w:r>
      <w:r w:rsidR="00FD4E9E">
        <w:rPr>
          <w:rFonts w:asciiTheme="minorHAnsi" w:hAnsiTheme="minorHAnsi"/>
          <w:color w:val="auto"/>
          <w:szCs w:val="24"/>
        </w:rPr>
        <w:t>I</w:t>
      </w:r>
      <w:r w:rsidR="00E05DC8" w:rsidRPr="00D355CD">
        <w:rPr>
          <w:rFonts w:asciiTheme="minorHAnsi" w:hAnsiTheme="minorHAnsi"/>
          <w:color w:val="auto"/>
          <w:szCs w:val="24"/>
        </w:rPr>
        <w:t xml:space="preserve">nformal PEB (IPEB) </w:t>
      </w:r>
      <w:r w:rsidR="001B6043" w:rsidRPr="00D355CD">
        <w:rPr>
          <w:rFonts w:asciiTheme="minorHAnsi" w:hAnsiTheme="minorHAnsi"/>
          <w:color w:val="auto"/>
          <w:szCs w:val="24"/>
        </w:rPr>
        <w:t xml:space="preserve">determined the CI was fit for continued service.  </w:t>
      </w:r>
      <w:r w:rsidR="00E05DC8" w:rsidRPr="00D355CD">
        <w:rPr>
          <w:rFonts w:asciiTheme="minorHAnsi" w:hAnsiTheme="minorHAnsi"/>
          <w:color w:val="auto"/>
        </w:rPr>
        <w:t xml:space="preserve">The CI appealed to </w:t>
      </w:r>
      <w:r w:rsidR="009055A4" w:rsidRPr="00D355CD">
        <w:rPr>
          <w:rFonts w:asciiTheme="minorHAnsi" w:hAnsiTheme="minorHAnsi"/>
          <w:color w:val="auto"/>
        </w:rPr>
        <w:t xml:space="preserve">the </w:t>
      </w:r>
      <w:r w:rsidR="00E05DC8" w:rsidRPr="00D355CD">
        <w:rPr>
          <w:rFonts w:asciiTheme="minorHAnsi" w:hAnsiTheme="minorHAnsi"/>
          <w:color w:val="auto"/>
        </w:rPr>
        <w:t xml:space="preserve">Formal PEB </w:t>
      </w:r>
      <w:r w:rsidR="00FD4E9E">
        <w:rPr>
          <w:rFonts w:asciiTheme="minorHAnsi" w:hAnsiTheme="minorHAnsi"/>
          <w:color w:val="auto"/>
        </w:rPr>
        <w:t xml:space="preserve">(FPEB) </w:t>
      </w:r>
      <w:r w:rsidR="001B6043" w:rsidRPr="00D355CD">
        <w:rPr>
          <w:rFonts w:asciiTheme="minorHAnsi" w:hAnsiTheme="minorHAnsi"/>
          <w:color w:val="auto"/>
        </w:rPr>
        <w:t xml:space="preserve">contending his back condition was unfitting and warranted a rating of 20%.  The FPEB </w:t>
      </w:r>
      <w:r w:rsidR="001B6043" w:rsidRPr="00D355CD">
        <w:rPr>
          <w:rFonts w:asciiTheme="minorHAnsi" w:hAnsiTheme="minorHAnsi"/>
          <w:color w:val="auto"/>
          <w:szCs w:val="24"/>
        </w:rPr>
        <w:t>adjudicated the DDD L4/L5 and L5/S1 condition as unfitting, rated 10%</w:t>
      </w:r>
      <w:r w:rsidR="004B3837" w:rsidRPr="00D355CD">
        <w:rPr>
          <w:rFonts w:asciiTheme="minorHAnsi" w:hAnsiTheme="minorHAnsi"/>
          <w:color w:val="auto"/>
          <w:szCs w:val="24"/>
        </w:rPr>
        <w:t xml:space="preserve">.  </w:t>
      </w:r>
      <w:r w:rsidR="001B6043" w:rsidRPr="00D355CD">
        <w:rPr>
          <w:rFonts w:asciiTheme="minorHAnsi" w:hAnsiTheme="minorHAnsi"/>
          <w:color w:val="auto"/>
          <w:szCs w:val="24"/>
        </w:rPr>
        <w:t xml:space="preserve">The CI </w:t>
      </w:r>
      <w:r w:rsidR="00E05DC8" w:rsidRPr="00D355CD">
        <w:rPr>
          <w:rFonts w:asciiTheme="minorHAnsi" w:hAnsiTheme="minorHAnsi"/>
          <w:color w:val="auto"/>
        </w:rPr>
        <w:t xml:space="preserve">was then medically separated with </w:t>
      </w:r>
      <w:r w:rsidR="003C1726" w:rsidRPr="00D355CD">
        <w:rPr>
          <w:rFonts w:asciiTheme="minorHAnsi" w:hAnsiTheme="minorHAnsi"/>
          <w:color w:val="auto"/>
        </w:rPr>
        <w:t>10% disability rating.</w:t>
      </w:r>
    </w:p>
    <w:p w:rsidR="00A83C15" w:rsidRPr="00D355CD" w:rsidRDefault="00A83C15" w:rsidP="000452D7">
      <w:pPr>
        <w:tabs>
          <w:tab w:val="left" w:pos="288"/>
          <w:tab w:val="left" w:pos="4752"/>
        </w:tabs>
        <w:spacing w:line="240" w:lineRule="exact"/>
        <w:jc w:val="both"/>
        <w:rPr>
          <w:rFonts w:asciiTheme="minorHAnsi" w:hAnsiTheme="minorHAnsi"/>
          <w:b/>
          <w:caps/>
          <w:color w:val="auto"/>
          <w:u w:val="single"/>
        </w:rPr>
      </w:pPr>
      <w:r w:rsidRPr="00D355CD">
        <w:rPr>
          <w:rFonts w:asciiTheme="minorHAnsi" w:hAnsiTheme="minorHAnsi"/>
          <w:b/>
          <w:color w:val="auto"/>
          <w:u w:val="single"/>
        </w:rPr>
        <w:t>______________________________________________________________________________</w:t>
      </w:r>
    </w:p>
    <w:p w:rsidR="00106AD8" w:rsidRPr="00D355CD" w:rsidRDefault="00106AD8" w:rsidP="000452D7">
      <w:pPr>
        <w:tabs>
          <w:tab w:val="left" w:pos="288"/>
          <w:tab w:val="left" w:pos="4752"/>
        </w:tabs>
        <w:spacing w:line="240" w:lineRule="exact"/>
        <w:rPr>
          <w:b/>
          <w:color w:val="auto"/>
          <w:szCs w:val="24"/>
        </w:rPr>
      </w:pPr>
    </w:p>
    <w:p w:rsidR="00E05DC8" w:rsidRPr="00D355CD" w:rsidRDefault="002C6E5B" w:rsidP="00E05DC8">
      <w:pPr>
        <w:tabs>
          <w:tab w:val="left" w:pos="288"/>
          <w:tab w:val="left" w:pos="4752"/>
        </w:tabs>
        <w:spacing w:line="240" w:lineRule="exact"/>
        <w:jc w:val="both"/>
        <w:rPr>
          <w:rFonts w:eastAsiaTheme="minorHAnsi" w:cstheme="minorBidi"/>
          <w:color w:val="auto"/>
          <w:szCs w:val="24"/>
        </w:rPr>
      </w:pPr>
      <w:r w:rsidRPr="00D355CD">
        <w:rPr>
          <w:rFonts w:asciiTheme="minorHAnsi" w:hAnsiTheme="minorHAnsi"/>
          <w:color w:val="auto"/>
          <w:u w:val="single"/>
        </w:rPr>
        <w:t>CI CONTENTION</w:t>
      </w:r>
      <w:r w:rsidRPr="00D355CD">
        <w:rPr>
          <w:rFonts w:asciiTheme="minorHAnsi" w:hAnsiTheme="minorHAnsi"/>
          <w:color w:val="auto"/>
        </w:rPr>
        <w:t xml:space="preserve">: </w:t>
      </w:r>
      <w:r w:rsidR="00E05DC8" w:rsidRPr="00D355CD">
        <w:rPr>
          <w:rFonts w:asciiTheme="minorHAnsi" w:hAnsiTheme="minorHAnsi"/>
          <w:color w:val="auto"/>
        </w:rPr>
        <w:t xml:space="preserve"> The CI </w:t>
      </w:r>
      <w:r w:rsidR="00E05DC8" w:rsidRPr="00D355CD">
        <w:rPr>
          <w:rFonts w:eastAsiaTheme="minorHAnsi" w:cstheme="minorBidi"/>
          <w:color w:val="auto"/>
          <w:szCs w:val="24"/>
        </w:rPr>
        <w:t>elaborates no specific contentions regarding rating or coding and mentions no additionally contended conditions.</w:t>
      </w:r>
    </w:p>
    <w:p w:rsidR="00A83C15" w:rsidRPr="00D355CD" w:rsidRDefault="00A83C15" w:rsidP="000452D7">
      <w:pPr>
        <w:tabs>
          <w:tab w:val="left" w:pos="288"/>
          <w:tab w:val="left" w:pos="4752"/>
        </w:tabs>
        <w:spacing w:line="240" w:lineRule="exact"/>
        <w:jc w:val="both"/>
        <w:rPr>
          <w:rFonts w:asciiTheme="minorHAnsi" w:hAnsiTheme="minorHAnsi"/>
          <w:b/>
          <w:caps/>
          <w:color w:val="auto"/>
          <w:u w:val="single"/>
        </w:rPr>
      </w:pPr>
      <w:r w:rsidRPr="00D355CD">
        <w:rPr>
          <w:rFonts w:asciiTheme="minorHAnsi" w:hAnsiTheme="minorHAnsi"/>
          <w:b/>
          <w:color w:val="auto"/>
          <w:u w:val="single"/>
        </w:rPr>
        <w:t>______________________________________________________________________________</w:t>
      </w:r>
    </w:p>
    <w:p w:rsidR="001B6043" w:rsidRPr="00D355CD" w:rsidRDefault="001B6043">
      <w:pPr>
        <w:rPr>
          <w:rFonts w:asciiTheme="minorHAnsi" w:hAnsiTheme="minorHAnsi"/>
          <w:b/>
          <w:color w:val="auto"/>
          <w:szCs w:val="24"/>
          <w:u w:val="single"/>
        </w:rPr>
      </w:pPr>
    </w:p>
    <w:p w:rsidR="002338CA" w:rsidRPr="00D355CD" w:rsidRDefault="007F0AB7" w:rsidP="00506688">
      <w:pPr>
        <w:rPr>
          <w:rFonts w:asciiTheme="minorHAnsi" w:hAnsiTheme="minorHAnsi"/>
          <w:b/>
          <w:color w:val="auto"/>
        </w:rPr>
      </w:pPr>
      <w:r w:rsidRPr="00D355CD">
        <w:rPr>
          <w:rFonts w:asciiTheme="minorHAnsi" w:hAnsiTheme="minorHAnsi"/>
          <w:color w:val="auto"/>
          <w:u w:val="single"/>
        </w:rPr>
        <w:t>R</w:t>
      </w:r>
      <w:r w:rsidR="002C6E5B" w:rsidRPr="00D355CD">
        <w:rPr>
          <w:rFonts w:asciiTheme="minorHAnsi" w:hAnsiTheme="minorHAnsi"/>
          <w:color w:val="auto"/>
          <w:u w:val="single"/>
        </w:rPr>
        <w:t>ATING COMPARISON</w:t>
      </w:r>
      <w:r w:rsidR="002C6E5B" w:rsidRPr="00D355CD">
        <w:rPr>
          <w:rFonts w:asciiTheme="minorHAnsi" w:hAnsiTheme="minorHAnsi"/>
          <w:color w:val="auto"/>
        </w:rPr>
        <w:t>:</w:t>
      </w:r>
    </w:p>
    <w:p w:rsidR="000F0928" w:rsidRPr="00D355CD" w:rsidRDefault="000F0928" w:rsidP="000452D7">
      <w:pPr>
        <w:spacing w:line="240" w:lineRule="exact"/>
        <w:rPr>
          <w:rFonts w:asciiTheme="minorHAnsi" w:hAnsiTheme="minorHAnsi"/>
          <w:color w:val="auto"/>
        </w:rPr>
      </w:pPr>
    </w:p>
    <w:tbl>
      <w:tblPr>
        <w:tblStyle w:val="TableGrid"/>
        <w:tblW w:w="9585" w:type="dxa"/>
        <w:jc w:val="center"/>
        <w:tblLayout w:type="fixed"/>
        <w:tblLook w:val="04A0"/>
      </w:tblPr>
      <w:tblGrid>
        <w:gridCol w:w="2471"/>
        <w:gridCol w:w="762"/>
        <w:gridCol w:w="810"/>
        <w:gridCol w:w="2185"/>
        <w:gridCol w:w="1240"/>
        <w:gridCol w:w="814"/>
        <w:gridCol w:w="1303"/>
      </w:tblGrid>
      <w:tr w:rsidR="002B4E22" w:rsidRPr="00D355CD" w:rsidTr="003C1726">
        <w:trPr>
          <w:trHeight w:val="233"/>
          <w:jc w:val="center"/>
        </w:trPr>
        <w:tc>
          <w:tcPr>
            <w:tcW w:w="4043" w:type="dxa"/>
            <w:gridSpan w:val="3"/>
            <w:tcBorders>
              <w:right w:val="thinThickThinSmallGap" w:sz="24" w:space="0" w:color="auto"/>
            </w:tcBorders>
            <w:shd w:val="clear" w:color="auto" w:fill="D9D9D9" w:themeFill="background1" w:themeFillShade="D9"/>
          </w:tcPr>
          <w:p w:rsidR="002B4E22" w:rsidRPr="00D355CD" w:rsidRDefault="00B731E4" w:rsidP="003C1726">
            <w:pPr>
              <w:spacing w:line="240" w:lineRule="exact"/>
              <w:contextualSpacing/>
              <w:jc w:val="center"/>
              <w:rPr>
                <w:b/>
                <w:color w:val="auto"/>
                <w:sz w:val="20"/>
                <w:szCs w:val="20"/>
              </w:rPr>
            </w:pPr>
            <w:r w:rsidRPr="00D355CD">
              <w:rPr>
                <w:b/>
                <w:color w:val="auto"/>
                <w:sz w:val="20"/>
                <w:szCs w:val="20"/>
              </w:rPr>
              <w:t xml:space="preserve">Service </w:t>
            </w:r>
            <w:r w:rsidR="00822C91" w:rsidRPr="00D355CD">
              <w:rPr>
                <w:b/>
                <w:color w:val="auto"/>
                <w:sz w:val="20"/>
                <w:szCs w:val="20"/>
              </w:rPr>
              <w:t>F</w:t>
            </w:r>
            <w:r w:rsidRPr="00D355CD">
              <w:rPr>
                <w:b/>
                <w:color w:val="auto"/>
                <w:sz w:val="20"/>
                <w:szCs w:val="20"/>
              </w:rPr>
              <w:t>PEB – Dated 200</w:t>
            </w:r>
            <w:r w:rsidR="00822C91" w:rsidRPr="00D355CD">
              <w:rPr>
                <w:b/>
                <w:color w:val="auto"/>
                <w:sz w:val="20"/>
                <w:szCs w:val="20"/>
              </w:rPr>
              <w:t>80925</w:t>
            </w:r>
          </w:p>
        </w:tc>
        <w:tc>
          <w:tcPr>
            <w:tcW w:w="5542" w:type="dxa"/>
            <w:gridSpan w:val="4"/>
            <w:tcBorders>
              <w:left w:val="thinThickThinSmallGap" w:sz="24" w:space="0" w:color="auto"/>
            </w:tcBorders>
            <w:shd w:val="clear" w:color="auto" w:fill="D9D9D9" w:themeFill="background1" w:themeFillShade="D9"/>
          </w:tcPr>
          <w:p w:rsidR="002B4E22" w:rsidRPr="00D355CD" w:rsidRDefault="002B4E22" w:rsidP="003C1726">
            <w:pPr>
              <w:spacing w:line="240" w:lineRule="exact"/>
              <w:contextualSpacing/>
              <w:jc w:val="center"/>
              <w:rPr>
                <w:b/>
                <w:color w:val="auto"/>
                <w:sz w:val="20"/>
                <w:szCs w:val="20"/>
              </w:rPr>
            </w:pPr>
            <w:r w:rsidRPr="00D355CD">
              <w:rPr>
                <w:b/>
                <w:color w:val="auto"/>
                <w:sz w:val="20"/>
                <w:szCs w:val="20"/>
              </w:rPr>
              <w:t>VA (</w:t>
            </w:r>
            <w:r w:rsidR="00C85700" w:rsidRPr="00D355CD">
              <w:rPr>
                <w:b/>
                <w:color w:val="auto"/>
                <w:sz w:val="20"/>
                <w:szCs w:val="20"/>
              </w:rPr>
              <w:t xml:space="preserve">3 </w:t>
            </w:r>
            <w:r w:rsidRPr="00D355CD">
              <w:rPr>
                <w:b/>
                <w:color w:val="auto"/>
                <w:sz w:val="20"/>
                <w:szCs w:val="20"/>
              </w:rPr>
              <w:t>Mo</w:t>
            </w:r>
            <w:r w:rsidR="00C85700" w:rsidRPr="00D355CD">
              <w:rPr>
                <w:b/>
                <w:color w:val="auto"/>
                <w:sz w:val="20"/>
                <w:szCs w:val="20"/>
              </w:rPr>
              <w:t>s</w:t>
            </w:r>
            <w:r w:rsidRPr="00D355CD">
              <w:rPr>
                <w:b/>
                <w:color w:val="auto"/>
                <w:sz w:val="20"/>
                <w:szCs w:val="20"/>
              </w:rPr>
              <w:t xml:space="preserve">. Prior to Separation) – All Effective Date </w:t>
            </w:r>
            <w:r w:rsidR="00C85700" w:rsidRPr="00D355CD">
              <w:rPr>
                <w:b/>
                <w:color w:val="auto"/>
                <w:sz w:val="20"/>
                <w:szCs w:val="20"/>
              </w:rPr>
              <w:t>20090131</w:t>
            </w:r>
          </w:p>
        </w:tc>
      </w:tr>
      <w:tr w:rsidR="002B4E22" w:rsidRPr="00D355CD" w:rsidTr="003C1726">
        <w:trPr>
          <w:trHeight w:val="278"/>
          <w:jc w:val="center"/>
        </w:trPr>
        <w:tc>
          <w:tcPr>
            <w:tcW w:w="2471" w:type="dxa"/>
            <w:tcBorders>
              <w:bottom w:val="single" w:sz="4" w:space="0" w:color="000000" w:themeColor="text1"/>
              <w:right w:val="single" w:sz="4" w:space="0" w:color="auto"/>
            </w:tcBorders>
            <w:shd w:val="clear" w:color="auto" w:fill="D9D9D9" w:themeFill="background1" w:themeFillShade="D9"/>
          </w:tcPr>
          <w:p w:rsidR="002B4E22" w:rsidRPr="00D355CD" w:rsidRDefault="002B4E22" w:rsidP="003C1726">
            <w:pPr>
              <w:spacing w:line="240" w:lineRule="exact"/>
              <w:contextualSpacing/>
              <w:jc w:val="both"/>
              <w:rPr>
                <w:b/>
                <w:color w:val="auto"/>
                <w:sz w:val="20"/>
                <w:szCs w:val="20"/>
              </w:rPr>
            </w:pPr>
            <w:r w:rsidRPr="00D355CD">
              <w:rPr>
                <w:b/>
                <w:color w:val="auto"/>
                <w:sz w:val="20"/>
                <w:szCs w:val="20"/>
              </w:rPr>
              <w:t>Condition</w:t>
            </w:r>
          </w:p>
        </w:tc>
        <w:tc>
          <w:tcPr>
            <w:tcW w:w="762" w:type="dxa"/>
            <w:tcBorders>
              <w:left w:val="single" w:sz="4" w:space="0" w:color="auto"/>
              <w:bottom w:val="single" w:sz="4" w:space="0" w:color="000000" w:themeColor="text1"/>
            </w:tcBorders>
            <w:shd w:val="clear" w:color="auto" w:fill="D9D9D9" w:themeFill="background1" w:themeFillShade="D9"/>
          </w:tcPr>
          <w:p w:rsidR="002B4E22" w:rsidRPr="00D355CD" w:rsidRDefault="002B4E22" w:rsidP="003C1726">
            <w:pPr>
              <w:spacing w:line="240" w:lineRule="exact"/>
              <w:contextualSpacing/>
              <w:jc w:val="center"/>
              <w:rPr>
                <w:b/>
                <w:color w:val="auto"/>
                <w:sz w:val="20"/>
                <w:szCs w:val="20"/>
              </w:rPr>
            </w:pPr>
            <w:r w:rsidRPr="00D355CD">
              <w:rPr>
                <w:b/>
                <w:color w:val="auto"/>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2B4E22" w:rsidRPr="00D355CD" w:rsidRDefault="002B4E22" w:rsidP="003C1726">
            <w:pPr>
              <w:spacing w:line="240" w:lineRule="exact"/>
              <w:contextualSpacing/>
              <w:jc w:val="center"/>
              <w:rPr>
                <w:b/>
                <w:color w:val="auto"/>
                <w:sz w:val="20"/>
                <w:szCs w:val="20"/>
              </w:rPr>
            </w:pPr>
            <w:r w:rsidRPr="00D355CD">
              <w:rPr>
                <w:b/>
                <w:color w:val="auto"/>
                <w:sz w:val="20"/>
                <w:szCs w:val="20"/>
              </w:rPr>
              <w:t>Rating</w:t>
            </w:r>
          </w:p>
        </w:tc>
        <w:tc>
          <w:tcPr>
            <w:tcW w:w="2185" w:type="dxa"/>
            <w:tcBorders>
              <w:left w:val="thinThickThinSmallGap" w:sz="24" w:space="0" w:color="auto"/>
              <w:bottom w:val="single" w:sz="4" w:space="0" w:color="000000" w:themeColor="text1"/>
            </w:tcBorders>
            <w:shd w:val="clear" w:color="auto" w:fill="D9D9D9" w:themeFill="background1" w:themeFillShade="D9"/>
          </w:tcPr>
          <w:p w:rsidR="002B4E22" w:rsidRPr="00D355CD" w:rsidRDefault="002B4E22" w:rsidP="003C1726">
            <w:pPr>
              <w:spacing w:line="240" w:lineRule="exact"/>
              <w:contextualSpacing/>
              <w:jc w:val="both"/>
              <w:rPr>
                <w:b/>
                <w:color w:val="auto"/>
                <w:sz w:val="20"/>
                <w:szCs w:val="20"/>
              </w:rPr>
            </w:pPr>
            <w:r w:rsidRPr="00D355CD">
              <w:rPr>
                <w:b/>
                <w:color w:val="auto"/>
                <w:sz w:val="20"/>
                <w:szCs w:val="20"/>
              </w:rPr>
              <w:t>Condition</w:t>
            </w:r>
          </w:p>
        </w:tc>
        <w:tc>
          <w:tcPr>
            <w:tcW w:w="1240" w:type="dxa"/>
            <w:tcBorders>
              <w:bottom w:val="single" w:sz="4" w:space="0" w:color="000000" w:themeColor="text1"/>
            </w:tcBorders>
            <w:shd w:val="clear" w:color="auto" w:fill="D9D9D9" w:themeFill="background1" w:themeFillShade="D9"/>
          </w:tcPr>
          <w:p w:rsidR="002B4E22" w:rsidRPr="00D355CD" w:rsidRDefault="002B4E22" w:rsidP="003C1726">
            <w:pPr>
              <w:spacing w:line="240" w:lineRule="exact"/>
              <w:contextualSpacing/>
              <w:jc w:val="center"/>
              <w:rPr>
                <w:b/>
                <w:color w:val="auto"/>
                <w:sz w:val="20"/>
                <w:szCs w:val="20"/>
              </w:rPr>
            </w:pPr>
            <w:r w:rsidRPr="00D355CD">
              <w:rPr>
                <w:b/>
                <w:color w:val="auto"/>
                <w:sz w:val="20"/>
                <w:szCs w:val="20"/>
              </w:rPr>
              <w:t>Code</w:t>
            </w:r>
          </w:p>
        </w:tc>
        <w:tc>
          <w:tcPr>
            <w:tcW w:w="814" w:type="dxa"/>
            <w:tcBorders>
              <w:bottom w:val="single" w:sz="4" w:space="0" w:color="000000" w:themeColor="text1"/>
            </w:tcBorders>
            <w:shd w:val="clear" w:color="auto" w:fill="D9D9D9" w:themeFill="background1" w:themeFillShade="D9"/>
          </w:tcPr>
          <w:p w:rsidR="002B4E22" w:rsidRPr="00D355CD" w:rsidRDefault="002B4E22" w:rsidP="003C1726">
            <w:pPr>
              <w:spacing w:line="240" w:lineRule="exact"/>
              <w:contextualSpacing/>
              <w:jc w:val="center"/>
              <w:rPr>
                <w:b/>
                <w:color w:val="auto"/>
                <w:sz w:val="20"/>
                <w:szCs w:val="20"/>
              </w:rPr>
            </w:pPr>
            <w:r w:rsidRPr="00D355CD">
              <w:rPr>
                <w:b/>
                <w:color w:val="auto"/>
                <w:sz w:val="20"/>
                <w:szCs w:val="20"/>
              </w:rPr>
              <w:t>Rating</w:t>
            </w:r>
          </w:p>
        </w:tc>
        <w:tc>
          <w:tcPr>
            <w:tcW w:w="1303" w:type="dxa"/>
            <w:tcBorders>
              <w:bottom w:val="single" w:sz="4" w:space="0" w:color="000000" w:themeColor="text1"/>
            </w:tcBorders>
            <w:shd w:val="clear" w:color="auto" w:fill="D9D9D9" w:themeFill="background1" w:themeFillShade="D9"/>
          </w:tcPr>
          <w:p w:rsidR="002B4E22" w:rsidRPr="00D355CD" w:rsidRDefault="002B4E22" w:rsidP="003C1726">
            <w:pPr>
              <w:spacing w:line="240" w:lineRule="exact"/>
              <w:contextualSpacing/>
              <w:jc w:val="center"/>
              <w:rPr>
                <w:b/>
                <w:color w:val="auto"/>
                <w:sz w:val="20"/>
                <w:szCs w:val="20"/>
              </w:rPr>
            </w:pPr>
            <w:r w:rsidRPr="00D355CD">
              <w:rPr>
                <w:b/>
                <w:color w:val="auto"/>
                <w:sz w:val="20"/>
                <w:szCs w:val="20"/>
              </w:rPr>
              <w:t>Exam</w:t>
            </w:r>
          </w:p>
        </w:tc>
      </w:tr>
      <w:tr w:rsidR="002B4E22" w:rsidRPr="00D355CD" w:rsidTr="00B657E6">
        <w:trPr>
          <w:trHeight w:val="287"/>
          <w:jc w:val="center"/>
        </w:trPr>
        <w:tc>
          <w:tcPr>
            <w:tcW w:w="2471" w:type="dxa"/>
            <w:tcBorders>
              <w:right w:val="single" w:sz="4" w:space="0" w:color="auto"/>
            </w:tcBorders>
            <w:shd w:val="clear" w:color="auto" w:fill="FFFFFF" w:themeFill="background1"/>
            <w:vAlign w:val="center"/>
          </w:tcPr>
          <w:p w:rsidR="002B4E22" w:rsidRPr="00D355CD" w:rsidRDefault="00822C91" w:rsidP="00B657E6">
            <w:pPr>
              <w:spacing w:line="200" w:lineRule="exact"/>
              <w:contextualSpacing/>
              <w:rPr>
                <w:color w:val="auto"/>
                <w:sz w:val="20"/>
                <w:szCs w:val="20"/>
              </w:rPr>
            </w:pPr>
            <w:r w:rsidRPr="00D355CD">
              <w:rPr>
                <w:color w:val="auto"/>
                <w:sz w:val="20"/>
                <w:szCs w:val="20"/>
              </w:rPr>
              <w:t>DDD L4-S1</w:t>
            </w:r>
          </w:p>
        </w:tc>
        <w:tc>
          <w:tcPr>
            <w:tcW w:w="762" w:type="dxa"/>
            <w:tcBorders>
              <w:left w:val="single" w:sz="4" w:space="0" w:color="auto"/>
              <w:right w:val="single" w:sz="4" w:space="0" w:color="auto"/>
            </w:tcBorders>
            <w:shd w:val="clear" w:color="auto" w:fill="FFFFFF" w:themeFill="background1"/>
            <w:vAlign w:val="center"/>
          </w:tcPr>
          <w:p w:rsidR="002B4E22" w:rsidRPr="00D355CD" w:rsidRDefault="00822C91" w:rsidP="00B657E6">
            <w:pPr>
              <w:spacing w:line="200" w:lineRule="exact"/>
              <w:contextualSpacing/>
              <w:jc w:val="center"/>
              <w:rPr>
                <w:color w:val="auto"/>
                <w:sz w:val="20"/>
                <w:szCs w:val="20"/>
              </w:rPr>
            </w:pPr>
            <w:r w:rsidRPr="00D355CD">
              <w:rPr>
                <w:color w:val="auto"/>
                <w:sz w:val="20"/>
                <w:szCs w:val="20"/>
              </w:rPr>
              <w:t>5243</w:t>
            </w:r>
          </w:p>
        </w:tc>
        <w:tc>
          <w:tcPr>
            <w:tcW w:w="810" w:type="dxa"/>
            <w:tcBorders>
              <w:left w:val="single" w:sz="4" w:space="0" w:color="auto"/>
              <w:right w:val="thinThickThinSmallGap" w:sz="24" w:space="0" w:color="auto"/>
            </w:tcBorders>
            <w:shd w:val="clear" w:color="auto" w:fill="FFFFFF" w:themeFill="background1"/>
            <w:vAlign w:val="center"/>
          </w:tcPr>
          <w:p w:rsidR="002B4E22" w:rsidRPr="00D355CD" w:rsidRDefault="00822C91" w:rsidP="00B657E6">
            <w:pPr>
              <w:spacing w:line="200" w:lineRule="exact"/>
              <w:contextualSpacing/>
              <w:jc w:val="center"/>
              <w:rPr>
                <w:color w:val="auto"/>
                <w:sz w:val="20"/>
                <w:szCs w:val="20"/>
              </w:rPr>
            </w:pPr>
            <w:r w:rsidRPr="00D355CD">
              <w:rPr>
                <w:color w:val="auto"/>
                <w:sz w:val="20"/>
                <w:szCs w:val="20"/>
              </w:rPr>
              <w:t>10%</w:t>
            </w:r>
          </w:p>
        </w:tc>
        <w:tc>
          <w:tcPr>
            <w:tcW w:w="2185" w:type="dxa"/>
            <w:tcBorders>
              <w:left w:val="thinThickThinSmallGap" w:sz="24" w:space="0" w:color="auto"/>
              <w:right w:val="single" w:sz="4" w:space="0" w:color="auto"/>
            </w:tcBorders>
            <w:shd w:val="clear" w:color="auto" w:fill="FFFFFF" w:themeFill="background1"/>
            <w:vAlign w:val="center"/>
          </w:tcPr>
          <w:p w:rsidR="002B4E22" w:rsidRPr="00D355CD" w:rsidRDefault="00822C91" w:rsidP="00B657E6">
            <w:pPr>
              <w:spacing w:line="200" w:lineRule="exact"/>
              <w:contextualSpacing/>
              <w:rPr>
                <w:color w:val="auto"/>
                <w:sz w:val="20"/>
                <w:szCs w:val="20"/>
              </w:rPr>
            </w:pPr>
            <w:r w:rsidRPr="00D355CD">
              <w:rPr>
                <w:color w:val="auto"/>
                <w:sz w:val="20"/>
                <w:szCs w:val="20"/>
              </w:rPr>
              <w:t>DDD L</w:t>
            </w:r>
            <w:r w:rsidR="00244B9B" w:rsidRPr="00D355CD">
              <w:rPr>
                <w:color w:val="auto"/>
                <w:sz w:val="20"/>
                <w:szCs w:val="20"/>
              </w:rPr>
              <w:t>5</w:t>
            </w:r>
            <w:r w:rsidRPr="00D355CD">
              <w:rPr>
                <w:color w:val="auto"/>
                <w:sz w:val="20"/>
                <w:szCs w:val="20"/>
              </w:rPr>
              <w:t>-S1</w:t>
            </w:r>
          </w:p>
        </w:tc>
        <w:tc>
          <w:tcPr>
            <w:tcW w:w="1240" w:type="dxa"/>
            <w:tcBorders>
              <w:left w:val="single" w:sz="4" w:space="0" w:color="auto"/>
              <w:right w:val="single" w:sz="4" w:space="0" w:color="auto"/>
            </w:tcBorders>
            <w:shd w:val="clear" w:color="auto" w:fill="FFFFFF" w:themeFill="background1"/>
            <w:vAlign w:val="center"/>
          </w:tcPr>
          <w:p w:rsidR="002B4E22" w:rsidRPr="00D355CD" w:rsidRDefault="00822C91" w:rsidP="00B657E6">
            <w:pPr>
              <w:spacing w:line="200" w:lineRule="exact"/>
              <w:contextualSpacing/>
              <w:jc w:val="center"/>
              <w:rPr>
                <w:color w:val="auto"/>
                <w:sz w:val="20"/>
                <w:szCs w:val="20"/>
              </w:rPr>
            </w:pPr>
            <w:r w:rsidRPr="00D355CD">
              <w:rPr>
                <w:color w:val="auto"/>
                <w:sz w:val="20"/>
                <w:szCs w:val="20"/>
              </w:rPr>
              <w:t>5237-5243</w:t>
            </w:r>
          </w:p>
        </w:tc>
        <w:tc>
          <w:tcPr>
            <w:tcW w:w="814" w:type="dxa"/>
            <w:tcBorders>
              <w:left w:val="single" w:sz="4" w:space="0" w:color="auto"/>
            </w:tcBorders>
            <w:shd w:val="clear" w:color="auto" w:fill="FFFFFF" w:themeFill="background1"/>
            <w:vAlign w:val="center"/>
          </w:tcPr>
          <w:p w:rsidR="002B4E22" w:rsidRPr="00D355CD" w:rsidRDefault="00822C91" w:rsidP="00B657E6">
            <w:pPr>
              <w:spacing w:line="200" w:lineRule="exact"/>
              <w:contextualSpacing/>
              <w:jc w:val="center"/>
              <w:rPr>
                <w:color w:val="auto"/>
                <w:sz w:val="20"/>
                <w:szCs w:val="20"/>
              </w:rPr>
            </w:pPr>
            <w:r w:rsidRPr="00D355CD">
              <w:rPr>
                <w:color w:val="auto"/>
                <w:sz w:val="20"/>
                <w:szCs w:val="20"/>
              </w:rPr>
              <w:t>10%</w:t>
            </w:r>
          </w:p>
        </w:tc>
        <w:tc>
          <w:tcPr>
            <w:tcW w:w="1303" w:type="dxa"/>
            <w:shd w:val="clear" w:color="auto" w:fill="FFFFFF" w:themeFill="background1"/>
            <w:vAlign w:val="center"/>
          </w:tcPr>
          <w:p w:rsidR="002B4E22" w:rsidRPr="00D355CD" w:rsidRDefault="003D3503" w:rsidP="00B657E6">
            <w:pPr>
              <w:spacing w:line="200" w:lineRule="exact"/>
              <w:contextualSpacing/>
              <w:jc w:val="center"/>
              <w:rPr>
                <w:color w:val="auto"/>
                <w:sz w:val="20"/>
                <w:szCs w:val="20"/>
              </w:rPr>
            </w:pPr>
            <w:r w:rsidRPr="00D355CD">
              <w:rPr>
                <w:color w:val="auto"/>
                <w:sz w:val="20"/>
                <w:szCs w:val="20"/>
              </w:rPr>
              <w:t>20081018</w:t>
            </w:r>
            <w:r w:rsidR="00822C91" w:rsidRPr="00D355CD">
              <w:rPr>
                <w:color w:val="auto"/>
                <w:sz w:val="20"/>
                <w:szCs w:val="20"/>
              </w:rPr>
              <w:t xml:space="preserve">  </w:t>
            </w:r>
          </w:p>
        </w:tc>
      </w:tr>
      <w:tr w:rsidR="004B3837" w:rsidRPr="00D355CD" w:rsidTr="00B657E6">
        <w:trPr>
          <w:trHeight w:val="287"/>
          <w:jc w:val="center"/>
        </w:trPr>
        <w:tc>
          <w:tcPr>
            <w:tcW w:w="4043" w:type="dxa"/>
            <w:gridSpan w:val="3"/>
            <w:vMerge w:val="restart"/>
            <w:tcBorders>
              <w:right w:val="thinThickThinSmallGap" w:sz="24" w:space="0" w:color="auto"/>
            </w:tcBorders>
            <w:shd w:val="clear" w:color="auto" w:fill="FFFFFF" w:themeFill="background1"/>
            <w:vAlign w:val="center"/>
          </w:tcPr>
          <w:p w:rsidR="004B3837" w:rsidRPr="00D355CD" w:rsidRDefault="004B3837" w:rsidP="00B657E6">
            <w:pPr>
              <w:spacing w:line="200" w:lineRule="exact"/>
              <w:contextualSpacing/>
              <w:jc w:val="center"/>
              <w:rPr>
                <w:color w:val="auto"/>
                <w:sz w:val="20"/>
              </w:rPr>
            </w:pPr>
            <w:r w:rsidRPr="00D355CD">
              <w:rPr>
                <w:color w:val="auto"/>
                <w:sz w:val="20"/>
                <w:szCs w:val="20"/>
              </w:rPr>
              <w:t>↓No Additional MEB / PEB Entries↓</w:t>
            </w:r>
          </w:p>
        </w:tc>
        <w:tc>
          <w:tcPr>
            <w:tcW w:w="2185" w:type="dxa"/>
            <w:tcBorders>
              <w:left w:val="thinThickThinSmallGap" w:sz="24" w:space="0" w:color="auto"/>
              <w:right w:val="single" w:sz="4" w:space="0" w:color="auto"/>
            </w:tcBorders>
            <w:shd w:val="clear" w:color="auto" w:fill="FFFFFF" w:themeFill="background1"/>
            <w:vAlign w:val="center"/>
          </w:tcPr>
          <w:p w:rsidR="004B3837" w:rsidRPr="00D355CD" w:rsidRDefault="004B3837" w:rsidP="00B657E6">
            <w:pPr>
              <w:spacing w:line="200" w:lineRule="exact"/>
              <w:contextualSpacing/>
              <w:rPr>
                <w:color w:val="auto"/>
                <w:sz w:val="20"/>
              </w:rPr>
            </w:pPr>
            <w:r w:rsidRPr="00D355CD">
              <w:rPr>
                <w:color w:val="auto"/>
                <w:sz w:val="20"/>
              </w:rPr>
              <w:t>L Superficial Peroneal Nerve Involvement</w:t>
            </w:r>
          </w:p>
        </w:tc>
        <w:tc>
          <w:tcPr>
            <w:tcW w:w="1240" w:type="dxa"/>
            <w:tcBorders>
              <w:left w:val="single" w:sz="4" w:space="0" w:color="auto"/>
              <w:right w:val="single" w:sz="4" w:space="0" w:color="auto"/>
            </w:tcBorders>
            <w:shd w:val="clear" w:color="auto" w:fill="FFFFFF" w:themeFill="background1"/>
          </w:tcPr>
          <w:p w:rsidR="004B3837" w:rsidRPr="00D355CD" w:rsidRDefault="004B3837" w:rsidP="00B657E6">
            <w:pPr>
              <w:spacing w:line="200" w:lineRule="exact"/>
              <w:contextualSpacing/>
              <w:jc w:val="center"/>
              <w:rPr>
                <w:color w:val="auto"/>
                <w:sz w:val="20"/>
              </w:rPr>
            </w:pPr>
            <w:r w:rsidRPr="00D355CD">
              <w:rPr>
                <w:color w:val="auto"/>
                <w:sz w:val="20"/>
              </w:rPr>
              <w:t>8522</w:t>
            </w:r>
          </w:p>
        </w:tc>
        <w:tc>
          <w:tcPr>
            <w:tcW w:w="814" w:type="dxa"/>
            <w:tcBorders>
              <w:left w:val="single" w:sz="4" w:space="0" w:color="auto"/>
            </w:tcBorders>
            <w:shd w:val="clear" w:color="auto" w:fill="FFFFFF" w:themeFill="background1"/>
          </w:tcPr>
          <w:p w:rsidR="004B3837" w:rsidRPr="00D355CD" w:rsidRDefault="004B3837" w:rsidP="00B657E6">
            <w:pPr>
              <w:spacing w:line="200" w:lineRule="exact"/>
              <w:contextualSpacing/>
              <w:jc w:val="center"/>
              <w:rPr>
                <w:color w:val="auto"/>
                <w:sz w:val="20"/>
              </w:rPr>
            </w:pPr>
            <w:r w:rsidRPr="00D355CD">
              <w:rPr>
                <w:color w:val="auto"/>
                <w:sz w:val="20"/>
              </w:rPr>
              <w:t>10%</w:t>
            </w:r>
          </w:p>
        </w:tc>
        <w:tc>
          <w:tcPr>
            <w:tcW w:w="1303" w:type="dxa"/>
            <w:shd w:val="clear" w:color="auto" w:fill="FFFFFF" w:themeFill="background1"/>
          </w:tcPr>
          <w:p w:rsidR="004B3837" w:rsidRPr="00D355CD" w:rsidRDefault="004B3837" w:rsidP="00B657E6">
            <w:pPr>
              <w:spacing w:line="200" w:lineRule="exact"/>
              <w:contextualSpacing/>
              <w:jc w:val="center"/>
              <w:rPr>
                <w:color w:val="auto"/>
                <w:sz w:val="20"/>
              </w:rPr>
            </w:pPr>
            <w:r w:rsidRPr="00D355CD">
              <w:rPr>
                <w:color w:val="auto"/>
                <w:sz w:val="20"/>
              </w:rPr>
              <w:t>20091018</w:t>
            </w:r>
          </w:p>
        </w:tc>
      </w:tr>
      <w:tr w:rsidR="004B3837" w:rsidRPr="00D355CD" w:rsidTr="00B657E6">
        <w:trPr>
          <w:trHeight w:val="224"/>
          <w:jc w:val="center"/>
        </w:trPr>
        <w:tc>
          <w:tcPr>
            <w:tcW w:w="4043" w:type="dxa"/>
            <w:gridSpan w:val="3"/>
            <w:vMerge/>
            <w:tcBorders>
              <w:right w:val="thinThickThinSmallGap" w:sz="24" w:space="0" w:color="auto"/>
            </w:tcBorders>
            <w:shd w:val="clear" w:color="auto" w:fill="FFFFFF" w:themeFill="background1"/>
            <w:vAlign w:val="center"/>
          </w:tcPr>
          <w:p w:rsidR="004B3837" w:rsidRPr="00D355CD" w:rsidRDefault="004B3837" w:rsidP="00B657E6">
            <w:pPr>
              <w:spacing w:line="200" w:lineRule="exact"/>
              <w:contextualSpacing/>
              <w:jc w:val="center"/>
              <w:rPr>
                <w:color w:val="auto"/>
                <w:sz w:val="20"/>
              </w:rPr>
            </w:pPr>
          </w:p>
        </w:tc>
        <w:tc>
          <w:tcPr>
            <w:tcW w:w="2185" w:type="dxa"/>
            <w:tcBorders>
              <w:left w:val="thinThickThinSmallGap" w:sz="24" w:space="0" w:color="auto"/>
              <w:right w:val="single" w:sz="4" w:space="0" w:color="auto"/>
            </w:tcBorders>
            <w:shd w:val="clear" w:color="auto" w:fill="FFFFFF" w:themeFill="background1"/>
            <w:vAlign w:val="center"/>
          </w:tcPr>
          <w:p w:rsidR="004B3837" w:rsidRPr="00D355CD" w:rsidRDefault="004B3837" w:rsidP="00B657E6">
            <w:pPr>
              <w:spacing w:line="200" w:lineRule="exact"/>
              <w:contextualSpacing/>
              <w:rPr>
                <w:color w:val="auto"/>
                <w:sz w:val="20"/>
                <w:szCs w:val="20"/>
              </w:rPr>
            </w:pPr>
            <w:r w:rsidRPr="00D355CD">
              <w:rPr>
                <w:color w:val="auto"/>
                <w:sz w:val="20"/>
                <w:szCs w:val="20"/>
              </w:rPr>
              <w:t>L Shoulder Strain</w:t>
            </w:r>
          </w:p>
        </w:tc>
        <w:tc>
          <w:tcPr>
            <w:tcW w:w="1240" w:type="dxa"/>
            <w:tcBorders>
              <w:left w:val="single" w:sz="4" w:space="0" w:color="auto"/>
              <w:right w:val="single" w:sz="4" w:space="0" w:color="auto"/>
            </w:tcBorders>
            <w:shd w:val="clear" w:color="auto" w:fill="FFFFFF" w:themeFill="background1"/>
            <w:vAlign w:val="center"/>
          </w:tcPr>
          <w:p w:rsidR="004B3837" w:rsidRPr="00D355CD" w:rsidRDefault="004B3837" w:rsidP="00B657E6">
            <w:pPr>
              <w:spacing w:line="200" w:lineRule="exact"/>
              <w:contextualSpacing/>
              <w:jc w:val="center"/>
              <w:rPr>
                <w:color w:val="auto"/>
                <w:sz w:val="20"/>
              </w:rPr>
            </w:pPr>
            <w:r w:rsidRPr="00D355CD">
              <w:rPr>
                <w:color w:val="auto"/>
                <w:sz w:val="20"/>
              </w:rPr>
              <w:t>5201-5019</w:t>
            </w:r>
          </w:p>
        </w:tc>
        <w:tc>
          <w:tcPr>
            <w:tcW w:w="814" w:type="dxa"/>
            <w:tcBorders>
              <w:left w:val="single" w:sz="4" w:space="0" w:color="auto"/>
            </w:tcBorders>
            <w:shd w:val="clear" w:color="auto" w:fill="FFFFFF" w:themeFill="background1"/>
            <w:vAlign w:val="center"/>
          </w:tcPr>
          <w:p w:rsidR="004B3837" w:rsidRPr="00D355CD" w:rsidRDefault="004B3837" w:rsidP="00B657E6">
            <w:pPr>
              <w:spacing w:line="200" w:lineRule="exact"/>
              <w:contextualSpacing/>
              <w:jc w:val="center"/>
              <w:rPr>
                <w:color w:val="auto"/>
                <w:sz w:val="20"/>
              </w:rPr>
            </w:pPr>
            <w:r w:rsidRPr="00D355CD">
              <w:rPr>
                <w:color w:val="auto"/>
                <w:sz w:val="20"/>
              </w:rPr>
              <w:t>10%</w:t>
            </w:r>
          </w:p>
        </w:tc>
        <w:tc>
          <w:tcPr>
            <w:tcW w:w="1303" w:type="dxa"/>
            <w:shd w:val="clear" w:color="auto" w:fill="FFFFFF" w:themeFill="background1"/>
            <w:vAlign w:val="center"/>
          </w:tcPr>
          <w:p w:rsidR="004B3837" w:rsidRPr="00D355CD" w:rsidRDefault="004B3837" w:rsidP="00B657E6">
            <w:pPr>
              <w:spacing w:line="200" w:lineRule="exact"/>
              <w:contextualSpacing/>
              <w:jc w:val="center"/>
              <w:rPr>
                <w:color w:val="auto"/>
                <w:sz w:val="20"/>
                <w:szCs w:val="20"/>
              </w:rPr>
            </w:pPr>
            <w:r w:rsidRPr="00D355CD">
              <w:rPr>
                <w:color w:val="auto"/>
                <w:sz w:val="20"/>
                <w:szCs w:val="20"/>
              </w:rPr>
              <w:t>20081018</w:t>
            </w:r>
          </w:p>
        </w:tc>
      </w:tr>
      <w:tr w:rsidR="004B3837" w:rsidRPr="00D355CD" w:rsidTr="00B657E6">
        <w:trPr>
          <w:trHeight w:val="287"/>
          <w:jc w:val="center"/>
        </w:trPr>
        <w:tc>
          <w:tcPr>
            <w:tcW w:w="4043" w:type="dxa"/>
            <w:gridSpan w:val="3"/>
            <w:vMerge/>
            <w:tcBorders>
              <w:right w:val="thinThickThinSmallGap" w:sz="24" w:space="0" w:color="auto"/>
            </w:tcBorders>
            <w:shd w:val="clear" w:color="auto" w:fill="FFFFFF" w:themeFill="background1"/>
            <w:vAlign w:val="center"/>
          </w:tcPr>
          <w:p w:rsidR="004B3837" w:rsidRPr="00D355CD" w:rsidRDefault="004B3837" w:rsidP="00B657E6">
            <w:pPr>
              <w:spacing w:line="200" w:lineRule="exact"/>
              <w:contextualSpacing/>
              <w:jc w:val="center"/>
              <w:rPr>
                <w:color w:val="auto"/>
                <w:sz w:val="20"/>
              </w:rPr>
            </w:pPr>
          </w:p>
        </w:tc>
        <w:tc>
          <w:tcPr>
            <w:tcW w:w="2185" w:type="dxa"/>
            <w:tcBorders>
              <w:left w:val="thinThickThinSmallGap" w:sz="24" w:space="0" w:color="auto"/>
              <w:right w:val="single" w:sz="4" w:space="0" w:color="auto"/>
            </w:tcBorders>
            <w:shd w:val="clear" w:color="auto" w:fill="FFFFFF" w:themeFill="background1"/>
            <w:vAlign w:val="center"/>
          </w:tcPr>
          <w:p w:rsidR="004B3837" w:rsidRPr="00D355CD" w:rsidRDefault="004B3837" w:rsidP="00B657E6">
            <w:pPr>
              <w:spacing w:line="200" w:lineRule="exact"/>
              <w:contextualSpacing/>
              <w:rPr>
                <w:color w:val="auto"/>
                <w:sz w:val="20"/>
              </w:rPr>
            </w:pPr>
            <w:r w:rsidRPr="00D355CD">
              <w:rPr>
                <w:color w:val="auto"/>
                <w:sz w:val="20"/>
              </w:rPr>
              <w:t>R Knee Patellofemoral Syndrome</w:t>
            </w:r>
          </w:p>
        </w:tc>
        <w:tc>
          <w:tcPr>
            <w:tcW w:w="1240" w:type="dxa"/>
            <w:tcBorders>
              <w:left w:val="single" w:sz="4" w:space="0" w:color="auto"/>
              <w:right w:val="single" w:sz="4" w:space="0" w:color="auto"/>
            </w:tcBorders>
            <w:shd w:val="clear" w:color="auto" w:fill="FFFFFF" w:themeFill="background1"/>
          </w:tcPr>
          <w:p w:rsidR="004B3837" w:rsidRPr="00D355CD" w:rsidRDefault="004B3837" w:rsidP="00B657E6">
            <w:pPr>
              <w:spacing w:line="200" w:lineRule="exact"/>
              <w:contextualSpacing/>
              <w:jc w:val="center"/>
              <w:rPr>
                <w:color w:val="auto"/>
                <w:sz w:val="20"/>
              </w:rPr>
            </w:pPr>
            <w:r w:rsidRPr="00D355CD">
              <w:rPr>
                <w:color w:val="auto"/>
                <w:sz w:val="20"/>
              </w:rPr>
              <w:t>5099-5019</w:t>
            </w:r>
          </w:p>
        </w:tc>
        <w:tc>
          <w:tcPr>
            <w:tcW w:w="814" w:type="dxa"/>
            <w:tcBorders>
              <w:left w:val="single" w:sz="4" w:space="0" w:color="auto"/>
            </w:tcBorders>
            <w:shd w:val="clear" w:color="auto" w:fill="FFFFFF" w:themeFill="background1"/>
          </w:tcPr>
          <w:p w:rsidR="004B3837" w:rsidRPr="00D355CD" w:rsidRDefault="004B3837" w:rsidP="00B657E6">
            <w:pPr>
              <w:spacing w:line="200" w:lineRule="exact"/>
              <w:contextualSpacing/>
              <w:jc w:val="center"/>
              <w:rPr>
                <w:color w:val="auto"/>
                <w:sz w:val="20"/>
              </w:rPr>
            </w:pPr>
            <w:r w:rsidRPr="00D355CD">
              <w:rPr>
                <w:color w:val="auto"/>
                <w:sz w:val="20"/>
              </w:rPr>
              <w:t>10%</w:t>
            </w:r>
          </w:p>
        </w:tc>
        <w:tc>
          <w:tcPr>
            <w:tcW w:w="1303" w:type="dxa"/>
            <w:shd w:val="clear" w:color="auto" w:fill="FFFFFF" w:themeFill="background1"/>
          </w:tcPr>
          <w:p w:rsidR="004B3837" w:rsidRPr="00D355CD" w:rsidRDefault="004B3837" w:rsidP="00B657E6">
            <w:pPr>
              <w:spacing w:line="200" w:lineRule="exact"/>
              <w:contextualSpacing/>
              <w:jc w:val="center"/>
              <w:rPr>
                <w:color w:val="auto"/>
                <w:sz w:val="20"/>
              </w:rPr>
            </w:pPr>
            <w:r w:rsidRPr="00D355CD">
              <w:rPr>
                <w:color w:val="auto"/>
                <w:sz w:val="20"/>
              </w:rPr>
              <w:t>20081018</w:t>
            </w:r>
          </w:p>
        </w:tc>
      </w:tr>
      <w:tr w:rsidR="004B3837" w:rsidRPr="00D355CD" w:rsidTr="00B657E6">
        <w:trPr>
          <w:trHeight w:val="287"/>
          <w:jc w:val="center"/>
        </w:trPr>
        <w:tc>
          <w:tcPr>
            <w:tcW w:w="4043" w:type="dxa"/>
            <w:gridSpan w:val="3"/>
            <w:vMerge/>
            <w:tcBorders>
              <w:right w:val="thinThickThinSmallGap" w:sz="24" w:space="0" w:color="auto"/>
            </w:tcBorders>
            <w:shd w:val="clear" w:color="auto" w:fill="FFFFFF" w:themeFill="background1"/>
            <w:vAlign w:val="center"/>
          </w:tcPr>
          <w:p w:rsidR="004B3837" w:rsidRPr="00D355CD" w:rsidRDefault="004B3837" w:rsidP="00B657E6">
            <w:pPr>
              <w:spacing w:line="200" w:lineRule="exact"/>
              <w:contextualSpacing/>
              <w:jc w:val="center"/>
              <w:rPr>
                <w:color w:val="auto"/>
                <w:sz w:val="20"/>
              </w:rPr>
            </w:pPr>
          </w:p>
        </w:tc>
        <w:tc>
          <w:tcPr>
            <w:tcW w:w="2185" w:type="dxa"/>
            <w:tcBorders>
              <w:left w:val="thinThickThinSmallGap" w:sz="24" w:space="0" w:color="auto"/>
              <w:right w:val="single" w:sz="4" w:space="0" w:color="auto"/>
            </w:tcBorders>
            <w:shd w:val="clear" w:color="auto" w:fill="FFFFFF" w:themeFill="background1"/>
            <w:vAlign w:val="center"/>
          </w:tcPr>
          <w:p w:rsidR="004B3837" w:rsidRPr="00D355CD" w:rsidRDefault="004B3837" w:rsidP="00B657E6">
            <w:pPr>
              <w:spacing w:line="200" w:lineRule="exact"/>
              <w:contextualSpacing/>
              <w:rPr>
                <w:color w:val="auto"/>
                <w:sz w:val="20"/>
              </w:rPr>
            </w:pPr>
            <w:r w:rsidRPr="00D355CD">
              <w:rPr>
                <w:color w:val="auto"/>
                <w:sz w:val="20"/>
              </w:rPr>
              <w:t>L Knee Patellofemoral Syndrome</w:t>
            </w:r>
          </w:p>
        </w:tc>
        <w:tc>
          <w:tcPr>
            <w:tcW w:w="1240" w:type="dxa"/>
            <w:tcBorders>
              <w:left w:val="single" w:sz="4" w:space="0" w:color="auto"/>
              <w:right w:val="single" w:sz="4" w:space="0" w:color="auto"/>
            </w:tcBorders>
            <w:shd w:val="clear" w:color="auto" w:fill="FFFFFF" w:themeFill="background1"/>
          </w:tcPr>
          <w:p w:rsidR="004B3837" w:rsidRPr="00D355CD" w:rsidRDefault="004B3837" w:rsidP="00B657E6">
            <w:pPr>
              <w:spacing w:line="200" w:lineRule="exact"/>
              <w:contextualSpacing/>
              <w:jc w:val="center"/>
              <w:rPr>
                <w:color w:val="auto"/>
                <w:sz w:val="20"/>
              </w:rPr>
            </w:pPr>
            <w:r w:rsidRPr="00D355CD">
              <w:rPr>
                <w:color w:val="auto"/>
                <w:sz w:val="20"/>
              </w:rPr>
              <w:t>5099-5019</w:t>
            </w:r>
          </w:p>
        </w:tc>
        <w:tc>
          <w:tcPr>
            <w:tcW w:w="814" w:type="dxa"/>
            <w:tcBorders>
              <w:left w:val="single" w:sz="4" w:space="0" w:color="auto"/>
            </w:tcBorders>
            <w:shd w:val="clear" w:color="auto" w:fill="FFFFFF" w:themeFill="background1"/>
          </w:tcPr>
          <w:p w:rsidR="004B3837" w:rsidRPr="00D355CD" w:rsidRDefault="004B3837" w:rsidP="00B657E6">
            <w:pPr>
              <w:spacing w:line="200" w:lineRule="exact"/>
              <w:contextualSpacing/>
              <w:jc w:val="center"/>
              <w:rPr>
                <w:color w:val="auto"/>
                <w:sz w:val="20"/>
              </w:rPr>
            </w:pPr>
            <w:r w:rsidRPr="00D355CD">
              <w:rPr>
                <w:color w:val="auto"/>
                <w:sz w:val="20"/>
              </w:rPr>
              <w:t>10%</w:t>
            </w:r>
          </w:p>
        </w:tc>
        <w:tc>
          <w:tcPr>
            <w:tcW w:w="1303" w:type="dxa"/>
            <w:shd w:val="clear" w:color="auto" w:fill="FFFFFF" w:themeFill="background1"/>
          </w:tcPr>
          <w:p w:rsidR="004B3837" w:rsidRPr="00D355CD" w:rsidRDefault="004B3837" w:rsidP="00B657E6">
            <w:pPr>
              <w:spacing w:line="200" w:lineRule="exact"/>
              <w:contextualSpacing/>
              <w:jc w:val="center"/>
              <w:rPr>
                <w:color w:val="auto"/>
                <w:sz w:val="20"/>
              </w:rPr>
            </w:pPr>
            <w:r w:rsidRPr="00D355CD">
              <w:rPr>
                <w:color w:val="auto"/>
                <w:sz w:val="20"/>
              </w:rPr>
              <w:t>20081018</w:t>
            </w:r>
          </w:p>
        </w:tc>
      </w:tr>
      <w:tr w:rsidR="004B3837" w:rsidRPr="00D355CD" w:rsidTr="00B657E6">
        <w:trPr>
          <w:trHeight w:val="260"/>
          <w:jc w:val="center"/>
        </w:trPr>
        <w:tc>
          <w:tcPr>
            <w:tcW w:w="4043" w:type="dxa"/>
            <w:gridSpan w:val="3"/>
            <w:vMerge/>
            <w:tcBorders>
              <w:right w:val="thinThickThinSmallGap" w:sz="24" w:space="0" w:color="auto"/>
            </w:tcBorders>
            <w:shd w:val="clear" w:color="auto" w:fill="FFFFFF" w:themeFill="background1"/>
            <w:vAlign w:val="center"/>
          </w:tcPr>
          <w:p w:rsidR="004B3837" w:rsidRPr="00D355CD" w:rsidRDefault="004B3837" w:rsidP="00B657E6">
            <w:pPr>
              <w:spacing w:line="200" w:lineRule="exact"/>
              <w:contextualSpacing/>
              <w:jc w:val="center"/>
              <w:rPr>
                <w:color w:val="auto"/>
                <w:sz w:val="20"/>
              </w:rPr>
            </w:pPr>
          </w:p>
        </w:tc>
        <w:tc>
          <w:tcPr>
            <w:tcW w:w="2185" w:type="dxa"/>
            <w:tcBorders>
              <w:left w:val="thinThickThinSmallGap" w:sz="24" w:space="0" w:color="auto"/>
              <w:right w:val="single" w:sz="4" w:space="0" w:color="auto"/>
            </w:tcBorders>
            <w:shd w:val="clear" w:color="auto" w:fill="FFFFFF" w:themeFill="background1"/>
            <w:vAlign w:val="center"/>
          </w:tcPr>
          <w:p w:rsidR="004B3837" w:rsidRPr="00D355CD" w:rsidRDefault="004B3837" w:rsidP="00B657E6">
            <w:pPr>
              <w:spacing w:line="200" w:lineRule="exact"/>
              <w:contextualSpacing/>
              <w:rPr>
                <w:color w:val="auto"/>
                <w:sz w:val="20"/>
              </w:rPr>
            </w:pPr>
            <w:r w:rsidRPr="00D355CD">
              <w:rPr>
                <w:color w:val="auto"/>
                <w:sz w:val="20"/>
              </w:rPr>
              <w:t>L Elbow Strain</w:t>
            </w:r>
          </w:p>
        </w:tc>
        <w:tc>
          <w:tcPr>
            <w:tcW w:w="1240" w:type="dxa"/>
            <w:tcBorders>
              <w:left w:val="single" w:sz="4" w:space="0" w:color="auto"/>
              <w:right w:val="single" w:sz="4" w:space="0" w:color="auto"/>
            </w:tcBorders>
            <w:shd w:val="clear" w:color="auto" w:fill="FFFFFF" w:themeFill="background1"/>
            <w:vAlign w:val="center"/>
          </w:tcPr>
          <w:p w:rsidR="004B3837" w:rsidRPr="00D355CD" w:rsidRDefault="004B3837" w:rsidP="00B657E6">
            <w:pPr>
              <w:spacing w:line="200" w:lineRule="exact"/>
              <w:contextualSpacing/>
              <w:jc w:val="center"/>
              <w:rPr>
                <w:color w:val="auto"/>
                <w:sz w:val="20"/>
              </w:rPr>
            </w:pPr>
            <w:r w:rsidRPr="00D355CD">
              <w:rPr>
                <w:color w:val="auto"/>
                <w:sz w:val="20"/>
              </w:rPr>
              <w:t>5299-5206</w:t>
            </w:r>
          </w:p>
        </w:tc>
        <w:tc>
          <w:tcPr>
            <w:tcW w:w="814" w:type="dxa"/>
            <w:tcBorders>
              <w:left w:val="single" w:sz="4" w:space="0" w:color="auto"/>
            </w:tcBorders>
            <w:shd w:val="clear" w:color="auto" w:fill="FFFFFF" w:themeFill="background1"/>
            <w:vAlign w:val="center"/>
          </w:tcPr>
          <w:p w:rsidR="004B3837" w:rsidRPr="00D355CD" w:rsidRDefault="004B3837" w:rsidP="00B657E6">
            <w:pPr>
              <w:spacing w:line="200" w:lineRule="exact"/>
              <w:contextualSpacing/>
              <w:jc w:val="center"/>
              <w:rPr>
                <w:color w:val="auto"/>
                <w:sz w:val="20"/>
              </w:rPr>
            </w:pPr>
            <w:r w:rsidRPr="00D355CD">
              <w:rPr>
                <w:color w:val="auto"/>
                <w:sz w:val="20"/>
              </w:rPr>
              <w:t>10%</w:t>
            </w:r>
          </w:p>
        </w:tc>
        <w:tc>
          <w:tcPr>
            <w:tcW w:w="1303" w:type="dxa"/>
            <w:shd w:val="clear" w:color="auto" w:fill="FFFFFF" w:themeFill="background1"/>
            <w:vAlign w:val="center"/>
          </w:tcPr>
          <w:p w:rsidR="004B3837" w:rsidRPr="00D355CD" w:rsidRDefault="004B3837" w:rsidP="00B657E6">
            <w:pPr>
              <w:spacing w:line="200" w:lineRule="exact"/>
              <w:contextualSpacing/>
              <w:jc w:val="center"/>
              <w:rPr>
                <w:color w:val="auto"/>
                <w:sz w:val="20"/>
              </w:rPr>
            </w:pPr>
            <w:r w:rsidRPr="00D355CD">
              <w:rPr>
                <w:color w:val="auto"/>
                <w:sz w:val="20"/>
              </w:rPr>
              <w:t>20081018</w:t>
            </w:r>
          </w:p>
        </w:tc>
      </w:tr>
      <w:tr w:rsidR="004B3837" w:rsidRPr="00D355CD" w:rsidTr="00B657E6">
        <w:trPr>
          <w:trHeight w:val="233"/>
          <w:jc w:val="center"/>
        </w:trPr>
        <w:tc>
          <w:tcPr>
            <w:tcW w:w="4043" w:type="dxa"/>
            <w:gridSpan w:val="3"/>
            <w:vMerge/>
            <w:tcBorders>
              <w:right w:val="thinThickThinSmallGap" w:sz="24" w:space="0" w:color="auto"/>
            </w:tcBorders>
            <w:shd w:val="clear" w:color="auto" w:fill="FFFFFF" w:themeFill="background1"/>
            <w:vAlign w:val="center"/>
          </w:tcPr>
          <w:p w:rsidR="004B3837" w:rsidRPr="00D355CD" w:rsidRDefault="004B3837" w:rsidP="00B657E6">
            <w:pPr>
              <w:spacing w:line="200" w:lineRule="exact"/>
              <w:contextualSpacing/>
              <w:jc w:val="center"/>
              <w:rPr>
                <w:color w:val="auto"/>
                <w:sz w:val="20"/>
              </w:rPr>
            </w:pPr>
          </w:p>
        </w:tc>
        <w:tc>
          <w:tcPr>
            <w:tcW w:w="2185" w:type="dxa"/>
            <w:tcBorders>
              <w:left w:val="thinThickThinSmallGap" w:sz="24" w:space="0" w:color="auto"/>
              <w:right w:val="single" w:sz="4" w:space="0" w:color="auto"/>
            </w:tcBorders>
            <w:shd w:val="clear" w:color="auto" w:fill="FFFFFF" w:themeFill="background1"/>
            <w:vAlign w:val="center"/>
          </w:tcPr>
          <w:p w:rsidR="004B3837" w:rsidRPr="00D355CD" w:rsidRDefault="004B3837" w:rsidP="00B657E6">
            <w:pPr>
              <w:spacing w:line="200" w:lineRule="exact"/>
              <w:contextualSpacing/>
              <w:rPr>
                <w:color w:val="auto"/>
                <w:sz w:val="20"/>
              </w:rPr>
            </w:pPr>
            <w:r w:rsidRPr="00D355CD">
              <w:rPr>
                <w:color w:val="auto"/>
                <w:sz w:val="20"/>
              </w:rPr>
              <w:t>Tinnitus</w:t>
            </w:r>
          </w:p>
        </w:tc>
        <w:tc>
          <w:tcPr>
            <w:tcW w:w="1240" w:type="dxa"/>
            <w:tcBorders>
              <w:left w:val="single" w:sz="4" w:space="0" w:color="auto"/>
              <w:right w:val="single" w:sz="4" w:space="0" w:color="auto"/>
            </w:tcBorders>
            <w:shd w:val="clear" w:color="auto" w:fill="FFFFFF" w:themeFill="background1"/>
            <w:vAlign w:val="center"/>
          </w:tcPr>
          <w:p w:rsidR="004B3837" w:rsidRPr="00D355CD" w:rsidRDefault="004B3837" w:rsidP="00B657E6">
            <w:pPr>
              <w:spacing w:line="200" w:lineRule="exact"/>
              <w:contextualSpacing/>
              <w:jc w:val="center"/>
              <w:rPr>
                <w:color w:val="auto"/>
                <w:sz w:val="20"/>
              </w:rPr>
            </w:pPr>
            <w:r w:rsidRPr="00D355CD">
              <w:rPr>
                <w:color w:val="auto"/>
                <w:sz w:val="20"/>
              </w:rPr>
              <w:t>6260</w:t>
            </w:r>
          </w:p>
        </w:tc>
        <w:tc>
          <w:tcPr>
            <w:tcW w:w="814" w:type="dxa"/>
            <w:tcBorders>
              <w:left w:val="single" w:sz="4" w:space="0" w:color="auto"/>
            </w:tcBorders>
            <w:shd w:val="clear" w:color="auto" w:fill="FFFFFF" w:themeFill="background1"/>
            <w:vAlign w:val="center"/>
          </w:tcPr>
          <w:p w:rsidR="004B3837" w:rsidRPr="00D355CD" w:rsidRDefault="004B3837" w:rsidP="00B657E6">
            <w:pPr>
              <w:spacing w:line="200" w:lineRule="exact"/>
              <w:contextualSpacing/>
              <w:jc w:val="center"/>
              <w:rPr>
                <w:color w:val="auto"/>
                <w:sz w:val="20"/>
              </w:rPr>
            </w:pPr>
            <w:r w:rsidRPr="00D355CD">
              <w:rPr>
                <w:color w:val="auto"/>
                <w:sz w:val="20"/>
              </w:rPr>
              <w:t>10%</w:t>
            </w:r>
          </w:p>
        </w:tc>
        <w:tc>
          <w:tcPr>
            <w:tcW w:w="1303" w:type="dxa"/>
            <w:shd w:val="clear" w:color="auto" w:fill="FFFFFF" w:themeFill="background1"/>
            <w:vAlign w:val="center"/>
          </w:tcPr>
          <w:p w:rsidR="004B3837" w:rsidRPr="00D355CD" w:rsidRDefault="004B3837" w:rsidP="00B657E6">
            <w:pPr>
              <w:spacing w:line="200" w:lineRule="exact"/>
              <w:contextualSpacing/>
              <w:jc w:val="center"/>
              <w:rPr>
                <w:color w:val="auto"/>
                <w:sz w:val="20"/>
              </w:rPr>
            </w:pPr>
            <w:r w:rsidRPr="00D355CD">
              <w:rPr>
                <w:color w:val="auto"/>
                <w:sz w:val="20"/>
              </w:rPr>
              <w:t>20081015</w:t>
            </w:r>
          </w:p>
        </w:tc>
      </w:tr>
      <w:tr w:rsidR="004B3837" w:rsidRPr="00D355CD" w:rsidTr="00B657E6">
        <w:trPr>
          <w:trHeight w:val="188"/>
          <w:jc w:val="center"/>
        </w:trPr>
        <w:tc>
          <w:tcPr>
            <w:tcW w:w="4043" w:type="dxa"/>
            <w:gridSpan w:val="3"/>
            <w:vMerge/>
            <w:tcBorders>
              <w:right w:val="thinThickThinSmallGap" w:sz="24" w:space="0" w:color="auto"/>
            </w:tcBorders>
            <w:shd w:val="clear" w:color="auto" w:fill="FFFFFF" w:themeFill="background1"/>
          </w:tcPr>
          <w:p w:rsidR="004B3837" w:rsidRPr="00D355CD" w:rsidRDefault="004B3837" w:rsidP="00B657E6">
            <w:pPr>
              <w:spacing w:line="200" w:lineRule="exact"/>
              <w:contextualSpacing/>
              <w:jc w:val="center"/>
              <w:rPr>
                <w:color w:val="auto"/>
                <w:sz w:val="20"/>
                <w:szCs w:val="20"/>
              </w:rPr>
            </w:pPr>
          </w:p>
        </w:tc>
        <w:tc>
          <w:tcPr>
            <w:tcW w:w="5542" w:type="dxa"/>
            <w:gridSpan w:val="4"/>
            <w:tcBorders>
              <w:left w:val="thinThickThinSmallGap" w:sz="24" w:space="0" w:color="auto"/>
            </w:tcBorders>
            <w:shd w:val="clear" w:color="auto" w:fill="FFFFFF" w:themeFill="background1"/>
            <w:vAlign w:val="center"/>
          </w:tcPr>
          <w:p w:rsidR="004B3837" w:rsidRPr="00D355CD" w:rsidRDefault="004B3837" w:rsidP="00B657E6">
            <w:pPr>
              <w:spacing w:line="200" w:lineRule="exact"/>
              <w:contextualSpacing/>
              <w:jc w:val="center"/>
              <w:rPr>
                <w:color w:val="auto"/>
                <w:sz w:val="20"/>
                <w:szCs w:val="20"/>
              </w:rPr>
            </w:pPr>
            <w:r w:rsidRPr="00D355CD">
              <w:rPr>
                <w:rFonts w:cs="Times New Roman"/>
                <w:color w:val="auto"/>
                <w:sz w:val="20"/>
                <w:szCs w:val="20"/>
              </w:rPr>
              <w:t xml:space="preserve">0% </w:t>
            </w:r>
            <w:r w:rsidR="003C1726" w:rsidRPr="00D355CD">
              <w:rPr>
                <w:rFonts w:cs="Times New Roman"/>
                <w:color w:val="auto"/>
                <w:sz w:val="20"/>
                <w:szCs w:val="20"/>
              </w:rPr>
              <w:t>x</w:t>
            </w:r>
            <w:r w:rsidRPr="00D355CD">
              <w:rPr>
                <w:rFonts w:cs="Times New Roman"/>
                <w:color w:val="auto"/>
                <w:sz w:val="20"/>
                <w:szCs w:val="20"/>
              </w:rPr>
              <w:t xml:space="preserve"> 2 / Not Service Connected </w:t>
            </w:r>
            <w:r w:rsidR="003C1726" w:rsidRPr="00D355CD">
              <w:rPr>
                <w:rFonts w:cs="Times New Roman"/>
                <w:color w:val="auto"/>
                <w:sz w:val="20"/>
                <w:szCs w:val="20"/>
              </w:rPr>
              <w:t>x</w:t>
            </w:r>
            <w:r w:rsidRPr="00D355CD">
              <w:rPr>
                <w:rFonts w:cs="Times New Roman"/>
                <w:color w:val="auto"/>
                <w:sz w:val="20"/>
                <w:szCs w:val="20"/>
              </w:rPr>
              <w:t xml:space="preserve"> 2</w:t>
            </w:r>
          </w:p>
        </w:tc>
      </w:tr>
      <w:tr w:rsidR="007C2E86" w:rsidRPr="00D355CD" w:rsidTr="003C1726">
        <w:trPr>
          <w:trHeight w:val="242"/>
          <w:jc w:val="center"/>
        </w:trPr>
        <w:tc>
          <w:tcPr>
            <w:tcW w:w="4043" w:type="dxa"/>
            <w:gridSpan w:val="3"/>
            <w:tcBorders>
              <w:right w:val="thinThickThinSmallGap" w:sz="24" w:space="0" w:color="auto"/>
            </w:tcBorders>
            <w:shd w:val="clear" w:color="auto" w:fill="D9D9D9" w:themeFill="background1" w:themeFillShade="D9"/>
            <w:vAlign w:val="center"/>
          </w:tcPr>
          <w:p w:rsidR="007C2E86" w:rsidRPr="00D355CD" w:rsidRDefault="007C2E86" w:rsidP="003C1726">
            <w:pPr>
              <w:spacing w:line="240" w:lineRule="exact"/>
              <w:contextualSpacing/>
              <w:jc w:val="center"/>
              <w:rPr>
                <w:b/>
                <w:color w:val="auto"/>
                <w:sz w:val="20"/>
                <w:szCs w:val="20"/>
              </w:rPr>
            </w:pPr>
            <w:r w:rsidRPr="00D355CD">
              <w:rPr>
                <w:b/>
                <w:color w:val="auto"/>
                <w:sz w:val="20"/>
                <w:szCs w:val="20"/>
              </w:rPr>
              <w:t>Combined:  10%</w:t>
            </w:r>
          </w:p>
        </w:tc>
        <w:tc>
          <w:tcPr>
            <w:tcW w:w="5542" w:type="dxa"/>
            <w:gridSpan w:val="4"/>
            <w:tcBorders>
              <w:left w:val="thinThickThinSmallGap" w:sz="24" w:space="0" w:color="auto"/>
            </w:tcBorders>
            <w:shd w:val="clear" w:color="auto" w:fill="D9D9D9" w:themeFill="background1" w:themeFillShade="D9"/>
            <w:vAlign w:val="center"/>
          </w:tcPr>
          <w:p w:rsidR="007C2E86" w:rsidRPr="00D355CD" w:rsidRDefault="007C2E86" w:rsidP="003C1726">
            <w:pPr>
              <w:spacing w:line="240" w:lineRule="exact"/>
              <w:contextualSpacing/>
              <w:jc w:val="center"/>
              <w:rPr>
                <w:b/>
                <w:color w:val="auto"/>
                <w:sz w:val="20"/>
                <w:szCs w:val="20"/>
              </w:rPr>
            </w:pPr>
            <w:r w:rsidRPr="00D355CD">
              <w:rPr>
                <w:b/>
                <w:color w:val="auto"/>
                <w:sz w:val="20"/>
                <w:szCs w:val="20"/>
              </w:rPr>
              <w:t xml:space="preserve">Combined: </w:t>
            </w:r>
            <w:r w:rsidR="003C1726" w:rsidRPr="00D355CD">
              <w:rPr>
                <w:b/>
                <w:color w:val="auto"/>
                <w:sz w:val="20"/>
                <w:szCs w:val="20"/>
              </w:rPr>
              <w:t xml:space="preserve"> </w:t>
            </w:r>
            <w:r w:rsidRPr="00D355CD">
              <w:rPr>
                <w:b/>
                <w:color w:val="auto"/>
                <w:sz w:val="20"/>
                <w:szCs w:val="20"/>
              </w:rPr>
              <w:t>50%</w:t>
            </w:r>
          </w:p>
        </w:tc>
      </w:tr>
    </w:tbl>
    <w:p w:rsidR="007F0AB7" w:rsidRPr="00D355CD" w:rsidRDefault="0041604B" w:rsidP="007F0AB7">
      <w:pPr>
        <w:tabs>
          <w:tab w:val="left" w:pos="288"/>
          <w:tab w:val="left" w:pos="4752"/>
        </w:tabs>
        <w:spacing w:line="240" w:lineRule="exact"/>
        <w:jc w:val="both"/>
        <w:rPr>
          <w:rFonts w:asciiTheme="minorHAnsi" w:hAnsiTheme="minorHAnsi"/>
          <w:b/>
          <w:color w:val="auto"/>
          <w:u w:val="single"/>
        </w:rPr>
      </w:pPr>
      <w:r w:rsidRPr="00D355CD">
        <w:rPr>
          <w:rFonts w:asciiTheme="minorHAnsi" w:hAnsiTheme="minorHAnsi"/>
          <w:b/>
          <w:color w:val="auto"/>
          <w:u w:val="single"/>
        </w:rPr>
        <w:t>__________________________________________________________________________</w:t>
      </w:r>
      <w:r w:rsidR="00FD4E9E">
        <w:rPr>
          <w:rFonts w:asciiTheme="minorHAnsi" w:hAnsiTheme="minorHAnsi"/>
          <w:b/>
          <w:color w:val="auto"/>
          <w:u w:val="single"/>
        </w:rPr>
        <w:tab/>
      </w:r>
    </w:p>
    <w:p w:rsidR="00D355CD" w:rsidRDefault="00D355CD">
      <w:pPr>
        <w:rPr>
          <w:rFonts w:asciiTheme="minorHAnsi" w:hAnsiTheme="minorHAnsi"/>
          <w:color w:val="auto"/>
          <w:szCs w:val="24"/>
          <w:u w:val="single"/>
        </w:rPr>
      </w:pPr>
    </w:p>
    <w:p w:rsidR="002C6E5B" w:rsidRPr="00D355CD" w:rsidRDefault="002C6E5B" w:rsidP="004B3837">
      <w:pPr>
        <w:tabs>
          <w:tab w:val="left" w:pos="288"/>
          <w:tab w:val="left" w:pos="4752"/>
        </w:tabs>
        <w:spacing w:line="240" w:lineRule="exact"/>
        <w:jc w:val="both"/>
        <w:rPr>
          <w:rFonts w:asciiTheme="minorHAnsi" w:hAnsiTheme="minorHAnsi"/>
          <w:color w:val="auto"/>
          <w:szCs w:val="24"/>
        </w:rPr>
      </w:pPr>
      <w:r w:rsidRPr="00D355CD">
        <w:rPr>
          <w:rFonts w:asciiTheme="minorHAnsi" w:hAnsiTheme="minorHAnsi"/>
          <w:color w:val="auto"/>
          <w:szCs w:val="24"/>
          <w:u w:val="single"/>
        </w:rPr>
        <w:t>ANALYSIS SUMMARY</w:t>
      </w:r>
      <w:r w:rsidRPr="00D355CD">
        <w:rPr>
          <w:rFonts w:asciiTheme="minorHAnsi" w:hAnsiTheme="minorHAnsi"/>
          <w:color w:val="auto"/>
          <w:szCs w:val="24"/>
        </w:rPr>
        <w:t>:</w:t>
      </w:r>
      <w:r w:rsidR="00C276CD" w:rsidRPr="00D355CD">
        <w:rPr>
          <w:rFonts w:asciiTheme="minorHAnsi" w:hAnsiTheme="minorHAnsi"/>
          <w:color w:val="auto"/>
          <w:szCs w:val="24"/>
        </w:rPr>
        <w:t xml:space="preserve">  </w:t>
      </w:r>
    </w:p>
    <w:p w:rsidR="001B6043" w:rsidRPr="00D355CD" w:rsidRDefault="001B6043" w:rsidP="004B3837">
      <w:pPr>
        <w:spacing w:line="240" w:lineRule="exact"/>
        <w:jc w:val="both"/>
        <w:rPr>
          <w:rFonts w:asciiTheme="minorHAnsi" w:hAnsiTheme="minorHAnsi"/>
          <w:color w:val="auto"/>
          <w:szCs w:val="24"/>
          <w:u w:val="single"/>
        </w:rPr>
      </w:pPr>
    </w:p>
    <w:p w:rsidR="00BB02BF" w:rsidRDefault="009D46A2" w:rsidP="004B3837">
      <w:pPr>
        <w:spacing w:line="240" w:lineRule="exact"/>
        <w:jc w:val="both"/>
        <w:rPr>
          <w:color w:val="auto"/>
          <w:szCs w:val="24"/>
        </w:rPr>
      </w:pPr>
      <w:proofErr w:type="gramStart"/>
      <w:r w:rsidRPr="00D355CD">
        <w:rPr>
          <w:rFonts w:asciiTheme="minorHAnsi" w:hAnsiTheme="minorHAnsi"/>
          <w:color w:val="auto"/>
          <w:szCs w:val="24"/>
          <w:u w:val="single"/>
        </w:rPr>
        <w:t>Degenerative Disc Disease, L4/5 and L5/S1</w:t>
      </w:r>
      <w:r w:rsidR="00CF14F0">
        <w:rPr>
          <w:rFonts w:asciiTheme="minorHAnsi" w:hAnsiTheme="minorHAnsi"/>
          <w:color w:val="auto"/>
          <w:szCs w:val="24"/>
          <w:u w:val="single"/>
        </w:rPr>
        <w:t>.</w:t>
      </w:r>
      <w:proofErr w:type="gramEnd"/>
      <w:r w:rsidRPr="00D355CD">
        <w:rPr>
          <w:rFonts w:asciiTheme="minorHAnsi" w:hAnsiTheme="minorHAnsi"/>
          <w:color w:val="auto"/>
          <w:szCs w:val="24"/>
        </w:rPr>
        <w:t xml:space="preserve">  </w:t>
      </w:r>
      <w:r w:rsidR="008A3802" w:rsidRPr="00D355CD">
        <w:rPr>
          <w:color w:val="auto"/>
          <w:szCs w:val="24"/>
        </w:rPr>
        <w:t xml:space="preserve">There were </w:t>
      </w:r>
      <w:r w:rsidRPr="00D355CD">
        <w:rPr>
          <w:color w:val="auto"/>
          <w:szCs w:val="24"/>
        </w:rPr>
        <w:t xml:space="preserve">five </w:t>
      </w:r>
      <w:r w:rsidR="008A3802" w:rsidRPr="00D355CD">
        <w:rPr>
          <w:color w:val="auto"/>
          <w:szCs w:val="24"/>
        </w:rPr>
        <w:t xml:space="preserve">goniometric </w:t>
      </w:r>
      <w:proofErr w:type="gramStart"/>
      <w:r w:rsidR="008A3802" w:rsidRPr="00D355CD">
        <w:rPr>
          <w:color w:val="auto"/>
          <w:szCs w:val="24"/>
        </w:rPr>
        <w:t>range</w:t>
      </w:r>
      <w:proofErr w:type="gramEnd"/>
      <w:r w:rsidR="00CF14F0">
        <w:rPr>
          <w:color w:val="auto"/>
          <w:szCs w:val="24"/>
        </w:rPr>
        <w:t xml:space="preserve"> </w:t>
      </w:r>
      <w:r w:rsidR="008A3802" w:rsidRPr="00D355CD">
        <w:rPr>
          <w:color w:val="auto"/>
          <w:szCs w:val="24"/>
        </w:rPr>
        <w:t>of</w:t>
      </w:r>
      <w:r w:rsidR="00CF14F0">
        <w:rPr>
          <w:color w:val="auto"/>
          <w:szCs w:val="24"/>
        </w:rPr>
        <w:t xml:space="preserve"> </w:t>
      </w:r>
      <w:r w:rsidR="008A3802" w:rsidRPr="00D355CD">
        <w:rPr>
          <w:color w:val="auto"/>
          <w:szCs w:val="24"/>
        </w:rPr>
        <w:t>motion (ROM) evaluations in evidence which the Board weighed in arriving at its rating recommendation.  These exams are summarized in the</w:t>
      </w:r>
      <w:r w:rsidR="00CF14F0">
        <w:rPr>
          <w:color w:val="auto"/>
          <w:szCs w:val="24"/>
        </w:rPr>
        <w:t xml:space="preserve"> following</w:t>
      </w:r>
      <w:r w:rsidR="008A3802" w:rsidRPr="00D355CD">
        <w:rPr>
          <w:color w:val="auto"/>
          <w:szCs w:val="24"/>
        </w:rPr>
        <w:t xml:space="preserve"> chart</w:t>
      </w:r>
      <w:r w:rsidR="00CF14F0">
        <w:rPr>
          <w:color w:val="auto"/>
          <w:szCs w:val="24"/>
        </w:rPr>
        <w:t>.</w:t>
      </w:r>
    </w:p>
    <w:p w:rsidR="00CF14F0" w:rsidRDefault="00CF14F0" w:rsidP="004B3837">
      <w:pPr>
        <w:spacing w:line="240" w:lineRule="exact"/>
        <w:jc w:val="both"/>
        <w:rPr>
          <w:color w:val="auto"/>
          <w:szCs w:val="24"/>
        </w:rPr>
      </w:pPr>
    </w:p>
    <w:p w:rsidR="00CF14F0" w:rsidRDefault="00CF14F0" w:rsidP="004B3837">
      <w:pPr>
        <w:spacing w:line="240" w:lineRule="exact"/>
        <w:jc w:val="both"/>
        <w:rPr>
          <w:color w:val="auto"/>
          <w:szCs w:val="24"/>
        </w:rPr>
      </w:pPr>
    </w:p>
    <w:p w:rsidR="00CF14F0" w:rsidRDefault="00CF14F0" w:rsidP="004B3837">
      <w:pPr>
        <w:spacing w:line="240" w:lineRule="exact"/>
        <w:jc w:val="both"/>
        <w:rPr>
          <w:color w:val="auto"/>
          <w:szCs w:val="24"/>
        </w:rPr>
      </w:pPr>
    </w:p>
    <w:p w:rsidR="00CF14F0" w:rsidRPr="00D355CD" w:rsidRDefault="00CF14F0" w:rsidP="004B3837">
      <w:pPr>
        <w:spacing w:line="240" w:lineRule="exact"/>
        <w:jc w:val="both"/>
        <w:rPr>
          <w:rFonts w:asciiTheme="minorHAnsi" w:hAnsiTheme="minorHAnsi"/>
          <w:color w:val="auto"/>
          <w:szCs w:val="24"/>
        </w:rPr>
      </w:pPr>
    </w:p>
    <w:p w:rsidR="00B7313F" w:rsidRPr="00D355CD" w:rsidRDefault="00B7313F" w:rsidP="004B3837">
      <w:pPr>
        <w:spacing w:line="240" w:lineRule="exact"/>
        <w:jc w:val="both"/>
        <w:rPr>
          <w:rFonts w:asciiTheme="minorHAnsi" w:hAnsiTheme="minorHAnsi"/>
          <w:color w:val="auto"/>
          <w:szCs w:val="24"/>
        </w:rPr>
      </w:pPr>
    </w:p>
    <w:tbl>
      <w:tblPr>
        <w:tblW w:w="85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4"/>
        <w:gridCol w:w="1383"/>
        <w:gridCol w:w="1440"/>
        <w:gridCol w:w="1350"/>
        <w:gridCol w:w="1260"/>
        <w:gridCol w:w="1396"/>
      </w:tblGrid>
      <w:tr w:rsidR="009D46A2" w:rsidRPr="00D355CD" w:rsidTr="00D355CD">
        <w:trPr>
          <w:jc w:val="center"/>
        </w:trPr>
        <w:tc>
          <w:tcPr>
            <w:tcW w:w="1724" w:type="dxa"/>
            <w:tcBorders>
              <w:top w:val="single" w:sz="4" w:space="0" w:color="000000"/>
              <w:left w:val="single" w:sz="4" w:space="0" w:color="000000"/>
              <w:bottom w:val="single" w:sz="4" w:space="0" w:color="000000"/>
              <w:right w:val="single" w:sz="4" w:space="0" w:color="000000"/>
            </w:tcBorders>
            <w:shd w:val="pct15" w:color="auto" w:fill="auto"/>
            <w:hideMark/>
          </w:tcPr>
          <w:p w:rsidR="009D46A2" w:rsidRPr="00D355CD" w:rsidRDefault="009D46A2" w:rsidP="004B3837">
            <w:pPr>
              <w:pStyle w:val="ListParagraph"/>
              <w:spacing w:after="0" w:line="240" w:lineRule="exact"/>
              <w:ind w:left="0"/>
              <w:jc w:val="both"/>
              <w:rPr>
                <w:rFonts w:eastAsia="Calibri" w:cs="Times New Roman"/>
                <w:b/>
                <w:sz w:val="20"/>
                <w:szCs w:val="20"/>
              </w:rPr>
            </w:pPr>
            <w:r w:rsidRPr="00D355CD">
              <w:rPr>
                <w:rFonts w:eastAsia="Calibri"/>
                <w:sz w:val="20"/>
                <w:szCs w:val="20"/>
              </w:rPr>
              <w:lastRenderedPageBreak/>
              <w:t>Goniometric ROM  Thoracolumbar</w:t>
            </w:r>
          </w:p>
        </w:tc>
        <w:tc>
          <w:tcPr>
            <w:tcW w:w="1383" w:type="dxa"/>
            <w:tcBorders>
              <w:top w:val="single" w:sz="4" w:space="0" w:color="000000"/>
              <w:left w:val="single" w:sz="4" w:space="0" w:color="000000"/>
              <w:bottom w:val="single" w:sz="4" w:space="0" w:color="000000"/>
              <w:right w:val="single" w:sz="4" w:space="0" w:color="000000"/>
            </w:tcBorders>
            <w:shd w:val="pct15" w:color="auto" w:fill="auto"/>
            <w:vAlign w:val="center"/>
          </w:tcPr>
          <w:p w:rsidR="009D46A2" w:rsidRPr="00D355CD" w:rsidRDefault="009D46A2" w:rsidP="00B657E6">
            <w:pPr>
              <w:spacing w:line="240" w:lineRule="exact"/>
              <w:contextualSpacing/>
              <w:jc w:val="both"/>
              <w:rPr>
                <w:rFonts w:eastAsia="Calibri"/>
                <w:color w:val="auto"/>
                <w:sz w:val="20"/>
              </w:rPr>
            </w:pPr>
            <w:r w:rsidRPr="00D355CD">
              <w:rPr>
                <w:rFonts w:eastAsia="Calibri"/>
                <w:color w:val="auto"/>
                <w:sz w:val="20"/>
              </w:rPr>
              <w:t>MEB</w:t>
            </w:r>
            <w:r w:rsidR="00B657E6">
              <w:rPr>
                <w:rFonts w:eastAsia="Calibri"/>
                <w:color w:val="auto"/>
                <w:sz w:val="20"/>
              </w:rPr>
              <w:t xml:space="preserve"> </w:t>
            </w:r>
            <w:r w:rsidRPr="00D355CD">
              <w:rPr>
                <w:rFonts w:eastAsia="Calibri"/>
                <w:color w:val="auto"/>
                <w:sz w:val="20"/>
              </w:rPr>
              <w:t xml:space="preserve">- ~ 9 </w:t>
            </w:r>
            <w:r w:rsidR="00B657E6">
              <w:rPr>
                <w:rFonts w:eastAsia="Calibri"/>
                <w:color w:val="auto"/>
                <w:sz w:val="20"/>
              </w:rPr>
              <w:t xml:space="preserve">  </w:t>
            </w:r>
            <w:r w:rsidRPr="00D355CD">
              <w:rPr>
                <w:rFonts w:eastAsia="Calibri"/>
                <w:color w:val="auto"/>
                <w:sz w:val="20"/>
              </w:rPr>
              <w:t>Mo. Pre-Sep.</w:t>
            </w:r>
          </w:p>
        </w:tc>
        <w:tc>
          <w:tcPr>
            <w:tcW w:w="1440" w:type="dxa"/>
            <w:tcBorders>
              <w:top w:val="single" w:sz="4" w:space="0" w:color="000000"/>
              <w:left w:val="single" w:sz="4" w:space="0" w:color="000000"/>
              <w:bottom w:val="single" w:sz="4" w:space="0" w:color="000000"/>
              <w:right w:val="single" w:sz="4" w:space="0" w:color="000000"/>
            </w:tcBorders>
            <w:shd w:val="pct15" w:color="auto" w:fill="auto"/>
          </w:tcPr>
          <w:p w:rsidR="009D46A2" w:rsidRPr="00D355CD" w:rsidRDefault="009D46A2" w:rsidP="00D355CD">
            <w:pPr>
              <w:spacing w:line="240" w:lineRule="exact"/>
              <w:contextualSpacing/>
              <w:jc w:val="both"/>
              <w:rPr>
                <w:rFonts w:asciiTheme="minorHAnsi" w:eastAsia="Calibri" w:hAnsiTheme="minorHAnsi"/>
                <w:color w:val="auto"/>
                <w:sz w:val="20"/>
              </w:rPr>
            </w:pPr>
            <w:r w:rsidRPr="00D355CD">
              <w:rPr>
                <w:rFonts w:asciiTheme="minorHAnsi" w:eastAsia="Calibri" w:hAnsiTheme="minorHAnsi"/>
                <w:color w:val="auto"/>
                <w:sz w:val="20"/>
              </w:rPr>
              <w:t xml:space="preserve">IPEB Recon ~ 6 </w:t>
            </w:r>
            <w:r w:rsidR="00B657E6" w:rsidRPr="00D355CD">
              <w:rPr>
                <w:rFonts w:asciiTheme="minorHAnsi" w:eastAsia="Calibri" w:hAnsiTheme="minorHAnsi"/>
                <w:color w:val="auto"/>
                <w:sz w:val="20"/>
              </w:rPr>
              <w:t>Mo.</w:t>
            </w:r>
            <w:r w:rsidRPr="00D355CD">
              <w:rPr>
                <w:rFonts w:asciiTheme="minorHAnsi" w:eastAsia="Calibri" w:hAnsiTheme="minorHAnsi"/>
                <w:color w:val="auto"/>
                <w:sz w:val="20"/>
              </w:rPr>
              <w:t xml:space="preserve"> </w:t>
            </w:r>
            <w:r w:rsidR="00D355CD">
              <w:rPr>
                <w:rFonts w:asciiTheme="minorHAnsi" w:eastAsia="Calibri" w:hAnsiTheme="minorHAnsi"/>
                <w:color w:val="auto"/>
                <w:sz w:val="20"/>
              </w:rPr>
              <w:t>P</w:t>
            </w:r>
            <w:r w:rsidRPr="00D355CD">
              <w:rPr>
                <w:rFonts w:asciiTheme="minorHAnsi" w:eastAsia="Calibri" w:hAnsiTheme="minorHAnsi"/>
                <w:color w:val="auto"/>
                <w:sz w:val="20"/>
              </w:rPr>
              <w:t>re-</w:t>
            </w:r>
            <w:r w:rsidR="00D355CD">
              <w:rPr>
                <w:rFonts w:asciiTheme="minorHAnsi" w:eastAsia="Calibri" w:hAnsiTheme="minorHAnsi"/>
                <w:color w:val="auto"/>
                <w:sz w:val="20"/>
              </w:rPr>
              <w:t>S</w:t>
            </w:r>
            <w:r w:rsidRPr="00D355CD">
              <w:rPr>
                <w:rFonts w:asciiTheme="minorHAnsi" w:eastAsia="Calibri" w:hAnsiTheme="minorHAnsi"/>
                <w:color w:val="auto"/>
                <w:sz w:val="20"/>
              </w:rPr>
              <w:t>ep</w:t>
            </w:r>
          </w:p>
        </w:tc>
        <w:tc>
          <w:tcPr>
            <w:tcW w:w="1350" w:type="dxa"/>
            <w:tcBorders>
              <w:top w:val="single" w:sz="4" w:space="0" w:color="000000"/>
              <w:left w:val="single" w:sz="4" w:space="0" w:color="000000"/>
              <w:bottom w:val="single" w:sz="4" w:space="0" w:color="000000"/>
              <w:right w:val="single" w:sz="4" w:space="0" w:color="000000"/>
            </w:tcBorders>
            <w:shd w:val="pct15" w:color="auto" w:fill="auto"/>
            <w:vAlign w:val="center"/>
          </w:tcPr>
          <w:p w:rsidR="009D46A2" w:rsidRPr="00D355CD" w:rsidRDefault="00D355CD" w:rsidP="004B3837">
            <w:pPr>
              <w:spacing w:line="240" w:lineRule="exact"/>
              <w:contextualSpacing/>
              <w:jc w:val="both"/>
              <w:rPr>
                <w:rFonts w:asciiTheme="minorHAnsi" w:eastAsia="Calibri" w:hAnsiTheme="minorHAnsi"/>
                <w:color w:val="auto"/>
                <w:sz w:val="20"/>
              </w:rPr>
            </w:pPr>
            <w:r>
              <w:rPr>
                <w:rFonts w:asciiTheme="minorHAnsi" w:eastAsia="Calibri" w:hAnsiTheme="minorHAnsi"/>
                <w:color w:val="auto"/>
                <w:sz w:val="20"/>
              </w:rPr>
              <w:t>FPEB/</w:t>
            </w:r>
            <w:r w:rsidR="009D46A2" w:rsidRPr="00D355CD">
              <w:rPr>
                <w:rFonts w:asciiTheme="minorHAnsi" w:eastAsia="Calibri" w:hAnsiTheme="minorHAnsi"/>
                <w:color w:val="auto"/>
                <w:sz w:val="20"/>
              </w:rPr>
              <w:t xml:space="preserve">MD ~ 4 Mo. Pre-Sep </w:t>
            </w:r>
          </w:p>
        </w:tc>
        <w:tc>
          <w:tcPr>
            <w:tcW w:w="126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9D46A2" w:rsidRPr="00D355CD" w:rsidRDefault="009D46A2" w:rsidP="004B3837">
            <w:pPr>
              <w:spacing w:line="240" w:lineRule="exact"/>
              <w:contextualSpacing/>
              <w:jc w:val="both"/>
              <w:rPr>
                <w:rFonts w:asciiTheme="minorHAnsi" w:eastAsia="Calibri" w:hAnsiTheme="minorHAnsi"/>
                <w:color w:val="auto"/>
                <w:sz w:val="20"/>
              </w:rPr>
            </w:pPr>
            <w:r w:rsidRPr="00D355CD">
              <w:rPr>
                <w:rFonts w:asciiTheme="minorHAnsi" w:eastAsia="Calibri" w:hAnsiTheme="minorHAnsi"/>
                <w:color w:val="auto"/>
                <w:sz w:val="20"/>
              </w:rPr>
              <w:t>FPEB</w:t>
            </w:r>
            <w:r w:rsidR="00D355CD">
              <w:rPr>
                <w:rFonts w:asciiTheme="minorHAnsi" w:eastAsia="Calibri" w:hAnsiTheme="minorHAnsi"/>
                <w:color w:val="auto"/>
                <w:sz w:val="20"/>
              </w:rPr>
              <w:t>/</w:t>
            </w:r>
            <w:r w:rsidRPr="00D355CD">
              <w:rPr>
                <w:rFonts w:asciiTheme="minorHAnsi" w:eastAsia="Calibri" w:hAnsiTheme="minorHAnsi"/>
                <w:color w:val="auto"/>
                <w:sz w:val="20"/>
              </w:rPr>
              <w:t xml:space="preserve">PT ~ 4 Mo. Pre-Sep </w:t>
            </w:r>
          </w:p>
        </w:tc>
        <w:tc>
          <w:tcPr>
            <w:tcW w:w="1396"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9D46A2" w:rsidRPr="00D355CD" w:rsidRDefault="009D46A2" w:rsidP="00D355CD">
            <w:pPr>
              <w:spacing w:line="240" w:lineRule="exact"/>
              <w:contextualSpacing/>
              <w:jc w:val="both"/>
              <w:rPr>
                <w:rFonts w:eastAsiaTheme="minorHAnsi" w:cstheme="minorBidi"/>
                <w:color w:val="auto"/>
                <w:sz w:val="20"/>
              </w:rPr>
            </w:pPr>
            <w:r w:rsidRPr="00D355CD">
              <w:rPr>
                <w:rFonts w:eastAsia="Calibri"/>
                <w:color w:val="auto"/>
                <w:sz w:val="20"/>
              </w:rPr>
              <w:t>VA</w:t>
            </w:r>
            <w:r w:rsidRPr="00D355CD">
              <w:rPr>
                <w:rFonts w:eastAsiaTheme="minorHAnsi" w:cstheme="minorBidi"/>
                <w:color w:val="auto"/>
                <w:sz w:val="20"/>
              </w:rPr>
              <w:t xml:space="preserve"> C&amp;P - </w:t>
            </w:r>
            <w:r w:rsidRPr="00D355CD">
              <w:rPr>
                <w:rFonts w:eastAsia="Calibri"/>
                <w:color w:val="auto"/>
                <w:sz w:val="20"/>
              </w:rPr>
              <w:t>~ 3 Mo. Pr</w:t>
            </w:r>
            <w:r w:rsidR="00D355CD">
              <w:rPr>
                <w:rFonts w:eastAsia="Calibri"/>
                <w:color w:val="auto"/>
                <w:sz w:val="20"/>
              </w:rPr>
              <w:t>e-</w:t>
            </w:r>
            <w:r w:rsidRPr="00D355CD">
              <w:rPr>
                <w:rFonts w:eastAsia="Calibri"/>
                <w:color w:val="auto"/>
                <w:sz w:val="20"/>
              </w:rPr>
              <w:t>Sep</w:t>
            </w:r>
          </w:p>
        </w:tc>
      </w:tr>
      <w:tr w:rsidR="009D46A2" w:rsidRPr="00D355CD" w:rsidTr="00B657E6">
        <w:trPr>
          <w:jc w:val="center"/>
        </w:trPr>
        <w:tc>
          <w:tcPr>
            <w:tcW w:w="1724" w:type="dxa"/>
            <w:tcBorders>
              <w:top w:val="single" w:sz="4" w:space="0" w:color="000000"/>
              <w:left w:val="single" w:sz="4" w:space="0" w:color="000000"/>
              <w:bottom w:val="single" w:sz="4" w:space="0" w:color="000000"/>
              <w:right w:val="single" w:sz="4" w:space="0" w:color="000000"/>
            </w:tcBorders>
            <w:hideMark/>
          </w:tcPr>
          <w:p w:rsidR="009D46A2" w:rsidRPr="00D355CD" w:rsidRDefault="009D46A2" w:rsidP="004B3837">
            <w:pPr>
              <w:pStyle w:val="ListParagraph"/>
              <w:spacing w:after="0" w:line="240" w:lineRule="exact"/>
              <w:ind w:left="0"/>
              <w:jc w:val="both"/>
              <w:rPr>
                <w:rFonts w:eastAsia="Calibri" w:cs="Times New Roman"/>
                <w:sz w:val="18"/>
                <w:szCs w:val="18"/>
              </w:rPr>
            </w:pPr>
            <w:r w:rsidRPr="00D355CD">
              <w:rPr>
                <w:rFonts w:eastAsia="Calibri" w:cs="Times New Roman"/>
                <w:sz w:val="18"/>
                <w:szCs w:val="18"/>
              </w:rPr>
              <w:t>Flex (0-90)</w:t>
            </w:r>
          </w:p>
        </w:tc>
        <w:tc>
          <w:tcPr>
            <w:tcW w:w="1383" w:type="dxa"/>
            <w:tcBorders>
              <w:top w:val="single" w:sz="4" w:space="0" w:color="000000"/>
              <w:left w:val="single" w:sz="4" w:space="0" w:color="000000"/>
              <w:bottom w:val="single" w:sz="4" w:space="0" w:color="000000"/>
              <w:right w:val="single" w:sz="4" w:space="0" w:color="000000"/>
            </w:tcBorders>
          </w:tcPr>
          <w:p w:rsidR="009D46A2" w:rsidRPr="00D355CD" w:rsidRDefault="009D46A2" w:rsidP="00B657E6">
            <w:pPr>
              <w:spacing w:line="240" w:lineRule="exact"/>
              <w:contextualSpacing/>
              <w:jc w:val="center"/>
              <w:rPr>
                <w:rFonts w:eastAsia="Calibri"/>
                <w:color w:val="auto"/>
                <w:sz w:val="18"/>
                <w:szCs w:val="18"/>
              </w:rPr>
            </w:pPr>
            <w:r w:rsidRPr="00D355CD">
              <w:rPr>
                <w:rFonts w:eastAsia="Calibri"/>
                <w:color w:val="auto"/>
                <w:sz w:val="18"/>
                <w:szCs w:val="18"/>
              </w:rPr>
              <w:t>60⁰</w:t>
            </w:r>
          </w:p>
        </w:tc>
        <w:tc>
          <w:tcPr>
            <w:tcW w:w="1440" w:type="dxa"/>
            <w:tcBorders>
              <w:top w:val="single" w:sz="4" w:space="0" w:color="000000"/>
              <w:left w:val="single" w:sz="4" w:space="0" w:color="000000"/>
              <w:bottom w:val="single" w:sz="4" w:space="0" w:color="000000"/>
              <w:right w:val="single" w:sz="4" w:space="0" w:color="000000"/>
            </w:tcBorders>
          </w:tcPr>
          <w:p w:rsidR="009D46A2" w:rsidRPr="00D355CD" w:rsidRDefault="009D46A2" w:rsidP="00B657E6">
            <w:pPr>
              <w:spacing w:line="240" w:lineRule="exact"/>
              <w:contextualSpacing/>
              <w:jc w:val="center"/>
              <w:rPr>
                <w:rFonts w:eastAsia="Calibri"/>
                <w:color w:val="auto"/>
                <w:sz w:val="18"/>
                <w:szCs w:val="18"/>
              </w:rPr>
            </w:pPr>
            <w:r w:rsidRPr="00D355CD">
              <w:rPr>
                <w:rFonts w:eastAsia="Calibri"/>
                <w:color w:val="auto"/>
                <w:sz w:val="18"/>
                <w:szCs w:val="18"/>
              </w:rPr>
              <w:t>40⁰</w:t>
            </w:r>
          </w:p>
        </w:tc>
        <w:tc>
          <w:tcPr>
            <w:tcW w:w="1350" w:type="dxa"/>
            <w:tcBorders>
              <w:top w:val="single" w:sz="4" w:space="0" w:color="000000"/>
              <w:left w:val="single" w:sz="4" w:space="0" w:color="000000"/>
              <w:bottom w:val="single" w:sz="4" w:space="0" w:color="000000"/>
              <w:right w:val="single" w:sz="4" w:space="0" w:color="000000"/>
            </w:tcBorders>
          </w:tcPr>
          <w:p w:rsidR="009D46A2" w:rsidRPr="00D355CD" w:rsidRDefault="009D46A2" w:rsidP="00B657E6">
            <w:pPr>
              <w:spacing w:line="240" w:lineRule="exact"/>
              <w:contextualSpacing/>
              <w:jc w:val="center"/>
              <w:rPr>
                <w:rFonts w:eastAsia="Calibri"/>
                <w:color w:val="auto"/>
                <w:sz w:val="18"/>
                <w:szCs w:val="18"/>
              </w:rPr>
            </w:pPr>
            <w:r w:rsidRPr="00D355CD">
              <w:rPr>
                <w:rFonts w:eastAsia="Calibri"/>
                <w:color w:val="auto"/>
                <w:sz w:val="18"/>
                <w:szCs w:val="18"/>
              </w:rPr>
              <w:t>45⁰</w:t>
            </w:r>
          </w:p>
        </w:tc>
        <w:tc>
          <w:tcPr>
            <w:tcW w:w="1260" w:type="dxa"/>
            <w:tcBorders>
              <w:top w:val="single" w:sz="4" w:space="0" w:color="000000"/>
              <w:left w:val="single" w:sz="4" w:space="0" w:color="000000"/>
              <w:bottom w:val="single" w:sz="4" w:space="0" w:color="000000"/>
              <w:right w:val="single" w:sz="4" w:space="0" w:color="000000"/>
            </w:tcBorders>
          </w:tcPr>
          <w:p w:rsidR="009D46A2" w:rsidRPr="00D355CD" w:rsidRDefault="009D46A2" w:rsidP="00B657E6">
            <w:pPr>
              <w:spacing w:line="240" w:lineRule="exact"/>
              <w:contextualSpacing/>
              <w:jc w:val="center"/>
              <w:rPr>
                <w:rFonts w:eastAsia="Calibri"/>
                <w:color w:val="auto"/>
                <w:sz w:val="18"/>
                <w:szCs w:val="18"/>
              </w:rPr>
            </w:pPr>
            <w:r w:rsidRPr="00D355CD">
              <w:rPr>
                <w:rFonts w:eastAsia="Calibri"/>
                <w:color w:val="auto"/>
                <w:sz w:val="18"/>
                <w:szCs w:val="18"/>
              </w:rPr>
              <w:t>40⁰</w:t>
            </w:r>
          </w:p>
        </w:tc>
        <w:tc>
          <w:tcPr>
            <w:tcW w:w="1396" w:type="dxa"/>
            <w:tcBorders>
              <w:top w:val="single" w:sz="4" w:space="0" w:color="000000"/>
              <w:left w:val="single" w:sz="4" w:space="0" w:color="000000"/>
              <w:bottom w:val="single" w:sz="4" w:space="0" w:color="000000"/>
              <w:right w:val="single" w:sz="4" w:space="0" w:color="000000"/>
            </w:tcBorders>
          </w:tcPr>
          <w:p w:rsidR="009D46A2" w:rsidRPr="00D355CD" w:rsidRDefault="009D46A2" w:rsidP="00B657E6">
            <w:pPr>
              <w:spacing w:line="240" w:lineRule="exact"/>
              <w:contextualSpacing/>
              <w:jc w:val="center"/>
              <w:rPr>
                <w:rFonts w:eastAsia="Calibri"/>
                <w:color w:val="auto"/>
                <w:sz w:val="18"/>
                <w:szCs w:val="18"/>
              </w:rPr>
            </w:pPr>
            <w:r w:rsidRPr="00D355CD">
              <w:rPr>
                <w:rFonts w:eastAsia="Calibri"/>
                <w:color w:val="auto"/>
                <w:sz w:val="18"/>
                <w:szCs w:val="18"/>
              </w:rPr>
              <w:t>90⁰</w:t>
            </w:r>
            <w:r w:rsidR="003C1726" w:rsidRPr="00D355CD">
              <w:rPr>
                <w:rFonts w:eastAsia="Calibri"/>
                <w:color w:val="auto"/>
                <w:sz w:val="18"/>
                <w:szCs w:val="18"/>
              </w:rPr>
              <w:t>*</w:t>
            </w:r>
          </w:p>
        </w:tc>
      </w:tr>
      <w:tr w:rsidR="009D46A2" w:rsidRPr="00D355CD" w:rsidTr="00B657E6">
        <w:trPr>
          <w:jc w:val="center"/>
        </w:trPr>
        <w:tc>
          <w:tcPr>
            <w:tcW w:w="1724" w:type="dxa"/>
            <w:tcBorders>
              <w:top w:val="single" w:sz="4" w:space="0" w:color="000000"/>
              <w:left w:val="single" w:sz="4" w:space="0" w:color="000000"/>
              <w:bottom w:val="single" w:sz="4" w:space="0" w:color="000000"/>
              <w:right w:val="single" w:sz="4" w:space="0" w:color="000000"/>
            </w:tcBorders>
            <w:hideMark/>
          </w:tcPr>
          <w:p w:rsidR="009D46A2" w:rsidRPr="00D355CD" w:rsidRDefault="009D46A2" w:rsidP="004B3837">
            <w:pPr>
              <w:pStyle w:val="ListParagraph"/>
              <w:spacing w:after="0" w:line="240" w:lineRule="exact"/>
              <w:ind w:left="0"/>
              <w:jc w:val="both"/>
              <w:rPr>
                <w:rFonts w:eastAsia="Calibri" w:cs="Times New Roman"/>
                <w:sz w:val="18"/>
                <w:szCs w:val="18"/>
              </w:rPr>
            </w:pPr>
            <w:r w:rsidRPr="00D355CD">
              <w:rPr>
                <w:rFonts w:eastAsia="Calibri" w:cs="Times New Roman"/>
                <w:sz w:val="18"/>
                <w:szCs w:val="18"/>
              </w:rPr>
              <w:t>Ext (0-30)</w:t>
            </w:r>
          </w:p>
        </w:tc>
        <w:tc>
          <w:tcPr>
            <w:tcW w:w="1383" w:type="dxa"/>
            <w:tcBorders>
              <w:top w:val="single" w:sz="4" w:space="0" w:color="000000"/>
              <w:left w:val="single" w:sz="4" w:space="0" w:color="000000"/>
              <w:bottom w:val="single" w:sz="4" w:space="0" w:color="000000"/>
              <w:right w:val="single" w:sz="4" w:space="0" w:color="000000"/>
            </w:tcBorders>
          </w:tcPr>
          <w:p w:rsidR="009D46A2" w:rsidRPr="00D355CD" w:rsidRDefault="009D46A2" w:rsidP="00B657E6">
            <w:pPr>
              <w:spacing w:line="240" w:lineRule="exact"/>
              <w:contextualSpacing/>
              <w:jc w:val="center"/>
              <w:rPr>
                <w:rFonts w:eastAsia="Calibri"/>
                <w:color w:val="auto"/>
                <w:sz w:val="18"/>
                <w:szCs w:val="18"/>
              </w:rPr>
            </w:pPr>
            <w:r w:rsidRPr="00D355CD">
              <w:rPr>
                <w:rFonts w:eastAsia="Calibri"/>
                <w:color w:val="auto"/>
                <w:sz w:val="18"/>
                <w:szCs w:val="18"/>
              </w:rPr>
              <w:t>5⁰</w:t>
            </w:r>
          </w:p>
        </w:tc>
        <w:tc>
          <w:tcPr>
            <w:tcW w:w="1440" w:type="dxa"/>
            <w:tcBorders>
              <w:top w:val="single" w:sz="4" w:space="0" w:color="000000"/>
              <w:left w:val="single" w:sz="4" w:space="0" w:color="000000"/>
              <w:bottom w:val="single" w:sz="4" w:space="0" w:color="000000"/>
              <w:right w:val="single" w:sz="4" w:space="0" w:color="000000"/>
            </w:tcBorders>
          </w:tcPr>
          <w:p w:rsidR="009D46A2" w:rsidRPr="00D355CD" w:rsidRDefault="009D46A2" w:rsidP="00B657E6">
            <w:pPr>
              <w:spacing w:line="240" w:lineRule="exact"/>
              <w:contextualSpacing/>
              <w:jc w:val="center"/>
              <w:rPr>
                <w:rFonts w:eastAsia="Calibri"/>
                <w:color w:val="auto"/>
                <w:sz w:val="18"/>
                <w:szCs w:val="18"/>
              </w:rPr>
            </w:pPr>
            <w:r w:rsidRPr="00D355CD">
              <w:rPr>
                <w:rFonts w:eastAsia="Calibri"/>
                <w:color w:val="auto"/>
                <w:sz w:val="18"/>
                <w:szCs w:val="18"/>
              </w:rPr>
              <w:t>10⁰</w:t>
            </w:r>
          </w:p>
        </w:tc>
        <w:tc>
          <w:tcPr>
            <w:tcW w:w="1350" w:type="dxa"/>
            <w:tcBorders>
              <w:top w:val="single" w:sz="4" w:space="0" w:color="000000"/>
              <w:left w:val="single" w:sz="4" w:space="0" w:color="000000"/>
              <w:bottom w:val="single" w:sz="4" w:space="0" w:color="000000"/>
              <w:right w:val="single" w:sz="4" w:space="0" w:color="000000"/>
            </w:tcBorders>
          </w:tcPr>
          <w:p w:rsidR="009D46A2" w:rsidRPr="00D355CD" w:rsidRDefault="009D46A2" w:rsidP="00B657E6">
            <w:pPr>
              <w:spacing w:line="240" w:lineRule="exact"/>
              <w:contextualSpacing/>
              <w:jc w:val="center"/>
              <w:rPr>
                <w:rFonts w:eastAsia="Calibri"/>
                <w:color w:val="auto"/>
                <w:sz w:val="18"/>
                <w:szCs w:val="18"/>
              </w:rPr>
            </w:pPr>
            <w:r w:rsidRPr="00D355CD">
              <w:rPr>
                <w:rFonts w:eastAsia="Calibri"/>
                <w:color w:val="auto"/>
                <w:sz w:val="18"/>
                <w:szCs w:val="18"/>
              </w:rPr>
              <w:t>5⁰</w:t>
            </w:r>
          </w:p>
        </w:tc>
        <w:tc>
          <w:tcPr>
            <w:tcW w:w="1260" w:type="dxa"/>
            <w:tcBorders>
              <w:top w:val="single" w:sz="4" w:space="0" w:color="000000"/>
              <w:left w:val="single" w:sz="4" w:space="0" w:color="000000"/>
              <w:bottom w:val="single" w:sz="4" w:space="0" w:color="000000"/>
              <w:right w:val="single" w:sz="4" w:space="0" w:color="000000"/>
            </w:tcBorders>
          </w:tcPr>
          <w:p w:rsidR="009D46A2" w:rsidRPr="00D355CD" w:rsidRDefault="009D46A2" w:rsidP="00B657E6">
            <w:pPr>
              <w:spacing w:line="240" w:lineRule="exact"/>
              <w:contextualSpacing/>
              <w:jc w:val="center"/>
              <w:rPr>
                <w:rFonts w:eastAsia="Calibri"/>
                <w:color w:val="auto"/>
                <w:sz w:val="18"/>
                <w:szCs w:val="18"/>
              </w:rPr>
            </w:pPr>
            <w:r w:rsidRPr="00D355CD">
              <w:rPr>
                <w:rFonts w:eastAsia="Calibri"/>
                <w:color w:val="auto"/>
                <w:sz w:val="18"/>
                <w:szCs w:val="18"/>
              </w:rPr>
              <w:t>30⁰</w:t>
            </w:r>
          </w:p>
        </w:tc>
        <w:tc>
          <w:tcPr>
            <w:tcW w:w="1396" w:type="dxa"/>
            <w:tcBorders>
              <w:top w:val="single" w:sz="4" w:space="0" w:color="000000"/>
              <w:left w:val="single" w:sz="4" w:space="0" w:color="000000"/>
              <w:bottom w:val="single" w:sz="4" w:space="0" w:color="000000"/>
              <w:right w:val="single" w:sz="4" w:space="0" w:color="000000"/>
            </w:tcBorders>
          </w:tcPr>
          <w:p w:rsidR="009D46A2" w:rsidRPr="00D355CD" w:rsidRDefault="009D46A2" w:rsidP="00B657E6">
            <w:pPr>
              <w:spacing w:line="240" w:lineRule="exact"/>
              <w:contextualSpacing/>
              <w:jc w:val="center"/>
              <w:rPr>
                <w:rFonts w:eastAsia="Calibri"/>
                <w:color w:val="auto"/>
                <w:sz w:val="18"/>
                <w:szCs w:val="18"/>
              </w:rPr>
            </w:pPr>
            <w:r w:rsidRPr="00D355CD">
              <w:rPr>
                <w:rFonts w:eastAsia="Calibri"/>
                <w:color w:val="auto"/>
                <w:sz w:val="18"/>
                <w:szCs w:val="18"/>
              </w:rPr>
              <w:t>30⁰</w:t>
            </w:r>
          </w:p>
        </w:tc>
      </w:tr>
      <w:tr w:rsidR="009D46A2" w:rsidRPr="00D355CD" w:rsidTr="00B657E6">
        <w:trPr>
          <w:trHeight w:val="188"/>
          <w:jc w:val="center"/>
        </w:trPr>
        <w:tc>
          <w:tcPr>
            <w:tcW w:w="1724" w:type="dxa"/>
            <w:tcBorders>
              <w:top w:val="single" w:sz="4" w:space="0" w:color="000000"/>
              <w:left w:val="single" w:sz="4" w:space="0" w:color="000000"/>
              <w:bottom w:val="single" w:sz="4" w:space="0" w:color="000000"/>
              <w:right w:val="single" w:sz="4" w:space="0" w:color="000000"/>
            </w:tcBorders>
            <w:hideMark/>
          </w:tcPr>
          <w:p w:rsidR="009D46A2" w:rsidRPr="00D355CD" w:rsidRDefault="009D46A2" w:rsidP="004B3837">
            <w:pPr>
              <w:pStyle w:val="ListParagraph"/>
              <w:spacing w:after="0" w:line="240" w:lineRule="exact"/>
              <w:ind w:left="0"/>
              <w:jc w:val="both"/>
              <w:rPr>
                <w:rFonts w:eastAsia="Calibri" w:cs="Times New Roman"/>
                <w:sz w:val="18"/>
                <w:szCs w:val="18"/>
              </w:rPr>
            </w:pPr>
            <w:r w:rsidRPr="00D355CD">
              <w:rPr>
                <w:rFonts w:eastAsia="Calibri" w:cs="Times New Roman"/>
                <w:sz w:val="18"/>
                <w:szCs w:val="18"/>
              </w:rPr>
              <w:t>R Lat Flex (0-30)</w:t>
            </w:r>
          </w:p>
        </w:tc>
        <w:tc>
          <w:tcPr>
            <w:tcW w:w="1383" w:type="dxa"/>
            <w:tcBorders>
              <w:top w:val="single" w:sz="4" w:space="0" w:color="000000"/>
              <w:left w:val="single" w:sz="4" w:space="0" w:color="000000"/>
              <w:bottom w:val="single" w:sz="4" w:space="0" w:color="000000"/>
              <w:right w:val="single" w:sz="4" w:space="0" w:color="000000"/>
            </w:tcBorders>
          </w:tcPr>
          <w:p w:rsidR="009D46A2" w:rsidRPr="00D355CD" w:rsidRDefault="009D46A2" w:rsidP="00B657E6">
            <w:pPr>
              <w:spacing w:line="240" w:lineRule="exact"/>
              <w:contextualSpacing/>
              <w:jc w:val="center"/>
              <w:rPr>
                <w:rFonts w:eastAsia="Calibri"/>
                <w:color w:val="auto"/>
                <w:sz w:val="18"/>
                <w:szCs w:val="18"/>
              </w:rPr>
            </w:pPr>
            <w:r w:rsidRPr="00D355CD">
              <w:rPr>
                <w:rFonts w:eastAsia="Calibri"/>
                <w:color w:val="auto"/>
                <w:sz w:val="18"/>
                <w:szCs w:val="18"/>
              </w:rPr>
              <w:t>20⁰</w:t>
            </w:r>
          </w:p>
        </w:tc>
        <w:tc>
          <w:tcPr>
            <w:tcW w:w="1440" w:type="dxa"/>
            <w:tcBorders>
              <w:top w:val="single" w:sz="4" w:space="0" w:color="000000"/>
              <w:left w:val="single" w:sz="4" w:space="0" w:color="000000"/>
              <w:bottom w:val="single" w:sz="4" w:space="0" w:color="000000"/>
              <w:right w:val="single" w:sz="4" w:space="0" w:color="000000"/>
            </w:tcBorders>
          </w:tcPr>
          <w:p w:rsidR="009D46A2" w:rsidRPr="00D355CD" w:rsidRDefault="009D46A2" w:rsidP="00B657E6">
            <w:pPr>
              <w:spacing w:line="240" w:lineRule="exact"/>
              <w:contextualSpacing/>
              <w:jc w:val="center"/>
              <w:rPr>
                <w:rFonts w:eastAsia="Calibri"/>
                <w:color w:val="auto"/>
                <w:sz w:val="18"/>
                <w:szCs w:val="18"/>
              </w:rPr>
            </w:pPr>
            <w:r w:rsidRPr="00D355CD">
              <w:rPr>
                <w:rFonts w:eastAsia="Calibri"/>
                <w:color w:val="auto"/>
                <w:sz w:val="18"/>
                <w:szCs w:val="18"/>
              </w:rPr>
              <w:t>10⁰</w:t>
            </w:r>
          </w:p>
        </w:tc>
        <w:tc>
          <w:tcPr>
            <w:tcW w:w="1350" w:type="dxa"/>
            <w:tcBorders>
              <w:top w:val="single" w:sz="4" w:space="0" w:color="000000"/>
              <w:left w:val="single" w:sz="4" w:space="0" w:color="000000"/>
              <w:bottom w:val="single" w:sz="4" w:space="0" w:color="000000"/>
              <w:right w:val="single" w:sz="4" w:space="0" w:color="000000"/>
            </w:tcBorders>
          </w:tcPr>
          <w:p w:rsidR="009D46A2" w:rsidRPr="00D355CD" w:rsidRDefault="009D46A2" w:rsidP="00B657E6">
            <w:pPr>
              <w:spacing w:line="240" w:lineRule="exact"/>
              <w:contextualSpacing/>
              <w:jc w:val="center"/>
              <w:rPr>
                <w:rFonts w:eastAsia="Calibri"/>
                <w:color w:val="auto"/>
                <w:sz w:val="18"/>
                <w:szCs w:val="18"/>
              </w:rPr>
            </w:pPr>
            <w:r w:rsidRPr="00D355CD">
              <w:rPr>
                <w:rFonts w:eastAsia="Calibri"/>
                <w:color w:val="auto"/>
                <w:sz w:val="18"/>
                <w:szCs w:val="18"/>
              </w:rPr>
              <w:t>15⁰</w:t>
            </w:r>
          </w:p>
        </w:tc>
        <w:tc>
          <w:tcPr>
            <w:tcW w:w="1260" w:type="dxa"/>
            <w:tcBorders>
              <w:top w:val="single" w:sz="4" w:space="0" w:color="000000"/>
              <w:left w:val="single" w:sz="4" w:space="0" w:color="000000"/>
              <w:bottom w:val="single" w:sz="4" w:space="0" w:color="000000"/>
              <w:right w:val="single" w:sz="4" w:space="0" w:color="000000"/>
            </w:tcBorders>
          </w:tcPr>
          <w:p w:rsidR="009D46A2" w:rsidRPr="00D355CD" w:rsidRDefault="009D46A2" w:rsidP="00B657E6">
            <w:pPr>
              <w:spacing w:line="240" w:lineRule="exact"/>
              <w:contextualSpacing/>
              <w:jc w:val="center"/>
              <w:rPr>
                <w:rFonts w:eastAsia="Calibri"/>
                <w:color w:val="auto"/>
                <w:sz w:val="18"/>
                <w:szCs w:val="18"/>
              </w:rPr>
            </w:pPr>
            <w:r w:rsidRPr="00D355CD">
              <w:rPr>
                <w:rFonts w:eastAsia="Calibri"/>
                <w:color w:val="auto"/>
                <w:sz w:val="18"/>
                <w:szCs w:val="18"/>
              </w:rPr>
              <w:t>30⁰</w:t>
            </w:r>
          </w:p>
        </w:tc>
        <w:tc>
          <w:tcPr>
            <w:tcW w:w="1396" w:type="dxa"/>
            <w:tcBorders>
              <w:top w:val="single" w:sz="4" w:space="0" w:color="000000"/>
              <w:left w:val="single" w:sz="4" w:space="0" w:color="000000"/>
              <w:bottom w:val="single" w:sz="4" w:space="0" w:color="000000"/>
              <w:right w:val="single" w:sz="4" w:space="0" w:color="000000"/>
            </w:tcBorders>
          </w:tcPr>
          <w:p w:rsidR="009D46A2" w:rsidRPr="00D355CD" w:rsidRDefault="009D46A2" w:rsidP="00B657E6">
            <w:pPr>
              <w:spacing w:line="240" w:lineRule="exact"/>
              <w:contextualSpacing/>
              <w:jc w:val="center"/>
              <w:rPr>
                <w:rFonts w:eastAsia="Calibri"/>
                <w:color w:val="auto"/>
                <w:sz w:val="18"/>
                <w:szCs w:val="18"/>
              </w:rPr>
            </w:pPr>
            <w:r w:rsidRPr="00D355CD">
              <w:rPr>
                <w:rFonts w:eastAsia="Calibri"/>
                <w:color w:val="auto"/>
                <w:sz w:val="18"/>
                <w:szCs w:val="18"/>
              </w:rPr>
              <w:t>30⁰</w:t>
            </w:r>
          </w:p>
        </w:tc>
      </w:tr>
      <w:tr w:rsidR="009D46A2" w:rsidRPr="00D355CD" w:rsidTr="00B657E6">
        <w:trPr>
          <w:jc w:val="center"/>
        </w:trPr>
        <w:tc>
          <w:tcPr>
            <w:tcW w:w="1724" w:type="dxa"/>
            <w:tcBorders>
              <w:top w:val="single" w:sz="4" w:space="0" w:color="000000"/>
              <w:left w:val="single" w:sz="4" w:space="0" w:color="000000"/>
              <w:bottom w:val="single" w:sz="4" w:space="0" w:color="000000"/>
              <w:right w:val="single" w:sz="4" w:space="0" w:color="000000"/>
            </w:tcBorders>
            <w:hideMark/>
          </w:tcPr>
          <w:p w:rsidR="009D46A2" w:rsidRPr="00D355CD" w:rsidRDefault="009D46A2" w:rsidP="004B3837">
            <w:pPr>
              <w:pStyle w:val="ListParagraph"/>
              <w:spacing w:after="0" w:line="240" w:lineRule="exact"/>
              <w:ind w:left="0"/>
              <w:jc w:val="both"/>
              <w:rPr>
                <w:rFonts w:eastAsia="Calibri" w:cs="Times New Roman"/>
                <w:sz w:val="18"/>
                <w:szCs w:val="18"/>
              </w:rPr>
            </w:pPr>
            <w:r w:rsidRPr="00D355CD">
              <w:rPr>
                <w:rFonts w:eastAsia="Calibri" w:cs="Times New Roman"/>
                <w:sz w:val="18"/>
                <w:szCs w:val="18"/>
              </w:rPr>
              <w:t>L Lat Flex 0-30)</w:t>
            </w:r>
          </w:p>
        </w:tc>
        <w:tc>
          <w:tcPr>
            <w:tcW w:w="1383" w:type="dxa"/>
            <w:tcBorders>
              <w:top w:val="single" w:sz="4" w:space="0" w:color="000000"/>
              <w:left w:val="single" w:sz="4" w:space="0" w:color="000000"/>
              <w:bottom w:val="single" w:sz="4" w:space="0" w:color="000000"/>
              <w:right w:val="single" w:sz="4" w:space="0" w:color="000000"/>
            </w:tcBorders>
          </w:tcPr>
          <w:p w:rsidR="009D46A2" w:rsidRPr="00D355CD" w:rsidRDefault="009D46A2" w:rsidP="00B657E6">
            <w:pPr>
              <w:spacing w:line="240" w:lineRule="exact"/>
              <w:contextualSpacing/>
              <w:jc w:val="center"/>
              <w:rPr>
                <w:rFonts w:eastAsia="Calibri"/>
                <w:color w:val="auto"/>
                <w:sz w:val="18"/>
                <w:szCs w:val="18"/>
              </w:rPr>
            </w:pPr>
            <w:r w:rsidRPr="00D355CD">
              <w:rPr>
                <w:rFonts w:eastAsia="Calibri"/>
                <w:color w:val="auto"/>
                <w:sz w:val="18"/>
                <w:szCs w:val="18"/>
              </w:rPr>
              <w:t>20⁰</w:t>
            </w:r>
          </w:p>
        </w:tc>
        <w:tc>
          <w:tcPr>
            <w:tcW w:w="1440" w:type="dxa"/>
            <w:tcBorders>
              <w:top w:val="single" w:sz="4" w:space="0" w:color="000000"/>
              <w:left w:val="single" w:sz="4" w:space="0" w:color="000000"/>
              <w:bottom w:val="single" w:sz="4" w:space="0" w:color="000000"/>
              <w:right w:val="single" w:sz="4" w:space="0" w:color="000000"/>
            </w:tcBorders>
          </w:tcPr>
          <w:p w:rsidR="009D46A2" w:rsidRPr="00D355CD" w:rsidRDefault="009D46A2" w:rsidP="00B657E6">
            <w:pPr>
              <w:spacing w:line="240" w:lineRule="exact"/>
              <w:contextualSpacing/>
              <w:jc w:val="center"/>
              <w:rPr>
                <w:rFonts w:eastAsia="Calibri"/>
                <w:color w:val="auto"/>
                <w:sz w:val="18"/>
                <w:szCs w:val="18"/>
              </w:rPr>
            </w:pPr>
            <w:r w:rsidRPr="00D355CD">
              <w:rPr>
                <w:rFonts w:eastAsia="Calibri"/>
                <w:color w:val="auto"/>
                <w:sz w:val="18"/>
                <w:szCs w:val="18"/>
              </w:rPr>
              <w:t>8⁰</w:t>
            </w:r>
          </w:p>
        </w:tc>
        <w:tc>
          <w:tcPr>
            <w:tcW w:w="1350" w:type="dxa"/>
            <w:tcBorders>
              <w:top w:val="single" w:sz="4" w:space="0" w:color="000000"/>
              <w:left w:val="single" w:sz="4" w:space="0" w:color="000000"/>
              <w:bottom w:val="single" w:sz="4" w:space="0" w:color="000000"/>
              <w:right w:val="single" w:sz="4" w:space="0" w:color="000000"/>
            </w:tcBorders>
          </w:tcPr>
          <w:p w:rsidR="009D46A2" w:rsidRPr="00D355CD" w:rsidRDefault="009D46A2" w:rsidP="00B657E6">
            <w:pPr>
              <w:spacing w:line="240" w:lineRule="exact"/>
              <w:contextualSpacing/>
              <w:jc w:val="center"/>
              <w:rPr>
                <w:rFonts w:eastAsia="Calibri"/>
                <w:color w:val="auto"/>
                <w:sz w:val="18"/>
                <w:szCs w:val="18"/>
              </w:rPr>
            </w:pPr>
            <w:r w:rsidRPr="00D355CD">
              <w:rPr>
                <w:rFonts w:eastAsia="Calibri"/>
                <w:color w:val="auto"/>
                <w:sz w:val="18"/>
                <w:szCs w:val="18"/>
              </w:rPr>
              <w:t>15⁰</w:t>
            </w:r>
          </w:p>
        </w:tc>
        <w:tc>
          <w:tcPr>
            <w:tcW w:w="1260" w:type="dxa"/>
            <w:tcBorders>
              <w:top w:val="single" w:sz="4" w:space="0" w:color="000000"/>
              <w:left w:val="single" w:sz="4" w:space="0" w:color="000000"/>
              <w:bottom w:val="single" w:sz="4" w:space="0" w:color="000000"/>
              <w:right w:val="single" w:sz="4" w:space="0" w:color="000000"/>
            </w:tcBorders>
          </w:tcPr>
          <w:p w:rsidR="009D46A2" w:rsidRPr="00D355CD" w:rsidRDefault="009D46A2" w:rsidP="00B657E6">
            <w:pPr>
              <w:spacing w:line="240" w:lineRule="exact"/>
              <w:contextualSpacing/>
              <w:jc w:val="center"/>
              <w:rPr>
                <w:rFonts w:eastAsia="Calibri"/>
                <w:color w:val="auto"/>
                <w:sz w:val="18"/>
                <w:szCs w:val="18"/>
              </w:rPr>
            </w:pPr>
            <w:r w:rsidRPr="00D355CD">
              <w:rPr>
                <w:rFonts w:eastAsia="Calibri"/>
                <w:color w:val="auto"/>
                <w:sz w:val="18"/>
                <w:szCs w:val="18"/>
              </w:rPr>
              <w:t>30⁰</w:t>
            </w:r>
          </w:p>
        </w:tc>
        <w:tc>
          <w:tcPr>
            <w:tcW w:w="1396" w:type="dxa"/>
            <w:tcBorders>
              <w:top w:val="single" w:sz="4" w:space="0" w:color="000000"/>
              <w:left w:val="single" w:sz="4" w:space="0" w:color="000000"/>
              <w:bottom w:val="single" w:sz="4" w:space="0" w:color="000000"/>
              <w:right w:val="single" w:sz="4" w:space="0" w:color="000000"/>
            </w:tcBorders>
          </w:tcPr>
          <w:p w:rsidR="009D46A2" w:rsidRPr="00D355CD" w:rsidRDefault="009D46A2" w:rsidP="00B657E6">
            <w:pPr>
              <w:spacing w:line="240" w:lineRule="exact"/>
              <w:contextualSpacing/>
              <w:jc w:val="center"/>
              <w:rPr>
                <w:rFonts w:eastAsia="Calibri"/>
                <w:color w:val="auto"/>
                <w:sz w:val="18"/>
                <w:szCs w:val="18"/>
              </w:rPr>
            </w:pPr>
            <w:r w:rsidRPr="00D355CD">
              <w:rPr>
                <w:rFonts w:eastAsia="Calibri"/>
                <w:color w:val="auto"/>
                <w:sz w:val="18"/>
                <w:szCs w:val="18"/>
              </w:rPr>
              <w:t>30⁰</w:t>
            </w:r>
          </w:p>
        </w:tc>
      </w:tr>
      <w:tr w:rsidR="009D46A2" w:rsidRPr="00D355CD" w:rsidTr="00B657E6">
        <w:trPr>
          <w:jc w:val="center"/>
        </w:trPr>
        <w:tc>
          <w:tcPr>
            <w:tcW w:w="1724" w:type="dxa"/>
            <w:tcBorders>
              <w:top w:val="single" w:sz="4" w:space="0" w:color="000000"/>
              <w:left w:val="single" w:sz="4" w:space="0" w:color="000000"/>
              <w:bottom w:val="single" w:sz="4" w:space="0" w:color="000000"/>
              <w:right w:val="single" w:sz="4" w:space="0" w:color="000000"/>
            </w:tcBorders>
            <w:hideMark/>
          </w:tcPr>
          <w:p w:rsidR="009D46A2" w:rsidRPr="00D355CD" w:rsidRDefault="009D46A2" w:rsidP="004B3837">
            <w:pPr>
              <w:pStyle w:val="ListParagraph"/>
              <w:spacing w:after="0" w:line="240" w:lineRule="exact"/>
              <w:ind w:left="0"/>
              <w:jc w:val="both"/>
              <w:rPr>
                <w:rFonts w:eastAsia="Calibri" w:cs="Times New Roman"/>
                <w:sz w:val="18"/>
                <w:szCs w:val="18"/>
              </w:rPr>
            </w:pPr>
            <w:r w:rsidRPr="00D355CD">
              <w:rPr>
                <w:rFonts w:eastAsia="Calibri" w:cs="Times New Roman"/>
                <w:sz w:val="18"/>
                <w:szCs w:val="18"/>
              </w:rPr>
              <w:t>R Rotation (0-30)</w:t>
            </w:r>
          </w:p>
        </w:tc>
        <w:tc>
          <w:tcPr>
            <w:tcW w:w="1383" w:type="dxa"/>
            <w:tcBorders>
              <w:top w:val="single" w:sz="4" w:space="0" w:color="000000"/>
              <w:left w:val="single" w:sz="4" w:space="0" w:color="000000"/>
              <w:bottom w:val="single" w:sz="4" w:space="0" w:color="000000"/>
              <w:right w:val="single" w:sz="4" w:space="0" w:color="000000"/>
            </w:tcBorders>
          </w:tcPr>
          <w:p w:rsidR="009D46A2" w:rsidRPr="00D355CD" w:rsidRDefault="009D46A2" w:rsidP="00B657E6">
            <w:pPr>
              <w:spacing w:line="240" w:lineRule="exact"/>
              <w:contextualSpacing/>
              <w:jc w:val="center"/>
              <w:rPr>
                <w:rFonts w:eastAsia="Calibri"/>
                <w:color w:val="auto"/>
                <w:sz w:val="18"/>
                <w:szCs w:val="18"/>
              </w:rPr>
            </w:pPr>
            <w:r w:rsidRPr="00D355CD">
              <w:rPr>
                <w:rFonts w:eastAsia="Calibri"/>
                <w:color w:val="auto"/>
                <w:sz w:val="18"/>
                <w:szCs w:val="18"/>
              </w:rPr>
              <w:t>30⁰</w:t>
            </w:r>
          </w:p>
        </w:tc>
        <w:tc>
          <w:tcPr>
            <w:tcW w:w="1440" w:type="dxa"/>
            <w:tcBorders>
              <w:top w:val="single" w:sz="4" w:space="0" w:color="000000"/>
              <w:left w:val="single" w:sz="4" w:space="0" w:color="000000"/>
              <w:bottom w:val="single" w:sz="4" w:space="0" w:color="000000"/>
              <w:right w:val="single" w:sz="4" w:space="0" w:color="000000"/>
            </w:tcBorders>
          </w:tcPr>
          <w:p w:rsidR="009D46A2" w:rsidRPr="00D355CD" w:rsidRDefault="009D46A2" w:rsidP="00B657E6">
            <w:pPr>
              <w:spacing w:line="240" w:lineRule="exact"/>
              <w:contextualSpacing/>
              <w:jc w:val="center"/>
              <w:rPr>
                <w:rFonts w:eastAsia="Calibri"/>
                <w:color w:val="auto"/>
                <w:sz w:val="18"/>
                <w:szCs w:val="18"/>
              </w:rPr>
            </w:pPr>
            <w:r w:rsidRPr="00D355CD">
              <w:rPr>
                <w:rFonts w:eastAsia="Calibri"/>
                <w:color w:val="auto"/>
                <w:sz w:val="18"/>
                <w:szCs w:val="18"/>
              </w:rPr>
              <w:t>40⁰</w:t>
            </w:r>
          </w:p>
        </w:tc>
        <w:tc>
          <w:tcPr>
            <w:tcW w:w="1350" w:type="dxa"/>
            <w:tcBorders>
              <w:top w:val="single" w:sz="4" w:space="0" w:color="000000"/>
              <w:left w:val="single" w:sz="4" w:space="0" w:color="000000"/>
              <w:bottom w:val="single" w:sz="4" w:space="0" w:color="000000"/>
              <w:right w:val="single" w:sz="4" w:space="0" w:color="000000"/>
            </w:tcBorders>
          </w:tcPr>
          <w:p w:rsidR="009D46A2" w:rsidRPr="00D355CD" w:rsidRDefault="009D46A2" w:rsidP="00B657E6">
            <w:pPr>
              <w:spacing w:line="240" w:lineRule="exact"/>
              <w:contextualSpacing/>
              <w:jc w:val="center"/>
              <w:rPr>
                <w:rFonts w:eastAsia="Calibri"/>
                <w:color w:val="auto"/>
                <w:sz w:val="18"/>
                <w:szCs w:val="18"/>
              </w:rPr>
            </w:pPr>
            <w:r w:rsidRPr="00D355CD">
              <w:rPr>
                <w:rFonts w:eastAsia="Calibri"/>
                <w:color w:val="auto"/>
                <w:sz w:val="18"/>
                <w:szCs w:val="18"/>
              </w:rPr>
              <w:t>30⁰</w:t>
            </w:r>
          </w:p>
        </w:tc>
        <w:tc>
          <w:tcPr>
            <w:tcW w:w="1260" w:type="dxa"/>
            <w:tcBorders>
              <w:top w:val="single" w:sz="4" w:space="0" w:color="000000"/>
              <w:left w:val="single" w:sz="4" w:space="0" w:color="000000"/>
              <w:bottom w:val="single" w:sz="4" w:space="0" w:color="000000"/>
              <w:right w:val="single" w:sz="4" w:space="0" w:color="000000"/>
            </w:tcBorders>
          </w:tcPr>
          <w:p w:rsidR="009D46A2" w:rsidRPr="00D355CD" w:rsidRDefault="009D46A2" w:rsidP="00B657E6">
            <w:pPr>
              <w:spacing w:line="240" w:lineRule="exact"/>
              <w:contextualSpacing/>
              <w:jc w:val="center"/>
              <w:rPr>
                <w:rFonts w:eastAsia="Calibri"/>
                <w:color w:val="auto"/>
                <w:sz w:val="18"/>
                <w:szCs w:val="18"/>
              </w:rPr>
            </w:pPr>
          </w:p>
        </w:tc>
        <w:tc>
          <w:tcPr>
            <w:tcW w:w="1396" w:type="dxa"/>
            <w:tcBorders>
              <w:top w:val="single" w:sz="4" w:space="0" w:color="000000"/>
              <w:left w:val="single" w:sz="4" w:space="0" w:color="000000"/>
              <w:bottom w:val="single" w:sz="4" w:space="0" w:color="000000"/>
              <w:right w:val="single" w:sz="4" w:space="0" w:color="000000"/>
            </w:tcBorders>
          </w:tcPr>
          <w:p w:rsidR="009D46A2" w:rsidRPr="00D355CD" w:rsidRDefault="009D46A2" w:rsidP="00B657E6">
            <w:pPr>
              <w:spacing w:line="240" w:lineRule="exact"/>
              <w:contextualSpacing/>
              <w:jc w:val="center"/>
              <w:rPr>
                <w:rFonts w:eastAsia="Calibri"/>
                <w:color w:val="auto"/>
                <w:sz w:val="18"/>
                <w:szCs w:val="18"/>
              </w:rPr>
            </w:pPr>
            <w:r w:rsidRPr="00D355CD">
              <w:rPr>
                <w:rFonts w:eastAsia="Calibri"/>
                <w:color w:val="auto"/>
                <w:sz w:val="18"/>
                <w:szCs w:val="18"/>
              </w:rPr>
              <w:t>30⁰</w:t>
            </w:r>
          </w:p>
        </w:tc>
      </w:tr>
      <w:tr w:rsidR="009D46A2" w:rsidRPr="00D355CD" w:rsidTr="00B657E6">
        <w:trPr>
          <w:jc w:val="center"/>
        </w:trPr>
        <w:tc>
          <w:tcPr>
            <w:tcW w:w="1724" w:type="dxa"/>
            <w:tcBorders>
              <w:top w:val="single" w:sz="4" w:space="0" w:color="000000"/>
              <w:left w:val="single" w:sz="4" w:space="0" w:color="000000"/>
              <w:bottom w:val="single" w:sz="4" w:space="0" w:color="000000"/>
              <w:right w:val="single" w:sz="4" w:space="0" w:color="000000"/>
            </w:tcBorders>
            <w:hideMark/>
          </w:tcPr>
          <w:p w:rsidR="009D46A2" w:rsidRPr="00D355CD" w:rsidRDefault="009D46A2" w:rsidP="004B3837">
            <w:pPr>
              <w:pStyle w:val="ListParagraph"/>
              <w:spacing w:after="0" w:line="240" w:lineRule="exact"/>
              <w:ind w:left="0"/>
              <w:jc w:val="both"/>
              <w:rPr>
                <w:rFonts w:eastAsia="Calibri" w:cs="Times New Roman"/>
                <w:sz w:val="18"/>
                <w:szCs w:val="18"/>
              </w:rPr>
            </w:pPr>
            <w:r w:rsidRPr="00D355CD">
              <w:rPr>
                <w:rFonts w:eastAsia="Calibri" w:cs="Times New Roman"/>
                <w:sz w:val="18"/>
                <w:szCs w:val="18"/>
              </w:rPr>
              <w:t>L Rotation (0-30)</w:t>
            </w:r>
          </w:p>
        </w:tc>
        <w:tc>
          <w:tcPr>
            <w:tcW w:w="1383" w:type="dxa"/>
            <w:tcBorders>
              <w:top w:val="single" w:sz="4" w:space="0" w:color="000000"/>
              <w:left w:val="single" w:sz="4" w:space="0" w:color="000000"/>
              <w:bottom w:val="single" w:sz="4" w:space="0" w:color="000000"/>
              <w:right w:val="single" w:sz="4" w:space="0" w:color="000000"/>
            </w:tcBorders>
          </w:tcPr>
          <w:p w:rsidR="009D46A2" w:rsidRPr="00D355CD" w:rsidRDefault="009D46A2" w:rsidP="00B657E6">
            <w:pPr>
              <w:spacing w:line="240" w:lineRule="exact"/>
              <w:contextualSpacing/>
              <w:jc w:val="center"/>
              <w:rPr>
                <w:rFonts w:eastAsia="Calibri"/>
                <w:color w:val="auto"/>
                <w:sz w:val="18"/>
                <w:szCs w:val="18"/>
              </w:rPr>
            </w:pPr>
            <w:r w:rsidRPr="00D355CD">
              <w:rPr>
                <w:rFonts w:eastAsia="Calibri"/>
                <w:color w:val="auto"/>
                <w:sz w:val="18"/>
                <w:szCs w:val="18"/>
              </w:rPr>
              <w:t>30⁰</w:t>
            </w:r>
          </w:p>
        </w:tc>
        <w:tc>
          <w:tcPr>
            <w:tcW w:w="1440" w:type="dxa"/>
            <w:tcBorders>
              <w:top w:val="single" w:sz="4" w:space="0" w:color="000000"/>
              <w:left w:val="single" w:sz="4" w:space="0" w:color="000000"/>
              <w:bottom w:val="single" w:sz="4" w:space="0" w:color="000000"/>
              <w:right w:val="single" w:sz="4" w:space="0" w:color="000000"/>
            </w:tcBorders>
          </w:tcPr>
          <w:p w:rsidR="009D46A2" w:rsidRPr="00D355CD" w:rsidRDefault="009D46A2" w:rsidP="00B657E6">
            <w:pPr>
              <w:spacing w:line="240" w:lineRule="exact"/>
              <w:contextualSpacing/>
              <w:jc w:val="center"/>
              <w:rPr>
                <w:rFonts w:eastAsia="Calibri"/>
                <w:color w:val="auto"/>
                <w:sz w:val="18"/>
                <w:szCs w:val="18"/>
              </w:rPr>
            </w:pPr>
            <w:r w:rsidRPr="00D355CD">
              <w:rPr>
                <w:rFonts w:eastAsia="Calibri"/>
                <w:color w:val="auto"/>
                <w:sz w:val="18"/>
                <w:szCs w:val="18"/>
              </w:rPr>
              <w:t>40⁰</w:t>
            </w:r>
          </w:p>
        </w:tc>
        <w:tc>
          <w:tcPr>
            <w:tcW w:w="1350" w:type="dxa"/>
            <w:tcBorders>
              <w:top w:val="single" w:sz="4" w:space="0" w:color="000000"/>
              <w:left w:val="single" w:sz="4" w:space="0" w:color="000000"/>
              <w:bottom w:val="single" w:sz="4" w:space="0" w:color="000000"/>
              <w:right w:val="single" w:sz="4" w:space="0" w:color="000000"/>
            </w:tcBorders>
          </w:tcPr>
          <w:p w:rsidR="009D46A2" w:rsidRPr="00D355CD" w:rsidRDefault="009D46A2" w:rsidP="00B657E6">
            <w:pPr>
              <w:spacing w:line="240" w:lineRule="exact"/>
              <w:contextualSpacing/>
              <w:jc w:val="center"/>
              <w:rPr>
                <w:rFonts w:eastAsia="Calibri"/>
                <w:color w:val="auto"/>
                <w:sz w:val="18"/>
                <w:szCs w:val="18"/>
              </w:rPr>
            </w:pPr>
            <w:r w:rsidRPr="00D355CD">
              <w:rPr>
                <w:rFonts w:eastAsia="Calibri"/>
                <w:color w:val="auto"/>
                <w:sz w:val="18"/>
                <w:szCs w:val="18"/>
              </w:rPr>
              <w:t>30⁰</w:t>
            </w:r>
          </w:p>
        </w:tc>
        <w:tc>
          <w:tcPr>
            <w:tcW w:w="1260" w:type="dxa"/>
            <w:tcBorders>
              <w:top w:val="single" w:sz="4" w:space="0" w:color="000000"/>
              <w:left w:val="single" w:sz="4" w:space="0" w:color="000000"/>
              <w:bottom w:val="single" w:sz="4" w:space="0" w:color="000000"/>
              <w:right w:val="single" w:sz="4" w:space="0" w:color="000000"/>
            </w:tcBorders>
          </w:tcPr>
          <w:p w:rsidR="009D46A2" w:rsidRPr="00D355CD" w:rsidRDefault="009D46A2" w:rsidP="00B657E6">
            <w:pPr>
              <w:spacing w:line="240" w:lineRule="exact"/>
              <w:contextualSpacing/>
              <w:jc w:val="center"/>
              <w:rPr>
                <w:rFonts w:eastAsia="Calibri"/>
                <w:color w:val="auto"/>
                <w:sz w:val="18"/>
                <w:szCs w:val="18"/>
              </w:rPr>
            </w:pPr>
          </w:p>
        </w:tc>
        <w:tc>
          <w:tcPr>
            <w:tcW w:w="1396" w:type="dxa"/>
            <w:tcBorders>
              <w:top w:val="single" w:sz="4" w:space="0" w:color="000000"/>
              <w:left w:val="single" w:sz="4" w:space="0" w:color="000000"/>
              <w:bottom w:val="single" w:sz="4" w:space="0" w:color="000000"/>
              <w:right w:val="single" w:sz="4" w:space="0" w:color="000000"/>
            </w:tcBorders>
          </w:tcPr>
          <w:p w:rsidR="009D46A2" w:rsidRPr="00D355CD" w:rsidRDefault="009D46A2" w:rsidP="00B657E6">
            <w:pPr>
              <w:spacing w:line="240" w:lineRule="exact"/>
              <w:contextualSpacing/>
              <w:jc w:val="center"/>
              <w:rPr>
                <w:rFonts w:eastAsia="Calibri"/>
                <w:color w:val="auto"/>
                <w:sz w:val="18"/>
                <w:szCs w:val="18"/>
              </w:rPr>
            </w:pPr>
            <w:r w:rsidRPr="00D355CD">
              <w:rPr>
                <w:rFonts w:eastAsia="Calibri"/>
                <w:color w:val="auto"/>
                <w:sz w:val="18"/>
                <w:szCs w:val="18"/>
              </w:rPr>
              <w:t>30⁰</w:t>
            </w:r>
          </w:p>
        </w:tc>
      </w:tr>
      <w:tr w:rsidR="009D46A2" w:rsidRPr="00D355CD" w:rsidTr="00B657E6">
        <w:trPr>
          <w:jc w:val="center"/>
        </w:trPr>
        <w:tc>
          <w:tcPr>
            <w:tcW w:w="1724" w:type="dxa"/>
            <w:tcBorders>
              <w:top w:val="single" w:sz="4" w:space="0" w:color="000000"/>
              <w:left w:val="single" w:sz="4" w:space="0" w:color="000000"/>
              <w:bottom w:val="single" w:sz="4" w:space="0" w:color="000000"/>
              <w:right w:val="single" w:sz="4" w:space="0" w:color="000000"/>
            </w:tcBorders>
            <w:hideMark/>
          </w:tcPr>
          <w:p w:rsidR="009D46A2" w:rsidRPr="00D355CD" w:rsidRDefault="009D46A2" w:rsidP="004B3837">
            <w:pPr>
              <w:pStyle w:val="ListParagraph"/>
              <w:spacing w:after="0" w:line="240" w:lineRule="exact"/>
              <w:ind w:left="0"/>
              <w:jc w:val="both"/>
              <w:rPr>
                <w:rFonts w:eastAsia="Calibri" w:cs="Times New Roman"/>
                <w:sz w:val="18"/>
                <w:szCs w:val="18"/>
              </w:rPr>
            </w:pPr>
            <w:r w:rsidRPr="00D355CD">
              <w:rPr>
                <w:rFonts w:eastAsia="Calibri" w:cs="Times New Roman"/>
                <w:sz w:val="18"/>
                <w:szCs w:val="18"/>
              </w:rPr>
              <w:t>COMBINED (240)</w:t>
            </w:r>
          </w:p>
        </w:tc>
        <w:tc>
          <w:tcPr>
            <w:tcW w:w="1383" w:type="dxa"/>
            <w:tcBorders>
              <w:top w:val="single" w:sz="4" w:space="0" w:color="000000"/>
              <w:left w:val="single" w:sz="4" w:space="0" w:color="000000"/>
              <w:bottom w:val="single" w:sz="4" w:space="0" w:color="000000"/>
              <w:right w:val="single" w:sz="4" w:space="0" w:color="000000"/>
            </w:tcBorders>
          </w:tcPr>
          <w:p w:rsidR="009D46A2" w:rsidRPr="00D355CD" w:rsidRDefault="009D46A2" w:rsidP="00B657E6">
            <w:pPr>
              <w:spacing w:line="240" w:lineRule="exact"/>
              <w:jc w:val="center"/>
              <w:rPr>
                <w:color w:val="auto"/>
                <w:sz w:val="18"/>
                <w:szCs w:val="18"/>
              </w:rPr>
            </w:pPr>
            <w:r w:rsidRPr="00D355CD">
              <w:rPr>
                <w:color w:val="auto"/>
                <w:sz w:val="18"/>
                <w:szCs w:val="18"/>
              </w:rPr>
              <w:t>165⁰</w:t>
            </w:r>
          </w:p>
        </w:tc>
        <w:tc>
          <w:tcPr>
            <w:tcW w:w="1440" w:type="dxa"/>
            <w:tcBorders>
              <w:top w:val="single" w:sz="4" w:space="0" w:color="000000"/>
              <w:left w:val="single" w:sz="4" w:space="0" w:color="000000"/>
              <w:bottom w:val="single" w:sz="4" w:space="0" w:color="000000"/>
              <w:right w:val="single" w:sz="4" w:space="0" w:color="000000"/>
            </w:tcBorders>
          </w:tcPr>
          <w:p w:rsidR="009D46A2" w:rsidRPr="00D355CD" w:rsidRDefault="009D46A2" w:rsidP="00B657E6">
            <w:pPr>
              <w:spacing w:line="240" w:lineRule="exact"/>
              <w:jc w:val="center"/>
              <w:rPr>
                <w:color w:val="auto"/>
                <w:sz w:val="18"/>
                <w:szCs w:val="18"/>
              </w:rPr>
            </w:pPr>
            <w:r w:rsidRPr="00D355CD">
              <w:rPr>
                <w:rFonts w:eastAsia="Calibri"/>
                <w:color w:val="auto"/>
                <w:sz w:val="18"/>
                <w:szCs w:val="18"/>
              </w:rPr>
              <w:t>130⁰</w:t>
            </w:r>
          </w:p>
        </w:tc>
        <w:tc>
          <w:tcPr>
            <w:tcW w:w="1350" w:type="dxa"/>
            <w:tcBorders>
              <w:top w:val="single" w:sz="4" w:space="0" w:color="000000"/>
              <w:left w:val="single" w:sz="4" w:space="0" w:color="000000"/>
              <w:bottom w:val="single" w:sz="4" w:space="0" w:color="000000"/>
              <w:right w:val="single" w:sz="4" w:space="0" w:color="000000"/>
            </w:tcBorders>
          </w:tcPr>
          <w:p w:rsidR="009D46A2" w:rsidRPr="00D355CD" w:rsidRDefault="009D46A2" w:rsidP="00B657E6">
            <w:pPr>
              <w:spacing w:line="240" w:lineRule="exact"/>
              <w:jc w:val="center"/>
              <w:rPr>
                <w:color w:val="auto"/>
                <w:sz w:val="18"/>
                <w:szCs w:val="18"/>
              </w:rPr>
            </w:pPr>
            <w:r w:rsidRPr="00D355CD">
              <w:rPr>
                <w:rFonts w:eastAsia="Calibri"/>
                <w:color w:val="auto"/>
                <w:sz w:val="18"/>
                <w:szCs w:val="18"/>
              </w:rPr>
              <w:t>140⁰</w:t>
            </w:r>
          </w:p>
        </w:tc>
        <w:tc>
          <w:tcPr>
            <w:tcW w:w="1260" w:type="dxa"/>
            <w:tcBorders>
              <w:top w:val="single" w:sz="4" w:space="0" w:color="000000"/>
              <w:left w:val="single" w:sz="4" w:space="0" w:color="000000"/>
              <w:bottom w:val="single" w:sz="4" w:space="0" w:color="000000"/>
              <w:right w:val="single" w:sz="4" w:space="0" w:color="000000"/>
            </w:tcBorders>
          </w:tcPr>
          <w:p w:rsidR="009D46A2" w:rsidRPr="00D355CD" w:rsidRDefault="009D46A2" w:rsidP="00B657E6">
            <w:pPr>
              <w:spacing w:line="240" w:lineRule="exact"/>
              <w:jc w:val="center"/>
              <w:rPr>
                <w:color w:val="auto"/>
                <w:sz w:val="18"/>
                <w:szCs w:val="18"/>
              </w:rPr>
            </w:pPr>
          </w:p>
        </w:tc>
        <w:tc>
          <w:tcPr>
            <w:tcW w:w="1396" w:type="dxa"/>
            <w:tcBorders>
              <w:top w:val="single" w:sz="4" w:space="0" w:color="000000"/>
              <w:left w:val="single" w:sz="4" w:space="0" w:color="000000"/>
              <w:bottom w:val="single" w:sz="4" w:space="0" w:color="000000"/>
              <w:right w:val="single" w:sz="4" w:space="0" w:color="000000"/>
            </w:tcBorders>
          </w:tcPr>
          <w:p w:rsidR="009D46A2" w:rsidRPr="00D355CD" w:rsidRDefault="009D46A2" w:rsidP="00B657E6">
            <w:pPr>
              <w:spacing w:line="240" w:lineRule="exact"/>
              <w:jc w:val="center"/>
              <w:rPr>
                <w:color w:val="auto"/>
                <w:sz w:val="18"/>
                <w:szCs w:val="18"/>
              </w:rPr>
            </w:pPr>
            <w:r w:rsidRPr="00D355CD">
              <w:rPr>
                <w:rFonts w:eastAsia="Calibri"/>
                <w:color w:val="auto"/>
                <w:sz w:val="18"/>
                <w:szCs w:val="18"/>
              </w:rPr>
              <w:t>240⁰</w:t>
            </w:r>
          </w:p>
        </w:tc>
      </w:tr>
      <w:tr w:rsidR="009D46A2" w:rsidRPr="00D355CD" w:rsidTr="00B657E6">
        <w:trPr>
          <w:trHeight w:val="305"/>
          <w:jc w:val="center"/>
        </w:trPr>
        <w:tc>
          <w:tcPr>
            <w:tcW w:w="1724" w:type="dxa"/>
            <w:tcBorders>
              <w:top w:val="single" w:sz="4" w:space="0" w:color="000000"/>
              <w:left w:val="single" w:sz="4" w:space="0" w:color="000000"/>
              <w:bottom w:val="single" w:sz="4" w:space="0" w:color="000000"/>
              <w:right w:val="single" w:sz="4" w:space="0" w:color="000000"/>
            </w:tcBorders>
            <w:hideMark/>
          </w:tcPr>
          <w:p w:rsidR="009D46A2" w:rsidRPr="00D355CD" w:rsidRDefault="00252CFE" w:rsidP="004B3837">
            <w:pPr>
              <w:pStyle w:val="ListParagraph"/>
              <w:spacing w:after="0" w:line="240" w:lineRule="exact"/>
              <w:ind w:left="0"/>
              <w:jc w:val="both"/>
              <w:rPr>
                <w:rFonts w:eastAsia="Calibri" w:cs="Times New Roman"/>
                <w:sz w:val="18"/>
                <w:szCs w:val="18"/>
              </w:rPr>
            </w:pPr>
            <w:r w:rsidRPr="00D355CD">
              <w:rPr>
                <w:rFonts w:eastAsia="Calibri" w:cs="Times New Roman"/>
                <w:sz w:val="18"/>
                <w:szCs w:val="18"/>
              </w:rPr>
              <w:t>Comments</w:t>
            </w:r>
          </w:p>
        </w:tc>
        <w:tc>
          <w:tcPr>
            <w:tcW w:w="1383" w:type="dxa"/>
            <w:tcBorders>
              <w:top w:val="single" w:sz="4" w:space="0" w:color="000000"/>
              <w:left w:val="single" w:sz="4" w:space="0" w:color="000000"/>
              <w:bottom w:val="single" w:sz="4" w:space="0" w:color="000000"/>
              <w:right w:val="single" w:sz="4" w:space="0" w:color="000000"/>
            </w:tcBorders>
          </w:tcPr>
          <w:p w:rsidR="009D46A2" w:rsidRPr="00D355CD" w:rsidRDefault="009D46A2" w:rsidP="00B657E6">
            <w:pPr>
              <w:tabs>
                <w:tab w:val="left" w:pos="288"/>
                <w:tab w:val="left" w:pos="4752"/>
              </w:tabs>
              <w:spacing w:line="240" w:lineRule="exact"/>
              <w:jc w:val="center"/>
              <w:rPr>
                <w:rFonts w:asciiTheme="minorHAnsi" w:eastAsiaTheme="minorHAnsi" w:hAnsiTheme="minorHAnsi"/>
                <w:color w:val="auto"/>
                <w:sz w:val="18"/>
                <w:szCs w:val="18"/>
              </w:rPr>
            </w:pPr>
          </w:p>
        </w:tc>
        <w:tc>
          <w:tcPr>
            <w:tcW w:w="1440" w:type="dxa"/>
            <w:tcBorders>
              <w:top w:val="single" w:sz="4" w:space="0" w:color="000000"/>
              <w:left w:val="single" w:sz="4" w:space="0" w:color="000000"/>
              <w:bottom w:val="single" w:sz="4" w:space="0" w:color="000000"/>
              <w:right w:val="single" w:sz="4" w:space="0" w:color="000000"/>
            </w:tcBorders>
          </w:tcPr>
          <w:p w:rsidR="009D46A2" w:rsidRPr="00D355CD" w:rsidRDefault="009D46A2" w:rsidP="00B657E6">
            <w:pPr>
              <w:tabs>
                <w:tab w:val="left" w:pos="288"/>
                <w:tab w:val="left" w:pos="4752"/>
              </w:tabs>
              <w:spacing w:line="240" w:lineRule="exact"/>
              <w:jc w:val="center"/>
              <w:rPr>
                <w:rFonts w:asciiTheme="minorHAnsi" w:eastAsiaTheme="minorHAnsi" w:hAnsiTheme="minorHAnsi"/>
                <w:color w:val="auto"/>
                <w:sz w:val="18"/>
                <w:szCs w:val="18"/>
              </w:rPr>
            </w:pPr>
          </w:p>
        </w:tc>
        <w:tc>
          <w:tcPr>
            <w:tcW w:w="1350" w:type="dxa"/>
            <w:tcBorders>
              <w:top w:val="single" w:sz="4" w:space="0" w:color="000000"/>
              <w:left w:val="single" w:sz="4" w:space="0" w:color="000000"/>
              <w:bottom w:val="single" w:sz="4" w:space="0" w:color="000000"/>
              <w:right w:val="single" w:sz="4" w:space="0" w:color="000000"/>
            </w:tcBorders>
          </w:tcPr>
          <w:p w:rsidR="009D46A2" w:rsidRPr="00D355CD" w:rsidRDefault="009D46A2" w:rsidP="00B657E6">
            <w:pPr>
              <w:tabs>
                <w:tab w:val="left" w:pos="288"/>
                <w:tab w:val="left" w:pos="4752"/>
              </w:tabs>
              <w:spacing w:line="240" w:lineRule="exact"/>
              <w:jc w:val="center"/>
              <w:rPr>
                <w:rFonts w:asciiTheme="minorHAnsi" w:eastAsiaTheme="minorHAnsi" w:hAnsiTheme="minorHAnsi"/>
                <w:color w:val="auto"/>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9D46A2" w:rsidRPr="00D355CD" w:rsidRDefault="009D46A2" w:rsidP="00B657E6">
            <w:pPr>
              <w:tabs>
                <w:tab w:val="left" w:pos="288"/>
                <w:tab w:val="left" w:pos="4752"/>
              </w:tabs>
              <w:spacing w:line="240" w:lineRule="exact"/>
              <w:jc w:val="center"/>
              <w:rPr>
                <w:rFonts w:asciiTheme="minorHAnsi" w:eastAsiaTheme="minorHAnsi" w:hAnsiTheme="minorHAnsi"/>
                <w:color w:val="auto"/>
                <w:sz w:val="18"/>
                <w:szCs w:val="18"/>
              </w:rPr>
            </w:pPr>
          </w:p>
        </w:tc>
        <w:tc>
          <w:tcPr>
            <w:tcW w:w="1396" w:type="dxa"/>
            <w:tcBorders>
              <w:top w:val="single" w:sz="4" w:space="0" w:color="000000"/>
              <w:left w:val="single" w:sz="4" w:space="0" w:color="000000"/>
              <w:bottom w:val="single" w:sz="4" w:space="0" w:color="000000"/>
              <w:right w:val="single" w:sz="4" w:space="0" w:color="000000"/>
            </w:tcBorders>
          </w:tcPr>
          <w:p w:rsidR="009D46A2" w:rsidRPr="00D355CD" w:rsidRDefault="00252CFE" w:rsidP="00B657E6">
            <w:pPr>
              <w:tabs>
                <w:tab w:val="left" w:pos="288"/>
                <w:tab w:val="left" w:pos="4752"/>
              </w:tabs>
              <w:spacing w:line="240" w:lineRule="exact"/>
              <w:jc w:val="center"/>
              <w:rPr>
                <w:rFonts w:asciiTheme="minorHAnsi" w:eastAsiaTheme="minorHAnsi" w:hAnsiTheme="minorHAnsi"/>
                <w:color w:val="auto"/>
                <w:sz w:val="18"/>
                <w:szCs w:val="18"/>
              </w:rPr>
            </w:pPr>
            <w:r w:rsidRPr="00D355CD">
              <w:rPr>
                <w:rFonts w:asciiTheme="minorHAnsi" w:eastAsiaTheme="minorHAnsi" w:hAnsiTheme="minorHAnsi"/>
                <w:color w:val="auto"/>
                <w:sz w:val="18"/>
                <w:szCs w:val="18"/>
              </w:rPr>
              <w:t>Pain at 30</w:t>
            </w:r>
            <w:r w:rsidRPr="00D355CD">
              <w:rPr>
                <w:rFonts w:asciiTheme="minorHAnsi" w:eastAsiaTheme="minorHAnsi" w:hAnsiTheme="minorHAnsi" w:cstheme="minorHAnsi"/>
                <w:color w:val="auto"/>
                <w:sz w:val="18"/>
                <w:szCs w:val="18"/>
              </w:rPr>
              <w:t>°</w:t>
            </w:r>
            <w:r w:rsidRPr="00D355CD">
              <w:rPr>
                <w:rFonts w:asciiTheme="minorHAnsi" w:eastAsiaTheme="minorHAnsi" w:hAnsiTheme="minorHAnsi"/>
                <w:color w:val="auto"/>
                <w:sz w:val="18"/>
                <w:szCs w:val="18"/>
              </w:rPr>
              <w:t xml:space="preserve"> flexion</w:t>
            </w:r>
            <w:r w:rsidR="003C1726" w:rsidRPr="00D355CD">
              <w:rPr>
                <w:rFonts w:asciiTheme="minorHAnsi" w:eastAsiaTheme="minorHAnsi" w:hAnsiTheme="minorHAnsi"/>
                <w:color w:val="auto"/>
                <w:sz w:val="18"/>
                <w:szCs w:val="18"/>
              </w:rPr>
              <w:t>*</w:t>
            </w:r>
          </w:p>
        </w:tc>
      </w:tr>
      <w:tr w:rsidR="00252CFE" w:rsidRPr="00D355CD" w:rsidTr="00B657E6">
        <w:trPr>
          <w:trHeight w:val="305"/>
          <w:jc w:val="center"/>
        </w:trPr>
        <w:tc>
          <w:tcPr>
            <w:tcW w:w="1724" w:type="dxa"/>
            <w:tcBorders>
              <w:top w:val="single" w:sz="4" w:space="0" w:color="000000"/>
              <w:left w:val="single" w:sz="4" w:space="0" w:color="000000"/>
              <w:bottom w:val="single" w:sz="4" w:space="0" w:color="000000"/>
              <w:right w:val="single" w:sz="4" w:space="0" w:color="000000"/>
            </w:tcBorders>
            <w:hideMark/>
          </w:tcPr>
          <w:p w:rsidR="00252CFE" w:rsidRPr="00D355CD" w:rsidRDefault="00252CFE" w:rsidP="004B3837">
            <w:pPr>
              <w:pStyle w:val="ListParagraph"/>
              <w:spacing w:after="0" w:line="240" w:lineRule="exact"/>
              <w:ind w:left="0"/>
              <w:jc w:val="both"/>
              <w:rPr>
                <w:rFonts w:eastAsia="Calibri" w:cs="Times New Roman"/>
                <w:sz w:val="18"/>
                <w:szCs w:val="18"/>
              </w:rPr>
            </w:pPr>
            <w:r w:rsidRPr="00D355CD">
              <w:rPr>
                <w:rFonts w:eastAsia="Calibri" w:cs="Times New Roman"/>
                <w:sz w:val="18"/>
                <w:szCs w:val="18"/>
              </w:rPr>
              <w:t>§4.71a Rating</w:t>
            </w:r>
          </w:p>
        </w:tc>
        <w:tc>
          <w:tcPr>
            <w:tcW w:w="1383" w:type="dxa"/>
            <w:tcBorders>
              <w:top w:val="single" w:sz="4" w:space="0" w:color="000000"/>
              <w:left w:val="single" w:sz="4" w:space="0" w:color="000000"/>
              <w:bottom w:val="single" w:sz="4" w:space="0" w:color="000000"/>
              <w:right w:val="single" w:sz="4" w:space="0" w:color="000000"/>
            </w:tcBorders>
          </w:tcPr>
          <w:p w:rsidR="00252CFE" w:rsidRPr="00D355CD" w:rsidRDefault="00252CFE" w:rsidP="00B657E6">
            <w:pPr>
              <w:tabs>
                <w:tab w:val="left" w:pos="288"/>
                <w:tab w:val="left" w:pos="4752"/>
              </w:tabs>
              <w:spacing w:line="240" w:lineRule="exact"/>
              <w:jc w:val="center"/>
              <w:rPr>
                <w:rFonts w:asciiTheme="minorHAnsi" w:eastAsiaTheme="minorHAnsi" w:hAnsiTheme="minorHAnsi"/>
                <w:color w:val="auto"/>
                <w:sz w:val="18"/>
                <w:szCs w:val="18"/>
              </w:rPr>
            </w:pPr>
            <w:r w:rsidRPr="00D355CD">
              <w:rPr>
                <w:rFonts w:asciiTheme="minorHAnsi" w:eastAsiaTheme="minorHAnsi" w:hAnsiTheme="minorHAnsi"/>
                <w:color w:val="auto"/>
                <w:sz w:val="18"/>
                <w:szCs w:val="18"/>
              </w:rPr>
              <w:t>20%</w:t>
            </w:r>
          </w:p>
        </w:tc>
        <w:tc>
          <w:tcPr>
            <w:tcW w:w="1440" w:type="dxa"/>
            <w:tcBorders>
              <w:top w:val="single" w:sz="4" w:space="0" w:color="000000"/>
              <w:left w:val="single" w:sz="4" w:space="0" w:color="000000"/>
              <w:bottom w:val="single" w:sz="4" w:space="0" w:color="000000"/>
              <w:right w:val="single" w:sz="4" w:space="0" w:color="000000"/>
            </w:tcBorders>
          </w:tcPr>
          <w:p w:rsidR="00252CFE" w:rsidRPr="00D355CD" w:rsidRDefault="00252CFE" w:rsidP="00B657E6">
            <w:pPr>
              <w:tabs>
                <w:tab w:val="left" w:pos="288"/>
                <w:tab w:val="left" w:pos="4752"/>
              </w:tabs>
              <w:spacing w:line="240" w:lineRule="exact"/>
              <w:jc w:val="center"/>
              <w:rPr>
                <w:rFonts w:asciiTheme="minorHAnsi" w:eastAsiaTheme="minorHAnsi" w:hAnsiTheme="minorHAnsi"/>
                <w:color w:val="auto"/>
                <w:sz w:val="18"/>
                <w:szCs w:val="18"/>
              </w:rPr>
            </w:pPr>
            <w:r w:rsidRPr="00D355CD">
              <w:rPr>
                <w:rFonts w:asciiTheme="minorHAnsi" w:eastAsiaTheme="minorHAnsi" w:hAnsiTheme="minorHAnsi"/>
                <w:color w:val="auto"/>
                <w:sz w:val="18"/>
                <w:szCs w:val="18"/>
              </w:rPr>
              <w:t>20%</w:t>
            </w:r>
          </w:p>
        </w:tc>
        <w:tc>
          <w:tcPr>
            <w:tcW w:w="1350" w:type="dxa"/>
            <w:tcBorders>
              <w:top w:val="single" w:sz="4" w:space="0" w:color="000000"/>
              <w:left w:val="single" w:sz="4" w:space="0" w:color="000000"/>
              <w:bottom w:val="single" w:sz="4" w:space="0" w:color="000000"/>
              <w:right w:val="single" w:sz="4" w:space="0" w:color="000000"/>
            </w:tcBorders>
          </w:tcPr>
          <w:p w:rsidR="00252CFE" w:rsidRPr="00D355CD" w:rsidRDefault="00252CFE" w:rsidP="00B657E6">
            <w:pPr>
              <w:tabs>
                <w:tab w:val="left" w:pos="288"/>
                <w:tab w:val="left" w:pos="4752"/>
              </w:tabs>
              <w:spacing w:line="240" w:lineRule="exact"/>
              <w:jc w:val="center"/>
              <w:rPr>
                <w:rFonts w:asciiTheme="minorHAnsi" w:eastAsiaTheme="minorHAnsi" w:hAnsiTheme="minorHAnsi"/>
                <w:color w:val="auto"/>
                <w:sz w:val="18"/>
                <w:szCs w:val="18"/>
              </w:rPr>
            </w:pPr>
            <w:r w:rsidRPr="00D355CD">
              <w:rPr>
                <w:rFonts w:asciiTheme="minorHAnsi" w:eastAsiaTheme="minorHAnsi" w:hAnsiTheme="minorHAnsi"/>
                <w:color w:val="auto"/>
                <w:sz w:val="18"/>
                <w:szCs w:val="18"/>
              </w:rPr>
              <w:t>20%</w:t>
            </w:r>
          </w:p>
        </w:tc>
        <w:tc>
          <w:tcPr>
            <w:tcW w:w="1260" w:type="dxa"/>
            <w:tcBorders>
              <w:top w:val="single" w:sz="4" w:space="0" w:color="000000"/>
              <w:left w:val="single" w:sz="4" w:space="0" w:color="000000"/>
              <w:bottom w:val="single" w:sz="4" w:space="0" w:color="000000"/>
              <w:right w:val="single" w:sz="4" w:space="0" w:color="000000"/>
            </w:tcBorders>
          </w:tcPr>
          <w:p w:rsidR="00252CFE" w:rsidRPr="00D355CD" w:rsidRDefault="00252CFE" w:rsidP="00B657E6">
            <w:pPr>
              <w:tabs>
                <w:tab w:val="left" w:pos="288"/>
                <w:tab w:val="left" w:pos="4752"/>
              </w:tabs>
              <w:spacing w:line="240" w:lineRule="exact"/>
              <w:jc w:val="center"/>
              <w:rPr>
                <w:rFonts w:asciiTheme="minorHAnsi" w:eastAsiaTheme="minorHAnsi" w:hAnsiTheme="minorHAnsi"/>
                <w:color w:val="auto"/>
                <w:sz w:val="18"/>
                <w:szCs w:val="18"/>
              </w:rPr>
            </w:pPr>
            <w:r w:rsidRPr="00D355CD">
              <w:rPr>
                <w:rFonts w:asciiTheme="minorHAnsi" w:eastAsiaTheme="minorHAnsi" w:hAnsiTheme="minorHAnsi"/>
                <w:color w:val="auto"/>
                <w:sz w:val="18"/>
                <w:szCs w:val="18"/>
              </w:rPr>
              <w:t>20%</w:t>
            </w:r>
          </w:p>
        </w:tc>
        <w:tc>
          <w:tcPr>
            <w:tcW w:w="1396" w:type="dxa"/>
            <w:tcBorders>
              <w:top w:val="single" w:sz="4" w:space="0" w:color="000000"/>
              <w:left w:val="single" w:sz="4" w:space="0" w:color="000000"/>
              <w:bottom w:val="single" w:sz="4" w:space="0" w:color="000000"/>
              <w:right w:val="single" w:sz="4" w:space="0" w:color="000000"/>
            </w:tcBorders>
          </w:tcPr>
          <w:p w:rsidR="00252CFE" w:rsidRPr="00D355CD" w:rsidRDefault="00252CFE" w:rsidP="00B657E6">
            <w:pPr>
              <w:tabs>
                <w:tab w:val="left" w:pos="288"/>
                <w:tab w:val="left" w:pos="4752"/>
              </w:tabs>
              <w:spacing w:line="240" w:lineRule="exact"/>
              <w:jc w:val="center"/>
              <w:rPr>
                <w:rFonts w:asciiTheme="minorHAnsi" w:eastAsiaTheme="minorHAnsi" w:hAnsiTheme="minorHAnsi"/>
                <w:color w:val="auto"/>
                <w:sz w:val="18"/>
                <w:szCs w:val="18"/>
              </w:rPr>
            </w:pPr>
            <w:r w:rsidRPr="00D355CD">
              <w:rPr>
                <w:rFonts w:asciiTheme="minorHAnsi" w:eastAsiaTheme="minorHAnsi" w:hAnsiTheme="minorHAnsi"/>
                <w:color w:val="auto"/>
                <w:sz w:val="18"/>
                <w:szCs w:val="18"/>
              </w:rPr>
              <w:t>10%</w:t>
            </w:r>
            <w:r w:rsidR="003C1726" w:rsidRPr="00D355CD">
              <w:rPr>
                <w:rFonts w:asciiTheme="minorHAnsi" w:eastAsiaTheme="minorHAnsi" w:hAnsiTheme="minorHAnsi"/>
                <w:color w:val="auto"/>
                <w:sz w:val="18"/>
                <w:szCs w:val="18"/>
              </w:rPr>
              <w:t>*</w:t>
            </w:r>
          </w:p>
        </w:tc>
      </w:tr>
    </w:tbl>
    <w:p w:rsidR="00BF057C" w:rsidRPr="00D355CD" w:rsidRDefault="003C1726" w:rsidP="003C1726">
      <w:pPr>
        <w:spacing w:line="240" w:lineRule="exact"/>
        <w:ind w:left="288" w:right="288"/>
        <w:jc w:val="both"/>
        <w:rPr>
          <w:rFonts w:asciiTheme="minorHAnsi" w:hAnsiTheme="minorHAnsi"/>
          <w:color w:val="auto"/>
          <w:szCs w:val="24"/>
        </w:rPr>
      </w:pPr>
      <w:r w:rsidRPr="00D355CD">
        <w:rPr>
          <w:rFonts w:asciiTheme="minorHAnsi" w:hAnsiTheme="minorHAnsi"/>
          <w:color w:val="auto"/>
          <w:szCs w:val="24"/>
        </w:rPr>
        <w:t xml:space="preserve">*“There is increasing pain, fatigue, weakness, lack of endurance, and </w:t>
      </w:r>
      <w:proofErr w:type="spellStart"/>
      <w:r w:rsidRPr="00D355CD">
        <w:rPr>
          <w:rFonts w:asciiTheme="minorHAnsi" w:hAnsiTheme="minorHAnsi"/>
          <w:color w:val="auto"/>
          <w:szCs w:val="24"/>
        </w:rPr>
        <w:t>incoordination</w:t>
      </w:r>
      <w:proofErr w:type="spellEnd"/>
      <w:r w:rsidRPr="00D355CD">
        <w:rPr>
          <w:rFonts w:asciiTheme="minorHAnsi" w:hAnsiTheme="minorHAnsi"/>
          <w:color w:val="auto"/>
          <w:szCs w:val="24"/>
        </w:rPr>
        <w:t xml:space="preserve"> with repetitive motion of lumbar spine with repetitive motion, especially to the point where he cannot use lumbar spine at all after prolonged repetitive use.”</w:t>
      </w:r>
    </w:p>
    <w:p w:rsidR="003C1726" w:rsidRPr="00D355CD" w:rsidRDefault="003C1726" w:rsidP="004B3837">
      <w:pPr>
        <w:spacing w:line="240" w:lineRule="exact"/>
        <w:jc w:val="both"/>
        <w:rPr>
          <w:rFonts w:asciiTheme="minorHAnsi" w:hAnsiTheme="minorHAnsi"/>
          <w:color w:val="auto"/>
          <w:szCs w:val="24"/>
        </w:rPr>
      </w:pPr>
    </w:p>
    <w:p w:rsidR="00AD76F3" w:rsidRPr="00D355CD" w:rsidRDefault="00181F04" w:rsidP="004B3837">
      <w:pPr>
        <w:tabs>
          <w:tab w:val="left" w:pos="288"/>
          <w:tab w:val="left" w:pos="4752"/>
        </w:tabs>
        <w:spacing w:line="240" w:lineRule="exact"/>
        <w:jc w:val="both"/>
        <w:rPr>
          <w:rFonts w:asciiTheme="minorHAnsi" w:hAnsiTheme="minorHAnsi"/>
          <w:color w:val="auto"/>
          <w:szCs w:val="24"/>
        </w:rPr>
      </w:pPr>
      <w:r w:rsidRPr="00D355CD">
        <w:rPr>
          <w:rFonts w:asciiTheme="minorHAnsi" w:hAnsiTheme="minorHAnsi"/>
          <w:color w:val="auto"/>
          <w:szCs w:val="24"/>
        </w:rPr>
        <w:t>In June 2007, the CI presented for care of a six</w:t>
      </w:r>
      <w:r w:rsidR="00CF14F0">
        <w:rPr>
          <w:rFonts w:asciiTheme="minorHAnsi" w:hAnsiTheme="minorHAnsi"/>
          <w:color w:val="auto"/>
          <w:szCs w:val="24"/>
        </w:rPr>
        <w:t>-</w:t>
      </w:r>
      <w:r w:rsidRPr="00D355CD">
        <w:rPr>
          <w:rFonts w:asciiTheme="minorHAnsi" w:hAnsiTheme="minorHAnsi"/>
          <w:color w:val="auto"/>
          <w:szCs w:val="24"/>
        </w:rPr>
        <w:t xml:space="preserve">month history of back pain radiating into his legs.  Magnetic resonance imaging disclosed </w:t>
      </w:r>
      <w:r w:rsidR="00CF14F0">
        <w:rPr>
          <w:rFonts w:asciiTheme="minorHAnsi" w:hAnsiTheme="minorHAnsi"/>
          <w:color w:val="auto"/>
          <w:szCs w:val="24"/>
        </w:rPr>
        <w:t>DDD</w:t>
      </w:r>
      <w:r w:rsidRPr="00D355CD">
        <w:rPr>
          <w:rFonts w:asciiTheme="minorHAnsi" w:hAnsiTheme="minorHAnsi"/>
          <w:color w:val="auto"/>
          <w:szCs w:val="24"/>
        </w:rPr>
        <w:t xml:space="preserve"> at L3-4, L4-5, and L5-S1</w:t>
      </w:r>
      <w:r w:rsidR="004B3837" w:rsidRPr="00D355CD">
        <w:rPr>
          <w:rFonts w:asciiTheme="minorHAnsi" w:hAnsiTheme="minorHAnsi"/>
          <w:color w:val="auto"/>
          <w:szCs w:val="24"/>
        </w:rPr>
        <w:t>,</w:t>
      </w:r>
      <w:r w:rsidRPr="00D355CD">
        <w:rPr>
          <w:rFonts w:asciiTheme="minorHAnsi" w:hAnsiTheme="minorHAnsi"/>
          <w:color w:val="auto"/>
          <w:szCs w:val="24"/>
        </w:rPr>
        <w:t xml:space="preserve"> with disc protrusions</w:t>
      </w:r>
      <w:r w:rsidR="00252CFE" w:rsidRPr="00D355CD">
        <w:rPr>
          <w:rFonts w:asciiTheme="minorHAnsi" w:hAnsiTheme="minorHAnsi"/>
          <w:color w:val="auto"/>
          <w:szCs w:val="24"/>
        </w:rPr>
        <w:t xml:space="preserve"> at each level</w:t>
      </w:r>
      <w:r w:rsidRPr="00D355CD">
        <w:rPr>
          <w:rFonts w:asciiTheme="minorHAnsi" w:hAnsiTheme="minorHAnsi"/>
          <w:color w:val="auto"/>
          <w:szCs w:val="24"/>
        </w:rPr>
        <w:t xml:space="preserve"> including a moderate disc protrusion at L4-5; the latter finding most likely associated with his symptoms of pain radiating into the legs, predominantly the left leg.  Evaluation by neurosurgery in September and October 2007 confirmed the impression of a “variable left lumbar </w:t>
      </w:r>
      <w:proofErr w:type="spellStart"/>
      <w:r w:rsidRPr="00D355CD">
        <w:rPr>
          <w:rFonts w:asciiTheme="minorHAnsi" w:hAnsiTheme="minorHAnsi"/>
          <w:color w:val="auto"/>
          <w:szCs w:val="24"/>
        </w:rPr>
        <w:t>radiculitis</w:t>
      </w:r>
      <w:proofErr w:type="spellEnd"/>
      <w:r w:rsidRPr="00D355CD">
        <w:rPr>
          <w:rFonts w:asciiTheme="minorHAnsi" w:hAnsiTheme="minorHAnsi"/>
          <w:color w:val="auto"/>
          <w:szCs w:val="24"/>
        </w:rPr>
        <w:t>” due to lumbar disc disease, and advised non-operative treatment.</w:t>
      </w:r>
      <w:r w:rsidR="00ED2AE2" w:rsidRPr="00D355CD">
        <w:rPr>
          <w:rFonts w:asciiTheme="minorHAnsi" w:hAnsiTheme="minorHAnsi"/>
          <w:color w:val="auto"/>
          <w:szCs w:val="24"/>
        </w:rPr>
        <w:t xml:space="preserve">  The CI was placed on limited duty in October 2007.</w:t>
      </w:r>
      <w:r w:rsidRPr="00D355CD">
        <w:rPr>
          <w:rFonts w:asciiTheme="minorHAnsi" w:hAnsiTheme="minorHAnsi"/>
          <w:color w:val="auto"/>
          <w:szCs w:val="24"/>
        </w:rPr>
        <w:t xml:space="preserve">  Orthopedic </w:t>
      </w:r>
      <w:r w:rsidR="00ED2AE2" w:rsidRPr="00D355CD">
        <w:rPr>
          <w:rFonts w:asciiTheme="minorHAnsi" w:hAnsiTheme="minorHAnsi"/>
          <w:color w:val="auto"/>
          <w:szCs w:val="24"/>
        </w:rPr>
        <w:t xml:space="preserve">evaluation in </w:t>
      </w:r>
      <w:r w:rsidRPr="00D355CD">
        <w:rPr>
          <w:rFonts w:asciiTheme="minorHAnsi" w:hAnsiTheme="minorHAnsi"/>
          <w:color w:val="auto"/>
          <w:szCs w:val="24"/>
        </w:rPr>
        <w:t xml:space="preserve">February 2008 </w:t>
      </w:r>
      <w:r w:rsidR="00ED2AE2" w:rsidRPr="00D355CD">
        <w:rPr>
          <w:rFonts w:asciiTheme="minorHAnsi" w:hAnsiTheme="minorHAnsi"/>
          <w:color w:val="auto"/>
          <w:szCs w:val="24"/>
        </w:rPr>
        <w:t xml:space="preserve">reflected stable symptoms, and examination demonstrated </w:t>
      </w:r>
      <w:r w:rsidRPr="00D355CD">
        <w:rPr>
          <w:rFonts w:asciiTheme="minorHAnsi" w:hAnsiTheme="minorHAnsi"/>
          <w:color w:val="auto"/>
          <w:szCs w:val="24"/>
        </w:rPr>
        <w:t>normal gait, intact muscle strength, reflexes and sensation</w:t>
      </w:r>
      <w:r w:rsidR="007C2E86" w:rsidRPr="00D355CD">
        <w:rPr>
          <w:rFonts w:asciiTheme="minorHAnsi" w:hAnsiTheme="minorHAnsi"/>
          <w:color w:val="auto"/>
          <w:szCs w:val="24"/>
        </w:rPr>
        <w:t xml:space="preserve"> (neurosurgery previously reported variable tingling of the left foot)</w:t>
      </w:r>
      <w:r w:rsidRPr="00D355CD">
        <w:rPr>
          <w:rFonts w:asciiTheme="minorHAnsi" w:hAnsiTheme="minorHAnsi"/>
          <w:color w:val="auto"/>
          <w:szCs w:val="24"/>
        </w:rPr>
        <w:t xml:space="preserve">.  </w:t>
      </w:r>
      <w:r w:rsidR="00ED2AE2" w:rsidRPr="00D355CD">
        <w:rPr>
          <w:rFonts w:asciiTheme="minorHAnsi" w:hAnsiTheme="minorHAnsi"/>
          <w:color w:val="auto"/>
          <w:szCs w:val="24"/>
        </w:rPr>
        <w:t xml:space="preserve">There was tenderness on palpation and decreased forward flexion.  The orthopedic surgeon advised separation from the military rather than surgery.  The </w:t>
      </w:r>
      <w:proofErr w:type="gramStart"/>
      <w:r w:rsidR="00ED2AE2" w:rsidRPr="00D355CD">
        <w:rPr>
          <w:rFonts w:asciiTheme="minorHAnsi" w:hAnsiTheme="minorHAnsi"/>
          <w:color w:val="auto"/>
          <w:szCs w:val="24"/>
        </w:rPr>
        <w:t>IPEB,</w:t>
      </w:r>
      <w:proofErr w:type="gramEnd"/>
      <w:r w:rsidR="00ED2AE2" w:rsidRPr="00D355CD">
        <w:rPr>
          <w:rFonts w:asciiTheme="minorHAnsi" w:hAnsiTheme="minorHAnsi"/>
          <w:color w:val="auto"/>
          <w:szCs w:val="24"/>
        </w:rPr>
        <w:t xml:space="preserve"> initially</w:t>
      </w:r>
      <w:r w:rsidR="004B3837" w:rsidRPr="00D355CD">
        <w:rPr>
          <w:rFonts w:asciiTheme="minorHAnsi" w:hAnsiTheme="minorHAnsi"/>
          <w:color w:val="auto"/>
          <w:szCs w:val="24"/>
        </w:rPr>
        <w:t>,</w:t>
      </w:r>
      <w:r w:rsidR="00ED2AE2" w:rsidRPr="00D355CD">
        <w:rPr>
          <w:rFonts w:asciiTheme="minorHAnsi" w:hAnsiTheme="minorHAnsi"/>
          <w:color w:val="auto"/>
          <w:szCs w:val="24"/>
        </w:rPr>
        <w:t xml:space="preserve"> and upon reconsideration found the CI fit and returned him to duty.  The CI appealed to the FPEB contending his back condition was unfitting and warranted a rating of 20%</w:t>
      </w:r>
      <w:r w:rsidR="004B3837" w:rsidRPr="00D355CD">
        <w:rPr>
          <w:rFonts w:asciiTheme="minorHAnsi" w:hAnsiTheme="minorHAnsi"/>
          <w:color w:val="auto"/>
          <w:szCs w:val="24"/>
        </w:rPr>
        <w:t xml:space="preserve"> (according to the FPEB rationale)</w:t>
      </w:r>
      <w:r w:rsidR="00ED2AE2" w:rsidRPr="00D355CD">
        <w:rPr>
          <w:rFonts w:asciiTheme="minorHAnsi" w:hAnsiTheme="minorHAnsi"/>
          <w:color w:val="auto"/>
          <w:szCs w:val="24"/>
        </w:rPr>
        <w:t>.  The FPEB found him unfit for his back condition (5243, intervertebral disc syndrome)</w:t>
      </w:r>
      <w:r w:rsidR="004B3837" w:rsidRPr="00D355CD">
        <w:rPr>
          <w:rFonts w:asciiTheme="minorHAnsi" w:hAnsiTheme="minorHAnsi"/>
          <w:color w:val="auto"/>
          <w:szCs w:val="24"/>
        </w:rPr>
        <w:t xml:space="preserve"> and </w:t>
      </w:r>
      <w:r w:rsidR="00ED2AE2" w:rsidRPr="00D355CD">
        <w:rPr>
          <w:rFonts w:asciiTheme="minorHAnsi" w:hAnsiTheme="minorHAnsi"/>
          <w:color w:val="auto"/>
          <w:szCs w:val="24"/>
        </w:rPr>
        <w:t>rated his back condition 10%</w:t>
      </w:r>
      <w:r w:rsidR="004B3837" w:rsidRPr="00D355CD">
        <w:rPr>
          <w:rFonts w:asciiTheme="minorHAnsi" w:hAnsiTheme="minorHAnsi"/>
          <w:color w:val="auto"/>
          <w:szCs w:val="24"/>
        </w:rPr>
        <w:t>,</w:t>
      </w:r>
      <w:r w:rsidR="00ED2AE2" w:rsidRPr="00D355CD">
        <w:rPr>
          <w:rFonts w:asciiTheme="minorHAnsi" w:hAnsiTheme="minorHAnsi"/>
          <w:color w:val="auto"/>
          <w:szCs w:val="24"/>
        </w:rPr>
        <w:t xml:space="preserve"> although the </w:t>
      </w:r>
      <w:r w:rsidR="00CF14F0">
        <w:rPr>
          <w:rFonts w:asciiTheme="minorHAnsi" w:hAnsiTheme="minorHAnsi"/>
          <w:color w:val="auto"/>
          <w:szCs w:val="24"/>
        </w:rPr>
        <w:t xml:space="preserve">ROM </w:t>
      </w:r>
      <w:r w:rsidR="00ED2AE2" w:rsidRPr="00D355CD">
        <w:rPr>
          <w:rFonts w:asciiTheme="minorHAnsi" w:hAnsiTheme="minorHAnsi"/>
          <w:color w:val="auto"/>
          <w:szCs w:val="24"/>
        </w:rPr>
        <w:t xml:space="preserve">examinations cited by the FPEB would support a 20% rating.  The Board noted the improvement in </w:t>
      </w:r>
      <w:r w:rsidR="00CF14F0">
        <w:rPr>
          <w:rFonts w:asciiTheme="minorHAnsi" w:hAnsiTheme="minorHAnsi"/>
          <w:color w:val="auto"/>
          <w:szCs w:val="24"/>
        </w:rPr>
        <w:t>ROM</w:t>
      </w:r>
      <w:r w:rsidR="00ED2AE2" w:rsidRPr="00D355CD">
        <w:rPr>
          <w:rFonts w:asciiTheme="minorHAnsi" w:hAnsiTheme="minorHAnsi"/>
          <w:color w:val="auto"/>
          <w:szCs w:val="24"/>
        </w:rPr>
        <w:t xml:space="preserve"> at the time of the VA compensation and pension (C&amp;P) examination</w:t>
      </w:r>
      <w:r w:rsidR="00252CFE" w:rsidRPr="00D355CD">
        <w:rPr>
          <w:rFonts w:asciiTheme="minorHAnsi" w:hAnsiTheme="minorHAnsi"/>
          <w:color w:val="auto"/>
          <w:szCs w:val="24"/>
        </w:rPr>
        <w:t>, and the VA rating of 10% based on painful motion due to pain with flexion at 30</w:t>
      </w:r>
      <w:r w:rsidR="00252CFE" w:rsidRPr="00D355CD">
        <w:rPr>
          <w:rFonts w:asciiTheme="minorHAnsi" w:hAnsiTheme="minorHAnsi" w:cstheme="minorHAnsi"/>
          <w:color w:val="auto"/>
          <w:szCs w:val="24"/>
        </w:rPr>
        <w:t>°</w:t>
      </w:r>
      <w:r w:rsidR="00252CFE" w:rsidRPr="00D355CD">
        <w:rPr>
          <w:rFonts w:asciiTheme="minorHAnsi" w:hAnsiTheme="minorHAnsi"/>
          <w:color w:val="auto"/>
          <w:szCs w:val="24"/>
        </w:rPr>
        <w:t xml:space="preserve">.  As with service examinations, gait, reflexes and strength were normal.  There was decreased sensation of the left foot on the dorsal and lateral aspects </w:t>
      </w:r>
      <w:r w:rsidR="000345D2" w:rsidRPr="00D355CD">
        <w:rPr>
          <w:rFonts w:asciiTheme="minorHAnsi" w:hAnsiTheme="minorHAnsi"/>
          <w:color w:val="auto"/>
          <w:szCs w:val="24"/>
        </w:rPr>
        <w:t>consistent with radiculopathy.</w:t>
      </w:r>
    </w:p>
    <w:p w:rsidR="00AD76F3" w:rsidRPr="00D355CD" w:rsidRDefault="00AD76F3" w:rsidP="004B3837">
      <w:pPr>
        <w:spacing w:line="240" w:lineRule="exact"/>
        <w:jc w:val="both"/>
        <w:rPr>
          <w:rFonts w:asciiTheme="minorHAnsi" w:hAnsiTheme="minorHAnsi"/>
          <w:color w:val="auto"/>
          <w:szCs w:val="24"/>
        </w:rPr>
      </w:pPr>
    </w:p>
    <w:p w:rsidR="00AD76F3" w:rsidRPr="00D355CD" w:rsidRDefault="00AD76F3" w:rsidP="004B3837">
      <w:pPr>
        <w:spacing w:line="240" w:lineRule="exact"/>
        <w:jc w:val="both"/>
        <w:rPr>
          <w:rFonts w:asciiTheme="minorHAnsi" w:hAnsiTheme="minorHAnsi"/>
          <w:color w:val="auto"/>
          <w:szCs w:val="24"/>
        </w:rPr>
      </w:pPr>
      <w:r w:rsidRPr="00D355CD">
        <w:rPr>
          <w:rFonts w:asciiTheme="minorHAnsi" w:hAnsiTheme="minorHAnsi"/>
          <w:color w:val="auto"/>
          <w:szCs w:val="24"/>
        </w:rPr>
        <w:t>Whil</w:t>
      </w:r>
      <w:r w:rsidR="00CF14F0">
        <w:rPr>
          <w:rFonts w:asciiTheme="minorHAnsi" w:hAnsiTheme="minorHAnsi"/>
          <w:color w:val="auto"/>
          <w:szCs w:val="24"/>
        </w:rPr>
        <w:t>e the VA C&amp;P documented normal ROM</w:t>
      </w:r>
      <w:r w:rsidRPr="00D355CD">
        <w:rPr>
          <w:rFonts w:asciiTheme="minorHAnsi" w:hAnsiTheme="minorHAnsi"/>
          <w:color w:val="auto"/>
          <w:szCs w:val="24"/>
        </w:rPr>
        <w:t>,</w:t>
      </w:r>
      <w:r w:rsidR="00E05CCC" w:rsidRPr="00D355CD">
        <w:rPr>
          <w:rFonts w:asciiTheme="minorHAnsi" w:hAnsiTheme="minorHAnsi"/>
          <w:color w:val="auto"/>
          <w:szCs w:val="24"/>
        </w:rPr>
        <w:t xml:space="preserve"> the C&amp;P examiner noted pain with motion and </w:t>
      </w:r>
      <w:r w:rsidR="003C1726" w:rsidRPr="00D355CD">
        <w:rPr>
          <w:rFonts w:asciiTheme="minorHAnsi" w:hAnsiTheme="minorHAnsi"/>
          <w:color w:val="auto"/>
          <w:szCs w:val="24"/>
        </w:rPr>
        <w:t>“i</w:t>
      </w:r>
      <w:r w:rsidR="00E05CCC" w:rsidRPr="00D355CD">
        <w:rPr>
          <w:rFonts w:asciiTheme="minorHAnsi" w:hAnsiTheme="minorHAnsi"/>
          <w:color w:val="auto"/>
          <w:szCs w:val="24"/>
        </w:rPr>
        <w:t xml:space="preserve">ncreasing pain, fatigue, and </w:t>
      </w:r>
      <w:r w:rsidR="003C1726" w:rsidRPr="00D355CD">
        <w:rPr>
          <w:rFonts w:asciiTheme="minorHAnsi" w:hAnsiTheme="minorHAnsi"/>
          <w:color w:val="auto"/>
          <w:szCs w:val="24"/>
        </w:rPr>
        <w:t xml:space="preserve">lack of </w:t>
      </w:r>
      <w:r w:rsidR="00E05CCC" w:rsidRPr="00D355CD">
        <w:rPr>
          <w:rFonts w:asciiTheme="minorHAnsi" w:hAnsiTheme="minorHAnsi"/>
          <w:color w:val="auto"/>
          <w:szCs w:val="24"/>
        </w:rPr>
        <w:t xml:space="preserve">endurance </w:t>
      </w:r>
      <w:r w:rsidR="003C1726" w:rsidRPr="00D355CD">
        <w:rPr>
          <w:rFonts w:asciiTheme="minorHAnsi" w:hAnsiTheme="minorHAnsi"/>
          <w:color w:val="auto"/>
          <w:szCs w:val="24"/>
        </w:rPr>
        <w:t xml:space="preserve">and </w:t>
      </w:r>
      <w:proofErr w:type="spellStart"/>
      <w:r w:rsidR="003C1726" w:rsidRPr="00D355CD">
        <w:rPr>
          <w:rFonts w:asciiTheme="minorHAnsi" w:hAnsiTheme="minorHAnsi"/>
          <w:color w:val="auto"/>
          <w:szCs w:val="24"/>
        </w:rPr>
        <w:t>incoordination</w:t>
      </w:r>
      <w:proofErr w:type="spellEnd"/>
      <w:r w:rsidR="003C1726" w:rsidRPr="00D355CD">
        <w:rPr>
          <w:rFonts w:asciiTheme="minorHAnsi" w:hAnsiTheme="minorHAnsi"/>
          <w:color w:val="auto"/>
          <w:szCs w:val="24"/>
        </w:rPr>
        <w:t xml:space="preserve"> with repetitive motion </w:t>
      </w:r>
      <w:r w:rsidR="00E05CCC" w:rsidRPr="00D355CD">
        <w:rPr>
          <w:rFonts w:asciiTheme="minorHAnsi" w:hAnsiTheme="minorHAnsi"/>
          <w:color w:val="auto"/>
          <w:szCs w:val="24"/>
        </w:rPr>
        <w:t xml:space="preserve">of lumbar spine with repetitive motion, </w:t>
      </w:r>
      <w:r w:rsidR="003C1726" w:rsidRPr="00D355CD">
        <w:rPr>
          <w:rFonts w:asciiTheme="minorHAnsi" w:hAnsiTheme="minorHAnsi"/>
          <w:color w:val="auto"/>
          <w:szCs w:val="24"/>
        </w:rPr>
        <w:t xml:space="preserve">especially to the point where he cannot use lumbar spine at all after </w:t>
      </w:r>
      <w:r w:rsidR="00E05CCC" w:rsidRPr="00D355CD">
        <w:rPr>
          <w:rFonts w:asciiTheme="minorHAnsi" w:hAnsiTheme="minorHAnsi"/>
          <w:color w:val="auto"/>
          <w:szCs w:val="24"/>
        </w:rPr>
        <w:t>prolonged repetitive use.</w:t>
      </w:r>
      <w:r w:rsidR="003C1726" w:rsidRPr="00D355CD">
        <w:rPr>
          <w:rFonts w:asciiTheme="minorHAnsi" w:hAnsiTheme="minorHAnsi"/>
          <w:color w:val="auto"/>
          <w:szCs w:val="24"/>
        </w:rPr>
        <w:t>”</w:t>
      </w:r>
      <w:r w:rsidR="00E05CCC" w:rsidRPr="00D355CD">
        <w:rPr>
          <w:rFonts w:asciiTheme="minorHAnsi" w:hAnsiTheme="minorHAnsi"/>
          <w:color w:val="auto"/>
          <w:szCs w:val="24"/>
        </w:rPr>
        <w:t xml:space="preserve">  The </w:t>
      </w:r>
      <w:r w:rsidR="002E4AFF" w:rsidRPr="00D355CD">
        <w:rPr>
          <w:rFonts w:asciiTheme="minorHAnsi" w:hAnsiTheme="minorHAnsi"/>
          <w:color w:val="auto"/>
          <w:szCs w:val="24"/>
        </w:rPr>
        <w:t xml:space="preserve">service medical evidence consistently reflected loss of </w:t>
      </w:r>
      <w:r w:rsidR="00CF14F0">
        <w:rPr>
          <w:rFonts w:asciiTheme="minorHAnsi" w:hAnsiTheme="minorHAnsi"/>
          <w:color w:val="auto"/>
          <w:szCs w:val="24"/>
        </w:rPr>
        <w:t>ROM</w:t>
      </w:r>
      <w:r w:rsidR="002E4AFF" w:rsidRPr="00D355CD">
        <w:rPr>
          <w:rFonts w:asciiTheme="minorHAnsi" w:hAnsiTheme="minorHAnsi"/>
          <w:color w:val="auto"/>
          <w:szCs w:val="24"/>
        </w:rPr>
        <w:t xml:space="preserve"> in flexion.</w:t>
      </w:r>
      <w:r w:rsidR="00E05CCC" w:rsidRPr="00D355CD">
        <w:rPr>
          <w:rFonts w:asciiTheme="minorHAnsi" w:hAnsiTheme="minorHAnsi"/>
          <w:color w:val="auto"/>
          <w:szCs w:val="24"/>
        </w:rPr>
        <w:t xml:space="preserve">  The Board concluded that the preponderance evidence was most consistent with a rating of 20% for the back condition IAW </w:t>
      </w:r>
      <w:r w:rsidR="00CF14F0">
        <w:rPr>
          <w:rFonts w:asciiTheme="minorHAnsi" w:hAnsiTheme="minorHAnsi"/>
          <w:color w:val="auto"/>
          <w:szCs w:val="24"/>
        </w:rPr>
        <w:t>the VA Schedule for Rating Disabilities (</w:t>
      </w:r>
      <w:r w:rsidR="00E05CCC" w:rsidRPr="00D355CD">
        <w:rPr>
          <w:rFonts w:asciiTheme="minorHAnsi" w:hAnsiTheme="minorHAnsi"/>
          <w:color w:val="auto"/>
          <w:szCs w:val="24"/>
        </w:rPr>
        <w:t>VASRD</w:t>
      </w:r>
      <w:r w:rsidR="00CF14F0">
        <w:rPr>
          <w:rFonts w:asciiTheme="minorHAnsi" w:hAnsiTheme="minorHAnsi"/>
          <w:color w:val="auto"/>
          <w:szCs w:val="24"/>
        </w:rPr>
        <w:t>)</w:t>
      </w:r>
      <w:r w:rsidR="00E05CCC" w:rsidRPr="00D355CD">
        <w:rPr>
          <w:rFonts w:asciiTheme="minorHAnsi" w:hAnsiTheme="minorHAnsi"/>
          <w:color w:val="auto"/>
          <w:szCs w:val="24"/>
        </w:rPr>
        <w:t xml:space="preserve"> general rating formula for spine diseases, lumbar flexion greater than 30° but not greater than 60°.  </w:t>
      </w:r>
      <w:r w:rsidRPr="00D355CD">
        <w:rPr>
          <w:rFonts w:asciiTheme="minorHAnsi" w:hAnsiTheme="minorHAnsi"/>
          <w:color w:val="auto"/>
          <w:szCs w:val="24"/>
        </w:rPr>
        <w:t>After due deliberation, considering all evidence and mindful of VASRD §4.</w:t>
      </w:r>
      <w:r w:rsidR="002E4AFF" w:rsidRPr="00D355CD">
        <w:rPr>
          <w:rFonts w:asciiTheme="minorHAnsi" w:hAnsiTheme="minorHAnsi"/>
          <w:color w:val="auto"/>
          <w:szCs w:val="24"/>
        </w:rPr>
        <w:t>3</w:t>
      </w:r>
      <w:r w:rsidRPr="00D355CD">
        <w:rPr>
          <w:rFonts w:asciiTheme="minorHAnsi" w:hAnsiTheme="minorHAnsi"/>
          <w:color w:val="auto"/>
          <w:szCs w:val="24"/>
        </w:rPr>
        <w:t xml:space="preserve"> (reasonable doubt)</w:t>
      </w:r>
      <w:r w:rsidR="002E4AFF" w:rsidRPr="00D355CD">
        <w:rPr>
          <w:rFonts w:asciiTheme="minorHAnsi" w:hAnsiTheme="minorHAnsi"/>
          <w:color w:val="auto"/>
          <w:szCs w:val="24"/>
        </w:rPr>
        <w:t xml:space="preserve">, </w:t>
      </w:r>
      <w:r w:rsidR="003C1726" w:rsidRPr="00D355CD">
        <w:rPr>
          <w:rFonts w:asciiTheme="minorHAnsi" w:hAnsiTheme="minorHAnsi"/>
          <w:color w:val="auto"/>
          <w:szCs w:val="24"/>
        </w:rPr>
        <w:t xml:space="preserve">DeLuca, </w:t>
      </w:r>
      <w:r w:rsidR="002E4AFF" w:rsidRPr="00D355CD">
        <w:rPr>
          <w:rFonts w:asciiTheme="minorHAnsi" w:hAnsiTheme="minorHAnsi"/>
          <w:color w:val="auto"/>
          <w:szCs w:val="24"/>
        </w:rPr>
        <w:t xml:space="preserve">and </w:t>
      </w:r>
      <w:r w:rsidR="002E4AFF" w:rsidRPr="00D355CD">
        <w:rPr>
          <w:rFonts w:asciiTheme="minorHAnsi" w:hAnsiTheme="minorHAnsi" w:cstheme="minorHAnsi"/>
          <w:color w:val="auto"/>
          <w:szCs w:val="24"/>
        </w:rPr>
        <w:t>§</w:t>
      </w:r>
      <w:r w:rsidR="002E4AFF" w:rsidRPr="00D355CD">
        <w:rPr>
          <w:rFonts w:asciiTheme="minorHAnsi" w:hAnsiTheme="minorHAnsi"/>
          <w:color w:val="auto"/>
          <w:szCs w:val="24"/>
        </w:rPr>
        <w:t xml:space="preserve">4.7 (higher of two ratings), </w:t>
      </w:r>
      <w:r w:rsidRPr="00D355CD">
        <w:rPr>
          <w:rFonts w:asciiTheme="minorHAnsi" w:hAnsiTheme="minorHAnsi"/>
          <w:color w:val="auto"/>
          <w:szCs w:val="24"/>
        </w:rPr>
        <w:t>the Board recommends a separation rating of</w:t>
      </w:r>
      <w:r w:rsidR="002E4AFF" w:rsidRPr="00D355CD">
        <w:rPr>
          <w:rFonts w:asciiTheme="minorHAnsi" w:hAnsiTheme="minorHAnsi"/>
          <w:color w:val="auto"/>
          <w:szCs w:val="24"/>
        </w:rPr>
        <w:t xml:space="preserve"> 20% </w:t>
      </w:r>
      <w:r w:rsidRPr="00D355CD">
        <w:rPr>
          <w:rFonts w:asciiTheme="minorHAnsi" w:hAnsiTheme="minorHAnsi"/>
          <w:color w:val="auto"/>
          <w:szCs w:val="24"/>
        </w:rPr>
        <w:t xml:space="preserve">for the lumbar </w:t>
      </w:r>
      <w:r w:rsidR="00CF14F0">
        <w:rPr>
          <w:rFonts w:asciiTheme="minorHAnsi" w:hAnsiTheme="minorHAnsi"/>
          <w:color w:val="auto"/>
          <w:szCs w:val="24"/>
        </w:rPr>
        <w:t>DDD</w:t>
      </w:r>
      <w:r w:rsidRPr="00D355CD">
        <w:rPr>
          <w:rFonts w:asciiTheme="minorHAnsi" w:hAnsiTheme="minorHAnsi"/>
          <w:color w:val="auto"/>
          <w:szCs w:val="24"/>
        </w:rPr>
        <w:t xml:space="preserve"> (5243).</w:t>
      </w:r>
    </w:p>
    <w:p w:rsidR="00AD76F3" w:rsidRPr="00D355CD" w:rsidRDefault="00AD76F3" w:rsidP="004B3837">
      <w:pPr>
        <w:tabs>
          <w:tab w:val="left" w:pos="288"/>
          <w:tab w:val="left" w:pos="4752"/>
        </w:tabs>
        <w:spacing w:line="240" w:lineRule="exact"/>
        <w:jc w:val="both"/>
        <w:rPr>
          <w:rFonts w:asciiTheme="minorHAnsi" w:hAnsiTheme="minorHAnsi"/>
          <w:color w:val="auto"/>
          <w:szCs w:val="24"/>
        </w:rPr>
      </w:pPr>
    </w:p>
    <w:p w:rsidR="00AD76F3" w:rsidRPr="00D355CD" w:rsidRDefault="00AD76F3" w:rsidP="004B3837">
      <w:pPr>
        <w:tabs>
          <w:tab w:val="left" w:pos="720"/>
          <w:tab w:val="left" w:pos="1080"/>
          <w:tab w:val="left" w:pos="1440"/>
          <w:tab w:val="left" w:pos="1800"/>
          <w:tab w:val="left" w:pos="2160"/>
          <w:tab w:val="right" w:leader="dot" w:pos="9180"/>
        </w:tabs>
        <w:spacing w:line="240" w:lineRule="exact"/>
        <w:jc w:val="both"/>
        <w:rPr>
          <w:rFonts w:asciiTheme="minorHAnsi" w:hAnsiTheme="minorHAnsi"/>
          <w:color w:val="auto"/>
          <w:szCs w:val="24"/>
        </w:rPr>
      </w:pPr>
      <w:r w:rsidRPr="00D355CD">
        <w:rPr>
          <w:rFonts w:asciiTheme="minorHAnsi" w:hAnsiTheme="minorHAnsi"/>
          <w:color w:val="auto"/>
          <w:szCs w:val="24"/>
        </w:rPr>
        <w:t>The Board also considered a rating using the VASRD formula based on incapacitating episodes due to intervertebral disc syndrome.  The criteria are based on the number of incapacitating episodes in the prior 12 months requiring bed rest prescribed by a physician.  No service treatment records were identified that documented physician</w:t>
      </w:r>
      <w:r w:rsidR="00A42E06">
        <w:rPr>
          <w:rFonts w:asciiTheme="minorHAnsi" w:hAnsiTheme="minorHAnsi"/>
          <w:color w:val="auto"/>
          <w:szCs w:val="24"/>
        </w:rPr>
        <w:t>-</w:t>
      </w:r>
      <w:r w:rsidRPr="00D355CD">
        <w:rPr>
          <w:rFonts w:asciiTheme="minorHAnsi" w:hAnsiTheme="minorHAnsi"/>
          <w:color w:val="auto"/>
          <w:szCs w:val="24"/>
        </w:rPr>
        <w:t xml:space="preserve">directed bed rest.  The Board </w:t>
      </w:r>
      <w:r w:rsidRPr="00D355CD">
        <w:rPr>
          <w:rFonts w:asciiTheme="minorHAnsi" w:hAnsiTheme="minorHAnsi"/>
          <w:color w:val="auto"/>
          <w:szCs w:val="24"/>
        </w:rPr>
        <w:lastRenderedPageBreak/>
        <w:t xml:space="preserve">concluded the preponderance of evidence did not support a higher rating using this alternate formula providing no additional benefit to the CI.  </w:t>
      </w:r>
    </w:p>
    <w:p w:rsidR="000345D2" w:rsidRPr="00D355CD" w:rsidRDefault="000345D2" w:rsidP="004B3837">
      <w:pPr>
        <w:tabs>
          <w:tab w:val="left" w:pos="720"/>
          <w:tab w:val="left" w:pos="1080"/>
          <w:tab w:val="left" w:pos="1440"/>
          <w:tab w:val="left" w:pos="1800"/>
          <w:tab w:val="left" w:pos="2160"/>
          <w:tab w:val="right" w:leader="dot" w:pos="9180"/>
        </w:tabs>
        <w:spacing w:line="240" w:lineRule="exact"/>
        <w:jc w:val="both"/>
        <w:rPr>
          <w:color w:val="auto"/>
          <w:szCs w:val="24"/>
        </w:rPr>
      </w:pPr>
    </w:p>
    <w:p w:rsidR="00ED2AE2" w:rsidRPr="00D355CD" w:rsidRDefault="00252CFE" w:rsidP="004B3837">
      <w:pPr>
        <w:tabs>
          <w:tab w:val="left" w:pos="288"/>
          <w:tab w:val="left" w:pos="4752"/>
        </w:tabs>
        <w:spacing w:line="240" w:lineRule="exact"/>
        <w:jc w:val="both"/>
        <w:rPr>
          <w:rFonts w:asciiTheme="minorHAnsi" w:hAnsiTheme="minorHAnsi"/>
          <w:color w:val="auto"/>
          <w:szCs w:val="24"/>
        </w:rPr>
      </w:pPr>
      <w:r w:rsidRPr="00D355CD">
        <w:rPr>
          <w:rFonts w:asciiTheme="minorHAnsi" w:hAnsiTheme="minorHAnsi"/>
          <w:color w:val="auto"/>
          <w:szCs w:val="24"/>
        </w:rPr>
        <w:t>The VA granted a service connected rating of 10% for radiculopathy based on the sensory changes</w:t>
      </w:r>
      <w:r w:rsidR="00AD76F3" w:rsidRPr="00D355CD">
        <w:rPr>
          <w:rFonts w:asciiTheme="minorHAnsi" w:hAnsiTheme="minorHAnsi"/>
          <w:color w:val="auto"/>
          <w:szCs w:val="24"/>
        </w:rPr>
        <w:t xml:space="preserve">, </w:t>
      </w:r>
      <w:r w:rsidR="007C2E86" w:rsidRPr="00D355CD">
        <w:rPr>
          <w:rFonts w:asciiTheme="minorHAnsi" w:hAnsiTheme="minorHAnsi"/>
          <w:color w:val="auto"/>
          <w:szCs w:val="24"/>
        </w:rPr>
        <w:t>coded as peroneal neuropathy (8522).  The Board considered whether the CI’s radicul</w:t>
      </w:r>
      <w:r w:rsidR="00AD76F3" w:rsidRPr="00D355CD">
        <w:rPr>
          <w:rFonts w:asciiTheme="minorHAnsi" w:hAnsiTheme="minorHAnsi"/>
          <w:color w:val="auto"/>
          <w:szCs w:val="24"/>
        </w:rPr>
        <w:t xml:space="preserve">ar symptoms were </w:t>
      </w:r>
      <w:r w:rsidR="007C2E86" w:rsidRPr="00D355CD">
        <w:rPr>
          <w:rFonts w:asciiTheme="minorHAnsi" w:hAnsiTheme="minorHAnsi"/>
          <w:color w:val="auto"/>
          <w:szCs w:val="24"/>
        </w:rPr>
        <w:t>separately unfitting, warranting a disability rating at the time of separation.</w:t>
      </w:r>
      <w:r w:rsidR="00AD76F3" w:rsidRPr="00D355CD">
        <w:rPr>
          <w:rFonts w:asciiTheme="minorHAnsi" w:hAnsiTheme="minorHAnsi"/>
          <w:color w:val="auto"/>
          <w:szCs w:val="24"/>
        </w:rPr>
        <w:t xml:space="preserve">  </w:t>
      </w:r>
      <w:r w:rsidR="007C2E86" w:rsidRPr="00D355CD">
        <w:rPr>
          <w:rFonts w:asciiTheme="minorHAnsi" w:hAnsiTheme="minorHAnsi"/>
          <w:color w:val="auto"/>
          <w:szCs w:val="24"/>
        </w:rPr>
        <w:t>While the reported mild sensory changes were consistent with radiculopathy, they were not impairing of functioning and would not be considered unfitting.  Motor strength testing</w:t>
      </w:r>
      <w:r w:rsidR="00AD76F3" w:rsidRPr="00D355CD">
        <w:rPr>
          <w:rFonts w:asciiTheme="minorHAnsi" w:hAnsiTheme="minorHAnsi"/>
          <w:color w:val="auto"/>
          <w:szCs w:val="24"/>
        </w:rPr>
        <w:t>, reflexes, and gait were</w:t>
      </w:r>
      <w:r w:rsidR="007C2E86" w:rsidRPr="00D355CD">
        <w:rPr>
          <w:rFonts w:asciiTheme="minorHAnsi" w:hAnsiTheme="minorHAnsi"/>
          <w:color w:val="auto"/>
          <w:szCs w:val="24"/>
        </w:rPr>
        <w:t xml:space="preserve"> consistently normal</w:t>
      </w:r>
      <w:r w:rsidR="00A42E06">
        <w:rPr>
          <w:rFonts w:asciiTheme="minorHAnsi" w:hAnsiTheme="minorHAnsi"/>
          <w:color w:val="auto"/>
          <w:szCs w:val="24"/>
        </w:rPr>
        <w:t>,</w:t>
      </w:r>
      <w:r w:rsidR="007C2E86" w:rsidRPr="00D355CD">
        <w:rPr>
          <w:rFonts w:asciiTheme="minorHAnsi" w:hAnsiTheme="minorHAnsi"/>
          <w:color w:val="auto"/>
          <w:szCs w:val="24"/>
        </w:rPr>
        <w:t xml:space="preserve"> and evidence of the record reflects that pain was reason the CI was unable to perform all the functions of his military specialty.  VASRD rating criteria under the general rating formula for diseases and injuries of the spine takes into account pain, whether it radiates or not.  All evidence considered</w:t>
      </w:r>
      <w:proofErr w:type="gramStart"/>
      <w:r w:rsidR="007C2E86" w:rsidRPr="00D355CD">
        <w:rPr>
          <w:rFonts w:asciiTheme="minorHAnsi" w:hAnsiTheme="minorHAnsi"/>
          <w:color w:val="auto"/>
          <w:szCs w:val="24"/>
        </w:rPr>
        <w:t>,</w:t>
      </w:r>
      <w:proofErr w:type="gramEnd"/>
      <w:r w:rsidR="007C2E86" w:rsidRPr="00D355CD">
        <w:rPr>
          <w:rFonts w:asciiTheme="minorHAnsi" w:hAnsiTheme="minorHAnsi"/>
          <w:color w:val="auto"/>
          <w:szCs w:val="24"/>
        </w:rPr>
        <w:t xml:space="preserve"> there is not reasonable doubt in the CI’s favor supporting addition of lumbar radiculopathy as an unfitting condition for separation rating.</w:t>
      </w:r>
    </w:p>
    <w:p w:rsidR="00EC337D" w:rsidRPr="00D355CD" w:rsidRDefault="00EC337D" w:rsidP="004B3837">
      <w:pPr>
        <w:tabs>
          <w:tab w:val="left" w:pos="288"/>
          <w:tab w:val="left" w:pos="4752"/>
        </w:tabs>
        <w:spacing w:line="240" w:lineRule="exact"/>
        <w:jc w:val="both"/>
        <w:rPr>
          <w:rFonts w:asciiTheme="minorHAnsi" w:hAnsiTheme="minorHAnsi"/>
          <w:color w:val="auto"/>
          <w:szCs w:val="24"/>
        </w:rPr>
      </w:pPr>
    </w:p>
    <w:p w:rsidR="00E7742B" w:rsidRPr="00D355CD" w:rsidRDefault="00EC337D" w:rsidP="004B3837">
      <w:pPr>
        <w:tabs>
          <w:tab w:val="left" w:pos="288"/>
          <w:tab w:val="left" w:pos="4752"/>
        </w:tabs>
        <w:spacing w:line="240" w:lineRule="exact"/>
        <w:jc w:val="both"/>
        <w:rPr>
          <w:rFonts w:asciiTheme="minorHAnsi" w:hAnsiTheme="minorHAnsi"/>
          <w:color w:val="auto"/>
          <w:szCs w:val="24"/>
        </w:rPr>
      </w:pPr>
      <w:proofErr w:type="gramStart"/>
      <w:r w:rsidRPr="00D355CD">
        <w:rPr>
          <w:rFonts w:asciiTheme="minorHAnsi" w:hAnsiTheme="minorHAnsi"/>
          <w:color w:val="auto"/>
          <w:szCs w:val="24"/>
          <w:u w:val="single"/>
        </w:rPr>
        <w:t>Remaining Conditions</w:t>
      </w:r>
      <w:r w:rsidR="00CF14F0">
        <w:rPr>
          <w:rFonts w:asciiTheme="minorHAnsi" w:hAnsiTheme="minorHAnsi"/>
          <w:color w:val="auto"/>
          <w:szCs w:val="24"/>
          <w:u w:val="single"/>
        </w:rPr>
        <w:t>.</w:t>
      </w:r>
      <w:proofErr w:type="gramEnd"/>
      <w:r w:rsidR="00AE7E90" w:rsidRPr="00D355CD">
        <w:rPr>
          <w:rFonts w:asciiTheme="minorHAnsi" w:hAnsiTheme="minorHAnsi"/>
          <w:color w:val="auto"/>
          <w:szCs w:val="24"/>
        </w:rPr>
        <w:t xml:space="preserve">  </w:t>
      </w:r>
      <w:r w:rsidRPr="00D355CD">
        <w:rPr>
          <w:rFonts w:asciiTheme="minorHAnsi" w:hAnsiTheme="minorHAnsi"/>
          <w:color w:val="auto"/>
          <w:szCs w:val="24"/>
        </w:rPr>
        <w:t>Other conditions identified in the D</w:t>
      </w:r>
      <w:r w:rsidR="00A42E06">
        <w:rPr>
          <w:rFonts w:asciiTheme="minorHAnsi" w:hAnsiTheme="minorHAnsi"/>
          <w:color w:val="auto"/>
          <w:szCs w:val="24"/>
        </w:rPr>
        <w:t>isability Evaluation System (D</w:t>
      </w:r>
      <w:r w:rsidRPr="00D355CD">
        <w:rPr>
          <w:rFonts w:asciiTheme="minorHAnsi" w:hAnsiTheme="minorHAnsi"/>
          <w:color w:val="auto"/>
          <w:szCs w:val="24"/>
        </w:rPr>
        <w:t>ES</w:t>
      </w:r>
      <w:r w:rsidR="00A42E06">
        <w:rPr>
          <w:rFonts w:asciiTheme="minorHAnsi" w:hAnsiTheme="minorHAnsi"/>
          <w:color w:val="auto"/>
          <w:szCs w:val="24"/>
        </w:rPr>
        <w:t>)</w:t>
      </w:r>
      <w:r w:rsidRPr="00D355CD">
        <w:rPr>
          <w:rFonts w:asciiTheme="minorHAnsi" w:hAnsiTheme="minorHAnsi"/>
          <w:color w:val="auto"/>
          <w:szCs w:val="24"/>
        </w:rPr>
        <w:t xml:space="preserve"> file were</w:t>
      </w:r>
      <w:r w:rsidR="00AE7E90" w:rsidRPr="00D355CD">
        <w:rPr>
          <w:rFonts w:asciiTheme="minorHAnsi" w:hAnsiTheme="minorHAnsi"/>
          <w:color w:val="auto"/>
          <w:szCs w:val="24"/>
        </w:rPr>
        <w:t xml:space="preserve"> shoulder trouble, knee trouble, blood clot right calf</w:t>
      </w:r>
      <w:r w:rsidR="000345D2" w:rsidRPr="00D355CD">
        <w:rPr>
          <w:rFonts w:asciiTheme="minorHAnsi" w:hAnsiTheme="minorHAnsi"/>
          <w:color w:val="auto"/>
          <w:szCs w:val="24"/>
        </w:rPr>
        <w:t xml:space="preserve"> (2006)</w:t>
      </w:r>
      <w:r w:rsidR="00AE7E90" w:rsidRPr="00D355CD">
        <w:rPr>
          <w:rFonts w:asciiTheme="minorHAnsi" w:hAnsiTheme="minorHAnsi"/>
          <w:color w:val="auto"/>
          <w:szCs w:val="24"/>
        </w:rPr>
        <w:t xml:space="preserve">, and head injury with loss of consciousness (2000).  </w:t>
      </w:r>
      <w:r w:rsidRPr="00D355CD">
        <w:rPr>
          <w:rFonts w:asciiTheme="minorHAnsi" w:hAnsiTheme="minorHAnsi"/>
          <w:color w:val="auto"/>
          <w:szCs w:val="24"/>
        </w:rPr>
        <w:t>Several additional non-acute conditions or medical complaints were also documented</w:t>
      </w:r>
      <w:r w:rsidR="00AE7E90" w:rsidRPr="00D355CD">
        <w:rPr>
          <w:rFonts w:asciiTheme="minorHAnsi" w:hAnsiTheme="minorHAnsi"/>
          <w:color w:val="auto"/>
          <w:szCs w:val="24"/>
        </w:rPr>
        <w:t xml:space="preserve"> in the medical records</w:t>
      </w:r>
      <w:r w:rsidRPr="00D355CD">
        <w:rPr>
          <w:rFonts w:asciiTheme="minorHAnsi" w:hAnsiTheme="minorHAnsi"/>
          <w:color w:val="auto"/>
          <w:szCs w:val="24"/>
        </w:rPr>
        <w:t xml:space="preserve">.  None of these conditions were </w:t>
      </w:r>
      <w:r w:rsidR="00AE7E90" w:rsidRPr="00D355CD">
        <w:rPr>
          <w:rFonts w:asciiTheme="minorHAnsi" w:hAnsiTheme="minorHAnsi"/>
          <w:color w:val="auto"/>
          <w:szCs w:val="24"/>
        </w:rPr>
        <w:t>significantly</w:t>
      </w:r>
      <w:r w:rsidR="00FD4E9E">
        <w:rPr>
          <w:rFonts w:asciiTheme="minorHAnsi" w:hAnsiTheme="minorHAnsi"/>
          <w:color w:val="auto"/>
          <w:szCs w:val="24"/>
        </w:rPr>
        <w:t>,</w:t>
      </w:r>
      <w:r w:rsidR="00AE7E90" w:rsidRPr="00D355CD">
        <w:rPr>
          <w:rFonts w:asciiTheme="minorHAnsi" w:hAnsiTheme="minorHAnsi"/>
          <w:color w:val="auto"/>
          <w:szCs w:val="24"/>
        </w:rPr>
        <w:t xml:space="preserve"> </w:t>
      </w:r>
      <w:r w:rsidRPr="00D355CD">
        <w:rPr>
          <w:rFonts w:asciiTheme="minorHAnsi" w:hAnsiTheme="minorHAnsi"/>
          <w:color w:val="auto"/>
          <w:szCs w:val="24"/>
        </w:rPr>
        <w:t xml:space="preserve">clinically </w:t>
      </w:r>
      <w:r w:rsidR="003C1726" w:rsidRPr="00D355CD">
        <w:rPr>
          <w:rFonts w:asciiTheme="minorHAnsi" w:hAnsiTheme="minorHAnsi"/>
          <w:color w:val="auto"/>
          <w:szCs w:val="24"/>
        </w:rPr>
        <w:t xml:space="preserve">or occupationally </w:t>
      </w:r>
      <w:r w:rsidRPr="00D355CD">
        <w:rPr>
          <w:rFonts w:asciiTheme="minorHAnsi" w:hAnsiTheme="minorHAnsi"/>
          <w:color w:val="auto"/>
          <w:szCs w:val="24"/>
        </w:rPr>
        <w:t>active during the MEB period</w:t>
      </w:r>
      <w:r w:rsidR="00A42E06">
        <w:rPr>
          <w:rFonts w:asciiTheme="minorHAnsi" w:hAnsiTheme="minorHAnsi"/>
          <w:color w:val="auto"/>
          <w:szCs w:val="24"/>
        </w:rPr>
        <w:t xml:space="preserve">, </w:t>
      </w:r>
      <w:r w:rsidR="00AE7E90" w:rsidRPr="00D355CD">
        <w:rPr>
          <w:rFonts w:asciiTheme="minorHAnsi" w:hAnsiTheme="minorHAnsi"/>
          <w:color w:val="auto"/>
          <w:szCs w:val="24"/>
        </w:rPr>
        <w:t>were the basis for limited duty</w:t>
      </w:r>
      <w:r w:rsidR="00A42E06">
        <w:rPr>
          <w:rFonts w:asciiTheme="minorHAnsi" w:hAnsiTheme="minorHAnsi"/>
          <w:color w:val="auto"/>
          <w:szCs w:val="24"/>
        </w:rPr>
        <w:t xml:space="preserve">, or </w:t>
      </w:r>
      <w:r w:rsidR="00AE7E90" w:rsidRPr="00D355CD">
        <w:rPr>
          <w:rFonts w:asciiTheme="minorHAnsi" w:hAnsiTheme="minorHAnsi"/>
          <w:color w:val="auto"/>
          <w:szCs w:val="24"/>
        </w:rPr>
        <w:t xml:space="preserve">were implicated in the commander’s </w:t>
      </w:r>
      <w:r w:rsidR="00A42E06">
        <w:rPr>
          <w:rFonts w:asciiTheme="minorHAnsi" w:hAnsiTheme="minorHAnsi"/>
          <w:color w:val="auto"/>
          <w:szCs w:val="24"/>
        </w:rPr>
        <w:t>assessment</w:t>
      </w:r>
      <w:r w:rsidR="00AE7E90" w:rsidRPr="00D355CD">
        <w:rPr>
          <w:rFonts w:asciiTheme="minorHAnsi" w:hAnsiTheme="minorHAnsi"/>
          <w:color w:val="auto"/>
          <w:szCs w:val="24"/>
        </w:rPr>
        <w:t xml:space="preserve">.  </w:t>
      </w:r>
      <w:r w:rsidRPr="00D355CD">
        <w:rPr>
          <w:rFonts w:asciiTheme="minorHAnsi" w:hAnsiTheme="minorHAnsi"/>
          <w:color w:val="auto"/>
          <w:szCs w:val="24"/>
        </w:rPr>
        <w:t xml:space="preserve">These conditions were reviewed by the </w:t>
      </w:r>
      <w:r w:rsidR="000345D2" w:rsidRPr="00D355CD">
        <w:rPr>
          <w:rFonts w:asciiTheme="minorHAnsi" w:hAnsiTheme="minorHAnsi"/>
          <w:color w:val="auto"/>
          <w:szCs w:val="24"/>
        </w:rPr>
        <w:t>a</w:t>
      </w:r>
      <w:r w:rsidRPr="00D355CD">
        <w:rPr>
          <w:rFonts w:asciiTheme="minorHAnsi" w:hAnsiTheme="minorHAnsi"/>
          <w:color w:val="auto"/>
          <w:szCs w:val="24"/>
        </w:rPr>
        <w:t xml:space="preserve">ction </w:t>
      </w:r>
      <w:r w:rsidR="000345D2" w:rsidRPr="00D355CD">
        <w:rPr>
          <w:rFonts w:asciiTheme="minorHAnsi" w:hAnsiTheme="minorHAnsi"/>
          <w:color w:val="auto"/>
          <w:szCs w:val="24"/>
        </w:rPr>
        <w:t>o</w:t>
      </w:r>
      <w:r w:rsidRPr="00D355CD">
        <w:rPr>
          <w:rFonts w:asciiTheme="minorHAnsi" w:hAnsiTheme="minorHAnsi"/>
          <w:color w:val="auto"/>
          <w:szCs w:val="24"/>
        </w:rPr>
        <w:t>fficer and considered by the Board.  It was determined that none could be argued as unfitting and subject to separation rating.</w:t>
      </w:r>
      <w:r w:rsidR="002B2519" w:rsidRPr="00D355CD">
        <w:rPr>
          <w:rFonts w:asciiTheme="minorHAnsi" w:hAnsiTheme="minorHAnsi"/>
          <w:color w:val="auto"/>
          <w:szCs w:val="24"/>
        </w:rPr>
        <w:t xml:space="preserve">  </w:t>
      </w:r>
      <w:r w:rsidRPr="00D355CD">
        <w:rPr>
          <w:rFonts w:asciiTheme="minorHAnsi" w:hAnsiTheme="minorHAnsi"/>
          <w:color w:val="auto"/>
          <w:szCs w:val="24"/>
        </w:rPr>
        <w:t>Additionally</w:t>
      </w:r>
      <w:r w:rsidR="00AE7E90" w:rsidRPr="00D355CD">
        <w:rPr>
          <w:rFonts w:asciiTheme="minorHAnsi" w:hAnsiTheme="minorHAnsi"/>
          <w:color w:val="auto"/>
          <w:szCs w:val="24"/>
        </w:rPr>
        <w:t>, left and right knee patellofemoral syndrome</w:t>
      </w:r>
      <w:r w:rsidR="002B2519" w:rsidRPr="00D355CD">
        <w:rPr>
          <w:rFonts w:asciiTheme="minorHAnsi" w:hAnsiTheme="minorHAnsi"/>
          <w:color w:val="auto"/>
          <w:szCs w:val="24"/>
        </w:rPr>
        <w:t>, left and right shin splints, left s</w:t>
      </w:r>
      <w:r w:rsidR="00AE7E90" w:rsidRPr="00D355CD">
        <w:rPr>
          <w:rFonts w:asciiTheme="minorHAnsi" w:hAnsiTheme="minorHAnsi"/>
          <w:color w:val="auto"/>
          <w:szCs w:val="24"/>
        </w:rPr>
        <w:t xml:space="preserve">houlder </w:t>
      </w:r>
      <w:r w:rsidR="002B2519" w:rsidRPr="00D355CD">
        <w:rPr>
          <w:rFonts w:asciiTheme="minorHAnsi" w:hAnsiTheme="minorHAnsi"/>
          <w:color w:val="auto"/>
          <w:szCs w:val="24"/>
        </w:rPr>
        <w:t>s</w:t>
      </w:r>
      <w:r w:rsidR="00AE7E90" w:rsidRPr="00D355CD">
        <w:rPr>
          <w:rFonts w:asciiTheme="minorHAnsi" w:hAnsiTheme="minorHAnsi"/>
          <w:color w:val="auto"/>
          <w:szCs w:val="24"/>
        </w:rPr>
        <w:t>train</w:t>
      </w:r>
      <w:r w:rsidR="002B2519" w:rsidRPr="00D355CD">
        <w:rPr>
          <w:rFonts w:asciiTheme="minorHAnsi" w:hAnsiTheme="minorHAnsi"/>
          <w:color w:val="auto"/>
          <w:szCs w:val="24"/>
        </w:rPr>
        <w:t>, left e</w:t>
      </w:r>
      <w:r w:rsidR="00AE7E90" w:rsidRPr="00D355CD">
        <w:rPr>
          <w:rFonts w:asciiTheme="minorHAnsi" w:hAnsiTheme="minorHAnsi"/>
          <w:color w:val="auto"/>
          <w:szCs w:val="24"/>
        </w:rPr>
        <w:t xml:space="preserve">lbow </w:t>
      </w:r>
      <w:r w:rsidR="002B2519" w:rsidRPr="00D355CD">
        <w:rPr>
          <w:rFonts w:asciiTheme="minorHAnsi" w:hAnsiTheme="minorHAnsi"/>
          <w:color w:val="auto"/>
          <w:szCs w:val="24"/>
        </w:rPr>
        <w:t>s</w:t>
      </w:r>
      <w:r w:rsidR="00AE7E90" w:rsidRPr="00D355CD">
        <w:rPr>
          <w:rFonts w:asciiTheme="minorHAnsi" w:hAnsiTheme="minorHAnsi"/>
          <w:color w:val="auto"/>
          <w:szCs w:val="24"/>
        </w:rPr>
        <w:t>train</w:t>
      </w:r>
      <w:r w:rsidR="002B2519" w:rsidRPr="00D355CD">
        <w:rPr>
          <w:rFonts w:asciiTheme="minorHAnsi" w:hAnsiTheme="minorHAnsi"/>
          <w:color w:val="auto"/>
          <w:szCs w:val="24"/>
        </w:rPr>
        <w:t>, and t</w:t>
      </w:r>
      <w:r w:rsidR="00AE7E90" w:rsidRPr="00D355CD">
        <w:rPr>
          <w:rFonts w:asciiTheme="minorHAnsi" w:hAnsiTheme="minorHAnsi"/>
          <w:color w:val="auto"/>
          <w:szCs w:val="24"/>
        </w:rPr>
        <w:t>innitus</w:t>
      </w:r>
      <w:r w:rsidR="002B2519" w:rsidRPr="00D355CD">
        <w:rPr>
          <w:rFonts w:asciiTheme="minorHAnsi" w:hAnsiTheme="minorHAnsi"/>
          <w:color w:val="auto"/>
          <w:szCs w:val="24"/>
        </w:rPr>
        <w:t xml:space="preserve"> </w:t>
      </w:r>
      <w:r w:rsidRPr="00D355CD">
        <w:rPr>
          <w:rFonts w:asciiTheme="minorHAnsi" w:hAnsiTheme="minorHAnsi"/>
          <w:color w:val="auto"/>
          <w:szCs w:val="24"/>
        </w:rPr>
        <w:t>were noted in the VA rating decision proximal to separation, but were not documented in the DES file.  The Board does not have the authority under DoDI 6040.44 to render fitness or rating recommendations for any condit</w:t>
      </w:r>
      <w:r w:rsidR="000345D2" w:rsidRPr="00D355CD">
        <w:rPr>
          <w:rFonts w:asciiTheme="minorHAnsi" w:hAnsiTheme="minorHAnsi"/>
          <w:color w:val="auto"/>
          <w:szCs w:val="24"/>
        </w:rPr>
        <w:t>ions not considered by the DES.</w:t>
      </w:r>
      <w:r w:rsidR="003C1726" w:rsidRPr="00D355CD">
        <w:rPr>
          <w:rFonts w:asciiTheme="minorHAnsi" w:hAnsiTheme="minorHAnsi"/>
          <w:color w:val="auto"/>
          <w:szCs w:val="24"/>
        </w:rPr>
        <w:t xml:space="preserve">  </w:t>
      </w:r>
      <w:r w:rsidR="00D355CD" w:rsidRPr="00D355CD">
        <w:rPr>
          <w:rFonts w:asciiTheme="minorHAnsi" w:hAnsiTheme="minorHAnsi"/>
          <w:color w:val="auto"/>
          <w:szCs w:val="24"/>
        </w:rPr>
        <w:t>The Board therefore has no reasonable basis for recommending any additional unfitting conditions for separation rating.</w:t>
      </w:r>
    </w:p>
    <w:p w:rsidR="00A83C15" w:rsidRPr="00D355CD" w:rsidRDefault="00A83C15" w:rsidP="000452D7">
      <w:pPr>
        <w:tabs>
          <w:tab w:val="left" w:pos="288"/>
          <w:tab w:val="left" w:pos="4752"/>
        </w:tabs>
        <w:spacing w:line="240" w:lineRule="exact"/>
        <w:jc w:val="both"/>
        <w:rPr>
          <w:rFonts w:asciiTheme="minorHAnsi" w:hAnsiTheme="minorHAnsi"/>
          <w:b/>
          <w:caps/>
          <w:color w:val="auto"/>
          <w:u w:val="single"/>
        </w:rPr>
      </w:pPr>
      <w:r w:rsidRPr="00D355CD">
        <w:rPr>
          <w:rFonts w:asciiTheme="minorHAnsi" w:hAnsiTheme="minorHAnsi"/>
          <w:b/>
          <w:color w:val="auto"/>
          <w:u w:val="single"/>
        </w:rPr>
        <w:t>______________________________________________________________________________</w:t>
      </w:r>
    </w:p>
    <w:p w:rsidR="00106AD8" w:rsidRPr="00D355CD" w:rsidRDefault="00106AD8" w:rsidP="000452D7">
      <w:pPr>
        <w:tabs>
          <w:tab w:val="left" w:pos="288"/>
          <w:tab w:val="left" w:pos="4752"/>
        </w:tabs>
        <w:spacing w:line="240" w:lineRule="exact"/>
        <w:rPr>
          <w:b/>
          <w:color w:val="auto"/>
          <w:szCs w:val="24"/>
        </w:rPr>
      </w:pPr>
    </w:p>
    <w:p w:rsidR="008A3802" w:rsidRPr="00D355CD" w:rsidRDefault="00C56FC8" w:rsidP="000452D7">
      <w:pPr>
        <w:spacing w:line="240" w:lineRule="exact"/>
        <w:jc w:val="both"/>
        <w:rPr>
          <w:rFonts w:asciiTheme="minorHAnsi" w:eastAsiaTheme="minorHAnsi" w:hAnsiTheme="minorHAnsi"/>
          <w:color w:val="auto"/>
          <w:szCs w:val="24"/>
        </w:rPr>
      </w:pPr>
      <w:r w:rsidRPr="00D355CD">
        <w:rPr>
          <w:rFonts w:asciiTheme="minorHAnsi" w:hAnsiTheme="minorHAnsi"/>
          <w:color w:val="auto"/>
          <w:szCs w:val="24"/>
          <w:u w:val="single"/>
        </w:rPr>
        <w:t>BOARD FINDINGS</w:t>
      </w:r>
      <w:r w:rsidRPr="00D355CD">
        <w:rPr>
          <w:rFonts w:asciiTheme="minorHAnsi" w:hAnsiTheme="minorHAnsi"/>
          <w:color w:val="auto"/>
          <w:szCs w:val="24"/>
        </w:rPr>
        <w:t>:</w:t>
      </w:r>
      <w:r w:rsidRPr="00D355C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1D68CF" w:rsidRPr="00D355CD">
        <w:rPr>
          <w:rFonts w:asciiTheme="minorHAnsi" w:eastAsiaTheme="minorHAnsi" w:hAnsiTheme="minorHAnsi"/>
          <w:color w:val="auto"/>
          <w:szCs w:val="24"/>
        </w:rPr>
        <w:t xml:space="preserve"> </w:t>
      </w:r>
      <w:r w:rsidR="008A3802" w:rsidRPr="00D355CD">
        <w:rPr>
          <w:rFonts w:asciiTheme="minorHAnsi" w:eastAsiaTheme="minorHAnsi" w:hAnsiTheme="minorHAnsi"/>
          <w:color w:val="auto"/>
          <w:szCs w:val="24"/>
        </w:rPr>
        <w:t>In the matter of the back condition (</w:t>
      </w:r>
      <w:r w:rsidR="00A42E06">
        <w:rPr>
          <w:rFonts w:asciiTheme="minorHAnsi" w:eastAsiaTheme="minorHAnsi" w:hAnsiTheme="minorHAnsi"/>
          <w:color w:val="auto"/>
          <w:szCs w:val="24"/>
        </w:rPr>
        <w:t>DDD</w:t>
      </w:r>
      <w:r w:rsidR="002B2519" w:rsidRPr="00D355CD">
        <w:rPr>
          <w:rFonts w:asciiTheme="minorHAnsi" w:eastAsiaTheme="minorHAnsi" w:hAnsiTheme="minorHAnsi"/>
          <w:color w:val="auto"/>
          <w:szCs w:val="24"/>
        </w:rPr>
        <w:t xml:space="preserve"> L4-5 and L5-S1)</w:t>
      </w:r>
      <w:r w:rsidR="008A3802" w:rsidRPr="00D355CD">
        <w:rPr>
          <w:rFonts w:asciiTheme="minorHAnsi" w:eastAsiaTheme="minorHAnsi" w:hAnsiTheme="minorHAnsi"/>
          <w:color w:val="auto"/>
          <w:szCs w:val="24"/>
        </w:rPr>
        <w:t xml:space="preserve"> and IAW VASRD §4.71a, the Board unanimously recommends </w:t>
      </w:r>
      <w:r w:rsidR="002B2519" w:rsidRPr="00D355CD">
        <w:rPr>
          <w:rFonts w:asciiTheme="minorHAnsi" w:eastAsiaTheme="minorHAnsi" w:hAnsiTheme="minorHAnsi"/>
          <w:color w:val="auto"/>
          <w:szCs w:val="24"/>
        </w:rPr>
        <w:t>a separation rating of 20% (5243)</w:t>
      </w:r>
      <w:r w:rsidR="00E05CCC" w:rsidRPr="00D355CD">
        <w:rPr>
          <w:rFonts w:asciiTheme="minorHAnsi" w:eastAsiaTheme="minorHAnsi" w:hAnsiTheme="minorHAnsi"/>
          <w:color w:val="auto"/>
          <w:szCs w:val="24"/>
        </w:rPr>
        <w:t xml:space="preserve">.  </w:t>
      </w:r>
      <w:r w:rsidR="008A3802" w:rsidRPr="00D355CD">
        <w:rPr>
          <w:rFonts w:asciiTheme="minorHAnsi" w:eastAsiaTheme="minorHAnsi" w:hAnsiTheme="minorHAnsi"/>
          <w:color w:val="auto"/>
          <w:szCs w:val="24"/>
        </w:rPr>
        <w:t xml:space="preserve">In the matter of </w:t>
      </w:r>
      <w:r w:rsidR="00E05CCC" w:rsidRPr="00D355CD">
        <w:rPr>
          <w:rFonts w:asciiTheme="minorHAnsi" w:eastAsiaTheme="minorHAnsi" w:hAnsiTheme="minorHAnsi"/>
          <w:color w:val="auto"/>
          <w:szCs w:val="24"/>
        </w:rPr>
        <w:t xml:space="preserve">lumbar radiculopathy or </w:t>
      </w:r>
      <w:r w:rsidR="008A3802" w:rsidRPr="00D355CD">
        <w:rPr>
          <w:rFonts w:asciiTheme="minorHAnsi" w:eastAsiaTheme="minorHAnsi" w:hAnsiTheme="minorHAnsi"/>
          <w:color w:val="auto"/>
          <w:szCs w:val="24"/>
        </w:rPr>
        <w:t>any other medical conditions eligible for Board consideration</w:t>
      </w:r>
      <w:r w:rsidR="00A42E06">
        <w:rPr>
          <w:rFonts w:asciiTheme="minorHAnsi" w:eastAsiaTheme="minorHAnsi" w:hAnsiTheme="minorHAnsi"/>
          <w:color w:val="auto"/>
          <w:szCs w:val="24"/>
        </w:rPr>
        <w:t>,</w:t>
      </w:r>
      <w:r w:rsidR="008A3802" w:rsidRPr="00D355CD">
        <w:rPr>
          <w:rFonts w:asciiTheme="minorHAnsi" w:eastAsiaTheme="minorHAnsi" w:hAnsiTheme="minorHAnsi"/>
          <w:color w:val="auto"/>
          <w:szCs w:val="24"/>
        </w:rPr>
        <w:t xml:space="preserve"> the Board unanimously agrees</w:t>
      </w:r>
      <w:r w:rsidR="008A3802" w:rsidRPr="00D355CD">
        <w:rPr>
          <w:rFonts w:asciiTheme="minorHAnsi" w:hAnsiTheme="minorHAnsi"/>
          <w:color w:val="auto"/>
          <w:szCs w:val="24"/>
        </w:rPr>
        <w:t xml:space="preserve"> that it cannot recommend any findings of unfit for additional rating at separation.</w:t>
      </w:r>
    </w:p>
    <w:p w:rsidR="00A83C15" w:rsidRPr="00D355CD" w:rsidRDefault="00A83C15" w:rsidP="000452D7">
      <w:pPr>
        <w:tabs>
          <w:tab w:val="left" w:pos="288"/>
          <w:tab w:val="left" w:pos="4752"/>
        </w:tabs>
        <w:spacing w:line="240" w:lineRule="exact"/>
        <w:jc w:val="both"/>
        <w:rPr>
          <w:rFonts w:asciiTheme="minorHAnsi" w:hAnsiTheme="minorHAnsi"/>
          <w:b/>
          <w:caps/>
          <w:color w:val="auto"/>
          <w:u w:val="single"/>
        </w:rPr>
      </w:pPr>
      <w:r w:rsidRPr="00D355CD">
        <w:rPr>
          <w:rFonts w:asciiTheme="minorHAnsi" w:hAnsiTheme="minorHAnsi"/>
          <w:b/>
          <w:color w:val="auto"/>
          <w:u w:val="single"/>
        </w:rPr>
        <w:t>______________________________________________________________________________</w:t>
      </w:r>
    </w:p>
    <w:p w:rsidR="00A42E06" w:rsidRDefault="00A42E06" w:rsidP="00CE12D6">
      <w:pPr>
        <w:spacing w:line="240" w:lineRule="exact"/>
        <w:rPr>
          <w:rFonts w:asciiTheme="minorHAnsi" w:hAnsiTheme="minorHAnsi"/>
          <w:color w:val="auto"/>
          <w:szCs w:val="24"/>
          <w:u w:val="single"/>
        </w:rPr>
      </w:pPr>
    </w:p>
    <w:p w:rsidR="002B2519" w:rsidRPr="00D355CD" w:rsidRDefault="00C56FC8" w:rsidP="00CE12D6">
      <w:pPr>
        <w:spacing w:line="240" w:lineRule="exact"/>
        <w:rPr>
          <w:rFonts w:asciiTheme="minorHAnsi" w:hAnsiTheme="minorHAnsi"/>
          <w:color w:val="auto"/>
          <w:szCs w:val="24"/>
        </w:rPr>
      </w:pPr>
      <w:r w:rsidRPr="00D355CD">
        <w:rPr>
          <w:rFonts w:asciiTheme="minorHAnsi" w:hAnsiTheme="minorHAnsi"/>
          <w:color w:val="auto"/>
          <w:szCs w:val="24"/>
          <w:u w:val="single"/>
        </w:rPr>
        <w:t>RECOMMENDATION</w:t>
      </w:r>
      <w:r w:rsidRPr="00D355CD">
        <w:rPr>
          <w:rFonts w:asciiTheme="minorHAnsi" w:hAnsiTheme="minorHAnsi"/>
          <w:color w:val="auto"/>
          <w:szCs w:val="24"/>
        </w:rPr>
        <w:t xml:space="preserve">: </w:t>
      </w:r>
      <w:r w:rsidR="00CE12D6" w:rsidRPr="00D355CD">
        <w:rPr>
          <w:rFonts w:asciiTheme="minorHAnsi" w:hAnsiTheme="minorHAnsi"/>
          <w:color w:val="auto"/>
          <w:szCs w:val="24"/>
        </w:rPr>
        <w:t xml:space="preserve"> </w:t>
      </w:r>
      <w:r w:rsidR="002B2519" w:rsidRPr="00D355CD">
        <w:rPr>
          <w:rFonts w:asciiTheme="minorHAnsi" w:hAnsiTheme="minorHAnsi"/>
          <w:color w:val="auto"/>
          <w:szCs w:val="24"/>
        </w:rPr>
        <w:t>The Board recommends that the CI’s prior determination be modified as follows, effective as of the date of his prior medical separation.</w:t>
      </w:r>
    </w:p>
    <w:p w:rsidR="002B2519" w:rsidRPr="00D355CD" w:rsidRDefault="002B2519" w:rsidP="002B2519">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2B2519" w:rsidRPr="00D355CD" w:rsidTr="002B2519">
        <w:trPr>
          <w:trHeight w:val="233"/>
          <w:jc w:val="center"/>
        </w:trPr>
        <w:tc>
          <w:tcPr>
            <w:tcW w:w="6480" w:type="dxa"/>
            <w:shd w:val="clear" w:color="auto" w:fill="D9D9D9"/>
          </w:tcPr>
          <w:p w:rsidR="002B2519" w:rsidRPr="00D355CD" w:rsidRDefault="002B2519" w:rsidP="002B2519">
            <w:pPr>
              <w:tabs>
                <w:tab w:val="left" w:pos="288"/>
                <w:tab w:val="left" w:pos="4752"/>
              </w:tabs>
              <w:spacing w:line="240" w:lineRule="exact"/>
              <w:jc w:val="both"/>
              <w:rPr>
                <w:rFonts w:asciiTheme="minorHAnsi" w:hAnsiTheme="minorHAnsi"/>
                <w:b/>
                <w:color w:val="auto"/>
                <w:szCs w:val="24"/>
              </w:rPr>
            </w:pPr>
            <w:r w:rsidRPr="00D355CD">
              <w:rPr>
                <w:rFonts w:asciiTheme="minorHAnsi" w:hAnsiTheme="minorHAnsi"/>
                <w:b/>
                <w:color w:val="auto"/>
                <w:szCs w:val="24"/>
              </w:rPr>
              <w:t>UNFITTING CONDITION</w:t>
            </w:r>
          </w:p>
        </w:tc>
        <w:tc>
          <w:tcPr>
            <w:tcW w:w="1710" w:type="dxa"/>
            <w:shd w:val="clear" w:color="auto" w:fill="D9D9D9"/>
          </w:tcPr>
          <w:p w:rsidR="002B2519" w:rsidRPr="00D355CD" w:rsidRDefault="002B2519" w:rsidP="002B2519">
            <w:pPr>
              <w:tabs>
                <w:tab w:val="left" w:pos="288"/>
                <w:tab w:val="left" w:pos="4752"/>
              </w:tabs>
              <w:spacing w:line="240" w:lineRule="exact"/>
              <w:jc w:val="center"/>
              <w:rPr>
                <w:rFonts w:asciiTheme="minorHAnsi" w:hAnsiTheme="minorHAnsi"/>
                <w:b/>
                <w:color w:val="auto"/>
                <w:szCs w:val="24"/>
              </w:rPr>
            </w:pPr>
            <w:r w:rsidRPr="00D355CD">
              <w:rPr>
                <w:rFonts w:asciiTheme="minorHAnsi" w:hAnsiTheme="minorHAnsi"/>
                <w:b/>
                <w:color w:val="auto"/>
                <w:szCs w:val="24"/>
              </w:rPr>
              <w:t>VASRD CODE</w:t>
            </w:r>
          </w:p>
        </w:tc>
        <w:tc>
          <w:tcPr>
            <w:tcW w:w="1170" w:type="dxa"/>
            <w:shd w:val="clear" w:color="auto" w:fill="D9D9D9"/>
          </w:tcPr>
          <w:p w:rsidR="002B2519" w:rsidRPr="00D355CD" w:rsidRDefault="002B2519" w:rsidP="002B2519">
            <w:pPr>
              <w:tabs>
                <w:tab w:val="left" w:pos="288"/>
                <w:tab w:val="left" w:pos="4752"/>
              </w:tabs>
              <w:spacing w:line="240" w:lineRule="exact"/>
              <w:jc w:val="center"/>
              <w:rPr>
                <w:rFonts w:asciiTheme="minorHAnsi" w:hAnsiTheme="minorHAnsi"/>
                <w:b/>
                <w:color w:val="auto"/>
                <w:szCs w:val="24"/>
              </w:rPr>
            </w:pPr>
            <w:r w:rsidRPr="00D355CD">
              <w:rPr>
                <w:rFonts w:asciiTheme="minorHAnsi" w:hAnsiTheme="minorHAnsi"/>
                <w:b/>
                <w:color w:val="auto"/>
                <w:szCs w:val="24"/>
              </w:rPr>
              <w:t>RATING</w:t>
            </w:r>
          </w:p>
        </w:tc>
      </w:tr>
      <w:tr w:rsidR="002B2519" w:rsidRPr="00D355CD" w:rsidTr="002B2519">
        <w:trPr>
          <w:jc w:val="center"/>
        </w:trPr>
        <w:tc>
          <w:tcPr>
            <w:tcW w:w="6480" w:type="dxa"/>
          </w:tcPr>
          <w:p w:rsidR="002B2519" w:rsidRPr="00D355CD" w:rsidRDefault="002B2519" w:rsidP="002B2519">
            <w:pPr>
              <w:tabs>
                <w:tab w:val="left" w:pos="288"/>
                <w:tab w:val="left" w:pos="4752"/>
              </w:tabs>
              <w:spacing w:line="240" w:lineRule="exact"/>
              <w:jc w:val="both"/>
              <w:rPr>
                <w:rFonts w:asciiTheme="minorHAnsi" w:hAnsiTheme="minorHAnsi"/>
                <w:color w:val="auto"/>
                <w:szCs w:val="24"/>
              </w:rPr>
            </w:pPr>
            <w:r w:rsidRPr="00D355CD">
              <w:rPr>
                <w:rFonts w:asciiTheme="minorHAnsi" w:hAnsiTheme="minorHAnsi"/>
                <w:color w:val="auto"/>
                <w:szCs w:val="24"/>
              </w:rPr>
              <w:t>Degenerative Disc Disease, L4-L5 and L5-S1</w:t>
            </w:r>
          </w:p>
        </w:tc>
        <w:tc>
          <w:tcPr>
            <w:tcW w:w="1710" w:type="dxa"/>
          </w:tcPr>
          <w:p w:rsidR="002B2519" w:rsidRPr="00D355CD" w:rsidRDefault="002B2519" w:rsidP="002B2519">
            <w:pPr>
              <w:tabs>
                <w:tab w:val="left" w:pos="288"/>
                <w:tab w:val="left" w:pos="4752"/>
              </w:tabs>
              <w:spacing w:line="240" w:lineRule="exact"/>
              <w:jc w:val="center"/>
              <w:rPr>
                <w:rFonts w:asciiTheme="minorHAnsi" w:hAnsiTheme="minorHAnsi"/>
                <w:color w:val="auto"/>
                <w:szCs w:val="24"/>
              </w:rPr>
            </w:pPr>
            <w:r w:rsidRPr="00D355CD">
              <w:rPr>
                <w:rFonts w:asciiTheme="minorHAnsi" w:hAnsiTheme="minorHAnsi"/>
                <w:color w:val="auto"/>
                <w:szCs w:val="24"/>
              </w:rPr>
              <w:t>5243</w:t>
            </w:r>
          </w:p>
        </w:tc>
        <w:tc>
          <w:tcPr>
            <w:tcW w:w="1170" w:type="dxa"/>
          </w:tcPr>
          <w:p w:rsidR="002B2519" w:rsidRPr="00D355CD" w:rsidRDefault="002B2519" w:rsidP="002B2519">
            <w:pPr>
              <w:tabs>
                <w:tab w:val="left" w:pos="288"/>
                <w:tab w:val="left" w:pos="4752"/>
              </w:tabs>
              <w:spacing w:line="240" w:lineRule="exact"/>
              <w:jc w:val="center"/>
              <w:rPr>
                <w:rFonts w:asciiTheme="minorHAnsi" w:hAnsiTheme="minorHAnsi"/>
                <w:color w:val="auto"/>
                <w:szCs w:val="24"/>
              </w:rPr>
            </w:pPr>
            <w:r w:rsidRPr="00D355CD">
              <w:rPr>
                <w:rFonts w:asciiTheme="minorHAnsi" w:hAnsiTheme="minorHAnsi"/>
                <w:color w:val="auto"/>
                <w:szCs w:val="24"/>
              </w:rPr>
              <w:t>20%</w:t>
            </w:r>
          </w:p>
        </w:tc>
      </w:tr>
      <w:tr w:rsidR="002B2519" w:rsidRPr="00D355CD" w:rsidTr="002B2519">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tcPr>
          <w:p w:rsidR="002B2519" w:rsidRPr="00D355CD" w:rsidRDefault="002B2519" w:rsidP="002B2519">
            <w:pPr>
              <w:tabs>
                <w:tab w:val="left" w:pos="288"/>
                <w:tab w:val="left" w:pos="4752"/>
              </w:tabs>
              <w:spacing w:line="240" w:lineRule="exact"/>
              <w:jc w:val="center"/>
              <w:rPr>
                <w:rFonts w:asciiTheme="minorHAnsi" w:hAnsiTheme="minorHAnsi"/>
                <w:b/>
                <w:color w:val="auto"/>
                <w:szCs w:val="24"/>
              </w:rPr>
            </w:pPr>
            <w:r w:rsidRPr="00D355CD">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2B2519" w:rsidRPr="00D355CD" w:rsidRDefault="002B2519" w:rsidP="002B2519">
            <w:pPr>
              <w:tabs>
                <w:tab w:val="left" w:pos="288"/>
                <w:tab w:val="left" w:pos="4752"/>
              </w:tabs>
              <w:spacing w:line="240" w:lineRule="exact"/>
              <w:jc w:val="center"/>
              <w:rPr>
                <w:rFonts w:asciiTheme="minorHAnsi" w:hAnsiTheme="minorHAnsi"/>
                <w:b/>
                <w:color w:val="auto"/>
                <w:szCs w:val="24"/>
              </w:rPr>
            </w:pPr>
            <w:r w:rsidRPr="00D355CD">
              <w:rPr>
                <w:rFonts w:asciiTheme="minorHAnsi" w:hAnsiTheme="minorHAnsi"/>
                <w:b/>
                <w:color w:val="auto"/>
                <w:szCs w:val="24"/>
              </w:rPr>
              <w:t>20%</w:t>
            </w:r>
          </w:p>
        </w:tc>
      </w:tr>
    </w:tbl>
    <w:p w:rsidR="00A83C15" w:rsidRPr="00D355CD" w:rsidRDefault="00A83C15" w:rsidP="007F0AB7">
      <w:pPr>
        <w:tabs>
          <w:tab w:val="left" w:pos="288"/>
          <w:tab w:val="left" w:pos="1710"/>
        </w:tabs>
        <w:spacing w:line="240" w:lineRule="exact"/>
        <w:rPr>
          <w:rFonts w:asciiTheme="minorHAnsi" w:hAnsiTheme="minorHAnsi"/>
          <w:b/>
          <w:caps/>
          <w:color w:val="auto"/>
          <w:u w:val="single"/>
        </w:rPr>
      </w:pPr>
      <w:r w:rsidRPr="00D355CD">
        <w:rPr>
          <w:rFonts w:asciiTheme="minorHAnsi" w:hAnsiTheme="minorHAnsi"/>
          <w:b/>
          <w:color w:val="auto"/>
          <w:u w:val="single"/>
        </w:rPr>
        <w:t>______________________________________________________________________________</w:t>
      </w:r>
    </w:p>
    <w:p w:rsidR="00106AD8" w:rsidRPr="00D355CD" w:rsidRDefault="00106AD8" w:rsidP="000452D7">
      <w:pPr>
        <w:tabs>
          <w:tab w:val="left" w:pos="288"/>
          <w:tab w:val="left" w:pos="4752"/>
        </w:tabs>
        <w:spacing w:line="240" w:lineRule="exact"/>
        <w:rPr>
          <w:b/>
          <w:color w:val="auto"/>
          <w:szCs w:val="24"/>
        </w:rPr>
      </w:pPr>
    </w:p>
    <w:p w:rsidR="00A42E06" w:rsidRDefault="00A42E06" w:rsidP="000452D7">
      <w:pPr>
        <w:tabs>
          <w:tab w:val="left" w:pos="288"/>
          <w:tab w:val="left" w:pos="4752"/>
        </w:tabs>
        <w:spacing w:line="240" w:lineRule="exact"/>
        <w:jc w:val="both"/>
        <w:rPr>
          <w:rFonts w:asciiTheme="minorHAnsi" w:hAnsiTheme="minorHAnsi"/>
          <w:color w:val="auto"/>
        </w:rPr>
      </w:pPr>
    </w:p>
    <w:p w:rsidR="00A42E06" w:rsidRDefault="00A42E06" w:rsidP="000452D7">
      <w:pPr>
        <w:tabs>
          <w:tab w:val="left" w:pos="288"/>
          <w:tab w:val="left" w:pos="4752"/>
        </w:tabs>
        <w:spacing w:line="240" w:lineRule="exact"/>
        <w:jc w:val="both"/>
        <w:rPr>
          <w:rFonts w:asciiTheme="minorHAnsi" w:hAnsiTheme="minorHAnsi"/>
          <w:color w:val="auto"/>
        </w:rPr>
      </w:pPr>
    </w:p>
    <w:p w:rsidR="00A42E06" w:rsidRDefault="00A42E06" w:rsidP="000452D7">
      <w:pPr>
        <w:tabs>
          <w:tab w:val="left" w:pos="288"/>
          <w:tab w:val="left" w:pos="4752"/>
        </w:tabs>
        <w:spacing w:line="240" w:lineRule="exact"/>
        <w:jc w:val="both"/>
        <w:rPr>
          <w:rFonts w:asciiTheme="minorHAnsi" w:hAnsiTheme="minorHAnsi"/>
          <w:color w:val="auto"/>
        </w:rPr>
      </w:pPr>
    </w:p>
    <w:p w:rsidR="00A42E06" w:rsidRDefault="00A42E06" w:rsidP="000452D7">
      <w:pPr>
        <w:tabs>
          <w:tab w:val="left" w:pos="288"/>
          <w:tab w:val="left" w:pos="4752"/>
        </w:tabs>
        <w:spacing w:line="240" w:lineRule="exact"/>
        <w:jc w:val="both"/>
        <w:rPr>
          <w:rFonts w:asciiTheme="minorHAnsi" w:hAnsiTheme="minorHAnsi"/>
          <w:color w:val="auto"/>
        </w:rPr>
      </w:pPr>
    </w:p>
    <w:p w:rsidR="00A42E06" w:rsidRDefault="00A42E06" w:rsidP="000452D7">
      <w:pPr>
        <w:tabs>
          <w:tab w:val="left" w:pos="288"/>
          <w:tab w:val="left" w:pos="4752"/>
        </w:tabs>
        <w:spacing w:line="240" w:lineRule="exact"/>
        <w:jc w:val="both"/>
        <w:rPr>
          <w:rFonts w:asciiTheme="minorHAnsi" w:hAnsiTheme="minorHAnsi"/>
          <w:color w:val="auto"/>
        </w:rPr>
      </w:pPr>
    </w:p>
    <w:p w:rsidR="00A42E06" w:rsidRDefault="00A42E06" w:rsidP="000452D7">
      <w:pPr>
        <w:tabs>
          <w:tab w:val="left" w:pos="288"/>
          <w:tab w:val="left" w:pos="4752"/>
        </w:tabs>
        <w:spacing w:line="240" w:lineRule="exact"/>
        <w:jc w:val="both"/>
        <w:rPr>
          <w:rFonts w:asciiTheme="minorHAnsi" w:hAnsiTheme="minorHAnsi"/>
          <w:color w:val="auto"/>
        </w:rPr>
      </w:pPr>
    </w:p>
    <w:p w:rsidR="00D91DA6" w:rsidRPr="00D355CD" w:rsidRDefault="00FB1725" w:rsidP="000452D7">
      <w:pPr>
        <w:tabs>
          <w:tab w:val="left" w:pos="288"/>
          <w:tab w:val="left" w:pos="4752"/>
        </w:tabs>
        <w:spacing w:line="240" w:lineRule="exact"/>
        <w:jc w:val="both"/>
        <w:rPr>
          <w:rFonts w:asciiTheme="minorHAnsi" w:hAnsiTheme="minorHAnsi"/>
          <w:color w:val="auto"/>
        </w:rPr>
      </w:pPr>
      <w:r w:rsidRPr="00D355CD">
        <w:rPr>
          <w:rFonts w:asciiTheme="minorHAnsi" w:hAnsiTheme="minorHAnsi"/>
          <w:color w:val="auto"/>
        </w:rPr>
        <w:lastRenderedPageBreak/>
        <w:t>The following documentary evidence was considered:</w:t>
      </w:r>
    </w:p>
    <w:p w:rsidR="00EB5EFD" w:rsidRPr="00D355CD" w:rsidRDefault="00EB5EFD" w:rsidP="000452D7">
      <w:pPr>
        <w:tabs>
          <w:tab w:val="left" w:pos="288"/>
          <w:tab w:val="left" w:pos="4752"/>
        </w:tabs>
        <w:spacing w:line="240" w:lineRule="exact"/>
        <w:jc w:val="both"/>
        <w:rPr>
          <w:rFonts w:asciiTheme="minorHAnsi" w:hAnsiTheme="minorHAnsi"/>
          <w:color w:val="auto"/>
        </w:rPr>
      </w:pPr>
    </w:p>
    <w:p w:rsidR="00114F20" w:rsidRPr="00D355CD" w:rsidRDefault="00FB1725" w:rsidP="000452D7">
      <w:pPr>
        <w:tabs>
          <w:tab w:val="left" w:pos="288"/>
          <w:tab w:val="left" w:pos="4752"/>
        </w:tabs>
        <w:spacing w:line="240" w:lineRule="exact"/>
        <w:jc w:val="both"/>
        <w:rPr>
          <w:rFonts w:asciiTheme="minorHAnsi" w:hAnsiTheme="minorHAnsi"/>
          <w:color w:val="auto"/>
        </w:rPr>
      </w:pPr>
      <w:r w:rsidRPr="00D355CD">
        <w:rPr>
          <w:rFonts w:asciiTheme="minorHAnsi" w:hAnsiTheme="minorHAnsi"/>
          <w:color w:val="auto"/>
        </w:rPr>
        <w:t xml:space="preserve">Exhibit A.  DD Form </w:t>
      </w:r>
      <w:proofErr w:type="gramStart"/>
      <w:r w:rsidRPr="00D355CD">
        <w:rPr>
          <w:rFonts w:asciiTheme="minorHAnsi" w:hAnsiTheme="minorHAnsi"/>
          <w:color w:val="auto"/>
        </w:rPr>
        <w:t>294,</w:t>
      </w:r>
      <w:proofErr w:type="gramEnd"/>
      <w:r w:rsidRPr="00D355CD">
        <w:rPr>
          <w:rFonts w:asciiTheme="minorHAnsi" w:hAnsiTheme="minorHAnsi"/>
          <w:color w:val="auto"/>
        </w:rPr>
        <w:t xml:space="preserve"> dated 20</w:t>
      </w:r>
      <w:r w:rsidR="00E05DC8" w:rsidRPr="00D355CD">
        <w:rPr>
          <w:rFonts w:asciiTheme="minorHAnsi" w:hAnsiTheme="minorHAnsi"/>
          <w:color w:val="auto"/>
        </w:rPr>
        <w:t>091120</w:t>
      </w:r>
      <w:r w:rsidRPr="00D355CD">
        <w:rPr>
          <w:rFonts w:asciiTheme="minorHAnsi" w:hAnsiTheme="minorHAnsi"/>
          <w:color w:val="auto"/>
        </w:rPr>
        <w:t>, w/</w:t>
      </w:r>
      <w:proofErr w:type="spellStart"/>
      <w:r w:rsidRPr="00D355CD">
        <w:rPr>
          <w:rFonts w:asciiTheme="minorHAnsi" w:hAnsiTheme="minorHAnsi"/>
          <w:color w:val="auto"/>
        </w:rPr>
        <w:t>atchs</w:t>
      </w:r>
      <w:proofErr w:type="spellEnd"/>
      <w:r w:rsidRPr="00D355CD">
        <w:rPr>
          <w:rFonts w:asciiTheme="minorHAnsi" w:hAnsiTheme="minorHAnsi"/>
          <w:color w:val="auto"/>
        </w:rPr>
        <w:t>.</w:t>
      </w:r>
    </w:p>
    <w:p w:rsidR="00114F20" w:rsidRPr="00D355CD" w:rsidRDefault="00FB1725" w:rsidP="000452D7">
      <w:pPr>
        <w:tabs>
          <w:tab w:val="left" w:pos="288"/>
          <w:tab w:val="left" w:pos="4752"/>
        </w:tabs>
        <w:spacing w:line="240" w:lineRule="exact"/>
        <w:jc w:val="both"/>
        <w:rPr>
          <w:rFonts w:asciiTheme="minorHAnsi" w:hAnsiTheme="minorHAnsi"/>
          <w:color w:val="auto"/>
        </w:rPr>
      </w:pPr>
      <w:r w:rsidRPr="00D355CD">
        <w:rPr>
          <w:rFonts w:asciiTheme="minorHAnsi" w:hAnsiTheme="minorHAnsi"/>
          <w:color w:val="auto"/>
        </w:rPr>
        <w:t xml:space="preserve">Exhibit B.  </w:t>
      </w:r>
      <w:proofErr w:type="gramStart"/>
      <w:r w:rsidRPr="00D355CD">
        <w:rPr>
          <w:rFonts w:asciiTheme="minorHAnsi" w:hAnsiTheme="minorHAnsi"/>
          <w:color w:val="auto"/>
        </w:rPr>
        <w:t>Service Treatment Record.</w:t>
      </w:r>
      <w:proofErr w:type="gramEnd"/>
    </w:p>
    <w:p w:rsidR="00114F20" w:rsidRPr="00D355CD" w:rsidRDefault="00FB1725" w:rsidP="000452D7">
      <w:pPr>
        <w:tabs>
          <w:tab w:val="left" w:pos="288"/>
          <w:tab w:val="left" w:pos="4752"/>
        </w:tabs>
        <w:spacing w:line="240" w:lineRule="exact"/>
        <w:jc w:val="both"/>
        <w:rPr>
          <w:rFonts w:asciiTheme="minorHAnsi" w:hAnsiTheme="minorHAnsi"/>
          <w:color w:val="auto"/>
        </w:rPr>
      </w:pPr>
      <w:r w:rsidRPr="00D355CD">
        <w:rPr>
          <w:rFonts w:asciiTheme="minorHAnsi" w:hAnsiTheme="minorHAnsi"/>
          <w:color w:val="auto"/>
        </w:rPr>
        <w:t xml:space="preserve">Exhibit C.  </w:t>
      </w:r>
      <w:proofErr w:type="gramStart"/>
      <w:r w:rsidRPr="00D355CD">
        <w:rPr>
          <w:rFonts w:asciiTheme="minorHAnsi" w:hAnsiTheme="minorHAnsi"/>
          <w:color w:val="auto"/>
        </w:rPr>
        <w:t>Department of Veterans' Affairs Treatment Record.</w:t>
      </w:r>
      <w:proofErr w:type="gramEnd"/>
    </w:p>
    <w:p w:rsidR="00D91DA6" w:rsidRPr="00D355CD" w:rsidRDefault="00D91DA6" w:rsidP="000452D7">
      <w:pPr>
        <w:tabs>
          <w:tab w:val="left" w:pos="288"/>
          <w:tab w:val="left" w:pos="4752"/>
        </w:tabs>
        <w:spacing w:line="240" w:lineRule="exact"/>
        <w:jc w:val="both"/>
        <w:rPr>
          <w:rFonts w:asciiTheme="minorHAnsi" w:hAnsiTheme="minorHAnsi"/>
          <w:color w:val="auto"/>
        </w:rPr>
      </w:pPr>
    </w:p>
    <w:p w:rsidR="00114F20" w:rsidRPr="00D355CD" w:rsidRDefault="00114F20" w:rsidP="000452D7">
      <w:pPr>
        <w:tabs>
          <w:tab w:val="left" w:pos="288"/>
          <w:tab w:val="left" w:pos="4752"/>
        </w:tabs>
        <w:spacing w:line="240" w:lineRule="exact"/>
        <w:jc w:val="both"/>
        <w:rPr>
          <w:rFonts w:asciiTheme="minorHAnsi" w:hAnsiTheme="minorHAnsi"/>
          <w:color w:val="auto"/>
        </w:rPr>
      </w:pPr>
    </w:p>
    <w:p w:rsidR="00114F20" w:rsidRPr="00D355CD" w:rsidRDefault="00114F20" w:rsidP="000452D7">
      <w:pPr>
        <w:tabs>
          <w:tab w:val="left" w:pos="288"/>
          <w:tab w:val="left" w:pos="4752"/>
        </w:tabs>
        <w:spacing w:line="240" w:lineRule="exact"/>
        <w:jc w:val="both"/>
        <w:rPr>
          <w:rFonts w:asciiTheme="minorHAnsi" w:hAnsiTheme="minorHAnsi"/>
          <w:color w:val="auto"/>
        </w:rPr>
      </w:pPr>
    </w:p>
    <w:p w:rsidR="00114F20" w:rsidRPr="00D355CD" w:rsidRDefault="00114F20" w:rsidP="000452D7">
      <w:pPr>
        <w:tabs>
          <w:tab w:val="left" w:pos="288"/>
          <w:tab w:val="left" w:pos="4752"/>
        </w:tabs>
        <w:spacing w:line="240" w:lineRule="exact"/>
        <w:jc w:val="both"/>
        <w:rPr>
          <w:rFonts w:asciiTheme="minorHAnsi" w:hAnsiTheme="minorHAnsi"/>
          <w:color w:val="auto"/>
        </w:rPr>
      </w:pPr>
    </w:p>
    <w:p w:rsidR="00D91DA6" w:rsidRPr="00D355CD" w:rsidRDefault="00FB1725" w:rsidP="000452D7">
      <w:pPr>
        <w:tabs>
          <w:tab w:val="left" w:pos="0"/>
          <w:tab w:val="left" w:pos="4320"/>
        </w:tabs>
        <w:spacing w:line="240" w:lineRule="exact"/>
        <w:jc w:val="both"/>
        <w:rPr>
          <w:rFonts w:asciiTheme="minorHAnsi" w:hAnsiTheme="minorHAnsi"/>
          <w:color w:val="auto"/>
        </w:rPr>
      </w:pPr>
      <w:r w:rsidRPr="00D355CD">
        <w:rPr>
          <w:rFonts w:asciiTheme="minorHAnsi" w:hAnsiTheme="minorHAnsi"/>
          <w:color w:val="auto"/>
        </w:rPr>
        <w:t xml:space="preserve">                             </w:t>
      </w:r>
      <w:r w:rsidRPr="00D355CD">
        <w:rPr>
          <w:rFonts w:asciiTheme="minorHAnsi" w:hAnsiTheme="minorHAnsi"/>
          <w:color w:val="auto"/>
        </w:rPr>
        <w:tab/>
      </w:r>
      <w:r w:rsidRPr="00D355CD">
        <w:rPr>
          <w:rFonts w:asciiTheme="minorHAnsi" w:hAnsiTheme="minorHAnsi"/>
          <w:color w:val="auto"/>
        </w:rPr>
        <w:tab/>
      </w:r>
    </w:p>
    <w:p w:rsidR="00D91DA6" w:rsidRPr="00D355CD" w:rsidRDefault="00FB1725" w:rsidP="000452D7">
      <w:pPr>
        <w:tabs>
          <w:tab w:val="left" w:pos="0"/>
          <w:tab w:val="left" w:pos="4320"/>
        </w:tabs>
        <w:spacing w:line="240" w:lineRule="exact"/>
        <w:jc w:val="both"/>
        <w:rPr>
          <w:rFonts w:asciiTheme="minorHAnsi" w:hAnsiTheme="minorHAnsi"/>
          <w:color w:val="auto"/>
        </w:rPr>
      </w:pPr>
      <w:r w:rsidRPr="00D355CD">
        <w:rPr>
          <w:rFonts w:asciiTheme="minorHAnsi" w:hAnsiTheme="minorHAnsi"/>
          <w:color w:val="auto"/>
        </w:rPr>
        <w:t xml:space="preserve">                             </w:t>
      </w:r>
      <w:r w:rsidRPr="00D355CD">
        <w:rPr>
          <w:rFonts w:asciiTheme="minorHAnsi" w:hAnsiTheme="minorHAnsi"/>
          <w:color w:val="auto"/>
        </w:rPr>
        <w:tab/>
      </w:r>
      <w:r w:rsidRPr="00D355CD">
        <w:rPr>
          <w:rFonts w:asciiTheme="minorHAnsi" w:hAnsiTheme="minorHAnsi"/>
          <w:color w:val="auto"/>
        </w:rPr>
        <w:tab/>
        <w:t>Deputy Director</w:t>
      </w:r>
    </w:p>
    <w:p w:rsidR="00A44141" w:rsidRDefault="00FB1725" w:rsidP="000452D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D355CD">
        <w:rPr>
          <w:rFonts w:asciiTheme="minorHAnsi" w:hAnsiTheme="minorHAnsi"/>
          <w:color w:val="auto"/>
        </w:rPr>
        <w:tab/>
        <w:t xml:space="preserve">                           </w:t>
      </w:r>
      <w:r w:rsidRPr="00D355CD">
        <w:rPr>
          <w:rFonts w:asciiTheme="minorHAnsi" w:hAnsiTheme="minorHAnsi"/>
          <w:color w:val="auto"/>
        </w:rPr>
        <w:tab/>
      </w:r>
      <w:r w:rsidRPr="00D355CD">
        <w:rPr>
          <w:rFonts w:asciiTheme="minorHAnsi" w:hAnsiTheme="minorHAnsi"/>
          <w:color w:val="auto"/>
        </w:rPr>
        <w:tab/>
      </w:r>
      <w:r w:rsidRPr="00D355CD">
        <w:rPr>
          <w:rFonts w:asciiTheme="minorHAnsi" w:hAnsiTheme="minorHAnsi"/>
          <w:color w:val="auto"/>
        </w:rPr>
        <w:tab/>
      </w:r>
      <w:r w:rsidRPr="00D355CD">
        <w:rPr>
          <w:rFonts w:asciiTheme="minorHAnsi" w:hAnsiTheme="minorHAnsi"/>
          <w:color w:val="auto"/>
        </w:rPr>
        <w:tab/>
      </w:r>
      <w:r w:rsidRPr="00D355CD">
        <w:rPr>
          <w:rFonts w:asciiTheme="minorHAnsi" w:hAnsiTheme="minorHAnsi"/>
          <w:color w:val="auto"/>
        </w:rPr>
        <w:tab/>
        <w:t>Physical Disability Board of Review</w:t>
      </w:r>
    </w:p>
    <w:p w:rsidR="00BE6F2C" w:rsidRDefault="00BE6F2C">
      <w:pPr>
        <w:rPr>
          <w:rFonts w:asciiTheme="minorHAnsi" w:hAnsiTheme="minorHAnsi"/>
          <w:color w:val="auto"/>
        </w:rPr>
      </w:pPr>
      <w:r>
        <w:rPr>
          <w:rFonts w:asciiTheme="minorHAnsi" w:hAnsiTheme="minorHAnsi"/>
          <w:color w:val="auto"/>
        </w:rPr>
        <w:br w:type="page"/>
      </w:r>
    </w:p>
    <w:p w:rsidR="00BE6F2C" w:rsidRPr="00BE6F2C" w:rsidRDefault="00BE6F2C" w:rsidP="000452D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BE6F2C" w:rsidRPr="00BE6F2C" w:rsidRDefault="00BE6F2C" w:rsidP="00BE6F2C">
      <w:pPr>
        <w:rPr>
          <w:color w:val="auto"/>
        </w:rPr>
      </w:pPr>
      <w:r w:rsidRPr="00BE6F2C">
        <w:rPr>
          <w:color w:val="auto"/>
        </w:rPr>
        <w:t>MEMORANDUM FOR DEPUTY COMMANDANT, MANPOWER &amp; RESERVE AFFAIRS</w:t>
      </w:r>
    </w:p>
    <w:p w:rsidR="00BE6F2C" w:rsidRPr="00BE6F2C" w:rsidRDefault="00BE6F2C" w:rsidP="00BE6F2C">
      <w:pPr>
        <w:rPr>
          <w:color w:val="auto"/>
        </w:rPr>
      </w:pPr>
    </w:p>
    <w:p w:rsidR="00BE6F2C" w:rsidRPr="00BE6F2C" w:rsidRDefault="00BE6F2C" w:rsidP="00BE6F2C">
      <w:pPr>
        <w:rPr>
          <w:color w:val="auto"/>
        </w:rPr>
      </w:pPr>
      <w:proofErr w:type="spellStart"/>
      <w:r w:rsidRPr="00BE6F2C">
        <w:rPr>
          <w:color w:val="auto"/>
        </w:rPr>
        <w:t>Subj</w:t>
      </w:r>
      <w:proofErr w:type="spellEnd"/>
      <w:r w:rsidRPr="00BE6F2C">
        <w:rPr>
          <w:color w:val="auto"/>
        </w:rPr>
        <w:t>:  PHYSICAL DISABILITY BOARD OF REVIEW (PDBR) RECOMMENDATION</w:t>
      </w:r>
    </w:p>
    <w:p w:rsidR="00BE6F2C" w:rsidRPr="00BE6F2C" w:rsidRDefault="00BE6F2C" w:rsidP="00BE6F2C">
      <w:pPr>
        <w:tabs>
          <w:tab w:val="left" w:pos="630"/>
        </w:tabs>
        <w:rPr>
          <w:color w:val="auto"/>
        </w:rPr>
      </w:pPr>
      <w:r w:rsidRPr="00BE6F2C">
        <w:rPr>
          <w:color w:val="auto"/>
        </w:rPr>
        <w:t xml:space="preserve">          </w:t>
      </w:r>
      <w:r w:rsidRPr="00BE6F2C">
        <w:rPr>
          <w:color w:val="auto"/>
        </w:rPr>
        <w:tab/>
        <w:t xml:space="preserve">ICO </w:t>
      </w:r>
      <w:r>
        <w:rPr>
          <w:color w:val="auto"/>
        </w:rPr>
        <w:t>XXXXXX</w:t>
      </w:r>
      <w:r w:rsidRPr="00BE6F2C">
        <w:rPr>
          <w:color w:val="auto"/>
        </w:rPr>
        <w:t xml:space="preserve">, FORMER USMC, XXX XX </w:t>
      </w:r>
      <w:r>
        <w:rPr>
          <w:color w:val="auto"/>
        </w:rPr>
        <w:t>XXXX</w:t>
      </w:r>
    </w:p>
    <w:p w:rsidR="00BE6F2C" w:rsidRPr="00BE6F2C" w:rsidRDefault="00BE6F2C" w:rsidP="00BE6F2C">
      <w:pPr>
        <w:rPr>
          <w:color w:val="auto"/>
        </w:rPr>
      </w:pPr>
    </w:p>
    <w:p w:rsidR="00BE6F2C" w:rsidRPr="00BE6F2C" w:rsidRDefault="00BE6F2C" w:rsidP="00BE6F2C">
      <w:pPr>
        <w:rPr>
          <w:color w:val="auto"/>
        </w:rPr>
      </w:pPr>
      <w:r w:rsidRPr="00BE6F2C">
        <w:rPr>
          <w:color w:val="auto"/>
        </w:rPr>
        <w:t>Ref:   (a) DoDI 6040.44</w:t>
      </w:r>
    </w:p>
    <w:p w:rsidR="00BE6F2C" w:rsidRPr="00BE6F2C" w:rsidRDefault="00BE6F2C" w:rsidP="00BE6F2C">
      <w:pPr>
        <w:rPr>
          <w:color w:val="auto"/>
        </w:rPr>
      </w:pPr>
      <w:r w:rsidRPr="00BE6F2C">
        <w:rPr>
          <w:color w:val="auto"/>
        </w:rPr>
        <w:t xml:space="preserve">          (b) PDBR </w:t>
      </w:r>
      <w:proofErr w:type="spellStart"/>
      <w:r w:rsidRPr="00BE6F2C">
        <w:rPr>
          <w:color w:val="auto"/>
        </w:rPr>
        <w:t>ltr</w:t>
      </w:r>
      <w:proofErr w:type="spellEnd"/>
      <w:r w:rsidRPr="00BE6F2C">
        <w:rPr>
          <w:color w:val="auto"/>
        </w:rPr>
        <w:t xml:space="preserve"> </w:t>
      </w:r>
      <w:proofErr w:type="spellStart"/>
      <w:r w:rsidRPr="00BE6F2C">
        <w:rPr>
          <w:color w:val="auto"/>
        </w:rPr>
        <w:t>dtd</w:t>
      </w:r>
      <w:proofErr w:type="spellEnd"/>
      <w:r w:rsidRPr="00BE6F2C">
        <w:rPr>
          <w:color w:val="auto"/>
        </w:rPr>
        <w:t xml:space="preserve"> 15 Jun 11</w:t>
      </w:r>
    </w:p>
    <w:p w:rsidR="00BE6F2C" w:rsidRPr="00BE6F2C" w:rsidRDefault="00BE6F2C" w:rsidP="00BE6F2C">
      <w:pPr>
        <w:rPr>
          <w:color w:val="auto"/>
        </w:rPr>
      </w:pPr>
    </w:p>
    <w:p w:rsidR="00BE6F2C" w:rsidRPr="00BE6F2C" w:rsidRDefault="00BE6F2C" w:rsidP="00BE6F2C">
      <w:pPr>
        <w:rPr>
          <w:color w:val="auto"/>
        </w:rPr>
      </w:pPr>
      <w:r w:rsidRPr="00BE6F2C">
        <w:rPr>
          <w:color w:val="auto"/>
        </w:rPr>
        <w:t>1.  I have reviewed the subject case pursuant to reference (a) and approve the recommendation of the PDBR (reference (b)).</w:t>
      </w:r>
    </w:p>
    <w:p w:rsidR="00BE6F2C" w:rsidRPr="00BE6F2C" w:rsidRDefault="00BE6F2C" w:rsidP="00BE6F2C">
      <w:pPr>
        <w:rPr>
          <w:color w:val="auto"/>
        </w:rPr>
      </w:pPr>
    </w:p>
    <w:p w:rsidR="00BE6F2C" w:rsidRPr="00BE6F2C" w:rsidRDefault="00BE6F2C" w:rsidP="00BE6F2C">
      <w:pPr>
        <w:rPr>
          <w:color w:val="auto"/>
        </w:rPr>
      </w:pPr>
      <w:r w:rsidRPr="00BE6F2C">
        <w:rPr>
          <w:color w:val="auto"/>
        </w:rPr>
        <w:t>2.  The subject member’s official records are to be corrected to reflect the following disposition:</w:t>
      </w:r>
    </w:p>
    <w:p w:rsidR="00BE6F2C" w:rsidRPr="00BE6F2C" w:rsidRDefault="00BE6F2C" w:rsidP="00BE6F2C">
      <w:pPr>
        <w:rPr>
          <w:color w:val="auto"/>
        </w:rPr>
      </w:pPr>
    </w:p>
    <w:p w:rsidR="00BE6F2C" w:rsidRPr="00BE6F2C" w:rsidRDefault="00BE6F2C" w:rsidP="00BE6F2C">
      <w:pPr>
        <w:rPr>
          <w:color w:val="auto"/>
        </w:rPr>
      </w:pPr>
      <w:r w:rsidRPr="00BE6F2C">
        <w:rPr>
          <w:color w:val="auto"/>
        </w:rPr>
        <w:tab/>
        <w:t>a. Separation from the Naval service due to physical disability rated at 20 percent (increased from 10 percent) effective 30 January 2009.</w:t>
      </w:r>
    </w:p>
    <w:p w:rsidR="00BE6F2C" w:rsidRPr="00BE6F2C" w:rsidRDefault="00BE6F2C" w:rsidP="00BE6F2C">
      <w:pPr>
        <w:rPr>
          <w:color w:val="auto"/>
        </w:rPr>
      </w:pPr>
    </w:p>
    <w:p w:rsidR="00BE6F2C" w:rsidRPr="00BE6F2C" w:rsidRDefault="00BE6F2C" w:rsidP="00BE6F2C">
      <w:pPr>
        <w:rPr>
          <w:color w:val="auto"/>
        </w:rPr>
      </w:pPr>
      <w:r w:rsidRPr="00BE6F2C">
        <w:rPr>
          <w:color w:val="auto"/>
        </w:rPr>
        <w:t>3.  Please ensure all necessary actions are taken to implement this decision and the subject member is notified once those actions are completed.</w:t>
      </w:r>
    </w:p>
    <w:p w:rsidR="00BE6F2C" w:rsidRPr="00BE6F2C" w:rsidRDefault="00BE6F2C" w:rsidP="00BE6F2C">
      <w:pPr>
        <w:rPr>
          <w:color w:val="auto"/>
        </w:rPr>
      </w:pPr>
    </w:p>
    <w:p w:rsidR="00BE6F2C" w:rsidRPr="00BE6F2C" w:rsidRDefault="00BE6F2C" w:rsidP="00BE6F2C">
      <w:pPr>
        <w:rPr>
          <w:color w:val="auto"/>
        </w:rPr>
      </w:pPr>
    </w:p>
    <w:p w:rsidR="00BE6F2C" w:rsidRPr="00BE6F2C" w:rsidRDefault="00BE6F2C" w:rsidP="00BE6F2C">
      <w:pPr>
        <w:rPr>
          <w:color w:val="auto"/>
        </w:rPr>
      </w:pPr>
    </w:p>
    <w:p w:rsidR="00BE6F2C" w:rsidRPr="00BE6F2C" w:rsidRDefault="00BE6F2C" w:rsidP="00BE6F2C">
      <w:pPr>
        <w:tabs>
          <w:tab w:val="left" w:pos="4680"/>
        </w:tabs>
        <w:rPr>
          <w:color w:val="auto"/>
        </w:rPr>
      </w:pPr>
      <w:r w:rsidRPr="00BE6F2C">
        <w:rPr>
          <w:color w:val="auto"/>
        </w:rPr>
        <w:tab/>
        <w:t xml:space="preserve"> </w:t>
      </w:r>
    </w:p>
    <w:p w:rsidR="00BE6F2C" w:rsidRPr="00BE6F2C" w:rsidRDefault="00BE6F2C" w:rsidP="00BE6F2C">
      <w:pPr>
        <w:rPr>
          <w:color w:val="auto"/>
        </w:rPr>
      </w:pPr>
      <w:r w:rsidRPr="00BE6F2C">
        <w:rPr>
          <w:color w:val="auto"/>
        </w:rPr>
        <w:tab/>
      </w:r>
      <w:r w:rsidRPr="00BE6F2C">
        <w:rPr>
          <w:color w:val="auto"/>
        </w:rPr>
        <w:tab/>
      </w:r>
      <w:r w:rsidRPr="00BE6F2C">
        <w:rPr>
          <w:color w:val="auto"/>
        </w:rPr>
        <w:tab/>
      </w:r>
      <w:r w:rsidRPr="00BE6F2C">
        <w:rPr>
          <w:color w:val="auto"/>
        </w:rPr>
        <w:tab/>
      </w:r>
      <w:r w:rsidRPr="00BE6F2C">
        <w:rPr>
          <w:color w:val="auto"/>
        </w:rPr>
        <w:tab/>
      </w:r>
      <w:r w:rsidRPr="00BE6F2C">
        <w:rPr>
          <w:color w:val="auto"/>
        </w:rPr>
        <w:tab/>
        <w:t xml:space="preserve">      Assistant General Counsel</w:t>
      </w:r>
    </w:p>
    <w:p w:rsidR="00BE6F2C" w:rsidRPr="00BE6F2C" w:rsidRDefault="00BE6F2C" w:rsidP="00BE6F2C">
      <w:pPr>
        <w:rPr>
          <w:color w:val="auto"/>
        </w:rPr>
      </w:pPr>
      <w:r w:rsidRPr="00BE6F2C">
        <w:rPr>
          <w:color w:val="auto"/>
        </w:rPr>
        <w:tab/>
      </w:r>
      <w:r w:rsidRPr="00BE6F2C">
        <w:rPr>
          <w:color w:val="auto"/>
        </w:rPr>
        <w:tab/>
      </w:r>
      <w:r w:rsidRPr="00BE6F2C">
        <w:rPr>
          <w:color w:val="auto"/>
        </w:rPr>
        <w:tab/>
      </w:r>
      <w:r w:rsidRPr="00BE6F2C">
        <w:rPr>
          <w:color w:val="auto"/>
        </w:rPr>
        <w:tab/>
      </w:r>
      <w:r w:rsidRPr="00BE6F2C">
        <w:rPr>
          <w:color w:val="auto"/>
        </w:rPr>
        <w:tab/>
      </w:r>
      <w:r w:rsidRPr="00BE6F2C">
        <w:rPr>
          <w:color w:val="auto"/>
        </w:rPr>
        <w:tab/>
        <w:t xml:space="preserve">        (Manpower &amp; Reserve Affairs)</w:t>
      </w:r>
    </w:p>
    <w:p w:rsidR="00BE6F2C" w:rsidRDefault="00BE6F2C" w:rsidP="00BE6F2C"/>
    <w:p w:rsidR="00BE6F2C" w:rsidRPr="00D355CD" w:rsidRDefault="00BE6F2C" w:rsidP="000452D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BE6F2C" w:rsidRPr="00D355CD" w:rsidSect="002A5C3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C97" w:rsidRDefault="00E16C97">
      <w:r>
        <w:separator/>
      </w:r>
    </w:p>
  </w:endnote>
  <w:endnote w:type="continuationSeparator" w:id="0">
    <w:p w:rsidR="00E16C97" w:rsidRDefault="00E16C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4766"/>
      <w:docPartObj>
        <w:docPartGallery w:val="Page Numbers (Bottom of Page)"/>
        <w:docPartUnique/>
      </w:docPartObj>
    </w:sdtPr>
    <w:sdtContent>
      <w:p w:rsidR="002B2519" w:rsidRDefault="00C94F1A" w:rsidP="00F65ED5">
        <w:pPr>
          <w:pStyle w:val="Footer"/>
          <w:jc w:val="right"/>
        </w:pPr>
        <w:r w:rsidRPr="00F65ED5">
          <w:rPr>
            <w:color w:val="auto"/>
          </w:rPr>
          <w:fldChar w:fldCharType="begin"/>
        </w:r>
        <w:r w:rsidR="002B2519" w:rsidRPr="00F65ED5">
          <w:rPr>
            <w:color w:val="auto"/>
          </w:rPr>
          <w:instrText xml:space="preserve"> PAGE   \* MERGEFORMAT </w:instrText>
        </w:r>
        <w:r w:rsidRPr="00F65ED5">
          <w:rPr>
            <w:color w:val="auto"/>
          </w:rPr>
          <w:fldChar w:fldCharType="separate"/>
        </w:r>
        <w:r w:rsidR="00BE6F2C">
          <w:rPr>
            <w:noProof/>
            <w:color w:val="auto"/>
          </w:rPr>
          <w:t>2</w:t>
        </w:r>
        <w:r w:rsidRPr="00F65ED5">
          <w:rPr>
            <w:color w:val="auto"/>
          </w:rPr>
          <w:fldChar w:fldCharType="end"/>
        </w:r>
        <w:r w:rsidR="002B2519" w:rsidRPr="00F65ED5">
          <w:rPr>
            <w:color w:val="auto"/>
          </w:rPr>
          <w:t xml:space="preserve">                                                           PD</w:t>
        </w:r>
        <w:r w:rsidR="002B2519">
          <w:rPr>
            <w:color w:val="auto"/>
          </w:rPr>
          <w:t>200900730</w:t>
        </w:r>
      </w:p>
    </w:sdtContent>
  </w:sdt>
  <w:p w:rsidR="002B2519" w:rsidRDefault="002B25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519" w:rsidRPr="00396779" w:rsidRDefault="002B2519" w:rsidP="00EA52FE">
    <w:pPr>
      <w:pStyle w:val="Footer"/>
      <w:jc w:val="right"/>
      <w:rPr>
        <w:rFonts w:asciiTheme="minorHAnsi" w:hAnsiTheme="minorHAnsi"/>
        <w:color w:val="auto"/>
      </w:rPr>
    </w:pPr>
    <w:r>
      <w:t xml:space="preserve">                      </w:t>
    </w:r>
  </w:p>
  <w:p w:rsidR="002B2519" w:rsidRDefault="002B2519" w:rsidP="004766C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C97" w:rsidRDefault="00E16C97">
      <w:r>
        <w:separator/>
      </w:r>
    </w:p>
  </w:footnote>
  <w:footnote w:type="continuationSeparator" w:id="0">
    <w:p w:rsidR="00E16C97" w:rsidRDefault="00E16C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5058"/>
  </w:hdrShapeDefaults>
  <w:footnotePr>
    <w:numRestart w:val="eachSect"/>
    <w:footnote w:id="-1"/>
    <w:footnote w:id="0"/>
  </w:footnotePr>
  <w:endnotePr>
    <w:endnote w:id="-1"/>
    <w:endnote w:id="0"/>
  </w:endnotePr>
  <w:compat/>
  <w:rsids>
    <w:rsidRoot w:val="001C28D1"/>
    <w:rsid w:val="000059FA"/>
    <w:rsid w:val="00006186"/>
    <w:rsid w:val="00006F87"/>
    <w:rsid w:val="00007107"/>
    <w:rsid w:val="00010ABA"/>
    <w:rsid w:val="00012428"/>
    <w:rsid w:val="00013417"/>
    <w:rsid w:val="000145C2"/>
    <w:rsid w:val="0001473F"/>
    <w:rsid w:val="00014A9E"/>
    <w:rsid w:val="00021361"/>
    <w:rsid w:val="00022CF3"/>
    <w:rsid w:val="00023913"/>
    <w:rsid w:val="00023D43"/>
    <w:rsid w:val="00030776"/>
    <w:rsid w:val="00032E07"/>
    <w:rsid w:val="000332CA"/>
    <w:rsid w:val="0003374E"/>
    <w:rsid w:val="000344D8"/>
    <w:rsid w:val="000344E6"/>
    <w:rsid w:val="000345D2"/>
    <w:rsid w:val="00035C3A"/>
    <w:rsid w:val="00036E4B"/>
    <w:rsid w:val="00037929"/>
    <w:rsid w:val="000379D0"/>
    <w:rsid w:val="00040FC4"/>
    <w:rsid w:val="000416F8"/>
    <w:rsid w:val="00042C26"/>
    <w:rsid w:val="00043382"/>
    <w:rsid w:val="00044623"/>
    <w:rsid w:val="000452D7"/>
    <w:rsid w:val="00050004"/>
    <w:rsid w:val="00051622"/>
    <w:rsid w:val="00052234"/>
    <w:rsid w:val="00053D7C"/>
    <w:rsid w:val="000575C5"/>
    <w:rsid w:val="000577C9"/>
    <w:rsid w:val="0006431E"/>
    <w:rsid w:val="00065E21"/>
    <w:rsid w:val="00072433"/>
    <w:rsid w:val="00075702"/>
    <w:rsid w:val="000775C2"/>
    <w:rsid w:val="000806AD"/>
    <w:rsid w:val="00082482"/>
    <w:rsid w:val="00084CF2"/>
    <w:rsid w:val="00085D7B"/>
    <w:rsid w:val="0008708B"/>
    <w:rsid w:val="00091534"/>
    <w:rsid w:val="00092619"/>
    <w:rsid w:val="00092C66"/>
    <w:rsid w:val="000949DD"/>
    <w:rsid w:val="00094E4F"/>
    <w:rsid w:val="000A0753"/>
    <w:rsid w:val="000A2BCE"/>
    <w:rsid w:val="000A33C8"/>
    <w:rsid w:val="000A41E3"/>
    <w:rsid w:val="000A4BBA"/>
    <w:rsid w:val="000A5071"/>
    <w:rsid w:val="000B0AD2"/>
    <w:rsid w:val="000B1022"/>
    <w:rsid w:val="000B2FB8"/>
    <w:rsid w:val="000B4C99"/>
    <w:rsid w:val="000C06F6"/>
    <w:rsid w:val="000C1D34"/>
    <w:rsid w:val="000C2362"/>
    <w:rsid w:val="000C3C13"/>
    <w:rsid w:val="000C53F9"/>
    <w:rsid w:val="000C5813"/>
    <w:rsid w:val="000C75CF"/>
    <w:rsid w:val="000C7B83"/>
    <w:rsid w:val="000C7DE4"/>
    <w:rsid w:val="000D15E7"/>
    <w:rsid w:val="000D1A24"/>
    <w:rsid w:val="000D21C7"/>
    <w:rsid w:val="000D248A"/>
    <w:rsid w:val="000D35D8"/>
    <w:rsid w:val="000D43F9"/>
    <w:rsid w:val="000D4717"/>
    <w:rsid w:val="000D6457"/>
    <w:rsid w:val="000D7D55"/>
    <w:rsid w:val="000E0993"/>
    <w:rsid w:val="000E37E0"/>
    <w:rsid w:val="000E3F20"/>
    <w:rsid w:val="000E7034"/>
    <w:rsid w:val="000F02BE"/>
    <w:rsid w:val="000F0928"/>
    <w:rsid w:val="000F427B"/>
    <w:rsid w:val="000F43D0"/>
    <w:rsid w:val="000F4F18"/>
    <w:rsid w:val="000F688E"/>
    <w:rsid w:val="000F7181"/>
    <w:rsid w:val="001008C1"/>
    <w:rsid w:val="001023DB"/>
    <w:rsid w:val="00103CCF"/>
    <w:rsid w:val="0010417F"/>
    <w:rsid w:val="001042D2"/>
    <w:rsid w:val="0010530E"/>
    <w:rsid w:val="00105C07"/>
    <w:rsid w:val="00106749"/>
    <w:rsid w:val="00106AD8"/>
    <w:rsid w:val="00107EC5"/>
    <w:rsid w:val="001103CD"/>
    <w:rsid w:val="00110475"/>
    <w:rsid w:val="00114F20"/>
    <w:rsid w:val="001211AF"/>
    <w:rsid w:val="001219DF"/>
    <w:rsid w:val="0012220B"/>
    <w:rsid w:val="00122ABE"/>
    <w:rsid w:val="001231DC"/>
    <w:rsid w:val="0012489B"/>
    <w:rsid w:val="001272AE"/>
    <w:rsid w:val="001315DD"/>
    <w:rsid w:val="0013525F"/>
    <w:rsid w:val="00135385"/>
    <w:rsid w:val="001364D1"/>
    <w:rsid w:val="00142EBA"/>
    <w:rsid w:val="00143B79"/>
    <w:rsid w:val="00150B8A"/>
    <w:rsid w:val="00150DCB"/>
    <w:rsid w:val="00151912"/>
    <w:rsid w:val="00153740"/>
    <w:rsid w:val="001541C5"/>
    <w:rsid w:val="0015623F"/>
    <w:rsid w:val="00156585"/>
    <w:rsid w:val="00156BA9"/>
    <w:rsid w:val="00161761"/>
    <w:rsid w:val="00166182"/>
    <w:rsid w:val="001745DD"/>
    <w:rsid w:val="00177659"/>
    <w:rsid w:val="001779E5"/>
    <w:rsid w:val="00181240"/>
    <w:rsid w:val="00181F04"/>
    <w:rsid w:val="00182A4C"/>
    <w:rsid w:val="00183F77"/>
    <w:rsid w:val="001844D8"/>
    <w:rsid w:val="00185DA8"/>
    <w:rsid w:val="00185ECB"/>
    <w:rsid w:val="001865E0"/>
    <w:rsid w:val="001870F0"/>
    <w:rsid w:val="00190E48"/>
    <w:rsid w:val="0019273F"/>
    <w:rsid w:val="00193814"/>
    <w:rsid w:val="00193AD5"/>
    <w:rsid w:val="00194930"/>
    <w:rsid w:val="001A025E"/>
    <w:rsid w:val="001A08CD"/>
    <w:rsid w:val="001A0A1E"/>
    <w:rsid w:val="001A2182"/>
    <w:rsid w:val="001A48C0"/>
    <w:rsid w:val="001A5320"/>
    <w:rsid w:val="001A5E62"/>
    <w:rsid w:val="001A6848"/>
    <w:rsid w:val="001A7538"/>
    <w:rsid w:val="001B0B1A"/>
    <w:rsid w:val="001B4EC2"/>
    <w:rsid w:val="001B5B59"/>
    <w:rsid w:val="001B6043"/>
    <w:rsid w:val="001B60E0"/>
    <w:rsid w:val="001B7C8C"/>
    <w:rsid w:val="001C0688"/>
    <w:rsid w:val="001C181A"/>
    <w:rsid w:val="001C1877"/>
    <w:rsid w:val="001C2053"/>
    <w:rsid w:val="001C252F"/>
    <w:rsid w:val="001C28D1"/>
    <w:rsid w:val="001C3473"/>
    <w:rsid w:val="001C5CFC"/>
    <w:rsid w:val="001C7418"/>
    <w:rsid w:val="001C7EBE"/>
    <w:rsid w:val="001D0051"/>
    <w:rsid w:val="001D2224"/>
    <w:rsid w:val="001D31AA"/>
    <w:rsid w:val="001D4F88"/>
    <w:rsid w:val="001D68CF"/>
    <w:rsid w:val="001D6A8C"/>
    <w:rsid w:val="001D7A56"/>
    <w:rsid w:val="001E15C0"/>
    <w:rsid w:val="001E18E0"/>
    <w:rsid w:val="001E18E2"/>
    <w:rsid w:val="001E19D0"/>
    <w:rsid w:val="001E2A30"/>
    <w:rsid w:val="001E635C"/>
    <w:rsid w:val="001F03FD"/>
    <w:rsid w:val="00200AA0"/>
    <w:rsid w:val="00202325"/>
    <w:rsid w:val="00202736"/>
    <w:rsid w:val="00203652"/>
    <w:rsid w:val="00205B4F"/>
    <w:rsid w:val="002060B6"/>
    <w:rsid w:val="002066B5"/>
    <w:rsid w:val="002119B6"/>
    <w:rsid w:val="00212B40"/>
    <w:rsid w:val="00213BD0"/>
    <w:rsid w:val="00214DBA"/>
    <w:rsid w:val="002151AB"/>
    <w:rsid w:val="00215ED6"/>
    <w:rsid w:val="00216049"/>
    <w:rsid w:val="002163FA"/>
    <w:rsid w:val="00217606"/>
    <w:rsid w:val="00217C09"/>
    <w:rsid w:val="00220F5C"/>
    <w:rsid w:val="00221B9B"/>
    <w:rsid w:val="00225196"/>
    <w:rsid w:val="0022558E"/>
    <w:rsid w:val="00225CB4"/>
    <w:rsid w:val="00226B1A"/>
    <w:rsid w:val="0023049F"/>
    <w:rsid w:val="002316F6"/>
    <w:rsid w:val="00232C9B"/>
    <w:rsid w:val="00232E73"/>
    <w:rsid w:val="00232F09"/>
    <w:rsid w:val="002335D5"/>
    <w:rsid w:val="002338CA"/>
    <w:rsid w:val="00233FE5"/>
    <w:rsid w:val="00234B3B"/>
    <w:rsid w:val="002374C9"/>
    <w:rsid w:val="0024174E"/>
    <w:rsid w:val="0024227D"/>
    <w:rsid w:val="00242D14"/>
    <w:rsid w:val="00244B9B"/>
    <w:rsid w:val="00246860"/>
    <w:rsid w:val="00246DFF"/>
    <w:rsid w:val="00246E89"/>
    <w:rsid w:val="0025183C"/>
    <w:rsid w:val="002528EC"/>
    <w:rsid w:val="00252CFE"/>
    <w:rsid w:val="00255049"/>
    <w:rsid w:val="00257DE5"/>
    <w:rsid w:val="00260531"/>
    <w:rsid w:val="00260B9A"/>
    <w:rsid w:val="0026318D"/>
    <w:rsid w:val="00270864"/>
    <w:rsid w:val="002712F7"/>
    <w:rsid w:val="0027159C"/>
    <w:rsid w:val="002722F2"/>
    <w:rsid w:val="00274549"/>
    <w:rsid w:val="00274E46"/>
    <w:rsid w:val="002769AF"/>
    <w:rsid w:val="00276C86"/>
    <w:rsid w:val="00277217"/>
    <w:rsid w:val="002810A4"/>
    <w:rsid w:val="00284A26"/>
    <w:rsid w:val="00287006"/>
    <w:rsid w:val="00292AB2"/>
    <w:rsid w:val="00293FE8"/>
    <w:rsid w:val="00294437"/>
    <w:rsid w:val="00297A45"/>
    <w:rsid w:val="002A233F"/>
    <w:rsid w:val="002A3237"/>
    <w:rsid w:val="002A58B7"/>
    <w:rsid w:val="002A5943"/>
    <w:rsid w:val="002A5C3C"/>
    <w:rsid w:val="002A685E"/>
    <w:rsid w:val="002A72C7"/>
    <w:rsid w:val="002B03B2"/>
    <w:rsid w:val="002B0749"/>
    <w:rsid w:val="002B2519"/>
    <w:rsid w:val="002B2645"/>
    <w:rsid w:val="002B4E22"/>
    <w:rsid w:val="002B6FA0"/>
    <w:rsid w:val="002C3B6D"/>
    <w:rsid w:val="002C5D9D"/>
    <w:rsid w:val="002C5F10"/>
    <w:rsid w:val="002C6E5B"/>
    <w:rsid w:val="002D18B4"/>
    <w:rsid w:val="002D231A"/>
    <w:rsid w:val="002D7787"/>
    <w:rsid w:val="002E1877"/>
    <w:rsid w:val="002E1C31"/>
    <w:rsid w:val="002E2E0F"/>
    <w:rsid w:val="002E333A"/>
    <w:rsid w:val="002E3474"/>
    <w:rsid w:val="002E400C"/>
    <w:rsid w:val="002E49C3"/>
    <w:rsid w:val="002E4AFF"/>
    <w:rsid w:val="002E5114"/>
    <w:rsid w:val="002E5988"/>
    <w:rsid w:val="002E7570"/>
    <w:rsid w:val="002E764B"/>
    <w:rsid w:val="002F0E28"/>
    <w:rsid w:val="002F287E"/>
    <w:rsid w:val="002F2981"/>
    <w:rsid w:val="002F2D63"/>
    <w:rsid w:val="002F6AD8"/>
    <w:rsid w:val="002F7F81"/>
    <w:rsid w:val="00300A36"/>
    <w:rsid w:val="0030678B"/>
    <w:rsid w:val="00310CD7"/>
    <w:rsid w:val="0032136A"/>
    <w:rsid w:val="00323E70"/>
    <w:rsid w:val="003258A7"/>
    <w:rsid w:val="00325BA2"/>
    <w:rsid w:val="00326B1C"/>
    <w:rsid w:val="00326C08"/>
    <w:rsid w:val="00326F7F"/>
    <w:rsid w:val="003320E8"/>
    <w:rsid w:val="003328FD"/>
    <w:rsid w:val="0033334F"/>
    <w:rsid w:val="0033555E"/>
    <w:rsid w:val="00336805"/>
    <w:rsid w:val="00337351"/>
    <w:rsid w:val="00341A54"/>
    <w:rsid w:val="0034669F"/>
    <w:rsid w:val="00351498"/>
    <w:rsid w:val="00352B22"/>
    <w:rsid w:val="00352CBF"/>
    <w:rsid w:val="00354547"/>
    <w:rsid w:val="003559CD"/>
    <w:rsid w:val="003567DE"/>
    <w:rsid w:val="003574F3"/>
    <w:rsid w:val="003604A5"/>
    <w:rsid w:val="00360C3A"/>
    <w:rsid w:val="0036319E"/>
    <w:rsid w:val="003632A4"/>
    <w:rsid w:val="00363362"/>
    <w:rsid w:val="00367D4F"/>
    <w:rsid w:val="00370743"/>
    <w:rsid w:val="00370EF5"/>
    <w:rsid w:val="0037135B"/>
    <w:rsid w:val="00372251"/>
    <w:rsid w:val="0037520D"/>
    <w:rsid w:val="00375724"/>
    <w:rsid w:val="00375809"/>
    <w:rsid w:val="0037628C"/>
    <w:rsid w:val="00376B81"/>
    <w:rsid w:val="00376E08"/>
    <w:rsid w:val="00377BD2"/>
    <w:rsid w:val="00380FD4"/>
    <w:rsid w:val="003821E1"/>
    <w:rsid w:val="003840F6"/>
    <w:rsid w:val="00384866"/>
    <w:rsid w:val="003857D4"/>
    <w:rsid w:val="00385D6F"/>
    <w:rsid w:val="00386D43"/>
    <w:rsid w:val="00387095"/>
    <w:rsid w:val="00390092"/>
    <w:rsid w:val="00393651"/>
    <w:rsid w:val="00395651"/>
    <w:rsid w:val="00395E12"/>
    <w:rsid w:val="00396779"/>
    <w:rsid w:val="00397DB7"/>
    <w:rsid w:val="003A27B2"/>
    <w:rsid w:val="003A40B4"/>
    <w:rsid w:val="003A41BA"/>
    <w:rsid w:val="003A5491"/>
    <w:rsid w:val="003A6A99"/>
    <w:rsid w:val="003A7FF8"/>
    <w:rsid w:val="003B17AC"/>
    <w:rsid w:val="003B227A"/>
    <w:rsid w:val="003B5854"/>
    <w:rsid w:val="003B6764"/>
    <w:rsid w:val="003C1726"/>
    <w:rsid w:val="003C5046"/>
    <w:rsid w:val="003C59FA"/>
    <w:rsid w:val="003C6068"/>
    <w:rsid w:val="003C77AF"/>
    <w:rsid w:val="003D2BA3"/>
    <w:rsid w:val="003D3503"/>
    <w:rsid w:val="003D3C22"/>
    <w:rsid w:val="003D56A0"/>
    <w:rsid w:val="003D7089"/>
    <w:rsid w:val="003D7DDB"/>
    <w:rsid w:val="003E02C7"/>
    <w:rsid w:val="003E0543"/>
    <w:rsid w:val="003E061D"/>
    <w:rsid w:val="003E0B5A"/>
    <w:rsid w:val="003E31E3"/>
    <w:rsid w:val="003E46D1"/>
    <w:rsid w:val="003E6214"/>
    <w:rsid w:val="003F070E"/>
    <w:rsid w:val="003F1206"/>
    <w:rsid w:val="003F58B0"/>
    <w:rsid w:val="003F776F"/>
    <w:rsid w:val="004007E9"/>
    <w:rsid w:val="00400810"/>
    <w:rsid w:val="00401825"/>
    <w:rsid w:val="00401BBC"/>
    <w:rsid w:val="00403BFB"/>
    <w:rsid w:val="00404B45"/>
    <w:rsid w:val="00406CC5"/>
    <w:rsid w:val="004074A4"/>
    <w:rsid w:val="004101B2"/>
    <w:rsid w:val="004123D7"/>
    <w:rsid w:val="00412658"/>
    <w:rsid w:val="004129DA"/>
    <w:rsid w:val="00415EA4"/>
    <w:rsid w:val="0041604B"/>
    <w:rsid w:val="004172DB"/>
    <w:rsid w:val="00421485"/>
    <w:rsid w:val="00422B75"/>
    <w:rsid w:val="00424612"/>
    <w:rsid w:val="00425A6A"/>
    <w:rsid w:val="00427F54"/>
    <w:rsid w:val="00433F36"/>
    <w:rsid w:val="0043503A"/>
    <w:rsid w:val="00437D77"/>
    <w:rsid w:val="004435BE"/>
    <w:rsid w:val="0044384F"/>
    <w:rsid w:val="0044411E"/>
    <w:rsid w:val="004449A4"/>
    <w:rsid w:val="00444F80"/>
    <w:rsid w:val="00446018"/>
    <w:rsid w:val="004470DF"/>
    <w:rsid w:val="0045027B"/>
    <w:rsid w:val="004534B0"/>
    <w:rsid w:val="004543BC"/>
    <w:rsid w:val="0045645D"/>
    <w:rsid w:val="004574C6"/>
    <w:rsid w:val="00457BCF"/>
    <w:rsid w:val="00457DCE"/>
    <w:rsid w:val="00460E3F"/>
    <w:rsid w:val="00462F68"/>
    <w:rsid w:val="004640E9"/>
    <w:rsid w:val="00466CED"/>
    <w:rsid w:val="00467592"/>
    <w:rsid w:val="00467690"/>
    <w:rsid w:val="00467A21"/>
    <w:rsid w:val="004718E7"/>
    <w:rsid w:val="00472535"/>
    <w:rsid w:val="004761CC"/>
    <w:rsid w:val="004766C9"/>
    <w:rsid w:val="00480D4A"/>
    <w:rsid w:val="00481DA1"/>
    <w:rsid w:val="00484212"/>
    <w:rsid w:val="0049255F"/>
    <w:rsid w:val="0049445D"/>
    <w:rsid w:val="00495350"/>
    <w:rsid w:val="00497156"/>
    <w:rsid w:val="004A0C79"/>
    <w:rsid w:val="004A24D2"/>
    <w:rsid w:val="004A3214"/>
    <w:rsid w:val="004A4136"/>
    <w:rsid w:val="004A417B"/>
    <w:rsid w:val="004A4378"/>
    <w:rsid w:val="004B03F3"/>
    <w:rsid w:val="004B0CC9"/>
    <w:rsid w:val="004B2536"/>
    <w:rsid w:val="004B3837"/>
    <w:rsid w:val="004B6AF3"/>
    <w:rsid w:val="004B715E"/>
    <w:rsid w:val="004B7169"/>
    <w:rsid w:val="004B79C9"/>
    <w:rsid w:val="004C0776"/>
    <w:rsid w:val="004C5E33"/>
    <w:rsid w:val="004C60A3"/>
    <w:rsid w:val="004C6CDA"/>
    <w:rsid w:val="004D10D4"/>
    <w:rsid w:val="004D16BD"/>
    <w:rsid w:val="004D2AAB"/>
    <w:rsid w:val="004D6F2B"/>
    <w:rsid w:val="004E0248"/>
    <w:rsid w:val="004E21A3"/>
    <w:rsid w:val="004E32EA"/>
    <w:rsid w:val="004E6866"/>
    <w:rsid w:val="004F3222"/>
    <w:rsid w:val="004F3BFA"/>
    <w:rsid w:val="005000AB"/>
    <w:rsid w:val="00500F3C"/>
    <w:rsid w:val="005025EE"/>
    <w:rsid w:val="00505524"/>
    <w:rsid w:val="00506688"/>
    <w:rsid w:val="00510588"/>
    <w:rsid w:val="0051146C"/>
    <w:rsid w:val="0051220B"/>
    <w:rsid w:val="00512484"/>
    <w:rsid w:val="00514449"/>
    <w:rsid w:val="00515419"/>
    <w:rsid w:val="005157BD"/>
    <w:rsid w:val="005214A3"/>
    <w:rsid w:val="005222E7"/>
    <w:rsid w:val="00523A8B"/>
    <w:rsid w:val="00523E04"/>
    <w:rsid w:val="00525003"/>
    <w:rsid w:val="0052590B"/>
    <w:rsid w:val="00526591"/>
    <w:rsid w:val="00527178"/>
    <w:rsid w:val="005278CB"/>
    <w:rsid w:val="00534D42"/>
    <w:rsid w:val="005350A5"/>
    <w:rsid w:val="00536379"/>
    <w:rsid w:val="00537238"/>
    <w:rsid w:val="00537B16"/>
    <w:rsid w:val="005400C5"/>
    <w:rsid w:val="00540BE0"/>
    <w:rsid w:val="00540BEF"/>
    <w:rsid w:val="005419BA"/>
    <w:rsid w:val="00542C9A"/>
    <w:rsid w:val="005436C2"/>
    <w:rsid w:val="005442D4"/>
    <w:rsid w:val="0054586A"/>
    <w:rsid w:val="0054631F"/>
    <w:rsid w:val="00546C24"/>
    <w:rsid w:val="0055288D"/>
    <w:rsid w:val="00555259"/>
    <w:rsid w:val="005569EF"/>
    <w:rsid w:val="00560D57"/>
    <w:rsid w:val="00562A94"/>
    <w:rsid w:val="00562F44"/>
    <w:rsid w:val="00567F96"/>
    <w:rsid w:val="00570754"/>
    <w:rsid w:val="005709F7"/>
    <w:rsid w:val="005710A9"/>
    <w:rsid w:val="00571D1B"/>
    <w:rsid w:val="005738F5"/>
    <w:rsid w:val="00573D34"/>
    <w:rsid w:val="0058039C"/>
    <w:rsid w:val="00580A63"/>
    <w:rsid w:val="00583379"/>
    <w:rsid w:val="0058417C"/>
    <w:rsid w:val="00586A85"/>
    <w:rsid w:val="00586EC6"/>
    <w:rsid w:val="00587DDE"/>
    <w:rsid w:val="00593043"/>
    <w:rsid w:val="00595BF0"/>
    <w:rsid w:val="005A0B1D"/>
    <w:rsid w:val="005A1846"/>
    <w:rsid w:val="005A258C"/>
    <w:rsid w:val="005A3560"/>
    <w:rsid w:val="005A464E"/>
    <w:rsid w:val="005A62FC"/>
    <w:rsid w:val="005A6C99"/>
    <w:rsid w:val="005A7D5D"/>
    <w:rsid w:val="005B011A"/>
    <w:rsid w:val="005B1D8F"/>
    <w:rsid w:val="005B1E94"/>
    <w:rsid w:val="005B5B3D"/>
    <w:rsid w:val="005B64CF"/>
    <w:rsid w:val="005C16F3"/>
    <w:rsid w:val="005C3758"/>
    <w:rsid w:val="005C4D72"/>
    <w:rsid w:val="005D5E91"/>
    <w:rsid w:val="005D67EF"/>
    <w:rsid w:val="005E3064"/>
    <w:rsid w:val="005E72B2"/>
    <w:rsid w:val="005F1115"/>
    <w:rsid w:val="005F1AB6"/>
    <w:rsid w:val="005F27F2"/>
    <w:rsid w:val="005F3AFE"/>
    <w:rsid w:val="005F424D"/>
    <w:rsid w:val="005F6B6D"/>
    <w:rsid w:val="00605AAB"/>
    <w:rsid w:val="00606BEB"/>
    <w:rsid w:val="0061014A"/>
    <w:rsid w:val="0061054B"/>
    <w:rsid w:val="0061388C"/>
    <w:rsid w:val="00613E26"/>
    <w:rsid w:val="00615641"/>
    <w:rsid w:val="00616959"/>
    <w:rsid w:val="006211D0"/>
    <w:rsid w:val="00624D0C"/>
    <w:rsid w:val="006274B4"/>
    <w:rsid w:val="006307BA"/>
    <w:rsid w:val="006315BA"/>
    <w:rsid w:val="00634C4A"/>
    <w:rsid w:val="0063532E"/>
    <w:rsid w:val="00637BDC"/>
    <w:rsid w:val="006418C9"/>
    <w:rsid w:val="00642BD6"/>
    <w:rsid w:val="00645046"/>
    <w:rsid w:val="0064527A"/>
    <w:rsid w:val="00645EA2"/>
    <w:rsid w:val="00651E6D"/>
    <w:rsid w:val="00653D2D"/>
    <w:rsid w:val="006573F2"/>
    <w:rsid w:val="00662AD0"/>
    <w:rsid w:val="00662F08"/>
    <w:rsid w:val="00663589"/>
    <w:rsid w:val="00665D75"/>
    <w:rsid w:val="006708E3"/>
    <w:rsid w:val="00670DDC"/>
    <w:rsid w:val="00671389"/>
    <w:rsid w:val="00671EB4"/>
    <w:rsid w:val="00671F03"/>
    <w:rsid w:val="006737BF"/>
    <w:rsid w:val="0067443B"/>
    <w:rsid w:val="006848E6"/>
    <w:rsid w:val="00684E2B"/>
    <w:rsid w:val="00690569"/>
    <w:rsid w:val="00690FDA"/>
    <w:rsid w:val="00691E61"/>
    <w:rsid w:val="00693C5E"/>
    <w:rsid w:val="00694EEA"/>
    <w:rsid w:val="006955B4"/>
    <w:rsid w:val="00696476"/>
    <w:rsid w:val="00696C74"/>
    <w:rsid w:val="006A10FA"/>
    <w:rsid w:val="006A40E6"/>
    <w:rsid w:val="006A5C07"/>
    <w:rsid w:val="006A75FA"/>
    <w:rsid w:val="006B07D5"/>
    <w:rsid w:val="006B1309"/>
    <w:rsid w:val="006B3923"/>
    <w:rsid w:val="006B3F3E"/>
    <w:rsid w:val="006B5923"/>
    <w:rsid w:val="006B67D9"/>
    <w:rsid w:val="006B6C14"/>
    <w:rsid w:val="006B715E"/>
    <w:rsid w:val="006C1B02"/>
    <w:rsid w:val="006C1D6E"/>
    <w:rsid w:val="006C2EF6"/>
    <w:rsid w:val="006C3A68"/>
    <w:rsid w:val="006C6AB1"/>
    <w:rsid w:val="006C6E6B"/>
    <w:rsid w:val="006D2000"/>
    <w:rsid w:val="006D2D39"/>
    <w:rsid w:val="006D4250"/>
    <w:rsid w:val="006D4E0E"/>
    <w:rsid w:val="006D5CE2"/>
    <w:rsid w:val="006D7CA5"/>
    <w:rsid w:val="006E06D1"/>
    <w:rsid w:val="006E1313"/>
    <w:rsid w:val="006E2DC8"/>
    <w:rsid w:val="006E7356"/>
    <w:rsid w:val="006E77C8"/>
    <w:rsid w:val="006F149D"/>
    <w:rsid w:val="006F1A46"/>
    <w:rsid w:val="006F4F06"/>
    <w:rsid w:val="006F5A4E"/>
    <w:rsid w:val="006F6005"/>
    <w:rsid w:val="00703B6C"/>
    <w:rsid w:val="00705C40"/>
    <w:rsid w:val="00706482"/>
    <w:rsid w:val="00706BEF"/>
    <w:rsid w:val="00707ECE"/>
    <w:rsid w:val="0071089C"/>
    <w:rsid w:val="00710CE8"/>
    <w:rsid w:val="007116BC"/>
    <w:rsid w:val="00711CA6"/>
    <w:rsid w:val="007165CE"/>
    <w:rsid w:val="00720968"/>
    <w:rsid w:val="00721705"/>
    <w:rsid w:val="00721B7A"/>
    <w:rsid w:val="00721D12"/>
    <w:rsid w:val="00721F8B"/>
    <w:rsid w:val="007237CE"/>
    <w:rsid w:val="00724688"/>
    <w:rsid w:val="0073062D"/>
    <w:rsid w:val="0073254D"/>
    <w:rsid w:val="00736A49"/>
    <w:rsid w:val="007419A1"/>
    <w:rsid w:val="00743B71"/>
    <w:rsid w:val="00743C2D"/>
    <w:rsid w:val="00743E36"/>
    <w:rsid w:val="00743F05"/>
    <w:rsid w:val="007446F7"/>
    <w:rsid w:val="00744EBB"/>
    <w:rsid w:val="00745B0A"/>
    <w:rsid w:val="00745DBE"/>
    <w:rsid w:val="007468AC"/>
    <w:rsid w:val="00746AE2"/>
    <w:rsid w:val="00750C82"/>
    <w:rsid w:val="0076100C"/>
    <w:rsid w:val="007612A5"/>
    <w:rsid w:val="00763F95"/>
    <w:rsid w:val="007651ED"/>
    <w:rsid w:val="00766C87"/>
    <w:rsid w:val="00780378"/>
    <w:rsid w:val="00781BD4"/>
    <w:rsid w:val="00782562"/>
    <w:rsid w:val="007828B4"/>
    <w:rsid w:val="00784832"/>
    <w:rsid w:val="00785D77"/>
    <w:rsid w:val="00786111"/>
    <w:rsid w:val="00790963"/>
    <w:rsid w:val="00791F1E"/>
    <w:rsid w:val="00794ADE"/>
    <w:rsid w:val="00794F3D"/>
    <w:rsid w:val="00796045"/>
    <w:rsid w:val="007968AC"/>
    <w:rsid w:val="007969AB"/>
    <w:rsid w:val="007A0B39"/>
    <w:rsid w:val="007A14A4"/>
    <w:rsid w:val="007A168F"/>
    <w:rsid w:val="007A2346"/>
    <w:rsid w:val="007A28E4"/>
    <w:rsid w:val="007A3BB3"/>
    <w:rsid w:val="007A3F91"/>
    <w:rsid w:val="007A5AD1"/>
    <w:rsid w:val="007A5B7B"/>
    <w:rsid w:val="007A76FC"/>
    <w:rsid w:val="007B0A06"/>
    <w:rsid w:val="007B5C5C"/>
    <w:rsid w:val="007B7B37"/>
    <w:rsid w:val="007B7C41"/>
    <w:rsid w:val="007C11E9"/>
    <w:rsid w:val="007C2E86"/>
    <w:rsid w:val="007C433E"/>
    <w:rsid w:val="007C4452"/>
    <w:rsid w:val="007C4B3C"/>
    <w:rsid w:val="007C4DB1"/>
    <w:rsid w:val="007C6046"/>
    <w:rsid w:val="007C6F0C"/>
    <w:rsid w:val="007C7322"/>
    <w:rsid w:val="007D0292"/>
    <w:rsid w:val="007D21AC"/>
    <w:rsid w:val="007D24B0"/>
    <w:rsid w:val="007D3882"/>
    <w:rsid w:val="007D568A"/>
    <w:rsid w:val="007D574E"/>
    <w:rsid w:val="007D57C0"/>
    <w:rsid w:val="007D6BFE"/>
    <w:rsid w:val="007E2046"/>
    <w:rsid w:val="007E3883"/>
    <w:rsid w:val="007E4FBB"/>
    <w:rsid w:val="007E55BF"/>
    <w:rsid w:val="007E71B1"/>
    <w:rsid w:val="007E7B4E"/>
    <w:rsid w:val="007F0AB7"/>
    <w:rsid w:val="007F0CE2"/>
    <w:rsid w:val="007F0EFF"/>
    <w:rsid w:val="007F1375"/>
    <w:rsid w:val="0080064F"/>
    <w:rsid w:val="00803850"/>
    <w:rsid w:val="008039E8"/>
    <w:rsid w:val="00804385"/>
    <w:rsid w:val="00805AFD"/>
    <w:rsid w:val="00806504"/>
    <w:rsid w:val="008078D8"/>
    <w:rsid w:val="00811D5B"/>
    <w:rsid w:val="00811F91"/>
    <w:rsid w:val="00813C51"/>
    <w:rsid w:val="00817713"/>
    <w:rsid w:val="008220F1"/>
    <w:rsid w:val="00822C91"/>
    <w:rsid w:val="0082340B"/>
    <w:rsid w:val="00827DB6"/>
    <w:rsid w:val="008304B2"/>
    <w:rsid w:val="00830999"/>
    <w:rsid w:val="00830D5E"/>
    <w:rsid w:val="00830F69"/>
    <w:rsid w:val="00833418"/>
    <w:rsid w:val="0083387F"/>
    <w:rsid w:val="00834458"/>
    <w:rsid w:val="00834AEA"/>
    <w:rsid w:val="00835180"/>
    <w:rsid w:val="00835841"/>
    <w:rsid w:val="00837465"/>
    <w:rsid w:val="00840621"/>
    <w:rsid w:val="00841243"/>
    <w:rsid w:val="00841457"/>
    <w:rsid w:val="0084374E"/>
    <w:rsid w:val="00844842"/>
    <w:rsid w:val="00844A53"/>
    <w:rsid w:val="00844DD0"/>
    <w:rsid w:val="0085089F"/>
    <w:rsid w:val="0085206E"/>
    <w:rsid w:val="00852AD4"/>
    <w:rsid w:val="00852BA8"/>
    <w:rsid w:val="00853718"/>
    <w:rsid w:val="008541EF"/>
    <w:rsid w:val="00856AC7"/>
    <w:rsid w:val="00856FA4"/>
    <w:rsid w:val="00860E60"/>
    <w:rsid w:val="0086162B"/>
    <w:rsid w:val="00861D5C"/>
    <w:rsid w:val="00865207"/>
    <w:rsid w:val="008656A7"/>
    <w:rsid w:val="00865FA3"/>
    <w:rsid w:val="00866231"/>
    <w:rsid w:val="00871262"/>
    <w:rsid w:val="00871D4E"/>
    <w:rsid w:val="00871E7B"/>
    <w:rsid w:val="0087566D"/>
    <w:rsid w:val="00875B51"/>
    <w:rsid w:val="00875F2D"/>
    <w:rsid w:val="008764DC"/>
    <w:rsid w:val="00882CC2"/>
    <w:rsid w:val="00883930"/>
    <w:rsid w:val="0089038F"/>
    <w:rsid w:val="00890870"/>
    <w:rsid w:val="00892B90"/>
    <w:rsid w:val="00896535"/>
    <w:rsid w:val="00896683"/>
    <w:rsid w:val="0089750B"/>
    <w:rsid w:val="00897589"/>
    <w:rsid w:val="008A0D4F"/>
    <w:rsid w:val="008A3802"/>
    <w:rsid w:val="008A5C34"/>
    <w:rsid w:val="008A63A9"/>
    <w:rsid w:val="008A7073"/>
    <w:rsid w:val="008A7F7E"/>
    <w:rsid w:val="008B04DB"/>
    <w:rsid w:val="008B09B4"/>
    <w:rsid w:val="008B27FD"/>
    <w:rsid w:val="008B3AF2"/>
    <w:rsid w:val="008B446D"/>
    <w:rsid w:val="008B515D"/>
    <w:rsid w:val="008B5D31"/>
    <w:rsid w:val="008B6705"/>
    <w:rsid w:val="008C22F3"/>
    <w:rsid w:val="008D29E7"/>
    <w:rsid w:val="008D303C"/>
    <w:rsid w:val="008D434F"/>
    <w:rsid w:val="008D795D"/>
    <w:rsid w:val="008D7B07"/>
    <w:rsid w:val="008E1E94"/>
    <w:rsid w:val="008E2D99"/>
    <w:rsid w:val="008E38B0"/>
    <w:rsid w:val="008E4A60"/>
    <w:rsid w:val="008E744D"/>
    <w:rsid w:val="008F1E08"/>
    <w:rsid w:val="00900D8F"/>
    <w:rsid w:val="009014E3"/>
    <w:rsid w:val="009026E8"/>
    <w:rsid w:val="00902FDD"/>
    <w:rsid w:val="009055A4"/>
    <w:rsid w:val="00905EEF"/>
    <w:rsid w:val="00905FFB"/>
    <w:rsid w:val="00906EB7"/>
    <w:rsid w:val="009102BF"/>
    <w:rsid w:val="00911490"/>
    <w:rsid w:val="009115F2"/>
    <w:rsid w:val="00914ADB"/>
    <w:rsid w:val="0091670D"/>
    <w:rsid w:val="00923B25"/>
    <w:rsid w:val="0092402E"/>
    <w:rsid w:val="009259BA"/>
    <w:rsid w:val="00926FCB"/>
    <w:rsid w:val="009303BB"/>
    <w:rsid w:val="0093311A"/>
    <w:rsid w:val="00933357"/>
    <w:rsid w:val="00941A4C"/>
    <w:rsid w:val="00942645"/>
    <w:rsid w:val="009461E6"/>
    <w:rsid w:val="00950A3A"/>
    <w:rsid w:val="0095340A"/>
    <w:rsid w:val="00954581"/>
    <w:rsid w:val="0095466C"/>
    <w:rsid w:val="00954E5B"/>
    <w:rsid w:val="009576BC"/>
    <w:rsid w:val="00960357"/>
    <w:rsid w:val="0096168C"/>
    <w:rsid w:val="00961840"/>
    <w:rsid w:val="009625E3"/>
    <w:rsid w:val="00962F2D"/>
    <w:rsid w:val="009672CD"/>
    <w:rsid w:val="00972996"/>
    <w:rsid w:val="009732B8"/>
    <w:rsid w:val="009759C2"/>
    <w:rsid w:val="00975C72"/>
    <w:rsid w:val="00976869"/>
    <w:rsid w:val="00977740"/>
    <w:rsid w:val="00977CB4"/>
    <w:rsid w:val="009809B8"/>
    <w:rsid w:val="009818AF"/>
    <w:rsid w:val="009819EA"/>
    <w:rsid w:val="0098222D"/>
    <w:rsid w:val="00983154"/>
    <w:rsid w:val="00985099"/>
    <w:rsid w:val="0099421F"/>
    <w:rsid w:val="009A0DE3"/>
    <w:rsid w:val="009A1643"/>
    <w:rsid w:val="009A215A"/>
    <w:rsid w:val="009A49D3"/>
    <w:rsid w:val="009A4F1B"/>
    <w:rsid w:val="009A66C5"/>
    <w:rsid w:val="009A79BA"/>
    <w:rsid w:val="009B14D1"/>
    <w:rsid w:val="009B1534"/>
    <w:rsid w:val="009B4963"/>
    <w:rsid w:val="009B4A3B"/>
    <w:rsid w:val="009B69D3"/>
    <w:rsid w:val="009B7BA7"/>
    <w:rsid w:val="009C0938"/>
    <w:rsid w:val="009C116C"/>
    <w:rsid w:val="009C22C8"/>
    <w:rsid w:val="009C3F82"/>
    <w:rsid w:val="009C72DD"/>
    <w:rsid w:val="009C7DF5"/>
    <w:rsid w:val="009D056C"/>
    <w:rsid w:val="009D060F"/>
    <w:rsid w:val="009D1ADE"/>
    <w:rsid w:val="009D37CA"/>
    <w:rsid w:val="009D4229"/>
    <w:rsid w:val="009D46A2"/>
    <w:rsid w:val="009E09D0"/>
    <w:rsid w:val="009E1283"/>
    <w:rsid w:val="009E3A7F"/>
    <w:rsid w:val="009E400F"/>
    <w:rsid w:val="009E4DFC"/>
    <w:rsid w:val="009E5789"/>
    <w:rsid w:val="009E57B1"/>
    <w:rsid w:val="009E6379"/>
    <w:rsid w:val="009F3B63"/>
    <w:rsid w:val="009F6292"/>
    <w:rsid w:val="009F7809"/>
    <w:rsid w:val="009F7AF5"/>
    <w:rsid w:val="00A00D14"/>
    <w:rsid w:val="00A01408"/>
    <w:rsid w:val="00A02457"/>
    <w:rsid w:val="00A03190"/>
    <w:rsid w:val="00A0404B"/>
    <w:rsid w:val="00A0798C"/>
    <w:rsid w:val="00A07BDD"/>
    <w:rsid w:val="00A07F12"/>
    <w:rsid w:val="00A1105B"/>
    <w:rsid w:val="00A1213C"/>
    <w:rsid w:val="00A130E8"/>
    <w:rsid w:val="00A15B6B"/>
    <w:rsid w:val="00A15EB4"/>
    <w:rsid w:val="00A16876"/>
    <w:rsid w:val="00A200AA"/>
    <w:rsid w:val="00A20558"/>
    <w:rsid w:val="00A2186F"/>
    <w:rsid w:val="00A2270B"/>
    <w:rsid w:val="00A23B89"/>
    <w:rsid w:val="00A23FE3"/>
    <w:rsid w:val="00A248C3"/>
    <w:rsid w:val="00A2496E"/>
    <w:rsid w:val="00A258B7"/>
    <w:rsid w:val="00A32743"/>
    <w:rsid w:val="00A41468"/>
    <w:rsid w:val="00A414A9"/>
    <w:rsid w:val="00A42E06"/>
    <w:rsid w:val="00A44141"/>
    <w:rsid w:val="00A44CCA"/>
    <w:rsid w:val="00A44D75"/>
    <w:rsid w:val="00A47CF1"/>
    <w:rsid w:val="00A50418"/>
    <w:rsid w:val="00A54A47"/>
    <w:rsid w:val="00A56D26"/>
    <w:rsid w:val="00A571A7"/>
    <w:rsid w:val="00A57BA8"/>
    <w:rsid w:val="00A608FB"/>
    <w:rsid w:val="00A60D83"/>
    <w:rsid w:val="00A60F68"/>
    <w:rsid w:val="00A63DF3"/>
    <w:rsid w:val="00A65C78"/>
    <w:rsid w:val="00A660A8"/>
    <w:rsid w:val="00A67591"/>
    <w:rsid w:val="00A67CA6"/>
    <w:rsid w:val="00A70E7B"/>
    <w:rsid w:val="00A722DE"/>
    <w:rsid w:val="00A73B84"/>
    <w:rsid w:val="00A7411D"/>
    <w:rsid w:val="00A7592B"/>
    <w:rsid w:val="00A76094"/>
    <w:rsid w:val="00A768E2"/>
    <w:rsid w:val="00A82C52"/>
    <w:rsid w:val="00A83C15"/>
    <w:rsid w:val="00A86CB6"/>
    <w:rsid w:val="00A90D55"/>
    <w:rsid w:val="00A944D8"/>
    <w:rsid w:val="00A959E7"/>
    <w:rsid w:val="00A95BBA"/>
    <w:rsid w:val="00A961EE"/>
    <w:rsid w:val="00AA04B3"/>
    <w:rsid w:val="00AA0D44"/>
    <w:rsid w:val="00AA1253"/>
    <w:rsid w:val="00AA1ED0"/>
    <w:rsid w:val="00AA1F5B"/>
    <w:rsid w:val="00AA28EF"/>
    <w:rsid w:val="00AA3593"/>
    <w:rsid w:val="00AA38CA"/>
    <w:rsid w:val="00AA493E"/>
    <w:rsid w:val="00AA73AF"/>
    <w:rsid w:val="00AB0A8A"/>
    <w:rsid w:val="00AB1754"/>
    <w:rsid w:val="00AB1F8D"/>
    <w:rsid w:val="00AB27DD"/>
    <w:rsid w:val="00AC439D"/>
    <w:rsid w:val="00AC713F"/>
    <w:rsid w:val="00AC7329"/>
    <w:rsid w:val="00AD067E"/>
    <w:rsid w:val="00AD2801"/>
    <w:rsid w:val="00AD3496"/>
    <w:rsid w:val="00AD5771"/>
    <w:rsid w:val="00AD6870"/>
    <w:rsid w:val="00AD68C5"/>
    <w:rsid w:val="00AD76F3"/>
    <w:rsid w:val="00AD7F8F"/>
    <w:rsid w:val="00AE1273"/>
    <w:rsid w:val="00AE18C5"/>
    <w:rsid w:val="00AE2D29"/>
    <w:rsid w:val="00AE4624"/>
    <w:rsid w:val="00AE5E14"/>
    <w:rsid w:val="00AE6115"/>
    <w:rsid w:val="00AE625B"/>
    <w:rsid w:val="00AE7E90"/>
    <w:rsid w:val="00AF1103"/>
    <w:rsid w:val="00AF1668"/>
    <w:rsid w:val="00AF4FA5"/>
    <w:rsid w:val="00B04562"/>
    <w:rsid w:val="00B064D3"/>
    <w:rsid w:val="00B07955"/>
    <w:rsid w:val="00B140B8"/>
    <w:rsid w:val="00B14FAA"/>
    <w:rsid w:val="00B15BED"/>
    <w:rsid w:val="00B15D30"/>
    <w:rsid w:val="00B20624"/>
    <w:rsid w:val="00B23436"/>
    <w:rsid w:val="00B237F1"/>
    <w:rsid w:val="00B24F33"/>
    <w:rsid w:val="00B26354"/>
    <w:rsid w:val="00B26CA0"/>
    <w:rsid w:val="00B32179"/>
    <w:rsid w:val="00B33007"/>
    <w:rsid w:val="00B331A9"/>
    <w:rsid w:val="00B33498"/>
    <w:rsid w:val="00B36569"/>
    <w:rsid w:val="00B40A05"/>
    <w:rsid w:val="00B40A3E"/>
    <w:rsid w:val="00B427BB"/>
    <w:rsid w:val="00B449EE"/>
    <w:rsid w:val="00B454AE"/>
    <w:rsid w:val="00B50227"/>
    <w:rsid w:val="00B50510"/>
    <w:rsid w:val="00B522CD"/>
    <w:rsid w:val="00B55143"/>
    <w:rsid w:val="00B555C8"/>
    <w:rsid w:val="00B55917"/>
    <w:rsid w:val="00B643A6"/>
    <w:rsid w:val="00B64DD6"/>
    <w:rsid w:val="00B657E6"/>
    <w:rsid w:val="00B6710C"/>
    <w:rsid w:val="00B67E84"/>
    <w:rsid w:val="00B72076"/>
    <w:rsid w:val="00B72303"/>
    <w:rsid w:val="00B72C72"/>
    <w:rsid w:val="00B7313F"/>
    <w:rsid w:val="00B731E4"/>
    <w:rsid w:val="00B76796"/>
    <w:rsid w:val="00B82277"/>
    <w:rsid w:val="00B8478F"/>
    <w:rsid w:val="00B91676"/>
    <w:rsid w:val="00B947C1"/>
    <w:rsid w:val="00B95833"/>
    <w:rsid w:val="00BA1824"/>
    <w:rsid w:val="00BA2D98"/>
    <w:rsid w:val="00BA2F0C"/>
    <w:rsid w:val="00BA30D1"/>
    <w:rsid w:val="00BA30E1"/>
    <w:rsid w:val="00BA4609"/>
    <w:rsid w:val="00BA5BE2"/>
    <w:rsid w:val="00BA7F46"/>
    <w:rsid w:val="00BB02BF"/>
    <w:rsid w:val="00BB0A0A"/>
    <w:rsid w:val="00BB133C"/>
    <w:rsid w:val="00BB1F04"/>
    <w:rsid w:val="00BB45B5"/>
    <w:rsid w:val="00BB6064"/>
    <w:rsid w:val="00BB7012"/>
    <w:rsid w:val="00BC09D1"/>
    <w:rsid w:val="00BC1CF3"/>
    <w:rsid w:val="00BC3573"/>
    <w:rsid w:val="00BC7F82"/>
    <w:rsid w:val="00BD40AB"/>
    <w:rsid w:val="00BD6297"/>
    <w:rsid w:val="00BD6806"/>
    <w:rsid w:val="00BD7433"/>
    <w:rsid w:val="00BD7831"/>
    <w:rsid w:val="00BD7C10"/>
    <w:rsid w:val="00BE046F"/>
    <w:rsid w:val="00BE0DEB"/>
    <w:rsid w:val="00BE1A88"/>
    <w:rsid w:val="00BE2FC1"/>
    <w:rsid w:val="00BE3142"/>
    <w:rsid w:val="00BE4039"/>
    <w:rsid w:val="00BE6365"/>
    <w:rsid w:val="00BE6F2C"/>
    <w:rsid w:val="00BF057C"/>
    <w:rsid w:val="00BF0B7F"/>
    <w:rsid w:val="00BF2988"/>
    <w:rsid w:val="00BF4720"/>
    <w:rsid w:val="00BF4F49"/>
    <w:rsid w:val="00BF6759"/>
    <w:rsid w:val="00BF7B4F"/>
    <w:rsid w:val="00BF7B63"/>
    <w:rsid w:val="00C038EC"/>
    <w:rsid w:val="00C05C6D"/>
    <w:rsid w:val="00C1122B"/>
    <w:rsid w:val="00C13B34"/>
    <w:rsid w:val="00C13F26"/>
    <w:rsid w:val="00C1474E"/>
    <w:rsid w:val="00C14C37"/>
    <w:rsid w:val="00C16E9F"/>
    <w:rsid w:val="00C1713D"/>
    <w:rsid w:val="00C17523"/>
    <w:rsid w:val="00C177F1"/>
    <w:rsid w:val="00C17EE6"/>
    <w:rsid w:val="00C2272E"/>
    <w:rsid w:val="00C22F3A"/>
    <w:rsid w:val="00C23311"/>
    <w:rsid w:val="00C24B04"/>
    <w:rsid w:val="00C25978"/>
    <w:rsid w:val="00C25D4B"/>
    <w:rsid w:val="00C261C6"/>
    <w:rsid w:val="00C26621"/>
    <w:rsid w:val="00C26E7C"/>
    <w:rsid w:val="00C276CD"/>
    <w:rsid w:val="00C30A97"/>
    <w:rsid w:val="00C31DDC"/>
    <w:rsid w:val="00C34326"/>
    <w:rsid w:val="00C36201"/>
    <w:rsid w:val="00C368E8"/>
    <w:rsid w:val="00C36C3D"/>
    <w:rsid w:val="00C372C7"/>
    <w:rsid w:val="00C42443"/>
    <w:rsid w:val="00C42BB2"/>
    <w:rsid w:val="00C42CBA"/>
    <w:rsid w:val="00C4338C"/>
    <w:rsid w:val="00C472C7"/>
    <w:rsid w:val="00C5019E"/>
    <w:rsid w:val="00C5377C"/>
    <w:rsid w:val="00C53E8A"/>
    <w:rsid w:val="00C54DF3"/>
    <w:rsid w:val="00C560A7"/>
    <w:rsid w:val="00C56FC8"/>
    <w:rsid w:val="00C60F23"/>
    <w:rsid w:val="00C62EB2"/>
    <w:rsid w:val="00C71BEC"/>
    <w:rsid w:val="00C74D3A"/>
    <w:rsid w:val="00C75F3D"/>
    <w:rsid w:val="00C80511"/>
    <w:rsid w:val="00C826F5"/>
    <w:rsid w:val="00C83740"/>
    <w:rsid w:val="00C84AD1"/>
    <w:rsid w:val="00C85579"/>
    <w:rsid w:val="00C85700"/>
    <w:rsid w:val="00C863E5"/>
    <w:rsid w:val="00C87BE6"/>
    <w:rsid w:val="00C87F76"/>
    <w:rsid w:val="00C931FC"/>
    <w:rsid w:val="00C932C5"/>
    <w:rsid w:val="00C94F1A"/>
    <w:rsid w:val="00C95A72"/>
    <w:rsid w:val="00C9650E"/>
    <w:rsid w:val="00CA068D"/>
    <w:rsid w:val="00CA1228"/>
    <w:rsid w:val="00CA1C73"/>
    <w:rsid w:val="00CA282D"/>
    <w:rsid w:val="00CA4670"/>
    <w:rsid w:val="00CA6B1A"/>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D15BE"/>
    <w:rsid w:val="00CD1EF2"/>
    <w:rsid w:val="00CD32BD"/>
    <w:rsid w:val="00CD34C7"/>
    <w:rsid w:val="00CD5653"/>
    <w:rsid w:val="00CD5E6D"/>
    <w:rsid w:val="00CD63C8"/>
    <w:rsid w:val="00CE069E"/>
    <w:rsid w:val="00CE12D6"/>
    <w:rsid w:val="00CF14F0"/>
    <w:rsid w:val="00CF158D"/>
    <w:rsid w:val="00CF4394"/>
    <w:rsid w:val="00D000A9"/>
    <w:rsid w:val="00D005DB"/>
    <w:rsid w:val="00D0064E"/>
    <w:rsid w:val="00D00981"/>
    <w:rsid w:val="00D02596"/>
    <w:rsid w:val="00D0280D"/>
    <w:rsid w:val="00D05669"/>
    <w:rsid w:val="00D06952"/>
    <w:rsid w:val="00D07A72"/>
    <w:rsid w:val="00D10577"/>
    <w:rsid w:val="00D12A4E"/>
    <w:rsid w:val="00D1323B"/>
    <w:rsid w:val="00D14BAE"/>
    <w:rsid w:val="00D1648B"/>
    <w:rsid w:val="00D16819"/>
    <w:rsid w:val="00D17DD9"/>
    <w:rsid w:val="00D20AC0"/>
    <w:rsid w:val="00D2321B"/>
    <w:rsid w:val="00D23DE4"/>
    <w:rsid w:val="00D25A5C"/>
    <w:rsid w:val="00D26873"/>
    <w:rsid w:val="00D31683"/>
    <w:rsid w:val="00D336C8"/>
    <w:rsid w:val="00D339E8"/>
    <w:rsid w:val="00D355CD"/>
    <w:rsid w:val="00D3654A"/>
    <w:rsid w:val="00D3662E"/>
    <w:rsid w:val="00D40B1F"/>
    <w:rsid w:val="00D40D75"/>
    <w:rsid w:val="00D43978"/>
    <w:rsid w:val="00D449F0"/>
    <w:rsid w:val="00D50C8C"/>
    <w:rsid w:val="00D52393"/>
    <w:rsid w:val="00D523E4"/>
    <w:rsid w:val="00D5279D"/>
    <w:rsid w:val="00D52A1B"/>
    <w:rsid w:val="00D52AA7"/>
    <w:rsid w:val="00D52FCC"/>
    <w:rsid w:val="00D53F14"/>
    <w:rsid w:val="00D54BE4"/>
    <w:rsid w:val="00D560DC"/>
    <w:rsid w:val="00D56602"/>
    <w:rsid w:val="00D60483"/>
    <w:rsid w:val="00D61ABB"/>
    <w:rsid w:val="00D62D5C"/>
    <w:rsid w:val="00D63577"/>
    <w:rsid w:val="00D67FD7"/>
    <w:rsid w:val="00D72410"/>
    <w:rsid w:val="00D7408A"/>
    <w:rsid w:val="00D74261"/>
    <w:rsid w:val="00D7441B"/>
    <w:rsid w:val="00D75589"/>
    <w:rsid w:val="00D76AB2"/>
    <w:rsid w:val="00D80490"/>
    <w:rsid w:val="00D829AD"/>
    <w:rsid w:val="00D82EE2"/>
    <w:rsid w:val="00D8545C"/>
    <w:rsid w:val="00D87788"/>
    <w:rsid w:val="00D877C8"/>
    <w:rsid w:val="00D91040"/>
    <w:rsid w:val="00D910C2"/>
    <w:rsid w:val="00D9168C"/>
    <w:rsid w:val="00D9189B"/>
    <w:rsid w:val="00D91DA6"/>
    <w:rsid w:val="00D93B9A"/>
    <w:rsid w:val="00D95984"/>
    <w:rsid w:val="00D9706F"/>
    <w:rsid w:val="00D972D4"/>
    <w:rsid w:val="00DA195B"/>
    <w:rsid w:val="00DA43B2"/>
    <w:rsid w:val="00DA6B55"/>
    <w:rsid w:val="00DA6B97"/>
    <w:rsid w:val="00DB0015"/>
    <w:rsid w:val="00DB0359"/>
    <w:rsid w:val="00DB0ABB"/>
    <w:rsid w:val="00DB2AAD"/>
    <w:rsid w:val="00DB5941"/>
    <w:rsid w:val="00DB626D"/>
    <w:rsid w:val="00DB6365"/>
    <w:rsid w:val="00DC0BF1"/>
    <w:rsid w:val="00DC41C3"/>
    <w:rsid w:val="00DC4FA4"/>
    <w:rsid w:val="00DD286D"/>
    <w:rsid w:val="00DD2CAF"/>
    <w:rsid w:val="00DD3593"/>
    <w:rsid w:val="00DD64E0"/>
    <w:rsid w:val="00DD7903"/>
    <w:rsid w:val="00DE0C67"/>
    <w:rsid w:val="00DE0DC5"/>
    <w:rsid w:val="00DE1C72"/>
    <w:rsid w:val="00DE6952"/>
    <w:rsid w:val="00DE7E74"/>
    <w:rsid w:val="00DF071B"/>
    <w:rsid w:val="00DF6EF8"/>
    <w:rsid w:val="00E00A69"/>
    <w:rsid w:val="00E017F0"/>
    <w:rsid w:val="00E01A0E"/>
    <w:rsid w:val="00E041E4"/>
    <w:rsid w:val="00E05CCC"/>
    <w:rsid w:val="00E05DC8"/>
    <w:rsid w:val="00E1012B"/>
    <w:rsid w:val="00E103C8"/>
    <w:rsid w:val="00E1085B"/>
    <w:rsid w:val="00E1308B"/>
    <w:rsid w:val="00E14581"/>
    <w:rsid w:val="00E15539"/>
    <w:rsid w:val="00E16541"/>
    <w:rsid w:val="00E16C97"/>
    <w:rsid w:val="00E202F4"/>
    <w:rsid w:val="00E2536E"/>
    <w:rsid w:val="00E25B8A"/>
    <w:rsid w:val="00E2632B"/>
    <w:rsid w:val="00E322F7"/>
    <w:rsid w:val="00E3369B"/>
    <w:rsid w:val="00E36D76"/>
    <w:rsid w:val="00E40478"/>
    <w:rsid w:val="00E405EA"/>
    <w:rsid w:val="00E408B7"/>
    <w:rsid w:val="00E41637"/>
    <w:rsid w:val="00E42789"/>
    <w:rsid w:val="00E43F59"/>
    <w:rsid w:val="00E464F0"/>
    <w:rsid w:val="00E46EF3"/>
    <w:rsid w:val="00E473E9"/>
    <w:rsid w:val="00E505D8"/>
    <w:rsid w:val="00E50BEB"/>
    <w:rsid w:val="00E548FA"/>
    <w:rsid w:val="00E54E7B"/>
    <w:rsid w:val="00E57703"/>
    <w:rsid w:val="00E57ED4"/>
    <w:rsid w:val="00E6092F"/>
    <w:rsid w:val="00E62049"/>
    <w:rsid w:val="00E629DA"/>
    <w:rsid w:val="00E6469F"/>
    <w:rsid w:val="00E65D39"/>
    <w:rsid w:val="00E670F8"/>
    <w:rsid w:val="00E67FAC"/>
    <w:rsid w:val="00E71608"/>
    <w:rsid w:val="00E7200B"/>
    <w:rsid w:val="00E738CB"/>
    <w:rsid w:val="00E73C88"/>
    <w:rsid w:val="00E74437"/>
    <w:rsid w:val="00E7443D"/>
    <w:rsid w:val="00E75ACE"/>
    <w:rsid w:val="00E7742B"/>
    <w:rsid w:val="00E81C3E"/>
    <w:rsid w:val="00E82B6D"/>
    <w:rsid w:val="00E8608F"/>
    <w:rsid w:val="00EA1177"/>
    <w:rsid w:val="00EA118B"/>
    <w:rsid w:val="00EA11B6"/>
    <w:rsid w:val="00EA2181"/>
    <w:rsid w:val="00EA2DD8"/>
    <w:rsid w:val="00EA4475"/>
    <w:rsid w:val="00EA52FE"/>
    <w:rsid w:val="00EA5BCA"/>
    <w:rsid w:val="00EA681F"/>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2AE2"/>
    <w:rsid w:val="00ED464A"/>
    <w:rsid w:val="00ED4773"/>
    <w:rsid w:val="00ED5284"/>
    <w:rsid w:val="00ED664B"/>
    <w:rsid w:val="00ED6A61"/>
    <w:rsid w:val="00ED7DA4"/>
    <w:rsid w:val="00EE03BB"/>
    <w:rsid w:val="00EE0B44"/>
    <w:rsid w:val="00EE6FE0"/>
    <w:rsid w:val="00EE704A"/>
    <w:rsid w:val="00EE7840"/>
    <w:rsid w:val="00EF4C74"/>
    <w:rsid w:val="00EF5268"/>
    <w:rsid w:val="00EF608E"/>
    <w:rsid w:val="00F0044B"/>
    <w:rsid w:val="00F03525"/>
    <w:rsid w:val="00F04957"/>
    <w:rsid w:val="00F05807"/>
    <w:rsid w:val="00F07052"/>
    <w:rsid w:val="00F0706C"/>
    <w:rsid w:val="00F11EBE"/>
    <w:rsid w:val="00F12BA8"/>
    <w:rsid w:val="00F130D0"/>
    <w:rsid w:val="00F14933"/>
    <w:rsid w:val="00F1516A"/>
    <w:rsid w:val="00F171F9"/>
    <w:rsid w:val="00F22A26"/>
    <w:rsid w:val="00F24072"/>
    <w:rsid w:val="00F26432"/>
    <w:rsid w:val="00F3197A"/>
    <w:rsid w:val="00F32139"/>
    <w:rsid w:val="00F33D56"/>
    <w:rsid w:val="00F34E08"/>
    <w:rsid w:val="00F379B3"/>
    <w:rsid w:val="00F41D91"/>
    <w:rsid w:val="00F42363"/>
    <w:rsid w:val="00F46964"/>
    <w:rsid w:val="00F46F9A"/>
    <w:rsid w:val="00F470FD"/>
    <w:rsid w:val="00F50F30"/>
    <w:rsid w:val="00F5126A"/>
    <w:rsid w:val="00F5126E"/>
    <w:rsid w:val="00F51755"/>
    <w:rsid w:val="00F6196E"/>
    <w:rsid w:val="00F624DD"/>
    <w:rsid w:val="00F629C0"/>
    <w:rsid w:val="00F63FC7"/>
    <w:rsid w:val="00F64ADF"/>
    <w:rsid w:val="00F65ED5"/>
    <w:rsid w:val="00F6608B"/>
    <w:rsid w:val="00F6636A"/>
    <w:rsid w:val="00F667C5"/>
    <w:rsid w:val="00F67E31"/>
    <w:rsid w:val="00F71680"/>
    <w:rsid w:val="00F718A8"/>
    <w:rsid w:val="00F72183"/>
    <w:rsid w:val="00F76D01"/>
    <w:rsid w:val="00F81C35"/>
    <w:rsid w:val="00F82981"/>
    <w:rsid w:val="00F8311F"/>
    <w:rsid w:val="00F83248"/>
    <w:rsid w:val="00F83376"/>
    <w:rsid w:val="00F853AE"/>
    <w:rsid w:val="00F93C33"/>
    <w:rsid w:val="00F93C74"/>
    <w:rsid w:val="00F93DCC"/>
    <w:rsid w:val="00F9435D"/>
    <w:rsid w:val="00F966F9"/>
    <w:rsid w:val="00F96F61"/>
    <w:rsid w:val="00F97740"/>
    <w:rsid w:val="00FA2DEF"/>
    <w:rsid w:val="00FA2F7B"/>
    <w:rsid w:val="00FA3C97"/>
    <w:rsid w:val="00FA3D30"/>
    <w:rsid w:val="00FA78C8"/>
    <w:rsid w:val="00FB09FE"/>
    <w:rsid w:val="00FB101D"/>
    <w:rsid w:val="00FB1725"/>
    <w:rsid w:val="00FB2493"/>
    <w:rsid w:val="00FB593A"/>
    <w:rsid w:val="00FB6410"/>
    <w:rsid w:val="00FB6E82"/>
    <w:rsid w:val="00FB792E"/>
    <w:rsid w:val="00FC0042"/>
    <w:rsid w:val="00FC1E67"/>
    <w:rsid w:val="00FC2A13"/>
    <w:rsid w:val="00FC4284"/>
    <w:rsid w:val="00FC4576"/>
    <w:rsid w:val="00FC78FB"/>
    <w:rsid w:val="00FC7DBC"/>
    <w:rsid w:val="00FD076A"/>
    <w:rsid w:val="00FD0AA0"/>
    <w:rsid w:val="00FD1D5A"/>
    <w:rsid w:val="00FD1DD6"/>
    <w:rsid w:val="00FD4E9E"/>
    <w:rsid w:val="00FD5059"/>
    <w:rsid w:val="00FD554D"/>
    <w:rsid w:val="00FD5BCC"/>
    <w:rsid w:val="00FE5D0A"/>
    <w:rsid w:val="00FE6469"/>
    <w:rsid w:val="00FF06CE"/>
    <w:rsid w:val="00FF0FF7"/>
    <w:rsid w:val="00FF10A2"/>
    <w:rsid w:val="00FF1438"/>
    <w:rsid w:val="00FF3A38"/>
    <w:rsid w:val="00FF3C25"/>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142"/>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41296814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D53B3-29CD-47EA-91A8-33DDEB512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2011-06-14T13:02:00Z</cp:lastPrinted>
  <dcterms:created xsi:type="dcterms:W3CDTF">2012-03-07T17:22:00Z</dcterms:created>
  <dcterms:modified xsi:type="dcterms:W3CDTF">2012-03-07T17:22:00Z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