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206F9F" w:rsidRDefault="00540BEF" w:rsidP="000452D7">
      <w:pPr>
        <w:tabs>
          <w:tab w:val="left" w:pos="288"/>
          <w:tab w:val="left" w:pos="4752"/>
        </w:tabs>
        <w:spacing w:line="240" w:lineRule="exact"/>
        <w:jc w:val="center"/>
        <w:rPr>
          <w:rFonts w:asciiTheme="minorHAnsi" w:hAnsiTheme="minorHAnsi"/>
          <w:color w:val="auto"/>
        </w:rPr>
      </w:pPr>
      <w:r w:rsidRPr="00206F9F">
        <w:rPr>
          <w:rFonts w:asciiTheme="minorHAnsi" w:hAnsiTheme="minorHAnsi"/>
          <w:color w:val="auto"/>
        </w:rPr>
        <w:t>RECORD OF PROCEEDINGS</w:t>
      </w:r>
    </w:p>
    <w:p w:rsidR="00540BEF" w:rsidRPr="00206F9F" w:rsidRDefault="00540BEF" w:rsidP="000452D7">
      <w:pPr>
        <w:tabs>
          <w:tab w:val="left" w:pos="288"/>
          <w:tab w:val="left" w:pos="4752"/>
        </w:tabs>
        <w:spacing w:line="240" w:lineRule="exact"/>
        <w:jc w:val="center"/>
        <w:rPr>
          <w:rFonts w:asciiTheme="minorHAnsi" w:hAnsiTheme="minorHAnsi"/>
          <w:color w:val="auto"/>
        </w:rPr>
      </w:pPr>
      <w:r w:rsidRPr="00206F9F">
        <w:rPr>
          <w:rFonts w:asciiTheme="minorHAnsi" w:hAnsiTheme="minorHAnsi"/>
          <w:color w:val="auto"/>
        </w:rPr>
        <w:t>PHYSICAL DISABILITY BOARD OF REVIEW</w:t>
      </w:r>
    </w:p>
    <w:p w:rsidR="00540BEF" w:rsidRPr="00206F9F" w:rsidRDefault="00540BEF" w:rsidP="000452D7">
      <w:pPr>
        <w:tabs>
          <w:tab w:val="left" w:pos="288"/>
          <w:tab w:val="left" w:pos="4752"/>
        </w:tabs>
        <w:spacing w:line="240" w:lineRule="exact"/>
        <w:jc w:val="both"/>
        <w:rPr>
          <w:rFonts w:asciiTheme="minorHAnsi" w:hAnsiTheme="minorHAnsi"/>
          <w:caps/>
          <w:color w:val="auto"/>
        </w:rPr>
      </w:pPr>
    </w:p>
    <w:p w:rsidR="00F629C0" w:rsidRPr="00206F9F" w:rsidRDefault="00F629C0" w:rsidP="00955E45">
      <w:pPr>
        <w:tabs>
          <w:tab w:val="left" w:pos="288"/>
          <w:tab w:val="left" w:pos="4752"/>
          <w:tab w:val="left" w:pos="5130"/>
          <w:tab w:val="left" w:pos="9270"/>
        </w:tabs>
        <w:spacing w:line="240" w:lineRule="exact"/>
        <w:jc w:val="both"/>
        <w:rPr>
          <w:rFonts w:asciiTheme="minorHAnsi" w:hAnsiTheme="minorHAnsi"/>
          <w:caps/>
          <w:color w:val="auto"/>
        </w:rPr>
      </w:pPr>
      <w:r w:rsidRPr="00206F9F">
        <w:rPr>
          <w:rFonts w:asciiTheme="minorHAnsi" w:hAnsiTheme="minorHAnsi"/>
          <w:caps/>
          <w:color w:val="auto"/>
        </w:rPr>
        <w:t xml:space="preserve">NAME:  </w:t>
      </w:r>
      <w:r w:rsidR="00E0078D">
        <w:rPr>
          <w:rFonts w:asciiTheme="minorHAnsi" w:hAnsiTheme="minorHAnsi"/>
          <w:caps/>
          <w:color w:val="auto"/>
        </w:rPr>
        <w:t>XXXXXXXX</w:t>
      </w:r>
      <w:r w:rsidR="00955E45" w:rsidRPr="00206F9F">
        <w:rPr>
          <w:rFonts w:asciiTheme="minorHAnsi" w:hAnsiTheme="minorHAnsi"/>
          <w:caps/>
          <w:color w:val="auto"/>
        </w:rPr>
        <w:tab/>
        <w:t xml:space="preserve">       </w:t>
      </w:r>
      <w:r w:rsidR="00506A87" w:rsidRPr="00206F9F">
        <w:rPr>
          <w:rFonts w:asciiTheme="minorHAnsi" w:hAnsiTheme="minorHAnsi"/>
          <w:caps/>
          <w:color w:val="auto"/>
        </w:rPr>
        <w:t xml:space="preserve">       </w:t>
      </w:r>
      <w:r w:rsidR="00337D28" w:rsidRPr="00206F9F">
        <w:rPr>
          <w:rFonts w:asciiTheme="minorHAnsi" w:hAnsiTheme="minorHAnsi"/>
          <w:caps/>
          <w:color w:val="auto"/>
        </w:rPr>
        <w:t xml:space="preserve">  </w:t>
      </w:r>
      <w:r w:rsidRPr="00206F9F">
        <w:rPr>
          <w:rFonts w:asciiTheme="minorHAnsi" w:hAnsiTheme="minorHAnsi"/>
          <w:caps/>
          <w:color w:val="auto"/>
        </w:rPr>
        <w:t xml:space="preserve">BRANCH OF SERVICE:  </w:t>
      </w:r>
      <w:r w:rsidR="00955E45" w:rsidRPr="00206F9F">
        <w:rPr>
          <w:rFonts w:asciiTheme="minorHAnsi" w:hAnsiTheme="minorHAnsi"/>
          <w:caps/>
          <w:color w:val="auto"/>
        </w:rPr>
        <w:t>Marine corps</w:t>
      </w:r>
    </w:p>
    <w:p w:rsidR="00F629C0" w:rsidRPr="00206F9F" w:rsidRDefault="00F629C0" w:rsidP="00955E45">
      <w:pPr>
        <w:tabs>
          <w:tab w:val="left" w:pos="288"/>
          <w:tab w:val="left" w:pos="4752"/>
          <w:tab w:val="left" w:pos="5130"/>
        </w:tabs>
        <w:spacing w:line="240" w:lineRule="exact"/>
        <w:ind w:right="-900"/>
        <w:jc w:val="both"/>
        <w:rPr>
          <w:rFonts w:asciiTheme="minorHAnsi" w:hAnsiTheme="minorHAnsi"/>
          <w:caps/>
          <w:color w:val="auto"/>
        </w:rPr>
      </w:pPr>
      <w:r w:rsidRPr="00206F9F">
        <w:rPr>
          <w:rFonts w:asciiTheme="minorHAnsi" w:hAnsiTheme="minorHAnsi"/>
          <w:caps/>
          <w:color w:val="auto"/>
        </w:rPr>
        <w:t>CASE NUMBER:  PD</w:t>
      </w:r>
      <w:r w:rsidR="00212A9C" w:rsidRPr="00206F9F">
        <w:rPr>
          <w:rFonts w:asciiTheme="minorHAnsi" w:hAnsiTheme="minorHAnsi"/>
          <w:caps/>
          <w:color w:val="auto"/>
        </w:rPr>
        <w:t>0900712</w:t>
      </w:r>
      <w:r w:rsidRPr="00206F9F">
        <w:rPr>
          <w:rFonts w:asciiTheme="minorHAnsi" w:hAnsiTheme="minorHAnsi"/>
          <w:caps/>
          <w:color w:val="auto"/>
        </w:rPr>
        <w:tab/>
      </w:r>
      <w:r w:rsidR="00337D28" w:rsidRPr="00206F9F">
        <w:rPr>
          <w:rFonts w:asciiTheme="minorHAnsi" w:hAnsiTheme="minorHAnsi"/>
          <w:caps/>
          <w:color w:val="auto"/>
        </w:rPr>
        <w:tab/>
      </w:r>
      <w:r w:rsidR="00337D28" w:rsidRPr="00206F9F">
        <w:rPr>
          <w:rFonts w:asciiTheme="minorHAnsi" w:hAnsiTheme="minorHAnsi"/>
          <w:caps/>
          <w:color w:val="auto"/>
        </w:rPr>
        <w:tab/>
        <w:t xml:space="preserve">           </w:t>
      </w:r>
      <w:r w:rsidRPr="00206F9F">
        <w:rPr>
          <w:rFonts w:asciiTheme="minorHAnsi" w:hAnsiTheme="minorHAnsi"/>
          <w:caps/>
          <w:color w:val="auto"/>
        </w:rPr>
        <w:t>SEPARATION DATE:  200</w:t>
      </w:r>
      <w:r w:rsidR="00212A9C" w:rsidRPr="00206F9F">
        <w:rPr>
          <w:rFonts w:asciiTheme="minorHAnsi" w:hAnsiTheme="minorHAnsi"/>
          <w:caps/>
          <w:color w:val="auto"/>
        </w:rPr>
        <w:t>80315</w:t>
      </w:r>
    </w:p>
    <w:p w:rsidR="00F629C0" w:rsidRPr="00206F9F" w:rsidRDefault="00F629C0" w:rsidP="00955E45">
      <w:pPr>
        <w:tabs>
          <w:tab w:val="left" w:pos="288"/>
          <w:tab w:val="left" w:pos="5130"/>
        </w:tabs>
        <w:spacing w:line="240" w:lineRule="exact"/>
        <w:jc w:val="both"/>
        <w:rPr>
          <w:rFonts w:asciiTheme="minorHAnsi" w:hAnsiTheme="minorHAnsi"/>
          <w:color w:val="auto"/>
        </w:rPr>
      </w:pPr>
      <w:r w:rsidRPr="00206F9F">
        <w:rPr>
          <w:rFonts w:asciiTheme="minorHAnsi" w:hAnsiTheme="minorHAnsi"/>
          <w:caps/>
          <w:color w:val="auto"/>
        </w:rPr>
        <w:t>BOARD DATE:  2011</w:t>
      </w:r>
      <w:r w:rsidR="006B0ED6" w:rsidRPr="00206F9F">
        <w:rPr>
          <w:rFonts w:asciiTheme="minorHAnsi" w:hAnsiTheme="minorHAnsi"/>
          <w:caps/>
          <w:color w:val="auto"/>
        </w:rPr>
        <w:t>0531</w:t>
      </w:r>
    </w:p>
    <w:p w:rsidR="00106AD8" w:rsidRPr="00206F9F" w:rsidRDefault="001724C8" w:rsidP="000452D7">
      <w:pPr>
        <w:tabs>
          <w:tab w:val="left" w:pos="288"/>
          <w:tab w:val="left" w:pos="4752"/>
        </w:tabs>
        <w:spacing w:line="240" w:lineRule="exact"/>
        <w:rPr>
          <w:b/>
          <w:color w:val="auto"/>
          <w:szCs w:val="24"/>
        </w:rPr>
      </w:pPr>
      <w:r w:rsidRPr="00206F9F">
        <w:rPr>
          <w:rFonts w:asciiTheme="minorHAnsi" w:hAnsiTheme="minorHAnsi"/>
          <w:b/>
          <w:color w:val="auto"/>
          <w:u w:val="single"/>
        </w:rPr>
        <w:t>______________________________________________________________________________</w:t>
      </w:r>
    </w:p>
    <w:p w:rsidR="001724C8" w:rsidRPr="00206F9F" w:rsidRDefault="001724C8" w:rsidP="000452D7">
      <w:pPr>
        <w:tabs>
          <w:tab w:val="left" w:pos="288"/>
          <w:tab w:val="left" w:pos="4752"/>
        </w:tabs>
        <w:spacing w:line="240" w:lineRule="exact"/>
        <w:jc w:val="both"/>
        <w:rPr>
          <w:rFonts w:asciiTheme="minorHAnsi" w:hAnsiTheme="minorHAnsi"/>
          <w:b/>
          <w:color w:val="auto"/>
          <w:u w:val="single"/>
        </w:rPr>
      </w:pPr>
    </w:p>
    <w:p w:rsidR="007D57C0" w:rsidRPr="00206F9F" w:rsidRDefault="002C6E5B" w:rsidP="00506A87">
      <w:pPr>
        <w:tabs>
          <w:tab w:val="left" w:pos="288"/>
          <w:tab w:val="left" w:pos="4752"/>
        </w:tabs>
        <w:spacing w:line="240" w:lineRule="exact"/>
        <w:jc w:val="both"/>
        <w:rPr>
          <w:rFonts w:asciiTheme="minorHAnsi" w:hAnsiTheme="minorHAnsi"/>
          <w:color w:val="auto"/>
        </w:rPr>
      </w:pPr>
      <w:r w:rsidRPr="00206F9F">
        <w:rPr>
          <w:rFonts w:asciiTheme="minorHAnsi" w:hAnsiTheme="minorHAnsi"/>
          <w:color w:val="auto"/>
          <w:u w:val="single"/>
        </w:rPr>
        <w:t>SUMMARY OF CASE</w:t>
      </w:r>
      <w:r w:rsidRPr="00206F9F">
        <w:rPr>
          <w:rFonts w:asciiTheme="minorHAnsi" w:hAnsiTheme="minorHAnsi"/>
          <w:color w:val="auto"/>
        </w:rPr>
        <w:t>:</w:t>
      </w:r>
      <w:r w:rsidR="00506A87" w:rsidRPr="00206F9F">
        <w:rPr>
          <w:rFonts w:asciiTheme="minorHAnsi" w:hAnsiTheme="minorHAnsi"/>
          <w:color w:val="auto"/>
        </w:rPr>
        <w:t xml:space="preserve">  </w:t>
      </w:r>
      <w:r w:rsidR="009759C2" w:rsidRPr="00206F9F">
        <w:rPr>
          <w:rFonts w:asciiTheme="minorHAnsi" w:hAnsiTheme="minorHAnsi"/>
          <w:color w:val="auto"/>
        </w:rPr>
        <w:t>Data extracted from the available evidence of record reflects that this covered individual (CI)</w:t>
      </w:r>
      <w:r w:rsidR="00570754" w:rsidRPr="00206F9F">
        <w:rPr>
          <w:rFonts w:asciiTheme="minorHAnsi" w:hAnsiTheme="minorHAnsi"/>
          <w:color w:val="auto"/>
        </w:rPr>
        <w:t xml:space="preserve"> </w:t>
      </w:r>
      <w:r w:rsidRPr="00206F9F">
        <w:rPr>
          <w:rFonts w:asciiTheme="minorHAnsi" w:hAnsiTheme="minorHAnsi"/>
          <w:color w:val="auto"/>
          <w:szCs w:val="24"/>
        </w:rPr>
        <w:t xml:space="preserve">was </w:t>
      </w:r>
      <w:r w:rsidR="00E322F7" w:rsidRPr="00206F9F">
        <w:rPr>
          <w:rFonts w:asciiTheme="minorHAnsi" w:hAnsiTheme="minorHAnsi"/>
          <w:color w:val="auto"/>
          <w:szCs w:val="24"/>
        </w:rPr>
        <w:t>an active duty</w:t>
      </w:r>
      <w:r w:rsidR="006D4E0E" w:rsidRPr="00206F9F">
        <w:rPr>
          <w:rFonts w:asciiTheme="minorHAnsi" w:hAnsiTheme="minorHAnsi"/>
          <w:color w:val="auto"/>
          <w:szCs w:val="24"/>
        </w:rPr>
        <w:t xml:space="preserve"> </w:t>
      </w:r>
      <w:r w:rsidR="00B17487" w:rsidRPr="00206F9F">
        <w:rPr>
          <w:rFonts w:asciiTheme="minorHAnsi" w:hAnsiTheme="minorHAnsi"/>
          <w:color w:val="auto"/>
          <w:szCs w:val="24"/>
        </w:rPr>
        <w:t>SSgt</w:t>
      </w:r>
      <w:r w:rsidR="00705C40" w:rsidRPr="00206F9F">
        <w:rPr>
          <w:rFonts w:asciiTheme="minorHAnsi" w:hAnsiTheme="minorHAnsi"/>
          <w:color w:val="auto"/>
          <w:szCs w:val="24"/>
        </w:rPr>
        <w:t xml:space="preserve"> (</w:t>
      </w:r>
      <w:r w:rsidR="00B17487" w:rsidRPr="00206F9F">
        <w:rPr>
          <w:rFonts w:asciiTheme="minorHAnsi" w:hAnsiTheme="minorHAnsi"/>
          <w:color w:val="auto"/>
          <w:szCs w:val="24"/>
        </w:rPr>
        <w:t>7051</w:t>
      </w:r>
      <w:r w:rsidR="00C75F3D" w:rsidRPr="00206F9F">
        <w:rPr>
          <w:rFonts w:asciiTheme="minorHAnsi" w:hAnsiTheme="minorHAnsi"/>
          <w:color w:val="auto"/>
          <w:szCs w:val="24"/>
        </w:rPr>
        <w:t xml:space="preserve">, </w:t>
      </w:r>
      <w:r w:rsidR="00B17487" w:rsidRPr="00206F9F">
        <w:rPr>
          <w:rFonts w:asciiTheme="minorHAnsi" w:hAnsiTheme="minorHAnsi"/>
          <w:color w:val="auto"/>
          <w:szCs w:val="24"/>
        </w:rPr>
        <w:t>Fire</w:t>
      </w:r>
      <w:r w:rsidR="00EC2F98" w:rsidRPr="00206F9F">
        <w:rPr>
          <w:rFonts w:asciiTheme="minorHAnsi" w:hAnsiTheme="minorHAnsi"/>
          <w:color w:val="auto"/>
          <w:szCs w:val="24"/>
        </w:rPr>
        <w:t>fighter</w:t>
      </w:r>
      <w:r w:rsidR="00B17487" w:rsidRPr="00206F9F">
        <w:rPr>
          <w:rFonts w:asciiTheme="minorHAnsi" w:hAnsiTheme="minorHAnsi"/>
          <w:color w:val="auto"/>
          <w:szCs w:val="24"/>
        </w:rPr>
        <w:t xml:space="preserve"> Instructor</w:t>
      </w:r>
      <w:r w:rsidR="00E322F7" w:rsidRPr="00206F9F">
        <w:rPr>
          <w:rFonts w:asciiTheme="minorHAnsi" w:hAnsiTheme="minorHAnsi"/>
          <w:color w:val="auto"/>
          <w:szCs w:val="24"/>
        </w:rPr>
        <w:t>)</w:t>
      </w:r>
      <w:r w:rsidR="00C75F3D" w:rsidRPr="00206F9F">
        <w:rPr>
          <w:rFonts w:asciiTheme="minorHAnsi" w:hAnsiTheme="minorHAnsi"/>
          <w:color w:val="auto"/>
          <w:szCs w:val="24"/>
        </w:rPr>
        <w:t xml:space="preserve"> </w:t>
      </w:r>
      <w:r w:rsidRPr="00206F9F">
        <w:rPr>
          <w:rFonts w:asciiTheme="minorHAnsi" w:hAnsiTheme="minorHAnsi"/>
          <w:color w:val="auto"/>
          <w:szCs w:val="24"/>
        </w:rPr>
        <w:t xml:space="preserve">medically separated from the </w:t>
      </w:r>
      <w:r w:rsidR="00824CCB" w:rsidRPr="00206F9F">
        <w:rPr>
          <w:rFonts w:asciiTheme="minorHAnsi" w:hAnsiTheme="minorHAnsi"/>
          <w:color w:val="auto"/>
          <w:szCs w:val="24"/>
        </w:rPr>
        <w:t xml:space="preserve">Marine Corps </w:t>
      </w:r>
      <w:r w:rsidRPr="00206F9F">
        <w:rPr>
          <w:rFonts w:asciiTheme="minorHAnsi" w:hAnsiTheme="minorHAnsi"/>
          <w:color w:val="auto"/>
          <w:szCs w:val="24"/>
        </w:rPr>
        <w:t>in 200</w:t>
      </w:r>
      <w:r w:rsidR="00824CCB" w:rsidRPr="00206F9F">
        <w:rPr>
          <w:rFonts w:asciiTheme="minorHAnsi" w:hAnsiTheme="minorHAnsi"/>
          <w:color w:val="auto"/>
          <w:szCs w:val="24"/>
        </w:rPr>
        <w:t>8</w:t>
      </w:r>
      <w:r w:rsidR="003F1206" w:rsidRPr="00206F9F">
        <w:rPr>
          <w:rFonts w:asciiTheme="minorHAnsi" w:hAnsiTheme="minorHAnsi"/>
          <w:color w:val="auto"/>
          <w:szCs w:val="24"/>
        </w:rPr>
        <w:t>.</w:t>
      </w:r>
      <w:r w:rsidR="00080BDF" w:rsidRPr="00206F9F">
        <w:rPr>
          <w:rFonts w:asciiTheme="minorHAnsi" w:hAnsiTheme="minorHAnsi"/>
          <w:color w:val="auto"/>
          <w:szCs w:val="24"/>
        </w:rPr>
        <w:t xml:space="preserve">  </w:t>
      </w:r>
      <w:r w:rsidRPr="00206F9F">
        <w:rPr>
          <w:rFonts w:asciiTheme="minorHAnsi" w:hAnsiTheme="minorHAnsi"/>
          <w:color w:val="auto"/>
          <w:szCs w:val="24"/>
        </w:rPr>
        <w:t xml:space="preserve">The medical basis for the separation was </w:t>
      </w:r>
      <w:r w:rsidR="00394CE6" w:rsidRPr="00206F9F">
        <w:rPr>
          <w:rFonts w:asciiTheme="minorHAnsi" w:hAnsiTheme="minorHAnsi"/>
          <w:color w:val="auto"/>
          <w:szCs w:val="24"/>
        </w:rPr>
        <w:t>b</w:t>
      </w:r>
      <w:r w:rsidR="00824CCB" w:rsidRPr="00206F9F">
        <w:rPr>
          <w:rFonts w:asciiTheme="minorHAnsi" w:hAnsiTheme="minorHAnsi"/>
          <w:color w:val="auto"/>
          <w:szCs w:val="24"/>
        </w:rPr>
        <w:t xml:space="preserve">ack </w:t>
      </w:r>
      <w:r w:rsidR="00394CE6" w:rsidRPr="00206F9F">
        <w:rPr>
          <w:rFonts w:asciiTheme="minorHAnsi" w:hAnsiTheme="minorHAnsi"/>
          <w:color w:val="auto"/>
          <w:szCs w:val="24"/>
        </w:rPr>
        <w:t>p</w:t>
      </w:r>
      <w:r w:rsidR="00824CCB" w:rsidRPr="00206F9F">
        <w:rPr>
          <w:rFonts w:asciiTheme="minorHAnsi" w:hAnsiTheme="minorHAnsi"/>
          <w:color w:val="auto"/>
          <w:szCs w:val="24"/>
        </w:rPr>
        <w:t xml:space="preserve">ain, </w:t>
      </w:r>
      <w:r w:rsidR="00394CE6" w:rsidRPr="00206F9F">
        <w:rPr>
          <w:rFonts w:asciiTheme="minorHAnsi" w:hAnsiTheme="minorHAnsi"/>
          <w:color w:val="auto"/>
          <w:szCs w:val="24"/>
        </w:rPr>
        <w:t>h</w:t>
      </w:r>
      <w:r w:rsidR="00824CCB" w:rsidRPr="00206F9F">
        <w:rPr>
          <w:rFonts w:asciiTheme="minorHAnsi" w:hAnsiTheme="minorHAnsi"/>
          <w:color w:val="auto"/>
          <w:szCs w:val="24"/>
        </w:rPr>
        <w:t xml:space="preserve">erniated </w:t>
      </w:r>
      <w:r w:rsidR="00394CE6" w:rsidRPr="00206F9F">
        <w:rPr>
          <w:rFonts w:asciiTheme="minorHAnsi" w:hAnsiTheme="minorHAnsi"/>
          <w:color w:val="auto"/>
          <w:szCs w:val="24"/>
        </w:rPr>
        <w:t>d</w:t>
      </w:r>
      <w:r w:rsidR="00824CCB" w:rsidRPr="00206F9F">
        <w:rPr>
          <w:rFonts w:asciiTheme="minorHAnsi" w:hAnsiTheme="minorHAnsi"/>
          <w:color w:val="auto"/>
          <w:szCs w:val="24"/>
        </w:rPr>
        <w:t>isk</w:t>
      </w:r>
      <w:r w:rsidR="00394CE6" w:rsidRPr="00206F9F">
        <w:rPr>
          <w:rFonts w:asciiTheme="minorHAnsi" w:hAnsiTheme="minorHAnsi"/>
          <w:color w:val="auto"/>
          <w:szCs w:val="24"/>
        </w:rPr>
        <w:t xml:space="preserve">.  The CI developed chronic low back associated with </w:t>
      </w:r>
      <w:r w:rsidR="00506A87" w:rsidRPr="00206F9F">
        <w:rPr>
          <w:rFonts w:asciiTheme="minorHAnsi" w:hAnsiTheme="minorHAnsi"/>
          <w:color w:val="auto"/>
          <w:szCs w:val="24"/>
        </w:rPr>
        <w:t xml:space="preserve">findings of </w:t>
      </w:r>
      <w:r w:rsidR="00394CE6" w:rsidRPr="00206F9F">
        <w:rPr>
          <w:rFonts w:asciiTheme="minorHAnsi" w:hAnsiTheme="minorHAnsi"/>
          <w:color w:val="auto"/>
          <w:szCs w:val="24"/>
        </w:rPr>
        <w:t xml:space="preserve">degenerative and bulging intervertebral discs.  </w:t>
      </w:r>
      <w:r w:rsidR="00E322F7" w:rsidRPr="00206F9F">
        <w:rPr>
          <w:rFonts w:asciiTheme="minorHAnsi" w:hAnsiTheme="minorHAnsi"/>
          <w:color w:val="auto"/>
          <w:szCs w:val="24"/>
        </w:rPr>
        <w:t xml:space="preserve">He did not respond adequately </w:t>
      </w:r>
      <w:r w:rsidR="00C75F3D" w:rsidRPr="00206F9F">
        <w:rPr>
          <w:rFonts w:asciiTheme="minorHAnsi" w:hAnsiTheme="minorHAnsi"/>
          <w:color w:val="auto"/>
          <w:szCs w:val="24"/>
        </w:rPr>
        <w:t xml:space="preserve">to treatment and was unable to </w:t>
      </w:r>
      <w:r w:rsidR="00E322F7" w:rsidRPr="00206F9F">
        <w:rPr>
          <w:rFonts w:asciiTheme="minorHAnsi" w:hAnsiTheme="minorHAnsi"/>
          <w:color w:val="auto"/>
          <w:szCs w:val="24"/>
        </w:rPr>
        <w:t xml:space="preserve">perform </w:t>
      </w:r>
      <w:r w:rsidR="00506A87" w:rsidRPr="00206F9F">
        <w:rPr>
          <w:rFonts w:asciiTheme="minorHAnsi" w:hAnsiTheme="minorHAnsi"/>
          <w:color w:val="auto"/>
          <w:szCs w:val="24"/>
        </w:rPr>
        <w:t xml:space="preserve">physically demanding aspects of </w:t>
      </w:r>
      <w:r w:rsidR="00E322F7" w:rsidRPr="00206F9F">
        <w:rPr>
          <w:rFonts w:asciiTheme="minorHAnsi" w:hAnsiTheme="minorHAnsi"/>
          <w:color w:val="auto"/>
          <w:szCs w:val="24"/>
        </w:rPr>
        <w:t>his</w:t>
      </w:r>
      <w:r w:rsidR="0044411E" w:rsidRPr="00206F9F">
        <w:rPr>
          <w:rFonts w:asciiTheme="minorHAnsi" w:hAnsiTheme="minorHAnsi"/>
          <w:color w:val="auto"/>
          <w:szCs w:val="24"/>
        </w:rPr>
        <w:t xml:space="preserve"> </w:t>
      </w:r>
      <w:r w:rsidR="00705C40" w:rsidRPr="00206F9F">
        <w:rPr>
          <w:rFonts w:asciiTheme="minorHAnsi" w:hAnsiTheme="minorHAnsi"/>
          <w:color w:val="auto"/>
          <w:szCs w:val="24"/>
        </w:rPr>
        <w:t xml:space="preserve">military occupational </w:t>
      </w:r>
      <w:r w:rsidR="003A40B4" w:rsidRPr="00206F9F">
        <w:rPr>
          <w:rFonts w:asciiTheme="minorHAnsi" w:hAnsiTheme="minorHAnsi"/>
          <w:color w:val="auto"/>
          <w:szCs w:val="24"/>
        </w:rPr>
        <w:t>specialty</w:t>
      </w:r>
      <w:r w:rsidR="00C75F3D" w:rsidRPr="00206F9F">
        <w:rPr>
          <w:rFonts w:asciiTheme="minorHAnsi" w:hAnsiTheme="minorHAnsi"/>
          <w:color w:val="auto"/>
          <w:szCs w:val="24"/>
        </w:rPr>
        <w:t>,</w:t>
      </w:r>
      <w:r w:rsidR="00506A87" w:rsidRPr="00206F9F">
        <w:rPr>
          <w:rFonts w:asciiTheme="minorHAnsi" w:hAnsiTheme="minorHAnsi"/>
          <w:color w:val="auto"/>
          <w:szCs w:val="24"/>
        </w:rPr>
        <w:t xml:space="preserve"> or </w:t>
      </w:r>
      <w:r w:rsidR="00E322F7" w:rsidRPr="00206F9F">
        <w:rPr>
          <w:rFonts w:asciiTheme="minorHAnsi" w:hAnsiTheme="minorHAnsi"/>
          <w:color w:val="auto"/>
          <w:szCs w:val="24"/>
        </w:rPr>
        <w:t xml:space="preserve">participate in </w:t>
      </w:r>
      <w:r w:rsidR="0044411E" w:rsidRPr="00206F9F">
        <w:rPr>
          <w:rFonts w:asciiTheme="minorHAnsi" w:hAnsiTheme="minorHAnsi"/>
          <w:color w:val="auto"/>
          <w:szCs w:val="24"/>
        </w:rPr>
        <w:t>a physical fitness test</w:t>
      </w:r>
      <w:r w:rsidR="00227C50">
        <w:rPr>
          <w:rFonts w:asciiTheme="minorHAnsi" w:hAnsiTheme="minorHAnsi"/>
          <w:color w:val="auto"/>
          <w:szCs w:val="24"/>
        </w:rPr>
        <w:t>.  He</w:t>
      </w:r>
      <w:r w:rsidR="0044411E" w:rsidRPr="00206F9F">
        <w:rPr>
          <w:rFonts w:asciiTheme="minorHAnsi" w:hAnsiTheme="minorHAnsi"/>
          <w:color w:val="auto"/>
          <w:szCs w:val="24"/>
        </w:rPr>
        <w:t xml:space="preserve"> </w:t>
      </w:r>
      <w:r w:rsidR="00E322F7" w:rsidRPr="00206F9F">
        <w:rPr>
          <w:rFonts w:asciiTheme="minorHAnsi" w:hAnsiTheme="minorHAnsi"/>
          <w:color w:val="auto"/>
          <w:szCs w:val="24"/>
        </w:rPr>
        <w:t xml:space="preserve">was </w:t>
      </w:r>
      <w:r w:rsidR="0044411E" w:rsidRPr="00206F9F">
        <w:rPr>
          <w:rFonts w:asciiTheme="minorHAnsi" w:hAnsiTheme="minorHAnsi"/>
          <w:color w:val="auto"/>
          <w:szCs w:val="24"/>
        </w:rPr>
        <w:t xml:space="preserve">placed on </w:t>
      </w:r>
      <w:r w:rsidR="00227C50" w:rsidRPr="00206F9F">
        <w:rPr>
          <w:rFonts w:asciiTheme="minorHAnsi" w:hAnsiTheme="minorHAnsi"/>
          <w:color w:val="auto"/>
          <w:szCs w:val="24"/>
        </w:rPr>
        <w:t xml:space="preserve">limited duty </w:t>
      </w:r>
      <w:r w:rsidR="00E322F7" w:rsidRPr="00206F9F">
        <w:rPr>
          <w:rFonts w:asciiTheme="minorHAnsi" w:hAnsiTheme="minorHAnsi"/>
          <w:color w:val="auto"/>
          <w:szCs w:val="24"/>
        </w:rPr>
        <w:t xml:space="preserve">and underwent a </w:t>
      </w:r>
      <w:r w:rsidR="00705C40" w:rsidRPr="00206F9F">
        <w:rPr>
          <w:rFonts w:asciiTheme="minorHAnsi" w:hAnsiTheme="minorHAnsi"/>
          <w:color w:val="auto"/>
          <w:szCs w:val="24"/>
        </w:rPr>
        <w:t>Medical Evaluation Board (</w:t>
      </w:r>
      <w:r w:rsidR="00E322F7" w:rsidRPr="00206F9F">
        <w:rPr>
          <w:rFonts w:asciiTheme="minorHAnsi" w:hAnsiTheme="minorHAnsi"/>
          <w:color w:val="auto"/>
          <w:szCs w:val="24"/>
        </w:rPr>
        <w:t>MEB</w:t>
      </w:r>
      <w:r w:rsidR="00705C40" w:rsidRPr="00206F9F">
        <w:rPr>
          <w:rFonts w:asciiTheme="minorHAnsi" w:hAnsiTheme="minorHAnsi"/>
          <w:color w:val="auto"/>
          <w:szCs w:val="24"/>
        </w:rPr>
        <w:t>)</w:t>
      </w:r>
      <w:r w:rsidR="00E322F7" w:rsidRPr="00206F9F">
        <w:rPr>
          <w:rFonts w:asciiTheme="minorHAnsi" w:hAnsiTheme="minorHAnsi"/>
          <w:color w:val="auto"/>
          <w:szCs w:val="24"/>
        </w:rPr>
        <w:t>.</w:t>
      </w:r>
      <w:r w:rsidR="004A4F17" w:rsidRPr="00206F9F">
        <w:rPr>
          <w:rFonts w:asciiTheme="minorHAnsi" w:hAnsiTheme="minorHAnsi"/>
          <w:color w:val="auto"/>
          <w:szCs w:val="24"/>
        </w:rPr>
        <w:t xml:space="preserve"> </w:t>
      </w:r>
      <w:r w:rsidR="00DF4C31" w:rsidRPr="00206F9F">
        <w:rPr>
          <w:rFonts w:asciiTheme="minorHAnsi" w:hAnsiTheme="minorHAnsi"/>
          <w:color w:val="auto"/>
          <w:szCs w:val="24"/>
        </w:rPr>
        <w:t xml:space="preserve"> </w:t>
      </w:r>
      <w:r w:rsidR="004A4F17" w:rsidRPr="00206F9F">
        <w:rPr>
          <w:rFonts w:asciiTheme="minorHAnsi" w:hAnsiTheme="minorHAnsi"/>
          <w:color w:val="auto"/>
          <w:szCs w:val="24"/>
        </w:rPr>
        <w:t xml:space="preserve">Back </w:t>
      </w:r>
      <w:r w:rsidR="00DF4C31" w:rsidRPr="00206F9F">
        <w:rPr>
          <w:rFonts w:asciiTheme="minorHAnsi" w:hAnsiTheme="minorHAnsi"/>
          <w:color w:val="auto"/>
          <w:szCs w:val="24"/>
        </w:rPr>
        <w:t>p</w:t>
      </w:r>
      <w:r w:rsidR="004A4F17" w:rsidRPr="00206F9F">
        <w:rPr>
          <w:rFonts w:asciiTheme="minorHAnsi" w:hAnsiTheme="minorHAnsi"/>
          <w:color w:val="auto"/>
          <w:szCs w:val="24"/>
        </w:rPr>
        <w:t xml:space="preserve">ain, </w:t>
      </w:r>
      <w:r w:rsidR="00DF4C31" w:rsidRPr="00206F9F">
        <w:rPr>
          <w:rFonts w:asciiTheme="minorHAnsi" w:hAnsiTheme="minorHAnsi"/>
          <w:color w:val="auto"/>
          <w:szCs w:val="24"/>
        </w:rPr>
        <w:t>h</w:t>
      </w:r>
      <w:r w:rsidR="004A4F17" w:rsidRPr="00206F9F">
        <w:rPr>
          <w:rFonts w:asciiTheme="minorHAnsi" w:hAnsiTheme="minorHAnsi"/>
          <w:color w:val="auto"/>
          <w:szCs w:val="24"/>
        </w:rPr>
        <w:t xml:space="preserve">erniated </w:t>
      </w:r>
      <w:r w:rsidR="00DF4C31" w:rsidRPr="00206F9F">
        <w:rPr>
          <w:rFonts w:asciiTheme="minorHAnsi" w:hAnsiTheme="minorHAnsi"/>
          <w:color w:val="auto"/>
          <w:szCs w:val="24"/>
        </w:rPr>
        <w:t>d</w:t>
      </w:r>
      <w:r w:rsidR="004A4F17" w:rsidRPr="00206F9F">
        <w:rPr>
          <w:rFonts w:asciiTheme="minorHAnsi" w:hAnsiTheme="minorHAnsi"/>
          <w:color w:val="auto"/>
          <w:szCs w:val="24"/>
        </w:rPr>
        <w:t>isk</w:t>
      </w:r>
      <w:r w:rsidR="00506A87" w:rsidRPr="00206F9F">
        <w:rPr>
          <w:rFonts w:asciiTheme="minorHAnsi" w:hAnsiTheme="minorHAnsi"/>
          <w:color w:val="auto"/>
          <w:szCs w:val="24"/>
        </w:rPr>
        <w:t>,</w:t>
      </w:r>
      <w:r w:rsidR="004A4F17" w:rsidRPr="00206F9F">
        <w:rPr>
          <w:rFonts w:asciiTheme="minorHAnsi" w:hAnsiTheme="minorHAnsi"/>
          <w:color w:val="auto"/>
          <w:szCs w:val="24"/>
        </w:rPr>
        <w:t xml:space="preserve"> </w:t>
      </w:r>
      <w:r w:rsidR="000A33C8" w:rsidRPr="00206F9F">
        <w:rPr>
          <w:rFonts w:asciiTheme="minorHAnsi" w:hAnsiTheme="minorHAnsi"/>
          <w:color w:val="auto"/>
          <w:szCs w:val="24"/>
        </w:rPr>
        <w:t>w</w:t>
      </w:r>
      <w:r w:rsidR="004A4F17" w:rsidRPr="00206F9F">
        <w:rPr>
          <w:rFonts w:asciiTheme="minorHAnsi" w:hAnsiTheme="minorHAnsi"/>
          <w:color w:val="auto"/>
          <w:szCs w:val="24"/>
        </w:rPr>
        <w:t>as</w:t>
      </w:r>
      <w:r w:rsidR="000A33C8" w:rsidRPr="00206F9F">
        <w:rPr>
          <w:rFonts w:asciiTheme="minorHAnsi" w:hAnsiTheme="minorHAnsi"/>
          <w:color w:val="auto"/>
          <w:szCs w:val="24"/>
        </w:rPr>
        <w:t xml:space="preserve"> forwarded to the Physical Evaluation Board (PEB) as medically unacceptable IAW </w:t>
      </w:r>
      <w:r w:rsidR="00AB1F8D" w:rsidRPr="00206F9F">
        <w:rPr>
          <w:rFonts w:asciiTheme="minorHAnsi" w:hAnsiTheme="minorHAnsi"/>
          <w:color w:val="auto"/>
          <w:szCs w:val="24"/>
        </w:rPr>
        <w:t>SECNAVINST 1850.4E</w:t>
      </w:r>
      <w:r w:rsidR="00376E08" w:rsidRPr="00206F9F">
        <w:rPr>
          <w:rFonts w:asciiTheme="minorHAnsi" w:hAnsiTheme="minorHAnsi"/>
          <w:color w:val="auto"/>
          <w:szCs w:val="24"/>
        </w:rPr>
        <w:t>.</w:t>
      </w:r>
      <w:r w:rsidR="00DF4C31" w:rsidRPr="00206F9F">
        <w:rPr>
          <w:rFonts w:asciiTheme="minorHAnsi" w:hAnsiTheme="minorHAnsi"/>
          <w:color w:val="auto"/>
          <w:szCs w:val="24"/>
        </w:rPr>
        <w:t xml:space="preserve"> </w:t>
      </w:r>
      <w:r w:rsidR="004A4F17" w:rsidRPr="00206F9F">
        <w:rPr>
          <w:rFonts w:asciiTheme="minorHAnsi" w:hAnsiTheme="minorHAnsi"/>
          <w:color w:val="auto"/>
          <w:szCs w:val="24"/>
        </w:rPr>
        <w:t xml:space="preserve"> </w:t>
      </w:r>
      <w:r w:rsidR="00B20624" w:rsidRPr="00206F9F">
        <w:rPr>
          <w:rFonts w:asciiTheme="minorHAnsi" w:hAnsiTheme="minorHAnsi"/>
          <w:color w:val="auto"/>
          <w:szCs w:val="24"/>
        </w:rPr>
        <w:t>The PEB</w:t>
      </w:r>
      <w:r w:rsidR="007828B4" w:rsidRPr="00206F9F">
        <w:rPr>
          <w:rFonts w:asciiTheme="minorHAnsi" w:hAnsiTheme="minorHAnsi"/>
          <w:color w:val="auto"/>
          <w:szCs w:val="24"/>
        </w:rPr>
        <w:t xml:space="preserve"> </w:t>
      </w:r>
      <w:r w:rsidR="00B20624" w:rsidRPr="00206F9F">
        <w:rPr>
          <w:rFonts w:asciiTheme="minorHAnsi" w:hAnsiTheme="minorHAnsi"/>
          <w:color w:val="auto"/>
          <w:szCs w:val="24"/>
        </w:rPr>
        <w:t xml:space="preserve">adjudicated the </w:t>
      </w:r>
      <w:r w:rsidR="00DF4C31" w:rsidRPr="00206F9F">
        <w:rPr>
          <w:rFonts w:asciiTheme="minorHAnsi" w:hAnsiTheme="minorHAnsi"/>
          <w:color w:val="auto"/>
          <w:szCs w:val="24"/>
        </w:rPr>
        <w:t>b</w:t>
      </w:r>
      <w:r w:rsidR="004A4F17" w:rsidRPr="00206F9F">
        <w:rPr>
          <w:rFonts w:asciiTheme="minorHAnsi" w:hAnsiTheme="minorHAnsi"/>
          <w:color w:val="auto"/>
          <w:szCs w:val="24"/>
        </w:rPr>
        <w:t xml:space="preserve">ack </w:t>
      </w:r>
      <w:r w:rsidR="00DF4C31" w:rsidRPr="00206F9F">
        <w:rPr>
          <w:rFonts w:asciiTheme="minorHAnsi" w:hAnsiTheme="minorHAnsi"/>
          <w:color w:val="auto"/>
          <w:szCs w:val="24"/>
        </w:rPr>
        <w:t>p</w:t>
      </w:r>
      <w:r w:rsidR="004A4F17" w:rsidRPr="00206F9F">
        <w:rPr>
          <w:rFonts w:asciiTheme="minorHAnsi" w:hAnsiTheme="minorHAnsi"/>
          <w:color w:val="auto"/>
          <w:szCs w:val="24"/>
        </w:rPr>
        <w:t xml:space="preserve">ain, </w:t>
      </w:r>
      <w:r w:rsidR="00DF4C31" w:rsidRPr="00206F9F">
        <w:rPr>
          <w:rFonts w:asciiTheme="minorHAnsi" w:hAnsiTheme="minorHAnsi"/>
          <w:color w:val="auto"/>
          <w:szCs w:val="24"/>
        </w:rPr>
        <w:t>h</w:t>
      </w:r>
      <w:r w:rsidR="004A4F17" w:rsidRPr="00206F9F">
        <w:rPr>
          <w:rFonts w:asciiTheme="minorHAnsi" w:hAnsiTheme="minorHAnsi"/>
          <w:color w:val="auto"/>
          <w:szCs w:val="24"/>
        </w:rPr>
        <w:t xml:space="preserve">erniated </w:t>
      </w:r>
      <w:r w:rsidR="00DF4C31" w:rsidRPr="00206F9F">
        <w:rPr>
          <w:rFonts w:asciiTheme="minorHAnsi" w:hAnsiTheme="minorHAnsi"/>
          <w:color w:val="auto"/>
          <w:szCs w:val="24"/>
        </w:rPr>
        <w:t>d</w:t>
      </w:r>
      <w:r w:rsidR="004A4F17" w:rsidRPr="00206F9F">
        <w:rPr>
          <w:rFonts w:asciiTheme="minorHAnsi" w:hAnsiTheme="minorHAnsi"/>
          <w:color w:val="auto"/>
          <w:szCs w:val="24"/>
        </w:rPr>
        <w:t>isk</w:t>
      </w:r>
      <w:r w:rsidR="00B20624" w:rsidRPr="00206F9F">
        <w:rPr>
          <w:rFonts w:asciiTheme="minorHAnsi" w:hAnsiTheme="minorHAnsi"/>
          <w:color w:val="auto"/>
          <w:szCs w:val="24"/>
        </w:rPr>
        <w:t xml:space="preserve"> condition as unfitting, rated </w:t>
      </w:r>
      <w:r w:rsidR="004A4F17" w:rsidRPr="00206F9F">
        <w:rPr>
          <w:rFonts w:asciiTheme="minorHAnsi" w:hAnsiTheme="minorHAnsi"/>
          <w:color w:val="auto"/>
          <w:szCs w:val="24"/>
        </w:rPr>
        <w:t>20%</w:t>
      </w:r>
      <w:r w:rsidR="001F42EA" w:rsidRPr="00206F9F">
        <w:rPr>
          <w:rFonts w:asciiTheme="minorHAnsi" w:hAnsiTheme="minorHAnsi"/>
          <w:color w:val="auto"/>
          <w:szCs w:val="24"/>
        </w:rPr>
        <w:t>.</w:t>
      </w:r>
      <w:r w:rsidR="004A4F17" w:rsidRPr="00206F9F">
        <w:rPr>
          <w:rFonts w:asciiTheme="minorHAnsi" w:hAnsiTheme="minorHAnsi"/>
          <w:color w:val="auto"/>
          <w:szCs w:val="24"/>
        </w:rPr>
        <w:t xml:space="preserve"> </w:t>
      </w:r>
      <w:r w:rsidR="00DF4C31" w:rsidRPr="00206F9F">
        <w:rPr>
          <w:rFonts w:asciiTheme="minorHAnsi" w:hAnsiTheme="minorHAnsi"/>
          <w:color w:val="auto"/>
          <w:szCs w:val="24"/>
        </w:rPr>
        <w:t xml:space="preserve"> </w:t>
      </w:r>
      <w:r w:rsidR="00B20624" w:rsidRPr="00206F9F">
        <w:rPr>
          <w:rFonts w:asciiTheme="minorHAnsi" w:hAnsiTheme="minorHAnsi"/>
          <w:color w:val="auto"/>
        </w:rPr>
        <w:t xml:space="preserve">The CI </w:t>
      </w:r>
      <w:r w:rsidR="00190E48" w:rsidRPr="00206F9F">
        <w:rPr>
          <w:rFonts w:asciiTheme="minorHAnsi" w:hAnsiTheme="minorHAnsi"/>
          <w:color w:val="auto"/>
        </w:rPr>
        <w:t xml:space="preserve">made no appeals, </w:t>
      </w:r>
      <w:r w:rsidR="00B20624" w:rsidRPr="00206F9F">
        <w:rPr>
          <w:rFonts w:asciiTheme="minorHAnsi" w:hAnsiTheme="minorHAnsi"/>
          <w:color w:val="auto"/>
        </w:rPr>
        <w:t xml:space="preserve">and was medically separated with a </w:t>
      </w:r>
      <w:r w:rsidR="004A4F17" w:rsidRPr="00206F9F">
        <w:rPr>
          <w:rFonts w:asciiTheme="minorHAnsi" w:hAnsiTheme="minorHAnsi"/>
          <w:color w:val="auto"/>
        </w:rPr>
        <w:t>20</w:t>
      </w:r>
      <w:r w:rsidR="00B20624" w:rsidRPr="00206F9F">
        <w:rPr>
          <w:rFonts w:asciiTheme="minorHAnsi" w:hAnsiTheme="minorHAnsi"/>
          <w:color w:val="auto"/>
        </w:rPr>
        <w:t>% disability rating.</w:t>
      </w:r>
    </w:p>
    <w:p w:rsidR="00A83C15" w:rsidRPr="00206F9F" w:rsidRDefault="001724C8" w:rsidP="000452D7">
      <w:pPr>
        <w:tabs>
          <w:tab w:val="left" w:pos="288"/>
          <w:tab w:val="left" w:pos="4752"/>
        </w:tabs>
        <w:spacing w:line="240" w:lineRule="exact"/>
        <w:jc w:val="both"/>
        <w:rPr>
          <w:rFonts w:asciiTheme="minorHAnsi" w:hAnsiTheme="minorHAnsi"/>
          <w:b/>
          <w:caps/>
          <w:color w:val="auto"/>
          <w:u w:val="single"/>
        </w:rPr>
      </w:pPr>
      <w:r w:rsidRPr="00206F9F">
        <w:rPr>
          <w:rFonts w:asciiTheme="minorHAnsi" w:hAnsiTheme="minorHAnsi"/>
          <w:b/>
          <w:color w:val="auto"/>
          <w:u w:val="single"/>
        </w:rPr>
        <w:t>______________________________________________________________________________</w:t>
      </w:r>
    </w:p>
    <w:p w:rsidR="00106AD8" w:rsidRPr="00206F9F" w:rsidRDefault="00106AD8" w:rsidP="000452D7">
      <w:pPr>
        <w:tabs>
          <w:tab w:val="left" w:pos="288"/>
          <w:tab w:val="left" w:pos="4752"/>
        </w:tabs>
        <w:spacing w:line="240" w:lineRule="exact"/>
        <w:rPr>
          <w:b/>
          <w:color w:val="auto"/>
          <w:szCs w:val="24"/>
        </w:rPr>
      </w:pPr>
    </w:p>
    <w:p w:rsidR="00F23292" w:rsidRPr="00206F9F" w:rsidRDefault="002C6E5B" w:rsidP="00B2534F">
      <w:pPr>
        <w:autoSpaceDE w:val="0"/>
        <w:autoSpaceDN w:val="0"/>
        <w:adjustRightInd w:val="0"/>
        <w:spacing w:line="240" w:lineRule="exact"/>
        <w:jc w:val="both"/>
        <w:rPr>
          <w:rFonts w:asciiTheme="minorHAnsi" w:hAnsiTheme="minorHAnsi"/>
          <w:b/>
          <w:color w:val="auto"/>
        </w:rPr>
      </w:pPr>
      <w:r w:rsidRPr="00206F9F">
        <w:rPr>
          <w:color w:val="auto"/>
          <w:u w:val="single"/>
        </w:rPr>
        <w:t>CI CONTENTION</w:t>
      </w:r>
      <w:r w:rsidRPr="00206F9F">
        <w:rPr>
          <w:color w:val="auto"/>
        </w:rPr>
        <w:t xml:space="preserve">:  </w:t>
      </w:r>
      <w:r w:rsidR="002234B4" w:rsidRPr="00206F9F">
        <w:rPr>
          <w:color w:val="auto"/>
        </w:rPr>
        <w:t>“</w:t>
      </w:r>
      <w:r w:rsidR="002234B4" w:rsidRPr="00206F9F">
        <w:rPr>
          <w:color w:val="auto"/>
          <w:szCs w:val="24"/>
        </w:rPr>
        <w:t xml:space="preserve">The </w:t>
      </w:r>
      <w:r w:rsidR="002234B4" w:rsidRPr="00206F9F">
        <w:rPr>
          <w:rFonts w:cs="Arial"/>
          <w:color w:val="auto"/>
          <w:szCs w:val="24"/>
        </w:rPr>
        <w:t xml:space="preserve">condition in </w:t>
      </w:r>
      <w:r w:rsidR="002234B4" w:rsidRPr="00206F9F">
        <w:rPr>
          <w:color w:val="auto"/>
          <w:szCs w:val="24"/>
        </w:rPr>
        <w:t xml:space="preserve">my </w:t>
      </w:r>
      <w:r w:rsidR="002234B4" w:rsidRPr="00206F9F">
        <w:rPr>
          <w:rFonts w:cs="Arial"/>
          <w:color w:val="auto"/>
          <w:szCs w:val="24"/>
        </w:rPr>
        <w:t xml:space="preserve">back will never get </w:t>
      </w:r>
      <w:r w:rsidR="002234B4" w:rsidRPr="00206F9F">
        <w:rPr>
          <w:color w:val="auto"/>
          <w:szCs w:val="24"/>
        </w:rPr>
        <w:t xml:space="preserve">any </w:t>
      </w:r>
      <w:r w:rsidR="002234B4" w:rsidRPr="00206F9F">
        <w:rPr>
          <w:rFonts w:cs="Arial"/>
          <w:color w:val="auto"/>
          <w:szCs w:val="24"/>
        </w:rPr>
        <w:t xml:space="preserve">better just worse </w:t>
      </w:r>
      <w:r w:rsidR="002234B4" w:rsidRPr="00206F9F">
        <w:rPr>
          <w:color w:val="auto"/>
          <w:szCs w:val="24"/>
        </w:rPr>
        <w:t xml:space="preserve">I </w:t>
      </w:r>
      <w:r w:rsidR="002234B4" w:rsidRPr="00206F9F">
        <w:rPr>
          <w:rFonts w:cs="Arial"/>
          <w:color w:val="auto"/>
          <w:szCs w:val="24"/>
        </w:rPr>
        <w:t xml:space="preserve">have already started to have trouble with the nerves </w:t>
      </w:r>
      <w:r w:rsidR="002234B4" w:rsidRPr="00206F9F">
        <w:rPr>
          <w:color w:val="auto"/>
          <w:szCs w:val="24"/>
        </w:rPr>
        <w:t xml:space="preserve">in my </w:t>
      </w:r>
      <w:r w:rsidR="002234B4" w:rsidRPr="00206F9F">
        <w:rPr>
          <w:rFonts w:cs="Arial"/>
          <w:color w:val="auto"/>
          <w:szCs w:val="24"/>
        </w:rPr>
        <w:t xml:space="preserve">legs and have </w:t>
      </w:r>
      <w:r w:rsidR="002234B4" w:rsidRPr="00206F9F">
        <w:rPr>
          <w:color w:val="auto"/>
          <w:szCs w:val="24"/>
        </w:rPr>
        <w:t xml:space="preserve">a </w:t>
      </w:r>
      <w:r w:rsidR="002234B4" w:rsidRPr="00206F9F">
        <w:rPr>
          <w:rFonts w:cs="Arial"/>
          <w:color w:val="auto"/>
          <w:szCs w:val="24"/>
        </w:rPr>
        <w:t xml:space="preserve">hard </w:t>
      </w:r>
      <w:r w:rsidR="002234B4" w:rsidRPr="00206F9F">
        <w:rPr>
          <w:color w:val="auto"/>
          <w:szCs w:val="24"/>
        </w:rPr>
        <w:t xml:space="preserve">time </w:t>
      </w:r>
      <w:r w:rsidR="002234B4" w:rsidRPr="00206F9F">
        <w:rPr>
          <w:rFonts w:cs="Arial"/>
          <w:color w:val="auto"/>
          <w:szCs w:val="24"/>
        </w:rPr>
        <w:t xml:space="preserve">getting around </w:t>
      </w:r>
      <w:r w:rsidR="002234B4" w:rsidRPr="00206F9F">
        <w:rPr>
          <w:color w:val="auto"/>
          <w:szCs w:val="24"/>
        </w:rPr>
        <w:t xml:space="preserve">some </w:t>
      </w:r>
      <w:r w:rsidR="002234B4" w:rsidRPr="00206F9F">
        <w:rPr>
          <w:rFonts w:cs="Arial"/>
          <w:color w:val="auto"/>
          <w:szCs w:val="24"/>
        </w:rPr>
        <w:t xml:space="preserve">days </w:t>
      </w:r>
      <w:r w:rsidR="002234B4" w:rsidRPr="00206F9F">
        <w:rPr>
          <w:color w:val="auto"/>
          <w:szCs w:val="24"/>
        </w:rPr>
        <w:t xml:space="preserve">due to </w:t>
      </w:r>
      <w:r w:rsidR="002234B4" w:rsidRPr="00206F9F">
        <w:rPr>
          <w:rFonts w:cs="Arial"/>
          <w:color w:val="auto"/>
          <w:szCs w:val="24"/>
        </w:rPr>
        <w:t xml:space="preserve">the condition in </w:t>
      </w:r>
      <w:r w:rsidR="002234B4" w:rsidRPr="00206F9F">
        <w:rPr>
          <w:color w:val="auto"/>
          <w:szCs w:val="24"/>
        </w:rPr>
        <w:t xml:space="preserve">my </w:t>
      </w:r>
      <w:r w:rsidR="002234B4" w:rsidRPr="00206F9F">
        <w:rPr>
          <w:rFonts w:cs="Arial"/>
          <w:color w:val="auto"/>
          <w:szCs w:val="24"/>
        </w:rPr>
        <w:t xml:space="preserve">back.” </w:t>
      </w:r>
      <w:r w:rsidR="00DF4C31" w:rsidRPr="00206F9F">
        <w:rPr>
          <w:rFonts w:cs="Arial"/>
          <w:color w:val="auto"/>
          <w:szCs w:val="24"/>
        </w:rPr>
        <w:t xml:space="preserve"> </w:t>
      </w:r>
      <w:r w:rsidR="00ED5284" w:rsidRPr="00206F9F">
        <w:rPr>
          <w:rFonts w:eastAsiaTheme="minorHAnsi" w:cstheme="minorBidi"/>
          <w:color w:val="auto"/>
          <w:szCs w:val="24"/>
        </w:rPr>
        <w:t xml:space="preserve">He elaborates no </w:t>
      </w:r>
      <w:r w:rsidR="00206A8E" w:rsidRPr="00206F9F">
        <w:rPr>
          <w:rFonts w:eastAsiaTheme="minorHAnsi" w:cstheme="minorBidi"/>
          <w:color w:val="auto"/>
          <w:szCs w:val="24"/>
        </w:rPr>
        <w:t xml:space="preserve">further </w:t>
      </w:r>
      <w:r w:rsidR="00ED5284" w:rsidRPr="00206F9F">
        <w:rPr>
          <w:rFonts w:eastAsiaTheme="minorHAnsi" w:cstheme="minorBidi"/>
          <w:color w:val="auto"/>
          <w:szCs w:val="24"/>
        </w:rPr>
        <w:t>specific contentions regarding rating or coding and mentions no additionally contended conditions.</w:t>
      </w:r>
    </w:p>
    <w:p w:rsidR="00A83C15" w:rsidRPr="00206F9F" w:rsidRDefault="001724C8" w:rsidP="000452D7">
      <w:pPr>
        <w:tabs>
          <w:tab w:val="left" w:pos="288"/>
          <w:tab w:val="left" w:pos="4752"/>
        </w:tabs>
        <w:spacing w:line="240" w:lineRule="exact"/>
        <w:jc w:val="both"/>
        <w:rPr>
          <w:rFonts w:asciiTheme="minorHAnsi" w:hAnsiTheme="minorHAnsi"/>
          <w:b/>
          <w:caps/>
          <w:color w:val="auto"/>
          <w:u w:val="single"/>
        </w:rPr>
      </w:pPr>
      <w:r w:rsidRPr="00206F9F">
        <w:rPr>
          <w:rFonts w:asciiTheme="minorHAnsi" w:hAnsiTheme="minorHAnsi"/>
          <w:b/>
          <w:color w:val="auto"/>
          <w:u w:val="single"/>
        </w:rPr>
        <w:t>______________________________________________________________________________</w:t>
      </w:r>
    </w:p>
    <w:p w:rsidR="00865FA3" w:rsidRPr="00206F9F" w:rsidRDefault="00865FA3">
      <w:pPr>
        <w:rPr>
          <w:rFonts w:asciiTheme="minorHAnsi" w:hAnsiTheme="minorHAnsi"/>
          <w:b/>
          <w:color w:val="auto"/>
          <w:szCs w:val="24"/>
          <w:u w:val="single"/>
        </w:rPr>
      </w:pPr>
    </w:p>
    <w:p w:rsidR="009F6292" w:rsidRPr="00206F9F" w:rsidRDefault="007F0AB7" w:rsidP="00DF4C31">
      <w:pPr>
        <w:rPr>
          <w:rFonts w:asciiTheme="minorHAnsi" w:hAnsiTheme="minorHAnsi"/>
          <w:color w:val="auto"/>
        </w:rPr>
      </w:pPr>
      <w:r w:rsidRPr="00206F9F">
        <w:rPr>
          <w:rFonts w:asciiTheme="minorHAnsi" w:hAnsiTheme="minorHAnsi"/>
          <w:color w:val="auto"/>
          <w:u w:val="single"/>
        </w:rPr>
        <w:t>R</w:t>
      </w:r>
      <w:r w:rsidR="002C6E5B" w:rsidRPr="00206F9F">
        <w:rPr>
          <w:rFonts w:asciiTheme="minorHAnsi" w:hAnsiTheme="minorHAnsi"/>
          <w:color w:val="auto"/>
          <w:u w:val="single"/>
        </w:rPr>
        <w:t>ATING COMPARISON</w:t>
      </w:r>
      <w:r w:rsidR="002C6E5B" w:rsidRPr="00206F9F">
        <w:rPr>
          <w:rFonts w:asciiTheme="minorHAnsi" w:hAnsiTheme="minorHAnsi"/>
          <w:color w:val="auto"/>
        </w:rPr>
        <w:t>:</w:t>
      </w:r>
    </w:p>
    <w:p w:rsidR="000F0928" w:rsidRPr="00206F9F" w:rsidRDefault="000F0928" w:rsidP="000452D7">
      <w:pPr>
        <w:spacing w:line="240" w:lineRule="exact"/>
        <w:rPr>
          <w:rFonts w:asciiTheme="minorHAnsi" w:hAnsiTheme="minorHAnsi"/>
          <w:color w:val="auto"/>
        </w:rPr>
      </w:pPr>
    </w:p>
    <w:tbl>
      <w:tblPr>
        <w:tblStyle w:val="TableGrid"/>
        <w:tblW w:w="9540" w:type="dxa"/>
        <w:jc w:val="center"/>
        <w:tblLayout w:type="fixed"/>
        <w:tblLook w:val="04A0"/>
      </w:tblPr>
      <w:tblGrid>
        <w:gridCol w:w="2340"/>
        <w:gridCol w:w="720"/>
        <w:gridCol w:w="1530"/>
        <w:gridCol w:w="1887"/>
        <w:gridCol w:w="1167"/>
        <w:gridCol w:w="816"/>
        <w:gridCol w:w="1080"/>
      </w:tblGrid>
      <w:tr w:rsidR="002B4E22" w:rsidRPr="00206F9F" w:rsidTr="00227C50">
        <w:trPr>
          <w:trHeight w:val="233"/>
          <w:jc w:val="center"/>
        </w:trPr>
        <w:tc>
          <w:tcPr>
            <w:tcW w:w="4590" w:type="dxa"/>
            <w:gridSpan w:val="3"/>
            <w:tcBorders>
              <w:right w:val="thinThickThinSmallGap" w:sz="24" w:space="0" w:color="auto"/>
            </w:tcBorders>
            <w:shd w:val="clear" w:color="auto" w:fill="D9D9D9" w:themeFill="background1" w:themeFillShade="D9"/>
          </w:tcPr>
          <w:p w:rsidR="002B4E22" w:rsidRPr="00206F9F" w:rsidRDefault="00B731E4" w:rsidP="00337D28">
            <w:pPr>
              <w:spacing w:line="240" w:lineRule="exact"/>
              <w:contextualSpacing/>
              <w:jc w:val="center"/>
              <w:rPr>
                <w:b/>
                <w:color w:val="auto"/>
                <w:sz w:val="20"/>
                <w:szCs w:val="20"/>
              </w:rPr>
            </w:pPr>
            <w:r w:rsidRPr="00206F9F">
              <w:rPr>
                <w:b/>
                <w:color w:val="auto"/>
                <w:sz w:val="20"/>
                <w:szCs w:val="20"/>
              </w:rPr>
              <w:t xml:space="preserve">Service </w:t>
            </w:r>
            <w:r w:rsidR="00F23292" w:rsidRPr="00206F9F">
              <w:rPr>
                <w:b/>
                <w:color w:val="auto"/>
                <w:sz w:val="20"/>
                <w:szCs w:val="20"/>
              </w:rPr>
              <w:t>I</w:t>
            </w:r>
            <w:r w:rsidRPr="00206F9F">
              <w:rPr>
                <w:b/>
                <w:color w:val="auto"/>
                <w:sz w:val="20"/>
                <w:szCs w:val="20"/>
              </w:rPr>
              <w:t>PEB – Dated 200</w:t>
            </w:r>
            <w:r w:rsidR="00F23292" w:rsidRPr="00206F9F">
              <w:rPr>
                <w:b/>
                <w:color w:val="auto"/>
                <w:sz w:val="20"/>
                <w:szCs w:val="20"/>
              </w:rPr>
              <w:t>80104</w:t>
            </w:r>
          </w:p>
        </w:tc>
        <w:tc>
          <w:tcPr>
            <w:tcW w:w="4950" w:type="dxa"/>
            <w:gridSpan w:val="4"/>
            <w:tcBorders>
              <w:left w:val="thinThickThinSmallGap" w:sz="24" w:space="0" w:color="auto"/>
            </w:tcBorders>
            <w:shd w:val="clear" w:color="auto" w:fill="D9D9D9" w:themeFill="background1" w:themeFillShade="D9"/>
          </w:tcPr>
          <w:p w:rsidR="002B4E22" w:rsidRPr="00206F9F" w:rsidRDefault="000D359D" w:rsidP="00337D28">
            <w:pPr>
              <w:spacing w:line="240" w:lineRule="exact"/>
              <w:contextualSpacing/>
              <w:jc w:val="center"/>
              <w:rPr>
                <w:b/>
                <w:color w:val="auto"/>
                <w:sz w:val="20"/>
                <w:szCs w:val="20"/>
              </w:rPr>
            </w:pPr>
            <w:r w:rsidRPr="00206F9F">
              <w:rPr>
                <w:b/>
                <w:color w:val="auto"/>
                <w:sz w:val="20"/>
                <w:szCs w:val="20"/>
              </w:rPr>
              <w:t>VA (</w:t>
            </w:r>
            <w:r w:rsidR="00506A87" w:rsidRPr="00206F9F">
              <w:rPr>
                <w:b/>
                <w:color w:val="auto"/>
                <w:sz w:val="20"/>
                <w:szCs w:val="20"/>
              </w:rPr>
              <w:t>~</w:t>
            </w:r>
            <w:r w:rsidRPr="00206F9F">
              <w:rPr>
                <w:b/>
                <w:color w:val="auto"/>
                <w:sz w:val="20"/>
                <w:szCs w:val="20"/>
              </w:rPr>
              <w:t xml:space="preserve">1 </w:t>
            </w:r>
            <w:r w:rsidR="002B4E22" w:rsidRPr="00206F9F">
              <w:rPr>
                <w:b/>
                <w:color w:val="auto"/>
                <w:sz w:val="20"/>
                <w:szCs w:val="20"/>
              </w:rPr>
              <w:t xml:space="preserve">Mo. After  Separation) – All Effective Date </w:t>
            </w:r>
            <w:r w:rsidR="00B731E4" w:rsidRPr="00206F9F">
              <w:rPr>
                <w:b/>
                <w:color w:val="auto"/>
                <w:sz w:val="20"/>
                <w:szCs w:val="20"/>
              </w:rPr>
              <w:t>200</w:t>
            </w:r>
            <w:r w:rsidRPr="00206F9F">
              <w:rPr>
                <w:b/>
                <w:color w:val="auto"/>
                <w:sz w:val="20"/>
                <w:szCs w:val="20"/>
              </w:rPr>
              <w:t>80316</w:t>
            </w:r>
          </w:p>
        </w:tc>
      </w:tr>
      <w:tr w:rsidR="002B4E22" w:rsidRPr="00206F9F" w:rsidTr="00227C50">
        <w:trPr>
          <w:trHeight w:val="278"/>
          <w:jc w:val="center"/>
        </w:trPr>
        <w:tc>
          <w:tcPr>
            <w:tcW w:w="2340" w:type="dxa"/>
            <w:tcBorders>
              <w:bottom w:val="single" w:sz="4" w:space="0" w:color="000000" w:themeColor="text1"/>
              <w:right w:val="single" w:sz="4" w:space="0" w:color="auto"/>
            </w:tcBorders>
            <w:shd w:val="clear" w:color="auto" w:fill="D9D9D9" w:themeFill="background1" w:themeFillShade="D9"/>
          </w:tcPr>
          <w:p w:rsidR="002B4E22" w:rsidRPr="00206F9F" w:rsidRDefault="002B4E22" w:rsidP="00337D28">
            <w:pPr>
              <w:spacing w:line="240" w:lineRule="exact"/>
              <w:contextualSpacing/>
              <w:jc w:val="both"/>
              <w:rPr>
                <w:b/>
                <w:color w:val="auto"/>
                <w:sz w:val="20"/>
                <w:szCs w:val="20"/>
              </w:rPr>
            </w:pPr>
            <w:r w:rsidRPr="00206F9F">
              <w:rPr>
                <w:b/>
                <w:color w:val="auto"/>
                <w:sz w:val="20"/>
                <w:szCs w:val="20"/>
              </w:rPr>
              <w:t>Condition</w:t>
            </w:r>
          </w:p>
        </w:tc>
        <w:tc>
          <w:tcPr>
            <w:tcW w:w="720" w:type="dxa"/>
            <w:tcBorders>
              <w:left w:val="single" w:sz="4" w:space="0" w:color="auto"/>
              <w:bottom w:val="single" w:sz="4" w:space="0" w:color="000000" w:themeColor="text1"/>
            </w:tcBorders>
            <w:shd w:val="clear" w:color="auto" w:fill="D9D9D9" w:themeFill="background1" w:themeFillShade="D9"/>
          </w:tcPr>
          <w:p w:rsidR="002B4E22" w:rsidRPr="00206F9F" w:rsidRDefault="002B4E22" w:rsidP="00337D28">
            <w:pPr>
              <w:spacing w:line="240" w:lineRule="exact"/>
              <w:contextualSpacing/>
              <w:jc w:val="center"/>
              <w:rPr>
                <w:b/>
                <w:color w:val="auto"/>
                <w:sz w:val="20"/>
                <w:szCs w:val="20"/>
              </w:rPr>
            </w:pPr>
            <w:r w:rsidRPr="00206F9F">
              <w:rPr>
                <w:b/>
                <w:color w:val="auto"/>
                <w:sz w:val="20"/>
                <w:szCs w:val="20"/>
              </w:rPr>
              <w:t>Code</w:t>
            </w:r>
          </w:p>
        </w:tc>
        <w:tc>
          <w:tcPr>
            <w:tcW w:w="1530" w:type="dxa"/>
            <w:tcBorders>
              <w:bottom w:val="single" w:sz="4" w:space="0" w:color="000000" w:themeColor="text1"/>
              <w:right w:val="thinThickThinSmallGap" w:sz="24" w:space="0" w:color="auto"/>
            </w:tcBorders>
            <w:shd w:val="clear" w:color="auto" w:fill="D9D9D9" w:themeFill="background1" w:themeFillShade="D9"/>
          </w:tcPr>
          <w:p w:rsidR="002B4E22" w:rsidRPr="00206F9F" w:rsidRDefault="002B4E22" w:rsidP="00337D28">
            <w:pPr>
              <w:spacing w:line="240" w:lineRule="exact"/>
              <w:contextualSpacing/>
              <w:jc w:val="center"/>
              <w:rPr>
                <w:b/>
                <w:color w:val="auto"/>
                <w:sz w:val="20"/>
                <w:szCs w:val="20"/>
              </w:rPr>
            </w:pPr>
            <w:r w:rsidRPr="00206F9F">
              <w:rPr>
                <w:b/>
                <w:color w:val="auto"/>
                <w:sz w:val="20"/>
                <w:szCs w:val="20"/>
              </w:rPr>
              <w:t>Rating</w:t>
            </w:r>
          </w:p>
        </w:tc>
        <w:tc>
          <w:tcPr>
            <w:tcW w:w="1887" w:type="dxa"/>
            <w:tcBorders>
              <w:left w:val="thinThickThinSmallGap" w:sz="24" w:space="0" w:color="auto"/>
              <w:bottom w:val="single" w:sz="4" w:space="0" w:color="000000" w:themeColor="text1"/>
            </w:tcBorders>
            <w:shd w:val="clear" w:color="auto" w:fill="D9D9D9" w:themeFill="background1" w:themeFillShade="D9"/>
          </w:tcPr>
          <w:p w:rsidR="002B4E22" w:rsidRPr="00206F9F" w:rsidRDefault="002B4E22" w:rsidP="00337D28">
            <w:pPr>
              <w:spacing w:line="240" w:lineRule="exact"/>
              <w:contextualSpacing/>
              <w:jc w:val="both"/>
              <w:rPr>
                <w:b/>
                <w:color w:val="auto"/>
                <w:sz w:val="20"/>
                <w:szCs w:val="20"/>
              </w:rPr>
            </w:pPr>
            <w:r w:rsidRPr="00206F9F">
              <w:rPr>
                <w:b/>
                <w:color w:val="auto"/>
                <w:sz w:val="20"/>
                <w:szCs w:val="20"/>
              </w:rPr>
              <w:t>Condition</w:t>
            </w:r>
          </w:p>
        </w:tc>
        <w:tc>
          <w:tcPr>
            <w:tcW w:w="1167" w:type="dxa"/>
            <w:tcBorders>
              <w:bottom w:val="single" w:sz="4" w:space="0" w:color="000000" w:themeColor="text1"/>
            </w:tcBorders>
            <w:shd w:val="clear" w:color="auto" w:fill="D9D9D9" w:themeFill="background1" w:themeFillShade="D9"/>
          </w:tcPr>
          <w:p w:rsidR="002B4E22" w:rsidRPr="00206F9F" w:rsidRDefault="002B4E22" w:rsidP="00337D28">
            <w:pPr>
              <w:spacing w:line="240" w:lineRule="exact"/>
              <w:contextualSpacing/>
              <w:jc w:val="center"/>
              <w:rPr>
                <w:b/>
                <w:color w:val="auto"/>
                <w:sz w:val="20"/>
                <w:szCs w:val="20"/>
              </w:rPr>
            </w:pPr>
            <w:r w:rsidRPr="00206F9F">
              <w:rPr>
                <w:b/>
                <w:color w:val="auto"/>
                <w:sz w:val="20"/>
                <w:szCs w:val="20"/>
              </w:rPr>
              <w:t>Code</w:t>
            </w:r>
          </w:p>
        </w:tc>
        <w:tc>
          <w:tcPr>
            <w:tcW w:w="816" w:type="dxa"/>
            <w:tcBorders>
              <w:bottom w:val="single" w:sz="4" w:space="0" w:color="000000" w:themeColor="text1"/>
            </w:tcBorders>
            <w:shd w:val="clear" w:color="auto" w:fill="D9D9D9" w:themeFill="background1" w:themeFillShade="D9"/>
          </w:tcPr>
          <w:p w:rsidR="002B4E22" w:rsidRPr="00206F9F" w:rsidRDefault="002B4E22" w:rsidP="00337D28">
            <w:pPr>
              <w:spacing w:line="240" w:lineRule="exact"/>
              <w:contextualSpacing/>
              <w:jc w:val="center"/>
              <w:rPr>
                <w:b/>
                <w:color w:val="auto"/>
                <w:sz w:val="20"/>
                <w:szCs w:val="20"/>
              </w:rPr>
            </w:pPr>
            <w:r w:rsidRPr="00206F9F">
              <w:rPr>
                <w:b/>
                <w:color w:val="auto"/>
                <w:sz w:val="20"/>
                <w:szCs w:val="20"/>
              </w:rPr>
              <w:t>Rating</w:t>
            </w:r>
          </w:p>
        </w:tc>
        <w:tc>
          <w:tcPr>
            <w:tcW w:w="1080" w:type="dxa"/>
            <w:tcBorders>
              <w:bottom w:val="single" w:sz="4" w:space="0" w:color="000000" w:themeColor="text1"/>
            </w:tcBorders>
            <w:shd w:val="clear" w:color="auto" w:fill="D9D9D9" w:themeFill="background1" w:themeFillShade="D9"/>
          </w:tcPr>
          <w:p w:rsidR="002B4E22" w:rsidRPr="00206F9F" w:rsidRDefault="002B4E22" w:rsidP="00337D28">
            <w:pPr>
              <w:spacing w:line="240" w:lineRule="exact"/>
              <w:contextualSpacing/>
              <w:jc w:val="center"/>
              <w:rPr>
                <w:b/>
                <w:color w:val="auto"/>
                <w:sz w:val="20"/>
                <w:szCs w:val="20"/>
              </w:rPr>
            </w:pPr>
            <w:r w:rsidRPr="00206F9F">
              <w:rPr>
                <w:b/>
                <w:color w:val="auto"/>
                <w:sz w:val="20"/>
                <w:szCs w:val="20"/>
              </w:rPr>
              <w:t>Exam</w:t>
            </w:r>
          </w:p>
        </w:tc>
      </w:tr>
      <w:tr w:rsidR="002B4E22" w:rsidRPr="00206F9F" w:rsidTr="00227C50">
        <w:trPr>
          <w:trHeight w:val="287"/>
          <w:jc w:val="center"/>
        </w:trPr>
        <w:tc>
          <w:tcPr>
            <w:tcW w:w="2340" w:type="dxa"/>
            <w:tcBorders>
              <w:right w:val="single" w:sz="4" w:space="0" w:color="auto"/>
            </w:tcBorders>
            <w:shd w:val="clear" w:color="auto" w:fill="FFFFFF" w:themeFill="background1"/>
            <w:vAlign w:val="center"/>
          </w:tcPr>
          <w:p w:rsidR="002B4E22" w:rsidRPr="00206F9F" w:rsidRDefault="00F23292" w:rsidP="00227C50">
            <w:pPr>
              <w:spacing w:line="180" w:lineRule="exact"/>
              <w:contextualSpacing/>
              <w:jc w:val="both"/>
              <w:rPr>
                <w:color w:val="auto"/>
                <w:sz w:val="20"/>
                <w:szCs w:val="20"/>
              </w:rPr>
            </w:pPr>
            <w:r w:rsidRPr="00206F9F">
              <w:rPr>
                <w:color w:val="auto"/>
                <w:sz w:val="20"/>
                <w:szCs w:val="20"/>
              </w:rPr>
              <w:t>Back Pain, Herniated Disk</w:t>
            </w:r>
          </w:p>
        </w:tc>
        <w:tc>
          <w:tcPr>
            <w:tcW w:w="720" w:type="dxa"/>
            <w:tcBorders>
              <w:left w:val="single" w:sz="4" w:space="0" w:color="auto"/>
            </w:tcBorders>
            <w:shd w:val="clear" w:color="auto" w:fill="FFFFFF" w:themeFill="background1"/>
            <w:vAlign w:val="center"/>
          </w:tcPr>
          <w:p w:rsidR="002B4E22" w:rsidRPr="00206F9F" w:rsidRDefault="00F23292" w:rsidP="00337D28">
            <w:pPr>
              <w:spacing w:line="180" w:lineRule="exact"/>
              <w:contextualSpacing/>
              <w:jc w:val="center"/>
              <w:rPr>
                <w:color w:val="auto"/>
                <w:sz w:val="20"/>
                <w:szCs w:val="20"/>
              </w:rPr>
            </w:pPr>
            <w:r w:rsidRPr="00206F9F">
              <w:rPr>
                <w:color w:val="auto"/>
                <w:sz w:val="20"/>
                <w:szCs w:val="20"/>
              </w:rPr>
              <w:t>5237</w:t>
            </w:r>
          </w:p>
        </w:tc>
        <w:tc>
          <w:tcPr>
            <w:tcW w:w="1530" w:type="dxa"/>
            <w:tcBorders>
              <w:right w:val="thinThickThinSmallGap" w:sz="24" w:space="0" w:color="auto"/>
            </w:tcBorders>
            <w:shd w:val="clear" w:color="auto" w:fill="FFFFFF" w:themeFill="background1"/>
            <w:vAlign w:val="center"/>
          </w:tcPr>
          <w:p w:rsidR="002B4E22" w:rsidRPr="00206F9F" w:rsidRDefault="00F23292" w:rsidP="00337D28">
            <w:pPr>
              <w:spacing w:line="180" w:lineRule="exact"/>
              <w:contextualSpacing/>
              <w:jc w:val="center"/>
              <w:rPr>
                <w:color w:val="auto"/>
                <w:sz w:val="20"/>
                <w:szCs w:val="20"/>
              </w:rPr>
            </w:pPr>
            <w:r w:rsidRPr="00206F9F">
              <w:rPr>
                <w:color w:val="auto"/>
                <w:sz w:val="20"/>
                <w:szCs w:val="20"/>
              </w:rPr>
              <w:t>2</w:t>
            </w:r>
            <w:r w:rsidR="002B4E22" w:rsidRPr="00206F9F">
              <w:rPr>
                <w:color w:val="auto"/>
                <w:sz w:val="20"/>
                <w:szCs w:val="20"/>
              </w:rPr>
              <w:t>0%</w:t>
            </w:r>
          </w:p>
        </w:tc>
        <w:tc>
          <w:tcPr>
            <w:tcW w:w="1887" w:type="dxa"/>
            <w:tcBorders>
              <w:left w:val="thinThickThinSmallGap" w:sz="24" w:space="0" w:color="auto"/>
            </w:tcBorders>
            <w:shd w:val="clear" w:color="auto" w:fill="FFFFFF" w:themeFill="background1"/>
            <w:vAlign w:val="center"/>
          </w:tcPr>
          <w:p w:rsidR="002B4E22" w:rsidRPr="00206F9F" w:rsidRDefault="000D359D" w:rsidP="00227C50">
            <w:pPr>
              <w:spacing w:line="180" w:lineRule="exact"/>
              <w:contextualSpacing/>
              <w:rPr>
                <w:color w:val="auto"/>
                <w:sz w:val="20"/>
                <w:szCs w:val="20"/>
              </w:rPr>
            </w:pPr>
            <w:r w:rsidRPr="00206F9F">
              <w:rPr>
                <w:color w:val="auto"/>
                <w:sz w:val="20"/>
                <w:szCs w:val="20"/>
              </w:rPr>
              <w:t>DDD, Lumbar Spine w/Sciatica</w:t>
            </w:r>
          </w:p>
        </w:tc>
        <w:tc>
          <w:tcPr>
            <w:tcW w:w="1167" w:type="dxa"/>
            <w:shd w:val="clear" w:color="auto" w:fill="FFFFFF" w:themeFill="background1"/>
          </w:tcPr>
          <w:p w:rsidR="002B4E22" w:rsidRPr="00206F9F" w:rsidRDefault="000D359D" w:rsidP="00337D28">
            <w:pPr>
              <w:spacing w:line="180" w:lineRule="exact"/>
              <w:contextualSpacing/>
              <w:jc w:val="center"/>
              <w:rPr>
                <w:color w:val="auto"/>
                <w:sz w:val="20"/>
                <w:szCs w:val="20"/>
              </w:rPr>
            </w:pPr>
            <w:r w:rsidRPr="00206F9F">
              <w:rPr>
                <w:color w:val="auto"/>
                <w:sz w:val="20"/>
                <w:szCs w:val="20"/>
              </w:rPr>
              <w:t>8260-5243</w:t>
            </w:r>
          </w:p>
        </w:tc>
        <w:tc>
          <w:tcPr>
            <w:tcW w:w="816" w:type="dxa"/>
            <w:shd w:val="clear" w:color="auto" w:fill="FFFFFF" w:themeFill="background1"/>
          </w:tcPr>
          <w:p w:rsidR="002B4E22" w:rsidRPr="00206F9F" w:rsidRDefault="000D359D" w:rsidP="00337D28">
            <w:pPr>
              <w:spacing w:line="180" w:lineRule="exact"/>
              <w:contextualSpacing/>
              <w:jc w:val="center"/>
              <w:rPr>
                <w:color w:val="auto"/>
                <w:sz w:val="20"/>
                <w:szCs w:val="20"/>
              </w:rPr>
            </w:pPr>
            <w:r w:rsidRPr="00206F9F">
              <w:rPr>
                <w:color w:val="auto"/>
                <w:sz w:val="20"/>
                <w:szCs w:val="20"/>
              </w:rPr>
              <w:t>4</w:t>
            </w:r>
            <w:r w:rsidR="002B4E22" w:rsidRPr="00206F9F">
              <w:rPr>
                <w:color w:val="auto"/>
                <w:sz w:val="20"/>
                <w:szCs w:val="20"/>
              </w:rPr>
              <w:t>0%</w:t>
            </w:r>
          </w:p>
        </w:tc>
        <w:tc>
          <w:tcPr>
            <w:tcW w:w="1080" w:type="dxa"/>
            <w:shd w:val="clear" w:color="auto" w:fill="FFFFFF" w:themeFill="background1"/>
            <w:vAlign w:val="center"/>
          </w:tcPr>
          <w:p w:rsidR="002B4E22" w:rsidRPr="00206F9F" w:rsidRDefault="00B731E4" w:rsidP="00337D28">
            <w:pPr>
              <w:spacing w:line="180" w:lineRule="exact"/>
              <w:contextualSpacing/>
              <w:jc w:val="center"/>
              <w:rPr>
                <w:color w:val="auto"/>
                <w:sz w:val="20"/>
                <w:szCs w:val="20"/>
              </w:rPr>
            </w:pPr>
            <w:r w:rsidRPr="00206F9F">
              <w:rPr>
                <w:color w:val="auto"/>
                <w:sz w:val="20"/>
                <w:szCs w:val="20"/>
              </w:rPr>
              <w:t>200</w:t>
            </w:r>
            <w:r w:rsidR="000D359D" w:rsidRPr="00206F9F">
              <w:rPr>
                <w:color w:val="auto"/>
                <w:sz w:val="20"/>
                <w:szCs w:val="20"/>
              </w:rPr>
              <w:t>80429</w:t>
            </w:r>
          </w:p>
        </w:tc>
      </w:tr>
      <w:tr w:rsidR="00F23292" w:rsidRPr="00206F9F" w:rsidTr="00227C50">
        <w:trPr>
          <w:trHeight w:val="287"/>
          <w:jc w:val="center"/>
        </w:trPr>
        <w:tc>
          <w:tcPr>
            <w:tcW w:w="4590" w:type="dxa"/>
            <w:gridSpan w:val="3"/>
            <w:vMerge w:val="restart"/>
            <w:tcBorders>
              <w:right w:val="thinThickThinSmallGap" w:sz="24" w:space="0" w:color="auto"/>
            </w:tcBorders>
            <w:shd w:val="clear" w:color="auto" w:fill="FFFFFF" w:themeFill="background1"/>
          </w:tcPr>
          <w:p w:rsidR="00F23292" w:rsidRPr="00206F9F" w:rsidRDefault="00F23292" w:rsidP="00337D28">
            <w:pPr>
              <w:spacing w:line="180" w:lineRule="exact"/>
              <w:contextualSpacing/>
              <w:jc w:val="center"/>
              <w:rPr>
                <w:color w:val="auto"/>
                <w:sz w:val="20"/>
                <w:szCs w:val="20"/>
              </w:rPr>
            </w:pPr>
            <w:r w:rsidRPr="00206F9F">
              <w:rPr>
                <w:color w:val="auto"/>
                <w:sz w:val="20"/>
                <w:szCs w:val="20"/>
              </w:rPr>
              <w:t xml:space="preserve">↓No Additional MEB </w:t>
            </w:r>
            <w:r w:rsidR="00506A87" w:rsidRPr="00206F9F">
              <w:rPr>
                <w:color w:val="auto"/>
                <w:sz w:val="20"/>
                <w:szCs w:val="20"/>
              </w:rPr>
              <w:t xml:space="preserve">/ PEB </w:t>
            </w:r>
            <w:r w:rsidRPr="00206F9F">
              <w:rPr>
                <w:color w:val="auto"/>
                <w:sz w:val="20"/>
                <w:szCs w:val="20"/>
              </w:rPr>
              <w:t>Entries↓</w:t>
            </w:r>
          </w:p>
        </w:tc>
        <w:tc>
          <w:tcPr>
            <w:tcW w:w="1887" w:type="dxa"/>
            <w:tcBorders>
              <w:left w:val="thinThickThinSmallGap" w:sz="24" w:space="0" w:color="auto"/>
              <w:right w:val="single" w:sz="4" w:space="0" w:color="auto"/>
            </w:tcBorders>
            <w:shd w:val="clear" w:color="auto" w:fill="FFFFFF" w:themeFill="background1"/>
            <w:vAlign w:val="center"/>
          </w:tcPr>
          <w:p w:rsidR="00F23292" w:rsidRPr="00206F9F" w:rsidRDefault="000D359D" w:rsidP="00227C50">
            <w:pPr>
              <w:spacing w:line="180" w:lineRule="exact"/>
              <w:contextualSpacing/>
              <w:rPr>
                <w:color w:val="auto"/>
                <w:sz w:val="20"/>
                <w:szCs w:val="20"/>
              </w:rPr>
            </w:pPr>
            <w:r w:rsidRPr="00206F9F">
              <w:rPr>
                <w:color w:val="auto"/>
                <w:sz w:val="20"/>
                <w:szCs w:val="20"/>
              </w:rPr>
              <w:t xml:space="preserve">R Shoulder Pain </w:t>
            </w:r>
            <w:r w:rsidR="00337D28" w:rsidRPr="00206F9F">
              <w:rPr>
                <w:color w:val="auto"/>
                <w:sz w:val="20"/>
                <w:szCs w:val="20"/>
              </w:rPr>
              <w:t>…</w:t>
            </w:r>
          </w:p>
        </w:tc>
        <w:tc>
          <w:tcPr>
            <w:tcW w:w="1167" w:type="dxa"/>
            <w:tcBorders>
              <w:left w:val="single" w:sz="4" w:space="0" w:color="auto"/>
            </w:tcBorders>
            <w:shd w:val="clear" w:color="auto" w:fill="FFFFFF" w:themeFill="background1"/>
            <w:vAlign w:val="center"/>
          </w:tcPr>
          <w:p w:rsidR="00F23292" w:rsidRPr="00206F9F" w:rsidRDefault="000D359D" w:rsidP="00337D28">
            <w:pPr>
              <w:spacing w:line="180" w:lineRule="exact"/>
              <w:contextualSpacing/>
              <w:jc w:val="center"/>
              <w:rPr>
                <w:color w:val="auto"/>
                <w:sz w:val="20"/>
                <w:szCs w:val="20"/>
              </w:rPr>
            </w:pPr>
            <w:r w:rsidRPr="00206F9F">
              <w:rPr>
                <w:color w:val="auto"/>
                <w:sz w:val="20"/>
                <w:szCs w:val="20"/>
              </w:rPr>
              <w:t>5201-5010</w:t>
            </w:r>
          </w:p>
        </w:tc>
        <w:tc>
          <w:tcPr>
            <w:tcW w:w="816" w:type="dxa"/>
            <w:shd w:val="clear" w:color="auto" w:fill="FFFFFF" w:themeFill="background1"/>
          </w:tcPr>
          <w:p w:rsidR="00F23292" w:rsidRPr="00206F9F" w:rsidRDefault="000D359D" w:rsidP="00337D28">
            <w:pPr>
              <w:spacing w:line="180" w:lineRule="exact"/>
              <w:contextualSpacing/>
              <w:jc w:val="center"/>
              <w:rPr>
                <w:color w:val="auto"/>
                <w:sz w:val="20"/>
                <w:szCs w:val="20"/>
              </w:rPr>
            </w:pPr>
            <w:r w:rsidRPr="00206F9F">
              <w:rPr>
                <w:color w:val="auto"/>
                <w:sz w:val="20"/>
              </w:rPr>
              <w:t>1</w:t>
            </w:r>
            <w:r w:rsidR="00F23292" w:rsidRPr="00206F9F">
              <w:rPr>
                <w:color w:val="auto"/>
                <w:sz w:val="20"/>
              </w:rPr>
              <w:t>0%</w:t>
            </w:r>
          </w:p>
        </w:tc>
        <w:tc>
          <w:tcPr>
            <w:tcW w:w="1080" w:type="dxa"/>
            <w:shd w:val="clear" w:color="auto" w:fill="FFFFFF" w:themeFill="background1"/>
            <w:vAlign w:val="center"/>
          </w:tcPr>
          <w:p w:rsidR="00F23292" w:rsidRPr="00206F9F" w:rsidRDefault="00F23292" w:rsidP="00337D28">
            <w:pPr>
              <w:spacing w:line="180" w:lineRule="exact"/>
              <w:contextualSpacing/>
              <w:jc w:val="center"/>
              <w:rPr>
                <w:color w:val="auto"/>
                <w:sz w:val="20"/>
                <w:szCs w:val="20"/>
              </w:rPr>
            </w:pPr>
            <w:r w:rsidRPr="00206F9F">
              <w:rPr>
                <w:color w:val="auto"/>
                <w:sz w:val="20"/>
                <w:szCs w:val="20"/>
              </w:rPr>
              <w:t>200</w:t>
            </w:r>
            <w:r w:rsidR="000D359D" w:rsidRPr="00206F9F">
              <w:rPr>
                <w:color w:val="auto"/>
                <w:sz w:val="20"/>
                <w:szCs w:val="20"/>
              </w:rPr>
              <w:t>80429</w:t>
            </w:r>
            <w:r w:rsidRPr="00206F9F">
              <w:rPr>
                <w:color w:val="auto"/>
                <w:sz w:val="20"/>
                <w:szCs w:val="20"/>
              </w:rPr>
              <w:t xml:space="preserve"> </w:t>
            </w:r>
          </w:p>
        </w:tc>
      </w:tr>
      <w:tr w:rsidR="000D359D" w:rsidRPr="00206F9F" w:rsidTr="00227C50">
        <w:trPr>
          <w:trHeight w:val="215"/>
          <w:jc w:val="center"/>
        </w:trPr>
        <w:tc>
          <w:tcPr>
            <w:tcW w:w="4590" w:type="dxa"/>
            <w:gridSpan w:val="3"/>
            <w:vMerge/>
            <w:tcBorders>
              <w:right w:val="thinThickThinSmallGap" w:sz="24" w:space="0" w:color="auto"/>
            </w:tcBorders>
            <w:shd w:val="clear" w:color="auto" w:fill="FFFFFF" w:themeFill="background1"/>
            <w:vAlign w:val="center"/>
          </w:tcPr>
          <w:p w:rsidR="000D359D" w:rsidRPr="00206F9F" w:rsidRDefault="000D359D" w:rsidP="00337D28">
            <w:pPr>
              <w:spacing w:line="180" w:lineRule="exact"/>
              <w:contextualSpacing/>
              <w:jc w:val="center"/>
              <w:rPr>
                <w:color w:val="auto"/>
                <w:sz w:val="20"/>
                <w:szCs w:val="20"/>
              </w:rPr>
            </w:pPr>
          </w:p>
        </w:tc>
        <w:tc>
          <w:tcPr>
            <w:tcW w:w="1887" w:type="dxa"/>
            <w:tcBorders>
              <w:left w:val="thinThickThinSmallGap" w:sz="24" w:space="0" w:color="auto"/>
              <w:right w:val="single" w:sz="4" w:space="0" w:color="auto"/>
            </w:tcBorders>
            <w:shd w:val="clear" w:color="auto" w:fill="FFFFFF" w:themeFill="background1"/>
            <w:vAlign w:val="center"/>
          </w:tcPr>
          <w:p w:rsidR="000D359D" w:rsidRPr="00206F9F" w:rsidRDefault="000D359D" w:rsidP="00227C50">
            <w:pPr>
              <w:spacing w:line="180" w:lineRule="exact"/>
              <w:contextualSpacing/>
              <w:rPr>
                <w:color w:val="auto"/>
                <w:sz w:val="20"/>
                <w:szCs w:val="20"/>
              </w:rPr>
            </w:pPr>
            <w:r w:rsidRPr="00206F9F">
              <w:rPr>
                <w:color w:val="auto"/>
                <w:sz w:val="20"/>
                <w:szCs w:val="20"/>
              </w:rPr>
              <w:t>Tinnitus</w:t>
            </w:r>
          </w:p>
        </w:tc>
        <w:tc>
          <w:tcPr>
            <w:tcW w:w="1167" w:type="dxa"/>
            <w:tcBorders>
              <w:left w:val="single" w:sz="4" w:space="0" w:color="auto"/>
              <w:right w:val="single" w:sz="4" w:space="0" w:color="auto"/>
            </w:tcBorders>
            <w:shd w:val="clear" w:color="auto" w:fill="FFFFFF" w:themeFill="background1"/>
            <w:vAlign w:val="center"/>
          </w:tcPr>
          <w:p w:rsidR="000D359D" w:rsidRPr="00206F9F" w:rsidRDefault="000D359D" w:rsidP="00337D28">
            <w:pPr>
              <w:spacing w:line="180" w:lineRule="exact"/>
              <w:contextualSpacing/>
              <w:jc w:val="center"/>
              <w:rPr>
                <w:color w:val="auto"/>
                <w:sz w:val="20"/>
              </w:rPr>
            </w:pPr>
            <w:r w:rsidRPr="00206F9F">
              <w:rPr>
                <w:color w:val="auto"/>
                <w:sz w:val="20"/>
              </w:rPr>
              <w:t>6260</w:t>
            </w:r>
          </w:p>
        </w:tc>
        <w:tc>
          <w:tcPr>
            <w:tcW w:w="816" w:type="dxa"/>
            <w:tcBorders>
              <w:left w:val="single" w:sz="4" w:space="0" w:color="auto"/>
            </w:tcBorders>
            <w:shd w:val="clear" w:color="auto" w:fill="FFFFFF" w:themeFill="background1"/>
            <w:vAlign w:val="center"/>
          </w:tcPr>
          <w:p w:rsidR="000D359D" w:rsidRPr="00206F9F" w:rsidRDefault="000D359D" w:rsidP="00337D28">
            <w:pPr>
              <w:spacing w:line="180" w:lineRule="exact"/>
              <w:contextualSpacing/>
              <w:jc w:val="center"/>
              <w:rPr>
                <w:color w:val="auto"/>
                <w:sz w:val="20"/>
              </w:rPr>
            </w:pPr>
            <w:r w:rsidRPr="00206F9F">
              <w:rPr>
                <w:color w:val="auto"/>
                <w:sz w:val="20"/>
              </w:rPr>
              <w:t>10%</w:t>
            </w:r>
          </w:p>
        </w:tc>
        <w:tc>
          <w:tcPr>
            <w:tcW w:w="1080" w:type="dxa"/>
            <w:shd w:val="clear" w:color="auto" w:fill="FFFFFF" w:themeFill="background1"/>
            <w:vAlign w:val="center"/>
          </w:tcPr>
          <w:p w:rsidR="000D359D" w:rsidRPr="00206F9F" w:rsidRDefault="000D359D" w:rsidP="00337D28">
            <w:pPr>
              <w:spacing w:line="180" w:lineRule="exact"/>
              <w:contextualSpacing/>
              <w:jc w:val="center"/>
              <w:rPr>
                <w:color w:val="auto"/>
                <w:sz w:val="20"/>
                <w:szCs w:val="20"/>
              </w:rPr>
            </w:pPr>
            <w:r w:rsidRPr="00206F9F">
              <w:rPr>
                <w:color w:val="auto"/>
                <w:sz w:val="20"/>
                <w:szCs w:val="20"/>
              </w:rPr>
              <w:t>20080509</w:t>
            </w:r>
          </w:p>
        </w:tc>
      </w:tr>
      <w:tr w:rsidR="002234B4" w:rsidRPr="00206F9F" w:rsidTr="00227C50">
        <w:trPr>
          <w:trHeight w:val="188"/>
          <w:jc w:val="center"/>
        </w:trPr>
        <w:tc>
          <w:tcPr>
            <w:tcW w:w="4590" w:type="dxa"/>
            <w:gridSpan w:val="3"/>
            <w:vMerge/>
            <w:tcBorders>
              <w:right w:val="thinThickThinSmallGap" w:sz="24" w:space="0" w:color="auto"/>
            </w:tcBorders>
            <w:shd w:val="clear" w:color="auto" w:fill="FFFFFF" w:themeFill="background1"/>
          </w:tcPr>
          <w:p w:rsidR="002234B4" w:rsidRPr="00206F9F" w:rsidRDefault="002234B4" w:rsidP="00337D28">
            <w:pPr>
              <w:spacing w:line="180" w:lineRule="exact"/>
              <w:contextualSpacing/>
              <w:jc w:val="center"/>
              <w:rPr>
                <w:color w:val="auto"/>
                <w:sz w:val="20"/>
                <w:szCs w:val="20"/>
              </w:rPr>
            </w:pPr>
          </w:p>
        </w:tc>
        <w:tc>
          <w:tcPr>
            <w:tcW w:w="3870" w:type="dxa"/>
            <w:gridSpan w:val="3"/>
            <w:tcBorders>
              <w:left w:val="thinThickThinSmallGap" w:sz="24" w:space="0" w:color="auto"/>
              <w:right w:val="single" w:sz="4" w:space="0" w:color="auto"/>
            </w:tcBorders>
            <w:shd w:val="clear" w:color="auto" w:fill="FFFFFF" w:themeFill="background1"/>
          </w:tcPr>
          <w:p w:rsidR="002234B4" w:rsidRPr="00206F9F" w:rsidRDefault="002234B4" w:rsidP="00337D28">
            <w:pPr>
              <w:spacing w:line="180" w:lineRule="exact"/>
              <w:contextualSpacing/>
              <w:jc w:val="center"/>
              <w:rPr>
                <w:color w:val="auto"/>
                <w:sz w:val="20"/>
                <w:szCs w:val="20"/>
              </w:rPr>
            </w:pPr>
            <w:r w:rsidRPr="00206F9F">
              <w:rPr>
                <w:rFonts w:cs="Times New Roman"/>
                <w:color w:val="auto"/>
                <w:sz w:val="20"/>
                <w:szCs w:val="20"/>
              </w:rPr>
              <w:t xml:space="preserve">0% </w:t>
            </w:r>
            <w:r w:rsidR="00337D28" w:rsidRPr="00206F9F">
              <w:rPr>
                <w:rFonts w:cs="Times New Roman"/>
                <w:color w:val="auto"/>
                <w:sz w:val="20"/>
                <w:szCs w:val="20"/>
              </w:rPr>
              <w:t>x</w:t>
            </w:r>
            <w:r w:rsidRPr="00206F9F">
              <w:rPr>
                <w:rFonts w:cs="Times New Roman"/>
                <w:color w:val="auto"/>
                <w:sz w:val="20"/>
                <w:szCs w:val="20"/>
              </w:rPr>
              <w:t xml:space="preserve"> 0 / Not Service Connected </w:t>
            </w:r>
            <w:r w:rsidR="00337D28" w:rsidRPr="00206F9F">
              <w:rPr>
                <w:rFonts w:cs="Times New Roman"/>
                <w:color w:val="auto"/>
                <w:sz w:val="20"/>
                <w:szCs w:val="20"/>
              </w:rPr>
              <w:t>x</w:t>
            </w:r>
            <w:r w:rsidRPr="00206F9F">
              <w:rPr>
                <w:rFonts w:cs="Times New Roman"/>
                <w:color w:val="auto"/>
                <w:sz w:val="20"/>
                <w:szCs w:val="20"/>
              </w:rPr>
              <w:t xml:space="preserve"> </w:t>
            </w:r>
            <w:r w:rsidR="008A678A" w:rsidRPr="00206F9F">
              <w:rPr>
                <w:rFonts w:cs="Times New Roman"/>
                <w:color w:val="auto"/>
                <w:sz w:val="20"/>
                <w:szCs w:val="20"/>
              </w:rPr>
              <w:t>3</w:t>
            </w:r>
          </w:p>
        </w:tc>
        <w:tc>
          <w:tcPr>
            <w:tcW w:w="1080" w:type="dxa"/>
            <w:tcBorders>
              <w:left w:val="single" w:sz="4" w:space="0" w:color="auto"/>
            </w:tcBorders>
            <w:shd w:val="clear" w:color="auto" w:fill="FFFFFF" w:themeFill="background1"/>
            <w:vAlign w:val="center"/>
          </w:tcPr>
          <w:p w:rsidR="002234B4" w:rsidRPr="00206F9F" w:rsidRDefault="002234B4" w:rsidP="00337D28">
            <w:pPr>
              <w:spacing w:line="180" w:lineRule="exact"/>
              <w:contextualSpacing/>
              <w:jc w:val="center"/>
              <w:rPr>
                <w:color w:val="auto"/>
                <w:sz w:val="20"/>
              </w:rPr>
            </w:pPr>
            <w:r w:rsidRPr="00206F9F">
              <w:rPr>
                <w:color w:val="auto"/>
                <w:sz w:val="20"/>
                <w:szCs w:val="20"/>
              </w:rPr>
              <w:t xml:space="preserve">20080429  </w:t>
            </w:r>
          </w:p>
        </w:tc>
      </w:tr>
      <w:tr w:rsidR="002B4E22" w:rsidRPr="00206F9F" w:rsidTr="00227C50">
        <w:trPr>
          <w:trHeight w:val="242"/>
          <w:jc w:val="center"/>
        </w:trPr>
        <w:tc>
          <w:tcPr>
            <w:tcW w:w="4590" w:type="dxa"/>
            <w:gridSpan w:val="3"/>
            <w:tcBorders>
              <w:right w:val="thinThickThinSmallGap" w:sz="24" w:space="0" w:color="auto"/>
            </w:tcBorders>
            <w:shd w:val="clear" w:color="auto" w:fill="D9D9D9" w:themeFill="background1" w:themeFillShade="D9"/>
            <w:vAlign w:val="center"/>
          </w:tcPr>
          <w:p w:rsidR="002B4E22" w:rsidRPr="00206F9F" w:rsidRDefault="002B4E22" w:rsidP="00337D28">
            <w:pPr>
              <w:spacing w:line="240" w:lineRule="exact"/>
              <w:contextualSpacing/>
              <w:jc w:val="center"/>
              <w:rPr>
                <w:b/>
                <w:color w:val="auto"/>
                <w:sz w:val="20"/>
                <w:szCs w:val="20"/>
              </w:rPr>
            </w:pPr>
            <w:r w:rsidRPr="00206F9F">
              <w:rPr>
                <w:b/>
                <w:color w:val="auto"/>
                <w:sz w:val="20"/>
                <w:szCs w:val="20"/>
              </w:rPr>
              <w:t xml:space="preserve">Combined:  </w:t>
            </w:r>
            <w:r w:rsidR="00F23292" w:rsidRPr="00206F9F">
              <w:rPr>
                <w:b/>
                <w:color w:val="auto"/>
                <w:sz w:val="20"/>
                <w:szCs w:val="20"/>
              </w:rPr>
              <w:t>2</w:t>
            </w:r>
            <w:r w:rsidRPr="00206F9F">
              <w:rPr>
                <w:b/>
                <w:color w:val="auto"/>
                <w:sz w:val="20"/>
                <w:szCs w:val="20"/>
              </w:rPr>
              <w:t>0%</w:t>
            </w:r>
          </w:p>
        </w:tc>
        <w:tc>
          <w:tcPr>
            <w:tcW w:w="4950" w:type="dxa"/>
            <w:gridSpan w:val="4"/>
            <w:tcBorders>
              <w:left w:val="thinThickThinSmallGap" w:sz="24" w:space="0" w:color="auto"/>
            </w:tcBorders>
            <w:shd w:val="clear" w:color="auto" w:fill="D9D9D9" w:themeFill="background1" w:themeFillShade="D9"/>
            <w:vAlign w:val="center"/>
          </w:tcPr>
          <w:p w:rsidR="002B4E22" w:rsidRPr="00206F9F" w:rsidRDefault="007A2346" w:rsidP="00337D28">
            <w:pPr>
              <w:spacing w:line="240" w:lineRule="exact"/>
              <w:contextualSpacing/>
              <w:jc w:val="center"/>
              <w:rPr>
                <w:b/>
                <w:color w:val="auto"/>
                <w:sz w:val="20"/>
                <w:szCs w:val="20"/>
              </w:rPr>
            </w:pPr>
            <w:r w:rsidRPr="00206F9F">
              <w:rPr>
                <w:b/>
                <w:color w:val="auto"/>
                <w:sz w:val="20"/>
                <w:szCs w:val="20"/>
              </w:rPr>
              <w:t xml:space="preserve">Combined: </w:t>
            </w:r>
            <w:r w:rsidR="00E57FED" w:rsidRPr="00206F9F">
              <w:rPr>
                <w:b/>
                <w:color w:val="auto"/>
                <w:sz w:val="20"/>
                <w:szCs w:val="20"/>
              </w:rPr>
              <w:t xml:space="preserve"> </w:t>
            </w:r>
            <w:r w:rsidR="002234B4" w:rsidRPr="00206F9F">
              <w:rPr>
                <w:b/>
                <w:color w:val="auto"/>
                <w:sz w:val="20"/>
                <w:szCs w:val="20"/>
              </w:rPr>
              <w:t>5</w:t>
            </w:r>
            <w:r w:rsidRPr="00206F9F">
              <w:rPr>
                <w:b/>
                <w:color w:val="auto"/>
                <w:sz w:val="20"/>
                <w:szCs w:val="20"/>
              </w:rPr>
              <w:t>0%</w:t>
            </w:r>
          </w:p>
        </w:tc>
      </w:tr>
    </w:tbl>
    <w:p w:rsidR="00B0773A" w:rsidRPr="00206F9F" w:rsidRDefault="00B0773A" w:rsidP="007F0AB7">
      <w:pPr>
        <w:pBdr>
          <w:bottom w:val="single" w:sz="12" w:space="1" w:color="auto"/>
        </w:pBdr>
        <w:tabs>
          <w:tab w:val="left" w:pos="288"/>
          <w:tab w:val="left" w:pos="4752"/>
        </w:tabs>
        <w:spacing w:line="240" w:lineRule="exact"/>
        <w:jc w:val="both"/>
        <w:rPr>
          <w:rFonts w:asciiTheme="minorHAnsi" w:hAnsiTheme="minorHAnsi"/>
          <w:color w:val="auto"/>
          <w:u w:val="single"/>
        </w:rPr>
      </w:pPr>
    </w:p>
    <w:p w:rsidR="00506A87" w:rsidRPr="00206F9F" w:rsidRDefault="00506A87" w:rsidP="007F0AB7">
      <w:pPr>
        <w:tabs>
          <w:tab w:val="left" w:pos="288"/>
          <w:tab w:val="left" w:pos="4752"/>
        </w:tabs>
        <w:spacing w:line="240" w:lineRule="exact"/>
        <w:jc w:val="both"/>
        <w:rPr>
          <w:rFonts w:asciiTheme="minorHAnsi" w:hAnsiTheme="minorHAnsi"/>
          <w:color w:val="auto"/>
          <w:szCs w:val="24"/>
          <w:u w:val="single"/>
        </w:rPr>
      </w:pPr>
    </w:p>
    <w:p w:rsidR="00231CFF" w:rsidRPr="00206F9F" w:rsidRDefault="002C6E5B" w:rsidP="00505B73">
      <w:pPr>
        <w:tabs>
          <w:tab w:val="left" w:pos="288"/>
          <w:tab w:val="left" w:pos="4752"/>
        </w:tabs>
        <w:spacing w:line="240" w:lineRule="exact"/>
        <w:jc w:val="both"/>
        <w:rPr>
          <w:color w:val="auto"/>
          <w:szCs w:val="24"/>
        </w:rPr>
      </w:pPr>
      <w:r w:rsidRPr="00206F9F">
        <w:rPr>
          <w:rFonts w:asciiTheme="minorHAnsi" w:hAnsiTheme="minorHAnsi"/>
          <w:color w:val="auto"/>
          <w:szCs w:val="24"/>
          <w:u w:val="single"/>
        </w:rPr>
        <w:t>ANALYSIS SUMMARY</w:t>
      </w:r>
      <w:r w:rsidRPr="00206F9F">
        <w:rPr>
          <w:rFonts w:asciiTheme="minorHAnsi" w:hAnsiTheme="minorHAnsi"/>
          <w:color w:val="auto"/>
          <w:szCs w:val="24"/>
        </w:rPr>
        <w:t>:</w:t>
      </w:r>
      <w:r w:rsidR="008B48A7" w:rsidRPr="00206F9F">
        <w:rPr>
          <w:rFonts w:asciiTheme="minorHAnsi" w:hAnsiTheme="minorHAnsi"/>
          <w:color w:val="auto"/>
          <w:szCs w:val="24"/>
        </w:rPr>
        <w:t xml:space="preserve">  </w:t>
      </w:r>
      <w:r w:rsidR="008B48A7" w:rsidRPr="00206F9F">
        <w:rPr>
          <w:color w:val="auto"/>
          <w:szCs w:val="24"/>
        </w:rPr>
        <w:t>The Board acknowledges the sentiment expressed in the CI’s application regarding the significant impact that his service-incurred condition has had on his current quality of life.  It is a fact, however, that the Disability Evaluation System</w:t>
      </w:r>
      <w:r w:rsidR="004D77B0" w:rsidRPr="00206F9F">
        <w:rPr>
          <w:color w:val="auto"/>
          <w:szCs w:val="24"/>
        </w:rPr>
        <w:t xml:space="preserve"> (DES)</w:t>
      </w:r>
      <w:r w:rsidR="008B48A7" w:rsidRPr="00206F9F">
        <w:rPr>
          <w:color w:val="auto"/>
          <w:szCs w:val="24"/>
        </w:rPr>
        <w:t xml:space="preserve"> has neither the role nor the authority to compensate service members for anticipated future severity or potential complications of conditions resulting in medical separation.  This role and authority is granted by Congress to the Veterans Administration.</w:t>
      </w:r>
      <w:r w:rsidR="00231CFF" w:rsidRPr="00206F9F">
        <w:rPr>
          <w:color w:val="auto"/>
          <w:szCs w:val="24"/>
        </w:rPr>
        <w:t xml:space="preserve">  The Board’s role is confined to the review of medical records and all evidence at hand to assess the fairness of PEB rating determinations compared to </w:t>
      </w:r>
      <w:r w:rsidR="00227C50">
        <w:rPr>
          <w:color w:val="auto"/>
          <w:szCs w:val="24"/>
        </w:rPr>
        <w:t>the VA Schedule for Rating Disabilities (</w:t>
      </w:r>
      <w:r w:rsidR="00231CFF" w:rsidRPr="00206F9F">
        <w:rPr>
          <w:color w:val="auto"/>
          <w:szCs w:val="24"/>
        </w:rPr>
        <w:t>VASRD</w:t>
      </w:r>
      <w:r w:rsidR="00227C50">
        <w:rPr>
          <w:color w:val="auto"/>
          <w:szCs w:val="24"/>
        </w:rPr>
        <w:t>)</w:t>
      </w:r>
      <w:r w:rsidR="00231CFF" w:rsidRPr="00206F9F">
        <w:rPr>
          <w:color w:val="auto"/>
          <w:szCs w:val="24"/>
        </w:rPr>
        <w:t xml:space="preserve"> standards, as well as the fairness of PEB fitness adjudications at the time of separation.  </w:t>
      </w:r>
    </w:p>
    <w:p w:rsidR="00145A46" w:rsidRPr="00206F9F" w:rsidRDefault="00145A46" w:rsidP="00505B73">
      <w:pPr>
        <w:spacing w:line="240" w:lineRule="exact"/>
        <w:jc w:val="both"/>
        <w:rPr>
          <w:rFonts w:asciiTheme="minorHAnsi" w:hAnsiTheme="minorHAnsi"/>
          <w:color w:val="auto"/>
          <w:szCs w:val="24"/>
        </w:rPr>
      </w:pPr>
    </w:p>
    <w:p w:rsidR="00224ED5" w:rsidRPr="00206F9F" w:rsidRDefault="00692D25" w:rsidP="00505B73">
      <w:pPr>
        <w:spacing w:line="240" w:lineRule="exact"/>
        <w:jc w:val="both"/>
        <w:rPr>
          <w:color w:val="auto"/>
          <w:szCs w:val="24"/>
        </w:rPr>
      </w:pPr>
      <w:r w:rsidRPr="00206F9F">
        <w:rPr>
          <w:color w:val="auto"/>
          <w:szCs w:val="24"/>
          <w:u w:val="single"/>
        </w:rPr>
        <w:t>Back Pain, Herniated Disk</w:t>
      </w:r>
      <w:r w:rsidR="00227C50">
        <w:rPr>
          <w:color w:val="auto"/>
          <w:szCs w:val="24"/>
          <w:u w:val="single"/>
        </w:rPr>
        <w:t>.</w:t>
      </w:r>
      <w:r w:rsidR="00206A8E" w:rsidRPr="00206F9F">
        <w:rPr>
          <w:color w:val="auto"/>
          <w:szCs w:val="24"/>
        </w:rPr>
        <w:t xml:space="preserve">  </w:t>
      </w:r>
      <w:r w:rsidR="00224ED5" w:rsidRPr="00206F9F">
        <w:rPr>
          <w:color w:val="auto"/>
          <w:szCs w:val="24"/>
        </w:rPr>
        <w:t xml:space="preserve">There were two goniometric </w:t>
      </w:r>
      <w:proofErr w:type="gramStart"/>
      <w:r w:rsidR="00224ED5" w:rsidRPr="00206F9F">
        <w:rPr>
          <w:color w:val="auto"/>
          <w:szCs w:val="24"/>
        </w:rPr>
        <w:t>range</w:t>
      </w:r>
      <w:proofErr w:type="gramEnd"/>
      <w:r w:rsidR="00227C50">
        <w:rPr>
          <w:color w:val="auto"/>
          <w:szCs w:val="24"/>
        </w:rPr>
        <w:t xml:space="preserve"> </w:t>
      </w:r>
      <w:r w:rsidR="00224ED5" w:rsidRPr="00206F9F">
        <w:rPr>
          <w:color w:val="auto"/>
          <w:szCs w:val="24"/>
        </w:rPr>
        <w:t>of</w:t>
      </w:r>
      <w:r w:rsidR="00227C50">
        <w:rPr>
          <w:color w:val="auto"/>
          <w:szCs w:val="24"/>
        </w:rPr>
        <w:t xml:space="preserve"> </w:t>
      </w:r>
      <w:r w:rsidR="00224ED5" w:rsidRPr="00206F9F">
        <w:rPr>
          <w:color w:val="auto"/>
          <w:szCs w:val="24"/>
        </w:rPr>
        <w:t xml:space="preserve">motion (ROM) evaluations in evidence which the Board weighed in arriving at its rating recommendation. </w:t>
      </w:r>
      <w:r w:rsidR="00206A8E" w:rsidRPr="00206F9F">
        <w:rPr>
          <w:color w:val="auto"/>
          <w:szCs w:val="24"/>
        </w:rPr>
        <w:t xml:space="preserve"> </w:t>
      </w:r>
      <w:r w:rsidR="00224ED5" w:rsidRPr="00206F9F">
        <w:rPr>
          <w:color w:val="auto"/>
          <w:szCs w:val="24"/>
        </w:rPr>
        <w:t>These exams are summarized in the chart below:</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7"/>
        <w:gridCol w:w="2724"/>
        <w:gridCol w:w="3240"/>
      </w:tblGrid>
      <w:tr w:rsidR="008E2F38" w:rsidRPr="00206F9F" w:rsidTr="00337D28">
        <w:trPr>
          <w:jc w:val="center"/>
        </w:trPr>
        <w:tc>
          <w:tcPr>
            <w:tcW w:w="2007"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8E2F38" w:rsidRPr="00206F9F" w:rsidRDefault="008E2F38" w:rsidP="00244544">
            <w:pPr>
              <w:pStyle w:val="ListParagraph"/>
              <w:spacing w:after="0" w:line="240" w:lineRule="exact"/>
              <w:ind w:left="0"/>
              <w:jc w:val="center"/>
              <w:rPr>
                <w:rFonts w:eastAsia="Calibri" w:cs="Times New Roman"/>
                <w:b/>
                <w:sz w:val="20"/>
                <w:szCs w:val="20"/>
              </w:rPr>
            </w:pPr>
            <w:r w:rsidRPr="00206F9F">
              <w:rPr>
                <w:rFonts w:eastAsia="Calibri"/>
                <w:sz w:val="20"/>
                <w:szCs w:val="20"/>
              </w:rPr>
              <w:lastRenderedPageBreak/>
              <w:t>Goniometric ROM - Thoracolumbar</w:t>
            </w:r>
          </w:p>
        </w:tc>
        <w:tc>
          <w:tcPr>
            <w:tcW w:w="2724"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8E2F38" w:rsidRPr="00206F9F" w:rsidRDefault="008E2F38" w:rsidP="008E2F38">
            <w:pPr>
              <w:spacing w:line="240" w:lineRule="exact"/>
              <w:contextualSpacing/>
              <w:jc w:val="center"/>
              <w:rPr>
                <w:rFonts w:eastAsia="Calibri"/>
                <w:color w:val="auto"/>
                <w:sz w:val="20"/>
              </w:rPr>
            </w:pPr>
            <w:r w:rsidRPr="00206F9F">
              <w:rPr>
                <w:rFonts w:eastAsia="Calibri"/>
                <w:color w:val="auto"/>
                <w:sz w:val="20"/>
              </w:rPr>
              <w:t>MEB - 7 Mo. Pre-Sep</w:t>
            </w:r>
          </w:p>
        </w:tc>
        <w:tc>
          <w:tcPr>
            <w:tcW w:w="324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8E2F38" w:rsidRPr="00206F9F" w:rsidRDefault="008E2F38" w:rsidP="008E2F38">
            <w:pPr>
              <w:spacing w:line="240" w:lineRule="exact"/>
              <w:contextualSpacing/>
              <w:jc w:val="center"/>
              <w:rPr>
                <w:rFonts w:eastAsiaTheme="minorHAnsi" w:cstheme="minorBidi"/>
                <w:color w:val="auto"/>
                <w:sz w:val="20"/>
              </w:rPr>
            </w:pPr>
            <w:r w:rsidRPr="00206F9F">
              <w:rPr>
                <w:rFonts w:eastAsia="Calibri"/>
                <w:color w:val="auto"/>
                <w:sz w:val="20"/>
              </w:rPr>
              <w:t>VA</w:t>
            </w:r>
            <w:r w:rsidRPr="00206F9F">
              <w:rPr>
                <w:rFonts w:eastAsiaTheme="minorHAnsi" w:cstheme="minorBidi"/>
                <w:color w:val="auto"/>
                <w:sz w:val="20"/>
              </w:rPr>
              <w:t xml:space="preserve"> C&amp;P - </w:t>
            </w:r>
            <w:r w:rsidRPr="00206F9F">
              <w:rPr>
                <w:rFonts w:eastAsia="Calibri"/>
                <w:color w:val="auto"/>
                <w:sz w:val="20"/>
              </w:rPr>
              <w:t>1 Mo. After-Sep</w:t>
            </w:r>
          </w:p>
        </w:tc>
      </w:tr>
      <w:tr w:rsidR="00337D28" w:rsidRPr="00206F9F" w:rsidTr="00337D28">
        <w:trPr>
          <w:jc w:val="center"/>
        </w:trPr>
        <w:tc>
          <w:tcPr>
            <w:tcW w:w="2007" w:type="dxa"/>
            <w:tcBorders>
              <w:top w:val="single" w:sz="4" w:space="0" w:color="000000"/>
              <w:left w:val="single" w:sz="4" w:space="0" w:color="000000"/>
              <w:bottom w:val="single" w:sz="4" w:space="0" w:color="000000"/>
              <w:right w:val="single" w:sz="4" w:space="0" w:color="000000"/>
            </w:tcBorders>
            <w:hideMark/>
          </w:tcPr>
          <w:p w:rsidR="00337D28" w:rsidRPr="00206F9F" w:rsidRDefault="00337D28" w:rsidP="00227C50">
            <w:pPr>
              <w:pStyle w:val="ListParagraph"/>
              <w:spacing w:after="0" w:line="200" w:lineRule="exact"/>
              <w:ind w:left="0"/>
              <w:rPr>
                <w:rFonts w:eastAsia="Calibri" w:cs="Times New Roman"/>
                <w:sz w:val="20"/>
                <w:szCs w:val="20"/>
              </w:rPr>
            </w:pPr>
            <w:r w:rsidRPr="00206F9F">
              <w:rPr>
                <w:rFonts w:eastAsia="Calibri" w:cs="Times New Roman"/>
                <w:sz w:val="20"/>
                <w:szCs w:val="20"/>
              </w:rPr>
              <w:t>Flex (0-90)</w:t>
            </w:r>
          </w:p>
        </w:tc>
        <w:tc>
          <w:tcPr>
            <w:tcW w:w="2724" w:type="dxa"/>
            <w:tcBorders>
              <w:top w:val="single" w:sz="4" w:space="0" w:color="000000"/>
              <w:left w:val="single" w:sz="4" w:space="0" w:color="000000"/>
              <w:bottom w:val="single" w:sz="4" w:space="0" w:color="000000"/>
              <w:right w:val="single" w:sz="4" w:space="0" w:color="000000"/>
            </w:tcBorders>
          </w:tcPr>
          <w:p w:rsidR="00337D28" w:rsidRPr="00206F9F" w:rsidRDefault="00337D28" w:rsidP="00337D28">
            <w:pPr>
              <w:spacing w:line="200" w:lineRule="exact"/>
              <w:contextualSpacing/>
              <w:jc w:val="center"/>
              <w:rPr>
                <w:rFonts w:eastAsia="Calibri"/>
                <w:color w:val="auto"/>
                <w:sz w:val="20"/>
              </w:rPr>
            </w:pPr>
            <w:r w:rsidRPr="00206F9F">
              <w:rPr>
                <w:rFonts w:eastAsia="Calibri"/>
                <w:color w:val="auto"/>
                <w:sz w:val="20"/>
              </w:rPr>
              <w:t>69⁰ (70⁰)</w:t>
            </w:r>
          </w:p>
        </w:tc>
        <w:tc>
          <w:tcPr>
            <w:tcW w:w="3240" w:type="dxa"/>
            <w:tcBorders>
              <w:top w:val="single" w:sz="4" w:space="0" w:color="000000"/>
              <w:left w:val="single" w:sz="4" w:space="0" w:color="000000"/>
              <w:bottom w:val="single" w:sz="4" w:space="0" w:color="000000"/>
              <w:right w:val="single" w:sz="4" w:space="0" w:color="000000"/>
            </w:tcBorders>
          </w:tcPr>
          <w:p w:rsidR="00337D28" w:rsidRPr="00206F9F" w:rsidRDefault="00337D28" w:rsidP="00337D28">
            <w:pPr>
              <w:spacing w:line="200" w:lineRule="exact"/>
              <w:contextualSpacing/>
              <w:jc w:val="center"/>
              <w:rPr>
                <w:rFonts w:eastAsia="Calibri"/>
                <w:color w:val="auto"/>
                <w:sz w:val="20"/>
              </w:rPr>
            </w:pPr>
            <w:r w:rsidRPr="00206F9F">
              <w:rPr>
                <w:rFonts w:eastAsia="Calibri"/>
                <w:color w:val="auto"/>
                <w:sz w:val="20"/>
              </w:rPr>
              <w:t>40</w:t>
            </w:r>
            <w:r w:rsidRPr="00206F9F">
              <w:rPr>
                <w:rFonts w:eastAsia="Calibri" w:cs="Calibri"/>
                <w:color w:val="auto"/>
                <w:sz w:val="20"/>
              </w:rPr>
              <w:t>°</w:t>
            </w:r>
            <w:r w:rsidRPr="00206F9F">
              <w:rPr>
                <w:rFonts w:eastAsia="Calibri"/>
                <w:color w:val="auto"/>
                <w:sz w:val="20"/>
              </w:rPr>
              <w:t xml:space="preserve">; </w:t>
            </w:r>
            <w:r w:rsidRPr="00206F9F">
              <w:rPr>
                <w:rFonts w:eastAsia="Calibri" w:cs="Calibri"/>
                <w:color w:val="auto"/>
                <w:sz w:val="20"/>
              </w:rPr>
              <w:t>Rep 30°</w:t>
            </w:r>
          </w:p>
        </w:tc>
      </w:tr>
      <w:tr w:rsidR="00337D28" w:rsidRPr="00206F9F" w:rsidTr="00337D28">
        <w:trPr>
          <w:jc w:val="center"/>
        </w:trPr>
        <w:tc>
          <w:tcPr>
            <w:tcW w:w="2007" w:type="dxa"/>
            <w:tcBorders>
              <w:top w:val="single" w:sz="4" w:space="0" w:color="000000"/>
              <w:left w:val="single" w:sz="4" w:space="0" w:color="000000"/>
              <w:bottom w:val="single" w:sz="4" w:space="0" w:color="000000"/>
              <w:right w:val="single" w:sz="4" w:space="0" w:color="000000"/>
            </w:tcBorders>
            <w:hideMark/>
          </w:tcPr>
          <w:p w:rsidR="00337D28" w:rsidRPr="00206F9F" w:rsidRDefault="00337D28" w:rsidP="00227C50">
            <w:pPr>
              <w:pStyle w:val="ListParagraph"/>
              <w:spacing w:after="0" w:line="200" w:lineRule="exact"/>
              <w:ind w:left="0"/>
              <w:rPr>
                <w:rFonts w:eastAsia="Calibri" w:cs="Times New Roman"/>
                <w:sz w:val="20"/>
                <w:szCs w:val="20"/>
              </w:rPr>
            </w:pPr>
            <w:r w:rsidRPr="00206F9F">
              <w:rPr>
                <w:rFonts w:eastAsia="Calibri" w:cs="Times New Roman"/>
                <w:sz w:val="20"/>
                <w:szCs w:val="20"/>
              </w:rPr>
              <w:t>Ext (0-30)</w:t>
            </w:r>
          </w:p>
        </w:tc>
        <w:tc>
          <w:tcPr>
            <w:tcW w:w="2724" w:type="dxa"/>
            <w:tcBorders>
              <w:top w:val="single" w:sz="4" w:space="0" w:color="000000"/>
              <w:left w:val="single" w:sz="4" w:space="0" w:color="000000"/>
              <w:bottom w:val="single" w:sz="4" w:space="0" w:color="000000"/>
              <w:right w:val="single" w:sz="4" w:space="0" w:color="000000"/>
            </w:tcBorders>
          </w:tcPr>
          <w:p w:rsidR="00337D28" w:rsidRPr="00206F9F" w:rsidRDefault="00337D28" w:rsidP="00337D28">
            <w:pPr>
              <w:spacing w:line="200" w:lineRule="exact"/>
              <w:contextualSpacing/>
              <w:jc w:val="center"/>
              <w:rPr>
                <w:rFonts w:eastAsia="Calibri"/>
                <w:color w:val="auto"/>
                <w:sz w:val="20"/>
              </w:rPr>
            </w:pPr>
            <w:r w:rsidRPr="00206F9F">
              <w:rPr>
                <w:rFonts w:eastAsia="Calibri"/>
                <w:color w:val="auto"/>
                <w:sz w:val="20"/>
              </w:rPr>
              <w:t>10⁰</w:t>
            </w:r>
          </w:p>
        </w:tc>
        <w:tc>
          <w:tcPr>
            <w:tcW w:w="3240" w:type="dxa"/>
            <w:tcBorders>
              <w:top w:val="single" w:sz="4" w:space="0" w:color="000000"/>
              <w:left w:val="single" w:sz="4" w:space="0" w:color="000000"/>
              <w:bottom w:val="single" w:sz="4" w:space="0" w:color="000000"/>
              <w:right w:val="single" w:sz="4" w:space="0" w:color="000000"/>
            </w:tcBorders>
          </w:tcPr>
          <w:p w:rsidR="00337D28" w:rsidRPr="00206F9F" w:rsidRDefault="00337D28" w:rsidP="00337D28">
            <w:pPr>
              <w:spacing w:line="200" w:lineRule="exact"/>
              <w:contextualSpacing/>
              <w:jc w:val="center"/>
              <w:rPr>
                <w:rFonts w:eastAsia="Calibri"/>
                <w:color w:val="auto"/>
                <w:sz w:val="20"/>
              </w:rPr>
            </w:pPr>
            <w:r w:rsidRPr="00206F9F">
              <w:rPr>
                <w:rFonts w:eastAsia="Calibri"/>
                <w:color w:val="auto"/>
                <w:sz w:val="20"/>
              </w:rPr>
              <w:t xml:space="preserve">30⁰; </w:t>
            </w:r>
            <w:r w:rsidRPr="00206F9F">
              <w:rPr>
                <w:rFonts w:eastAsia="Calibri" w:cs="Calibri"/>
                <w:color w:val="auto"/>
                <w:sz w:val="20"/>
              </w:rPr>
              <w:t>Rep 20°</w:t>
            </w:r>
          </w:p>
        </w:tc>
      </w:tr>
      <w:tr w:rsidR="00337D28" w:rsidRPr="00206F9F" w:rsidTr="00337D28">
        <w:trPr>
          <w:trHeight w:val="188"/>
          <w:jc w:val="center"/>
        </w:trPr>
        <w:tc>
          <w:tcPr>
            <w:tcW w:w="2007" w:type="dxa"/>
            <w:tcBorders>
              <w:top w:val="single" w:sz="4" w:space="0" w:color="000000"/>
              <w:left w:val="single" w:sz="4" w:space="0" w:color="000000"/>
              <w:bottom w:val="single" w:sz="4" w:space="0" w:color="000000"/>
              <w:right w:val="single" w:sz="4" w:space="0" w:color="000000"/>
            </w:tcBorders>
            <w:hideMark/>
          </w:tcPr>
          <w:p w:rsidR="00337D28" w:rsidRPr="00206F9F" w:rsidRDefault="00337D28" w:rsidP="00227C50">
            <w:pPr>
              <w:pStyle w:val="ListParagraph"/>
              <w:spacing w:after="0" w:line="200" w:lineRule="exact"/>
              <w:ind w:left="0"/>
              <w:rPr>
                <w:rFonts w:eastAsia="Calibri" w:cs="Times New Roman"/>
                <w:sz w:val="20"/>
                <w:szCs w:val="20"/>
              </w:rPr>
            </w:pPr>
            <w:r w:rsidRPr="00206F9F">
              <w:rPr>
                <w:rFonts w:eastAsia="Calibri" w:cs="Times New Roman"/>
                <w:sz w:val="20"/>
                <w:szCs w:val="20"/>
              </w:rPr>
              <w:t>R Lat Flex (0-30)</w:t>
            </w:r>
          </w:p>
        </w:tc>
        <w:tc>
          <w:tcPr>
            <w:tcW w:w="2724" w:type="dxa"/>
            <w:tcBorders>
              <w:top w:val="single" w:sz="4" w:space="0" w:color="000000"/>
              <w:left w:val="single" w:sz="4" w:space="0" w:color="000000"/>
              <w:bottom w:val="single" w:sz="4" w:space="0" w:color="000000"/>
              <w:right w:val="single" w:sz="4" w:space="0" w:color="000000"/>
            </w:tcBorders>
          </w:tcPr>
          <w:p w:rsidR="00337D28" w:rsidRPr="00206F9F" w:rsidRDefault="00337D28" w:rsidP="00337D28">
            <w:pPr>
              <w:spacing w:line="200" w:lineRule="exact"/>
              <w:contextualSpacing/>
              <w:jc w:val="center"/>
              <w:rPr>
                <w:rFonts w:eastAsia="Calibri"/>
                <w:color w:val="auto"/>
                <w:sz w:val="20"/>
              </w:rPr>
            </w:pPr>
            <w:r w:rsidRPr="00206F9F">
              <w:rPr>
                <w:rFonts w:eastAsia="Calibri"/>
                <w:color w:val="auto"/>
                <w:sz w:val="20"/>
              </w:rPr>
              <w:t>21⁰ (20⁰)</w:t>
            </w:r>
          </w:p>
        </w:tc>
        <w:tc>
          <w:tcPr>
            <w:tcW w:w="3240" w:type="dxa"/>
            <w:tcBorders>
              <w:top w:val="single" w:sz="4" w:space="0" w:color="000000"/>
              <w:left w:val="single" w:sz="4" w:space="0" w:color="000000"/>
              <w:bottom w:val="single" w:sz="4" w:space="0" w:color="000000"/>
              <w:right w:val="single" w:sz="4" w:space="0" w:color="000000"/>
            </w:tcBorders>
          </w:tcPr>
          <w:p w:rsidR="00337D28" w:rsidRPr="00206F9F" w:rsidRDefault="00337D28" w:rsidP="00337D28">
            <w:pPr>
              <w:spacing w:line="200" w:lineRule="exact"/>
              <w:contextualSpacing/>
              <w:jc w:val="center"/>
              <w:rPr>
                <w:rFonts w:eastAsia="Calibri"/>
                <w:color w:val="auto"/>
                <w:sz w:val="20"/>
              </w:rPr>
            </w:pPr>
            <w:r w:rsidRPr="00206F9F">
              <w:rPr>
                <w:rFonts w:eastAsia="Calibri"/>
                <w:color w:val="auto"/>
                <w:sz w:val="20"/>
              </w:rPr>
              <w:t>(not measured)</w:t>
            </w:r>
          </w:p>
        </w:tc>
      </w:tr>
      <w:tr w:rsidR="00337D28" w:rsidRPr="00206F9F" w:rsidTr="00337D28">
        <w:trPr>
          <w:jc w:val="center"/>
        </w:trPr>
        <w:tc>
          <w:tcPr>
            <w:tcW w:w="2007" w:type="dxa"/>
            <w:tcBorders>
              <w:top w:val="single" w:sz="4" w:space="0" w:color="000000"/>
              <w:left w:val="single" w:sz="4" w:space="0" w:color="000000"/>
              <w:bottom w:val="single" w:sz="4" w:space="0" w:color="000000"/>
              <w:right w:val="single" w:sz="4" w:space="0" w:color="000000"/>
            </w:tcBorders>
            <w:hideMark/>
          </w:tcPr>
          <w:p w:rsidR="00337D28" w:rsidRPr="00206F9F" w:rsidRDefault="00337D28" w:rsidP="00227C50">
            <w:pPr>
              <w:pStyle w:val="ListParagraph"/>
              <w:spacing w:after="0" w:line="200" w:lineRule="exact"/>
              <w:ind w:left="0"/>
              <w:rPr>
                <w:rFonts w:eastAsia="Calibri" w:cs="Times New Roman"/>
                <w:sz w:val="20"/>
                <w:szCs w:val="20"/>
              </w:rPr>
            </w:pPr>
            <w:r w:rsidRPr="00206F9F">
              <w:rPr>
                <w:rFonts w:eastAsia="Calibri" w:cs="Times New Roman"/>
                <w:sz w:val="20"/>
                <w:szCs w:val="20"/>
              </w:rPr>
              <w:t>L Lat Flex 0-30)</w:t>
            </w:r>
          </w:p>
        </w:tc>
        <w:tc>
          <w:tcPr>
            <w:tcW w:w="2724" w:type="dxa"/>
            <w:tcBorders>
              <w:top w:val="single" w:sz="4" w:space="0" w:color="000000"/>
              <w:left w:val="single" w:sz="4" w:space="0" w:color="000000"/>
              <w:bottom w:val="single" w:sz="4" w:space="0" w:color="000000"/>
              <w:right w:val="single" w:sz="4" w:space="0" w:color="000000"/>
            </w:tcBorders>
          </w:tcPr>
          <w:p w:rsidR="00337D28" w:rsidRPr="00206F9F" w:rsidRDefault="00337D28" w:rsidP="00337D28">
            <w:pPr>
              <w:spacing w:line="200" w:lineRule="exact"/>
              <w:contextualSpacing/>
              <w:jc w:val="center"/>
              <w:rPr>
                <w:rFonts w:eastAsia="Calibri"/>
                <w:color w:val="auto"/>
                <w:sz w:val="20"/>
              </w:rPr>
            </w:pPr>
            <w:r w:rsidRPr="00206F9F">
              <w:rPr>
                <w:rFonts w:eastAsia="Calibri"/>
                <w:color w:val="auto"/>
                <w:sz w:val="20"/>
              </w:rPr>
              <w:t>21⁰ (20⁰)</w:t>
            </w:r>
          </w:p>
        </w:tc>
        <w:tc>
          <w:tcPr>
            <w:tcW w:w="3240" w:type="dxa"/>
            <w:tcBorders>
              <w:top w:val="single" w:sz="4" w:space="0" w:color="000000"/>
              <w:left w:val="single" w:sz="4" w:space="0" w:color="000000"/>
              <w:bottom w:val="single" w:sz="4" w:space="0" w:color="000000"/>
              <w:right w:val="single" w:sz="4" w:space="0" w:color="000000"/>
            </w:tcBorders>
          </w:tcPr>
          <w:p w:rsidR="00337D28" w:rsidRPr="00206F9F" w:rsidRDefault="00337D28" w:rsidP="00337D28">
            <w:pPr>
              <w:spacing w:line="200" w:lineRule="exact"/>
              <w:contextualSpacing/>
              <w:jc w:val="center"/>
              <w:rPr>
                <w:rFonts w:eastAsia="Calibri"/>
                <w:color w:val="auto"/>
                <w:sz w:val="20"/>
              </w:rPr>
            </w:pPr>
            <w:r w:rsidRPr="00206F9F">
              <w:rPr>
                <w:rFonts w:eastAsia="Calibri"/>
                <w:color w:val="auto"/>
                <w:sz w:val="20"/>
              </w:rPr>
              <w:t>(not measured)</w:t>
            </w:r>
          </w:p>
        </w:tc>
      </w:tr>
      <w:tr w:rsidR="00337D28" w:rsidRPr="00206F9F" w:rsidTr="00337D28">
        <w:trPr>
          <w:jc w:val="center"/>
        </w:trPr>
        <w:tc>
          <w:tcPr>
            <w:tcW w:w="2007" w:type="dxa"/>
            <w:tcBorders>
              <w:top w:val="single" w:sz="4" w:space="0" w:color="000000"/>
              <w:left w:val="single" w:sz="4" w:space="0" w:color="000000"/>
              <w:bottom w:val="single" w:sz="4" w:space="0" w:color="000000"/>
              <w:right w:val="single" w:sz="4" w:space="0" w:color="000000"/>
            </w:tcBorders>
            <w:hideMark/>
          </w:tcPr>
          <w:p w:rsidR="00337D28" w:rsidRPr="00206F9F" w:rsidRDefault="00337D28" w:rsidP="00227C50">
            <w:pPr>
              <w:pStyle w:val="ListParagraph"/>
              <w:spacing w:after="0" w:line="200" w:lineRule="exact"/>
              <w:ind w:left="0"/>
              <w:rPr>
                <w:rFonts w:eastAsia="Calibri" w:cs="Times New Roman"/>
                <w:sz w:val="20"/>
                <w:szCs w:val="20"/>
              </w:rPr>
            </w:pPr>
            <w:r w:rsidRPr="00206F9F">
              <w:rPr>
                <w:rFonts w:eastAsia="Calibri" w:cs="Times New Roman"/>
                <w:sz w:val="20"/>
                <w:szCs w:val="20"/>
              </w:rPr>
              <w:t>R Rotation (0-30)</w:t>
            </w:r>
          </w:p>
        </w:tc>
        <w:tc>
          <w:tcPr>
            <w:tcW w:w="2724" w:type="dxa"/>
            <w:tcBorders>
              <w:top w:val="single" w:sz="4" w:space="0" w:color="000000"/>
              <w:left w:val="single" w:sz="4" w:space="0" w:color="000000"/>
              <w:bottom w:val="single" w:sz="4" w:space="0" w:color="000000"/>
              <w:right w:val="single" w:sz="4" w:space="0" w:color="000000"/>
            </w:tcBorders>
          </w:tcPr>
          <w:p w:rsidR="00337D28" w:rsidRPr="00206F9F" w:rsidRDefault="00337D28" w:rsidP="00337D28">
            <w:pPr>
              <w:spacing w:line="200" w:lineRule="exact"/>
              <w:contextualSpacing/>
              <w:jc w:val="center"/>
              <w:rPr>
                <w:rFonts w:eastAsia="Calibri"/>
                <w:color w:val="auto"/>
                <w:sz w:val="20"/>
              </w:rPr>
            </w:pPr>
            <w:r w:rsidRPr="00206F9F">
              <w:rPr>
                <w:rFonts w:eastAsia="Calibri"/>
                <w:color w:val="auto"/>
                <w:sz w:val="20"/>
              </w:rPr>
              <w:t>12⁰ (10⁰)</w:t>
            </w:r>
          </w:p>
        </w:tc>
        <w:tc>
          <w:tcPr>
            <w:tcW w:w="3240" w:type="dxa"/>
            <w:tcBorders>
              <w:top w:val="single" w:sz="4" w:space="0" w:color="000000"/>
              <w:left w:val="single" w:sz="4" w:space="0" w:color="000000"/>
              <w:bottom w:val="single" w:sz="4" w:space="0" w:color="000000"/>
              <w:right w:val="single" w:sz="4" w:space="0" w:color="000000"/>
            </w:tcBorders>
          </w:tcPr>
          <w:p w:rsidR="00337D28" w:rsidRPr="00206F9F" w:rsidRDefault="00337D28" w:rsidP="00337D28">
            <w:pPr>
              <w:spacing w:line="200" w:lineRule="exact"/>
              <w:contextualSpacing/>
              <w:jc w:val="center"/>
              <w:rPr>
                <w:rFonts w:eastAsia="Calibri"/>
                <w:color w:val="auto"/>
                <w:sz w:val="20"/>
              </w:rPr>
            </w:pPr>
            <w:r w:rsidRPr="00206F9F">
              <w:rPr>
                <w:rFonts w:eastAsia="Calibri"/>
                <w:color w:val="auto"/>
                <w:sz w:val="20"/>
              </w:rPr>
              <w:t>25⁰</w:t>
            </w:r>
          </w:p>
        </w:tc>
      </w:tr>
      <w:tr w:rsidR="00337D28" w:rsidRPr="00206F9F" w:rsidTr="00337D28">
        <w:trPr>
          <w:jc w:val="center"/>
        </w:trPr>
        <w:tc>
          <w:tcPr>
            <w:tcW w:w="2007" w:type="dxa"/>
            <w:tcBorders>
              <w:top w:val="single" w:sz="4" w:space="0" w:color="000000"/>
              <w:left w:val="single" w:sz="4" w:space="0" w:color="000000"/>
              <w:bottom w:val="single" w:sz="4" w:space="0" w:color="000000"/>
              <w:right w:val="single" w:sz="4" w:space="0" w:color="000000"/>
            </w:tcBorders>
            <w:hideMark/>
          </w:tcPr>
          <w:p w:rsidR="00337D28" w:rsidRPr="00206F9F" w:rsidRDefault="00337D28" w:rsidP="00227C50">
            <w:pPr>
              <w:pStyle w:val="ListParagraph"/>
              <w:spacing w:after="0" w:line="200" w:lineRule="exact"/>
              <w:ind w:left="0"/>
              <w:rPr>
                <w:rFonts w:eastAsia="Calibri" w:cs="Times New Roman"/>
                <w:sz w:val="20"/>
                <w:szCs w:val="20"/>
              </w:rPr>
            </w:pPr>
            <w:r w:rsidRPr="00206F9F">
              <w:rPr>
                <w:rFonts w:eastAsia="Calibri" w:cs="Times New Roman"/>
                <w:sz w:val="20"/>
                <w:szCs w:val="20"/>
              </w:rPr>
              <w:t>L Rotation (0-30)</w:t>
            </w:r>
          </w:p>
        </w:tc>
        <w:tc>
          <w:tcPr>
            <w:tcW w:w="2724" w:type="dxa"/>
            <w:tcBorders>
              <w:top w:val="single" w:sz="4" w:space="0" w:color="000000"/>
              <w:left w:val="single" w:sz="4" w:space="0" w:color="000000"/>
              <w:bottom w:val="single" w:sz="4" w:space="0" w:color="000000"/>
              <w:right w:val="single" w:sz="4" w:space="0" w:color="000000"/>
            </w:tcBorders>
          </w:tcPr>
          <w:p w:rsidR="00337D28" w:rsidRPr="00206F9F" w:rsidRDefault="00337D28" w:rsidP="00337D28">
            <w:pPr>
              <w:spacing w:line="200" w:lineRule="exact"/>
              <w:contextualSpacing/>
              <w:jc w:val="center"/>
              <w:rPr>
                <w:rFonts w:eastAsia="Calibri"/>
                <w:color w:val="auto"/>
                <w:sz w:val="20"/>
              </w:rPr>
            </w:pPr>
            <w:r w:rsidRPr="00206F9F">
              <w:rPr>
                <w:rFonts w:eastAsia="Calibri"/>
                <w:color w:val="auto"/>
                <w:sz w:val="20"/>
              </w:rPr>
              <w:t>15⁰</w:t>
            </w:r>
          </w:p>
        </w:tc>
        <w:tc>
          <w:tcPr>
            <w:tcW w:w="3240" w:type="dxa"/>
            <w:tcBorders>
              <w:top w:val="single" w:sz="4" w:space="0" w:color="000000"/>
              <w:left w:val="single" w:sz="4" w:space="0" w:color="000000"/>
              <w:bottom w:val="single" w:sz="4" w:space="0" w:color="000000"/>
              <w:right w:val="single" w:sz="4" w:space="0" w:color="000000"/>
            </w:tcBorders>
          </w:tcPr>
          <w:p w:rsidR="00337D28" w:rsidRPr="00206F9F" w:rsidRDefault="00337D28" w:rsidP="00337D28">
            <w:pPr>
              <w:spacing w:line="200" w:lineRule="exact"/>
              <w:contextualSpacing/>
              <w:jc w:val="center"/>
              <w:rPr>
                <w:rFonts w:eastAsia="Calibri"/>
                <w:color w:val="auto"/>
                <w:sz w:val="20"/>
              </w:rPr>
            </w:pPr>
            <w:r w:rsidRPr="00206F9F">
              <w:rPr>
                <w:rFonts w:eastAsia="Calibri"/>
                <w:color w:val="auto"/>
                <w:sz w:val="20"/>
              </w:rPr>
              <w:t>30⁰</w:t>
            </w:r>
          </w:p>
        </w:tc>
      </w:tr>
      <w:tr w:rsidR="00337D28" w:rsidRPr="00206F9F" w:rsidTr="00337D28">
        <w:trPr>
          <w:jc w:val="center"/>
        </w:trPr>
        <w:tc>
          <w:tcPr>
            <w:tcW w:w="2007" w:type="dxa"/>
            <w:tcBorders>
              <w:top w:val="single" w:sz="4" w:space="0" w:color="000000"/>
              <w:left w:val="single" w:sz="4" w:space="0" w:color="000000"/>
              <w:bottom w:val="single" w:sz="4" w:space="0" w:color="000000"/>
              <w:right w:val="single" w:sz="4" w:space="0" w:color="000000"/>
            </w:tcBorders>
            <w:hideMark/>
          </w:tcPr>
          <w:p w:rsidR="00337D28" w:rsidRPr="00206F9F" w:rsidRDefault="00337D28" w:rsidP="00227C50">
            <w:pPr>
              <w:pStyle w:val="ListParagraph"/>
              <w:spacing w:after="0" w:line="200" w:lineRule="exact"/>
              <w:ind w:left="0"/>
              <w:rPr>
                <w:rFonts w:eastAsia="Calibri" w:cs="Times New Roman"/>
                <w:sz w:val="20"/>
                <w:szCs w:val="20"/>
              </w:rPr>
            </w:pPr>
            <w:r w:rsidRPr="00206F9F">
              <w:rPr>
                <w:rFonts w:eastAsia="Calibri" w:cs="Times New Roman"/>
                <w:sz w:val="20"/>
                <w:szCs w:val="20"/>
              </w:rPr>
              <w:t>COMBINED (240)</w:t>
            </w:r>
          </w:p>
        </w:tc>
        <w:tc>
          <w:tcPr>
            <w:tcW w:w="2724" w:type="dxa"/>
            <w:tcBorders>
              <w:top w:val="single" w:sz="4" w:space="0" w:color="000000"/>
              <w:left w:val="single" w:sz="4" w:space="0" w:color="000000"/>
              <w:bottom w:val="single" w:sz="4" w:space="0" w:color="000000"/>
              <w:right w:val="single" w:sz="4" w:space="0" w:color="000000"/>
            </w:tcBorders>
          </w:tcPr>
          <w:p w:rsidR="00337D28" w:rsidRPr="00206F9F" w:rsidRDefault="00337D28" w:rsidP="00337D28">
            <w:pPr>
              <w:spacing w:line="200" w:lineRule="exact"/>
              <w:jc w:val="center"/>
              <w:rPr>
                <w:color w:val="auto"/>
              </w:rPr>
            </w:pPr>
            <w:r w:rsidRPr="00206F9F">
              <w:rPr>
                <w:rFonts w:eastAsia="Calibri"/>
                <w:color w:val="auto"/>
                <w:sz w:val="20"/>
              </w:rPr>
              <w:t>148⁰ (145⁰)</w:t>
            </w:r>
          </w:p>
        </w:tc>
        <w:tc>
          <w:tcPr>
            <w:tcW w:w="3240" w:type="dxa"/>
            <w:tcBorders>
              <w:top w:val="single" w:sz="4" w:space="0" w:color="000000"/>
              <w:left w:val="single" w:sz="4" w:space="0" w:color="000000"/>
              <w:bottom w:val="single" w:sz="4" w:space="0" w:color="000000"/>
              <w:right w:val="single" w:sz="4" w:space="0" w:color="000000"/>
            </w:tcBorders>
          </w:tcPr>
          <w:p w:rsidR="00337D28" w:rsidRPr="00206F9F" w:rsidRDefault="00337D28" w:rsidP="00337D28">
            <w:pPr>
              <w:spacing w:line="200" w:lineRule="exact"/>
              <w:jc w:val="center"/>
              <w:rPr>
                <w:color w:val="auto"/>
              </w:rPr>
            </w:pPr>
          </w:p>
        </w:tc>
      </w:tr>
      <w:tr w:rsidR="00337D28" w:rsidRPr="00206F9F" w:rsidTr="00337D28">
        <w:trPr>
          <w:jc w:val="center"/>
        </w:trPr>
        <w:tc>
          <w:tcPr>
            <w:tcW w:w="2007" w:type="dxa"/>
            <w:tcBorders>
              <w:top w:val="single" w:sz="4" w:space="0" w:color="000000"/>
              <w:left w:val="single" w:sz="4" w:space="0" w:color="000000"/>
              <w:bottom w:val="single" w:sz="4" w:space="0" w:color="000000"/>
              <w:right w:val="single" w:sz="4" w:space="0" w:color="000000"/>
            </w:tcBorders>
            <w:hideMark/>
          </w:tcPr>
          <w:p w:rsidR="00337D28" w:rsidRPr="00206F9F" w:rsidRDefault="00337D28" w:rsidP="00227C50">
            <w:pPr>
              <w:pStyle w:val="ListParagraph"/>
              <w:spacing w:after="0" w:line="200" w:lineRule="exact"/>
              <w:ind w:left="0"/>
              <w:rPr>
                <w:rFonts w:eastAsia="Calibri" w:cs="Times New Roman"/>
                <w:sz w:val="20"/>
                <w:szCs w:val="20"/>
              </w:rPr>
            </w:pPr>
            <w:r w:rsidRPr="00206F9F">
              <w:rPr>
                <w:rFonts w:eastAsia="Calibri" w:cs="Times New Roman"/>
                <w:sz w:val="20"/>
                <w:szCs w:val="20"/>
              </w:rPr>
              <w:t>Comment:  (IAW Spine rule, Note 4)</w:t>
            </w:r>
          </w:p>
        </w:tc>
        <w:tc>
          <w:tcPr>
            <w:tcW w:w="2724" w:type="dxa"/>
            <w:tcBorders>
              <w:top w:val="single" w:sz="4" w:space="0" w:color="000000"/>
              <w:left w:val="single" w:sz="4" w:space="0" w:color="000000"/>
              <w:bottom w:val="single" w:sz="4" w:space="0" w:color="000000"/>
              <w:right w:val="single" w:sz="4" w:space="0" w:color="000000"/>
            </w:tcBorders>
          </w:tcPr>
          <w:p w:rsidR="00337D28" w:rsidRPr="00206F9F" w:rsidRDefault="00337D28" w:rsidP="00337D28">
            <w:pPr>
              <w:tabs>
                <w:tab w:val="left" w:pos="288"/>
                <w:tab w:val="left" w:pos="4752"/>
              </w:tabs>
              <w:spacing w:line="200" w:lineRule="exact"/>
              <w:rPr>
                <w:rFonts w:asciiTheme="minorHAnsi" w:eastAsiaTheme="minorHAnsi" w:hAnsiTheme="minorHAnsi"/>
                <w:color w:val="auto"/>
                <w:sz w:val="20"/>
              </w:rPr>
            </w:pPr>
            <w:r w:rsidRPr="00206F9F">
              <w:rPr>
                <w:rFonts w:asciiTheme="minorHAnsi" w:eastAsiaTheme="minorHAnsi" w:hAnsiTheme="minorHAnsi"/>
                <w:color w:val="auto"/>
                <w:sz w:val="20"/>
              </w:rPr>
              <w:t>No muscle spasm; reflexes diminished, but symmetrical;</w:t>
            </w:r>
          </w:p>
          <w:p w:rsidR="00337D28" w:rsidRPr="00206F9F" w:rsidRDefault="00337D28" w:rsidP="00337D28">
            <w:pPr>
              <w:tabs>
                <w:tab w:val="left" w:pos="288"/>
                <w:tab w:val="left" w:pos="4752"/>
              </w:tabs>
              <w:spacing w:line="200" w:lineRule="exact"/>
              <w:rPr>
                <w:rFonts w:asciiTheme="minorHAnsi" w:eastAsiaTheme="minorHAnsi" w:hAnsiTheme="minorHAnsi"/>
                <w:color w:val="auto"/>
                <w:sz w:val="20"/>
              </w:rPr>
            </w:pPr>
            <w:r w:rsidRPr="00206F9F">
              <w:rPr>
                <w:rFonts w:asciiTheme="minorHAnsi" w:eastAsiaTheme="minorHAnsi" w:hAnsiTheme="minorHAnsi"/>
                <w:color w:val="auto"/>
                <w:sz w:val="20"/>
              </w:rPr>
              <w:t>All STR normal gait;</w:t>
            </w:r>
          </w:p>
        </w:tc>
        <w:tc>
          <w:tcPr>
            <w:tcW w:w="3240" w:type="dxa"/>
            <w:tcBorders>
              <w:top w:val="single" w:sz="4" w:space="0" w:color="000000"/>
              <w:left w:val="single" w:sz="4" w:space="0" w:color="000000"/>
              <w:bottom w:val="single" w:sz="4" w:space="0" w:color="000000"/>
              <w:right w:val="single" w:sz="4" w:space="0" w:color="000000"/>
            </w:tcBorders>
          </w:tcPr>
          <w:p w:rsidR="00337D28" w:rsidRPr="00206F9F" w:rsidRDefault="00337D28" w:rsidP="00337D28">
            <w:pPr>
              <w:tabs>
                <w:tab w:val="left" w:pos="288"/>
                <w:tab w:val="left" w:pos="4752"/>
              </w:tabs>
              <w:spacing w:line="200" w:lineRule="exact"/>
              <w:rPr>
                <w:rFonts w:asciiTheme="minorHAnsi" w:eastAsiaTheme="minorHAnsi" w:hAnsiTheme="minorHAnsi"/>
                <w:color w:val="auto"/>
                <w:sz w:val="20"/>
              </w:rPr>
            </w:pPr>
            <w:r w:rsidRPr="00206F9F">
              <w:rPr>
                <w:rFonts w:asciiTheme="minorHAnsi" w:eastAsiaTheme="minorHAnsi" w:hAnsiTheme="minorHAnsi"/>
                <w:color w:val="auto"/>
                <w:sz w:val="20"/>
              </w:rPr>
              <w:t xml:space="preserve">Painful motion; tenderness; antalgic gait (not attrib to spasm / tender / guarding); </w:t>
            </w:r>
            <w:proofErr w:type="spellStart"/>
            <w:r w:rsidRPr="00206F9F">
              <w:rPr>
                <w:rFonts w:asciiTheme="minorHAnsi" w:eastAsiaTheme="minorHAnsi" w:hAnsiTheme="minorHAnsi"/>
                <w:color w:val="auto"/>
                <w:sz w:val="20"/>
              </w:rPr>
              <w:t>decr</w:t>
            </w:r>
            <w:proofErr w:type="spellEnd"/>
            <w:r w:rsidRPr="00206F9F">
              <w:rPr>
                <w:rFonts w:asciiTheme="minorHAnsi" w:eastAsiaTheme="minorHAnsi" w:hAnsiTheme="minorHAnsi"/>
                <w:color w:val="auto"/>
                <w:sz w:val="20"/>
              </w:rPr>
              <w:t xml:space="preserve"> knee reflex </w:t>
            </w:r>
            <w:proofErr w:type="spellStart"/>
            <w:r w:rsidRPr="00206F9F">
              <w:rPr>
                <w:rFonts w:asciiTheme="minorHAnsi" w:eastAsiaTheme="minorHAnsi" w:hAnsiTheme="minorHAnsi"/>
                <w:color w:val="auto"/>
                <w:sz w:val="20"/>
              </w:rPr>
              <w:t>bilat</w:t>
            </w:r>
            <w:proofErr w:type="spellEnd"/>
          </w:p>
        </w:tc>
      </w:tr>
      <w:tr w:rsidR="008E2F38" w:rsidRPr="00206F9F" w:rsidTr="00337D28">
        <w:trPr>
          <w:jc w:val="center"/>
        </w:trPr>
        <w:tc>
          <w:tcPr>
            <w:tcW w:w="2007" w:type="dxa"/>
            <w:tcBorders>
              <w:top w:val="single" w:sz="4" w:space="0" w:color="000000"/>
              <w:left w:val="single" w:sz="4" w:space="0" w:color="000000"/>
              <w:bottom w:val="single" w:sz="4" w:space="0" w:color="000000"/>
              <w:right w:val="single" w:sz="4" w:space="0" w:color="000000"/>
            </w:tcBorders>
            <w:hideMark/>
          </w:tcPr>
          <w:p w:rsidR="008E2F38" w:rsidRPr="00206F9F" w:rsidRDefault="008E2F38" w:rsidP="00227C50">
            <w:pPr>
              <w:pStyle w:val="ListParagraph"/>
              <w:spacing w:after="0" w:line="200" w:lineRule="exact"/>
              <w:ind w:left="0"/>
              <w:rPr>
                <w:rFonts w:eastAsia="Calibri" w:cs="Times New Roman"/>
                <w:sz w:val="20"/>
                <w:szCs w:val="20"/>
              </w:rPr>
            </w:pPr>
            <w:r w:rsidRPr="00206F9F">
              <w:rPr>
                <w:rFonts w:eastAsia="Calibri" w:cs="Times New Roman"/>
                <w:sz w:val="20"/>
                <w:szCs w:val="20"/>
              </w:rPr>
              <w:t>§4.71a Rating</w:t>
            </w:r>
          </w:p>
        </w:tc>
        <w:tc>
          <w:tcPr>
            <w:tcW w:w="2724" w:type="dxa"/>
            <w:tcBorders>
              <w:top w:val="single" w:sz="4" w:space="0" w:color="000000"/>
              <w:left w:val="single" w:sz="4" w:space="0" w:color="000000"/>
              <w:bottom w:val="single" w:sz="4" w:space="0" w:color="000000"/>
              <w:right w:val="single" w:sz="4" w:space="0" w:color="000000"/>
            </w:tcBorders>
          </w:tcPr>
          <w:p w:rsidR="008E2F38" w:rsidRPr="00206F9F" w:rsidRDefault="00506A87" w:rsidP="00337D28">
            <w:pPr>
              <w:tabs>
                <w:tab w:val="left" w:pos="288"/>
                <w:tab w:val="left" w:pos="4752"/>
              </w:tabs>
              <w:spacing w:line="200" w:lineRule="exact"/>
              <w:jc w:val="center"/>
              <w:rPr>
                <w:rFonts w:asciiTheme="minorHAnsi" w:eastAsiaTheme="minorHAnsi" w:hAnsiTheme="minorHAnsi"/>
                <w:color w:val="auto"/>
                <w:sz w:val="20"/>
              </w:rPr>
            </w:pPr>
            <w:r w:rsidRPr="00206F9F">
              <w:rPr>
                <w:rFonts w:asciiTheme="minorHAnsi" w:eastAsiaTheme="minorHAnsi" w:hAnsiTheme="minorHAnsi"/>
                <w:color w:val="auto"/>
                <w:sz w:val="20"/>
              </w:rPr>
              <w:t>1</w:t>
            </w:r>
            <w:r w:rsidR="00224ED5" w:rsidRPr="00206F9F">
              <w:rPr>
                <w:rFonts w:asciiTheme="minorHAnsi" w:eastAsiaTheme="minorHAnsi" w:hAnsiTheme="minorHAnsi"/>
                <w:color w:val="auto"/>
                <w:sz w:val="20"/>
              </w:rPr>
              <w:t>0</w:t>
            </w:r>
            <w:r w:rsidR="008E2F38" w:rsidRPr="00206F9F">
              <w:rPr>
                <w:rFonts w:asciiTheme="minorHAnsi" w:eastAsiaTheme="minorHAnsi" w:hAnsiTheme="minorHAnsi"/>
                <w:color w:val="auto"/>
                <w:sz w:val="20"/>
              </w:rPr>
              <w:t>%</w:t>
            </w:r>
            <w:r w:rsidR="00337D28" w:rsidRPr="00206F9F">
              <w:rPr>
                <w:rFonts w:asciiTheme="minorHAnsi" w:eastAsiaTheme="minorHAnsi" w:hAnsiTheme="minorHAnsi"/>
                <w:color w:val="auto"/>
                <w:sz w:val="20"/>
              </w:rPr>
              <w:t xml:space="preserve"> (PEB 20%)</w:t>
            </w:r>
          </w:p>
        </w:tc>
        <w:tc>
          <w:tcPr>
            <w:tcW w:w="3240" w:type="dxa"/>
            <w:tcBorders>
              <w:top w:val="single" w:sz="4" w:space="0" w:color="000000"/>
              <w:left w:val="single" w:sz="4" w:space="0" w:color="000000"/>
              <w:bottom w:val="single" w:sz="4" w:space="0" w:color="000000"/>
              <w:right w:val="single" w:sz="4" w:space="0" w:color="000000"/>
            </w:tcBorders>
          </w:tcPr>
          <w:p w:rsidR="008E2F38" w:rsidRPr="00206F9F" w:rsidRDefault="003C0437" w:rsidP="00337D28">
            <w:pPr>
              <w:tabs>
                <w:tab w:val="left" w:pos="288"/>
                <w:tab w:val="left" w:pos="4752"/>
              </w:tabs>
              <w:spacing w:line="200" w:lineRule="exact"/>
              <w:jc w:val="center"/>
              <w:rPr>
                <w:rFonts w:asciiTheme="minorHAnsi" w:eastAsiaTheme="minorHAnsi" w:hAnsiTheme="minorHAnsi"/>
                <w:color w:val="auto"/>
                <w:sz w:val="20"/>
              </w:rPr>
            </w:pPr>
            <w:r w:rsidRPr="00206F9F">
              <w:rPr>
                <w:rFonts w:asciiTheme="minorHAnsi" w:eastAsiaTheme="minorHAnsi" w:hAnsiTheme="minorHAnsi"/>
                <w:color w:val="auto"/>
                <w:sz w:val="20"/>
              </w:rPr>
              <w:t>2</w:t>
            </w:r>
            <w:r w:rsidR="0028342C" w:rsidRPr="00206F9F">
              <w:rPr>
                <w:rFonts w:asciiTheme="minorHAnsi" w:eastAsiaTheme="minorHAnsi" w:hAnsiTheme="minorHAnsi"/>
                <w:color w:val="auto"/>
                <w:sz w:val="20"/>
              </w:rPr>
              <w:t>0</w:t>
            </w:r>
            <w:r w:rsidR="008E2F38" w:rsidRPr="00206F9F">
              <w:rPr>
                <w:rFonts w:asciiTheme="minorHAnsi" w:eastAsiaTheme="minorHAnsi" w:hAnsiTheme="minorHAnsi"/>
                <w:color w:val="auto"/>
                <w:sz w:val="20"/>
              </w:rPr>
              <w:t>%</w:t>
            </w:r>
            <w:r w:rsidR="00337D28" w:rsidRPr="00206F9F">
              <w:rPr>
                <w:rFonts w:asciiTheme="minorHAnsi" w:eastAsiaTheme="minorHAnsi" w:hAnsiTheme="minorHAnsi"/>
                <w:color w:val="auto"/>
                <w:sz w:val="20"/>
              </w:rPr>
              <w:t xml:space="preserve"> or 40%</w:t>
            </w:r>
          </w:p>
        </w:tc>
      </w:tr>
    </w:tbl>
    <w:p w:rsidR="008E2F38" w:rsidRPr="00206F9F" w:rsidRDefault="00337D28" w:rsidP="005242F1">
      <w:pPr>
        <w:tabs>
          <w:tab w:val="left" w:pos="720"/>
          <w:tab w:val="left" w:pos="1080"/>
          <w:tab w:val="left" w:pos="1440"/>
          <w:tab w:val="left" w:pos="1800"/>
          <w:tab w:val="left" w:pos="2160"/>
          <w:tab w:val="right" w:leader="dot" w:pos="9180"/>
        </w:tabs>
        <w:spacing w:line="240" w:lineRule="exact"/>
        <w:jc w:val="both"/>
        <w:rPr>
          <w:color w:val="auto"/>
        </w:rPr>
      </w:pPr>
      <w:r w:rsidRPr="00206F9F">
        <w:rPr>
          <w:color w:val="auto"/>
        </w:rPr>
        <w:tab/>
      </w:r>
      <w:r w:rsidR="0028342C" w:rsidRPr="00206F9F">
        <w:rPr>
          <w:color w:val="auto"/>
        </w:rPr>
        <w:t xml:space="preserve">VA C&amp;P flexion: </w:t>
      </w:r>
      <w:r w:rsidRPr="00206F9F">
        <w:rPr>
          <w:color w:val="auto"/>
        </w:rPr>
        <w:t xml:space="preserve"> </w:t>
      </w:r>
      <w:r w:rsidR="0028342C" w:rsidRPr="00206F9F">
        <w:rPr>
          <w:color w:val="auto"/>
        </w:rPr>
        <w:t>passive to 50</w:t>
      </w:r>
      <w:r w:rsidR="0028342C" w:rsidRPr="00206F9F">
        <w:rPr>
          <w:rFonts w:cs="Calibri"/>
          <w:color w:val="auto"/>
        </w:rPr>
        <w:t>°</w:t>
      </w:r>
      <w:r w:rsidR="0028342C" w:rsidRPr="00206F9F">
        <w:rPr>
          <w:color w:val="auto"/>
        </w:rPr>
        <w:t>, active to 40</w:t>
      </w:r>
      <w:r w:rsidR="0028342C" w:rsidRPr="00206F9F">
        <w:rPr>
          <w:rFonts w:cs="Calibri"/>
          <w:color w:val="auto"/>
        </w:rPr>
        <w:t>°</w:t>
      </w:r>
      <w:r w:rsidR="0028342C" w:rsidRPr="00206F9F">
        <w:rPr>
          <w:color w:val="auto"/>
        </w:rPr>
        <w:t>, pain at 30</w:t>
      </w:r>
      <w:r w:rsidR="0028342C" w:rsidRPr="00206F9F">
        <w:rPr>
          <w:rFonts w:cs="Calibri"/>
          <w:color w:val="auto"/>
        </w:rPr>
        <w:t>°</w:t>
      </w:r>
      <w:r w:rsidR="0028342C" w:rsidRPr="00206F9F">
        <w:rPr>
          <w:color w:val="auto"/>
        </w:rPr>
        <w:t>, 30</w:t>
      </w:r>
      <w:r w:rsidR="0028342C" w:rsidRPr="00206F9F">
        <w:rPr>
          <w:rFonts w:cs="Calibri"/>
          <w:color w:val="auto"/>
        </w:rPr>
        <w:t>°</w:t>
      </w:r>
      <w:r w:rsidR="0028342C" w:rsidRPr="00206F9F">
        <w:rPr>
          <w:color w:val="auto"/>
        </w:rPr>
        <w:t xml:space="preserve"> after repetition</w:t>
      </w:r>
    </w:p>
    <w:p w:rsidR="008A678A" w:rsidRPr="00206F9F" w:rsidRDefault="008A678A" w:rsidP="005242F1">
      <w:pPr>
        <w:tabs>
          <w:tab w:val="left" w:pos="720"/>
          <w:tab w:val="left" w:pos="1080"/>
          <w:tab w:val="left" w:pos="1440"/>
          <w:tab w:val="left" w:pos="1800"/>
          <w:tab w:val="left" w:pos="2160"/>
          <w:tab w:val="right" w:leader="dot" w:pos="9180"/>
        </w:tabs>
        <w:spacing w:line="240" w:lineRule="exact"/>
        <w:jc w:val="both"/>
        <w:rPr>
          <w:color w:val="auto"/>
          <w:szCs w:val="24"/>
        </w:rPr>
      </w:pPr>
    </w:p>
    <w:p w:rsidR="00360097" w:rsidRPr="00206F9F" w:rsidRDefault="00231CFF" w:rsidP="006B0ED6">
      <w:pPr>
        <w:tabs>
          <w:tab w:val="left" w:pos="720"/>
          <w:tab w:val="left" w:pos="1080"/>
          <w:tab w:val="left" w:pos="1440"/>
          <w:tab w:val="left" w:pos="1800"/>
          <w:tab w:val="left" w:pos="2160"/>
          <w:tab w:val="right" w:leader="dot" w:pos="9180"/>
        </w:tabs>
        <w:spacing w:line="240" w:lineRule="exact"/>
        <w:jc w:val="both"/>
        <w:rPr>
          <w:rFonts w:asciiTheme="minorHAnsi" w:hAnsiTheme="minorHAnsi"/>
          <w:color w:val="auto"/>
          <w:szCs w:val="24"/>
        </w:rPr>
      </w:pPr>
      <w:r w:rsidRPr="00206F9F">
        <w:rPr>
          <w:color w:val="auto"/>
          <w:szCs w:val="24"/>
        </w:rPr>
        <w:t xml:space="preserve">The service treatment record shows complaint of chronic low back pain beginning in March 2006.  In March 2007, increased low back pain with pain shooting into the buttock prompted further evaluation by </w:t>
      </w:r>
      <w:r w:rsidR="00227C50">
        <w:rPr>
          <w:color w:val="auto"/>
          <w:szCs w:val="24"/>
        </w:rPr>
        <w:t>magnetic resonance imaging (</w:t>
      </w:r>
      <w:r w:rsidRPr="00206F9F">
        <w:rPr>
          <w:color w:val="auto"/>
          <w:szCs w:val="24"/>
        </w:rPr>
        <w:t>MRI</w:t>
      </w:r>
      <w:r w:rsidR="00227C50">
        <w:rPr>
          <w:color w:val="auto"/>
          <w:szCs w:val="24"/>
        </w:rPr>
        <w:t>)</w:t>
      </w:r>
      <w:r w:rsidRPr="00206F9F">
        <w:rPr>
          <w:color w:val="auto"/>
          <w:szCs w:val="24"/>
        </w:rPr>
        <w:t xml:space="preserve"> showing</w:t>
      </w:r>
      <w:r w:rsidR="007F1FA6" w:rsidRPr="00206F9F">
        <w:rPr>
          <w:color w:val="auto"/>
          <w:szCs w:val="24"/>
        </w:rPr>
        <w:t xml:space="preserve"> degenerative intervertebral discs with </w:t>
      </w:r>
      <w:r w:rsidR="001F42EA" w:rsidRPr="00206F9F">
        <w:rPr>
          <w:color w:val="auto"/>
          <w:szCs w:val="24"/>
        </w:rPr>
        <w:t xml:space="preserve">right lateral bulging of </w:t>
      </w:r>
      <w:r w:rsidR="007F1FA6" w:rsidRPr="00206F9F">
        <w:rPr>
          <w:color w:val="auto"/>
          <w:szCs w:val="24"/>
        </w:rPr>
        <w:t>discs L3-4 and L4-5</w:t>
      </w:r>
      <w:r w:rsidR="000F70F2" w:rsidRPr="00206F9F">
        <w:rPr>
          <w:color w:val="auto"/>
          <w:szCs w:val="24"/>
        </w:rPr>
        <w:t xml:space="preserve"> associated with mild encroachment on the right L4 </w:t>
      </w:r>
      <w:proofErr w:type="spellStart"/>
      <w:r w:rsidR="000F70F2" w:rsidRPr="00206F9F">
        <w:rPr>
          <w:color w:val="auto"/>
          <w:szCs w:val="24"/>
        </w:rPr>
        <w:t>neuroforamen</w:t>
      </w:r>
      <w:proofErr w:type="spellEnd"/>
      <w:r w:rsidR="004D77B0" w:rsidRPr="00206F9F">
        <w:rPr>
          <w:color w:val="auto"/>
          <w:szCs w:val="24"/>
        </w:rPr>
        <w:t xml:space="preserve">. </w:t>
      </w:r>
      <w:r w:rsidR="007F1FA6" w:rsidRPr="00206F9F">
        <w:rPr>
          <w:color w:val="auto"/>
          <w:szCs w:val="24"/>
        </w:rPr>
        <w:t xml:space="preserve"> There were no symptoms of radiculopathy such as pain radiating into the leg, or findings of loss of sensation, weakness or reflex changes on examination.  Neurosurgery consultations</w:t>
      </w:r>
      <w:r w:rsidR="00227C50">
        <w:rPr>
          <w:color w:val="auto"/>
          <w:szCs w:val="24"/>
        </w:rPr>
        <w:t xml:space="preserve"> on</w:t>
      </w:r>
      <w:r w:rsidR="007F1FA6" w:rsidRPr="00206F9F">
        <w:rPr>
          <w:color w:val="auto"/>
          <w:szCs w:val="24"/>
        </w:rPr>
        <w:t xml:space="preserve"> April 2, 2007 and July 2, 2007 diagnosed chronic low back pain and advised continued conservative treatment and no duty restrictions.  The neurosurgeons documented </w:t>
      </w:r>
      <w:r w:rsidR="006B0ED6" w:rsidRPr="00206F9F">
        <w:rPr>
          <w:color w:val="auto"/>
          <w:szCs w:val="24"/>
        </w:rPr>
        <w:t xml:space="preserve">CI </w:t>
      </w:r>
      <w:r w:rsidR="007F1FA6" w:rsidRPr="00206F9F">
        <w:rPr>
          <w:color w:val="auto"/>
          <w:szCs w:val="24"/>
        </w:rPr>
        <w:t xml:space="preserve">report of pain aggravated by physical activity, radiating into the buttocks.  There was no pain radiating into the legs and examinations demonstrated normal findings including gait, strength, sensation and reflexes.  At the time of the </w:t>
      </w:r>
      <w:r w:rsidR="00227C50">
        <w:rPr>
          <w:color w:val="auto"/>
          <w:szCs w:val="24"/>
        </w:rPr>
        <w:t>narrative summary (</w:t>
      </w:r>
      <w:r w:rsidR="007F1FA6" w:rsidRPr="00206F9F">
        <w:rPr>
          <w:color w:val="auto"/>
          <w:szCs w:val="24"/>
        </w:rPr>
        <w:t>NARSUM</w:t>
      </w:r>
      <w:r w:rsidR="00227C50">
        <w:rPr>
          <w:color w:val="auto"/>
          <w:szCs w:val="24"/>
        </w:rPr>
        <w:t>) on</w:t>
      </w:r>
      <w:r w:rsidR="007F1FA6" w:rsidRPr="00206F9F">
        <w:rPr>
          <w:color w:val="auto"/>
          <w:szCs w:val="24"/>
        </w:rPr>
        <w:t xml:space="preserve"> August 2007 seven months before separation examination also documented absence of signs or symptoms of radiculopathy (there was a history of a</w:t>
      </w:r>
      <w:r w:rsidR="00224ED5" w:rsidRPr="00206F9F">
        <w:rPr>
          <w:color w:val="auto"/>
          <w:szCs w:val="24"/>
        </w:rPr>
        <w:t xml:space="preserve"> motorcycle accident in 2001 caus</w:t>
      </w:r>
      <w:r w:rsidR="007F1FA6" w:rsidRPr="00206F9F">
        <w:rPr>
          <w:color w:val="auto"/>
          <w:szCs w:val="24"/>
        </w:rPr>
        <w:t xml:space="preserve">ing </w:t>
      </w:r>
      <w:r w:rsidR="00224ED5" w:rsidRPr="00206F9F">
        <w:rPr>
          <w:color w:val="auto"/>
          <w:szCs w:val="24"/>
        </w:rPr>
        <w:t>residual left leg numbness</w:t>
      </w:r>
      <w:r w:rsidR="00505B73" w:rsidRPr="00206F9F">
        <w:rPr>
          <w:color w:val="auto"/>
          <w:szCs w:val="24"/>
        </w:rPr>
        <w:t xml:space="preserve"> about the knee</w:t>
      </w:r>
      <w:r w:rsidR="00206F9F" w:rsidRPr="00206F9F">
        <w:rPr>
          <w:color w:val="auto"/>
          <w:szCs w:val="24"/>
        </w:rPr>
        <w:t xml:space="preserve"> [non-radicular pattern and not related to the back]</w:t>
      </w:r>
      <w:r w:rsidR="00224ED5" w:rsidRPr="00206F9F">
        <w:rPr>
          <w:color w:val="auto"/>
          <w:szCs w:val="24"/>
        </w:rPr>
        <w:t>)</w:t>
      </w:r>
      <w:r w:rsidR="007F1FA6" w:rsidRPr="00206F9F">
        <w:rPr>
          <w:color w:val="auto"/>
          <w:szCs w:val="24"/>
        </w:rPr>
        <w:t>.  R</w:t>
      </w:r>
      <w:r w:rsidR="00227C50">
        <w:rPr>
          <w:color w:val="auto"/>
          <w:szCs w:val="24"/>
        </w:rPr>
        <w:t>OM</w:t>
      </w:r>
      <w:r w:rsidR="007F1FA6" w:rsidRPr="00206F9F">
        <w:rPr>
          <w:color w:val="auto"/>
          <w:szCs w:val="24"/>
        </w:rPr>
        <w:t xml:space="preserve"> was documented as in the above chart without comment regarding painful motion.  An examination in October 2007 documented pain with flexion and rotation and absence of pain with extension and lateral bending.  Gait was normal and there were no findings of radiculopathy.</w:t>
      </w:r>
      <w:r w:rsidR="003C0437" w:rsidRPr="00206F9F">
        <w:rPr>
          <w:color w:val="auto"/>
          <w:szCs w:val="24"/>
        </w:rPr>
        <w:t xml:space="preserve">  There is no further documentary evidence of care for back pain prior to separation.  The PEB rated 20% reportedly based on </w:t>
      </w:r>
      <w:r w:rsidR="00227C50">
        <w:rPr>
          <w:color w:val="auto"/>
          <w:szCs w:val="24"/>
        </w:rPr>
        <w:t>ROM</w:t>
      </w:r>
      <w:r w:rsidR="003C0437" w:rsidRPr="00206F9F">
        <w:rPr>
          <w:color w:val="auto"/>
          <w:szCs w:val="24"/>
        </w:rPr>
        <w:t>, but the Board notes the recorded thoracolumb</w:t>
      </w:r>
      <w:r w:rsidR="00505B73" w:rsidRPr="00206F9F">
        <w:rPr>
          <w:color w:val="auto"/>
          <w:szCs w:val="24"/>
        </w:rPr>
        <w:t>a</w:t>
      </w:r>
      <w:r w:rsidR="003C0437" w:rsidRPr="00206F9F">
        <w:rPr>
          <w:color w:val="auto"/>
          <w:szCs w:val="24"/>
        </w:rPr>
        <w:t>r ROM in the NARSUM correlates with a 10% rating in the VARSD.  Flexion exceeded 60</w:t>
      </w:r>
      <w:r w:rsidR="003C0437" w:rsidRPr="00206F9F">
        <w:rPr>
          <w:rFonts w:cs="Calibri"/>
          <w:color w:val="auto"/>
          <w:szCs w:val="24"/>
        </w:rPr>
        <w:t>°</w:t>
      </w:r>
      <w:r w:rsidR="003C0437" w:rsidRPr="00206F9F">
        <w:rPr>
          <w:color w:val="auto"/>
          <w:szCs w:val="24"/>
        </w:rPr>
        <w:t>, combined ROM exceeded 120</w:t>
      </w:r>
      <w:r w:rsidR="003C0437" w:rsidRPr="00206F9F">
        <w:rPr>
          <w:rFonts w:cs="Calibri"/>
          <w:color w:val="auto"/>
          <w:szCs w:val="24"/>
        </w:rPr>
        <w:t>°</w:t>
      </w:r>
      <w:r w:rsidR="001F42EA" w:rsidRPr="00206F9F">
        <w:rPr>
          <w:rFonts w:cs="Calibri"/>
          <w:color w:val="auto"/>
          <w:szCs w:val="24"/>
        </w:rPr>
        <w:t>,</w:t>
      </w:r>
      <w:r w:rsidR="003C0437" w:rsidRPr="00206F9F">
        <w:rPr>
          <w:color w:val="auto"/>
          <w:szCs w:val="24"/>
        </w:rPr>
        <w:t xml:space="preserve"> and there was no muscle spasm causing abnormal gait or spinal contour.</w:t>
      </w:r>
      <w:r w:rsidR="006B0ED6" w:rsidRPr="00206F9F">
        <w:rPr>
          <w:color w:val="auto"/>
          <w:szCs w:val="24"/>
        </w:rPr>
        <w:t xml:space="preserve">  </w:t>
      </w:r>
      <w:r w:rsidR="003C0437" w:rsidRPr="00206F9F">
        <w:rPr>
          <w:color w:val="auto"/>
          <w:szCs w:val="24"/>
        </w:rPr>
        <w:t xml:space="preserve">The Board noted the VA compensation and pension </w:t>
      </w:r>
      <w:r w:rsidR="00227C50">
        <w:rPr>
          <w:color w:val="auto"/>
          <w:szCs w:val="24"/>
        </w:rPr>
        <w:t xml:space="preserve">(C&amp;P) </w:t>
      </w:r>
      <w:r w:rsidR="003C0437" w:rsidRPr="00206F9F">
        <w:rPr>
          <w:color w:val="auto"/>
          <w:szCs w:val="24"/>
        </w:rPr>
        <w:t xml:space="preserve">examination following separation showing </w:t>
      </w:r>
      <w:r w:rsidR="006B0ED6" w:rsidRPr="00206F9F">
        <w:rPr>
          <w:color w:val="auto"/>
          <w:szCs w:val="24"/>
        </w:rPr>
        <w:t xml:space="preserve">report of </w:t>
      </w:r>
      <w:r w:rsidR="003C0437" w:rsidRPr="00206F9F">
        <w:rPr>
          <w:color w:val="auto"/>
          <w:szCs w:val="24"/>
        </w:rPr>
        <w:t>worsened symptoms</w:t>
      </w:r>
      <w:r w:rsidR="000F70F2" w:rsidRPr="00206F9F">
        <w:rPr>
          <w:color w:val="auto"/>
          <w:szCs w:val="24"/>
        </w:rPr>
        <w:t xml:space="preserve"> (including leg pain, leg paresthesia, and leg numbness)</w:t>
      </w:r>
      <w:r w:rsidR="003C0437" w:rsidRPr="00206F9F">
        <w:rPr>
          <w:color w:val="auto"/>
          <w:szCs w:val="24"/>
        </w:rPr>
        <w:t xml:space="preserve">, with antalgic gait and decreased </w:t>
      </w:r>
      <w:r w:rsidR="00227C50">
        <w:rPr>
          <w:color w:val="auto"/>
          <w:szCs w:val="24"/>
        </w:rPr>
        <w:t>ROM</w:t>
      </w:r>
      <w:r w:rsidR="003C0437" w:rsidRPr="00206F9F">
        <w:rPr>
          <w:color w:val="auto"/>
          <w:szCs w:val="24"/>
        </w:rPr>
        <w:t>.  In addition to pain with flexion, there was also pain with extension not present in the service treatment record.  The C&amp;P examiner also recorded 4/5 strength in both ankles</w:t>
      </w:r>
      <w:r w:rsidR="00DF6EEC" w:rsidRPr="00206F9F">
        <w:rPr>
          <w:color w:val="auto"/>
          <w:szCs w:val="24"/>
        </w:rPr>
        <w:t>,</w:t>
      </w:r>
      <w:r w:rsidR="000F70F2" w:rsidRPr="00206F9F">
        <w:rPr>
          <w:color w:val="auto"/>
          <w:szCs w:val="24"/>
        </w:rPr>
        <w:t xml:space="preserve"> but with intact reflexes and intact sensation</w:t>
      </w:r>
      <w:r w:rsidR="00206A8E" w:rsidRPr="00206F9F">
        <w:rPr>
          <w:color w:val="auto"/>
          <w:szCs w:val="24"/>
        </w:rPr>
        <w:t xml:space="preserve"> inconsistent with weakness due to </w:t>
      </w:r>
      <w:r w:rsidR="00505B73" w:rsidRPr="00206F9F">
        <w:rPr>
          <w:color w:val="auto"/>
          <w:szCs w:val="24"/>
        </w:rPr>
        <w:t xml:space="preserve">intervertebral </w:t>
      </w:r>
      <w:r w:rsidR="00206A8E" w:rsidRPr="00206F9F">
        <w:rPr>
          <w:color w:val="auto"/>
          <w:szCs w:val="24"/>
        </w:rPr>
        <w:t xml:space="preserve">disc disease.  The examiner recorded an antalgic gait but documented absence of muscle spasm.  The gait was also described as </w:t>
      </w:r>
      <w:r w:rsidR="00371379" w:rsidRPr="00206F9F">
        <w:rPr>
          <w:color w:val="auto"/>
          <w:szCs w:val="24"/>
        </w:rPr>
        <w:t>“</w:t>
      </w:r>
      <w:r w:rsidR="00206A8E" w:rsidRPr="00206F9F">
        <w:rPr>
          <w:color w:val="auto"/>
          <w:szCs w:val="24"/>
        </w:rPr>
        <w:t>high stepping</w:t>
      </w:r>
      <w:r w:rsidR="00371379" w:rsidRPr="00206F9F">
        <w:rPr>
          <w:color w:val="auto"/>
          <w:szCs w:val="24"/>
        </w:rPr>
        <w:t>”</w:t>
      </w:r>
      <w:r w:rsidR="00206A8E" w:rsidRPr="00206F9F">
        <w:rPr>
          <w:color w:val="auto"/>
          <w:szCs w:val="24"/>
        </w:rPr>
        <w:t xml:space="preserve"> which does not correlate with the </w:t>
      </w:r>
      <w:r w:rsidR="00DF6EEC" w:rsidRPr="00206F9F">
        <w:rPr>
          <w:color w:val="auto"/>
          <w:szCs w:val="24"/>
        </w:rPr>
        <w:t xml:space="preserve">degree of weakness on </w:t>
      </w:r>
      <w:r w:rsidR="00206A8E" w:rsidRPr="00206F9F">
        <w:rPr>
          <w:color w:val="auto"/>
          <w:szCs w:val="24"/>
        </w:rPr>
        <w:t xml:space="preserve">physical examination </w:t>
      </w:r>
      <w:r w:rsidR="00DF6EEC" w:rsidRPr="00206F9F">
        <w:rPr>
          <w:color w:val="auto"/>
          <w:szCs w:val="24"/>
        </w:rPr>
        <w:t xml:space="preserve">or the </w:t>
      </w:r>
      <w:r w:rsidR="00206A8E" w:rsidRPr="00206F9F">
        <w:rPr>
          <w:color w:val="auto"/>
          <w:szCs w:val="24"/>
        </w:rPr>
        <w:t>clinical history.</w:t>
      </w:r>
      <w:r w:rsidR="006B0ED6" w:rsidRPr="00206F9F">
        <w:rPr>
          <w:color w:val="auto"/>
          <w:szCs w:val="24"/>
        </w:rPr>
        <w:t xml:space="preserve">  </w:t>
      </w:r>
      <w:r w:rsidR="00206A8E" w:rsidRPr="00206F9F">
        <w:rPr>
          <w:color w:val="auto"/>
          <w:szCs w:val="24"/>
        </w:rPr>
        <w:t xml:space="preserve">Although not considered for rating the back, the Board also noted findings of </w:t>
      </w:r>
      <w:r w:rsidR="00DF6EEC" w:rsidRPr="00206F9F">
        <w:rPr>
          <w:color w:val="auto"/>
          <w:szCs w:val="24"/>
        </w:rPr>
        <w:t xml:space="preserve">marked </w:t>
      </w:r>
      <w:r w:rsidR="00206A8E" w:rsidRPr="00206F9F">
        <w:rPr>
          <w:color w:val="auto"/>
          <w:szCs w:val="24"/>
        </w:rPr>
        <w:t xml:space="preserve">weakness </w:t>
      </w:r>
      <w:r w:rsidR="00DF6EEC" w:rsidRPr="00206F9F">
        <w:rPr>
          <w:color w:val="auto"/>
          <w:szCs w:val="24"/>
        </w:rPr>
        <w:t xml:space="preserve">(“3/5”) </w:t>
      </w:r>
      <w:r w:rsidR="00206A8E" w:rsidRPr="00206F9F">
        <w:rPr>
          <w:color w:val="auto"/>
          <w:szCs w:val="24"/>
        </w:rPr>
        <w:t>in both upper extremities not explained by known medical condition</w:t>
      </w:r>
      <w:r w:rsidR="002F08C6" w:rsidRPr="00206F9F">
        <w:rPr>
          <w:color w:val="auto"/>
          <w:szCs w:val="24"/>
        </w:rPr>
        <w:t>s</w:t>
      </w:r>
      <w:r w:rsidR="00206A8E" w:rsidRPr="00206F9F">
        <w:rPr>
          <w:color w:val="auto"/>
          <w:szCs w:val="24"/>
        </w:rPr>
        <w:t>.</w:t>
      </w:r>
      <w:r w:rsidR="006B0ED6" w:rsidRPr="00206F9F">
        <w:rPr>
          <w:color w:val="auto"/>
          <w:szCs w:val="24"/>
        </w:rPr>
        <w:t xml:space="preserve">  </w:t>
      </w:r>
      <w:r w:rsidR="001E2E47" w:rsidRPr="00206F9F">
        <w:rPr>
          <w:color w:val="auto"/>
          <w:szCs w:val="24"/>
        </w:rPr>
        <w:t xml:space="preserve">In its assignment of probative value to the disparate exams, the Board must acknowledge that VA C&amp;P spine examinations may predispose a lowered pain threshold or increased symptom reporting since the examinee is generally quite aware that the severity of symptoms and pain tolerance on ROM and other testing is directly correlated with the resulting rating and financial gain.  The measurement of ROM reflecting pain with motion is dependent on the examinee’s reported pain, </w:t>
      </w:r>
      <w:r w:rsidR="00505B73" w:rsidRPr="00206F9F">
        <w:rPr>
          <w:color w:val="auto"/>
          <w:szCs w:val="24"/>
        </w:rPr>
        <w:t xml:space="preserve">and strength testing is dependent on examinee effort, </w:t>
      </w:r>
      <w:r w:rsidR="001E2E47" w:rsidRPr="00206F9F">
        <w:rPr>
          <w:color w:val="auto"/>
          <w:szCs w:val="24"/>
        </w:rPr>
        <w:t>with scant ability by the examiner to objectively confirm it.</w:t>
      </w:r>
      <w:r w:rsidR="001E4FE7" w:rsidRPr="00206F9F">
        <w:rPr>
          <w:color w:val="auto"/>
          <w:szCs w:val="24"/>
        </w:rPr>
        <w:t xml:space="preserve">  </w:t>
      </w:r>
      <w:r w:rsidR="001E2E47" w:rsidRPr="00206F9F">
        <w:rPr>
          <w:color w:val="auto"/>
          <w:szCs w:val="24"/>
        </w:rPr>
        <w:t xml:space="preserve">Upon deliberation the Board agreed in this case that the MEB physical </w:t>
      </w:r>
      <w:r w:rsidR="00206F9F" w:rsidRPr="00206F9F">
        <w:rPr>
          <w:color w:val="auto"/>
          <w:szCs w:val="24"/>
        </w:rPr>
        <w:t>examination</w:t>
      </w:r>
      <w:r w:rsidR="001E2E47" w:rsidRPr="00206F9F">
        <w:rPr>
          <w:color w:val="auto"/>
          <w:szCs w:val="24"/>
        </w:rPr>
        <w:t xml:space="preserve"> was more consistent with outpatient notes, more reflective of the anticipated severity suggested by the clinical pathology and less </w:t>
      </w:r>
      <w:r w:rsidR="001E2E47" w:rsidRPr="00206F9F">
        <w:rPr>
          <w:color w:val="auto"/>
          <w:szCs w:val="24"/>
        </w:rPr>
        <w:lastRenderedPageBreak/>
        <w:t xml:space="preserve">vulnerable to the undue influence just elaborated.  The Board therefore relied primarily on the MEB evidence and does not find adequate reasonable doubt in the CI’s favor for recommending a higher rating for the </w:t>
      </w:r>
      <w:r w:rsidRPr="00206F9F">
        <w:rPr>
          <w:color w:val="auto"/>
          <w:szCs w:val="24"/>
        </w:rPr>
        <w:t>back condition (5237).</w:t>
      </w:r>
      <w:r w:rsidR="006B0ED6" w:rsidRPr="00206F9F">
        <w:rPr>
          <w:color w:val="auto"/>
          <w:szCs w:val="24"/>
        </w:rPr>
        <w:t xml:space="preserve">  </w:t>
      </w:r>
      <w:r w:rsidR="00224ED5" w:rsidRPr="00206F9F">
        <w:rPr>
          <w:rFonts w:asciiTheme="minorHAnsi" w:hAnsiTheme="minorHAnsi"/>
          <w:color w:val="auto"/>
          <w:szCs w:val="24"/>
        </w:rPr>
        <w:t>The Board also considered a rating using the VASRD formula based on incapacitating episodes due to intervertebral disc syndrome.  The criteria are based on the number of incapacitating episodes in the prior 12 months requiring bed rest prescribed by a physician.  No service treatment records were identified that documented physician</w:t>
      </w:r>
      <w:r w:rsidR="00227C50">
        <w:rPr>
          <w:rFonts w:asciiTheme="minorHAnsi" w:hAnsiTheme="minorHAnsi"/>
          <w:color w:val="auto"/>
          <w:szCs w:val="24"/>
        </w:rPr>
        <w:t>-</w:t>
      </w:r>
      <w:r w:rsidR="00224ED5" w:rsidRPr="00206F9F">
        <w:rPr>
          <w:rFonts w:asciiTheme="minorHAnsi" w:hAnsiTheme="minorHAnsi"/>
          <w:color w:val="auto"/>
          <w:szCs w:val="24"/>
        </w:rPr>
        <w:t xml:space="preserve">directed bed rest.  </w:t>
      </w:r>
      <w:r w:rsidR="00206F9F" w:rsidRPr="00206F9F">
        <w:rPr>
          <w:rFonts w:asciiTheme="minorHAnsi" w:hAnsiTheme="minorHAnsi"/>
          <w:color w:val="auto"/>
          <w:szCs w:val="24"/>
        </w:rPr>
        <w:t xml:space="preserve">The VA C&amp;P exam history of “incapacitation” was not substantiated by any documentation of “bed rest prescribed by a physician and treatment by a physician” IAW Note (1) of the </w:t>
      </w:r>
      <w:r w:rsidR="00227C50" w:rsidRPr="00206F9F">
        <w:rPr>
          <w:rFonts w:asciiTheme="minorHAnsi" w:hAnsiTheme="minorHAnsi"/>
          <w:color w:val="auto"/>
          <w:szCs w:val="24"/>
        </w:rPr>
        <w:t>formula for rating intervertebral disc syndrome based on incapacitating episode</w:t>
      </w:r>
      <w:r w:rsidR="00206F9F" w:rsidRPr="00206F9F">
        <w:rPr>
          <w:rFonts w:asciiTheme="minorHAnsi" w:hAnsiTheme="minorHAnsi"/>
          <w:color w:val="auto"/>
          <w:szCs w:val="24"/>
        </w:rPr>
        <w:t xml:space="preserve">s.  </w:t>
      </w:r>
      <w:r w:rsidR="00224ED5" w:rsidRPr="00206F9F">
        <w:rPr>
          <w:rFonts w:asciiTheme="minorHAnsi" w:hAnsiTheme="minorHAnsi"/>
          <w:color w:val="auto"/>
          <w:szCs w:val="24"/>
        </w:rPr>
        <w:t>The Board concluded the preponderance of evidence did not support a higher rating using this alternate formula providing no additional benefit to the CI.</w:t>
      </w:r>
      <w:r w:rsidR="006B0ED6" w:rsidRPr="00206F9F">
        <w:rPr>
          <w:rFonts w:asciiTheme="minorHAnsi" w:hAnsiTheme="minorHAnsi"/>
          <w:color w:val="auto"/>
          <w:szCs w:val="24"/>
        </w:rPr>
        <w:t xml:space="preserve">  </w:t>
      </w:r>
      <w:r w:rsidR="00360097" w:rsidRPr="00206F9F">
        <w:rPr>
          <w:rFonts w:asciiTheme="minorHAnsi" w:hAnsiTheme="minorHAnsi"/>
          <w:color w:val="auto"/>
          <w:szCs w:val="24"/>
        </w:rPr>
        <w:t>All evidence considered</w:t>
      </w:r>
      <w:proofErr w:type="gramStart"/>
      <w:r w:rsidR="00360097" w:rsidRPr="00206F9F">
        <w:rPr>
          <w:rFonts w:asciiTheme="minorHAnsi" w:hAnsiTheme="minorHAnsi"/>
          <w:color w:val="auto"/>
          <w:szCs w:val="24"/>
        </w:rPr>
        <w:t>,</w:t>
      </w:r>
      <w:proofErr w:type="gramEnd"/>
      <w:r w:rsidR="00360097" w:rsidRPr="00206F9F">
        <w:rPr>
          <w:rFonts w:asciiTheme="minorHAnsi" w:hAnsiTheme="minorHAnsi"/>
          <w:color w:val="auto"/>
          <w:szCs w:val="24"/>
        </w:rPr>
        <w:t xml:space="preserve"> there is not reasonable doubt in the CI’s favor supporting a change from the PEB’s 20% rating decision for the CI’s back condition (coded 5237).</w:t>
      </w:r>
    </w:p>
    <w:p w:rsidR="00206A8E" w:rsidRPr="00206F9F" w:rsidRDefault="00206A8E" w:rsidP="00206A8E">
      <w:pPr>
        <w:tabs>
          <w:tab w:val="left" w:pos="720"/>
          <w:tab w:val="left" w:pos="1080"/>
          <w:tab w:val="left" w:pos="1440"/>
          <w:tab w:val="left" w:pos="1800"/>
          <w:tab w:val="left" w:pos="2160"/>
          <w:tab w:val="right" w:leader="dot" w:pos="9180"/>
        </w:tabs>
        <w:spacing w:line="240" w:lineRule="exact"/>
        <w:rPr>
          <w:color w:val="auto"/>
          <w:szCs w:val="24"/>
        </w:rPr>
      </w:pPr>
    </w:p>
    <w:p w:rsidR="00F1020B" w:rsidRPr="00206F9F" w:rsidRDefault="00EC337D" w:rsidP="00F1020B">
      <w:pPr>
        <w:spacing w:line="240" w:lineRule="exact"/>
        <w:jc w:val="both"/>
        <w:rPr>
          <w:rFonts w:asciiTheme="minorHAnsi" w:hAnsiTheme="minorHAnsi"/>
          <w:color w:val="auto"/>
          <w:szCs w:val="24"/>
        </w:rPr>
      </w:pPr>
      <w:proofErr w:type="gramStart"/>
      <w:r w:rsidRPr="00206F9F">
        <w:rPr>
          <w:rFonts w:asciiTheme="minorHAnsi" w:eastAsiaTheme="minorHAnsi" w:hAnsiTheme="minorHAnsi"/>
          <w:color w:val="auto"/>
          <w:szCs w:val="24"/>
          <w:u w:val="single"/>
        </w:rPr>
        <w:t>Remaining Conditions</w:t>
      </w:r>
      <w:r w:rsidR="00227C50">
        <w:rPr>
          <w:rFonts w:asciiTheme="minorHAnsi" w:eastAsiaTheme="minorHAnsi" w:hAnsiTheme="minorHAnsi"/>
          <w:color w:val="auto"/>
          <w:szCs w:val="24"/>
          <w:u w:val="single"/>
        </w:rPr>
        <w:t>.</w:t>
      </w:r>
      <w:proofErr w:type="gramEnd"/>
      <w:r w:rsidRPr="00206F9F">
        <w:rPr>
          <w:rFonts w:asciiTheme="minorHAnsi" w:eastAsiaTheme="minorHAnsi" w:hAnsiTheme="minorHAnsi"/>
          <w:color w:val="auto"/>
          <w:szCs w:val="24"/>
        </w:rPr>
        <w:t xml:space="preserve">  Other conditions identified in the DES file were </w:t>
      </w:r>
      <w:r w:rsidR="0071761F" w:rsidRPr="00206F9F">
        <w:rPr>
          <w:rFonts w:asciiTheme="minorHAnsi" w:eastAsiaTheme="minorHAnsi" w:hAnsiTheme="minorHAnsi"/>
          <w:color w:val="auto"/>
          <w:szCs w:val="24"/>
        </w:rPr>
        <w:t>separated right shoulder (May 2002), left s</w:t>
      </w:r>
      <w:r w:rsidR="007C5C46" w:rsidRPr="00206F9F">
        <w:rPr>
          <w:rFonts w:asciiTheme="minorHAnsi" w:eastAsiaTheme="minorHAnsi" w:hAnsiTheme="minorHAnsi"/>
          <w:color w:val="auto"/>
          <w:szCs w:val="24"/>
        </w:rPr>
        <w:t xml:space="preserve">houlder </w:t>
      </w:r>
      <w:r w:rsidR="0071761F" w:rsidRPr="00206F9F">
        <w:rPr>
          <w:rFonts w:asciiTheme="minorHAnsi" w:eastAsiaTheme="minorHAnsi" w:hAnsiTheme="minorHAnsi"/>
          <w:color w:val="auto"/>
          <w:szCs w:val="24"/>
        </w:rPr>
        <w:t>p</w:t>
      </w:r>
      <w:r w:rsidR="007C5C46" w:rsidRPr="00206F9F">
        <w:rPr>
          <w:rFonts w:asciiTheme="minorHAnsi" w:eastAsiaTheme="minorHAnsi" w:hAnsiTheme="minorHAnsi"/>
          <w:color w:val="auto"/>
          <w:szCs w:val="24"/>
        </w:rPr>
        <w:t>ain</w:t>
      </w:r>
      <w:r w:rsidR="0071761F" w:rsidRPr="00206F9F">
        <w:rPr>
          <w:rFonts w:asciiTheme="minorHAnsi" w:eastAsiaTheme="minorHAnsi" w:hAnsiTheme="minorHAnsi"/>
          <w:color w:val="auto"/>
          <w:szCs w:val="24"/>
        </w:rPr>
        <w:t xml:space="preserve">, motor vehicle accident 2002 with residual occasional tingling/weakness above left knee, </w:t>
      </w:r>
      <w:proofErr w:type="spellStart"/>
      <w:r w:rsidR="0071761F" w:rsidRPr="00206F9F">
        <w:rPr>
          <w:rFonts w:asciiTheme="minorHAnsi" w:eastAsiaTheme="minorHAnsi" w:hAnsiTheme="minorHAnsi"/>
          <w:color w:val="auto"/>
          <w:szCs w:val="24"/>
        </w:rPr>
        <w:t>olecranon</w:t>
      </w:r>
      <w:proofErr w:type="spellEnd"/>
      <w:r w:rsidR="0071761F" w:rsidRPr="00206F9F">
        <w:rPr>
          <w:rFonts w:asciiTheme="minorHAnsi" w:eastAsiaTheme="minorHAnsi" w:hAnsiTheme="minorHAnsi"/>
          <w:color w:val="auto"/>
          <w:szCs w:val="24"/>
        </w:rPr>
        <w:t xml:space="preserve"> bursitis left elbow</w:t>
      </w:r>
      <w:r w:rsidR="00371379" w:rsidRPr="00206F9F">
        <w:rPr>
          <w:rFonts w:asciiTheme="minorHAnsi" w:eastAsiaTheme="minorHAnsi" w:hAnsiTheme="minorHAnsi"/>
          <w:color w:val="auto"/>
          <w:szCs w:val="24"/>
        </w:rPr>
        <w:t>,</w:t>
      </w:r>
      <w:r w:rsidR="0071761F" w:rsidRPr="00206F9F">
        <w:rPr>
          <w:rFonts w:asciiTheme="minorHAnsi" w:eastAsiaTheme="minorHAnsi" w:hAnsiTheme="minorHAnsi"/>
          <w:color w:val="auto"/>
          <w:szCs w:val="24"/>
        </w:rPr>
        <w:t xml:space="preserve"> and </w:t>
      </w:r>
      <w:proofErr w:type="spellStart"/>
      <w:r w:rsidR="0071761F" w:rsidRPr="00206F9F">
        <w:rPr>
          <w:rFonts w:asciiTheme="minorHAnsi" w:eastAsiaTheme="minorHAnsi" w:hAnsiTheme="minorHAnsi"/>
          <w:color w:val="auto"/>
          <w:szCs w:val="24"/>
        </w:rPr>
        <w:t>thyroglossal</w:t>
      </w:r>
      <w:proofErr w:type="spellEnd"/>
      <w:r w:rsidR="0071761F" w:rsidRPr="00206F9F">
        <w:rPr>
          <w:rFonts w:asciiTheme="minorHAnsi" w:eastAsiaTheme="minorHAnsi" w:hAnsiTheme="minorHAnsi"/>
          <w:color w:val="auto"/>
          <w:szCs w:val="24"/>
        </w:rPr>
        <w:t xml:space="preserve"> duct cyst.</w:t>
      </w:r>
      <w:r w:rsidRPr="00206F9F">
        <w:rPr>
          <w:rFonts w:asciiTheme="minorHAnsi" w:eastAsiaTheme="minorHAnsi" w:hAnsiTheme="minorHAnsi"/>
          <w:color w:val="auto"/>
          <w:szCs w:val="24"/>
        </w:rPr>
        <w:t xml:space="preserve">  Several additional non-acute conditions or medical complaints were also documented.  None of these conditions were clinically </w:t>
      </w:r>
      <w:r w:rsidR="006B0ED6" w:rsidRPr="00206F9F">
        <w:rPr>
          <w:rFonts w:asciiTheme="minorHAnsi" w:eastAsiaTheme="minorHAnsi" w:hAnsiTheme="minorHAnsi"/>
          <w:color w:val="auto"/>
          <w:szCs w:val="24"/>
        </w:rPr>
        <w:t xml:space="preserve">or occupationally significant </w:t>
      </w:r>
      <w:r w:rsidRPr="00206F9F">
        <w:rPr>
          <w:rFonts w:asciiTheme="minorHAnsi" w:eastAsiaTheme="minorHAnsi" w:hAnsiTheme="minorHAnsi"/>
          <w:color w:val="auto"/>
          <w:szCs w:val="24"/>
        </w:rPr>
        <w:t>during the MEB period</w:t>
      </w:r>
      <w:r w:rsidR="002F08C6" w:rsidRPr="00206F9F">
        <w:rPr>
          <w:rFonts w:asciiTheme="minorHAnsi" w:eastAsiaTheme="minorHAnsi" w:hAnsiTheme="minorHAnsi"/>
          <w:color w:val="auto"/>
          <w:szCs w:val="24"/>
        </w:rPr>
        <w:t>,</w:t>
      </w:r>
      <w:r w:rsidRPr="00206F9F">
        <w:rPr>
          <w:rFonts w:asciiTheme="minorHAnsi" w:eastAsiaTheme="minorHAnsi" w:hAnsiTheme="minorHAnsi"/>
          <w:color w:val="auto"/>
          <w:szCs w:val="24"/>
        </w:rPr>
        <w:t xml:space="preserve"> </w:t>
      </w:r>
      <w:r w:rsidR="00CC27E0" w:rsidRPr="00206F9F">
        <w:rPr>
          <w:rFonts w:asciiTheme="minorHAnsi" w:eastAsiaTheme="minorHAnsi" w:hAnsiTheme="minorHAnsi"/>
          <w:color w:val="auto"/>
          <w:szCs w:val="24"/>
        </w:rPr>
        <w:t>were the basis for limited duty</w:t>
      </w:r>
      <w:r w:rsidR="00227C50">
        <w:rPr>
          <w:rFonts w:asciiTheme="minorHAnsi" w:eastAsiaTheme="minorHAnsi" w:hAnsiTheme="minorHAnsi"/>
          <w:color w:val="auto"/>
          <w:szCs w:val="24"/>
        </w:rPr>
        <w:t>, or</w:t>
      </w:r>
      <w:r w:rsidR="00CC27E0" w:rsidRPr="00206F9F">
        <w:rPr>
          <w:rFonts w:asciiTheme="minorHAnsi" w:eastAsiaTheme="minorHAnsi" w:hAnsiTheme="minorHAnsi"/>
          <w:color w:val="auto"/>
          <w:szCs w:val="24"/>
        </w:rPr>
        <w:t xml:space="preserve"> were implicated in the commander’s </w:t>
      </w:r>
      <w:r w:rsidR="00227C50">
        <w:rPr>
          <w:rFonts w:asciiTheme="minorHAnsi" w:eastAsiaTheme="minorHAnsi" w:hAnsiTheme="minorHAnsi"/>
          <w:color w:val="auto"/>
          <w:szCs w:val="24"/>
        </w:rPr>
        <w:t>assessment.</w:t>
      </w:r>
      <w:r w:rsidR="00CC27E0" w:rsidRPr="00206F9F">
        <w:rPr>
          <w:rFonts w:asciiTheme="minorHAnsi" w:eastAsiaTheme="minorHAnsi" w:hAnsiTheme="minorHAnsi"/>
          <w:color w:val="auto"/>
          <w:szCs w:val="24"/>
        </w:rPr>
        <w:t xml:space="preserve">  </w:t>
      </w:r>
      <w:r w:rsidRPr="00206F9F">
        <w:rPr>
          <w:rFonts w:asciiTheme="minorHAnsi" w:eastAsiaTheme="minorHAnsi" w:hAnsiTheme="minorHAnsi"/>
          <w:color w:val="auto"/>
          <w:szCs w:val="24"/>
        </w:rPr>
        <w:t xml:space="preserve">These conditions were reviewed by the </w:t>
      </w:r>
      <w:r w:rsidR="0071761F" w:rsidRPr="00206F9F">
        <w:rPr>
          <w:rFonts w:asciiTheme="minorHAnsi" w:eastAsiaTheme="minorHAnsi" w:hAnsiTheme="minorHAnsi"/>
          <w:color w:val="auto"/>
          <w:szCs w:val="24"/>
        </w:rPr>
        <w:t>a</w:t>
      </w:r>
      <w:r w:rsidRPr="00206F9F">
        <w:rPr>
          <w:rFonts w:asciiTheme="minorHAnsi" w:eastAsiaTheme="minorHAnsi" w:hAnsiTheme="minorHAnsi"/>
          <w:color w:val="auto"/>
          <w:szCs w:val="24"/>
        </w:rPr>
        <w:t xml:space="preserve">ction </w:t>
      </w:r>
      <w:r w:rsidR="0071761F" w:rsidRPr="00206F9F">
        <w:rPr>
          <w:rFonts w:asciiTheme="minorHAnsi" w:eastAsiaTheme="minorHAnsi" w:hAnsiTheme="minorHAnsi"/>
          <w:color w:val="auto"/>
          <w:szCs w:val="24"/>
        </w:rPr>
        <w:t>o</w:t>
      </w:r>
      <w:r w:rsidRPr="00206F9F">
        <w:rPr>
          <w:rFonts w:asciiTheme="minorHAnsi" w:eastAsiaTheme="minorHAnsi" w:hAnsiTheme="minorHAnsi"/>
          <w:color w:val="auto"/>
          <w:szCs w:val="24"/>
        </w:rPr>
        <w:t xml:space="preserve">fficer and considered by the Board.  </w:t>
      </w:r>
      <w:r w:rsidR="00D661E9" w:rsidRPr="00206F9F">
        <w:rPr>
          <w:rFonts w:asciiTheme="minorHAnsi" w:eastAsiaTheme="minorHAnsi" w:hAnsiTheme="minorHAnsi"/>
          <w:color w:val="auto"/>
          <w:szCs w:val="24"/>
        </w:rPr>
        <w:t>It was determined that none could be argued as unfitting and subject to separation rating.</w:t>
      </w:r>
      <w:r w:rsidR="00F1020B" w:rsidRPr="00206F9F">
        <w:rPr>
          <w:rFonts w:asciiTheme="minorHAnsi" w:eastAsiaTheme="minorHAnsi" w:hAnsiTheme="minorHAnsi"/>
          <w:color w:val="auto"/>
          <w:szCs w:val="24"/>
        </w:rPr>
        <w:t xml:space="preserve">  </w:t>
      </w:r>
      <w:r w:rsidR="00F1020B" w:rsidRPr="00206F9F">
        <w:rPr>
          <w:rFonts w:asciiTheme="minorHAnsi" w:hAnsiTheme="minorHAnsi"/>
          <w:color w:val="auto"/>
          <w:szCs w:val="24"/>
        </w:rPr>
        <w:t>Additionally</w:t>
      </w:r>
      <w:r w:rsidR="00371379" w:rsidRPr="00206F9F">
        <w:rPr>
          <w:rFonts w:asciiTheme="minorHAnsi" w:hAnsiTheme="minorHAnsi"/>
          <w:color w:val="auto"/>
          <w:szCs w:val="24"/>
        </w:rPr>
        <w:t>,</w:t>
      </w:r>
      <w:r w:rsidR="00F1020B" w:rsidRPr="00206F9F">
        <w:rPr>
          <w:rFonts w:asciiTheme="minorHAnsi" w:hAnsiTheme="minorHAnsi"/>
          <w:color w:val="auto"/>
          <w:szCs w:val="24"/>
        </w:rPr>
        <w:t xml:space="preserve"> tinnitus and hearing loss were noted in the VA rating decision proximal to separation, but were not documented in the DES file.  The Board does not have the authority under DoDI 6040.44 to render fitness or rating recommendations for any conditions not considered by the DES.  The Board therefore has no reasonable basis for recommending any additional unfitting conditions for separation rating.</w:t>
      </w:r>
    </w:p>
    <w:p w:rsidR="00106AD8" w:rsidRPr="00206F9F" w:rsidRDefault="001724C8" w:rsidP="00394CE6">
      <w:pPr>
        <w:spacing w:line="240" w:lineRule="exact"/>
        <w:jc w:val="both"/>
        <w:rPr>
          <w:rFonts w:asciiTheme="minorHAnsi" w:eastAsiaTheme="minorHAnsi" w:hAnsiTheme="minorHAnsi"/>
          <w:b/>
          <w:color w:val="auto"/>
          <w:szCs w:val="24"/>
        </w:rPr>
      </w:pPr>
      <w:r w:rsidRPr="00206F9F">
        <w:rPr>
          <w:rFonts w:asciiTheme="minorHAnsi" w:eastAsiaTheme="minorHAnsi" w:hAnsiTheme="minorHAnsi"/>
          <w:b/>
          <w:color w:val="auto"/>
          <w:szCs w:val="24"/>
        </w:rPr>
        <w:t>______________________________________________________________________________</w:t>
      </w:r>
    </w:p>
    <w:p w:rsidR="001724C8" w:rsidRPr="00206F9F" w:rsidRDefault="001724C8" w:rsidP="00394CE6">
      <w:pPr>
        <w:spacing w:line="240" w:lineRule="exact"/>
        <w:jc w:val="both"/>
        <w:rPr>
          <w:rFonts w:asciiTheme="minorHAnsi" w:eastAsiaTheme="minorHAnsi" w:hAnsiTheme="minorHAnsi"/>
          <w:b/>
          <w:color w:val="auto"/>
          <w:szCs w:val="24"/>
        </w:rPr>
      </w:pPr>
    </w:p>
    <w:p w:rsidR="00EE716C" w:rsidRPr="00206F9F" w:rsidRDefault="00C56FC8" w:rsidP="00371379">
      <w:pPr>
        <w:spacing w:line="240" w:lineRule="exact"/>
        <w:jc w:val="both"/>
        <w:rPr>
          <w:rFonts w:asciiTheme="minorHAnsi" w:hAnsiTheme="minorHAnsi"/>
          <w:color w:val="auto"/>
          <w:u w:val="single"/>
        </w:rPr>
      </w:pPr>
      <w:r w:rsidRPr="00206F9F">
        <w:rPr>
          <w:rFonts w:asciiTheme="minorHAnsi" w:eastAsiaTheme="minorHAnsi" w:hAnsiTheme="minorHAnsi"/>
          <w:color w:val="auto"/>
          <w:szCs w:val="24"/>
          <w:u w:val="single"/>
        </w:rPr>
        <w:t>BOARD FINDINGS</w:t>
      </w:r>
      <w:r w:rsidRPr="00206F9F">
        <w:rPr>
          <w:rFonts w:asciiTheme="minorHAnsi" w:eastAsiaTheme="minorHAnsi" w:hAnsiTheme="minorHAnsi"/>
          <w:color w:val="auto"/>
          <w:szCs w:val="24"/>
        </w:rPr>
        <w:t>:  IAW DoDI 6040.44, provisions of DoD or Military Department regulations or guidelines relied upon by the PEB will not be considered by the Board to the extent they were inconsistent with the VASRD in effect at the time of the adjudication.</w:t>
      </w:r>
      <w:r w:rsidR="006B0ED6" w:rsidRPr="00206F9F">
        <w:rPr>
          <w:rFonts w:asciiTheme="minorHAnsi" w:eastAsiaTheme="minorHAnsi" w:hAnsiTheme="minorHAnsi"/>
          <w:color w:val="auto"/>
          <w:szCs w:val="24"/>
        </w:rPr>
        <w:t xml:space="preserve">  </w:t>
      </w:r>
      <w:r w:rsidR="00360097" w:rsidRPr="00206F9F">
        <w:rPr>
          <w:rFonts w:asciiTheme="minorHAnsi" w:eastAsiaTheme="minorHAnsi" w:hAnsiTheme="minorHAnsi"/>
          <w:color w:val="auto"/>
          <w:szCs w:val="24"/>
        </w:rPr>
        <w:t>In the matter of the back condition (back pain, herniated discs)</w:t>
      </w:r>
      <w:r w:rsidR="00360097" w:rsidRPr="00206F9F">
        <w:rPr>
          <w:color w:val="auto"/>
          <w:szCs w:val="24"/>
        </w:rPr>
        <w:t xml:space="preserve"> </w:t>
      </w:r>
      <w:r w:rsidR="00360097" w:rsidRPr="00206F9F">
        <w:rPr>
          <w:rFonts w:asciiTheme="minorHAnsi" w:eastAsiaTheme="minorHAnsi" w:hAnsiTheme="minorHAnsi"/>
          <w:color w:val="auto"/>
          <w:szCs w:val="24"/>
        </w:rPr>
        <w:t>and IAW VASRD §4.71a, the Board unanimously recommends no change in the PEB adjudication.</w:t>
      </w:r>
      <w:r w:rsidR="006B0ED6" w:rsidRPr="00206F9F">
        <w:rPr>
          <w:rFonts w:asciiTheme="minorHAnsi" w:eastAsiaTheme="minorHAnsi" w:hAnsiTheme="minorHAnsi"/>
          <w:color w:val="auto"/>
          <w:szCs w:val="24"/>
        </w:rPr>
        <w:t xml:space="preserve">  </w:t>
      </w:r>
      <w:r w:rsidR="00360097" w:rsidRPr="00206F9F">
        <w:rPr>
          <w:rFonts w:asciiTheme="minorHAnsi" w:eastAsiaTheme="minorHAnsi" w:hAnsiTheme="minorHAnsi"/>
          <w:color w:val="auto"/>
          <w:szCs w:val="24"/>
        </w:rPr>
        <w:t>In the matter of any other medical conditions eligible for Board consideration</w:t>
      </w:r>
      <w:r w:rsidR="00227C50">
        <w:rPr>
          <w:rFonts w:asciiTheme="minorHAnsi" w:eastAsiaTheme="minorHAnsi" w:hAnsiTheme="minorHAnsi"/>
          <w:color w:val="auto"/>
          <w:szCs w:val="24"/>
        </w:rPr>
        <w:t>,</w:t>
      </w:r>
      <w:r w:rsidR="00360097" w:rsidRPr="00206F9F">
        <w:rPr>
          <w:rFonts w:asciiTheme="minorHAnsi" w:eastAsiaTheme="minorHAnsi" w:hAnsiTheme="minorHAnsi"/>
          <w:color w:val="auto"/>
          <w:szCs w:val="24"/>
        </w:rPr>
        <w:t xml:space="preserve"> the Board unanimously agrees</w:t>
      </w:r>
      <w:r w:rsidR="00360097" w:rsidRPr="00206F9F">
        <w:rPr>
          <w:rFonts w:asciiTheme="minorHAnsi" w:hAnsiTheme="minorHAnsi"/>
          <w:color w:val="auto"/>
          <w:szCs w:val="24"/>
        </w:rPr>
        <w:t xml:space="preserve"> that it cannot recommend any findings of unfit for additional rating at separation.</w:t>
      </w:r>
    </w:p>
    <w:p w:rsidR="00A83C15" w:rsidRPr="00206F9F" w:rsidRDefault="00A83C15" w:rsidP="000452D7">
      <w:pPr>
        <w:tabs>
          <w:tab w:val="left" w:pos="288"/>
          <w:tab w:val="left" w:pos="4752"/>
        </w:tabs>
        <w:spacing w:line="240" w:lineRule="exact"/>
        <w:jc w:val="both"/>
        <w:rPr>
          <w:rFonts w:asciiTheme="minorHAnsi" w:hAnsiTheme="minorHAnsi"/>
          <w:b/>
          <w:caps/>
          <w:color w:val="auto"/>
          <w:u w:val="single"/>
        </w:rPr>
      </w:pPr>
      <w:r w:rsidRPr="00206F9F">
        <w:rPr>
          <w:rFonts w:asciiTheme="minorHAnsi" w:hAnsiTheme="minorHAnsi"/>
          <w:b/>
          <w:color w:val="auto"/>
          <w:u w:val="single"/>
        </w:rPr>
        <w:t>______________________________________________________________________________</w:t>
      </w:r>
    </w:p>
    <w:p w:rsidR="00206F9F" w:rsidRDefault="00206F9F">
      <w:pPr>
        <w:rPr>
          <w:rFonts w:asciiTheme="minorHAnsi" w:hAnsiTheme="minorHAnsi"/>
          <w:color w:val="auto"/>
          <w:szCs w:val="24"/>
          <w:u w:val="single"/>
        </w:rPr>
      </w:pPr>
    </w:p>
    <w:p w:rsidR="00360097" w:rsidRPr="00206F9F" w:rsidRDefault="00C56FC8" w:rsidP="00206F9F">
      <w:pPr>
        <w:spacing w:line="240" w:lineRule="exact"/>
        <w:jc w:val="both"/>
        <w:rPr>
          <w:rFonts w:asciiTheme="minorHAnsi" w:hAnsiTheme="minorHAnsi"/>
          <w:color w:val="auto"/>
          <w:szCs w:val="24"/>
        </w:rPr>
      </w:pPr>
      <w:r w:rsidRPr="00206F9F">
        <w:rPr>
          <w:rFonts w:asciiTheme="minorHAnsi" w:hAnsiTheme="minorHAnsi"/>
          <w:color w:val="auto"/>
          <w:szCs w:val="24"/>
          <w:u w:val="single"/>
        </w:rPr>
        <w:t>RECOMMENDATION</w:t>
      </w:r>
      <w:r w:rsidRPr="00206F9F">
        <w:rPr>
          <w:rFonts w:asciiTheme="minorHAnsi" w:hAnsiTheme="minorHAnsi"/>
          <w:color w:val="auto"/>
          <w:szCs w:val="24"/>
        </w:rPr>
        <w:t>:</w:t>
      </w:r>
      <w:r w:rsidR="00360097" w:rsidRPr="00206F9F">
        <w:rPr>
          <w:rFonts w:asciiTheme="minorHAnsi" w:hAnsiTheme="minorHAnsi"/>
          <w:color w:val="auto"/>
          <w:szCs w:val="24"/>
        </w:rPr>
        <w:t xml:space="preserve">  </w:t>
      </w:r>
      <w:r w:rsidRPr="00206F9F">
        <w:rPr>
          <w:rFonts w:asciiTheme="minorHAnsi" w:hAnsiTheme="minorHAnsi"/>
          <w:color w:val="auto"/>
          <w:szCs w:val="24"/>
        </w:rPr>
        <w:t>The Board therefore recommends that there be no recharacterization of the CI’s disability and separation determination.</w:t>
      </w:r>
    </w:p>
    <w:p w:rsidR="004101B2" w:rsidRPr="00206F9F" w:rsidRDefault="004101B2" w:rsidP="000452D7">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206F9F" w:rsidTr="00911490">
        <w:trPr>
          <w:trHeight w:val="233"/>
          <w:jc w:val="center"/>
        </w:trPr>
        <w:tc>
          <w:tcPr>
            <w:tcW w:w="6480" w:type="dxa"/>
            <w:shd w:val="clear" w:color="auto" w:fill="D9D9D9"/>
          </w:tcPr>
          <w:p w:rsidR="00A95BBA" w:rsidRPr="00206F9F" w:rsidRDefault="00A95BBA" w:rsidP="000452D7">
            <w:pPr>
              <w:tabs>
                <w:tab w:val="left" w:pos="288"/>
                <w:tab w:val="left" w:pos="4752"/>
              </w:tabs>
              <w:spacing w:line="240" w:lineRule="exact"/>
              <w:jc w:val="both"/>
              <w:rPr>
                <w:rFonts w:asciiTheme="minorHAnsi" w:hAnsiTheme="minorHAnsi"/>
                <w:b/>
                <w:color w:val="auto"/>
                <w:szCs w:val="24"/>
              </w:rPr>
            </w:pPr>
            <w:r w:rsidRPr="00206F9F">
              <w:rPr>
                <w:rFonts w:asciiTheme="minorHAnsi" w:hAnsiTheme="minorHAnsi"/>
                <w:b/>
                <w:color w:val="auto"/>
                <w:szCs w:val="24"/>
              </w:rPr>
              <w:t>UNFITTING CONDITION</w:t>
            </w:r>
          </w:p>
        </w:tc>
        <w:tc>
          <w:tcPr>
            <w:tcW w:w="1710" w:type="dxa"/>
            <w:shd w:val="clear" w:color="auto" w:fill="D9D9D9"/>
          </w:tcPr>
          <w:p w:rsidR="00A95BBA" w:rsidRPr="00206F9F" w:rsidRDefault="00A95BBA" w:rsidP="000452D7">
            <w:pPr>
              <w:tabs>
                <w:tab w:val="left" w:pos="288"/>
                <w:tab w:val="left" w:pos="4752"/>
              </w:tabs>
              <w:spacing w:line="240" w:lineRule="exact"/>
              <w:jc w:val="center"/>
              <w:rPr>
                <w:rFonts w:asciiTheme="minorHAnsi" w:hAnsiTheme="minorHAnsi"/>
                <w:b/>
                <w:color w:val="auto"/>
                <w:szCs w:val="24"/>
              </w:rPr>
            </w:pPr>
            <w:r w:rsidRPr="00206F9F">
              <w:rPr>
                <w:rFonts w:asciiTheme="minorHAnsi" w:hAnsiTheme="minorHAnsi"/>
                <w:b/>
                <w:color w:val="auto"/>
                <w:szCs w:val="24"/>
              </w:rPr>
              <w:t>VASRD CODE</w:t>
            </w:r>
          </w:p>
        </w:tc>
        <w:tc>
          <w:tcPr>
            <w:tcW w:w="1170" w:type="dxa"/>
            <w:shd w:val="clear" w:color="auto" w:fill="D9D9D9"/>
          </w:tcPr>
          <w:p w:rsidR="00A95BBA" w:rsidRPr="00206F9F" w:rsidRDefault="00A95BBA" w:rsidP="000452D7">
            <w:pPr>
              <w:tabs>
                <w:tab w:val="left" w:pos="288"/>
                <w:tab w:val="left" w:pos="4752"/>
              </w:tabs>
              <w:spacing w:line="240" w:lineRule="exact"/>
              <w:jc w:val="center"/>
              <w:rPr>
                <w:rFonts w:asciiTheme="minorHAnsi" w:hAnsiTheme="minorHAnsi"/>
                <w:b/>
                <w:color w:val="auto"/>
                <w:szCs w:val="24"/>
              </w:rPr>
            </w:pPr>
            <w:r w:rsidRPr="00206F9F">
              <w:rPr>
                <w:rFonts w:asciiTheme="minorHAnsi" w:hAnsiTheme="minorHAnsi"/>
                <w:b/>
                <w:color w:val="auto"/>
                <w:szCs w:val="24"/>
              </w:rPr>
              <w:t>RATING</w:t>
            </w:r>
          </w:p>
        </w:tc>
      </w:tr>
      <w:tr w:rsidR="00A95BBA" w:rsidRPr="00206F9F" w:rsidTr="0085089F">
        <w:trPr>
          <w:jc w:val="center"/>
        </w:trPr>
        <w:tc>
          <w:tcPr>
            <w:tcW w:w="6480" w:type="dxa"/>
          </w:tcPr>
          <w:p w:rsidR="00A95BBA" w:rsidRPr="00206F9F" w:rsidRDefault="00360097" w:rsidP="000452D7">
            <w:pPr>
              <w:tabs>
                <w:tab w:val="left" w:pos="288"/>
                <w:tab w:val="left" w:pos="4752"/>
              </w:tabs>
              <w:spacing w:line="240" w:lineRule="exact"/>
              <w:jc w:val="both"/>
              <w:rPr>
                <w:rFonts w:asciiTheme="minorHAnsi" w:hAnsiTheme="minorHAnsi"/>
                <w:color w:val="auto"/>
                <w:szCs w:val="24"/>
              </w:rPr>
            </w:pPr>
            <w:r w:rsidRPr="00206F9F">
              <w:rPr>
                <w:rFonts w:asciiTheme="minorHAnsi" w:hAnsiTheme="minorHAnsi"/>
                <w:color w:val="auto"/>
                <w:szCs w:val="24"/>
              </w:rPr>
              <w:t>Back Pain, Herniated Disc</w:t>
            </w:r>
          </w:p>
        </w:tc>
        <w:tc>
          <w:tcPr>
            <w:tcW w:w="1710" w:type="dxa"/>
          </w:tcPr>
          <w:p w:rsidR="00A95BBA" w:rsidRPr="00206F9F" w:rsidRDefault="00360097" w:rsidP="000452D7">
            <w:pPr>
              <w:tabs>
                <w:tab w:val="left" w:pos="288"/>
                <w:tab w:val="left" w:pos="4752"/>
              </w:tabs>
              <w:spacing w:line="240" w:lineRule="exact"/>
              <w:jc w:val="center"/>
              <w:rPr>
                <w:rFonts w:asciiTheme="minorHAnsi" w:hAnsiTheme="minorHAnsi"/>
                <w:color w:val="auto"/>
                <w:szCs w:val="24"/>
              </w:rPr>
            </w:pPr>
            <w:r w:rsidRPr="00206F9F">
              <w:rPr>
                <w:rFonts w:asciiTheme="minorHAnsi" w:hAnsiTheme="minorHAnsi"/>
                <w:color w:val="auto"/>
                <w:szCs w:val="24"/>
              </w:rPr>
              <w:t>5237</w:t>
            </w:r>
          </w:p>
        </w:tc>
        <w:tc>
          <w:tcPr>
            <w:tcW w:w="1170" w:type="dxa"/>
          </w:tcPr>
          <w:p w:rsidR="00A95BBA" w:rsidRPr="00206F9F" w:rsidRDefault="00360097" w:rsidP="000452D7">
            <w:pPr>
              <w:tabs>
                <w:tab w:val="left" w:pos="288"/>
                <w:tab w:val="left" w:pos="4752"/>
              </w:tabs>
              <w:spacing w:line="240" w:lineRule="exact"/>
              <w:jc w:val="center"/>
              <w:rPr>
                <w:rFonts w:asciiTheme="minorHAnsi" w:hAnsiTheme="minorHAnsi"/>
                <w:color w:val="auto"/>
                <w:szCs w:val="24"/>
              </w:rPr>
            </w:pPr>
            <w:r w:rsidRPr="00206F9F">
              <w:rPr>
                <w:rFonts w:asciiTheme="minorHAnsi" w:hAnsiTheme="minorHAnsi"/>
                <w:color w:val="auto"/>
                <w:szCs w:val="24"/>
              </w:rPr>
              <w:t>2</w:t>
            </w:r>
            <w:r w:rsidR="00A95BBA" w:rsidRPr="00206F9F">
              <w:rPr>
                <w:rFonts w:asciiTheme="minorHAnsi" w:hAnsiTheme="minorHAnsi"/>
                <w:color w:val="auto"/>
                <w:szCs w:val="24"/>
              </w:rPr>
              <w:t>0%</w:t>
            </w:r>
          </w:p>
        </w:tc>
      </w:tr>
      <w:tr w:rsidR="00A95BBA" w:rsidRPr="00206F9F" w:rsidTr="00911490">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tcPr>
          <w:p w:rsidR="00A95BBA" w:rsidRPr="00206F9F" w:rsidRDefault="00A95BBA" w:rsidP="000452D7">
            <w:pPr>
              <w:tabs>
                <w:tab w:val="left" w:pos="288"/>
                <w:tab w:val="left" w:pos="4752"/>
              </w:tabs>
              <w:spacing w:line="240" w:lineRule="exact"/>
              <w:jc w:val="center"/>
              <w:rPr>
                <w:rFonts w:asciiTheme="minorHAnsi" w:hAnsiTheme="minorHAnsi"/>
                <w:b/>
                <w:color w:val="auto"/>
                <w:szCs w:val="24"/>
              </w:rPr>
            </w:pPr>
            <w:r w:rsidRPr="00206F9F">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tcPr>
          <w:p w:rsidR="00A95BBA" w:rsidRPr="00206F9F" w:rsidRDefault="00360097" w:rsidP="000452D7">
            <w:pPr>
              <w:tabs>
                <w:tab w:val="left" w:pos="288"/>
                <w:tab w:val="left" w:pos="4752"/>
              </w:tabs>
              <w:spacing w:line="240" w:lineRule="exact"/>
              <w:jc w:val="center"/>
              <w:rPr>
                <w:rFonts w:asciiTheme="minorHAnsi" w:hAnsiTheme="minorHAnsi"/>
                <w:b/>
                <w:color w:val="auto"/>
                <w:szCs w:val="24"/>
              </w:rPr>
            </w:pPr>
            <w:r w:rsidRPr="00206F9F">
              <w:rPr>
                <w:rFonts w:asciiTheme="minorHAnsi" w:hAnsiTheme="minorHAnsi"/>
                <w:b/>
                <w:color w:val="auto"/>
                <w:szCs w:val="24"/>
              </w:rPr>
              <w:t>2</w:t>
            </w:r>
            <w:r w:rsidR="00A95BBA" w:rsidRPr="00206F9F">
              <w:rPr>
                <w:rFonts w:asciiTheme="minorHAnsi" w:hAnsiTheme="minorHAnsi"/>
                <w:b/>
                <w:color w:val="auto"/>
                <w:szCs w:val="24"/>
              </w:rPr>
              <w:t>0%</w:t>
            </w:r>
          </w:p>
        </w:tc>
      </w:tr>
    </w:tbl>
    <w:p w:rsidR="00A83C15" w:rsidRPr="00206F9F" w:rsidRDefault="00A83C15" w:rsidP="007F0AB7">
      <w:pPr>
        <w:tabs>
          <w:tab w:val="left" w:pos="288"/>
          <w:tab w:val="left" w:pos="1710"/>
        </w:tabs>
        <w:spacing w:line="240" w:lineRule="exact"/>
        <w:rPr>
          <w:rFonts w:asciiTheme="minorHAnsi" w:hAnsiTheme="minorHAnsi"/>
          <w:b/>
          <w:caps/>
          <w:color w:val="auto"/>
          <w:u w:val="single"/>
        </w:rPr>
      </w:pPr>
      <w:r w:rsidRPr="00206F9F">
        <w:rPr>
          <w:rFonts w:asciiTheme="minorHAnsi" w:hAnsiTheme="minorHAnsi"/>
          <w:b/>
          <w:color w:val="auto"/>
          <w:u w:val="single"/>
        </w:rPr>
        <w:t>______________________________________________________________________________</w:t>
      </w:r>
    </w:p>
    <w:p w:rsidR="00106AD8" w:rsidRPr="00206F9F" w:rsidRDefault="00106AD8" w:rsidP="000452D7">
      <w:pPr>
        <w:tabs>
          <w:tab w:val="left" w:pos="288"/>
          <w:tab w:val="left" w:pos="4752"/>
        </w:tabs>
        <w:spacing w:line="240" w:lineRule="exact"/>
        <w:rPr>
          <w:b/>
          <w:color w:val="auto"/>
          <w:szCs w:val="24"/>
        </w:rPr>
      </w:pPr>
    </w:p>
    <w:p w:rsidR="0022467E" w:rsidRDefault="0022467E">
      <w:pPr>
        <w:rPr>
          <w:rFonts w:asciiTheme="minorHAnsi" w:hAnsiTheme="minorHAnsi"/>
          <w:color w:val="auto"/>
        </w:rPr>
      </w:pPr>
      <w:r>
        <w:rPr>
          <w:rFonts w:asciiTheme="minorHAnsi" w:hAnsiTheme="minorHAnsi"/>
          <w:color w:val="auto"/>
        </w:rPr>
        <w:br w:type="page"/>
      </w:r>
    </w:p>
    <w:p w:rsidR="00D91DA6" w:rsidRPr="00206F9F" w:rsidRDefault="00FB1725" w:rsidP="000452D7">
      <w:pPr>
        <w:tabs>
          <w:tab w:val="left" w:pos="288"/>
          <w:tab w:val="left" w:pos="4752"/>
        </w:tabs>
        <w:spacing w:line="240" w:lineRule="exact"/>
        <w:jc w:val="both"/>
        <w:rPr>
          <w:rFonts w:asciiTheme="minorHAnsi" w:hAnsiTheme="minorHAnsi"/>
          <w:color w:val="auto"/>
        </w:rPr>
      </w:pPr>
      <w:r w:rsidRPr="00206F9F">
        <w:rPr>
          <w:rFonts w:asciiTheme="minorHAnsi" w:hAnsiTheme="minorHAnsi"/>
          <w:color w:val="auto"/>
        </w:rPr>
        <w:lastRenderedPageBreak/>
        <w:t>The following documentary evidence was considered:</w:t>
      </w:r>
    </w:p>
    <w:p w:rsidR="00EB5EFD" w:rsidRPr="00206F9F" w:rsidRDefault="00EB5EFD" w:rsidP="000452D7">
      <w:pPr>
        <w:tabs>
          <w:tab w:val="left" w:pos="288"/>
          <w:tab w:val="left" w:pos="4752"/>
        </w:tabs>
        <w:spacing w:line="240" w:lineRule="exact"/>
        <w:jc w:val="both"/>
        <w:rPr>
          <w:rFonts w:asciiTheme="minorHAnsi" w:hAnsiTheme="minorHAnsi"/>
          <w:color w:val="auto"/>
        </w:rPr>
      </w:pPr>
    </w:p>
    <w:p w:rsidR="00114F20" w:rsidRPr="00206F9F" w:rsidRDefault="00FB1725" w:rsidP="000452D7">
      <w:pPr>
        <w:tabs>
          <w:tab w:val="left" w:pos="288"/>
          <w:tab w:val="left" w:pos="4752"/>
        </w:tabs>
        <w:spacing w:line="240" w:lineRule="exact"/>
        <w:jc w:val="both"/>
        <w:rPr>
          <w:rFonts w:asciiTheme="minorHAnsi" w:hAnsiTheme="minorHAnsi"/>
          <w:color w:val="auto"/>
        </w:rPr>
      </w:pPr>
      <w:r w:rsidRPr="00206F9F">
        <w:rPr>
          <w:rFonts w:asciiTheme="minorHAnsi" w:hAnsiTheme="minorHAnsi"/>
          <w:color w:val="auto"/>
        </w:rPr>
        <w:t xml:space="preserve">Exhibit A.  DD Form </w:t>
      </w:r>
      <w:proofErr w:type="gramStart"/>
      <w:r w:rsidRPr="00206F9F">
        <w:rPr>
          <w:rFonts w:asciiTheme="minorHAnsi" w:hAnsiTheme="minorHAnsi"/>
          <w:color w:val="auto"/>
        </w:rPr>
        <w:t>294,</w:t>
      </w:r>
      <w:proofErr w:type="gramEnd"/>
      <w:r w:rsidRPr="00206F9F">
        <w:rPr>
          <w:rFonts w:asciiTheme="minorHAnsi" w:hAnsiTheme="minorHAnsi"/>
          <w:color w:val="auto"/>
        </w:rPr>
        <w:t xml:space="preserve"> dated 20</w:t>
      </w:r>
      <w:r w:rsidR="00692D25" w:rsidRPr="00206F9F">
        <w:rPr>
          <w:rFonts w:asciiTheme="minorHAnsi" w:hAnsiTheme="minorHAnsi"/>
          <w:color w:val="auto"/>
        </w:rPr>
        <w:t>091016</w:t>
      </w:r>
      <w:r w:rsidRPr="00206F9F">
        <w:rPr>
          <w:rFonts w:asciiTheme="minorHAnsi" w:hAnsiTheme="minorHAnsi"/>
          <w:color w:val="auto"/>
        </w:rPr>
        <w:t>, w/</w:t>
      </w:r>
      <w:proofErr w:type="spellStart"/>
      <w:r w:rsidRPr="00206F9F">
        <w:rPr>
          <w:rFonts w:asciiTheme="minorHAnsi" w:hAnsiTheme="minorHAnsi"/>
          <w:color w:val="auto"/>
        </w:rPr>
        <w:t>atchs</w:t>
      </w:r>
      <w:proofErr w:type="spellEnd"/>
      <w:r w:rsidRPr="00206F9F">
        <w:rPr>
          <w:rFonts w:asciiTheme="minorHAnsi" w:hAnsiTheme="minorHAnsi"/>
          <w:color w:val="auto"/>
        </w:rPr>
        <w:t>.</w:t>
      </w:r>
    </w:p>
    <w:p w:rsidR="00114F20" w:rsidRPr="00206F9F" w:rsidRDefault="00FB1725" w:rsidP="000452D7">
      <w:pPr>
        <w:tabs>
          <w:tab w:val="left" w:pos="288"/>
          <w:tab w:val="left" w:pos="4752"/>
        </w:tabs>
        <w:spacing w:line="240" w:lineRule="exact"/>
        <w:jc w:val="both"/>
        <w:rPr>
          <w:rFonts w:asciiTheme="minorHAnsi" w:hAnsiTheme="minorHAnsi"/>
          <w:color w:val="auto"/>
        </w:rPr>
      </w:pPr>
      <w:r w:rsidRPr="00206F9F">
        <w:rPr>
          <w:rFonts w:asciiTheme="minorHAnsi" w:hAnsiTheme="minorHAnsi"/>
          <w:color w:val="auto"/>
        </w:rPr>
        <w:t xml:space="preserve">Exhibit B.  </w:t>
      </w:r>
      <w:proofErr w:type="gramStart"/>
      <w:r w:rsidRPr="00206F9F">
        <w:rPr>
          <w:rFonts w:asciiTheme="minorHAnsi" w:hAnsiTheme="minorHAnsi"/>
          <w:color w:val="auto"/>
        </w:rPr>
        <w:t>Service Treatment Record.</w:t>
      </w:r>
      <w:proofErr w:type="gramEnd"/>
    </w:p>
    <w:p w:rsidR="00114F20" w:rsidRPr="00206F9F" w:rsidRDefault="00FB1725" w:rsidP="000452D7">
      <w:pPr>
        <w:tabs>
          <w:tab w:val="left" w:pos="288"/>
          <w:tab w:val="left" w:pos="4752"/>
        </w:tabs>
        <w:spacing w:line="240" w:lineRule="exact"/>
        <w:jc w:val="both"/>
        <w:rPr>
          <w:rFonts w:asciiTheme="minorHAnsi" w:hAnsiTheme="minorHAnsi"/>
          <w:color w:val="auto"/>
        </w:rPr>
      </w:pPr>
      <w:r w:rsidRPr="00206F9F">
        <w:rPr>
          <w:rFonts w:asciiTheme="minorHAnsi" w:hAnsiTheme="minorHAnsi"/>
          <w:color w:val="auto"/>
        </w:rPr>
        <w:t xml:space="preserve">Exhibit C.  </w:t>
      </w:r>
      <w:proofErr w:type="gramStart"/>
      <w:r w:rsidRPr="00206F9F">
        <w:rPr>
          <w:rFonts w:asciiTheme="minorHAnsi" w:hAnsiTheme="minorHAnsi"/>
          <w:color w:val="auto"/>
        </w:rPr>
        <w:t>Department of Veterans' Affairs Treatment Record.</w:t>
      </w:r>
      <w:proofErr w:type="gramEnd"/>
    </w:p>
    <w:p w:rsidR="00D91DA6" w:rsidRPr="00206F9F" w:rsidRDefault="00D91DA6" w:rsidP="000452D7">
      <w:pPr>
        <w:tabs>
          <w:tab w:val="left" w:pos="288"/>
          <w:tab w:val="left" w:pos="4752"/>
        </w:tabs>
        <w:spacing w:line="240" w:lineRule="exact"/>
        <w:jc w:val="both"/>
        <w:rPr>
          <w:rFonts w:asciiTheme="minorHAnsi" w:hAnsiTheme="minorHAnsi"/>
          <w:color w:val="auto"/>
        </w:rPr>
      </w:pPr>
    </w:p>
    <w:p w:rsidR="00114F20" w:rsidRPr="00206F9F" w:rsidRDefault="00114F20" w:rsidP="000452D7">
      <w:pPr>
        <w:tabs>
          <w:tab w:val="left" w:pos="288"/>
          <w:tab w:val="left" w:pos="4752"/>
        </w:tabs>
        <w:spacing w:line="240" w:lineRule="exact"/>
        <w:jc w:val="both"/>
        <w:rPr>
          <w:rFonts w:asciiTheme="minorHAnsi" w:hAnsiTheme="minorHAnsi"/>
          <w:color w:val="auto"/>
        </w:rPr>
      </w:pPr>
    </w:p>
    <w:p w:rsidR="00114F20" w:rsidRPr="00206F9F" w:rsidRDefault="00114F20" w:rsidP="000452D7">
      <w:pPr>
        <w:tabs>
          <w:tab w:val="left" w:pos="288"/>
          <w:tab w:val="left" w:pos="4752"/>
        </w:tabs>
        <w:spacing w:line="240" w:lineRule="exact"/>
        <w:jc w:val="both"/>
        <w:rPr>
          <w:rFonts w:asciiTheme="minorHAnsi" w:hAnsiTheme="minorHAnsi"/>
          <w:color w:val="auto"/>
        </w:rPr>
      </w:pPr>
    </w:p>
    <w:p w:rsidR="00D91DA6" w:rsidRPr="00206F9F" w:rsidRDefault="00FB1725" w:rsidP="000452D7">
      <w:pPr>
        <w:tabs>
          <w:tab w:val="left" w:pos="0"/>
          <w:tab w:val="left" w:pos="4320"/>
        </w:tabs>
        <w:spacing w:line="240" w:lineRule="exact"/>
        <w:jc w:val="both"/>
        <w:rPr>
          <w:rFonts w:asciiTheme="minorHAnsi" w:hAnsiTheme="minorHAnsi"/>
          <w:color w:val="auto"/>
        </w:rPr>
      </w:pPr>
      <w:r w:rsidRPr="00206F9F">
        <w:rPr>
          <w:rFonts w:asciiTheme="minorHAnsi" w:hAnsiTheme="minorHAnsi"/>
          <w:color w:val="auto"/>
        </w:rPr>
        <w:t xml:space="preserve">                             </w:t>
      </w:r>
      <w:r w:rsidRPr="00206F9F">
        <w:rPr>
          <w:rFonts w:asciiTheme="minorHAnsi" w:hAnsiTheme="minorHAnsi"/>
          <w:color w:val="auto"/>
        </w:rPr>
        <w:tab/>
      </w:r>
      <w:r w:rsidRPr="00206F9F">
        <w:rPr>
          <w:rFonts w:asciiTheme="minorHAnsi" w:hAnsiTheme="minorHAnsi"/>
          <w:color w:val="auto"/>
        </w:rPr>
        <w:tab/>
        <w:t>Deputy Director</w:t>
      </w:r>
    </w:p>
    <w:p w:rsidR="00B522CD" w:rsidRDefault="00FB1725" w:rsidP="000452D7">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206F9F">
        <w:rPr>
          <w:rFonts w:asciiTheme="minorHAnsi" w:hAnsiTheme="minorHAnsi"/>
          <w:color w:val="auto"/>
        </w:rPr>
        <w:tab/>
        <w:t xml:space="preserve">                           </w:t>
      </w:r>
      <w:r w:rsidRPr="00206F9F">
        <w:rPr>
          <w:rFonts w:asciiTheme="minorHAnsi" w:hAnsiTheme="minorHAnsi"/>
          <w:color w:val="auto"/>
        </w:rPr>
        <w:tab/>
      </w:r>
      <w:r w:rsidRPr="00206F9F">
        <w:rPr>
          <w:rFonts w:asciiTheme="minorHAnsi" w:hAnsiTheme="minorHAnsi"/>
          <w:color w:val="auto"/>
        </w:rPr>
        <w:tab/>
      </w:r>
      <w:r w:rsidRPr="00206F9F">
        <w:rPr>
          <w:rFonts w:asciiTheme="minorHAnsi" w:hAnsiTheme="minorHAnsi"/>
          <w:color w:val="auto"/>
        </w:rPr>
        <w:tab/>
      </w:r>
      <w:r w:rsidRPr="00206F9F">
        <w:rPr>
          <w:rFonts w:asciiTheme="minorHAnsi" w:hAnsiTheme="minorHAnsi"/>
          <w:color w:val="auto"/>
        </w:rPr>
        <w:tab/>
      </w:r>
      <w:r w:rsidRPr="00206F9F">
        <w:rPr>
          <w:rFonts w:asciiTheme="minorHAnsi" w:hAnsiTheme="minorHAnsi"/>
          <w:color w:val="auto"/>
        </w:rPr>
        <w:tab/>
        <w:t>Physical Disability Board of Review</w:t>
      </w:r>
    </w:p>
    <w:p w:rsidR="00E0078D" w:rsidRDefault="00E0078D" w:rsidP="000452D7">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E0078D" w:rsidRDefault="00E0078D">
      <w:pPr>
        <w:rPr>
          <w:color w:val="auto"/>
        </w:rPr>
      </w:pPr>
      <w:r>
        <w:rPr>
          <w:color w:val="auto"/>
        </w:rPr>
        <w:br w:type="page"/>
      </w:r>
    </w:p>
    <w:p w:rsidR="00E0078D" w:rsidRPr="00E0078D" w:rsidRDefault="00E0078D" w:rsidP="00E0078D">
      <w:pPr>
        <w:jc w:val="both"/>
        <w:rPr>
          <w:color w:val="auto"/>
        </w:rPr>
      </w:pPr>
      <w:r w:rsidRPr="00E0078D">
        <w:rPr>
          <w:color w:val="auto"/>
        </w:rPr>
        <w:lastRenderedPageBreak/>
        <w:t xml:space="preserve">MEMORANDUM FOR DIRECTOR, SECRETARY OF THE NAVY COUNCIL OF REVIEW  </w:t>
      </w:r>
    </w:p>
    <w:p w:rsidR="00E0078D" w:rsidRPr="00E0078D" w:rsidRDefault="00E0078D" w:rsidP="00E0078D">
      <w:pPr>
        <w:tabs>
          <w:tab w:val="left" w:pos="2070"/>
          <w:tab w:val="left" w:pos="2430"/>
        </w:tabs>
        <w:jc w:val="both"/>
        <w:rPr>
          <w:color w:val="auto"/>
        </w:rPr>
      </w:pPr>
      <w:r w:rsidRPr="00E0078D">
        <w:rPr>
          <w:color w:val="auto"/>
        </w:rPr>
        <w:t xml:space="preserve">                                        </w:t>
      </w:r>
      <w:r w:rsidRPr="00E0078D">
        <w:rPr>
          <w:color w:val="auto"/>
        </w:rPr>
        <w:tab/>
        <w:t xml:space="preserve">BOARDS </w:t>
      </w:r>
    </w:p>
    <w:p w:rsidR="00E0078D" w:rsidRPr="00E0078D" w:rsidRDefault="00E0078D" w:rsidP="00E0078D">
      <w:pPr>
        <w:jc w:val="both"/>
        <w:rPr>
          <w:color w:val="auto"/>
        </w:rPr>
      </w:pPr>
    </w:p>
    <w:p w:rsidR="00E0078D" w:rsidRPr="00E0078D" w:rsidRDefault="00E0078D" w:rsidP="00E0078D">
      <w:pPr>
        <w:jc w:val="both"/>
        <w:rPr>
          <w:color w:val="auto"/>
        </w:rPr>
      </w:pPr>
      <w:proofErr w:type="spellStart"/>
      <w:r w:rsidRPr="00E0078D">
        <w:rPr>
          <w:color w:val="auto"/>
        </w:rPr>
        <w:t>Subj</w:t>
      </w:r>
      <w:proofErr w:type="spellEnd"/>
      <w:r w:rsidRPr="00E0078D">
        <w:rPr>
          <w:color w:val="auto"/>
        </w:rPr>
        <w:t>:  PHYSICAL DISABILITY BOARD OF REVIEW (PDBR) RECOMMENDATION</w:t>
      </w:r>
    </w:p>
    <w:p w:rsidR="00E0078D" w:rsidRPr="00E0078D" w:rsidRDefault="00E0078D" w:rsidP="00E0078D">
      <w:pPr>
        <w:tabs>
          <w:tab w:val="left" w:pos="270"/>
          <w:tab w:val="left" w:pos="630"/>
        </w:tabs>
        <w:jc w:val="both"/>
        <w:rPr>
          <w:color w:val="auto"/>
        </w:rPr>
      </w:pPr>
      <w:r w:rsidRPr="00E0078D">
        <w:rPr>
          <w:color w:val="auto"/>
        </w:rPr>
        <w:t xml:space="preserve">    </w:t>
      </w:r>
      <w:r w:rsidRPr="00E0078D">
        <w:rPr>
          <w:color w:val="auto"/>
        </w:rPr>
        <w:tab/>
      </w:r>
      <w:r w:rsidRPr="00E0078D">
        <w:rPr>
          <w:color w:val="auto"/>
        </w:rPr>
        <w:tab/>
        <w:t xml:space="preserve">ICO </w:t>
      </w:r>
      <w:r>
        <w:rPr>
          <w:color w:val="auto"/>
        </w:rPr>
        <w:t>XXXXX</w:t>
      </w:r>
      <w:r w:rsidRPr="00E0078D">
        <w:rPr>
          <w:color w:val="auto"/>
        </w:rPr>
        <w:t>, FORMER USMC</w:t>
      </w:r>
    </w:p>
    <w:p w:rsidR="00E0078D" w:rsidRPr="00E0078D" w:rsidRDefault="00E0078D" w:rsidP="00E0078D">
      <w:pPr>
        <w:jc w:val="both"/>
        <w:rPr>
          <w:color w:val="auto"/>
        </w:rPr>
      </w:pPr>
    </w:p>
    <w:p w:rsidR="00E0078D" w:rsidRPr="00E0078D" w:rsidRDefault="00E0078D" w:rsidP="00E0078D">
      <w:pPr>
        <w:jc w:val="both"/>
        <w:rPr>
          <w:color w:val="auto"/>
        </w:rPr>
      </w:pPr>
      <w:r w:rsidRPr="00E0078D">
        <w:rPr>
          <w:color w:val="auto"/>
        </w:rPr>
        <w:t>Ref:   (a) DoDI 6040.44</w:t>
      </w:r>
    </w:p>
    <w:p w:rsidR="00E0078D" w:rsidRPr="00E0078D" w:rsidRDefault="00E0078D" w:rsidP="00E0078D">
      <w:pPr>
        <w:jc w:val="both"/>
        <w:rPr>
          <w:color w:val="auto"/>
        </w:rPr>
      </w:pPr>
      <w:r w:rsidRPr="00E0078D">
        <w:rPr>
          <w:color w:val="auto"/>
        </w:rPr>
        <w:t xml:space="preserve">          (b) PDBR </w:t>
      </w:r>
      <w:proofErr w:type="spellStart"/>
      <w:r w:rsidRPr="00E0078D">
        <w:rPr>
          <w:color w:val="auto"/>
        </w:rPr>
        <w:t>ltr</w:t>
      </w:r>
      <w:proofErr w:type="spellEnd"/>
      <w:r w:rsidRPr="00E0078D">
        <w:rPr>
          <w:color w:val="auto"/>
        </w:rPr>
        <w:t xml:space="preserve"> </w:t>
      </w:r>
      <w:proofErr w:type="spellStart"/>
      <w:r w:rsidRPr="00E0078D">
        <w:rPr>
          <w:color w:val="auto"/>
        </w:rPr>
        <w:t>dtd</w:t>
      </w:r>
      <w:proofErr w:type="spellEnd"/>
      <w:r w:rsidRPr="00E0078D">
        <w:rPr>
          <w:color w:val="auto"/>
        </w:rPr>
        <w:t xml:space="preserve"> 16 Jun 11</w:t>
      </w:r>
    </w:p>
    <w:p w:rsidR="00E0078D" w:rsidRPr="00E0078D" w:rsidRDefault="00E0078D" w:rsidP="00E0078D">
      <w:pPr>
        <w:jc w:val="both"/>
        <w:rPr>
          <w:color w:val="auto"/>
        </w:rPr>
      </w:pPr>
    </w:p>
    <w:p w:rsidR="00E0078D" w:rsidRPr="00E0078D" w:rsidRDefault="00E0078D" w:rsidP="00E0078D">
      <w:pPr>
        <w:rPr>
          <w:color w:val="auto"/>
        </w:rPr>
      </w:pPr>
      <w:r w:rsidRPr="00E0078D">
        <w:rPr>
          <w:color w:val="auto"/>
        </w:rPr>
        <w:t xml:space="preserve">      I have reviewed the subject case pursuant to reference (a) and, for the reasons set forth in reference (b), approve the recommendation of the PDBR Mr. </w:t>
      </w:r>
      <w:r>
        <w:rPr>
          <w:color w:val="auto"/>
        </w:rPr>
        <w:t>XXXXX</w:t>
      </w:r>
      <w:r w:rsidRPr="00E0078D">
        <w:rPr>
          <w:color w:val="auto"/>
        </w:rPr>
        <w:t>’s records not be corrected to reflect a change in either his characterization of separation or in the disability rating previously assigned by the Department of the Navy’s Physical Evaluation Board.</w:t>
      </w:r>
    </w:p>
    <w:p w:rsidR="00E0078D" w:rsidRPr="00E0078D" w:rsidRDefault="00E0078D" w:rsidP="00E0078D">
      <w:pPr>
        <w:jc w:val="both"/>
        <w:rPr>
          <w:color w:val="auto"/>
        </w:rPr>
      </w:pPr>
    </w:p>
    <w:p w:rsidR="00E0078D" w:rsidRPr="00E0078D" w:rsidRDefault="00E0078D" w:rsidP="00E0078D">
      <w:pPr>
        <w:jc w:val="both"/>
        <w:rPr>
          <w:color w:val="auto"/>
        </w:rPr>
      </w:pPr>
    </w:p>
    <w:p w:rsidR="00E0078D" w:rsidRPr="00E0078D" w:rsidRDefault="00E0078D" w:rsidP="00E0078D">
      <w:pPr>
        <w:jc w:val="both"/>
        <w:rPr>
          <w:color w:val="auto"/>
        </w:rPr>
      </w:pPr>
      <w:r w:rsidRPr="00E0078D">
        <w:rPr>
          <w:color w:val="auto"/>
        </w:rPr>
        <w:tab/>
        <w:t xml:space="preserve">     </w:t>
      </w:r>
      <w:r w:rsidRPr="00E0078D">
        <w:rPr>
          <w:color w:val="auto"/>
        </w:rPr>
        <w:tab/>
      </w:r>
      <w:r w:rsidRPr="00E0078D">
        <w:rPr>
          <w:color w:val="auto"/>
        </w:rPr>
        <w:tab/>
      </w:r>
      <w:r w:rsidRPr="00E0078D">
        <w:rPr>
          <w:color w:val="auto"/>
        </w:rPr>
        <w:tab/>
      </w:r>
      <w:r w:rsidRPr="00E0078D">
        <w:rPr>
          <w:color w:val="auto"/>
        </w:rPr>
        <w:tab/>
      </w:r>
      <w:r w:rsidRPr="00E0078D">
        <w:rPr>
          <w:color w:val="auto"/>
        </w:rPr>
        <w:tab/>
        <w:t xml:space="preserve">      Assistant General Counsel</w:t>
      </w:r>
    </w:p>
    <w:p w:rsidR="00E0078D" w:rsidRPr="00E0078D" w:rsidRDefault="00E0078D" w:rsidP="00E0078D">
      <w:pPr>
        <w:jc w:val="both"/>
        <w:rPr>
          <w:color w:val="auto"/>
        </w:rPr>
      </w:pPr>
      <w:r w:rsidRPr="00E0078D">
        <w:rPr>
          <w:color w:val="auto"/>
        </w:rPr>
        <w:tab/>
      </w:r>
      <w:r w:rsidRPr="00E0078D">
        <w:rPr>
          <w:color w:val="auto"/>
        </w:rPr>
        <w:tab/>
      </w:r>
      <w:r w:rsidRPr="00E0078D">
        <w:rPr>
          <w:color w:val="auto"/>
        </w:rPr>
        <w:tab/>
      </w:r>
      <w:r w:rsidRPr="00E0078D">
        <w:rPr>
          <w:color w:val="auto"/>
        </w:rPr>
        <w:tab/>
      </w:r>
      <w:r w:rsidRPr="00E0078D">
        <w:rPr>
          <w:color w:val="auto"/>
        </w:rPr>
        <w:tab/>
      </w:r>
      <w:r w:rsidRPr="00E0078D">
        <w:rPr>
          <w:color w:val="auto"/>
        </w:rPr>
        <w:tab/>
        <w:t xml:space="preserve">        (Manpower &amp; Reserve Affairs)</w:t>
      </w:r>
    </w:p>
    <w:p w:rsidR="00E0078D" w:rsidRDefault="00E0078D" w:rsidP="00E0078D">
      <w:pPr>
        <w:jc w:val="both"/>
      </w:pPr>
      <w:r>
        <w:tab/>
      </w:r>
      <w:r>
        <w:tab/>
      </w:r>
      <w:r>
        <w:tab/>
      </w:r>
      <w:r>
        <w:tab/>
      </w:r>
      <w:r>
        <w:tab/>
      </w:r>
      <w:r>
        <w:tab/>
        <w:t xml:space="preserve">  </w:t>
      </w:r>
    </w:p>
    <w:p w:rsidR="00E0078D" w:rsidRDefault="00E0078D" w:rsidP="00E0078D">
      <w:pPr>
        <w:jc w:val="both"/>
      </w:pPr>
    </w:p>
    <w:p w:rsidR="00E0078D" w:rsidRPr="00206F9F" w:rsidRDefault="00E0078D" w:rsidP="000452D7">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sectPr w:rsidR="00E0078D" w:rsidRPr="00206F9F" w:rsidSect="002A5C3C">
      <w:footerReference w:type="default" r:id="rId8"/>
      <w:footerReference w:type="firs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70C" w:rsidRDefault="006C070C">
      <w:r>
        <w:separator/>
      </w:r>
    </w:p>
  </w:endnote>
  <w:endnote w:type="continuationSeparator" w:id="0">
    <w:p w:rsidR="006C070C" w:rsidRDefault="006C07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206A8E" w:rsidRPr="00684CE6" w:rsidRDefault="00F241FF" w:rsidP="00F65ED5">
        <w:pPr>
          <w:pStyle w:val="Footer"/>
          <w:jc w:val="right"/>
          <w:rPr>
            <w:color w:val="auto"/>
          </w:rPr>
        </w:pPr>
        <w:r w:rsidRPr="00684CE6">
          <w:rPr>
            <w:color w:val="auto"/>
          </w:rPr>
          <w:fldChar w:fldCharType="begin"/>
        </w:r>
        <w:r w:rsidR="00206A8E" w:rsidRPr="00684CE6">
          <w:rPr>
            <w:color w:val="auto"/>
          </w:rPr>
          <w:instrText xml:space="preserve"> PAGE   \* MERGEFORMAT </w:instrText>
        </w:r>
        <w:r w:rsidRPr="00684CE6">
          <w:rPr>
            <w:color w:val="auto"/>
          </w:rPr>
          <w:fldChar w:fldCharType="separate"/>
        </w:r>
        <w:r w:rsidR="00E0078D">
          <w:rPr>
            <w:noProof/>
            <w:color w:val="auto"/>
          </w:rPr>
          <w:t>2</w:t>
        </w:r>
        <w:r w:rsidRPr="00684CE6">
          <w:rPr>
            <w:color w:val="auto"/>
          </w:rPr>
          <w:fldChar w:fldCharType="end"/>
        </w:r>
        <w:r w:rsidR="00206A8E" w:rsidRPr="00684CE6">
          <w:rPr>
            <w:color w:val="auto"/>
          </w:rPr>
          <w:t xml:space="preserve">                                                           </w:t>
        </w:r>
        <w:r w:rsidR="00206A8E" w:rsidRPr="00692D25">
          <w:rPr>
            <w:color w:val="auto"/>
          </w:rPr>
          <w:t>PD</w:t>
        </w:r>
        <w:r w:rsidR="00206A8E">
          <w:rPr>
            <w:color w:val="auto"/>
          </w:rPr>
          <w:t>0900712</w:t>
        </w:r>
      </w:p>
    </w:sdtContent>
  </w:sdt>
  <w:p w:rsidR="00206A8E" w:rsidRPr="00684CE6" w:rsidRDefault="00206A8E">
    <w:pPr>
      <w:pStyle w:val="Footer"/>
      <w:rPr>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A8E" w:rsidRPr="00684CE6" w:rsidRDefault="00206A8E" w:rsidP="00EA52FE">
    <w:pPr>
      <w:pStyle w:val="Footer"/>
      <w:jc w:val="right"/>
      <w:rPr>
        <w:rFonts w:asciiTheme="minorHAnsi" w:hAnsiTheme="minorHAnsi"/>
        <w:color w:val="auto"/>
      </w:rPr>
    </w:pPr>
    <w:r w:rsidRPr="00684CE6">
      <w:rPr>
        <w:color w:val="auto"/>
      </w:rPr>
      <w:t xml:space="preserve">                      </w:t>
    </w:r>
  </w:p>
  <w:p w:rsidR="00206A8E" w:rsidRPr="00684CE6" w:rsidRDefault="00206A8E" w:rsidP="004766C9">
    <w:pPr>
      <w:pStyle w:val="Footer"/>
      <w:jc w:val="cen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70C" w:rsidRDefault="006C070C">
      <w:r>
        <w:separator/>
      </w:r>
    </w:p>
  </w:footnote>
  <w:footnote w:type="continuationSeparator" w:id="0">
    <w:p w:rsidR="006C070C" w:rsidRDefault="006C07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3137AF"/>
    <w:multiLevelType w:val="hybridMultilevel"/>
    <w:tmpl w:val="3D683918"/>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8"/>
  </w:num>
  <w:num w:numId="4">
    <w:abstractNumId w:val="7"/>
  </w:num>
  <w:num w:numId="5">
    <w:abstractNumId w:val="4"/>
  </w:num>
  <w:num w:numId="6">
    <w:abstractNumId w:val="9"/>
  </w:num>
  <w:num w:numId="7">
    <w:abstractNumId w:val="0"/>
  </w:num>
  <w:num w:numId="8">
    <w:abstractNumId w:val="6"/>
  </w:num>
  <w:num w:numId="9">
    <w:abstractNumId w:val="16"/>
  </w:num>
  <w:num w:numId="10">
    <w:abstractNumId w:val="11"/>
  </w:num>
  <w:num w:numId="11">
    <w:abstractNumId w:val="5"/>
  </w:num>
  <w:num w:numId="12">
    <w:abstractNumId w:val="14"/>
  </w:num>
  <w:num w:numId="13">
    <w:abstractNumId w:val="8"/>
  </w:num>
  <w:num w:numId="14">
    <w:abstractNumId w:val="15"/>
  </w:num>
  <w:num w:numId="15">
    <w:abstractNumId w:val="19"/>
  </w:num>
  <w:num w:numId="16">
    <w:abstractNumId w:val="1"/>
  </w:num>
  <w:num w:numId="17">
    <w:abstractNumId w:val="17"/>
  </w:num>
  <w:num w:numId="18">
    <w:abstractNumId w:val="10"/>
  </w:num>
  <w:num w:numId="19">
    <w:abstractNumId w:val="13"/>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48130"/>
  </w:hdrShapeDefaults>
  <w:footnotePr>
    <w:numRestart w:val="eachSect"/>
    <w:footnote w:id="-1"/>
    <w:footnote w:id="0"/>
  </w:footnotePr>
  <w:endnotePr>
    <w:endnote w:id="-1"/>
    <w:endnote w:id="0"/>
  </w:endnotePr>
  <w:compat/>
  <w:rsids>
    <w:rsidRoot w:val="001C28D1"/>
    <w:rsid w:val="000059FA"/>
    <w:rsid w:val="00006186"/>
    <w:rsid w:val="000068EF"/>
    <w:rsid w:val="00006F87"/>
    <w:rsid w:val="00007107"/>
    <w:rsid w:val="00010ABA"/>
    <w:rsid w:val="00012428"/>
    <w:rsid w:val="00013417"/>
    <w:rsid w:val="000145C2"/>
    <w:rsid w:val="0001473F"/>
    <w:rsid w:val="0001475B"/>
    <w:rsid w:val="00014A9E"/>
    <w:rsid w:val="00021361"/>
    <w:rsid w:val="00022CF3"/>
    <w:rsid w:val="00023913"/>
    <w:rsid w:val="00023D43"/>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B34"/>
    <w:rsid w:val="00052234"/>
    <w:rsid w:val="00053D7C"/>
    <w:rsid w:val="000575C5"/>
    <w:rsid w:val="000577C9"/>
    <w:rsid w:val="0006431E"/>
    <w:rsid w:val="00064A45"/>
    <w:rsid w:val="00065E21"/>
    <w:rsid w:val="00072433"/>
    <w:rsid w:val="00075702"/>
    <w:rsid w:val="000775C2"/>
    <w:rsid w:val="000806AD"/>
    <w:rsid w:val="00080BDF"/>
    <w:rsid w:val="00082482"/>
    <w:rsid w:val="00084CF2"/>
    <w:rsid w:val="00085D7B"/>
    <w:rsid w:val="0008708B"/>
    <w:rsid w:val="00092619"/>
    <w:rsid w:val="00092C66"/>
    <w:rsid w:val="000949DD"/>
    <w:rsid w:val="00094E4F"/>
    <w:rsid w:val="000A2BCE"/>
    <w:rsid w:val="000A33C8"/>
    <w:rsid w:val="000A41E3"/>
    <w:rsid w:val="000A4BBA"/>
    <w:rsid w:val="000A5071"/>
    <w:rsid w:val="000B0AD2"/>
    <w:rsid w:val="000B1022"/>
    <w:rsid w:val="000B2FB8"/>
    <w:rsid w:val="000B4C99"/>
    <w:rsid w:val="000C06F6"/>
    <w:rsid w:val="000C16EC"/>
    <w:rsid w:val="000C1D34"/>
    <w:rsid w:val="000C2362"/>
    <w:rsid w:val="000C3C13"/>
    <w:rsid w:val="000C53F9"/>
    <w:rsid w:val="000C5813"/>
    <w:rsid w:val="000C75CF"/>
    <w:rsid w:val="000C7B83"/>
    <w:rsid w:val="000C7DE4"/>
    <w:rsid w:val="000D15E7"/>
    <w:rsid w:val="000D1A24"/>
    <w:rsid w:val="000D21C7"/>
    <w:rsid w:val="000D248A"/>
    <w:rsid w:val="000D359D"/>
    <w:rsid w:val="000D35D8"/>
    <w:rsid w:val="000D43F9"/>
    <w:rsid w:val="000D4717"/>
    <w:rsid w:val="000D6457"/>
    <w:rsid w:val="000D7D55"/>
    <w:rsid w:val="000E0993"/>
    <w:rsid w:val="000E37E0"/>
    <w:rsid w:val="000E3F20"/>
    <w:rsid w:val="000E7034"/>
    <w:rsid w:val="000F02BE"/>
    <w:rsid w:val="000F0928"/>
    <w:rsid w:val="000F427B"/>
    <w:rsid w:val="000F43D0"/>
    <w:rsid w:val="000F4F18"/>
    <w:rsid w:val="000F688E"/>
    <w:rsid w:val="000F6BB4"/>
    <w:rsid w:val="000F6F24"/>
    <w:rsid w:val="000F70F2"/>
    <w:rsid w:val="000F7181"/>
    <w:rsid w:val="001008C1"/>
    <w:rsid w:val="001023DB"/>
    <w:rsid w:val="00103CCF"/>
    <w:rsid w:val="0010417F"/>
    <w:rsid w:val="001042D2"/>
    <w:rsid w:val="0010530E"/>
    <w:rsid w:val="00105C07"/>
    <w:rsid w:val="00106AD8"/>
    <w:rsid w:val="00107EC5"/>
    <w:rsid w:val="001103CD"/>
    <w:rsid w:val="00114F20"/>
    <w:rsid w:val="00120B55"/>
    <w:rsid w:val="001211AF"/>
    <w:rsid w:val="001219DF"/>
    <w:rsid w:val="0012220B"/>
    <w:rsid w:val="00122ABE"/>
    <w:rsid w:val="001231DC"/>
    <w:rsid w:val="0012489B"/>
    <w:rsid w:val="001272AE"/>
    <w:rsid w:val="001315DD"/>
    <w:rsid w:val="0013525F"/>
    <w:rsid w:val="00135385"/>
    <w:rsid w:val="001364D1"/>
    <w:rsid w:val="00142EBA"/>
    <w:rsid w:val="00143B79"/>
    <w:rsid w:val="00145A46"/>
    <w:rsid w:val="0014789B"/>
    <w:rsid w:val="00150B8A"/>
    <w:rsid w:val="00150DCB"/>
    <w:rsid w:val="00151912"/>
    <w:rsid w:val="00153740"/>
    <w:rsid w:val="001541C5"/>
    <w:rsid w:val="0015623F"/>
    <w:rsid w:val="00156585"/>
    <w:rsid w:val="00156BA9"/>
    <w:rsid w:val="00161761"/>
    <w:rsid w:val="00166182"/>
    <w:rsid w:val="00170E87"/>
    <w:rsid w:val="001724C8"/>
    <w:rsid w:val="001745DD"/>
    <w:rsid w:val="001753EA"/>
    <w:rsid w:val="00177659"/>
    <w:rsid w:val="001779E5"/>
    <w:rsid w:val="00181240"/>
    <w:rsid w:val="00182A4C"/>
    <w:rsid w:val="00183F77"/>
    <w:rsid w:val="001844D8"/>
    <w:rsid w:val="00185DA8"/>
    <w:rsid w:val="00185ECB"/>
    <w:rsid w:val="001865E0"/>
    <w:rsid w:val="001870F0"/>
    <w:rsid w:val="00190E48"/>
    <w:rsid w:val="0019273F"/>
    <w:rsid w:val="00193814"/>
    <w:rsid w:val="00193AD5"/>
    <w:rsid w:val="00194930"/>
    <w:rsid w:val="00195AAC"/>
    <w:rsid w:val="00196CDB"/>
    <w:rsid w:val="001A025E"/>
    <w:rsid w:val="001A08CD"/>
    <w:rsid w:val="001A0A1E"/>
    <w:rsid w:val="001A2182"/>
    <w:rsid w:val="001A5320"/>
    <w:rsid w:val="001A5E62"/>
    <w:rsid w:val="001A6848"/>
    <w:rsid w:val="001A7538"/>
    <w:rsid w:val="001B0B1A"/>
    <w:rsid w:val="001B4EC2"/>
    <w:rsid w:val="001B5B59"/>
    <w:rsid w:val="001B60E0"/>
    <w:rsid w:val="001B7C8C"/>
    <w:rsid w:val="001C0688"/>
    <w:rsid w:val="001C181A"/>
    <w:rsid w:val="001C1877"/>
    <w:rsid w:val="001C2053"/>
    <w:rsid w:val="001C252F"/>
    <w:rsid w:val="001C28D1"/>
    <w:rsid w:val="001C3473"/>
    <w:rsid w:val="001C5CFC"/>
    <w:rsid w:val="001C7418"/>
    <w:rsid w:val="001C7EBE"/>
    <w:rsid w:val="001D0051"/>
    <w:rsid w:val="001D2224"/>
    <w:rsid w:val="001D31AA"/>
    <w:rsid w:val="001D4F88"/>
    <w:rsid w:val="001D68CF"/>
    <w:rsid w:val="001D6A8C"/>
    <w:rsid w:val="001D7A56"/>
    <w:rsid w:val="001E0C2E"/>
    <w:rsid w:val="001E15C0"/>
    <w:rsid w:val="001E18E0"/>
    <w:rsid w:val="001E18E2"/>
    <w:rsid w:val="001E19D0"/>
    <w:rsid w:val="001E2A30"/>
    <w:rsid w:val="001E2E47"/>
    <w:rsid w:val="001E4FE7"/>
    <w:rsid w:val="001E635C"/>
    <w:rsid w:val="001F1823"/>
    <w:rsid w:val="001F42EA"/>
    <w:rsid w:val="00200AA0"/>
    <w:rsid w:val="00202325"/>
    <w:rsid w:val="00202736"/>
    <w:rsid w:val="00203652"/>
    <w:rsid w:val="00205B4F"/>
    <w:rsid w:val="002060B6"/>
    <w:rsid w:val="002066B5"/>
    <w:rsid w:val="00206A8E"/>
    <w:rsid w:val="00206F9F"/>
    <w:rsid w:val="002119B6"/>
    <w:rsid w:val="00212A9C"/>
    <w:rsid w:val="00212B40"/>
    <w:rsid w:val="00213BD0"/>
    <w:rsid w:val="00214DBA"/>
    <w:rsid w:val="002151AB"/>
    <w:rsid w:val="00215C4C"/>
    <w:rsid w:val="00215ED6"/>
    <w:rsid w:val="00216049"/>
    <w:rsid w:val="002163FA"/>
    <w:rsid w:val="00217606"/>
    <w:rsid w:val="00217C09"/>
    <w:rsid w:val="00220F5C"/>
    <w:rsid w:val="00221B9B"/>
    <w:rsid w:val="002234B4"/>
    <w:rsid w:val="0022467E"/>
    <w:rsid w:val="00224ED5"/>
    <w:rsid w:val="00225196"/>
    <w:rsid w:val="00225CB4"/>
    <w:rsid w:val="00226B1A"/>
    <w:rsid w:val="00227C50"/>
    <w:rsid w:val="00227F0B"/>
    <w:rsid w:val="0023049F"/>
    <w:rsid w:val="002316F6"/>
    <w:rsid w:val="00231CFF"/>
    <w:rsid w:val="00232C9B"/>
    <w:rsid w:val="00232E73"/>
    <w:rsid w:val="00232F09"/>
    <w:rsid w:val="002335D5"/>
    <w:rsid w:val="002338CA"/>
    <w:rsid w:val="00233FE5"/>
    <w:rsid w:val="00234B3B"/>
    <w:rsid w:val="00236018"/>
    <w:rsid w:val="0023679F"/>
    <w:rsid w:val="00236FA1"/>
    <w:rsid w:val="002374C9"/>
    <w:rsid w:val="0024174E"/>
    <w:rsid w:val="0024227D"/>
    <w:rsid w:val="00242D14"/>
    <w:rsid w:val="00244544"/>
    <w:rsid w:val="00246860"/>
    <w:rsid w:val="00246DFF"/>
    <w:rsid w:val="00246E89"/>
    <w:rsid w:val="0025183C"/>
    <w:rsid w:val="002528EC"/>
    <w:rsid w:val="00255049"/>
    <w:rsid w:val="00257AFF"/>
    <w:rsid w:val="00257DE5"/>
    <w:rsid w:val="00260531"/>
    <w:rsid w:val="00260B9A"/>
    <w:rsid w:val="0026318D"/>
    <w:rsid w:val="00266901"/>
    <w:rsid w:val="00270864"/>
    <w:rsid w:val="002712F7"/>
    <w:rsid w:val="0027159C"/>
    <w:rsid w:val="002722F2"/>
    <w:rsid w:val="00274549"/>
    <w:rsid w:val="00274E46"/>
    <w:rsid w:val="002769AF"/>
    <w:rsid w:val="00276C86"/>
    <w:rsid w:val="00276FD0"/>
    <w:rsid w:val="00277217"/>
    <w:rsid w:val="002810A4"/>
    <w:rsid w:val="0028342C"/>
    <w:rsid w:val="00284A26"/>
    <w:rsid w:val="00287006"/>
    <w:rsid w:val="00292AB2"/>
    <w:rsid w:val="00293FE8"/>
    <w:rsid w:val="00294437"/>
    <w:rsid w:val="00297A45"/>
    <w:rsid w:val="002A233F"/>
    <w:rsid w:val="002A3237"/>
    <w:rsid w:val="002A58B7"/>
    <w:rsid w:val="002A5943"/>
    <w:rsid w:val="002A5C3C"/>
    <w:rsid w:val="002A685E"/>
    <w:rsid w:val="002A72C7"/>
    <w:rsid w:val="002B03B2"/>
    <w:rsid w:val="002B0749"/>
    <w:rsid w:val="002B2645"/>
    <w:rsid w:val="002B4E22"/>
    <w:rsid w:val="002B6FA0"/>
    <w:rsid w:val="002C3B6D"/>
    <w:rsid w:val="002C5D9D"/>
    <w:rsid w:val="002C5F10"/>
    <w:rsid w:val="002C6E5B"/>
    <w:rsid w:val="002D18B4"/>
    <w:rsid w:val="002D231A"/>
    <w:rsid w:val="002D74B5"/>
    <w:rsid w:val="002D7787"/>
    <w:rsid w:val="002E1877"/>
    <w:rsid w:val="002E1C31"/>
    <w:rsid w:val="002E2E0F"/>
    <w:rsid w:val="002E333A"/>
    <w:rsid w:val="002E3474"/>
    <w:rsid w:val="002E3C08"/>
    <w:rsid w:val="002E400C"/>
    <w:rsid w:val="002E49C3"/>
    <w:rsid w:val="002E5114"/>
    <w:rsid w:val="002E5988"/>
    <w:rsid w:val="002E5CC6"/>
    <w:rsid w:val="002E63BF"/>
    <w:rsid w:val="002E7570"/>
    <w:rsid w:val="002E764B"/>
    <w:rsid w:val="002F08C6"/>
    <w:rsid w:val="002F0E28"/>
    <w:rsid w:val="002F287E"/>
    <w:rsid w:val="002F2981"/>
    <w:rsid w:val="002F2D63"/>
    <w:rsid w:val="002F6AD8"/>
    <w:rsid w:val="002F7F81"/>
    <w:rsid w:val="00300A36"/>
    <w:rsid w:val="0030678B"/>
    <w:rsid w:val="00310CD7"/>
    <w:rsid w:val="0031139E"/>
    <w:rsid w:val="0032136A"/>
    <w:rsid w:val="00323E70"/>
    <w:rsid w:val="003258A7"/>
    <w:rsid w:val="00325BA2"/>
    <w:rsid w:val="00326B1C"/>
    <w:rsid w:val="00326C08"/>
    <w:rsid w:val="00326F7F"/>
    <w:rsid w:val="003320E8"/>
    <w:rsid w:val="003328FD"/>
    <w:rsid w:val="0033334F"/>
    <w:rsid w:val="0033555E"/>
    <w:rsid w:val="00336805"/>
    <w:rsid w:val="00337351"/>
    <w:rsid w:val="00337D28"/>
    <w:rsid w:val="00341A54"/>
    <w:rsid w:val="00344D17"/>
    <w:rsid w:val="0034669F"/>
    <w:rsid w:val="00351498"/>
    <w:rsid w:val="00352B22"/>
    <w:rsid w:val="00352CBF"/>
    <w:rsid w:val="00354547"/>
    <w:rsid w:val="003567DE"/>
    <w:rsid w:val="003574F3"/>
    <w:rsid w:val="00360097"/>
    <w:rsid w:val="003604A5"/>
    <w:rsid w:val="0036319E"/>
    <w:rsid w:val="003632A4"/>
    <w:rsid w:val="00363362"/>
    <w:rsid w:val="00367D4F"/>
    <w:rsid w:val="00370743"/>
    <w:rsid w:val="00370EF5"/>
    <w:rsid w:val="0037135B"/>
    <w:rsid w:val="00371379"/>
    <w:rsid w:val="00372251"/>
    <w:rsid w:val="0037520D"/>
    <w:rsid w:val="00375724"/>
    <w:rsid w:val="00375809"/>
    <w:rsid w:val="0037628C"/>
    <w:rsid w:val="00376B81"/>
    <w:rsid w:val="00376E08"/>
    <w:rsid w:val="00377442"/>
    <w:rsid w:val="00377BD2"/>
    <w:rsid w:val="00380FD4"/>
    <w:rsid w:val="003821E1"/>
    <w:rsid w:val="003840F6"/>
    <w:rsid w:val="00384866"/>
    <w:rsid w:val="003857D4"/>
    <w:rsid w:val="00385D6F"/>
    <w:rsid w:val="00386D43"/>
    <w:rsid w:val="00387095"/>
    <w:rsid w:val="00390092"/>
    <w:rsid w:val="00393651"/>
    <w:rsid w:val="00394CE6"/>
    <w:rsid w:val="00395651"/>
    <w:rsid w:val="00395E12"/>
    <w:rsid w:val="00396779"/>
    <w:rsid w:val="00397DB7"/>
    <w:rsid w:val="003A27B2"/>
    <w:rsid w:val="003A40B4"/>
    <w:rsid w:val="003A41BA"/>
    <w:rsid w:val="003A5491"/>
    <w:rsid w:val="003A6A99"/>
    <w:rsid w:val="003A7FF8"/>
    <w:rsid w:val="003B17AC"/>
    <w:rsid w:val="003B227A"/>
    <w:rsid w:val="003B3A77"/>
    <w:rsid w:val="003B5854"/>
    <w:rsid w:val="003B6764"/>
    <w:rsid w:val="003C0437"/>
    <w:rsid w:val="003C294B"/>
    <w:rsid w:val="003C5046"/>
    <w:rsid w:val="003C6068"/>
    <w:rsid w:val="003D2BA3"/>
    <w:rsid w:val="003D3C22"/>
    <w:rsid w:val="003D56A0"/>
    <w:rsid w:val="003D7089"/>
    <w:rsid w:val="003D7DDB"/>
    <w:rsid w:val="003E02C7"/>
    <w:rsid w:val="003E0543"/>
    <w:rsid w:val="003E061D"/>
    <w:rsid w:val="003E0B5A"/>
    <w:rsid w:val="003E31E3"/>
    <w:rsid w:val="003E46D1"/>
    <w:rsid w:val="003E6214"/>
    <w:rsid w:val="003F070E"/>
    <w:rsid w:val="003F1206"/>
    <w:rsid w:val="003F58B0"/>
    <w:rsid w:val="003F776F"/>
    <w:rsid w:val="004007E9"/>
    <w:rsid w:val="00400810"/>
    <w:rsid w:val="00401825"/>
    <w:rsid w:val="00401BBC"/>
    <w:rsid w:val="00403BFB"/>
    <w:rsid w:val="00404B45"/>
    <w:rsid w:val="00406CC5"/>
    <w:rsid w:val="004074A4"/>
    <w:rsid w:val="004101B2"/>
    <w:rsid w:val="004123D7"/>
    <w:rsid w:val="00412658"/>
    <w:rsid w:val="004129DA"/>
    <w:rsid w:val="00415EA4"/>
    <w:rsid w:val="0041604B"/>
    <w:rsid w:val="004172DB"/>
    <w:rsid w:val="00421485"/>
    <w:rsid w:val="00422B75"/>
    <w:rsid w:val="00424612"/>
    <w:rsid w:val="00425A6A"/>
    <w:rsid w:val="00427F54"/>
    <w:rsid w:val="00433E7C"/>
    <w:rsid w:val="00433F36"/>
    <w:rsid w:val="0043503A"/>
    <w:rsid w:val="00437D77"/>
    <w:rsid w:val="004435BE"/>
    <w:rsid w:val="0044384F"/>
    <w:rsid w:val="0044411E"/>
    <w:rsid w:val="0044459D"/>
    <w:rsid w:val="00444F80"/>
    <w:rsid w:val="00446018"/>
    <w:rsid w:val="0045027B"/>
    <w:rsid w:val="004543BC"/>
    <w:rsid w:val="0045645D"/>
    <w:rsid w:val="004574C6"/>
    <w:rsid w:val="00457BCF"/>
    <w:rsid w:val="00457DCE"/>
    <w:rsid w:val="00460E3F"/>
    <w:rsid w:val="004622A9"/>
    <w:rsid w:val="00462F68"/>
    <w:rsid w:val="004640E9"/>
    <w:rsid w:val="00466CED"/>
    <w:rsid w:val="00467592"/>
    <w:rsid w:val="00467690"/>
    <w:rsid w:val="004718E7"/>
    <w:rsid w:val="00472535"/>
    <w:rsid w:val="004761CC"/>
    <w:rsid w:val="004766C9"/>
    <w:rsid w:val="00480D4A"/>
    <w:rsid w:val="00481DA1"/>
    <w:rsid w:val="00484212"/>
    <w:rsid w:val="0049255F"/>
    <w:rsid w:val="0049445D"/>
    <w:rsid w:val="00495350"/>
    <w:rsid w:val="00497156"/>
    <w:rsid w:val="004A0C79"/>
    <w:rsid w:val="004A24D2"/>
    <w:rsid w:val="004A2FF9"/>
    <w:rsid w:val="004A3214"/>
    <w:rsid w:val="004A4136"/>
    <w:rsid w:val="004A417B"/>
    <w:rsid w:val="004A4378"/>
    <w:rsid w:val="004A4F17"/>
    <w:rsid w:val="004B03F3"/>
    <w:rsid w:val="004B0CC9"/>
    <w:rsid w:val="004B2536"/>
    <w:rsid w:val="004B6AF3"/>
    <w:rsid w:val="004B715E"/>
    <w:rsid w:val="004B7169"/>
    <w:rsid w:val="004B79C9"/>
    <w:rsid w:val="004C0776"/>
    <w:rsid w:val="004C5E33"/>
    <w:rsid w:val="004C60A3"/>
    <w:rsid w:val="004C6CDA"/>
    <w:rsid w:val="004D10D4"/>
    <w:rsid w:val="004D16BD"/>
    <w:rsid w:val="004D2AAB"/>
    <w:rsid w:val="004D425C"/>
    <w:rsid w:val="004D6F2B"/>
    <w:rsid w:val="004D77B0"/>
    <w:rsid w:val="004E0248"/>
    <w:rsid w:val="004E21A3"/>
    <w:rsid w:val="004E32EA"/>
    <w:rsid w:val="004E6866"/>
    <w:rsid w:val="004E7FFD"/>
    <w:rsid w:val="004F3222"/>
    <w:rsid w:val="004F3BFA"/>
    <w:rsid w:val="005000AB"/>
    <w:rsid w:val="00500F3C"/>
    <w:rsid w:val="005025EE"/>
    <w:rsid w:val="00505524"/>
    <w:rsid w:val="00505B73"/>
    <w:rsid w:val="00506688"/>
    <w:rsid w:val="00506A87"/>
    <w:rsid w:val="00510588"/>
    <w:rsid w:val="0051146C"/>
    <w:rsid w:val="0051220B"/>
    <w:rsid w:val="00512484"/>
    <w:rsid w:val="00514449"/>
    <w:rsid w:val="00515419"/>
    <w:rsid w:val="005157BD"/>
    <w:rsid w:val="005214A3"/>
    <w:rsid w:val="005222E7"/>
    <w:rsid w:val="00523A8B"/>
    <w:rsid w:val="00523E04"/>
    <w:rsid w:val="005242F1"/>
    <w:rsid w:val="00525003"/>
    <w:rsid w:val="0052590B"/>
    <w:rsid w:val="00526591"/>
    <w:rsid w:val="00527178"/>
    <w:rsid w:val="005278CB"/>
    <w:rsid w:val="00534D42"/>
    <w:rsid w:val="005350A5"/>
    <w:rsid w:val="00536379"/>
    <w:rsid w:val="00537238"/>
    <w:rsid w:val="005400C5"/>
    <w:rsid w:val="00540BE0"/>
    <w:rsid w:val="00540BEF"/>
    <w:rsid w:val="00541DCE"/>
    <w:rsid w:val="00542C9A"/>
    <w:rsid w:val="005436C2"/>
    <w:rsid w:val="005442D4"/>
    <w:rsid w:val="0054586A"/>
    <w:rsid w:val="0054631F"/>
    <w:rsid w:val="00546C24"/>
    <w:rsid w:val="00547BE6"/>
    <w:rsid w:val="0055288D"/>
    <w:rsid w:val="00555259"/>
    <w:rsid w:val="005569EF"/>
    <w:rsid w:val="00560D57"/>
    <w:rsid w:val="00562A94"/>
    <w:rsid w:val="00570119"/>
    <w:rsid w:val="00570754"/>
    <w:rsid w:val="005709F7"/>
    <w:rsid w:val="005710A9"/>
    <w:rsid w:val="00571D1B"/>
    <w:rsid w:val="005738F5"/>
    <w:rsid w:val="00573D34"/>
    <w:rsid w:val="0058039C"/>
    <w:rsid w:val="00580A63"/>
    <w:rsid w:val="00583379"/>
    <w:rsid w:val="0058417C"/>
    <w:rsid w:val="00586EC6"/>
    <w:rsid w:val="00587DDE"/>
    <w:rsid w:val="00593043"/>
    <w:rsid w:val="00595BF0"/>
    <w:rsid w:val="005A0B1D"/>
    <w:rsid w:val="005A1846"/>
    <w:rsid w:val="005A258C"/>
    <w:rsid w:val="005A3560"/>
    <w:rsid w:val="005A464E"/>
    <w:rsid w:val="005A62FC"/>
    <w:rsid w:val="005A6C99"/>
    <w:rsid w:val="005A7D5D"/>
    <w:rsid w:val="005B011A"/>
    <w:rsid w:val="005B1D8F"/>
    <w:rsid w:val="005B1E94"/>
    <w:rsid w:val="005B5B3D"/>
    <w:rsid w:val="005B64CF"/>
    <w:rsid w:val="005C16F3"/>
    <w:rsid w:val="005C2158"/>
    <w:rsid w:val="005C3758"/>
    <w:rsid w:val="005C4D72"/>
    <w:rsid w:val="005D5E91"/>
    <w:rsid w:val="005D67EF"/>
    <w:rsid w:val="005E3064"/>
    <w:rsid w:val="005E72B2"/>
    <w:rsid w:val="005F1115"/>
    <w:rsid w:val="005F1AB6"/>
    <w:rsid w:val="005F27F2"/>
    <w:rsid w:val="005F3567"/>
    <w:rsid w:val="005F3AFE"/>
    <w:rsid w:val="005F424D"/>
    <w:rsid w:val="005F6B6D"/>
    <w:rsid w:val="00605AAB"/>
    <w:rsid w:val="00606BEB"/>
    <w:rsid w:val="0061014A"/>
    <w:rsid w:val="0061054B"/>
    <w:rsid w:val="00613E26"/>
    <w:rsid w:val="00615641"/>
    <w:rsid w:val="00616959"/>
    <w:rsid w:val="006211D0"/>
    <w:rsid w:val="00624D0C"/>
    <w:rsid w:val="006274B4"/>
    <w:rsid w:val="006307BA"/>
    <w:rsid w:val="006315BA"/>
    <w:rsid w:val="00634C4A"/>
    <w:rsid w:val="0063532E"/>
    <w:rsid w:val="00636015"/>
    <w:rsid w:val="00637BDC"/>
    <w:rsid w:val="006418C9"/>
    <w:rsid w:val="00642BD6"/>
    <w:rsid w:val="00645046"/>
    <w:rsid w:val="0064527A"/>
    <w:rsid w:val="00645EA2"/>
    <w:rsid w:val="00650DF4"/>
    <w:rsid w:val="00651E6D"/>
    <w:rsid w:val="00653D2D"/>
    <w:rsid w:val="00656633"/>
    <w:rsid w:val="006573F2"/>
    <w:rsid w:val="00662AD0"/>
    <w:rsid w:val="00662F08"/>
    <w:rsid w:val="00663589"/>
    <w:rsid w:val="00665D75"/>
    <w:rsid w:val="006708E3"/>
    <w:rsid w:val="00670DDC"/>
    <w:rsid w:val="00671389"/>
    <w:rsid w:val="00671485"/>
    <w:rsid w:val="00671EB4"/>
    <w:rsid w:val="0067443B"/>
    <w:rsid w:val="00684CE6"/>
    <w:rsid w:val="00684E2B"/>
    <w:rsid w:val="00690569"/>
    <w:rsid w:val="00690FDA"/>
    <w:rsid w:val="00691E61"/>
    <w:rsid w:val="00692D25"/>
    <w:rsid w:val="00693C5E"/>
    <w:rsid w:val="00694EEA"/>
    <w:rsid w:val="006955B4"/>
    <w:rsid w:val="00696476"/>
    <w:rsid w:val="00696C74"/>
    <w:rsid w:val="006A10FA"/>
    <w:rsid w:val="006A40E6"/>
    <w:rsid w:val="006A5C07"/>
    <w:rsid w:val="006A75FA"/>
    <w:rsid w:val="006B07D5"/>
    <w:rsid w:val="006B0ED6"/>
    <w:rsid w:val="006B1309"/>
    <w:rsid w:val="006B3923"/>
    <w:rsid w:val="006B3F3E"/>
    <w:rsid w:val="006B5923"/>
    <w:rsid w:val="006B67D9"/>
    <w:rsid w:val="006B6C14"/>
    <w:rsid w:val="006B715E"/>
    <w:rsid w:val="006C070C"/>
    <w:rsid w:val="006C1D6E"/>
    <w:rsid w:val="006C2EF6"/>
    <w:rsid w:val="006C3A68"/>
    <w:rsid w:val="006C4D14"/>
    <w:rsid w:val="006C6AB1"/>
    <w:rsid w:val="006C6E6B"/>
    <w:rsid w:val="006D2000"/>
    <w:rsid w:val="006D2D39"/>
    <w:rsid w:val="006D4250"/>
    <w:rsid w:val="006D4E0E"/>
    <w:rsid w:val="006D5CE2"/>
    <w:rsid w:val="006E06D1"/>
    <w:rsid w:val="006E1313"/>
    <w:rsid w:val="006E2DC8"/>
    <w:rsid w:val="006E3B7B"/>
    <w:rsid w:val="006E7356"/>
    <w:rsid w:val="006E77C8"/>
    <w:rsid w:val="006F025C"/>
    <w:rsid w:val="006F149D"/>
    <w:rsid w:val="006F1A46"/>
    <w:rsid w:val="006F4F06"/>
    <w:rsid w:val="006F5A4E"/>
    <w:rsid w:val="006F6005"/>
    <w:rsid w:val="00703B6C"/>
    <w:rsid w:val="00704EA1"/>
    <w:rsid w:val="00705C40"/>
    <w:rsid w:val="00706482"/>
    <w:rsid w:val="00706BEF"/>
    <w:rsid w:val="00707ECE"/>
    <w:rsid w:val="00710CE8"/>
    <w:rsid w:val="007116BC"/>
    <w:rsid w:val="00711CA6"/>
    <w:rsid w:val="007165CE"/>
    <w:rsid w:val="0071761F"/>
    <w:rsid w:val="00720968"/>
    <w:rsid w:val="00721705"/>
    <w:rsid w:val="00721B7A"/>
    <w:rsid w:val="00721D12"/>
    <w:rsid w:val="00721F8B"/>
    <w:rsid w:val="00722C42"/>
    <w:rsid w:val="007237CE"/>
    <w:rsid w:val="00724688"/>
    <w:rsid w:val="007272F1"/>
    <w:rsid w:val="0073062D"/>
    <w:rsid w:val="0073254D"/>
    <w:rsid w:val="00736A49"/>
    <w:rsid w:val="007419A1"/>
    <w:rsid w:val="00743B71"/>
    <w:rsid w:val="00743C2D"/>
    <w:rsid w:val="00743E36"/>
    <w:rsid w:val="00743F05"/>
    <w:rsid w:val="007441A4"/>
    <w:rsid w:val="007446F7"/>
    <w:rsid w:val="00744EBB"/>
    <w:rsid w:val="00745A06"/>
    <w:rsid w:val="00745B0A"/>
    <w:rsid w:val="00745DBE"/>
    <w:rsid w:val="007468AC"/>
    <w:rsid w:val="00746AE2"/>
    <w:rsid w:val="00750C82"/>
    <w:rsid w:val="00755F98"/>
    <w:rsid w:val="0076100C"/>
    <w:rsid w:val="007612A5"/>
    <w:rsid w:val="00763F95"/>
    <w:rsid w:val="007651ED"/>
    <w:rsid w:val="00766C87"/>
    <w:rsid w:val="00780378"/>
    <w:rsid w:val="00781BD4"/>
    <w:rsid w:val="00782562"/>
    <w:rsid w:val="007828B4"/>
    <w:rsid w:val="00784832"/>
    <w:rsid w:val="00785D77"/>
    <w:rsid w:val="00786111"/>
    <w:rsid w:val="00790963"/>
    <w:rsid w:val="00791F1E"/>
    <w:rsid w:val="00794ADE"/>
    <w:rsid w:val="00794F3D"/>
    <w:rsid w:val="00795CE9"/>
    <w:rsid w:val="00796045"/>
    <w:rsid w:val="007968AC"/>
    <w:rsid w:val="007969AB"/>
    <w:rsid w:val="007A0B39"/>
    <w:rsid w:val="007A14A4"/>
    <w:rsid w:val="007A168F"/>
    <w:rsid w:val="007A2346"/>
    <w:rsid w:val="007A28E4"/>
    <w:rsid w:val="007A3BB3"/>
    <w:rsid w:val="007A3F91"/>
    <w:rsid w:val="007A5AD1"/>
    <w:rsid w:val="007A5B7B"/>
    <w:rsid w:val="007B0A06"/>
    <w:rsid w:val="007B5C5C"/>
    <w:rsid w:val="007B7B37"/>
    <w:rsid w:val="007B7C41"/>
    <w:rsid w:val="007C11E9"/>
    <w:rsid w:val="007C433E"/>
    <w:rsid w:val="007C4452"/>
    <w:rsid w:val="007C4B3C"/>
    <w:rsid w:val="007C4DB1"/>
    <w:rsid w:val="007C5C46"/>
    <w:rsid w:val="007C6046"/>
    <w:rsid w:val="007C6F0C"/>
    <w:rsid w:val="007D0292"/>
    <w:rsid w:val="007D21AC"/>
    <w:rsid w:val="007D24B0"/>
    <w:rsid w:val="007D3882"/>
    <w:rsid w:val="007D568A"/>
    <w:rsid w:val="007D574E"/>
    <w:rsid w:val="007D57C0"/>
    <w:rsid w:val="007D6BFE"/>
    <w:rsid w:val="007E2046"/>
    <w:rsid w:val="007E3883"/>
    <w:rsid w:val="007E4FBB"/>
    <w:rsid w:val="007E55BF"/>
    <w:rsid w:val="007E71B1"/>
    <w:rsid w:val="007E7B4E"/>
    <w:rsid w:val="007F0AB7"/>
    <w:rsid w:val="007F0CE2"/>
    <w:rsid w:val="007F0EFF"/>
    <w:rsid w:val="007F1375"/>
    <w:rsid w:val="007F1FA6"/>
    <w:rsid w:val="0080064F"/>
    <w:rsid w:val="00803850"/>
    <w:rsid w:val="008039E8"/>
    <w:rsid w:val="00804385"/>
    <w:rsid w:val="00805AFD"/>
    <w:rsid w:val="008078D8"/>
    <w:rsid w:val="00811D5B"/>
    <w:rsid w:val="00813410"/>
    <w:rsid w:val="00813C51"/>
    <w:rsid w:val="00817713"/>
    <w:rsid w:val="008208C3"/>
    <w:rsid w:val="008220F1"/>
    <w:rsid w:val="0082340B"/>
    <w:rsid w:val="00824CCB"/>
    <w:rsid w:val="00827DB6"/>
    <w:rsid w:val="008304B2"/>
    <w:rsid w:val="00830999"/>
    <w:rsid w:val="00830D5E"/>
    <w:rsid w:val="00830F69"/>
    <w:rsid w:val="00833418"/>
    <w:rsid w:val="0083387F"/>
    <w:rsid w:val="00834458"/>
    <w:rsid w:val="00834AEA"/>
    <w:rsid w:val="00835841"/>
    <w:rsid w:val="00837465"/>
    <w:rsid w:val="00840621"/>
    <w:rsid w:val="00841243"/>
    <w:rsid w:val="00841457"/>
    <w:rsid w:val="0084374E"/>
    <w:rsid w:val="00844842"/>
    <w:rsid w:val="00844A53"/>
    <w:rsid w:val="00844DD0"/>
    <w:rsid w:val="0085089F"/>
    <w:rsid w:val="0085206E"/>
    <w:rsid w:val="00852AD4"/>
    <w:rsid w:val="00852BA8"/>
    <w:rsid w:val="00853718"/>
    <w:rsid w:val="008541EF"/>
    <w:rsid w:val="00856AC7"/>
    <w:rsid w:val="00856FA4"/>
    <w:rsid w:val="00860E60"/>
    <w:rsid w:val="0086162B"/>
    <w:rsid w:val="00861D5C"/>
    <w:rsid w:val="00865207"/>
    <w:rsid w:val="008656A7"/>
    <w:rsid w:val="00865FA3"/>
    <w:rsid w:val="00866231"/>
    <w:rsid w:val="00871262"/>
    <w:rsid w:val="00871D4E"/>
    <w:rsid w:val="00871E7B"/>
    <w:rsid w:val="0087566D"/>
    <w:rsid w:val="00875B51"/>
    <w:rsid w:val="00875F2D"/>
    <w:rsid w:val="008764DC"/>
    <w:rsid w:val="00882CC2"/>
    <w:rsid w:val="00883930"/>
    <w:rsid w:val="0089038F"/>
    <w:rsid w:val="00892B90"/>
    <w:rsid w:val="00896535"/>
    <w:rsid w:val="00896683"/>
    <w:rsid w:val="0089750B"/>
    <w:rsid w:val="00897589"/>
    <w:rsid w:val="008A0D4F"/>
    <w:rsid w:val="008A5C34"/>
    <w:rsid w:val="008A63A9"/>
    <w:rsid w:val="008A678A"/>
    <w:rsid w:val="008A7073"/>
    <w:rsid w:val="008A7F7E"/>
    <w:rsid w:val="008B04DB"/>
    <w:rsid w:val="008B09B4"/>
    <w:rsid w:val="008B27FD"/>
    <w:rsid w:val="008B3AF2"/>
    <w:rsid w:val="008B446D"/>
    <w:rsid w:val="008B48A7"/>
    <w:rsid w:val="008B515D"/>
    <w:rsid w:val="008B5D31"/>
    <w:rsid w:val="008B6705"/>
    <w:rsid w:val="008C22F3"/>
    <w:rsid w:val="008C294C"/>
    <w:rsid w:val="008D29E7"/>
    <w:rsid w:val="008D3679"/>
    <w:rsid w:val="008D795D"/>
    <w:rsid w:val="008D7B07"/>
    <w:rsid w:val="008E1E94"/>
    <w:rsid w:val="008E2D99"/>
    <w:rsid w:val="008E2F38"/>
    <w:rsid w:val="008E38B0"/>
    <w:rsid w:val="008E4A60"/>
    <w:rsid w:val="008E744D"/>
    <w:rsid w:val="008F1E08"/>
    <w:rsid w:val="00900D8F"/>
    <w:rsid w:val="009014E3"/>
    <w:rsid w:val="009026E8"/>
    <w:rsid w:val="00902FDD"/>
    <w:rsid w:val="00905EEF"/>
    <w:rsid w:val="00906EB7"/>
    <w:rsid w:val="009102BF"/>
    <w:rsid w:val="00911490"/>
    <w:rsid w:val="009115F2"/>
    <w:rsid w:val="00914ADB"/>
    <w:rsid w:val="00923B25"/>
    <w:rsid w:val="0092402E"/>
    <w:rsid w:val="009259BA"/>
    <w:rsid w:val="00926FCB"/>
    <w:rsid w:val="009303BB"/>
    <w:rsid w:val="0093311A"/>
    <w:rsid w:val="00941A4C"/>
    <w:rsid w:val="00942645"/>
    <w:rsid w:val="00944F0C"/>
    <w:rsid w:val="009461E6"/>
    <w:rsid w:val="00950A3A"/>
    <w:rsid w:val="0095340A"/>
    <w:rsid w:val="00954581"/>
    <w:rsid w:val="0095466C"/>
    <w:rsid w:val="00954E5B"/>
    <w:rsid w:val="00955E45"/>
    <w:rsid w:val="009576BC"/>
    <w:rsid w:val="00960357"/>
    <w:rsid w:val="0096168C"/>
    <w:rsid w:val="00961840"/>
    <w:rsid w:val="009625E3"/>
    <w:rsid w:val="00962F2D"/>
    <w:rsid w:val="009672CD"/>
    <w:rsid w:val="0097216B"/>
    <w:rsid w:val="00972996"/>
    <w:rsid w:val="009732B8"/>
    <w:rsid w:val="0097514A"/>
    <w:rsid w:val="009759C2"/>
    <w:rsid w:val="00975C72"/>
    <w:rsid w:val="00975EA0"/>
    <w:rsid w:val="00976869"/>
    <w:rsid w:val="00977740"/>
    <w:rsid w:val="00977CB4"/>
    <w:rsid w:val="009809B8"/>
    <w:rsid w:val="00981086"/>
    <w:rsid w:val="009818AF"/>
    <w:rsid w:val="00981B1C"/>
    <w:rsid w:val="0098222D"/>
    <w:rsid w:val="00985099"/>
    <w:rsid w:val="0099421F"/>
    <w:rsid w:val="009962E7"/>
    <w:rsid w:val="009A0DE3"/>
    <w:rsid w:val="009A1643"/>
    <w:rsid w:val="009A215A"/>
    <w:rsid w:val="009A49D3"/>
    <w:rsid w:val="009A4F1B"/>
    <w:rsid w:val="009A66C5"/>
    <w:rsid w:val="009A79BA"/>
    <w:rsid w:val="009B14D1"/>
    <w:rsid w:val="009B1534"/>
    <w:rsid w:val="009B4963"/>
    <w:rsid w:val="009B4A3B"/>
    <w:rsid w:val="009B69D3"/>
    <w:rsid w:val="009B7BA7"/>
    <w:rsid w:val="009C0938"/>
    <w:rsid w:val="009C22C8"/>
    <w:rsid w:val="009C3F82"/>
    <w:rsid w:val="009C72DD"/>
    <w:rsid w:val="009C7DF5"/>
    <w:rsid w:val="009D056C"/>
    <w:rsid w:val="009D060F"/>
    <w:rsid w:val="009D1ADE"/>
    <w:rsid w:val="009D37CA"/>
    <w:rsid w:val="009D4229"/>
    <w:rsid w:val="009E09D0"/>
    <w:rsid w:val="009E1283"/>
    <w:rsid w:val="009E3A7F"/>
    <w:rsid w:val="009E4DFC"/>
    <w:rsid w:val="009E5789"/>
    <w:rsid w:val="009E57B1"/>
    <w:rsid w:val="009E6379"/>
    <w:rsid w:val="009F3B63"/>
    <w:rsid w:val="009F6292"/>
    <w:rsid w:val="009F7809"/>
    <w:rsid w:val="009F7AF5"/>
    <w:rsid w:val="00A00D14"/>
    <w:rsid w:val="00A01408"/>
    <w:rsid w:val="00A02457"/>
    <w:rsid w:val="00A03190"/>
    <w:rsid w:val="00A0404B"/>
    <w:rsid w:val="00A0798C"/>
    <w:rsid w:val="00A07BDD"/>
    <w:rsid w:val="00A07F12"/>
    <w:rsid w:val="00A1105B"/>
    <w:rsid w:val="00A1213C"/>
    <w:rsid w:val="00A130E8"/>
    <w:rsid w:val="00A15B6B"/>
    <w:rsid w:val="00A15EB4"/>
    <w:rsid w:val="00A16876"/>
    <w:rsid w:val="00A200AA"/>
    <w:rsid w:val="00A20558"/>
    <w:rsid w:val="00A2186F"/>
    <w:rsid w:val="00A2270B"/>
    <w:rsid w:val="00A23B89"/>
    <w:rsid w:val="00A23FE3"/>
    <w:rsid w:val="00A248C3"/>
    <w:rsid w:val="00A2496E"/>
    <w:rsid w:val="00A253E8"/>
    <w:rsid w:val="00A25878"/>
    <w:rsid w:val="00A258B7"/>
    <w:rsid w:val="00A32743"/>
    <w:rsid w:val="00A37196"/>
    <w:rsid w:val="00A41468"/>
    <w:rsid w:val="00A414A9"/>
    <w:rsid w:val="00A44141"/>
    <w:rsid w:val="00A44CCA"/>
    <w:rsid w:val="00A44D75"/>
    <w:rsid w:val="00A47CF1"/>
    <w:rsid w:val="00A50418"/>
    <w:rsid w:val="00A54A47"/>
    <w:rsid w:val="00A56D26"/>
    <w:rsid w:val="00A571A7"/>
    <w:rsid w:val="00A57BA8"/>
    <w:rsid w:val="00A608FB"/>
    <w:rsid w:val="00A60D83"/>
    <w:rsid w:val="00A60F68"/>
    <w:rsid w:val="00A63DF3"/>
    <w:rsid w:val="00A65C78"/>
    <w:rsid w:val="00A660A8"/>
    <w:rsid w:val="00A67591"/>
    <w:rsid w:val="00A67CA6"/>
    <w:rsid w:val="00A70E7B"/>
    <w:rsid w:val="00A73B84"/>
    <w:rsid w:val="00A7411D"/>
    <w:rsid w:val="00A7592B"/>
    <w:rsid w:val="00A76094"/>
    <w:rsid w:val="00A768E2"/>
    <w:rsid w:val="00A82C52"/>
    <w:rsid w:val="00A83C15"/>
    <w:rsid w:val="00A863B5"/>
    <w:rsid w:val="00A86CB6"/>
    <w:rsid w:val="00A90D55"/>
    <w:rsid w:val="00A944D8"/>
    <w:rsid w:val="00A959E7"/>
    <w:rsid w:val="00A95BBA"/>
    <w:rsid w:val="00A961EE"/>
    <w:rsid w:val="00AA04B3"/>
    <w:rsid w:val="00AA1253"/>
    <w:rsid w:val="00AA1ED0"/>
    <w:rsid w:val="00AA1F5B"/>
    <w:rsid w:val="00AA28EF"/>
    <w:rsid w:val="00AA3593"/>
    <w:rsid w:val="00AA38CA"/>
    <w:rsid w:val="00AA493E"/>
    <w:rsid w:val="00AA73AF"/>
    <w:rsid w:val="00AB0A8A"/>
    <w:rsid w:val="00AB1754"/>
    <w:rsid w:val="00AB1F8D"/>
    <w:rsid w:val="00AB27DD"/>
    <w:rsid w:val="00AB3C27"/>
    <w:rsid w:val="00AC25E8"/>
    <w:rsid w:val="00AC439D"/>
    <w:rsid w:val="00AC713F"/>
    <w:rsid w:val="00AC7329"/>
    <w:rsid w:val="00AC7FAB"/>
    <w:rsid w:val="00AD067E"/>
    <w:rsid w:val="00AD1B4E"/>
    <w:rsid w:val="00AD2801"/>
    <w:rsid w:val="00AD3496"/>
    <w:rsid w:val="00AD5771"/>
    <w:rsid w:val="00AD6870"/>
    <w:rsid w:val="00AD68C5"/>
    <w:rsid w:val="00AD7F8F"/>
    <w:rsid w:val="00AE1273"/>
    <w:rsid w:val="00AE18C5"/>
    <w:rsid w:val="00AE2D29"/>
    <w:rsid w:val="00AE4624"/>
    <w:rsid w:val="00AE5E14"/>
    <w:rsid w:val="00AE6115"/>
    <w:rsid w:val="00AE625B"/>
    <w:rsid w:val="00AF1103"/>
    <w:rsid w:val="00AF1668"/>
    <w:rsid w:val="00AF4FA5"/>
    <w:rsid w:val="00B04562"/>
    <w:rsid w:val="00B0773A"/>
    <w:rsid w:val="00B07955"/>
    <w:rsid w:val="00B140B8"/>
    <w:rsid w:val="00B14FAA"/>
    <w:rsid w:val="00B15BED"/>
    <w:rsid w:val="00B15D30"/>
    <w:rsid w:val="00B17487"/>
    <w:rsid w:val="00B20624"/>
    <w:rsid w:val="00B23436"/>
    <w:rsid w:val="00B237F1"/>
    <w:rsid w:val="00B24F33"/>
    <w:rsid w:val="00B2534F"/>
    <w:rsid w:val="00B26354"/>
    <w:rsid w:val="00B26CA0"/>
    <w:rsid w:val="00B32179"/>
    <w:rsid w:val="00B33007"/>
    <w:rsid w:val="00B331A9"/>
    <w:rsid w:val="00B33498"/>
    <w:rsid w:val="00B36569"/>
    <w:rsid w:val="00B40A05"/>
    <w:rsid w:val="00B40A3E"/>
    <w:rsid w:val="00B427BB"/>
    <w:rsid w:val="00B449EE"/>
    <w:rsid w:val="00B454AE"/>
    <w:rsid w:val="00B50227"/>
    <w:rsid w:val="00B50510"/>
    <w:rsid w:val="00B522CD"/>
    <w:rsid w:val="00B52926"/>
    <w:rsid w:val="00B55143"/>
    <w:rsid w:val="00B555C8"/>
    <w:rsid w:val="00B55917"/>
    <w:rsid w:val="00B57EB8"/>
    <w:rsid w:val="00B61BEA"/>
    <w:rsid w:val="00B643A6"/>
    <w:rsid w:val="00B64DD6"/>
    <w:rsid w:val="00B6710C"/>
    <w:rsid w:val="00B67E84"/>
    <w:rsid w:val="00B72076"/>
    <w:rsid w:val="00B72303"/>
    <w:rsid w:val="00B72C72"/>
    <w:rsid w:val="00B731E4"/>
    <w:rsid w:val="00B76796"/>
    <w:rsid w:val="00B771E0"/>
    <w:rsid w:val="00B812BD"/>
    <w:rsid w:val="00B82277"/>
    <w:rsid w:val="00B8478F"/>
    <w:rsid w:val="00B91676"/>
    <w:rsid w:val="00B95833"/>
    <w:rsid w:val="00BA1824"/>
    <w:rsid w:val="00BA2D98"/>
    <w:rsid w:val="00BA2F0C"/>
    <w:rsid w:val="00BA30D1"/>
    <w:rsid w:val="00BA30E1"/>
    <w:rsid w:val="00BA4609"/>
    <w:rsid w:val="00BA5BE2"/>
    <w:rsid w:val="00BA7F46"/>
    <w:rsid w:val="00BB0A0A"/>
    <w:rsid w:val="00BB133C"/>
    <w:rsid w:val="00BB1F04"/>
    <w:rsid w:val="00BB45B5"/>
    <w:rsid w:val="00BB6064"/>
    <w:rsid w:val="00BB7012"/>
    <w:rsid w:val="00BC09D1"/>
    <w:rsid w:val="00BC1CF3"/>
    <w:rsid w:val="00BC3573"/>
    <w:rsid w:val="00BC7F82"/>
    <w:rsid w:val="00BD3683"/>
    <w:rsid w:val="00BD40AB"/>
    <w:rsid w:val="00BD6297"/>
    <w:rsid w:val="00BD6806"/>
    <w:rsid w:val="00BD7433"/>
    <w:rsid w:val="00BD7831"/>
    <w:rsid w:val="00BD7C10"/>
    <w:rsid w:val="00BE046F"/>
    <w:rsid w:val="00BE0DEB"/>
    <w:rsid w:val="00BE2AB8"/>
    <w:rsid w:val="00BE2FC1"/>
    <w:rsid w:val="00BE3142"/>
    <w:rsid w:val="00BE4039"/>
    <w:rsid w:val="00BE6365"/>
    <w:rsid w:val="00BF0B7F"/>
    <w:rsid w:val="00BF2988"/>
    <w:rsid w:val="00BF4720"/>
    <w:rsid w:val="00BF4F49"/>
    <w:rsid w:val="00BF6759"/>
    <w:rsid w:val="00BF7B4F"/>
    <w:rsid w:val="00BF7B63"/>
    <w:rsid w:val="00C038EC"/>
    <w:rsid w:val="00C05C6D"/>
    <w:rsid w:val="00C072D7"/>
    <w:rsid w:val="00C1122B"/>
    <w:rsid w:val="00C13B34"/>
    <w:rsid w:val="00C13F26"/>
    <w:rsid w:val="00C1474E"/>
    <w:rsid w:val="00C14C37"/>
    <w:rsid w:val="00C16BE4"/>
    <w:rsid w:val="00C16E9F"/>
    <w:rsid w:val="00C1713D"/>
    <w:rsid w:val="00C17523"/>
    <w:rsid w:val="00C177F1"/>
    <w:rsid w:val="00C17EE6"/>
    <w:rsid w:val="00C2272E"/>
    <w:rsid w:val="00C22F3A"/>
    <w:rsid w:val="00C23311"/>
    <w:rsid w:val="00C25978"/>
    <w:rsid w:val="00C261C6"/>
    <w:rsid w:val="00C26621"/>
    <w:rsid w:val="00C26E7C"/>
    <w:rsid w:val="00C276CD"/>
    <w:rsid w:val="00C30A97"/>
    <w:rsid w:val="00C31DDC"/>
    <w:rsid w:val="00C34326"/>
    <w:rsid w:val="00C36201"/>
    <w:rsid w:val="00C368E8"/>
    <w:rsid w:val="00C36C3D"/>
    <w:rsid w:val="00C372C7"/>
    <w:rsid w:val="00C42443"/>
    <w:rsid w:val="00C42CBA"/>
    <w:rsid w:val="00C4338C"/>
    <w:rsid w:val="00C472C7"/>
    <w:rsid w:val="00C5019E"/>
    <w:rsid w:val="00C5377C"/>
    <w:rsid w:val="00C53E8A"/>
    <w:rsid w:val="00C54DF3"/>
    <w:rsid w:val="00C560A7"/>
    <w:rsid w:val="00C56FC8"/>
    <w:rsid w:val="00C60F23"/>
    <w:rsid w:val="00C62EB2"/>
    <w:rsid w:val="00C71BEC"/>
    <w:rsid w:val="00C74D3A"/>
    <w:rsid w:val="00C75F3D"/>
    <w:rsid w:val="00C80511"/>
    <w:rsid w:val="00C81B1F"/>
    <w:rsid w:val="00C826F5"/>
    <w:rsid w:val="00C83740"/>
    <w:rsid w:val="00C84AD1"/>
    <w:rsid w:val="00C85579"/>
    <w:rsid w:val="00C863E5"/>
    <w:rsid w:val="00C87BE6"/>
    <w:rsid w:val="00C87F76"/>
    <w:rsid w:val="00C931FC"/>
    <w:rsid w:val="00C932C5"/>
    <w:rsid w:val="00C95A72"/>
    <w:rsid w:val="00C9650E"/>
    <w:rsid w:val="00CA068D"/>
    <w:rsid w:val="00CA1228"/>
    <w:rsid w:val="00CA1C73"/>
    <w:rsid w:val="00CA282D"/>
    <w:rsid w:val="00CA3F73"/>
    <w:rsid w:val="00CA43D5"/>
    <w:rsid w:val="00CA4670"/>
    <w:rsid w:val="00CA6B1A"/>
    <w:rsid w:val="00CB20DC"/>
    <w:rsid w:val="00CB23DC"/>
    <w:rsid w:val="00CB2487"/>
    <w:rsid w:val="00CB28E2"/>
    <w:rsid w:val="00CB2F20"/>
    <w:rsid w:val="00CB758D"/>
    <w:rsid w:val="00CB7A3E"/>
    <w:rsid w:val="00CB7FF7"/>
    <w:rsid w:val="00CC0D0E"/>
    <w:rsid w:val="00CC1253"/>
    <w:rsid w:val="00CC19B3"/>
    <w:rsid w:val="00CC2044"/>
    <w:rsid w:val="00CC27E0"/>
    <w:rsid w:val="00CC39D2"/>
    <w:rsid w:val="00CC69EC"/>
    <w:rsid w:val="00CD15BE"/>
    <w:rsid w:val="00CD1EF2"/>
    <w:rsid w:val="00CD32BD"/>
    <w:rsid w:val="00CD34C7"/>
    <w:rsid w:val="00CD5653"/>
    <w:rsid w:val="00CD5E6D"/>
    <w:rsid w:val="00CD63C8"/>
    <w:rsid w:val="00CE069E"/>
    <w:rsid w:val="00CF158D"/>
    <w:rsid w:val="00CF4394"/>
    <w:rsid w:val="00D000A9"/>
    <w:rsid w:val="00D005DB"/>
    <w:rsid w:val="00D0064E"/>
    <w:rsid w:val="00D00981"/>
    <w:rsid w:val="00D02596"/>
    <w:rsid w:val="00D0280D"/>
    <w:rsid w:val="00D05669"/>
    <w:rsid w:val="00D06952"/>
    <w:rsid w:val="00D07A72"/>
    <w:rsid w:val="00D10577"/>
    <w:rsid w:val="00D12A4E"/>
    <w:rsid w:val="00D1323B"/>
    <w:rsid w:val="00D14BAE"/>
    <w:rsid w:val="00D1648B"/>
    <w:rsid w:val="00D16819"/>
    <w:rsid w:val="00D17DD9"/>
    <w:rsid w:val="00D20AC0"/>
    <w:rsid w:val="00D2321B"/>
    <w:rsid w:val="00D23DE4"/>
    <w:rsid w:val="00D25A5C"/>
    <w:rsid w:val="00D26873"/>
    <w:rsid w:val="00D31683"/>
    <w:rsid w:val="00D336C8"/>
    <w:rsid w:val="00D339E8"/>
    <w:rsid w:val="00D3654A"/>
    <w:rsid w:val="00D3662E"/>
    <w:rsid w:val="00D40B1F"/>
    <w:rsid w:val="00D40D75"/>
    <w:rsid w:val="00D43978"/>
    <w:rsid w:val="00D449F0"/>
    <w:rsid w:val="00D50C8C"/>
    <w:rsid w:val="00D52393"/>
    <w:rsid w:val="00D523E4"/>
    <w:rsid w:val="00D5279D"/>
    <w:rsid w:val="00D52A1B"/>
    <w:rsid w:val="00D52AA7"/>
    <w:rsid w:val="00D52FCC"/>
    <w:rsid w:val="00D53F14"/>
    <w:rsid w:val="00D54BE4"/>
    <w:rsid w:val="00D560DC"/>
    <w:rsid w:val="00D56602"/>
    <w:rsid w:val="00D60483"/>
    <w:rsid w:val="00D61ABB"/>
    <w:rsid w:val="00D62D5C"/>
    <w:rsid w:val="00D63577"/>
    <w:rsid w:val="00D6493A"/>
    <w:rsid w:val="00D661E9"/>
    <w:rsid w:val="00D67FD7"/>
    <w:rsid w:val="00D72410"/>
    <w:rsid w:val="00D7408A"/>
    <w:rsid w:val="00D74261"/>
    <w:rsid w:val="00D7441B"/>
    <w:rsid w:val="00D75589"/>
    <w:rsid w:val="00D76AB2"/>
    <w:rsid w:val="00D80490"/>
    <w:rsid w:val="00D829AD"/>
    <w:rsid w:val="00D82EE2"/>
    <w:rsid w:val="00D8545C"/>
    <w:rsid w:val="00D87788"/>
    <w:rsid w:val="00D877C8"/>
    <w:rsid w:val="00D91040"/>
    <w:rsid w:val="00D910C2"/>
    <w:rsid w:val="00D9168C"/>
    <w:rsid w:val="00D9189B"/>
    <w:rsid w:val="00D91DA6"/>
    <w:rsid w:val="00D93B9A"/>
    <w:rsid w:val="00D95984"/>
    <w:rsid w:val="00D9706F"/>
    <w:rsid w:val="00D972D4"/>
    <w:rsid w:val="00DA195B"/>
    <w:rsid w:val="00DA65B6"/>
    <w:rsid w:val="00DA6B55"/>
    <w:rsid w:val="00DA6B97"/>
    <w:rsid w:val="00DB0015"/>
    <w:rsid w:val="00DB0359"/>
    <w:rsid w:val="00DB0ABB"/>
    <w:rsid w:val="00DB2AAD"/>
    <w:rsid w:val="00DB3BA2"/>
    <w:rsid w:val="00DB5941"/>
    <w:rsid w:val="00DB626D"/>
    <w:rsid w:val="00DB6365"/>
    <w:rsid w:val="00DC0BF1"/>
    <w:rsid w:val="00DC41C3"/>
    <w:rsid w:val="00DC4FA4"/>
    <w:rsid w:val="00DC6063"/>
    <w:rsid w:val="00DD286D"/>
    <w:rsid w:val="00DD2CAF"/>
    <w:rsid w:val="00DD3593"/>
    <w:rsid w:val="00DD4E3C"/>
    <w:rsid w:val="00DD64E0"/>
    <w:rsid w:val="00DE0C67"/>
    <w:rsid w:val="00DE6952"/>
    <w:rsid w:val="00DE7E74"/>
    <w:rsid w:val="00DF071B"/>
    <w:rsid w:val="00DF4C31"/>
    <w:rsid w:val="00DF6EEC"/>
    <w:rsid w:val="00DF6EF8"/>
    <w:rsid w:val="00E0078D"/>
    <w:rsid w:val="00E00A69"/>
    <w:rsid w:val="00E017F0"/>
    <w:rsid w:val="00E01A0E"/>
    <w:rsid w:val="00E041E4"/>
    <w:rsid w:val="00E1012B"/>
    <w:rsid w:val="00E103C8"/>
    <w:rsid w:val="00E1085B"/>
    <w:rsid w:val="00E1308B"/>
    <w:rsid w:val="00E14581"/>
    <w:rsid w:val="00E15539"/>
    <w:rsid w:val="00E1570E"/>
    <w:rsid w:val="00E16541"/>
    <w:rsid w:val="00E202F4"/>
    <w:rsid w:val="00E2536E"/>
    <w:rsid w:val="00E25B8A"/>
    <w:rsid w:val="00E2632B"/>
    <w:rsid w:val="00E322F7"/>
    <w:rsid w:val="00E3369B"/>
    <w:rsid w:val="00E36D76"/>
    <w:rsid w:val="00E40478"/>
    <w:rsid w:val="00E405EA"/>
    <w:rsid w:val="00E408B7"/>
    <w:rsid w:val="00E41637"/>
    <w:rsid w:val="00E42789"/>
    <w:rsid w:val="00E43F59"/>
    <w:rsid w:val="00E45237"/>
    <w:rsid w:val="00E464F0"/>
    <w:rsid w:val="00E46EF3"/>
    <w:rsid w:val="00E473E9"/>
    <w:rsid w:val="00E50BEB"/>
    <w:rsid w:val="00E548FA"/>
    <w:rsid w:val="00E57703"/>
    <w:rsid w:val="00E57ED4"/>
    <w:rsid w:val="00E57FED"/>
    <w:rsid w:val="00E6092F"/>
    <w:rsid w:val="00E62049"/>
    <w:rsid w:val="00E629DA"/>
    <w:rsid w:val="00E6469F"/>
    <w:rsid w:val="00E65D39"/>
    <w:rsid w:val="00E670F8"/>
    <w:rsid w:val="00E67FAC"/>
    <w:rsid w:val="00E7200B"/>
    <w:rsid w:val="00E738CB"/>
    <w:rsid w:val="00E73C88"/>
    <w:rsid w:val="00E74437"/>
    <w:rsid w:val="00E7443D"/>
    <w:rsid w:val="00E754EF"/>
    <w:rsid w:val="00E75ACE"/>
    <w:rsid w:val="00E81C3E"/>
    <w:rsid w:val="00E82359"/>
    <w:rsid w:val="00E82B6D"/>
    <w:rsid w:val="00E8608F"/>
    <w:rsid w:val="00EA1177"/>
    <w:rsid w:val="00EA118B"/>
    <w:rsid w:val="00EA11B6"/>
    <w:rsid w:val="00EA2181"/>
    <w:rsid w:val="00EA2DD8"/>
    <w:rsid w:val="00EA4475"/>
    <w:rsid w:val="00EA52FE"/>
    <w:rsid w:val="00EA681F"/>
    <w:rsid w:val="00EB06A6"/>
    <w:rsid w:val="00EB3307"/>
    <w:rsid w:val="00EB3823"/>
    <w:rsid w:val="00EB47D8"/>
    <w:rsid w:val="00EB57D3"/>
    <w:rsid w:val="00EB5EFD"/>
    <w:rsid w:val="00EB679F"/>
    <w:rsid w:val="00EB76E4"/>
    <w:rsid w:val="00EC0E65"/>
    <w:rsid w:val="00EC1251"/>
    <w:rsid w:val="00EC2938"/>
    <w:rsid w:val="00EC2F98"/>
    <w:rsid w:val="00EC337D"/>
    <w:rsid w:val="00EC38EF"/>
    <w:rsid w:val="00EC50C9"/>
    <w:rsid w:val="00EC58B4"/>
    <w:rsid w:val="00EC5BB2"/>
    <w:rsid w:val="00ED12F0"/>
    <w:rsid w:val="00ED4773"/>
    <w:rsid w:val="00ED5284"/>
    <w:rsid w:val="00ED664B"/>
    <w:rsid w:val="00ED6A61"/>
    <w:rsid w:val="00ED7DA4"/>
    <w:rsid w:val="00EE03BB"/>
    <w:rsid w:val="00EE0B44"/>
    <w:rsid w:val="00EE6FE0"/>
    <w:rsid w:val="00EE704A"/>
    <w:rsid w:val="00EE716C"/>
    <w:rsid w:val="00EE7806"/>
    <w:rsid w:val="00EE7840"/>
    <w:rsid w:val="00EF4C74"/>
    <w:rsid w:val="00EF5268"/>
    <w:rsid w:val="00EF608E"/>
    <w:rsid w:val="00F0044B"/>
    <w:rsid w:val="00F03525"/>
    <w:rsid w:val="00F04957"/>
    <w:rsid w:val="00F05807"/>
    <w:rsid w:val="00F07052"/>
    <w:rsid w:val="00F0706C"/>
    <w:rsid w:val="00F07F17"/>
    <w:rsid w:val="00F1020B"/>
    <w:rsid w:val="00F11EBE"/>
    <w:rsid w:val="00F12BA8"/>
    <w:rsid w:val="00F130D0"/>
    <w:rsid w:val="00F14933"/>
    <w:rsid w:val="00F1516A"/>
    <w:rsid w:val="00F171F9"/>
    <w:rsid w:val="00F22A26"/>
    <w:rsid w:val="00F23292"/>
    <w:rsid w:val="00F24072"/>
    <w:rsid w:val="00F241FF"/>
    <w:rsid w:val="00F26432"/>
    <w:rsid w:val="00F3197A"/>
    <w:rsid w:val="00F32139"/>
    <w:rsid w:val="00F33D56"/>
    <w:rsid w:val="00F34E08"/>
    <w:rsid w:val="00F41D91"/>
    <w:rsid w:val="00F41F52"/>
    <w:rsid w:val="00F42363"/>
    <w:rsid w:val="00F46964"/>
    <w:rsid w:val="00F46F9A"/>
    <w:rsid w:val="00F470FD"/>
    <w:rsid w:val="00F50F30"/>
    <w:rsid w:val="00F5126A"/>
    <w:rsid w:val="00F5126E"/>
    <w:rsid w:val="00F51755"/>
    <w:rsid w:val="00F56EA1"/>
    <w:rsid w:val="00F6196E"/>
    <w:rsid w:val="00F624DD"/>
    <w:rsid w:val="00F629C0"/>
    <w:rsid w:val="00F63FC7"/>
    <w:rsid w:val="00F65ED5"/>
    <w:rsid w:val="00F6608B"/>
    <w:rsid w:val="00F6636A"/>
    <w:rsid w:val="00F667C5"/>
    <w:rsid w:val="00F67E31"/>
    <w:rsid w:val="00F718A8"/>
    <w:rsid w:val="00F72183"/>
    <w:rsid w:val="00F76D01"/>
    <w:rsid w:val="00F81C35"/>
    <w:rsid w:val="00F82981"/>
    <w:rsid w:val="00F8311F"/>
    <w:rsid w:val="00F83248"/>
    <w:rsid w:val="00F83376"/>
    <w:rsid w:val="00F853AE"/>
    <w:rsid w:val="00F93C74"/>
    <w:rsid w:val="00F93DCC"/>
    <w:rsid w:val="00F9435D"/>
    <w:rsid w:val="00F966F9"/>
    <w:rsid w:val="00F96F61"/>
    <w:rsid w:val="00F97740"/>
    <w:rsid w:val="00FA2DEF"/>
    <w:rsid w:val="00FA2F7B"/>
    <w:rsid w:val="00FA3C97"/>
    <w:rsid w:val="00FA3D30"/>
    <w:rsid w:val="00FA78C8"/>
    <w:rsid w:val="00FB09FE"/>
    <w:rsid w:val="00FB101D"/>
    <w:rsid w:val="00FB1725"/>
    <w:rsid w:val="00FB2493"/>
    <w:rsid w:val="00FB593A"/>
    <w:rsid w:val="00FB6410"/>
    <w:rsid w:val="00FB6E82"/>
    <w:rsid w:val="00FB792E"/>
    <w:rsid w:val="00FC0042"/>
    <w:rsid w:val="00FC1E67"/>
    <w:rsid w:val="00FC2A13"/>
    <w:rsid w:val="00FC4284"/>
    <w:rsid w:val="00FC4576"/>
    <w:rsid w:val="00FC5FF5"/>
    <w:rsid w:val="00FC78FB"/>
    <w:rsid w:val="00FC7DBC"/>
    <w:rsid w:val="00FD076A"/>
    <w:rsid w:val="00FD0AA0"/>
    <w:rsid w:val="00FD1D5A"/>
    <w:rsid w:val="00FD5059"/>
    <w:rsid w:val="00FD554D"/>
    <w:rsid w:val="00FD5BCC"/>
    <w:rsid w:val="00FD6675"/>
    <w:rsid w:val="00FE5D0A"/>
    <w:rsid w:val="00FE6469"/>
    <w:rsid w:val="00FF06CE"/>
    <w:rsid w:val="00FF0FF7"/>
    <w:rsid w:val="00FF10A2"/>
    <w:rsid w:val="00FF1438"/>
    <w:rsid w:val="00FF3A38"/>
    <w:rsid w:val="00FF3C25"/>
    <w:rsid w:val="00FF4E08"/>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3142"/>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paragraph" w:customStyle="1" w:styleId="Default">
    <w:name w:val="Default"/>
    <w:rsid w:val="00E754EF"/>
    <w:pPr>
      <w:autoSpaceDE w:val="0"/>
      <w:autoSpaceDN w:val="0"/>
      <w:adjustRightInd w:val="0"/>
    </w:pPr>
    <w:rPr>
      <w:rFonts w:ascii="Times New Roman" w:hAnsi="Times New Roman"/>
      <w:color w:val="000000"/>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756900366">
      <w:bodyDiv w:val="1"/>
      <w:marLeft w:val="0"/>
      <w:marRight w:val="0"/>
      <w:marTop w:val="0"/>
      <w:marBottom w:val="0"/>
      <w:divBdr>
        <w:top w:val="none" w:sz="0" w:space="0" w:color="auto"/>
        <w:left w:val="none" w:sz="0" w:space="0" w:color="auto"/>
        <w:bottom w:val="none" w:sz="0" w:space="0" w:color="auto"/>
        <w:right w:val="none" w:sz="0" w:space="0" w:color="auto"/>
      </w:divBdr>
    </w:div>
    <w:div w:id="828520215">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61A28-9207-4834-AA48-22C52011B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1784</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2011-06-15T14:06:00Z</cp:lastPrinted>
  <dcterms:created xsi:type="dcterms:W3CDTF">2012-03-06T21:13:00Z</dcterms:created>
  <dcterms:modified xsi:type="dcterms:W3CDTF">2012-03-06T21:13:00Z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