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3347E7">
      <w:pPr>
        <w:tabs>
          <w:tab w:val="left" w:pos="288"/>
          <w:tab w:val="left" w:pos="6120"/>
        </w:tabs>
        <w:spacing w:line="240" w:lineRule="exact"/>
        <w:ind w:right="-1260"/>
        <w:rPr>
          <w:rFonts w:asciiTheme="minorHAnsi" w:hAnsiTheme="minorHAnsi"/>
          <w:caps/>
          <w:color w:val="auto"/>
        </w:rPr>
      </w:pPr>
      <w:r w:rsidRPr="00B20624">
        <w:rPr>
          <w:rFonts w:asciiTheme="minorHAnsi" w:hAnsiTheme="minorHAnsi"/>
          <w:caps/>
          <w:color w:val="auto"/>
        </w:rPr>
        <w:t>NAME:</w:t>
      </w:r>
      <w:r w:rsidR="00B0757B">
        <w:rPr>
          <w:rFonts w:asciiTheme="minorHAnsi" w:hAnsiTheme="minorHAnsi"/>
          <w:caps/>
          <w:color w:val="auto"/>
        </w:rPr>
        <w:t xml:space="preserve"> </w:t>
      </w:r>
      <w:r w:rsidR="00110476">
        <w:rPr>
          <w:rFonts w:asciiTheme="minorHAnsi" w:hAnsiTheme="minorHAnsi"/>
          <w:caps/>
          <w:color w:val="auto"/>
        </w:rPr>
        <w:t xml:space="preserve"> </w:t>
      </w:r>
      <w:r w:rsidR="00C479B2">
        <w:rPr>
          <w:rFonts w:ascii="Calibri" w:hAnsi="Calibri"/>
          <w:color w:val="auto"/>
        </w:rPr>
        <w:t>XXXXXX</w:t>
      </w:r>
      <w:r w:rsidR="003347E7">
        <w:rPr>
          <w:rFonts w:asciiTheme="minorHAnsi" w:hAnsiTheme="minorHAnsi"/>
          <w:caps/>
          <w:color w:val="auto"/>
        </w:rPr>
        <w:tab/>
      </w:r>
      <w:r w:rsidRPr="00B20624">
        <w:rPr>
          <w:rFonts w:asciiTheme="minorHAnsi" w:hAnsiTheme="minorHAnsi"/>
          <w:caps/>
          <w:color w:val="auto"/>
        </w:rPr>
        <w:t xml:space="preserve">BRANCH OF SERVICE: </w:t>
      </w:r>
      <w:r w:rsidR="00B0757B">
        <w:rPr>
          <w:rFonts w:asciiTheme="minorHAnsi" w:hAnsiTheme="minorHAnsi"/>
          <w:caps/>
          <w:color w:val="auto"/>
        </w:rPr>
        <w:t xml:space="preserve"> </w:t>
      </w:r>
      <w:r w:rsidR="00110476">
        <w:rPr>
          <w:rFonts w:asciiTheme="minorHAnsi" w:hAnsiTheme="minorHAnsi"/>
          <w:caps/>
          <w:color w:val="auto"/>
        </w:rPr>
        <w:t>NAVY</w:t>
      </w:r>
    </w:p>
    <w:p w:rsidR="00540BEF" w:rsidRPr="00B20624" w:rsidRDefault="00540BEF" w:rsidP="003347E7">
      <w:pPr>
        <w:tabs>
          <w:tab w:val="left" w:pos="288"/>
          <w:tab w:val="left" w:pos="6120"/>
        </w:tabs>
        <w:spacing w:line="240" w:lineRule="exact"/>
        <w:ind w:right="-900"/>
        <w:rPr>
          <w:rFonts w:asciiTheme="minorHAnsi" w:hAnsiTheme="minorHAnsi"/>
          <w:caps/>
          <w:color w:val="auto"/>
        </w:rPr>
      </w:pPr>
      <w:r w:rsidRPr="00B20624">
        <w:rPr>
          <w:rFonts w:asciiTheme="minorHAnsi" w:hAnsiTheme="minorHAnsi"/>
          <w:caps/>
          <w:color w:val="auto"/>
        </w:rPr>
        <w:t xml:space="preserve">CASE NUMBER:  </w:t>
      </w:r>
      <w:r w:rsidR="00A85C43">
        <w:rPr>
          <w:rFonts w:ascii="Calibri" w:hAnsi="Calibri"/>
          <w:color w:val="auto"/>
        </w:rPr>
        <w:t>PD</w:t>
      </w:r>
      <w:r w:rsidR="00110476">
        <w:rPr>
          <w:rFonts w:ascii="Calibri" w:hAnsi="Calibri"/>
          <w:color w:val="auto"/>
        </w:rPr>
        <w:t>0900702</w:t>
      </w:r>
      <w:r w:rsidR="003347E7">
        <w:rPr>
          <w:rFonts w:asciiTheme="minorHAnsi" w:hAnsiTheme="minorHAnsi"/>
          <w:caps/>
          <w:color w:val="auto"/>
        </w:rPr>
        <w:tab/>
        <w:t>s</w:t>
      </w:r>
      <w:r w:rsidR="00C22F3A" w:rsidRPr="00B20624">
        <w:rPr>
          <w:rFonts w:asciiTheme="minorHAnsi" w:hAnsiTheme="minorHAnsi"/>
          <w:caps/>
          <w:color w:val="auto"/>
        </w:rPr>
        <w:t xml:space="preserve">EPARATION DATE: </w:t>
      </w:r>
      <w:r w:rsidR="00B0757B">
        <w:rPr>
          <w:rFonts w:asciiTheme="minorHAnsi" w:hAnsiTheme="minorHAnsi"/>
          <w:caps/>
          <w:color w:val="auto"/>
        </w:rPr>
        <w:t xml:space="preserve"> </w:t>
      </w:r>
      <w:r w:rsidR="00C22F3A" w:rsidRPr="00B20624">
        <w:rPr>
          <w:rFonts w:asciiTheme="minorHAnsi" w:hAnsiTheme="minorHAnsi"/>
          <w:caps/>
          <w:color w:val="auto"/>
        </w:rPr>
        <w:t>200</w:t>
      </w:r>
      <w:r w:rsidR="00110476">
        <w:rPr>
          <w:rFonts w:asciiTheme="minorHAnsi" w:hAnsiTheme="minorHAnsi"/>
          <w:caps/>
          <w:color w:val="auto"/>
        </w:rPr>
        <w:t>80219</w:t>
      </w:r>
    </w:p>
    <w:p w:rsidR="00540BEF" w:rsidRDefault="00540BEF" w:rsidP="001705D4">
      <w:pPr>
        <w:tabs>
          <w:tab w:val="left" w:pos="288"/>
          <w:tab w:val="left" w:pos="4752"/>
        </w:tabs>
        <w:spacing w:line="240" w:lineRule="exact"/>
        <w:rPr>
          <w:rFonts w:asciiTheme="minorHAnsi" w:hAnsiTheme="minorHAnsi"/>
          <w:caps/>
          <w:color w:val="auto"/>
        </w:rPr>
      </w:pPr>
      <w:r w:rsidRPr="00B20624">
        <w:rPr>
          <w:rFonts w:asciiTheme="minorHAnsi" w:hAnsiTheme="minorHAnsi"/>
          <w:caps/>
          <w:color w:val="auto"/>
        </w:rPr>
        <w:t xml:space="preserve">BOARD DATE: </w:t>
      </w:r>
      <w:r w:rsidR="00B0757B">
        <w:rPr>
          <w:rFonts w:asciiTheme="minorHAnsi" w:hAnsiTheme="minorHAnsi"/>
          <w:caps/>
          <w:color w:val="auto"/>
        </w:rPr>
        <w:t xml:space="preserve"> </w:t>
      </w:r>
      <w:r w:rsidR="000F02BE" w:rsidRPr="00B20624">
        <w:rPr>
          <w:rFonts w:asciiTheme="minorHAnsi" w:hAnsiTheme="minorHAnsi"/>
          <w:caps/>
          <w:color w:val="auto"/>
        </w:rPr>
        <w:t>201</w:t>
      </w:r>
      <w:r w:rsidR="00AA4CB6">
        <w:rPr>
          <w:rFonts w:asciiTheme="minorHAnsi" w:hAnsiTheme="minorHAnsi"/>
          <w:caps/>
          <w:color w:val="auto"/>
        </w:rPr>
        <w:t>1</w:t>
      </w:r>
      <w:r w:rsidR="00FA72DB">
        <w:rPr>
          <w:rFonts w:asciiTheme="minorHAnsi" w:hAnsiTheme="minorHAnsi"/>
          <w:caps/>
          <w:color w:val="auto"/>
        </w:rPr>
        <w:t>0224</w:t>
      </w:r>
      <w:r w:rsidRPr="00B20624">
        <w:rPr>
          <w:rFonts w:asciiTheme="minorHAnsi" w:hAnsiTheme="minorHAnsi"/>
          <w:caps/>
          <w:color w:val="auto"/>
        </w:rPr>
        <w:tab/>
      </w:r>
      <w:r w:rsidRPr="00B20624">
        <w:rPr>
          <w:rFonts w:asciiTheme="minorHAnsi" w:hAnsiTheme="minorHAnsi"/>
          <w:caps/>
          <w:color w:val="auto"/>
        </w:rPr>
        <w:tab/>
      </w:r>
    </w:p>
    <w:p w:rsidR="00540BEF" w:rsidRPr="008B3372" w:rsidRDefault="00540BEF" w:rsidP="00562B64">
      <w:pPr>
        <w:tabs>
          <w:tab w:val="left" w:pos="288"/>
          <w:tab w:val="left" w:pos="4752"/>
        </w:tabs>
        <w:spacing w:line="240" w:lineRule="exact"/>
        <w:rPr>
          <w:rFonts w:asciiTheme="minorHAnsi" w:hAnsiTheme="minorHAnsi"/>
          <w:caps/>
          <w:color w:val="auto"/>
          <w:u w:val="single"/>
        </w:rPr>
      </w:pPr>
      <w:r w:rsidRPr="008B3372">
        <w:rPr>
          <w:rFonts w:asciiTheme="minorHAnsi" w:hAnsiTheme="minorHAnsi"/>
          <w:color w:val="auto"/>
          <w:u w:val="single"/>
        </w:rPr>
        <w:t>__</w:t>
      </w:r>
      <w:r w:rsidR="002E289F" w:rsidRPr="008B3372">
        <w:rPr>
          <w:rFonts w:asciiTheme="minorHAnsi" w:hAnsiTheme="minorHAnsi"/>
          <w:color w:val="auto"/>
          <w:u w:val="single"/>
        </w:rPr>
        <w:t>___</w:t>
      </w:r>
      <w:r w:rsidRPr="008B3372">
        <w:rPr>
          <w:rFonts w:asciiTheme="minorHAnsi" w:hAnsiTheme="minorHAnsi"/>
          <w:color w:val="auto"/>
          <w:u w:val="single"/>
        </w:rPr>
        <w:t>______________________________________________________________</w:t>
      </w:r>
      <w:r w:rsidR="00AC713F" w:rsidRPr="008B3372">
        <w:rPr>
          <w:rFonts w:asciiTheme="minorHAnsi" w:hAnsiTheme="minorHAnsi"/>
          <w:color w:val="auto"/>
          <w:u w:val="single"/>
        </w:rPr>
        <w:t>___________</w:t>
      </w:r>
    </w:p>
    <w:p w:rsidR="00B522CD" w:rsidRPr="008B3372" w:rsidRDefault="00B522CD" w:rsidP="00AF1668">
      <w:pPr>
        <w:tabs>
          <w:tab w:val="left" w:pos="288"/>
          <w:tab w:val="left" w:pos="4752"/>
        </w:tabs>
        <w:spacing w:line="240" w:lineRule="exact"/>
        <w:rPr>
          <w:color w:val="auto"/>
        </w:rPr>
      </w:pPr>
    </w:p>
    <w:p w:rsidR="00FF48D1" w:rsidRPr="00AE3316" w:rsidRDefault="005052D4" w:rsidP="00562B64">
      <w:pPr>
        <w:tabs>
          <w:tab w:val="left" w:pos="288"/>
          <w:tab w:val="left" w:pos="4752"/>
        </w:tabs>
        <w:spacing w:line="240" w:lineRule="exact"/>
        <w:jc w:val="both"/>
        <w:rPr>
          <w:rFonts w:ascii="Calibri" w:hAnsi="Calibri"/>
          <w:color w:val="auto"/>
          <w:szCs w:val="24"/>
        </w:rPr>
      </w:pPr>
      <w:r w:rsidRPr="008B3372">
        <w:rPr>
          <w:rFonts w:ascii="Calibri" w:hAnsi="Calibri"/>
          <w:color w:val="auto"/>
          <w:u w:val="single"/>
        </w:rPr>
        <w:t>SUMMARY</w:t>
      </w:r>
      <w:r w:rsidRPr="00542C9A">
        <w:rPr>
          <w:rFonts w:ascii="Calibri" w:hAnsi="Calibri"/>
          <w:color w:val="auto"/>
          <w:u w:val="single"/>
        </w:rPr>
        <w:t xml:space="preserve"> OF CASE</w:t>
      </w:r>
      <w:r w:rsidRPr="00542C9A">
        <w:rPr>
          <w:rFonts w:ascii="Calibri" w:hAnsi="Calibri"/>
          <w:color w:val="auto"/>
        </w:rPr>
        <w:t xml:space="preserve">:  </w:t>
      </w:r>
      <w:r w:rsidR="00110476">
        <w:rPr>
          <w:rFonts w:ascii="Calibri" w:hAnsi="Calibri"/>
          <w:color w:val="auto"/>
        </w:rPr>
        <w:t xml:space="preserve">Data extracted from the available evidence of record reflects that this </w:t>
      </w:r>
      <w:r w:rsidR="00E042E9">
        <w:rPr>
          <w:rFonts w:ascii="Calibri" w:hAnsi="Calibri"/>
          <w:color w:val="auto"/>
          <w:szCs w:val="24"/>
        </w:rPr>
        <w:t xml:space="preserve">covered individual (CI) was an </w:t>
      </w:r>
      <w:r w:rsidR="00110476">
        <w:rPr>
          <w:rFonts w:ascii="Calibri" w:hAnsi="Calibri"/>
          <w:color w:val="auto"/>
          <w:szCs w:val="24"/>
        </w:rPr>
        <w:t>active duty MA2</w:t>
      </w:r>
      <w:r w:rsidR="00E042E9" w:rsidRPr="006530EF">
        <w:rPr>
          <w:rFonts w:ascii="Calibri" w:hAnsi="Calibri"/>
          <w:color w:val="auto"/>
          <w:szCs w:val="24"/>
        </w:rPr>
        <w:t xml:space="preserve"> </w:t>
      </w:r>
      <w:r w:rsidR="00110476">
        <w:rPr>
          <w:rFonts w:ascii="Calibri" w:hAnsi="Calibri"/>
          <w:color w:val="auto"/>
          <w:szCs w:val="24"/>
        </w:rPr>
        <w:t>(</w:t>
      </w:r>
      <w:r w:rsidR="00E042E9">
        <w:rPr>
          <w:rFonts w:ascii="Calibri" w:hAnsi="Calibri"/>
          <w:color w:val="auto"/>
          <w:szCs w:val="24"/>
        </w:rPr>
        <w:t>MWD Handler</w:t>
      </w:r>
      <w:r w:rsidR="00110476">
        <w:rPr>
          <w:rFonts w:ascii="Calibri" w:hAnsi="Calibri"/>
          <w:color w:val="auto"/>
          <w:szCs w:val="24"/>
        </w:rPr>
        <w:t>)</w:t>
      </w:r>
      <w:r w:rsidR="00E042E9" w:rsidRPr="006530EF">
        <w:rPr>
          <w:rFonts w:ascii="Calibri" w:hAnsi="Calibri"/>
          <w:color w:val="auto"/>
          <w:szCs w:val="24"/>
        </w:rPr>
        <w:t xml:space="preserve"> </w:t>
      </w:r>
      <w:r w:rsidR="00E042E9">
        <w:rPr>
          <w:rFonts w:ascii="Calibri" w:hAnsi="Calibri"/>
          <w:color w:val="auto"/>
          <w:szCs w:val="24"/>
        </w:rPr>
        <w:t>medically separated from the Navy</w:t>
      </w:r>
      <w:r w:rsidR="00E042E9" w:rsidRPr="006530EF">
        <w:rPr>
          <w:rFonts w:ascii="Calibri" w:hAnsi="Calibri"/>
          <w:color w:val="auto"/>
          <w:szCs w:val="24"/>
        </w:rPr>
        <w:t xml:space="preserve"> in 200</w:t>
      </w:r>
      <w:r w:rsidR="00E042E9">
        <w:rPr>
          <w:rFonts w:ascii="Calibri" w:hAnsi="Calibri"/>
          <w:color w:val="auto"/>
          <w:szCs w:val="24"/>
        </w:rPr>
        <w:t>8</w:t>
      </w:r>
      <w:r w:rsidR="00E042E9" w:rsidRPr="006530EF">
        <w:rPr>
          <w:rFonts w:ascii="Calibri" w:hAnsi="Calibri"/>
          <w:color w:val="auto"/>
          <w:szCs w:val="24"/>
        </w:rPr>
        <w:t xml:space="preserve"> after </w:t>
      </w:r>
      <w:r w:rsidR="00E042E9" w:rsidRPr="00FA72DB">
        <w:rPr>
          <w:rFonts w:ascii="Calibri" w:hAnsi="Calibri"/>
          <w:color w:val="auto"/>
          <w:szCs w:val="24"/>
        </w:rPr>
        <w:t>approximately 5 years of service.  The medical basis for the separation was</w:t>
      </w:r>
      <w:r w:rsidR="00C02922" w:rsidRPr="00FA72DB">
        <w:rPr>
          <w:rFonts w:ascii="Calibri" w:hAnsi="Calibri"/>
          <w:color w:val="auto"/>
          <w:szCs w:val="24"/>
        </w:rPr>
        <w:t xml:space="preserve"> chronic pain s</w:t>
      </w:r>
      <w:r w:rsidR="00D10506" w:rsidRPr="00FA72DB">
        <w:rPr>
          <w:rFonts w:ascii="Calibri" w:hAnsi="Calibri"/>
          <w:color w:val="auto"/>
          <w:szCs w:val="24"/>
        </w:rPr>
        <w:t>yndrome</w:t>
      </w:r>
      <w:r w:rsidR="00E042E9" w:rsidRPr="00FA72DB">
        <w:rPr>
          <w:rFonts w:ascii="Calibri" w:hAnsi="Calibri"/>
          <w:color w:val="auto"/>
          <w:szCs w:val="24"/>
        </w:rPr>
        <w:t xml:space="preserve">. </w:t>
      </w:r>
      <w:r w:rsidR="00ED7D70" w:rsidRPr="00FA72DB">
        <w:rPr>
          <w:rFonts w:ascii="Calibri" w:hAnsi="Calibri"/>
          <w:color w:val="auto"/>
          <w:szCs w:val="24"/>
        </w:rPr>
        <w:t xml:space="preserve"> </w:t>
      </w:r>
      <w:r w:rsidR="00D10506" w:rsidRPr="00FA72DB">
        <w:rPr>
          <w:rFonts w:ascii="Calibri" w:hAnsi="Calibri"/>
          <w:color w:val="auto"/>
          <w:szCs w:val="24"/>
        </w:rPr>
        <w:t xml:space="preserve">The condition began </w:t>
      </w:r>
      <w:r w:rsidR="005C4A11" w:rsidRPr="00FA72DB">
        <w:rPr>
          <w:rFonts w:ascii="Calibri" w:hAnsi="Calibri"/>
          <w:color w:val="auto"/>
          <w:szCs w:val="24"/>
        </w:rPr>
        <w:t xml:space="preserve">sometime after </w:t>
      </w:r>
      <w:r w:rsidR="00D10506" w:rsidRPr="00FA72DB">
        <w:rPr>
          <w:rFonts w:ascii="Calibri" w:hAnsi="Calibri"/>
          <w:color w:val="auto"/>
          <w:szCs w:val="24"/>
        </w:rPr>
        <w:t xml:space="preserve">a </w:t>
      </w:r>
      <w:proofErr w:type="spellStart"/>
      <w:r w:rsidR="00D10506" w:rsidRPr="00FA72DB">
        <w:rPr>
          <w:rFonts w:ascii="Calibri" w:hAnsi="Calibri"/>
          <w:color w:val="auto"/>
          <w:szCs w:val="24"/>
        </w:rPr>
        <w:t>Humvee</w:t>
      </w:r>
      <w:proofErr w:type="spellEnd"/>
      <w:r w:rsidR="00D10506" w:rsidRPr="00FA72DB">
        <w:rPr>
          <w:rFonts w:ascii="Calibri" w:hAnsi="Calibri"/>
          <w:color w:val="auto"/>
          <w:szCs w:val="24"/>
        </w:rPr>
        <w:t xml:space="preserve"> rollover incident in Iraq</w:t>
      </w:r>
      <w:r w:rsidR="007A5620" w:rsidRPr="00FA72DB">
        <w:rPr>
          <w:rFonts w:ascii="Calibri" w:hAnsi="Calibri"/>
          <w:color w:val="auto"/>
          <w:szCs w:val="24"/>
        </w:rPr>
        <w:t xml:space="preserve"> in 2005</w:t>
      </w:r>
      <w:r w:rsidR="00D10506" w:rsidRPr="00FA72DB">
        <w:rPr>
          <w:rFonts w:ascii="Calibri" w:hAnsi="Calibri"/>
          <w:color w:val="auto"/>
          <w:szCs w:val="24"/>
        </w:rPr>
        <w:t xml:space="preserve">.  </w:t>
      </w:r>
      <w:r w:rsidR="00E042E9" w:rsidRPr="00FA72DB">
        <w:rPr>
          <w:rFonts w:ascii="Calibri" w:hAnsi="Calibri"/>
          <w:color w:val="auto"/>
          <w:szCs w:val="24"/>
        </w:rPr>
        <w:t xml:space="preserve">Despite multiple treatment modalities, his symptoms </w:t>
      </w:r>
      <w:r w:rsidR="00D10506" w:rsidRPr="00FA72DB">
        <w:rPr>
          <w:rFonts w:ascii="Calibri" w:hAnsi="Calibri"/>
          <w:color w:val="auto"/>
          <w:szCs w:val="24"/>
        </w:rPr>
        <w:t>did not improve.  He</w:t>
      </w:r>
      <w:r w:rsidR="00E042E9" w:rsidRPr="00FA72DB">
        <w:rPr>
          <w:rFonts w:ascii="Calibri" w:hAnsi="Calibri"/>
          <w:color w:val="auto"/>
          <w:szCs w:val="24"/>
        </w:rPr>
        <w:t xml:space="preserve"> remained unable to perform </w:t>
      </w:r>
      <w:r w:rsidR="002E47B3" w:rsidRPr="00FA72DB">
        <w:rPr>
          <w:rFonts w:asciiTheme="minorHAnsi" w:hAnsiTheme="minorHAnsi"/>
          <w:color w:val="auto"/>
          <w:szCs w:val="24"/>
        </w:rPr>
        <w:t>within his military occupational specialty</w:t>
      </w:r>
      <w:r w:rsidR="002E47B3" w:rsidRPr="00FA72DB">
        <w:rPr>
          <w:rFonts w:ascii="Calibri" w:hAnsi="Calibri"/>
          <w:color w:val="auto"/>
          <w:szCs w:val="24"/>
        </w:rPr>
        <w:t xml:space="preserve">, was </w:t>
      </w:r>
      <w:r w:rsidR="00B93891" w:rsidRPr="00FA72DB">
        <w:rPr>
          <w:rFonts w:ascii="Calibri" w:hAnsi="Calibri"/>
          <w:color w:val="auto"/>
          <w:szCs w:val="24"/>
        </w:rPr>
        <w:t>placed on limited duty (LIMDU)</w:t>
      </w:r>
      <w:r w:rsidR="002E47B3" w:rsidRPr="00FA72DB">
        <w:rPr>
          <w:rFonts w:ascii="Calibri" w:hAnsi="Calibri"/>
          <w:color w:val="auto"/>
          <w:szCs w:val="24"/>
        </w:rPr>
        <w:t>, and underwent a Medical Evaluation Board (MEB)</w:t>
      </w:r>
      <w:r w:rsidR="00E042E9" w:rsidRPr="00FA72DB">
        <w:rPr>
          <w:rFonts w:ascii="Calibri" w:hAnsi="Calibri"/>
          <w:color w:val="auto"/>
          <w:szCs w:val="24"/>
        </w:rPr>
        <w:t xml:space="preserve">. </w:t>
      </w:r>
      <w:r w:rsidR="00F04AEE" w:rsidRPr="00FA72DB">
        <w:rPr>
          <w:rFonts w:ascii="Calibri" w:hAnsi="Calibri"/>
          <w:color w:val="auto"/>
          <w:szCs w:val="24"/>
        </w:rPr>
        <w:t xml:space="preserve"> Neck pain and low back pain were</w:t>
      </w:r>
      <w:r w:rsidR="00E042E9" w:rsidRPr="00FA72DB">
        <w:rPr>
          <w:rFonts w:ascii="Calibri" w:hAnsi="Calibri"/>
          <w:color w:val="auto"/>
          <w:szCs w:val="24"/>
        </w:rPr>
        <w:t xml:space="preserve"> referred to the Physical Evaluation Board (PEB)</w:t>
      </w:r>
      <w:r w:rsidR="00F04AEE" w:rsidRPr="00FA72DB">
        <w:rPr>
          <w:rFonts w:ascii="Calibri" w:hAnsi="Calibri"/>
          <w:color w:val="auto"/>
          <w:szCs w:val="24"/>
        </w:rPr>
        <w:t xml:space="preserve"> as medically unacceptable</w:t>
      </w:r>
      <w:r w:rsidR="00B93891" w:rsidRPr="00FA72DB">
        <w:rPr>
          <w:rFonts w:ascii="Calibri" w:hAnsi="Calibri"/>
          <w:color w:val="auto"/>
          <w:szCs w:val="24"/>
        </w:rPr>
        <w:t>.</w:t>
      </w:r>
      <w:r w:rsidRPr="00FA72DB">
        <w:rPr>
          <w:rFonts w:ascii="Calibri" w:hAnsi="Calibri"/>
          <w:color w:val="auto"/>
          <w:szCs w:val="24"/>
        </w:rPr>
        <w:t xml:space="preserve"> </w:t>
      </w:r>
      <w:r w:rsidR="00FF48D1" w:rsidRPr="00FA72DB">
        <w:rPr>
          <w:rFonts w:ascii="Calibri" w:hAnsi="Calibri"/>
          <w:color w:val="auto"/>
          <w:szCs w:val="24"/>
        </w:rPr>
        <w:t xml:space="preserve"> </w:t>
      </w:r>
      <w:r w:rsidR="00FF48D1" w:rsidRPr="00FA72DB">
        <w:rPr>
          <w:rFonts w:asciiTheme="minorHAnsi" w:hAnsiTheme="minorHAnsi"/>
          <w:color w:val="auto"/>
          <w:szCs w:val="24"/>
        </w:rPr>
        <w:t xml:space="preserve">No other conditions were addressed in the narrative summary (NARSUM) or forwarded to the PEB on the NAVMED Form 6100/1.  </w:t>
      </w:r>
      <w:r w:rsidR="00FF48D1" w:rsidRPr="00FA72DB">
        <w:rPr>
          <w:rFonts w:ascii="Calibri" w:hAnsi="Calibri"/>
          <w:color w:val="auto"/>
          <w:szCs w:val="24"/>
        </w:rPr>
        <w:t xml:space="preserve">Other conditions included in the NARSUM and </w:t>
      </w:r>
      <w:r w:rsidR="003347E7">
        <w:rPr>
          <w:rFonts w:ascii="Calibri" w:hAnsi="Calibri"/>
          <w:color w:val="auto"/>
          <w:szCs w:val="24"/>
        </w:rPr>
        <w:t>Disability Evaluation System (</w:t>
      </w:r>
      <w:r w:rsidR="00FF48D1" w:rsidRPr="00FA72DB">
        <w:rPr>
          <w:rFonts w:ascii="Calibri" w:hAnsi="Calibri"/>
          <w:color w:val="auto"/>
          <w:szCs w:val="24"/>
        </w:rPr>
        <w:t>DES</w:t>
      </w:r>
      <w:r w:rsidR="003347E7">
        <w:rPr>
          <w:rFonts w:ascii="Calibri" w:hAnsi="Calibri"/>
          <w:color w:val="auto"/>
          <w:szCs w:val="24"/>
        </w:rPr>
        <w:t>)</w:t>
      </w:r>
      <w:r w:rsidR="00FF48D1" w:rsidRPr="00FA72DB">
        <w:rPr>
          <w:rFonts w:ascii="Calibri" w:hAnsi="Calibri"/>
          <w:color w:val="auto"/>
          <w:szCs w:val="24"/>
        </w:rPr>
        <w:t xml:space="preserve"> file will be discussed below.  An informal PEB adjudicated the chronic pain condition as unfitting </w:t>
      </w:r>
      <w:r w:rsidR="005E5A94" w:rsidRPr="00FA72DB">
        <w:rPr>
          <w:rFonts w:ascii="Calibri" w:hAnsi="Calibri"/>
          <w:color w:val="auto"/>
          <w:szCs w:val="24"/>
        </w:rPr>
        <w:t xml:space="preserve">rated at 10% </w:t>
      </w:r>
      <w:r w:rsidR="00FF48D1" w:rsidRPr="00FA72DB">
        <w:rPr>
          <w:rFonts w:ascii="Calibri" w:hAnsi="Calibri"/>
          <w:color w:val="auto"/>
          <w:szCs w:val="24"/>
        </w:rPr>
        <w:t xml:space="preserve">with application of the Veterans Affairs Schedule for Ratings Disabilities (VASRD) and </w:t>
      </w:r>
      <w:r w:rsidR="00642DBE" w:rsidRPr="00FA72DB">
        <w:rPr>
          <w:rFonts w:ascii="Calibri" w:hAnsi="Calibri"/>
          <w:color w:val="auto"/>
          <w:szCs w:val="24"/>
        </w:rPr>
        <w:t>SECNAVINS</w:t>
      </w:r>
      <w:r w:rsidR="006D4FF1">
        <w:rPr>
          <w:rFonts w:ascii="Calibri" w:hAnsi="Calibri"/>
          <w:color w:val="auto"/>
          <w:szCs w:val="24"/>
        </w:rPr>
        <w:t>T</w:t>
      </w:r>
      <w:r w:rsidR="00642DBE" w:rsidRPr="00FA72DB">
        <w:rPr>
          <w:rFonts w:ascii="Calibri" w:hAnsi="Calibri"/>
          <w:color w:val="auto"/>
          <w:szCs w:val="24"/>
        </w:rPr>
        <w:t xml:space="preserve"> 1850.4E</w:t>
      </w:r>
      <w:r w:rsidR="00FF48D1" w:rsidRPr="00FA72DB">
        <w:rPr>
          <w:rFonts w:ascii="Calibri" w:hAnsi="Calibri"/>
          <w:color w:val="auto"/>
          <w:szCs w:val="24"/>
        </w:rPr>
        <w:t xml:space="preserve">.  </w:t>
      </w:r>
      <w:r w:rsidR="00FF48D1" w:rsidRPr="00FA72DB">
        <w:rPr>
          <w:rFonts w:asciiTheme="minorHAnsi" w:hAnsiTheme="minorHAnsi"/>
          <w:color w:val="auto"/>
        </w:rPr>
        <w:t>T</w:t>
      </w:r>
      <w:r w:rsidR="00FF48D1" w:rsidRPr="00861D5C">
        <w:rPr>
          <w:rFonts w:asciiTheme="minorHAnsi" w:hAnsiTheme="minorHAnsi"/>
          <w:color w:val="auto"/>
        </w:rPr>
        <w:t xml:space="preserve">he CI </w:t>
      </w:r>
      <w:r w:rsidR="00FF48D1" w:rsidRPr="00ED7D70">
        <w:rPr>
          <w:rFonts w:asciiTheme="minorHAnsi" w:hAnsiTheme="minorHAnsi"/>
          <w:color w:val="auto"/>
        </w:rPr>
        <w:t>made no appeals, and was</w:t>
      </w:r>
      <w:r w:rsidR="00FF48D1" w:rsidRPr="00861D5C">
        <w:rPr>
          <w:rFonts w:asciiTheme="minorHAnsi" w:hAnsiTheme="minorHAnsi"/>
          <w:color w:val="auto"/>
        </w:rPr>
        <w:t xml:space="preserve"> th</w:t>
      </w:r>
      <w:r w:rsidR="00FF48D1">
        <w:rPr>
          <w:rFonts w:asciiTheme="minorHAnsi" w:hAnsiTheme="minorHAnsi"/>
          <w:color w:val="auto"/>
        </w:rPr>
        <w:t>us medically separated with a 10</w:t>
      </w:r>
      <w:r w:rsidR="00FF48D1" w:rsidRPr="00861D5C">
        <w:rPr>
          <w:rFonts w:asciiTheme="minorHAnsi" w:hAnsiTheme="minorHAnsi"/>
          <w:color w:val="auto"/>
        </w:rPr>
        <w:t xml:space="preserve">% disability rating.  </w:t>
      </w:r>
    </w:p>
    <w:p w:rsidR="005052D4" w:rsidRDefault="005052D4" w:rsidP="005052D4">
      <w:pPr>
        <w:pBdr>
          <w:bottom w:val="single" w:sz="12" w:space="1" w:color="auto"/>
        </w:pBdr>
        <w:tabs>
          <w:tab w:val="left" w:pos="288"/>
          <w:tab w:val="left" w:pos="4752"/>
        </w:tabs>
        <w:spacing w:line="240" w:lineRule="exact"/>
        <w:jc w:val="both"/>
        <w:rPr>
          <w:rFonts w:asciiTheme="minorHAnsi" w:hAnsiTheme="minorHAnsi"/>
          <w:color w:val="auto"/>
          <w:szCs w:val="24"/>
        </w:rPr>
      </w:pPr>
    </w:p>
    <w:p w:rsidR="0085089F" w:rsidRPr="00AC713F" w:rsidRDefault="0085089F" w:rsidP="00190E48">
      <w:pPr>
        <w:tabs>
          <w:tab w:val="left" w:pos="288"/>
          <w:tab w:val="left" w:pos="4752"/>
        </w:tabs>
        <w:spacing w:line="240" w:lineRule="exact"/>
        <w:jc w:val="both"/>
        <w:rPr>
          <w:rFonts w:asciiTheme="minorHAnsi" w:hAnsiTheme="minorHAnsi"/>
          <w:color w:val="auto"/>
          <w:u w:val="single"/>
        </w:rPr>
      </w:pPr>
    </w:p>
    <w:p w:rsidR="005052D4" w:rsidRPr="005052D4" w:rsidRDefault="002C6E5B" w:rsidP="001705D4">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00BC3AF1" w:rsidRPr="007D4CB3">
        <w:rPr>
          <w:rFonts w:ascii="Calibri" w:hAnsi="Calibri"/>
          <w:color w:val="auto"/>
          <w:szCs w:val="24"/>
        </w:rPr>
        <w:t>The CI states: “</w:t>
      </w:r>
      <w:r w:rsidR="00BC3AF1" w:rsidRPr="007F73FE">
        <w:rPr>
          <w:rFonts w:ascii="Calibri" w:hAnsi="Calibri"/>
          <w:color w:val="auto"/>
          <w:szCs w:val="24"/>
        </w:rPr>
        <w:t>10% evaluation was assigned for Chronic Pain Syndrome by the Department of the Navy</w:t>
      </w:r>
      <w:r w:rsidR="00BC3AF1">
        <w:rPr>
          <w:rFonts w:ascii="Calibri" w:hAnsi="Calibri"/>
          <w:color w:val="auto"/>
          <w:szCs w:val="24"/>
        </w:rPr>
        <w:t>. VA Rating decision dated 6/17/</w:t>
      </w:r>
      <w:r w:rsidR="00BC3AF1" w:rsidRPr="007F73FE">
        <w:rPr>
          <w:rFonts w:ascii="Calibri" w:hAnsi="Calibri"/>
          <w:color w:val="auto"/>
          <w:szCs w:val="24"/>
        </w:rPr>
        <w:t>2008 assigned a 40%</w:t>
      </w:r>
      <w:r w:rsidR="00BC3AF1">
        <w:rPr>
          <w:rFonts w:ascii="Calibri" w:hAnsi="Calibri"/>
          <w:color w:val="auto"/>
          <w:szCs w:val="24"/>
        </w:rPr>
        <w:t xml:space="preserve"> </w:t>
      </w:r>
      <w:r w:rsidR="00BC3AF1" w:rsidRPr="007F73FE">
        <w:rPr>
          <w:rFonts w:ascii="Calibri" w:hAnsi="Calibri"/>
          <w:color w:val="auto"/>
          <w:szCs w:val="24"/>
        </w:rPr>
        <w:t xml:space="preserve">evaluation </w:t>
      </w:r>
      <w:r w:rsidR="00705A3B">
        <w:rPr>
          <w:rFonts w:ascii="Calibri" w:hAnsi="Calibri"/>
          <w:color w:val="auto"/>
          <w:szCs w:val="24"/>
        </w:rPr>
        <w:t xml:space="preserve">[Sic – </w:t>
      </w:r>
      <w:r w:rsidR="00D241B1" w:rsidRPr="00705A3B">
        <w:rPr>
          <w:rFonts w:ascii="Calibri" w:hAnsi="Calibri"/>
          <w:i/>
          <w:color w:val="auto"/>
          <w:szCs w:val="24"/>
        </w:rPr>
        <w:t>for</w:t>
      </w:r>
      <w:r w:rsidR="00705A3B">
        <w:rPr>
          <w:rFonts w:ascii="Calibri" w:hAnsi="Calibri"/>
          <w:color w:val="auto"/>
          <w:szCs w:val="24"/>
        </w:rPr>
        <w:t>]</w:t>
      </w:r>
      <w:r w:rsidR="00D241B1">
        <w:rPr>
          <w:rFonts w:ascii="Calibri" w:hAnsi="Calibri"/>
          <w:color w:val="auto"/>
          <w:szCs w:val="24"/>
        </w:rPr>
        <w:t xml:space="preserve"> </w:t>
      </w:r>
      <w:r w:rsidR="00BC3AF1" w:rsidRPr="007F73FE">
        <w:rPr>
          <w:rFonts w:ascii="Calibri" w:hAnsi="Calibri"/>
          <w:color w:val="auto"/>
          <w:szCs w:val="24"/>
        </w:rPr>
        <w:t>Myofascial Pain Syndrome.</w:t>
      </w:r>
      <w:r w:rsidR="00BC3AF1">
        <w:rPr>
          <w:rFonts w:ascii="Calibri" w:hAnsi="Calibri"/>
          <w:color w:val="auto"/>
          <w:szCs w:val="24"/>
        </w:rPr>
        <w:t xml:space="preserve">”  </w:t>
      </w:r>
      <w:r w:rsidR="006573F2" w:rsidRPr="00341D35">
        <w:rPr>
          <w:rFonts w:ascii="Calibri" w:hAnsi="Calibri"/>
          <w:color w:val="auto"/>
          <w:szCs w:val="24"/>
        </w:rPr>
        <w:t>He</w:t>
      </w:r>
      <w:r w:rsidR="006573F2" w:rsidRPr="006573F2">
        <w:rPr>
          <w:rFonts w:ascii="Calibri" w:hAnsi="Calibri"/>
          <w:color w:val="auto"/>
          <w:szCs w:val="24"/>
        </w:rPr>
        <w:t xml:space="preserve"> additionally lists all of </w:t>
      </w:r>
      <w:r w:rsidR="006573F2" w:rsidRPr="00341D35">
        <w:rPr>
          <w:rFonts w:ascii="Calibri" w:hAnsi="Calibri"/>
          <w:color w:val="auto"/>
          <w:szCs w:val="24"/>
        </w:rPr>
        <w:t>his</w:t>
      </w:r>
      <w:r w:rsidR="006573F2" w:rsidRPr="006573F2">
        <w:rPr>
          <w:rFonts w:ascii="Calibri" w:hAnsi="Calibri"/>
          <w:color w:val="auto"/>
          <w:szCs w:val="24"/>
        </w:rPr>
        <w:t xml:space="preserve"> VA conditions and ratings as per the rating chart below.  </w:t>
      </w:r>
      <w:r w:rsidR="00841243" w:rsidRPr="006573F2">
        <w:rPr>
          <w:rFonts w:ascii="Calibri" w:hAnsi="Calibri"/>
          <w:color w:val="auto"/>
          <w:szCs w:val="24"/>
        </w:rPr>
        <w:t xml:space="preserve">A contention for their </w:t>
      </w:r>
      <w:r w:rsidR="00841243">
        <w:rPr>
          <w:rFonts w:ascii="Calibri" w:hAnsi="Calibri"/>
          <w:color w:val="auto"/>
          <w:szCs w:val="24"/>
        </w:rPr>
        <w:t>inclusion in</w:t>
      </w:r>
      <w:r w:rsidR="00841243" w:rsidRPr="006573F2">
        <w:rPr>
          <w:rFonts w:ascii="Calibri" w:hAnsi="Calibri"/>
          <w:color w:val="auto"/>
          <w:szCs w:val="24"/>
        </w:rPr>
        <w:t xml:space="preserve"> </w:t>
      </w:r>
      <w:r w:rsidR="00841243">
        <w:rPr>
          <w:rFonts w:ascii="Calibri" w:hAnsi="Calibri"/>
          <w:color w:val="auto"/>
          <w:szCs w:val="24"/>
        </w:rPr>
        <w:t xml:space="preserve">the </w:t>
      </w:r>
      <w:r w:rsidR="00841243" w:rsidRPr="006573F2">
        <w:rPr>
          <w:rFonts w:ascii="Calibri" w:hAnsi="Calibri"/>
          <w:color w:val="auto"/>
          <w:szCs w:val="24"/>
        </w:rPr>
        <w:t xml:space="preserve">separation rating is therefore implied.  </w:t>
      </w:r>
    </w:p>
    <w:p w:rsidR="002E289F" w:rsidRPr="002E289F" w:rsidRDefault="00ED7D70" w:rsidP="002E289F">
      <w:pPr>
        <w:tabs>
          <w:tab w:val="left" w:pos="288"/>
          <w:tab w:val="left" w:pos="4752"/>
        </w:tabs>
        <w:spacing w:line="240" w:lineRule="exact"/>
        <w:jc w:val="both"/>
        <w:rPr>
          <w:rFonts w:asciiTheme="minorHAnsi" w:hAnsiTheme="minorHAnsi"/>
          <w:caps/>
          <w:color w:val="auto"/>
          <w:u w:val="single"/>
        </w:rPr>
      </w:pPr>
      <w:r>
        <w:rPr>
          <w:rFonts w:asciiTheme="minorHAnsi" w:hAnsiTheme="minorHAnsi"/>
          <w:color w:val="auto"/>
          <w:u w:val="single"/>
        </w:rPr>
        <w:t>__</w:t>
      </w:r>
      <w:r w:rsidR="002E289F" w:rsidRPr="002E289F">
        <w:rPr>
          <w:rFonts w:asciiTheme="minorHAnsi" w:hAnsiTheme="minorHAnsi"/>
          <w:color w:val="auto"/>
          <w:u w:val="single"/>
        </w:rPr>
        <w:t>____________________________________________________________________________</w:t>
      </w:r>
    </w:p>
    <w:p w:rsidR="006544AF" w:rsidRDefault="006544AF"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F82981" w:rsidRDefault="00F82981" w:rsidP="00190E48">
      <w:pPr>
        <w:tabs>
          <w:tab w:val="left" w:pos="288"/>
          <w:tab w:val="left" w:pos="4752"/>
        </w:tabs>
        <w:spacing w:line="240" w:lineRule="exact"/>
        <w:jc w:val="both"/>
        <w:rPr>
          <w:color w:val="000080"/>
        </w:rPr>
      </w:pPr>
    </w:p>
    <w:tbl>
      <w:tblPr>
        <w:tblStyle w:val="TableGrid"/>
        <w:tblW w:w="9270" w:type="dxa"/>
        <w:jc w:val="center"/>
        <w:tblLayout w:type="fixed"/>
        <w:tblLook w:val="04A0"/>
      </w:tblPr>
      <w:tblGrid>
        <w:gridCol w:w="236"/>
        <w:gridCol w:w="2277"/>
        <w:gridCol w:w="718"/>
        <w:gridCol w:w="816"/>
        <w:gridCol w:w="2388"/>
        <w:gridCol w:w="360"/>
        <w:gridCol w:w="674"/>
        <w:gridCol w:w="811"/>
        <w:gridCol w:w="990"/>
      </w:tblGrid>
      <w:tr w:rsidR="00684E2B" w:rsidRPr="002A685E" w:rsidTr="00B93891">
        <w:trPr>
          <w:trHeight w:val="233"/>
          <w:jc w:val="center"/>
        </w:trPr>
        <w:tc>
          <w:tcPr>
            <w:tcW w:w="4047" w:type="dxa"/>
            <w:gridSpan w:val="4"/>
            <w:tcBorders>
              <w:right w:val="thinThickThinSmallGap" w:sz="24" w:space="0" w:color="auto"/>
            </w:tcBorders>
            <w:shd w:val="clear" w:color="auto" w:fill="D9D9D9" w:themeFill="background1" w:themeFillShade="D9"/>
          </w:tcPr>
          <w:p w:rsidR="00684E2B" w:rsidRPr="00FA72DB" w:rsidRDefault="00684E2B" w:rsidP="00C02922">
            <w:pPr>
              <w:pStyle w:val="ListParagraph"/>
              <w:spacing w:after="0" w:line="240" w:lineRule="exact"/>
              <w:ind w:left="0"/>
              <w:jc w:val="center"/>
              <w:rPr>
                <w:rFonts w:cs="Times New Roman"/>
                <w:b/>
                <w:sz w:val="20"/>
                <w:szCs w:val="20"/>
              </w:rPr>
            </w:pPr>
            <w:r w:rsidRPr="00FA72DB">
              <w:rPr>
                <w:rFonts w:cs="Times New Roman"/>
                <w:b/>
                <w:sz w:val="20"/>
                <w:szCs w:val="20"/>
              </w:rPr>
              <w:t xml:space="preserve">Service </w:t>
            </w:r>
            <w:r w:rsidR="00C02922" w:rsidRPr="00FA72DB">
              <w:rPr>
                <w:rFonts w:cs="Times New Roman"/>
                <w:b/>
                <w:sz w:val="20"/>
                <w:szCs w:val="20"/>
              </w:rPr>
              <w:t>I</w:t>
            </w:r>
            <w:r w:rsidRPr="00FA72DB">
              <w:rPr>
                <w:rFonts w:cs="Times New Roman"/>
                <w:b/>
                <w:sz w:val="20"/>
                <w:szCs w:val="20"/>
              </w:rPr>
              <w:t>PEB</w:t>
            </w:r>
            <w:r w:rsidR="002B2645" w:rsidRPr="00FA72DB">
              <w:rPr>
                <w:rFonts w:cs="Times New Roman"/>
                <w:b/>
                <w:sz w:val="20"/>
                <w:szCs w:val="20"/>
              </w:rPr>
              <w:t xml:space="preserve"> – Dated </w:t>
            </w:r>
            <w:r w:rsidR="00C02922" w:rsidRPr="00FA72DB">
              <w:rPr>
                <w:rFonts w:cs="Times New Roman"/>
                <w:b/>
                <w:sz w:val="20"/>
                <w:szCs w:val="20"/>
              </w:rPr>
              <w:t>20071219</w:t>
            </w:r>
          </w:p>
        </w:tc>
        <w:tc>
          <w:tcPr>
            <w:tcW w:w="5223" w:type="dxa"/>
            <w:gridSpan w:val="5"/>
            <w:tcBorders>
              <w:left w:val="thinThickThinSmallGap" w:sz="24" w:space="0" w:color="auto"/>
            </w:tcBorders>
            <w:shd w:val="clear" w:color="auto" w:fill="D9D9D9" w:themeFill="background1" w:themeFillShade="D9"/>
          </w:tcPr>
          <w:p w:rsidR="00684E2B" w:rsidRPr="00FA72DB" w:rsidRDefault="00684E2B" w:rsidP="00C02922">
            <w:pPr>
              <w:pStyle w:val="ListParagraph"/>
              <w:spacing w:after="0" w:line="240" w:lineRule="exact"/>
              <w:ind w:left="0"/>
              <w:jc w:val="center"/>
              <w:rPr>
                <w:rFonts w:cs="Times New Roman"/>
                <w:b/>
                <w:sz w:val="20"/>
                <w:szCs w:val="20"/>
              </w:rPr>
            </w:pPr>
            <w:r w:rsidRPr="00FA72DB">
              <w:rPr>
                <w:rFonts w:cs="Times New Roman"/>
                <w:b/>
                <w:sz w:val="20"/>
                <w:szCs w:val="20"/>
              </w:rPr>
              <w:t>VA (</w:t>
            </w:r>
            <w:r w:rsidR="00C02922" w:rsidRPr="00FA72DB">
              <w:rPr>
                <w:rFonts w:cs="Times New Roman"/>
                <w:b/>
                <w:sz w:val="20"/>
                <w:szCs w:val="20"/>
              </w:rPr>
              <w:t>1 Mo. Post-</w:t>
            </w:r>
            <w:r w:rsidRPr="00FA72DB">
              <w:rPr>
                <w:rFonts w:cs="Times New Roman"/>
                <w:b/>
                <w:sz w:val="20"/>
                <w:szCs w:val="20"/>
              </w:rPr>
              <w:t>Separation)</w:t>
            </w:r>
            <w:r w:rsidR="000C3C13" w:rsidRPr="00FA72DB">
              <w:rPr>
                <w:rFonts w:cs="Times New Roman"/>
                <w:b/>
                <w:sz w:val="20"/>
                <w:szCs w:val="20"/>
              </w:rPr>
              <w:t xml:space="preserve"> – All Effective </w:t>
            </w:r>
            <w:r w:rsidR="00C02922" w:rsidRPr="00FA72DB">
              <w:rPr>
                <w:rFonts w:cs="Times New Roman"/>
                <w:b/>
                <w:sz w:val="20"/>
                <w:szCs w:val="20"/>
              </w:rPr>
              <w:t>20080220</w:t>
            </w:r>
          </w:p>
        </w:tc>
      </w:tr>
      <w:tr w:rsidR="002B2645" w:rsidRPr="002A685E" w:rsidTr="00ED7D70">
        <w:trPr>
          <w:trHeight w:val="233"/>
          <w:jc w:val="center"/>
        </w:trPr>
        <w:tc>
          <w:tcPr>
            <w:tcW w:w="2513" w:type="dxa"/>
            <w:gridSpan w:val="2"/>
            <w:tcBorders>
              <w:bottom w:val="single" w:sz="4" w:space="0" w:color="000000" w:themeColor="text1"/>
            </w:tcBorders>
            <w:shd w:val="clear" w:color="auto" w:fill="D9D9D9" w:themeFill="background1" w:themeFillShade="D9"/>
          </w:tcPr>
          <w:p w:rsidR="002B2645" w:rsidRPr="00FA72DB" w:rsidRDefault="002B2645" w:rsidP="00190E48">
            <w:pPr>
              <w:pStyle w:val="ListParagraph"/>
              <w:spacing w:after="0" w:line="240" w:lineRule="exact"/>
              <w:ind w:left="0"/>
              <w:jc w:val="both"/>
              <w:rPr>
                <w:rFonts w:cs="Times New Roman"/>
                <w:b/>
                <w:sz w:val="20"/>
                <w:szCs w:val="20"/>
              </w:rPr>
            </w:pPr>
            <w:r w:rsidRPr="00FA72DB">
              <w:rPr>
                <w:rFonts w:cs="Times New Roman"/>
                <w:b/>
                <w:sz w:val="20"/>
                <w:szCs w:val="20"/>
              </w:rPr>
              <w:t>Condition</w:t>
            </w:r>
          </w:p>
        </w:tc>
        <w:tc>
          <w:tcPr>
            <w:tcW w:w="718" w:type="dxa"/>
            <w:tcBorders>
              <w:bottom w:val="single" w:sz="4" w:space="0" w:color="000000" w:themeColor="text1"/>
            </w:tcBorders>
            <w:shd w:val="clear" w:color="auto" w:fill="D9D9D9" w:themeFill="background1" w:themeFillShade="D9"/>
          </w:tcPr>
          <w:p w:rsidR="002B2645" w:rsidRPr="00FA72DB" w:rsidRDefault="002B2645" w:rsidP="005709F7">
            <w:pPr>
              <w:pStyle w:val="ListParagraph"/>
              <w:spacing w:after="0" w:line="240" w:lineRule="exact"/>
              <w:ind w:left="0"/>
              <w:jc w:val="center"/>
              <w:rPr>
                <w:rFonts w:cs="Times New Roman"/>
                <w:b/>
                <w:sz w:val="20"/>
                <w:szCs w:val="20"/>
              </w:rPr>
            </w:pPr>
            <w:r w:rsidRPr="00FA72DB">
              <w:rPr>
                <w:rFonts w:cs="Times New Roman"/>
                <w:b/>
                <w:sz w:val="20"/>
                <w:szCs w:val="20"/>
              </w:rPr>
              <w:t>Code</w:t>
            </w:r>
          </w:p>
        </w:tc>
        <w:tc>
          <w:tcPr>
            <w:tcW w:w="816" w:type="dxa"/>
            <w:tcBorders>
              <w:bottom w:val="single" w:sz="4" w:space="0" w:color="000000" w:themeColor="text1"/>
              <w:right w:val="thinThickThinSmallGap" w:sz="24" w:space="0" w:color="auto"/>
            </w:tcBorders>
            <w:shd w:val="clear" w:color="auto" w:fill="D9D9D9" w:themeFill="background1" w:themeFillShade="D9"/>
          </w:tcPr>
          <w:p w:rsidR="002B2645" w:rsidRPr="00FA72DB" w:rsidRDefault="002B2645" w:rsidP="005709F7">
            <w:pPr>
              <w:pStyle w:val="ListParagraph"/>
              <w:spacing w:after="0" w:line="240" w:lineRule="exact"/>
              <w:ind w:left="0"/>
              <w:jc w:val="center"/>
              <w:rPr>
                <w:rFonts w:cs="Times New Roman"/>
                <w:b/>
                <w:sz w:val="20"/>
                <w:szCs w:val="20"/>
              </w:rPr>
            </w:pPr>
            <w:r w:rsidRPr="00FA72DB">
              <w:rPr>
                <w:rFonts w:cs="Times New Roman"/>
                <w:b/>
                <w:sz w:val="20"/>
                <w:szCs w:val="20"/>
              </w:rPr>
              <w:t>Rating</w:t>
            </w:r>
          </w:p>
        </w:tc>
        <w:tc>
          <w:tcPr>
            <w:tcW w:w="2748" w:type="dxa"/>
            <w:gridSpan w:val="2"/>
            <w:tcBorders>
              <w:left w:val="thinThickThinSmallGap" w:sz="24" w:space="0" w:color="auto"/>
              <w:bottom w:val="single" w:sz="4" w:space="0" w:color="000000" w:themeColor="text1"/>
            </w:tcBorders>
            <w:shd w:val="clear" w:color="auto" w:fill="D9D9D9" w:themeFill="background1" w:themeFillShade="D9"/>
          </w:tcPr>
          <w:p w:rsidR="002B2645" w:rsidRPr="00FA72DB" w:rsidRDefault="002B2645" w:rsidP="00190E48">
            <w:pPr>
              <w:pStyle w:val="ListParagraph"/>
              <w:spacing w:after="0" w:line="240" w:lineRule="exact"/>
              <w:ind w:left="0"/>
              <w:jc w:val="both"/>
              <w:rPr>
                <w:rFonts w:cs="Times New Roman"/>
                <w:b/>
                <w:sz w:val="20"/>
                <w:szCs w:val="20"/>
              </w:rPr>
            </w:pPr>
            <w:r w:rsidRPr="00FA72DB">
              <w:rPr>
                <w:rFonts w:cs="Times New Roman"/>
                <w:b/>
                <w:sz w:val="20"/>
                <w:szCs w:val="20"/>
              </w:rPr>
              <w:t>Condition</w:t>
            </w:r>
          </w:p>
        </w:tc>
        <w:tc>
          <w:tcPr>
            <w:tcW w:w="674" w:type="dxa"/>
            <w:tcBorders>
              <w:bottom w:val="single" w:sz="4" w:space="0" w:color="000000" w:themeColor="text1"/>
            </w:tcBorders>
            <w:shd w:val="clear" w:color="auto" w:fill="D9D9D9" w:themeFill="background1" w:themeFillShade="D9"/>
          </w:tcPr>
          <w:p w:rsidR="002B2645" w:rsidRPr="00FA72DB" w:rsidRDefault="002B2645" w:rsidP="005709F7">
            <w:pPr>
              <w:pStyle w:val="ListParagraph"/>
              <w:spacing w:after="0" w:line="240" w:lineRule="exact"/>
              <w:ind w:left="0"/>
              <w:jc w:val="center"/>
              <w:rPr>
                <w:rFonts w:cs="Times New Roman"/>
                <w:b/>
                <w:sz w:val="20"/>
                <w:szCs w:val="20"/>
              </w:rPr>
            </w:pPr>
            <w:r w:rsidRPr="00FA72DB">
              <w:rPr>
                <w:rFonts w:cs="Times New Roman"/>
                <w:b/>
                <w:sz w:val="20"/>
                <w:szCs w:val="20"/>
              </w:rPr>
              <w:t>Code</w:t>
            </w:r>
          </w:p>
        </w:tc>
        <w:tc>
          <w:tcPr>
            <w:tcW w:w="811" w:type="dxa"/>
            <w:tcBorders>
              <w:bottom w:val="single" w:sz="4" w:space="0" w:color="000000" w:themeColor="text1"/>
            </w:tcBorders>
            <w:shd w:val="clear" w:color="auto" w:fill="D9D9D9" w:themeFill="background1" w:themeFillShade="D9"/>
          </w:tcPr>
          <w:p w:rsidR="002B2645" w:rsidRPr="00FA72DB" w:rsidRDefault="002B2645" w:rsidP="005709F7">
            <w:pPr>
              <w:pStyle w:val="ListParagraph"/>
              <w:spacing w:after="0" w:line="240" w:lineRule="exact"/>
              <w:ind w:left="0"/>
              <w:jc w:val="center"/>
              <w:rPr>
                <w:rFonts w:cs="Times New Roman"/>
                <w:b/>
                <w:sz w:val="20"/>
                <w:szCs w:val="20"/>
              </w:rPr>
            </w:pPr>
            <w:r w:rsidRPr="00FA72DB">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FA72DB" w:rsidRDefault="002B2645" w:rsidP="005709F7">
            <w:pPr>
              <w:pStyle w:val="ListParagraph"/>
              <w:spacing w:after="0" w:line="240" w:lineRule="exact"/>
              <w:ind w:left="0"/>
              <w:jc w:val="center"/>
              <w:rPr>
                <w:rFonts w:cs="Times New Roman"/>
                <w:b/>
                <w:sz w:val="20"/>
                <w:szCs w:val="20"/>
              </w:rPr>
            </w:pPr>
            <w:r w:rsidRPr="00FA72DB">
              <w:rPr>
                <w:rFonts w:cs="Times New Roman"/>
                <w:b/>
                <w:sz w:val="20"/>
                <w:szCs w:val="20"/>
              </w:rPr>
              <w:t>Exam</w:t>
            </w:r>
          </w:p>
        </w:tc>
      </w:tr>
      <w:tr w:rsidR="00ED7D70" w:rsidRPr="002A685E" w:rsidTr="00ED7D70">
        <w:trPr>
          <w:trHeight w:val="287"/>
          <w:jc w:val="center"/>
        </w:trPr>
        <w:tc>
          <w:tcPr>
            <w:tcW w:w="2513" w:type="dxa"/>
            <w:gridSpan w:val="2"/>
            <w:shd w:val="clear" w:color="auto" w:fill="FFFFFF" w:themeFill="background1"/>
          </w:tcPr>
          <w:p w:rsidR="00ED7D70" w:rsidRPr="00FA72DB" w:rsidRDefault="00ED7D70" w:rsidP="00190E48">
            <w:pPr>
              <w:pStyle w:val="ListParagraph"/>
              <w:spacing w:after="0" w:line="240" w:lineRule="exact"/>
              <w:ind w:left="0"/>
              <w:jc w:val="both"/>
              <w:rPr>
                <w:rFonts w:cs="Times New Roman"/>
                <w:sz w:val="18"/>
                <w:szCs w:val="18"/>
              </w:rPr>
            </w:pPr>
            <w:r w:rsidRPr="00FA72DB">
              <w:rPr>
                <w:rFonts w:cs="Times New Roman"/>
                <w:sz w:val="18"/>
                <w:szCs w:val="18"/>
              </w:rPr>
              <w:t>Chronic Pain Syndrome</w:t>
            </w:r>
          </w:p>
        </w:tc>
        <w:tc>
          <w:tcPr>
            <w:tcW w:w="718" w:type="dxa"/>
            <w:shd w:val="clear" w:color="auto" w:fill="FFFFFF" w:themeFill="background1"/>
          </w:tcPr>
          <w:p w:rsidR="00ED7D70" w:rsidRPr="00FA72DB" w:rsidRDefault="00ED7D70" w:rsidP="005709F7">
            <w:pPr>
              <w:pStyle w:val="ListParagraph"/>
              <w:spacing w:after="0" w:line="240" w:lineRule="exact"/>
              <w:ind w:left="0"/>
              <w:jc w:val="center"/>
              <w:rPr>
                <w:rFonts w:cs="Times New Roman"/>
                <w:sz w:val="18"/>
                <w:szCs w:val="18"/>
              </w:rPr>
            </w:pPr>
            <w:r w:rsidRPr="00FA72DB">
              <w:rPr>
                <w:rFonts w:cs="Times New Roman"/>
                <w:sz w:val="18"/>
                <w:szCs w:val="18"/>
              </w:rPr>
              <w:t>5237</w:t>
            </w:r>
          </w:p>
        </w:tc>
        <w:tc>
          <w:tcPr>
            <w:tcW w:w="816" w:type="dxa"/>
            <w:tcBorders>
              <w:right w:val="thinThickThinSmallGap" w:sz="24" w:space="0" w:color="auto"/>
            </w:tcBorders>
            <w:shd w:val="clear" w:color="auto" w:fill="FFFFFF" w:themeFill="background1"/>
          </w:tcPr>
          <w:p w:rsidR="00ED7D70" w:rsidRPr="00FA72DB" w:rsidRDefault="00ED7D70" w:rsidP="005709F7">
            <w:pPr>
              <w:pStyle w:val="ListParagraph"/>
              <w:spacing w:after="0" w:line="240" w:lineRule="exact"/>
              <w:ind w:left="0"/>
              <w:jc w:val="center"/>
              <w:rPr>
                <w:rFonts w:cs="Times New Roman"/>
                <w:sz w:val="18"/>
                <w:szCs w:val="18"/>
              </w:rPr>
            </w:pPr>
            <w:r w:rsidRPr="00FA72DB">
              <w:rPr>
                <w:rFonts w:cs="Times New Roman"/>
                <w:sz w:val="18"/>
                <w:szCs w:val="18"/>
              </w:rPr>
              <w:t>10%</w:t>
            </w:r>
          </w:p>
        </w:tc>
        <w:tc>
          <w:tcPr>
            <w:tcW w:w="2388" w:type="dxa"/>
            <w:tcBorders>
              <w:left w:val="thinThickThinSmallGap" w:sz="24" w:space="0" w:color="auto"/>
            </w:tcBorders>
            <w:shd w:val="clear" w:color="auto" w:fill="FFFFFF" w:themeFill="background1"/>
          </w:tcPr>
          <w:p w:rsidR="00ED7D70" w:rsidRPr="00FA72DB" w:rsidRDefault="00ED7D70" w:rsidP="00190E48">
            <w:pPr>
              <w:pStyle w:val="ListParagraph"/>
              <w:spacing w:after="0" w:line="240" w:lineRule="exact"/>
              <w:ind w:left="0"/>
              <w:jc w:val="both"/>
              <w:rPr>
                <w:rFonts w:cs="Times New Roman"/>
                <w:sz w:val="18"/>
                <w:szCs w:val="18"/>
              </w:rPr>
            </w:pPr>
            <w:r w:rsidRPr="00FA72DB">
              <w:rPr>
                <w:rFonts w:cs="Times New Roman"/>
                <w:sz w:val="18"/>
                <w:szCs w:val="18"/>
              </w:rPr>
              <w:t>Myofascial Pain Syndrome</w:t>
            </w:r>
          </w:p>
        </w:tc>
        <w:tc>
          <w:tcPr>
            <w:tcW w:w="1034" w:type="dxa"/>
            <w:gridSpan w:val="2"/>
            <w:shd w:val="clear" w:color="auto" w:fill="FFFFFF" w:themeFill="background1"/>
          </w:tcPr>
          <w:p w:rsidR="00ED7D70" w:rsidRPr="00FA72DB" w:rsidRDefault="00ED7D70" w:rsidP="005709F7">
            <w:pPr>
              <w:pStyle w:val="ListParagraph"/>
              <w:spacing w:after="0" w:line="240" w:lineRule="exact"/>
              <w:ind w:left="0"/>
              <w:jc w:val="center"/>
              <w:rPr>
                <w:rFonts w:cs="Times New Roman"/>
                <w:sz w:val="18"/>
                <w:szCs w:val="18"/>
              </w:rPr>
            </w:pPr>
            <w:r w:rsidRPr="00FA72DB">
              <w:rPr>
                <w:rFonts w:cs="Times New Roman"/>
                <w:sz w:val="18"/>
                <w:szCs w:val="18"/>
              </w:rPr>
              <w:t>5099-5025</w:t>
            </w:r>
          </w:p>
        </w:tc>
        <w:tc>
          <w:tcPr>
            <w:tcW w:w="811" w:type="dxa"/>
            <w:shd w:val="clear" w:color="auto" w:fill="FFFFFF" w:themeFill="background1"/>
          </w:tcPr>
          <w:p w:rsidR="00ED7D70" w:rsidRPr="00FA72DB" w:rsidRDefault="00ED7D70" w:rsidP="005709F7">
            <w:pPr>
              <w:pStyle w:val="ListParagraph"/>
              <w:spacing w:after="0" w:line="240" w:lineRule="exact"/>
              <w:ind w:left="0"/>
              <w:jc w:val="center"/>
              <w:rPr>
                <w:rFonts w:cs="Times New Roman"/>
                <w:sz w:val="18"/>
                <w:szCs w:val="18"/>
              </w:rPr>
            </w:pPr>
            <w:r w:rsidRPr="00FA72DB">
              <w:rPr>
                <w:rFonts w:cs="Times New Roman"/>
                <w:sz w:val="18"/>
                <w:szCs w:val="18"/>
              </w:rPr>
              <w:t>40%</w:t>
            </w:r>
          </w:p>
        </w:tc>
        <w:tc>
          <w:tcPr>
            <w:tcW w:w="990" w:type="dxa"/>
            <w:shd w:val="clear" w:color="auto" w:fill="FFFFFF" w:themeFill="background1"/>
          </w:tcPr>
          <w:p w:rsidR="00ED7D70" w:rsidRPr="00FA72DB" w:rsidRDefault="00ED7D70" w:rsidP="005709F7">
            <w:pPr>
              <w:pStyle w:val="ListParagraph"/>
              <w:spacing w:after="0" w:line="240" w:lineRule="exact"/>
              <w:ind w:left="0"/>
              <w:jc w:val="center"/>
              <w:rPr>
                <w:rFonts w:cs="Times New Roman"/>
                <w:sz w:val="18"/>
                <w:szCs w:val="18"/>
              </w:rPr>
            </w:pPr>
            <w:r w:rsidRPr="00FA72DB">
              <w:rPr>
                <w:rFonts w:cs="Times New Roman"/>
                <w:sz w:val="18"/>
                <w:szCs w:val="18"/>
              </w:rPr>
              <w:t>20080318</w:t>
            </w:r>
          </w:p>
        </w:tc>
      </w:tr>
      <w:tr w:rsidR="00ED7D70" w:rsidRPr="002A685E" w:rsidTr="00ED7D70">
        <w:trPr>
          <w:trHeight w:val="125"/>
          <w:jc w:val="center"/>
        </w:trPr>
        <w:tc>
          <w:tcPr>
            <w:tcW w:w="236" w:type="dxa"/>
            <w:tcBorders>
              <w:right w:val="single" w:sz="4" w:space="0" w:color="auto"/>
            </w:tcBorders>
            <w:shd w:val="clear" w:color="auto" w:fill="D9D9D9" w:themeFill="background1" w:themeFillShade="D9"/>
          </w:tcPr>
          <w:p w:rsidR="00ED7D70" w:rsidRPr="00FA72DB" w:rsidRDefault="00ED7D70" w:rsidP="00ED7D70">
            <w:pPr>
              <w:pStyle w:val="ListParagraph"/>
              <w:spacing w:after="0" w:line="240" w:lineRule="exact"/>
              <w:ind w:left="0"/>
              <w:rPr>
                <w:rFonts w:cs="Times New Roman"/>
                <w:sz w:val="18"/>
                <w:szCs w:val="18"/>
              </w:rPr>
            </w:pPr>
            <w:r w:rsidRPr="00FA72DB">
              <w:rPr>
                <w:rFonts w:cs="Times New Roman"/>
                <w:sz w:val="18"/>
                <w:szCs w:val="18"/>
              </w:rPr>
              <w:t>-</w:t>
            </w:r>
          </w:p>
        </w:tc>
        <w:tc>
          <w:tcPr>
            <w:tcW w:w="2277" w:type="dxa"/>
            <w:tcBorders>
              <w:right w:val="single" w:sz="4" w:space="0" w:color="auto"/>
            </w:tcBorders>
            <w:shd w:val="clear" w:color="auto" w:fill="FFFFFF" w:themeFill="background1"/>
          </w:tcPr>
          <w:p w:rsidR="00ED7D70" w:rsidRPr="00FA72DB" w:rsidRDefault="00ED7D70" w:rsidP="00B93891">
            <w:pPr>
              <w:pStyle w:val="ListParagraph"/>
              <w:spacing w:after="0" w:line="240" w:lineRule="exact"/>
              <w:ind w:left="0"/>
              <w:rPr>
                <w:rFonts w:cs="Times New Roman"/>
                <w:sz w:val="18"/>
                <w:szCs w:val="18"/>
              </w:rPr>
            </w:pPr>
            <w:proofErr w:type="spellStart"/>
            <w:r w:rsidRPr="00FA72DB">
              <w:rPr>
                <w:rFonts w:cs="Times New Roman"/>
                <w:sz w:val="18"/>
                <w:szCs w:val="18"/>
              </w:rPr>
              <w:t>Cervicalgia</w:t>
            </w:r>
            <w:proofErr w:type="spellEnd"/>
          </w:p>
        </w:tc>
        <w:tc>
          <w:tcPr>
            <w:tcW w:w="1534" w:type="dxa"/>
            <w:gridSpan w:val="2"/>
            <w:tcBorders>
              <w:left w:val="single" w:sz="4" w:space="0" w:color="auto"/>
              <w:right w:val="thinThickThinSmallGap" w:sz="24" w:space="0" w:color="auto"/>
            </w:tcBorders>
            <w:shd w:val="clear" w:color="auto" w:fill="FFFFFF" w:themeFill="background1"/>
          </w:tcPr>
          <w:p w:rsidR="00ED7D70" w:rsidRPr="00FA72DB" w:rsidRDefault="00ED7D70" w:rsidP="00B93891">
            <w:pPr>
              <w:pStyle w:val="ListParagraph"/>
              <w:spacing w:after="0" w:line="240" w:lineRule="exact"/>
              <w:ind w:left="0"/>
              <w:jc w:val="center"/>
              <w:rPr>
                <w:rFonts w:cs="Times New Roman"/>
                <w:sz w:val="18"/>
                <w:szCs w:val="18"/>
              </w:rPr>
            </w:pPr>
            <w:r w:rsidRPr="00FA72DB">
              <w:rPr>
                <w:rFonts w:cs="Times New Roman"/>
                <w:sz w:val="18"/>
                <w:szCs w:val="18"/>
              </w:rPr>
              <w:t>CAT 2</w:t>
            </w:r>
          </w:p>
        </w:tc>
        <w:tc>
          <w:tcPr>
            <w:tcW w:w="2748" w:type="dxa"/>
            <w:gridSpan w:val="2"/>
            <w:tcBorders>
              <w:left w:val="thinThickThinSmallGap" w:sz="24" w:space="0" w:color="auto"/>
            </w:tcBorders>
            <w:shd w:val="clear" w:color="auto" w:fill="FFFFFF" w:themeFill="background1"/>
          </w:tcPr>
          <w:p w:rsidR="00ED7D70" w:rsidRPr="00FA72DB" w:rsidRDefault="00ED7D70" w:rsidP="00190E48">
            <w:pPr>
              <w:pStyle w:val="ListParagraph"/>
              <w:spacing w:after="0" w:line="240" w:lineRule="exact"/>
              <w:ind w:left="0"/>
              <w:jc w:val="both"/>
              <w:rPr>
                <w:rFonts w:cs="Times New Roman"/>
                <w:sz w:val="18"/>
                <w:szCs w:val="18"/>
              </w:rPr>
            </w:pPr>
            <w:r w:rsidRPr="00FA72DB">
              <w:rPr>
                <w:rFonts w:cs="Times New Roman"/>
                <w:sz w:val="18"/>
                <w:szCs w:val="18"/>
              </w:rPr>
              <w:t>Cervical Spine Strain</w:t>
            </w:r>
          </w:p>
        </w:tc>
        <w:tc>
          <w:tcPr>
            <w:tcW w:w="674" w:type="dxa"/>
            <w:shd w:val="clear" w:color="auto" w:fill="FFFFFF" w:themeFill="background1"/>
          </w:tcPr>
          <w:p w:rsidR="00ED7D70" w:rsidRPr="00FA72DB" w:rsidRDefault="00ED7D70" w:rsidP="005709F7">
            <w:pPr>
              <w:pStyle w:val="ListParagraph"/>
              <w:spacing w:after="0" w:line="240" w:lineRule="exact"/>
              <w:ind w:left="0"/>
              <w:jc w:val="center"/>
              <w:rPr>
                <w:rFonts w:cs="Times New Roman"/>
                <w:sz w:val="18"/>
                <w:szCs w:val="18"/>
              </w:rPr>
            </w:pPr>
            <w:r w:rsidRPr="00FA72DB">
              <w:rPr>
                <w:rFonts w:cs="Times New Roman"/>
                <w:sz w:val="18"/>
                <w:szCs w:val="18"/>
              </w:rPr>
              <w:t>5237</w:t>
            </w:r>
          </w:p>
        </w:tc>
        <w:tc>
          <w:tcPr>
            <w:tcW w:w="811" w:type="dxa"/>
            <w:shd w:val="clear" w:color="auto" w:fill="FFFFFF" w:themeFill="background1"/>
          </w:tcPr>
          <w:p w:rsidR="00ED7D70" w:rsidRPr="00FA72DB" w:rsidRDefault="007B6527" w:rsidP="005709F7">
            <w:pPr>
              <w:pStyle w:val="ListParagraph"/>
              <w:spacing w:after="0" w:line="240" w:lineRule="exact"/>
              <w:ind w:left="0"/>
              <w:jc w:val="center"/>
              <w:rPr>
                <w:rFonts w:cs="Times New Roman"/>
                <w:sz w:val="18"/>
                <w:szCs w:val="18"/>
              </w:rPr>
            </w:pPr>
            <w:r w:rsidRPr="00FA72DB">
              <w:rPr>
                <w:rFonts w:cs="Times New Roman"/>
                <w:sz w:val="18"/>
                <w:szCs w:val="18"/>
              </w:rPr>
              <w:t>2</w:t>
            </w:r>
            <w:r w:rsidR="00ED7D70" w:rsidRPr="00FA72DB">
              <w:rPr>
                <w:rFonts w:cs="Times New Roman"/>
                <w:sz w:val="18"/>
                <w:szCs w:val="18"/>
              </w:rPr>
              <w:t>0%</w:t>
            </w:r>
          </w:p>
        </w:tc>
        <w:tc>
          <w:tcPr>
            <w:tcW w:w="990" w:type="dxa"/>
            <w:shd w:val="clear" w:color="auto" w:fill="FFFFFF" w:themeFill="background1"/>
          </w:tcPr>
          <w:p w:rsidR="00ED7D70" w:rsidRPr="00FA72DB" w:rsidRDefault="00ED7D70" w:rsidP="005709F7">
            <w:pPr>
              <w:pStyle w:val="ListParagraph"/>
              <w:spacing w:after="0" w:line="240" w:lineRule="exact"/>
              <w:ind w:left="0"/>
              <w:jc w:val="center"/>
              <w:rPr>
                <w:rFonts w:cs="Times New Roman"/>
                <w:sz w:val="18"/>
                <w:szCs w:val="18"/>
              </w:rPr>
            </w:pPr>
            <w:r w:rsidRPr="00FA72DB">
              <w:rPr>
                <w:rFonts w:cs="Times New Roman"/>
                <w:sz w:val="18"/>
                <w:szCs w:val="18"/>
              </w:rPr>
              <w:t>20080318</w:t>
            </w:r>
          </w:p>
        </w:tc>
      </w:tr>
      <w:tr w:rsidR="00ED7D70" w:rsidRPr="002A685E" w:rsidTr="00ED7D70">
        <w:trPr>
          <w:trHeight w:val="347"/>
          <w:jc w:val="center"/>
        </w:trPr>
        <w:tc>
          <w:tcPr>
            <w:tcW w:w="236" w:type="dxa"/>
            <w:tcBorders>
              <w:bottom w:val="single" w:sz="4" w:space="0" w:color="auto"/>
              <w:right w:val="single" w:sz="4" w:space="0" w:color="auto"/>
            </w:tcBorders>
            <w:shd w:val="clear" w:color="auto" w:fill="D9D9D9" w:themeFill="background1" w:themeFillShade="D9"/>
          </w:tcPr>
          <w:p w:rsidR="00ED7D70" w:rsidRPr="00FA72DB" w:rsidRDefault="00ED7D70" w:rsidP="00ED7D70">
            <w:pPr>
              <w:pStyle w:val="ListParagraph"/>
              <w:spacing w:after="0" w:line="240" w:lineRule="exact"/>
              <w:ind w:left="0"/>
              <w:rPr>
                <w:rFonts w:cs="Times New Roman"/>
                <w:sz w:val="18"/>
                <w:szCs w:val="18"/>
              </w:rPr>
            </w:pPr>
            <w:r w:rsidRPr="00FA72DB">
              <w:rPr>
                <w:rFonts w:cs="Times New Roman"/>
                <w:sz w:val="18"/>
                <w:szCs w:val="18"/>
              </w:rPr>
              <w:t>-</w:t>
            </w:r>
          </w:p>
        </w:tc>
        <w:tc>
          <w:tcPr>
            <w:tcW w:w="2277" w:type="dxa"/>
            <w:tcBorders>
              <w:bottom w:val="single" w:sz="4" w:space="0" w:color="auto"/>
              <w:right w:val="single" w:sz="4" w:space="0" w:color="auto"/>
            </w:tcBorders>
            <w:shd w:val="clear" w:color="auto" w:fill="FFFFFF" w:themeFill="background1"/>
          </w:tcPr>
          <w:p w:rsidR="00ED7D70" w:rsidRPr="00FA72DB" w:rsidRDefault="00ED7D70" w:rsidP="00B93891">
            <w:pPr>
              <w:pStyle w:val="ListParagraph"/>
              <w:spacing w:after="0" w:line="240" w:lineRule="exact"/>
              <w:ind w:left="0"/>
              <w:rPr>
                <w:rFonts w:cs="Times New Roman"/>
                <w:sz w:val="18"/>
                <w:szCs w:val="18"/>
              </w:rPr>
            </w:pPr>
            <w:r w:rsidRPr="00FA72DB">
              <w:rPr>
                <w:rFonts w:cs="Times New Roman"/>
                <w:sz w:val="18"/>
                <w:szCs w:val="18"/>
              </w:rPr>
              <w:t>Low Back Pain</w:t>
            </w:r>
          </w:p>
        </w:tc>
        <w:tc>
          <w:tcPr>
            <w:tcW w:w="1534" w:type="dxa"/>
            <w:gridSpan w:val="2"/>
            <w:tcBorders>
              <w:left w:val="single" w:sz="4" w:space="0" w:color="auto"/>
              <w:bottom w:val="single" w:sz="4" w:space="0" w:color="auto"/>
              <w:right w:val="thinThickThinSmallGap" w:sz="24" w:space="0" w:color="auto"/>
            </w:tcBorders>
            <w:shd w:val="clear" w:color="auto" w:fill="FFFFFF" w:themeFill="background1"/>
          </w:tcPr>
          <w:p w:rsidR="00ED7D70" w:rsidRPr="00FA72DB" w:rsidRDefault="00ED7D70" w:rsidP="005709F7">
            <w:pPr>
              <w:pStyle w:val="ListParagraph"/>
              <w:spacing w:after="0" w:line="240" w:lineRule="exact"/>
              <w:ind w:left="0"/>
              <w:jc w:val="center"/>
              <w:rPr>
                <w:rFonts w:cs="Times New Roman"/>
                <w:sz w:val="18"/>
                <w:szCs w:val="18"/>
              </w:rPr>
            </w:pPr>
            <w:r w:rsidRPr="00FA72DB">
              <w:rPr>
                <w:rFonts w:cs="Times New Roman"/>
                <w:sz w:val="18"/>
                <w:szCs w:val="18"/>
              </w:rPr>
              <w:t>CAT 2</w:t>
            </w:r>
          </w:p>
        </w:tc>
        <w:tc>
          <w:tcPr>
            <w:tcW w:w="2748" w:type="dxa"/>
            <w:gridSpan w:val="2"/>
            <w:vMerge w:val="restart"/>
            <w:tcBorders>
              <w:left w:val="thinThickThinSmallGap" w:sz="24" w:space="0" w:color="auto"/>
            </w:tcBorders>
            <w:shd w:val="clear" w:color="auto" w:fill="FFFFFF" w:themeFill="background1"/>
          </w:tcPr>
          <w:p w:rsidR="00ED7D70" w:rsidRPr="00FA72DB" w:rsidRDefault="00ED7D70" w:rsidP="00190E48">
            <w:pPr>
              <w:pStyle w:val="ListParagraph"/>
              <w:spacing w:after="0" w:line="240" w:lineRule="exact"/>
              <w:ind w:left="0"/>
              <w:jc w:val="both"/>
              <w:rPr>
                <w:rFonts w:cs="Times New Roman"/>
                <w:sz w:val="18"/>
                <w:szCs w:val="18"/>
              </w:rPr>
            </w:pPr>
            <w:r w:rsidRPr="00FA72DB">
              <w:rPr>
                <w:rFonts w:cs="Times New Roman"/>
                <w:sz w:val="18"/>
                <w:szCs w:val="18"/>
              </w:rPr>
              <w:t>Thoracolumbar Spine Strain</w:t>
            </w:r>
          </w:p>
        </w:tc>
        <w:tc>
          <w:tcPr>
            <w:tcW w:w="674" w:type="dxa"/>
            <w:vMerge w:val="restart"/>
            <w:shd w:val="clear" w:color="auto" w:fill="FFFFFF" w:themeFill="background1"/>
          </w:tcPr>
          <w:p w:rsidR="00ED7D70" w:rsidRPr="00FA72DB" w:rsidRDefault="00ED7D70" w:rsidP="005709F7">
            <w:pPr>
              <w:pStyle w:val="ListParagraph"/>
              <w:spacing w:after="0" w:line="240" w:lineRule="exact"/>
              <w:ind w:left="0"/>
              <w:jc w:val="center"/>
              <w:rPr>
                <w:rFonts w:cs="Times New Roman"/>
                <w:sz w:val="18"/>
                <w:szCs w:val="18"/>
              </w:rPr>
            </w:pPr>
            <w:r w:rsidRPr="00FA72DB">
              <w:rPr>
                <w:rFonts w:cs="Times New Roman"/>
                <w:sz w:val="18"/>
                <w:szCs w:val="18"/>
              </w:rPr>
              <w:t>5237</w:t>
            </w:r>
          </w:p>
        </w:tc>
        <w:tc>
          <w:tcPr>
            <w:tcW w:w="811" w:type="dxa"/>
            <w:vMerge w:val="restart"/>
            <w:shd w:val="clear" w:color="auto" w:fill="FFFFFF" w:themeFill="background1"/>
          </w:tcPr>
          <w:p w:rsidR="00ED7D70" w:rsidRPr="00FA72DB" w:rsidRDefault="00ED7D70" w:rsidP="005709F7">
            <w:pPr>
              <w:pStyle w:val="ListParagraph"/>
              <w:spacing w:after="0" w:line="240" w:lineRule="exact"/>
              <w:ind w:left="0"/>
              <w:jc w:val="center"/>
              <w:rPr>
                <w:rFonts w:cs="Times New Roman"/>
                <w:sz w:val="18"/>
                <w:szCs w:val="18"/>
              </w:rPr>
            </w:pPr>
            <w:r w:rsidRPr="00FA72DB">
              <w:rPr>
                <w:rFonts w:cs="Times New Roman"/>
                <w:sz w:val="18"/>
                <w:szCs w:val="18"/>
              </w:rPr>
              <w:t>20%</w:t>
            </w:r>
          </w:p>
        </w:tc>
        <w:tc>
          <w:tcPr>
            <w:tcW w:w="990" w:type="dxa"/>
            <w:vMerge w:val="restart"/>
            <w:shd w:val="clear" w:color="auto" w:fill="FFFFFF" w:themeFill="background1"/>
          </w:tcPr>
          <w:p w:rsidR="00ED7D70" w:rsidRPr="00FA72DB" w:rsidRDefault="00ED7D70" w:rsidP="005709F7">
            <w:pPr>
              <w:pStyle w:val="ListParagraph"/>
              <w:spacing w:after="0" w:line="240" w:lineRule="exact"/>
              <w:ind w:left="0"/>
              <w:jc w:val="center"/>
              <w:rPr>
                <w:rFonts w:cs="Times New Roman"/>
                <w:sz w:val="18"/>
                <w:szCs w:val="18"/>
              </w:rPr>
            </w:pPr>
            <w:r w:rsidRPr="00FA72DB">
              <w:rPr>
                <w:rFonts w:cs="Times New Roman"/>
                <w:sz w:val="18"/>
                <w:szCs w:val="18"/>
              </w:rPr>
              <w:t>20080318</w:t>
            </w:r>
          </w:p>
        </w:tc>
      </w:tr>
      <w:tr w:rsidR="00B93891" w:rsidRPr="002A685E" w:rsidTr="00ED7D70">
        <w:trPr>
          <w:trHeight w:val="290"/>
          <w:jc w:val="center"/>
        </w:trPr>
        <w:tc>
          <w:tcPr>
            <w:tcW w:w="2513" w:type="dxa"/>
            <w:gridSpan w:val="2"/>
            <w:tcBorders>
              <w:top w:val="single" w:sz="4" w:space="0" w:color="auto"/>
              <w:right w:val="single" w:sz="4" w:space="0" w:color="auto"/>
            </w:tcBorders>
            <w:shd w:val="clear" w:color="auto" w:fill="FFFFFF" w:themeFill="background1"/>
          </w:tcPr>
          <w:p w:rsidR="00B93891" w:rsidRPr="00FA72DB" w:rsidRDefault="00C45793" w:rsidP="00B93891">
            <w:pPr>
              <w:pStyle w:val="ListParagraph"/>
              <w:spacing w:line="240" w:lineRule="exact"/>
              <w:ind w:left="0"/>
              <w:rPr>
                <w:rFonts w:cs="Times New Roman"/>
                <w:sz w:val="18"/>
                <w:szCs w:val="18"/>
              </w:rPr>
            </w:pPr>
            <w:r w:rsidRPr="00FA72DB">
              <w:rPr>
                <w:rFonts w:cs="Times New Roman"/>
                <w:sz w:val="18"/>
                <w:szCs w:val="18"/>
              </w:rPr>
              <w:t>Bilateral Sacral Sclerosis</w:t>
            </w:r>
          </w:p>
        </w:tc>
        <w:tc>
          <w:tcPr>
            <w:tcW w:w="1534" w:type="dxa"/>
            <w:gridSpan w:val="2"/>
            <w:tcBorders>
              <w:top w:val="single" w:sz="4" w:space="0" w:color="auto"/>
              <w:left w:val="single" w:sz="4" w:space="0" w:color="auto"/>
              <w:right w:val="thinThickThinSmallGap" w:sz="24" w:space="0" w:color="auto"/>
            </w:tcBorders>
            <w:shd w:val="clear" w:color="auto" w:fill="FFFFFF" w:themeFill="background1"/>
          </w:tcPr>
          <w:p w:rsidR="00B93891" w:rsidRPr="00FA72DB" w:rsidRDefault="00C45793" w:rsidP="00ED7D70">
            <w:pPr>
              <w:pStyle w:val="ListParagraph"/>
              <w:spacing w:line="240" w:lineRule="exact"/>
              <w:ind w:left="0"/>
              <w:jc w:val="center"/>
              <w:rPr>
                <w:rFonts w:cs="Times New Roman"/>
                <w:sz w:val="18"/>
                <w:szCs w:val="18"/>
              </w:rPr>
            </w:pPr>
            <w:r w:rsidRPr="00FA72DB">
              <w:rPr>
                <w:rFonts w:cs="Times New Roman"/>
                <w:sz w:val="18"/>
                <w:szCs w:val="18"/>
              </w:rPr>
              <w:t xml:space="preserve">CAT </w:t>
            </w:r>
            <w:r w:rsidR="00ED7D70" w:rsidRPr="00FA72DB">
              <w:rPr>
                <w:rFonts w:cs="Times New Roman"/>
                <w:sz w:val="18"/>
                <w:szCs w:val="18"/>
              </w:rPr>
              <w:t>III</w:t>
            </w:r>
          </w:p>
        </w:tc>
        <w:tc>
          <w:tcPr>
            <w:tcW w:w="2748" w:type="dxa"/>
            <w:gridSpan w:val="2"/>
            <w:vMerge/>
            <w:tcBorders>
              <w:left w:val="thinThickThinSmallGap" w:sz="24" w:space="0" w:color="auto"/>
            </w:tcBorders>
            <w:shd w:val="clear" w:color="auto" w:fill="FFFFFF" w:themeFill="background1"/>
          </w:tcPr>
          <w:p w:rsidR="00B93891" w:rsidRPr="00FA72DB" w:rsidRDefault="00B93891" w:rsidP="00190E48">
            <w:pPr>
              <w:pStyle w:val="ListParagraph"/>
              <w:spacing w:after="0" w:line="240" w:lineRule="exact"/>
              <w:ind w:left="0"/>
              <w:jc w:val="both"/>
              <w:rPr>
                <w:rFonts w:cs="Times New Roman"/>
                <w:sz w:val="18"/>
                <w:szCs w:val="18"/>
              </w:rPr>
            </w:pPr>
          </w:p>
        </w:tc>
        <w:tc>
          <w:tcPr>
            <w:tcW w:w="674" w:type="dxa"/>
            <w:vMerge/>
            <w:shd w:val="clear" w:color="auto" w:fill="FFFFFF" w:themeFill="background1"/>
          </w:tcPr>
          <w:p w:rsidR="00B93891" w:rsidRPr="00FA72DB" w:rsidRDefault="00B93891" w:rsidP="005709F7">
            <w:pPr>
              <w:pStyle w:val="ListParagraph"/>
              <w:spacing w:after="0" w:line="240" w:lineRule="exact"/>
              <w:ind w:left="0"/>
              <w:jc w:val="center"/>
              <w:rPr>
                <w:rFonts w:cs="Times New Roman"/>
                <w:sz w:val="18"/>
                <w:szCs w:val="18"/>
              </w:rPr>
            </w:pPr>
          </w:p>
        </w:tc>
        <w:tc>
          <w:tcPr>
            <w:tcW w:w="811" w:type="dxa"/>
            <w:vMerge/>
            <w:shd w:val="clear" w:color="auto" w:fill="FFFFFF" w:themeFill="background1"/>
          </w:tcPr>
          <w:p w:rsidR="00B93891" w:rsidRPr="00FA72DB" w:rsidRDefault="00B93891" w:rsidP="005709F7">
            <w:pPr>
              <w:pStyle w:val="ListParagraph"/>
              <w:spacing w:after="0" w:line="240" w:lineRule="exact"/>
              <w:ind w:left="0"/>
              <w:jc w:val="center"/>
              <w:rPr>
                <w:rFonts w:cs="Times New Roman"/>
                <w:sz w:val="18"/>
                <w:szCs w:val="18"/>
              </w:rPr>
            </w:pPr>
          </w:p>
        </w:tc>
        <w:tc>
          <w:tcPr>
            <w:tcW w:w="990" w:type="dxa"/>
            <w:vMerge/>
            <w:shd w:val="clear" w:color="auto" w:fill="FFFFFF" w:themeFill="background1"/>
          </w:tcPr>
          <w:p w:rsidR="00B93891" w:rsidRPr="00FA72DB" w:rsidRDefault="00B93891" w:rsidP="005709F7">
            <w:pPr>
              <w:pStyle w:val="ListParagraph"/>
              <w:spacing w:after="0" w:line="240" w:lineRule="exact"/>
              <w:ind w:left="0"/>
              <w:jc w:val="center"/>
              <w:rPr>
                <w:rFonts w:cs="Times New Roman"/>
                <w:sz w:val="18"/>
                <w:szCs w:val="18"/>
              </w:rPr>
            </w:pPr>
          </w:p>
        </w:tc>
      </w:tr>
      <w:tr w:rsidR="00C45793" w:rsidRPr="002A685E" w:rsidTr="00ED7D70">
        <w:trPr>
          <w:trHeight w:val="260"/>
          <w:jc w:val="center"/>
        </w:trPr>
        <w:tc>
          <w:tcPr>
            <w:tcW w:w="4047" w:type="dxa"/>
            <w:gridSpan w:val="4"/>
            <w:vMerge w:val="restart"/>
            <w:tcBorders>
              <w:right w:val="thinThickThinSmallGap" w:sz="24" w:space="0" w:color="auto"/>
            </w:tcBorders>
            <w:shd w:val="clear" w:color="auto" w:fill="FFFFFF" w:themeFill="background1"/>
          </w:tcPr>
          <w:p w:rsidR="00C45793" w:rsidRPr="00FA72DB" w:rsidRDefault="00C45793" w:rsidP="00CD1EF2">
            <w:pPr>
              <w:pStyle w:val="ListParagraph"/>
              <w:spacing w:line="240" w:lineRule="exact"/>
              <w:ind w:left="0"/>
              <w:jc w:val="center"/>
              <w:rPr>
                <w:rFonts w:cs="Times New Roman"/>
                <w:sz w:val="18"/>
                <w:szCs w:val="18"/>
              </w:rPr>
            </w:pPr>
            <w:r w:rsidRPr="00FA72DB">
              <w:rPr>
                <w:rFonts w:cs="Times New Roman"/>
                <w:sz w:val="18"/>
                <w:szCs w:val="18"/>
              </w:rPr>
              <w:t>↓No Additional MEB</w:t>
            </w:r>
            <w:r w:rsidR="00ED7D70" w:rsidRPr="00FA72DB">
              <w:rPr>
                <w:rFonts w:cs="Times New Roman"/>
                <w:sz w:val="18"/>
                <w:szCs w:val="18"/>
              </w:rPr>
              <w:t>/PEB</w:t>
            </w:r>
            <w:r w:rsidRPr="00FA72DB">
              <w:rPr>
                <w:rFonts w:cs="Times New Roman"/>
                <w:sz w:val="18"/>
                <w:szCs w:val="18"/>
              </w:rPr>
              <w:t xml:space="preserve"> Entries↓</w:t>
            </w:r>
          </w:p>
        </w:tc>
        <w:tc>
          <w:tcPr>
            <w:tcW w:w="2748" w:type="dxa"/>
            <w:gridSpan w:val="2"/>
            <w:tcBorders>
              <w:left w:val="thinThickThinSmallGap" w:sz="24" w:space="0" w:color="auto"/>
            </w:tcBorders>
            <w:shd w:val="clear" w:color="auto" w:fill="FFFFFF" w:themeFill="background1"/>
          </w:tcPr>
          <w:p w:rsidR="00C45793" w:rsidRPr="00FA72DB" w:rsidRDefault="00C45793" w:rsidP="005442D4">
            <w:pPr>
              <w:spacing w:line="240" w:lineRule="exact"/>
              <w:jc w:val="both"/>
              <w:rPr>
                <w:rFonts w:cs="Times New Roman"/>
                <w:color w:val="auto"/>
                <w:sz w:val="18"/>
                <w:szCs w:val="18"/>
              </w:rPr>
            </w:pPr>
            <w:r w:rsidRPr="00FA72DB">
              <w:rPr>
                <w:rFonts w:cs="Times New Roman"/>
                <w:color w:val="auto"/>
                <w:sz w:val="18"/>
                <w:szCs w:val="18"/>
              </w:rPr>
              <w:t>PTSD</w:t>
            </w:r>
            <w:r w:rsidR="006F3DFB">
              <w:rPr>
                <w:rFonts w:cs="Times New Roman"/>
                <w:color w:val="auto"/>
                <w:sz w:val="18"/>
                <w:szCs w:val="18"/>
              </w:rPr>
              <w:t xml:space="preserve"> with Depression </w:t>
            </w:r>
            <w:proofErr w:type="spellStart"/>
            <w:r w:rsidR="006F3DFB">
              <w:rPr>
                <w:rFonts w:cs="Times New Roman"/>
                <w:color w:val="auto"/>
                <w:sz w:val="18"/>
                <w:szCs w:val="18"/>
              </w:rPr>
              <w:t>fr</w:t>
            </w:r>
            <w:proofErr w:type="spellEnd"/>
            <w:r w:rsidR="006F3DFB">
              <w:rPr>
                <w:rFonts w:cs="Times New Roman"/>
                <w:color w:val="auto"/>
                <w:sz w:val="18"/>
                <w:szCs w:val="18"/>
              </w:rPr>
              <w:t xml:space="preserve"> Pain …</w:t>
            </w:r>
          </w:p>
        </w:tc>
        <w:tc>
          <w:tcPr>
            <w:tcW w:w="674" w:type="dxa"/>
            <w:shd w:val="clear" w:color="auto" w:fill="FFFFFF" w:themeFill="background1"/>
          </w:tcPr>
          <w:p w:rsidR="00C45793" w:rsidRPr="00FA72DB" w:rsidRDefault="00C45793" w:rsidP="005709F7">
            <w:pPr>
              <w:pStyle w:val="ListParagraph"/>
              <w:spacing w:after="0" w:line="240" w:lineRule="exact"/>
              <w:ind w:left="0"/>
              <w:jc w:val="center"/>
              <w:rPr>
                <w:rFonts w:cs="Times New Roman"/>
                <w:sz w:val="18"/>
                <w:szCs w:val="18"/>
              </w:rPr>
            </w:pPr>
            <w:r w:rsidRPr="00FA72DB">
              <w:rPr>
                <w:rFonts w:cs="Times New Roman"/>
                <w:sz w:val="18"/>
                <w:szCs w:val="18"/>
              </w:rPr>
              <w:t>9411</w:t>
            </w:r>
          </w:p>
        </w:tc>
        <w:tc>
          <w:tcPr>
            <w:tcW w:w="811" w:type="dxa"/>
            <w:shd w:val="clear" w:color="auto" w:fill="FFFFFF" w:themeFill="background1"/>
          </w:tcPr>
          <w:p w:rsidR="00C45793" w:rsidRPr="00FA72DB" w:rsidRDefault="00731D0B" w:rsidP="005709F7">
            <w:pPr>
              <w:pStyle w:val="ListParagraph"/>
              <w:spacing w:after="0" w:line="240" w:lineRule="exact"/>
              <w:ind w:left="0"/>
              <w:jc w:val="center"/>
              <w:rPr>
                <w:rFonts w:cs="Times New Roman"/>
                <w:sz w:val="18"/>
                <w:szCs w:val="18"/>
              </w:rPr>
            </w:pPr>
            <w:r w:rsidRPr="00FA72DB">
              <w:rPr>
                <w:rFonts w:cs="Times New Roman"/>
                <w:sz w:val="18"/>
                <w:szCs w:val="18"/>
              </w:rPr>
              <w:t>5</w:t>
            </w:r>
            <w:r w:rsidR="00C45793" w:rsidRPr="00FA72DB">
              <w:rPr>
                <w:rFonts w:cs="Times New Roman"/>
                <w:sz w:val="18"/>
                <w:szCs w:val="18"/>
              </w:rPr>
              <w:t>0%</w:t>
            </w:r>
          </w:p>
        </w:tc>
        <w:tc>
          <w:tcPr>
            <w:tcW w:w="990" w:type="dxa"/>
            <w:shd w:val="clear" w:color="auto" w:fill="FFFFFF" w:themeFill="background1"/>
          </w:tcPr>
          <w:p w:rsidR="00C45793" w:rsidRPr="00FA72DB" w:rsidRDefault="00C45793" w:rsidP="00B93891">
            <w:pPr>
              <w:pStyle w:val="ListParagraph"/>
              <w:spacing w:after="0" w:line="240" w:lineRule="exact"/>
              <w:ind w:left="0"/>
              <w:jc w:val="center"/>
              <w:rPr>
                <w:rFonts w:cs="Times New Roman"/>
                <w:sz w:val="18"/>
                <w:szCs w:val="18"/>
              </w:rPr>
            </w:pPr>
            <w:r w:rsidRPr="00FA72DB">
              <w:rPr>
                <w:rFonts w:cs="Times New Roman"/>
                <w:sz w:val="18"/>
                <w:szCs w:val="18"/>
              </w:rPr>
              <w:t>20080505</w:t>
            </w:r>
          </w:p>
        </w:tc>
      </w:tr>
      <w:tr w:rsidR="00ED7D70" w:rsidRPr="002A685E" w:rsidTr="00ED7D70">
        <w:trPr>
          <w:trHeight w:val="188"/>
          <w:jc w:val="center"/>
        </w:trPr>
        <w:tc>
          <w:tcPr>
            <w:tcW w:w="4047" w:type="dxa"/>
            <w:gridSpan w:val="4"/>
            <w:vMerge/>
            <w:tcBorders>
              <w:bottom w:val="single" w:sz="4" w:space="0" w:color="000000" w:themeColor="text1"/>
              <w:right w:val="thinThickThinSmallGap" w:sz="24" w:space="0" w:color="auto"/>
            </w:tcBorders>
            <w:shd w:val="clear" w:color="auto" w:fill="FFFFFF" w:themeFill="background1"/>
          </w:tcPr>
          <w:p w:rsidR="00ED7D70" w:rsidRPr="00FA72DB" w:rsidRDefault="00ED7D70" w:rsidP="00CD1EF2">
            <w:pPr>
              <w:pStyle w:val="ListParagraph"/>
              <w:spacing w:line="240" w:lineRule="exact"/>
              <w:ind w:left="0"/>
              <w:jc w:val="center"/>
              <w:rPr>
                <w:rFonts w:cs="Times New Roman"/>
                <w:sz w:val="18"/>
                <w:szCs w:val="18"/>
              </w:rPr>
            </w:pPr>
          </w:p>
        </w:tc>
        <w:tc>
          <w:tcPr>
            <w:tcW w:w="2388" w:type="dxa"/>
            <w:tcBorders>
              <w:left w:val="thinThickThinSmallGap" w:sz="24" w:space="0" w:color="auto"/>
              <w:bottom w:val="single" w:sz="4" w:space="0" w:color="000000" w:themeColor="text1"/>
            </w:tcBorders>
            <w:shd w:val="clear" w:color="auto" w:fill="FFFFFF" w:themeFill="background1"/>
          </w:tcPr>
          <w:p w:rsidR="00ED7D70" w:rsidRPr="00FA72DB" w:rsidRDefault="00ED7D70" w:rsidP="00190E48">
            <w:pPr>
              <w:spacing w:line="240" w:lineRule="exact"/>
              <w:jc w:val="both"/>
              <w:rPr>
                <w:color w:val="auto"/>
                <w:sz w:val="18"/>
                <w:szCs w:val="18"/>
              </w:rPr>
            </w:pPr>
            <w:r w:rsidRPr="00FA72DB">
              <w:rPr>
                <w:color w:val="auto"/>
                <w:sz w:val="18"/>
                <w:szCs w:val="18"/>
              </w:rPr>
              <w:t>Headaches</w:t>
            </w:r>
            <w:r w:rsidR="00731D0B" w:rsidRPr="00FA72DB">
              <w:rPr>
                <w:color w:val="auto"/>
                <w:sz w:val="18"/>
                <w:szCs w:val="18"/>
              </w:rPr>
              <w:t>, Post-Traumatic</w:t>
            </w:r>
          </w:p>
        </w:tc>
        <w:tc>
          <w:tcPr>
            <w:tcW w:w="1034" w:type="dxa"/>
            <w:gridSpan w:val="2"/>
            <w:tcBorders>
              <w:bottom w:val="single" w:sz="4" w:space="0" w:color="000000" w:themeColor="text1"/>
            </w:tcBorders>
            <w:shd w:val="clear" w:color="auto" w:fill="FFFFFF" w:themeFill="background1"/>
          </w:tcPr>
          <w:p w:rsidR="00ED7D70" w:rsidRPr="00FA72DB" w:rsidRDefault="00ED7D70" w:rsidP="005709F7">
            <w:pPr>
              <w:pStyle w:val="ListParagraph"/>
              <w:spacing w:after="0" w:line="240" w:lineRule="exact"/>
              <w:ind w:left="0"/>
              <w:jc w:val="center"/>
              <w:rPr>
                <w:rFonts w:cs="Times New Roman"/>
                <w:sz w:val="18"/>
                <w:szCs w:val="18"/>
              </w:rPr>
            </w:pPr>
            <w:r w:rsidRPr="00FA72DB">
              <w:rPr>
                <w:rFonts w:cs="Times New Roman"/>
                <w:sz w:val="18"/>
                <w:szCs w:val="18"/>
              </w:rPr>
              <w:t>8045-8100</w:t>
            </w:r>
          </w:p>
        </w:tc>
        <w:tc>
          <w:tcPr>
            <w:tcW w:w="811" w:type="dxa"/>
            <w:tcBorders>
              <w:bottom w:val="single" w:sz="4" w:space="0" w:color="000000" w:themeColor="text1"/>
            </w:tcBorders>
            <w:shd w:val="clear" w:color="auto" w:fill="FFFFFF" w:themeFill="background1"/>
          </w:tcPr>
          <w:p w:rsidR="00ED7D70" w:rsidRPr="00FA72DB" w:rsidRDefault="00ED7D70" w:rsidP="005709F7">
            <w:pPr>
              <w:pStyle w:val="ListParagraph"/>
              <w:spacing w:after="0" w:line="240" w:lineRule="exact"/>
              <w:ind w:left="0"/>
              <w:jc w:val="center"/>
              <w:rPr>
                <w:rFonts w:cs="Times New Roman"/>
                <w:sz w:val="18"/>
                <w:szCs w:val="18"/>
              </w:rPr>
            </w:pPr>
            <w:r w:rsidRPr="00FA72DB">
              <w:rPr>
                <w:rFonts w:cs="Times New Roman"/>
                <w:sz w:val="18"/>
                <w:szCs w:val="18"/>
              </w:rPr>
              <w:t>50%</w:t>
            </w:r>
          </w:p>
        </w:tc>
        <w:tc>
          <w:tcPr>
            <w:tcW w:w="990" w:type="dxa"/>
            <w:tcBorders>
              <w:bottom w:val="single" w:sz="4" w:space="0" w:color="000000" w:themeColor="text1"/>
            </w:tcBorders>
            <w:shd w:val="clear" w:color="auto" w:fill="FFFFFF" w:themeFill="background1"/>
          </w:tcPr>
          <w:p w:rsidR="00ED7D70" w:rsidRPr="00FA72DB" w:rsidRDefault="00ED7D70" w:rsidP="005709F7">
            <w:pPr>
              <w:pStyle w:val="ListParagraph"/>
              <w:spacing w:after="0" w:line="240" w:lineRule="exact"/>
              <w:ind w:left="0"/>
              <w:jc w:val="center"/>
              <w:rPr>
                <w:rFonts w:cs="Times New Roman"/>
                <w:sz w:val="18"/>
                <w:szCs w:val="18"/>
              </w:rPr>
            </w:pPr>
            <w:r w:rsidRPr="00FA72DB">
              <w:rPr>
                <w:rFonts w:cs="Times New Roman"/>
                <w:sz w:val="18"/>
                <w:szCs w:val="18"/>
              </w:rPr>
              <w:t>20080318</w:t>
            </w:r>
          </w:p>
        </w:tc>
      </w:tr>
      <w:tr w:rsidR="00C45793" w:rsidRPr="002A685E" w:rsidTr="00ED7D70">
        <w:trPr>
          <w:trHeight w:val="125"/>
          <w:jc w:val="center"/>
        </w:trPr>
        <w:tc>
          <w:tcPr>
            <w:tcW w:w="4047" w:type="dxa"/>
            <w:gridSpan w:val="4"/>
            <w:vMerge/>
            <w:tcBorders>
              <w:right w:val="thinThickThinSmallGap" w:sz="24" w:space="0" w:color="auto"/>
            </w:tcBorders>
            <w:shd w:val="clear" w:color="auto" w:fill="FFFFFF" w:themeFill="background1"/>
          </w:tcPr>
          <w:p w:rsidR="00C45793" w:rsidRPr="00FA72DB" w:rsidRDefault="00C45793" w:rsidP="00190E48">
            <w:pPr>
              <w:pStyle w:val="ListParagraph"/>
              <w:spacing w:after="0" w:line="240" w:lineRule="exact"/>
              <w:ind w:left="0"/>
              <w:jc w:val="both"/>
              <w:rPr>
                <w:rFonts w:cs="Times New Roman"/>
                <w:sz w:val="18"/>
                <w:szCs w:val="18"/>
              </w:rPr>
            </w:pPr>
          </w:p>
        </w:tc>
        <w:tc>
          <w:tcPr>
            <w:tcW w:w="2748" w:type="dxa"/>
            <w:gridSpan w:val="2"/>
            <w:tcBorders>
              <w:left w:val="thinThickThinSmallGap" w:sz="24" w:space="0" w:color="auto"/>
            </w:tcBorders>
            <w:shd w:val="clear" w:color="auto" w:fill="FFFFFF" w:themeFill="background1"/>
          </w:tcPr>
          <w:p w:rsidR="00C45793" w:rsidRPr="00FA72DB" w:rsidRDefault="00C45793" w:rsidP="00190E48">
            <w:pPr>
              <w:spacing w:line="240" w:lineRule="exact"/>
              <w:jc w:val="both"/>
              <w:rPr>
                <w:color w:val="auto"/>
                <w:sz w:val="18"/>
                <w:szCs w:val="18"/>
              </w:rPr>
            </w:pPr>
            <w:r w:rsidRPr="00FA72DB">
              <w:rPr>
                <w:color w:val="auto"/>
                <w:sz w:val="18"/>
                <w:szCs w:val="18"/>
              </w:rPr>
              <w:t>Right Hip Strain</w:t>
            </w:r>
          </w:p>
        </w:tc>
        <w:tc>
          <w:tcPr>
            <w:tcW w:w="674" w:type="dxa"/>
            <w:tcBorders>
              <w:right w:val="single" w:sz="4" w:space="0" w:color="auto"/>
            </w:tcBorders>
            <w:shd w:val="clear" w:color="auto" w:fill="FFFFFF" w:themeFill="background1"/>
          </w:tcPr>
          <w:p w:rsidR="00C45793" w:rsidRPr="00FA72DB" w:rsidRDefault="00C45793" w:rsidP="005709F7">
            <w:pPr>
              <w:pStyle w:val="ListParagraph"/>
              <w:spacing w:after="0" w:line="240" w:lineRule="exact"/>
              <w:ind w:left="0"/>
              <w:jc w:val="center"/>
              <w:rPr>
                <w:rFonts w:cs="Times New Roman"/>
                <w:sz w:val="18"/>
                <w:szCs w:val="18"/>
              </w:rPr>
            </w:pPr>
            <w:r w:rsidRPr="00FA72DB">
              <w:rPr>
                <w:rFonts w:cs="Times New Roman"/>
                <w:sz w:val="18"/>
                <w:szCs w:val="18"/>
              </w:rPr>
              <w:t>5014</w:t>
            </w:r>
          </w:p>
        </w:tc>
        <w:tc>
          <w:tcPr>
            <w:tcW w:w="811" w:type="dxa"/>
            <w:tcBorders>
              <w:left w:val="single" w:sz="4" w:space="0" w:color="auto"/>
            </w:tcBorders>
            <w:shd w:val="clear" w:color="auto" w:fill="FFFFFF" w:themeFill="background1"/>
          </w:tcPr>
          <w:p w:rsidR="00C45793" w:rsidRPr="00FA72DB" w:rsidRDefault="00C45793" w:rsidP="005709F7">
            <w:pPr>
              <w:pStyle w:val="ListParagraph"/>
              <w:spacing w:after="0" w:line="240" w:lineRule="exact"/>
              <w:ind w:left="0"/>
              <w:jc w:val="center"/>
              <w:rPr>
                <w:rFonts w:cs="Times New Roman"/>
                <w:sz w:val="18"/>
                <w:szCs w:val="18"/>
              </w:rPr>
            </w:pPr>
            <w:r w:rsidRPr="00FA72DB">
              <w:rPr>
                <w:rFonts w:cs="Times New Roman"/>
                <w:sz w:val="18"/>
                <w:szCs w:val="18"/>
              </w:rPr>
              <w:t>10%</w:t>
            </w:r>
          </w:p>
        </w:tc>
        <w:tc>
          <w:tcPr>
            <w:tcW w:w="990" w:type="dxa"/>
            <w:shd w:val="clear" w:color="auto" w:fill="FFFFFF" w:themeFill="background1"/>
          </w:tcPr>
          <w:p w:rsidR="00C45793" w:rsidRPr="00FA72DB" w:rsidRDefault="00C45793" w:rsidP="005709F7">
            <w:pPr>
              <w:pStyle w:val="ListParagraph"/>
              <w:spacing w:after="0" w:line="240" w:lineRule="exact"/>
              <w:ind w:left="0"/>
              <w:jc w:val="center"/>
              <w:rPr>
                <w:rFonts w:cs="Times New Roman"/>
                <w:sz w:val="18"/>
                <w:szCs w:val="18"/>
              </w:rPr>
            </w:pPr>
            <w:r w:rsidRPr="00FA72DB">
              <w:rPr>
                <w:rFonts w:cs="Times New Roman"/>
                <w:sz w:val="18"/>
                <w:szCs w:val="18"/>
              </w:rPr>
              <w:t>20080318</w:t>
            </w:r>
          </w:p>
        </w:tc>
      </w:tr>
      <w:tr w:rsidR="00C45793" w:rsidRPr="002A685E" w:rsidTr="00ED7D70">
        <w:trPr>
          <w:trHeight w:val="228"/>
          <w:jc w:val="center"/>
        </w:trPr>
        <w:tc>
          <w:tcPr>
            <w:tcW w:w="4047" w:type="dxa"/>
            <w:gridSpan w:val="4"/>
            <w:vMerge/>
            <w:tcBorders>
              <w:right w:val="thinThickThinSmallGap" w:sz="24" w:space="0" w:color="auto"/>
            </w:tcBorders>
            <w:shd w:val="clear" w:color="auto" w:fill="FFFFFF" w:themeFill="background1"/>
          </w:tcPr>
          <w:p w:rsidR="00C45793" w:rsidRPr="00FA72DB" w:rsidRDefault="00C45793" w:rsidP="00190E48">
            <w:pPr>
              <w:pStyle w:val="ListParagraph"/>
              <w:spacing w:after="0" w:line="240" w:lineRule="exact"/>
              <w:ind w:left="0"/>
              <w:jc w:val="both"/>
              <w:rPr>
                <w:rFonts w:cs="Times New Roman"/>
                <w:sz w:val="18"/>
                <w:szCs w:val="18"/>
              </w:rPr>
            </w:pPr>
          </w:p>
        </w:tc>
        <w:tc>
          <w:tcPr>
            <w:tcW w:w="2748" w:type="dxa"/>
            <w:gridSpan w:val="2"/>
            <w:tcBorders>
              <w:left w:val="thinThickThinSmallGap" w:sz="24" w:space="0" w:color="auto"/>
              <w:bottom w:val="single" w:sz="4" w:space="0" w:color="auto"/>
              <w:right w:val="single" w:sz="4" w:space="0" w:color="auto"/>
            </w:tcBorders>
            <w:shd w:val="clear" w:color="auto" w:fill="FFFFFF" w:themeFill="background1"/>
          </w:tcPr>
          <w:p w:rsidR="00C45793" w:rsidRPr="00FA72DB" w:rsidRDefault="00C45793" w:rsidP="00C60C54">
            <w:pPr>
              <w:pStyle w:val="ListParagraph"/>
              <w:spacing w:after="0" w:line="240" w:lineRule="exact"/>
              <w:ind w:left="0"/>
              <w:rPr>
                <w:rFonts w:cs="Times New Roman"/>
                <w:sz w:val="18"/>
                <w:szCs w:val="18"/>
              </w:rPr>
            </w:pPr>
            <w:r w:rsidRPr="00FA72DB">
              <w:rPr>
                <w:rFonts w:cs="Times New Roman"/>
                <w:sz w:val="18"/>
                <w:szCs w:val="18"/>
              </w:rPr>
              <w:t>Left Hip Strain</w:t>
            </w:r>
          </w:p>
        </w:tc>
        <w:tc>
          <w:tcPr>
            <w:tcW w:w="674" w:type="dxa"/>
            <w:tcBorders>
              <w:left w:val="single" w:sz="4" w:space="0" w:color="auto"/>
              <w:bottom w:val="single" w:sz="4" w:space="0" w:color="auto"/>
              <w:right w:val="single" w:sz="4" w:space="0" w:color="auto"/>
            </w:tcBorders>
            <w:shd w:val="clear" w:color="auto" w:fill="FFFFFF" w:themeFill="background1"/>
          </w:tcPr>
          <w:p w:rsidR="00C45793" w:rsidRPr="00FA72DB" w:rsidRDefault="00C45793" w:rsidP="009D216A">
            <w:pPr>
              <w:pStyle w:val="ListParagraph"/>
              <w:spacing w:after="0" w:line="240" w:lineRule="exact"/>
              <w:ind w:left="0"/>
              <w:jc w:val="center"/>
              <w:rPr>
                <w:rFonts w:cs="Times New Roman"/>
                <w:sz w:val="18"/>
                <w:szCs w:val="18"/>
              </w:rPr>
            </w:pPr>
            <w:r w:rsidRPr="00FA72DB">
              <w:rPr>
                <w:rFonts w:cs="Times New Roman"/>
                <w:sz w:val="18"/>
                <w:szCs w:val="18"/>
              </w:rPr>
              <w:t>5014</w:t>
            </w:r>
          </w:p>
        </w:tc>
        <w:tc>
          <w:tcPr>
            <w:tcW w:w="811" w:type="dxa"/>
            <w:tcBorders>
              <w:left w:val="single" w:sz="4" w:space="0" w:color="auto"/>
              <w:bottom w:val="single" w:sz="4" w:space="0" w:color="auto"/>
            </w:tcBorders>
            <w:shd w:val="clear" w:color="auto" w:fill="FFFFFF" w:themeFill="background1"/>
          </w:tcPr>
          <w:p w:rsidR="00C45793" w:rsidRPr="00FA72DB" w:rsidRDefault="00C45793" w:rsidP="009D216A">
            <w:pPr>
              <w:pStyle w:val="ListParagraph"/>
              <w:spacing w:after="0" w:line="240" w:lineRule="exact"/>
              <w:ind w:left="0"/>
              <w:jc w:val="center"/>
              <w:rPr>
                <w:rFonts w:cs="Times New Roman"/>
                <w:sz w:val="18"/>
                <w:szCs w:val="18"/>
              </w:rPr>
            </w:pPr>
            <w:r w:rsidRPr="00FA72DB">
              <w:rPr>
                <w:rFonts w:cs="Times New Roman"/>
                <w:sz w:val="18"/>
                <w:szCs w:val="18"/>
              </w:rPr>
              <w:t>10%</w:t>
            </w:r>
          </w:p>
        </w:tc>
        <w:tc>
          <w:tcPr>
            <w:tcW w:w="990" w:type="dxa"/>
            <w:tcBorders>
              <w:bottom w:val="single" w:sz="4" w:space="0" w:color="auto"/>
            </w:tcBorders>
            <w:shd w:val="clear" w:color="auto" w:fill="FFFFFF" w:themeFill="background1"/>
          </w:tcPr>
          <w:p w:rsidR="00C45793" w:rsidRPr="00FA72DB" w:rsidRDefault="00C45793" w:rsidP="005709F7">
            <w:pPr>
              <w:pStyle w:val="ListParagraph"/>
              <w:spacing w:after="0" w:line="240" w:lineRule="exact"/>
              <w:ind w:left="0"/>
              <w:jc w:val="center"/>
              <w:rPr>
                <w:rFonts w:cs="Times New Roman"/>
                <w:sz w:val="18"/>
                <w:szCs w:val="18"/>
              </w:rPr>
            </w:pPr>
            <w:r w:rsidRPr="00FA72DB">
              <w:rPr>
                <w:rFonts w:cs="Times New Roman"/>
                <w:sz w:val="18"/>
                <w:szCs w:val="18"/>
              </w:rPr>
              <w:t>20080318</w:t>
            </w:r>
          </w:p>
        </w:tc>
      </w:tr>
      <w:tr w:rsidR="00C45793" w:rsidRPr="002A685E" w:rsidTr="00ED7D70">
        <w:trPr>
          <w:trHeight w:val="219"/>
          <w:jc w:val="center"/>
        </w:trPr>
        <w:tc>
          <w:tcPr>
            <w:tcW w:w="4047" w:type="dxa"/>
            <w:gridSpan w:val="4"/>
            <w:vMerge/>
            <w:tcBorders>
              <w:right w:val="thinThickThinSmallGap" w:sz="24" w:space="0" w:color="auto"/>
            </w:tcBorders>
            <w:shd w:val="clear" w:color="auto" w:fill="FFFFFF" w:themeFill="background1"/>
          </w:tcPr>
          <w:p w:rsidR="00C45793" w:rsidRPr="00FA72DB" w:rsidRDefault="00C45793" w:rsidP="00190E48">
            <w:pPr>
              <w:pStyle w:val="ListParagraph"/>
              <w:spacing w:after="0" w:line="240" w:lineRule="exact"/>
              <w:ind w:left="0"/>
              <w:jc w:val="both"/>
              <w:rPr>
                <w:rFonts w:cs="Times New Roman"/>
                <w:sz w:val="18"/>
                <w:szCs w:val="18"/>
              </w:rPr>
            </w:pPr>
          </w:p>
        </w:tc>
        <w:tc>
          <w:tcPr>
            <w:tcW w:w="2748" w:type="dxa"/>
            <w:gridSpan w:val="2"/>
            <w:tcBorders>
              <w:top w:val="single" w:sz="4" w:space="0" w:color="auto"/>
              <w:left w:val="thinThickThinSmallGap" w:sz="24" w:space="0" w:color="auto"/>
              <w:bottom w:val="single" w:sz="4" w:space="0" w:color="auto"/>
              <w:right w:val="single" w:sz="4" w:space="0" w:color="auto"/>
            </w:tcBorders>
            <w:shd w:val="clear" w:color="auto" w:fill="FFFFFF" w:themeFill="background1"/>
          </w:tcPr>
          <w:p w:rsidR="00C45793" w:rsidRPr="00FA72DB" w:rsidRDefault="00C45793" w:rsidP="00C60C54">
            <w:pPr>
              <w:pStyle w:val="ListParagraph"/>
              <w:spacing w:line="240" w:lineRule="exact"/>
              <w:ind w:left="0"/>
              <w:rPr>
                <w:rFonts w:cs="Times New Roman"/>
                <w:sz w:val="18"/>
                <w:szCs w:val="18"/>
              </w:rPr>
            </w:pPr>
            <w:r w:rsidRPr="00FA72DB">
              <w:rPr>
                <w:rFonts w:cs="Times New Roman"/>
                <w:sz w:val="18"/>
                <w:szCs w:val="18"/>
              </w:rPr>
              <w:t>Tinnitus</w:t>
            </w: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C45793" w:rsidRPr="00FA72DB" w:rsidRDefault="00C45793" w:rsidP="009D216A">
            <w:pPr>
              <w:pStyle w:val="ListParagraph"/>
              <w:spacing w:line="240" w:lineRule="exact"/>
              <w:ind w:left="0"/>
              <w:jc w:val="center"/>
              <w:rPr>
                <w:rFonts w:cs="Times New Roman"/>
                <w:sz w:val="18"/>
                <w:szCs w:val="18"/>
              </w:rPr>
            </w:pPr>
            <w:r w:rsidRPr="00FA72DB">
              <w:rPr>
                <w:rFonts w:cs="Times New Roman"/>
                <w:sz w:val="18"/>
                <w:szCs w:val="18"/>
              </w:rPr>
              <w:t>6260</w:t>
            </w:r>
          </w:p>
        </w:tc>
        <w:tc>
          <w:tcPr>
            <w:tcW w:w="811" w:type="dxa"/>
            <w:tcBorders>
              <w:top w:val="single" w:sz="4" w:space="0" w:color="auto"/>
              <w:left w:val="single" w:sz="4" w:space="0" w:color="auto"/>
              <w:bottom w:val="single" w:sz="4" w:space="0" w:color="auto"/>
            </w:tcBorders>
            <w:shd w:val="clear" w:color="auto" w:fill="FFFFFF" w:themeFill="background1"/>
          </w:tcPr>
          <w:p w:rsidR="00C45793" w:rsidRPr="00FA72DB" w:rsidRDefault="00C45793" w:rsidP="009D216A">
            <w:pPr>
              <w:pStyle w:val="ListParagraph"/>
              <w:spacing w:line="240" w:lineRule="exact"/>
              <w:ind w:left="0"/>
              <w:jc w:val="center"/>
              <w:rPr>
                <w:rFonts w:cs="Times New Roman"/>
                <w:sz w:val="18"/>
                <w:szCs w:val="18"/>
              </w:rPr>
            </w:pPr>
            <w:r w:rsidRPr="00FA72DB">
              <w:rPr>
                <w:rFonts w:cs="Times New Roman"/>
                <w:sz w:val="18"/>
                <w:szCs w:val="18"/>
              </w:rPr>
              <w:t>10%</w:t>
            </w:r>
          </w:p>
        </w:tc>
        <w:tc>
          <w:tcPr>
            <w:tcW w:w="990" w:type="dxa"/>
            <w:tcBorders>
              <w:top w:val="single" w:sz="4" w:space="0" w:color="auto"/>
              <w:bottom w:val="single" w:sz="4" w:space="0" w:color="auto"/>
            </w:tcBorders>
            <w:shd w:val="clear" w:color="auto" w:fill="FFFFFF" w:themeFill="background1"/>
          </w:tcPr>
          <w:p w:rsidR="00C45793" w:rsidRPr="00FA72DB" w:rsidRDefault="00C45793" w:rsidP="005709F7">
            <w:pPr>
              <w:pStyle w:val="ListParagraph"/>
              <w:spacing w:after="0" w:line="240" w:lineRule="exact"/>
              <w:ind w:left="0"/>
              <w:jc w:val="center"/>
              <w:rPr>
                <w:rFonts w:cs="Times New Roman"/>
                <w:sz w:val="18"/>
                <w:szCs w:val="18"/>
              </w:rPr>
            </w:pPr>
            <w:r w:rsidRPr="00FA72DB">
              <w:rPr>
                <w:rFonts w:cs="Times New Roman"/>
                <w:sz w:val="18"/>
                <w:szCs w:val="18"/>
              </w:rPr>
              <w:t>20080320</w:t>
            </w:r>
          </w:p>
        </w:tc>
      </w:tr>
      <w:tr w:rsidR="00C45793" w:rsidRPr="002A685E" w:rsidTr="00ED7D70">
        <w:trPr>
          <w:trHeight w:val="209"/>
          <w:jc w:val="center"/>
        </w:trPr>
        <w:tc>
          <w:tcPr>
            <w:tcW w:w="4047" w:type="dxa"/>
            <w:gridSpan w:val="4"/>
            <w:vMerge/>
            <w:tcBorders>
              <w:right w:val="thinThickThinSmallGap" w:sz="24" w:space="0" w:color="auto"/>
            </w:tcBorders>
            <w:shd w:val="clear" w:color="auto" w:fill="FFFFFF" w:themeFill="background1"/>
          </w:tcPr>
          <w:p w:rsidR="00C45793" w:rsidRPr="00FA72DB" w:rsidRDefault="00C45793" w:rsidP="00190E48">
            <w:pPr>
              <w:pStyle w:val="ListParagraph"/>
              <w:spacing w:after="0" w:line="240" w:lineRule="exact"/>
              <w:ind w:left="0"/>
              <w:jc w:val="both"/>
              <w:rPr>
                <w:rFonts w:cs="Times New Roman"/>
                <w:sz w:val="18"/>
                <w:szCs w:val="18"/>
              </w:rPr>
            </w:pPr>
          </w:p>
        </w:tc>
        <w:tc>
          <w:tcPr>
            <w:tcW w:w="2748" w:type="dxa"/>
            <w:gridSpan w:val="2"/>
            <w:tcBorders>
              <w:top w:val="single" w:sz="4" w:space="0" w:color="auto"/>
              <w:left w:val="thinThickThinSmallGap" w:sz="24" w:space="0" w:color="auto"/>
              <w:bottom w:val="single" w:sz="4" w:space="0" w:color="auto"/>
              <w:right w:val="single" w:sz="4" w:space="0" w:color="auto"/>
            </w:tcBorders>
            <w:shd w:val="clear" w:color="auto" w:fill="FFFFFF" w:themeFill="background1"/>
          </w:tcPr>
          <w:p w:rsidR="00C45793" w:rsidRPr="00FA72DB" w:rsidRDefault="00C45793" w:rsidP="00C60C54">
            <w:pPr>
              <w:pStyle w:val="ListParagraph"/>
              <w:spacing w:line="240" w:lineRule="exact"/>
              <w:ind w:left="0"/>
              <w:rPr>
                <w:rFonts w:cs="Times New Roman"/>
                <w:sz w:val="18"/>
                <w:szCs w:val="18"/>
              </w:rPr>
            </w:pPr>
            <w:r w:rsidRPr="00FA72DB">
              <w:rPr>
                <w:rFonts w:cs="Times New Roman"/>
                <w:sz w:val="18"/>
                <w:szCs w:val="18"/>
              </w:rPr>
              <w:t>Callus, Foot</w:t>
            </w: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C45793" w:rsidRPr="00FA72DB" w:rsidRDefault="00C45793" w:rsidP="009D216A">
            <w:pPr>
              <w:pStyle w:val="ListParagraph"/>
              <w:spacing w:line="240" w:lineRule="exact"/>
              <w:ind w:left="0"/>
              <w:jc w:val="center"/>
              <w:rPr>
                <w:rFonts w:cs="Times New Roman"/>
                <w:sz w:val="18"/>
                <w:szCs w:val="18"/>
              </w:rPr>
            </w:pPr>
            <w:r w:rsidRPr="00FA72DB">
              <w:rPr>
                <w:rFonts w:cs="Times New Roman"/>
                <w:sz w:val="18"/>
                <w:szCs w:val="18"/>
              </w:rPr>
              <w:t>7804</w:t>
            </w:r>
          </w:p>
        </w:tc>
        <w:tc>
          <w:tcPr>
            <w:tcW w:w="811" w:type="dxa"/>
            <w:tcBorders>
              <w:top w:val="single" w:sz="4" w:space="0" w:color="auto"/>
              <w:left w:val="single" w:sz="4" w:space="0" w:color="auto"/>
              <w:bottom w:val="single" w:sz="4" w:space="0" w:color="auto"/>
            </w:tcBorders>
            <w:shd w:val="clear" w:color="auto" w:fill="FFFFFF" w:themeFill="background1"/>
          </w:tcPr>
          <w:p w:rsidR="00C45793" w:rsidRPr="00FA72DB" w:rsidRDefault="00C45793" w:rsidP="009D216A">
            <w:pPr>
              <w:pStyle w:val="ListParagraph"/>
              <w:spacing w:line="240" w:lineRule="exact"/>
              <w:ind w:left="0"/>
              <w:jc w:val="center"/>
              <w:rPr>
                <w:rFonts w:cs="Times New Roman"/>
                <w:sz w:val="18"/>
                <w:szCs w:val="18"/>
              </w:rPr>
            </w:pPr>
            <w:r w:rsidRPr="00FA72DB">
              <w:rPr>
                <w:rFonts w:cs="Times New Roman"/>
                <w:sz w:val="18"/>
                <w:szCs w:val="18"/>
              </w:rPr>
              <w:t>10%</w:t>
            </w:r>
          </w:p>
        </w:tc>
        <w:tc>
          <w:tcPr>
            <w:tcW w:w="990" w:type="dxa"/>
            <w:tcBorders>
              <w:top w:val="single" w:sz="4" w:space="0" w:color="auto"/>
              <w:bottom w:val="single" w:sz="4" w:space="0" w:color="auto"/>
            </w:tcBorders>
            <w:shd w:val="clear" w:color="auto" w:fill="FFFFFF" w:themeFill="background1"/>
          </w:tcPr>
          <w:p w:rsidR="00C45793" w:rsidRPr="00FA72DB" w:rsidRDefault="00C45793" w:rsidP="005709F7">
            <w:pPr>
              <w:pStyle w:val="ListParagraph"/>
              <w:spacing w:after="0" w:line="240" w:lineRule="exact"/>
              <w:ind w:left="0"/>
              <w:jc w:val="center"/>
              <w:rPr>
                <w:rFonts w:cs="Times New Roman"/>
                <w:sz w:val="18"/>
                <w:szCs w:val="18"/>
              </w:rPr>
            </w:pPr>
            <w:r w:rsidRPr="00FA72DB">
              <w:rPr>
                <w:rFonts w:cs="Times New Roman"/>
                <w:sz w:val="18"/>
                <w:szCs w:val="18"/>
              </w:rPr>
              <w:t>20080318</w:t>
            </w:r>
          </w:p>
        </w:tc>
      </w:tr>
      <w:tr w:rsidR="00C45793" w:rsidRPr="002A685E" w:rsidTr="00ED7D70">
        <w:trPr>
          <w:trHeight w:val="197"/>
          <w:jc w:val="center"/>
        </w:trPr>
        <w:tc>
          <w:tcPr>
            <w:tcW w:w="4047" w:type="dxa"/>
            <w:gridSpan w:val="4"/>
            <w:vMerge/>
            <w:tcBorders>
              <w:right w:val="thinThickThinSmallGap" w:sz="24" w:space="0" w:color="auto"/>
            </w:tcBorders>
            <w:shd w:val="clear" w:color="auto" w:fill="FFFFFF" w:themeFill="background1"/>
          </w:tcPr>
          <w:p w:rsidR="00C45793" w:rsidRPr="00AF7266" w:rsidRDefault="00C45793" w:rsidP="00190E48">
            <w:pPr>
              <w:pStyle w:val="ListParagraph"/>
              <w:spacing w:after="0" w:line="240" w:lineRule="exact"/>
              <w:ind w:left="0"/>
              <w:jc w:val="both"/>
              <w:rPr>
                <w:rFonts w:cs="Times New Roman"/>
                <w:sz w:val="18"/>
                <w:szCs w:val="18"/>
                <w:highlight w:val="yellow"/>
              </w:rPr>
            </w:pPr>
          </w:p>
        </w:tc>
        <w:tc>
          <w:tcPr>
            <w:tcW w:w="4233" w:type="dxa"/>
            <w:gridSpan w:val="4"/>
            <w:tcBorders>
              <w:top w:val="single" w:sz="4" w:space="0" w:color="auto"/>
              <w:left w:val="thinThickThinSmallGap" w:sz="24" w:space="0" w:color="auto"/>
            </w:tcBorders>
            <w:shd w:val="clear" w:color="auto" w:fill="FFFFFF" w:themeFill="background1"/>
          </w:tcPr>
          <w:p w:rsidR="00C45793" w:rsidRDefault="00A12A1F" w:rsidP="009D216A">
            <w:pPr>
              <w:pStyle w:val="ListParagraph"/>
              <w:spacing w:line="240" w:lineRule="exact"/>
              <w:ind w:left="0"/>
              <w:jc w:val="center"/>
              <w:rPr>
                <w:rFonts w:cs="Times New Roman"/>
                <w:b/>
                <w:sz w:val="18"/>
                <w:szCs w:val="18"/>
              </w:rPr>
            </w:pPr>
            <w:r>
              <w:rPr>
                <w:rFonts w:cs="Times New Roman"/>
                <w:b/>
                <w:sz w:val="18"/>
                <w:szCs w:val="18"/>
              </w:rPr>
              <w:t>2</w:t>
            </w:r>
            <w:r w:rsidR="00C45793">
              <w:rPr>
                <w:rFonts w:cs="Times New Roman"/>
                <w:b/>
                <w:sz w:val="18"/>
                <w:szCs w:val="18"/>
              </w:rPr>
              <w:t xml:space="preserve"> x</w:t>
            </w:r>
            <w:r w:rsidR="00C45793" w:rsidRPr="008E744D">
              <w:rPr>
                <w:rFonts w:cs="Times New Roman"/>
                <w:b/>
                <w:sz w:val="18"/>
                <w:szCs w:val="18"/>
              </w:rPr>
              <w:t xml:space="preserve"> N</w:t>
            </w:r>
            <w:r w:rsidR="00C45793">
              <w:rPr>
                <w:rFonts w:cs="Times New Roman"/>
                <w:b/>
                <w:sz w:val="18"/>
                <w:szCs w:val="18"/>
              </w:rPr>
              <w:t xml:space="preserve">ot </w:t>
            </w:r>
            <w:r w:rsidR="00C45793" w:rsidRPr="008E744D">
              <w:rPr>
                <w:rFonts w:cs="Times New Roman"/>
                <w:b/>
                <w:sz w:val="18"/>
                <w:szCs w:val="18"/>
              </w:rPr>
              <w:t>S</w:t>
            </w:r>
            <w:r w:rsidR="00C45793">
              <w:rPr>
                <w:rFonts w:cs="Times New Roman"/>
                <w:b/>
                <w:sz w:val="18"/>
                <w:szCs w:val="18"/>
              </w:rPr>
              <w:t xml:space="preserve">ervice </w:t>
            </w:r>
            <w:r w:rsidR="00C45793" w:rsidRPr="008E744D">
              <w:rPr>
                <w:rFonts w:cs="Times New Roman"/>
                <w:b/>
                <w:sz w:val="18"/>
                <w:szCs w:val="18"/>
              </w:rPr>
              <w:t>C</w:t>
            </w:r>
            <w:r w:rsidR="00C45793">
              <w:rPr>
                <w:rFonts w:cs="Times New Roman"/>
                <w:b/>
                <w:sz w:val="18"/>
                <w:szCs w:val="18"/>
              </w:rPr>
              <w:t>onnected</w:t>
            </w:r>
            <w:r w:rsidR="00C45793" w:rsidRPr="008E744D">
              <w:rPr>
                <w:rFonts w:cs="Times New Roman"/>
                <w:b/>
                <w:sz w:val="18"/>
                <w:szCs w:val="18"/>
              </w:rPr>
              <w:t xml:space="preserve"> </w:t>
            </w:r>
          </w:p>
        </w:tc>
        <w:tc>
          <w:tcPr>
            <w:tcW w:w="990" w:type="dxa"/>
            <w:tcBorders>
              <w:top w:val="single" w:sz="4" w:space="0" w:color="auto"/>
            </w:tcBorders>
            <w:shd w:val="clear" w:color="auto" w:fill="FFFFFF" w:themeFill="background1"/>
          </w:tcPr>
          <w:p w:rsidR="00C45793" w:rsidRPr="00542C9A" w:rsidRDefault="00C45793" w:rsidP="005709F7">
            <w:pPr>
              <w:pStyle w:val="ListParagraph"/>
              <w:spacing w:after="0" w:line="240" w:lineRule="exact"/>
              <w:ind w:left="0"/>
              <w:jc w:val="center"/>
              <w:rPr>
                <w:rFonts w:cs="Times New Roman"/>
                <w:sz w:val="18"/>
                <w:szCs w:val="18"/>
              </w:rPr>
            </w:pPr>
          </w:p>
        </w:tc>
      </w:tr>
      <w:tr w:rsidR="00042C26" w:rsidRPr="002A685E" w:rsidTr="00ED7D70">
        <w:trPr>
          <w:trHeight w:val="287"/>
          <w:jc w:val="center"/>
        </w:trPr>
        <w:tc>
          <w:tcPr>
            <w:tcW w:w="4047" w:type="dxa"/>
            <w:gridSpan w:val="4"/>
            <w:tcBorders>
              <w:right w:val="thinThickThinSmallGap" w:sz="24" w:space="0" w:color="auto"/>
            </w:tcBorders>
            <w:shd w:val="clear" w:color="auto" w:fill="D9D9D9" w:themeFill="background1" w:themeFillShade="D9"/>
          </w:tcPr>
          <w:p w:rsidR="00042C26" w:rsidRPr="0085089F" w:rsidRDefault="00042C26" w:rsidP="009A48CE">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sidR="009A48CE">
              <w:rPr>
                <w:rFonts w:cs="Times New Roman"/>
                <w:b/>
                <w:sz w:val="20"/>
                <w:szCs w:val="20"/>
              </w:rPr>
              <w:t>1</w:t>
            </w:r>
            <w:r w:rsidRPr="00ED6A61">
              <w:rPr>
                <w:rFonts w:cs="Times New Roman"/>
                <w:b/>
                <w:sz w:val="20"/>
                <w:szCs w:val="20"/>
              </w:rPr>
              <w:t>0</w:t>
            </w:r>
            <w:r w:rsidRPr="0085089F">
              <w:rPr>
                <w:rFonts w:cs="Times New Roman"/>
                <w:b/>
                <w:sz w:val="20"/>
                <w:szCs w:val="20"/>
              </w:rPr>
              <w:t>%</w:t>
            </w:r>
          </w:p>
        </w:tc>
        <w:tc>
          <w:tcPr>
            <w:tcW w:w="5223" w:type="dxa"/>
            <w:gridSpan w:val="5"/>
            <w:tcBorders>
              <w:left w:val="thinThickThinSmallGap" w:sz="24" w:space="0" w:color="auto"/>
            </w:tcBorders>
            <w:shd w:val="clear" w:color="auto" w:fill="D9D9D9" w:themeFill="background1" w:themeFillShade="D9"/>
          </w:tcPr>
          <w:p w:rsidR="00042C26" w:rsidRPr="0085089F" w:rsidRDefault="00042C26" w:rsidP="009A48CE">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sidR="00ED7D70">
              <w:rPr>
                <w:rFonts w:cs="Times New Roman"/>
                <w:b/>
                <w:sz w:val="20"/>
                <w:szCs w:val="20"/>
              </w:rPr>
              <w:t xml:space="preserve"> </w:t>
            </w:r>
            <w:r w:rsidR="009A48CE">
              <w:rPr>
                <w:rFonts w:cs="Times New Roman"/>
                <w:b/>
                <w:sz w:val="20"/>
                <w:szCs w:val="20"/>
              </w:rPr>
              <w:t>100</w:t>
            </w:r>
            <w:r w:rsidRPr="00ED6A61">
              <w:rPr>
                <w:rFonts w:cs="Times New Roman"/>
                <w:b/>
                <w:sz w:val="20"/>
                <w:szCs w:val="20"/>
              </w:rPr>
              <w:t>%</w:t>
            </w:r>
          </w:p>
        </w:tc>
      </w:tr>
    </w:tbl>
    <w:p w:rsidR="002E289F" w:rsidRPr="00D573A7" w:rsidRDefault="002E289F" w:rsidP="002E289F">
      <w:pPr>
        <w:tabs>
          <w:tab w:val="left" w:pos="288"/>
          <w:tab w:val="left" w:pos="4752"/>
        </w:tabs>
        <w:spacing w:line="240" w:lineRule="exact"/>
        <w:jc w:val="both"/>
        <w:rPr>
          <w:rFonts w:asciiTheme="minorHAnsi" w:hAnsiTheme="minorHAnsi"/>
          <w:caps/>
          <w:color w:val="auto"/>
          <w:u w:val="single"/>
        </w:rPr>
      </w:pPr>
      <w:r w:rsidRPr="00D573A7">
        <w:rPr>
          <w:rFonts w:asciiTheme="minorHAnsi" w:hAnsiTheme="minorHAnsi"/>
          <w:color w:val="auto"/>
          <w:u w:val="single"/>
        </w:rPr>
        <w:t>______________________________________________________________________________</w:t>
      </w:r>
    </w:p>
    <w:p w:rsidR="00A90D55" w:rsidRPr="00D573A7" w:rsidRDefault="00A90D55" w:rsidP="00190E48">
      <w:pPr>
        <w:tabs>
          <w:tab w:val="left" w:pos="288"/>
          <w:tab w:val="left" w:pos="4752"/>
        </w:tabs>
        <w:spacing w:line="240" w:lineRule="exact"/>
        <w:jc w:val="both"/>
        <w:rPr>
          <w:color w:val="auto"/>
        </w:rPr>
      </w:pPr>
    </w:p>
    <w:p w:rsidR="00D315E4" w:rsidRDefault="002C6E5B" w:rsidP="007C578B">
      <w:pPr>
        <w:tabs>
          <w:tab w:val="left" w:pos="288"/>
          <w:tab w:val="left" w:pos="4752"/>
        </w:tabs>
        <w:spacing w:line="240" w:lineRule="exact"/>
        <w:jc w:val="both"/>
        <w:rPr>
          <w:rFonts w:asciiTheme="minorHAnsi" w:hAnsiTheme="minorHAnsi"/>
          <w:color w:val="auto"/>
          <w:szCs w:val="24"/>
        </w:rPr>
      </w:pPr>
      <w:r w:rsidRPr="00D573A7">
        <w:rPr>
          <w:rFonts w:asciiTheme="minorHAnsi" w:hAnsiTheme="minorHAnsi"/>
          <w:color w:val="auto"/>
          <w:szCs w:val="24"/>
          <w:u w:val="single"/>
        </w:rPr>
        <w:t>ANALYSIS</w:t>
      </w:r>
      <w:r w:rsidRPr="00542C9A">
        <w:rPr>
          <w:rFonts w:asciiTheme="minorHAnsi" w:hAnsiTheme="minorHAnsi"/>
          <w:color w:val="auto"/>
          <w:szCs w:val="24"/>
          <w:u w:val="single"/>
        </w:rPr>
        <w:t xml:space="preserve"> SUMMARY</w:t>
      </w:r>
      <w:r w:rsidRPr="00542C9A">
        <w:rPr>
          <w:rFonts w:asciiTheme="minorHAnsi" w:hAnsiTheme="minorHAnsi"/>
          <w:color w:val="auto"/>
          <w:szCs w:val="24"/>
        </w:rPr>
        <w:t>:</w:t>
      </w:r>
      <w:r w:rsidR="008776E4">
        <w:rPr>
          <w:rFonts w:asciiTheme="minorHAnsi" w:hAnsiTheme="minorHAnsi"/>
          <w:color w:val="auto"/>
          <w:szCs w:val="24"/>
        </w:rPr>
        <w:t xml:space="preserve">  </w:t>
      </w:r>
      <w:r w:rsidR="00D315E4">
        <w:rPr>
          <w:rFonts w:asciiTheme="minorHAnsi" w:hAnsiTheme="minorHAnsi"/>
          <w:color w:val="auto"/>
          <w:szCs w:val="24"/>
        </w:rPr>
        <w:t xml:space="preserve">The </w:t>
      </w:r>
      <w:r w:rsidR="007C578B">
        <w:rPr>
          <w:rFonts w:asciiTheme="minorHAnsi" w:hAnsiTheme="minorHAnsi"/>
          <w:color w:val="auto"/>
          <w:szCs w:val="24"/>
        </w:rPr>
        <w:t>S</w:t>
      </w:r>
      <w:r w:rsidR="00D315E4">
        <w:rPr>
          <w:rFonts w:asciiTheme="minorHAnsi" w:hAnsiTheme="minorHAnsi"/>
          <w:color w:val="auto"/>
          <w:szCs w:val="24"/>
        </w:rPr>
        <w:t xml:space="preserve">ervice coded the CI’s </w:t>
      </w:r>
      <w:r w:rsidR="007C578B">
        <w:rPr>
          <w:rFonts w:asciiTheme="minorHAnsi" w:hAnsiTheme="minorHAnsi"/>
          <w:color w:val="auto"/>
          <w:szCs w:val="24"/>
        </w:rPr>
        <w:t>“</w:t>
      </w:r>
      <w:r w:rsidR="007C578B" w:rsidRPr="00D315E4">
        <w:rPr>
          <w:rFonts w:asciiTheme="minorHAnsi" w:hAnsiTheme="minorHAnsi"/>
          <w:color w:val="auto"/>
          <w:szCs w:val="24"/>
        </w:rPr>
        <w:t>Chronic Pain Syndrome</w:t>
      </w:r>
      <w:r w:rsidR="007C578B" w:rsidRPr="007C578B">
        <w:rPr>
          <w:rFonts w:asciiTheme="minorHAnsi" w:hAnsiTheme="minorHAnsi"/>
          <w:color w:val="auto"/>
          <w:szCs w:val="24"/>
        </w:rPr>
        <w:t xml:space="preserve">; </w:t>
      </w:r>
      <w:r w:rsidR="007C578B">
        <w:rPr>
          <w:rFonts w:asciiTheme="minorHAnsi" w:hAnsiTheme="minorHAnsi"/>
          <w:color w:val="auto"/>
          <w:szCs w:val="24"/>
        </w:rPr>
        <w:t xml:space="preserve">Probable Myofascial Pain and/or Chronic Ligament Strain” (with associated category 2 </w:t>
      </w:r>
      <w:proofErr w:type="spellStart"/>
      <w:r w:rsidR="007C578B">
        <w:rPr>
          <w:rFonts w:asciiTheme="minorHAnsi" w:hAnsiTheme="minorHAnsi"/>
          <w:color w:val="auto"/>
          <w:szCs w:val="24"/>
        </w:rPr>
        <w:t>Cervicalgia</w:t>
      </w:r>
      <w:proofErr w:type="spellEnd"/>
      <w:r w:rsidR="007C578B">
        <w:rPr>
          <w:rFonts w:asciiTheme="minorHAnsi" w:hAnsiTheme="minorHAnsi"/>
          <w:color w:val="auto"/>
          <w:szCs w:val="24"/>
        </w:rPr>
        <w:t xml:space="preserve"> and Low Back Pain) </w:t>
      </w:r>
      <w:r w:rsidR="00D315E4">
        <w:rPr>
          <w:rFonts w:asciiTheme="minorHAnsi" w:hAnsiTheme="minorHAnsi"/>
          <w:color w:val="auto"/>
          <w:szCs w:val="24"/>
        </w:rPr>
        <w:t>condition under 5237 “Lumbosacral or cervical strain “for CI’s multi-segment back pain</w:t>
      </w:r>
      <w:r w:rsidR="007C578B">
        <w:rPr>
          <w:rFonts w:asciiTheme="minorHAnsi" w:hAnsiTheme="minorHAnsi"/>
          <w:color w:val="auto"/>
          <w:szCs w:val="24"/>
        </w:rPr>
        <w:t xml:space="preserve">.  </w:t>
      </w:r>
      <w:r w:rsidR="007C578B">
        <w:rPr>
          <w:rFonts w:asciiTheme="minorHAnsi" w:hAnsiTheme="minorHAnsi"/>
          <w:color w:val="auto"/>
          <w:szCs w:val="24"/>
        </w:rPr>
        <w:lastRenderedPageBreak/>
        <w:t xml:space="preserve">This was </w:t>
      </w:r>
      <w:r w:rsidR="00D315E4">
        <w:rPr>
          <w:rFonts w:asciiTheme="minorHAnsi" w:hAnsiTheme="minorHAnsi"/>
          <w:color w:val="auto"/>
          <w:szCs w:val="24"/>
        </w:rPr>
        <w:t xml:space="preserve">not IAW VASRD </w:t>
      </w:r>
      <w:proofErr w:type="gramStart"/>
      <w:r w:rsidR="00D315E4">
        <w:rPr>
          <w:rFonts w:asciiTheme="minorHAnsi" w:hAnsiTheme="minorHAnsi"/>
          <w:color w:val="auto"/>
          <w:szCs w:val="24"/>
        </w:rPr>
        <w:t>4.71a.,</w:t>
      </w:r>
      <w:proofErr w:type="gramEnd"/>
      <w:r w:rsidR="00D315E4">
        <w:rPr>
          <w:rFonts w:asciiTheme="minorHAnsi" w:hAnsiTheme="minorHAnsi"/>
          <w:color w:val="auto"/>
          <w:szCs w:val="24"/>
        </w:rPr>
        <w:t xml:space="preserve"> </w:t>
      </w:r>
      <w:r w:rsidR="00D315E4" w:rsidRPr="00D315E4">
        <w:rPr>
          <w:rFonts w:asciiTheme="minorHAnsi" w:hAnsiTheme="minorHAnsi"/>
          <w:color w:val="auto"/>
          <w:szCs w:val="24"/>
        </w:rPr>
        <w:t>General Rating Formula for Diseases and Injuries of the Spine</w:t>
      </w:r>
      <w:r w:rsidR="00D315E4">
        <w:rPr>
          <w:rFonts w:asciiTheme="minorHAnsi" w:hAnsiTheme="minorHAnsi"/>
          <w:color w:val="auto"/>
          <w:szCs w:val="24"/>
        </w:rPr>
        <w:t xml:space="preserve">, </w:t>
      </w:r>
      <w:r w:rsidR="00D315E4" w:rsidRPr="00D315E4">
        <w:rPr>
          <w:rFonts w:asciiTheme="minorHAnsi" w:hAnsiTheme="minorHAnsi"/>
          <w:color w:val="auto"/>
          <w:szCs w:val="24"/>
        </w:rPr>
        <w:t xml:space="preserve">Note (6): </w:t>
      </w:r>
      <w:r w:rsidR="00D315E4">
        <w:rPr>
          <w:rFonts w:asciiTheme="minorHAnsi" w:hAnsiTheme="minorHAnsi"/>
          <w:color w:val="auto"/>
          <w:szCs w:val="24"/>
        </w:rPr>
        <w:t>“</w:t>
      </w:r>
      <w:r w:rsidR="00D315E4" w:rsidRPr="00D315E4">
        <w:rPr>
          <w:rFonts w:asciiTheme="minorHAnsi" w:hAnsiTheme="minorHAnsi"/>
          <w:color w:val="auto"/>
          <w:szCs w:val="24"/>
        </w:rPr>
        <w:t>Separately evaluate disability of the thoracolumbar and cervical spine segments</w:t>
      </w:r>
      <w:r w:rsidR="00D315E4">
        <w:rPr>
          <w:rFonts w:asciiTheme="minorHAnsi" w:hAnsiTheme="minorHAnsi"/>
          <w:color w:val="auto"/>
          <w:szCs w:val="24"/>
        </w:rPr>
        <w:t xml:space="preserve">.”  The Board explored coding the CI’s condition on the cervical and lumbosacral spine conditions, however, there was a paucity of in-service goniometric range of motion (ROM) exams, and the chronic pain was the CI’s primary disability and unfitting diagnosis.  </w:t>
      </w:r>
      <w:r w:rsidR="00D315E4" w:rsidRPr="00B76497">
        <w:rPr>
          <w:rFonts w:asciiTheme="minorHAnsi" w:hAnsiTheme="minorHAnsi"/>
          <w:color w:val="auto"/>
          <w:szCs w:val="24"/>
        </w:rPr>
        <w:t>Keeping</w:t>
      </w:r>
      <w:r w:rsidR="00D315E4">
        <w:rPr>
          <w:rFonts w:asciiTheme="minorHAnsi" w:hAnsiTheme="minorHAnsi"/>
          <w:color w:val="auto"/>
          <w:szCs w:val="24"/>
        </w:rPr>
        <w:t xml:space="preserve"> the same diagnosis and unfitting condition as the PEB was favored with </w:t>
      </w:r>
      <w:r w:rsidR="007C578B">
        <w:rPr>
          <w:rFonts w:asciiTheme="minorHAnsi" w:hAnsiTheme="minorHAnsi"/>
          <w:color w:val="auto"/>
          <w:szCs w:val="24"/>
        </w:rPr>
        <w:t xml:space="preserve">the use of a different </w:t>
      </w:r>
      <w:r w:rsidR="00D315E4">
        <w:rPr>
          <w:rFonts w:asciiTheme="minorHAnsi" w:hAnsiTheme="minorHAnsi"/>
          <w:color w:val="auto"/>
          <w:szCs w:val="24"/>
        </w:rPr>
        <w:t>VASRD disability cod</w:t>
      </w:r>
      <w:r w:rsidR="007C578B">
        <w:rPr>
          <w:rFonts w:asciiTheme="minorHAnsi" w:hAnsiTheme="minorHAnsi"/>
          <w:color w:val="auto"/>
          <w:szCs w:val="24"/>
        </w:rPr>
        <w:t xml:space="preserve">e.  </w:t>
      </w:r>
    </w:p>
    <w:p w:rsidR="00731D0B" w:rsidRDefault="00731D0B" w:rsidP="007C578B">
      <w:pPr>
        <w:tabs>
          <w:tab w:val="left" w:pos="288"/>
          <w:tab w:val="left" w:pos="4752"/>
        </w:tabs>
        <w:spacing w:line="240" w:lineRule="exact"/>
        <w:jc w:val="both"/>
        <w:rPr>
          <w:rFonts w:asciiTheme="minorHAnsi" w:hAnsiTheme="minorHAnsi"/>
          <w:color w:val="auto"/>
          <w:szCs w:val="24"/>
        </w:rPr>
      </w:pPr>
    </w:p>
    <w:p w:rsidR="006A4CCA" w:rsidRPr="00FA72DB" w:rsidRDefault="00B76497" w:rsidP="004C4737">
      <w:pPr>
        <w:tabs>
          <w:tab w:val="left" w:pos="288"/>
          <w:tab w:val="left" w:pos="4752"/>
        </w:tabs>
        <w:spacing w:line="240" w:lineRule="exact"/>
        <w:jc w:val="both"/>
        <w:rPr>
          <w:rFonts w:asciiTheme="minorHAnsi" w:hAnsiTheme="minorHAnsi"/>
          <w:color w:val="auto"/>
          <w:szCs w:val="24"/>
        </w:rPr>
      </w:pPr>
      <w:proofErr w:type="gramStart"/>
      <w:r w:rsidRPr="00B76497">
        <w:rPr>
          <w:rFonts w:asciiTheme="minorHAnsi" w:hAnsiTheme="minorHAnsi"/>
          <w:color w:val="auto"/>
          <w:szCs w:val="24"/>
          <w:u w:val="single"/>
        </w:rPr>
        <w:t>Chronic Pain Syndrome</w:t>
      </w:r>
      <w:r w:rsidR="009F505E">
        <w:rPr>
          <w:rFonts w:asciiTheme="minorHAnsi" w:hAnsiTheme="minorHAnsi"/>
          <w:color w:val="auto"/>
          <w:szCs w:val="24"/>
          <w:u w:val="single"/>
        </w:rPr>
        <w:t xml:space="preserve"> (With </w:t>
      </w:r>
      <w:proofErr w:type="spellStart"/>
      <w:r w:rsidR="009F505E">
        <w:rPr>
          <w:rFonts w:asciiTheme="minorHAnsi" w:hAnsiTheme="minorHAnsi"/>
          <w:color w:val="auto"/>
          <w:szCs w:val="24"/>
          <w:u w:val="single"/>
        </w:rPr>
        <w:t>Catagory</w:t>
      </w:r>
      <w:proofErr w:type="spellEnd"/>
      <w:r>
        <w:rPr>
          <w:rFonts w:asciiTheme="minorHAnsi" w:hAnsiTheme="minorHAnsi"/>
          <w:color w:val="auto"/>
          <w:szCs w:val="24"/>
          <w:u w:val="single"/>
        </w:rPr>
        <w:t xml:space="preserve"> 2 </w:t>
      </w:r>
      <w:proofErr w:type="spellStart"/>
      <w:r w:rsidRPr="00B76497">
        <w:rPr>
          <w:rFonts w:asciiTheme="minorHAnsi" w:hAnsiTheme="minorHAnsi"/>
          <w:color w:val="auto"/>
          <w:szCs w:val="24"/>
          <w:u w:val="single"/>
        </w:rPr>
        <w:t>Cervicalgia</w:t>
      </w:r>
      <w:proofErr w:type="spellEnd"/>
      <w:r>
        <w:rPr>
          <w:rFonts w:asciiTheme="minorHAnsi" w:hAnsiTheme="minorHAnsi"/>
          <w:color w:val="auto"/>
          <w:szCs w:val="24"/>
          <w:u w:val="single"/>
        </w:rPr>
        <w:t xml:space="preserve"> and </w:t>
      </w:r>
      <w:r w:rsidRPr="00B76497">
        <w:rPr>
          <w:rFonts w:asciiTheme="minorHAnsi" w:hAnsiTheme="minorHAnsi"/>
          <w:color w:val="auto"/>
          <w:szCs w:val="24"/>
          <w:u w:val="single"/>
        </w:rPr>
        <w:t>Low Back Pain</w:t>
      </w:r>
      <w:r>
        <w:rPr>
          <w:rFonts w:asciiTheme="minorHAnsi" w:hAnsiTheme="minorHAnsi"/>
          <w:color w:val="auto"/>
          <w:szCs w:val="24"/>
          <w:u w:val="single"/>
        </w:rPr>
        <w:t>)</w:t>
      </w:r>
      <w:r w:rsidRPr="00B76497">
        <w:rPr>
          <w:rFonts w:asciiTheme="minorHAnsi" w:hAnsiTheme="minorHAnsi"/>
          <w:color w:val="auto"/>
          <w:szCs w:val="24"/>
        </w:rPr>
        <w:t>.</w:t>
      </w:r>
      <w:proofErr w:type="gramEnd"/>
      <w:r w:rsidRPr="00B76497">
        <w:rPr>
          <w:rFonts w:asciiTheme="minorHAnsi" w:hAnsiTheme="minorHAnsi"/>
          <w:color w:val="auto"/>
          <w:szCs w:val="24"/>
        </w:rPr>
        <w:t xml:space="preserve">  </w:t>
      </w:r>
      <w:r w:rsidR="00174720">
        <w:rPr>
          <w:rFonts w:asciiTheme="minorHAnsi" w:hAnsiTheme="minorHAnsi"/>
          <w:color w:val="auto"/>
          <w:szCs w:val="24"/>
        </w:rPr>
        <w:t xml:space="preserve">The CI’s pain prior to separation was consistently described as constant (not episodic), severe, debilitating, and exacerbated by certain activities or movements.  </w:t>
      </w:r>
      <w:r w:rsidR="00137B89">
        <w:rPr>
          <w:rFonts w:asciiTheme="minorHAnsi" w:hAnsiTheme="minorHAnsi"/>
          <w:color w:val="auto"/>
          <w:szCs w:val="24"/>
        </w:rPr>
        <w:t xml:space="preserve">It was accompanied by paresthesias in the upper and lower extremities.  </w:t>
      </w:r>
      <w:r w:rsidR="00174720">
        <w:rPr>
          <w:rFonts w:asciiTheme="minorHAnsi" w:hAnsiTheme="minorHAnsi"/>
          <w:color w:val="auto"/>
          <w:szCs w:val="24"/>
        </w:rPr>
        <w:t xml:space="preserve">It was refractory to numerous therapies, including physical therapy, acupuncture, trigger point injections, </w:t>
      </w:r>
      <w:r w:rsidR="009F505E">
        <w:rPr>
          <w:rFonts w:asciiTheme="minorHAnsi" w:hAnsiTheme="minorHAnsi"/>
          <w:color w:val="auto"/>
          <w:szCs w:val="24"/>
        </w:rPr>
        <w:t xml:space="preserve">TENS, </w:t>
      </w:r>
      <w:r w:rsidR="00174720">
        <w:rPr>
          <w:rFonts w:asciiTheme="minorHAnsi" w:hAnsiTheme="minorHAnsi"/>
          <w:color w:val="auto"/>
          <w:szCs w:val="24"/>
        </w:rPr>
        <w:t xml:space="preserve">oral and </w:t>
      </w:r>
      <w:proofErr w:type="spellStart"/>
      <w:r w:rsidR="00174720">
        <w:rPr>
          <w:rFonts w:asciiTheme="minorHAnsi" w:hAnsiTheme="minorHAnsi"/>
          <w:color w:val="auto"/>
          <w:szCs w:val="24"/>
        </w:rPr>
        <w:t>transdermal</w:t>
      </w:r>
      <w:proofErr w:type="spellEnd"/>
      <w:r w:rsidR="00174720">
        <w:rPr>
          <w:rFonts w:asciiTheme="minorHAnsi" w:hAnsiTheme="minorHAnsi"/>
          <w:color w:val="auto"/>
          <w:szCs w:val="24"/>
        </w:rPr>
        <w:t xml:space="preserve"> pain medication</w:t>
      </w:r>
      <w:r w:rsidR="000751F1">
        <w:rPr>
          <w:rFonts w:asciiTheme="minorHAnsi" w:hAnsiTheme="minorHAnsi"/>
          <w:color w:val="auto"/>
          <w:szCs w:val="24"/>
        </w:rPr>
        <w:t>s</w:t>
      </w:r>
      <w:r w:rsidR="00174720">
        <w:rPr>
          <w:rFonts w:asciiTheme="minorHAnsi" w:hAnsiTheme="minorHAnsi"/>
          <w:color w:val="auto"/>
          <w:szCs w:val="24"/>
        </w:rPr>
        <w:t>, epidural injections, nerve blocks and radiofrequency nerve ablation.</w:t>
      </w:r>
      <w:r w:rsidR="00AA136E">
        <w:rPr>
          <w:rFonts w:asciiTheme="minorHAnsi" w:hAnsiTheme="minorHAnsi"/>
          <w:color w:val="auto"/>
          <w:szCs w:val="24"/>
        </w:rPr>
        <w:t xml:space="preserve"> </w:t>
      </w:r>
      <w:r w:rsidR="000751F1">
        <w:rPr>
          <w:rFonts w:asciiTheme="minorHAnsi" w:hAnsiTheme="minorHAnsi"/>
          <w:color w:val="auto"/>
          <w:szCs w:val="24"/>
        </w:rPr>
        <w:t xml:space="preserve"> </w:t>
      </w:r>
      <w:r w:rsidR="009F505E">
        <w:rPr>
          <w:rFonts w:asciiTheme="minorHAnsi" w:hAnsiTheme="minorHAnsi"/>
          <w:color w:val="auto"/>
          <w:szCs w:val="24"/>
        </w:rPr>
        <w:t xml:space="preserve">The CI had </w:t>
      </w:r>
      <w:r w:rsidR="009F505E" w:rsidRPr="009F505E">
        <w:rPr>
          <w:rFonts w:asciiTheme="minorHAnsi" w:hAnsiTheme="minorHAnsi"/>
          <w:color w:val="auto"/>
          <w:szCs w:val="24"/>
        </w:rPr>
        <w:t>widespread musculoskeletal pain and tender points</w:t>
      </w:r>
      <w:r w:rsidR="009F505E">
        <w:rPr>
          <w:rFonts w:asciiTheme="minorHAnsi" w:hAnsiTheme="minorHAnsi"/>
          <w:color w:val="auto"/>
          <w:szCs w:val="24"/>
        </w:rPr>
        <w:t xml:space="preserve"> with </w:t>
      </w:r>
      <w:r w:rsidR="009F505E" w:rsidRPr="00FA72DB">
        <w:rPr>
          <w:rFonts w:asciiTheme="minorHAnsi" w:hAnsiTheme="minorHAnsi"/>
          <w:color w:val="auto"/>
          <w:szCs w:val="24"/>
        </w:rPr>
        <w:t xml:space="preserve">associated </w:t>
      </w:r>
      <w:r w:rsidR="00DF6EB0" w:rsidRPr="00FA72DB">
        <w:rPr>
          <w:rFonts w:asciiTheme="minorHAnsi" w:hAnsiTheme="minorHAnsi"/>
          <w:color w:val="auto"/>
          <w:szCs w:val="24"/>
        </w:rPr>
        <w:t xml:space="preserve">bilateral upper and lower extremity </w:t>
      </w:r>
      <w:r w:rsidR="009F505E" w:rsidRPr="00FA72DB">
        <w:rPr>
          <w:rFonts w:asciiTheme="minorHAnsi" w:hAnsiTheme="minorHAnsi"/>
          <w:color w:val="auto"/>
          <w:szCs w:val="24"/>
        </w:rPr>
        <w:t>paresthesias consistently documented in the treatment record</w:t>
      </w:r>
      <w:r w:rsidR="00140805" w:rsidRPr="00FA72DB">
        <w:rPr>
          <w:rFonts w:asciiTheme="minorHAnsi" w:hAnsiTheme="minorHAnsi"/>
          <w:color w:val="auto"/>
          <w:szCs w:val="24"/>
        </w:rPr>
        <w:t>, along with headaches</w:t>
      </w:r>
      <w:r w:rsidR="009F505E" w:rsidRPr="00FA72DB">
        <w:rPr>
          <w:rFonts w:asciiTheme="minorHAnsi" w:hAnsiTheme="minorHAnsi"/>
          <w:color w:val="auto"/>
          <w:szCs w:val="24"/>
        </w:rPr>
        <w:t xml:space="preserve">.  He </w:t>
      </w:r>
      <w:r w:rsidR="00140805" w:rsidRPr="00FA72DB">
        <w:rPr>
          <w:rFonts w:asciiTheme="minorHAnsi" w:hAnsiTheme="minorHAnsi"/>
          <w:color w:val="auto"/>
          <w:szCs w:val="24"/>
        </w:rPr>
        <w:t xml:space="preserve">missed </w:t>
      </w:r>
      <w:r w:rsidR="009F505E" w:rsidRPr="00FA72DB">
        <w:rPr>
          <w:rFonts w:asciiTheme="minorHAnsi" w:hAnsiTheme="minorHAnsi"/>
          <w:color w:val="auto"/>
          <w:szCs w:val="24"/>
        </w:rPr>
        <w:t xml:space="preserve">eight hours of work per week.  His pain was </w:t>
      </w:r>
      <w:r w:rsidR="00DF6EB0" w:rsidRPr="00FA72DB">
        <w:rPr>
          <w:rFonts w:asciiTheme="minorHAnsi" w:hAnsiTheme="minorHAnsi"/>
          <w:color w:val="auto"/>
          <w:szCs w:val="24"/>
        </w:rPr>
        <w:t xml:space="preserve">noted as 8 of 10 with interference in the activities of daily living (ADLs).  Pain was </w:t>
      </w:r>
      <w:r w:rsidR="009F505E" w:rsidRPr="00FA72DB">
        <w:rPr>
          <w:rFonts w:asciiTheme="minorHAnsi" w:hAnsiTheme="minorHAnsi"/>
          <w:color w:val="auto"/>
          <w:szCs w:val="24"/>
        </w:rPr>
        <w:t xml:space="preserve">not fully relieved with trigger point </w:t>
      </w:r>
      <w:r w:rsidR="006A4CCA" w:rsidRPr="00FA72DB">
        <w:rPr>
          <w:rFonts w:asciiTheme="minorHAnsi" w:hAnsiTheme="minorHAnsi"/>
          <w:color w:val="auto"/>
          <w:szCs w:val="24"/>
        </w:rPr>
        <w:t xml:space="preserve">injections </w:t>
      </w:r>
      <w:r w:rsidR="009F505E" w:rsidRPr="00FA72DB">
        <w:rPr>
          <w:rFonts w:asciiTheme="minorHAnsi" w:hAnsiTheme="minorHAnsi"/>
          <w:color w:val="auto"/>
          <w:szCs w:val="24"/>
        </w:rPr>
        <w:t xml:space="preserve">and </w:t>
      </w:r>
      <w:r w:rsidR="00DF6EB0" w:rsidRPr="00FA72DB">
        <w:rPr>
          <w:rFonts w:asciiTheme="minorHAnsi" w:hAnsiTheme="minorHAnsi"/>
          <w:color w:val="auto"/>
          <w:szCs w:val="24"/>
        </w:rPr>
        <w:t xml:space="preserve">numerous </w:t>
      </w:r>
      <w:r w:rsidR="009F505E" w:rsidRPr="00FA72DB">
        <w:rPr>
          <w:rFonts w:asciiTheme="minorHAnsi" w:hAnsiTheme="minorHAnsi"/>
          <w:color w:val="auto"/>
          <w:szCs w:val="24"/>
        </w:rPr>
        <w:t>medication therapies</w:t>
      </w:r>
      <w:r w:rsidR="00140805" w:rsidRPr="00FA72DB">
        <w:rPr>
          <w:rFonts w:asciiTheme="minorHAnsi" w:hAnsiTheme="minorHAnsi"/>
          <w:color w:val="auto"/>
          <w:szCs w:val="24"/>
        </w:rPr>
        <w:t>,</w:t>
      </w:r>
      <w:r w:rsidR="009F505E" w:rsidRPr="00FA72DB">
        <w:rPr>
          <w:rFonts w:asciiTheme="minorHAnsi" w:hAnsiTheme="minorHAnsi"/>
          <w:color w:val="auto"/>
          <w:szCs w:val="24"/>
        </w:rPr>
        <w:t xml:space="preserve"> and was noted as nearly continuous</w:t>
      </w:r>
      <w:r w:rsidR="00DF6EB0" w:rsidRPr="00FA72DB">
        <w:rPr>
          <w:rFonts w:asciiTheme="minorHAnsi" w:hAnsiTheme="minorHAnsi"/>
          <w:color w:val="auto"/>
          <w:szCs w:val="24"/>
        </w:rPr>
        <w:t xml:space="preserve"> pain</w:t>
      </w:r>
      <w:r w:rsidR="009F505E" w:rsidRPr="00FA72DB">
        <w:rPr>
          <w:rFonts w:asciiTheme="minorHAnsi" w:hAnsiTheme="minorHAnsi"/>
          <w:color w:val="auto"/>
          <w:szCs w:val="24"/>
        </w:rPr>
        <w:t xml:space="preserve">. </w:t>
      </w:r>
      <w:r w:rsidR="006A4CCA" w:rsidRPr="00FA72DB">
        <w:rPr>
          <w:rFonts w:asciiTheme="minorHAnsi" w:hAnsiTheme="minorHAnsi"/>
          <w:color w:val="auto"/>
          <w:szCs w:val="24"/>
        </w:rPr>
        <w:t xml:space="preserve"> The rheumatology NARSUM Addendum (20071130) noted 18 of 18 positive trigger points and the impression was:</w:t>
      </w:r>
    </w:p>
    <w:p w:rsidR="006A4CCA" w:rsidRPr="00FA72DB" w:rsidRDefault="006A4CCA" w:rsidP="006A4CCA">
      <w:pPr>
        <w:tabs>
          <w:tab w:val="left" w:pos="288"/>
          <w:tab w:val="left" w:pos="4752"/>
        </w:tabs>
        <w:spacing w:line="200" w:lineRule="exact"/>
        <w:ind w:left="288" w:right="288"/>
        <w:jc w:val="both"/>
        <w:rPr>
          <w:rFonts w:asciiTheme="minorHAnsi" w:hAnsiTheme="minorHAnsi"/>
          <w:color w:val="000000" w:themeColor="text1"/>
          <w:sz w:val="20"/>
          <w:szCs w:val="24"/>
        </w:rPr>
      </w:pPr>
    </w:p>
    <w:p w:rsidR="009F505E" w:rsidRPr="00FA72DB" w:rsidRDefault="006A4CCA" w:rsidP="003347E7">
      <w:pPr>
        <w:tabs>
          <w:tab w:val="left" w:pos="288"/>
          <w:tab w:val="left" w:pos="4320"/>
          <w:tab w:val="left" w:pos="4410"/>
          <w:tab w:val="left" w:pos="4752"/>
          <w:tab w:val="left" w:pos="4860"/>
          <w:tab w:val="left" w:pos="5040"/>
        </w:tabs>
        <w:spacing w:line="200" w:lineRule="exact"/>
        <w:ind w:left="288" w:right="360"/>
        <w:jc w:val="both"/>
        <w:rPr>
          <w:rFonts w:asciiTheme="minorHAnsi" w:hAnsiTheme="minorHAnsi"/>
          <w:color w:val="000000" w:themeColor="text1"/>
          <w:sz w:val="20"/>
        </w:rPr>
      </w:pPr>
      <w:r w:rsidRPr="00FA72DB">
        <w:rPr>
          <w:rFonts w:asciiTheme="minorHAnsi" w:hAnsiTheme="minorHAnsi"/>
          <w:color w:val="000000" w:themeColor="text1"/>
          <w:sz w:val="20"/>
        </w:rPr>
        <w:t xml:space="preserve">“Chronic Pain Syndrome:  The patient has </w:t>
      </w:r>
      <w:proofErr w:type="spellStart"/>
      <w:r w:rsidRPr="00FA72DB">
        <w:rPr>
          <w:rFonts w:asciiTheme="minorHAnsi" w:hAnsiTheme="minorHAnsi"/>
          <w:color w:val="000000" w:themeColor="text1"/>
          <w:sz w:val="20"/>
        </w:rPr>
        <w:t>polyarticular</w:t>
      </w:r>
      <w:proofErr w:type="spellEnd"/>
      <w:r w:rsidRPr="00FA72DB">
        <w:rPr>
          <w:rFonts w:asciiTheme="minorHAnsi" w:hAnsiTheme="minorHAnsi"/>
          <w:color w:val="000000" w:themeColor="text1"/>
          <w:sz w:val="20"/>
        </w:rPr>
        <w:t xml:space="preserve"> joint pain, severe back pain, and some </w:t>
      </w:r>
      <w:proofErr w:type="spellStart"/>
      <w:r w:rsidRPr="00FA72DB">
        <w:rPr>
          <w:rFonts w:asciiTheme="minorHAnsi" w:hAnsiTheme="minorHAnsi"/>
          <w:color w:val="000000" w:themeColor="text1"/>
          <w:sz w:val="20"/>
        </w:rPr>
        <w:t>paresthersias</w:t>
      </w:r>
      <w:proofErr w:type="spellEnd"/>
      <w:r w:rsidRPr="00FA72DB">
        <w:rPr>
          <w:rFonts w:asciiTheme="minorHAnsi" w:hAnsiTheme="minorHAnsi"/>
          <w:color w:val="000000" w:themeColor="text1"/>
          <w:sz w:val="20"/>
        </w:rPr>
        <w:t>. Overall, this is consistent with a myofascial pain syndrome or chronic pain syndrome.  He has received multiple procedures and modalities and has subsequently failed to improve on these therapies. At this time, the chronic pain is significantly impacting his activities of daily living.  He does not have any evidence of a systemic inflammatory disease such as rheumatoid arthritis.”</w:t>
      </w:r>
    </w:p>
    <w:p w:rsidR="009F505E" w:rsidRPr="00FA72DB" w:rsidRDefault="009F505E" w:rsidP="004C4737">
      <w:pPr>
        <w:tabs>
          <w:tab w:val="left" w:pos="288"/>
          <w:tab w:val="left" w:pos="4752"/>
        </w:tabs>
        <w:spacing w:line="240" w:lineRule="exact"/>
        <w:jc w:val="both"/>
        <w:rPr>
          <w:rFonts w:asciiTheme="minorHAnsi" w:hAnsiTheme="minorHAnsi"/>
          <w:color w:val="auto"/>
          <w:szCs w:val="24"/>
        </w:rPr>
      </w:pPr>
    </w:p>
    <w:p w:rsidR="00AA136E" w:rsidRDefault="00FA72DB" w:rsidP="004C4737">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The VASRD code 5099-5025, “</w:t>
      </w:r>
      <w:r w:rsidRPr="00FA72DB">
        <w:rPr>
          <w:rFonts w:asciiTheme="minorHAnsi" w:hAnsiTheme="minorHAnsi"/>
          <w:color w:val="auto"/>
          <w:szCs w:val="24"/>
        </w:rPr>
        <w:t xml:space="preserve">With widespread musculoskeletal pain and tender points, with or without associated fatigue, sleep disturbance, stiffness, paresthesias, headache, irritable bowel symptoms, depression, anxiety, or </w:t>
      </w:r>
      <w:proofErr w:type="spellStart"/>
      <w:r w:rsidRPr="00FA72DB">
        <w:rPr>
          <w:rFonts w:asciiTheme="minorHAnsi" w:hAnsiTheme="minorHAnsi"/>
          <w:color w:val="auto"/>
          <w:szCs w:val="24"/>
        </w:rPr>
        <w:t>Raynaud’s</w:t>
      </w:r>
      <w:proofErr w:type="spellEnd"/>
      <w:r w:rsidRPr="00FA72DB">
        <w:rPr>
          <w:rFonts w:asciiTheme="minorHAnsi" w:hAnsiTheme="minorHAnsi"/>
          <w:color w:val="auto"/>
          <w:szCs w:val="24"/>
        </w:rPr>
        <w:t>-like symptoms</w:t>
      </w:r>
      <w:r>
        <w:rPr>
          <w:rFonts w:asciiTheme="minorHAnsi" w:hAnsiTheme="minorHAnsi"/>
          <w:color w:val="auto"/>
          <w:szCs w:val="24"/>
        </w:rPr>
        <w:t xml:space="preserve">” </w:t>
      </w:r>
      <w:r w:rsidR="006A4CCA" w:rsidRPr="00FA72DB">
        <w:rPr>
          <w:rFonts w:asciiTheme="minorHAnsi" w:hAnsiTheme="minorHAnsi"/>
          <w:color w:val="auto"/>
          <w:szCs w:val="24"/>
        </w:rPr>
        <w:t xml:space="preserve">is an accurate characterization of the pathology in this case.  </w:t>
      </w:r>
      <w:r w:rsidR="006A4CCA" w:rsidRPr="00FA72DB">
        <w:rPr>
          <w:rFonts w:ascii="Janson Text" w:hAnsi="Janson Text"/>
          <w:color w:val="auto"/>
          <w:sz w:val="22"/>
          <w:szCs w:val="22"/>
        </w:rPr>
        <w:t xml:space="preserve">The CI's symptoms were closer to "That are constant, or nearly so, and refractory to therapy" (40%) than "That are episodic, with exacerbations often precipitated by environmental or emotional stress or by overexertion, but that are present more than one-third of the time" (20%).  </w:t>
      </w:r>
      <w:r w:rsidR="000751F1" w:rsidRPr="00FA72DB">
        <w:rPr>
          <w:rFonts w:asciiTheme="minorHAnsi" w:hAnsiTheme="minorHAnsi"/>
          <w:color w:val="auto"/>
          <w:szCs w:val="24"/>
        </w:rPr>
        <w:t xml:space="preserve">The preponderance of evidence in this case supports a 40% rating under the VASRD formula for </w:t>
      </w:r>
      <w:r w:rsidR="00137B89" w:rsidRPr="00FA72DB">
        <w:rPr>
          <w:rFonts w:asciiTheme="minorHAnsi" w:hAnsiTheme="minorHAnsi"/>
          <w:color w:val="auto"/>
          <w:szCs w:val="24"/>
        </w:rPr>
        <w:t xml:space="preserve">the chronic pain condition.  After due deliberation, considering all of the evidence and mindful of VASRD 4.3 (reasonable doubt), the Board recommends a separation rating of 40% for the </w:t>
      </w:r>
      <w:r w:rsidR="00D573A7" w:rsidRPr="00FA72DB">
        <w:rPr>
          <w:rFonts w:asciiTheme="minorHAnsi" w:hAnsiTheme="minorHAnsi"/>
          <w:color w:val="auto"/>
          <w:szCs w:val="24"/>
        </w:rPr>
        <w:t>chronic pain syndrome coded 5099-5025</w:t>
      </w:r>
      <w:r w:rsidR="00137B89" w:rsidRPr="00FA72DB">
        <w:rPr>
          <w:rFonts w:asciiTheme="minorHAnsi" w:hAnsiTheme="minorHAnsi"/>
          <w:color w:val="auto"/>
          <w:szCs w:val="24"/>
        </w:rPr>
        <w:t>.</w:t>
      </w:r>
      <w:r w:rsidR="00137B89">
        <w:rPr>
          <w:rFonts w:asciiTheme="minorHAnsi" w:hAnsiTheme="minorHAnsi"/>
          <w:color w:val="auto"/>
          <w:szCs w:val="24"/>
        </w:rPr>
        <w:t xml:space="preserve">  </w:t>
      </w:r>
    </w:p>
    <w:p w:rsidR="00B76497" w:rsidRPr="004E0248" w:rsidRDefault="00B76497" w:rsidP="004C4737">
      <w:pPr>
        <w:tabs>
          <w:tab w:val="left" w:pos="288"/>
          <w:tab w:val="left" w:pos="4752"/>
        </w:tabs>
        <w:spacing w:line="240" w:lineRule="exact"/>
        <w:jc w:val="both"/>
        <w:rPr>
          <w:rFonts w:asciiTheme="minorHAnsi" w:eastAsiaTheme="minorHAnsi" w:hAnsiTheme="minorHAnsi"/>
          <w:color w:val="auto"/>
          <w:szCs w:val="24"/>
        </w:rPr>
      </w:pPr>
    </w:p>
    <w:p w:rsidR="0073254D" w:rsidRPr="00542C9A" w:rsidRDefault="0073254D" w:rsidP="004C4737">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 xml:space="preserve">Other </w:t>
      </w:r>
      <w:r w:rsidR="00B0436B">
        <w:rPr>
          <w:rFonts w:asciiTheme="minorHAnsi" w:hAnsiTheme="minorHAnsi"/>
          <w:color w:val="auto"/>
          <w:szCs w:val="24"/>
          <w:u w:val="single"/>
        </w:rPr>
        <w:t>PEB</w:t>
      </w:r>
      <w:r w:rsidR="00B531B6">
        <w:rPr>
          <w:rFonts w:asciiTheme="minorHAnsi" w:hAnsiTheme="minorHAnsi"/>
          <w:color w:val="auto"/>
          <w:szCs w:val="24"/>
          <w:u w:val="single"/>
        </w:rPr>
        <w:t xml:space="preserve"> </w:t>
      </w:r>
      <w:r w:rsidR="00B531B6" w:rsidRPr="009C6A93">
        <w:rPr>
          <w:rFonts w:asciiTheme="minorHAnsi" w:hAnsiTheme="minorHAnsi"/>
          <w:color w:val="auto"/>
          <w:szCs w:val="24"/>
          <w:u w:val="single"/>
        </w:rPr>
        <w:t>Conditions</w:t>
      </w:r>
      <w:r w:rsidR="009C6A93" w:rsidRPr="009C6A93">
        <w:rPr>
          <w:rFonts w:asciiTheme="minorHAnsi" w:hAnsiTheme="minorHAnsi"/>
          <w:color w:val="auto"/>
          <w:szCs w:val="24"/>
          <w:u w:val="single"/>
        </w:rPr>
        <w:t xml:space="preserve"> (Neck/Back Condition)</w:t>
      </w:r>
      <w:r w:rsidRPr="009C6A93">
        <w:rPr>
          <w:rFonts w:asciiTheme="minorHAnsi" w:hAnsiTheme="minorHAnsi"/>
          <w:color w:val="auto"/>
          <w:szCs w:val="24"/>
        </w:rPr>
        <w:t xml:space="preserve">.  </w:t>
      </w:r>
      <w:r w:rsidR="00FB3924" w:rsidRPr="009C6A93">
        <w:rPr>
          <w:rFonts w:asciiTheme="minorHAnsi" w:hAnsiTheme="minorHAnsi"/>
          <w:color w:val="auto"/>
          <w:szCs w:val="24"/>
        </w:rPr>
        <w:t>The</w:t>
      </w:r>
      <w:r w:rsidR="00B531B6" w:rsidRPr="009C6A93">
        <w:rPr>
          <w:rFonts w:asciiTheme="minorHAnsi" w:hAnsiTheme="minorHAnsi"/>
          <w:color w:val="auto"/>
          <w:szCs w:val="24"/>
        </w:rPr>
        <w:t>re</w:t>
      </w:r>
      <w:r w:rsidR="00B531B6">
        <w:rPr>
          <w:rFonts w:asciiTheme="minorHAnsi" w:hAnsiTheme="minorHAnsi"/>
          <w:color w:val="auto"/>
          <w:szCs w:val="24"/>
        </w:rPr>
        <w:t xml:space="preserve"> were no</w:t>
      </w:r>
      <w:r w:rsidR="00FB3924" w:rsidRPr="00FB3924">
        <w:rPr>
          <w:rFonts w:asciiTheme="minorHAnsi" w:hAnsiTheme="minorHAnsi"/>
          <w:color w:val="auto"/>
          <w:szCs w:val="24"/>
        </w:rPr>
        <w:t xml:space="preserve"> other conditions forwarded by the MEB</w:t>
      </w:r>
      <w:r w:rsidR="00B531B6">
        <w:rPr>
          <w:rFonts w:asciiTheme="minorHAnsi" w:hAnsiTheme="minorHAnsi"/>
          <w:color w:val="auto"/>
          <w:szCs w:val="24"/>
        </w:rPr>
        <w:t>, but the PEB</w:t>
      </w:r>
      <w:r w:rsidR="00DF16CA">
        <w:rPr>
          <w:rFonts w:asciiTheme="minorHAnsi" w:hAnsiTheme="minorHAnsi"/>
          <w:color w:val="auto"/>
          <w:szCs w:val="24"/>
        </w:rPr>
        <w:t xml:space="preserve"> listed two </w:t>
      </w:r>
      <w:r w:rsidR="00B531B6">
        <w:rPr>
          <w:rFonts w:asciiTheme="minorHAnsi" w:hAnsiTheme="minorHAnsi"/>
          <w:color w:val="auto"/>
          <w:szCs w:val="24"/>
        </w:rPr>
        <w:t>diagnoses</w:t>
      </w:r>
      <w:r w:rsidR="009C6A93">
        <w:rPr>
          <w:rFonts w:asciiTheme="minorHAnsi" w:hAnsiTheme="minorHAnsi"/>
          <w:color w:val="auto"/>
          <w:szCs w:val="24"/>
        </w:rPr>
        <w:t xml:space="preserve">; </w:t>
      </w:r>
      <w:proofErr w:type="spellStart"/>
      <w:r w:rsidR="00B531B6">
        <w:rPr>
          <w:rFonts w:asciiTheme="minorHAnsi" w:hAnsiTheme="minorHAnsi"/>
          <w:color w:val="auto"/>
          <w:szCs w:val="24"/>
        </w:rPr>
        <w:t>cervicalgia</w:t>
      </w:r>
      <w:proofErr w:type="spellEnd"/>
      <w:r w:rsidR="00B531B6">
        <w:rPr>
          <w:rFonts w:asciiTheme="minorHAnsi" w:hAnsiTheme="minorHAnsi"/>
          <w:color w:val="auto"/>
          <w:szCs w:val="24"/>
        </w:rPr>
        <w:t xml:space="preserve"> and low back pain, </w:t>
      </w:r>
      <w:r w:rsidR="00DF16CA">
        <w:rPr>
          <w:rFonts w:asciiTheme="minorHAnsi" w:hAnsiTheme="minorHAnsi"/>
          <w:color w:val="auto"/>
          <w:szCs w:val="24"/>
        </w:rPr>
        <w:t>as Related Category 2</w:t>
      </w:r>
      <w:r w:rsidR="00D573A7">
        <w:rPr>
          <w:rFonts w:asciiTheme="minorHAnsi" w:hAnsiTheme="minorHAnsi"/>
          <w:color w:val="auto"/>
          <w:szCs w:val="24"/>
        </w:rPr>
        <w:t xml:space="preserve"> conditions</w:t>
      </w:r>
      <w:r w:rsidR="009C6A93">
        <w:rPr>
          <w:rFonts w:asciiTheme="minorHAnsi" w:hAnsiTheme="minorHAnsi"/>
          <w:color w:val="auto"/>
          <w:szCs w:val="24"/>
        </w:rPr>
        <w:t>.</w:t>
      </w:r>
      <w:r w:rsidR="00B531B6">
        <w:rPr>
          <w:rFonts w:asciiTheme="minorHAnsi" w:hAnsiTheme="minorHAnsi"/>
          <w:color w:val="auto"/>
          <w:szCs w:val="24"/>
        </w:rPr>
        <w:t xml:space="preserve">  </w:t>
      </w:r>
      <w:r w:rsidR="009C6A93">
        <w:rPr>
          <w:rFonts w:asciiTheme="minorHAnsi" w:hAnsiTheme="minorHAnsi"/>
          <w:color w:val="auto"/>
          <w:szCs w:val="24"/>
        </w:rPr>
        <w:t>The PEB did not consider them se</w:t>
      </w:r>
      <w:r w:rsidR="009C6A93" w:rsidRPr="009C6A93">
        <w:rPr>
          <w:rFonts w:asciiTheme="minorHAnsi" w:hAnsiTheme="minorHAnsi"/>
          <w:color w:val="auto"/>
          <w:szCs w:val="24"/>
        </w:rPr>
        <w:t xml:space="preserve">parately unfitting.  </w:t>
      </w:r>
      <w:r w:rsidR="009C6A93">
        <w:rPr>
          <w:rFonts w:asciiTheme="minorHAnsi" w:hAnsiTheme="minorHAnsi"/>
          <w:color w:val="auto"/>
          <w:szCs w:val="24"/>
        </w:rPr>
        <w:t xml:space="preserve">The DES package also noted </w:t>
      </w:r>
      <w:proofErr w:type="spellStart"/>
      <w:r w:rsidR="009C6A93">
        <w:rPr>
          <w:rFonts w:asciiTheme="minorHAnsi" w:hAnsiTheme="minorHAnsi"/>
          <w:color w:val="auto"/>
          <w:szCs w:val="24"/>
        </w:rPr>
        <w:t>sacroiliitis</w:t>
      </w:r>
      <w:proofErr w:type="spellEnd"/>
      <w:r w:rsidR="009C6A93">
        <w:rPr>
          <w:rFonts w:asciiTheme="minorHAnsi" w:hAnsiTheme="minorHAnsi"/>
          <w:color w:val="auto"/>
          <w:szCs w:val="24"/>
        </w:rPr>
        <w:t xml:space="preserve">, lower spine degenerative disc disease, and L5-S1 radiculopathy.  An EMG </w:t>
      </w:r>
      <w:r w:rsidR="003347E7">
        <w:rPr>
          <w:rFonts w:asciiTheme="minorHAnsi" w:hAnsiTheme="minorHAnsi"/>
          <w:color w:val="auto"/>
          <w:szCs w:val="24"/>
        </w:rPr>
        <w:t xml:space="preserve">(nerve conduction </w:t>
      </w:r>
      <w:r w:rsidR="009C6A93">
        <w:rPr>
          <w:rFonts w:asciiTheme="minorHAnsi" w:hAnsiTheme="minorHAnsi"/>
          <w:color w:val="auto"/>
          <w:szCs w:val="24"/>
        </w:rPr>
        <w:t>study</w:t>
      </w:r>
      <w:r w:rsidR="003347E7">
        <w:rPr>
          <w:rFonts w:asciiTheme="minorHAnsi" w:hAnsiTheme="minorHAnsi"/>
          <w:color w:val="auto"/>
          <w:szCs w:val="24"/>
        </w:rPr>
        <w:t>)</w:t>
      </w:r>
      <w:r w:rsidR="009C6A93">
        <w:rPr>
          <w:rFonts w:asciiTheme="minorHAnsi" w:hAnsiTheme="minorHAnsi"/>
          <w:color w:val="auto"/>
          <w:szCs w:val="24"/>
        </w:rPr>
        <w:t xml:space="preserve"> identified mild radiculopathy, but no evidence of peripheral neuropathy.  There was no evidence of clinical impairment from </w:t>
      </w:r>
      <w:r w:rsidR="00731D0B">
        <w:rPr>
          <w:rFonts w:asciiTheme="minorHAnsi" w:hAnsiTheme="minorHAnsi"/>
          <w:color w:val="auto"/>
          <w:szCs w:val="24"/>
        </w:rPr>
        <w:t>any non-pain radiculopathy</w:t>
      </w:r>
      <w:r w:rsidR="009C6A93">
        <w:rPr>
          <w:rFonts w:asciiTheme="minorHAnsi" w:hAnsiTheme="minorHAnsi"/>
          <w:color w:val="auto"/>
          <w:szCs w:val="24"/>
        </w:rPr>
        <w:t xml:space="preserve">, and it was identified by the VA as not service connected.  </w:t>
      </w:r>
      <w:r w:rsidR="009C6A93" w:rsidRPr="009C6A93">
        <w:rPr>
          <w:rFonts w:asciiTheme="minorHAnsi" w:hAnsiTheme="minorHAnsi"/>
          <w:color w:val="auto"/>
          <w:szCs w:val="24"/>
        </w:rPr>
        <w:t>T</w:t>
      </w:r>
      <w:r w:rsidR="00B531B6" w:rsidRPr="009C6A93">
        <w:rPr>
          <w:rFonts w:asciiTheme="minorHAnsi" w:hAnsiTheme="minorHAnsi"/>
          <w:color w:val="auto"/>
          <w:szCs w:val="24"/>
        </w:rPr>
        <w:t>hese con</w:t>
      </w:r>
      <w:r w:rsidR="00DF16CA" w:rsidRPr="009C6A93">
        <w:rPr>
          <w:rFonts w:asciiTheme="minorHAnsi" w:hAnsiTheme="minorHAnsi"/>
          <w:color w:val="auto"/>
          <w:szCs w:val="24"/>
        </w:rPr>
        <w:t xml:space="preserve">ditions </w:t>
      </w:r>
      <w:r w:rsidR="009C6A93" w:rsidRPr="009C6A93">
        <w:rPr>
          <w:rFonts w:asciiTheme="minorHAnsi" w:hAnsiTheme="minorHAnsi"/>
          <w:color w:val="auto"/>
          <w:szCs w:val="24"/>
        </w:rPr>
        <w:t xml:space="preserve">were discussed by the Board and were considered and rated as part of the CI’s </w:t>
      </w:r>
      <w:r w:rsidR="00D573A7" w:rsidRPr="009C6A93">
        <w:rPr>
          <w:rFonts w:asciiTheme="minorHAnsi" w:hAnsiTheme="minorHAnsi"/>
          <w:color w:val="auto"/>
          <w:szCs w:val="24"/>
        </w:rPr>
        <w:t>c</w:t>
      </w:r>
      <w:r w:rsidR="00DF16CA" w:rsidRPr="009C6A93">
        <w:rPr>
          <w:rFonts w:asciiTheme="minorHAnsi" w:hAnsiTheme="minorHAnsi"/>
          <w:color w:val="auto"/>
          <w:szCs w:val="24"/>
        </w:rPr>
        <w:t>hronic pain</w:t>
      </w:r>
      <w:r w:rsidR="00140805">
        <w:rPr>
          <w:rFonts w:asciiTheme="minorHAnsi" w:hAnsiTheme="minorHAnsi"/>
          <w:color w:val="auto"/>
          <w:szCs w:val="24"/>
        </w:rPr>
        <w:t xml:space="preserve"> syndrome</w:t>
      </w:r>
      <w:r w:rsidR="00DF16CA" w:rsidRPr="009C6A93">
        <w:rPr>
          <w:rFonts w:asciiTheme="minorHAnsi" w:hAnsiTheme="minorHAnsi"/>
          <w:color w:val="auto"/>
          <w:szCs w:val="24"/>
        </w:rPr>
        <w:t xml:space="preserve">, </w:t>
      </w:r>
      <w:r w:rsidR="001E0AF9" w:rsidRPr="009C6A93">
        <w:rPr>
          <w:rFonts w:asciiTheme="minorHAnsi" w:hAnsiTheme="minorHAnsi"/>
          <w:color w:val="auto"/>
          <w:szCs w:val="24"/>
        </w:rPr>
        <w:t xml:space="preserve">and therefore </w:t>
      </w:r>
      <w:r w:rsidR="009C6A93" w:rsidRPr="009C6A93">
        <w:rPr>
          <w:rFonts w:asciiTheme="minorHAnsi" w:hAnsiTheme="minorHAnsi"/>
          <w:color w:val="auto"/>
          <w:szCs w:val="24"/>
        </w:rPr>
        <w:t xml:space="preserve">were </w:t>
      </w:r>
      <w:r w:rsidR="00DF16CA" w:rsidRPr="009C6A93">
        <w:rPr>
          <w:rFonts w:asciiTheme="minorHAnsi" w:hAnsiTheme="minorHAnsi"/>
          <w:color w:val="auto"/>
          <w:szCs w:val="24"/>
        </w:rPr>
        <w:t xml:space="preserve">not separately </w:t>
      </w:r>
      <w:r w:rsidR="009C6A93" w:rsidRPr="009C6A93">
        <w:rPr>
          <w:rFonts w:asciiTheme="minorHAnsi" w:hAnsiTheme="minorHAnsi"/>
          <w:color w:val="auto"/>
          <w:szCs w:val="24"/>
        </w:rPr>
        <w:t xml:space="preserve">rated.  </w:t>
      </w:r>
      <w:r w:rsidR="00731D0B">
        <w:rPr>
          <w:rFonts w:asciiTheme="minorHAnsi" w:hAnsiTheme="minorHAnsi"/>
          <w:color w:val="auto"/>
          <w:szCs w:val="24"/>
        </w:rPr>
        <w:t xml:space="preserve">The Board noted that the VA did separately rate the </w:t>
      </w:r>
      <w:r w:rsidR="00731D0B" w:rsidRPr="00731D0B">
        <w:rPr>
          <w:rFonts w:asciiTheme="minorHAnsi" w:hAnsiTheme="minorHAnsi"/>
          <w:color w:val="auto"/>
          <w:szCs w:val="24"/>
        </w:rPr>
        <w:t>Cervical Spine Strain</w:t>
      </w:r>
      <w:r w:rsidR="00731D0B">
        <w:rPr>
          <w:rFonts w:asciiTheme="minorHAnsi" w:hAnsiTheme="minorHAnsi"/>
          <w:color w:val="auto"/>
          <w:szCs w:val="24"/>
        </w:rPr>
        <w:t xml:space="preserve"> (</w:t>
      </w:r>
      <w:r w:rsidR="007B6527">
        <w:rPr>
          <w:rFonts w:asciiTheme="minorHAnsi" w:hAnsiTheme="minorHAnsi"/>
          <w:color w:val="auto"/>
          <w:szCs w:val="24"/>
        </w:rPr>
        <w:t>2</w:t>
      </w:r>
      <w:r w:rsidR="00731D0B">
        <w:rPr>
          <w:rFonts w:asciiTheme="minorHAnsi" w:hAnsiTheme="minorHAnsi"/>
          <w:color w:val="auto"/>
          <w:szCs w:val="24"/>
        </w:rPr>
        <w:t xml:space="preserve">0%) and </w:t>
      </w:r>
      <w:r w:rsidR="00731D0B" w:rsidRPr="00731D0B">
        <w:rPr>
          <w:rFonts w:asciiTheme="minorHAnsi" w:hAnsiTheme="minorHAnsi"/>
          <w:color w:val="auto"/>
          <w:szCs w:val="24"/>
        </w:rPr>
        <w:t>Thoracolumbar Spine Strain</w:t>
      </w:r>
      <w:r w:rsidR="00731D0B">
        <w:rPr>
          <w:rFonts w:asciiTheme="minorHAnsi" w:hAnsiTheme="minorHAnsi"/>
          <w:color w:val="auto"/>
          <w:szCs w:val="24"/>
        </w:rPr>
        <w:t xml:space="preserve"> (20%) in addition to </w:t>
      </w:r>
      <w:r w:rsidR="00731D0B" w:rsidRPr="00731D0B">
        <w:rPr>
          <w:rFonts w:asciiTheme="minorHAnsi" w:hAnsiTheme="minorHAnsi"/>
          <w:color w:val="auto"/>
          <w:szCs w:val="24"/>
        </w:rPr>
        <w:t>Myofascial Pain Syndrome</w:t>
      </w:r>
      <w:r w:rsidR="00731D0B">
        <w:rPr>
          <w:rFonts w:asciiTheme="minorHAnsi" w:hAnsiTheme="minorHAnsi"/>
          <w:color w:val="auto"/>
          <w:szCs w:val="24"/>
        </w:rPr>
        <w:t xml:space="preserve"> (40%).  </w:t>
      </w:r>
      <w:r w:rsidR="00DF16CA" w:rsidRPr="009C6A93">
        <w:rPr>
          <w:rFonts w:asciiTheme="minorHAnsi" w:hAnsiTheme="minorHAnsi"/>
          <w:color w:val="auto"/>
          <w:szCs w:val="24"/>
        </w:rPr>
        <w:t>Additionally</w:t>
      </w:r>
      <w:r w:rsidR="00DF16CA">
        <w:rPr>
          <w:rFonts w:asciiTheme="minorHAnsi" w:hAnsiTheme="minorHAnsi"/>
          <w:color w:val="auto"/>
          <w:szCs w:val="24"/>
        </w:rPr>
        <w:t xml:space="preserve">, bilateral sacral sclerosis was listed as a Category 3 condition, not separately unfitting and not contributory to the unfitting condition. </w:t>
      </w:r>
      <w:r w:rsidR="00FB3924" w:rsidRPr="00FB3924">
        <w:rPr>
          <w:rFonts w:asciiTheme="minorHAnsi" w:hAnsiTheme="minorHAnsi"/>
          <w:color w:val="auto"/>
          <w:szCs w:val="24"/>
        </w:rPr>
        <w:t xml:space="preserve"> </w:t>
      </w:r>
      <w:r w:rsidR="00DF16CA">
        <w:rPr>
          <w:rFonts w:asciiTheme="minorHAnsi" w:hAnsiTheme="minorHAnsi"/>
          <w:color w:val="auto"/>
          <w:szCs w:val="24"/>
        </w:rPr>
        <w:t>Th</w:t>
      </w:r>
      <w:r w:rsidR="00731D0B">
        <w:rPr>
          <w:rFonts w:asciiTheme="minorHAnsi" w:hAnsiTheme="minorHAnsi"/>
          <w:color w:val="auto"/>
          <w:szCs w:val="24"/>
        </w:rPr>
        <w:t>e</w:t>
      </w:r>
      <w:r w:rsidR="00DF16CA">
        <w:rPr>
          <w:rFonts w:asciiTheme="minorHAnsi" w:hAnsiTheme="minorHAnsi"/>
          <w:color w:val="auto"/>
          <w:szCs w:val="24"/>
        </w:rPr>
        <w:t>s</w:t>
      </w:r>
      <w:r w:rsidR="00731D0B">
        <w:rPr>
          <w:rFonts w:asciiTheme="minorHAnsi" w:hAnsiTheme="minorHAnsi"/>
          <w:color w:val="auto"/>
          <w:szCs w:val="24"/>
        </w:rPr>
        <w:t>e</w:t>
      </w:r>
      <w:r w:rsidR="00DF16CA">
        <w:rPr>
          <w:rFonts w:asciiTheme="minorHAnsi" w:hAnsiTheme="minorHAnsi"/>
          <w:color w:val="auto"/>
          <w:szCs w:val="24"/>
        </w:rPr>
        <w:t xml:space="preserve"> condition</w:t>
      </w:r>
      <w:r w:rsidR="00731D0B">
        <w:rPr>
          <w:rFonts w:asciiTheme="minorHAnsi" w:hAnsiTheme="minorHAnsi"/>
          <w:color w:val="auto"/>
          <w:szCs w:val="24"/>
        </w:rPr>
        <w:t>s</w:t>
      </w:r>
      <w:r w:rsidR="00052930">
        <w:rPr>
          <w:rFonts w:asciiTheme="minorHAnsi" w:hAnsiTheme="minorHAnsi"/>
          <w:color w:val="auto"/>
          <w:szCs w:val="24"/>
        </w:rPr>
        <w:t xml:space="preserve"> were</w:t>
      </w:r>
      <w:r w:rsidR="00DF16CA">
        <w:rPr>
          <w:rFonts w:asciiTheme="minorHAnsi" w:hAnsiTheme="minorHAnsi"/>
          <w:color w:val="auto"/>
          <w:szCs w:val="24"/>
        </w:rPr>
        <w:t xml:space="preserve"> not</w:t>
      </w:r>
      <w:r w:rsidR="00FB3924" w:rsidRPr="00FB3924">
        <w:rPr>
          <w:rFonts w:asciiTheme="minorHAnsi" w:hAnsiTheme="minorHAnsi"/>
          <w:color w:val="auto"/>
          <w:szCs w:val="24"/>
        </w:rPr>
        <w:t xml:space="preserve"> </w:t>
      </w:r>
      <w:r w:rsidR="009C6A93">
        <w:rPr>
          <w:rFonts w:asciiTheme="minorHAnsi" w:hAnsiTheme="minorHAnsi"/>
          <w:color w:val="auto"/>
          <w:szCs w:val="24"/>
        </w:rPr>
        <w:t>separately</w:t>
      </w:r>
      <w:r w:rsidR="00FB3924" w:rsidRPr="00FB3924">
        <w:rPr>
          <w:rFonts w:asciiTheme="minorHAnsi" w:hAnsiTheme="minorHAnsi"/>
          <w:color w:val="auto"/>
          <w:szCs w:val="24"/>
        </w:rPr>
        <w:t xml:space="preserve"> implicated in the </w:t>
      </w:r>
      <w:r w:rsidR="008218D6">
        <w:rPr>
          <w:rFonts w:asciiTheme="minorHAnsi" w:hAnsiTheme="minorHAnsi"/>
          <w:color w:val="auto"/>
          <w:szCs w:val="24"/>
        </w:rPr>
        <w:t>Non-Medical Assessment</w:t>
      </w:r>
      <w:r w:rsidR="004B5089">
        <w:rPr>
          <w:rFonts w:asciiTheme="minorHAnsi" w:hAnsiTheme="minorHAnsi"/>
          <w:color w:val="auto"/>
          <w:szCs w:val="24"/>
        </w:rPr>
        <w:t xml:space="preserve"> (NMA)</w:t>
      </w:r>
      <w:r w:rsidR="00731D0B">
        <w:rPr>
          <w:rFonts w:asciiTheme="minorHAnsi" w:hAnsiTheme="minorHAnsi"/>
          <w:color w:val="auto"/>
          <w:szCs w:val="24"/>
        </w:rPr>
        <w:t>,</w:t>
      </w:r>
      <w:r w:rsidR="00FB3924" w:rsidRPr="00FB3924">
        <w:rPr>
          <w:rFonts w:asciiTheme="minorHAnsi" w:hAnsiTheme="minorHAnsi"/>
          <w:color w:val="auto"/>
          <w:szCs w:val="24"/>
        </w:rPr>
        <w:t xml:space="preserve"> </w:t>
      </w:r>
      <w:r w:rsidR="009C6A93">
        <w:rPr>
          <w:rFonts w:asciiTheme="minorHAnsi" w:hAnsiTheme="minorHAnsi"/>
          <w:color w:val="auto"/>
          <w:szCs w:val="24"/>
        </w:rPr>
        <w:t xml:space="preserve">but </w:t>
      </w:r>
      <w:r w:rsidR="00731D0B">
        <w:rPr>
          <w:rFonts w:asciiTheme="minorHAnsi" w:hAnsiTheme="minorHAnsi"/>
          <w:color w:val="auto"/>
          <w:szCs w:val="24"/>
        </w:rPr>
        <w:t>w</w:t>
      </w:r>
      <w:r w:rsidR="009C6A93">
        <w:rPr>
          <w:rFonts w:asciiTheme="minorHAnsi" w:hAnsiTheme="minorHAnsi"/>
          <w:color w:val="auto"/>
          <w:szCs w:val="24"/>
        </w:rPr>
        <w:t>ould have easily been overshadowed by the CI’s primary unfitting condition</w:t>
      </w:r>
      <w:r w:rsidR="00DF16CA">
        <w:rPr>
          <w:rFonts w:asciiTheme="minorHAnsi" w:hAnsiTheme="minorHAnsi"/>
          <w:color w:val="auto"/>
          <w:szCs w:val="24"/>
        </w:rPr>
        <w:t xml:space="preserve">.  </w:t>
      </w:r>
      <w:r w:rsidR="00731D0B">
        <w:rPr>
          <w:rFonts w:asciiTheme="minorHAnsi" w:hAnsiTheme="minorHAnsi"/>
          <w:color w:val="auto"/>
          <w:szCs w:val="24"/>
        </w:rPr>
        <w:t>However, the Board considered the level of disability of these conditions and adjudged that it was not independently unfitting absent the CI’s overall pain.  They were</w:t>
      </w:r>
      <w:r w:rsidR="00FB3924" w:rsidRPr="00FB3924">
        <w:rPr>
          <w:rFonts w:asciiTheme="minorHAnsi" w:hAnsiTheme="minorHAnsi"/>
          <w:color w:val="auto"/>
          <w:szCs w:val="24"/>
        </w:rPr>
        <w:t xml:space="preserve"> considered by the Board</w:t>
      </w:r>
      <w:r w:rsidR="009C6A93">
        <w:rPr>
          <w:rFonts w:asciiTheme="minorHAnsi" w:hAnsiTheme="minorHAnsi"/>
          <w:color w:val="auto"/>
          <w:szCs w:val="24"/>
        </w:rPr>
        <w:t xml:space="preserve"> as part of the CI’s chronic pain syndrome and not separately ratable</w:t>
      </w:r>
      <w:r w:rsidR="00FB3924" w:rsidRPr="00FB3924">
        <w:rPr>
          <w:rFonts w:asciiTheme="minorHAnsi" w:hAnsiTheme="minorHAnsi"/>
          <w:color w:val="auto"/>
          <w:szCs w:val="24"/>
        </w:rPr>
        <w:t>.  All evidence considered</w:t>
      </w:r>
      <w:proofErr w:type="gramStart"/>
      <w:r w:rsidR="00FB3924" w:rsidRPr="00FB3924">
        <w:rPr>
          <w:rFonts w:asciiTheme="minorHAnsi" w:hAnsiTheme="minorHAnsi"/>
          <w:color w:val="auto"/>
          <w:szCs w:val="24"/>
        </w:rPr>
        <w:t>,</w:t>
      </w:r>
      <w:proofErr w:type="gramEnd"/>
      <w:r w:rsidR="00FB3924" w:rsidRPr="00FB3924">
        <w:rPr>
          <w:rFonts w:asciiTheme="minorHAnsi" w:hAnsiTheme="minorHAnsi"/>
          <w:color w:val="auto"/>
          <w:szCs w:val="24"/>
        </w:rPr>
        <w:t xml:space="preserve"> there is not reasonable doubt in the CI’s favor </w:t>
      </w:r>
      <w:r w:rsidR="00FB3924" w:rsidRPr="00FB3924">
        <w:rPr>
          <w:rFonts w:asciiTheme="minorHAnsi" w:hAnsiTheme="minorHAnsi"/>
          <w:color w:val="auto"/>
          <w:szCs w:val="24"/>
        </w:rPr>
        <w:lastRenderedPageBreak/>
        <w:t xml:space="preserve">supporting recharacterization of the PEB fitness adjudication for </w:t>
      </w:r>
      <w:r w:rsidR="00895B5A">
        <w:rPr>
          <w:rFonts w:asciiTheme="minorHAnsi" w:hAnsiTheme="minorHAnsi"/>
          <w:color w:val="auto"/>
          <w:szCs w:val="24"/>
        </w:rPr>
        <w:t xml:space="preserve">the </w:t>
      </w:r>
      <w:r w:rsidR="00140805">
        <w:rPr>
          <w:rFonts w:asciiTheme="minorHAnsi" w:hAnsiTheme="minorHAnsi"/>
          <w:color w:val="auto"/>
          <w:szCs w:val="24"/>
        </w:rPr>
        <w:t xml:space="preserve">cervical, low back or </w:t>
      </w:r>
      <w:r w:rsidR="00895B5A">
        <w:rPr>
          <w:rFonts w:asciiTheme="minorHAnsi" w:hAnsiTheme="minorHAnsi"/>
          <w:color w:val="auto"/>
          <w:szCs w:val="24"/>
        </w:rPr>
        <w:t>sacral sclerosis condition</w:t>
      </w:r>
      <w:r w:rsidR="00140805">
        <w:rPr>
          <w:rFonts w:asciiTheme="minorHAnsi" w:hAnsiTheme="minorHAnsi"/>
          <w:color w:val="auto"/>
          <w:szCs w:val="24"/>
        </w:rPr>
        <w:t>s</w:t>
      </w:r>
      <w:r w:rsidR="00FB3924" w:rsidRPr="00FB3924">
        <w:rPr>
          <w:rFonts w:asciiTheme="minorHAnsi" w:hAnsiTheme="minorHAnsi"/>
          <w:color w:val="auto"/>
          <w:szCs w:val="24"/>
        </w:rPr>
        <w:t>.</w:t>
      </w:r>
      <w:r w:rsidR="00140805">
        <w:rPr>
          <w:rFonts w:asciiTheme="minorHAnsi" w:hAnsiTheme="minorHAnsi"/>
          <w:color w:val="auto"/>
          <w:szCs w:val="24"/>
        </w:rPr>
        <w:t xml:space="preserve">  </w:t>
      </w:r>
    </w:p>
    <w:p w:rsidR="00FA72DB" w:rsidRDefault="00FA72DB" w:rsidP="004C4737">
      <w:pPr>
        <w:tabs>
          <w:tab w:val="left" w:pos="288"/>
          <w:tab w:val="left" w:pos="4752"/>
        </w:tabs>
        <w:spacing w:line="240" w:lineRule="exact"/>
        <w:jc w:val="both"/>
        <w:rPr>
          <w:rFonts w:asciiTheme="minorHAnsi" w:hAnsiTheme="minorHAnsi"/>
          <w:color w:val="auto"/>
          <w:szCs w:val="24"/>
          <w:u w:val="single"/>
        </w:rPr>
      </w:pPr>
    </w:p>
    <w:p w:rsidR="0073254D" w:rsidRDefault="00FB3924" w:rsidP="004C4737">
      <w:pPr>
        <w:tabs>
          <w:tab w:val="left" w:pos="288"/>
          <w:tab w:val="left" w:pos="4752"/>
        </w:tabs>
        <w:spacing w:line="240" w:lineRule="exact"/>
        <w:jc w:val="both"/>
        <w:rPr>
          <w:rFonts w:asciiTheme="minorHAnsi" w:hAnsiTheme="minorHAnsi"/>
          <w:color w:val="auto"/>
          <w:szCs w:val="24"/>
        </w:rPr>
      </w:pPr>
      <w:proofErr w:type="gramStart"/>
      <w:r w:rsidRPr="00FB3924">
        <w:rPr>
          <w:rFonts w:asciiTheme="minorHAnsi" w:hAnsiTheme="minorHAnsi"/>
          <w:color w:val="auto"/>
          <w:szCs w:val="24"/>
          <w:u w:val="single"/>
        </w:rPr>
        <w:t>Other Contended Conditions</w:t>
      </w:r>
      <w:r w:rsidRPr="00FB3924">
        <w:rPr>
          <w:rFonts w:asciiTheme="minorHAnsi" w:hAnsiTheme="minorHAnsi"/>
          <w:color w:val="000080"/>
          <w:szCs w:val="24"/>
        </w:rPr>
        <w:t>.</w:t>
      </w:r>
      <w:proofErr w:type="gramEnd"/>
      <w:r w:rsidRPr="00FB3924">
        <w:rPr>
          <w:rFonts w:asciiTheme="minorHAnsi" w:hAnsiTheme="minorHAnsi"/>
          <w:color w:val="000080"/>
          <w:szCs w:val="24"/>
        </w:rPr>
        <w:t xml:space="preserve">  </w:t>
      </w:r>
      <w:r w:rsidRPr="00FB3924">
        <w:rPr>
          <w:rFonts w:asciiTheme="minorHAnsi" w:hAnsiTheme="minorHAnsi"/>
          <w:color w:val="auto"/>
          <w:szCs w:val="24"/>
        </w:rPr>
        <w:t xml:space="preserve">The CI’s application asserts that compensable ratings should be considered for </w:t>
      </w:r>
      <w:r w:rsidR="009E13C0">
        <w:rPr>
          <w:rFonts w:asciiTheme="minorHAnsi" w:hAnsiTheme="minorHAnsi"/>
          <w:color w:val="auto"/>
          <w:szCs w:val="24"/>
        </w:rPr>
        <w:t>P</w:t>
      </w:r>
      <w:r w:rsidR="00D241B1">
        <w:rPr>
          <w:rFonts w:asciiTheme="minorHAnsi" w:hAnsiTheme="minorHAnsi"/>
          <w:color w:val="auto"/>
          <w:szCs w:val="24"/>
        </w:rPr>
        <w:t xml:space="preserve">osttraumatic </w:t>
      </w:r>
      <w:r w:rsidR="009E13C0">
        <w:rPr>
          <w:rFonts w:asciiTheme="minorHAnsi" w:hAnsiTheme="minorHAnsi"/>
          <w:color w:val="auto"/>
          <w:szCs w:val="24"/>
        </w:rPr>
        <w:t>S</w:t>
      </w:r>
      <w:r w:rsidR="00D241B1">
        <w:rPr>
          <w:rFonts w:asciiTheme="minorHAnsi" w:hAnsiTheme="minorHAnsi"/>
          <w:color w:val="auto"/>
          <w:szCs w:val="24"/>
        </w:rPr>
        <w:t xml:space="preserve">tress </w:t>
      </w:r>
      <w:r w:rsidR="009E13C0">
        <w:rPr>
          <w:rFonts w:asciiTheme="minorHAnsi" w:hAnsiTheme="minorHAnsi"/>
          <w:color w:val="auto"/>
          <w:szCs w:val="24"/>
        </w:rPr>
        <w:t>D</w:t>
      </w:r>
      <w:r w:rsidR="00D241B1">
        <w:rPr>
          <w:rFonts w:asciiTheme="minorHAnsi" w:hAnsiTheme="minorHAnsi"/>
          <w:color w:val="auto"/>
          <w:szCs w:val="24"/>
        </w:rPr>
        <w:t>isorder</w:t>
      </w:r>
      <w:r w:rsidR="00B35DA0">
        <w:rPr>
          <w:rFonts w:asciiTheme="minorHAnsi" w:hAnsiTheme="minorHAnsi"/>
          <w:color w:val="auto"/>
          <w:szCs w:val="24"/>
        </w:rPr>
        <w:t xml:space="preserve"> (PTSD)</w:t>
      </w:r>
      <w:r w:rsidR="007B6527">
        <w:rPr>
          <w:rFonts w:asciiTheme="minorHAnsi" w:hAnsiTheme="minorHAnsi"/>
          <w:color w:val="auto"/>
          <w:szCs w:val="24"/>
        </w:rPr>
        <w:t xml:space="preserve"> [and depression secondary to chronic back pain]</w:t>
      </w:r>
      <w:r w:rsidR="00D241B1">
        <w:rPr>
          <w:rFonts w:asciiTheme="minorHAnsi" w:hAnsiTheme="minorHAnsi"/>
          <w:color w:val="auto"/>
          <w:szCs w:val="24"/>
        </w:rPr>
        <w:t xml:space="preserve">, </w:t>
      </w:r>
      <w:r w:rsidR="007B6527">
        <w:rPr>
          <w:rFonts w:asciiTheme="minorHAnsi" w:hAnsiTheme="minorHAnsi"/>
          <w:color w:val="auto"/>
          <w:szCs w:val="24"/>
        </w:rPr>
        <w:t>Post</w:t>
      </w:r>
      <w:r w:rsidR="009E13C0">
        <w:rPr>
          <w:rFonts w:asciiTheme="minorHAnsi" w:hAnsiTheme="minorHAnsi"/>
          <w:color w:val="auto"/>
          <w:szCs w:val="24"/>
        </w:rPr>
        <w:t>t</w:t>
      </w:r>
      <w:r w:rsidR="007B6527">
        <w:rPr>
          <w:rFonts w:asciiTheme="minorHAnsi" w:hAnsiTheme="minorHAnsi"/>
          <w:color w:val="auto"/>
          <w:szCs w:val="24"/>
        </w:rPr>
        <w:t xml:space="preserve">raumatic </w:t>
      </w:r>
      <w:r w:rsidR="00D241B1">
        <w:rPr>
          <w:rFonts w:asciiTheme="minorHAnsi" w:hAnsiTheme="minorHAnsi"/>
          <w:color w:val="auto"/>
          <w:szCs w:val="24"/>
        </w:rPr>
        <w:t>headaches, right and left hip strains, tinnitus, and right foot callus</w:t>
      </w:r>
      <w:r w:rsidRPr="00FB3924">
        <w:rPr>
          <w:rFonts w:asciiTheme="minorHAnsi" w:hAnsiTheme="minorHAnsi"/>
          <w:color w:val="auto"/>
          <w:szCs w:val="24"/>
        </w:rPr>
        <w:t xml:space="preserve">.  </w:t>
      </w:r>
      <w:r w:rsidR="00B35DA0">
        <w:rPr>
          <w:rFonts w:asciiTheme="minorHAnsi" w:hAnsiTheme="minorHAnsi"/>
          <w:color w:val="auto"/>
          <w:szCs w:val="24"/>
        </w:rPr>
        <w:t>The CI was specifically evaluated for PTSD by a psychiatrist prior to separation and was fou</w:t>
      </w:r>
      <w:r w:rsidR="005D7F4A">
        <w:rPr>
          <w:rFonts w:asciiTheme="minorHAnsi" w:hAnsiTheme="minorHAnsi"/>
          <w:color w:val="auto"/>
          <w:szCs w:val="24"/>
        </w:rPr>
        <w:t xml:space="preserve">nd to be </w:t>
      </w:r>
      <w:r w:rsidR="007B6527">
        <w:rPr>
          <w:rFonts w:asciiTheme="minorHAnsi" w:hAnsiTheme="minorHAnsi"/>
          <w:color w:val="auto"/>
          <w:szCs w:val="24"/>
        </w:rPr>
        <w:t>fr</w:t>
      </w:r>
      <w:r w:rsidR="005D7F4A">
        <w:rPr>
          <w:rFonts w:asciiTheme="minorHAnsi" w:hAnsiTheme="minorHAnsi"/>
          <w:color w:val="auto"/>
          <w:szCs w:val="24"/>
        </w:rPr>
        <w:t>ee of this condition</w:t>
      </w:r>
      <w:r w:rsidR="007B6527">
        <w:rPr>
          <w:rFonts w:asciiTheme="minorHAnsi" w:hAnsiTheme="minorHAnsi"/>
          <w:color w:val="auto"/>
          <w:szCs w:val="24"/>
        </w:rPr>
        <w:t xml:space="preserve"> and PTSD or other mental health diagnosis </w:t>
      </w:r>
      <w:r w:rsidR="0073519C">
        <w:rPr>
          <w:rFonts w:asciiTheme="minorHAnsi" w:hAnsiTheme="minorHAnsi"/>
          <w:color w:val="auto"/>
          <w:szCs w:val="24"/>
        </w:rPr>
        <w:t>could</w:t>
      </w:r>
      <w:r w:rsidR="005D7F4A">
        <w:rPr>
          <w:rFonts w:asciiTheme="minorHAnsi" w:hAnsiTheme="minorHAnsi"/>
          <w:color w:val="auto"/>
          <w:szCs w:val="24"/>
        </w:rPr>
        <w:t xml:space="preserve"> </w:t>
      </w:r>
      <w:r w:rsidR="002816EF">
        <w:rPr>
          <w:rFonts w:asciiTheme="minorHAnsi" w:hAnsiTheme="minorHAnsi"/>
          <w:color w:val="auto"/>
          <w:szCs w:val="24"/>
        </w:rPr>
        <w:t xml:space="preserve">not be found as </w:t>
      </w:r>
      <w:r w:rsidR="007B6527">
        <w:rPr>
          <w:rFonts w:asciiTheme="minorHAnsi" w:hAnsiTheme="minorHAnsi"/>
          <w:color w:val="auto"/>
          <w:szCs w:val="24"/>
        </w:rPr>
        <w:t xml:space="preserve">separately </w:t>
      </w:r>
      <w:r w:rsidR="002816EF">
        <w:rPr>
          <w:rFonts w:asciiTheme="minorHAnsi" w:hAnsiTheme="minorHAnsi"/>
          <w:color w:val="auto"/>
          <w:szCs w:val="24"/>
        </w:rPr>
        <w:t>unfitting</w:t>
      </w:r>
      <w:r w:rsidR="006F3DFB">
        <w:rPr>
          <w:rFonts w:asciiTheme="minorHAnsi" w:hAnsiTheme="minorHAnsi"/>
          <w:color w:val="auto"/>
          <w:szCs w:val="24"/>
        </w:rPr>
        <w:t>, although the Board considered the linkage between chronic pain and mental health symptoms</w:t>
      </w:r>
      <w:r w:rsidR="002816EF">
        <w:rPr>
          <w:rFonts w:asciiTheme="minorHAnsi" w:hAnsiTheme="minorHAnsi"/>
          <w:color w:val="auto"/>
          <w:szCs w:val="24"/>
        </w:rPr>
        <w:t xml:space="preserve">.  </w:t>
      </w:r>
      <w:r w:rsidR="00FA72DB">
        <w:rPr>
          <w:rFonts w:asciiTheme="minorHAnsi" w:hAnsiTheme="minorHAnsi"/>
          <w:color w:val="auto"/>
          <w:szCs w:val="24"/>
        </w:rPr>
        <w:t xml:space="preserve">The CI’s primary unfitting </w:t>
      </w:r>
      <w:r w:rsidR="006F3DFB" w:rsidRPr="007C578B">
        <w:rPr>
          <w:rFonts w:asciiTheme="minorHAnsi" w:hAnsiTheme="minorHAnsi"/>
          <w:color w:val="000000" w:themeColor="text1"/>
          <w:szCs w:val="24"/>
        </w:rPr>
        <w:t>Chronic Myofascial Pain Syndrome</w:t>
      </w:r>
      <w:r w:rsidR="006F3DFB">
        <w:rPr>
          <w:rFonts w:asciiTheme="minorHAnsi" w:hAnsiTheme="minorHAnsi"/>
          <w:color w:val="000000" w:themeColor="text1"/>
          <w:szCs w:val="24"/>
        </w:rPr>
        <w:t xml:space="preserve"> was rated (above) with</w:t>
      </w:r>
      <w:r w:rsidR="00FA72DB" w:rsidRPr="00FA72DB">
        <w:rPr>
          <w:rFonts w:asciiTheme="minorHAnsi" w:hAnsiTheme="minorHAnsi"/>
          <w:color w:val="auto"/>
          <w:szCs w:val="24"/>
        </w:rPr>
        <w:t xml:space="preserve"> associated fatigue, sleep disturbance, stiffness, paresthesias, headache, depression, </w:t>
      </w:r>
      <w:r w:rsidR="006F3DFB">
        <w:rPr>
          <w:rFonts w:asciiTheme="minorHAnsi" w:hAnsiTheme="minorHAnsi"/>
          <w:color w:val="auto"/>
          <w:szCs w:val="24"/>
        </w:rPr>
        <w:t xml:space="preserve">and </w:t>
      </w:r>
      <w:r w:rsidR="00FA72DB" w:rsidRPr="00FA72DB">
        <w:rPr>
          <w:rFonts w:asciiTheme="minorHAnsi" w:hAnsiTheme="minorHAnsi"/>
          <w:color w:val="auto"/>
          <w:szCs w:val="24"/>
        </w:rPr>
        <w:t>anxiety symptoms</w:t>
      </w:r>
      <w:r w:rsidR="006F3DFB">
        <w:rPr>
          <w:rFonts w:asciiTheme="minorHAnsi" w:hAnsiTheme="minorHAnsi"/>
          <w:color w:val="auto"/>
          <w:szCs w:val="24"/>
        </w:rPr>
        <w:t xml:space="preserve">.  There was no indication in the records that absent the chronic pain syndrome that any mental health condition, headache condition, or other specific joint or neurologic condition rose to the level of being unfitting.  </w:t>
      </w:r>
      <w:r w:rsidR="009C6A93">
        <w:rPr>
          <w:rFonts w:asciiTheme="minorHAnsi" w:hAnsiTheme="minorHAnsi"/>
          <w:color w:val="auto"/>
          <w:szCs w:val="24"/>
        </w:rPr>
        <w:t xml:space="preserve">Review of the VA records did not indicate that the military overlooked a condition that rose to the level of being potentially unfitting.  </w:t>
      </w:r>
      <w:r w:rsidR="002816EF">
        <w:rPr>
          <w:rFonts w:asciiTheme="minorHAnsi" w:hAnsiTheme="minorHAnsi"/>
          <w:color w:val="auto"/>
          <w:szCs w:val="24"/>
        </w:rPr>
        <w:t>The other</w:t>
      </w:r>
      <w:r w:rsidR="00B35DA0">
        <w:rPr>
          <w:rFonts w:asciiTheme="minorHAnsi" w:hAnsiTheme="minorHAnsi"/>
          <w:color w:val="auto"/>
          <w:szCs w:val="24"/>
        </w:rPr>
        <w:t xml:space="preserve"> </w:t>
      </w:r>
      <w:r w:rsidRPr="00FB3924">
        <w:rPr>
          <w:rFonts w:asciiTheme="minorHAnsi" w:hAnsiTheme="minorHAnsi"/>
          <w:color w:val="auto"/>
          <w:szCs w:val="24"/>
        </w:rPr>
        <w:t xml:space="preserve">conditions were reviewed by the Action Officer and considered by the Board.  There was no evidence for concluding that any of the </w:t>
      </w:r>
      <w:r w:rsidR="0073519C">
        <w:rPr>
          <w:rFonts w:asciiTheme="minorHAnsi" w:hAnsiTheme="minorHAnsi"/>
          <w:color w:val="auto"/>
          <w:szCs w:val="24"/>
        </w:rPr>
        <w:t xml:space="preserve">other </w:t>
      </w:r>
      <w:r w:rsidRPr="00FB3924">
        <w:rPr>
          <w:rFonts w:asciiTheme="minorHAnsi" w:hAnsiTheme="minorHAnsi"/>
          <w:color w:val="auto"/>
          <w:szCs w:val="24"/>
        </w:rPr>
        <w:t>conditions interfered with duty performance to a degree that could be argued as unfitting.  The Board determined therefore that none of the stated conditions were subject to Service disability rating.</w:t>
      </w:r>
    </w:p>
    <w:p w:rsidR="00FB3924" w:rsidRDefault="00FB3924" w:rsidP="004C4737">
      <w:pPr>
        <w:tabs>
          <w:tab w:val="left" w:pos="288"/>
          <w:tab w:val="left" w:pos="4752"/>
        </w:tabs>
        <w:spacing w:line="240" w:lineRule="exact"/>
        <w:jc w:val="both"/>
        <w:rPr>
          <w:rFonts w:asciiTheme="minorHAnsi" w:hAnsiTheme="minorHAnsi"/>
          <w:color w:val="auto"/>
          <w:szCs w:val="24"/>
        </w:rPr>
      </w:pPr>
    </w:p>
    <w:p w:rsidR="006B07D5" w:rsidRPr="007C578B" w:rsidRDefault="00B0436B" w:rsidP="004C4737">
      <w:pPr>
        <w:tabs>
          <w:tab w:val="left" w:pos="288"/>
          <w:tab w:val="left" w:pos="4752"/>
        </w:tabs>
        <w:spacing w:line="240" w:lineRule="exact"/>
        <w:jc w:val="both"/>
        <w:rPr>
          <w:rFonts w:asciiTheme="minorHAnsi" w:hAnsiTheme="minorHAnsi"/>
          <w:color w:val="000000" w:themeColor="text1"/>
          <w:szCs w:val="24"/>
        </w:rPr>
      </w:pPr>
      <w:proofErr w:type="gramStart"/>
      <w:r w:rsidRPr="009913F8">
        <w:rPr>
          <w:rFonts w:asciiTheme="minorHAnsi" w:hAnsiTheme="minorHAnsi"/>
          <w:color w:val="auto"/>
          <w:szCs w:val="24"/>
          <w:u w:val="single"/>
        </w:rPr>
        <w:t>Remaining</w:t>
      </w:r>
      <w:r w:rsidR="005052D4" w:rsidRPr="009913F8">
        <w:rPr>
          <w:rFonts w:asciiTheme="minorHAnsi" w:hAnsiTheme="minorHAnsi"/>
          <w:color w:val="auto"/>
          <w:szCs w:val="24"/>
          <w:u w:val="single"/>
        </w:rPr>
        <w:t xml:space="preserve"> Conditions</w:t>
      </w:r>
      <w:r w:rsidR="005052D4" w:rsidRPr="00542C9A">
        <w:rPr>
          <w:rFonts w:asciiTheme="minorHAnsi" w:hAnsiTheme="minorHAnsi"/>
          <w:color w:val="auto"/>
          <w:szCs w:val="24"/>
        </w:rPr>
        <w:t>.</w:t>
      </w:r>
      <w:proofErr w:type="gramEnd"/>
      <w:r w:rsidR="005052D4" w:rsidRPr="00542C9A">
        <w:rPr>
          <w:rFonts w:asciiTheme="minorHAnsi" w:hAnsiTheme="minorHAnsi"/>
          <w:color w:val="auto"/>
          <w:szCs w:val="24"/>
        </w:rPr>
        <w:t xml:space="preserve">  </w:t>
      </w:r>
      <w:r w:rsidR="00701E37" w:rsidRPr="00701E37">
        <w:rPr>
          <w:rFonts w:asciiTheme="minorHAnsi" w:hAnsiTheme="minorHAnsi"/>
          <w:color w:val="auto"/>
          <w:szCs w:val="24"/>
        </w:rPr>
        <w:t>Several add</w:t>
      </w:r>
      <w:r w:rsidR="00701E37">
        <w:rPr>
          <w:rFonts w:asciiTheme="minorHAnsi" w:hAnsiTheme="minorHAnsi"/>
          <w:color w:val="auto"/>
          <w:szCs w:val="24"/>
        </w:rPr>
        <w:t xml:space="preserve">itional </w:t>
      </w:r>
      <w:r w:rsidR="00701E37" w:rsidRPr="00701E37">
        <w:rPr>
          <w:rFonts w:asciiTheme="minorHAnsi" w:hAnsiTheme="minorHAnsi"/>
          <w:color w:val="auto"/>
          <w:szCs w:val="24"/>
        </w:rPr>
        <w:t xml:space="preserve">medical </w:t>
      </w:r>
      <w:r w:rsidR="00701E37">
        <w:rPr>
          <w:rFonts w:asciiTheme="minorHAnsi" w:hAnsiTheme="minorHAnsi"/>
          <w:color w:val="auto"/>
          <w:szCs w:val="24"/>
        </w:rPr>
        <w:t xml:space="preserve">complaints were also documented in the DES file.  </w:t>
      </w:r>
      <w:r w:rsidR="00FB3924" w:rsidRPr="00FB3924">
        <w:rPr>
          <w:rFonts w:asciiTheme="minorHAnsi" w:hAnsiTheme="minorHAnsi"/>
          <w:color w:val="auto"/>
          <w:szCs w:val="24"/>
        </w:rPr>
        <w:t xml:space="preserve">These conditions were reviewed by the Action Officer and considered by the Board.  It was determined that none </w:t>
      </w:r>
      <w:r w:rsidR="00FB3924" w:rsidRPr="007C578B">
        <w:rPr>
          <w:rFonts w:asciiTheme="minorHAnsi" w:hAnsiTheme="minorHAnsi"/>
          <w:color w:val="000000" w:themeColor="text1"/>
          <w:szCs w:val="24"/>
        </w:rPr>
        <w:t xml:space="preserve">could be argued as unfitting and subject to separation rating.  </w:t>
      </w:r>
    </w:p>
    <w:p w:rsidR="003347E7" w:rsidRPr="00D573A7" w:rsidRDefault="003347E7" w:rsidP="003347E7">
      <w:pPr>
        <w:tabs>
          <w:tab w:val="left" w:pos="288"/>
          <w:tab w:val="left" w:pos="4752"/>
        </w:tabs>
        <w:spacing w:line="240" w:lineRule="exact"/>
        <w:jc w:val="both"/>
        <w:rPr>
          <w:rFonts w:asciiTheme="minorHAnsi" w:hAnsiTheme="minorHAnsi"/>
          <w:caps/>
          <w:color w:val="auto"/>
          <w:u w:val="single"/>
        </w:rPr>
      </w:pPr>
      <w:r w:rsidRPr="00D573A7">
        <w:rPr>
          <w:rFonts w:asciiTheme="minorHAnsi" w:hAnsiTheme="minorHAnsi"/>
          <w:color w:val="auto"/>
          <w:u w:val="single"/>
        </w:rPr>
        <w:t>______________________________________________________________________________</w:t>
      </w:r>
    </w:p>
    <w:p w:rsidR="003347E7" w:rsidRPr="00D573A7" w:rsidRDefault="003347E7" w:rsidP="003347E7">
      <w:pPr>
        <w:tabs>
          <w:tab w:val="left" w:pos="288"/>
          <w:tab w:val="left" w:pos="4752"/>
        </w:tabs>
        <w:spacing w:line="240" w:lineRule="exact"/>
        <w:jc w:val="both"/>
        <w:rPr>
          <w:color w:val="auto"/>
        </w:rPr>
      </w:pPr>
    </w:p>
    <w:p w:rsidR="00412658" w:rsidRPr="007C578B" w:rsidRDefault="00C56FC8" w:rsidP="004C4737">
      <w:pPr>
        <w:spacing w:line="240" w:lineRule="exact"/>
        <w:jc w:val="both"/>
        <w:rPr>
          <w:rFonts w:asciiTheme="minorHAnsi" w:hAnsiTheme="minorHAnsi"/>
          <w:color w:val="000000" w:themeColor="text1"/>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w:t>
      </w:r>
      <w:r w:rsidRPr="007C578B">
        <w:rPr>
          <w:rFonts w:asciiTheme="minorHAnsi" w:eastAsiaTheme="minorHAnsi" w:hAnsiTheme="minorHAnsi"/>
          <w:color w:val="auto"/>
          <w:szCs w:val="24"/>
        </w:rPr>
        <w:t xml:space="preserve">effect at the time of the adjudication. </w:t>
      </w:r>
      <w:r w:rsidR="001D68CF" w:rsidRPr="007C578B">
        <w:rPr>
          <w:rFonts w:asciiTheme="minorHAnsi" w:eastAsiaTheme="minorHAnsi" w:hAnsiTheme="minorHAnsi"/>
          <w:color w:val="auto"/>
          <w:szCs w:val="24"/>
        </w:rPr>
        <w:t xml:space="preserve"> </w:t>
      </w:r>
      <w:r w:rsidRPr="007C578B">
        <w:rPr>
          <w:rFonts w:asciiTheme="minorHAnsi" w:hAnsiTheme="minorHAnsi"/>
          <w:color w:val="auto"/>
          <w:szCs w:val="24"/>
        </w:rPr>
        <w:t xml:space="preserve">As discussed above, PEB reliance on </w:t>
      </w:r>
      <w:r w:rsidR="0051374A" w:rsidRPr="007C578B">
        <w:rPr>
          <w:rFonts w:asciiTheme="minorHAnsi" w:hAnsiTheme="minorHAnsi"/>
          <w:color w:val="auto"/>
          <w:szCs w:val="24"/>
        </w:rPr>
        <w:t>SECNAVINS</w:t>
      </w:r>
      <w:r w:rsidR="00052930">
        <w:rPr>
          <w:rFonts w:asciiTheme="minorHAnsi" w:hAnsiTheme="minorHAnsi"/>
          <w:color w:val="auto"/>
          <w:szCs w:val="24"/>
        </w:rPr>
        <w:t>T</w:t>
      </w:r>
      <w:r w:rsidR="0051374A" w:rsidRPr="007C578B">
        <w:rPr>
          <w:rFonts w:asciiTheme="minorHAnsi" w:hAnsiTheme="minorHAnsi"/>
          <w:color w:val="auto"/>
          <w:szCs w:val="24"/>
        </w:rPr>
        <w:t xml:space="preserve"> 1850.</w:t>
      </w:r>
      <w:r w:rsidR="0051374A" w:rsidRPr="00FA72DB">
        <w:rPr>
          <w:rFonts w:asciiTheme="minorHAnsi" w:hAnsiTheme="minorHAnsi"/>
          <w:color w:val="auto"/>
          <w:szCs w:val="24"/>
        </w:rPr>
        <w:t xml:space="preserve">4E </w:t>
      </w:r>
      <w:r w:rsidRPr="00FA72DB">
        <w:rPr>
          <w:rFonts w:asciiTheme="minorHAnsi" w:hAnsiTheme="minorHAnsi"/>
          <w:color w:val="auto"/>
          <w:szCs w:val="24"/>
        </w:rPr>
        <w:t xml:space="preserve">for rating </w:t>
      </w:r>
      <w:r w:rsidR="0051374A" w:rsidRPr="00FA72DB">
        <w:rPr>
          <w:rFonts w:asciiTheme="minorHAnsi" w:hAnsiTheme="minorHAnsi"/>
          <w:color w:val="auto"/>
          <w:szCs w:val="24"/>
        </w:rPr>
        <w:t xml:space="preserve">the </w:t>
      </w:r>
      <w:r w:rsidR="00140805" w:rsidRPr="00FA72DB">
        <w:rPr>
          <w:rFonts w:asciiTheme="minorHAnsi" w:hAnsiTheme="minorHAnsi"/>
          <w:color w:val="auto"/>
          <w:szCs w:val="24"/>
        </w:rPr>
        <w:t>chronic</w:t>
      </w:r>
      <w:r w:rsidR="0051374A" w:rsidRPr="00FA72DB">
        <w:rPr>
          <w:rFonts w:asciiTheme="minorHAnsi" w:hAnsiTheme="minorHAnsi"/>
          <w:color w:val="auto"/>
          <w:szCs w:val="24"/>
        </w:rPr>
        <w:t xml:space="preserve"> pain </w:t>
      </w:r>
      <w:r w:rsidR="00140805" w:rsidRPr="00FA72DB">
        <w:rPr>
          <w:rFonts w:asciiTheme="minorHAnsi" w:hAnsiTheme="minorHAnsi"/>
          <w:color w:val="auto"/>
          <w:szCs w:val="24"/>
        </w:rPr>
        <w:t xml:space="preserve">syndrome </w:t>
      </w:r>
      <w:r w:rsidR="0051374A" w:rsidRPr="00FA72DB">
        <w:rPr>
          <w:rFonts w:asciiTheme="minorHAnsi" w:hAnsiTheme="minorHAnsi"/>
          <w:color w:val="auto"/>
          <w:szCs w:val="24"/>
        </w:rPr>
        <w:t>condition</w:t>
      </w:r>
      <w:r w:rsidRPr="00FA72DB">
        <w:rPr>
          <w:rFonts w:asciiTheme="minorHAnsi" w:hAnsiTheme="minorHAnsi"/>
          <w:color w:val="auto"/>
          <w:szCs w:val="24"/>
        </w:rPr>
        <w:t xml:space="preserve"> was </w:t>
      </w:r>
      <w:r w:rsidR="007C578B" w:rsidRPr="00FA72DB">
        <w:rPr>
          <w:rFonts w:asciiTheme="minorHAnsi" w:hAnsiTheme="minorHAnsi"/>
          <w:color w:val="auto"/>
          <w:szCs w:val="24"/>
        </w:rPr>
        <w:t xml:space="preserve">likely </w:t>
      </w:r>
      <w:r w:rsidRPr="00FA72DB">
        <w:rPr>
          <w:rFonts w:asciiTheme="minorHAnsi" w:hAnsiTheme="minorHAnsi"/>
          <w:color w:val="auto"/>
          <w:szCs w:val="24"/>
        </w:rPr>
        <w:t xml:space="preserve">operant in this case and the condition was adjudicated independently of that instruction by the Board. </w:t>
      </w:r>
      <w:r w:rsidR="0051374A" w:rsidRPr="00FA72DB">
        <w:rPr>
          <w:rFonts w:asciiTheme="minorHAnsi" w:hAnsiTheme="minorHAnsi"/>
          <w:color w:val="auto"/>
          <w:szCs w:val="24"/>
        </w:rPr>
        <w:t xml:space="preserve"> </w:t>
      </w:r>
      <w:r w:rsidR="00A67824" w:rsidRPr="00FA72DB">
        <w:rPr>
          <w:rFonts w:asciiTheme="minorHAnsi" w:eastAsiaTheme="minorHAnsi" w:hAnsiTheme="minorHAnsi"/>
          <w:color w:val="auto"/>
          <w:szCs w:val="24"/>
        </w:rPr>
        <w:t xml:space="preserve">In the matter of the chronic pain condition, the Board unanimously recommends </w:t>
      </w:r>
      <w:r w:rsidR="0051374A" w:rsidRPr="00FA72DB">
        <w:rPr>
          <w:rFonts w:asciiTheme="minorHAnsi" w:hAnsiTheme="minorHAnsi"/>
          <w:color w:val="auto"/>
          <w:szCs w:val="24"/>
        </w:rPr>
        <w:t>a rating of 40% coded 5099-5025 IAW VASRD §4.71a.</w:t>
      </w:r>
      <w:r w:rsidR="00412658" w:rsidRPr="00FA72DB">
        <w:rPr>
          <w:rFonts w:asciiTheme="minorHAnsi" w:hAnsiTheme="minorHAnsi"/>
          <w:color w:val="auto"/>
          <w:szCs w:val="24"/>
        </w:rPr>
        <w:t xml:space="preserve">  </w:t>
      </w:r>
      <w:r w:rsidR="00140805" w:rsidRPr="00FA72DB">
        <w:rPr>
          <w:rFonts w:asciiTheme="minorHAnsi" w:hAnsiTheme="minorHAnsi"/>
          <w:color w:val="auto"/>
          <w:szCs w:val="24"/>
        </w:rPr>
        <w:t xml:space="preserve">In the matter of the cervical, low back and sacral sclerosis conditions, the Board unanimously recommends no recharacterization of the PEB adjudications as not (separately) unfitting, but with inclusion on rating the CI’s chronic pain condition.  </w:t>
      </w:r>
      <w:r w:rsidR="00412658" w:rsidRPr="00FA72DB">
        <w:rPr>
          <w:rFonts w:asciiTheme="minorHAnsi" w:hAnsiTheme="minorHAnsi"/>
          <w:color w:val="auto"/>
          <w:szCs w:val="24"/>
        </w:rPr>
        <w:t xml:space="preserve">In the matter of the </w:t>
      </w:r>
      <w:r w:rsidR="00D43DD1" w:rsidRPr="00FA72DB">
        <w:rPr>
          <w:rFonts w:asciiTheme="minorHAnsi" w:hAnsiTheme="minorHAnsi"/>
          <w:color w:val="auto"/>
          <w:szCs w:val="24"/>
        </w:rPr>
        <w:t>P</w:t>
      </w:r>
      <w:r w:rsidR="009E13C0">
        <w:rPr>
          <w:rFonts w:asciiTheme="minorHAnsi" w:hAnsiTheme="minorHAnsi"/>
          <w:color w:val="auto"/>
          <w:szCs w:val="24"/>
        </w:rPr>
        <w:t>TSD</w:t>
      </w:r>
      <w:r w:rsidR="00140805" w:rsidRPr="00FA72DB">
        <w:rPr>
          <w:rFonts w:asciiTheme="minorHAnsi" w:hAnsiTheme="minorHAnsi"/>
          <w:color w:val="auto"/>
          <w:szCs w:val="24"/>
        </w:rPr>
        <w:t xml:space="preserve">, </w:t>
      </w:r>
      <w:r w:rsidR="00D43DD1" w:rsidRPr="00FA72DB">
        <w:rPr>
          <w:rFonts w:asciiTheme="minorHAnsi" w:hAnsiTheme="minorHAnsi"/>
          <w:color w:val="auto"/>
          <w:szCs w:val="24"/>
        </w:rPr>
        <w:t>headaches, right and left hip strains, tinnitus, and right foot callus</w:t>
      </w:r>
      <w:r w:rsidR="00D43DD1" w:rsidRPr="00FA72DB">
        <w:rPr>
          <w:rFonts w:asciiTheme="minorHAnsi" w:eastAsiaTheme="minorHAnsi" w:hAnsiTheme="minorHAnsi"/>
          <w:color w:val="auto"/>
          <w:szCs w:val="24"/>
        </w:rPr>
        <w:t xml:space="preserve"> and</w:t>
      </w:r>
      <w:r w:rsidR="00412658" w:rsidRPr="00FA72DB">
        <w:rPr>
          <w:rFonts w:asciiTheme="minorHAnsi" w:hAnsiTheme="minorHAnsi"/>
          <w:color w:val="auto"/>
          <w:szCs w:val="24"/>
        </w:rPr>
        <w:t xml:space="preserve"> any other medical conditions eligible for Board consideration; the Board unanimously agrees that it </w:t>
      </w:r>
      <w:r w:rsidR="00412658" w:rsidRPr="00FA72DB">
        <w:rPr>
          <w:rFonts w:asciiTheme="minorHAnsi" w:hAnsiTheme="minorHAnsi"/>
          <w:color w:val="000000" w:themeColor="text1"/>
          <w:szCs w:val="24"/>
        </w:rPr>
        <w:t>cannot recommend any findings of unfit for additional rating at separation.</w:t>
      </w:r>
    </w:p>
    <w:p w:rsidR="003347E7" w:rsidRPr="00D573A7" w:rsidRDefault="003347E7" w:rsidP="003347E7">
      <w:pPr>
        <w:tabs>
          <w:tab w:val="left" w:pos="288"/>
          <w:tab w:val="left" w:pos="4752"/>
        </w:tabs>
        <w:spacing w:line="240" w:lineRule="exact"/>
        <w:jc w:val="both"/>
        <w:rPr>
          <w:rFonts w:asciiTheme="minorHAnsi" w:hAnsiTheme="minorHAnsi"/>
          <w:caps/>
          <w:color w:val="auto"/>
          <w:u w:val="single"/>
        </w:rPr>
      </w:pPr>
      <w:r w:rsidRPr="00D573A7">
        <w:rPr>
          <w:rFonts w:asciiTheme="minorHAnsi" w:hAnsiTheme="minorHAnsi"/>
          <w:color w:val="auto"/>
          <w:u w:val="single"/>
        </w:rPr>
        <w:t>______________________________________________________________________________</w:t>
      </w:r>
    </w:p>
    <w:p w:rsidR="003347E7" w:rsidRPr="00D573A7" w:rsidRDefault="003347E7" w:rsidP="003347E7">
      <w:pPr>
        <w:tabs>
          <w:tab w:val="left" w:pos="288"/>
          <w:tab w:val="left" w:pos="4752"/>
        </w:tabs>
        <w:spacing w:line="240" w:lineRule="exact"/>
        <w:jc w:val="both"/>
        <w:rPr>
          <w:color w:val="auto"/>
        </w:rPr>
      </w:pPr>
    </w:p>
    <w:p w:rsidR="00FB593A" w:rsidRPr="007C578B" w:rsidRDefault="00C56FC8" w:rsidP="004C4737">
      <w:pPr>
        <w:tabs>
          <w:tab w:val="left" w:pos="288"/>
          <w:tab w:val="left" w:pos="4752"/>
        </w:tabs>
        <w:spacing w:line="240" w:lineRule="exact"/>
        <w:jc w:val="both"/>
        <w:rPr>
          <w:color w:val="000000" w:themeColor="text1"/>
        </w:rPr>
      </w:pPr>
      <w:r w:rsidRPr="007C578B">
        <w:rPr>
          <w:rFonts w:asciiTheme="minorHAnsi" w:hAnsiTheme="minorHAnsi"/>
          <w:color w:val="000000" w:themeColor="text1"/>
          <w:szCs w:val="24"/>
          <w:u w:val="single"/>
        </w:rPr>
        <w:t>RECOMMENDATION</w:t>
      </w:r>
      <w:r w:rsidRPr="007C578B">
        <w:rPr>
          <w:rFonts w:asciiTheme="minorHAnsi" w:hAnsiTheme="minorHAnsi"/>
          <w:color w:val="000000" w:themeColor="text1"/>
          <w:szCs w:val="24"/>
        </w:rPr>
        <w:t>:</w:t>
      </w:r>
      <w:r w:rsidR="00377990" w:rsidRPr="007C578B">
        <w:rPr>
          <w:rFonts w:asciiTheme="minorHAnsi" w:hAnsiTheme="minorHAnsi"/>
          <w:color w:val="000000" w:themeColor="text1"/>
          <w:szCs w:val="24"/>
        </w:rPr>
        <w:t xml:space="preserve"> </w:t>
      </w:r>
      <w:r w:rsidRPr="007C578B">
        <w:rPr>
          <w:rFonts w:asciiTheme="minorHAnsi" w:hAnsiTheme="minorHAnsi"/>
          <w:color w:val="000000" w:themeColor="text1"/>
          <w:szCs w:val="24"/>
        </w:rPr>
        <w:t xml:space="preserve"> The Board recommends that the CI’s prior determination be modified as follows and that the discharge with severance pay be recharacterized to reflect permanent disability retirement, effective as of the date of his prior medical separation.</w:t>
      </w:r>
    </w:p>
    <w:p w:rsidR="009809B8" w:rsidRPr="007C578B" w:rsidRDefault="009809B8" w:rsidP="00190E48">
      <w:pPr>
        <w:tabs>
          <w:tab w:val="left" w:pos="288"/>
          <w:tab w:val="left" w:pos="1710"/>
        </w:tabs>
        <w:spacing w:line="240" w:lineRule="exact"/>
        <w:jc w:val="both"/>
        <w:rPr>
          <w:rFonts w:asciiTheme="minorHAnsi" w:hAnsiTheme="minorHAnsi"/>
          <w:color w:val="000000" w:themeColor="text1"/>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DB26D9" w:rsidRPr="007C578B" w:rsidTr="00E62452">
        <w:trPr>
          <w:trHeight w:val="287"/>
          <w:jc w:val="center"/>
        </w:trPr>
        <w:tc>
          <w:tcPr>
            <w:tcW w:w="6480" w:type="dxa"/>
            <w:shd w:val="clear" w:color="auto" w:fill="D9D9D9"/>
          </w:tcPr>
          <w:p w:rsidR="00DB26D9" w:rsidRPr="007C578B" w:rsidRDefault="00DB26D9" w:rsidP="00E62452">
            <w:pPr>
              <w:tabs>
                <w:tab w:val="left" w:pos="288"/>
                <w:tab w:val="left" w:pos="4752"/>
              </w:tabs>
              <w:spacing w:line="240" w:lineRule="exact"/>
              <w:jc w:val="both"/>
              <w:rPr>
                <w:rFonts w:asciiTheme="minorHAnsi" w:hAnsiTheme="minorHAnsi"/>
                <w:b/>
                <w:color w:val="000000" w:themeColor="text1"/>
                <w:szCs w:val="24"/>
              </w:rPr>
            </w:pPr>
            <w:r w:rsidRPr="007C578B">
              <w:rPr>
                <w:rFonts w:asciiTheme="minorHAnsi" w:hAnsiTheme="minorHAnsi"/>
                <w:b/>
                <w:color w:val="000000" w:themeColor="text1"/>
                <w:szCs w:val="24"/>
              </w:rPr>
              <w:t>UNFITTING CONDITION</w:t>
            </w:r>
          </w:p>
        </w:tc>
        <w:tc>
          <w:tcPr>
            <w:tcW w:w="1710" w:type="dxa"/>
            <w:shd w:val="clear" w:color="auto" w:fill="D9D9D9"/>
          </w:tcPr>
          <w:p w:rsidR="00DB26D9" w:rsidRPr="007C578B" w:rsidRDefault="00DB26D9" w:rsidP="00E62452">
            <w:pPr>
              <w:tabs>
                <w:tab w:val="left" w:pos="288"/>
                <w:tab w:val="left" w:pos="4752"/>
              </w:tabs>
              <w:spacing w:line="240" w:lineRule="exact"/>
              <w:jc w:val="center"/>
              <w:rPr>
                <w:rFonts w:asciiTheme="minorHAnsi" w:hAnsiTheme="minorHAnsi"/>
                <w:b/>
                <w:color w:val="000000" w:themeColor="text1"/>
                <w:szCs w:val="24"/>
              </w:rPr>
            </w:pPr>
            <w:r w:rsidRPr="007C578B">
              <w:rPr>
                <w:rFonts w:asciiTheme="minorHAnsi" w:hAnsiTheme="minorHAnsi"/>
                <w:b/>
                <w:color w:val="000000" w:themeColor="text1"/>
                <w:szCs w:val="24"/>
              </w:rPr>
              <w:t>VASRD CODE</w:t>
            </w:r>
          </w:p>
        </w:tc>
        <w:tc>
          <w:tcPr>
            <w:tcW w:w="1170" w:type="dxa"/>
            <w:shd w:val="clear" w:color="auto" w:fill="D9D9D9"/>
          </w:tcPr>
          <w:p w:rsidR="00DB26D9" w:rsidRPr="007C578B" w:rsidRDefault="00DB26D9" w:rsidP="00E62452">
            <w:pPr>
              <w:tabs>
                <w:tab w:val="left" w:pos="288"/>
                <w:tab w:val="left" w:pos="4752"/>
              </w:tabs>
              <w:spacing w:line="240" w:lineRule="exact"/>
              <w:jc w:val="center"/>
              <w:rPr>
                <w:rFonts w:asciiTheme="minorHAnsi" w:hAnsiTheme="minorHAnsi"/>
                <w:b/>
                <w:color w:val="000000" w:themeColor="text1"/>
                <w:szCs w:val="24"/>
              </w:rPr>
            </w:pPr>
            <w:r w:rsidRPr="007C578B">
              <w:rPr>
                <w:rFonts w:asciiTheme="minorHAnsi" w:hAnsiTheme="minorHAnsi"/>
                <w:b/>
                <w:color w:val="000000" w:themeColor="text1"/>
                <w:szCs w:val="24"/>
              </w:rPr>
              <w:t>RATING</w:t>
            </w:r>
          </w:p>
        </w:tc>
      </w:tr>
      <w:tr w:rsidR="00DB26D9" w:rsidRPr="007C578B" w:rsidTr="00E62452">
        <w:trPr>
          <w:jc w:val="center"/>
        </w:trPr>
        <w:tc>
          <w:tcPr>
            <w:tcW w:w="6480" w:type="dxa"/>
          </w:tcPr>
          <w:p w:rsidR="00DB26D9" w:rsidRPr="007C578B" w:rsidRDefault="00DB26D9" w:rsidP="00E62452">
            <w:pPr>
              <w:tabs>
                <w:tab w:val="left" w:pos="288"/>
                <w:tab w:val="left" w:pos="4752"/>
              </w:tabs>
              <w:spacing w:line="240" w:lineRule="exact"/>
              <w:jc w:val="both"/>
              <w:rPr>
                <w:rFonts w:asciiTheme="minorHAnsi" w:hAnsiTheme="minorHAnsi"/>
                <w:color w:val="000000" w:themeColor="text1"/>
                <w:szCs w:val="24"/>
              </w:rPr>
            </w:pPr>
            <w:r w:rsidRPr="007C578B">
              <w:rPr>
                <w:rFonts w:asciiTheme="minorHAnsi" w:hAnsiTheme="minorHAnsi"/>
                <w:color w:val="000000" w:themeColor="text1"/>
                <w:szCs w:val="24"/>
              </w:rPr>
              <w:t>Chronic Myofascial Pain Syndrome</w:t>
            </w:r>
          </w:p>
        </w:tc>
        <w:tc>
          <w:tcPr>
            <w:tcW w:w="1710" w:type="dxa"/>
          </w:tcPr>
          <w:p w:rsidR="00DB26D9" w:rsidRPr="007C578B" w:rsidRDefault="00DB26D9" w:rsidP="00E62452">
            <w:pPr>
              <w:tabs>
                <w:tab w:val="left" w:pos="288"/>
                <w:tab w:val="left" w:pos="4752"/>
              </w:tabs>
              <w:spacing w:line="240" w:lineRule="exact"/>
              <w:jc w:val="center"/>
              <w:rPr>
                <w:rFonts w:asciiTheme="minorHAnsi" w:hAnsiTheme="minorHAnsi"/>
                <w:color w:val="000000" w:themeColor="text1"/>
                <w:szCs w:val="24"/>
              </w:rPr>
            </w:pPr>
            <w:r w:rsidRPr="007C578B">
              <w:rPr>
                <w:rFonts w:asciiTheme="minorHAnsi" w:hAnsiTheme="minorHAnsi"/>
                <w:color w:val="000000" w:themeColor="text1"/>
                <w:szCs w:val="24"/>
              </w:rPr>
              <w:t>5099-5025</w:t>
            </w:r>
          </w:p>
        </w:tc>
        <w:tc>
          <w:tcPr>
            <w:tcW w:w="1170" w:type="dxa"/>
          </w:tcPr>
          <w:p w:rsidR="00DB26D9" w:rsidRPr="007C578B" w:rsidRDefault="00DB26D9" w:rsidP="00E62452">
            <w:pPr>
              <w:tabs>
                <w:tab w:val="left" w:pos="288"/>
                <w:tab w:val="left" w:pos="4752"/>
              </w:tabs>
              <w:spacing w:line="240" w:lineRule="exact"/>
              <w:jc w:val="center"/>
              <w:rPr>
                <w:rFonts w:asciiTheme="minorHAnsi" w:hAnsiTheme="minorHAnsi"/>
                <w:color w:val="000000" w:themeColor="text1"/>
                <w:szCs w:val="24"/>
              </w:rPr>
            </w:pPr>
            <w:r w:rsidRPr="007C578B">
              <w:rPr>
                <w:rFonts w:asciiTheme="minorHAnsi" w:hAnsiTheme="minorHAnsi"/>
                <w:color w:val="000000" w:themeColor="text1"/>
                <w:szCs w:val="24"/>
              </w:rPr>
              <w:t>40%</w:t>
            </w:r>
          </w:p>
        </w:tc>
      </w:tr>
      <w:tr w:rsidR="00DB26D9" w:rsidRPr="007C578B" w:rsidTr="00E62452">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DB26D9" w:rsidRPr="007C578B" w:rsidRDefault="00DB26D9" w:rsidP="00E62452">
            <w:pPr>
              <w:tabs>
                <w:tab w:val="left" w:pos="288"/>
                <w:tab w:val="left" w:pos="4752"/>
              </w:tabs>
              <w:spacing w:line="240" w:lineRule="exact"/>
              <w:jc w:val="center"/>
              <w:rPr>
                <w:rFonts w:asciiTheme="minorHAnsi" w:hAnsiTheme="minorHAnsi"/>
                <w:b/>
                <w:color w:val="000000" w:themeColor="text1"/>
                <w:szCs w:val="24"/>
              </w:rPr>
            </w:pPr>
            <w:r w:rsidRPr="007C578B">
              <w:rPr>
                <w:rFonts w:asciiTheme="minorHAnsi" w:hAnsiTheme="minorHAnsi"/>
                <w:b/>
                <w:color w:val="000000" w:themeColor="text1"/>
                <w:szCs w:val="24"/>
              </w:rPr>
              <w:t>COMBINED</w:t>
            </w:r>
          </w:p>
        </w:tc>
        <w:tc>
          <w:tcPr>
            <w:tcW w:w="1170" w:type="dxa"/>
            <w:tcBorders>
              <w:bottom w:val="single" w:sz="4" w:space="0" w:color="000000"/>
            </w:tcBorders>
            <w:shd w:val="clear" w:color="auto" w:fill="D9D9D9" w:themeFill="background1" w:themeFillShade="D9"/>
          </w:tcPr>
          <w:p w:rsidR="00DB26D9" w:rsidRPr="007C578B" w:rsidRDefault="00DB26D9" w:rsidP="00E62452">
            <w:pPr>
              <w:tabs>
                <w:tab w:val="left" w:pos="288"/>
                <w:tab w:val="left" w:pos="4752"/>
              </w:tabs>
              <w:spacing w:line="240" w:lineRule="exact"/>
              <w:jc w:val="center"/>
              <w:rPr>
                <w:rFonts w:asciiTheme="minorHAnsi" w:hAnsiTheme="minorHAnsi"/>
                <w:b/>
                <w:color w:val="000000" w:themeColor="text1"/>
                <w:szCs w:val="24"/>
              </w:rPr>
            </w:pPr>
            <w:r w:rsidRPr="007C578B">
              <w:rPr>
                <w:rFonts w:asciiTheme="minorHAnsi" w:hAnsiTheme="minorHAnsi"/>
                <w:b/>
                <w:color w:val="000000" w:themeColor="text1"/>
                <w:szCs w:val="24"/>
              </w:rPr>
              <w:t>40%</w:t>
            </w:r>
          </w:p>
        </w:tc>
      </w:tr>
    </w:tbl>
    <w:p w:rsidR="002E289F" w:rsidRPr="002E289F" w:rsidRDefault="00ED7D70" w:rsidP="002E289F">
      <w:pPr>
        <w:tabs>
          <w:tab w:val="left" w:pos="288"/>
          <w:tab w:val="left" w:pos="4752"/>
        </w:tabs>
        <w:spacing w:line="240" w:lineRule="exact"/>
        <w:jc w:val="both"/>
        <w:rPr>
          <w:rFonts w:asciiTheme="minorHAnsi" w:hAnsiTheme="minorHAnsi"/>
          <w:caps/>
          <w:color w:val="auto"/>
          <w:u w:val="single"/>
        </w:rPr>
      </w:pPr>
      <w:r>
        <w:rPr>
          <w:rFonts w:asciiTheme="minorHAnsi" w:hAnsiTheme="minorHAnsi"/>
          <w:color w:val="auto"/>
          <w:u w:val="single"/>
        </w:rPr>
        <w:t>__</w:t>
      </w:r>
      <w:r w:rsidR="002E289F" w:rsidRPr="002E289F">
        <w:rPr>
          <w:rFonts w:asciiTheme="minorHAnsi" w:hAnsiTheme="minorHAnsi"/>
          <w:color w:val="auto"/>
          <w:u w:val="single"/>
        </w:rPr>
        <w:t>____________________________________________________________________________</w:t>
      </w:r>
    </w:p>
    <w:p w:rsidR="003347E7" w:rsidRDefault="003347E7">
      <w:pPr>
        <w:rPr>
          <w:rFonts w:asciiTheme="minorHAnsi" w:hAnsiTheme="minorHAnsi"/>
          <w:color w:val="auto"/>
        </w:rPr>
      </w:pPr>
      <w:r>
        <w:rPr>
          <w:rFonts w:asciiTheme="minorHAnsi" w:hAnsiTheme="minorHAnsi"/>
          <w:color w:val="auto"/>
        </w:rPr>
        <w:br w:type="page"/>
      </w: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lastRenderedPageBreak/>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E64C3E">
        <w:rPr>
          <w:rFonts w:asciiTheme="minorHAnsi" w:hAnsiTheme="minorHAnsi"/>
          <w:color w:val="auto"/>
        </w:rPr>
        <w:t>091201</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B522CD"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C479B2" w:rsidRDefault="00C479B2">
      <w:pPr>
        <w:rPr>
          <w:rFonts w:asciiTheme="minorHAnsi" w:hAnsiTheme="minorHAnsi"/>
          <w:color w:val="auto"/>
        </w:rPr>
      </w:pPr>
      <w:r>
        <w:rPr>
          <w:rFonts w:asciiTheme="minorHAnsi" w:hAnsiTheme="minorHAnsi"/>
          <w:color w:val="auto"/>
        </w:rPr>
        <w:br w:type="page"/>
      </w:r>
    </w:p>
    <w:p w:rsidR="00C479B2" w:rsidRDefault="00C479B2"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479B2" w:rsidRPr="00C479B2" w:rsidRDefault="00C479B2" w:rsidP="00C479B2">
      <w:pPr>
        <w:rPr>
          <w:color w:val="auto"/>
        </w:rPr>
      </w:pPr>
      <w:r w:rsidRPr="00C479B2">
        <w:rPr>
          <w:color w:val="auto"/>
        </w:rPr>
        <w:t>MEMORANDUM FOR COMMANDER, NAVY PERSONNEL COMMAND</w:t>
      </w:r>
    </w:p>
    <w:p w:rsidR="00C479B2" w:rsidRPr="00C479B2" w:rsidRDefault="00C479B2" w:rsidP="00C479B2">
      <w:pPr>
        <w:rPr>
          <w:color w:val="auto"/>
        </w:rPr>
      </w:pPr>
    </w:p>
    <w:p w:rsidR="00C479B2" w:rsidRPr="00C479B2" w:rsidRDefault="00C479B2" w:rsidP="00C479B2">
      <w:pPr>
        <w:rPr>
          <w:color w:val="auto"/>
        </w:rPr>
      </w:pPr>
      <w:proofErr w:type="spellStart"/>
      <w:r w:rsidRPr="00C479B2">
        <w:rPr>
          <w:color w:val="auto"/>
        </w:rPr>
        <w:t>Subj</w:t>
      </w:r>
      <w:proofErr w:type="spellEnd"/>
      <w:r w:rsidRPr="00C479B2">
        <w:rPr>
          <w:color w:val="auto"/>
        </w:rPr>
        <w:t>:  PHYSICAL DISABILITY BOARD OF REVIEW (PDBR) RECOMMENDATION</w:t>
      </w:r>
    </w:p>
    <w:p w:rsidR="00C479B2" w:rsidRPr="00C479B2" w:rsidRDefault="00C479B2" w:rsidP="00C479B2">
      <w:pPr>
        <w:tabs>
          <w:tab w:val="left" w:pos="630"/>
        </w:tabs>
        <w:rPr>
          <w:color w:val="auto"/>
        </w:rPr>
      </w:pPr>
      <w:r w:rsidRPr="00C479B2">
        <w:rPr>
          <w:color w:val="auto"/>
        </w:rPr>
        <w:t xml:space="preserve">          </w:t>
      </w:r>
      <w:r w:rsidRPr="00C479B2">
        <w:rPr>
          <w:color w:val="auto"/>
        </w:rPr>
        <w:tab/>
        <w:t xml:space="preserve">ICO </w:t>
      </w:r>
      <w:r>
        <w:rPr>
          <w:color w:val="auto"/>
        </w:rPr>
        <w:t>XXXXXX</w:t>
      </w:r>
      <w:r w:rsidRPr="00C479B2">
        <w:rPr>
          <w:color w:val="auto"/>
        </w:rPr>
        <w:t>, FORMER USN, XXX-XX-</w:t>
      </w:r>
      <w:r>
        <w:rPr>
          <w:color w:val="auto"/>
        </w:rPr>
        <w:t>XXXX</w:t>
      </w:r>
    </w:p>
    <w:p w:rsidR="00C479B2" w:rsidRPr="00C479B2" w:rsidRDefault="00C479B2" w:rsidP="00C479B2">
      <w:pPr>
        <w:rPr>
          <w:color w:val="auto"/>
        </w:rPr>
      </w:pPr>
    </w:p>
    <w:p w:rsidR="00C479B2" w:rsidRPr="00C479B2" w:rsidRDefault="00C479B2" w:rsidP="00C479B2">
      <w:pPr>
        <w:rPr>
          <w:color w:val="auto"/>
        </w:rPr>
      </w:pPr>
      <w:r w:rsidRPr="00C479B2">
        <w:rPr>
          <w:color w:val="auto"/>
        </w:rPr>
        <w:t xml:space="preserve">Ref:   (a) PDBR </w:t>
      </w:r>
      <w:proofErr w:type="spellStart"/>
      <w:r w:rsidRPr="00C479B2">
        <w:rPr>
          <w:color w:val="auto"/>
        </w:rPr>
        <w:t>ltr</w:t>
      </w:r>
      <w:proofErr w:type="spellEnd"/>
      <w:r w:rsidRPr="00C479B2">
        <w:rPr>
          <w:color w:val="auto"/>
        </w:rPr>
        <w:t xml:space="preserve"> of 23 Mar 11</w:t>
      </w:r>
    </w:p>
    <w:p w:rsidR="00C479B2" w:rsidRPr="00C479B2" w:rsidRDefault="00C479B2" w:rsidP="00C479B2">
      <w:pPr>
        <w:rPr>
          <w:color w:val="auto"/>
        </w:rPr>
      </w:pPr>
      <w:r w:rsidRPr="00C479B2">
        <w:rPr>
          <w:color w:val="auto"/>
        </w:rPr>
        <w:t xml:space="preserve">          (b) DoDI 6040.44</w:t>
      </w:r>
    </w:p>
    <w:p w:rsidR="00C479B2" w:rsidRPr="00C479B2" w:rsidRDefault="00C479B2" w:rsidP="00C479B2">
      <w:pPr>
        <w:rPr>
          <w:color w:val="auto"/>
        </w:rPr>
      </w:pPr>
    </w:p>
    <w:p w:rsidR="00C479B2" w:rsidRPr="00C479B2" w:rsidRDefault="00C479B2" w:rsidP="00C479B2">
      <w:pPr>
        <w:rPr>
          <w:color w:val="auto"/>
        </w:rPr>
      </w:pPr>
      <w:r w:rsidRPr="00C479B2">
        <w:rPr>
          <w:color w:val="auto"/>
        </w:rPr>
        <w:t>1.  I have reviewed reference (a) pursuant to reference (b).</w:t>
      </w:r>
    </w:p>
    <w:p w:rsidR="00C479B2" w:rsidRPr="00C479B2" w:rsidRDefault="00C479B2" w:rsidP="00C479B2">
      <w:pPr>
        <w:rPr>
          <w:color w:val="auto"/>
        </w:rPr>
      </w:pPr>
    </w:p>
    <w:p w:rsidR="00C479B2" w:rsidRPr="00C479B2" w:rsidRDefault="00C479B2" w:rsidP="00C479B2">
      <w:pPr>
        <w:rPr>
          <w:color w:val="auto"/>
        </w:rPr>
      </w:pPr>
      <w:r w:rsidRPr="00C479B2">
        <w:rPr>
          <w:color w:val="auto"/>
        </w:rPr>
        <w:t>2.  The subject member’s official records are to be corrected to reflect the following disposition:</w:t>
      </w:r>
    </w:p>
    <w:p w:rsidR="00C479B2" w:rsidRPr="00C479B2" w:rsidRDefault="00C479B2" w:rsidP="00C479B2">
      <w:pPr>
        <w:rPr>
          <w:color w:val="auto"/>
        </w:rPr>
      </w:pPr>
    </w:p>
    <w:p w:rsidR="00C479B2" w:rsidRPr="00C479B2" w:rsidRDefault="00C479B2" w:rsidP="00C479B2">
      <w:pPr>
        <w:rPr>
          <w:color w:val="auto"/>
        </w:rPr>
      </w:pPr>
      <w:r w:rsidRPr="00C479B2">
        <w:rPr>
          <w:color w:val="auto"/>
        </w:rPr>
        <w:tab/>
        <w:t>a. Separation from the naval service due to physical disability rated at 40 percent (increased from 10 percent) with placement on the Permanent Disability Retired List effective 19 February 2008.</w:t>
      </w:r>
    </w:p>
    <w:p w:rsidR="00C479B2" w:rsidRPr="00C479B2" w:rsidRDefault="00C479B2" w:rsidP="00C479B2">
      <w:pPr>
        <w:rPr>
          <w:color w:val="auto"/>
        </w:rPr>
      </w:pPr>
    </w:p>
    <w:p w:rsidR="00C479B2" w:rsidRPr="00C479B2" w:rsidRDefault="00C479B2" w:rsidP="00C479B2">
      <w:pPr>
        <w:rPr>
          <w:color w:val="auto"/>
        </w:rPr>
      </w:pPr>
      <w:r w:rsidRPr="00C479B2">
        <w:rPr>
          <w:color w:val="auto"/>
        </w:rPr>
        <w:t>3.  Please ensure all necessary actions are taken to implement this decision, including the recoupment of previously paid funds if appropriate, and notification to the subject member once those actions are completed.</w:t>
      </w:r>
    </w:p>
    <w:p w:rsidR="00C479B2" w:rsidRPr="00C479B2" w:rsidRDefault="00C479B2" w:rsidP="00C479B2">
      <w:pPr>
        <w:rPr>
          <w:color w:val="auto"/>
        </w:rPr>
      </w:pPr>
    </w:p>
    <w:p w:rsidR="00C479B2" w:rsidRPr="00C479B2" w:rsidRDefault="00C479B2" w:rsidP="00C479B2">
      <w:pPr>
        <w:rPr>
          <w:color w:val="auto"/>
        </w:rPr>
      </w:pPr>
    </w:p>
    <w:p w:rsidR="00C479B2" w:rsidRPr="00C479B2" w:rsidRDefault="00C479B2" w:rsidP="00C479B2">
      <w:pPr>
        <w:rPr>
          <w:color w:val="auto"/>
        </w:rPr>
      </w:pPr>
    </w:p>
    <w:p w:rsidR="00C479B2" w:rsidRPr="00C479B2" w:rsidRDefault="00C479B2" w:rsidP="00C479B2">
      <w:pPr>
        <w:tabs>
          <w:tab w:val="left" w:pos="4680"/>
        </w:tabs>
        <w:rPr>
          <w:color w:val="auto"/>
        </w:rPr>
      </w:pPr>
      <w:r w:rsidRPr="00C479B2">
        <w:rPr>
          <w:color w:val="auto"/>
        </w:rPr>
        <w:tab/>
      </w:r>
    </w:p>
    <w:p w:rsidR="00C479B2" w:rsidRPr="00C479B2" w:rsidRDefault="00C479B2" w:rsidP="00C479B2">
      <w:pPr>
        <w:rPr>
          <w:color w:val="auto"/>
        </w:rPr>
      </w:pPr>
      <w:r w:rsidRPr="00C479B2">
        <w:rPr>
          <w:color w:val="auto"/>
        </w:rPr>
        <w:tab/>
      </w:r>
      <w:r w:rsidRPr="00C479B2">
        <w:rPr>
          <w:color w:val="auto"/>
        </w:rPr>
        <w:tab/>
      </w:r>
      <w:r w:rsidRPr="00C479B2">
        <w:rPr>
          <w:color w:val="auto"/>
        </w:rPr>
        <w:tab/>
      </w:r>
      <w:r w:rsidRPr="00C479B2">
        <w:rPr>
          <w:color w:val="auto"/>
        </w:rPr>
        <w:tab/>
      </w:r>
      <w:r w:rsidRPr="00C479B2">
        <w:rPr>
          <w:color w:val="auto"/>
        </w:rPr>
        <w:tab/>
      </w:r>
      <w:r w:rsidRPr="00C479B2">
        <w:rPr>
          <w:color w:val="auto"/>
        </w:rPr>
        <w:tab/>
        <w:t xml:space="preserve">      Principal Deputy</w:t>
      </w:r>
    </w:p>
    <w:p w:rsidR="00C479B2" w:rsidRPr="00C479B2" w:rsidRDefault="00C479B2" w:rsidP="00C479B2">
      <w:pPr>
        <w:rPr>
          <w:color w:val="auto"/>
        </w:rPr>
      </w:pPr>
      <w:r w:rsidRPr="00C479B2">
        <w:rPr>
          <w:color w:val="auto"/>
        </w:rPr>
        <w:tab/>
      </w:r>
      <w:r w:rsidRPr="00C479B2">
        <w:rPr>
          <w:color w:val="auto"/>
        </w:rPr>
        <w:tab/>
      </w:r>
      <w:r w:rsidRPr="00C479B2">
        <w:rPr>
          <w:color w:val="auto"/>
        </w:rPr>
        <w:tab/>
      </w:r>
      <w:r w:rsidRPr="00C479B2">
        <w:rPr>
          <w:color w:val="auto"/>
        </w:rPr>
        <w:tab/>
      </w:r>
      <w:r w:rsidRPr="00C479B2">
        <w:rPr>
          <w:color w:val="auto"/>
        </w:rPr>
        <w:tab/>
      </w:r>
      <w:r w:rsidRPr="00C479B2">
        <w:rPr>
          <w:color w:val="auto"/>
        </w:rPr>
        <w:tab/>
        <w:t xml:space="preserve">      Assistant Secretary of the Navy</w:t>
      </w:r>
    </w:p>
    <w:p w:rsidR="00C479B2" w:rsidRPr="00C479B2" w:rsidRDefault="00C479B2" w:rsidP="00C479B2">
      <w:pPr>
        <w:rPr>
          <w:color w:val="auto"/>
        </w:rPr>
      </w:pPr>
      <w:r w:rsidRPr="00C479B2">
        <w:rPr>
          <w:color w:val="auto"/>
        </w:rPr>
        <w:tab/>
      </w:r>
      <w:r w:rsidRPr="00C479B2">
        <w:rPr>
          <w:color w:val="auto"/>
        </w:rPr>
        <w:tab/>
      </w:r>
      <w:r w:rsidRPr="00C479B2">
        <w:rPr>
          <w:color w:val="auto"/>
        </w:rPr>
        <w:tab/>
      </w:r>
      <w:r w:rsidRPr="00C479B2">
        <w:rPr>
          <w:color w:val="auto"/>
        </w:rPr>
        <w:tab/>
      </w:r>
      <w:r w:rsidRPr="00C479B2">
        <w:rPr>
          <w:color w:val="auto"/>
        </w:rPr>
        <w:tab/>
      </w:r>
      <w:r w:rsidRPr="00C479B2">
        <w:rPr>
          <w:color w:val="auto"/>
        </w:rPr>
        <w:tab/>
        <w:t xml:space="preserve">        (Manpower &amp; Reserve Affairs)</w:t>
      </w:r>
    </w:p>
    <w:p w:rsidR="00C479B2" w:rsidRDefault="00C479B2" w:rsidP="00C479B2"/>
    <w:p w:rsidR="00C479B2" w:rsidRPr="0085089F" w:rsidRDefault="00C479B2"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C479B2" w:rsidRPr="0085089F"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D61" w:rsidRDefault="00741D61">
      <w:r>
        <w:separator/>
      </w:r>
    </w:p>
  </w:endnote>
  <w:endnote w:type="continuationSeparator" w:id="0">
    <w:p w:rsidR="00741D61" w:rsidRDefault="00741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Janson Tex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B9" w:rsidRDefault="00F133C3">
    <w:pPr>
      <w:pStyle w:val="Footer"/>
      <w:framePr w:wrap="around" w:vAnchor="text" w:hAnchor="margin" w:xAlign="center" w:y="1"/>
      <w:rPr>
        <w:rStyle w:val="PageNumber"/>
      </w:rPr>
    </w:pPr>
    <w:r>
      <w:rPr>
        <w:rStyle w:val="PageNumber"/>
      </w:rPr>
      <w:fldChar w:fldCharType="begin"/>
    </w:r>
    <w:r w:rsidR="001379B9">
      <w:rPr>
        <w:rStyle w:val="PageNumber"/>
      </w:rPr>
      <w:instrText xml:space="preserve">PAGE  </w:instrText>
    </w:r>
    <w:r>
      <w:rPr>
        <w:rStyle w:val="PageNumber"/>
      </w:rPr>
      <w:fldChar w:fldCharType="separate"/>
    </w:r>
    <w:r w:rsidR="001379B9">
      <w:rPr>
        <w:rStyle w:val="PageNumber"/>
        <w:noProof/>
      </w:rPr>
      <w:t>2</w:t>
    </w:r>
    <w:r>
      <w:rPr>
        <w:rStyle w:val="PageNumber"/>
      </w:rPr>
      <w:fldChar w:fldCharType="end"/>
    </w:r>
  </w:p>
  <w:p w:rsidR="001379B9" w:rsidRDefault="001379B9"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B9" w:rsidRPr="00AC713F" w:rsidRDefault="00F133C3">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1379B9"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C479B2">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1379B9" w:rsidRPr="00ED7D70" w:rsidRDefault="001379B9" w:rsidP="002B0749">
    <w:pPr>
      <w:pStyle w:val="Footer"/>
      <w:jc w:val="right"/>
      <w:rPr>
        <w:rFonts w:asciiTheme="minorHAnsi" w:hAnsiTheme="minorHAnsi"/>
        <w:color w:val="auto"/>
      </w:rPr>
    </w:pPr>
    <w:r>
      <w:tab/>
    </w:r>
    <w:r>
      <w:tab/>
    </w:r>
    <w:r w:rsidRPr="00ED7D70">
      <w:rPr>
        <w:rFonts w:asciiTheme="minorHAnsi" w:hAnsiTheme="minorHAnsi"/>
        <w:caps/>
        <w:color w:val="auto"/>
      </w:rPr>
      <w:t>PD0900702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D61" w:rsidRDefault="00741D61">
      <w:r>
        <w:separator/>
      </w:r>
    </w:p>
  </w:footnote>
  <w:footnote w:type="continuationSeparator" w:id="0">
    <w:p w:rsidR="00741D61" w:rsidRDefault="00741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94274"/>
  </w:hdrShapeDefaults>
  <w:footnotePr>
    <w:numRestart w:val="eachSect"/>
    <w:footnote w:id="-1"/>
    <w:footnote w:id="0"/>
  </w:footnotePr>
  <w:endnotePr>
    <w:endnote w:id="-1"/>
    <w:endnote w:id="0"/>
  </w:endnotePr>
  <w:compat/>
  <w:rsids>
    <w:rsidRoot w:val="001C28D1"/>
    <w:rsid w:val="000059FA"/>
    <w:rsid w:val="000062AC"/>
    <w:rsid w:val="00006F87"/>
    <w:rsid w:val="00010ABA"/>
    <w:rsid w:val="00012428"/>
    <w:rsid w:val="00013417"/>
    <w:rsid w:val="000145C2"/>
    <w:rsid w:val="0001473F"/>
    <w:rsid w:val="00014A9E"/>
    <w:rsid w:val="00021361"/>
    <w:rsid w:val="00023913"/>
    <w:rsid w:val="00023D43"/>
    <w:rsid w:val="00032267"/>
    <w:rsid w:val="00032E07"/>
    <w:rsid w:val="000332CA"/>
    <w:rsid w:val="0003374E"/>
    <w:rsid w:val="000344E6"/>
    <w:rsid w:val="00035C3A"/>
    <w:rsid w:val="00036E4B"/>
    <w:rsid w:val="000379D0"/>
    <w:rsid w:val="00040FC4"/>
    <w:rsid w:val="000416F8"/>
    <w:rsid w:val="0004178A"/>
    <w:rsid w:val="00042C26"/>
    <w:rsid w:val="00043382"/>
    <w:rsid w:val="00045853"/>
    <w:rsid w:val="00051622"/>
    <w:rsid w:val="00052234"/>
    <w:rsid w:val="00052930"/>
    <w:rsid w:val="00053D7C"/>
    <w:rsid w:val="000577C9"/>
    <w:rsid w:val="0006431E"/>
    <w:rsid w:val="00072433"/>
    <w:rsid w:val="000751F1"/>
    <w:rsid w:val="00075702"/>
    <w:rsid w:val="000775C2"/>
    <w:rsid w:val="000806AD"/>
    <w:rsid w:val="0008144D"/>
    <w:rsid w:val="00082482"/>
    <w:rsid w:val="0008708B"/>
    <w:rsid w:val="00092619"/>
    <w:rsid w:val="00092C66"/>
    <w:rsid w:val="00094E4F"/>
    <w:rsid w:val="000A23DC"/>
    <w:rsid w:val="000A2BCE"/>
    <w:rsid w:val="000A41E3"/>
    <w:rsid w:val="000A46E2"/>
    <w:rsid w:val="000A4BBA"/>
    <w:rsid w:val="000A5071"/>
    <w:rsid w:val="000B12AE"/>
    <w:rsid w:val="000B34C3"/>
    <w:rsid w:val="000B4C99"/>
    <w:rsid w:val="000B784F"/>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F02BE"/>
    <w:rsid w:val="000F0CC3"/>
    <w:rsid w:val="000F427B"/>
    <w:rsid w:val="000F7181"/>
    <w:rsid w:val="001008C1"/>
    <w:rsid w:val="001023DB"/>
    <w:rsid w:val="00103CCF"/>
    <w:rsid w:val="0010417F"/>
    <w:rsid w:val="001042D2"/>
    <w:rsid w:val="0010530E"/>
    <w:rsid w:val="00105C07"/>
    <w:rsid w:val="00107EC5"/>
    <w:rsid w:val="001103CD"/>
    <w:rsid w:val="00110476"/>
    <w:rsid w:val="001121C3"/>
    <w:rsid w:val="00113EC3"/>
    <w:rsid w:val="00114ED9"/>
    <w:rsid w:val="00114F20"/>
    <w:rsid w:val="001211AF"/>
    <w:rsid w:val="001219DF"/>
    <w:rsid w:val="001231DC"/>
    <w:rsid w:val="001272AE"/>
    <w:rsid w:val="001306A4"/>
    <w:rsid w:val="001315DD"/>
    <w:rsid w:val="00135385"/>
    <w:rsid w:val="001364D1"/>
    <w:rsid w:val="001379B9"/>
    <w:rsid w:val="00137B89"/>
    <w:rsid w:val="00140805"/>
    <w:rsid w:val="00142EBA"/>
    <w:rsid w:val="00143B79"/>
    <w:rsid w:val="00150B8A"/>
    <w:rsid w:val="00150DCB"/>
    <w:rsid w:val="00151912"/>
    <w:rsid w:val="00153740"/>
    <w:rsid w:val="001541C5"/>
    <w:rsid w:val="0015623F"/>
    <w:rsid w:val="00156585"/>
    <w:rsid w:val="00156BA9"/>
    <w:rsid w:val="00161761"/>
    <w:rsid w:val="00166182"/>
    <w:rsid w:val="00167BC3"/>
    <w:rsid w:val="001705D4"/>
    <w:rsid w:val="001745DD"/>
    <w:rsid w:val="00174720"/>
    <w:rsid w:val="00175794"/>
    <w:rsid w:val="00177659"/>
    <w:rsid w:val="00177994"/>
    <w:rsid w:val="001779E5"/>
    <w:rsid w:val="00182A4C"/>
    <w:rsid w:val="00183F77"/>
    <w:rsid w:val="00185DA8"/>
    <w:rsid w:val="00185ECB"/>
    <w:rsid w:val="001865E0"/>
    <w:rsid w:val="001870F0"/>
    <w:rsid w:val="00190E48"/>
    <w:rsid w:val="0019273F"/>
    <w:rsid w:val="00192C44"/>
    <w:rsid w:val="00193329"/>
    <w:rsid w:val="00193814"/>
    <w:rsid w:val="00193AD5"/>
    <w:rsid w:val="00194930"/>
    <w:rsid w:val="001A08CD"/>
    <w:rsid w:val="001A12C1"/>
    <w:rsid w:val="001A5320"/>
    <w:rsid w:val="001A5E62"/>
    <w:rsid w:val="001A7538"/>
    <w:rsid w:val="001B0B1A"/>
    <w:rsid w:val="001B3F54"/>
    <w:rsid w:val="001B4EC2"/>
    <w:rsid w:val="001B5B59"/>
    <w:rsid w:val="001B60E0"/>
    <w:rsid w:val="001B7C8C"/>
    <w:rsid w:val="001C181A"/>
    <w:rsid w:val="001C1877"/>
    <w:rsid w:val="001C2053"/>
    <w:rsid w:val="001C252F"/>
    <w:rsid w:val="001C28D1"/>
    <w:rsid w:val="001C4595"/>
    <w:rsid w:val="001C5CFC"/>
    <w:rsid w:val="001C7418"/>
    <w:rsid w:val="001D0051"/>
    <w:rsid w:val="001D2224"/>
    <w:rsid w:val="001D4F88"/>
    <w:rsid w:val="001D68CF"/>
    <w:rsid w:val="001D6A8C"/>
    <w:rsid w:val="001D7A56"/>
    <w:rsid w:val="001E0AF9"/>
    <w:rsid w:val="001E15C0"/>
    <w:rsid w:val="001E18E0"/>
    <w:rsid w:val="001E18E2"/>
    <w:rsid w:val="001E19D0"/>
    <w:rsid w:val="001E2A30"/>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0EA2"/>
    <w:rsid w:val="002316F6"/>
    <w:rsid w:val="00232C9B"/>
    <w:rsid w:val="00232F09"/>
    <w:rsid w:val="002335D5"/>
    <w:rsid w:val="002338CA"/>
    <w:rsid w:val="00233FE5"/>
    <w:rsid w:val="00234B3B"/>
    <w:rsid w:val="00235A29"/>
    <w:rsid w:val="0024174E"/>
    <w:rsid w:val="00241B20"/>
    <w:rsid w:val="0024227D"/>
    <w:rsid w:val="00242D14"/>
    <w:rsid w:val="00246860"/>
    <w:rsid w:val="00246DFF"/>
    <w:rsid w:val="00246E89"/>
    <w:rsid w:val="0025183C"/>
    <w:rsid w:val="002528EC"/>
    <w:rsid w:val="00255049"/>
    <w:rsid w:val="00257DE5"/>
    <w:rsid w:val="00260531"/>
    <w:rsid w:val="0026318D"/>
    <w:rsid w:val="00263304"/>
    <w:rsid w:val="00270864"/>
    <w:rsid w:val="002712F7"/>
    <w:rsid w:val="0027159C"/>
    <w:rsid w:val="00274549"/>
    <w:rsid w:val="00274E46"/>
    <w:rsid w:val="00275183"/>
    <w:rsid w:val="00276C86"/>
    <w:rsid w:val="00280FCE"/>
    <w:rsid w:val="002810A4"/>
    <w:rsid w:val="002816EF"/>
    <w:rsid w:val="00284A26"/>
    <w:rsid w:val="00287006"/>
    <w:rsid w:val="00294437"/>
    <w:rsid w:val="002A3237"/>
    <w:rsid w:val="002A58B7"/>
    <w:rsid w:val="002A685E"/>
    <w:rsid w:val="002A72C7"/>
    <w:rsid w:val="002B03B2"/>
    <w:rsid w:val="002B0749"/>
    <w:rsid w:val="002B1FB5"/>
    <w:rsid w:val="002B2645"/>
    <w:rsid w:val="002B3153"/>
    <w:rsid w:val="002B6FA0"/>
    <w:rsid w:val="002C5F10"/>
    <w:rsid w:val="002C6E5B"/>
    <w:rsid w:val="002D18B4"/>
    <w:rsid w:val="002D231A"/>
    <w:rsid w:val="002E1877"/>
    <w:rsid w:val="002E1C31"/>
    <w:rsid w:val="002E289F"/>
    <w:rsid w:val="002E333A"/>
    <w:rsid w:val="002E3474"/>
    <w:rsid w:val="002E400C"/>
    <w:rsid w:val="002E47B3"/>
    <w:rsid w:val="002E49C3"/>
    <w:rsid w:val="002E5114"/>
    <w:rsid w:val="002E7570"/>
    <w:rsid w:val="002E764B"/>
    <w:rsid w:val="002F0E28"/>
    <w:rsid w:val="002F287E"/>
    <w:rsid w:val="002F2D63"/>
    <w:rsid w:val="002F7F81"/>
    <w:rsid w:val="00300A36"/>
    <w:rsid w:val="0030678B"/>
    <w:rsid w:val="00310CD7"/>
    <w:rsid w:val="00316DAB"/>
    <w:rsid w:val="0032136A"/>
    <w:rsid w:val="00323303"/>
    <w:rsid w:val="00323E70"/>
    <w:rsid w:val="0032460B"/>
    <w:rsid w:val="003251F2"/>
    <w:rsid w:val="00325266"/>
    <w:rsid w:val="00325BA2"/>
    <w:rsid w:val="00326F7F"/>
    <w:rsid w:val="003320E8"/>
    <w:rsid w:val="003347E7"/>
    <w:rsid w:val="0033555E"/>
    <w:rsid w:val="00336805"/>
    <w:rsid w:val="00337351"/>
    <w:rsid w:val="00341A54"/>
    <w:rsid w:val="00341D35"/>
    <w:rsid w:val="00345306"/>
    <w:rsid w:val="0034669F"/>
    <w:rsid w:val="003503AC"/>
    <w:rsid w:val="00351498"/>
    <w:rsid w:val="003523EB"/>
    <w:rsid w:val="00352B22"/>
    <w:rsid w:val="003543D9"/>
    <w:rsid w:val="00354547"/>
    <w:rsid w:val="003567DE"/>
    <w:rsid w:val="003574F3"/>
    <w:rsid w:val="0036319E"/>
    <w:rsid w:val="003632A4"/>
    <w:rsid w:val="00363362"/>
    <w:rsid w:val="00367D4F"/>
    <w:rsid w:val="00370743"/>
    <w:rsid w:val="00370EF5"/>
    <w:rsid w:val="0037135B"/>
    <w:rsid w:val="00372251"/>
    <w:rsid w:val="0037520D"/>
    <w:rsid w:val="00375809"/>
    <w:rsid w:val="0037628C"/>
    <w:rsid w:val="00376B81"/>
    <w:rsid w:val="00377990"/>
    <w:rsid w:val="00377BD2"/>
    <w:rsid w:val="003821E1"/>
    <w:rsid w:val="00384866"/>
    <w:rsid w:val="003857D4"/>
    <w:rsid w:val="00385D6F"/>
    <w:rsid w:val="00387095"/>
    <w:rsid w:val="00390092"/>
    <w:rsid w:val="00393651"/>
    <w:rsid w:val="00395E12"/>
    <w:rsid w:val="00397DB7"/>
    <w:rsid w:val="003A27B2"/>
    <w:rsid w:val="003A30B1"/>
    <w:rsid w:val="003A30C4"/>
    <w:rsid w:val="003A40B4"/>
    <w:rsid w:val="003A41BA"/>
    <w:rsid w:val="003A6A99"/>
    <w:rsid w:val="003A7FF8"/>
    <w:rsid w:val="003B17AC"/>
    <w:rsid w:val="003B209C"/>
    <w:rsid w:val="003B227A"/>
    <w:rsid w:val="003B5854"/>
    <w:rsid w:val="003B6764"/>
    <w:rsid w:val="003C3833"/>
    <w:rsid w:val="003C6068"/>
    <w:rsid w:val="003C69E3"/>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0613"/>
    <w:rsid w:val="004123D7"/>
    <w:rsid w:val="00412658"/>
    <w:rsid w:val="004149C4"/>
    <w:rsid w:val="004172DB"/>
    <w:rsid w:val="00421485"/>
    <w:rsid w:val="00422B75"/>
    <w:rsid w:val="00433F36"/>
    <w:rsid w:val="0043503A"/>
    <w:rsid w:val="0044384F"/>
    <w:rsid w:val="00444F80"/>
    <w:rsid w:val="00446018"/>
    <w:rsid w:val="0044762D"/>
    <w:rsid w:val="004543BC"/>
    <w:rsid w:val="0045645D"/>
    <w:rsid w:val="004574C6"/>
    <w:rsid w:val="00457BCF"/>
    <w:rsid w:val="00457DCE"/>
    <w:rsid w:val="00460E3F"/>
    <w:rsid w:val="00466047"/>
    <w:rsid w:val="00466CED"/>
    <w:rsid w:val="00467592"/>
    <w:rsid w:val="00467690"/>
    <w:rsid w:val="004718E7"/>
    <w:rsid w:val="00472535"/>
    <w:rsid w:val="004756EB"/>
    <w:rsid w:val="004761CC"/>
    <w:rsid w:val="00480D4A"/>
    <w:rsid w:val="00481DA1"/>
    <w:rsid w:val="0049255F"/>
    <w:rsid w:val="0049445D"/>
    <w:rsid w:val="00495350"/>
    <w:rsid w:val="00497156"/>
    <w:rsid w:val="004A24D2"/>
    <w:rsid w:val="004A3214"/>
    <w:rsid w:val="004A4136"/>
    <w:rsid w:val="004A417B"/>
    <w:rsid w:val="004B03F3"/>
    <w:rsid w:val="004B2536"/>
    <w:rsid w:val="004B5089"/>
    <w:rsid w:val="004B6AF3"/>
    <w:rsid w:val="004B715E"/>
    <w:rsid w:val="004B7169"/>
    <w:rsid w:val="004B79C9"/>
    <w:rsid w:val="004C4737"/>
    <w:rsid w:val="004C5E33"/>
    <w:rsid w:val="004C6CDA"/>
    <w:rsid w:val="004D10D4"/>
    <w:rsid w:val="004D16BD"/>
    <w:rsid w:val="004D2AAB"/>
    <w:rsid w:val="004D6F2B"/>
    <w:rsid w:val="004E00E9"/>
    <w:rsid w:val="004E0248"/>
    <w:rsid w:val="004E21A3"/>
    <w:rsid w:val="004E32EA"/>
    <w:rsid w:val="004E456C"/>
    <w:rsid w:val="004E6866"/>
    <w:rsid w:val="004F3222"/>
    <w:rsid w:val="004F3BFA"/>
    <w:rsid w:val="004F5468"/>
    <w:rsid w:val="005000AB"/>
    <w:rsid w:val="005025EE"/>
    <w:rsid w:val="005052D4"/>
    <w:rsid w:val="00510588"/>
    <w:rsid w:val="0051146C"/>
    <w:rsid w:val="0051374A"/>
    <w:rsid w:val="00514449"/>
    <w:rsid w:val="005222E7"/>
    <w:rsid w:val="00523A5E"/>
    <w:rsid w:val="00523A8B"/>
    <w:rsid w:val="00523E04"/>
    <w:rsid w:val="0052590B"/>
    <w:rsid w:val="00526308"/>
    <w:rsid w:val="00526591"/>
    <w:rsid w:val="00527178"/>
    <w:rsid w:val="005278CB"/>
    <w:rsid w:val="00534D42"/>
    <w:rsid w:val="005350A5"/>
    <w:rsid w:val="00536040"/>
    <w:rsid w:val="00536379"/>
    <w:rsid w:val="00537238"/>
    <w:rsid w:val="005400C5"/>
    <w:rsid w:val="00540BEF"/>
    <w:rsid w:val="005418FD"/>
    <w:rsid w:val="00542C9A"/>
    <w:rsid w:val="005436C2"/>
    <w:rsid w:val="005442D4"/>
    <w:rsid w:val="005451D8"/>
    <w:rsid w:val="0054586A"/>
    <w:rsid w:val="0054631F"/>
    <w:rsid w:val="0055288D"/>
    <w:rsid w:val="00555259"/>
    <w:rsid w:val="00560D57"/>
    <w:rsid w:val="00562A94"/>
    <w:rsid w:val="00562B64"/>
    <w:rsid w:val="00564126"/>
    <w:rsid w:val="005709F7"/>
    <w:rsid w:val="005710A9"/>
    <w:rsid w:val="00571D1B"/>
    <w:rsid w:val="00593043"/>
    <w:rsid w:val="005938B1"/>
    <w:rsid w:val="00595BF0"/>
    <w:rsid w:val="00596275"/>
    <w:rsid w:val="005A1846"/>
    <w:rsid w:val="005A258C"/>
    <w:rsid w:val="005A27B5"/>
    <w:rsid w:val="005A3560"/>
    <w:rsid w:val="005A4E82"/>
    <w:rsid w:val="005A6C99"/>
    <w:rsid w:val="005A7D5D"/>
    <w:rsid w:val="005B011A"/>
    <w:rsid w:val="005B1D8F"/>
    <w:rsid w:val="005B1E94"/>
    <w:rsid w:val="005B5B3D"/>
    <w:rsid w:val="005C16F3"/>
    <w:rsid w:val="005C3758"/>
    <w:rsid w:val="005C4A11"/>
    <w:rsid w:val="005D15A1"/>
    <w:rsid w:val="005D3EF4"/>
    <w:rsid w:val="005D7F4A"/>
    <w:rsid w:val="005E3064"/>
    <w:rsid w:val="005E5A94"/>
    <w:rsid w:val="005E72B2"/>
    <w:rsid w:val="005F1115"/>
    <w:rsid w:val="005F1AB6"/>
    <w:rsid w:val="005F27F2"/>
    <w:rsid w:val="005F3AFE"/>
    <w:rsid w:val="005F424D"/>
    <w:rsid w:val="005F6B6D"/>
    <w:rsid w:val="00605AAB"/>
    <w:rsid w:val="00606BEB"/>
    <w:rsid w:val="00610095"/>
    <w:rsid w:val="0061014A"/>
    <w:rsid w:val="0061054B"/>
    <w:rsid w:val="00613E26"/>
    <w:rsid w:val="00615641"/>
    <w:rsid w:val="00616959"/>
    <w:rsid w:val="006211D0"/>
    <w:rsid w:val="00624D0C"/>
    <w:rsid w:val="006307BA"/>
    <w:rsid w:val="006315BA"/>
    <w:rsid w:val="00634C4A"/>
    <w:rsid w:val="0063532E"/>
    <w:rsid w:val="00637BDC"/>
    <w:rsid w:val="006418C9"/>
    <w:rsid w:val="00642BD6"/>
    <w:rsid w:val="00642DBE"/>
    <w:rsid w:val="00645046"/>
    <w:rsid w:val="0064527A"/>
    <w:rsid w:val="00645EA2"/>
    <w:rsid w:val="00652950"/>
    <w:rsid w:val="006544AF"/>
    <w:rsid w:val="006573F2"/>
    <w:rsid w:val="00662F08"/>
    <w:rsid w:val="00663589"/>
    <w:rsid w:val="006708E3"/>
    <w:rsid w:val="00670DDC"/>
    <w:rsid w:val="00671EB4"/>
    <w:rsid w:val="0067443B"/>
    <w:rsid w:val="00684E2B"/>
    <w:rsid w:val="00690FDA"/>
    <w:rsid w:val="00691E61"/>
    <w:rsid w:val="00693C5E"/>
    <w:rsid w:val="00694EEA"/>
    <w:rsid w:val="006955B4"/>
    <w:rsid w:val="00696476"/>
    <w:rsid w:val="006A10FA"/>
    <w:rsid w:val="006A40E6"/>
    <w:rsid w:val="006A46DD"/>
    <w:rsid w:val="006A4ACA"/>
    <w:rsid w:val="006A4CCA"/>
    <w:rsid w:val="006A5C07"/>
    <w:rsid w:val="006A75FA"/>
    <w:rsid w:val="006A7974"/>
    <w:rsid w:val="006B07D5"/>
    <w:rsid w:val="006B1309"/>
    <w:rsid w:val="006B3923"/>
    <w:rsid w:val="006B3F3E"/>
    <w:rsid w:val="006B5923"/>
    <w:rsid w:val="006B5F08"/>
    <w:rsid w:val="006B67D9"/>
    <w:rsid w:val="006B6C14"/>
    <w:rsid w:val="006B715E"/>
    <w:rsid w:val="006C19A1"/>
    <w:rsid w:val="006C1D6E"/>
    <w:rsid w:val="006C3A68"/>
    <w:rsid w:val="006C4C78"/>
    <w:rsid w:val="006C4D30"/>
    <w:rsid w:val="006C6AB1"/>
    <w:rsid w:val="006D2D39"/>
    <w:rsid w:val="006D4E0E"/>
    <w:rsid w:val="006D4FF1"/>
    <w:rsid w:val="006D5CE2"/>
    <w:rsid w:val="006D6CFC"/>
    <w:rsid w:val="006D7CE5"/>
    <w:rsid w:val="006E06D1"/>
    <w:rsid w:val="006E1313"/>
    <w:rsid w:val="006E1559"/>
    <w:rsid w:val="006E2DC8"/>
    <w:rsid w:val="006E7356"/>
    <w:rsid w:val="006E77C8"/>
    <w:rsid w:val="006F149D"/>
    <w:rsid w:val="006F1A46"/>
    <w:rsid w:val="006F3DFB"/>
    <w:rsid w:val="006F5A4E"/>
    <w:rsid w:val="00701E37"/>
    <w:rsid w:val="00703B6C"/>
    <w:rsid w:val="00705A3B"/>
    <w:rsid w:val="00705C40"/>
    <w:rsid w:val="00706482"/>
    <w:rsid w:val="00706BEF"/>
    <w:rsid w:val="007116BC"/>
    <w:rsid w:val="00711ED3"/>
    <w:rsid w:val="007165CE"/>
    <w:rsid w:val="00720968"/>
    <w:rsid w:val="00721D12"/>
    <w:rsid w:val="00721F8B"/>
    <w:rsid w:val="007237CE"/>
    <w:rsid w:val="00724688"/>
    <w:rsid w:val="0073062D"/>
    <w:rsid w:val="00731D0B"/>
    <w:rsid w:val="0073254D"/>
    <w:rsid w:val="0073519C"/>
    <w:rsid w:val="00736A49"/>
    <w:rsid w:val="00741D61"/>
    <w:rsid w:val="00743B71"/>
    <w:rsid w:val="00743C2D"/>
    <w:rsid w:val="00743E36"/>
    <w:rsid w:val="007446F7"/>
    <w:rsid w:val="00744EBB"/>
    <w:rsid w:val="00745B0A"/>
    <w:rsid w:val="007468AC"/>
    <w:rsid w:val="00746AE2"/>
    <w:rsid w:val="00750C82"/>
    <w:rsid w:val="007536C7"/>
    <w:rsid w:val="0076100C"/>
    <w:rsid w:val="007651ED"/>
    <w:rsid w:val="00766C87"/>
    <w:rsid w:val="00771B06"/>
    <w:rsid w:val="0078016E"/>
    <w:rsid w:val="00781BD4"/>
    <w:rsid w:val="00784832"/>
    <w:rsid w:val="00785D77"/>
    <w:rsid w:val="00786111"/>
    <w:rsid w:val="00791F1E"/>
    <w:rsid w:val="00792C1D"/>
    <w:rsid w:val="00794F3D"/>
    <w:rsid w:val="00796045"/>
    <w:rsid w:val="007968AC"/>
    <w:rsid w:val="007969AB"/>
    <w:rsid w:val="007A0B39"/>
    <w:rsid w:val="007A14A4"/>
    <w:rsid w:val="007A168F"/>
    <w:rsid w:val="007A28E4"/>
    <w:rsid w:val="007A3BB3"/>
    <w:rsid w:val="007A5620"/>
    <w:rsid w:val="007A5AD1"/>
    <w:rsid w:val="007A5B7B"/>
    <w:rsid w:val="007B0A06"/>
    <w:rsid w:val="007B394C"/>
    <w:rsid w:val="007B54A3"/>
    <w:rsid w:val="007B5C5C"/>
    <w:rsid w:val="007B6527"/>
    <w:rsid w:val="007B7B37"/>
    <w:rsid w:val="007B7C41"/>
    <w:rsid w:val="007C1801"/>
    <w:rsid w:val="007C433E"/>
    <w:rsid w:val="007C4452"/>
    <w:rsid w:val="007C4B3C"/>
    <w:rsid w:val="007C4DB1"/>
    <w:rsid w:val="007C578B"/>
    <w:rsid w:val="007C6046"/>
    <w:rsid w:val="007C74DB"/>
    <w:rsid w:val="007D0292"/>
    <w:rsid w:val="007D21AC"/>
    <w:rsid w:val="007D3882"/>
    <w:rsid w:val="007D568A"/>
    <w:rsid w:val="007D574E"/>
    <w:rsid w:val="007D6BFE"/>
    <w:rsid w:val="007E2046"/>
    <w:rsid w:val="007E3883"/>
    <w:rsid w:val="007E4FBB"/>
    <w:rsid w:val="007E55BF"/>
    <w:rsid w:val="007E5C94"/>
    <w:rsid w:val="007E71B1"/>
    <w:rsid w:val="007E7B4E"/>
    <w:rsid w:val="007F0CE2"/>
    <w:rsid w:val="007F0EFF"/>
    <w:rsid w:val="007F1375"/>
    <w:rsid w:val="00803850"/>
    <w:rsid w:val="00804385"/>
    <w:rsid w:val="00805AFD"/>
    <w:rsid w:val="008078D8"/>
    <w:rsid w:val="00811D5B"/>
    <w:rsid w:val="0081388C"/>
    <w:rsid w:val="00817713"/>
    <w:rsid w:val="008218D6"/>
    <w:rsid w:val="008220F1"/>
    <w:rsid w:val="0082340B"/>
    <w:rsid w:val="00827DB6"/>
    <w:rsid w:val="008304B2"/>
    <w:rsid w:val="00830999"/>
    <w:rsid w:val="00830D5E"/>
    <w:rsid w:val="00830F69"/>
    <w:rsid w:val="008324A9"/>
    <w:rsid w:val="00833418"/>
    <w:rsid w:val="00834458"/>
    <w:rsid w:val="00835841"/>
    <w:rsid w:val="00837465"/>
    <w:rsid w:val="00841243"/>
    <w:rsid w:val="00841457"/>
    <w:rsid w:val="0084374E"/>
    <w:rsid w:val="00844842"/>
    <w:rsid w:val="00844DD0"/>
    <w:rsid w:val="0084689B"/>
    <w:rsid w:val="0085089F"/>
    <w:rsid w:val="0085206E"/>
    <w:rsid w:val="00852AD4"/>
    <w:rsid w:val="00852BA8"/>
    <w:rsid w:val="00853718"/>
    <w:rsid w:val="008541EF"/>
    <w:rsid w:val="00856930"/>
    <w:rsid w:val="00856AC7"/>
    <w:rsid w:val="00856FA4"/>
    <w:rsid w:val="0086162B"/>
    <w:rsid w:val="00861D5C"/>
    <w:rsid w:val="00863ABD"/>
    <w:rsid w:val="00865207"/>
    <w:rsid w:val="008656A7"/>
    <w:rsid w:val="00871262"/>
    <w:rsid w:val="00871D4E"/>
    <w:rsid w:val="00871E7B"/>
    <w:rsid w:val="008759CF"/>
    <w:rsid w:val="00875B51"/>
    <w:rsid w:val="00875F2D"/>
    <w:rsid w:val="008764DC"/>
    <w:rsid w:val="0087719D"/>
    <w:rsid w:val="008776E4"/>
    <w:rsid w:val="00882CC2"/>
    <w:rsid w:val="00883930"/>
    <w:rsid w:val="00894A2D"/>
    <w:rsid w:val="00895B5A"/>
    <w:rsid w:val="00896535"/>
    <w:rsid w:val="00896683"/>
    <w:rsid w:val="00897589"/>
    <w:rsid w:val="008A63A9"/>
    <w:rsid w:val="008A7F7E"/>
    <w:rsid w:val="008B04DB"/>
    <w:rsid w:val="008B27FD"/>
    <w:rsid w:val="008B3372"/>
    <w:rsid w:val="008B3AF2"/>
    <w:rsid w:val="008B515D"/>
    <w:rsid w:val="008B5D31"/>
    <w:rsid w:val="008B65A3"/>
    <w:rsid w:val="008B6705"/>
    <w:rsid w:val="008C22F3"/>
    <w:rsid w:val="008D795D"/>
    <w:rsid w:val="008D7B07"/>
    <w:rsid w:val="008E1E94"/>
    <w:rsid w:val="008E2D99"/>
    <w:rsid w:val="008E4A60"/>
    <w:rsid w:val="008E744D"/>
    <w:rsid w:val="008F1E08"/>
    <w:rsid w:val="008F4003"/>
    <w:rsid w:val="00900D8F"/>
    <w:rsid w:val="009014E3"/>
    <w:rsid w:val="009021D0"/>
    <w:rsid w:val="009026E8"/>
    <w:rsid w:val="009051C8"/>
    <w:rsid w:val="00906EB7"/>
    <w:rsid w:val="009102BF"/>
    <w:rsid w:val="00911062"/>
    <w:rsid w:val="009115F2"/>
    <w:rsid w:val="00914ADB"/>
    <w:rsid w:val="00923B25"/>
    <w:rsid w:val="00924004"/>
    <w:rsid w:val="0092402E"/>
    <w:rsid w:val="009259BA"/>
    <w:rsid w:val="00926FCB"/>
    <w:rsid w:val="0093311A"/>
    <w:rsid w:val="00934AAD"/>
    <w:rsid w:val="00937F0C"/>
    <w:rsid w:val="00942645"/>
    <w:rsid w:val="009472CB"/>
    <w:rsid w:val="00950A3A"/>
    <w:rsid w:val="0095340A"/>
    <w:rsid w:val="00954581"/>
    <w:rsid w:val="0095466C"/>
    <w:rsid w:val="00954E5B"/>
    <w:rsid w:val="009576BC"/>
    <w:rsid w:val="00960357"/>
    <w:rsid w:val="0096168C"/>
    <w:rsid w:val="00961840"/>
    <w:rsid w:val="00962F2D"/>
    <w:rsid w:val="00963509"/>
    <w:rsid w:val="009672CD"/>
    <w:rsid w:val="00972996"/>
    <w:rsid w:val="009732B8"/>
    <w:rsid w:val="00975C72"/>
    <w:rsid w:val="00976869"/>
    <w:rsid w:val="00977007"/>
    <w:rsid w:val="00977740"/>
    <w:rsid w:val="00977CB4"/>
    <w:rsid w:val="009809B8"/>
    <w:rsid w:val="0098222D"/>
    <w:rsid w:val="00985099"/>
    <w:rsid w:val="009913F8"/>
    <w:rsid w:val="0099421F"/>
    <w:rsid w:val="009A0DE3"/>
    <w:rsid w:val="009A1643"/>
    <w:rsid w:val="009A215A"/>
    <w:rsid w:val="009A48CE"/>
    <w:rsid w:val="009A4F1B"/>
    <w:rsid w:val="009A5E3C"/>
    <w:rsid w:val="009A66C5"/>
    <w:rsid w:val="009A79BA"/>
    <w:rsid w:val="009B14D1"/>
    <w:rsid w:val="009B1534"/>
    <w:rsid w:val="009B2D10"/>
    <w:rsid w:val="009B4A3B"/>
    <w:rsid w:val="009B69D3"/>
    <w:rsid w:val="009B7BA7"/>
    <w:rsid w:val="009C0938"/>
    <w:rsid w:val="009C22C8"/>
    <w:rsid w:val="009C3F82"/>
    <w:rsid w:val="009C6A93"/>
    <w:rsid w:val="009C72DD"/>
    <w:rsid w:val="009C7DF5"/>
    <w:rsid w:val="009D056C"/>
    <w:rsid w:val="009D060F"/>
    <w:rsid w:val="009D1ADE"/>
    <w:rsid w:val="009D216A"/>
    <w:rsid w:val="009D7B7F"/>
    <w:rsid w:val="009E09D0"/>
    <w:rsid w:val="009E1283"/>
    <w:rsid w:val="009E13C0"/>
    <w:rsid w:val="009E3A7F"/>
    <w:rsid w:val="009E57B1"/>
    <w:rsid w:val="009E6379"/>
    <w:rsid w:val="009F505E"/>
    <w:rsid w:val="009F7809"/>
    <w:rsid w:val="009F7AF5"/>
    <w:rsid w:val="00A00D14"/>
    <w:rsid w:val="00A01408"/>
    <w:rsid w:val="00A02457"/>
    <w:rsid w:val="00A02E8E"/>
    <w:rsid w:val="00A03190"/>
    <w:rsid w:val="00A0404B"/>
    <w:rsid w:val="00A05F4E"/>
    <w:rsid w:val="00A0798C"/>
    <w:rsid w:val="00A07BDD"/>
    <w:rsid w:val="00A1105B"/>
    <w:rsid w:val="00A1282A"/>
    <w:rsid w:val="00A12A1F"/>
    <w:rsid w:val="00A15B6B"/>
    <w:rsid w:val="00A15EB4"/>
    <w:rsid w:val="00A16384"/>
    <w:rsid w:val="00A16876"/>
    <w:rsid w:val="00A176E2"/>
    <w:rsid w:val="00A200AA"/>
    <w:rsid w:val="00A20558"/>
    <w:rsid w:val="00A2186F"/>
    <w:rsid w:val="00A21889"/>
    <w:rsid w:val="00A2270B"/>
    <w:rsid w:val="00A23B89"/>
    <w:rsid w:val="00A23FE3"/>
    <w:rsid w:val="00A248C3"/>
    <w:rsid w:val="00A2496E"/>
    <w:rsid w:val="00A258B7"/>
    <w:rsid w:val="00A32743"/>
    <w:rsid w:val="00A414A9"/>
    <w:rsid w:val="00A44CCA"/>
    <w:rsid w:val="00A44D75"/>
    <w:rsid w:val="00A47CF1"/>
    <w:rsid w:val="00A50418"/>
    <w:rsid w:val="00A54848"/>
    <w:rsid w:val="00A54A47"/>
    <w:rsid w:val="00A56D26"/>
    <w:rsid w:val="00A571A7"/>
    <w:rsid w:val="00A608FB"/>
    <w:rsid w:val="00A60D83"/>
    <w:rsid w:val="00A60F68"/>
    <w:rsid w:val="00A6252F"/>
    <w:rsid w:val="00A63DF3"/>
    <w:rsid w:val="00A65616"/>
    <w:rsid w:val="00A65C78"/>
    <w:rsid w:val="00A660A8"/>
    <w:rsid w:val="00A67591"/>
    <w:rsid w:val="00A67824"/>
    <w:rsid w:val="00A67CA6"/>
    <w:rsid w:val="00A70E7B"/>
    <w:rsid w:val="00A727F9"/>
    <w:rsid w:val="00A73B84"/>
    <w:rsid w:val="00A7411D"/>
    <w:rsid w:val="00A76094"/>
    <w:rsid w:val="00A768E2"/>
    <w:rsid w:val="00A82C52"/>
    <w:rsid w:val="00A85C43"/>
    <w:rsid w:val="00A86570"/>
    <w:rsid w:val="00A86CB6"/>
    <w:rsid w:val="00A90D55"/>
    <w:rsid w:val="00A944D8"/>
    <w:rsid w:val="00A959E7"/>
    <w:rsid w:val="00A95BBA"/>
    <w:rsid w:val="00A961EE"/>
    <w:rsid w:val="00AA04B3"/>
    <w:rsid w:val="00AA1253"/>
    <w:rsid w:val="00AA136E"/>
    <w:rsid w:val="00AA28EF"/>
    <w:rsid w:val="00AA493E"/>
    <w:rsid w:val="00AA4CB6"/>
    <w:rsid w:val="00AA73AF"/>
    <w:rsid w:val="00AB1754"/>
    <w:rsid w:val="00AB27DD"/>
    <w:rsid w:val="00AC1021"/>
    <w:rsid w:val="00AC439D"/>
    <w:rsid w:val="00AC713F"/>
    <w:rsid w:val="00AD067E"/>
    <w:rsid w:val="00AD2801"/>
    <w:rsid w:val="00AD6870"/>
    <w:rsid w:val="00AD68C5"/>
    <w:rsid w:val="00AE1273"/>
    <w:rsid w:val="00AE2D29"/>
    <w:rsid w:val="00AE4624"/>
    <w:rsid w:val="00AE5E14"/>
    <w:rsid w:val="00AE6115"/>
    <w:rsid w:val="00AE625B"/>
    <w:rsid w:val="00AF1668"/>
    <w:rsid w:val="00AF4FA5"/>
    <w:rsid w:val="00B00BCD"/>
    <w:rsid w:val="00B0436B"/>
    <w:rsid w:val="00B0757B"/>
    <w:rsid w:val="00B07955"/>
    <w:rsid w:val="00B14FAA"/>
    <w:rsid w:val="00B15D30"/>
    <w:rsid w:val="00B20624"/>
    <w:rsid w:val="00B23436"/>
    <w:rsid w:val="00B26354"/>
    <w:rsid w:val="00B26CA0"/>
    <w:rsid w:val="00B2760B"/>
    <w:rsid w:val="00B32179"/>
    <w:rsid w:val="00B33008"/>
    <w:rsid w:val="00B331A9"/>
    <w:rsid w:val="00B3449A"/>
    <w:rsid w:val="00B35DA0"/>
    <w:rsid w:val="00B36569"/>
    <w:rsid w:val="00B40A05"/>
    <w:rsid w:val="00B40A3E"/>
    <w:rsid w:val="00B41401"/>
    <w:rsid w:val="00B414FE"/>
    <w:rsid w:val="00B427E4"/>
    <w:rsid w:val="00B50227"/>
    <w:rsid w:val="00B50510"/>
    <w:rsid w:val="00B522CD"/>
    <w:rsid w:val="00B531B6"/>
    <w:rsid w:val="00B55143"/>
    <w:rsid w:val="00B55779"/>
    <w:rsid w:val="00B55917"/>
    <w:rsid w:val="00B643A6"/>
    <w:rsid w:val="00B64DD6"/>
    <w:rsid w:val="00B6710C"/>
    <w:rsid w:val="00B72076"/>
    <w:rsid w:val="00B72303"/>
    <w:rsid w:val="00B737B4"/>
    <w:rsid w:val="00B75E9C"/>
    <w:rsid w:val="00B76497"/>
    <w:rsid w:val="00B82277"/>
    <w:rsid w:val="00B91676"/>
    <w:rsid w:val="00B93891"/>
    <w:rsid w:val="00B95833"/>
    <w:rsid w:val="00B97588"/>
    <w:rsid w:val="00BA1824"/>
    <w:rsid w:val="00BA2D98"/>
    <w:rsid w:val="00BA30D1"/>
    <w:rsid w:val="00BA4609"/>
    <w:rsid w:val="00BA5BE2"/>
    <w:rsid w:val="00BA7F46"/>
    <w:rsid w:val="00BB0A0A"/>
    <w:rsid w:val="00BB252F"/>
    <w:rsid w:val="00BB387C"/>
    <w:rsid w:val="00BB45B5"/>
    <w:rsid w:val="00BB6064"/>
    <w:rsid w:val="00BC09D1"/>
    <w:rsid w:val="00BC1CF3"/>
    <w:rsid w:val="00BC298E"/>
    <w:rsid w:val="00BC3AF1"/>
    <w:rsid w:val="00BC7F82"/>
    <w:rsid w:val="00BD3C61"/>
    <w:rsid w:val="00BD40AB"/>
    <w:rsid w:val="00BD6297"/>
    <w:rsid w:val="00BD6806"/>
    <w:rsid w:val="00BD7433"/>
    <w:rsid w:val="00BD7831"/>
    <w:rsid w:val="00BD7C10"/>
    <w:rsid w:val="00BE046F"/>
    <w:rsid w:val="00BE0DEB"/>
    <w:rsid w:val="00BE1155"/>
    <w:rsid w:val="00BE2FC1"/>
    <w:rsid w:val="00BE6365"/>
    <w:rsid w:val="00BE64A2"/>
    <w:rsid w:val="00BF0B7F"/>
    <w:rsid w:val="00BF4720"/>
    <w:rsid w:val="00BF5094"/>
    <w:rsid w:val="00BF7B63"/>
    <w:rsid w:val="00C02922"/>
    <w:rsid w:val="00C038EC"/>
    <w:rsid w:val="00C05C6D"/>
    <w:rsid w:val="00C1122B"/>
    <w:rsid w:val="00C13B34"/>
    <w:rsid w:val="00C13F26"/>
    <w:rsid w:val="00C16E9F"/>
    <w:rsid w:val="00C1713D"/>
    <w:rsid w:val="00C177F1"/>
    <w:rsid w:val="00C218D9"/>
    <w:rsid w:val="00C22F3A"/>
    <w:rsid w:val="00C25978"/>
    <w:rsid w:val="00C261C6"/>
    <w:rsid w:val="00C26E7C"/>
    <w:rsid w:val="00C30A97"/>
    <w:rsid w:val="00C31DDC"/>
    <w:rsid w:val="00C34326"/>
    <w:rsid w:val="00C36201"/>
    <w:rsid w:val="00C368E8"/>
    <w:rsid w:val="00C36C3D"/>
    <w:rsid w:val="00C372C7"/>
    <w:rsid w:val="00C41E47"/>
    <w:rsid w:val="00C42443"/>
    <w:rsid w:val="00C42CBA"/>
    <w:rsid w:val="00C45793"/>
    <w:rsid w:val="00C479B2"/>
    <w:rsid w:val="00C5019E"/>
    <w:rsid w:val="00C5377C"/>
    <w:rsid w:val="00C53E8A"/>
    <w:rsid w:val="00C54DF3"/>
    <w:rsid w:val="00C560A7"/>
    <w:rsid w:val="00C56FC8"/>
    <w:rsid w:val="00C60C54"/>
    <w:rsid w:val="00C60F23"/>
    <w:rsid w:val="00C62EB2"/>
    <w:rsid w:val="00C71BEC"/>
    <w:rsid w:val="00C74D3A"/>
    <w:rsid w:val="00C80511"/>
    <w:rsid w:val="00C826F5"/>
    <w:rsid w:val="00C83740"/>
    <w:rsid w:val="00C84AD1"/>
    <w:rsid w:val="00C85579"/>
    <w:rsid w:val="00C863E5"/>
    <w:rsid w:val="00C92BFD"/>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37E7"/>
    <w:rsid w:val="00CD563D"/>
    <w:rsid w:val="00CD5653"/>
    <w:rsid w:val="00CD5E6D"/>
    <w:rsid w:val="00CD63C8"/>
    <w:rsid w:val="00CF158D"/>
    <w:rsid w:val="00CF4394"/>
    <w:rsid w:val="00D000A9"/>
    <w:rsid w:val="00D005DB"/>
    <w:rsid w:val="00D0064E"/>
    <w:rsid w:val="00D00981"/>
    <w:rsid w:val="00D0280D"/>
    <w:rsid w:val="00D02C23"/>
    <w:rsid w:val="00D06C59"/>
    <w:rsid w:val="00D07A72"/>
    <w:rsid w:val="00D10506"/>
    <w:rsid w:val="00D10577"/>
    <w:rsid w:val="00D11EF1"/>
    <w:rsid w:val="00D1269D"/>
    <w:rsid w:val="00D1323B"/>
    <w:rsid w:val="00D14BAE"/>
    <w:rsid w:val="00D1648B"/>
    <w:rsid w:val="00D16819"/>
    <w:rsid w:val="00D2074B"/>
    <w:rsid w:val="00D20AC0"/>
    <w:rsid w:val="00D2321B"/>
    <w:rsid w:val="00D23DE4"/>
    <w:rsid w:val="00D241B1"/>
    <w:rsid w:val="00D26873"/>
    <w:rsid w:val="00D315E4"/>
    <w:rsid w:val="00D31683"/>
    <w:rsid w:val="00D336C8"/>
    <w:rsid w:val="00D339E8"/>
    <w:rsid w:val="00D3662E"/>
    <w:rsid w:val="00D40B1F"/>
    <w:rsid w:val="00D40D75"/>
    <w:rsid w:val="00D43DD1"/>
    <w:rsid w:val="00D449F0"/>
    <w:rsid w:val="00D50C8C"/>
    <w:rsid w:val="00D52393"/>
    <w:rsid w:val="00D523E4"/>
    <w:rsid w:val="00D5279D"/>
    <w:rsid w:val="00D52A1B"/>
    <w:rsid w:val="00D53F14"/>
    <w:rsid w:val="00D54BE4"/>
    <w:rsid w:val="00D573A7"/>
    <w:rsid w:val="00D57E87"/>
    <w:rsid w:val="00D60483"/>
    <w:rsid w:val="00D616F3"/>
    <w:rsid w:val="00D61ABB"/>
    <w:rsid w:val="00D63577"/>
    <w:rsid w:val="00D67FD7"/>
    <w:rsid w:val="00D74261"/>
    <w:rsid w:val="00D7441B"/>
    <w:rsid w:val="00D76AB2"/>
    <w:rsid w:val="00D80490"/>
    <w:rsid w:val="00D829AD"/>
    <w:rsid w:val="00D82EE2"/>
    <w:rsid w:val="00D8545C"/>
    <w:rsid w:val="00D8554D"/>
    <w:rsid w:val="00D87788"/>
    <w:rsid w:val="00D877C8"/>
    <w:rsid w:val="00D910C2"/>
    <w:rsid w:val="00D9168C"/>
    <w:rsid w:val="00D9189B"/>
    <w:rsid w:val="00D91DA6"/>
    <w:rsid w:val="00D9706F"/>
    <w:rsid w:val="00D972D4"/>
    <w:rsid w:val="00D97BDA"/>
    <w:rsid w:val="00DA195B"/>
    <w:rsid w:val="00DA6B55"/>
    <w:rsid w:val="00DB0015"/>
    <w:rsid w:val="00DB26D9"/>
    <w:rsid w:val="00DB2AAD"/>
    <w:rsid w:val="00DB626D"/>
    <w:rsid w:val="00DB6365"/>
    <w:rsid w:val="00DC0BF1"/>
    <w:rsid w:val="00DC41C3"/>
    <w:rsid w:val="00DD3593"/>
    <w:rsid w:val="00DE0C67"/>
    <w:rsid w:val="00DE22EB"/>
    <w:rsid w:val="00DE6952"/>
    <w:rsid w:val="00DE7E74"/>
    <w:rsid w:val="00DF16CA"/>
    <w:rsid w:val="00DF4C63"/>
    <w:rsid w:val="00DF6EB0"/>
    <w:rsid w:val="00DF6EF8"/>
    <w:rsid w:val="00E00A69"/>
    <w:rsid w:val="00E017F0"/>
    <w:rsid w:val="00E01A0E"/>
    <w:rsid w:val="00E041E4"/>
    <w:rsid w:val="00E042E9"/>
    <w:rsid w:val="00E1012B"/>
    <w:rsid w:val="00E103C8"/>
    <w:rsid w:val="00E1085B"/>
    <w:rsid w:val="00E1308B"/>
    <w:rsid w:val="00E14581"/>
    <w:rsid w:val="00E14AEE"/>
    <w:rsid w:val="00E15539"/>
    <w:rsid w:val="00E16541"/>
    <w:rsid w:val="00E23C72"/>
    <w:rsid w:val="00E2536E"/>
    <w:rsid w:val="00E25B8A"/>
    <w:rsid w:val="00E2632B"/>
    <w:rsid w:val="00E322F7"/>
    <w:rsid w:val="00E3369B"/>
    <w:rsid w:val="00E35163"/>
    <w:rsid w:val="00E36D76"/>
    <w:rsid w:val="00E405EA"/>
    <w:rsid w:val="00E408B7"/>
    <w:rsid w:val="00E41637"/>
    <w:rsid w:val="00E42789"/>
    <w:rsid w:val="00E43F59"/>
    <w:rsid w:val="00E464F0"/>
    <w:rsid w:val="00E50BEB"/>
    <w:rsid w:val="00E548FA"/>
    <w:rsid w:val="00E60684"/>
    <w:rsid w:val="00E6092F"/>
    <w:rsid w:val="00E62049"/>
    <w:rsid w:val="00E629DA"/>
    <w:rsid w:val="00E6469F"/>
    <w:rsid w:val="00E64C3E"/>
    <w:rsid w:val="00E67FAC"/>
    <w:rsid w:val="00E7200B"/>
    <w:rsid w:val="00E738CB"/>
    <w:rsid w:val="00E73C88"/>
    <w:rsid w:val="00E74437"/>
    <w:rsid w:val="00E7443D"/>
    <w:rsid w:val="00E81C3E"/>
    <w:rsid w:val="00E82B6D"/>
    <w:rsid w:val="00EA1177"/>
    <w:rsid w:val="00EA118B"/>
    <w:rsid w:val="00EA11B6"/>
    <w:rsid w:val="00EA2181"/>
    <w:rsid w:val="00EA2DD8"/>
    <w:rsid w:val="00EA4475"/>
    <w:rsid w:val="00EA681F"/>
    <w:rsid w:val="00EB3823"/>
    <w:rsid w:val="00EB47D8"/>
    <w:rsid w:val="00EB57D3"/>
    <w:rsid w:val="00EB5EFD"/>
    <w:rsid w:val="00EB679F"/>
    <w:rsid w:val="00EB74AA"/>
    <w:rsid w:val="00EB76E4"/>
    <w:rsid w:val="00EC0E65"/>
    <w:rsid w:val="00EC2938"/>
    <w:rsid w:val="00EC50C9"/>
    <w:rsid w:val="00EC56DD"/>
    <w:rsid w:val="00EC58B4"/>
    <w:rsid w:val="00EC59BE"/>
    <w:rsid w:val="00EC5BB2"/>
    <w:rsid w:val="00ED12F0"/>
    <w:rsid w:val="00ED4773"/>
    <w:rsid w:val="00ED664B"/>
    <w:rsid w:val="00ED6A61"/>
    <w:rsid w:val="00ED7D70"/>
    <w:rsid w:val="00EE03BB"/>
    <w:rsid w:val="00EE0B44"/>
    <w:rsid w:val="00EE6FE0"/>
    <w:rsid w:val="00EE704A"/>
    <w:rsid w:val="00EE7840"/>
    <w:rsid w:val="00EF4C74"/>
    <w:rsid w:val="00EF5268"/>
    <w:rsid w:val="00EF608E"/>
    <w:rsid w:val="00EF629A"/>
    <w:rsid w:val="00F0044B"/>
    <w:rsid w:val="00F04957"/>
    <w:rsid w:val="00F04AEE"/>
    <w:rsid w:val="00F05807"/>
    <w:rsid w:val="00F07052"/>
    <w:rsid w:val="00F0706C"/>
    <w:rsid w:val="00F11EBE"/>
    <w:rsid w:val="00F12BA8"/>
    <w:rsid w:val="00F130D0"/>
    <w:rsid w:val="00F133C3"/>
    <w:rsid w:val="00F14933"/>
    <w:rsid w:val="00F1516A"/>
    <w:rsid w:val="00F22A26"/>
    <w:rsid w:val="00F24072"/>
    <w:rsid w:val="00F26432"/>
    <w:rsid w:val="00F3197A"/>
    <w:rsid w:val="00F32139"/>
    <w:rsid w:val="00F33D56"/>
    <w:rsid w:val="00F34E08"/>
    <w:rsid w:val="00F41D91"/>
    <w:rsid w:val="00F42363"/>
    <w:rsid w:val="00F46964"/>
    <w:rsid w:val="00F46F9A"/>
    <w:rsid w:val="00F5126A"/>
    <w:rsid w:val="00F6636A"/>
    <w:rsid w:val="00F667C5"/>
    <w:rsid w:val="00F6680B"/>
    <w:rsid w:val="00F67830"/>
    <w:rsid w:val="00F67E31"/>
    <w:rsid w:val="00F718A8"/>
    <w:rsid w:val="00F72183"/>
    <w:rsid w:val="00F76D01"/>
    <w:rsid w:val="00F81C35"/>
    <w:rsid w:val="00F82981"/>
    <w:rsid w:val="00F8311F"/>
    <w:rsid w:val="00F83248"/>
    <w:rsid w:val="00F83376"/>
    <w:rsid w:val="00F853AE"/>
    <w:rsid w:val="00F863C8"/>
    <w:rsid w:val="00F93C74"/>
    <w:rsid w:val="00F93DCC"/>
    <w:rsid w:val="00F9435D"/>
    <w:rsid w:val="00F97740"/>
    <w:rsid w:val="00FA2F7B"/>
    <w:rsid w:val="00FA72DB"/>
    <w:rsid w:val="00FB09FE"/>
    <w:rsid w:val="00FB2688"/>
    <w:rsid w:val="00FB3780"/>
    <w:rsid w:val="00FB3924"/>
    <w:rsid w:val="00FB593A"/>
    <w:rsid w:val="00FB6410"/>
    <w:rsid w:val="00FB6E82"/>
    <w:rsid w:val="00FC0042"/>
    <w:rsid w:val="00FC2A13"/>
    <w:rsid w:val="00FC344B"/>
    <w:rsid w:val="00FC4284"/>
    <w:rsid w:val="00FC4576"/>
    <w:rsid w:val="00FC7DBC"/>
    <w:rsid w:val="00FD076A"/>
    <w:rsid w:val="00FD0AA0"/>
    <w:rsid w:val="00FD159B"/>
    <w:rsid w:val="00FD1D5A"/>
    <w:rsid w:val="00FD2260"/>
    <w:rsid w:val="00FD5059"/>
    <w:rsid w:val="00FD554D"/>
    <w:rsid w:val="00FE6469"/>
    <w:rsid w:val="00FF0FF7"/>
    <w:rsid w:val="00FF1438"/>
    <w:rsid w:val="00FF3A38"/>
    <w:rsid w:val="00FF3C25"/>
    <w:rsid w:val="00FF48D1"/>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4AA"/>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349180589">
      <w:bodyDiv w:val="1"/>
      <w:marLeft w:val="0"/>
      <w:marRight w:val="0"/>
      <w:marTop w:val="0"/>
      <w:marBottom w:val="0"/>
      <w:divBdr>
        <w:top w:val="none" w:sz="0" w:space="0" w:color="auto"/>
        <w:left w:val="none" w:sz="0" w:space="0" w:color="auto"/>
        <w:bottom w:val="none" w:sz="0" w:space="0" w:color="auto"/>
        <w:right w:val="none" w:sz="0" w:space="0" w:color="auto"/>
      </w:divBdr>
    </w:div>
    <w:div w:id="464390908">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9489659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D6892-79BA-4517-9F08-BE79E992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SAE</dc:creator>
  <cp:lastModifiedBy>Colleen.Toussaint</cp:lastModifiedBy>
  <cp:revision>2</cp:revision>
  <cp:lastPrinted>2011-03-21T11:55:00Z</cp:lastPrinted>
  <dcterms:created xsi:type="dcterms:W3CDTF">2012-03-10T17:17:00Z</dcterms:created>
  <dcterms:modified xsi:type="dcterms:W3CDTF">2012-03-10T17:17:00Z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