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463C41" w:rsidRDefault="00540BEF" w:rsidP="000452D7">
      <w:pPr>
        <w:tabs>
          <w:tab w:val="left" w:pos="288"/>
          <w:tab w:val="left" w:pos="4752"/>
        </w:tabs>
        <w:spacing w:line="240" w:lineRule="exact"/>
        <w:jc w:val="center"/>
        <w:rPr>
          <w:color w:val="auto"/>
          <w:szCs w:val="24"/>
        </w:rPr>
      </w:pPr>
      <w:r w:rsidRPr="00463C41">
        <w:rPr>
          <w:color w:val="auto"/>
          <w:szCs w:val="24"/>
        </w:rPr>
        <w:t>RECORD OF PROCEEDINGS</w:t>
      </w:r>
    </w:p>
    <w:p w:rsidR="00540BEF" w:rsidRPr="00463C41" w:rsidRDefault="00540BEF" w:rsidP="000452D7">
      <w:pPr>
        <w:tabs>
          <w:tab w:val="left" w:pos="288"/>
          <w:tab w:val="left" w:pos="4752"/>
        </w:tabs>
        <w:spacing w:line="240" w:lineRule="exact"/>
        <w:jc w:val="center"/>
        <w:rPr>
          <w:color w:val="auto"/>
          <w:szCs w:val="24"/>
        </w:rPr>
      </w:pPr>
      <w:r w:rsidRPr="00463C41">
        <w:rPr>
          <w:color w:val="auto"/>
          <w:szCs w:val="24"/>
        </w:rPr>
        <w:t>PHYSICAL DISABILITY BOARD OF REVIEW</w:t>
      </w:r>
    </w:p>
    <w:p w:rsidR="00540BEF" w:rsidRPr="00463C41" w:rsidRDefault="00540BEF" w:rsidP="000452D7">
      <w:pPr>
        <w:tabs>
          <w:tab w:val="left" w:pos="288"/>
          <w:tab w:val="left" w:pos="4752"/>
        </w:tabs>
        <w:spacing w:line="240" w:lineRule="exact"/>
        <w:jc w:val="both"/>
        <w:rPr>
          <w:caps/>
          <w:color w:val="auto"/>
          <w:szCs w:val="24"/>
        </w:rPr>
      </w:pPr>
    </w:p>
    <w:p w:rsidR="00F629C0" w:rsidRPr="00463C41" w:rsidRDefault="00F629C0" w:rsidP="00955E45">
      <w:pPr>
        <w:tabs>
          <w:tab w:val="left" w:pos="288"/>
          <w:tab w:val="left" w:pos="4752"/>
          <w:tab w:val="left" w:pos="5130"/>
          <w:tab w:val="left" w:pos="9270"/>
        </w:tabs>
        <w:spacing w:line="240" w:lineRule="exact"/>
        <w:jc w:val="both"/>
        <w:rPr>
          <w:caps/>
          <w:color w:val="auto"/>
          <w:szCs w:val="24"/>
        </w:rPr>
      </w:pPr>
      <w:r w:rsidRPr="00463C41">
        <w:rPr>
          <w:caps/>
          <w:color w:val="auto"/>
          <w:szCs w:val="24"/>
        </w:rPr>
        <w:t xml:space="preserve">NAME:  </w:t>
      </w:r>
      <w:r w:rsidR="00B36443">
        <w:rPr>
          <w:caps/>
          <w:color w:val="auto"/>
          <w:szCs w:val="24"/>
        </w:rPr>
        <w:t>XXXXXX</w:t>
      </w:r>
      <w:r w:rsidR="00955E45" w:rsidRPr="00463C41">
        <w:rPr>
          <w:caps/>
          <w:color w:val="auto"/>
          <w:szCs w:val="24"/>
        </w:rPr>
        <w:tab/>
        <w:t xml:space="preserve">       </w:t>
      </w:r>
      <w:r w:rsidR="00176E12">
        <w:rPr>
          <w:caps/>
          <w:color w:val="auto"/>
          <w:szCs w:val="24"/>
        </w:rPr>
        <w:t xml:space="preserve">       </w:t>
      </w:r>
      <w:r w:rsidRPr="00463C41">
        <w:rPr>
          <w:caps/>
          <w:color w:val="auto"/>
          <w:szCs w:val="24"/>
        </w:rPr>
        <w:t xml:space="preserve">BRANCH OF SERVICE:  </w:t>
      </w:r>
      <w:r w:rsidR="00955E45" w:rsidRPr="00463C41">
        <w:rPr>
          <w:caps/>
          <w:color w:val="auto"/>
          <w:szCs w:val="24"/>
        </w:rPr>
        <w:t>Marine corps</w:t>
      </w:r>
    </w:p>
    <w:p w:rsidR="00F629C0" w:rsidRPr="00463C41" w:rsidRDefault="00F629C0" w:rsidP="00955E45">
      <w:pPr>
        <w:tabs>
          <w:tab w:val="left" w:pos="288"/>
          <w:tab w:val="left" w:pos="4752"/>
          <w:tab w:val="left" w:pos="5130"/>
        </w:tabs>
        <w:spacing w:line="240" w:lineRule="exact"/>
        <w:ind w:right="-900"/>
        <w:jc w:val="both"/>
        <w:rPr>
          <w:caps/>
          <w:color w:val="auto"/>
          <w:szCs w:val="24"/>
        </w:rPr>
      </w:pPr>
      <w:r w:rsidRPr="00463C41">
        <w:rPr>
          <w:caps/>
          <w:color w:val="auto"/>
          <w:szCs w:val="24"/>
        </w:rPr>
        <w:t>CASE NUMBER:  PD09</w:t>
      </w:r>
      <w:r w:rsidR="00297890" w:rsidRPr="00463C41">
        <w:rPr>
          <w:caps/>
          <w:color w:val="auto"/>
          <w:szCs w:val="24"/>
        </w:rPr>
        <w:t>00701</w:t>
      </w:r>
      <w:r w:rsidRPr="00463C41">
        <w:rPr>
          <w:caps/>
          <w:color w:val="auto"/>
          <w:szCs w:val="24"/>
        </w:rPr>
        <w:tab/>
      </w:r>
      <w:r w:rsidR="00955E45" w:rsidRPr="00463C41">
        <w:rPr>
          <w:caps/>
          <w:color w:val="auto"/>
          <w:szCs w:val="24"/>
        </w:rPr>
        <w:tab/>
      </w:r>
      <w:r w:rsidR="00176E12">
        <w:rPr>
          <w:caps/>
          <w:color w:val="auto"/>
          <w:szCs w:val="24"/>
        </w:rPr>
        <w:t xml:space="preserve">       </w:t>
      </w:r>
      <w:r w:rsidRPr="00463C41">
        <w:rPr>
          <w:caps/>
          <w:color w:val="auto"/>
          <w:szCs w:val="24"/>
        </w:rPr>
        <w:t>SEPARATION DATE:  200</w:t>
      </w:r>
      <w:r w:rsidR="000C02CA" w:rsidRPr="00463C41">
        <w:rPr>
          <w:caps/>
          <w:color w:val="auto"/>
          <w:szCs w:val="24"/>
        </w:rPr>
        <w:t>2</w:t>
      </w:r>
      <w:r w:rsidR="00297890" w:rsidRPr="00463C41">
        <w:rPr>
          <w:caps/>
          <w:color w:val="auto"/>
          <w:szCs w:val="24"/>
        </w:rPr>
        <w:t>0531</w:t>
      </w:r>
    </w:p>
    <w:p w:rsidR="00F629C0" w:rsidRPr="006232E7" w:rsidRDefault="00F629C0" w:rsidP="00955E45">
      <w:pPr>
        <w:tabs>
          <w:tab w:val="left" w:pos="288"/>
          <w:tab w:val="left" w:pos="5130"/>
        </w:tabs>
        <w:spacing w:line="240" w:lineRule="exact"/>
        <w:jc w:val="both"/>
        <w:rPr>
          <w:color w:val="auto"/>
          <w:szCs w:val="24"/>
        </w:rPr>
      </w:pPr>
      <w:r w:rsidRPr="00463C41">
        <w:rPr>
          <w:caps/>
          <w:color w:val="auto"/>
          <w:szCs w:val="24"/>
        </w:rPr>
        <w:t xml:space="preserve">BOARD DATE:  </w:t>
      </w:r>
      <w:r w:rsidR="00BE3B6B">
        <w:rPr>
          <w:caps/>
          <w:color w:val="auto"/>
          <w:szCs w:val="24"/>
        </w:rPr>
        <w:t>20110427</w:t>
      </w:r>
    </w:p>
    <w:p w:rsidR="00106AD8" w:rsidRPr="006232E7" w:rsidRDefault="001724C8" w:rsidP="000452D7">
      <w:pPr>
        <w:tabs>
          <w:tab w:val="left" w:pos="288"/>
          <w:tab w:val="left" w:pos="4752"/>
        </w:tabs>
        <w:spacing w:line="240" w:lineRule="exact"/>
        <w:rPr>
          <w:b/>
          <w:color w:val="auto"/>
          <w:szCs w:val="24"/>
        </w:rPr>
      </w:pPr>
      <w:r w:rsidRPr="006232E7">
        <w:rPr>
          <w:b/>
          <w:color w:val="auto"/>
          <w:szCs w:val="24"/>
          <w:u w:val="single"/>
        </w:rPr>
        <w:t>______________________________________________________________________________</w:t>
      </w:r>
    </w:p>
    <w:p w:rsidR="001724C8" w:rsidRPr="006232E7" w:rsidRDefault="001724C8" w:rsidP="000452D7">
      <w:pPr>
        <w:tabs>
          <w:tab w:val="left" w:pos="288"/>
          <w:tab w:val="left" w:pos="4752"/>
        </w:tabs>
        <w:spacing w:line="240" w:lineRule="exact"/>
        <w:jc w:val="both"/>
        <w:rPr>
          <w:b/>
          <w:color w:val="auto"/>
          <w:szCs w:val="24"/>
          <w:u w:val="single"/>
        </w:rPr>
      </w:pPr>
    </w:p>
    <w:p w:rsidR="007D57C0" w:rsidRPr="00304C0D" w:rsidRDefault="002C6E5B" w:rsidP="000452D7">
      <w:pPr>
        <w:tabs>
          <w:tab w:val="left" w:pos="288"/>
          <w:tab w:val="left" w:pos="4752"/>
        </w:tabs>
        <w:spacing w:line="240" w:lineRule="exact"/>
        <w:jc w:val="both"/>
        <w:rPr>
          <w:color w:val="auto"/>
          <w:szCs w:val="24"/>
        </w:rPr>
      </w:pPr>
      <w:r w:rsidRPr="006232E7">
        <w:rPr>
          <w:color w:val="auto"/>
          <w:szCs w:val="24"/>
          <w:u w:val="single"/>
        </w:rPr>
        <w:t>SUMMARY OF CASE</w:t>
      </w:r>
      <w:r w:rsidRPr="006232E7">
        <w:rPr>
          <w:color w:val="auto"/>
          <w:szCs w:val="24"/>
        </w:rPr>
        <w:t xml:space="preserve">:  </w:t>
      </w:r>
      <w:r w:rsidR="009759C2" w:rsidRPr="006232E7">
        <w:rPr>
          <w:color w:val="auto"/>
          <w:szCs w:val="24"/>
        </w:rPr>
        <w:t>Data extracted from the available evidence of record reflects that this covered individual (CI)</w:t>
      </w:r>
      <w:r w:rsidR="00570754" w:rsidRPr="006232E7">
        <w:rPr>
          <w:color w:val="auto"/>
          <w:szCs w:val="24"/>
        </w:rPr>
        <w:t xml:space="preserve"> </w:t>
      </w:r>
      <w:r w:rsidRPr="006232E7">
        <w:rPr>
          <w:color w:val="auto"/>
          <w:szCs w:val="24"/>
        </w:rPr>
        <w:t xml:space="preserve">was </w:t>
      </w:r>
      <w:r w:rsidR="00E322F7" w:rsidRPr="006232E7">
        <w:rPr>
          <w:color w:val="auto"/>
          <w:szCs w:val="24"/>
        </w:rPr>
        <w:t>an active duty</w:t>
      </w:r>
      <w:r w:rsidR="006D4E0E" w:rsidRPr="006232E7">
        <w:rPr>
          <w:color w:val="auto"/>
          <w:szCs w:val="24"/>
        </w:rPr>
        <w:t xml:space="preserve"> </w:t>
      </w:r>
      <w:proofErr w:type="spellStart"/>
      <w:r w:rsidR="00BA4B1E" w:rsidRPr="006232E7">
        <w:rPr>
          <w:color w:val="auto"/>
          <w:szCs w:val="24"/>
        </w:rPr>
        <w:t>LC</w:t>
      </w:r>
      <w:r w:rsidR="0043434F" w:rsidRPr="006232E7">
        <w:rPr>
          <w:color w:val="auto"/>
          <w:szCs w:val="24"/>
        </w:rPr>
        <w:t>pl</w:t>
      </w:r>
      <w:proofErr w:type="spellEnd"/>
      <w:r w:rsidR="00705C40" w:rsidRPr="006232E7">
        <w:rPr>
          <w:color w:val="auto"/>
          <w:szCs w:val="24"/>
        </w:rPr>
        <w:t xml:space="preserve"> (</w:t>
      </w:r>
      <w:r w:rsidR="00BA4B1E" w:rsidRPr="006232E7">
        <w:rPr>
          <w:color w:val="auto"/>
          <w:szCs w:val="24"/>
        </w:rPr>
        <w:t>0331</w:t>
      </w:r>
      <w:r w:rsidR="00C75F3D" w:rsidRPr="006232E7">
        <w:rPr>
          <w:color w:val="auto"/>
          <w:szCs w:val="24"/>
        </w:rPr>
        <w:t xml:space="preserve">, </w:t>
      </w:r>
      <w:r w:rsidR="00BA4B1E" w:rsidRPr="006232E7">
        <w:rPr>
          <w:color w:val="auto"/>
          <w:szCs w:val="24"/>
        </w:rPr>
        <w:t>Machine Gunner</w:t>
      </w:r>
      <w:r w:rsidR="00E322F7" w:rsidRPr="006232E7">
        <w:rPr>
          <w:color w:val="auto"/>
          <w:szCs w:val="24"/>
        </w:rPr>
        <w:t>)</w:t>
      </w:r>
      <w:r w:rsidR="00C75F3D" w:rsidRPr="006232E7">
        <w:rPr>
          <w:color w:val="auto"/>
          <w:szCs w:val="24"/>
        </w:rPr>
        <w:t xml:space="preserve"> </w:t>
      </w:r>
      <w:r w:rsidRPr="006232E7">
        <w:rPr>
          <w:color w:val="auto"/>
          <w:szCs w:val="24"/>
        </w:rPr>
        <w:t>medically</w:t>
      </w:r>
      <w:r w:rsidRPr="00463C41">
        <w:rPr>
          <w:color w:val="auto"/>
          <w:szCs w:val="24"/>
        </w:rPr>
        <w:t xml:space="preserve"> separated from the </w:t>
      </w:r>
      <w:r w:rsidR="00BA4B1E" w:rsidRPr="00463C41">
        <w:rPr>
          <w:color w:val="auto"/>
          <w:szCs w:val="24"/>
        </w:rPr>
        <w:t>Marine Corps</w:t>
      </w:r>
      <w:r w:rsidRPr="00463C41">
        <w:rPr>
          <w:color w:val="auto"/>
          <w:szCs w:val="24"/>
        </w:rPr>
        <w:t xml:space="preserve"> in 200</w:t>
      </w:r>
      <w:r w:rsidR="00BA4B1E" w:rsidRPr="00463C41">
        <w:rPr>
          <w:color w:val="auto"/>
          <w:szCs w:val="24"/>
        </w:rPr>
        <w:t>2</w:t>
      </w:r>
      <w:r w:rsidR="003F1206" w:rsidRPr="00463C41">
        <w:rPr>
          <w:color w:val="auto"/>
          <w:szCs w:val="24"/>
        </w:rPr>
        <w:t>.</w:t>
      </w:r>
      <w:r w:rsidR="00080BDF" w:rsidRPr="00463C41">
        <w:rPr>
          <w:color w:val="auto"/>
          <w:szCs w:val="24"/>
        </w:rPr>
        <w:t xml:space="preserve">  </w:t>
      </w:r>
      <w:r w:rsidRPr="00463C41">
        <w:rPr>
          <w:color w:val="auto"/>
          <w:szCs w:val="24"/>
        </w:rPr>
        <w:t>The medical basis for the separation was</w:t>
      </w:r>
      <w:r w:rsidR="00BA4B1E" w:rsidRPr="00463C41">
        <w:rPr>
          <w:color w:val="auto"/>
          <w:szCs w:val="24"/>
        </w:rPr>
        <w:t xml:space="preserve"> </w:t>
      </w:r>
      <w:r w:rsidR="00EB75F2">
        <w:rPr>
          <w:color w:val="auto"/>
          <w:szCs w:val="24"/>
        </w:rPr>
        <w:t>b</w:t>
      </w:r>
      <w:r w:rsidR="00514ECB" w:rsidRPr="00463C41">
        <w:rPr>
          <w:color w:val="auto"/>
          <w:szCs w:val="24"/>
        </w:rPr>
        <w:t xml:space="preserve">ilateral </w:t>
      </w:r>
      <w:r w:rsidR="00EB75F2">
        <w:rPr>
          <w:color w:val="auto"/>
          <w:szCs w:val="24"/>
        </w:rPr>
        <w:t>a</w:t>
      </w:r>
      <w:r w:rsidR="00514ECB" w:rsidRPr="00463C41">
        <w:rPr>
          <w:color w:val="auto"/>
          <w:szCs w:val="24"/>
        </w:rPr>
        <w:t xml:space="preserve">nkle </w:t>
      </w:r>
      <w:r w:rsidR="00EB75F2">
        <w:rPr>
          <w:color w:val="auto"/>
          <w:szCs w:val="24"/>
        </w:rPr>
        <w:t>d</w:t>
      </w:r>
      <w:r w:rsidR="00514ECB" w:rsidRPr="00463C41">
        <w:rPr>
          <w:color w:val="auto"/>
          <w:szCs w:val="24"/>
        </w:rPr>
        <w:t xml:space="preserve">egenerative </w:t>
      </w:r>
      <w:r w:rsidR="007A265C">
        <w:rPr>
          <w:color w:val="auto"/>
          <w:szCs w:val="24"/>
        </w:rPr>
        <w:t>j</w:t>
      </w:r>
      <w:r w:rsidR="00514ECB" w:rsidRPr="00463C41">
        <w:rPr>
          <w:color w:val="auto"/>
          <w:szCs w:val="24"/>
        </w:rPr>
        <w:t xml:space="preserve">oint </w:t>
      </w:r>
      <w:r w:rsidR="00EB75F2">
        <w:rPr>
          <w:color w:val="auto"/>
          <w:szCs w:val="24"/>
        </w:rPr>
        <w:t>d</w:t>
      </w:r>
      <w:r w:rsidR="00514ECB" w:rsidRPr="00463C41">
        <w:rPr>
          <w:color w:val="auto"/>
          <w:szCs w:val="24"/>
        </w:rPr>
        <w:t>isease</w:t>
      </w:r>
      <w:r w:rsidR="00AD0A50">
        <w:rPr>
          <w:color w:val="auto"/>
          <w:szCs w:val="24"/>
        </w:rPr>
        <w:t xml:space="preserve"> (DJD)</w:t>
      </w:r>
      <w:r w:rsidR="00C75F3D" w:rsidRPr="00463C41">
        <w:rPr>
          <w:i/>
          <w:color w:val="auto"/>
          <w:szCs w:val="24"/>
        </w:rPr>
        <w:t>.</w:t>
      </w:r>
      <w:r w:rsidR="00B63246" w:rsidRPr="00EB75F2">
        <w:rPr>
          <w:color w:val="auto"/>
          <w:szCs w:val="24"/>
        </w:rPr>
        <w:t xml:space="preserve">  </w:t>
      </w:r>
      <w:r w:rsidR="005E6D0F">
        <w:rPr>
          <w:color w:val="auto"/>
          <w:szCs w:val="24"/>
        </w:rPr>
        <w:t>Following a left ankle injury, h</w:t>
      </w:r>
      <w:r w:rsidR="00E322F7" w:rsidRPr="00463C41">
        <w:rPr>
          <w:color w:val="auto"/>
          <w:szCs w:val="24"/>
        </w:rPr>
        <w:t xml:space="preserve">e did not respond adequately </w:t>
      </w:r>
      <w:r w:rsidR="00C75F3D" w:rsidRPr="00463C41">
        <w:rPr>
          <w:color w:val="auto"/>
          <w:szCs w:val="24"/>
        </w:rPr>
        <w:t xml:space="preserve">to treatment and was unable to </w:t>
      </w:r>
      <w:r w:rsidR="00E322F7" w:rsidRPr="00463C41">
        <w:rPr>
          <w:color w:val="auto"/>
          <w:szCs w:val="24"/>
        </w:rPr>
        <w:t>perform within his</w:t>
      </w:r>
      <w:r w:rsidR="0044411E" w:rsidRPr="00463C41">
        <w:rPr>
          <w:color w:val="auto"/>
          <w:szCs w:val="24"/>
        </w:rPr>
        <w:t xml:space="preserve"> </w:t>
      </w:r>
      <w:r w:rsidR="00705C40" w:rsidRPr="00463C41">
        <w:rPr>
          <w:color w:val="auto"/>
          <w:szCs w:val="24"/>
        </w:rPr>
        <w:t xml:space="preserve">military occupational </w:t>
      </w:r>
      <w:r w:rsidR="003A40B4" w:rsidRPr="00463C41">
        <w:rPr>
          <w:color w:val="auto"/>
          <w:szCs w:val="24"/>
        </w:rPr>
        <w:t>specialty</w:t>
      </w:r>
      <w:r w:rsidR="00AD0A50">
        <w:rPr>
          <w:color w:val="auto"/>
          <w:szCs w:val="24"/>
        </w:rPr>
        <w:t xml:space="preserve"> (MOS)</w:t>
      </w:r>
      <w:r w:rsidR="00C67448">
        <w:rPr>
          <w:color w:val="auto"/>
          <w:szCs w:val="24"/>
        </w:rPr>
        <w:t xml:space="preserve"> or </w:t>
      </w:r>
      <w:r w:rsidR="00E322F7" w:rsidRPr="00463C41">
        <w:rPr>
          <w:color w:val="auto"/>
          <w:szCs w:val="24"/>
        </w:rPr>
        <w:t xml:space="preserve">participate in </w:t>
      </w:r>
      <w:r w:rsidR="0044411E" w:rsidRPr="00463C41">
        <w:rPr>
          <w:color w:val="auto"/>
          <w:szCs w:val="24"/>
        </w:rPr>
        <w:t>a physical fitness test</w:t>
      </w:r>
      <w:r w:rsidR="00FF5C41">
        <w:rPr>
          <w:color w:val="auto"/>
          <w:szCs w:val="24"/>
        </w:rPr>
        <w:t>.  He</w:t>
      </w:r>
      <w:r w:rsidR="0044411E" w:rsidRPr="00463C41">
        <w:rPr>
          <w:color w:val="auto"/>
          <w:szCs w:val="24"/>
        </w:rPr>
        <w:t xml:space="preserve"> </w:t>
      </w:r>
      <w:r w:rsidR="00E322F7" w:rsidRPr="00463C41">
        <w:rPr>
          <w:color w:val="auto"/>
          <w:szCs w:val="24"/>
        </w:rPr>
        <w:t xml:space="preserve">was </w:t>
      </w:r>
      <w:r w:rsidR="0044411E" w:rsidRPr="00463C41">
        <w:rPr>
          <w:color w:val="auto"/>
          <w:szCs w:val="24"/>
        </w:rPr>
        <w:t xml:space="preserve">placed on </w:t>
      </w:r>
      <w:r w:rsidR="00FF5C41">
        <w:rPr>
          <w:color w:val="auto"/>
          <w:szCs w:val="24"/>
        </w:rPr>
        <w:t>l</w:t>
      </w:r>
      <w:r w:rsidR="0044411E" w:rsidRPr="00463C41">
        <w:rPr>
          <w:color w:val="auto"/>
          <w:szCs w:val="24"/>
        </w:rPr>
        <w:t xml:space="preserve">imited </w:t>
      </w:r>
      <w:r w:rsidR="00FF5C41">
        <w:rPr>
          <w:color w:val="auto"/>
          <w:szCs w:val="24"/>
        </w:rPr>
        <w:t>d</w:t>
      </w:r>
      <w:r w:rsidR="0044411E" w:rsidRPr="00463C41">
        <w:rPr>
          <w:color w:val="auto"/>
          <w:szCs w:val="24"/>
        </w:rPr>
        <w:t xml:space="preserve">uty </w:t>
      </w:r>
      <w:r w:rsidR="00E322F7" w:rsidRPr="00463C41">
        <w:rPr>
          <w:color w:val="auto"/>
          <w:szCs w:val="24"/>
        </w:rPr>
        <w:t xml:space="preserve">and underwent a </w:t>
      </w:r>
      <w:r w:rsidR="00705C40" w:rsidRPr="00463C41">
        <w:rPr>
          <w:color w:val="auto"/>
          <w:szCs w:val="24"/>
        </w:rPr>
        <w:t>Medical Evaluation Board (</w:t>
      </w:r>
      <w:r w:rsidR="00E322F7" w:rsidRPr="00463C41">
        <w:rPr>
          <w:color w:val="auto"/>
          <w:szCs w:val="24"/>
        </w:rPr>
        <w:t>MEB</w:t>
      </w:r>
      <w:r w:rsidR="00705C40" w:rsidRPr="00463C41">
        <w:rPr>
          <w:color w:val="auto"/>
          <w:szCs w:val="24"/>
        </w:rPr>
        <w:t>)</w:t>
      </w:r>
      <w:r w:rsidR="00E322F7" w:rsidRPr="00463C41">
        <w:rPr>
          <w:color w:val="auto"/>
          <w:szCs w:val="24"/>
        </w:rPr>
        <w:t>.</w:t>
      </w:r>
      <w:r w:rsidR="00514ECB" w:rsidRPr="00463C41">
        <w:rPr>
          <w:color w:val="auto"/>
          <w:szCs w:val="24"/>
        </w:rPr>
        <w:t xml:space="preserve">  </w:t>
      </w:r>
      <w:r w:rsidR="00C67448">
        <w:rPr>
          <w:color w:val="auto"/>
          <w:szCs w:val="24"/>
        </w:rPr>
        <w:t>B</w:t>
      </w:r>
      <w:r w:rsidR="00514ECB" w:rsidRPr="00463C41">
        <w:rPr>
          <w:color w:val="auto"/>
          <w:szCs w:val="24"/>
        </w:rPr>
        <w:t xml:space="preserve">ilateral </w:t>
      </w:r>
      <w:r w:rsidR="005E6D0F">
        <w:rPr>
          <w:color w:val="auto"/>
          <w:szCs w:val="24"/>
        </w:rPr>
        <w:t>a</w:t>
      </w:r>
      <w:r w:rsidR="00514ECB" w:rsidRPr="00463C41">
        <w:rPr>
          <w:color w:val="auto"/>
          <w:szCs w:val="24"/>
        </w:rPr>
        <w:t xml:space="preserve">nkle </w:t>
      </w:r>
      <w:r w:rsidR="00861E5C">
        <w:rPr>
          <w:color w:val="auto"/>
          <w:szCs w:val="24"/>
        </w:rPr>
        <w:t>DJD</w:t>
      </w:r>
      <w:r w:rsidR="00AD0A50">
        <w:rPr>
          <w:color w:val="auto"/>
          <w:szCs w:val="24"/>
        </w:rPr>
        <w:t>,</w:t>
      </w:r>
      <w:r w:rsidR="00A472B9">
        <w:rPr>
          <w:color w:val="auto"/>
          <w:szCs w:val="24"/>
        </w:rPr>
        <w:t xml:space="preserve"> ankle impingement and loose bodies</w:t>
      </w:r>
      <w:r w:rsidR="00AD0A50">
        <w:rPr>
          <w:color w:val="auto"/>
          <w:szCs w:val="24"/>
        </w:rPr>
        <w:t>,</w:t>
      </w:r>
      <w:r w:rsidR="00A472B9">
        <w:rPr>
          <w:color w:val="auto"/>
          <w:szCs w:val="24"/>
        </w:rPr>
        <w:t xml:space="preserve"> and status post arthroscopic debridement left ankle for </w:t>
      </w:r>
      <w:proofErr w:type="spellStart"/>
      <w:r w:rsidR="00A472B9">
        <w:rPr>
          <w:color w:val="auto"/>
          <w:szCs w:val="24"/>
        </w:rPr>
        <w:t>tibiotalar</w:t>
      </w:r>
      <w:proofErr w:type="spellEnd"/>
      <w:r w:rsidR="00A472B9">
        <w:rPr>
          <w:color w:val="auto"/>
          <w:szCs w:val="24"/>
        </w:rPr>
        <w:t xml:space="preserve"> spur were </w:t>
      </w:r>
      <w:r w:rsidR="000A33C8" w:rsidRPr="00463C41">
        <w:rPr>
          <w:color w:val="auto"/>
          <w:szCs w:val="24"/>
        </w:rPr>
        <w:t xml:space="preserve">forwarded to the Physical Evaluation Board (PEB) as medically unacceptable IAW </w:t>
      </w:r>
      <w:r w:rsidR="00AB1F8D" w:rsidRPr="00463C41">
        <w:rPr>
          <w:color w:val="auto"/>
          <w:szCs w:val="24"/>
        </w:rPr>
        <w:t>SECNAVINST 1850.4E</w:t>
      </w:r>
      <w:r w:rsidR="00376E08" w:rsidRPr="00463C41">
        <w:rPr>
          <w:color w:val="auto"/>
          <w:szCs w:val="24"/>
        </w:rPr>
        <w:t>.</w:t>
      </w:r>
      <w:r w:rsidR="00514ECB" w:rsidRPr="00463C41">
        <w:rPr>
          <w:color w:val="auto"/>
          <w:szCs w:val="24"/>
        </w:rPr>
        <w:t xml:space="preserve">  </w:t>
      </w:r>
      <w:r w:rsidR="00B20624" w:rsidRPr="00463C41">
        <w:rPr>
          <w:color w:val="auto"/>
          <w:szCs w:val="24"/>
        </w:rPr>
        <w:t>The PEB</w:t>
      </w:r>
      <w:r w:rsidR="007828B4" w:rsidRPr="00463C41">
        <w:rPr>
          <w:color w:val="auto"/>
          <w:szCs w:val="24"/>
        </w:rPr>
        <w:t xml:space="preserve"> </w:t>
      </w:r>
      <w:r w:rsidR="00B20624" w:rsidRPr="00463C41">
        <w:rPr>
          <w:color w:val="auto"/>
          <w:szCs w:val="24"/>
        </w:rPr>
        <w:t xml:space="preserve">adjudicated the </w:t>
      </w:r>
      <w:r w:rsidR="005E6D0F">
        <w:rPr>
          <w:color w:val="auto"/>
          <w:szCs w:val="24"/>
        </w:rPr>
        <w:t>b</w:t>
      </w:r>
      <w:r w:rsidR="00514ECB" w:rsidRPr="00463C41">
        <w:rPr>
          <w:color w:val="auto"/>
          <w:szCs w:val="24"/>
        </w:rPr>
        <w:t xml:space="preserve">ilateral </w:t>
      </w:r>
      <w:r w:rsidR="005E6D0F">
        <w:rPr>
          <w:color w:val="auto"/>
          <w:szCs w:val="24"/>
        </w:rPr>
        <w:t>a</w:t>
      </w:r>
      <w:r w:rsidR="00514ECB" w:rsidRPr="00463C41">
        <w:rPr>
          <w:color w:val="auto"/>
          <w:szCs w:val="24"/>
        </w:rPr>
        <w:t xml:space="preserve">nkle </w:t>
      </w:r>
      <w:r w:rsidR="00861E5C">
        <w:rPr>
          <w:color w:val="auto"/>
          <w:szCs w:val="24"/>
        </w:rPr>
        <w:t xml:space="preserve">DJD </w:t>
      </w:r>
      <w:r w:rsidR="00B20624" w:rsidRPr="00463C41">
        <w:rPr>
          <w:color w:val="auto"/>
          <w:szCs w:val="24"/>
        </w:rPr>
        <w:t xml:space="preserve">condition as unfitting, rated </w:t>
      </w:r>
      <w:r w:rsidR="00514ECB" w:rsidRPr="00463C41">
        <w:rPr>
          <w:color w:val="auto"/>
          <w:szCs w:val="24"/>
        </w:rPr>
        <w:t>10</w:t>
      </w:r>
      <w:r w:rsidR="00B20624" w:rsidRPr="00463C41">
        <w:rPr>
          <w:color w:val="auto"/>
          <w:szCs w:val="24"/>
        </w:rPr>
        <w:t>%</w:t>
      </w:r>
      <w:r w:rsidR="00AD0A50">
        <w:rPr>
          <w:color w:val="auto"/>
          <w:szCs w:val="24"/>
        </w:rPr>
        <w:t>,</w:t>
      </w:r>
      <w:r w:rsidR="00B20624" w:rsidRPr="00463C41">
        <w:rPr>
          <w:color w:val="auto"/>
          <w:szCs w:val="24"/>
        </w:rPr>
        <w:t xml:space="preserve"> with application of </w:t>
      </w:r>
      <w:r w:rsidR="00065E21" w:rsidRPr="00463C41">
        <w:rPr>
          <w:color w:val="auto"/>
          <w:szCs w:val="24"/>
        </w:rPr>
        <w:t>SECNAVINST 1850.4E</w:t>
      </w:r>
      <w:r w:rsidR="00B20624" w:rsidRPr="00463C41">
        <w:rPr>
          <w:color w:val="auto"/>
          <w:szCs w:val="24"/>
        </w:rPr>
        <w:t>.</w:t>
      </w:r>
      <w:r w:rsidR="00A472B9">
        <w:rPr>
          <w:color w:val="auto"/>
          <w:szCs w:val="24"/>
        </w:rPr>
        <w:t xml:space="preserve">  The ankle impingement and loose bodies was a contributing condition not separately ratable, and the post</w:t>
      </w:r>
      <w:r w:rsidR="00FF5C41">
        <w:rPr>
          <w:color w:val="auto"/>
          <w:szCs w:val="24"/>
        </w:rPr>
        <w:t>-</w:t>
      </w:r>
      <w:r w:rsidR="00A472B9">
        <w:rPr>
          <w:color w:val="auto"/>
          <w:szCs w:val="24"/>
        </w:rPr>
        <w:t>surgical condition was not separately unfitting or ratable.</w:t>
      </w:r>
      <w:r w:rsidR="00514ECB" w:rsidRPr="00463C41">
        <w:rPr>
          <w:color w:val="auto"/>
          <w:szCs w:val="24"/>
        </w:rPr>
        <w:t xml:space="preserve"> </w:t>
      </w:r>
      <w:r w:rsidR="005E6D0F">
        <w:rPr>
          <w:color w:val="auto"/>
          <w:szCs w:val="24"/>
        </w:rPr>
        <w:t xml:space="preserve"> </w:t>
      </w:r>
      <w:r w:rsidR="00B20624" w:rsidRPr="00463C41">
        <w:rPr>
          <w:color w:val="auto"/>
          <w:szCs w:val="24"/>
        </w:rPr>
        <w:t xml:space="preserve">The CI </w:t>
      </w:r>
      <w:r w:rsidR="00190E48" w:rsidRPr="00463C41">
        <w:rPr>
          <w:color w:val="auto"/>
          <w:szCs w:val="24"/>
        </w:rPr>
        <w:t xml:space="preserve">made no appeals, </w:t>
      </w:r>
      <w:r w:rsidR="00B20624" w:rsidRPr="00463C41">
        <w:rPr>
          <w:color w:val="auto"/>
          <w:szCs w:val="24"/>
        </w:rPr>
        <w:t xml:space="preserve">and </w:t>
      </w:r>
      <w:r w:rsidR="00B20624" w:rsidRPr="00304C0D">
        <w:rPr>
          <w:color w:val="auto"/>
          <w:szCs w:val="24"/>
        </w:rPr>
        <w:t xml:space="preserve">was medically separated with a </w:t>
      </w:r>
      <w:r w:rsidR="00A365CB" w:rsidRPr="00304C0D">
        <w:rPr>
          <w:color w:val="auto"/>
          <w:szCs w:val="24"/>
        </w:rPr>
        <w:t>10</w:t>
      </w:r>
      <w:r w:rsidR="00B20624" w:rsidRPr="00304C0D">
        <w:rPr>
          <w:color w:val="auto"/>
          <w:szCs w:val="24"/>
        </w:rPr>
        <w:t>% combined disability rating.</w:t>
      </w:r>
    </w:p>
    <w:p w:rsidR="00A83C15" w:rsidRPr="00304C0D" w:rsidRDefault="001724C8" w:rsidP="000452D7">
      <w:pPr>
        <w:tabs>
          <w:tab w:val="left" w:pos="288"/>
          <w:tab w:val="left" w:pos="4752"/>
        </w:tabs>
        <w:spacing w:line="240" w:lineRule="exact"/>
        <w:jc w:val="both"/>
        <w:rPr>
          <w:b/>
          <w:caps/>
          <w:color w:val="auto"/>
          <w:szCs w:val="24"/>
          <w:u w:val="single"/>
        </w:rPr>
      </w:pPr>
      <w:r w:rsidRPr="00304C0D">
        <w:rPr>
          <w:b/>
          <w:color w:val="auto"/>
          <w:szCs w:val="24"/>
          <w:u w:val="single"/>
        </w:rPr>
        <w:t>______________________________________________________________________________</w:t>
      </w:r>
    </w:p>
    <w:p w:rsidR="00106AD8" w:rsidRPr="00304C0D" w:rsidRDefault="00106AD8" w:rsidP="000452D7">
      <w:pPr>
        <w:tabs>
          <w:tab w:val="left" w:pos="288"/>
          <w:tab w:val="left" w:pos="4752"/>
        </w:tabs>
        <w:spacing w:line="240" w:lineRule="exact"/>
        <w:rPr>
          <w:b/>
          <w:color w:val="auto"/>
          <w:szCs w:val="24"/>
        </w:rPr>
      </w:pPr>
    </w:p>
    <w:p w:rsidR="0043434F" w:rsidRPr="00304C0D" w:rsidRDefault="002C6E5B" w:rsidP="008F4D23">
      <w:pPr>
        <w:tabs>
          <w:tab w:val="left" w:pos="288"/>
          <w:tab w:val="left" w:pos="4752"/>
        </w:tabs>
        <w:spacing w:line="240" w:lineRule="exact"/>
        <w:jc w:val="both"/>
        <w:rPr>
          <w:rFonts w:eastAsiaTheme="minorHAnsi" w:cstheme="minorBidi"/>
          <w:color w:val="auto"/>
          <w:szCs w:val="24"/>
        </w:rPr>
      </w:pPr>
      <w:r w:rsidRPr="00304C0D">
        <w:rPr>
          <w:color w:val="auto"/>
          <w:szCs w:val="24"/>
          <w:u w:val="single"/>
        </w:rPr>
        <w:t>CI CONTENTION</w:t>
      </w:r>
      <w:r w:rsidRPr="00304C0D">
        <w:rPr>
          <w:color w:val="auto"/>
          <w:szCs w:val="24"/>
        </w:rPr>
        <w:t xml:space="preserve">:  </w:t>
      </w:r>
      <w:r w:rsidR="00BB36EA" w:rsidRPr="00304C0D">
        <w:rPr>
          <w:color w:val="auto"/>
          <w:szCs w:val="24"/>
        </w:rPr>
        <w:t xml:space="preserve">“My </w:t>
      </w:r>
      <w:r w:rsidR="00AD0A50">
        <w:rPr>
          <w:color w:val="auto"/>
          <w:szCs w:val="24"/>
        </w:rPr>
        <w:t>l</w:t>
      </w:r>
      <w:r w:rsidR="00BB36EA" w:rsidRPr="00304C0D">
        <w:rPr>
          <w:color w:val="auto"/>
          <w:szCs w:val="24"/>
        </w:rPr>
        <w:t xml:space="preserve">eft </w:t>
      </w:r>
      <w:r w:rsidR="00AD0A50">
        <w:rPr>
          <w:color w:val="auto"/>
          <w:szCs w:val="24"/>
        </w:rPr>
        <w:t>a</w:t>
      </w:r>
      <w:r w:rsidR="00BB36EA" w:rsidRPr="00304C0D">
        <w:rPr>
          <w:color w:val="auto"/>
          <w:szCs w:val="24"/>
        </w:rPr>
        <w:t>nkle has gotten worse and required a 2</w:t>
      </w:r>
      <w:r w:rsidR="00BB36EA" w:rsidRPr="00304C0D">
        <w:rPr>
          <w:color w:val="auto"/>
          <w:szCs w:val="24"/>
          <w:vertAlign w:val="superscript"/>
        </w:rPr>
        <w:t>nd</w:t>
      </w:r>
      <w:r w:rsidR="00BB36EA" w:rsidRPr="00304C0D">
        <w:rPr>
          <w:color w:val="auto"/>
          <w:szCs w:val="24"/>
        </w:rPr>
        <w:t xml:space="preserve"> surgery. </w:t>
      </w:r>
      <w:r w:rsidR="00C67448" w:rsidRPr="00304C0D">
        <w:rPr>
          <w:color w:val="auto"/>
          <w:szCs w:val="24"/>
        </w:rPr>
        <w:t xml:space="preserve"> </w:t>
      </w:r>
      <w:r w:rsidR="00BB36EA" w:rsidRPr="00304C0D">
        <w:rPr>
          <w:color w:val="auto"/>
          <w:szCs w:val="24"/>
        </w:rPr>
        <w:t>Shortly after military discharge in May of 2002, I fou</w:t>
      </w:r>
      <w:r w:rsidR="008F4D23" w:rsidRPr="00304C0D">
        <w:rPr>
          <w:color w:val="auto"/>
          <w:szCs w:val="24"/>
        </w:rPr>
        <w:t xml:space="preserve">nd that my </w:t>
      </w:r>
      <w:r w:rsidR="00AD0A50">
        <w:rPr>
          <w:color w:val="auto"/>
          <w:szCs w:val="24"/>
        </w:rPr>
        <w:t>b</w:t>
      </w:r>
      <w:r w:rsidR="008F4D23" w:rsidRPr="00304C0D">
        <w:rPr>
          <w:color w:val="auto"/>
          <w:szCs w:val="24"/>
        </w:rPr>
        <w:t xml:space="preserve">ack was in bad condition. </w:t>
      </w:r>
      <w:r w:rsidR="00C67448" w:rsidRPr="00304C0D">
        <w:rPr>
          <w:color w:val="auto"/>
          <w:szCs w:val="24"/>
        </w:rPr>
        <w:t xml:space="preserve"> </w:t>
      </w:r>
      <w:r w:rsidR="008F4D23" w:rsidRPr="00304C0D">
        <w:rPr>
          <w:color w:val="auto"/>
          <w:szCs w:val="24"/>
        </w:rPr>
        <w:t>My back is the worse of the two evils and I have pain on a daily basis.”</w:t>
      </w:r>
      <w:r w:rsidR="00C67448" w:rsidRPr="00304C0D">
        <w:rPr>
          <w:color w:val="auto"/>
          <w:szCs w:val="24"/>
        </w:rPr>
        <w:t xml:space="preserve"> </w:t>
      </w:r>
      <w:r w:rsidR="008F4D23" w:rsidRPr="00304C0D">
        <w:rPr>
          <w:color w:val="auto"/>
          <w:szCs w:val="24"/>
        </w:rPr>
        <w:t xml:space="preserve"> </w:t>
      </w:r>
      <w:r w:rsidR="008F4D23" w:rsidRPr="00304C0D">
        <w:rPr>
          <w:rFonts w:eastAsiaTheme="minorHAnsi" w:cstheme="minorBidi"/>
          <w:color w:val="auto"/>
          <w:szCs w:val="24"/>
        </w:rPr>
        <w:t>He elaborates no specific contentions regarding rating or coding and mentions no additionally contended conditions.</w:t>
      </w:r>
    </w:p>
    <w:p w:rsidR="00A83C15" w:rsidRPr="0043434F" w:rsidRDefault="001724C8" w:rsidP="000452D7">
      <w:pPr>
        <w:tabs>
          <w:tab w:val="left" w:pos="288"/>
          <w:tab w:val="left" w:pos="4752"/>
        </w:tabs>
        <w:spacing w:line="240" w:lineRule="exact"/>
        <w:jc w:val="both"/>
        <w:rPr>
          <w:b/>
          <w:caps/>
          <w:color w:val="auto"/>
          <w:szCs w:val="24"/>
          <w:u w:val="single"/>
        </w:rPr>
      </w:pPr>
      <w:r w:rsidRPr="00304C0D">
        <w:rPr>
          <w:b/>
          <w:color w:val="auto"/>
          <w:szCs w:val="24"/>
          <w:u w:val="single"/>
        </w:rPr>
        <w:t>______________________________________________________________________________</w:t>
      </w:r>
    </w:p>
    <w:p w:rsidR="0043434F" w:rsidRDefault="0043434F">
      <w:pPr>
        <w:rPr>
          <w:rFonts w:asciiTheme="minorHAnsi" w:hAnsiTheme="minorHAnsi"/>
          <w:color w:val="auto"/>
          <w:u w:val="single"/>
        </w:rPr>
      </w:pPr>
    </w:p>
    <w:p w:rsidR="002338CA" w:rsidRPr="006232E7" w:rsidRDefault="007F0AB7" w:rsidP="00506688">
      <w:pPr>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6232E7" w:rsidRDefault="000F0928" w:rsidP="000452D7">
      <w:pPr>
        <w:spacing w:line="240" w:lineRule="exact"/>
        <w:rPr>
          <w:rFonts w:asciiTheme="minorHAnsi" w:hAnsiTheme="minorHAnsi"/>
          <w:color w:val="auto"/>
        </w:rPr>
      </w:pPr>
    </w:p>
    <w:tbl>
      <w:tblPr>
        <w:tblStyle w:val="TableGrid"/>
        <w:tblpPr w:leftFromText="180" w:rightFromText="180" w:vertAnchor="text" w:horzAnchor="margin" w:tblpY="-51"/>
        <w:tblW w:w="9828" w:type="dxa"/>
        <w:tblLayout w:type="fixed"/>
        <w:tblLook w:val="04A0"/>
      </w:tblPr>
      <w:tblGrid>
        <w:gridCol w:w="2085"/>
        <w:gridCol w:w="1148"/>
        <w:gridCol w:w="810"/>
        <w:gridCol w:w="2721"/>
        <w:gridCol w:w="1174"/>
        <w:gridCol w:w="810"/>
        <w:gridCol w:w="1080"/>
      </w:tblGrid>
      <w:tr w:rsidR="002B4E22" w:rsidRPr="006232E7" w:rsidTr="005F1896">
        <w:trPr>
          <w:trHeight w:val="233"/>
        </w:trPr>
        <w:tc>
          <w:tcPr>
            <w:tcW w:w="4043" w:type="dxa"/>
            <w:gridSpan w:val="3"/>
            <w:tcBorders>
              <w:right w:val="thinThickThinSmallGap" w:sz="24" w:space="0" w:color="auto"/>
            </w:tcBorders>
            <w:shd w:val="clear" w:color="auto" w:fill="D9D9D9" w:themeFill="background1" w:themeFillShade="D9"/>
          </w:tcPr>
          <w:p w:rsidR="002B4E22" w:rsidRPr="006232E7" w:rsidRDefault="00B731E4" w:rsidP="005F1896">
            <w:pPr>
              <w:spacing w:line="240" w:lineRule="exact"/>
              <w:contextualSpacing/>
              <w:jc w:val="center"/>
              <w:rPr>
                <w:b/>
                <w:color w:val="auto"/>
                <w:sz w:val="20"/>
                <w:szCs w:val="20"/>
              </w:rPr>
            </w:pPr>
            <w:r w:rsidRPr="006232E7">
              <w:rPr>
                <w:b/>
                <w:color w:val="auto"/>
                <w:sz w:val="20"/>
                <w:szCs w:val="20"/>
              </w:rPr>
              <w:t xml:space="preserve">Service </w:t>
            </w:r>
            <w:r w:rsidR="00451810" w:rsidRPr="006232E7">
              <w:rPr>
                <w:b/>
                <w:color w:val="auto"/>
                <w:sz w:val="20"/>
                <w:szCs w:val="20"/>
              </w:rPr>
              <w:t>I</w:t>
            </w:r>
            <w:r w:rsidRPr="006232E7">
              <w:rPr>
                <w:b/>
                <w:color w:val="auto"/>
                <w:sz w:val="20"/>
                <w:szCs w:val="20"/>
              </w:rPr>
              <w:t>PEB – Dated 200</w:t>
            </w:r>
            <w:r w:rsidR="00451810" w:rsidRPr="006232E7">
              <w:rPr>
                <w:b/>
                <w:color w:val="auto"/>
                <w:sz w:val="20"/>
                <w:szCs w:val="20"/>
              </w:rPr>
              <w:t>20417</w:t>
            </w:r>
          </w:p>
        </w:tc>
        <w:tc>
          <w:tcPr>
            <w:tcW w:w="5785" w:type="dxa"/>
            <w:gridSpan w:val="4"/>
            <w:tcBorders>
              <w:left w:val="thinThickThinSmallGap" w:sz="24" w:space="0" w:color="auto"/>
            </w:tcBorders>
            <w:shd w:val="clear" w:color="auto" w:fill="D9D9D9" w:themeFill="background1" w:themeFillShade="D9"/>
          </w:tcPr>
          <w:p w:rsidR="002B4E22" w:rsidRPr="006232E7" w:rsidRDefault="00B87C78" w:rsidP="00B87C78">
            <w:pPr>
              <w:spacing w:line="240" w:lineRule="exact"/>
              <w:contextualSpacing/>
              <w:jc w:val="center"/>
              <w:rPr>
                <w:b/>
                <w:color w:val="auto"/>
                <w:sz w:val="20"/>
                <w:szCs w:val="20"/>
              </w:rPr>
            </w:pPr>
            <w:r w:rsidRPr="006232E7">
              <w:rPr>
                <w:b/>
                <w:color w:val="auto"/>
                <w:sz w:val="20"/>
                <w:szCs w:val="20"/>
              </w:rPr>
              <w:t xml:space="preserve">VA (10 </w:t>
            </w:r>
            <w:r w:rsidR="002B4E22" w:rsidRPr="006232E7">
              <w:rPr>
                <w:b/>
                <w:color w:val="auto"/>
                <w:sz w:val="20"/>
                <w:szCs w:val="20"/>
              </w:rPr>
              <w:t xml:space="preserve">Mo. After  Separation) – All Effective Date </w:t>
            </w:r>
            <w:r w:rsidR="00B731E4" w:rsidRPr="006232E7">
              <w:rPr>
                <w:b/>
                <w:color w:val="auto"/>
                <w:sz w:val="20"/>
                <w:szCs w:val="20"/>
              </w:rPr>
              <w:t>200</w:t>
            </w:r>
            <w:r w:rsidR="0063253C" w:rsidRPr="006232E7">
              <w:rPr>
                <w:b/>
                <w:color w:val="auto"/>
                <w:sz w:val="20"/>
                <w:szCs w:val="20"/>
              </w:rPr>
              <w:t>20601</w:t>
            </w:r>
          </w:p>
        </w:tc>
      </w:tr>
      <w:tr w:rsidR="002B4E22" w:rsidRPr="006232E7" w:rsidTr="00D1634F">
        <w:trPr>
          <w:trHeight w:val="278"/>
        </w:trPr>
        <w:tc>
          <w:tcPr>
            <w:tcW w:w="2085" w:type="dxa"/>
            <w:tcBorders>
              <w:bottom w:val="single" w:sz="4" w:space="0" w:color="000000" w:themeColor="text1"/>
              <w:right w:val="single" w:sz="4" w:space="0" w:color="auto"/>
            </w:tcBorders>
            <w:shd w:val="clear" w:color="auto" w:fill="D9D9D9" w:themeFill="background1" w:themeFillShade="D9"/>
          </w:tcPr>
          <w:p w:rsidR="002B4E22" w:rsidRPr="006232E7" w:rsidRDefault="002B4E22" w:rsidP="005F1896">
            <w:pPr>
              <w:spacing w:line="240" w:lineRule="exact"/>
              <w:contextualSpacing/>
              <w:jc w:val="both"/>
              <w:rPr>
                <w:b/>
                <w:color w:val="auto"/>
                <w:sz w:val="20"/>
                <w:szCs w:val="20"/>
              </w:rPr>
            </w:pPr>
            <w:r w:rsidRPr="006232E7">
              <w:rPr>
                <w:b/>
                <w:color w:val="auto"/>
                <w:sz w:val="20"/>
                <w:szCs w:val="20"/>
              </w:rPr>
              <w:t>Condition</w:t>
            </w:r>
          </w:p>
        </w:tc>
        <w:tc>
          <w:tcPr>
            <w:tcW w:w="1148" w:type="dxa"/>
            <w:tcBorders>
              <w:left w:val="single" w:sz="4" w:space="0" w:color="auto"/>
              <w:bottom w:val="single" w:sz="4" w:space="0" w:color="000000" w:themeColor="text1"/>
            </w:tcBorders>
            <w:shd w:val="clear" w:color="auto" w:fill="D9D9D9" w:themeFill="background1" w:themeFillShade="D9"/>
          </w:tcPr>
          <w:p w:rsidR="002B4E22" w:rsidRPr="006232E7" w:rsidRDefault="002B4E22" w:rsidP="005F1896">
            <w:pPr>
              <w:spacing w:line="240" w:lineRule="exact"/>
              <w:contextualSpacing/>
              <w:jc w:val="center"/>
              <w:rPr>
                <w:b/>
                <w:color w:val="auto"/>
                <w:sz w:val="20"/>
                <w:szCs w:val="20"/>
              </w:rPr>
            </w:pPr>
            <w:r w:rsidRPr="006232E7">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4E22" w:rsidRPr="006232E7" w:rsidRDefault="002B4E22" w:rsidP="005F1896">
            <w:pPr>
              <w:spacing w:line="240" w:lineRule="exact"/>
              <w:contextualSpacing/>
              <w:jc w:val="center"/>
              <w:rPr>
                <w:b/>
                <w:color w:val="auto"/>
                <w:sz w:val="20"/>
                <w:szCs w:val="20"/>
              </w:rPr>
            </w:pPr>
            <w:r w:rsidRPr="006232E7">
              <w:rPr>
                <w:b/>
                <w:color w:val="auto"/>
                <w:sz w:val="20"/>
                <w:szCs w:val="20"/>
              </w:rPr>
              <w:t>Rating</w:t>
            </w:r>
          </w:p>
        </w:tc>
        <w:tc>
          <w:tcPr>
            <w:tcW w:w="2721" w:type="dxa"/>
            <w:tcBorders>
              <w:left w:val="thinThickThinSmallGap" w:sz="24" w:space="0" w:color="auto"/>
              <w:bottom w:val="single" w:sz="4" w:space="0" w:color="000000" w:themeColor="text1"/>
            </w:tcBorders>
            <w:shd w:val="clear" w:color="auto" w:fill="D9D9D9" w:themeFill="background1" w:themeFillShade="D9"/>
          </w:tcPr>
          <w:p w:rsidR="002B4E22" w:rsidRPr="006232E7" w:rsidRDefault="002B4E22" w:rsidP="005F1896">
            <w:pPr>
              <w:spacing w:line="240" w:lineRule="exact"/>
              <w:contextualSpacing/>
              <w:jc w:val="both"/>
              <w:rPr>
                <w:b/>
                <w:color w:val="auto"/>
                <w:sz w:val="20"/>
                <w:szCs w:val="20"/>
              </w:rPr>
            </w:pPr>
            <w:r w:rsidRPr="006232E7">
              <w:rPr>
                <w:b/>
                <w:color w:val="auto"/>
                <w:sz w:val="20"/>
                <w:szCs w:val="20"/>
              </w:rPr>
              <w:t>Condition</w:t>
            </w:r>
          </w:p>
        </w:tc>
        <w:tc>
          <w:tcPr>
            <w:tcW w:w="1174" w:type="dxa"/>
            <w:tcBorders>
              <w:bottom w:val="single" w:sz="4" w:space="0" w:color="000000" w:themeColor="text1"/>
            </w:tcBorders>
            <w:shd w:val="clear" w:color="auto" w:fill="D9D9D9" w:themeFill="background1" w:themeFillShade="D9"/>
          </w:tcPr>
          <w:p w:rsidR="002B4E22" w:rsidRPr="006232E7" w:rsidRDefault="002B4E22" w:rsidP="005F1896">
            <w:pPr>
              <w:spacing w:line="240" w:lineRule="exact"/>
              <w:contextualSpacing/>
              <w:jc w:val="center"/>
              <w:rPr>
                <w:b/>
                <w:color w:val="auto"/>
                <w:sz w:val="20"/>
                <w:szCs w:val="20"/>
              </w:rPr>
            </w:pPr>
            <w:r w:rsidRPr="006232E7">
              <w:rPr>
                <w:b/>
                <w:color w:val="auto"/>
                <w:sz w:val="20"/>
                <w:szCs w:val="20"/>
              </w:rPr>
              <w:t>Code</w:t>
            </w:r>
          </w:p>
        </w:tc>
        <w:tc>
          <w:tcPr>
            <w:tcW w:w="810" w:type="dxa"/>
            <w:tcBorders>
              <w:bottom w:val="single" w:sz="4" w:space="0" w:color="000000" w:themeColor="text1"/>
            </w:tcBorders>
            <w:shd w:val="clear" w:color="auto" w:fill="D9D9D9" w:themeFill="background1" w:themeFillShade="D9"/>
          </w:tcPr>
          <w:p w:rsidR="002B4E22" w:rsidRPr="006232E7" w:rsidRDefault="002B4E22" w:rsidP="005F1896">
            <w:pPr>
              <w:spacing w:line="240" w:lineRule="exact"/>
              <w:contextualSpacing/>
              <w:jc w:val="center"/>
              <w:rPr>
                <w:b/>
                <w:color w:val="auto"/>
                <w:sz w:val="20"/>
                <w:szCs w:val="20"/>
              </w:rPr>
            </w:pPr>
            <w:r w:rsidRPr="006232E7">
              <w:rPr>
                <w:b/>
                <w:color w:val="auto"/>
                <w:sz w:val="20"/>
                <w:szCs w:val="20"/>
              </w:rPr>
              <w:t>Rating</w:t>
            </w:r>
          </w:p>
        </w:tc>
        <w:tc>
          <w:tcPr>
            <w:tcW w:w="1080" w:type="dxa"/>
            <w:tcBorders>
              <w:bottom w:val="single" w:sz="4" w:space="0" w:color="000000" w:themeColor="text1"/>
            </w:tcBorders>
            <w:shd w:val="clear" w:color="auto" w:fill="D9D9D9" w:themeFill="background1" w:themeFillShade="D9"/>
          </w:tcPr>
          <w:p w:rsidR="002B4E22" w:rsidRPr="006232E7" w:rsidRDefault="002B4E22" w:rsidP="005F1896">
            <w:pPr>
              <w:spacing w:line="240" w:lineRule="exact"/>
              <w:contextualSpacing/>
              <w:jc w:val="center"/>
              <w:rPr>
                <w:b/>
                <w:color w:val="auto"/>
                <w:sz w:val="20"/>
                <w:szCs w:val="20"/>
              </w:rPr>
            </w:pPr>
            <w:r w:rsidRPr="006232E7">
              <w:rPr>
                <w:b/>
                <w:color w:val="auto"/>
                <w:sz w:val="20"/>
                <w:szCs w:val="20"/>
              </w:rPr>
              <w:t>Exam</w:t>
            </w:r>
          </w:p>
        </w:tc>
      </w:tr>
      <w:tr w:rsidR="005F1896" w:rsidRPr="006232E7" w:rsidTr="00D1634F">
        <w:trPr>
          <w:trHeight w:val="287"/>
        </w:trPr>
        <w:tc>
          <w:tcPr>
            <w:tcW w:w="2085" w:type="dxa"/>
            <w:tcBorders>
              <w:right w:val="single" w:sz="4" w:space="0" w:color="auto"/>
            </w:tcBorders>
            <w:shd w:val="clear" w:color="auto" w:fill="FFFFFF" w:themeFill="background1"/>
            <w:vAlign w:val="center"/>
          </w:tcPr>
          <w:p w:rsidR="005F1896" w:rsidRPr="006232E7" w:rsidRDefault="005F1896" w:rsidP="005F1896">
            <w:pPr>
              <w:spacing w:line="240" w:lineRule="exact"/>
              <w:contextualSpacing/>
              <w:rPr>
                <w:color w:val="auto"/>
                <w:sz w:val="20"/>
                <w:szCs w:val="20"/>
              </w:rPr>
            </w:pPr>
            <w:r w:rsidRPr="006232E7">
              <w:rPr>
                <w:color w:val="auto"/>
                <w:sz w:val="20"/>
                <w:szCs w:val="20"/>
              </w:rPr>
              <w:t>Bilateral Ankle DJD</w:t>
            </w:r>
          </w:p>
        </w:tc>
        <w:tc>
          <w:tcPr>
            <w:tcW w:w="1148" w:type="dxa"/>
            <w:tcBorders>
              <w:left w:val="single" w:sz="4" w:space="0" w:color="auto"/>
            </w:tcBorders>
            <w:shd w:val="clear" w:color="auto" w:fill="FFFFFF" w:themeFill="background1"/>
            <w:vAlign w:val="center"/>
          </w:tcPr>
          <w:p w:rsidR="005F1896" w:rsidRPr="006232E7" w:rsidRDefault="005F1896" w:rsidP="005F1896">
            <w:pPr>
              <w:spacing w:line="240" w:lineRule="exact"/>
              <w:contextualSpacing/>
              <w:jc w:val="center"/>
              <w:rPr>
                <w:color w:val="auto"/>
                <w:sz w:val="20"/>
                <w:szCs w:val="20"/>
              </w:rPr>
            </w:pPr>
            <w:r w:rsidRPr="006232E7">
              <w:rPr>
                <w:color w:val="auto"/>
                <w:sz w:val="20"/>
                <w:szCs w:val="20"/>
              </w:rPr>
              <w:t>5299-5003</w:t>
            </w:r>
          </w:p>
        </w:tc>
        <w:tc>
          <w:tcPr>
            <w:tcW w:w="810" w:type="dxa"/>
            <w:tcBorders>
              <w:right w:val="thinThickThinSmallGap" w:sz="24" w:space="0" w:color="auto"/>
            </w:tcBorders>
            <w:shd w:val="clear" w:color="auto" w:fill="FFFFFF" w:themeFill="background1"/>
            <w:vAlign w:val="center"/>
          </w:tcPr>
          <w:p w:rsidR="005F1896" w:rsidRPr="006232E7" w:rsidRDefault="005F1896" w:rsidP="005F1896">
            <w:pPr>
              <w:spacing w:line="240" w:lineRule="exact"/>
              <w:contextualSpacing/>
              <w:jc w:val="center"/>
              <w:rPr>
                <w:color w:val="auto"/>
                <w:sz w:val="20"/>
                <w:szCs w:val="20"/>
              </w:rPr>
            </w:pPr>
            <w:r w:rsidRPr="006232E7">
              <w:rPr>
                <w:color w:val="auto"/>
                <w:sz w:val="20"/>
                <w:szCs w:val="20"/>
              </w:rPr>
              <w:t>10%</w:t>
            </w:r>
          </w:p>
        </w:tc>
        <w:tc>
          <w:tcPr>
            <w:tcW w:w="2721" w:type="dxa"/>
            <w:vMerge w:val="restart"/>
            <w:tcBorders>
              <w:left w:val="thinThickThinSmallGap" w:sz="24" w:space="0" w:color="auto"/>
            </w:tcBorders>
            <w:shd w:val="clear" w:color="auto" w:fill="FFFFFF" w:themeFill="background1"/>
            <w:vAlign w:val="center"/>
          </w:tcPr>
          <w:p w:rsidR="005F1896" w:rsidRPr="006232E7" w:rsidRDefault="005F1896" w:rsidP="006232E7">
            <w:pPr>
              <w:spacing w:line="240" w:lineRule="exact"/>
              <w:contextualSpacing/>
              <w:rPr>
                <w:color w:val="auto"/>
                <w:sz w:val="20"/>
                <w:szCs w:val="20"/>
              </w:rPr>
            </w:pPr>
            <w:r w:rsidRPr="006232E7">
              <w:rPr>
                <w:color w:val="auto"/>
                <w:sz w:val="20"/>
                <w:szCs w:val="20"/>
              </w:rPr>
              <w:t>Bilateral Ankle DJD,  S/P Left Ankle Arthroscopic Debridement</w:t>
            </w:r>
            <w:r w:rsidR="00D1634F" w:rsidRPr="006232E7">
              <w:rPr>
                <w:color w:val="auto"/>
                <w:sz w:val="20"/>
                <w:szCs w:val="20"/>
              </w:rPr>
              <w:t>*</w:t>
            </w:r>
          </w:p>
        </w:tc>
        <w:tc>
          <w:tcPr>
            <w:tcW w:w="1174" w:type="dxa"/>
            <w:vMerge w:val="restart"/>
            <w:shd w:val="clear" w:color="auto" w:fill="FFFFFF" w:themeFill="background1"/>
            <w:vAlign w:val="center"/>
          </w:tcPr>
          <w:p w:rsidR="005F1896" w:rsidRPr="006232E7" w:rsidRDefault="005F1896" w:rsidP="005F1896">
            <w:pPr>
              <w:spacing w:line="240" w:lineRule="exact"/>
              <w:contextualSpacing/>
              <w:jc w:val="center"/>
              <w:rPr>
                <w:color w:val="auto"/>
                <w:sz w:val="20"/>
                <w:szCs w:val="20"/>
              </w:rPr>
            </w:pPr>
            <w:r w:rsidRPr="006232E7">
              <w:rPr>
                <w:color w:val="auto"/>
                <w:sz w:val="20"/>
                <w:szCs w:val="20"/>
              </w:rPr>
              <w:t>5010</w:t>
            </w:r>
            <w:r w:rsidR="00D1634F" w:rsidRPr="006232E7">
              <w:rPr>
                <w:color w:val="auto"/>
                <w:sz w:val="20"/>
                <w:szCs w:val="20"/>
              </w:rPr>
              <w:t>-5271</w:t>
            </w:r>
          </w:p>
        </w:tc>
        <w:tc>
          <w:tcPr>
            <w:tcW w:w="810" w:type="dxa"/>
            <w:vMerge w:val="restart"/>
            <w:shd w:val="clear" w:color="auto" w:fill="FFFFFF" w:themeFill="background1"/>
            <w:vAlign w:val="center"/>
          </w:tcPr>
          <w:p w:rsidR="005F1896" w:rsidRPr="006232E7" w:rsidRDefault="00D1634F" w:rsidP="00D1634F">
            <w:pPr>
              <w:spacing w:line="240" w:lineRule="exact"/>
              <w:contextualSpacing/>
              <w:jc w:val="center"/>
              <w:rPr>
                <w:color w:val="auto"/>
                <w:sz w:val="20"/>
                <w:szCs w:val="20"/>
              </w:rPr>
            </w:pPr>
            <w:r w:rsidRPr="006232E7">
              <w:rPr>
                <w:color w:val="auto"/>
                <w:sz w:val="20"/>
                <w:szCs w:val="20"/>
              </w:rPr>
              <w:t>2</w:t>
            </w:r>
            <w:r w:rsidR="005F1896" w:rsidRPr="006232E7">
              <w:rPr>
                <w:color w:val="auto"/>
                <w:sz w:val="20"/>
                <w:szCs w:val="20"/>
              </w:rPr>
              <w:t>0%</w:t>
            </w:r>
          </w:p>
        </w:tc>
        <w:tc>
          <w:tcPr>
            <w:tcW w:w="1080" w:type="dxa"/>
            <w:vMerge w:val="restart"/>
            <w:shd w:val="clear" w:color="auto" w:fill="FFFFFF" w:themeFill="background1"/>
            <w:vAlign w:val="center"/>
          </w:tcPr>
          <w:p w:rsidR="005F1896" w:rsidRPr="006232E7" w:rsidRDefault="00D1634F" w:rsidP="005F1896">
            <w:pPr>
              <w:spacing w:line="240" w:lineRule="exact"/>
              <w:contextualSpacing/>
              <w:jc w:val="center"/>
              <w:rPr>
                <w:color w:val="auto"/>
                <w:sz w:val="20"/>
                <w:szCs w:val="20"/>
              </w:rPr>
            </w:pPr>
            <w:r w:rsidRPr="006232E7">
              <w:rPr>
                <w:color w:val="auto"/>
                <w:sz w:val="20"/>
                <w:szCs w:val="20"/>
              </w:rPr>
              <w:t>20030322</w:t>
            </w:r>
          </w:p>
        </w:tc>
      </w:tr>
      <w:tr w:rsidR="005F1896" w:rsidRPr="006232E7" w:rsidTr="00D1634F">
        <w:trPr>
          <w:trHeight w:val="287"/>
        </w:trPr>
        <w:tc>
          <w:tcPr>
            <w:tcW w:w="2085" w:type="dxa"/>
            <w:tcBorders>
              <w:right w:val="single" w:sz="4" w:space="0" w:color="auto"/>
            </w:tcBorders>
            <w:shd w:val="clear" w:color="auto" w:fill="FFFFFF" w:themeFill="background1"/>
            <w:vAlign w:val="center"/>
          </w:tcPr>
          <w:p w:rsidR="005F1896" w:rsidRPr="006232E7" w:rsidRDefault="005F1896" w:rsidP="005F1896">
            <w:pPr>
              <w:spacing w:line="240" w:lineRule="exact"/>
              <w:contextualSpacing/>
              <w:rPr>
                <w:color w:val="auto"/>
                <w:sz w:val="20"/>
                <w:szCs w:val="20"/>
              </w:rPr>
            </w:pPr>
            <w:r w:rsidRPr="006232E7">
              <w:rPr>
                <w:color w:val="auto"/>
                <w:sz w:val="20"/>
                <w:szCs w:val="20"/>
              </w:rPr>
              <w:t>Ankle Impingement and Loose Bodies</w:t>
            </w:r>
          </w:p>
        </w:tc>
        <w:tc>
          <w:tcPr>
            <w:tcW w:w="1958" w:type="dxa"/>
            <w:gridSpan w:val="2"/>
            <w:tcBorders>
              <w:left w:val="single" w:sz="4" w:space="0" w:color="auto"/>
              <w:right w:val="thinThickThinSmallGap" w:sz="24" w:space="0" w:color="auto"/>
            </w:tcBorders>
            <w:shd w:val="clear" w:color="auto" w:fill="FFFFFF" w:themeFill="background1"/>
            <w:vAlign w:val="center"/>
          </w:tcPr>
          <w:p w:rsidR="005F1896" w:rsidRPr="006232E7" w:rsidRDefault="005F1896" w:rsidP="005F1896">
            <w:pPr>
              <w:spacing w:line="240" w:lineRule="exact"/>
              <w:contextualSpacing/>
              <w:jc w:val="center"/>
              <w:rPr>
                <w:color w:val="auto"/>
                <w:sz w:val="20"/>
                <w:szCs w:val="20"/>
              </w:rPr>
            </w:pPr>
            <w:r w:rsidRPr="006232E7">
              <w:rPr>
                <w:color w:val="auto"/>
                <w:sz w:val="20"/>
                <w:szCs w:val="20"/>
              </w:rPr>
              <w:t>CATII</w:t>
            </w:r>
          </w:p>
        </w:tc>
        <w:tc>
          <w:tcPr>
            <w:tcW w:w="2721" w:type="dxa"/>
            <w:vMerge/>
            <w:tcBorders>
              <w:left w:val="thinThickThinSmallGap" w:sz="24" w:space="0" w:color="auto"/>
            </w:tcBorders>
            <w:shd w:val="clear" w:color="auto" w:fill="FFFFFF" w:themeFill="background1"/>
            <w:vAlign w:val="center"/>
          </w:tcPr>
          <w:p w:rsidR="005F1896" w:rsidRPr="006232E7" w:rsidRDefault="005F1896" w:rsidP="001D6261">
            <w:pPr>
              <w:spacing w:line="240" w:lineRule="exact"/>
              <w:contextualSpacing/>
              <w:jc w:val="center"/>
              <w:rPr>
                <w:color w:val="auto"/>
                <w:sz w:val="20"/>
                <w:szCs w:val="20"/>
              </w:rPr>
            </w:pPr>
          </w:p>
        </w:tc>
        <w:tc>
          <w:tcPr>
            <w:tcW w:w="1174" w:type="dxa"/>
            <w:vMerge/>
            <w:shd w:val="clear" w:color="auto" w:fill="FFFFFF" w:themeFill="background1"/>
            <w:vAlign w:val="center"/>
          </w:tcPr>
          <w:p w:rsidR="005F1896" w:rsidRPr="006232E7" w:rsidRDefault="005F1896" w:rsidP="005F1896">
            <w:pPr>
              <w:spacing w:line="240" w:lineRule="exact"/>
              <w:contextualSpacing/>
              <w:jc w:val="center"/>
              <w:rPr>
                <w:color w:val="auto"/>
                <w:sz w:val="20"/>
                <w:szCs w:val="20"/>
              </w:rPr>
            </w:pPr>
          </w:p>
        </w:tc>
        <w:tc>
          <w:tcPr>
            <w:tcW w:w="810" w:type="dxa"/>
            <w:vMerge/>
            <w:shd w:val="clear" w:color="auto" w:fill="FFFFFF" w:themeFill="background1"/>
          </w:tcPr>
          <w:p w:rsidR="005F1896" w:rsidRPr="006232E7" w:rsidRDefault="005F1896" w:rsidP="005F1896">
            <w:pPr>
              <w:spacing w:line="240" w:lineRule="exact"/>
              <w:contextualSpacing/>
              <w:jc w:val="center"/>
              <w:rPr>
                <w:color w:val="auto"/>
                <w:sz w:val="20"/>
                <w:szCs w:val="20"/>
              </w:rPr>
            </w:pPr>
          </w:p>
        </w:tc>
        <w:tc>
          <w:tcPr>
            <w:tcW w:w="1080" w:type="dxa"/>
            <w:vMerge/>
            <w:shd w:val="clear" w:color="auto" w:fill="FFFFFF" w:themeFill="background1"/>
            <w:vAlign w:val="center"/>
          </w:tcPr>
          <w:p w:rsidR="005F1896" w:rsidRPr="006232E7" w:rsidRDefault="005F1896" w:rsidP="001D6261">
            <w:pPr>
              <w:spacing w:line="240" w:lineRule="exact"/>
              <w:contextualSpacing/>
              <w:jc w:val="center"/>
              <w:rPr>
                <w:color w:val="auto"/>
                <w:sz w:val="20"/>
                <w:szCs w:val="20"/>
              </w:rPr>
            </w:pPr>
          </w:p>
        </w:tc>
      </w:tr>
      <w:tr w:rsidR="005F1896" w:rsidRPr="006232E7" w:rsidTr="00D1634F">
        <w:trPr>
          <w:trHeight w:val="287"/>
        </w:trPr>
        <w:tc>
          <w:tcPr>
            <w:tcW w:w="2085" w:type="dxa"/>
            <w:tcBorders>
              <w:right w:val="single" w:sz="4" w:space="0" w:color="auto"/>
            </w:tcBorders>
            <w:shd w:val="clear" w:color="auto" w:fill="FFFFFF" w:themeFill="background1"/>
            <w:vAlign w:val="center"/>
          </w:tcPr>
          <w:p w:rsidR="005F1896" w:rsidRPr="006232E7" w:rsidRDefault="005F1896" w:rsidP="00AE59B9">
            <w:pPr>
              <w:spacing w:line="240" w:lineRule="exact"/>
              <w:contextualSpacing/>
              <w:rPr>
                <w:color w:val="auto"/>
                <w:sz w:val="20"/>
                <w:szCs w:val="20"/>
              </w:rPr>
            </w:pPr>
            <w:r w:rsidRPr="006232E7">
              <w:rPr>
                <w:color w:val="auto"/>
                <w:sz w:val="20"/>
                <w:szCs w:val="20"/>
              </w:rPr>
              <w:t xml:space="preserve">S/P Arthroscopic Debridement L Ankle for </w:t>
            </w:r>
            <w:proofErr w:type="spellStart"/>
            <w:r w:rsidRPr="006232E7">
              <w:rPr>
                <w:color w:val="auto"/>
                <w:sz w:val="20"/>
                <w:szCs w:val="20"/>
              </w:rPr>
              <w:t>Tibiotalar</w:t>
            </w:r>
            <w:proofErr w:type="spellEnd"/>
            <w:r w:rsidRPr="006232E7">
              <w:rPr>
                <w:color w:val="auto"/>
                <w:sz w:val="20"/>
                <w:szCs w:val="20"/>
              </w:rPr>
              <w:t xml:space="preserve"> Spurring</w:t>
            </w:r>
          </w:p>
        </w:tc>
        <w:tc>
          <w:tcPr>
            <w:tcW w:w="1958" w:type="dxa"/>
            <w:gridSpan w:val="2"/>
            <w:tcBorders>
              <w:left w:val="single" w:sz="4" w:space="0" w:color="auto"/>
              <w:right w:val="thinThickThinSmallGap" w:sz="24" w:space="0" w:color="auto"/>
            </w:tcBorders>
            <w:shd w:val="clear" w:color="auto" w:fill="FFFFFF" w:themeFill="background1"/>
            <w:vAlign w:val="center"/>
          </w:tcPr>
          <w:p w:rsidR="005F1896" w:rsidRPr="006232E7" w:rsidRDefault="005F1896" w:rsidP="005F1896">
            <w:pPr>
              <w:spacing w:line="240" w:lineRule="exact"/>
              <w:contextualSpacing/>
              <w:jc w:val="center"/>
              <w:rPr>
                <w:color w:val="auto"/>
                <w:sz w:val="20"/>
                <w:szCs w:val="20"/>
              </w:rPr>
            </w:pPr>
            <w:r w:rsidRPr="006232E7">
              <w:rPr>
                <w:color w:val="auto"/>
                <w:sz w:val="20"/>
                <w:szCs w:val="20"/>
              </w:rPr>
              <w:t>CATIII</w:t>
            </w:r>
          </w:p>
        </w:tc>
        <w:tc>
          <w:tcPr>
            <w:tcW w:w="2721" w:type="dxa"/>
            <w:vMerge/>
            <w:tcBorders>
              <w:left w:val="thinThickThinSmallGap" w:sz="24" w:space="0" w:color="auto"/>
            </w:tcBorders>
            <w:shd w:val="clear" w:color="auto" w:fill="FFFFFF" w:themeFill="background1"/>
            <w:vAlign w:val="center"/>
          </w:tcPr>
          <w:p w:rsidR="005F1896" w:rsidRPr="006232E7" w:rsidRDefault="005F1896" w:rsidP="005F1896">
            <w:pPr>
              <w:spacing w:line="240" w:lineRule="exact"/>
              <w:contextualSpacing/>
              <w:jc w:val="center"/>
              <w:rPr>
                <w:color w:val="auto"/>
                <w:sz w:val="20"/>
                <w:szCs w:val="20"/>
              </w:rPr>
            </w:pPr>
          </w:p>
        </w:tc>
        <w:tc>
          <w:tcPr>
            <w:tcW w:w="1174" w:type="dxa"/>
            <w:vMerge/>
            <w:shd w:val="clear" w:color="auto" w:fill="FFFFFF" w:themeFill="background1"/>
            <w:vAlign w:val="center"/>
          </w:tcPr>
          <w:p w:rsidR="005F1896" w:rsidRPr="006232E7" w:rsidRDefault="005F1896" w:rsidP="005F1896">
            <w:pPr>
              <w:spacing w:line="240" w:lineRule="exact"/>
              <w:contextualSpacing/>
              <w:jc w:val="center"/>
              <w:rPr>
                <w:color w:val="auto"/>
                <w:sz w:val="20"/>
              </w:rPr>
            </w:pPr>
          </w:p>
        </w:tc>
        <w:tc>
          <w:tcPr>
            <w:tcW w:w="810" w:type="dxa"/>
            <w:vMerge/>
            <w:shd w:val="clear" w:color="auto" w:fill="FFFFFF" w:themeFill="background1"/>
            <w:vAlign w:val="center"/>
          </w:tcPr>
          <w:p w:rsidR="005F1896" w:rsidRPr="006232E7" w:rsidRDefault="005F1896" w:rsidP="005F1896">
            <w:pPr>
              <w:spacing w:line="240" w:lineRule="exact"/>
              <w:contextualSpacing/>
              <w:jc w:val="center"/>
              <w:rPr>
                <w:color w:val="auto"/>
                <w:sz w:val="20"/>
              </w:rPr>
            </w:pPr>
          </w:p>
        </w:tc>
        <w:tc>
          <w:tcPr>
            <w:tcW w:w="1080" w:type="dxa"/>
            <w:vMerge/>
            <w:shd w:val="clear" w:color="auto" w:fill="FFFFFF" w:themeFill="background1"/>
            <w:vAlign w:val="center"/>
          </w:tcPr>
          <w:p w:rsidR="005F1896" w:rsidRPr="006232E7" w:rsidRDefault="005F1896" w:rsidP="005F1896">
            <w:pPr>
              <w:spacing w:line="240" w:lineRule="exact"/>
              <w:contextualSpacing/>
              <w:jc w:val="center"/>
              <w:rPr>
                <w:color w:val="auto"/>
                <w:sz w:val="20"/>
                <w:szCs w:val="20"/>
              </w:rPr>
            </w:pPr>
          </w:p>
        </w:tc>
      </w:tr>
      <w:tr w:rsidR="002B4E22" w:rsidRPr="006232E7" w:rsidTr="00D1634F">
        <w:trPr>
          <w:trHeight w:val="260"/>
        </w:trPr>
        <w:tc>
          <w:tcPr>
            <w:tcW w:w="4043" w:type="dxa"/>
            <w:gridSpan w:val="3"/>
            <w:tcBorders>
              <w:right w:val="thinThickThinSmallGap" w:sz="24" w:space="0" w:color="auto"/>
            </w:tcBorders>
            <w:shd w:val="clear" w:color="auto" w:fill="FFFFFF" w:themeFill="background1"/>
          </w:tcPr>
          <w:p w:rsidR="002B4E22" w:rsidRPr="006232E7" w:rsidRDefault="0063253C" w:rsidP="005F1896">
            <w:pPr>
              <w:spacing w:line="240" w:lineRule="exact"/>
              <w:contextualSpacing/>
              <w:jc w:val="center"/>
              <w:rPr>
                <w:color w:val="auto"/>
                <w:sz w:val="20"/>
                <w:szCs w:val="20"/>
              </w:rPr>
            </w:pPr>
            <w:r w:rsidRPr="006232E7">
              <w:rPr>
                <w:color w:val="auto"/>
                <w:sz w:val="20"/>
                <w:szCs w:val="20"/>
              </w:rPr>
              <w:t xml:space="preserve">↓No Additional MEB </w:t>
            </w:r>
            <w:r w:rsidR="006D5E2A" w:rsidRPr="006232E7">
              <w:rPr>
                <w:color w:val="auto"/>
                <w:sz w:val="20"/>
                <w:szCs w:val="20"/>
              </w:rPr>
              <w:t xml:space="preserve">/ PEB </w:t>
            </w:r>
            <w:r w:rsidRPr="006232E7">
              <w:rPr>
                <w:color w:val="auto"/>
                <w:sz w:val="20"/>
                <w:szCs w:val="20"/>
              </w:rPr>
              <w:t>Entries↓</w:t>
            </w:r>
          </w:p>
        </w:tc>
        <w:tc>
          <w:tcPr>
            <w:tcW w:w="4705" w:type="dxa"/>
            <w:gridSpan w:val="3"/>
            <w:tcBorders>
              <w:left w:val="thinThickThinSmallGap" w:sz="24" w:space="0" w:color="auto"/>
            </w:tcBorders>
            <w:shd w:val="clear" w:color="auto" w:fill="FFFFFF" w:themeFill="background1"/>
            <w:vAlign w:val="center"/>
          </w:tcPr>
          <w:p w:rsidR="002B4E22" w:rsidRPr="006232E7" w:rsidRDefault="0063253C" w:rsidP="006232E7">
            <w:pPr>
              <w:spacing w:line="240" w:lineRule="exact"/>
              <w:contextualSpacing/>
              <w:jc w:val="center"/>
              <w:rPr>
                <w:color w:val="auto"/>
                <w:sz w:val="20"/>
                <w:szCs w:val="20"/>
              </w:rPr>
            </w:pPr>
            <w:r w:rsidRPr="006232E7">
              <w:rPr>
                <w:rFonts w:cs="Times New Roman"/>
                <w:color w:val="auto"/>
                <w:sz w:val="20"/>
                <w:szCs w:val="20"/>
              </w:rPr>
              <w:t xml:space="preserve">0% </w:t>
            </w:r>
            <w:r w:rsidR="006232E7">
              <w:rPr>
                <w:rFonts w:cs="Times New Roman"/>
                <w:color w:val="auto"/>
                <w:sz w:val="20"/>
                <w:szCs w:val="20"/>
              </w:rPr>
              <w:t>x</w:t>
            </w:r>
            <w:r w:rsidRPr="006232E7">
              <w:rPr>
                <w:rFonts w:cs="Times New Roman"/>
                <w:color w:val="auto"/>
                <w:sz w:val="20"/>
                <w:szCs w:val="20"/>
              </w:rPr>
              <w:t xml:space="preserve"> 0</w:t>
            </w:r>
            <w:r w:rsidR="00B76796" w:rsidRPr="006232E7">
              <w:rPr>
                <w:rFonts w:cs="Times New Roman"/>
                <w:color w:val="auto"/>
                <w:sz w:val="20"/>
                <w:szCs w:val="20"/>
              </w:rPr>
              <w:t xml:space="preserve"> / Not Service Connected </w:t>
            </w:r>
            <w:r w:rsidR="006232E7">
              <w:rPr>
                <w:rFonts w:cs="Times New Roman"/>
                <w:color w:val="auto"/>
                <w:sz w:val="20"/>
                <w:szCs w:val="20"/>
              </w:rPr>
              <w:t>x</w:t>
            </w:r>
            <w:r w:rsidR="00B76796" w:rsidRPr="006232E7">
              <w:rPr>
                <w:rFonts w:cs="Times New Roman"/>
                <w:color w:val="auto"/>
                <w:sz w:val="20"/>
                <w:szCs w:val="20"/>
              </w:rPr>
              <w:t xml:space="preserve"> </w:t>
            </w:r>
            <w:r w:rsidRPr="006232E7">
              <w:rPr>
                <w:rFonts w:cs="Times New Roman"/>
                <w:color w:val="auto"/>
                <w:sz w:val="20"/>
                <w:szCs w:val="20"/>
              </w:rPr>
              <w:t>3</w:t>
            </w:r>
          </w:p>
        </w:tc>
        <w:tc>
          <w:tcPr>
            <w:tcW w:w="1080" w:type="dxa"/>
            <w:shd w:val="clear" w:color="auto" w:fill="FFFFFF" w:themeFill="background1"/>
            <w:vAlign w:val="center"/>
          </w:tcPr>
          <w:p w:rsidR="00BE3142" w:rsidRPr="006232E7" w:rsidRDefault="00D1634F" w:rsidP="0063253C">
            <w:pPr>
              <w:spacing w:line="240" w:lineRule="exact"/>
              <w:contextualSpacing/>
              <w:jc w:val="center"/>
              <w:rPr>
                <w:color w:val="auto"/>
                <w:sz w:val="20"/>
                <w:szCs w:val="20"/>
              </w:rPr>
            </w:pPr>
            <w:r w:rsidRPr="006232E7">
              <w:rPr>
                <w:color w:val="auto"/>
                <w:sz w:val="20"/>
                <w:szCs w:val="20"/>
              </w:rPr>
              <w:t>20030322</w:t>
            </w:r>
          </w:p>
        </w:tc>
      </w:tr>
      <w:tr w:rsidR="002B4E22" w:rsidRPr="006232E7" w:rsidTr="005F1896">
        <w:trPr>
          <w:trHeight w:val="242"/>
        </w:trPr>
        <w:tc>
          <w:tcPr>
            <w:tcW w:w="4043" w:type="dxa"/>
            <w:gridSpan w:val="3"/>
            <w:tcBorders>
              <w:right w:val="thinThickThinSmallGap" w:sz="24" w:space="0" w:color="auto"/>
            </w:tcBorders>
            <w:shd w:val="clear" w:color="auto" w:fill="D9D9D9" w:themeFill="background1" w:themeFillShade="D9"/>
            <w:vAlign w:val="center"/>
          </w:tcPr>
          <w:p w:rsidR="002B4E22" w:rsidRPr="006232E7" w:rsidRDefault="002B4E22" w:rsidP="005F1896">
            <w:pPr>
              <w:spacing w:line="240" w:lineRule="exact"/>
              <w:contextualSpacing/>
              <w:jc w:val="center"/>
              <w:rPr>
                <w:b/>
                <w:color w:val="auto"/>
                <w:sz w:val="20"/>
                <w:szCs w:val="20"/>
              </w:rPr>
            </w:pPr>
            <w:r w:rsidRPr="006232E7">
              <w:rPr>
                <w:b/>
                <w:color w:val="auto"/>
                <w:sz w:val="20"/>
                <w:szCs w:val="20"/>
              </w:rPr>
              <w:t xml:space="preserve">Combined:  </w:t>
            </w:r>
            <w:r w:rsidR="0042139E" w:rsidRPr="006232E7">
              <w:rPr>
                <w:b/>
                <w:color w:val="auto"/>
                <w:sz w:val="20"/>
                <w:szCs w:val="20"/>
              </w:rPr>
              <w:t>1</w:t>
            </w:r>
            <w:r w:rsidRPr="006232E7">
              <w:rPr>
                <w:b/>
                <w:color w:val="auto"/>
                <w:sz w:val="20"/>
                <w:szCs w:val="20"/>
              </w:rPr>
              <w:t>0%</w:t>
            </w:r>
          </w:p>
        </w:tc>
        <w:tc>
          <w:tcPr>
            <w:tcW w:w="5785" w:type="dxa"/>
            <w:gridSpan w:val="4"/>
            <w:tcBorders>
              <w:left w:val="thinThickThinSmallGap" w:sz="24" w:space="0" w:color="auto"/>
            </w:tcBorders>
            <w:shd w:val="clear" w:color="auto" w:fill="D9D9D9" w:themeFill="background1" w:themeFillShade="D9"/>
            <w:vAlign w:val="center"/>
          </w:tcPr>
          <w:p w:rsidR="002B4E22" w:rsidRPr="006232E7" w:rsidRDefault="007A2346" w:rsidP="00D1634F">
            <w:pPr>
              <w:spacing w:line="240" w:lineRule="exact"/>
              <w:contextualSpacing/>
              <w:jc w:val="center"/>
              <w:rPr>
                <w:b/>
                <w:color w:val="auto"/>
                <w:sz w:val="20"/>
                <w:szCs w:val="20"/>
              </w:rPr>
            </w:pPr>
            <w:r w:rsidRPr="006232E7">
              <w:rPr>
                <w:b/>
                <w:color w:val="auto"/>
                <w:sz w:val="20"/>
                <w:szCs w:val="20"/>
              </w:rPr>
              <w:t xml:space="preserve">Combined: </w:t>
            </w:r>
            <w:r w:rsidR="00E57FED" w:rsidRPr="006232E7">
              <w:rPr>
                <w:b/>
                <w:color w:val="auto"/>
                <w:sz w:val="20"/>
                <w:szCs w:val="20"/>
              </w:rPr>
              <w:t xml:space="preserve"> </w:t>
            </w:r>
            <w:r w:rsidR="00D1634F" w:rsidRPr="006232E7">
              <w:rPr>
                <w:b/>
                <w:color w:val="auto"/>
                <w:sz w:val="20"/>
                <w:szCs w:val="20"/>
              </w:rPr>
              <w:t>2</w:t>
            </w:r>
            <w:r w:rsidRPr="006232E7">
              <w:rPr>
                <w:b/>
                <w:color w:val="auto"/>
                <w:sz w:val="20"/>
                <w:szCs w:val="20"/>
              </w:rPr>
              <w:t>0%</w:t>
            </w:r>
          </w:p>
        </w:tc>
      </w:tr>
    </w:tbl>
    <w:p w:rsidR="00B0773A" w:rsidRPr="0096346B" w:rsidRDefault="0096346B" w:rsidP="0096346B">
      <w:pPr>
        <w:pBdr>
          <w:bottom w:val="single" w:sz="12" w:space="1" w:color="auto"/>
        </w:pBdr>
        <w:tabs>
          <w:tab w:val="left" w:pos="288"/>
          <w:tab w:val="left" w:pos="4752"/>
        </w:tabs>
        <w:spacing w:line="240" w:lineRule="exact"/>
        <w:jc w:val="both"/>
        <w:rPr>
          <w:color w:val="auto"/>
          <w:sz w:val="20"/>
        </w:rPr>
      </w:pPr>
      <w:r w:rsidRPr="006232E7">
        <w:rPr>
          <w:color w:val="auto"/>
          <w:sz w:val="20"/>
        </w:rPr>
        <w:t xml:space="preserve">*VA initially </w:t>
      </w:r>
      <w:r w:rsidR="00D1634F" w:rsidRPr="006232E7">
        <w:rPr>
          <w:color w:val="auto"/>
          <w:sz w:val="20"/>
        </w:rPr>
        <w:t>rat</w:t>
      </w:r>
      <w:r w:rsidRPr="006232E7">
        <w:rPr>
          <w:color w:val="auto"/>
          <w:sz w:val="20"/>
        </w:rPr>
        <w:t xml:space="preserve">ed </w:t>
      </w:r>
      <w:r w:rsidR="00D1634F" w:rsidRPr="006232E7">
        <w:rPr>
          <w:color w:val="auto"/>
          <w:sz w:val="20"/>
        </w:rPr>
        <w:t>10% based on service records, CI did not show for C&amp;P examination scheduled for 20020917, rating increased to 20% (V</w:t>
      </w:r>
      <w:r w:rsidR="00D1634F" w:rsidRPr="0096346B">
        <w:rPr>
          <w:color w:val="auto"/>
          <w:sz w:val="20"/>
        </w:rPr>
        <w:t>ARD April 3, 2003) effective day after separation based on 20030322 examination 10 months after separation.</w:t>
      </w:r>
    </w:p>
    <w:p w:rsidR="00D1634F" w:rsidRDefault="00D1634F" w:rsidP="007F0AB7">
      <w:pPr>
        <w:pBdr>
          <w:bottom w:val="single" w:sz="12" w:space="1" w:color="auto"/>
        </w:pBdr>
        <w:tabs>
          <w:tab w:val="left" w:pos="288"/>
          <w:tab w:val="left" w:pos="4752"/>
        </w:tabs>
        <w:spacing w:line="240" w:lineRule="exact"/>
        <w:jc w:val="both"/>
        <w:rPr>
          <w:rFonts w:asciiTheme="minorHAnsi" w:hAnsiTheme="minorHAnsi"/>
          <w:color w:val="auto"/>
          <w:u w:val="single"/>
        </w:rPr>
      </w:pPr>
    </w:p>
    <w:p w:rsidR="00BB36EA" w:rsidRDefault="00BB36EA">
      <w:pPr>
        <w:rPr>
          <w:rFonts w:asciiTheme="minorHAnsi" w:hAnsiTheme="minorHAnsi"/>
          <w:color w:val="auto"/>
          <w:szCs w:val="24"/>
          <w:u w:val="single"/>
        </w:rPr>
      </w:pPr>
    </w:p>
    <w:p w:rsidR="0043434F" w:rsidRDefault="002C6E5B" w:rsidP="00A03FAC">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A03FAC">
        <w:rPr>
          <w:rFonts w:asciiTheme="minorHAnsi" w:hAnsiTheme="minorHAnsi"/>
          <w:color w:val="auto"/>
          <w:szCs w:val="24"/>
        </w:rPr>
        <w:t xml:space="preserve">  </w:t>
      </w:r>
      <w:r w:rsidR="0043434F" w:rsidRPr="0043434F">
        <w:rPr>
          <w:rFonts w:asciiTheme="minorHAnsi" w:hAnsiTheme="minorHAnsi"/>
          <w:color w:val="auto"/>
          <w:szCs w:val="24"/>
        </w:rPr>
        <w:t>The Board acknowledges the sentiment expressed in the CI’s application regarding the significant impact that his service</w:t>
      </w:r>
      <w:r w:rsidR="00C67448">
        <w:rPr>
          <w:rFonts w:asciiTheme="minorHAnsi" w:hAnsiTheme="minorHAnsi"/>
          <w:color w:val="auto"/>
          <w:szCs w:val="24"/>
        </w:rPr>
        <w:t xml:space="preserve"> </w:t>
      </w:r>
      <w:r w:rsidR="0043434F" w:rsidRPr="0043434F">
        <w:rPr>
          <w:rFonts w:asciiTheme="minorHAnsi" w:hAnsiTheme="minorHAnsi"/>
          <w:color w:val="auto"/>
          <w:szCs w:val="24"/>
        </w:rPr>
        <w:t xml:space="preserve">incurred conditions have had on his quality of life.  However, the </w:t>
      </w:r>
      <w:r w:rsidR="00AD0A50">
        <w:rPr>
          <w:rFonts w:asciiTheme="minorHAnsi" w:hAnsiTheme="minorHAnsi"/>
          <w:color w:val="auto"/>
          <w:szCs w:val="24"/>
        </w:rPr>
        <w:t>m</w:t>
      </w:r>
      <w:r w:rsidR="0043434F" w:rsidRPr="0043434F">
        <w:rPr>
          <w:rFonts w:asciiTheme="minorHAnsi" w:hAnsiTheme="minorHAnsi"/>
          <w:color w:val="auto"/>
          <w:szCs w:val="24"/>
        </w:rPr>
        <w:t xml:space="preserve">ilitary </w:t>
      </w:r>
      <w:r w:rsidR="00AD0A50">
        <w:rPr>
          <w:rFonts w:asciiTheme="minorHAnsi" w:hAnsiTheme="minorHAnsi"/>
          <w:color w:val="auto"/>
          <w:szCs w:val="24"/>
        </w:rPr>
        <w:t>s</w:t>
      </w:r>
      <w:r w:rsidR="0043434F" w:rsidRPr="0043434F">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AD0A50">
        <w:rPr>
          <w:rFonts w:asciiTheme="minorHAnsi" w:hAnsiTheme="minorHAnsi"/>
          <w:color w:val="auto"/>
          <w:szCs w:val="24"/>
        </w:rPr>
        <w:t>,</w:t>
      </w:r>
      <w:r w:rsidR="0043434F" w:rsidRPr="0043434F">
        <w:rPr>
          <w:rFonts w:asciiTheme="minorHAnsi" w:hAnsiTheme="minorHAnsi"/>
          <w:color w:val="auto"/>
          <w:szCs w:val="24"/>
        </w:rPr>
        <w:t xml:space="preserve"> however</w:t>
      </w:r>
      <w:r w:rsidR="00AD0A50">
        <w:rPr>
          <w:rFonts w:asciiTheme="minorHAnsi" w:hAnsiTheme="minorHAnsi"/>
          <w:color w:val="auto"/>
          <w:szCs w:val="24"/>
        </w:rPr>
        <w:t>,</w:t>
      </w:r>
      <w:r w:rsidR="0043434F" w:rsidRPr="0043434F">
        <w:rPr>
          <w:rFonts w:asciiTheme="minorHAnsi" w:hAnsiTheme="minorHAnsi"/>
          <w:color w:val="auto"/>
          <w:szCs w:val="24"/>
        </w:rPr>
        <w:t xml:space="preserve"> can rate </w:t>
      </w:r>
      <w:r w:rsidR="0043434F" w:rsidRPr="0043434F">
        <w:rPr>
          <w:rFonts w:asciiTheme="minorHAnsi" w:hAnsiTheme="minorHAnsi"/>
          <w:color w:val="auto"/>
          <w:szCs w:val="24"/>
        </w:rPr>
        <w:lastRenderedPageBreak/>
        <w:t xml:space="preserve">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w:t>
      </w:r>
      <w:r w:rsidR="00AD0A50">
        <w:rPr>
          <w:rFonts w:asciiTheme="minorHAnsi" w:hAnsiTheme="minorHAnsi"/>
          <w:color w:val="auto"/>
          <w:szCs w:val="24"/>
        </w:rPr>
        <w:t>VA Schedule for Rating Disabilities (</w:t>
      </w:r>
      <w:r w:rsidR="0043434F" w:rsidRPr="0043434F">
        <w:rPr>
          <w:rFonts w:asciiTheme="minorHAnsi" w:hAnsiTheme="minorHAnsi"/>
          <w:color w:val="auto"/>
          <w:szCs w:val="24"/>
        </w:rPr>
        <w:t>VASRD</w:t>
      </w:r>
      <w:r w:rsidR="00AD0A50">
        <w:rPr>
          <w:rFonts w:asciiTheme="minorHAnsi" w:hAnsiTheme="minorHAnsi"/>
          <w:color w:val="auto"/>
          <w:szCs w:val="24"/>
        </w:rPr>
        <w:t>)</w:t>
      </w:r>
      <w:r w:rsidR="0043434F" w:rsidRPr="0043434F">
        <w:rPr>
          <w:rFonts w:asciiTheme="minorHAnsi" w:hAnsiTheme="minorHAnsi"/>
          <w:color w:val="auto"/>
          <w:szCs w:val="24"/>
        </w:rPr>
        <w:t xml:space="preserve"> standards, based on severity at the time of separation.  It must also judge the fairness of PEB fitness adjudications based on the fitness consequences of conditions as they existed at the time of separation.  Furthermore, a </w:t>
      </w:r>
      <w:r w:rsidR="00AD0A50">
        <w:rPr>
          <w:rFonts w:asciiTheme="minorHAnsi" w:hAnsiTheme="minorHAnsi"/>
          <w:color w:val="auto"/>
          <w:szCs w:val="24"/>
        </w:rPr>
        <w:t>“</w:t>
      </w:r>
      <w:r w:rsidR="0043434F" w:rsidRPr="0043434F">
        <w:rPr>
          <w:rFonts w:asciiTheme="minorHAnsi" w:hAnsiTheme="minorHAnsi"/>
          <w:color w:val="auto"/>
          <w:szCs w:val="24"/>
        </w:rPr>
        <w:t>crystal ball</w:t>
      </w:r>
      <w:r w:rsidR="00AD0A50">
        <w:rPr>
          <w:rFonts w:asciiTheme="minorHAnsi" w:hAnsiTheme="minorHAnsi"/>
          <w:color w:val="auto"/>
          <w:szCs w:val="24"/>
        </w:rPr>
        <w:t>”</w:t>
      </w:r>
      <w:r w:rsidR="0043434F" w:rsidRPr="0043434F">
        <w:rPr>
          <w:rFonts w:asciiTheme="minorHAnsi" w:hAnsiTheme="minorHAnsi"/>
          <w:color w:val="auto"/>
          <w:szCs w:val="24"/>
        </w:rPr>
        <w:t xml:space="preserve"> requirement is not imposed on the service PEBs by the Board</w:t>
      </w:r>
      <w:r w:rsidR="00AD0A50">
        <w:rPr>
          <w:rFonts w:asciiTheme="minorHAnsi" w:hAnsiTheme="minorHAnsi"/>
          <w:color w:val="auto"/>
          <w:szCs w:val="24"/>
        </w:rPr>
        <w:t>,</w:t>
      </w:r>
      <w:r w:rsidR="0043434F" w:rsidRPr="0043434F">
        <w:rPr>
          <w:rFonts w:asciiTheme="minorHAnsi" w:hAnsiTheme="minorHAnsi"/>
          <w:color w:val="auto"/>
          <w:szCs w:val="24"/>
        </w:rPr>
        <w:t xml:space="preserve"> and the 12</w:t>
      </w:r>
      <w:r w:rsidR="00AD0A50">
        <w:rPr>
          <w:rFonts w:asciiTheme="minorHAnsi" w:hAnsiTheme="minorHAnsi"/>
          <w:color w:val="auto"/>
          <w:szCs w:val="24"/>
        </w:rPr>
        <w:t>-</w:t>
      </w:r>
      <w:r w:rsidR="0043434F" w:rsidRPr="0043434F">
        <w:rPr>
          <w:rFonts w:asciiTheme="minorHAnsi" w:hAnsiTheme="minorHAnsi"/>
          <w:color w:val="auto"/>
          <w:szCs w:val="24"/>
        </w:rPr>
        <w:t>month window specified in DoDI 6040.44 is appropriate for rating comparisons but not for new developments after separation.  The Board’s threshold for countering D</w:t>
      </w:r>
      <w:r w:rsidR="00AD0A50">
        <w:rPr>
          <w:rFonts w:asciiTheme="minorHAnsi" w:hAnsiTheme="minorHAnsi"/>
          <w:color w:val="auto"/>
          <w:szCs w:val="24"/>
        </w:rPr>
        <w:t>isability Evaluation System (D</w:t>
      </w:r>
      <w:r w:rsidR="0043434F" w:rsidRPr="0043434F">
        <w:rPr>
          <w:rFonts w:asciiTheme="minorHAnsi" w:hAnsiTheme="minorHAnsi"/>
          <w:color w:val="auto"/>
          <w:szCs w:val="24"/>
        </w:rPr>
        <w:t>ES</w:t>
      </w:r>
      <w:r w:rsidR="00AD0A50">
        <w:rPr>
          <w:rFonts w:asciiTheme="minorHAnsi" w:hAnsiTheme="minorHAnsi"/>
          <w:color w:val="auto"/>
          <w:szCs w:val="24"/>
        </w:rPr>
        <w:t>)</w:t>
      </w:r>
      <w:r w:rsidR="0043434F" w:rsidRPr="0043434F">
        <w:rPr>
          <w:rFonts w:asciiTheme="minorHAnsi" w:hAnsiTheme="minorHAnsi"/>
          <w:color w:val="auto"/>
          <w:szCs w:val="24"/>
        </w:rPr>
        <w:t xml:space="preserve"> fitness determinations is higher than the VASRD §4.3 reasonable doubt standard used for its rating recommendations but remains adherent to the DoDI 6040.44 “fair and equitable” standard.</w:t>
      </w:r>
    </w:p>
    <w:p w:rsidR="00BF7638" w:rsidRDefault="00BF7638" w:rsidP="00BF7638">
      <w:pPr>
        <w:spacing w:line="240" w:lineRule="exact"/>
        <w:jc w:val="both"/>
        <w:rPr>
          <w:rFonts w:asciiTheme="minorHAnsi" w:hAnsiTheme="minorHAnsi"/>
          <w:color w:val="auto"/>
          <w:szCs w:val="24"/>
          <w:u w:val="single"/>
        </w:rPr>
      </w:pPr>
    </w:p>
    <w:p w:rsidR="007A1A38" w:rsidRPr="00304C0D" w:rsidRDefault="00A70B5A" w:rsidP="00AE59B9">
      <w:pPr>
        <w:spacing w:line="240" w:lineRule="exact"/>
        <w:jc w:val="both"/>
        <w:rPr>
          <w:rFonts w:asciiTheme="minorHAnsi" w:hAnsiTheme="minorHAnsi"/>
          <w:color w:val="auto"/>
          <w:szCs w:val="24"/>
        </w:rPr>
      </w:pPr>
      <w:proofErr w:type="gramStart"/>
      <w:r w:rsidRPr="00274F5E">
        <w:rPr>
          <w:color w:val="auto"/>
          <w:szCs w:val="24"/>
          <w:u w:val="single"/>
        </w:rPr>
        <w:t>Bilateral Ankle DJD</w:t>
      </w:r>
      <w:r w:rsidR="00AD0A50">
        <w:rPr>
          <w:color w:val="auto"/>
          <w:szCs w:val="24"/>
          <w:u w:val="single"/>
        </w:rPr>
        <w:t>.</w:t>
      </w:r>
      <w:proofErr w:type="gramEnd"/>
      <w:r w:rsidR="00861E5C" w:rsidRPr="00861E5C">
        <w:rPr>
          <w:color w:val="auto"/>
          <w:szCs w:val="24"/>
        </w:rPr>
        <w:t xml:space="preserve">  </w:t>
      </w:r>
      <w:r w:rsidR="00562297" w:rsidRPr="00274F5E">
        <w:rPr>
          <w:rFonts w:asciiTheme="minorHAnsi" w:hAnsiTheme="minorHAnsi"/>
          <w:color w:val="auto"/>
          <w:szCs w:val="24"/>
        </w:rPr>
        <w:t xml:space="preserve">The CI injured his left ankle during </w:t>
      </w:r>
      <w:r w:rsidR="00562297">
        <w:rPr>
          <w:rFonts w:asciiTheme="minorHAnsi" w:hAnsiTheme="minorHAnsi"/>
          <w:color w:val="auto"/>
          <w:szCs w:val="24"/>
        </w:rPr>
        <w:t xml:space="preserve">a </w:t>
      </w:r>
      <w:r w:rsidR="00562297" w:rsidRPr="00274F5E">
        <w:rPr>
          <w:rFonts w:asciiTheme="minorHAnsi" w:hAnsiTheme="minorHAnsi"/>
          <w:color w:val="auto"/>
          <w:szCs w:val="24"/>
        </w:rPr>
        <w:t>training exercise</w:t>
      </w:r>
      <w:r w:rsidR="00562297">
        <w:rPr>
          <w:rFonts w:asciiTheme="minorHAnsi" w:hAnsiTheme="minorHAnsi"/>
          <w:color w:val="auto"/>
          <w:szCs w:val="24"/>
        </w:rPr>
        <w:t xml:space="preserve"> in January 2001, approximately </w:t>
      </w:r>
      <w:r w:rsidR="00AD0A50">
        <w:rPr>
          <w:rFonts w:asciiTheme="minorHAnsi" w:hAnsiTheme="minorHAnsi"/>
          <w:color w:val="auto"/>
          <w:szCs w:val="24"/>
        </w:rPr>
        <w:t>six</w:t>
      </w:r>
      <w:r w:rsidR="00562297">
        <w:rPr>
          <w:rFonts w:asciiTheme="minorHAnsi" w:hAnsiTheme="minorHAnsi"/>
          <w:color w:val="auto"/>
          <w:szCs w:val="24"/>
        </w:rPr>
        <w:t xml:space="preserve"> months after entering active duty.  Radiographic findings at the time of injury demonstrated changes of the left ankle consistent with his report of a significant left ankle injury in high school with </w:t>
      </w:r>
      <w:proofErr w:type="spellStart"/>
      <w:r w:rsidR="00562297">
        <w:rPr>
          <w:rFonts w:asciiTheme="minorHAnsi" w:hAnsiTheme="minorHAnsi"/>
          <w:color w:val="auto"/>
          <w:szCs w:val="24"/>
        </w:rPr>
        <w:t>ligamentous</w:t>
      </w:r>
      <w:proofErr w:type="spellEnd"/>
      <w:r w:rsidR="00562297">
        <w:rPr>
          <w:rFonts w:asciiTheme="minorHAnsi" w:hAnsiTheme="minorHAnsi"/>
          <w:color w:val="auto"/>
          <w:szCs w:val="24"/>
        </w:rPr>
        <w:t xml:space="preserve"> tears (three by CI report) requiring casting for ten weeks. He recovered from the old injury, entered active duty, and successfully participated in military training for six months until re-injury during training.  His </w:t>
      </w:r>
      <w:r w:rsidR="00AE59B9">
        <w:rPr>
          <w:rFonts w:asciiTheme="minorHAnsi" w:hAnsiTheme="minorHAnsi"/>
          <w:color w:val="auto"/>
          <w:szCs w:val="24"/>
        </w:rPr>
        <w:t xml:space="preserve">left ankle </w:t>
      </w:r>
      <w:r w:rsidR="00562297">
        <w:rPr>
          <w:rFonts w:asciiTheme="minorHAnsi" w:hAnsiTheme="minorHAnsi"/>
          <w:color w:val="auto"/>
          <w:szCs w:val="24"/>
        </w:rPr>
        <w:t>pain did not improve over a nine</w:t>
      </w:r>
      <w:r w:rsidR="005060F3">
        <w:rPr>
          <w:rFonts w:asciiTheme="minorHAnsi" w:hAnsiTheme="minorHAnsi"/>
          <w:color w:val="auto"/>
          <w:szCs w:val="24"/>
        </w:rPr>
        <w:t>-</w:t>
      </w:r>
      <w:r w:rsidR="00562297">
        <w:rPr>
          <w:rFonts w:asciiTheme="minorHAnsi" w:hAnsiTheme="minorHAnsi"/>
          <w:color w:val="auto"/>
          <w:szCs w:val="24"/>
        </w:rPr>
        <w:t>month period of conservative treatment</w:t>
      </w:r>
      <w:r w:rsidR="005060F3">
        <w:rPr>
          <w:rFonts w:asciiTheme="minorHAnsi" w:hAnsiTheme="minorHAnsi"/>
          <w:color w:val="auto"/>
          <w:szCs w:val="24"/>
        </w:rPr>
        <w:t>,</w:t>
      </w:r>
      <w:r w:rsidR="00562297">
        <w:rPr>
          <w:rFonts w:asciiTheme="minorHAnsi" w:hAnsiTheme="minorHAnsi"/>
          <w:color w:val="auto"/>
          <w:szCs w:val="24"/>
        </w:rPr>
        <w:t xml:space="preserve"> and he subsequently underwent arthroscopic surgical debridement of a bone spur and loose bodies.  Intra-operative findings revealed significant degenerative changes.  The CI’s symptoms improved post-operatively</w:t>
      </w:r>
      <w:r w:rsidR="005060F3">
        <w:rPr>
          <w:rFonts w:asciiTheme="minorHAnsi" w:hAnsiTheme="minorHAnsi"/>
          <w:color w:val="auto"/>
          <w:szCs w:val="24"/>
        </w:rPr>
        <w:t>;</w:t>
      </w:r>
      <w:r w:rsidR="00562297">
        <w:rPr>
          <w:rFonts w:asciiTheme="minorHAnsi" w:hAnsiTheme="minorHAnsi"/>
          <w:color w:val="auto"/>
          <w:szCs w:val="24"/>
        </w:rPr>
        <w:t xml:space="preserve"> however</w:t>
      </w:r>
      <w:r w:rsidR="005060F3">
        <w:rPr>
          <w:rFonts w:asciiTheme="minorHAnsi" w:hAnsiTheme="minorHAnsi"/>
          <w:color w:val="auto"/>
          <w:szCs w:val="24"/>
        </w:rPr>
        <w:t>,</w:t>
      </w:r>
      <w:r w:rsidR="00562297">
        <w:rPr>
          <w:rFonts w:asciiTheme="minorHAnsi" w:hAnsiTheme="minorHAnsi"/>
          <w:color w:val="auto"/>
          <w:szCs w:val="24"/>
        </w:rPr>
        <w:t xml:space="preserve"> he remained unable to perform military duties including running and high impact or high load activities.  The </w:t>
      </w:r>
      <w:r w:rsidR="005060F3">
        <w:rPr>
          <w:rFonts w:asciiTheme="minorHAnsi" w:hAnsiTheme="minorHAnsi"/>
          <w:color w:val="auto"/>
          <w:szCs w:val="24"/>
        </w:rPr>
        <w:t>narrative summary (</w:t>
      </w:r>
      <w:r w:rsidR="00562297">
        <w:rPr>
          <w:rFonts w:asciiTheme="minorHAnsi" w:hAnsiTheme="minorHAnsi"/>
          <w:color w:val="auto"/>
          <w:szCs w:val="24"/>
        </w:rPr>
        <w:t>NARSUM</w:t>
      </w:r>
      <w:r w:rsidR="005060F3">
        <w:rPr>
          <w:rFonts w:asciiTheme="minorHAnsi" w:hAnsiTheme="minorHAnsi"/>
          <w:color w:val="auto"/>
          <w:szCs w:val="24"/>
        </w:rPr>
        <w:t>) on</w:t>
      </w:r>
      <w:r w:rsidR="00562297">
        <w:rPr>
          <w:rFonts w:asciiTheme="minorHAnsi" w:hAnsiTheme="minorHAnsi"/>
          <w:color w:val="auto"/>
          <w:szCs w:val="24"/>
        </w:rPr>
        <w:t xml:space="preserve"> February 1, 2002 refers to bilateral ankle pain</w:t>
      </w:r>
      <w:r w:rsidR="00AE59B9">
        <w:rPr>
          <w:rFonts w:asciiTheme="minorHAnsi" w:hAnsiTheme="minorHAnsi"/>
          <w:color w:val="auto"/>
          <w:szCs w:val="24"/>
        </w:rPr>
        <w:t xml:space="preserve">, but only details the left ankle documenting decreased range of motion </w:t>
      </w:r>
      <w:r w:rsidR="005060F3">
        <w:rPr>
          <w:rFonts w:asciiTheme="minorHAnsi" w:hAnsiTheme="minorHAnsi"/>
          <w:color w:val="auto"/>
          <w:szCs w:val="24"/>
        </w:rPr>
        <w:t xml:space="preserve">(ROM) </w:t>
      </w:r>
      <w:r w:rsidR="00AE59B9">
        <w:rPr>
          <w:rFonts w:asciiTheme="minorHAnsi" w:hAnsiTheme="minorHAnsi"/>
          <w:color w:val="auto"/>
          <w:szCs w:val="24"/>
        </w:rPr>
        <w:t xml:space="preserve">without instability.  There was one record entry for a </w:t>
      </w:r>
      <w:r w:rsidR="00001AAB">
        <w:rPr>
          <w:rFonts w:asciiTheme="minorHAnsi" w:hAnsiTheme="minorHAnsi"/>
          <w:color w:val="auto"/>
          <w:szCs w:val="24"/>
        </w:rPr>
        <w:t xml:space="preserve">minor </w:t>
      </w:r>
      <w:r w:rsidR="00AE59B9">
        <w:rPr>
          <w:rFonts w:asciiTheme="minorHAnsi" w:hAnsiTheme="minorHAnsi"/>
          <w:color w:val="auto"/>
          <w:szCs w:val="24"/>
        </w:rPr>
        <w:t xml:space="preserve">twisted right ankle for which there were no further medical record entries.  </w:t>
      </w:r>
      <w:r w:rsidR="00562297">
        <w:rPr>
          <w:rFonts w:asciiTheme="minorHAnsi" w:hAnsiTheme="minorHAnsi"/>
          <w:color w:val="auto"/>
          <w:szCs w:val="24"/>
        </w:rPr>
        <w:t xml:space="preserve">A bone scan however did show symmetric changes of both ankles in </w:t>
      </w:r>
      <w:proofErr w:type="spellStart"/>
      <w:r w:rsidR="00562297">
        <w:rPr>
          <w:rFonts w:asciiTheme="minorHAnsi" w:hAnsiTheme="minorHAnsi"/>
          <w:color w:val="auto"/>
          <w:szCs w:val="24"/>
        </w:rPr>
        <w:t>ligamentous</w:t>
      </w:r>
      <w:proofErr w:type="spellEnd"/>
      <w:r w:rsidR="005060F3">
        <w:rPr>
          <w:rFonts w:asciiTheme="minorHAnsi" w:hAnsiTheme="minorHAnsi"/>
          <w:color w:val="auto"/>
          <w:szCs w:val="24"/>
        </w:rPr>
        <w:t xml:space="preserve"> areas.  The VA c</w:t>
      </w:r>
      <w:r w:rsidR="00562297">
        <w:rPr>
          <w:rFonts w:asciiTheme="minorHAnsi" w:hAnsiTheme="minorHAnsi"/>
          <w:color w:val="auto"/>
          <w:szCs w:val="24"/>
        </w:rPr>
        <w:t xml:space="preserve">ompensation and </w:t>
      </w:r>
      <w:r w:rsidR="005060F3">
        <w:rPr>
          <w:rFonts w:asciiTheme="minorHAnsi" w:hAnsiTheme="minorHAnsi"/>
          <w:color w:val="auto"/>
          <w:szCs w:val="24"/>
        </w:rPr>
        <w:t>p</w:t>
      </w:r>
      <w:r w:rsidR="00562297">
        <w:rPr>
          <w:rFonts w:asciiTheme="minorHAnsi" w:hAnsiTheme="minorHAnsi"/>
          <w:color w:val="auto"/>
          <w:szCs w:val="24"/>
        </w:rPr>
        <w:t xml:space="preserve">ension (C&amp;P) examination, 10 months after separation, also demonstrated decreased </w:t>
      </w:r>
      <w:r w:rsidR="005060F3">
        <w:rPr>
          <w:rFonts w:asciiTheme="minorHAnsi" w:hAnsiTheme="minorHAnsi"/>
          <w:color w:val="auto"/>
          <w:szCs w:val="24"/>
        </w:rPr>
        <w:t>ROM</w:t>
      </w:r>
      <w:r w:rsidR="00562297">
        <w:rPr>
          <w:rFonts w:asciiTheme="minorHAnsi" w:hAnsiTheme="minorHAnsi"/>
          <w:color w:val="auto"/>
          <w:szCs w:val="24"/>
        </w:rPr>
        <w:t xml:space="preserve"> of the left ankle</w:t>
      </w:r>
      <w:r w:rsidR="005060F3">
        <w:rPr>
          <w:rFonts w:asciiTheme="minorHAnsi" w:hAnsiTheme="minorHAnsi"/>
          <w:color w:val="auto"/>
          <w:szCs w:val="24"/>
        </w:rPr>
        <w:t>;</w:t>
      </w:r>
      <w:r w:rsidR="00562297">
        <w:rPr>
          <w:rFonts w:asciiTheme="minorHAnsi" w:hAnsiTheme="minorHAnsi"/>
          <w:color w:val="auto"/>
          <w:szCs w:val="24"/>
        </w:rPr>
        <w:t xml:space="preserve"> however</w:t>
      </w:r>
      <w:r w:rsidR="005060F3">
        <w:rPr>
          <w:rFonts w:asciiTheme="minorHAnsi" w:hAnsiTheme="minorHAnsi"/>
          <w:color w:val="auto"/>
          <w:szCs w:val="24"/>
        </w:rPr>
        <w:t>,</w:t>
      </w:r>
      <w:r w:rsidR="00562297">
        <w:rPr>
          <w:rFonts w:asciiTheme="minorHAnsi" w:hAnsiTheme="minorHAnsi"/>
          <w:color w:val="auto"/>
          <w:szCs w:val="24"/>
        </w:rPr>
        <w:t xml:space="preserve"> the gait was recorded as normal.  Compared to the MEB NARSUM values, the C&amp;P examination did reflect some increased loss of dorsiflexion, but there was increased plantar flexion for an unchanged total ROM.  There was no instability of the left ankle on examination.  All examiners also documented decreased </w:t>
      </w:r>
      <w:r w:rsidR="005060F3">
        <w:rPr>
          <w:rFonts w:asciiTheme="minorHAnsi" w:hAnsiTheme="minorHAnsi"/>
          <w:color w:val="auto"/>
          <w:szCs w:val="24"/>
        </w:rPr>
        <w:t>ROM</w:t>
      </w:r>
      <w:r w:rsidR="00562297">
        <w:rPr>
          <w:rFonts w:asciiTheme="minorHAnsi" w:hAnsiTheme="minorHAnsi"/>
          <w:color w:val="auto"/>
          <w:szCs w:val="24"/>
        </w:rPr>
        <w:t xml:space="preserve"> of the left </w:t>
      </w:r>
      <w:proofErr w:type="spellStart"/>
      <w:r w:rsidR="00562297">
        <w:rPr>
          <w:rFonts w:asciiTheme="minorHAnsi" w:hAnsiTheme="minorHAnsi"/>
          <w:color w:val="auto"/>
          <w:szCs w:val="24"/>
        </w:rPr>
        <w:t>subtalar</w:t>
      </w:r>
      <w:proofErr w:type="spellEnd"/>
      <w:r w:rsidR="00562297">
        <w:rPr>
          <w:rFonts w:asciiTheme="minorHAnsi" w:hAnsiTheme="minorHAnsi"/>
          <w:color w:val="auto"/>
          <w:szCs w:val="24"/>
        </w:rPr>
        <w:t xml:space="preserve"> joint.  The C&amp;P examination of the right ankle revealed normal findings.  X-rays of the ankles confirmed DJD of the left ankle, while the right ankle x-ray was normal.  The Board also noted the VA C&amp;P spine examination (March 2003) report that the CI injured his back playing basketball approximately three months after separation, a fact that was considered by the Board to be an indicator of the level of ankle impairment at the time of separation.  </w:t>
      </w:r>
      <w:r w:rsidR="005E6D0F" w:rsidRPr="005E6D0F">
        <w:rPr>
          <w:rFonts w:asciiTheme="minorHAnsi" w:hAnsiTheme="minorHAnsi"/>
          <w:color w:val="auto"/>
          <w:szCs w:val="24"/>
        </w:rPr>
        <w:t>These exam</w:t>
      </w:r>
      <w:r w:rsidR="005E6D0F">
        <w:rPr>
          <w:rFonts w:asciiTheme="minorHAnsi" w:hAnsiTheme="minorHAnsi"/>
          <w:color w:val="auto"/>
          <w:szCs w:val="24"/>
        </w:rPr>
        <w:t>inat</w:t>
      </w:r>
      <w:r w:rsidR="00861E5C">
        <w:rPr>
          <w:rFonts w:asciiTheme="minorHAnsi" w:hAnsiTheme="minorHAnsi"/>
          <w:color w:val="auto"/>
          <w:szCs w:val="24"/>
        </w:rPr>
        <w:t>io</w:t>
      </w:r>
      <w:r w:rsidR="005E6D0F">
        <w:rPr>
          <w:rFonts w:asciiTheme="minorHAnsi" w:hAnsiTheme="minorHAnsi"/>
          <w:color w:val="auto"/>
          <w:szCs w:val="24"/>
        </w:rPr>
        <w:t>n</w:t>
      </w:r>
      <w:r w:rsidR="005E6D0F" w:rsidRPr="005E6D0F">
        <w:rPr>
          <w:rFonts w:asciiTheme="minorHAnsi" w:hAnsiTheme="minorHAnsi"/>
          <w:color w:val="auto"/>
          <w:szCs w:val="24"/>
        </w:rPr>
        <w:t>s are summarized in the chart below:</w:t>
      </w:r>
    </w:p>
    <w:p w:rsidR="00AE59B9" w:rsidRPr="00304C0D" w:rsidRDefault="00AE59B9" w:rsidP="00AE59B9">
      <w:pPr>
        <w:spacing w:line="240" w:lineRule="exact"/>
        <w:jc w:val="both"/>
        <w:rPr>
          <w:rFonts w:asciiTheme="minorHAnsi" w:hAnsiTheme="minorHAnsi"/>
          <w:color w:val="auto"/>
          <w:szCs w:val="24"/>
          <w:u w:val="single"/>
        </w:rPr>
      </w:pPr>
    </w:p>
    <w:tbl>
      <w:tblPr>
        <w:tblW w:w="0" w:type="auto"/>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1080"/>
        <w:gridCol w:w="1889"/>
        <w:gridCol w:w="1473"/>
        <w:gridCol w:w="2036"/>
      </w:tblGrid>
      <w:tr w:rsidR="007A1A38" w:rsidRPr="00304C0D" w:rsidTr="005060F3">
        <w:trPr>
          <w:jc w:val="center"/>
        </w:trPr>
        <w:tc>
          <w:tcPr>
            <w:tcW w:w="2160" w:type="dxa"/>
            <w:shd w:val="clear" w:color="auto" w:fill="D9D9D9" w:themeFill="background1" w:themeFillShade="D9"/>
            <w:vAlign w:val="center"/>
          </w:tcPr>
          <w:p w:rsidR="007A1A38" w:rsidRPr="00304C0D" w:rsidRDefault="00D17F54" w:rsidP="00D17F54">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G</w:t>
            </w:r>
            <w:r w:rsidR="007A1A38" w:rsidRPr="00304C0D">
              <w:rPr>
                <w:rFonts w:asciiTheme="minorHAnsi" w:eastAsia="Calibri" w:hAnsiTheme="minorHAnsi"/>
                <w:color w:val="auto"/>
                <w:sz w:val="20"/>
              </w:rPr>
              <w:t>oniometric ROM</w:t>
            </w:r>
          </w:p>
        </w:tc>
        <w:tc>
          <w:tcPr>
            <w:tcW w:w="2969" w:type="dxa"/>
            <w:gridSpan w:val="2"/>
            <w:shd w:val="clear" w:color="auto" w:fill="D9D9D9" w:themeFill="background1" w:themeFillShade="D9"/>
            <w:vAlign w:val="center"/>
          </w:tcPr>
          <w:p w:rsidR="007A1A38" w:rsidRPr="00304C0D" w:rsidRDefault="007A1A38" w:rsidP="00562297">
            <w:pPr>
              <w:spacing w:line="240" w:lineRule="exact"/>
              <w:contextualSpacing/>
              <w:jc w:val="center"/>
              <w:rPr>
                <w:rFonts w:asciiTheme="minorHAnsi" w:eastAsia="Calibri" w:hAnsiTheme="minorHAnsi"/>
                <w:color w:val="auto"/>
                <w:sz w:val="20"/>
              </w:rPr>
            </w:pPr>
            <w:r w:rsidRPr="00304C0D">
              <w:rPr>
                <w:rFonts w:asciiTheme="minorHAnsi" w:eastAsia="Calibri" w:hAnsiTheme="minorHAnsi"/>
                <w:color w:val="auto"/>
                <w:sz w:val="20"/>
              </w:rPr>
              <w:t>PT - 8 Mo. Pre-Sep</w:t>
            </w:r>
          </w:p>
        </w:tc>
        <w:tc>
          <w:tcPr>
            <w:tcW w:w="3509" w:type="dxa"/>
            <w:gridSpan w:val="2"/>
            <w:shd w:val="clear" w:color="auto" w:fill="D9D9D9" w:themeFill="background1" w:themeFillShade="D9"/>
            <w:vAlign w:val="center"/>
          </w:tcPr>
          <w:p w:rsidR="007A1A38" w:rsidRPr="00304C0D" w:rsidRDefault="00562297" w:rsidP="00562297">
            <w:pPr>
              <w:spacing w:line="240" w:lineRule="exact"/>
              <w:contextualSpacing/>
              <w:jc w:val="center"/>
              <w:rPr>
                <w:rFonts w:asciiTheme="minorHAnsi" w:eastAsia="Calibri" w:hAnsiTheme="minorHAnsi"/>
                <w:color w:val="auto"/>
                <w:sz w:val="20"/>
              </w:rPr>
            </w:pPr>
            <w:r w:rsidRPr="00304C0D">
              <w:rPr>
                <w:rFonts w:asciiTheme="minorHAnsi" w:eastAsia="Calibri" w:hAnsiTheme="minorHAnsi"/>
                <w:color w:val="auto"/>
                <w:sz w:val="20"/>
              </w:rPr>
              <w:t>C&amp;P</w:t>
            </w:r>
            <w:r w:rsidR="007A1A38" w:rsidRPr="00304C0D">
              <w:rPr>
                <w:rFonts w:asciiTheme="minorHAnsi" w:eastAsia="Calibri" w:hAnsiTheme="minorHAnsi"/>
                <w:color w:val="auto"/>
                <w:sz w:val="20"/>
              </w:rPr>
              <w:t xml:space="preserve"> - </w:t>
            </w:r>
            <w:r w:rsidRPr="00304C0D">
              <w:rPr>
                <w:rFonts w:asciiTheme="minorHAnsi" w:eastAsia="Calibri" w:hAnsiTheme="minorHAnsi"/>
                <w:color w:val="auto"/>
                <w:sz w:val="20"/>
              </w:rPr>
              <w:t>10</w:t>
            </w:r>
            <w:r w:rsidR="007A1A38" w:rsidRPr="00304C0D">
              <w:rPr>
                <w:rFonts w:asciiTheme="minorHAnsi" w:eastAsia="Calibri" w:hAnsiTheme="minorHAnsi"/>
                <w:color w:val="auto"/>
                <w:sz w:val="20"/>
              </w:rPr>
              <w:t xml:space="preserve"> Mo. </w:t>
            </w:r>
            <w:r w:rsidRPr="00304C0D">
              <w:rPr>
                <w:rFonts w:asciiTheme="minorHAnsi" w:eastAsia="Calibri" w:hAnsiTheme="minorHAnsi"/>
                <w:color w:val="auto"/>
                <w:sz w:val="20"/>
              </w:rPr>
              <w:t>After</w:t>
            </w:r>
            <w:r w:rsidR="007A1A38" w:rsidRPr="00304C0D">
              <w:rPr>
                <w:rFonts w:asciiTheme="minorHAnsi" w:eastAsia="Calibri" w:hAnsiTheme="minorHAnsi"/>
                <w:color w:val="auto"/>
                <w:sz w:val="20"/>
              </w:rPr>
              <w:t>-Sep</w:t>
            </w:r>
          </w:p>
        </w:tc>
      </w:tr>
      <w:tr w:rsidR="00EF3199" w:rsidRPr="00304C0D" w:rsidTr="005060F3">
        <w:trPr>
          <w:jc w:val="center"/>
        </w:trPr>
        <w:tc>
          <w:tcPr>
            <w:tcW w:w="2160" w:type="dxa"/>
          </w:tcPr>
          <w:p w:rsidR="007A1A38" w:rsidRPr="00304C0D" w:rsidRDefault="007A1A38" w:rsidP="007A1A38">
            <w:pPr>
              <w:spacing w:line="240" w:lineRule="exact"/>
              <w:contextualSpacing/>
              <w:jc w:val="center"/>
              <w:rPr>
                <w:rFonts w:asciiTheme="minorHAnsi" w:eastAsia="Calibri" w:hAnsiTheme="minorHAnsi"/>
                <w:color w:val="auto"/>
                <w:sz w:val="20"/>
              </w:rPr>
            </w:pPr>
            <w:r w:rsidRPr="00304C0D">
              <w:rPr>
                <w:rFonts w:asciiTheme="minorHAnsi" w:eastAsia="Calibri" w:hAnsiTheme="minorHAnsi"/>
                <w:color w:val="auto"/>
                <w:sz w:val="20"/>
              </w:rPr>
              <w:t>ANKLE</w:t>
            </w:r>
          </w:p>
        </w:tc>
        <w:tc>
          <w:tcPr>
            <w:tcW w:w="1080" w:type="dxa"/>
          </w:tcPr>
          <w:p w:rsidR="007A1A38" w:rsidRPr="00304C0D" w:rsidRDefault="007A1A38" w:rsidP="001D6261">
            <w:pPr>
              <w:spacing w:line="240" w:lineRule="exact"/>
              <w:contextualSpacing/>
              <w:jc w:val="center"/>
              <w:rPr>
                <w:rFonts w:eastAsia="Calibri"/>
                <w:color w:val="auto"/>
                <w:sz w:val="20"/>
              </w:rPr>
            </w:pPr>
            <w:r w:rsidRPr="00304C0D">
              <w:rPr>
                <w:rFonts w:eastAsia="Calibri"/>
                <w:color w:val="auto"/>
                <w:sz w:val="20"/>
              </w:rPr>
              <w:t>Right</w:t>
            </w:r>
          </w:p>
        </w:tc>
        <w:tc>
          <w:tcPr>
            <w:tcW w:w="1889" w:type="dxa"/>
          </w:tcPr>
          <w:p w:rsidR="007A1A38" w:rsidRPr="00304C0D" w:rsidRDefault="007A1A38" w:rsidP="001D6261">
            <w:pPr>
              <w:spacing w:line="240" w:lineRule="exact"/>
              <w:contextualSpacing/>
              <w:jc w:val="center"/>
              <w:rPr>
                <w:rFonts w:eastAsia="Calibri"/>
                <w:color w:val="auto"/>
                <w:sz w:val="20"/>
              </w:rPr>
            </w:pPr>
            <w:r w:rsidRPr="00304C0D">
              <w:rPr>
                <w:rFonts w:eastAsia="Calibri"/>
                <w:color w:val="auto"/>
                <w:sz w:val="20"/>
              </w:rPr>
              <w:t>Left</w:t>
            </w:r>
          </w:p>
        </w:tc>
        <w:tc>
          <w:tcPr>
            <w:tcW w:w="1473" w:type="dxa"/>
          </w:tcPr>
          <w:p w:rsidR="007A1A38" w:rsidRPr="00304C0D" w:rsidRDefault="007A1A38" w:rsidP="001D6261">
            <w:pPr>
              <w:spacing w:line="240" w:lineRule="exact"/>
              <w:contextualSpacing/>
              <w:jc w:val="center"/>
              <w:rPr>
                <w:rFonts w:eastAsia="Calibri"/>
                <w:color w:val="auto"/>
                <w:sz w:val="20"/>
              </w:rPr>
            </w:pPr>
            <w:r w:rsidRPr="00304C0D">
              <w:rPr>
                <w:rFonts w:eastAsia="Calibri"/>
                <w:color w:val="auto"/>
                <w:sz w:val="20"/>
              </w:rPr>
              <w:t>Right</w:t>
            </w:r>
          </w:p>
        </w:tc>
        <w:tc>
          <w:tcPr>
            <w:tcW w:w="2036" w:type="dxa"/>
          </w:tcPr>
          <w:p w:rsidR="007A1A38" w:rsidRPr="00304C0D" w:rsidRDefault="007A1A38" w:rsidP="001D6261">
            <w:pPr>
              <w:spacing w:line="240" w:lineRule="exact"/>
              <w:contextualSpacing/>
              <w:jc w:val="center"/>
              <w:rPr>
                <w:rFonts w:eastAsia="Calibri"/>
                <w:color w:val="auto"/>
                <w:sz w:val="20"/>
              </w:rPr>
            </w:pPr>
            <w:r w:rsidRPr="00304C0D">
              <w:rPr>
                <w:rFonts w:eastAsia="Calibri"/>
                <w:color w:val="auto"/>
                <w:sz w:val="20"/>
              </w:rPr>
              <w:t>Left</w:t>
            </w:r>
          </w:p>
        </w:tc>
      </w:tr>
      <w:tr w:rsidR="00EF3199" w:rsidRPr="00304C0D" w:rsidTr="005060F3">
        <w:trPr>
          <w:jc w:val="center"/>
        </w:trPr>
        <w:tc>
          <w:tcPr>
            <w:tcW w:w="2160" w:type="dxa"/>
          </w:tcPr>
          <w:p w:rsidR="007A1A38" w:rsidRPr="00304C0D" w:rsidRDefault="007A1A38" w:rsidP="005060F3">
            <w:pPr>
              <w:spacing w:line="240" w:lineRule="exact"/>
              <w:contextualSpacing/>
              <w:rPr>
                <w:rFonts w:asciiTheme="minorHAnsi" w:eastAsia="Calibri" w:hAnsiTheme="minorHAnsi"/>
                <w:color w:val="auto"/>
                <w:sz w:val="20"/>
              </w:rPr>
            </w:pPr>
            <w:r w:rsidRPr="00304C0D">
              <w:rPr>
                <w:rFonts w:asciiTheme="minorHAnsi" w:eastAsia="Calibri" w:hAnsiTheme="minorHAnsi"/>
                <w:color w:val="auto"/>
                <w:sz w:val="20"/>
              </w:rPr>
              <w:t>Dorsiflexion  (0-20)</w:t>
            </w:r>
          </w:p>
        </w:tc>
        <w:tc>
          <w:tcPr>
            <w:tcW w:w="1080" w:type="dxa"/>
          </w:tcPr>
          <w:p w:rsidR="007A1A38" w:rsidRPr="00304C0D" w:rsidRDefault="007A1A38" w:rsidP="00AE23F1">
            <w:pPr>
              <w:spacing w:line="240" w:lineRule="exact"/>
              <w:contextualSpacing/>
              <w:jc w:val="center"/>
              <w:rPr>
                <w:rFonts w:eastAsia="Calibri"/>
                <w:color w:val="auto"/>
                <w:sz w:val="20"/>
              </w:rPr>
            </w:pPr>
            <w:r w:rsidRPr="00304C0D">
              <w:rPr>
                <w:rFonts w:eastAsia="Calibri"/>
                <w:color w:val="auto"/>
                <w:sz w:val="20"/>
              </w:rPr>
              <w:t>15⁰</w:t>
            </w:r>
          </w:p>
        </w:tc>
        <w:tc>
          <w:tcPr>
            <w:tcW w:w="1889" w:type="dxa"/>
          </w:tcPr>
          <w:p w:rsidR="007A1A38" w:rsidRPr="00304C0D" w:rsidRDefault="007A1A38" w:rsidP="00AE23F1">
            <w:pPr>
              <w:spacing w:line="240" w:lineRule="exact"/>
              <w:contextualSpacing/>
              <w:jc w:val="center"/>
              <w:rPr>
                <w:rFonts w:eastAsia="Calibri"/>
                <w:color w:val="auto"/>
                <w:sz w:val="20"/>
              </w:rPr>
            </w:pPr>
            <w:r w:rsidRPr="00304C0D">
              <w:rPr>
                <w:rFonts w:eastAsia="Calibri"/>
                <w:color w:val="auto"/>
                <w:sz w:val="20"/>
              </w:rPr>
              <w:t>5⁰</w:t>
            </w:r>
          </w:p>
        </w:tc>
        <w:tc>
          <w:tcPr>
            <w:tcW w:w="1473" w:type="dxa"/>
          </w:tcPr>
          <w:p w:rsidR="007A1A38" w:rsidRPr="00304C0D" w:rsidRDefault="007A1A38" w:rsidP="00AE23F1">
            <w:pPr>
              <w:spacing w:line="240" w:lineRule="exact"/>
              <w:contextualSpacing/>
              <w:jc w:val="center"/>
              <w:rPr>
                <w:rFonts w:eastAsia="Calibri"/>
                <w:color w:val="auto"/>
                <w:sz w:val="20"/>
              </w:rPr>
            </w:pPr>
            <w:r w:rsidRPr="00304C0D">
              <w:rPr>
                <w:rFonts w:eastAsia="Calibri"/>
                <w:color w:val="auto"/>
                <w:sz w:val="20"/>
              </w:rPr>
              <w:t>20⁰</w:t>
            </w:r>
          </w:p>
        </w:tc>
        <w:tc>
          <w:tcPr>
            <w:tcW w:w="2036" w:type="dxa"/>
          </w:tcPr>
          <w:p w:rsidR="007A1A38" w:rsidRPr="00304C0D" w:rsidRDefault="007A1A38" w:rsidP="00AE23F1">
            <w:pPr>
              <w:spacing w:line="240" w:lineRule="exact"/>
              <w:contextualSpacing/>
              <w:jc w:val="center"/>
              <w:rPr>
                <w:rFonts w:eastAsia="Calibri"/>
                <w:color w:val="auto"/>
                <w:sz w:val="20"/>
              </w:rPr>
            </w:pPr>
            <w:r w:rsidRPr="00304C0D">
              <w:rPr>
                <w:rFonts w:eastAsia="Calibri"/>
                <w:color w:val="auto"/>
                <w:sz w:val="20"/>
              </w:rPr>
              <w:t>0⁰</w:t>
            </w:r>
          </w:p>
        </w:tc>
      </w:tr>
      <w:tr w:rsidR="00EF3199" w:rsidRPr="00304C0D" w:rsidTr="005060F3">
        <w:trPr>
          <w:jc w:val="center"/>
        </w:trPr>
        <w:tc>
          <w:tcPr>
            <w:tcW w:w="2160" w:type="dxa"/>
          </w:tcPr>
          <w:p w:rsidR="007A1A38" w:rsidRPr="00304C0D" w:rsidRDefault="007A1A38" w:rsidP="005060F3">
            <w:pPr>
              <w:spacing w:line="240" w:lineRule="exact"/>
              <w:contextualSpacing/>
              <w:rPr>
                <w:rFonts w:asciiTheme="minorHAnsi" w:eastAsia="Calibri" w:hAnsiTheme="minorHAnsi"/>
                <w:color w:val="auto"/>
                <w:sz w:val="20"/>
              </w:rPr>
            </w:pPr>
            <w:r w:rsidRPr="00304C0D">
              <w:rPr>
                <w:rFonts w:asciiTheme="minorHAnsi" w:eastAsia="Calibri" w:hAnsiTheme="minorHAnsi"/>
                <w:color w:val="auto"/>
                <w:sz w:val="20"/>
              </w:rPr>
              <w:t>Plantar Flexion (0-45)</w:t>
            </w:r>
          </w:p>
        </w:tc>
        <w:tc>
          <w:tcPr>
            <w:tcW w:w="1080" w:type="dxa"/>
          </w:tcPr>
          <w:p w:rsidR="007A1A38" w:rsidRPr="00304C0D" w:rsidRDefault="007A1A38" w:rsidP="001D6261">
            <w:pPr>
              <w:spacing w:line="240" w:lineRule="exact"/>
              <w:contextualSpacing/>
              <w:jc w:val="center"/>
              <w:rPr>
                <w:rFonts w:eastAsia="Calibri"/>
                <w:color w:val="auto"/>
                <w:sz w:val="20"/>
              </w:rPr>
            </w:pPr>
            <w:r w:rsidRPr="00304C0D">
              <w:rPr>
                <w:rFonts w:eastAsia="Calibri"/>
                <w:color w:val="auto"/>
                <w:sz w:val="20"/>
              </w:rPr>
              <w:t>40⁰</w:t>
            </w:r>
          </w:p>
        </w:tc>
        <w:tc>
          <w:tcPr>
            <w:tcW w:w="1889" w:type="dxa"/>
          </w:tcPr>
          <w:p w:rsidR="007A1A38" w:rsidRPr="00304C0D" w:rsidRDefault="007A1A38" w:rsidP="001D6261">
            <w:pPr>
              <w:spacing w:line="240" w:lineRule="exact"/>
              <w:contextualSpacing/>
              <w:jc w:val="center"/>
              <w:rPr>
                <w:rFonts w:eastAsia="Calibri"/>
                <w:color w:val="auto"/>
                <w:sz w:val="20"/>
              </w:rPr>
            </w:pPr>
            <w:r w:rsidRPr="00304C0D">
              <w:rPr>
                <w:rFonts w:eastAsia="Calibri"/>
                <w:color w:val="auto"/>
                <w:sz w:val="20"/>
              </w:rPr>
              <w:t>25⁰</w:t>
            </w:r>
          </w:p>
        </w:tc>
        <w:tc>
          <w:tcPr>
            <w:tcW w:w="1473" w:type="dxa"/>
          </w:tcPr>
          <w:p w:rsidR="007A1A38" w:rsidRPr="00304C0D" w:rsidRDefault="007A1A38" w:rsidP="001D6261">
            <w:pPr>
              <w:spacing w:line="240" w:lineRule="exact"/>
              <w:contextualSpacing/>
              <w:jc w:val="center"/>
              <w:rPr>
                <w:rFonts w:eastAsia="Calibri"/>
                <w:color w:val="auto"/>
                <w:sz w:val="20"/>
              </w:rPr>
            </w:pPr>
            <w:r w:rsidRPr="00304C0D">
              <w:rPr>
                <w:rFonts w:eastAsia="Calibri"/>
                <w:color w:val="auto"/>
                <w:sz w:val="20"/>
              </w:rPr>
              <w:t>45⁰</w:t>
            </w:r>
          </w:p>
        </w:tc>
        <w:tc>
          <w:tcPr>
            <w:tcW w:w="2036" w:type="dxa"/>
          </w:tcPr>
          <w:p w:rsidR="007A1A38" w:rsidRPr="00304C0D" w:rsidRDefault="007A1A38" w:rsidP="001D6261">
            <w:pPr>
              <w:spacing w:line="240" w:lineRule="exact"/>
              <w:contextualSpacing/>
              <w:jc w:val="center"/>
              <w:rPr>
                <w:rFonts w:eastAsia="Calibri"/>
                <w:color w:val="auto"/>
                <w:sz w:val="20"/>
              </w:rPr>
            </w:pPr>
            <w:r w:rsidRPr="00304C0D">
              <w:rPr>
                <w:rFonts w:eastAsia="Calibri"/>
                <w:color w:val="auto"/>
                <w:sz w:val="20"/>
              </w:rPr>
              <w:t>30⁰</w:t>
            </w:r>
          </w:p>
        </w:tc>
      </w:tr>
      <w:tr w:rsidR="00EF3199" w:rsidRPr="00304C0D" w:rsidTr="005060F3">
        <w:trPr>
          <w:jc w:val="center"/>
        </w:trPr>
        <w:tc>
          <w:tcPr>
            <w:tcW w:w="2160" w:type="dxa"/>
          </w:tcPr>
          <w:p w:rsidR="007A1A38" w:rsidRPr="00304C0D" w:rsidRDefault="007A1A38" w:rsidP="005060F3">
            <w:pPr>
              <w:tabs>
                <w:tab w:val="left" w:pos="288"/>
                <w:tab w:val="left" w:pos="4752"/>
              </w:tabs>
              <w:spacing w:line="240" w:lineRule="exact"/>
              <w:rPr>
                <w:rFonts w:asciiTheme="minorHAnsi" w:eastAsiaTheme="minorHAnsi" w:hAnsiTheme="minorHAnsi"/>
                <w:color w:val="auto"/>
                <w:sz w:val="20"/>
              </w:rPr>
            </w:pPr>
            <w:r w:rsidRPr="00304C0D">
              <w:rPr>
                <w:rFonts w:asciiTheme="minorHAnsi" w:eastAsiaTheme="minorHAnsi" w:hAnsiTheme="minorHAnsi"/>
                <w:color w:val="auto"/>
                <w:sz w:val="20"/>
              </w:rPr>
              <w:t>Comment</w:t>
            </w:r>
          </w:p>
        </w:tc>
        <w:tc>
          <w:tcPr>
            <w:tcW w:w="1080" w:type="dxa"/>
          </w:tcPr>
          <w:p w:rsidR="007A1A38" w:rsidRPr="00304C0D" w:rsidRDefault="007A1A38" w:rsidP="001D6261">
            <w:pPr>
              <w:pStyle w:val="ListParagraph"/>
              <w:spacing w:after="0" w:line="240" w:lineRule="exact"/>
              <w:ind w:left="0"/>
              <w:jc w:val="center"/>
              <w:rPr>
                <w:rFonts w:eastAsia="Calibri" w:cs="Times New Roman"/>
                <w:sz w:val="20"/>
                <w:szCs w:val="20"/>
              </w:rPr>
            </w:pPr>
          </w:p>
        </w:tc>
        <w:tc>
          <w:tcPr>
            <w:tcW w:w="1889" w:type="dxa"/>
          </w:tcPr>
          <w:p w:rsidR="007A1A38" w:rsidRPr="00304C0D" w:rsidRDefault="00EF3199" w:rsidP="00304C0D">
            <w:pPr>
              <w:pStyle w:val="ListParagraph"/>
              <w:spacing w:after="0" w:line="240" w:lineRule="exact"/>
              <w:ind w:left="0"/>
              <w:jc w:val="center"/>
              <w:rPr>
                <w:rFonts w:eastAsia="Calibri" w:cs="Times New Roman"/>
                <w:sz w:val="20"/>
                <w:szCs w:val="20"/>
              </w:rPr>
            </w:pPr>
            <w:r w:rsidRPr="00304C0D">
              <w:rPr>
                <w:rFonts w:eastAsia="Calibri" w:cs="Times New Roman"/>
                <w:sz w:val="20"/>
                <w:szCs w:val="20"/>
              </w:rPr>
              <w:t>Pain with motion</w:t>
            </w:r>
            <w:r w:rsidR="006232E7">
              <w:rPr>
                <w:rFonts w:eastAsia="Calibri" w:cs="Times New Roman"/>
                <w:sz w:val="20"/>
                <w:szCs w:val="20"/>
              </w:rPr>
              <w:t xml:space="preserve">; decreased </w:t>
            </w:r>
            <w:proofErr w:type="spellStart"/>
            <w:r w:rsidR="006232E7">
              <w:rPr>
                <w:rFonts w:eastAsia="Calibri" w:cs="Times New Roman"/>
                <w:sz w:val="20"/>
                <w:szCs w:val="20"/>
              </w:rPr>
              <w:t>toeoff</w:t>
            </w:r>
            <w:proofErr w:type="spellEnd"/>
            <w:r w:rsidR="006232E7">
              <w:rPr>
                <w:rFonts w:eastAsia="Calibri" w:cs="Times New Roman"/>
                <w:sz w:val="20"/>
                <w:szCs w:val="20"/>
              </w:rPr>
              <w:t>;</w:t>
            </w:r>
            <w:r w:rsidRPr="00304C0D">
              <w:rPr>
                <w:rFonts w:eastAsia="Calibri" w:cs="Times New Roman"/>
                <w:sz w:val="20"/>
                <w:szCs w:val="20"/>
              </w:rPr>
              <w:t xml:space="preserve"> No instability</w:t>
            </w:r>
            <w:r w:rsidR="00304C0D">
              <w:rPr>
                <w:rFonts w:eastAsia="Calibri" w:cs="Times New Roman"/>
                <w:sz w:val="20"/>
                <w:szCs w:val="20"/>
              </w:rPr>
              <w:t xml:space="preserve">; </w:t>
            </w:r>
            <w:r w:rsidR="007A1A38" w:rsidRPr="00304C0D">
              <w:rPr>
                <w:rFonts w:eastAsia="Calibri" w:cs="Times New Roman"/>
                <w:sz w:val="20"/>
                <w:szCs w:val="20"/>
              </w:rPr>
              <w:t xml:space="preserve">Air splint </w:t>
            </w:r>
          </w:p>
        </w:tc>
        <w:tc>
          <w:tcPr>
            <w:tcW w:w="1473" w:type="dxa"/>
          </w:tcPr>
          <w:p w:rsidR="007A1A38" w:rsidRPr="00304C0D" w:rsidRDefault="00EF3199" w:rsidP="006232E7">
            <w:pPr>
              <w:pStyle w:val="ListParagraph"/>
              <w:spacing w:after="0" w:line="240" w:lineRule="exact"/>
              <w:ind w:left="0"/>
              <w:jc w:val="center"/>
              <w:rPr>
                <w:rFonts w:eastAsia="Calibri" w:cs="Times New Roman"/>
                <w:sz w:val="20"/>
                <w:szCs w:val="20"/>
              </w:rPr>
            </w:pPr>
            <w:r w:rsidRPr="00304C0D">
              <w:rPr>
                <w:rFonts w:eastAsia="Calibri" w:cs="Times New Roman"/>
                <w:sz w:val="20"/>
                <w:szCs w:val="20"/>
              </w:rPr>
              <w:t>U</w:t>
            </w:r>
            <w:r w:rsidR="007A1A38" w:rsidRPr="00304C0D">
              <w:rPr>
                <w:rFonts w:eastAsia="Calibri" w:cs="Times New Roman"/>
                <w:sz w:val="20"/>
                <w:szCs w:val="20"/>
              </w:rPr>
              <w:t xml:space="preserve">nremarkable </w:t>
            </w:r>
            <w:r w:rsidRPr="00304C0D">
              <w:rPr>
                <w:rFonts w:eastAsia="Calibri" w:cs="Times New Roman"/>
                <w:sz w:val="20"/>
                <w:szCs w:val="20"/>
              </w:rPr>
              <w:t>N</w:t>
            </w:r>
            <w:r w:rsidR="007A1A38" w:rsidRPr="00304C0D">
              <w:rPr>
                <w:rFonts w:eastAsia="Calibri" w:cs="Times New Roman"/>
                <w:sz w:val="20"/>
                <w:szCs w:val="20"/>
              </w:rPr>
              <w:t>ormal ROM</w:t>
            </w:r>
          </w:p>
        </w:tc>
        <w:tc>
          <w:tcPr>
            <w:tcW w:w="2036" w:type="dxa"/>
          </w:tcPr>
          <w:p w:rsidR="007A1A38" w:rsidRPr="00304C0D" w:rsidRDefault="007A1A38" w:rsidP="00304C0D">
            <w:pPr>
              <w:pStyle w:val="ListParagraph"/>
              <w:spacing w:after="0" w:line="240" w:lineRule="exact"/>
              <w:ind w:left="0"/>
              <w:jc w:val="center"/>
              <w:rPr>
                <w:rFonts w:eastAsia="Calibri" w:cs="Times New Roman"/>
                <w:sz w:val="20"/>
                <w:szCs w:val="20"/>
              </w:rPr>
            </w:pPr>
            <w:r w:rsidRPr="00304C0D">
              <w:rPr>
                <w:rFonts w:eastAsia="Calibri" w:cs="Times New Roman"/>
                <w:sz w:val="20"/>
                <w:szCs w:val="20"/>
              </w:rPr>
              <w:t>crepitus on ROM</w:t>
            </w:r>
            <w:r w:rsidR="00304C0D">
              <w:rPr>
                <w:rFonts w:eastAsia="Calibri" w:cs="Times New Roman"/>
                <w:sz w:val="20"/>
                <w:szCs w:val="20"/>
              </w:rPr>
              <w:t xml:space="preserve">; </w:t>
            </w:r>
            <w:r w:rsidRPr="00304C0D">
              <w:rPr>
                <w:rFonts w:eastAsia="Calibri" w:cs="Times New Roman"/>
                <w:sz w:val="20"/>
                <w:szCs w:val="20"/>
              </w:rPr>
              <w:t>decreased in overall function</w:t>
            </w:r>
          </w:p>
        </w:tc>
      </w:tr>
      <w:tr w:rsidR="00EF3199" w:rsidRPr="00304C0D" w:rsidTr="005060F3">
        <w:trPr>
          <w:jc w:val="center"/>
        </w:trPr>
        <w:tc>
          <w:tcPr>
            <w:tcW w:w="2160" w:type="dxa"/>
          </w:tcPr>
          <w:p w:rsidR="007A1A38" w:rsidRPr="00304C0D" w:rsidRDefault="007A1A38" w:rsidP="005060F3">
            <w:pPr>
              <w:tabs>
                <w:tab w:val="left" w:pos="288"/>
                <w:tab w:val="left" w:pos="4752"/>
              </w:tabs>
              <w:spacing w:line="240" w:lineRule="exact"/>
              <w:rPr>
                <w:rFonts w:asciiTheme="minorHAnsi" w:eastAsiaTheme="minorHAnsi" w:hAnsiTheme="minorHAnsi"/>
                <w:color w:val="auto"/>
                <w:sz w:val="20"/>
              </w:rPr>
            </w:pPr>
            <w:r w:rsidRPr="00304C0D">
              <w:rPr>
                <w:rFonts w:asciiTheme="minorHAnsi" w:eastAsiaTheme="minorHAnsi" w:hAnsiTheme="minorHAnsi"/>
                <w:color w:val="auto"/>
                <w:sz w:val="20"/>
              </w:rPr>
              <w:t>§4.71a Rating</w:t>
            </w:r>
          </w:p>
        </w:tc>
        <w:tc>
          <w:tcPr>
            <w:tcW w:w="1080" w:type="dxa"/>
          </w:tcPr>
          <w:p w:rsidR="007A1A38" w:rsidRPr="00304C0D" w:rsidRDefault="007A1A38" w:rsidP="007A1A38">
            <w:pPr>
              <w:pStyle w:val="ListParagraph"/>
              <w:spacing w:after="0" w:line="240" w:lineRule="exact"/>
              <w:ind w:left="0"/>
              <w:jc w:val="center"/>
              <w:rPr>
                <w:rFonts w:eastAsia="Calibri" w:cs="Times New Roman"/>
                <w:sz w:val="20"/>
                <w:szCs w:val="20"/>
              </w:rPr>
            </w:pPr>
            <w:r w:rsidRPr="00304C0D">
              <w:rPr>
                <w:rFonts w:eastAsia="Calibri" w:cs="Times New Roman"/>
                <w:sz w:val="20"/>
                <w:szCs w:val="20"/>
              </w:rPr>
              <w:t>0%</w:t>
            </w:r>
          </w:p>
        </w:tc>
        <w:tc>
          <w:tcPr>
            <w:tcW w:w="1889" w:type="dxa"/>
          </w:tcPr>
          <w:p w:rsidR="007A1A38" w:rsidRPr="00304C0D" w:rsidRDefault="006232E7" w:rsidP="001D6261">
            <w:pPr>
              <w:pStyle w:val="ListParagraph"/>
              <w:spacing w:after="0" w:line="240" w:lineRule="exact"/>
              <w:ind w:left="0"/>
              <w:jc w:val="center"/>
              <w:rPr>
                <w:rFonts w:eastAsia="Calibri" w:cs="Times New Roman"/>
                <w:sz w:val="20"/>
                <w:szCs w:val="20"/>
              </w:rPr>
            </w:pPr>
            <w:r>
              <w:rPr>
                <w:rFonts w:eastAsia="Calibri" w:cs="Times New Roman"/>
                <w:sz w:val="20"/>
                <w:szCs w:val="20"/>
              </w:rPr>
              <w:t>2</w:t>
            </w:r>
            <w:r w:rsidR="007A1A38" w:rsidRPr="00304C0D">
              <w:rPr>
                <w:rFonts w:eastAsia="Calibri" w:cs="Times New Roman"/>
                <w:sz w:val="20"/>
                <w:szCs w:val="20"/>
              </w:rPr>
              <w:t>0%*</w:t>
            </w:r>
            <w:r>
              <w:rPr>
                <w:rFonts w:eastAsia="Calibri" w:cs="Times New Roman"/>
                <w:sz w:val="20"/>
                <w:szCs w:val="20"/>
              </w:rPr>
              <w:t xml:space="preserve"> (PEB 10%)</w:t>
            </w:r>
          </w:p>
        </w:tc>
        <w:tc>
          <w:tcPr>
            <w:tcW w:w="1473" w:type="dxa"/>
          </w:tcPr>
          <w:p w:rsidR="007A1A38" w:rsidRPr="00304C0D" w:rsidRDefault="007A1A38" w:rsidP="007A1A38">
            <w:pPr>
              <w:pStyle w:val="ListParagraph"/>
              <w:spacing w:after="0" w:line="240" w:lineRule="exact"/>
              <w:ind w:left="0"/>
              <w:jc w:val="center"/>
              <w:rPr>
                <w:rFonts w:eastAsia="Calibri" w:cs="Times New Roman"/>
                <w:sz w:val="20"/>
                <w:szCs w:val="20"/>
              </w:rPr>
            </w:pPr>
            <w:r w:rsidRPr="00304C0D">
              <w:rPr>
                <w:rFonts w:eastAsia="Calibri" w:cs="Times New Roman"/>
                <w:sz w:val="20"/>
                <w:szCs w:val="20"/>
              </w:rPr>
              <w:t>0%</w:t>
            </w:r>
          </w:p>
        </w:tc>
        <w:tc>
          <w:tcPr>
            <w:tcW w:w="2036" w:type="dxa"/>
          </w:tcPr>
          <w:p w:rsidR="007A1A38" w:rsidRPr="00304C0D" w:rsidRDefault="007A1A38" w:rsidP="001D6261">
            <w:pPr>
              <w:pStyle w:val="ListParagraph"/>
              <w:spacing w:after="0" w:line="240" w:lineRule="exact"/>
              <w:ind w:left="0"/>
              <w:jc w:val="center"/>
              <w:rPr>
                <w:rFonts w:eastAsia="Calibri" w:cs="Times New Roman"/>
                <w:sz w:val="20"/>
                <w:szCs w:val="20"/>
              </w:rPr>
            </w:pPr>
            <w:r w:rsidRPr="00304C0D">
              <w:rPr>
                <w:rFonts w:eastAsia="Calibri" w:cs="Times New Roman"/>
                <w:sz w:val="20"/>
                <w:szCs w:val="20"/>
              </w:rPr>
              <w:t>20%**</w:t>
            </w:r>
          </w:p>
        </w:tc>
      </w:tr>
    </w:tbl>
    <w:p w:rsidR="0012220D" w:rsidRPr="005060F3" w:rsidRDefault="00494760" w:rsidP="005060F3">
      <w:pPr>
        <w:spacing w:line="240" w:lineRule="exact"/>
        <w:ind w:left="720"/>
        <w:rPr>
          <w:rFonts w:asciiTheme="minorHAnsi" w:hAnsiTheme="minorHAnsi"/>
          <w:color w:val="auto"/>
          <w:sz w:val="20"/>
        </w:rPr>
      </w:pPr>
      <w:r w:rsidRPr="00304C0D">
        <w:rPr>
          <w:rFonts w:asciiTheme="minorHAnsi" w:hAnsiTheme="minorHAnsi"/>
          <w:color w:val="auto"/>
        </w:rPr>
        <w:t>*</w:t>
      </w:r>
      <w:r w:rsidRPr="005060F3">
        <w:rPr>
          <w:rFonts w:asciiTheme="minorHAnsi" w:hAnsiTheme="minorHAnsi"/>
          <w:color w:val="auto"/>
          <w:sz w:val="20"/>
        </w:rPr>
        <w:t>PEB rated bilateral DJD coded 5299-5003</w:t>
      </w:r>
    </w:p>
    <w:p w:rsidR="00494760" w:rsidRPr="005060F3" w:rsidRDefault="00494760" w:rsidP="005060F3">
      <w:pPr>
        <w:spacing w:line="240" w:lineRule="exact"/>
        <w:ind w:left="720"/>
        <w:rPr>
          <w:rFonts w:asciiTheme="minorHAnsi" w:hAnsiTheme="minorHAnsi"/>
          <w:color w:val="auto"/>
          <w:sz w:val="20"/>
        </w:rPr>
      </w:pPr>
      <w:r w:rsidRPr="005060F3">
        <w:rPr>
          <w:rFonts w:asciiTheme="minorHAnsi" w:hAnsiTheme="minorHAnsi"/>
          <w:color w:val="auto"/>
          <w:sz w:val="20"/>
        </w:rPr>
        <w:t>**VA rated bilateral ankle DJD coded 5010-5271 – initially rated 10% based on service records</w:t>
      </w:r>
    </w:p>
    <w:p w:rsidR="00EB75F2" w:rsidRPr="00EB75F2" w:rsidRDefault="00EB75F2" w:rsidP="00BF7638">
      <w:pPr>
        <w:spacing w:line="240" w:lineRule="exact"/>
        <w:jc w:val="both"/>
        <w:rPr>
          <w:rFonts w:asciiTheme="minorHAnsi" w:hAnsiTheme="minorHAnsi"/>
          <w:color w:val="auto"/>
          <w:szCs w:val="24"/>
        </w:rPr>
      </w:pPr>
      <w:r w:rsidRPr="00EB75F2">
        <w:rPr>
          <w:rFonts w:asciiTheme="minorHAnsi" w:hAnsiTheme="minorHAnsi"/>
          <w:color w:val="auto"/>
          <w:szCs w:val="24"/>
        </w:rPr>
        <w:lastRenderedPageBreak/>
        <w:t>The PEB rated the condition 10% under diagnostic code 5</w:t>
      </w:r>
      <w:r>
        <w:rPr>
          <w:rFonts w:asciiTheme="minorHAnsi" w:hAnsiTheme="minorHAnsi"/>
          <w:color w:val="auto"/>
          <w:szCs w:val="24"/>
        </w:rPr>
        <w:t>299-5003 for degenerative arthritis consistent with the diagnosed condition and VASRD rating criteria.</w:t>
      </w:r>
      <w:r w:rsidR="009B4C91">
        <w:rPr>
          <w:rFonts w:asciiTheme="minorHAnsi" w:hAnsiTheme="minorHAnsi"/>
          <w:color w:val="auto"/>
          <w:szCs w:val="24"/>
        </w:rPr>
        <w:t xml:space="preserve"> </w:t>
      </w:r>
      <w:r w:rsidR="00A121B5">
        <w:rPr>
          <w:rFonts w:asciiTheme="minorHAnsi" w:hAnsiTheme="minorHAnsi"/>
          <w:color w:val="auto"/>
          <w:szCs w:val="24"/>
        </w:rPr>
        <w:t xml:space="preserve"> Rating using 5003 allows for two rating options based on presence of </w:t>
      </w:r>
      <w:r w:rsidR="005060F3">
        <w:rPr>
          <w:rFonts w:asciiTheme="minorHAnsi" w:hAnsiTheme="minorHAnsi"/>
          <w:color w:val="auto"/>
          <w:szCs w:val="24"/>
        </w:rPr>
        <w:t>X</w:t>
      </w:r>
      <w:r w:rsidR="00A121B5">
        <w:rPr>
          <w:rFonts w:asciiTheme="minorHAnsi" w:hAnsiTheme="minorHAnsi"/>
          <w:color w:val="auto"/>
          <w:szCs w:val="24"/>
        </w:rPr>
        <w:t xml:space="preserve">-ray findings and occasional incapacitating episodes (10% and 20%).  Following surgery, there was persistent limitation from high intensity physical activity but there were no incapacitating episodes documented consistent with a 10% rating </w:t>
      </w:r>
      <w:proofErr w:type="gramStart"/>
      <w:r w:rsidR="00A121B5">
        <w:rPr>
          <w:rFonts w:asciiTheme="minorHAnsi" w:hAnsiTheme="minorHAnsi"/>
          <w:color w:val="auto"/>
          <w:szCs w:val="24"/>
        </w:rPr>
        <w:t>under</w:t>
      </w:r>
      <w:proofErr w:type="gramEnd"/>
      <w:r w:rsidR="00A121B5">
        <w:rPr>
          <w:rFonts w:asciiTheme="minorHAnsi" w:hAnsiTheme="minorHAnsi"/>
          <w:color w:val="auto"/>
          <w:szCs w:val="24"/>
        </w:rPr>
        <w:t xml:space="preserve"> 5003.  </w:t>
      </w:r>
      <w:r w:rsidR="006D5E2A">
        <w:rPr>
          <w:rFonts w:asciiTheme="minorHAnsi" w:hAnsiTheme="minorHAnsi"/>
          <w:color w:val="auto"/>
          <w:szCs w:val="24"/>
        </w:rPr>
        <w:t>The PEB</w:t>
      </w:r>
      <w:r w:rsidR="00001AAB">
        <w:rPr>
          <w:rFonts w:asciiTheme="minorHAnsi" w:hAnsiTheme="minorHAnsi"/>
          <w:color w:val="auto"/>
          <w:szCs w:val="24"/>
        </w:rPr>
        <w:t>,</w:t>
      </w:r>
      <w:r w:rsidR="006D5E2A">
        <w:rPr>
          <w:rFonts w:asciiTheme="minorHAnsi" w:hAnsiTheme="minorHAnsi"/>
          <w:color w:val="auto"/>
          <w:szCs w:val="24"/>
        </w:rPr>
        <w:t xml:space="preserve"> </w:t>
      </w:r>
      <w:r w:rsidR="00001AAB">
        <w:rPr>
          <w:rFonts w:asciiTheme="minorHAnsi" w:hAnsiTheme="minorHAnsi"/>
          <w:color w:val="auto"/>
          <w:szCs w:val="24"/>
        </w:rPr>
        <w:t xml:space="preserve">in adjudicating a rating, </w:t>
      </w:r>
      <w:r w:rsidR="006D5E2A">
        <w:rPr>
          <w:rFonts w:asciiTheme="minorHAnsi" w:hAnsiTheme="minorHAnsi"/>
          <w:color w:val="auto"/>
          <w:szCs w:val="24"/>
        </w:rPr>
        <w:t>noted the pre-existing ankle condition but made no deduction (0%).</w:t>
      </w:r>
      <w:r w:rsidR="00001AAB">
        <w:rPr>
          <w:rFonts w:asciiTheme="minorHAnsi" w:hAnsiTheme="minorHAnsi"/>
          <w:color w:val="auto"/>
          <w:szCs w:val="24"/>
        </w:rPr>
        <w:t xml:space="preserve">  </w:t>
      </w:r>
      <w:r w:rsidR="00001AAB" w:rsidRPr="00001AAB">
        <w:rPr>
          <w:rFonts w:asciiTheme="minorHAnsi" w:hAnsiTheme="minorHAnsi"/>
          <w:color w:val="auto"/>
          <w:szCs w:val="24"/>
        </w:rPr>
        <w:t xml:space="preserve">The Board agreed the CI’s </w:t>
      </w:r>
      <w:r w:rsidR="00001AAB">
        <w:rPr>
          <w:rFonts w:asciiTheme="minorHAnsi" w:hAnsiTheme="minorHAnsi"/>
          <w:color w:val="auto"/>
          <w:szCs w:val="24"/>
        </w:rPr>
        <w:t xml:space="preserve">left ankle </w:t>
      </w:r>
      <w:r w:rsidR="00001AAB" w:rsidRPr="00001AAB">
        <w:rPr>
          <w:rFonts w:asciiTheme="minorHAnsi" w:hAnsiTheme="minorHAnsi"/>
          <w:color w:val="auto"/>
          <w:szCs w:val="24"/>
        </w:rPr>
        <w:t xml:space="preserve">degenerative arthritis condition was due to trauma.  Although the degenerative changes were likely present prior to entry and initially caused by a pre-service injury, it is likely that military training caused permanent worsening of the left ankle condition beyond the natural progression of the disease.  </w:t>
      </w:r>
      <w:r w:rsidR="00494760">
        <w:rPr>
          <w:rFonts w:asciiTheme="minorHAnsi" w:hAnsiTheme="minorHAnsi"/>
          <w:color w:val="auto"/>
          <w:szCs w:val="24"/>
        </w:rPr>
        <w:t>The VA initially rated the condition 10% based on service</w:t>
      </w:r>
      <w:r w:rsidR="00870EFC">
        <w:rPr>
          <w:rFonts w:asciiTheme="minorHAnsi" w:hAnsiTheme="minorHAnsi"/>
          <w:color w:val="auto"/>
          <w:szCs w:val="24"/>
        </w:rPr>
        <w:t xml:space="preserve"> treatment</w:t>
      </w:r>
      <w:r w:rsidR="00494760">
        <w:rPr>
          <w:rFonts w:asciiTheme="minorHAnsi" w:hAnsiTheme="minorHAnsi"/>
          <w:color w:val="auto"/>
          <w:szCs w:val="24"/>
        </w:rPr>
        <w:t xml:space="preserve"> records </w:t>
      </w:r>
      <w:r w:rsidR="00870EFC">
        <w:rPr>
          <w:rFonts w:asciiTheme="minorHAnsi" w:hAnsiTheme="minorHAnsi"/>
          <w:color w:val="auto"/>
          <w:szCs w:val="24"/>
        </w:rPr>
        <w:t>(</w:t>
      </w:r>
      <w:r w:rsidR="00494760">
        <w:rPr>
          <w:rFonts w:asciiTheme="minorHAnsi" w:hAnsiTheme="minorHAnsi"/>
          <w:color w:val="auto"/>
          <w:szCs w:val="24"/>
        </w:rPr>
        <w:t>the CI did not show for a C&amp;P examination scheduled for September 17, 2002</w:t>
      </w:r>
      <w:r w:rsidR="00870EFC">
        <w:rPr>
          <w:rFonts w:asciiTheme="minorHAnsi" w:hAnsiTheme="minorHAnsi"/>
          <w:color w:val="auto"/>
          <w:szCs w:val="24"/>
        </w:rPr>
        <w:t>)</w:t>
      </w:r>
      <w:r w:rsidR="00001AAB">
        <w:rPr>
          <w:rFonts w:asciiTheme="minorHAnsi" w:hAnsiTheme="minorHAnsi"/>
          <w:color w:val="auto"/>
          <w:szCs w:val="24"/>
        </w:rPr>
        <w:t xml:space="preserve"> using diagnostic code 5010 for traumatic arthritis which directs rating using 5003 criteria.  </w:t>
      </w:r>
      <w:r w:rsidR="00494760">
        <w:rPr>
          <w:rFonts w:asciiTheme="minorHAnsi" w:hAnsiTheme="minorHAnsi"/>
          <w:color w:val="auto"/>
          <w:szCs w:val="24"/>
        </w:rPr>
        <w:t>Subsequently</w:t>
      </w:r>
      <w:r w:rsidR="00001AAB">
        <w:rPr>
          <w:rFonts w:asciiTheme="minorHAnsi" w:hAnsiTheme="minorHAnsi"/>
          <w:color w:val="auto"/>
          <w:szCs w:val="24"/>
        </w:rPr>
        <w:t xml:space="preserve">, </w:t>
      </w:r>
      <w:r w:rsidR="00494760">
        <w:rPr>
          <w:rFonts w:asciiTheme="minorHAnsi" w:hAnsiTheme="minorHAnsi"/>
          <w:color w:val="auto"/>
          <w:szCs w:val="24"/>
        </w:rPr>
        <w:t xml:space="preserve">the </w:t>
      </w:r>
      <w:r w:rsidRPr="00EB75F2">
        <w:rPr>
          <w:rFonts w:asciiTheme="minorHAnsi" w:hAnsiTheme="minorHAnsi"/>
          <w:color w:val="auto"/>
          <w:szCs w:val="24"/>
        </w:rPr>
        <w:t xml:space="preserve">VA rated the condition 20% using diagnostic code </w:t>
      </w:r>
      <w:r>
        <w:rPr>
          <w:rFonts w:asciiTheme="minorHAnsi" w:hAnsiTheme="minorHAnsi"/>
          <w:color w:val="auto"/>
          <w:szCs w:val="24"/>
        </w:rPr>
        <w:t>5010-5271</w:t>
      </w:r>
      <w:r w:rsidR="009B4C91">
        <w:rPr>
          <w:rFonts w:asciiTheme="minorHAnsi" w:hAnsiTheme="minorHAnsi"/>
          <w:color w:val="auto"/>
          <w:szCs w:val="24"/>
        </w:rPr>
        <w:t xml:space="preserve">, </w:t>
      </w:r>
      <w:r w:rsidR="00054B78">
        <w:rPr>
          <w:rFonts w:asciiTheme="minorHAnsi" w:hAnsiTheme="minorHAnsi"/>
          <w:color w:val="auto"/>
          <w:szCs w:val="24"/>
        </w:rPr>
        <w:t>arth</w:t>
      </w:r>
      <w:r w:rsidR="009B4C91">
        <w:rPr>
          <w:rFonts w:asciiTheme="minorHAnsi" w:hAnsiTheme="minorHAnsi"/>
          <w:color w:val="auto"/>
          <w:szCs w:val="24"/>
        </w:rPr>
        <w:t>r</w:t>
      </w:r>
      <w:r w:rsidR="00054B78">
        <w:rPr>
          <w:rFonts w:asciiTheme="minorHAnsi" w:hAnsiTheme="minorHAnsi"/>
          <w:color w:val="auto"/>
          <w:szCs w:val="24"/>
        </w:rPr>
        <w:t>itis due to trauma</w:t>
      </w:r>
      <w:r w:rsidR="009B4C91">
        <w:rPr>
          <w:rFonts w:asciiTheme="minorHAnsi" w:hAnsiTheme="minorHAnsi"/>
          <w:color w:val="auto"/>
          <w:szCs w:val="24"/>
        </w:rPr>
        <w:t>, rating based on</w:t>
      </w:r>
      <w:r w:rsidR="00494760" w:rsidRPr="00494760">
        <w:rPr>
          <w:rFonts w:asciiTheme="minorHAnsi" w:hAnsiTheme="minorHAnsi"/>
          <w:color w:val="auto"/>
          <w:szCs w:val="24"/>
        </w:rPr>
        <w:t xml:space="preserve"> </w:t>
      </w:r>
      <w:r w:rsidR="00494760">
        <w:rPr>
          <w:rFonts w:asciiTheme="minorHAnsi" w:hAnsiTheme="minorHAnsi"/>
          <w:color w:val="auto"/>
          <w:szCs w:val="24"/>
        </w:rPr>
        <w:t>loss of ROM (code 5271) shown in a C&amp;P examination 10 months after separation.</w:t>
      </w:r>
      <w:r w:rsidR="00001AAB">
        <w:rPr>
          <w:rFonts w:asciiTheme="minorHAnsi" w:hAnsiTheme="minorHAnsi"/>
          <w:color w:val="auto"/>
          <w:szCs w:val="24"/>
        </w:rPr>
        <w:t xml:space="preserve">  </w:t>
      </w:r>
      <w:r w:rsidR="009B4C91">
        <w:rPr>
          <w:rFonts w:asciiTheme="minorHAnsi" w:hAnsiTheme="minorHAnsi"/>
          <w:color w:val="auto"/>
          <w:szCs w:val="24"/>
        </w:rPr>
        <w:t xml:space="preserve">VASRD </w:t>
      </w:r>
      <w:r w:rsidR="009B4C91" w:rsidRPr="00EB75F2">
        <w:rPr>
          <w:rFonts w:asciiTheme="minorHAnsi" w:hAnsiTheme="minorHAnsi"/>
          <w:color w:val="auto"/>
          <w:szCs w:val="24"/>
        </w:rPr>
        <w:t>diagnostic code 5271, ankle limitation of motion</w:t>
      </w:r>
      <w:r w:rsidR="009B4C91">
        <w:rPr>
          <w:rFonts w:asciiTheme="minorHAnsi" w:hAnsiTheme="minorHAnsi"/>
          <w:color w:val="auto"/>
          <w:szCs w:val="24"/>
        </w:rPr>
        <w:t xml:space="preserve">, </w:t>
      </w:r>
      <w:r w:rsidR="009B4C91" w:rsidRPr="00EB75F2">
        <w:rPr>
          <w:rFonts w:asciiTheme="minorHAnsi" w:hAnsiTheme="minorHAnsi"/>
          <w:color w:val="auto"/>
          <w:szCs w:val="24"/>
        </w:rPr>
        <w:t>provides two options</w:t>
      </w:r>
      <w:r w:rsidR="009B4C91">
        <w:rPr>
          <w:rFonts w:asciiTheme="minorHAnsi" w:hAnsiTheme="minorHAnsi"/>
          <w:color w:val="auto"/>
          <w:szCs w:val="24"/>
        </w:rPr>
        <w:t xml:space="preserve">: moderate 10%, and marked 20%.  All members agreed the right ankle did not attain a minimum rating using </w:t>
      </w:r>
      <w:r w:rsidR="004B624E">
        <w:rPr>
          <w:rFonts w:asciiTheme="minorHAnsi" w:hAnsiTheme="minorHAnsi"/>
          <w:color w:val="auto"/>
          <w:szCs w:val="24"/>
        </w:rPr>
        <w:t xml:space="preserve">5271 </w:t>
      </w:r>
      <w:r w:rsidR="009B4C91">
        <w:rPr>
          <w:rFonts w:asciiTheme="minorHAnsi" w:hAnsiTheme="minorHAnsi"/>
          <w:color w:val="auto"/>
          <w:szCs w:val="24"/>
        </w:rPr>
        <w:t>or any other code</w:t>
      </w:r>
      <w:r w:rsidR="00861E5C">
        <w:rPr>
          <w:rFonts w:asciiTheme="minorHAnsi" w:hAnsiTheme="minorHAnsi"/>
          <w:color w:val="auto"/>
          <w:szCs w:val="24"/>
        </w:rPr>
        <w:t xml:space="preserve">, and further </w:t>
      </w:r>
      <w:r w:rsidR="00554CD9">
        <w:rPr>
          <w:rFonts w:asciiTheme="minorHAnsi" w:hAnsiTheme="minorHAnsi"/>
          <w:color w:val="auto"/>
          <w:szCs w:val="24"/>
        </w:rPr>
        <w:t xml:space="preserve">noted </w:t>
      </w:r>
      <w:r w:rsidR="00861E5C">
        <w:rPr>
          <w:rFonts w:asciiTheme="minorHAnsi" w:hAnsiTheme="minorHAnsi"/>
          <w:color w:val="auto"/>
          <w:szCs w:val="24"/>
        </w:rPr>
        <w:t>that there was no evidence showing a right ankle disability that would have been unfitting alone.</w:t>
      </w:r>
      <w:r w:rsidR="009B4C91">
        <w:rPr>
          <w:rFonts w:asciiTheme="minorHAnsi" w:hAnsiTheme="minorHAnsi"/>
          <w:color w:val="auto"/>
          <w:szCs w:val="24"/>
        </w:rPr>
        <w:t xml:space="preserve">  </w:t>
      </w:r>
      <w:r w:rsidR="009B4C91" w:rsidRPr="00EB75F2">
        <w:rPr>
          <w:rFonts w:asciiTheme="minorHAnsi" w:hAnsiTheme="minorHAnsi"/>
          <w:color w:val="auto"/>
          <w:szCs w:val="24"/>
        </w:rPr>
        <w:t>After due deliberation, considering all of the evidence and mindful of VASRD §4.3 (reasonable doubt) and §4.7 (higher of two evaluations), the Board recommends a separation rating o</w:t>
      </w:r>
      <w:r w:rsidR="00001AAB">
        <w:rPr>
          <w:rFonts w:asciiTheme="minorHAnsi" w:hAnsiTheme="minorHAnsi"/>
          <w:color w:val="auto"/>
          <w:szCs w:val="24"/>
        </w:rPr>
        <w:t xml:space="preserve">f 20% </w:t>
      </w:r>
      <w:r w:rsidR="009B4C91" w:rsidRPr="00EB75F2">
        <w:rPr>
          <w:rFonts w:asciiTheme="minorHAnsi" w:hAnsiTheme="minorHAnsi"/>
          <w:color w:val="auto"/>
          <w:szCs w:val="24"/>
        </w:rPr>
        <w:t xml:space="preserve">using diagnostic code </w:t>
      </w:r>
      <w:r w:rsidR="005E6D0F">
        <w:rPr>
          <w:rFonts w:asciiTheme="minorHAnsi" w:hAnsiTheme="minorHAnsi"/>
          <w:color w:val="auto"/>
          <w:szCs w:val="24"/>
        </w:rPr>
        <w:t>5010-</w:t>
      </w:r>
      <w:r w:rsidR="005E6D0F" w:rsidRPr="00EB75F2">
        <w:rPr>
          <w:rFonts w:asciiTheme="minorHAnsi" w:hAnsiTheme="minorHAnsi"/>
          <w:color w:val="auto"/>
          <w:szCs w:val="24"/>
        </w:rPr>
        <w:t>5271</w:t>
      </w:r>
      <w:r w:rsidR="00861E5C">
        <w:rPr>
          <w:rFonts w:asciiTheme="minorHAnsi" w:hAnsiTheme="minorHAnsi"/>
          <w:color w:val="auto"/>
          <w:szCs w:val="24"/>
        </w:rPr>
        <w:t xml:space="preserve">, arthritis due to trauma, </w:t>
      </w:r>
      <w:r w:rsidR="005E6D0F" w:rsidRPr="00EB75F2">
        <w:rPr>
          <w:rFonts w:asciiTheme="minorHAnsi" w:hAnsiTheme="minorHAnsi"/>
          <w:color w:val="auto"/>
          <w:szCs w:val="24"/>
        </w:rPr>
        <w:t>limitation of ankle motion</w:t>
      </w:r>
      <w:r w:rsidR="00001AAB">
        <w:rPr>
          <w:rFonts w:asciiTheme="minorHAnsi" w:hAnsiTheme="minorHAnsi"/>
          <w:color w:val="auto"/>
          <w:szCs w:val="24"/>
        </w:rPr>
        <w:t xml:space="preserve">, </w:t>
      </w:r>
      <w:r w:rsidR="005E6D0F" w:rsidRPr="00EB75F2">
        <w:rPr>
          <w:rFonts w:asciiTheme="minorHAnsi" w:hAnsiTheme="minorHAnsi"/>
          <w:color w:val="auto"/>
          <w:szCs w:val="24"/>
        </w:rPr>
        <w:t>marked</w:t>
      </w:r>
      <w:r w:rsidR="00001AAB">
        <w:rPr>
          <w:rFonts w:asciiTheme="minorHAnsi" w:hAnsiTheme="minorHAnsi"/>
          <w:color w:val="auto"/>
          <w:szCs w:val="24"/>
        </w:rPr>
        <w:t xml:space="preserve"> (20%) </w:t>
      </w:r>
      <w:r w:rsidR="005E6D0F">
        <w:rPr>
          <w:rFonts w:asciiTheme="minorHAnsi" w:hAnsiTheme="minorHAnsi"/>
          <w:color w:val="auto"/>
          <w:szCs w:val="24"/>
        </w:rPr>
        <w:t>for the left ankle</w:t>
      </w:r>
      <w:r w:rsidR="00A0028D">
        <w:rPr>
          <w:rFonts w:asciiTheme="minorHAnsi" w:hAnsiTheme="minorHAnsi"/>
          <w:color w:val="auto"/>
          <w:szCs w:val="24"/>
        </w:rPr>
        <w:t>,</w:t>
      </w:r>
      <w:r w:rsidR="005E6D0F">
        <w:rPr>
          <w:rFonts w:asciiTheme="minorHAnsi" w:hAnsiTheme="minorHAnsi"/>
          <w:color w:val="auto"/>
          <w:szCs w:val="24"/>
        </w:rPr>
        <w:t xml:space="preserve"> and 0% for the right ankle.</w:t>
      </w:r>
      <w:r w:rsidR="00D823FE">
        <w:rPr>
          <w:rFonts w:asciiTheme="minorHAnsi" w:hAnsiTheme="minorHAnsi"/>
          <w:color w:val="auto"/>
          <w:szCs w:val="24"/>
        </w:rPr>
        <w:t xml:space="preserve">  </w:t>
      </w:r>
      <w:r w:rsidRPr="00EB75F2">
        <w:rPr>
          <w:rFonts w:asciiTheme="minorHAnsi" w:hAnsiTheme="minorHAnsi"/>
          <w:color w:val="auto"/>
          <w:szCs w:val="24"/>
        </w:rPr>
        <w:t>The Board considered rating under different coding options</w:t>
      </w:r>
      <w:r w:rsidR="006232E7">
        <w:rPr>
          <w:rFonts w:asciiTheme="minorHAnsi" w:hAnsiTheme="minorHAnsi"/>
          <w:color w:val="auto"/>
          <w:szCs w:val="24"/>
        </w:rPr>
        <w:t>,</w:t>
      </w:r>
      <w:r w:rsidRPr="00EB75F2">
        <w:rPr>
          <w:rFonts w:asciiTheme="minorHAnsi" w:hAnsiTheme="minorHAnsi"/>
          <w:color w:val="auto"/>
          <w:szCs w:val="24"/>
        </w:rPr>
        <w:t xml:space="preserve"> but a higher rating benefiting the member did not result.</w:t>
      </w:r>
    </w:p>
    <w:p w:rsidR="009C19E8" w:rsidRDefault="009C19E8" w:rsidP="00BF7638">
      <w:pPr>
        <w:spacing w:line="240" w:lineRule="exact"/>
        <w:jc w:val="both"/>
        <w:rPr>
          <w:rFonts w:eastAsia="HiddenHorzOCR"/>
          <w:color w:val="auto"/>
          <w:szCs w:val="24"/>
          <w:u w:val="single"/>
        </w:rPr>
      </w:pPr>
    </w:p>
    <w:p w:rsidR="00EC337D" w:rsidRDefault="00EC337D" w:rsidP="00BF7638">
      <w:pPr>
        <w:spacing w:line="240" w:lineRule="exact"/>
        <w:jc w:val="both"/>
        <w:rPr>
          <w:color w:val="auto"/>
          <w:szCs w:val="24"/>
        </w:rPr>
      </w:pPr>
      <w:proofErr w:type="gramStart"/>
      <w:r w:rsidRPr="008B3F57">
        <w:rPr>
          <w:rFonts w:eastAsia="HiddenHorzOCR"/>
          <w:color w:val="auto"/>
          <w:szCs w:val="24"/>
          <w:u w:val="single"/>
        </w:rPr>
        <w:t>Other Contended Condition</w:t>
      </w:r>
      <w:r w:rsidR="00554CD9">
        <w:rPr>
          <w:rFonts w:eastAsia="HiddenHorzOCR"/>
          <w:color w:val="auto"/>
          <w:szCs w:val="24"/>
          <w:u w:val="single"/>
        </w:rPr>
        <w:t>s</w:t>
      </w:r>
      <w:r w:rsidR="005060F3">
        <w:rPr>
          <w:rFonts w:eastAsia="HiddenHorzOCR"/>
          <w:color w:val="auto"/>
          <w:szCs w:val="24"/>
          <w:u w:val="single"/>
        </w:rPr>
        <w:t>.</w:t>
      </w:r>
      <w:proofErr w:type="gramEnd"/>
      <w:r w:rsidRPr="008B3F57">
        <w:rPr>
          <w:rFonts w:eastAsia="HiddenHorzOCR"/>
          <w:color w:val="auto"/>
          <w:szCs w:val="24"/>
        </w:rPr>
        <w:t xml:space="preserve">  The CI’s application asserts that </w:t>
      </w:r>
      <w:r w:rsidR="00554CD9">
        <w:rPr>
          <w:rFonts w:eastAsia="HiddenHorzOCR"/>
          <w:color w:val="auto"/>
          <w:szCs w:val="24"/>
        </w:rPr>
        <w:t xml:space="preserve">a </w:t>
      </w:r>
      <w:r w:rsidRPr="008B3F57">
        <w:rPr>
          <w:rFonts w:eastAsia="HiddenHorzOCR"/>
          <w:color w:val="auto"/>
          <w:szCs w:val="24"/>
        </w:rPr>
        <w:t xml:space="preserve">compensable rating should be considered for </w:t>
      </w:r>
      <w:r w:rsidR="00BB36EA" w:rsidRPr="008B3F57">
        <w:rPr>
          <w:rFonts w:eastAsia="HiddenHorzOCR"/>
          <w:color w:val="auto"/>
          <w:szCs w:val="24"/>
        </w:rPr>
        <w:t xml:space="preserve">a </w:t>
      </w:r>
      <w:r w:rsidR="00C9341A">
        <w:rPr>
          <w:rFonts w:eastAsia="HiddenHorzOCR"/>
          <w:color w:val="auto"/>
          <w:szCs w:val="24"/>
        </w:rPr>
        <w:t>b</w:t>
      </w:r>
      <w:r w:rsidR="00BB36EA" w:rsidRPr="008B3F57">
        <w:rPr>
          <w:rFonts w:eastAsia="HiddenHorzOCR"/>
          <w:color w:val="auto"/>
          <w:szCs w:val="24"/>
        </w:rPr>
        <w:t xml:space="preserve">ack </w:t>
      </w:r>
      <w:r w:rsidR="00C9341A">
        <w:rPr>
          <w:rFonts w:eastAsia="HiddenHorzOCR"/>
          <w:color w:val="auto"/>
          <w:szCs w:val="24"/>
        </w:rPr>
        <w:t>c</w:t>
      </w:r>
      <w:r w:rsidR="00BB36EA" w:rsidRPr="008B3F57">
        <w:rPr>
          <w:rFonts w:eastAsia="HiddenHorzOCR"/>
          <w:color w:val="auto"/>
          <w:szCs w:val="24"/>
        </w:rPr>
        <w:t>ondition</w:t>
      </w:r>
      <w:r w:rsidR="00A365CB">
        <w:rPr>
          <w:rFonts w:eastAsia="HiddenHorzOCR"/>
          <w:color w:val="auto"/>
          <w:szCs w:val="24"/>
        </w:rPr>
        <w:t xml:space="preserve"> because “</w:t>
      </w:r>
      <w:r w:rsidR="005060F3">
        <w:rPr>
          <w:rFonts w:eastAsia="HiddenHorzOCR"/>
          <w:color w:val="auto"/>
          <w:szCs w:val="24"/>
        </w:rPr>
        <w:t>s</w:t>
      </w:r>
      <w:r w:rsidR="00A365CB" w:rsidRPr="00463C41">
        <w:rPr>
          <w:color w:val="auto"/>
          <w:szCs w:val="24"/>
        </w:rPr>
        <w:t xml:space="preserve">hortly after military discharge in May of 2002, I found that my </w:t>
      </w:r>
      <w:r w:rsidR="005060F3">
        <w:rPr>
          <w:color w:val="auto"/>
          <w:szCs w:val="24"/>
        </w:rPr>
        <w:t>b</w:t>
      </w:r>
      <w:r w:rsidR="00A365CB" w:rsidRPr="00463C41">
        <w:rPr>
          <w:color w:val="auto"/>
          <w:szCs w:val="24"/>
        </w:rPr>
        <w:t>ack was in bad condition.</w:t>
      </w:r>
      <w:r w:rsidR="00870EFC">
        <w:rPr>
          <w:color w:val="auto"/>
          <w:szCs w:val="24"/>
        </w:rPr>
        <w:t xml:space="preserve"> </w:t>
      </w:r>
      <w:r w:rsidR="00A365CB" w:rsidRPr="00463C41">
        <w:rPr>
          <w:color w:val="auto"/>
          <w:szCs w:val="24"/>
        </w:rPr>
        <w:t xml:space="preserve"> My back is the worse of the two evils and I have pain on a daily basis.”</w:t>
      </w:r>
      <w:r w:rsidRPr="008B3F57">
        <w:rPr>
          <w:rFonts w:eastAsia="HiddenHorzOCR"/>
          <w:color w:val="auto"/>
          <w:szCs w:val="24"/>
        </w:rPr>
        <w:t xml:space="preserve">  </w:t>
      </w:r>
      <w:r w:rsidR="00940E08">
        <w:rPr>
          <w:rFonts w:eastAsia="HiddenHorzOCR"/>
          <w:color w:val="auto"/>
          <w:szCs w:val="24"/>
        </w:rPr>
        <w:t>Except for a recruit screening examination</w:t>
      </w:r>
      <w:r w:rsidR="005060F3">
        <w:rPr>
          <w:rFonts w:eastAsia="HiddenHorzOCR"/>
          <w:color w:val="auto"/>
          <w:szCs w:val="24"/>
        </w:rPr>
        <w:t xml:space="preserve"> in </w:t>
      </w:r>
      <w:r w:rsidR="00BA2AB6">
        <w:rPr>
          <w:rFonts w:eastAsia="HiddenHorzOCR"/>
          <w:color w:val="auto"/>
          <w:szCs w:val="24"/>
        </w:rPr>
        <w:t>June 2000</w:t>
      </w:r>
      <w:r w:rsidR="00F34D5B">
        <w:rPr>
          <w:rFonts w:eastAsia="HiddenHorzOCR"/>
          <w:color w:val="auto"/>
          <w:szCs w:val="24"/>
        </w:rPr>
        <w:t>,</w:t>
      </w:r>
      <w:r w:rsidR="00BA2AB6">
        <w:rPr>
          <w:rFonts w:eastAsia="HiddenHorzOCR"/>
          <w:color w:val="auto"/>
          <w:szCs w:val="24"/>
        </w:rPr>
        <w:t xml:space="preserve"> for </w:t>
      </w:r>
      <w:r w:rsidR="00F34D5B">
        <w:rPr>
          <w:rFonts w:eastAsia="HiddenHorzOCR"/>
          <w:color w:val="auto"/>
          <w:szCs w:val="24"/>
        </w:rPr>
        <w:t xml:space="preserve">complaint of </w:t>
      </w:r>
      <w:r w:rsidR="00BA2AB6">
        <w:rPr>
          <w:rFonts w:eastAsia="HiddenHorzOCR"/>
          <w:color w:val="auto"/>
          <w:szCs w:val="24"/>
        </w:rPr>
        <w:t xml:space="preserve">one week of back pain with a one year </w:t>
      </w:r>
      <w:r w:rsidR="00A365CB">
        <w:rPr>
          <w:rFonts w:eastAsia="HiddenHorzOCR"/>
          <w:color w:val="auto"/>
          <w:szCs w:val="24"/>
        </w:rPr>
        <w:t xml:space="preserve">history of occasional back pain </w:t>
      </w:r>
      <w:r w:rsidR="00BA2AB6">
        <w:rPr>
          <w:rFonts w:eastAsia="HiddenHorzOCR"/>
          <w:color w:val="auto"/>
          <w:szCs w:val="24"/>
        </w:rPr>
        <w:t xml:space="preserve">extending </w:t>
      </w:r>
      <w:r w:rsidR="00940E08">
        <w:rPr>
          <w:rFonts w:eastAsia="HiddenHorzOCR"/>
          <w:color w:val="auto"/>
          <w:szCs w:val="24"/>
        </w:rPr>
        <w:t>prior to entry onto active duty, s</w:t>
      </w:r>
      <w:r w:rsidR="009C19E8">
        <w:rPr>
          <w:rFonts w:eastAsia="HiddenHorzOCR"/>
          <w:color w:val="auto"/>
          <w:szCs w:val="24"/>
        </w:rPr>
        <w:t>ervice treatment records are silent for complaints</w:t>
      </w:r>
      <w:r w:rsidR="00870EFC">
        <w:rPr>
          <w:rFonts w:eastAsia="HiddenHorzOCR"/>
          <w:color w:val="auto"/>
          <w:szCs w:val="24"/>
        </w:rPr>
        <w:t xml:space="preserve"> of,</w:t>
      </w:r>
      <w:r w:rsidR="009C19E8">
        <w:rPr>
          <w:rFonts w:eastAsia="HiddenHorzOCR"/>
          <w:color w:val="auto"/>
          <w:szCs w:val="24"/>
        </w:rPr>
        <w:t xml:space="preserve"> or care for back pain.  At the time of the MEB history and physical examination (DD</w:t>
      </w:r>
      <w:r w:rsidR="005060F3">
        <w:rPr>
          <w:rFonts w:eastAsia="HiddenHorzOCR"/>
          <w:color w:val="auto"/>
          <w:szCs w:val="24"/>
        </w:rPr>
        <w:t xml:space="preserve"> Form</w:t>
      </w:r>
      <w:r w:rsidR="009C19E8">
        <w:rPr>
          <w:rFonts w:eastAsia="HiddenHorzOCR"/>
          <w:color w:val="auto"/>
          <w:szCs w:val="24"/>
        </w:rPr>
        <w:t xml:space="preserve"> 2807), the</w:t>
      </w:r>
      <w:r w:rsidR="00853D46">
        <w:rPr>
          <w:rFonts w:eastAsia="HiddenHorzOCR"/>
          <w:color w:val="auto"/>
          <w:szCs w:val="24"/>
        </w:rPr>
        <w:t xml:space="preserve">re was also no </w:t>
      </w:r>
      <w:r w:rsidR="00870EFC">
        <w:rPr>
          <w:rFonts w:eastAsia="HiddenHorzOCR"/>
          <w:color w:val="auto"/>
          <w:szCs w:val="24"/>
        </w:rPr>
        <w:t xml:space="preserve">active </w:t>
      </w:r>
      <w:r w:rsidR="00853D46">
        <w:rPr>
          <w:rFonts w:eastAsia="HiddenHorzOCR"/>
          <w:color w:val="auto"/>
          <w:szCs w:val="24"/>
        </w:rPr>
        <w:t xml:space="preserve">complaint of </w:t>
      </w:r>
      <w:r w:rsidR="009C19E8">
        <w:rPr>
          <w:rFonts w:eastAsia="HiddenHorzOCR"/>
          <w:color w:val="auto"/>
          <w:szCs w:val="24"/>
        </w:rPr>
        <w:t>back pain.</w:t>
      </w:r>
      <w:r w:rsidR="00853D46">
        <w:rPr>
          <w:rFonts w:eastAsia="HiddenHorzOCR"/>
          <w:color w:val="auto"/>
          <w:szCs w:val="24"/>
        </w:rPr>
        <w:t xml:space="preserve"> </w:t>
      </w:r>
      <w:r w:rsidR="009C19E8">
        <w:rPr>
          <w:rFonts w:eastAsia="HiddenHorzOCR"/>
          <w:color w:val="auto"/>
          <w:szCs w:val="24"/>
        </w:rPr>
        <w:t xml:space="preserve"> </w:t>
      </w:r>
      <w:r w:rsidR="00940E08">
        <w:rPr>
          <w:rFonts w:eastAsia="HiddenHorzOCR"/>
          <w:color w:val="auto"/>
          <w:szCs w:val="24"/>
        </w:rPr>
        <w:t xml:space="preserve">VA </w:t>
      </w:r>
      <w:r w:rsidR="00853D46">
        <w:rPr>
          <w:rFonts w:eastAsia="HiddenHorzOCR"/>
          <w:color w:val="auto"/>
          <w:szCs w:val="24"/>
        </w:rPr>
        <w:t xml:space="preserve">spine </w:t>
      </w:r>
      <w:r w:rsidR="00940E08">
        <w:rPr>
          <w:rFonts w:eastAsia="HiddenHorzOCR"/>
          <w:color w:val="auto"/>
          <w:szCs w:val="24"/>
        </w:rPr>
        <w:t xml:space="preserve">C&amp;P examination </w:t>
      </w:r>
      <w:r w:rsidR="00853D46">
        <w:rPr>
          <w:rFonts w:eastAsia="HiddenHorzOCR"/>
          <w:color w:val="auto"/>
          <w:szCs w:val="24"/>
        </w:rPr>
        <w:t xml:space="preserve">(March 2003) </w:t>
      </w:r>
      <w:r w:rsidR="00940E08">
        <w:rPr>
          <w:rFonts w:eastAsia="HiddenHorzOCR"/>
          <w:color w:val="auto"/>
          <w:szCs w:val="24"/>
        </w:rPr>
        <w:t xml:space="preserve">records </w:t>
      </w:r>
      <w:r w:rsidR="00870EFC">
        <w:rPr>
          <w:rFonts w:eastAsia="HiddenHorzOCR"/>
          <w:color w:val="auto"/>
          <w:szCs w:val="24"/>
        </w:rPr>
        <w:t xml:space="preserve">the </w:t>
      </w:r>
      <w:r w:rsidR="00940E08">
        <w:rPr>
          <w:rFonts w:eastAsia="HiddenHorzOCR"/>
          <w:color w:val="auto"/>
          <w:szCs w:val="24"/>
        </w:rPr>
        <w:t>onset of back pain three months after separation while playing basketball.</w:t>
      </w:r>
      <w:r w:rsidR="009C19E8">
        <w:rPr>
          <w:rFonts w:eastAsia="HiddenHorzOCR"/>
          <w:color w:val="auto"/>
          <w:szCs w:val="24"/>
        </w:rPr>
        <w:t xml:space="preserve"> </w:t>
      </w:r>
      <w:r w:rsidR="00853D46">
        <w:rPr>
          <w:rFonts w:eastAsia="HiddenHorzOCR"/>
          <w:color w:val="auto"/>
          <w:szCs w:val="24"/>
        </w:rPr>
        <w:t xml:space="preserve"> </w:t>
      </w:r>
      <w:r w:rsidR="00BB36EA" w:rsidRPr="008B3F57">
        <w:rPr>
          <w:rFonts w:eastAsia="HiddenHorzOCR"/>
          <w:color w:val="auto"/>
          <w:szCs w:val="24"/>
        </w:rPr>
        <w:t>This</w:t>
      </w:r>
      <w:r w:rsidRPr="008B3F57">
        <w:rPr>
          <w:color w:val="auto"/>
          <w:szCs w:val="24"/>
        </w:rPr>
        <w:t xml:space="preserve"> condition</w:t>
      </w:r>
      <w:r w:rsidR="00BB36EA" w:rsidRPr="008B3F57">
        <w:rPr>
          <w:color w:val="auto"/>
          <w:szCs w:val="24"/>
        </w:rPr>
        <w:t xml:space="preserve"> was</w:t>
      </w:r>
      <w:r w:rsidRPr="008B3F57">
        <w:rPr>
          <w:color w:val="auto"/>
          <w:szCs w:val="24"/>
        </w:rPr>
        <w:t xml:space="preserve"> reviewed by the </w:t>
      </w:r>
      <w:r w:rsidR="00853D46">
        <w:rPr>
          <w:color w:val="auto"/>
          <w:szCs w:val="24"/>
        </w:rPr>
        <w:t>a</w:t>
      </w:r>
      <w:r w:rsidRPr="008B3F57">
        <w:rPr>
          <w:color w:val="auto"/>
          <w:szCs w:val="24"/>
        </w:rPr>
        <w:t xml:space="preserve">ction </w:t>
      </w:r>
      <w:r w:rsidR="00853D46">
        <w:rPr>
          <w:color w:val="auto"/>
          <w:szCs w:val="24"/>
        </w:rPr>
        <w:t>o</w:t>
      </w:r>
      <w:r w:rsidRPr="008B3F57">
        <w:rPr>
          <w:color w:val="auto"/>
          <w:szCs w:val="24"/>
        </w:rPr>
        <w:t xml:space="preserve">fficer and considered by the Board.  There was no evidence for concluding that </w:t>
      </w:r>
      <w:r w:rsidR="00BB36EA" w:rsidRPr="008B3F57">
        <w:rPr>
          <w:color w:val="auto"/>
          <w:szCs w:val="24"/>
        </w:rPr>
        <w:t>this</w:t>
      </w:r>
      <w:r w:rsidRPr="008B3F57">
        <w:rPr>
          <w:color w:val="auto"/>
          <w:szCs w:val="24"/>
        </w:rPr>
        <w:t xml:space="preserve"> condition interfered with duty performance to a degree that could be argued as unfitting.  The Board determined therefore that </w:t>
      </w:r>
      <w:r w:rsidR="00BB36EA" w:rsidRPr="008B3F57">
        <w:rPr>
          <w:color w:val="auto"/>
          <w:szCs w:val="24"/>
        </w:rPr>
        <w:t>the stated condition</w:t>
      </w:r>
      <w:r w:rsidRPr="008B3F57">
        <w:rPr>
          <w:color w:val="auto"/>
          <w:szCs w:val="24"/>
        </w:rPr>
        <w:t xml:space="preserve"> w</w:t>
      </w:r>
      <w:r w:rsidR="00BB36EA" w:rsidRPr="008B3F57">
        <w:rPr>
          <w:color w:val="auto"/>
          <w:szCs w:val="24"/>
        </w:rPr>
        <w:t>as</w:t>
      </w:r>
      <w:r w:rsidRPr="008B3F57">
        <w:rPr>
          <w:color w:val="auto"/>
          <w:szCs w:val="24"/>
        </w:rPr>
        <w:t xml:space="preserve"> subject to </w:t>
      </w:r>
      <w:r w:rsidR="005060F3">
        <w:rPr>
          <w:color w:val="auto"/>
          <w:szCs w:val="24"/>
        </w:rPr>
        <w:t>s</w:t>
      </w:r>
      <w:r w:rsidRPr="008B3F57">
        <w:rPr>
          <w:color w:val="auto"/>
          <w:szCs w:val="24"/>
        </w:rPr>
        <w:t>ervice disability rating.</w:t>
      </w:r>
    </w:p>
    <w:p w:rsidR="00EC337D" w:rsidRPr="008B3F57" w:rsidRDefault="00EC337D" w:rsidP="00BF7638">
      <w:pPr>
        <w:spacing w:line="240" w:lineRule="exact"/>
        <w:jc w:val="both"/>
        <w:rPr>
          <w:color w:val="auto"/>
          <w:szCs w:val="24"/>
        </w:rPr>
      </w:pPr>
    </w:p>
    <w:p w:rsidR="00C9341A" w:rsidRPr="006232E7" w:rsidRDefault="00F53572" w:rsidP="00BF7638">
      <w:pPr>
        <w:spacing w:line="240" w:lineRule="exact"/>
        <w:jc w:val="both"/>
        <w:rPr>
          <w:color w:val="auto"/>
          <w:szCs w:val="24"/>
        </w:rPr>
      </w:pPr>
      <w:proofErr w:type="gramStart"/>
      <w:r w:rsidRPr="008B3F57">
        <w:rPr>
          <w:color w:val="auto"/>
          <w:szCs w:val="24"/>
          <w:u w:val="single"/>
        </w:rPr>
        <w:t>Remaining Conditions</w:t>
      </w:r>
      <w:r w:rsidRPr="008B3F57">
        <w:rPr>
          <w:color w:val="auto"/>
          <w:szCs w:val="24"/>
        </w:rPr>
        <w:t>.</w:t>
      </w:r>
      <w:proofErr w:type="gramEnd"/>
      <w:r w:rsidRPr="008B3F57">
        <w:rPr>
          <w:color w:val="auto"/>
          <w:szCs w:val="24"/>
        </w:rPr>
        <w:t xml:space="preserve"> </w:t>
      </w:r>
      <w:r w:rsidR="005060F3">
        <w:rPr>
          <w:color w:val="auto"/>
          <w:szCs w:val="24"/>
        </w:rPr>
        <w:t xml:space="preserve"> </w:t>
      </w:r>
      <w:r w:rsidRPr="008B3F57">
        <w:rPr>
          <w:color w:val="auto"/>
          <w:szCs w:val="24"/>
        </w:rPr>
        <w:t>No other conditions were noted in the NARSUM, identified by the CI on the MEB physical or found elsewhere in the D</w:t>
      </w:r>
      <w:r w:rsidR="005060F3">
        <w:rPr>
          <w:color w:val="auto"/>
          <w:szCs w:val="24"/>
        </w:rPr>
        <w:t>isability Evaluation System (D</w:t>
      </w:r>
      <w:r w:rsidRPr="008B3F57">
        <w:rPr>
          <w:color w:val="auto"/>
          <w:szCs w:val="24"/>
        </w:rPr>
        <w:t>ES</w:t>
      </w:r>
      <w:r w:rsidR="005060F3">
        <w:rPr>
          <w:color w:val="auto"/>
          <w:szCs w:val="24"/>
        </w:rPr>
        <w:t>)</w:t>
      </w:r>
      <w:r w:rsidRPr="008B3F57">
        <w:rPr>
          <w:color w:val="auto"/>
          <w:szCs w:val="24"/>
        </w:rPr>
        <w:t xml:space="preserve"> file.  The Board does not have the authority under DoDI 6040.44 to render fitness or rating recommendations for any conditions not </w:t>
      </w:r>
      <w:r w:rsidRPr="006232E7">
        <w:rPr>
          <w:color w:val="auto"/>
          <w:szCs w:val="24"/>
        </w:rPr>
        <w:t>considered by the DES.  The Board thus has no basis for recommending any additional unfitting conditions for separation rating.</w:t>
      </w:r>
      <w:r w:rsidR="00853D46" w:rsidRPr="006232E7">
        <w:rPr>
          <w:color w:val="auto"/>
          <w:szCs w:val="24"/>
        </w:rPr>
        <w:t xml:space="preserve">  </w:t>
      </w:r>
    </w:p>
    <w:p w:rsidR="00106AD8" w:rsidRPr="006232E7" w:rsidRDefault="001724C8" w:rsidP="000452D7">
      <w:pPr>
        <w:tabs>
          <w:tab w:val="left" w:pos="288"/>
          <w:tab w:val="left" w:pos="4752"/>
        </w:tabs>
        <w:spacing w:line="240" w:lineRule="exact"/>
        <w:rPr>
          <w:b/>
          <w:color w:val="auto"/>
          <w:u w:val="single"/>
        </w:rPr>
      </w:pPr>
      <w:r w:rsidRPr="006232E7">
        <w:rPr>
          <w:b/>
          <w:color w:val="auto"/>
          <w:u w:val="single"/>
        </w:rPr>
        <w:t>______________________________________________________________________________</w:t>
      </w:r>
    </w:p>
    <w:p w:rsidR="001724C8" w:rsidRPr="006232E7" w:rsidRDefault="001724C8" w:rsidP="000452D7">
      <w:pPr>
        <w:tabs>
          <w:tab w:val="left" w:pos="288"/>
          <w:tab w:val="left" w:pos="4752"/>
        </w:tabs>
        <w:spacing w:line="240" w:lineRule="exact"/>
        <w:rPr>
          <w:b/>
          <w:color w:val="auto"/>
          <w:szCs w:val="24"/>
        </w:rPr>
      </w:pPr>
    </w:p>
    <w:p w:rsidR="00861E5C" w:rsidRDefault="00C56FC8" w:rsidP="00861E5C">
      <w:pPr>
        <w:spacing w:line="240" w:lineRule="exact"/>
        <w:jc w:val="both"/>
        <w:rPr>
          <w:rFonts w:eastAsiaTheme="minorHAnsi"/>
          <w:color w:val="auto"/>
          <w:szCs w:val="24"/>
        </w:rPr>
      </w:pPr>
      <w:r w:rsidRPr="006232E7">
        <w:rPr>
          <w:color w:val="auto"/>
          <w:szCs w:val="24"/>
          <w:u w:val="single"/>
        </w:rPr>
        <w:t>BOARD FINDINGS</w:t>
      </w:r>
      <w:r w:rsidRPr="006232E7">
        <w:rPr>
          <w:color w:val="auto"/>
          <w:szCs w:val="24"/>
        </w:rPr>
        <w:t>:</w:t>
      </w:r>
      <w:r w:rsidRPr="006232E7">
        <w:rPr>
          <w:rFonts w:eastAsiaTheme="minorHAnsi"/>
          <w:color w:val="auto"/>
          <w:szCs w:val="24"/>
        </w:rPr>
        <w:t xml:space="preserve">  IAW DoDI 6040.44, provisions of DoD or Military Department regulations or guidelines relied upon by the PEB will not be considered by the Board to the extent they were inconsistent</w:t>
      </w:r>
      <w:r w:rsidRPr="008B3F57">
        <w:rPr>
          <w:rFonts w:eastAsiaTheme="minorHAnsi"/>
          <w:color w:val="auto"/>
          <w:szCs w:val="24"/>
        </w:rPr>
        <w:t xml:space="preserve"> with the VASRD in effect at the time of the adjudication.</w:t>
      </w:r>
      <w:r w:rsidR="00A0028D">
        <w:rPr>
          <w:rFonts w:eastAsiaTheme="minorHAnsi"/>
          <w:color w:val="auto"/>
          <w:szCs w:val="24"/>
        </w:rPr>
        <w:t xml:space="preserve">  </w:t>
      </w:r>
      <w:r w:rsidR="00861E5C" w:rsidRPr="00861E5C">
        <w:rPr>
          <w:rFonts w:eastAsiaTheme="minorHAnsi"/>
          <w:color w:val="auto"/>
          <w:szCs w:val="24"/>
        </w:rPr>
        <w:t xml:space="preserve">In the matter of the </w:t>
      </w:r>
      <w:r w:rsidR="00861E5C">
        <w:rPr>
          <w:rFonts w:eastAsiaTheme="minorHAnsi"/>
          <w:color w:val="auto"/>
          <w:szCs w:val="24"/>
        </w:rPr>
        <w:t xml:space="preserve">bilateral ankle </w:t>
      </w:r>
      <w:r w:rsidR="005060F3">
        <w:rPr>
          <w:rFonts w:eastAsiaTheme="minorHAnsi"/>
          <w:color w:val="auto"/>
          <w:szCs w:val="24"/>
        </w:rPr>
        <w:t>DJD,</w:t>
      </w:r>
      <w:r w:rsidR="00861E5C">
        <w:rPr>
          <w:rFonts w:eastAsiaTheme="minorHAnsi"/>
          <w:color w:val="auto"/>
          <w:szCs w:val="24"/>
        </w:rPr>
        <w:t xml:space="preserve"> </w:t>
      </w:r>
      <w:r w:rsidR="006232E7">
        <w:rPr>
          <w:rFonts w:eastAsiaTheme="minorHAnsi"/>
          <w:color w:val="auto"/>
          <w:szCs w:val="24"/>
        </w:rPr>
        <w:t xml:space="preserve">the Board, by a vote of 2:1 </w:t>
      </w:r>
      <w:r w:rsidR="00861E5C" w:rsidRPr="00861E5C">
        <w:rPr>
          <w:rFonts w:eastAsiaTheme="minorHAnsi"/>
          <w:color w:val="auto"/>
          <w:szCs w:val="24"/>
        </w:rPr>
        <w:t xml:space="preserve">recommends a rating of </w:t>
      </w:r>
      <w:r w:rsidR="00A0028D">
        <w:rPr>
          <w:rFonts w:eastAsiaTheme="minorHAnsi"/>
          <w:color w:val="auto"/>
          <w:szCs w:val="24"/>
        </w:rPr>
        <w:t>20% for the left ankle and 0% for the right ankle</w:t>
      </w:r>
      <w:r w:rsidR="005060F3">
        <w:rPr>
          <w:rFonts w:eastAsiaTheme="minorHAnsi"/>
          <w:color w:val="auto"/>
          <w:szCs w:val="24"/>
        </w:rPr>
        <w:t>,</w:t>
      </w:r>
      <w:r w:rsidR="00A0028D">
        <w:rPr>
          <w:rFonts w:eastAsiaTheme="minorHAnsi"/>
          <w:color w:val="auto"/>
          <w:szCs w:val="24"/>
        </w:rPr>
        <w:t xml:space="preserve"> </w:t>
      </w:r>
      <w:r w:rsidR="00861E5C" w:rsidRPr="00861E5C">
        <w:rPr>
          <w:rFonts w:eastAsiaTheme="minorHAnsi"/>
          <w:color w:val="auto"/>
          <w:szCs w:val="24"/>
        </w:rPr>
        <w:t xml:space="preserve">coded </w:t>
      </w:r>
      <w:r w:rsidR="00861E5C">
        <w:rPr>
          <w:rFonts w:eastAsiaTheme="minorHAnsi"/>
          <w:color w:val="auto"/>
          <w:szCs w:val="24"/>
        </w:rPr>
        <w:t>5010-</w:t>
      </w:r>
      <w:r w:rsidR="00861E5C" w:rsidRPr="00861E5C">
        <w:rPr>
          <w:rFonts w:eastAsiaTheme="minorHAnsi"/>
          <w:color w:val="auto"/>
          <w:szCs w:val="24"/>
        </w:rPr>
        <w:t>52</w:t>
      </w:r>
      <w:r w:rsidR="00861E5C">
        <w:rPr>
          <w:rFonts w:eastAsiaTheme="minorHAnsi"/>
          <w:color w:val="auto"/>
          <w:szCs w:val="24"/>
        </w:rPr>
        <w:t>7</w:t>
      </w:r>
      <w:r w:rsidR="00A0028D">
        <w:rPr>
          <w:rFonts w:eastAsiaTheme="minorHAnsi"/>
          <w:color w:val="auto"/>
          <w:szCs w:val="24"/>
        </w:rPr>
        <w:t>1</w:t>
      </w:r>
      <w:r w:rsidR="00861E5C" w:rsidRPr="00861E5C">
        <w:rPr>
          <w:rFonts w:eastAsiaTheme="minorHAnsi"/>
          <w:color w:val="auto"/>
          <w:szCs w:val="24"/>
        </w:rPr>
        <w:t xml:space="preserve"> IAW VASRD §4.71a.</w:t>
      </w:r>
      <w:r w:rsidR="00A0028D">
        <w:rPr>
          <w:rFonts w:eastAsiaTheme="minorHAnsi"/>
          <w:color w:val="auto"/>
          <w:szCs w:val="24"/>
        </w:rPr>
        <w:t xml:space="preserve">  </w:t>
      </w:r>
      <w:r w:rsidR="00E86774">
        <w:rPr>
          <w:rFonts w:eastAsiaTheme="minorHAnsi"/>
          <w:color w:val="auto"/>
          <w:szCs w:val="24"/>
        </w:rPr>
        <w:t xml:space="preserve">The single voter for dissent (who recommended no recharacterization) elected not to submit a minority opinion.  </w:t>
      </w:r>
      <w:r w:rsidR="00861E5C" w:rsidRPr="00861E5C">
        <w:rPr>
          <w:rFonts w:eastAsiaTheme="minorHAnsi"/>
          <w:color w:val="auto"/>
          <w:szCs w:val="24"/>
        </w:rPr>
        <w:t>The Board unanimously agrees that there were no other conditions eligible for Board consideration which could be recommended as additionally unfitting for rating at separation</w:t>
      </w:r>
      <w:r w:rsidR="00E86774">
        <w:rPr>
          <w:rFonts w:eastAsiaTheme="minorHAnsi"/>
          <w:color w:val="auto"/>
          <w:szCs w:val="24"/>
        </w:rPr>
        <w:t>.</w:t>
      </w:r>
    </w:p>
    <w:p w:rsidR="00A83C15" w:rsidRPr="006232E7" w:rsidRDefault="00A83C15" w:rsidP="000452D7">
      <w:pPr>
        <w:tabs>
          <w:tab w:val="left" w:pos="288"/>
          <w:tab w:val="left" w:pos="4752"/>
        </w:tabs>
        <w:spacing w:line="240" w:lineRule="exact"/>
        <w:jc w:val="both"/>
        <w:rPr>
          <w:rFonts w:asciiTheme="minorHAnsi" w:hAnsiTheme="minorHAnsi"/>
          <w:b/>
          <w:caps/>
          <w:color w:val="auto"/>
          <w:u w:val="single"/>
        </w:rPr>
      </w:pPr>
      <w:r w:rsidRPr="006232E7">
        <w:rPr>
          <w:rFonts w:asciiTheme="minorHAnsi" w:hAnsiTheme="minorHAnsi"/>
          <w:b/>
          <w:color w:val="auto"/>
          <w:u w:val="single"/>
        </w:rPr>
        <w:t>______________________________________________________________________________</w:t>
      </w:r>
    </w:p>
    <w:p w:rsidR="00C56FC8" w:rsidRPr="006232E7" w:rsidRDefault="00C56FC8" w:rsidP="005060F3">
      <w:pPr>
        <w:spacing w:line="240" w:lineRule="exact"/>
        <w:rPr>
          <w:color w:val="auto"/>
          <w:szCs w:val="24"/>
        </w:rPr>
      </w:pPr>
      <w:r w:rsidRPr="006232E7">
        <w:rPr>
          <w:color w:val="auto"/>
          <w:szCs w:val="24"/>
          <w:u w:val="single"/>
        </w:rPr>
        <w:lastRenderedPageBreak/>
        <w:t>RECOMMENDATION</w:t>
      </w:r>
      <w:r w:rsidRPr="006232E7">
        <w:rPr>
          <w:color w:val="auto"/>
          <w:szCs w:val="24"/>
        </w:rPr>
        <w:t xml:space="preserve">: </w:t>
      </w:r>
      <w:r w:rsidR="005060F3">
        <w:rPr>
          <w:color w:val="auto"/>
          <w:szCs w:val="24"/>
        </w:rPr>
        <w:t xml:space="preserve"> </w:t>
      </w:r>
      <w:r w:rsidRPr="00760D5B">
        <w:rPr>
          <w:color w:val="auto"/>
          <w:szCs w:val="24"/>
        </w:rPr>
        <w:t>The Board recommends that the CI’s prior determination be modified as follows, effective as of the date of his prior medical separation.</w:t>
      </w:r>
    </w:p>
    <w:p w:rsidR="004B624E" w:rsidRPr="006232E7" w:rsidRDefault="004B624E" w:rsidP="004B624E">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4"/>
        <w:gridCol w:w="1620"/>
        <w:gridCol w:w="1800"/>
        <w:gridCol w:w="1314"/>
      </w:tblGrid>
      <w:tr w:rsidR="004B624E" w:rsidRPr="006232E7" w:rsidTr="001F2A6D">
        <w:trPr>
          <w:trHeight w:val="206"/>
          <w:jc w:val="center"/>
        </w:trPr>
        <w:tc>
          <w:tcPr>
            <w:tcW w:w="6354" w:type="dxa"/>
            <w:gridSpan w:val="2"/>
            <w:tcBorders>
              <w:right w:val="single" w:sz="4" w:space="0" w:color="auto"/>
            </w:tcBorders>
            <w:shd w:val="clear" w:color="auto" w:fill="D9D9D9"/>
          </w:tcPr>
          <w:p w:rsidR="004B624E" w:rsidRPr="006232E7" w:rsidRDefault="004B624E" w:rsidP="001F2A6D">
            <w:pPr>
              <w:tabs>
                <w:tab w:val="left" w:pos="288"/>
                <w:tab w:val="left" w:pos="4752"/>
              </w:tabs>
              <w:spacing w:line="240" w:lineRule="exact"/>
              <w:jc w:val="both"/>
              <w:rPr>
                <w:rFonts w:asciiTheme="minorHAnsi" w:hAnsiTheme="minorHAnsi"/>
                <w:b/>
                <w:color w:val="auto"/>
                <w:szCs w:val="24"/>
              </w:rPr>
            </w:pPr>
            <w:r w:rsidRPr="006232E7">
              <w:rPr>
                <w:rFonts w:asciiTheme="minorHAnsi" w:hAnsiTheme="minorHAnsi"/>
                <w:b/>
                <w:color w:val="auto"/>
                <w:szCs w:val="24"/>
              </w:rPr>
              <w:t>UNFITTING CONDITION</w:t>
            </w:r>
          </w:p>
        </w:tc>
        <w:tc>
          <w:tcPr>
            <w:tcW w:w="1800" w:type="dxa"/>
            <w:tcBorders>
              <w:left w:val="single" w:sz="4" w:space="0" w:color="auto"/>
            </w:tcBorders>
            <w:shd w:val="clear" w:color="auto" w:fill="D9D9D9"/>
          </w:tcPr>
          <w:p w:rsidR="004B624E" w:rsidRPr="006232E7" w:rsidRDefault="004B624E" w:rsidP="001F2A6D">
            <w:pPr>
              <w:tabs>
                <w:tab w:val="left" w:pos="288"/>
                <w:tab w:val="left" w:pos="4752"/>
              </w:tabs>
              <w:spacing w:line="240" w:lineRule="exact"/>
              <w:jc w:val="center"/>
              <w:rPr>
                <w:rFonts w:asciiTheme="minorHAnsi" w:hAnsiTheme="minorHAnsi"/>
                <w:b/>
                <w:color w:val="auto"/>
                <w:szCs w:val="24"/>
              </w:rPr>
            </w:pPr>
            <w:r w:rsidRPr="006232E7">
              <w:rPr>
                <w:rFonts w:asciiTheme="minorHAnsi" w:hAnsiTheme="minorHAnsi"/>
                <w:b/>
                <w:color w:val="auto"/>
                <w:szCs w:val="24"/>
              </w:rPr>
              <w:t>VASRD CODE</w:t>
            </w:r>
          </w:p>
        </w:tc>
        <w:tc>
          <w:tcPr>
            <w:tcW w:w="1314" w:type="dxa"/>
            <w:shd w:val="clear" w:color="auto" w:fill="D9D9D9"/>
          </w:tcPr>
          <w:p w:rsidR="004B624E" w:rsidRPr="006232E7" w:rsidRDefault="004B624E" w:rsidP="001F2A6D">
            <w:pPr>
              <w:tabs>
                <w:tab w:val="left" w:pos="288"/>
                <w:tab w:val="left" w:pos="4752"/>
              </w:tabs>
              <w:spacing w:line="240" w:lineRule="exact"/>
              <w:jc w:val="center"/>
              <w:rPr>
                <w:rFonts w:asciiTheme="minorHAnsi" w:hAnsiTheme="minorHAnsi"/>
                <w:b/>
                <w:color w:val="auto"/>
                <w:szCs w:val="24"/>
              </w:rPr>
            </w:pPr>
            <w:r w:rsidRPr="006232E7">
              <w:rPr>
                <w:rFonts w:asciiTheme="minorHAnsi" w:hAnsiTheme="minorHAnsi"/>
                <w:b/>
                <w:color w:val="auto"/>
                <w:szCs w:val="24"/>
              </w:rPr>
              <w:t>RATING</w:t>
            </w:r>
          </w:p>
        </w:tc>
      </w:tr>
      <w:tr w:rsidR="004B624E" w:rsidRPr="006232E7" w:rsidTr="001F2A6D">
        <w:trPr>
          <w:jc w:val="center"/>
        </w:trPr>
        <w:tc>
          <w:tcPr>
            <w:tcW w:w="6354" w:type="dxa"/>
            <w:gridSpan w:val="2"/>
            <w:tcBorders>
              <w:right w:val="single" w:sz="4" w:space="0" w:color="auto"/>
            </w:tcBorders>
          </w:tcPr>
          <w:p w:rsidR="004B624E" w:rsidRPr="006232E7" w:rsidRDefault="004B624E" w:rsidP="001F2A6D">
            <w:pPr>
              <w:tabs>
                <w:tab w:val="left" w:pos="288"/>
                <w:tab w:val="left" w:pos="4752"/>
              </w:tabs>
              <w:spacing w:line="240" w:lineRule="exact"/>
              <w:jc w:val="both"/>
              <w:rPr>
                <w:rFonts w:asciiTheme="minorHAnsi" w:hAnsiTheme="minorHAnsi"/>
                <w:color w:val="auto"/>
                <w:szCs w:val="24"/>
              </w:rPr>
            </w:pPr>
            <w:r w:rsidRPr="006232E7">
              <w:rPr>
                <w:rFonts w:asciiTheme="minorHAnsi" w:hAnsiTheme="minorHAnsi"/>
                <w:color w:val="auto"/>
                <w:szCs w:val="24"/>
              </w:rPr>
              <w:t>Left Ankle Degenerative Joint Disease</w:t>
            </w:r>
          </w:p>
        </w:tc>
        <w:tc>
          <w:tcPr>
            <w:tcW w:w="1800" w:type="dxa"/>
            <w:tcBorders>
              <w:left w:val="single" w:sz="4" w:space="0" w:color="auto"/>
            </w:tcBorders>
          </w:tcPr>
          <w:p w:rsidR="004B624E" w:rsidRPr="006232E7" w:rsidRDefault="004B624E" w:rsidP="001F2A6D">
            <w:pPr>
              <w:tabs>
                <w:tab w:val="left" w:pos="288"/>
                <w:tab w:val="left" w:pos="4752"/>
              </w:tabs>
              <w:spacing w:line="240" w:lineRule="exact"/>
              <w:jc w:val="center"/>
              <w:rPr>
                <w:rFonts w:asciiTheme="minorHAnsi" w:hAnsiTheme="minorHAnsi"/>
                <w:color w:val="auto"/>
                <w:szCs w:val="24"/>
              </w:rPr>
            </w:pPr>
            <w:r w:rsidRPr="006232E7">
              <w:rPr>
                <w:rFonts w:asciiTheme="minorHAnsi" w:hAnsiTheme="minorHAnsi"/>
                <w:color w:val="auto"/>
                <w:szCs w:val="24"/>
              </w:rPr>
              <w:t>5010-5271</w:t>
            </w:r>
          </w:p>
        </w:tc>
        <w:tc>
          <w:tcPr>
            <w:tcW w:w="1314" w:type="dxa"/>
          </w:tcPr>
          <w:p w:rsidR="004B624E" w:rsidRPr="006232E7" w:rsidRDefault="004B624E" w:rsidP="001F2A6D">
            <w:pPr>
              <w:tabs>
                <w:tab w:val="left" w:pos="288"/>
                <w:tab w:val="left" w:pos="4752"/>
              </w:tabs>
              <w:spacing w:line="240" w:lineRule="exact"/>
              <w:jc w:val="center"/>
              <w:rPr>
                <w:rFonts w:asciiTheme="minorHAnsi" w:hAnsiTheme="minorHAnsi"/>
                <w:color w:val="auto"/>
                <w:szCs w:val="24"/>
              </w:rPr>
            </w:pPr>
            <w:r w:rsidRPr="006232E7">
              <w:rPr>
                <w:rFonts w:asciiTheme="minorHAnsi" w:hAnsiTheme="minorHAnsi"/>
                <w:color w:val="auto"/>
                <w:szCs w:val="24"/>
              </w:rPr>
              <w:t>20%</w:t>
            </w:r>
          </w:p>
        </w:tc>
      </w:tr>
      <w:tr w:rsidR="004B624E" w:rsidRPr="006232E7" w:rsidTr="001F2A6D">
        <w:trPr>
          <w:jc w:val="center"/>
        </w:trPr>
        <w:tc>
          <w:tcPr>
            <w:tcW w:w="6354" w:type="dxa"/>
            <w:gridSpan w:val="2"/>
            <w:tcBorders>
              <w:right w:val="single" w:sz="4" w:space="0" w:color="auto"/>
            </w:tcBorders>
          </w:tcPr>
          <w:p w:rsidR="004B624E" w:rsidRPr="006232E7" w:rsidRDefault="004B624E" w:rsidP="001F2A6D">
            <w:pPr>
              <w:tabs>
                <w:tab w:val="left" w:pos="288"/>
                <w:tab w:val="left" w:pos="4752"/>
              </w:tabs>
              <w:spacing w:line="240" w:lineRule="exact"/>
              <w:jc w:val="both"/>
              <w:rPr>
                <w:rFonts w:asciiTheme="minorHAnsi" w:hAnsiTheme="minorHAnsi"/>
                <w:color w:val="auto"/>
                <w:szCs w:val="24"/>
              </w:rPr>
            </w:pPr>
            <w:r w:rsidRPr="006232E7">
              <w:rPr>
                <w:rFonts w:asciiTheme="minorHAnsi" w:hAnsiTheme="minorHAnsi"/>
                <w:color w:val="auto"/>
                <w:szCs w:val="24"/>
              </w:rPr>
              <w:t>Right Ankle Degenerative Joint Disease</w:t>
            </w:r>
          </w:p>
        </w:tc>
        <w:tc>
          <w:tcPr>
            <w:tcW w:w="1800" w:type="dxa"/>
            <w:tcBorders>
              <w:left w:val="single" w:sz="4" w:space="0" w:color="auto"/>
            </w:tcBorders>
          </w:tcPr>
          <w:p w:rsidR="004B624E" w:rsidRPr="006232E7" w:rsidRDefault="004B624E" w:rsidP="001F2A6D">
            <w:pPr>
              <w:tabs>
                <w:tab w:val="left" w:pos="288"/>
                <w:tab w:val="left" w:pos="4752"/>
              </w:tabs>
              <w:spacing w:line="240" w:lineRule="exact"/>
              <w:jc w:val="center"/>
              <w:rPr>
                <w:rFonts w:asciiTheme="minorHAnsi" w:hAnsiTheme="minorHAnsi"/>
                <w:color w:val="auto"/>
                <w:szCs w:val="24"/>
              </w:rPr>
            </w:pPr>
            <w:r w:rsidRPr="006232E7">
              <w:rPr>
                <w:rFonts w:asciiTheme="minorHAnsi" w:hAnsiTheme="minorHAnsi"/>
                <w:color w:val="auto"/>
                <w:szCs w:val="24"/>
              </w:rPr>
              <w:t>5010-5271</w:t>
            </w:r>
          </w:p>
        </w:tc>
        <w:tc>
          <w:tcPr>
            <w:tcW w:w="1314" w:type="dxa"/>
          </w:tcPr>
          <w:p w:rsidR="004B624E" w:rsidRPr="006232E7" w:rsidRDefault="004B624E" w:rsidP="001F2A6D">
            <w:pPr>
              <w:tabs>
                <w:tab w:val="left" w:pos="288"/>
                <w:tab w:val="left" w:pos="4752"/>
              </w:tabs>
              <w:spacing w:line="240" w:lineRule="exact"/>
              <w:jc w:val="center"/>
              <w:rPr>
                <w:rFonts w:asciiTheme="minorHAnsi" w:hAnsiTheme="minorHAnsi"/>
                <w:color w:val="auto"/>
                <w:szCs w:val="24"/>
              </w:rPr>
            </w:pPr>
            <w:r w:rsidRPr="006232E7">
              <w:rPr>
                <w:rFonts w:asciiTheme="minorHAnsi" w:hAnsiTheme="minorHAnsi"/>
                <w:color w:val="auto"/>
                <w:szCs w:val="24"/>
              </w:rPr>
              <w:t>0%</w:t>
            </w:r>
          </w:p>
        </w:tc>
      </w:tr>
      <w:tr w:rsidR="004B624E" w:rsidRPr="006232E7" w:rsidTr="001F2A6D">
        <w:tblPrEx>
          <w:tblLook w:val="0000"/>
        </w:tblPrEx>
        <w:trPr>
          <w:gridBefore w:val="1"/>
          <w:wBefore w:w="4734" w:type="dxa"/>
          <w:trHeight w:val="143"/>
          <w:jc w:val="center"/>
        </w:trPr>
        <w:tc>
          <w:tcPr>
            <w:tcW w:w="3420" w:type="dxa"/>
            <w:gridSpan w:val="2"/>
            <w:tcBorders>
              <w:left w:val="single" w:sz="4" w:space="0" w:color="auto"/>
              <w:bottom w:val="single" w:sz="4" w:space="0" w:color="auto"/>
            </w:tcBorders>
            <w:shd w:val="clear" w:color="auto" w:fill="D9D9D9" w:themeFill="background1" w:themeFillShade="D9"/>
          </w:tcPr>
          <w:p w:rsidR="004B624E" w:rsidRPr="006232E7" w:rsidRDefault="004B624E" w:rsidP="001F2A6D">
            <w:pPr>
              <w:tabs>
                <w:tab w:val="left" w:pos="288"/>
                <w:tab w:val="left" w:pos="4752"/>
              </w:tabs>
              <w:spacing w:line="240" w:lineRule="exact"/>
              <w:jc w:val="center"/>
              <w:rPr>
                <w:rFonts w:asciiTheme="minorHAnsi" w:hAnsiTheme="minorHAnsi"/>
                <w:b/>
                <w:color w:val="auto"/>
                <w:szCs w:val="24"/>
              </w:rPr>
            </w:pPr>
            <w:r w:rsidRPr="006232E7">
              <w:rPr>
                <w:rFonts w:asciiTheme="minorHAnsi" w:hAnsiTheme="minorHAnsi"/>
                <w:b/>
                <w:color w:val="auto"/>
                <w:szCs w:val="24"/>
              </w:rPr>
              <w:t>COMBINED (Incorporating BLF)</w:t>
            </w:r>
          </w:p>
        </w:tc>
        <w:tc>
          <w:tcPr>
            <w:tcW w:w="1314" w:type="dxa"/>
            <w:tcBorders>
              <w:bottom w:val="single" w:sz="4" w:space="0" w:color="000000"/>
            </w:tcBorders>
            <w:shd w:val="clear" w:color="auto" w:fill="D9D9D9" w:themeFill="background1" w:themeFillShade="D9"/>
          </w:tcPr>
          <w:p w:rsidR="004B624E" w:rsidRPr="006232E7" w:rsidRDefault="004B624E" w:rsidP="001F2A6D">
            <w:pPr>
              <w:tabs>
                <w:tab w:val="left" w:pos="288"/>
                <w:tab w:val="left" w:pos="4752"/>
              </w:tabs>
              <w:spacing w:line="240" w:lineRule="exact"/>
              <w:jc w:val="center"/>
              <w:rPr>
                <w:rFonts w:asciiTheme="minorHAnsi" w:hAnsiTheme="minorHAnsi"/>
                <w:b/>
                <w:color w:val="auto"/>
                <w:szCs w:val="24"/>
              </w:rPr>
            </w:pPr>
            <w:r w:rsidRPr="006232E7">
              <w:rPr>
                <w:rFonts w:asciiTheme="minorHAnsi" w:hAnsiTheme="minorHAnsi"/>
                <w:b/>
                <w:color w:val="auto"/>
                <w:szCs w:val="24"/>
              </w:rPr>
              <w:t>20%</w:t>
            </w:r>
          </w:p>
        </w:tc>
      </w:tr>
    </w:tbl>
    <w:p w:rsidR="004B624E" w:rsidRPr="006232E7" w:rsidRDefault="004B624E" w:rsidP="004B624E">
      <w:pPr>
        <w:tabs>
          <w:tab w:val="left" w:pos="288"/>
          <w:tab w:val="left" w:pos="4752"/>
        </w:tabs>
        <w:spacing w:line="240" w:lineRule="exact"/>
        <w:jc w:val="both"/>
        <w:rPr>
          <w:rFonts w:asciiTheme="minorHAnsi" w:hAnsiTheme="minorHAnsi"/>
          <w:color w:val="auto"/>
        </w:rPr>
      </w:pPr>
    </w:p>
    <w:p w:rsidR="00A83C15" w:rsidRPr="006232E7" w:rsidRDefault="00A83C15" w:rsidP="007F0AB7">
      <w:pPr>
        <w:tabs>
          <w:tab w:val="left" w:pos="288"/>
          <w:tab w:val="left" w:pos="1710"/>
        </w:tabs>
        <w:spacing w:line="240" w:lineRule="exact"/>
        <w:rPr>
          <w:rFonts w:asciiTheme="minorHAnsi" w:hAnsiTheme="minorHAnsi"/>
          <w:b/>
          <w:caps/>
          <w:color w:val="auto"/>
          <w:u w:val="single"/>
        </w:rPr>
      </w:pPr>
      <w:r w:rsidRPr="006232E7">
        <w:rPr>
          <w:rFonts w:asciiTheme="minorHAnsi" w:hAnsiTheme="minorHAnsi"/>
          <w:b/>
          <w:color w:val="auto"/>
          <w:u w:val="single"/>
        </w:rPr>
        <w:t>______________________________________________________________________________</w:t>
      </w:r>
    </w:p>
    <w:p w:rsidR="00106AD8" w:rsidRPr="006232E7" w:rsidRDefault="00106AD8" w:rsidP="000452D7">
      <w:pPr>
        <w:tabs>
          <w:tab w:val="left" w:pos="288"/>
          <w:tab w:val="left" w:pos="4752"/>
        </w:tabs>
        <w:spacing w:line="240" w:lineRule="exact"/>
        <w:rPr>
          <w:b/>
          <w:color w:val="auto"/>
          <w:szCs w:val="24"/>
        </w:rPr>
      </w:pPr>
    </w:p>
    <w:p w:rsidR="00D91DA6" w:rsidRPr="006232E7" w:rsidRDefault="00FB1725" w:rsidP="000452D7">
      <w:pPr>
        <w:tabs>
          <w:tab w:val="left" w:pos="288"/>
          <w:tab w:val="left" w:pos="4752"/>
        </w:tabs>
        <w:spacing w:line="240" w:lineRule="exact"/>
        <w:jc w:val="both"/>
        <w:rPr>
          <w:color w:val="auto"/>
        </w:rPr>
      </w:pPr>
      <w:r w:rsidRPr="006232E7">
        <w:rPr>
          <w:color w:val="auto"/>
        </w:rPr>
        <w:t>The following documentary evidence was considered:</w:t>
      </w:r>
    </w:p>
    <w:p w:rsidR="00EB5EFD" w:rsidRPr="006232E7" w:rsidRDefault="00EB5EFD" w:rsidP="000452D7">
      <w:pPr>
        <w:tabs>
          <w:tab w:val="left" w:pos="288"/>
          <w:tab w:val="left" w:pos="4752"/>
        </w:tabs>
        <w:spacing w:line="240" w:lineRule="exact"/>
        <w:jc w:val="both"/>
        <w:rPr>
          <w:color w:val="auto"/>
        </w:rPr>
      </w:pPr>
    </w:p>
    <w:p w:rsidR="00114F20" w:rsidRPr="001D65BF" w:rsidRDefault="00FB1725" w:rsidP="000452D7">
      <w:pPr>
        <w:tabs>
          <w:tab w:val="left" w:pos="288"/>
          <w:tab w:val="left" w:pos="4752"/>
        </w:tabs>
        <w:spacing w:line="240" w:lineRule="exact"/>
        <w:jc w:val="both"/>
        <w:rPr>
          <w:color w:val="auto"/>
        </w:rPr>
      </w:pPr>
      <w:r w:rsidRPr="001D65BF">
        <w:rPr>
          <w:color w:val="auto"/>
        </w:rPr>
        <w:t xml:space="preserve">Exhibit A.  DD Form </w:t>
      </w:r>
      <w:proofErr w:type="gramStart"/>
      <w:r w:rsidRPr="001D65BF">
        <w:rPr>
          <w:color w:val="auto"/>
        </w:rPr>
        <w:t>294,</w:t>
      </w:r>
      <w:proofErr w:type="gramEnd"/>
      <w:r w:rsidRPr="001D65BF">
        <w:rPr>
          <w:color w:val="auto"/>
        </w:rPr>
        <w:t xml:space="preserve"> dated 20</w:t>
      </w:r>
      <w:r w:rsidR="0075742A" w:rsidRPr="001D65BF">
        <w:rPr>
          <w:color w:val="auto"/>
        </w:rPr>
        <w:t>090811</w:t>
      </w:r>
      <w:r w:rsidRPr="001D65BF">
        <w:rPr>
          <w:color w:val="auto"/>
        </w:rPr>
        <w:t>, w/</w:t>
      </w:r>
      <w:proofErr w:type="spellStart"/>
      <w:r w:rsidRPr="001D65BF">
        <w:rPr>
          <w:color w:val="auto"/>
        </w:rPr>
        <w:t>atchs</w:t>
      </w:r>
      <w:proofErr w:type="spellEnd"/>
      <w:r w:rsidRPr="001D65BF">
        <w:rPr>
          <w:color w:val="auto"/>
        </w:rPr>
        <w:t>.</w:t>
      </w:r>
    </w:p>
    <w:p w:rsidR="00114F20" w:rsidRPr="001D65BF" w:rsidRDefault="00FB1725" w:rsidP="000452D7">
      <w:pPr>
        <w:tabs>
          <w:tab w:val="left" w:pos="288"/>
          <w:tab w:val="left" w:pos="4752"/>
        </w:tabs>
        <w:spacing w:line="240" w:lineRule="exact"/>
        <w:jc w:val="both"/>
        <w:rPr>
          <w:color w:val="auto"/>
        </w:rPr>
      </w:pPr>
      <w:r w:rsidRPr="001D65BF">
        <w:rPr>
          <w:color w:val="auto"/>
        </w:rPr>
        <w:t xml:space="preserve">Exhibit B.  </w:t>
      </w:r>
      <w:proofErr w:type="gramStart"/>
      <w:r w:rsidRPr="001D65BF">
        <w:rPr>
          <w:color w:val="auto"/>
        </w:rPr>
        <w:t>Service Treatment Record.</w:t>
      </w:r>
      <w:proofErr w:type="gramEnd"/>
    </w:p>
    <w:p w:rsidR="00114F20" w:rsidRPr="001D65BF" w:rsidRDefault="00FB1725" w:rsidP="000452D7">
      <w:pPr>
        <w:tabs>
          <w:tab w:val="left" w:pos="288"/>
          <w:tab w:val="left" w:pos="4752"/>
        </w:tabs>
        <w:spacing w:line="240" w:lineRule="exact"/>
        <w:jc w:val="both"/>
        <w:rPr>
          <w:color w:val="auto"/>
        </w:rPr>
      </w:pPr>
      <w:r w:rsidRPr="001D65BF">
        <w:rPr>
          <w:color w:val="auto"/>
        </w:rPr>
        <w:t xml:space="preserve">Exhibit C.  </w:t>
      </w:r>
      <w:proofErr w:type="gramStart"/>
      <w:r w:rsidRPr="001D65BF">
        <w:rPr>
          <w:color w:val="auto"/>
        </w:rPr>
        <w:t>Department of Veterans' Affairs Treatment Record.</w:t>
      </w:r>
      <w:proofErr w:type="gramEnd"/>
    </w:p>
    <w:p w:rsidR="00D91DA6" w:rsidRPr="001D65BF" w:rsidRDefault="00D91DA6" w:rsidP="000452D7">
      <w:pPr>
        <w:tabs>
          <w:tab w:val="left" w:pos="288"/>
          <w:tab w:val="left" w:pos="4752"/>
        </w:tabs>
        <w:spacing w:line="240" w:lineRule="exact"/>
        <w:jc w:val="both"/>
        <w:rPr>
          <w:color w:val="auto"/>
        </w:rPr>
      </w:pPr>
    </w:p>
    <w:p w:rsidR="00114F20" w:rsidRPr="001D65BF" w:rsidRDefault="00114F20" w:rsidP="000452D7">
      <w:pPr>
        <w:tabs>
          <w:tab w:val="left" w:pos="288"/>
          <w:tab w:val="left" w:pos="4752"/>
        </w:tabs>
        <w:spacing w:line="240" w:lineRule="exact"/>
        <w:jc w:val="both"/>
        <w:rPr>
          <w:color w:val="auto"/>
        </w:rPr>
      </w:pPr>
    </w:p>
    <w:p w:rsidR="00114F20" w:rsidRPr="001D65BF" w:rsidRDefault="00114F20" w:rsidP="000452D7">
      <w:pPr>
        <w:tabs>
          <w:tab w:val="left" w:pos="288"/>
          <w:tab w:val="left" w:pos="4752"/>
        </w:tabs>
        <w:spacing w:line="240" w:lineRule="exact"/>
        <w:jc w:val="both"/>
        <w:rPr>
          <w:color w:val="auto"/>
        </w:rPr>
      </w:pPr>
    </w:p>
    <w:p w:rsidR="00114F20" w:rsidRPr="001D65BF" w:rsidRDefault="00114F20" w:rsidP="000452D7">
      <w:pPr>
        <w:tabs>
          <w:tab w:val="left" w:pos="288"/>
          <w:tab w:val="left" w:pos="4752"/>
        </w:tabs>
        <w:spacing w:line="240" w:lineRule="exact"/>
        <w:jc w:val="both"/>
        <w:rPr>
          <w:color w:val="auto"/>
        </w:rPr>
      </w:pPr>
    </w:p>
    <w:p w:rsidR="00D91DA6" w:rsidRPr="001D65BF" w:rsidRDefault="00FB1725" w:rsidP="000452D7">
      <w:pPr>
        <w:tabs>
          <w:tab w:val="left" w:pos="0"/>
          <w:tab w:val="left" w:pos="4320"/>
        </w:tabs>
        <w:spacing w:line="240" w:lineRule="exact"/>
        <w:jc w:val="both"/>
        <w:rPr>
          <w:color w:val="auto"/>
        </w:rPr>
      </w:pPr>
      <w:r w:rsidRPr="001D65BF">
        <w:rPr>
          <w:color w:val="auto"/>
        </w:rPr>
        <w:t xml:space="preserve">                             </w:t>
      </w:r>
      <w:r w:rsidRPr="001D65BF">
        <w:rPr>
          <w:color w:val="auto"/>
        </w:rPr>
        <w:tab/>
      </w:r>
      <w:r w:rsidRPr="001D65BF">
        <w:rPr>
          <w:color w:val="auto"/>
        </w:rPr>
        <w:tab/>
      </w:r>
    </w:p>
    <w:p w:rsidR="00D91DA6" w:rsidRPr="001D65BF" w:rsidRDefault="00FB1725" w:rsidP="000452D7">
      <w:pPr>
        <w:tabs>
          <w:tab w:val="left" w:pos="0"/>
          <w:tab w:val="left" w:pos="4320"/>
        </w:tabs>
        <w:spacing w:line="240" w:lineRule="exact"/>
        <w:jc w:val="both"/>
        <w:rPr>
          <w:color w:val="auto"/>
        </w:rPr>
      </w:pPr>
      <w:r w:rsidRPr="001D65BF">
        <w:rPr>
          <w:color w:val="auto"/>
        </w:rPr>
        <w:t xml:space="preserve">                             </w:t>
      </w:r>
      <w:r w:rsidRPr="001D65BF">
        <w:rPr>
          <w:color w:val="auto"/>
        </w:rPr>
        <w:tab/>
      </w:r>
      <w:r w:rsidRPr="001D65BF">
        <w:rPr>
          <w:color w:val="auto"/>
        </w:rPr>
        <w:tab/>
        <w:t>Deputy Director</w:t>
      </w:r>
    </w:p>
    <w:p w:rsidR="00A44141" w:rsidRDefault="00FB1725" w:rsidP="000452D7">
      <w:pPr>
        <w:tabs>
          <w:tab w:val="left" w:pos="288"/>
          <w:tab w:val="left" w:pos="4320"/>
          <w:tab w:val="left" w:pos="4410"/>
          <w:tab w:val="left" w:pos="4770"/>
          <w:tab w:val="left" w:pos="4860"/>
          <w:tab w:val="left" w:pos="5040"/>
        </w:tabs>
        <w:spacing w:line="240" w:lineRule="exact"/>
        <w:jc w:val="both"/>
        <w:rPr>
          <w:color w:val="auto"/>
        </w:rPr>
      </w:pPr>
      <w:r w:rsidRPr="001D65BF">
        <w:rPr>
          <w:color w:val="auto"/>
        </w:rPr>
        <w:tab/>
        <w:t xml:space="preserve">                           </w:t>
      </w:r>
      <w:r w:rsidRPr="001D65BF">
        <w:rPr>
          <w:color w:val="auto"/>
        </w:rPr>
        <w:tab/>
      </w:r>
      <w:r w:rsidRPr="001D65BF">
        <w:rPr>
          <w:color w:val="auto"/>
        </w:rPr>
        <w:tab/>
      </w:r>
      <w:r w:rsidRPr="001D65BF">
        <w:rPr>
          <w:color w:val="auto"/>
        </w:rPr>
        <w:tab/>
      </w:r>
      <w:r w:rsidRPr="001D65BF">
        <w:rPr>
          <w:color w:val="auto"/>
        </w:rPr>
        <w:tab/>
      </w:r>
      <w:r w:rsidRPr="001D65BF">
        <w:rPr>
          <w:color w:val="auto"/>
        </w:rPr>
        <w:tab/>
        <w:t>Physical Disability Board of Review</w:t>
      </w:r>
    </w:p>
    <w:p w:rsidR="00B36443" w:rsidRDefault="00B36443">
      <w:pPr>
        <w:rPr>
          <w:color w:val="auto"/>
        </w:rPr>
      </w:pPr>
      <w:r>
        <w:rPr>
          <w:color w:val="auto"/>
        </w:rPr>
        <w:br w:type="page"/>
      </w:r>
    </w:p>
    <w:p w:rsidR="00B36443" w:rsidRDefault="00B36443" w:rsidP="000452D7">
      <w:pPr>
        <w:tabs>
          <w:tab w:val="left" w:pos="288"/>
          <w:tab w:val="left" w:pos="4320"/>
          <w:tab w:val="left" w:pos="4410"/>
          <w:tab w:val="left" w:pos="4770"/>
          <w:tab w:val="left" w:pos="4860"/>
          <w:tab w:val="left" w:pos="5040"/>
        </w:tabs>
        <w:spacing w:line="240" w:lineRule="exact"/>
        <w:jc w:val="both"/>
        <w:rPr>
          <w:color w:val="auto"/>
        </w:rPr>
      </w:pPr>
    </w:p>
    <w:p w:rsidR="00B36443" w:rsidRPr="00B36443" w:rsidRDefault="00B36443" w:rsidP="00B36443">
      <w:pPr>
        <w:rPr>
          <w:color w:val="auto"/>
        </w:rPr>
      </w:pPr>
      <w:r w:rsidRPr="00B36443">
        <w:rPr>
          <w:color w:val="auto"/>
        </w:rPr>
        <w:t>MEMORANDUM FOR DEPUTY COMMANDANT, MANPOWER &amp; RESERVE AFFAIRS</w:t>
      </w:r>
    </w:p>
    <w:p w:rsidR="00B36443" w:rsidRPr="00B36443" w:rsidRDefault="00B36443" w:rsidP="00B36443">
      <w:pPr>
        <w:rPr>
          <w:color w:val="auto"/>
        </w:rPr>
      </w:pPr>
    </w:p>
    <w:p w:rsidR="00B36443" w:rsidRPr="00B36443" w:rsidRDefault="00B36443" w:rsidP="00B36443">
      <w:pPr>
        <w:rPr>
          <w:color w:val="auto"/>
        </w:rPr>
      </w:pPr>
      <w:proofErr w:type="spellStart"/>
      <w:r w:rsidRPr="00B36443">
        <w:rPr>
          <w:color w:val="auto"/>
        </w:rPr>
        <w:t>Subj</w:t>
      </w:r>
      <w:proofErr w:type="spellEnd"/>
      <w:r w:rsidRPr="00B36443">
        <w:rPr>
          <w:color w:val="auto"/>
        </w:rPr>
        <w:t>:  PHYSICAL DISABILITY BOARD OF REVIEW (PDBR) RECOMMENDATION</w:t>
      </w:r>
    </w:p>
    <w:p w:rsidR="00B36443" w:rsidRPr="00B36443" w:rsidRDefault="00B36443" w:rsidP="00B36443">
      <w:pPr>
        <w:tabs>
          <w:tab w:val="left" w:pos="630"/>
        </w:tabs>
        <w:rPr>
          <w:color w:val="auto"/>
        </w:rPr>
      </w:pPr>
      <w:r w:rsidRPr="00B36443">
        <w:rPr>
          <w:color w:val="auto"/>
        </w:rPr>
        <w:t xml:space="preserve">          </w:t>
      </w:r>
      <w:r w:rsidRPr="00B36443">
        <w:rPr>
          <w:color w:val="auto"/>
        </w:rPr>
        <w:tab/>
        <w:t xml:space="preserve">ICO </w:t>
      </w:r>
      <w:r>
        <w:rPr>
          <w:color w:val="auto"/>
        </w:rPr>
        <w:t>XXXX</w:t>
      </w:r>
      <w:r w:rsidRPr="00B36443">
        <w:rPr>
          <w:color w:val="auto"/>
        </w:rPr>
        <w:t xml:space="preserve">, FORMER USMC, XXX XX </w:t>
      </w:r>
      <w:r>
        <w:rPr>
          <w:color w:val="auto"/>
        </w:rPr>
        <w:t>XXXX</w:t>
      </w:r>
    </w:p>
    <w:p w:rsidR="00B36443" w:rsidRPr="00B36443" w:rsidRDefault="00B36443" w:rsidP="00B36443">
      <w:pPr>
        <w:rPr>
          <w:color w:val="auto"/>
        </w:rPr>
      </w:pPr>
    </w:p>
    <w:p w:rsidR="00B36443" w:rsidRPr="00B36443" w:rsidRDefault="00B36443" w:rsidP="00B36443">
      <w:pPr>
        <w:rPr>
          <w:color w:val="auto"/>
        </w:rPr>
      </w:pPr>
      <w:r w:rsidRPr="00B36443">
        <w:rPr>
          <w:color w:val="auto"/>
        </w:rPr>
        <w:t>Ref:   (a) DoDI 6040.44</w:t>
      </w:r>
    </w:p>
    <w:p w:rsidR="00B36443" w:rsidRPr="00B36443" w:rsidRDefault="00B36443" w:rsidP="00B36443">
      <w:pPr>
        <w:rPr>
          <w:color w:val="auto"/>
        </w:rPr>
      </w:pPr>
      <w:r w:rsidRPr="00B36443">
        <w:rPr>
          <w:color w:val="auto"/>
        </w:rPr>
        <w:t xml:space="preserve">          (b) PDBR </w:t>
      </w:r>
      <w:proofErr w:type="spellStart"/>
      <w:r w:rsidRPr="00B36443">
        <w:rPr>
          <w:color w:val="auto"/>
        </w:rPr>
        <w:t>ltr</w:t>
      </w:r>
      <w:proofErr w:type="spellEnd"/>
      <w:r w:rsidRPr="00B36443">
        <w:rPr>
          <w:color w:val="auto"/>
        </w:rPr>
        <w:t xml:space="preserve"> </w:t>
      </w:r>
      <w:proofErr w:type="spellStart"/>
      <w:r w:rsidRPr="00B36443">
        <w:rPr>
          <w:color w:val="auto"/>
        </w:rPr>
        <w:t>dtd</w:t>
      </w:r>
      <w:proofErr w:type="spellEnd"/>
      <w:r w:rsidRPr="00B36443">
        <w:rPr>
          <w:color w:val="auto"/>
        </w:rPr>
        <w:t xml:space="preserve"> 11 May 11</w:t>
      </w:r>
    </w:p>
    <w:p w:rsidR="00B36443" w:rsidRPr="00B36443" w:rsidRDefault="00B36443" w:rsidP="00B36443">
      <w:pPr>
        <w:rPr>
          <w:color w:val="auto"/>
        </w:rPr>
      </w:pPr>
    </w:p>
    <w:p w:rsidR="00B36443" w:rsidRPr="00B36443" w:rsidRDefault="00B36443" w:rsidP="00B36443">
      <w:pPr>
        <w:rPr>
          <w:color w:val="auto"/>
        </w:rPr>
      </w:pPr>
      <w:r w:rsidRPr="00B36443">
        <w:rPr>
          <w:color w:val="auto"/>
        </w:rPr>
        <w:t>1.  I have reviewed the subject case pursuant to reference (a) and approve the recommendation of the Physical Disability Board of Review (reference (b)).</w:t>
      </w:r>
    </w:p>
    <w:p w:rsidR="00B36443" w:rsidRPr="00B36443" w:rsidRDefault="00B36443" w:rsidP="00B36443">
      <w:pPr>
        <w:rPr>
          <w:color w:val="auto"/>
        </w:rPr>
      </w:pPr>
    </w:p>
    <w:p w:rsidR="00B36443" w:rsidRPr="00B36443" w:rsidRDefault="00B36443" w:rsidP="00B36443">
      <w:pPr>
        <w:rPr>
          <w:color w:val="auto"/>
        </w:rPr>
      </w:pPr>
      <w:r w:rsidRPr="00B36443">
        <w:rPr>
          <w:color w:val="auto"/>
        </w:rPr>
        <w:t>2.  The subject member’s official records are to be corrected to reflect the following disposition:</w:t>
      </w:r>
    </w:p>
    <w:p w:rsidR="00B36443" w:rsidRPr="00B36443" w:rsidRDefault="00B36443" w:rsidP="00B36443">
      <w:pPr>
        <w:rPr>
          <w:color w:val="auto"/>
        </w:rPr>
      </w:pPr>
    </w:p>
    <w:p w:rsidR="00B36443" w:rsidRPr="00B36443" w:rsidRDefault="00B36443" w:rsidP="00B36443">
      <w:pPr>
        <w:rPr>
          <w:color w:val="auto"/>
        </w:rPr>
      </w:pPr>
      <w:r w:rsidRPr="00B36443">
        <w:rPr>
          <w:color w:val="auto"/>
        </w:rPr>
        <w:tab/>
        <w:t>a. Separation from the naval service due to physical disability rated at 20 percent (increased from 10 percent) effective 31 May 2002.</w:t>
      </w:r>
    </w:p>
    <w:p w:rsidR="00B36443" w:rsidRPr="00B36443" w:rsidRDefault="00B36443" w:rsidP="00B36443">
      <w:pPr>
        <w:rPr>
          <w:color w:val="auto"/>
        </w:rPr>
      </w:pPr>
    </w:p>
    <w:p w:rsidR="00B36443" w:rsidRPr="00B36443" w:rsidRDefault="00B36443" w:rsidP="00B36443">
      <w:pPr>
        <w:rPr>
          <w:color w:val="auto"/>
        </w:rPr>
      </w:pPr>
      <w:r w:rsidRPr="00B36443">
        <w:rPr>
          <w:color w:val="auto"/>
        </w:rPr>
        <w:t>3.  Please ensure all necessary actions are taken to implement this decision including notification to the subject member once those actions are completed.</w:t>
      </w:r>
    </w:p>
    <w:p w:rsidR="00B36443" w:rsidRPr="00B36443" w:rsidRDefault="00B36443" w:rsidP="00B36443">
      <w:pPr>
        <w:rPr>
          <w:color w:val="auto"/>
        </w:rPr>
      </w:pPr>
    </w:p>
    <w:p w:rsidR="00B36443" w:rsidRPr="00B36443" w:rsidRDefault="00B36443" w:rsidP="00B36443">
      <w:pPr>
        <w:rPr>
          <w:color w:val="auto"/>
        </w:rPr>
      </w:pPr>
    </w:p>
    <w:p w:rsidR="00B36443" w:rsidRPr="00B36443" w:rsidRDefault="00B36443" w:rsidP="00B36443">
      <w:pPr>
        <w:rPr>
          <w:color w:val="auto"/>
        </w:rPr>
      </w:pPr>
    </w:p>
    <w:p w:rsidR="00B36443" w:rsidRPr="00B36443" w:rsidRDefault="00B36443" w:rsidP="00B36443">
      <w:pPr>
        <w:tabs>
          <w:tab w:val="left" w:pos="4680"/>
        </w:tabs>
        <w:rPr>
          <w:color w:val="auto"/>
        </w:rPr>
      </w:pPr>
      <w:r w:rsidRPr="00B36443">
        <w:rPr>
          <w:color w:val="auto"/>
        </w:rPr>
        <w:tab/>
        <w:t xml:space="preserve"> </w:t>
      </w:r>
    </w:p>
    <w:p w:rsidR="00B36443" w:rsidRPr="00B36443" w:rsidRDefault="00B36443" w:rsidP="00B36443">
      <w:pPr>
        <w:rPr>
          <w:color w:val="auto"/>
        </w:rPr>
      </w:pPr>
      <w:r w:rsidRPr="00B36443">
        <w:rPr>
          <w:color w:val="auto"/>
        </w:rPr>
        <w:tab/>
      </w:r>
      <w:r w:rsidRPr="00B36443">
        <w:rPr>
          <w:color w:val="auto"/>
        </w:rPr>
        <w:tab/>
      </w:r>
      <w:r w:rsidRPr="00B36443">
        <w:rPr>
          <w:color w:val="auto"/>
        </w:rPr>
        <w:tab/>
      </w:r>
      <w:r w:rsidRPr="00B36443">
        <w:rPr>
          <w:color w:val="auto"/>
        </w:rPr>
        <w:tab/>
      </w:r>
      <w:r w:rsidRPr="00B36443">
        <w:rPr>
          <w:color w:val="auto"/>
        </w:rPr>
        <w:tab/>
      </w:r>
      <w:r w:rsidRPr="00B36443">
        <w:rPr>
          <w:color w:val="auto"/>
        </w:rPr>
        <w:tab/>
        <w:t xml:space="preserve">       Assistant General Counsel</w:t>
      </w:r>
    </w:p>
    <w:p w:rsidR="00B36443" w:rsidRPr="00B36443" w:rsidRDefault="00B36443" w:rsidP="00B36443">
      <w:pPr>
        <w:rPr>
          <w:color w:val="auto"/>
        </w:rPr>
      </w:pPr>
      <w:r w:rsidRPr="00B36443">
        <w:rPr>
          <w:color w:val="auto"/>
        </w:rPr>
        <w:tab/>
      </w:r>
      <w:r w:rsidRPr="00B36443">
        <w:rPr>
          <w:color w:val="auto"/>
        </w:rPr>
        <w:tab/>
      </w:r>
      <w:r w:rsidRPr="00B36443">
        <w:rPr>
          <w:color w:val="auto"/>
        </w:rPr>
        <w:tab/>
      </w:r>
      <w:r w:rsidRPr="00B36443">
        <w:rPr>
          <w:color w:val="auto"/>
        </w:rPr>
        <w:tab/>
      </w:r>
      <w:r w:rsidRPr="00B36443">
        <w:rPr>
          <w:color w:val="auto"/>
        </w:rPr>
        <w:tab/>
      </w:r>
      <w:r w:rsidRPr="00B36443">
        <w:rPr>
          <w:color w:val="auto"/>
        </w:rPr>
        <w:tab/>
        <w:t xml:space="preserve">         (Manpower &amp; Reserve Affairs)</w:t>
      </w:r>
    </w:p>
    <w:p w:rsidR="00B36443" w:rsidRDefault="00B36443" w:rsidP="00B36443"/>
    <w:p w:rsidR="00B36443" w:rsidRPr="00D823FE" w:rsidRDefault="00B36443" w:rsidP="000452D7">
      <w:pPr>
        <w:tabs>
          <w:tab w:val="left" w:pos="288"/>
          <w:tab w:val="left" w:pos="4320"/>
          <w:tab w:val="left" w:pos="4410"/>
          <w:tab w:val="left" w:pos="4770"/>
          <w:tab w:val="left" w:pos="4860"/>
          <w:tab w:val="left" w:pos="5040"/>
        </w:tabs>
        <w:spacing w:line="240" w:lineRule="exact"/>
        <w:jc w:val="both"/>
        <w:rPr>
          <w:color w:val="auto"/>
        </w:rPr>
      </w:pPr>
    </w:p>
    <w:sectPr w:rsidR="00B36443" w:rsidRPr="00D823FE"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5A" w:rsidRDefault="002D525A">
      <w:r>
        <w:separator/>
      </w:r>
    </w:p>
  </w:endnote>
  <w:endnote w:type="continuationSeparator" w:id="0">
    <w:p w:rsidR="002D525A" w:rsidRDefault="002D52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96346B" w:rsidRPr="00684CE6" w:rsidRDefault="004C52D3" w:rsidP="00F65ED5">
        <w:pPr>
          <w:pStyle w:val="Footer"/>
          <w:jc w:val="right"/>
          <w:rPr>
            <w:color w:val="auto"/>
          </w:rPr>
        </w:pPr>
        <w:r w:rsidRPr="00684CE6">
          <w:rPr>
            <w:color w:val="auto"/>
          </w:rPr>
          <w:fldChar w:fldCharType="begin"/>
        </w:r>
        <w:r w:rsidR="0096346B" w:rsidRPr="00684CE6">
          <w:rPr>
            <w:color w:val="auto"/>
          </w:rPr>
          <w:instrText xml:space="preserve"> PAGE   \* MERGEFORMAT </w:instrText>
        </w:r>
        <w:r w:rsidRPr="00684CE6">
          <w:rPr>
            <w:color w:val="auto"/>
          </w:rPr>
          <w:fldChar w:fldCharType="separate"/>
        </w:r>
        <w:r w:rsidR="00B36443">
          <w:rPr>
            <w:noProof/>
            <w:color w:val="auto"/>
          </w:rPr>
          <w:t>2</w:t>
        </w:r>
        <w:r w:rsidRPr="00684CE6">
          <w:rPr>
            <w:color w:val="auto"/>
          </w:rPr>
          <w:fldChar w:fldCharType="end"/>
        </w:r>
        <w:r w:rsidR="0096346B" w:rsidRPr="00684CE6">
          <w:rPr>
            <w:color w:val="auto"/>
          </w:rPr>
          <w:t xml:space="preserve">                                                           </w:t>
        </w:r>
        <w:r w:rsidR="0096346B" w:rsidRPr="00BB36EA">
          <w:rPr>
            <w:color w:val="auto"/>
          </w:rPr>
          <w:t>PD09</w:t>
        </w:r>
        <w:r w:rsidR="0096346B">
          <w:rPr>
            <w:color w:val="auto"/>
          </w:rPr>
          <w:t>00701</w:t>
        </w:r>
      </w:p>
    </w:sdtContent>
  </w:sdt>
  <w:p w:rsidR="0096346B" w:rsidRPr="00684CE6" w:rsidRDefault="0096346B">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6B" w:rsidRPr="00684CE6" w:rsidRDefault="0096346B" w:rsidP="00EA52FE">
    <w:pPr>
      <w:pStyle w:val="Footer"/>
      <w:jc w:val="right"/>
      <w:rPr>
        <w:rFonts w:asciiTheme="minorHAnsi" w:hAnsiTheme="minorHAnsi"/>
        <w:color w:val="auto"/>
      </w:rPr>
    </w:pPr>
    <w:r w:rsidRPr="00684CE6">
      <w:rPr>
        <w:color w:val="auto"/>
      </w:rPr>
      <w:t xml:space="preserve">                      </w:t>
    </w:r>
  </w:p>
  <w:p w:rsidR="0096346B" w:rsidRPr="00684CE6" w:rsidRDefault="0096346B"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5A" w:rsidRDefault="002D525A">
      <w:r>
        <w:separator/>
      </w:r>
    </w:p>
  </w:footnote>
  <w:footnote w:type="continuationSeparator" w:id="0">
    <w:p w:rsidR="002D525A" w:rsidRDefault="002D5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15547"/>
    <w:multiLevelType w:val="hybridMultilevel"/>
    <w:tmpl w:val="E5D24C60"/>
    <w:lvl w:ilvl="0" w:tplc="04090001">
      <w:start w:val="5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D3984"/>
    <w:multiLevelType w:val="hybridMultilevel"/>
    <w:tmpl w:val="7AA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01B77"/>
    <w:multiLevelType w:val="hybridMultilevel"/>
    <w:tmpl w:val="393AB2E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7"/>
  </w:num>
  <w:num w:numId="5">
    <w:abstractNumId w:val="3"/>
  </w:num>
  <w:num w:numId="6">
    <w:abstractNumId w:val="9"/>
  </w:num>
  <w:num w:numId="7">
    <w:abstractNumId w:val="0"/>
  </w:num>
  <w:num w:numId="8">
    <w:abstractNumId w:val="5"/>
  </w:num>
  <w:num w:numId="9">
    <w:abstractNumId w:val="17"/>
  </w:num>
  <w:num w:numId="10">
    <w:abstractNumId w:val="11"/>
  </w:num>
  <w:num w:numId="11">
    <w:abstractNumId w:val="4"/>
  </w:num>
  <w:num w:numId="12">
    <w:abstractNumId w:val="15"/>
  </w:num>
  <w:num w:numId="13">
    <w:abstractNumId w:val="8"/>
  </w:num>
  <w:num w:numId="14">
    <w:abstractNumId w:val="16"/>
  </w:num>
  <w:num w:numId="15">
    <w:abstractNumId w:val="21"/>
  </w:num>
  <w:num w:numId="16">
    <w:abstractNumId w:val="1"/>
  </w:num>
  <w:num w:numId="17">
    <w:abstractNumId w:val="18"/>
  </w:num>
  <w:num w:numId="18">
    <w:abstractNumId w:val="10"/>
  </w:num>
  <w:num w:numId="19">
    <w:abstractNumId w:val="14"/>
  </w:num>
  <w:num w:numId="20">
    <w:abstractNumId w:val="20"/>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274"/>
  </w:hdrShapeDefaults>
  <w:footnotePr>
    <w:numRestart w:val="eachSect"/>
    <w:footnote w:id="-1"/>
    <w:footnote w:id="0"/>
  </w:footnotePr>
  <w:endnotePr>
    <w:endnote w:id="-1"/>
    <w:endnote w:id="0"/>
  </w:endnotePr>
  <w:compat/>
  <w:rsids>
    <w:rsidRoot w:val="001C28D1"/>
    <w:rsid w:val="00001AAB"/>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2234"/>
    <w:rsid w:val="00053D7C"/>
    <w:rsid w:val="00054B78"/>
    <w:rsid w:val="000575C5"/>
    <w:rsid w:val="000577C9"/>
    <w:rsid w:val="0006431E"/>
    <w:rsid w:val="00065E21"/>
    <w:rsid w:val="00072433"/>
    <w:rsid w:val="00075702"/>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2CA"/>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3F20"/>
    <w:rsid w:val="000E7034"/>
    <w:rsid w:val="000F02BE"/>
    <w:rsid w:val="000F0928"/>
    <w:rsid w:val="000F3093"/>
    <w:rsid w:val="000F427B"/>
    <w:rsid w:val="000F43D0"/>
    <w:rsid w:val="000F4F18"/>
    <w:rsid w:val="000F688E"/>
    <w:rsid w:val="000F6BB4"/>
    <w:rsid w:val="000F7181"/>
    <w:rsid w:val="001008C1"/>
    <w:rsid w:val="001023DB"/>
    <w:rsid w:val="00103CCF"/>
    <w:rsid w:val="0010417F"/>
    <w:rsid w:val="001042D2"/>
    <w:rsid w:val="0010530E"/>
    <w:rsid w:val="00105C07"/>
    <w:rsid w:val="00106AD8"/>
    <w:rsid w:val="00107EC5"/>
    <w:rsid w:val="001103CD"/>
    <w:rsid w:val="00114F20"/>
    <w:rsid w:val="00116443"/>
    <w:rsid w:val="001211AF"/>
    <w:rsid w:val="001219DF"/>
    <w:rsid w:val="0012220B"/>
    <w:rsid w:val="0012220D"/>
    <w:rsid w:val="00122ABE"/>
    <w:rsid w:val="001231DC"/>
    <w:rsid w:val="0012489B"/>
    <w:rsid w:val="001257F0"/>
    <w:rsid w:val="001272AE"/>
    <w:rsid w:val="001315DD"/>
    <w:rsid w:val="00134127"/>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24C8"/>
    <w:rsid w:val="001745DD"/>
    <w:rsid w:val="00176E12"/>
    <w:rsid w:val="00177659"/>
    <w:rsid w:val="001779E5"/>
    <w:rsid w:val="00181240"/>
    <w:rsid w:val="00182A4C"/>
    <w:rsid w:val="00183F77"/>
    <w:rsid w:val="001844D8"/>
    <w:rsid w:val="00185DA8"/>
    <w:rsid w:val="00185ECB"/>
    <w:rsid w:val="001865E0"/>
    <w:rsid w:val="001870F0"/>
    <w:rsid w:val="00190E48"/>
    <w:rsid w:val="0019273F"/>
    <w:rsid w:val="00193814"/>
    <w:rsid w:val="00193AD5"/>
    <w:rsid w:val="00194930"/>
    <w:rsid w:val="00195AAC"/>
    <w:rsid w:val="001A025E"/>
    <w:rsid w:val="001A08CD"/>
    <w:rsid w:val="001A0A1E"/>
    <w:rsid w:val="001A2182"/>
    <w:rsid w:val="001A5320"/>
    <w:rsid w:val="001A5E4B"/>
    <w:rsid w:val="001A5E62"/>
    <w:rsid w:val="001A6848"/>
    <w:rsid w:val="001A7538"/>
    <w:rsid w:val="001B0B1A"/>
    <w:rsid w:val="001B4EC2"/>
    <w:rsid w:val="001B5B59"/>
    <w:rsid w:val="001B60E0"/>
    <w:rsid w:val="001B7C8C"/>
    <w:rsid w:val="001C0688"/>
    <w:rsid w:val="001C12D2"/>
    <w:rsid w:val="001C181A"/>
    <w:rsid w:val="001C1877"/>
    <w:rsid w:val="001C2053"/>
    <w:rsid w:val="001C252F"/>
    <w:rsid w:val="001C28D1"/>
    <w:rsid w:val="001C3473"/>
    <w:rsid w:val="001C5CFC"/>
    <w:rsid w:val="001C7418"/>
    <w:rsid w:val="001C7EBE"/>
    <w:rsid w:val="001D0051"/>
    <w:rsid w:val="001D2224"/>
    <w:rsid w:val="001D31AA"/>
    <w:rsid w:val="001D4F88"/>
    <w:rsid w:val="001D6261"/>
    <w:rsid w:val="001D65BF"/>
    <w:rsid w:val="001D68CF"/>
    <w:rsid w:val="001D6A8C"/>
    <w:rsid w:val="001D7A56"/>
    <w:rsid w:val="001E15C0"/>
    <w:rsid w:val="001E18E0"/>
    <w:rsid w:val="001E18E2"/>
    <w:rsid w:val="001E19D0"/>
    <w:rsid w:val="001E2A30"/>
    <w:rsid w:val="001E2E45"/>
    <w:rsid w:val="001E635C"/>
    <w:rsid w:val="00200AA0"/>
    <w:rsid w:val="00202325"/>
    <w:rsid w:val="00202736"/>
    <w:rsid w:val="00203652"/>
    <w:rsid w:val="00203E95"/>
    <w:rsid w:val="00205B4F"/>
    <w:rsid w:val="002060B6"/>
    <w:rsid w:val="002066B5"/>
    <w:rsid w:val="002119B6"/>
    <w:rsid w:val="00212B40"/>
    <w:rsid w:val="00213BD0"/>
    <w:rsid w:val="00214DBA"/>
    <w:rsid w:val="002151AB"/>
    <w:rsid w:val="00215C4C"/>
    <w:rsid w:val="00215ED6"/>
    <w:rsid w:val="00216049"/>
    <w:rsid w:val="002163FA"/>
    <w:rsid w:val="00217606"/>
    <w:rsid w:val="00217C09"/>
    <w:rsid w:val="00220F5C"/>
    <w:rsid w:val="00221B9B"/>
    <w:rsid w:val="00225196"/>
    <w:rsid w:val="00225CB4"/>
    <w:rsid w:val="00226B1A"/>
    <w:rsid w:val="00227F0B"/>
    <w:rsid w:val="0023049F"/>
    <w:rsid w:val="002316F6"/>
    <w:rsid w:val="00232C9B"/>
    <w:rsid w:val="00232E73"/>
    <w:rsid w:val="00232F09"/>
    <w:rsid w:val="002335D5"/>
    <w:rsid w:val="002338CA"/>
    <w:rsid w:val="00233FE5"/>
    <w:rsid w:val="00234B3B"/>
    <w:rsid w:val="00236018"/>
    <w:rsid w:val="002374C9"/>
    <w:rsid w:val="0024174E"/>
    <w:rsid w:val="0024227D"/>
    <w:rsid w:val="00242D14"/>
    <w:rsid w:val="00246860"/>
    <w:rsid w:val="00246DFF"/>
    <w:rsid w:val="00246E89"/>
    <w:rsid w:val="0025183C"/>
    <w:rsid w:val="002528EC"/>
    <w:rsid w:val="00255049"/>
    <w:rsid w:val="00257AFF"/>
    <w:rsid w:val="00257DE5"/>
    <w:rsid w:val="00260531"/>
    <w:rsid w:val="00260B9A"/>
    <w:rsid w:val="0026318D"/>
    <w:rsid w:val="00270864"/>
    <w:rsid w:val="002712F7"/>
    <w:rsid w:val="0027159C"/>
    <w:rsid w:val="002722F2"/>
    <w:rsid w:val="00273D62"/>
    <w:rsid w:val="00274549"/>
    <w:rsid w:val="00274E46"/>
    <w:rsid w:val="00274F5E"/>
    <w:rsid w:val="00275B30"/>
    <w:rsid w:val="002769AF"/>
    <w:rsid w:val="00276C86"/>
    <w:rsid w:val="00276FD0"/>
    <w:rsid w:val="00277217"/>
    <w:rsid w:val="002810A4"/>
    <w:rsid w:val="00284A26"/>
    <w:rsid w:val="00287006"/>
    <w:rsid w:val="00292AB2"/>
    <w:rsid w:val="00293FE8"/>
    <w:rsid w:val="00294437"/>
    <w:rsid w:val="00296793"/>
    <w:rsid w:val="00297890"/>
    <w:rsid w:val="00297A45"/>
    <w:rsid w:val="002A233F"/>
    <w:rsid w:val="002A3237"/>
    <w:rsid w:val="002A58B7"/>
    <w:rsid w:val="002A5943"/>
    <w:rsid w:val="002A5C3C"/>
    <w:rsid w:val="002A685E"/>
    <w:rsid w:val="002A72C7"/>
    <w:rsid w:val="002B03B2"/>
    <w:rsid w:val="002B0749"/>
    <w:rsid w:val="002B2645"/>
    <w:rsid w:val="002B4E22"/>
    <w:rsid w:val="002B6FA0"/>
    <w:rsid w:val="002C3B6D"/>
    <w:rsid w:val="002C4078"/>
    <w:rsid w:val="002C5D9D"/>
    <w:rsid w:val="002C5F10"/>
    <w:rsid w:val="002C6E5B"/>
    <w:rsid w:val="002D18B4"/>
    <w:rsid w:val="002D231A"/>
    <w:rsid w:val="002D525A"/>
    <w:rsid w:val="002D5961"/>
    <w:rsid w:val="002D7787"/>
    <w:rsid w:val="002E1877"/>
    <w:rsid w:val="002E1C31"/>
    <w:rsid w:val="002E2E0F"/>
    <w:rsid w:val="002E333A"/>
    <w:rsid w:val="002E3474"/>
    <w:rsid w:val="002E400C"/>
    <w:rsid w:val="002E49C3"/>
    <w:rsid w:val="002E5114"/>
    <w:rsid w:val="002E5988"/>
    <w:rsid w:val="002E7570"/>
    <w:rsid w:val="002E764B"/>
    <w:rsid w:val="002F0E28"/>
    <w:rsid w:val="002F287E"/>
    <w:rsid w:val="002F2981"/>
    <w:rsid w:val="002F2D63"/>
    <w:rsid w:val="002F6AD8"/>
    <w:rsid w:val="002F7F81"/>
    <w:rsid w:val="00300A36"/>
    <w:rsid w:val="00302845"/>
    <w:rsid w:val="00304C0D"/>
    <w:rsid w:val="0030678B"/>
    <w:rsid w:val="00310CD7"/>
    <w:rsid w:val="00313153"/>
    <w:rsid w:val="0032136A"/>
    <w:rsid w:val="003227EB"/>
    <w:rsid w:val="00323E70"/>
    <w:rsid w:val="003258A7"/>
    <w:rsid w:val="00325BA2"/>
    <w:rsid w:val="00326B1C"/>
    <w:rsid w:val="00326C08"/>
    <w:rsid w:val="00326F7F"/>
    <w:rsid w:val="003320E8"/>
    <w:rsid w:val="003328FD"/>
    <w:rsid w:val="0033334F"/>
    <w:rsid w:val="0033555E"/>
    <w:rsid w:val="00336805"/>
    <w:rsid w:val="00337351"/>
    <w:rsid w:val="00341A54"/>
    <w:rsid w:val="00344D17"/>
    <w:rsid w:val="0034669F"/>
    <w:rsid w:val="00351498"/>
    <w:rsid w:val="00352B22"/>
    <w:rsid w:val="00352CBF"/>
    <w:rsid w:val="00354547"/>
    <w:rsid w:val="003567DE"/>
    <w:rsid w:val="003574F3"/>
    <w:rsid w:val="003604A5"/>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0D8F"/>
    <w:rsid w:val="00393651"/>
    <w:rsid w:val="00395651"/>
    <w:rsid w:val="00395E12"/>
    <w:rsid w:val="00396779"/>
    <w:rsid w:val="00397DB7"/>
    <w:rsid w:val="003A27B2"/>
    <w:rsid w:val="003A40B4"/>
    <w:rsid w:val="003A41BA"/>
    <w:rsid w:val="003A5491"/>
    <w:rsid w:val="003A6A99"/>
    <w:rsid w:val="003A7070"/>
    <w:rsid w:val="003A7FF8"/>
    <w:rsid w:val="003B17AC"/>
    <w:rsid w:val="003B227A"/>
    <w:rsid w:val="003B3A77"/>
    <w:rsid w:val="003B5854"/>
    <w:rsid w:val="003B6764"/>
    <w:rsid w:val="003C294B"/>
    <w:rsid w:val="003C5046"/>
    <w:rsid w:val="003C6068"/>
    <w:rsid w:val="003D2BA3"/>
    <w:rsid w:val="003D3C22"/>
    <w:rsid w:val="003D56A0"/>
    <w:rsid w:val="003D7089"/>
    <w:rsid w:val="003D7DDB"/>
    <w:rsid w:val="003E02C7"/>
    <w:rsid w:val="003E0543"/>
    <w:rsid w:val="003E061D"/>
    <w:rsid w:val="003E0B5A"/>
    <w:rsid w:val="003E22D8"/>
    <w:rsid w:val="003E31E3"/>
    <w:rsid w:val="003E46D1"/>
    <w:rsid w:val="003E6214"/>
    <w:rsid w:val="003F01EA"/>
    <w:rsid w:val="003F070E"/>
    <w:rsid w:val="003F1206"/>
    <w:rsid w:val="003F58B0"/>
    <w:rsid w:val="003F776F"/>
    <w:rsid w:val="004007E9"/>
    <w:rsid w:val="00400810"/>
    <w:rsid w:val="00401825"/>
    <w:rsid w:val="00401BBC"/>
    <w:rsid w:val="00403BFB"/>
    <w:rsid w:val="00404B45"/>
    <w:rsid w:val="00406CC5"/>
    <w:rsid w:val="004074A4"/>
    <w:rsid w:val="004101B2"/>
    <w:rsid w:val="004123D7"/>
    <w:rsid w:val="00412658"/>
    <w:rsid w:val="004129DA"/>
    <w:rsid w:val="0041340F"/>
    <w:rsid w:val="00415EA4"/>
    <w:rsid w:val="0041604B"/>
    <w:rsid w:val="004172DB"/>
    <w:rsid w:val="0042139E"/>
    <w:rsid w:val="00421485"/>
    <w:rsid w:val="00422B75"/>
    <w:rsid w:val="00424612"/>
    <w:rsid w:val="00425A6A"/>
    <w:rsid w:val="00427F54"/>
    <w:rsid w:val="00433F36"/>
    <w:rsid w:val="0043434F"/>
    <w:rsid w:val="0043503A"/>
    <w:rsid w:val="00437D77"/>
    <w:rsid w:val="004435BE"/>
    <w:rsid w:val="0044384F"/>
    <w:rsid w:val="0044411E"/>
    <w:rsid w:val="00444F80"/>
    <w:rsid w:val="00446018"/>
    <w:rsid w:val="0045027B"/>
    <w:rsid w:val="00451810"/>
    <w:rsid w:val="00454298"/>
    <w:rsid w:val="004543BC"/>
    <w:rsid w:val="0045645D"/>
    <w:rsid w:val="004574C6"/>
    <w:rsid w:val="00457BCF"/>
    <w:rsid w:val="00457DCE"/>
    <w:rsid w:val="0046032C"/>
    <w:rsid w:val="00460E3F"/>
    <w:rsid w:val="00462F68"/>
    <w:rsid w:val="00463C41"/>
    <w:rsid w:val="004640E9"/>
    <w:rsid w:val="00466CED"/>
    <w:rsid w:val="00467592"/>
    <w:rsid w:val="00467690"/>
    <w:rsid w:val="004718E7"/>
    <w:rsid w:val="00472535"/>
    <w:rsid w:val="00473E2D"/>
    <w:rsid w:val="004761CC"/>
    <w:rsid w:val="004766C9"/>
    <w:rsid w:val="00480D4A"/>
    <w:rsid w:val="00481DA1"/>
    <w:rsid w:val="00484212"/>
    <w:rsid w:val="0049255F"/>
    <w:rsid w:val="0049445D"/>
    <w:rsid w:val="00494760"/>
    <w:rsid w:val="00495350"/>
    <w:rsid w:val="00497156"/>
    <w:rsid w:val="004A0C79"/>
    <w:rsid w:val="004A24D2"/>
    <w:rsid w:val="004A3214"/>
    <w:rsid w:val="004A4136"/>
    <w:rsid w:val="004A417B"/>
    <w:rsid w:val="004A4378"/>
    <w:rsid w:val="004B03F3"/>
    <w:rsid w:val="004B0CC9"/>
    <w:rsid w:val="004B2536"/>
    <w:rsid w:val="004B624E"/>
    <w:rsid w:val="004B6AF3"/>
    <w:rsid w:val="004B715E"/>
    <w:rsid w:val="004B7169"/>
    <w:rsid w:val="004B79C9"/>
    <w:rsid w:val="004C0776"/>
    <w:rsid w:val="004C52D3"/>
    <w:rsid w:val="004C5E33"/>
    <w:rsid w:val="004C60A3"/>
    <w:rsid w:val="004C6CDA"/>
    <w:rsid w:val="004D10D4"/>
    <w:rsid w:val="004D16BD"/>
    <w:rsid w:val="004D2AAB"/>
    <w:rsid w:val="004D6F2B"/>
    <w:rsid w:val="004E0248"/>
    <w:rsid w:val="004E21A3"/>
    <w:rsid w:val="004E32EA"/>
    <w:rsid w:val="004E6866"/>
    <w:rsid w:val="004F3222"/>
    <w:rsid w:val="004F3BFA"/>
    <w:rsid w:val="005000AB"/>
    <w:rsid w:val="00500F3C"/>
    <w:rsid w:val="005025EE"/>
    <w:rsid w:val="00505524"/>
    <w:rsid w:val="005060F3"/>
    <w:rsid w:val="00506688"/>
    <w:rsid w:val="00510588"/>
    <w:rsid w:val="0051146C"/>
    <w:rsid w:val="0051220B"/>
    <w:rsid w:val="00512484"/>
    <w:rsid w:val="00514449"/>
    <w:rsid w:val="00514ECB"/>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BE0"/>
    <w:rsid w:val="00540BEF"/>
    <w:rsid w:val="00542C9A"/>
    <w:rsid w:val="005436C2"/>
    <w:rsid w:val="005442D4"/>
    <w:rsid w:val="0054586A"/>
    <w:rsid w:val="0054631F"/>
    <w:rsid w:val="00546C24"/>
    <w:rsid w:val="00547BE6"/>
    <w:rsid w:val="0055288D"/>
    <w:rsid w:val="00554CD9"/>
    <w:rsid w:val="00555259"/>
    <w:rsid w:val="005569EF"/>
    <w:rsid w:val="00560D57"/>
    <w:rsid w:val="00562297"/>
    <w:rsid w:val="00562A94"/>
    <w:rsid w:val="00570754"/>
    <w:rsid w:val="005709F7"/>
    <w:rsid w:val="005710A9"/>
    <w:rsid w:val="00571D1B"/>
    <w:rsid w:val="005738F5"/>
    <w:rsid w:val="00573D34"/>
    <w:rsid w:val="0058039C"/>
    <w:rsid w:val="00580A63"/>
    <w:rsid w:val="00583379"/>
    <w:rsid w:val="0058417C"/>
    <w:rsid w:val="00586EC6"/>
    <w:rsid w:val="005874C3"/>
    <w:rsid w:val="00587DDE"/>
    <w:rsid w:val="00591FA4"/>
    <w:rsid w:val="00593043"/>
    <w:rsid w:val="00595BF0"/>
    <w:rsid w:val="005A0B1D"/>
    <w:rsid w:val="005A1846"/>
    <w:rsid w:val="005A258C"/>
    <w:rsid w:val="005A3560"/>
    <w:rsid w:val="005A464E"/>
    <w:rsid w:val="005A62FC"/>
    <w:rsid w:val="005A6C99"/>
    <w:rsid w:val="005A7D5D"/>
    <w:rsid w:val="005B011A"/>
    <w:rsid w:val="005B1D8F"/>
    <w:rsid w:val="005B1E94"/>
    <w:rsid w:val="005B5B3D"/>
    <w:rsid w:val="005B64CF"/>
    <w:rsid w:val="005C16F3"/>
    <w:rsid w:val="005C3758"/>
    <w:rsid w:val="005C4D72"/>
    <w:rsid w:val="005D5E91"/>
    <w:rsid w:val="005D67EF"/>
    <w:rsid w:val="005E0827"/>
    <w:rsid w:val="005E3064"/>
    <w:rsid w:val="005E6D0F"/>
    <w:rsid w:val="005E72B2"/>
    <w:rsid w:val="005F1115"/>
    <w:rsid w:val="005F1896"/>
    <w:rsid w:val="005F1AB6"/>
    <w:rsid w:val="005F27F2"/>
    <w:rsid w:val="005F3567"/>
    <w:rsid w:val="005F3AFE"/>
    <w:rsid w:val="005F424D"/>
    <w:rsid w:val="005F6B6D"/>
    <w:rsid w:val="00605AAB"/>
    <w:rsid w:val="00606BEB"/>
    <w:rsid w:val="0061014A"/>
    <w:rsid w:val="0061054B"/>
    <w:rsid w:val="00613E26"/>
    <w:rsid w:val="00615641"/>
    <w:rsid w:val="00616959"/>
    <w:rsid w:val="006211D0"/>
    <w:rsid w:val="006232E7"/>
    <w:rsid w:val="00624D0C"/>
    <w:rsid w:val="006274B4"/>
    <w:rsid w:val="006307BA"/>
    <w:rsid w:val="006315BA"/>
    <w:rsid w:val="0063253C"/>
    <w:rsid w:val="00634C4A"/>
    <w:rsid w:val="0063532E"/>
    <w:rsid w:val="00637BDC"/>
    <w:rsid w:val="00641457"/>
    <w:rsid w:val="006418C9"/>
    <w:rsid w:val="00642BD6"/>
    <w:rsid w:val="00644219"/>
    <w:rsid w:val="00645046"/>
    <w:rsid w:val="0064527A"/>
    <w:rsid w:val="00645EA2"/>
    <w:rsid w:val="00651E6D"/>
    <w:rsid w:val="00653D2D"/>
    <w:rsid w:val="006573F2"/>
    <w:rsid w:val="00662AD0"/>
    <w:rsid w:val="00662F08"/>
    <w:rsid w:val="00663589"/>
    <w:rsid w:val="00665D75"/>
    <w:rsid w:val="006708E3"/>
    <w:rsid w:val="00670DDC"/>
    <w:rsid w:val="00671389"/>
    <w:rsid w:val="00671EB4"/>
    <w:rsid w:val="0067443B"/>
    <w:rsid w:val="00675212"/>
    <w:rsid w:val="00684CE6"/>
    <w:rsid w:val="00684E2B"/>
    <w:rsid w:val="00690569"/>
    <w:rsid w:val="00690FDA"/>
    <w:rsid w:val="00691E61"/>
    <w:rsid w:val="00693C5E"/>
    <w:rsid w:val="00694EEA"/>
    <w:rsid w:val="006955B4"/>
    <w:rsid w:val="00696476"/>
    <w:rsid w:val="00696C74"/>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C6E6B"/>
    <w:rsid w:val="006D2000"/>
    <w:rsid w:val="006D2D39"/>
    <w:rsid w:val="006D4250"/>
    <w:rsid w:val="006D4E0E"/>
    <w:rsid w:val="006D5CE2"/>
    <w:rsid w:val="006D5E2A"/>
    <w:rsid w:val="006E06D1"/>
    <w:rsid w:val="006E1313"/>
    <w:rsid w:val="006E2DC8"/>
    <w:rsid w:val="006E34CD"/>
    <w:rsid w:val="006E7356"/>
    <w:rsid w:val="006E77C8"/>
    <w:rsid w:val="006F025C"/>
    <w:rsid w:val="006F149D"/>
    <w:rsid w:val="006F1A46"/>
    <w:rsid w:val="006F4F06"/>
    <w:rsid w:val="006F5A4E"/>
    <w:rsid w:val="006F6005"/>
    <w:rsid w:val="00703B6C"/>
    <w:rsid w:val="00704EA1"/>
    <w:rsid w:val="00705C40"/>
    <w:rsid w:val="00706482"/>
    <w:rsid w:val="00706BEF"/>
    <w:rsid w:val="00707ECE"/>
    <w:rsid w:val="00710CE8"/>
    <w:rsid w:val="00710D9D"/>
    <w:rsid w:val="007116BC"/>
    <w:rsid w:val="00711CA6"/>
    <w:rsid w:val="007165CE"/>
    <w:rsid w:val="00720968"/>
    <w:rsid w:val="00721705"/>
    <w:rsid w:val="00721B7A"/>
    <w:rsid w:val="00721D12"/>
    <w:rsid w:val="00721F8B"/>
    <w:rsid w:val="007237CE"/>
    <w:rsid w:val="00724688"/>
    <w:rsid w:val="007272F1"/>
    <w:rsid w:val="0073062D"/>
    <w:rsid w:val="0073254D"/>
    <w:rsid w:val="00736A49"/>
    <w:rsid w:val="007418BF"/>
    <w:rsid w:val="007419A1"/>
    <w:rsid w:val="00743B71"/>
    <w:rsid w:val="00743C2D"/>
    <w:rsid w:val="00743E36"/>
    <w:rsid w:val="00743F05"/>
    <w:rsid w:val="007441A4"/>
    <w:rsid w:val="007446F7"/>
    <w:rsid w:val="00744EBB"/>
    <w:rsid w:val="00745B0A"/>
    <w:rsid w:val="00745DBE"/>
    <w:rsid w:val="007468AC"/>
    <w:rsid w:val="00746AE2"/>
    <w:rsid w:val="00750C82"/>
    <w:rsid w:val="0075742A"/>
    <w:rsid w:val="00760D5B"/>
    <w:rsid w:val="0076100C"/>
    <w:rsid w:val="007612A5"/>
    <w:rsid w:val="00763F95"/>
    <w:rsid w:val="007651ED"/>
    <w:rsid w:val="00766C87"/>
    <w:rsid w:val="00780378"/>
    <w:rsid w:val="00781BD4"/>
    <w:rsid w:val="00782562"/>
    <w:rsid w:val="007828B4"/>
    <w:rsid w:val="00784832"/>
    <w:rsid w:val="00785D77"/>
    <w:rsid w:val="00786111"/>
    <w:rsid w:val="00790963"/>
    <w:rsid w:val="00791F1E"/>
    <w:rsid w:val="00794ADE"/>
    <w:rsid w:val="00794F3D"/>
    <w:rsid w:val="00795CE9"/>
    <w:rsid w:val="00796045"/>
    <w:rsid w:val="007968AC"/>
    <w:rsid w:val="007969AB"/>
    <w:rsid w:val="007A0B39"/>
    <w:rsid w:val="007A14A4"/>
    <w:rsid w:val="007A168F"/>
    <w:rsid w:val="007A1A38"/>
    <w:rsid w:val="007A2346"/>
    <w:rsid w:val="007A265C"/>
    <w:rsid w:val="007A28E4"/>
    <w:rsid w:val="007A3BB3"/>
    <w:rsid w:val="007A3F91"/>
    <w:rsid w:val="007A5AD1"/>
    <w:rsid w:val="007A5B7B"/>
    <w:rsid w:val="007A76F4"/>
    <w:rsid w:val="007B0A06"/>
    <w:rsid w:val="007B5C5C"/>
    <w:rsid w:val="007B7B37"/>
    <w:rsid w:val="007B7C41"/>
    <w:rsid w:val="007C11E9"/>
    <w:rsid w:val="007C433E"/>
    <w:rsid w:val="007C4452"/>
    <w:rsid w:val="007C4B3C"/>
    <w:rsid w:val="007C4DB1"/>
    <w:rsid w:val="007C6046"/>
    <w:rsid w:val="007C6F0C"/>
    <w:rsid w:val="007D0292"/>
    <w:rsid w:val="007D21AC"/>
    <w:rsid w:val="007D24B0"/>
    <w:rsid w:val="007D3882"/>
    <w:rsid w:val="007D568A"/>
    <w:rsid w:val="007D574E"/>
    <w:rsid w:val="007D57C0"/>
    <w:rsid w:val="007D6BFE"/>
    <w:rsid w:val="007E2046"/>
    <w:rsid w:val="007E3883"/>
    <w:rsid w:val="007E4FBB"/>
    <w:rsid w:val="007E55BF"/>
    <w:rsid w:val="007E71B1"/>
    <w:rsid w:val="007E7B4E"/>
    <w:rsid w:val="007F0AB7"/>
    <w:rsid w:val="007F0CE2"/>
    <w:rsid w:val="007F0EFF"/>
    <w:rsid w:val="007F1375"/>
    <w:rsid w:val="007F2A6C"/>
    <w:rsid w:val="0080064F"/>
    <w:rsid w:val="00803850"/>
    <w:rsid w:val="008039E8"/>
    <w:rsid w:val="00804385"/>
    <w:rsid w:val="00805AFD"/>
    <w:rsid w:val="008078D8"/>
    <w:rsid w:val="00811D5B"/>
    <w:rsid w:val="00813C51"/>
    <w:rsid w:val="00817713"/>
    <w:rsid w:val="008208C3"/>
    <w:rsid w:val="008220F1"/>
    <w:rsid w:val="0082340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5089F"/>
    <w:rsid w:val="0085206E"/>
    <w:rsid w:val="00852AD4"/>
    <w:rsid w:val="00852BA8"/>
    <w:rsid w:val="00853718"/>
    <w:rsid w:val="00853D46"/>
    <w:rsid w:val="008541EF"/>
    <w:rsid w:val="00856AC7"/>
    <w:rsid w:val="00856FA4"/>
    <w:rsid w:val="00860E60"/>
    <w:rsid w:val="0086162B"/>
    <w:rsid w:val="00861D5C"/>
    <w:rsid w:val="00861E5C"/>
    <w:rsid w:val="00865207"/>
    <w:rsid w:val="008656A7"/>
    <w:rsid w:val="00865FA3"/>
    <w:rsid w:val="00866231"/>
    <w:rsid w:val="00870EFC"/>
    <w:rsid w:val="00871262"/>
    <w:rsid w:val="00871D4E"/>
    <w:rsid w:val="00871E7B"/>
    <w:rsid w:val="0087566D"/>
    <w:rsid w:val="00875B51"/>
    <w:rsid w:val="00875F2D"/>
    <w:rsid w:val="008764DC"/>
    <w:rsid w:val="0087684D"/>
    <w:rsid w:val="00882CC2"/>
    <w:rsid w:val="00883930"/>
    <w:rsid w:val="0089038F"/>
    <w:rsid w:val="00891C18"/>
    <w:rsid w:val="00892B90"/>
    <w:rsid w:val="00896535"/>
    <w:rsid w:val="00896683"/>
    <w:rsid w:val="0089750B"/>
    <w:rsid w:val="00897589"/>
    <w:rsid w:val="008A0D4F"/>
    <w:rsid w:val="008A3705"/>
    <w:rsid w:val="008A50A7"/>
    <w:rsid w:val="008A5C34"/>
    <w:rsid w:val="008A63A9"/>
    <w:rsid w:val="008A7073"/>
    <w:rsid w:val="008A7F7E"/>
    <w:rsid w:val="008B04DB"/>
    <w:rsid w:val="008B09B4"/>
    <w:rsid w:val="008B27FD"/>
    <w:rsid w:val="008B3AF2"/>
    <w:rsid w:val="008B3F57"/>
    <w:rsid w:val="008B446D"/>
    <w:rsid w:val="008B515D"/>
    <w:rsid w:val="008B5D31"/>
    <w:rsid w:val="008B6705"/>
    <w:rsid w:val="008C22F3"/>
    <w:rsid w:val="008D29E7"/>
    <w:rsid w:val="008D795D"/>
    <w:rsid w:val="008D7B07"/>
    <w:rsid w:val="008E1E94"/>
    <w:rsid w:val="008E2D99"/>
    <w:rsid w:val="008E38B0"/>
    <w:rsid w:val="008E4A60"/>
    <w:rsid w:val="008E744D"/>
    <w:rsid w:val="008F1E08"/>
    <w:rsid w:val="008F4D23"/>
    <w:rsid w:val="00900D8F"/>
    <w:rsid w:val="009014E3"/>
    <w:rsid w:val="009026E8"/>
    <w:rsid w:val="00902FDD"/>
    <w:rsid w:val="00905EEF"/>
    <w:rsid w:val="00906EB7"/>
    <w:rsid w:val="009102BF"/>
    <w:rsid w:val="00911490"/>
    <w:rsid w:val="009115F2"/>
    <w:rsid w:val="00914ADB"/>
    <w:rsid w:val="00923B25"/>
    <w:rsid w:val="0092402E"/>
    <w:rsid w:val="009259BA"/>
    <w:rsid w:val="00926FCB"/>
    <w:rsid w:val="009303BB"/>
    <w:rsid w:val="0093311A"/>
    <w:rsid w:val="00940E08"/>
    <w:rsid w:val="00941A4C"/>
    <w:rsid w:val="00942645"/>
    <w:rsid w:val="009461E6"/>
    <w:rsid w:val="00950A3A"/>
    <w:rsid w:val="0095340A"/>
    <w:rsid w:val="00954581"/>
    <w:rsid w:val="0095466C"/>
    <w:rsid w:val="00954E5B"/>
    <w:rsid w:val="00955E45"/>
    <w:rsid w:val="009576BC"/>
    <w:rsid w:val="00960357"/>
    <w:rsid w:val="0096168C"/>
    <w:rsid w:val="00961840"/>
    <w:rsid w:val="009625E3"/>
    <w:rsid w:val="00962F2D"/>
    <w:rsid w:val="0096346B"/>
    <w:rsid w:val="009672CD"/>
    <w:rsid w:val="00972996"/>
    <w:rsid w:val="009732B8"/>
    <w:rsid w:val="0097514A"/>
    <w:rsid w:val="009759C2"/>
    <w:rsid w:val="00975C72"/>
    <w:rsid w:val="00976869"/>
    <w:rsid w:val="00977740"/>
    <w:rsid w:val="00977CB4"/>
    <w:rsid w:val="009809B8"/>
    <w:rsid w:val="00981086"/>
    <w:rsid w:val="009818AF"/>
    <w:rsid w:val="00981B1C"/>
    <w:rsid w:val="0098222D"/>
    <w:rsid w:val="00984C2D"/>
    <w:rsid w:val="00985099"/>
    <w:rsid w:val="0099421F"/>
    <w:rsid w:val="009A0DE3"/>
    <w:rsid w:val="009A1643"/>
    <w:rsid w:val="009A215A"/>
    <w:rsid w:val="009A49D3"/>
    <w:rsid w:val="009A4F1B"/>
    <w:rsid w:val="009A66C5"/>
    <w:rsid w:val="009A79BA"/>
    <w:rsid w:val="009B14D1"/>
    <w:rsid w:val="009B1534"/>
    <w:rsid w:val="009B4963"/>
    <w:rsid w:val="009B4A3B"/>
    <w:rsid w:val="009B4C91"/>
    <w:rsid w:val="009B69D3"/>
    <w:rsid w:val="009B7BA7"/>
    <w:rsid w:val="009C0938"/>
    <w:rsid w:val="009C19E8"/>
    <w:rsid w:val="009C22C8"/>
    <w:rsid w:val="009C27D1"/>
    <w:rsid w:val="009C3F82"/>
    <w:rsid w:val="009C72DD"/>
    <w:rsid w:val="009C7DF5"/>
    <w:rsid w:val="009D056C"/>
    <w:rsid w:val="009D060F"/>
    <w:rsid w:val="009D1ADE"/>
    <w:rsid w:val="009D37CA"/>
    <w:rsid w:val="009D4229"/>
    <w:rsid w:val="009E09A5"/>
    <w:rsid w:val="009E09D0"/>
    <w:rsid w:val="009E1283"/>
    <w:rsid w:val="009E3A7F"/>
    <w:rsid w:val="009E4DFC"/>
    <w:rsid w:val="009E5789"/>
    <w:rsid w:val="009E57B1"/>
    <w:rsid w:val="009E6379"/>
    <w:rsid w:val="009F3B63"/>
    <w:rsid w:val="009F6292"/>
    <w:rsid w:val="009F7809"/>
    <w:rsid w:val="009F7AF5"/>
    <w:rsid w:val="00A0028D"/>
    <w:rsid w:val="00A00D14"/>
    <w:rsid w:val="00A01408"/>
    <w:rsid w:val="00A02457"/>
    <w:rsid w:val="00A03190"/>
    <w:rsid w:val="00A03FAC"/>
    <w:rsid w:val="00A0404B"/>
    <w:rsid w:val="00A0798C"/>
    <w:rsid w:val="00A07BDD"/>
    <w:rsid w:val="00A07F12"/>
    <w:rsid w:val="00A1105B"/>
    <w:rsid w:val="00A1213C"/>
    <w:rsid w:val="00A121B5"/>
    <w:rsid w:val="00A130E8"/>
    <w:rsid w:val="00A15B6B"/>
    <w:rsid w:val="00A15EB4"/>
    <w:rsid w:val="00A16876"/>
    <w:rsid w:val="00A200AA"/>
    <w:rsid w:val="00A20558"/>
    <w:rsid w:val="00A2186F"/>
    <w:rsid w:val="00A2270B"/>
    <w:rsid w:val="00A2278E"/>
    <w:rsid w:val="00A23B89"/>
    <w:rsid w:val="00A23FE3"/>
    <w:rsid w:val="00A248C3"/>
    <w:rsid w:val="00A2496E"/>
    <w:rsid w:val="00A253E8"/>
    <w:rsid w:val="00A258B7"/>
    <w:rsid w:val="00A32743"/>
    <w:rsid w:val="00A365CB"/>
    <w:rsid w:val="00A41468"/>
    <w:rsid w:val="00A414A9"/>
    <w:rsid w:val="00A44141"/>
    <w:rsid w:val="00A44CCA"/>
    <w:rsid w:val="00A44D75"/>
    <w:rsid w:val="00A472B9"/>
    <w:rsid w:val="00A47CF1"/>
    <w:rsid w:val="00A50418"/>
    <w:rsid w:val="00A54A47"/>
    <w:rsid w:val="00A56D26"/>
    <w:rsid w:val="00A571A7"/>
    <w:rsid w:val="00A57BA8"/>
    <w:rsid w:val="00A608FB"/>
    <w:rsid w:val="00A60D83"/>
    <w:rsid w:val="00A60F68"/>
    <w:rsid w:val="00A63DF3"/>
    <w:rsid w:val="00A65C78"/>
    <w:rsid w:val="00A660A8"/>
    <w:rsid w:val="00A67591"/>
    <w:rsid w:val="00A67CA6"/>
    <w:rsid w:val="00A70B5A"/>
    <w:rsid w:val="00A70E7B"/>
    <w:rsid w:val="00A73B84"/>
    <w:rsid w:val="00A7411D"/>
    <w:rsid w:val="00A74303"/>
    <w:rsid w:val="00A7592B"/>
    <w:rsid w:val="00A76094"/>
    <w:rsid w:val="00A768E2"/>
    <w:rsid w:val="00A82C52"/>
    <w:rsid w:val="00A83C15"/>
    <w:rsid w:val="00A863B5"/>
    <w:rsid w:val="00A86CB6"/>
    <w:rsid w:val="00A90D55"/>
    <w:rsid w:val="00A916EE"/>
    <w:rsid w:val="00A944D8"/>
    <w:rsid w:val="00A94C05"/>
    <w:rsid w:val="00A959E7"/>
    <w:rsid w:val="00A95BBA"/>
    <w:rsid w:val="00A961EE"/>
    <w:rsid w:val="00AA04B3"/>
    <w:rsid w:val="00AA1253"/>
    <w:rsid w:val="00AA1ED0"/>
    <w:rsid w:val="00AA1F5B"/>
    <w:rsid w:val="00AA28EF"/>
    <w:rsid w:val="00AA3593"/>
    <w:rsid w:val="00AA36C0"/>
    <w:rsid w:val="00AA38CA"/>
    <w:rsid w:val="00AA493E"/>
    <w:rsid w:val="00AA73AF"/>
    <w:rsid w:val="00AB0A8A"/>
    <w:rsid w:val="00AB1754"/>
    <w:rsid w:val="00AB1F8D"/>
    <w:rsid w:val="00AB27DD"/>
    <w:rsid w:val="00AB76B7"/>
    <w:rsid w:val="00AC439D"/>
    <w:rsid w:val="00AC713F"/>
    <w:rsid w:val="00AC7329"/>
    <w:rsid w:val="00AD067E"/>
    <w:rsid w:val="00AD0A50"/>
    <w:rsid w:val="00AD1B4E"/>
    <w:rsid w:val="00AD2801"/>
    <w:rsid w:val="00AD3496"/>
    <w:rsid w:val="00AD5771"/>
    <w:rsid w:val="00AD6870"/>
    <w:rsid w:val="00AD68C5"/>
    <w:rsid w:val="00AD7F8F"/>
    <w:rsid w:val="00AE1273"/>
    <w:rsid w:val="00AE18C5"/>
    <w:rsid w:val="00AE2D29"/>
    <w:rsid w:val="00AE4624"/>
    <w:rsid w:val="00AE59B9"/>
    <w:rsid w:val="00AE5E14"/>
    <w:rsid w:val="00AE6115"/>
    <w:rsid w:val="00AE625B"/>
    <w:rsid w:val="00AF1103"/>
    <w:rsid w:val="00AF1668"/>
    <w:rsid w:val="00AF4FA5"/>
    <w:rsid w:val="00B04562"/>
    <w:rsid w:val="00B0773A"/>
    <w:rsid w:val="00B07955"/>
    <w:rsid w:val="00B140B8"/>
    <w:rsid w:val="00B14FAA"/>
    <w:rsid w:val="00B15BED"/>
    <w:rsid w:val="00B15D30"/>
    <w:rsid w:val="00B20624"/>
    <w:rsid w:val="00B23436"/>
    <w:rsid w:val="00B237F1"/>
    <w:rsid w:val="00B24F33"/>
    <w:rsid w:val="00B26354"/>
    <w:rsid w:val="00B26CA0"/>
    <w:rsid w:val="00B32179"/>
    <w:rsid w:val="00B33007"/>
    <w:rsid w:val="00B331A9"/>
    <w:rsid w:val="00B33498"/>
    <w:rsid w:val="00B36443"/>
    <w:rsid w:val="00B36569"/>
    <w:rsid w:val="00B40A05"/>
    <w:rsid w:val="00B40A3E"/>
    <w:rsid w:val="00B427BB"/>
    <w:rsid w:val="00B449EE"/>
    <w:rsid w:val="00B454AE"/>
    <w:rsid w:val="00B50227"/>
    <w:rsid w:val="00B50510"/>
    <w:rsid w:val="00B522CD"/>
    <w:rsid w:val="00B55143"/>
    <w:rsid w:val="00B555C8"/>
    <w:rsid w:val="00B55917"/>
    <w:rsid w:val="00B57EB8"/>
    <w:rsid w:val="00B63246"/>
    <w:rsid w:val="00B643A6"/>
    <w:rsid w:val="00B64DD6"/>
    <w:rsid w:val="00B6710C"/>
    <w:rsid w:val="00B67E84"/>
    <w:rsid w:val="00B72076"/>
    <w:rsid w:val="00B72303"/>
    <w:rsid w:val="00B72C72"/>
    <w:rsid w:val="00B731E4"/>
    <w:rsid w:val="00B76796"/>
    <w:rsid w:val="00B771E0"/>
    <w:rsid w:val="00B812BD"/>
    <w:rsid w:val="00B815D6"/>
    <w:rsid w:val="00B82277"/>
    <w:rsid w:val="00B8478F"/>
    <w:rsid w:val="00B87C78"/>
    <w:rsid w:val="00B91676"/>
    <w:rsid w:val="00B94120"/>
    <w:rsid w:val="00B95833"/>
    <w:rsid w:val="00BA1824"/>
    <w:rsid w:val="00BA2AB6"/>
    <w:rsid w:val="00BA2D98"/>
    <w:rsid w:val="00BA2F0C"/>
    <w:rsid w:val="00BA30D1"/>
    <w:rsid w:val="00BA30E1"/>
    <w:rsid w:val="00BA4609"/>
    <w:rsid w:val="00BA4B1E"/>
    <w:rsid w:val="00BA5BE2"/>
    <w:rsid w:val="00BA7F46"/>
    <w:rsid w:val="00BB0A0A"/>
    <w:rsid w:val="00BB133C"/>
    <w:rsid w:val="00BB1F04"/>
    <w:rsid w:val="00BB36EA"/>
    <w:rsid w:val="00BB45B5"/>
    <w:rsid w:val="00BB6064"/>
    <w:rsid w:val="00BB7012"/>
    <w:rsid w:val="00BC09D1"/>
    <w:rsid w:val="00BC1CF3"/>
    <w:rsid w:val="00BC3573"/>
    <w:rsid w:val="00BC7818"/>
    <w:rsid w:val="00BC7F82"/>
    <w:rsid w:val="00BD3683"/>
    <w:rsid w:val="00BD40AB"/>
    <w:rsid w:val="00BD6297"/>
    <w:rsid w:val="00BD6806"/>
    <w:rsid w:val="00BD7433"/>
    <w:rsid w:val="00BD7831"/>
    <w:rsid w:val="00BD7C10"/>
    <w:rsid w:val="00BE046F"/>
    <w:rsid w:val="00BE0DEB"/>
    <w:rsid w:val="00BE2AB8"/>
    <w:rsid w:val="00BE2FC1"/>
    <w:rsid w:val="00BE3142"/>
    <w:rsid w:val="00BE3B6B"/>
    <w:rsid w:val="00BE4039"/>
    <w:rsid w:val="00BE6365"/>
    <w:rsid w:val="00BF0B7F"/>
    <w:rsid w:val="00BF2988"/>
    <w:rsid w:val="00BF4720"/>
    <w:rsid w:val="00BF4F49"/>
    <w:rsid w:val="00BF6759"/>
    <w:rsid w:val="00BF7638"/>
    <w:rsid w:val="00BF7B4F"/>
    <w:rsid w:val="00BF7B63"/>
    <w:rsid w:val="00C038EC"/>
    <w:rsid w:val="00C05C6D"/>
    <w:rsid w:val="00C072D7"/>
    <w:rsid w:val="00C1122B"/>
    <w:rsid w:val="00C13B34"/>
    <w:rsid w:val="00C13B55"/>
    <w:rsid w:val="00C13F26"/>
    <w:rsid w:val="00C1474E"/>
    <w:rsid w:val="00C14C37"/>
    <w:rsid w:val="00C16BE4"/>
    <w:rsid w:val="00C16E9F"/>
    <w:rsid w:val="00C1713D"/>
    <w:rsid w:val="00C17523"/>
    <w:rsid w:val="00C177F1"/>
    <w:rsid w:val="00C17EE6"/>
    <w:rsid w:val="00C2272E"/>
    <w:rsid w:val="00C22F3A"/>
    <w:rsid w:val="00C23311"/>
    <w:rsid w:val="00C25978"/>
    <w:rsid w:val="00C261C6"/>
    <w:rsid w:val="00C26621"/>
    <w:rsid w:val="00C26E7C"/>
    <w:rsid w:val="00C276CD"/>
    <w:rsid w:val="00C30A97"/>
    <w:rsid w:val="00C31DDC"/>
    <w:rsid w:val="00C34326"/>
    <w:rsid w:val="00C36201"/>
    <w:rsid w:val="00C368E8"/>
    <w:rsid w:val="00C36C3D"/>
    <w:rsid w:val="00C372C7"/>
    <w:rsid w:val="00C42443"/>
    <w:rsid w:val="00C42CBA"/>
    <w:rsid w:val="00C4338C"/>
    <w:rsid w:val="00C472C7"/>
    <w:rsid w:val="00C5019E"/>
    <w:rsid w:val="00C5377C"/>
    <w:rsid w:val="00C53E8A"/>
    <w:rsid w:val="00C54DF3"/>
    <w:rsid w:val="00C560A7"/>
    <w:rsid w:val="00C56FC8"/>
    <w:rsid w:val="00C5719A"/>
    <w:rsid w:val="00C60F23"/>
    <w:rsid w:val="00C62EB2"/>
    <w:rsid w:val="00C64734"/>
    <w:rsid w:val="00C67448"/>
    <w:rsid w:val="00C71BEC"/>
    <w:rsid w:val="00C74D3A"/>
    <w:rsid w:val="00C75F3D"/>
    <w:rsid w:val="00C80511"/>
    <w:rsid w:val="00C826F5"/>
    <w:rsid w:val="00C83740"/>
    <w:rsid w:val="00C84AD1"/>
    <w:rsid w:val="00C85579"/>
    <w:rsid w:val="00C863E5"/>
    <w:rsid w:val="00C87BE6"/>
    <w:rsid w:val="00C87F76"/>
    <w:rsid w:val="00C931FC"/>
    <w:rsid w:val="00C932C5"/>
    <w:rsid w:val="00C9341A"/>
    <w:rsid w:val="00C95A72"/>
    <w:rsid w:val="00C9650E"/>
    <w:rsid w:val="00CA068D"/>
    <w:rsid w:val="00CA1228"/>
    <w:rsid w:val="00CA1C73"/>
    <w:rsid w:val="00CA282D"/>
    <w:rsid w:val="00CA3F73"/>
    <w:rsid w:val="00CA43D5"/>
    <w:rsid w:val="00CA4670"/>
    <w:rsid w:val="00CA6B1A"/>
    <w:rsid w:val="00CB20DC"/>
    <w:rsid w:val="00CB23DC"/>
    <w:rsid w:val="00CB2487"/>
    <w:rsid w:val="00CB28E2"/>
    <w:rsid w:val="00CB2F20"/>
    <w:rsid w:val="00CB6AAB"/>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F158D"/>
    <w:rsid w:val="00CF4394"/>
    <w:rsid w:val="00D000A9"/>
    <w:rsid w:val="00D005DB"/>
    <w:rsid w:val="00D0064E"/>
    <w:rsid w:val="00D00981"/>
    <w:rsid w:val="00D02596"/>
    <w:rsid w:val="00D0280D"/>
    <w:rsid w:val="00D05669"/>
    <w:rsid w:val="00D06952"/>
    <w:rsid w:val="00D07A72"/>
    <w:rsid w:val="00D10577"/>
    <w:rsid w:val="00D12A4E"/>
    <w:rsid w:val="00D1323B"/>
    <w:rsid w:val="00D14BAE"/>
    <w:rsid w:val="00D1634F"/>
    <w:rsid w:val="00D1648B"/>
    <w:rsid w:val="00D16819"/>
    <w:rsid w:val="00D17DD9"/>
    <w:rsid w:val="00D17F54"/>
    <w:rsid w:val="00D20AC0"/>
    <w:rsid w:val="00D2321B"/>
    <w:rsid w:val="00D23DE4"/>
    <w:rsid w:val="00D25A5C"/>
    <w:rsid w:val="00D26873"/>
    <w:rsid w:val="00D31683"/>
    <w:rsid w:val="00D336C8"/>
    <w:rsid w:val="00D339E8"/>
    <w:rsid w:val="00D3654A"/>
    <w:rsid w:val="00D3662E"/>
    <w:rsid w:val="00D40B1F"/>
    <w:rsid w:val="00D40D75"/>
    <w:rsid w:val="00D43978"/>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AF4"/>
    <w:rsid w:val="00D62D5C"/>
    <w:rsid w:val="00D63577"/>
    <w:rsid w:val="00D67FD7"/>
    <w:rsid w:val="00D72410"/>
    <w:rsid w:val="00D7408A"/>
    <w:rsid w:val="00D74261"/>
    <w:rsid w:val="00D7441B"/>
    <w:rsid w:val="00D75589"/>
    <w:rsid w:val="00D76AB2"/>
    <w:rsid w:val="00D80490"/>
    <w:rsid w:val="00D823FE"/>
    <w:rsid w:val="00D829AD"/>
    <w:rsid w:val="00D82EE2"/>
    <w:rsid w:val="00D8545C"/>
    <w:rsid w:val="00D87788"/>
    <w:rsid w:val="00D877C8"/>
    <w:rsid w:val="00D87BC1"/>
    <w:rsid w:val="00D91040"/>
    <w:rsid w:val="00D910C2"/>
    <w:rsid w:val="00D9168C"/>
    <w:rsid w:val="00D9189B"/>
    <w:rsid w:val="00D91DA6"/>
    <w:rsid w:val="00D925AC"/>
    <w:rsid w:val="00D93B9A"/>
    <w:rsid w:val="00D95984"/>
    <w:rsid w:val="00D9706F"/>
    <w:rsid w:val="00D972D4"/>
    <w:rsid w:val="00DA195B"/>
    <w:rsid w:val="00DA6B55"/>
    <w:rsid w:val="00DA6B97"/>
    <w:rsid w:val="00DB0015"/>
    <w:rsid w:val="00DB0359"/>
    <w:rsid w:val="00DB0ABB"/>
    <w:rsid w:val="00DB0B93"/>
    <w:rsid w:val="00DB2AAD"/>
    <w:rsid w:val="00DB5941"/>
    <w:rsid w:val="00DB626D"/>
    <w:rsid w:val="00DB6365"/>
    <w:rsid w:val="00DC0BF1"/>
    <w:rsid w:val="00DC41C3"/>
    <w:rsid w:val="00DC4FA4"/>
    <w:rsid w:val="00DD286D"/>
    <w:rsid w:val="00DD2CAF"/>
    <w:rsid w:val="00DD3593"/>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02F4"/>
    <w:rsid w:val="00E2536E"/>
    <w:rsid w:val="00E25B8A"/>
    <w:rsid w:val="00E2632B"/>
    <w:rsid w:val="00E322F7"/>
    <w:rsid w:val="00E3369B"/>
    <w:rsid w:val="00E36D76"/>
    <w:rsid w:val="00E40478"/>
    <w:rsid w:val="00E405EA"/>
    <w:rsid w:val="00E408B7"/>
    <w:rsid w:val="00E41637"/>
    <w:rsid w:val="00E42789"/>
    <w:rsid w:val="00E43F59"/>
    <w:rsid w:val="00E464F0"/>
    <w:rsid w:val="00E46EF3"/>
    <w:rsid w:val="00E473E9"/>
    <w:rsid w:val="00E50BEB"/>
    <w:rsid w:val="00E5289D"/>
    <w:rsid w:val="00E548FA"/>
    <w:rsid w:val="00E57703"/>
    <w:rsid w:val="00E57ED4"/>
    <w:rsid w:val="00E57FED"/>
    <w:rsid w:val="00E6092F"/>
    <w:rsid w:val="00E62049"/>
    <w:rsid w:val="00E629DA"/>
    <w:rsid w:val="00E6469F"/>
    <w:rsid w:val="00E65D39"/>
    <w:rsid w:val="00E670F8"/>
    <w:rsid w:val="00E67FAC"/>
    <w:rsid w:val="00E7200B"/>
    <w:rsid w:val="00E738CB"/>
    <w:rsid w:val="00E73C88"/>
    <w:rsid w:val="00E74437"/>
    <w:rsid w:val="00E7443D"/>
    <w:rsid w:val="00E75ACE"/>
    <w:rsid w:val="00E81C3E"/>
    <w:rsid w:val="00E82359"/>
    <w:rsid w:val="00E82B6D"/>
    <w:rsid w:val="00E8608F"/>
    <w:rsid w:val="00E86774"/>
    <w:rsid w:val="00E9711D"/>
    <w:rsid w:val="00EA1177"/>
    <w:rsid w:val="00EA118B"/>
    <w:rsid w:val="00EA11B6"/>
    <w:rsid w:val="00EA2181"/>
    <w:rsid w:val="00EA2DD8"/>
    <w:rsid w:val="00EA4475"/>
    <w:rsid w:val="00EA52FE"/>
    <w:rsid w:val="00EA681F"/>
    <w:rsid w:val="00EB06A6"/>
    <w:rsid w:val="00EB3307"/>
    <w:rsid w:val="00EB3823"/>
    <w:rsid w:val="00EB47D8"/>
    <w:rsid w:val="00EB57D3"/>
    <w:rsid w:val="00EB5EFD"/>
    <w:rsid w:val="00EB679F"/>
    <w:rsid w:val="00EB75F2"/>
    <w:rsid w:val="00EB76E4"/>
    <w:rsid w:val="00EC0E65"/>
    <w:rsid w:val="00EC1251"/>
    <w:rsid w:val="00EC2938"/>
    <w:rsid w:val="00EC337D"/>
    <w:rsid w:val="00EC38EF"/>
    <w:rsid w:val="00EC50C9"/>
    <w:rsid w:val="00EC58B4"/>
    <w:rsid w:val="00EC5993"/>
    <w:rsid w:val="00EC5BB2"/>
    <w:rsid w:val="00ED12F0"/>
    <w:rsid w:val="00ED4773"/>
    <w:rsid w:val="00ED5284"/>
    <w:rsid w:val="00ED664B"/>
    <w:rsid w:val="00ED6A61"/>
    <w:rsid w:val="00ED7DA4"/>
    <w:rsid w:val="00EE03BB"/>
    <w:rsid w:val="00EE0B44"/>
    <w:rsid w:val="00EE6FE0"/>
    <w:rsid w:val="00EE704A"/>
    <w:rsid w:val="00EE7806"/>
    <w:rsid w:val="00EE7840"/>
    <w:rsid w:val="00EF3199"/>
    <w:rsid w:val="00EF4C74"/>
    <w:rsid w:val="00EF5268"/>
    <w:rsid w:val="00EF608E"/>
    <w:rsid w:val="00F0044B"/>
    <w:rsid w:val="00F03525"/>
    <w:rsid w:val="00F0451B"/>
    <w:rsid w:val="00F04957"/>
    <w:rsid w:val="00F05807"/>
    <w:rsid w:val="00F07052"/>
    <w:rsid w:val="00F0706C"/>
    <w:rsid w:val="00F07F17"/>
    <w:rsid w:val="00F11EBE"/>
    <w:rsid w:val="00F12BA8"/>
    <w:rsid w:val="00F130D0"/>
    <w:rsid w:val="00F14933"/>
    <w:rsid w:val="00F1516A"/>
    <w:rsid w:val="00F171F9"/>
    <w:rsid w:val="00F22A26"/>
    <w:rsid w:val="00F24072"/>
    <w:rsid w:val="00F26432"/>
    <w:rsid w:val="00F314C6"/>
    <w:rsid w:val="00F3197A"/>
    <w:rsid w:val="00F32139"/>
    <w:rsid w:val="00F33D56"/>
    <w:rsid w:val="00F34D5B"/>
    <w:rsid w:val="00F34E08"/>
    <w:rsid w:val="00F41D91"/>
    <w:rsid w:val="00F41F52"/>
    <w:rsid w:val="00F42363"/>
    <w:rsid w:val="00F446E7"/>
    <w:rsid w:val="00F46964"/>
    <w:rsid w:val="00F46F9A"/>
    <w:rsid w:val="00F470FD"/>
    <w:rsid w:val="00F50F30"/>
    <w:rsid w:val="00F5126A"/>
    <w:rsid w:val="00F5126E"/>
    <w:rsid w:val="00F51755"/>
    <w:rsid w:val="00F53572"/>
    <w:rsid w:val="00F56EA1"/>
    <w:rsid w:val="00F6196E"/>
    <w:rsid w:val="00F624DD"/>
    <w:rsid w:val="00F629C0"/>
    <w:rsid w:val="00F63FC7"/>
    <w:rsid w:val="00F65ED5"/>
    <w:rsid w:val="00F6608B"/>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66F9"/>
    <w:rsid w:val="00F96F61"/>
    <w:rsid w:val="00F97740"/>
    <w:rsid w:val="00FA2DEF"/>
    <w:rsid w:val="00FA2F7B"/>
    <w:rsid w:val="00FA3C97"/>
    <w:rsid w:val="00FA3D30"/>
    <w:rsid w:val="00FA78C8"/>
    <w:rsid w:val="00FB09FE"/>
    <w:rsid w:val="00FB101D"/>
    <w:rsid w:val="00FB1725"/>
    <w:rsid w:val="00FB2493"/>
    <w:rsid w:val="00FB593A"/>
    <w:rsid w:val="00FB6410"/>
    <w:rsid w:val="00FB6E82"/>
    <w:rsid w:val="00FB792E"/>
    <w:rsid w:val="00FB7D7E"/>
    <w:rsid w:val="00FC0042"/>
    <w:rsid w:val="00FC1E67"/>
    <w:rsid w:val="00FC2A13"/>
    <w:rsid w:val="00FC4284"/>
    <w:rsid w:val="00FC4576"/>
    <w:rsid w:val="00FC5FF5"/>
    <w:rsid w:val="00FC78FB"/>
    <w:rsid w:val="00FC7DBC"/>
    <w:rsid w:val="00FD04AE"/>
    <w:rsid w:val="00FD076A"/>
    <w:rsid w:val="00FD0AA0"/>
    <w:rsid w:val="00FD1D5A"/>
    <w:rsid w:val="00FD5059"/>
    <w:rsid w:val="00FD554D"/>
    <w:rsid w:val="00FD5BCC"/>
    <w:rsid w:val="00FD6675"/>
    <w:rsid w:val="00FE5D0A"/>
    <w:rsid w:val="00FE6469"/>
    <w:rsid w:val="00FF06CE"/>
    <w:rsid w:val="00FF0FF7"/>
    <w:rsid w:val="00FF10A2"/>
    <w:rsid w:val="00FF1438"/>
    <w:rsid w:val="00FF3A38"/>
    <w:rsid w:val="00FF3C25"/>
    <w:rsid w:val="00FF5806"/>
    <w:rsid w:val="00FF5C41"/>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paragraph" w:customStyle="1" w:styleId="Default">
    <w:name w:val="Default"/>
    <w:rsid w:val="0012220D"/>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3037681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1D32-A793-43E6-A4EE-F1617FCA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2011-05-04T12:54:00Z</cp:lastPrinted>
  <dcterms:created xsi:type="dcterms:W3CDTF">2012-03-07T19:29:00Z</dcterms:created>
  <dcterms:modified xsi:type="dcterms:W3CDTF">2012-03-07T19:29:00Z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