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F629C0" w:rsidRPr="00FD6C41" w:rsidRDefault="00F629C0" w:rsidP="00F629C0">
      <w:pPr>
        <w:tabs>
          <w:tab w:val="left" w:pos="288"/>
          <w:tab w:val="left" w:pos="4752"/>
          <w:tab w:val="left" w:pos="531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87F98">
        <w:rPr>
          <w:rFonts w:asciiTheme="minorHAnsi" w:hAnsiTheme="minorHAnsi"/>
          <w:caps/>
          <w:color w:val="auto"/>
        </w:rPr>
        <w:t>XXXX</w:t>
      </w:r>
      <w:r w:rsidR="00DA56B7">
        <w:rPr>
          <w:rFonts w:asciiTheme="minorHAnsi" w:hAnsiTheme="minorHAnsi"/>
          <w:caps/>
          <w:color w:val="auto"/>
        </w:rPr>
        <w:t xml:space="preserve"> </w:t>
      </w:r>
      <w:r w:rsidRPr="00FD6C41">
        <w:rPr>
          <w:rFonts w:asciiTheme="minorHAnsi" w:hAnsiTheme="minorHAnsi"/>
          <w:caps/>
          <w:color w:val="auto"/>
        </w:rPr>
        <w:tab/>
      </w:r>
      <w:r w:rsidRPr="00FD6C41">
        <w:rPr>
          <w:rFonts w:asciiTheme="minorHAnsi" w:hAnsiTheme="minorHAnsi"/>
          <w:caps/>
          <w:color w:val="auto"/>
        </w:rPr>
        <w:tab/>
      </w:r>
      <w:r w:rsidR="001B15EB">
        <w:rPr>
          <w:rFonts w:asciiTheme="minorHAnsi" w:hAnsiTheme="minorHAnsi"/>
          <w:caps/>
          <w:color w:val="auto"/>
        </w:rPr>
        <w:t xml:space="preserve">      </w:t>
      </w:r>
      <w:r w:rsidRPr="00FD6C41">
        <w:rPr>
          <w:rFonts w:asciiTheme="minorHAnsi" w:hAnsiTheme="minorHAnsi"/>
          <w:caps/>
          <w:color w:val="auto"/>
        </w:rPr>
        <w:t xml:space="preserve">BRANCH OF SERVICE: </w:t>
      </w:r>
      <w:r>
        <w:rPr>
          <w:rFonts w:asciiTheme="minorHAnsi" w:hAnsiTheme="minorHAnsi"/>
          <w:caps/>
          <w:color w:val="auto"/>
        </w:rPr>
        <w:t xml:space="preserve"> </w:t>
      </w:r>
      <w:r w:rsidR="00DA56B7">
        <w:rPr>
          <w:rFonts w:asciiTheme="minorHAnsi" w:hAnsiTheme="minorHAnsi"/>
          <w:caps/>
          <w:color w:val="auto"/>
        </w:rPr>
        <w:t>MARINE CORPS</w:t>
      </w:r>
    </w:p>
    <w:p w:rsidR="00F629C0" w:rsidRPr="00FD6C41" w:rsidRDefault="00F629C0" w:rsidP="00F629C0">
      <w:pPr>
        <w:tabs>
          <w:tab w:val="left" w:pos="288"/>
          <w:tab w:val="left" w:pos="4752"/>
          <w:tab w:val="left" w:pos="5310"/>
        </w:tabs>
        <w:spacing w:line="240" w:lineRule="exact"/>
        <w:ind w:right="-900"/>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FD6C41">
        <w:rPr>
          <w:rFonts w:asciiTheme="minorHAnsi" w:hAnsiTheme="minorHAnsi"/>
          <w:caps/>
          <w:color w:val="auto"/>
        </w:rPr>
        <w:t>PD</w:t>
      </w:r>
      <w:r w:rsidR="00DA56B7">
        <w:rPr>
          <w:rFonts w:asciiTheme="minorHAnsi" w:hAnsiTheme="minorHAnsi"/>
          <w:caps/>
          <w:color w:val="auto"/>
        </w:rPr>
        <w:t>200900692</w:t>
      </w:r>
      <w:r w:rsidRPr="00FD6C41">
        <w:rPr>
          <w:rFonts w:asciiTheme="minorHAnsi" w:hAnsiTheme="minorHAnsi"/>
          <w:caps/>
          <w:color w:val="auto"/>
        </w:rPr>
        <w:tab/>
      </w:r>
      <w:r w:rsidRPr="00FD6C41">
        <w:rPr>
          <w:rFonts w:asciiTheme="minorHAnsi" w:hAnsiTheme="minorHAnsi"/>
          <w:caps/>
          <w:color w:val="auto"/>
        </w:rPr>
        <w:tab/>
      </w:r>
      <w:r w:rsidR="00262B54">
        <w:rPr>
          <w:rFonts w:asciiTheme="minorHAnsi" w:hAnsiTheme="minorHAnsi"/>
          <w:caps/>
          <w:color w:val="auto"/>
        </w:rPr>
        <w:t xml:space="preserve">      </w:t>
      </w:r>
      <w:r w:rsidRPr="00FD6C41">
        <w:rPr>
          <w:rFonts w:asciiTheme="minorHAnsi" w:hAnsiTheme="minorHAnsi"/>
          <w:caps/>
          <w:color w:val="auto"/>
        </w:rPr>
        <w:t xml:space="preserve">SEPARATION DATE: </w:t>
      </w:r>
      <w:r>
        <w:rPr>
          <w:rFonts w:asciiTheme="minorHAnsi" w:hAnsiTheme="minorHAnsi"/>
          <w:caps/>
          <w:color w:val="auto"/>
        </w:rPr>
        <w:t xml:space="preserve"> </w:t>
      </w:r>
      <w:r w:rsidRPr="00FD6C41">
        <w:rPr>
          <w:rFonts w:asciiTheme="minorHAnsi" w:hAnsiTheme="minorHAnsi"/>
          <w:caps/>
          <w:color w:val="auto"/>
        </w:rPr>
        <w:t>200</w:t>
      </w:r>
      <w:r w:rsidR="00DA56B7">
        <w:rPr>
          <w:rFonts w:asciiTheme="minorHAnsi" w:hAnsiTheme="minorHAnsi"/>
          <w:caps/>
          <w:color w:val="auto"/>
        </w:rPr>
        <w:t>50415</w:t>
      </w:r>
    </w:p>
    <w:p w:rsidR="00F629C0" w:rsidRPr="00FD6C41" w:rsidRDefault="00F629C0" w:rsidP="00F629C0">
      <w:pPr>
        <w:tabs>
          <w:tab w:val="left" w:pos="288"/>
          <w:tab w:val="left" w:pos="531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227FC4">
        <w:rPr>
          <w:rFonts w:asciiTheme="minorHAnsi" w:hAnsiTheme="minorHAnsi"/>
          <w:caps/>
          <w:color w:val="auto"/>
        </w:rPr>
        <w:t>20110421</w:t>
      </w:r>
    </w:p>
    <w:p w:rsidR="00D560DC" w:rsidRPr="00A02966" w:rsidRDefault="00D560DC" w:rsidP="000452D7">
      <w:pPr>
        <w:tabs>
          <w:tab w:val="left" w:pos="288"/>
          <w:tab w:val="left" w:pos="4752"/>
        </w:tabs>
        <w:spacing w:line="240" w:lineRule="exact"/>
        <w:jc w:val="both"/>
        <w:rPr>
          <w:rFonts w:asciiTheme="minorHAnsi" w:hAnsiTheme="minorHAnsi"/>
          <w:b/>
          <w:caps/>
          <w:color w:val="auto"/>
          <w:u w:val="single"/>
        </w:rPr>
      </w:pPr>
      <w:r w:rsidRPr="00A02966">
        <w:rPr>
          <w:rFonts w:asciiTheme="minorHAnsi" w:hAnsiTheme="minorHAnsi"/>
          <w:b/>
          <w:color w:val="auto"/>
          <w:u w:val="single"/>
        </w:rPr>
        <w:t>______________________________________________________________________________</w:t>
      </w:r>
    </w:p>
    <w:p w:rsidR="0067526A" w:rsidRPr="00A02966" w:rsidRDefault="0067526A" w:rsidP="000452D7">
      <w:pPr>
        <w:tabs>
          <w:tab w:val="left" w:pos="288"/>
          <w:tab w:val="left" w:pos="4752"/>
        </w:tabs>
        <w:spacing w:line="240" w:lineRule="exact"/>
        <w:jc w:val="both"/>
        <w:rPr>
          <w:rFonts w:asciiTheme="minorHAnsi" w:hAnsiTheme="minorHAnsi"/>
          <w:b/>
          <w:color w:val="auto"/>
          <w:u w:val="single"/>
        </w:rPr>
      </w:pPr>
    </w:p>
    <w:p w:rsidR="009A766F" w:rsidRPr="001B15EB" w:rsidRDefault="002C6E5B" w:rsidP="009A766F">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u w:val="single"/>
        </w:rPr>
        <w:t>SUMMARY OF CASE</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5B5985">
        <w:rPr>
          <w:rFonts w:asciiTheme="minorHAnsi" w:hAnsiTheme="minorHAnsi"/>
          <w:color w:val="auto"/>
          <w:szCs w:val="24"/>
        </w:rPr>
        <w:t xml:space="preserve"> SS</w:t>
      </w:r>
      <w:r w:rsidR="000C6D2D">
        <w:rPr>
          <w:rFonts w:asciiTheme="minorHAnsi" w:hAnsiTheme="minorHAnsi"/>
          <w:color w:val="auto"/>
          <w:szCs w:val="24"/>
        </w:rPr>
        <w:t>gt</w:t>
      </w:r>
      <w:r w:rsidR="005B5985">
        <w:rPr>
          <w:rFonts w:asciiTheme="minorHAnsi" w:hAnsiTheme="minorHAnsi"/>
          <w:color w:val="auto"/>
          <w:szCs w:val="24"/>
        </w:rPr>
        <w:t xml:space="preserve"> </w:t>
      </w:r>
      <w:r w:rsidR="00705C40" w:rsidRPr="00AD7F8F">
        <w:rPr>
          <w:rFonts w:asciiTheme="minorHAnsi" w:hAnsiTheme="minorHAnsi"/>
          <w:color w:val="auto"/>
          <w:szCs w:val="24"/>
        </w:rPr>
        <w:t>(</w:t>
      </w:r>
      <w:r w:rsidR="002110B8">
        <w:rPr>
          <w:rFonts w:asciiTheme="minorHAnsi" w:hAnsiTheme="minorHAnsi"/>
          <w:color w:val="auto"/>
          <w:szCs w:val="24"/>
        </w:rPr>
        <w:t>0659</w:t>
      </w:r>
      <w:r w:rsidR="003D7ACE">
        <w:rPr>
          <w:rFonts w:asciiTheme="minorHAnsi" w:hAnsiTheme="minorHAnsi"/>
          <w:color w:val="auto"/>
          <w:szCs w:val="24"/>
        </w:rPr>
        <w:t>,</w:t>
      </w:r>
      <w:r w:rsidR="00C75F3D">
        <w:rPr>
          <w:rFonts w:asciiTheme="minorHAnsi" w:hAnsiTheme="minorHAnsi"/>
          <w:color w:val="auto"/>
          <w:szCs w:val="24"/>
        </w:rPr>
        <w:t xml:space="preserve"> </w:t>
      </w:r>
      <w:r w:rsidR="002110B8">
        <w:rPr>
          <w:rFonts w:asciiTheme="minorHAnsi" w:hAnsiTheme="minorHAnsi"/>
          <w:color w:val="auto"/>
          <w:szCs w:val="24"/>
        </w:rPr>
        <w:t>Data Chief</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Pr="00AD7F8F">
        <w:rPr>
          <w:rFonts w:asciiTheme="minorHAnsi" w:hAnsiTheme="minorHAnsi"/>
          <w:color w:val="auto"/>
          <w:szCs w:val="24"/>
        </w:rPr>
        <w:t xml:space="preserve">medically separated from the </w:t>
      </w:r>
      <w:r w:rsidR="002110B8">
        <w:rPr>
          <w:rFonts w:asciiTheme="minorHAnsi" w:hAnsiTheme="minorHAnsi"/>
          <w:color w:val="auto"/>
          <w:szCs w:val="24"/>
        </w:rPr>
        <w:t>Marine Corps</w:t>
      </w:r>
      <w:r w:rsidRPr="00AD7F8F">
        <w:rPr>
          <w:rFonts w:asciiTheme="minorHAnsi" w:hAnsiTheme="minorHAnsi"/>
          <w:color w:val="auto"/>
          <w:szCs w:val="24"/>
        </w:rPr>
        <w:t xml:space="preserve"> in 200</w:t>
      </w:r>
      <w:r w:rsidR="002110B8">
        <w:rPr>
          <w:rFonts w:asciiTheme="minorHAnsi" w:hAnsiTheme="minorHAnsi"/>
          <w:color w:val="auto"/>
          <w:szCs w:val="24"/>
        </w:rPr>
        <w:t>5</w:t>
      </w:r>
      <w:r w:rsidR="003F1206">
        <w:rPr>
          <w:rFonts w:asciiTheme="minorHAnsi" w:hAnsiTheme="minorHAnsi"/>
          <w:color w:val="auto"/>
          <w:szCs w:val="24"/>
        </w:rPr>
        <w:t>.</w:t>
      </w:r>
      <w:r w:rsidR="002110B8">
        <w:rPr>
          <w:rFonts w:asciiTheme="minorHAnsi" w:hAnsiTheme="minorHAnsi"/>
          <w:color w:val="auto"/>
          <w:szCs w:val="24"/>
        </w:rPr>
        <w:t xml:space="preserve">  </w:t>
      </w:r>
      <w:r w:rsidRPr="00AD7F8F">
        <w:rPr>
          <w:rFonts w:asciiTheme="minorHAnsi" w:hAnsiTheme="minorHAnsi"/>
          <w:color w:val="auto"/>
          <w:szCs w:val="24"/>
        </w:rPr>
        <w:t xml:space="preserve">The medical basis for the separation was </w:t>
      </w:r>
      <w:r w:rsidR="000C6D2D">
        <w:rPr>
          <w:rFonts w:asciiTheme="minorHAnsi" w:hAnsiTheme="minorHAnsi"/>
          <w:color w:val="auto"/>
          <w:szCs w:val="24"/>
        </w:rPr>
        <w:t>b</w:t>
      </w:r>
      <w:r w:rsidR="002110B8">
        <w:rPr>
          <w:rFonts w:asciiTheme="minorHAnsi" w:hAnsiTheme="minorHAnsi"/>
          <w:color w:val="auto"/>
          <w:szCs w:val="24"/>
        </w:rPr>
        <w:t xml:space="preserve">ilateral </w:t>
      </w:r>
      <w:r w:rsidR="000C6D2D">
        <w:rPr>
          <w:rFonts w:asciiTheme="minorHAnsi" w:hAnsiTheme="minorHAnsi"/>
          <w:color w:val="auto"/>
          <w:szCs w:val="24"/>
        </w:rPr>
        <w:t>p</w:t>
      </w:r>
      <w:r w:rsidR="002110B8">
        <w:rPr>
          <w:rFonts w:asciiTheme="minorHAnsi" w:hAnsiTheme="minorHAnsi"/>
          <w:color w:val="auto"/>
          <w:szCs w:val="24"/>
        </w:rPr>
        <w:t xml:space="preserve">atellofemoral </w:t>
      </w:r>
      <w:r w:rsidR="000C6D2D">
        <w:rPr>
          <w:rFonts w:asciiTheme="minorHAnsi" w:hAnsiTheme="minorHAnsi"/>
          <w:color w:val="auto"/>
          <w:szCs w:val="24"/>
        </w:rPr>
        <w:t>o</w:t>
      </w:r>
      <w:r w:rsidR="002110B8">
        <w:rPr>
          <w:rFonts w:asciiTheme="minorHAnsi" w:hAnsiTheme="minorHAnsi"/>
          <w:color w:val="auto"/>
          <w:szCs w:val="24"/>
        </w:rPr>
        <w:t xml:space="preserve">steoarthritis.  </w:t>
      </w:r>
      <w:r w:rsidR="000C6D2D">
        <w:rPr>
          <w:rFonts w:asciiTheme="minorHAnsi" w:hAnsiTheme="minorHAnsi"/>
          <w:color w:val="auto"/>
          <w:szCs w:val="24"/>
        </w:rPr>
        <w:t xml:space="preserve">The CI presented for care of pain in both knees in February 2003, diagnosed as patellofemoral syndrome </w:t>
      </w:r>
      <w:r w:rsidR="001E09D5">
        <w:rPr>
          <w:rFonts w:asciiTheme="minorHAnsi" w:hAnsiTheme="minorHAnsi"/>
          <w:color w:val="auto"/>
          <w:szCs w:val="24"/>
        </w:rPr>
        <w:t xml:space="preserve">with </w:t>
      </w:r>
      <w:r w:rsidR="000C6D2D">
        <w:rPr>
          <w:rFonts w:asciiTheme="minorHAnsi" w:hAnsiTheme="minorHAnsi"/>
          <w:color w:val="auto"/>
          <w:szCs w:val="24"/>
        </w:rPr>
        <w:t xml:space="preserve">patellofemoral osteoarthritis.  </w:t>
      </w:r>
      <w:r w:rsidR="00D46BB2">
        <w:rPr>
          <w:rFonts w:asciiTheme="minorHAnsi" w:hAnsiTheme="minorHAnsi"/>
          <w:color w:val="auto"/>
          <w:szCs w:val="24"/>
        </w:rPr>
        <w:t>Sh</w:t>
      </w:r>
      <w:r w:rsidR="00D46BB2" w:rsidRPr="00C472C7">
        <w:rPr>
          <w:rFonts w:asciiTheme="minorHAnsi" w:hAnsiTheme="minorHAnsi"/>
          <w:color w:val="auto"/>
          <w:szCs w:val="24"/>
        </w:rPr>
        <w:t xml:space="preserve">e did not respond adequately to treatment and was unable to participate in </w:t>
      </w:r>
      <w:r w:rsidR="007C271F">
        <w:rPr>
          <w:rFonts w:asciiTheme="minorHAnsi" w:hAnsiTheme="minorHAnsi"/>
          <w:color w:val="auto"/>
          <w:szCs w:val="24"/>
        </w:rPr>
        <w:t xml:space="preserve">the </w:t>
      </w:r>
      <w:r w:rsidR="00D46BB2" w:rsidRPr="00C472C7">
        <w:rPr>
          <w:rFonts w:asciiTheme="minorHAnsi" w:hAnsiTheme="minorHAnsi"/>
          <w:color w:val="auto"/>
          <w:szCs w:val="24"/>
        </w:rPr>
        <w:t>physical fitness test</w:t>
      </w:r>
      <w:r w:rsidR="007C271F">
        <w:rPr>
          <w:rFonts w:asciiTheme="minorHAnsi" w:hAnsiTheme="minorHAnsi"/>
          <w:color w:val="auto"/>
          <w:szCs w:val="24"/>
        </w:rPr>
        <w:t xml:space="preserve"> or perfo</w:t>
      </w:r>
      <w:r w:rsidR="00AA4958">
        <w:rPr>
          <w:rFonts w:asciiTheme="minorHAnsi" w:hAnsiTheme="minorHAnsi"/>
          <w:color w:val="auto"/>
          <w:szCs w:val="24"/>
        </w:rPr>
        <w:t>r</w:t>
      </w:r>
      <w:r w:rsidR="007C271F">
        <w:rPr>
          <w:rFonts w:asciiTheme="minorHAnsi" w:hAnsiTheme="minorHAnsi"/>
          <w:color w:val="auto"/>
          <w:szCs w:val="24"/>
        </w:rPr>
        <w:t>m strenuous military duties involving running, climbing, or heavy lifting.</w:t>
      </w:r>
      <w:r w:rsidR="00233859">
        <w:rPr>
          <w:rFonts w:asciiTheme="minorHAnsi" w:hAnsiTheme="minorHAnsi"/>
          <w:color w:val="auto"/>
          <w:szCs w:val="24"/>
        </w:rPr>
        <w:t xml:space="preserve">  She </w:t>
      </w:r>
      <w:r w:rsidR="00D46BB2" w:rsidRPr="00C472C7">
        <w:rPr>
          <w:rFonts w:asciiTheme="minorHAnsi" w:hAnsiTheme="minorHAnsi"/>
          <w:color w:val="auto"/>
          <w:szCs w:val="24"/>
        </w:rPr>
        <w:t xml:space="preserve">was placed on </w:t>
      </w:r>
      <w:r w:rsidR="003D7ACE">
        <w:rPr>
          <w:rFonts w:asciiTheme="minorHAnsi" w:hAnsiTheme="minorHAnsi"/>
          <w:color w:val="auto"/>
          <w:szCs w:val="24"/>
        </w:rPr>
        <w:t>l</w:t>
      </w:r>
      <w:r w:rsidR="00D46BB2" w:rsidRPr="00C472C7">
        <w:rPr>
          <w:rFonts w:asciiTheme="minorHAnsi" w:hAnsiTheme="minorHAnsi"/>
          <w:color w:val="auto"/>
          <w:szCs w:val="24"/>
        </w:rPr>
        <w:t xml:space="preserve">imited </w:t>
      </w:r>
      <w:r w:rsidR="003D7ACE">
        <w:rPr>
          <w:rFonts w:asciiTheme="minorHAnsi" w:hAnsiTheme="minorHAnsi"/>
          <w:color w:val="auto"/>
          <w:szCs w:val="24"/>
        </w:rPr>
        <w:t>d</w:t>
      </w:r>
      <w:r w:rsidR="00D46BB2" w:rsidRPr="00C472C7">
        <w:rPr>
          <w:rFonts w:asciiTheme="minorHAnsi" w:hAnsiTheme="minorHAnsi"/>
          <w:color w:val="auto"/>
          <w:szCs w:val="24"/>
        </w:rPr>
        <w:t>uty</w:t>
      </w:r>
      <w:r w:rsidR="0067526A">
        <w:rPr>
          <w:rFonts w:asciiTheme="minorHAnsi" w:hAnsiTheme="minorHAnsi"/>
          <w:color w:val="auto"/>
          <w:szCs w:val="24"/>
        </w:rPr>
        <w:t xml:space="preserve"> </w:t>
      </w:r>
      <w:r w:rsidR="00D46BB2" w:rsidRPr="00C472C7">
        <w:rPr>
          <w:rFonts w:asciiTheme="minorHAnsi" w:hAnsiTheme="minorHAnsi"/>
          <w:color w:val="auto"/>
          <w:szCs w:val="24"/>
        </w:rPr>
        <w:t>and underwent a Medical Evaluation Board (MEB</w:t>
      </w:r>
      <w:r w:rsidR="00D46BB2">
        <w:rPr>
          <w:rFonts w:asciiTheme="minorHAnsi" w:hAnsiTheme="minorHAnsi"/>
          <w:color w:val="auto"/>
          <w:szCs w:val="24"/>
        </w:rPr>
        <w:t>).</w:t>
      </w:r>
      <w:r w:rsidR="00E86A9F">
        <w:rPr>
          <w:rFonts w:asciiTheme="minorHAnsi" w:hAnsiTheme="minorHAnsi"/>
          <w:color w:val="auto"/>
          <w:szCs w:val="24"/>
        </w:rPr>
        <w:t xml:space="preserve">  </w:t>
      </w:r>
      <w:r w:rsidR="00233859">
        <w:rPr>
          <w:rFonts w:asciiTheme="minorHAnsi" w:hAnsiTheme="minorHAnsi"/>
          <w:color w:val="auto"/>
          <w:szCs w:val="24"/>
        </w:rPr>
        <w:t xml:space="preserve">Bilateral </w:t>
      </w:r>
      <w:r w:rsidR="009E5FF4">
        <w:rPr>
          <w:rFonts w:asciiTheme="minorHAnsi" w:hAnsiTheme="minorHAnsi"/>
          <w:color w:val="auto"/>
          <w:szCs w:val="24"/>
        </w:rPr>
        <w:t>p</w:t>
      </w:r>
      <w:r w:rsidR="00233859">
        <w:rPr>
          <w:rFonts w:asciiTheme="minorHAnsi" w:hAnsiTheme="minorHAnsi"/>
          <w:color w:val="auto"/>
          <w:szCs w:val="24"/>
        </w:rPr>
        <w:t xml:space="preserve">atellofemoral </w:t>
      </w:r>
      <w:r w:rsidR="009E5FF4">
        <w:rPr>
          <w:rFonts w:asciiTheme="minorHAnsi" w:hAnsiTheme="minorHAnsi"/>
          <w:color w:val="auto"/>
          <w:szCs w:val="24"/>
        </w:rPr>
        <w:t>o</w:t>
      </w:r>
      <w:r w:rsidR="00233859">
        <w:rPr>
          <w:rFonts w:asciiTheme="minorHAnsi" w:hAnsiTheme="minorHAnsi"/>
          <w:color w:val="auto"/>
          <w:szCs w:val="24"/>
        </w:rPr>
        <w:t>steoarthritis</w:t>
      </w:r>
      <w:r w:rsidR="00233859" w:rsidRPr="009E5FF4">
        <w:rPr>
          <w:rFonts w:asciiTheme="minorHAnsi" w:hAnsiTheme="minorHAnsi"/>
          <w:color w:val="auto"/>
          <w:szCs w:val="24"/>
        </w:rPr>
        <w:t xml:space="preserve"> </w:t>
      </w:r>
      <w:r w:rsidR="009E5FF4" w:rsidRPr="009E5FF4">
        <w:rPr>
          <w:rFonts w:asciiTheme="minorHAnsi" w:hAnsiTheme="minorHAnsi"/>
          <w:color w:val="auto"/>
          <w:szCs w:val="24"/>
        </w:rPr>
        <w:t>and bila</w:t>
      </w:r>
      <w:r w:rsidR="009E5FF4">
        <w:rPr>
          <w:rFonts w:asciiTheme="minorHAnsi" w:hAnsiTheme="minorHAnsi"/>
          <w:color w:val="auto"/>
          <w:szCs w:val="24"/>
        </w:rPr>
        <w:t xml:space="preserve">teral patellar tendonitis were </w:t>
      </w:r>
      <w:r w:rsidR="00233859" w:rsidRPr="00C472C7">
        <w:rPr>
          <w:rFonts w:asciiTheme="minorHAnsi" w:hAnsiTheme="minorHAnsi"/>
          <w:color w:val="auto"/>
          <w:szCs w:val="24"/>
        </w:rPr>
        <w:t>forwarded to the Physical Evaluation Board (PEB) as medically unacceptable IAW SECNAVINST 1850.4E.</w:t>
      </w:r>
      <w:r w:rsidR="009E5FF4">
        <w:rPr>
          <w:rFonts w:asciiTheme="minorHAnsi" w:hAnsiTheme="minorHAnsi"/>
          <w:color w:val="auto"/>
          <w:szCs w:val="24"/>
        </w:rPr>
        <w:t xml:space="preserve">  </w:t>
      </w:r>
      <w:r w:rsidR="009A766F" w:rsidRPr="00C472C7">
        <w:rPr>
          <w:rFonts w:asciiTheme="minorHAnsi" w:hAnsiTheme="minorHAnsi"/>
          <w:color w:val="auto"/>
          <w:szCs w:val="24"/>
        </w:rPr>
        <w:t xml:space="preserve">The PEB adjudicated the </w:t>
      </w:r>
      <w:r w:rsidR="001E09D5">
        <w:rPr>
          <w:rFonts w:asciiTheme="minorHAnsi" w:hAnsiTheme="minorHAnsi"/>
          <w:color w:val="auto"/>
          <w:szCs w:val="24"/>
        </w:rPr>
        <w:t>b</w:t>
      </w:r>
      <w:r w:rsidR="009A766F">
        <w:rPr>
          <w:rFonts w:asciiTheme="minorHAnsi" w:hAnsiTheme="minorHAnsi"/>
          <w:color w:val="auto"/>
          <w:szCs w:val="24"/>
        </w:rPr>
        <w:t xml:space="preserve">ilateral </w:t>
      </w:r>
      <w:r w:rsidR="001E09D5">
        <w:rPr>
          <w:rFonts w:asciiTheme="minorHAnsi" w:hAnsiTheme="minorHAnsi"/>
          <w:color w:val="auto"/>
          <w:szCs w:val="24"/>
        </w:rPr>
        <w:t>p</w:t>
      </w:r>
      <w:r w:rsidR="009A766F">
        <w:rPr>
          <w:rFonts w:asciiTheme="minorHAnsi" w:hAnsiTheme="minorHAnsi"/>
          <w:color w:val="auto"/>
          <w:szCs w:val="24"/>
        </w:rPr>
        <w:t xml:space="preserve">atellofemoral </w:t>
      </w:r>
      <w:r w:rsidR="001E09D5">
        <w:rPr>
          <w:rFonts w:asciiTheme="minorHAnsi" w:hAnsiTheme="minorHAnsi"/>
          <w:color w:val="auto"/>
          <w:szCs w:val="24"/>
        </w:rPr>
        <w:t>o</w:t>
      </w:r>
      <w:r w:rsidR="009A766F">
        <w:rPr>
          <w:rFonts w:asciiTheme="minorHAnsi" w:hAnsiTheme="minorHAnsi"/>
          <w:color w:val="auto"/>
          <w:szCs w:val="24"/>
        </w:rPr>
        <w:t>steoarthritis</w:t>
      </w:r>
      <w:r w:rsidR="009A766F" w:rsidRPr="00C472C7">
        <w:rPr>
          <w:rFonts w:asciiTheme="minorHAnsi" w:hAnsiTheme="minorHAnsi"/>
          <w:color w:val="auto"/>
          <w:szCs w:val="24"/>
        </w:rPr>
        <w:t xml:space="preserve"> </w:t>
      </w:r>
      <w:r w:rsidR="009A766F">
        <w:rPr>
          <w:rFonts w:asciiTheme="minorHAnsi" w:hAnsiTheme="minorHAnsi"/>
          <w:color w:val="auto"/>
          <w:szCs w:val="24"/>
        </w:rPr>
        <w:t>c</w:t>
      </w:r>
      <w:r w:rsidR="009A766F" w:rsidRPr="00C472C7">
        <w:rPr>
          <w:rFonts w:asciiTheme="minorHAnsi" w:hAnsiTheme="minorHAnsi"/>
          <w:color w:val="auto"/>
          <w:szCs w:val="24"/>
        </w:rPr>
        <w:t xml:space="preserve">ondition as unfitting, rated </w:t>
      </w:r>
      <w:r w:rsidR="009A766F">
        <w:rPr>
          <w:rFonts w:asciiTheme="minorHAnsi" w:hAnsiTheme="minorHAnsi"/>
          <w:color w:val="auto"/>
          <w:szCs w:val="24"/>
        </w:rPr>
        <w:t>10</w:t>
      </w:r>
      <w:r w:rsidR="009A766F" w:rsidRPr="00C472C7">
        <w:rPr>
          <w:rFonts w:asciiTheme="minorHAnsi" w:hAnsiTheme="minorHAnsi"/>
          <w:color w:val="auto"/>
          <w:szCs w:val="24"/>
        </w:rPr>
        <w:t>% each; with application of the SECNAVINST 1850.4E and DoDI 1332.39.</w:t>
      </w:r>
      <w:r w:rsidR="009E5FF4">
        <w:rPr>
          <w:rFonts w:asciiTheme="minorHAnsi" w:hAnsiTheme="minorHAnsi"/>
          <w:color w:val="auto"/>
          <w:szCs w:val="24"/>
        </w:rPr>
        <w:t xml:space="preserve">  </w:t>
      </w:r>
      <w:r w:rsidR="00771407">
        <w:rPr>
          <w:rFonts w:asciiTheme="minorHAnsi" w:hAnsiTheme="minorHAnsi"/>
          <w:color w:val="auto"/>
          <w:szCs w:val="24"/>
        </w:rPr>
        <w:t>B</w:t>
      </w:r>
      <w:r w:rsidR="009E5FF4">
        <w:rPr>
          <w:rFonts w:asciiTheme="minorHAnsi" w:hAnsiTheme="minorHAnsi"/>
          <w:color w:val="auto"/>
          <w:szCs w:val="24"/>
        </w:rPr>
        <w:t xml:space="preserve">ilateral patellar tendonitis condition </w:t>
      </w:r>
      <w:r w:rsidR="009E5FF4" w:rsidRPr="001B15EB">
        <w:rPr>
          <w:rFonts w:asciiTheme="minorHAnsi" w:hAnsiTheme="minorHAnsi"/>
          <w:color w:val="auto"/>
          <w:szCs w:val="24"/>
        </w:rPr>
        <w:t xml:space="preserve">was </w:t>
      </w:r>
      <w:r w:rsidR="00771407" w:rsidRPr="001B15EB">
        <w:rPr>
          <w:rFonts w:asciiTheme="minorHAnsi" w:hAnsiTheme="minorHAnsi"/>
          <w:color w:val="auto"/>
          <w:szCs w:val="24"/>
        </w:rPr>
        <w:t xml:space="preserve">a related secondary diagnosis and not separately ratable.  </w:t>
      </w:r>
      <w:r w:rsidR="009A766F" w:rsidRPr="001B15EB">
        <w:rPr>
          <w:rFonts w:asciiTheme="minorHAnsi" w:hAnsiTheme="minorHAnsi"/>
          <w:color w:val="auto"/>
        </w:rPr>
        <w:t>The CI made no appeals, and was medically separated with a 20% combined disability rating.</w:t>
      </w:r>
    </w:p>
    <w:p w:rsidR="00A83C15" w:rsidRPr="001B15EB" w:rsidRDefault="00A83C15" w:rsidP="000452D7">
      <w:pPr>
        <w:tabs>
          <w:tab w:val="left" w:pos="288"/>
          <w:tab w:val="left" w:pos="4752"/>
        </w:tabs>
        <w:spacing w:line="240" w:lineRule="exact"/>
        <w:jc w:val="both"/>
        <w:rPr>
          <w:rFonts w:asciiTheme="minorHAnsi" w:hAnsiTheme="minorHAnsi"/>
          <w:b/>
          <w:caps/>
          <w:color w:val="auto"/>
          <w:u w:val="single"/>
        </w:rPr>
      </w:pPr>
      <w:r w:rsidRPr="001B15EB">
        <w:rPr>
          <w:rFonts w:asciiTheme="minorHAnsi" w:hAnsiTheme="minorHAnsi"/>
          <w:b/>
          <w:color w:val="auto"/>
          <w:u w:val="single"/>
        </w:rPr>
        <w:t>______________________________________________________________________________</w:t>
      </w:r>
    </w:p>
    <w:p w:rsidR="00106AD8" w:rsidRPr="001B15EB" w:rsidRDefault="00106AD8" w:rsidP="000452D7">
      <w:pPr>
        <w:tabs>
          <w:tab w:val="left" w:pos="288"/>
          <w:tab w:val="left" w:pos="4752"/>
        </w:tabs>
        <w:spacing w:line="240" w:lineRule="exact"/>
        <w:rPr>
          <w:b/>
          <w:color w:val="auto"/>
          <w:szCs w:val="24"/>
        </w:rPr>
      </w:pPr>
    </w:p>
    <w:p w:rsidR="009A766F" w:rsidRPr="001B15EB" w:rsidRDefault="002C6E5B" w:rsidP="009A766F">
      <w:pPr>
        <w:tabs>
          <w:tab w:val="left" w:pos="288"/>
          <w:tab w:val="left" w:pos="4752"/>
        </w:tabs>
        <w:spacing w:line="240" w:lineRule="exact"/>
        <w:jc w:val="both"/>
        <w:rPr>
          <w:rFonts w:eastAsiaTheme="minorHAnsi" w:cstheme="minorBidi"/>
          <w:color w:val="auto"/>
          <w:szCs w:val="24"/>
        </w:rPr>
      </w:pPr>
      <w:r w:rsidRPr="001B15EB">
        <w:rPr>
          <w:rFonts w:asciiTheme="minorHAnsi" w:hAnsiTheme="minorHAnsi"/>
          <w:color w:val="auto"/>
          <w:u w:val="single"/>
        </w:rPr>
        <w:t>CI CONTENTION</w:t>
      </w:r>
      <w:r w:rsidRPr="001B15EB">
        <w:rPr>
          <w:rFonts w:asciiTheme="minorHAnsi" w:hAnsiTheme="minorHAnsi"/>
          <w:color w:val="auto"/>
        </w:rPr>
        <w:t>:</w:t>
      </w:r>
      <w:r w:rsidR="009A766F" w:rsidRPr="001B15EB">
        <w:rPr>
          <w:rFonts w:asciiTheme="minorHAnsi" w:hAnsiTheme="minorHAnsi"/>
          <w:color w:val="auto"/>
        </w:rPr>
        <w:t xml:space="preserve">  She</w:t>
      </w:r>
      <w:r w:rsidR="009A766F" w:rsidRPr="001B15EB">
        <w:rPr>
          <w:rFonts w:eastAsiaTheme="minorHAnsi" w:cstheme="minorBidi"/>
          <w:color w:val="auto"/>
          <w:szCs w:val="24"/>
        </w:rPr>
        <w:t xml:space="preserve"> elaborates no specific contentions regarding rating or coding and mentions no additionally contended conditions.  </w:t>
      </w:r>
    </w:p>
    <w:p w:rsidR="00A83C15" w:rsidRPr="001B15EB" w:rsidRDefault="00A83C15" w:rsidP="000452D7">
      <w:pPr>
        <w:tabs>
          <w:tab w:val="left" w:pos="288"/>
          <w:tab w:val="left" w:pos="4752"/>
        </w:tabs>
        <w:spacing w:line="240" w:lineRule="exact"/>
        <w:jc w:val="both"/>
        <w:rPr>
          <w:rFonts w:asciiTheme="minorHAnsi" w:hAnsiTheme="minorHAnsi"/>
          <w:b/>
          <w:caps/>
          <w:color w:val="auto"/>
          <w:u w:val="single"/>
        </w:rPr>
      </w:pPr>
      <w:r w:rsidRPr="001B15EB">
        <w:rPr>
          <w:rFonts w:asciiTheme="minorHAnsi" w:hAnsiTheme="minorHAnsi"/>
          <w:b/>
          <w:color w:val="auto"/>
          <w:u w:val="single"/>
        </w:rPr>
        <w:t>______________________________________________________________________________</w:t>
      </w:r>
    </w:p>
    <w:p w:rsidR="00DF5F5D" w:rsidRPr="001B15EB" w:rsidRDefault="00DF5F5D" w:rsidP="00506688">
      <w:pPr>
        <w:rPr>
          <w:rFonts w:asciiTheme="minorHAnsi" w:hAnsiTheme="minorHAnsi"/>
          <w:b/>
          <w:color w:val="auto"/>
          <w:u w:val="single"/>
        </w:rPr>
      </w:pPr>
    </w:p>
    <w:p w:rsidR="002338CA" w:rsidRPr="001B15EB" w:rsidRDefault="007F0AB7" w:rsidP="00506688">
      <w:pPr>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DF5F5D" w:rsidRPr="001B15EB" w:rsidRDefault="00DF5F5D" w:rsidP="000452D7">
      <w:pPr>
        <w:spacing w:line="240" w:lineRule="exact"/>
        <w:rPr>
          <w:rFonts w:asciiTheme="minorHAnsi" w:hAnsiTheme="minorHAnsi"/>
          <w:color w:val="auto"/>
        </w:rPr>
      </w:pPr>
    </w:p>
    <w:tbl>
      <w:tblPr>
        <w:tblStyle w:val="TableGrid"/>
        <w:tblW w:w="9018" w:type="dxa"/>
        <w:jc w:val="center"/>
        <w:tblLayout w:type="fixed"/>
        <w:tblLook w:val="04A0"/>
      </w:tblPr>
      <w:tblGrid>
        <w:gridCol w:w="1638"/>
        <w:gridCol w:w="630"/>
        <w:gridCol w:w="1170"/>
        <w:gridCol w:w="810"/>
        <w:gridCol w:w="1620"/>
        <w:gridCol w:w="1080"/>
        <w:gridCol w:w="990"/>
        <w:gridCol w:w="1080"/>
      </w:tblGrid>
      <w:tr w:rsidR="002B4E22" w:rsidRPr="001B15EB" w:rsidTr="001B15EB">
        <w:trPr>
          <w:trHeight w:val="233"/>
          <w:jc w:val="center"/>
        </w:trPr>
        <w:tc>
          <w:tcPr>
            <w:tcW w:w="4248" w:type="dxa"/>
            <w:gridSpan w:val="4"/>
            <w:tcBorders>
              <w:right w:val="thinThickThinSmallGap" w:sz="24" w:space="0" w:color="auto"/>
            </w:tcBorders>
            <w:shd w:val="clear" w:color="auto" w:fill="D9D9D9" w:themeFill="background1" w:themeFillShade="D9"/>
          </w:tcPr>
          <w:p w:rsidR="002B4E22" w:rsidRPr="001B15EB" w:rsidRDefault="00B731E4" w:rsidP="001B15EB">
            <w:pPr>
              <w:spacing w:line="240" w:lineRule="exact"/>
              <w:contextualSpacing/>
              <w:jc w:val="center"/>
              <w:rPr>
                <w:b/>
                <w:color w:val="auto"/>
                <w:sz w:val="20"/>
                <w:szCs w:val="20"/>
              </w:rPr>
            </w:pPr>
            <w:r w:rsidRPr="001B15EB">
              <w:rPr>
                <w:b/>
                <w:color w:val="auto"/>
                <w:sz w:val="20"/>
                <w:szCs w:val="20"/>
              </w:rPr>
              <w:t xml:space="preserve">Service </w:t>
            </w:r>
            <w:r w:rsidR="00DA56B7" w:rsidRPr="001B15EB">
              <w:rPr>
                <w:b/>
                <w:color w:val="auto"/>
                <w:sz w:val="20"/>
                <w:szCs w:val="20"/>
              </w:rPr>
              <w:t>I</w:t>
            </w:r>
            <w:r w:rsidRPr="001B15EB">
              <w:rPr>
                <w:b/>
                <w:color w:val="auto"/>
                <w:sz w:val="20"/>
                <w:szCs w:val="20"/>
              </w:rPr>
              <w:t xml:space="preserve">PEB – Dated </w:t>
            </w:r>
            <w:r w:rsidR="00DA56B7" w:rsidRPr="001B15EB">
              <w:rPr>
                <w:b/>
                <w:color w:val="auto"/>
                <w:sz w:val="20"/>
                <w:szCs w:val="20"/>
              </w:rPr>
              <w:t>20050207</w:t>
            </w:r>
          </w:p>
        </w:tc>
        <w:tc>
          <w:tcPr>
            <w:tcW w:w="4770" w:type="dxa"/>
            <w:gridSpan w:val="4"/>
            <w:tcBorders>
              <w:left w:val="thinThickThinSmallGap" w:sz="24" w:space="0" w:color="auto"/>
            </w:tcBorders>
            <w:shd w:val="clear" w:color="auto" w:fill="D9D9D9" w:themeFill="background1" w:themeFillShade="D9"/>
          </w:tcPr>
          <w:p w:rsidR="002B4E22" w:rsidRPr="001B15EB" w:rsidRDefault="002B4E22" w:rsidP="001B15EB">
            <w:pPr>
              <w:spacing w:line="240" w:lineRule="exact"/>
              <w:contextualSpacing/>
              <w:jc w:val="center"/>
              <w:rPr>
                <w:b/>
                <w:color w:val="auto"/>
                <w:sz w:val="20"/>
                <w:szCs w:val="20"/>
              </w:rPr>
            </w:pPr>
            <w:r w:rsidRPr="001B15EB">
              <w:rPr>
                <w:b/>
                <w:color w:val="auto"/>
                <w:sz w:val="20"/>
                <w:szCs w:val="20"/>
              </w:rPr>
              <w:t>VA (</w:t>
            </w:r>
            <w:r w:rsidR="0056678A" w:rsidRPr="001B15EB">
              <w:rPr>
                <w:b/>
                <w:color w:val="auto"/>
                <w:sz w:val="20"/>
                <w:szCs w:val="20"/>
              </w:rPr>
              <w:t xml:space="preserve">9 </w:t>
            </w:r>
            <w:r w:rsidRPr="001B15EB">
              <w:rPr>
                <w:b/>
                <w:color w:val="auto"/>
                <w:sz w:val="20"/>
                <w:szCs w:val="20"/>
              </w:rPr>
              <w:t>Mo</w:t>
            </w:r>
            <w:r w:rsidR="0056678A" w:rsidRPr="001B15EB">
              <w:rPr>
                <w:b/>
                <w:color w:val="auto"/>
                <w:sz w:val="20"/>
                <w:szCs w:val="20"/>
              </w:rPr>
              <w:t>s</w:t>
            </w:r>
            <w:r w:rsidRPr="001B15EB">
              <w:rPr>
                <w:b/>
                <w:color w:val="auto"/>
                <w:sz w:val="20"/>
                <w:szCs w:val="20"/>
              </w:rPr>
              <w:t xml:space="preserve">. After  Separation) – All Effective </w:t>
            </w:r>
            <w:r w:rsidR="0056678A" w:rsidRPr="001B15EB">
              <w:rPr>
                <w:b/>
                <w:color w:val="auto"/>
                <w:sz w:val="20"/>
                <w:szCs w:val="20"/>
              </w:rPr>
              <w:t>20050416</w:t>
            </w:r>
          </w:p>
        </w:tc>
      </w:tr>
      <w:tr w:rsidR="006852FF" w:rsidRPr="001B15EB" w:rsidTr="00262B54">
        <w:trPr>
          <w:trHeight w:val="269"/>
          <w:jc w:val="center"/>
        </w:trPr>
        <w:tc>
          <w:tcPr>
            <w:tcW w:w="2268" w:type="dxa"/>
            <w:gridSpan w:val="2"/>
            <w:tcBorders>
              <w:bottom w:val="single" w:sz="4" w:space="0" w:color="000000" w:themeColor="text1"/>
              <w:right w:val="single" w:sz="4" w:space="0" w:color="auto"/>
            </w:tcBorders>
            <w:shd w:val="clear" w:color="auto" w:fill="D9D9D9" w:themeFill="background1" w:themeFillShade="D9"/>
          </w:tcPr>
          <w:p w:rsidR="002B4E22" w:rsidRPr="001B15EB" w:rsidRDefault="002B4E22" w:rsidP="001B15EB">
            <w:pPr>
              <w:spacing w:line="240" w:lineRule="exact"/>
              <w:contextualSpacing/>
              <w:jc w:val="both"/>
              <w:rPr>
                <w:b/>
                <w:color w:val="auto"/>
                <w:sz w:val="20"/>
                <w:szCs w:val="20"/>
              </w:rPr>
            </w:pPr>
            <w:r w:rsidRPr="001B15EB">
              <w:rPr>
                <w:b/>
                <w:color w:val="auto"/>
                <w:sz w:val="20"/>
                <w:szCs w:val="20"/>
              </w:rPr>
              <w:t>Condition</w:t>
            </w:r>
          </w:p>
        </w:tc>
        <w:tc>
          <w:tcPr>
            <w:tcW w:w="1170" w:type="dxa"/>
            <w:tcBorders>
              <w:left w:val="single" w:sz="4" w:space="0" w:color="auto"/>
              <w:bottom w:val="single" w:sz="4" w:space="0" w:color="000000" w:themeColor="text1"/>
            </w:tcBorders>
            <w:shd w:val="clear" w:color="auto" w:fill="D9D9D9" w:themeFill="background1" w:themeFillShade="D9"/>
          </w:tcPr>
          <w:p w:rsidR="002B4E22" w:rsidRPr="001B15EB" w:rsidRDefault="002B4E22" w:rsidP="001B15EB">
            <w:pPr>
              <w:spacing w:line="240" w:lineRule="exact"/>
              <w:contextualSpacing/>
              <w:jc w:val="center"/>
              <w:rPr>
                <w:b/>
                <w:color w:val="auto"/>
                <w:sz w:val="20"/>
                <w:szCs w:val="20"/>
              </w:rPr>
            </w:pPr>
            <w:r w:rsidRPr="001B15EB">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4E22" w:rsidRPr="001B15EB" w:rsidRDefault="002B4E22" w:rsidP="001B15EB">
            <w:pPr>
              <w:spacing w:line="240" w:lineRule="exact"/>
              <w:contextualSpacing/>
              <w:jc w:val="center"/>
              <w:rPr>
                <w:b/>
                <w:color w:val="auto"/>
                <w:sz w:val="20"/>
                <w:szCs w:val="20"/>
              </w:rPr>
            </w:pPr>
            <w:r w:rsidRPr="001B15EB">
              <w:rPr>
                <w:b/>
                <w:color w:val="auto"/>
                <w:sz w:val="20"/>
                <w:szCs w:val="20"/>
              </w:rPr>
              <w:t>Rating</w:t>
            </w:r>
          </w:p>
        </w:tc>
        <w:tc>
          <w:tcPr>
            <w:tcW w:w="1620" w:type="dxa"/>
            <w:tcBorders>
              <w:left w:val="thinThickThinSmallGap" w:sz="24" w:space="0" w:color="auto"/>
              <w:bottom w:val="single" w:sz="4" w:space="0" w:color="000000" w:themeColor="text1"/>
            </w:tcBorders>
            <w:shd w:val="clear" w:color="auto" w:fill="D9D9D9" w:themeFill="background1" w:themeFillShade="D9"/>
          </w:tcPr>
          <w:p w:rsidR="002B4E22" w:rsidRPr="001B15EB" w:rsidRDefault="002B4E22" w:rsidP="001B15EB">
            <w:pPr>
              <w:spacing w:line="240" w:lineRule="exact"/>
              <w:contextualSpacing/>
              <w:jc w:val="both"/>
              <w:rPr>
                <w:b/>
                <w:color w:val="auto"/>
                <w:sz w:val="20"/>
                <w:szCs w:val="20"/>
              </w:rPr>
            </w:pPr>
            <w:r w:rsidRPr="001B15EB">
              <w:rPr>
                <w:b/>
                <w:color w:val="auto"/>
                <w:sz w:val="20"/>
                <w:szCs w:val="20"/>
              </w:rPr>
              <w:t>Condition</w:t>
            </w:r>
          </w:p>
        </w:tc>
        <w:tc>
          <w:tcPr>
            <w:tcW w:w="1080" w:type="dxa"/>
            <w:tcBorders>
              <w:bottom w:val="single" w:sz="4" w:space="0" w:color="000000" w:themeColor="text1"/>
            </w:tcBorders>
            <w:shd w:val="clear" w:color="auto" w:fill="D9D9D9" w:themeFill="background1" w:themeFillShade="D9"/>
          </w:tcPr>
          <w:p w:rsidR="002B4E22" w:rsidRPr="001B15EB" w:rsidRDefault="002B4E22" w:rsidP="001B15EB">
            <w:pPr>
              <w:spacing w:line="240" w:lineRule="exact"/>
              <w:contextualSpacing/>
              <w:jc w:val="center"/>
              <w:rPr>
                <w:b/>
                <w:color w:val="auto"/>
                <w:sz w:val="20"/>
                <w:szCs w:val="20"/>
              </w:rPr>
            </w:pPr>
            <w:r w:rsidRPr="001B15EB">
              <w:rPr>
                <w:b/>
                <w:color w:val="auto"/>
                <w:sz w:val="20"/>
                <w:szCs w:val="20"/>
              </w:rPr>
              <w:t>Code</w:t>
            </w:r>
          </w:p>
        </w:tc>
        <w:tc>
          <w:tcPr>
            <w:tcW w:w="990" w:type="dxa"/>
            <w:tcBorders>
              <w:bottom w:val="single" w:sz="4" w:space="0" w:color="000000" w:themeColor="text1"/>
            </w:tcBorders>
            <w:shd w:val="clear" w:color="auto" w:fill="D9D9D9" w:themeFill="background1" w:themeFillShade="D9"/>
          </w:tcPr>
          <w:p w:rsidR="002B4E22" w:rsidRPr="001B15EB" w:rsidRDefault="002B4E22" w:rsidP="001B15EB">
            <w:pPr>
              <w:spacing w:line="240" w:lineRule="exact"/>
              <w:contextualSpacing/>
              <w:jc w:val="center"/>
              <w:rPr>
                <w:b/>
                <w:color w:val="auto"/>
                <w:sz w:val="20"/>
                <w:szCs w:val="20"/>
              </w:rPr>
            </w:pPr>
            <w:r w:rsidRPr="001B15EB">
              <w:rPr>
                <w:b/>
                <w:color w:val="auto"/>
                <w:sz w:val="20"/>
                <w:szCs w:val="20"/>
              </w:rPr>
              <w:t>Rating</w:t>
            </w:r>
          </w:p>
        </w:tc>
        <w:tc>
          <w:tcPr>
            <w:tcW w:w="1080" w:type="dxa"/>
            <w:tcBorders>
              <w:bottom w:val="single" w:sz="4" w:space="0" w:color="000000" w:themeColor="text1"/>
            </w:tcBorders>
            <w:shd w:val="clear" w:color="auto" w:fill="D9D9D9" w:themeFill="background1" w:themeFillShade="D9"/>
          </w:tcPr>
          <w:p w:rsidR="002B4E22" w:rsidRPr="001B15EB" w:rsidRDefault="002B4E22" w:rsidP="001B15EB">
            <w:pPr>
              <w:spacing w:line="240" w:lineRule="exact"/>
              <w:contextualSpacing/>
              <w:jc w:val="center"/>
              <w:rPr>
                <w:b/>
                <w:color w:val="auto"/>
                <w:sz w:val="20"/>
                <w:szCs w:val="20"/>
              </w:rPr>
            </w:pPr>
            <w:r w:rsidRPr="001B15EB">
              <w:rPr>
                <w:b/>
                <w:color w:val="auto"/>
                <w:sz w:val="20"/>
                <w:szCs w:val="20"/>
              </w:rPr>
              <w:t>Exam</w:t>
            </w:r>
          </w:p>
        </w:tc>
      </w:tr>
      <w:tr w:rsidR="006852FF" w:rsidRPr="001B15EB" w:rsidTr="003D7ACE">
        <w:trPr>
          <w:trHeight w:val="341"/>
          <w:jc w:val="center"/>
        </w:trPr>
        <w:tc>
          <w:tcPr>
            <w:tcW w:w="1638" w:type="dxa"/>
            <w:vMerge w:val="restart"/>
            <w:tcBorders>
              <w:right w:val="single" w:sz="4" w:space="0" w:color="auto"/>
            </w:tcBorders>
            <w:shd w:val="clear" w:color="auto" w:fill="FFFFFF" w:themeFill="background1"/>
            <w:vAlign w:val="center"/>
          </w:tcPr>
          <w:p w:rsidR="006852FF" w:rsidRPr="001B15EB" w:rsidRDefault="006852FF" w:rsidP="00262B54">
            <w:pPr>
              <w:spacing w:line="200" w:lineRule="exact"/>
              <w:contextualSpacing/>
              <w:rPr>
                <w:color w:val="auto"/>
                <w:sz w:val="18"/>
                <w:szCs w:val="18"/>
              </w:rPr>
            </w:pPr>
            <w:r w:rsidRPr="001B15EB">
              <w:rPr>
                <w:color w:val="auto"/>
                <w:sz w:val="18"/>
                <w:szCs w:val="18"/>
              </w:rPr>
              <w:t>Bilateral Knee Patellofemoral Osteoarthritis</w:t>
            </w:r>
          </w:p>
        </w:tc>
        <w:tc>
          <w:tcPr>
            <w:tcW w:w="630" w:type="dxa"/>
            <w:tcBorders>
              <w:right w:val="single" w:sz="4" w:space="0" w:color="auto"/>
            </w:tcBorders>
            <w:shd w:val="clear" w:color="auto" w:fill="FFFFFF" w:themeFill="background1"/>
            <w:vAlign w:val="center"/>
          </w:tcPr>
          <w:p w:rsidR="006852FF" w:rsidRPr="001B15EB" w:rsidRDefault="006852FF" w:rsidP="00262B54">
            <w:pPr>
              <w:spacing w:line="200" w:lineRule="exact"/>
              <w:contextualSpacing/>
              <w:rPr>
                <w:color w:val="auto"/>
                <w:sz w:val="18"/>
                <w:szCs w:val="18"/>
              </w:rPr>
            </w:pPr>
            <w:r w:rsidRPr="001B15EB">
              <w:rPr>
                <w:color w:val="auto"/>
                <w:sz w:val="18"/>
                <w:szCs w:val="18"/>
              </w:rPr>
              <w:t>Right</w:t>
            </w:r>
          </w:p>
        </w:tc>
        <w:tc>
          <w:tcPr>
            <w:tcW w:w="1170" w:type="dxa"/>
            <w:tcBorders>
              <w:left w:val="single" w:sz="4" w:space="0" w:color="auto"/>
            </w:tcBorders>
            <w:shd w:val="clear" w:color="auto" w:fill="FFFFFF" w:themeFill="background1"/>
            <w:vAlign w:val="center"/>
          </w:tcPr>
          <w:p w:rsidR="006852FF" w:rsidRPr="001B15EB" w:rsidRDefault="006852FF" w:rsidP="00262B54">
            <w:pPr>
              <w:spacing w:line="200" w:lineRule="exact"/>
              <w:contextualSpacing/>
              <w:jc w:val="center"/>
              <w:rPr>
                <w:color w:val="auto"/>
                <w:sz w:val="18"/>
                <w:szCs w:val="18"/>
              </w:rPr>
            </w:pPr>
            <w:r w:rsidRPr="001B15EB">
              <w:rPr>
                <w:color w:val="auto"/>
                <w:sz w:val="18"/>
                <w:szCs w:val="18"/>
              </w:rPr>
              <w:t>5099-5003</w:t>
            </w:r>
          </w:p>
        </w:tc>
        <w:tc>
          <w:tcPr>
            <w:tcW w:w="810" w:type="dxa"/>
            <w:tcBorders>
              <w:right w:val="thinThickThinSmallGap" w:sz="24" w:space="0" w:color="auto"/>
            </w:tcBorders>
            <w:shd w:val="clear" w:color="auto" w:fill="FFFFFF" w:themeFill="background1"/>
            <w:vAlign w:val="center"/>
          </w:tcPr>
          <w:p w:rsidR="006852FF" w:rsidRPr="001B15EB" w:rsidRDefault="006852FF" w:rsidP="00262B54">
            <w:pPr>
              <w:spacing w:line="200" w:lineRule="exact"/>
              <w:contextualSpacing/>
              <w:jc w:val="center"/>
              <w:rPr>
                <w:color w:val="auto"/>
                <w:sz w:val="18"/>
                <w:szCs w:val="18"/>
              </w:rPr>
            </w:pPr>
            <w:r w:rsidRPr="001B15EB">
              <w:rPr>
                <w:color w:val="auto"/>
                <w:sz w:val="18"/>
                <w:szCs w:val="18"/>
              </w:rPr>
              <w:t>10%</w:t>
            </w:r>
          </w:p>
        </w:tc>
        <w:tc>
          <w:tcPr>
            <w:tcW w:w="1620" w:type="dxa"/>
            <w:tcBorders>
              <w:left w:val="thinThickThinSmallGap" w:sz="24" w:space="0" w:color="auto"/>
            </w:tcBorders>
            <w:shd w:val="clear" w:color="auto" w:fill="FFFFFF" w:themeFill="background1"/>
            <w:vAlign w:val="center"/>
          </w:tcPr>
          <w:p w:rsidR="006852FF" w:rsidRPr="001B15EB" w:rsidRDefault="006852FF" w:rsidP="003D7ACE">
            <w:pPr>
              <w:spacing w:line="200" w:lineRule="exact"/>
              <w:contextualSpacing/>
              <w:rPr>
                <w:color w:val="auto"/>
                <w:sz w:val="18"/>
                <w:szCs w:val="18"/>
              </w:rPr>
            </w:pPr>
            <w:r w:rsidRPr="001B15EB">
              <w:rPr>
                <w:color w:val="auto"/>
                <w:sz w:val="18"/>
                <w:szCs w:val="18"/>
              </w:rPr>
              <w:t>R</w:t>
            </w:r>
            <w:r w:rsidR="00480710" w:rsidRPr="001B15EB">
              <w:rPr>
                <w:color w:val="auto"/>
                <w:sz w:val="18"/>
                <w:szCs w:val="18"/>
              </w:rPr>
              <w:t>ight K</w:t>
            </w:r>
            <w:r w:rsidRPr="001B15EB">
              <w:rPr>
                <w:color w:val="auto"/>
                <w:sz w:val="18"/>
                <w:szCs w:val="18"/>
              </w:rPr>
              <w:t xml:space="preserve">nee </w:t>
            </w:r>
            <w:r w:rsidR="001B15EB">
              <w:rPr>
                <w:color w:val="auto"/>
                <w:sz w:val="18"/>
                <w:szCs w:val="18"/>
              </w:rPr>
              <w:t>PFS</w:t>
            </w:r>
          </w:p>
        </w:tc>
        <w:tc>
          <w:tcPr>
            <w:tcW w:w="1080" w:type="dxa"/>
            <w:shd w:val="clear" w:color="auto" w:fill="FFFFFF" w:themeFill="background1"/>
            <w:vAlign w:val="center"/>
          </w:tcPr>
          <w:p w:rsidR="006852FF" w:rsidRPr="001B15EB" w:rsidRDefault="006852FF" w:rsidP="003D7ACE">
            <w:pPr>
              <w:spacing w:line="200" w:lineRule="exact"/>
              <w:contextualSpacing/>
              <w:jc w:val="center"/>
              <w:rPr>
                <w:color w:val="auto"/>
                <w:sz w:val="18"/>
                <w:szCs w:val="18"/>
              </w:rPr>
            </w:pPr>
            <w:r w:rsidRPr="001B15EB">
              <w:rPr>
                <w:color w:val="auto"/>
                <w:sz w:val="18"/>
                <w:szCs w:val="18"/>
              </w:rPr>
              <w:t>5099-5024</w:t>
            </w:r>
          </w:p>
        </w:tc>
        <w:tc>
          <w:tcPr>
            <w:tcW w:w="990" w:type="dxa"/>
            <w:shd w:val="clear" w:color="auto" w:fill="FFFFFF" w:themeFill="background1"/>
            <w:vAlign w:val="center"/>
          </w:tcPr>
          <w:p w:rsidR="006852FF" w:rsidRPr="001B15EB" w:rsidRDefault="006852FF" w:rsidP="003D7ACE">
            <w:pPr>
              <w:spacing w:line="200" w:lineRule="exact"/>
              <w:contextualSpacing/>
              <w:jc w:val="center"/>
              <w:rPr>
                <w:color w:val="auto"/>
                <w:sz w:val="18"/>
                <w:szCs w:val="18"/>
              </w:rPr>
            </w:pPr>
            <w:r w:rsidRPr="001B15EB">
              <w:rPr>
                <w:color w:val="auto"/>
                <w:sz w:val="18"/>
                <w:szCs w:val="18"/>
              </w:rPr>
              <w:t>10%</w:t>
            </w:r>
          </w:p>
        </w:tc>
        <w:tc>
          <w:tcPr>
            <w:tcW w:w="1080" w:type="dxa"/>
            <w:shd w:val="clear" w:color="auto" w:fill="FFFFFF" w:themeFill="background1"/>
            <w:vAlign w:val="center"/>
          </w:tcPr>
          <w:p w:rsidR="006852FF" w:rsidRPr="001B15EB" w:rsidRDefault="006852FF" w:rsidP="003D7ACE">
            <w:pPr>
              <w:spacing w:line="200" w:lineRule="exact"/>
              <w:contextualSpacing/>
              <w:jc w:val="center"/>
              <w:rPr>
                <w:color w:val="auto"/>
                <w:sz w:val="18"/>
                <w:szCs w:val="18"/>
              </w:rPr>
            </w:pPr>
            <w:r w:rsidRPr="001B15EB">
              <w:rPr>
                <w:color w:val="auto"/>
                <w:sz w:val="18"/>
                <w:szCs w:val="18"/>
              </w:rPr>
              <w:t>20060126</w:t>
            </w:r>
          </w:p>
        </w:tc>
      </w:tr>
      <w:tr w:rsidR="003D7ACE" w:rsidRPr="001B15EB" w:rsidTr="003540FC">
        <w:trPr>
          <w:trHeight w:val="373"/>
          <w:jc w:val="center"/>
        </w:trPr>
        <w:tc>
          <w:tcPr>
            <w:tcW w:w="1638" w:type="dxa"/>
            <w:vMerge/>
            <w:tcBorders>
              <w:right w:val="single" w:sz="4" w:space="0" w:color="auto"/>
            </w:tcBorders>
            <w:shd w:val="clear" w:color="auto" w:fill="FFFFFF" w:themeFill="background1"/>
            <w:vAlign w:val="center"/>
          </w:tcPr>
          <w:p w:rsidR="003D7ACE" w:rsidRPr="001B15EB" w:rsidRDefault="003D7ACE" w:rsidP="00262B54">
            <w:pPr>
              <w:spacing w:line="200" w:lineRule="exact"/>
              <w:contextualSpacing/>
              <w:rPr>
                <w:color w:val="auto"/>
                <w:sz w:val="18"/>
                <w:szCs w:val="18"/>
              </w:rPr>
            </w:pPr>
          </w:p>
        </w:tc>
        <w:tc>
          <w:tcPr>
            <w:tcW w:w="630" w:type="dxa"/>
            <w:tcBorders>
              <w:right w:val="single" w:sz="4" w:space="0" w:color="auto"/>
            </w:tcBorders>
            <w:shd w:val="clear" w:color="auto" w:fill="FFFFFF" w:themeFill="background1"/>
            <w:vAlign w:val="center"/>
          </w:tcPr>
          <w:p w:rsidR="003D7ACE" w:rsidRPr="001B15EB" w:rsidRDefault="003D7ACE" w:rsidP="00262B54">
            <w:pPr>
              <w:spacing w:line="200" w:lineRule="exact"/>
              <w:rPr>
                <w:color w:val="auto"/>
                <w:sz w:val="18"/>
                <w:szCs w:val="18"/>
              </w:rPr>
            </w:pPr>
            <w:r w:rsidRPr="001B15EB">
              <w:rPr>
                <w:color w:val="auto"/>
                <w:sz w:val="18"/>
                <w:szCs w:val="18"/>
              </w:rPr>
              <w:t>Left</w:t>
            </w:r>
          </w:p>
        </w:tc>
        <w:tc>
          <w:tcPr>
            <w:tcW w:w="1170" w:type="dxa"/>
            <w:tcBorders>
              <w:left w:val="single" w:sz="4" w:space="0" w:color="auto"/>
            </w:tcBorders>
            <w:shd w:val="clear" w:color="auto" w:fill="FFFFFF" w:themeFill="background1"/>
            <w:vAlign w:val="center"/>
          </w:tcPr>
          <w:p w:rsidR="003D7ACE" w:rsidRPr="001B15EB" w:rsidRDefault="003D7ACE" w:rsidP="00262B54">
            <w:pPr>
              <w:spacing w:line="200" w:lineRule="exact"/>
              <w:contextualSpacing/>
              <w:jc w:val="center"/>
              <w:rPr>
                <w:color w:val="auto"/>
                <w:sz w:val="18"/>
                <w:szCs w:val="18"/>
              </w:rPr>
            </w:pPr>
            <w:r w:rsidRPr="001B15EB">
              <w:rPr>
                <w:color w:val="auto"/>
                <w:sz w:val="18"/>
                <w:szCs w:val="18"/>
              </w:rPr>
              <w:t>5099-5003</w:t>
            </w:r>
          </w:p>
        </w:tc>
        <w:tc>
          <w:tcPr>
            <w:tcW w:w="810" w:type="dxa"/>
            <w:tcBorders>
              <w:right w:val="thinThickThinSmallGap" w:sz="24" w:space="0" w:color="auto"/>
            </w:tcBorders>
            <w:shd w:val="clear" w:color="auto" w:fill="FFFFFF" w:themeFill="background1"/>
            <w:vAlign w:val="center"/>
          </w:tcPr>
          <w:p w:rsidR="003D7ACE" w:rsidRPr="001B15EB" w:rsidRDefault="003D7ACE" w:rsidP="00262B54">
            <w:pPr>
              <w:spacing w:line="200" w:lineRule="exact"/>
              <w:contextualSpacing/>
              <w:jc w:val="center"/>
              <w:rPr>
                <w:color w:val="auto"/>
                <w:sz w:val="18"/>
                <w:szCs w:val="18"/>
              </w:rPr>
            </w:pPr>
            <w:r w:rsidRPr="001B15EB">
              <w:rPr>
                <w:color w:val="auto"/>
                <w:sz w:val="18"/>
                <w:szCs w:val="18"/>
              </w:rPr>
              <w:t>10%</w:t>
            </w:r>
          </w:p>
        </w:tc>
        <w:tc>
          <w:tcPr>
            <w:tcW w:w="4770" w:type="dxa"/>
            <w:gridSpan w:val="4"/>
            <w:tcBorders>
              <w:left w:val="thinThickThinSmallGap" w:sz="24" w:space="0" w:color="auto"/>
            </w:tcBorders>
            <w:shd w:val="clear" w:color="auto" w:fill="FFFFFF" w:themeFill="background1"/>
            <w:vAlign w:val="center"/>
          </w:tcPr>
          <w:p w:rsidR="003D7ACE" w:rsidRPr="001B15EB" w:rsidRDefault="003D7ACE" w:rsidP="00262B54">
            <w:pPr>
              <w:spacing w:line="200" w:lineRule="exact"/>
              <w:contextualSpacing/>
              <w:jc w:val="center"/>
              <w:rPr>
                <w:color w:val="auto"/>
                <w:sz w:val="18"/>
                <w:szCs w:val="18"/>
              </w:rPr>
            </w:pPr>
            <w:r>
              <w:rPr>
                <w:color w:val="auto"/>
                <w:sz w:val="18"/>
                <w:szCs w:val="18"/>
              </w:rPr>
              <w:t>No corresponding VA entry</w:t>
            </w:r>
          </w:p>
        </w:tc>
      </w:tr>
      <w:tr w:rsidR="00262B54" w:rsidRPr="001B15EB" w:rsidTr="00C25945">
        <w:trPr>
          <w:trHeight w:val="287"/>
          <w:jc w:val="center"/>
        </w:trPr>
        <w:tc>
          <w:tcPr>
            <w:tcW w:w="2268" w:type="dxa"/>
            <w:gridSpan w:val="2"/>
            <w:tcBorders>
              <w:right w:val="single" w:sz="4" w:space="0" w:color="auto"/>
            </w:tcBorders>
            <w:shd w:val="clear" w:color="auto" w:fill="FFFFFF" w:themeFill="background1"/>
            <w:vAlign w:val="center"/>
          </w:tcPr>
          <w:p w:rsidR="00262B54" w:rsidRPr="001B15EB" w:rsidRDefault="00262B54" w:rsidP="00262B54">
            <w:pPr>
              <w:spacing w:line="200" w:lineRule="exact"/>
              <w:contextualSpacing/>
              <w:rPr>
                <w:color w:val="auto"/>
                <w:sz w:val="18"/>
                <w:szCs w:val="18"/>
              </w:rPr>
            </w:pPr>
            <w:r w:rsidRPr="001B15EB">
              <w:rPr>
                <w:color w:val="auto"/>
                <w:sz w:val="18"/>
                <w:szCs w:val="18"/>
              </w:rPr>
              <w:t>Bil</w:t>
            </w:r>
            <w:r w:rsidR="00712504">
              <w:rPr>
                <w:color w:val="auto"/>
                <w:sz w:val="18"/>
                <w:szCs w:val="18"/>
              </w:rPr>
              <w:t>ateral</w:t>
            </w:r>
            <w:r w:rsidRPr="001B15EB">
              <w:rPr>
                <w:color w:val="auto"/>
                <w:sz w:val="18"/>
                <w:szCs w:val="18"/>
              </w:rPr>
              <w:t xml:space="preserve"> Patellar Tendinitis</w:t>
            </w:r>
          </w:p>
        </w:tc>
        <w:tc>
          <w:tcPr>
            <w:tcW w:w="1980" w:type="dxa"/>
            <w:gridSpan w:val="2"/>
            <w:tcBorders>
              <w:left w:val="single" w:sz="4" w:space="0" w:color="auto"/>
              <w:right w:val="thinThickThinSmallGap" w:sz="24" w:space="0" w:color="auto"/>
            </w:tcBorders>
            <w:shd w:val="clear" w:color="auto" w:fill="FFFFFF" w:themeFill="background1"/>
            <w:vAlign w:val="center"/>
          </w:tcPr>
          <w:p w:rsidR="00262B54" w:rsidRPr="001B15EB" w:rsidRDefault="003D7ACE" w:rsidP="00262B54">
            <w:pPr>
              <w:spacing w:line="200" w:lineRule="exact"/>
              <w:contextualSpacing/>
              <w:jc w:val="center"/>
              <w:rPr>
                <w:color w:val="auto"/>
                <w:sz w:val="18"/>
                <w:szCs w:val="18"/>
              </w:rPr>
            </w:pPr>
            <w:r>
              <w:rPr>
                <w:color w:val="auto"/>
                <w:sz w:val="18"/>
                <w:szCs w:val="18"/>
              </w:rPr>
              <w:t>Not unfitting</w:t>
            </w:r>
          </w:p>
        </w:tc>
        <w:tc>
          <w:tcPr>
            <w:tcW w:w="4770" w:type="dxa"/>
            <w:gridSpan w:val="4"/>
            <w:tcBorders>
              <w:left w:val="thinThickThinSmallGap" w:sz="24" w:space="0" w:color="auto"/>
            </w:tcBorders>
            <w:shd w:val="clear" w:color="auto" w:fill="FFFFFF" w:themeFill="background1"/>
            <w:vAlign w:val="center"/>
          </w:tcPr>
          <w:p w:rsidR="00262B54" w:rsidRPr="001B15EB" w:rsidRDefault="003D7ACE" w:rsidP="00262B54">
            <w:pPr>
              <w:spacing w:line="200" w:lineRule="exact"/>
              <w:contextualSpacing/>
              <w:jc w:val="center"/>
              <w:rPr>
                <w:color w:val="auto"/>
                <w:sz w:val="18"/>
                <w:szCs w:val="18"/>
              </w:rPr>
            </w:pPr>
            <w:r>
              <w:rPr>
                <w:color w:val="auto"/>
                <w:sz w:val="18"/>
                <w:szCs w:val="18"/>
              </w:rPr>
              <w:t>No corresponding VA entry</w:t>
            </w:r>
          </w:p>
        </w:tc>
      </w:tr>
      <w:tr w:rsidR="006852FF" w:rsidRPr="001B15EB" w:rsidTr="001B15EB">
        <w:trPr>
          <w:trHeight w:val="287"/>
          <w:jc w:val="center"/>
        </w:trPr>
        <w:tc>
          <w:tcPr>
            <w:tcW w:w="4248" w:type="dxa"/>
            <w:gridSpan w:val="4"/>
            <w:tcBorders>
              <w:right w:val="thinThickThinSmallGap" w:sz="24" w:space="0" w:color="auto"/>
            </w:tcBorders>
            <w:shd w:val="clear" w:color="auto" w:fill="FFFFFF" w:themeFill="background1"/>
            <w:vAlign w:val="center"/>
          </w:tcPr>
          <w:p w:rsidR="001804F3" w:rsidRPr="001B15EB" w:rsidRDefault="001804F3" w:rsidP="00262B54">
            <w:pPr>
              <w:spacing w:line="200" w:lineRule="exact"/>
              <w:contextualSpacing/>
              <w:jc w:val="center"/>
              <w:rPr>
                <w:color w:val="auto"/>
                <w:sz w:val="18"/>
                <w:szCs w:val="18"/>
              </w:rPr>
            </w:pPr>
            <w:r w:rsidRPr="001B15EB">
              <w:rPr>
                <w:color w:val="auto"/>
                <w:sz w:val="18"/>
                <w:szCs w:val="18"/>
              </w:rPr>
              <w:t>↓No Additional MEB</w:t>
            </w:r>
            <w:r w:rsidR="001B15EB">
              <w:rPr>
                <w:color w:val="auto"/>
                <w:sz w:val="18"/>
                <w:szCs w:val="18"/>
              </w:rPr>
              <w:t>/</w:t>
            </w:r>
            <w:r w:rsidR="006B4AFC" w:rsidRPr="001B15EB">
              <w:rPr>
                <w:color w:val="auto"/>
                <w:sz w:val="18"/>
                <w:szCs w:val="18"/>
              </w:rPr>
              <w:t>PEB</w:t>
            </w:r>
            <w:r w:rsidRPr="001B15EB">
              <w:rPr>
                <w:color w:val="auto"/>
                <w:sz w:val="18"/>
                <w:szCs w:val="18"/>
              </w:rPr>
              <w:t xml:space="preserve"> Entries↓</w:t>
            </w:r>
          </w:p>
        </w:tc>
        <w:tc>
          <w:tcPr>
            <w:tcW w:w="3690" w:type="dxa"/>
            <w:gridSpan w:val="3"/>
            <w:tcBorders>
              <w:left w:val="thinThickThinSmallGap" w:sz="24" w:space="0" w:color="auto"/>
            </w:tcBorders>
            <w:shd w:val="clear" w:color="auto" w:fill="FFFFFF" w:themeFill="background1"/>
            <w:vAlign w:val="center"/>
          </w:tcPr>
          <w:p w:rsidR="001804F3" w:rsidRPr="001B15EB" w:rsidRDefault="001804F3" w:rsidP="00262B54">
            <w:pPr>
              <w:spacing w:line="200" w:lineRule="exact"/>
              <w:contextualSpacing/>
              <w:jc w:val="center"/>
              <w:rPr>
                <w:color w:val="auto"/>
                <w:sz w:val="18"/>
                <w:szCs w:val="18"/>
              </w:rPr>
            </w:pPr>
            <w:r w:rsidRPr="001B15EB">
              <w:rPr>
                <w:rFonts w:cs="Times New Roman"/>
                <w:color w:val="auto"/>
                <w:sz w:val="18"/>
                <w:szCs w:val="18"/>
              </w:rPr>
              <w:t xml:space="preserve">0% </w:t>
            </w:r>
            <w:r w:rsidR="001B15EB">
              <w:rPr>
                <w:rFonts w:cs="Times New Roman"/>
                <w:color w:val="auto"/>
                <w:sz w:val="18"/>
                <w:szCs w:val="18"/>
              </w:rPr>
              <w:t>x</w:t>
            </w:r>
            <w:r w:rsidRPr="001B15EB">
              <w:rPr>
                <w:rFonts w:cs="Times New Roman"/>
                <w:color w:val="auto"/>
                <w:sz w:val="18"/>
                <w:szCs w:val="18"/>
              </w:rPr>
              <w:t xml:space="preserve"> </w:t>
            </w:r>
            <w:r w:rsidR="00227FC4" w:rsidRPr="001B15EB">
              <w:rPr>
                <w:rFonts w:cs="Times New Roman"/>
                <w:color w:val="auto"/>
                <w:sz w:val="18"/>
                <w:szCs w:val="18"/>
              </w:rPr>
              <w:t>3</w:t>
            </w:r>
            <w:r w:rsidRPr="001B15EB">
              <w:rPr>
                <w:rFonts w:cs="Times New Roman"/>
                <w:color w:val="auto"/>
                <w:sz w:val="18"/>
                <w:szCs w:val="18"/>
              </w:rPr>
              <w:t xml:space="preserve"> / Not Service Connected </w:t>
            </w:r>
            <w:r w:rsidR="001B15EB">
              <w:rPr>
                <w:rFonts w:cs="Times New Roman"/>
                <w:color w:val="auto"/>
                <w:sz w:val="18"/>
                <w:szCs w:val="18"/>
              </w:rPr>
              <w:t>x</w:t>
            </w:r>
            <w:r w:rsidRPr="001B15EB">
              <w:rPr>
                <w:rFonts w:cs="Times New Roman"/>
                <w:color w:val="auto"/>
                <w:sz w:val="18"/>
                <w:szCs w:val="18"/>
              </w:rPr>
              <w:t xml:space="preserve"> </w:t>
            </w:r>
            <w:r w:rsidR="00227FC4" w:rsidRPr="001B15EB">
              <w:rPr>
                <w:rFonts w:cs="Times New Roman"/>
                <w:color w:val="auto"/>
                <w:sz w:val="18"/>
                <w:szCs w:val="18"/>
              </w:rPr>
              <w:t>4</w:t>
            </w:r>
          </w:p>
        </w:tc>
        <w:tc>
          <w:tcPr>
            <w:tcW w:w="1080" w:type="dxa"/>
            <w:shd w:val="clear" w:color="auto" w:fill="FFFFFF" w:themeFill="background1"/>
            <w:vAlign w:val="center"/>
          </w:tcPr>
          <w:p w:rsidR="001804F3" w:rsidRPr="001B15EB" w:rsidRDefault="001804F3" w:rsidP="00262B54">
            <w:pPr>
              <w:spacing w:line="200" w:lineRule="exact"/>
              <w:contextualSpacing/>
              <w:jc w:val="center"/>
              <w:rPr>
                <w:color w:val="auto"/>
                <w:sz w:val="18"/>
                <w:szCs w:val="18"/>
              </w:rPr>
            </w:pPr>
            <w:r w:rsidRPr="001B15EB">
              <w:rPr>
                <w:color w:val="auto"/>
                <w:sz w:val="18"/>
                <w:szCs w:val="18"/>
              </w:rPr>
              <w:t>20060126</w:t>
            </w:r>
          </w:p>
        </w:tc>
      </w:tr>
      <w:tr w:rsidR="002B4E22" w:rsidRPr="001B15EB" w:rsidTr="001B15EB">
        <w:trPr>
          <w:trHeight w:val="242"/>
          <w:jc w:val="center"/>
        </w:trPr>
        <w:tc>
          <w:tcPr>
            <w:tcW w:w="4248" w:type="dxa"/>
            <w:gridSpan w:val="4"/>
            <w:tcBorders>
              <w:right w:val="thinThickThinSmallGap" w:sz="24" w:space="0" w:color="auto"/>
            </w:tcBorders>
            <w:shd w:val="clear" w:color="auto" w:fill="D9D9D9" w:themeFill="background1" w:themeFillShade="D9"/>
            <w:vAlign w:val="center"/>
          </w:tcPr>
          <w:p w:rsidR="002B4E22" w:rsidRPr="001B15EB" w:rsidRDefault="002B4E22" w:rsidP="001B15EB">
            <w:pPr>
              <w:spacing w:line="240" w:lineRule="exact"/>
              <w:contextualSpacing/>
              <w:jc w:val="center"/>
              <w:rPr>
                <w:b/>
                <w:color w:val="auto"/>
                <w:sz w:val="20"/>
                <w:szCs w:val="20"/>
              </w:rPr>
            </w:pPr>
            <w:r w:rsidRPr="001B15EB">
              <w:rPr>
                <w:b/>
                <w:color w:val="auto"/>
                <w:sz w:val="20"/>
                <w:szCs w:val="20"/>
              </w:rPr>
              <w:t xml:space="preserve">Combined:  </w:t>
            </w:r>
            <w:r w:rsidR="005B5985" w:rsidRPr="001B15EB">
              <w:rPr>
                <w:b/>
                <w:color w:val="auto"/>
                <w:sz w:val="20"/>
                <w:szCs w:val="20"/>
              </w:rPr>
              <w:t>2</w:t>
            </w:r>
            <w:r w:rsidRPr="001B15EB">
              <w:rPr>
                <w:b/>
                <w:color w:val="auto"/>
                <w:sz w:val="20"/>
                <w:szCs w:val="20"/>
              </w:rPr>
              <w:t>0%</w:t>
            </w:r>
          </w:p>
        </w:tc>
        <w:tc>
          <w:tcPr>
            <w:tcW w:w="4770" w:type="dxa"/>
            <w:gridSpan w:val="4"/>
            <w:tcBorders>
              <w:left w:val="thinThickThinSmallGap" w:sz="24" w:space="0" w:color="auto"/>
            </w:tcBorders>
            <w:shd w:val="clear" w:color="auto" w:fill="D9D9D9" w:themeFill="background1" w:themeFillShade="D9"/>
            <w:vAlign w:val="center"/>
          </w:tcPr>
          <w:p w:rsidR="002B4E22" w:rsidRPr="001B15EB" w:rsidRDefault="007A2346" w:rsidP="001B15EB">
            <w:pPr>
              <w:spacing w:line="240" w:lineRule="exact"/>
              <w:contextualSpacing/>
              <w:jc w:val="center"/>
              <w:rPr>
                <w:b/>
                <w:color w:val="auto"/>
                <w:sz w:val="20"/>
                <w:szCs w:val="20"/>
              </w:rPr>
            </w:pPr>
            <w:r w:rsidRPr="001B15EB">
              <w:rPr>
                <w:b/>
                <w:color w:val="auto"/>
                <w:sz w:val="20"/>
                <w:szCs w:val="20"/>
              </w:rPr>
              <w:t xml:space="preserve">Combined: </w:t>
            </w:r>
            <w:r w:rsidR="001B15EB" w:rsidRPr="001B15EB">
              <w:rPr>
                <w:b/>
                <w:color w:val="auto"/>
                <w:sz w:val="20"/>
                <w:szCs w:val="20"/>
              </w:rPr>
              <w:t xml:space="preserve"> </w:t>
            </w:r>
            <w:r w:rsidR="005B5985" w:rsidRPr="001B15EB">
              <w:rPr>
                <w:b/>
                <w:color w:val="auto"/>
                <w:sz w:val="20"/>
                <w:szCs w:val="20"/>
              </w:rPr>
              <w:t>1</w:t>
            </w:r>
            <w:r w:rsidRPr="001B15EB">
              <w:rPr>
                <w:b/>
                <w:color w:val="auto"/>
                <w:sz w:val="20"/>
                <w:szCs w:val="20"/>
              </w:rPr>
              <w:t>0%</w:t>
            </w:r>
          </w:p>
        </w:tc>
      </w:tr>
    </w:tbl>
    <w:p w:rsidR="007F0AB7" w:rsidRPr="001B15EB" w:rsidRDefault="0041604B" w:rsidP="007F0AB7">
      <w:pPr>
        <w:tabs>
          <w:tab w:val="left" w:pos="288"/>
          <w:tab w:val="left" w:pos="4752"/>
        </w:tabs>
        <w:spacing w:line="240" w:lineRule="exact"/>
        <w:jc w:val="both"/>
        <w:rPr>
          <w:rFonts w:asciiTheme="minorHAnsi" w:hAnsiTheme="minorHAnsi"/>
          <w:b/>
          <w:color w:val="auto"/>
          <w:u w:val="single"/>
        </w:rPr>
      </w:pPr>
      <w:r w:rsidRPr="001B15EB">
        <w:rPr>
          <w:rFonts w:asciiTheme="minorHAnsi" w:hAnsiTheme="minorHAnsi"/>
          <w:b/>
          <w:color w:val="auto"/>
          <w:u w:val="single"/>
        </w:rPr>
        <w:t>___________________________________________________________________________</w:t>
      </w:r>
    </w:p>
    <w:p w:rsidR="00A02966" w:rsidRPr="001B15EB" w:rsidRDefault="00A02966" w:rsidP="007F0AB7">
      <w:pPr>
        <w:tabs>
          <w:tab w:val="left" w:pos="288"/>
          <w:tab w:val="left" w:pos="4752"/>
        </w:tabs>
        <w:spacing w:line="240" w:lineRule="exact"/>
        <w:jc w:val="both"/>
        <w:rPr>
          <w:rFonts w:asciiTheme="minorHAnsi" w:hAnsiTheme="minorHAnsi"/>
          <w:b/>
          <w:color w:val="auto"/>
          <w:szCs w:val="24"/>
          <w:u w:val="single"/>
        </w:rPr>
      </w:pPr>
    </w:p>
    <w:p w:rsidR="0099767A" w:rsidRPr="001B15EB" w:rsidRDefault="002C6E5B" w:rsidP="007F0AB7">
      <w:pPr>
        <w:tabs>
          <w:tab w:val="left" w:pos="288"/>
          <w:tab w:val="left" w:pos="4752"/>
        </w:tabs>
        <w:spacing w:line="240" w:lineRule="exact"/>
        <w:jc w:val="both"/>
        <w:rPr>
          <w:rFonts w:asciiTheme="minorHAnsi" w:hAnsiTheme="minorHAnsi"/>
          <w:color w:val="auto"/>
          <w:szCs w:val="24"/>
        </w:rPr>
      </w:pPr>
      <w:r w:rsidRPr="001B15EB">
        <w:rPr>
          <w:rFonts w:asciiTheme="minorHAnsi" w:hAnsiTheme="minorHAnsi"/>
          <w:color w:val="auto"/>
          <w:szCs w:val="24"/>
          <w:u w:val="single"/>
        </w:rPr>
        <w:t>ANALYSIS SUMMARY</w:t>
      </w:r>
      <w:r w:rsidRPr="001B15EB">
        <w:rPr>
          <w:rFonts w:asciiTheme="minorHAnsi" w:hAnsiTheme="minorHAnsi"/>
          <w:color w:val="auto"/>
          <w:szCs w:val="24"/>
        </w:rPr>
        <w:t>:</w:t>
      </w:r>
    </w:p>
    <w:p w:rsidR="0099767A" w:rsidRDefault="0099767A" w:rsidP="007F0AB7">
      <w:pPr>
        <w:tabs>
          <w:tab w:val="left" w:pos="288"/>
          <w:tab w:val="left" w:pos="4752"/>
        </w:tabs>
        <w:spacing w:line="240" w:lineRule="exact"/>
        <w:jc w:val="both"/>
        <w:rPr>
          <w:rFonts w:asciiTheme="minorHAnsi" w:hAnsiTheme="minorHAnsi"/>
          <w:color w:val="auto"/>
          <w:szCs w:val="24"/>
        </w:rPr>
      </w:pPr>
    </w:p>
    <w:p w:rsidR="00EE0992" w:rsidRDefault="00DA1482" w:rsidP="00EE0992">
      <w:pPr>
        <w:tabs>
          <w:tab w:val="left" w:pos="288"/>
          <w:tab w:val="left" w:pos="4752"/>
        </w:tabs>
        <w:spacing w:line="240" w:lineRule="exact"/>
        <w:jc w:val="both"/>
        <w:rPr>
          <w:rFonts w:asciiTheme="minorHAnsi" w:hAnsiTheme="minorHAnsi"/>
          <w:color w:val="auto"/>
          <w:szCs w:val="24"/>
        </w:rPr>
      </w:pPr>
      <w:proofErr w:type="gramStart"/>
      <w:r w:rsidRPr="0099767A">
        <w:rPr>
          <w:rFonts w:asciiTheme="minorHAnsi" w:hAnsiTheme="minorHAnsi"/>
          <w:color w:val="auto"/>
          <w:szCs w:val="24"/>
          <w:u w:val="single"/>
        </w:rPr>
        <w:t>Bilateral Patellofemoral Osteoarthritis</w:t>
      </w:r>
      <w:r w:rsidR="0099767A" w:rsidRPr="0099767A">
        <w:rPr>
          <w:rFonts w:asciiTheme="minorHAnsi" w:hAnsiTheme="minorHAnsi"/>
          <w:color w:val="auto"/>
          <w:szCs w:val="24"/>
          <w:u w:val="single"/>
        </w:rPr>
        <w:t>/Bilateral Patellar Tendonitis</w:t>
      </w:r>
      <w:r w:rsidR="003D7ACE">
        <w:rPr>
          <w:rFonts w:asciiTheme="minorHAnsi" w:hAnsiTheme="minorHAnsi"/>
          <w:color w:val="auto"/>
          <w:szCs w:val="24"/>
          <w:u w:val="single"/>
        </w:rPr>
        <w:t>.</w:t>
      </w:r>
      <w:proofErr w:type="gramEnd"/>
      <w:r w:rsidR="00DF5F5D">
        <w:rPr>
          <w:rFonts w:asciiTheme="minorHAnsi" w:hAnsiTheme="minorHAnsi"/>
          <w:color w:val="auto"/>
          <w:szCs w:val="24"/>
        </w:rPr>
        <w:t xml:space="preserve">  </w:t>
      </w:r>
      <w:r w:rsidR="00413805">
        <w:rPr>
          <w:rFonts w:asciiTheme="minorHAnsi" w:hAnsiTheme="minorHAnsi"/>
          <w:color w:val="auto"/>
          <w:szCs w:val="24"/>
        </w:rPr>
        <w:t xml:space="preserve">CI experienced duty limiting </w:t>
      </w:r>
      <w:r w:rsidR="001E09D5">
        <w:rPr>
          <w:rFonts w:asciiTheme="minorHAnsi" w:hAnsiTheme="minorHAnsi"/>
          <w:color w:val="auto"/>
          <w:szCs w:val="24"/>
        </w:rPr>
        <w:t xml:space="preserve">bilateral </w:t>
      </w:r>
      <w:r w:rsidR="00413805">
        <w:rPr>
          <w:rFonts w:asciiTheme="minorHAnsi" w:hAnsiTheme="minorHAnsi"/>
          <w:color w:val="auto"/>
          <w:szCs w:val="24"/>
        </w:rPr>
        <w:t xml:space="preserve">anterior knee pain for over two years diagnosed as patellofemoral osteoarthritis based on symptoms and examination as well as </w:t>
      </w:r>
      <w:r w:rsidR="003D7ACE">
        <w:rPr>
          <w:rFonts w:asciiTheme="minorHAnsi" w:hAnsiTheme="minorHAnsi"/>
          <w:color w:val="auto"/>
          <w:szCs w:val="24"/>
        </w:rPr>
        <w:t>magnetic resonance imaging (</w:t>
      </w:r>
      <w:r w:rsidR="00413805">
        <w:rPr>
          <w:rFonts w:asciiTheme="minorHAnsi" w:hAnsiTheme="minorHAnsi"/>
          <w:color w:val="auto"/>
          <w:szCs w:val="24"/>
        </w:rPr>
        <w:t>MRI</w:t>
      </w:r>
      <w:r w:rsidR="003D7ACE">
        <w:rPr>
          <w:rFonts w:asciiTheme="minorHAnsi" w:hAnsiTheme="minorHAnsi"/>
          <w:color w:val="auto"/>
          <w:szCs w:val="24"/>
        </w:rPr>
        <w:t>)</w:t>
      </w:r>
      <w:r w:rsidR="00413805">
        <w:rPr>
          <w:rFonts w:asciiTheme="minorHAnsi" w:hAnsiTheme="minorHAnsi"/>
          <w:color w:val="auto"/>
          <w:szCs w:val="24"/>
        </w:rPr>
        <w:t xml:space="preserve"> findings of the most symptomatic right knee.  The December 2004 </w:t>
      </w:r>
      <w:r w:rsidR="003D7ACE">
        <w:rPr>
          <w:rFonts w:asciiTheme="minorHAnsi" w:hAnsiTheme="minorHAnsi"/>
          <w:color w:val="auto"/>
          <w:szCs w:val="24"/>
        </w:rPr>
        <w:t>narrative summary (</w:t>
      </w:r>
      <w:r w:rsidR="00ED0BE0">
        <w:rPr>
          <w:rFonts w:asciiTheme="minorHAnsi" w:hAnsiTheme="minorHAnsi"/>
          <w:color w:val="auto"/>
          <w:szCs w:val="24"/>
        </w:rPr>
        <w:t>NARSUM</w:t>
      </w:r>
      <w:r w:rsidR="003D7ACE">
        <w:rPr>
          <w:rFonts w:asciiTheme="minorHAnsi" w:hAnsiTheme="minorHAnsi"/>
          <w:color w:val="auto"/>
          <w:szCs w:val="24"/>
        </w:rPr>
        <w:t>)</w:t>
      </w:r>
      <w:r w:rsidR="00ED0BE0">
        <w:rPr>
          <w:rFonts w:asciiTheme="minorHAnsi" w:hAnsiTheme="minorHAnsi"/>
          <w:color w:val="auto"/>
          <w:szCs w:val="24"/>
        </w:rPr>
        <w:t xml:space="preserve"> </w:t>
      </w:r>
      <w:r w:rsidR="00413805">
        <w:rPr>
          <w:rFonts w:asciiTheme="minorHAnsi" w:hAnsiTheme="minorHAnsi"/>
          <w:color w:val="auto"/>
          <w:szCs w:val="24"/>
        </w:rPr>
        <w:t xml:space="preserve">reported tenderness of the superior patellar tendons diagnosed as tendonitis related to the </w:t>
      </w:r>
      <w:r w:rsidR="00ED0BE0">
        <w:rPr>
          <w:rFonts w:asciiTheme="minorHAnsi" w:hAnsiTheme="minorHAnsi"/>
          <w:color w:val="auto"/>
          <w:szCs w:val="24"/>
        </w:rPr>
        <w:t>primary diagnosis</w:t>
      </w:r>
      <w:r w:rsidR="00413805">
        <w:rPr>
          <w:rFonts w:asciiTheme="minorHAnsi" w:hAnsiTheme="minorHAnsi"/>
          <w:color w:val="auto"/>
          <w:szCs w:val="24"/>
        </w:rPr>
        <w:t>.</w:t>
      </w:r>
      <w:r w:rsidR="00ED0BE0">
        <w:rPr>
          <w:rFonts w:asciiTheme="minorHAnsi" w:hAnsiTheme="minorHAnsi"/>
          <w:color w:val="auto"/>
          <w:szCs w:val="24"/>
        </w:rPr>
        <w:t xml:space="preserve">  </w:t>
      </w:r>
      <w:r w:rsidR="00413805" w:rsidRPr="0073657F">
        <w:rPr>
          <w:rFonts w:asciiTheme="minorHAnsi" w:hAnsiTheme="minorHAnsi"/>
          <w:color w:val="auto"/>
          <w:szCs w:val="24"/>
        </w:rPr>
        <w:t xml:space="preserve">There </w:t>
      </w:r>
      <w:r w:rsidR="00EE0992">
        <w:rPr>
          <w:rFonts w:asciiTheme="minorHAnsi" w:hAnsiTheme="minorHAnsi"/>
          <w:color w:val="auto"/>
          <w:szCs w:val="24"/>
        </w:rPr>
        <w:t xml:space="preserve">was one </w:t>
      </w:r>
      <w:r w:rsidR="00413805" w:rsidRPr="0073657F">
        <w:rPr>
          <w:rFonts w:asciiTheme="minorHAnsi" w:hAnsiTheme="minorHAnsi"/>
          <w:color w:val="auto"/>
          <w:szCs w:val="24"/>
        </w:rPr>
        <w:t>goniometric range</w:t>
      </w:r>
      <w:r w:rsidR="003D7ACE">
        <w:rPr>
          <w:rFonts w:asciiTheme="minorHAnsi" w:hAnsiTheme="minorHAnsi"/>
          <w:color w:val="auto"/>
          <w:szCs w:val="24"/>
        </w:rPr>
        <w:t xml:space="preserve"> </w:t>
      </w:r>
      <w:r w:rsidR="00413805" w:rsidRPr="0073657F">
        <w:rPr>
          <w:rFonts w:asciiTheme="minorHAnsi" w:hAnsiTheme="minorHAnsi"/>
          <w:color w:val="auto"/>
          <w:szCs w:val="24"/>
        </w:rPr>
        <w:t>of</w:t>
      </w:r>
      <w:r w:rsidR="003D7ACE">
        <w:rPr>
          <w:rFonts w:asciiTheme="minorHAnsi" w:hAnsiTheme="minorHAnsi"/>
          <w:color w:val="auto"/>
          <w:szCs w:val="24"/>
        </w:rPr>
        <w:t xml:space="preserve"> </w:t>
      </w:r>
      <w:r w:rsidR="00413805" w:rsidRPr="0073657F">
        <w:rPr>
          <w:rFonts w:asciiTheme="minorHAnsi" w:hAnsiTheme="minorHAnsi"/>
          <w:color w:val="auto"/>
          <w:szCs w:val="24"/>
        </w:rPr>
        <w:t xml:space="preserve">motion (ROM) evaluation </w:t>
      </w:r>
      <w:r w:rsidR="00413805">
        <w:rPr>
          <w:rFonts w:asciiTheme="minorHAnsi" w:hAnsiTheme="minorHAnsi"/>
          <w:color w:val="auto"/>
          <w:szCs w:val="24"/>
        </w:rPr>
        <w:t>and knee examination</w:t>
      </w:r>
      <w:r w:rsidR="00EE0992">
        <w:rPr>
          <w:rFonts w:asciiTheme="minorHAnsi" w:hAnsiTheme="minorHAnsi"/>
          <w:color w:val="auto"/>
          <w:szCs w:val="24"/>
        </w:rPr>
        <w:t xml:space="preserve"> four months prior to separation.  In addition, </w:t>
      </w:r>
      <w:r w:rsidR="003D7ACE">
        <w:rPr>
          <w:rFonts w:asciiTheme="minorHAnsi" w:hAnsiTheme="minorHAnsi"/>
          <w:color w:val="auto"/>
          <w:szCs w:val="24"/>
        </w:rPr>
        <w:t>the compensation and pension (</w:t>
      </w:r>
      <w:r w:rsidR="00EE0992">
        <w:rPr>
          <w:rFonts w:asciiTheme="minorHAnsi" w:hAnsiTheme="minorHAnsi"/>
          <w:color w:val="auto"/>
          <w:szCs w:val="24"/>
        </w:rPr>
        <w:t>C&amp;P</w:t>
      </w:r>
      <w:r w:rsidR="003D7ACE">
        <w:rPr>
          <w:rFonts w:asciiTheme="minorHAnsi" w:hAnsiTheme="minorHAnsi"/>
          <w:color w:val="auto"/>
          <w:szCs w:val="24"/>
        </w:rPr>
        <w:t>)</w:t>
      </w:r>
      <w:r w:rsidR="00EE0992">
        <w:rPr>
          <w:rFonts w:asciiTheme="minorHAnsi" w:hAnsiTheme="minorHAnsi"/>
          <w:color w:val="auto"/>
          <w:szCs w:val="24"/>
        </w:rPr>
        <w:t xml:space="preserve"> examination performed nine months after separation </w:t>
      </w:r>
      <w:r w:rsidR="001E09D5">
        <w:rPr>
          <w:rFonts w:asciiTheme="minorHAnsi" w:hAnsiTheme="minorHAnsi"/>
          <w:color w:val="auto"/>
          <w:szCs w:val="24"/>
        </w:rPr>
        <w:t xml:space="preserve">was considered by </w:t>
      </w:r>
      <w:r w:rsidR="00EE0992">
        <w:rPr>
          <w:rFonts w:asciiTheme="minorHAnsi" w:hAnsiTheme="minorHAnsi"/>
          <w:color w:val="auto"/>
          <w:szCs w:val="24"/>
        </w:rPr>
        <w:t>the Board.  The ROM findings for the two</w:t>
      </w:r>
      <w:r w:rsidR="00EE0992" w:rsidRPr="0073657F">
        <w:rPr>
          <w:rFonts w:asciiTheme="minorHAnsi" w:hAnsiTheme="minorHAnsi"/>
          <w:color w:val="auto"/>
          <w:szCs w:val="24"/>
        </w:rPr>
        <w:t xml:space="preserve"> exams are summarized in the </w:t>
      </w:r>
      <w:r w:rsidR="003D7ACE">
        <w:rPr>
          <w:rFonts w:asciiTheme="minorHAnsi" w:hAnsiTheme="minorHAnsi"/>
          <w:color w:val="auto"/>
          <w:szCs w:val="24"/>
        </w:rPr>
        <w:t xml:space="preserve">following </w:t>
      </w:r>
      <w:r w:rsidR="00EE0992" w:rsidRPr="0073657F">
        <w:rPr>
          <w:rFonts w:asciiTheme="minorHAnsi" w:hAnsiTheme="minorHAnsi"/>
          <w:color w:val="auto"/>
          <w:szCs w:val="24"/>
        </w:rPr>
        <w:t>chart</w:t>
      </w:r>
      <w:r w:rsidR="003D7ACE">
        <w:rPr>
          <w:rFonts w:asciiTheme="minorHAnsi" w:hAnsiTheme="minorHAnsi"/>
          <w:color w:val="auto"/>
          <w:szCs w:val="24"/>
        </w:rPr>
        <w:t>.</w:t>
      </w:r>
    </w:p>
    <w:p w:rsidR="00E70B69" w:rsidRDefault="00E70B69" w:rsidP="00EE0992">
      <w:pPr>
        <w:tabs>
          <w:tab w:val="left" w:pos="288"/>
          <w:tab w:val="left" w:pos="4752"/>
        </w:tabs>
        <w:spacing w:line="240" w:lineRule="exact"/>
        <w:jc w:val="both"/>
        <w:rPr>
          <w:rFonts w:asciiTheme="minorHAnsi" w:hAnsiTheme="minorHAnsi"/>
          <w:color w:val="auto"/>
          <w:szCs w:val="24"/>
        </w:rPr>
      </w:pPr>
    </w:p>
    <w:p w:rsidR="00EE0992" w:rsidRPr="001B15EB" w:rsidRDefault="00EE0992" w:rsidP="00EE0992">
      <w:pPr>
        <w:spacing w:line="180" w:lineRule="exact"/>
        <w:rPr>
          <w:rFonts w:asciiTheme="minorHAnsi" w:eastAsiaTheme="minorHAnsi" w:hAnsiTheme="minorHAnsi" w:cstheme="minorBidi"/>
          <w:color w:val="auto"/>
          <w:sz w:val="18"/>
          <w:szCs w:val="18"/>
        </w:rPr>
      </w:pPr>
    </w:p>
    <w:tbl>
      <w:tblPr>
        <w:tblW w:w="8432" w:type="dxa"/>
        <w:jc w:val="center"/>
        <w:tblInd w:w="-2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1"/>
        <w:gridCol w:w="1432"/>
        <w:gridCol w:w="1440"/>
        <w:gridCol w:w="1530"/>
        <w:gridCol w:w="1469"/>
      </w:tblGrid>
      <w:tr w:rsidR="00E649FB" w:rsidRPr="001B15EB" w:rsidTr="003D7ACE">
        <w:trPr>
          <w:jc w:val="center"/>
        </w:trPr>
        <w:tc>
          <w:tcPr>
            <w:tcW w:w="2561" w:type="dxa"/>
            <w:shd w:val="clear" w:color="auto" w:fill="D9D9D9" w:themeFill="background1" w:themeFillShade="D9"/>
            <w:vAlign w:val="center"/>
          </w:tcPr>
          <w:p w:rsidR="00E649FB" w:rsidRPr="001B15EB" w:rsidRDefault="00E649FB" w:rsidP="001B15EB">
            <w:pPr>
              <w:spacing w:line="200" w:lineRule="exact"/>
              <w:contextualSpacing/>
              <w:jc w:val="center"/>
              <w:rPr>
                <w:rFonts w:asciiTheme="minorHAnsi" w:eastAsia="Calibri" w:hAnsiTheme="minorHAnsi"/>
                <w:color w:val="auto"/>
                <w:sz w:val="20"/>
              </w:rPr>
            </w:pPr>
            <w:r w:rsidRPr="001B15EB">
              <w:rPr>
                <w:rFonts w:asciiTheme="minorHAnsi" w:eastAsia="Calibri" w:hAnsiTheme="minorHAnsi"/>
                <w:color w:val="auto"/>
                <w:sz w:val="20"/>
              </w:rPr>
              <w:t xml:space="preserve">Goniometric ROM </w:t>
            </w:r>
            <w:r w:rsidR="001B15EB">
              <w:rPr>
                <w:rFonts w:asciiTheme="minorHAnsi" w:eastAsia="Calibri" w:hAnsiTheme="minorHAnsi"/>
                <w:color w:val="auto"/>
                <w:sz w:val="20"/>
              </w:rPr>
              <w:t xml:space="preserve">- </w:t>
            </w:r>
            <w:r w:rsidR="00227FC4" w:rsidRPr="001B15EB">
              <w:rPr>
                <w:rFonts w:asciiTheme="minorHAnsi" w:eastAsia="Calibri" w:hAnsiTheme="minorHAnsi"/>
                <w:color w:val="auto"/>
                <w:sz w:val="20"/>
              </w:rPr>
              <w:t>Knees</w:t>
            </w:r>
          </w:p>
        </w:tc>
        <w:tc>
          <w:tcPr>
            <w:tcW w:w="2872" w:type="dxa"/>
            <w:gridSpan w:val="2"/>
            <w:shd w:val="clear" w:color="auto" w:fill="D9D9D9" w:themeFill="background1" w:themeFillShade="D9"/>
            <w:vAlign w:val="center"/>
          </w:tcPr>
          <w:p w:rsidR="00E649FB" w:rsidRPr="001B15EB" w:rsidRDefault="00E649FB" w:rsidP="00771407">
            <w:pPr>
              <w:spacing w:line="200" w:lineRule="exact"/>
              <w:contextualSpacing/>
              <w:jc w:val="center"/>
              <w:rPr>
                <w:rFonts w:asciiTheme="minorHAnsi" w:eastAsia="Calibri" w:hAnsiTheme="minorHAnsi"/>
                <w:color w:val="auto"/>
                <w:sz w:val="20"/>
              </w:rPr>
            </w:pPr>
            <w:r w:rsidRPr="001B15EB">
              <w:rPr>
                <w:rFonts w:asciiTheme="minorHAnsi" w:eastAsia="Calibri" w:hAnsiTheme="minorHAnsi"/>
                <w:color w:val="auto"/>
                <w:sz w:val="20"/>
              </w:rPr>
              <w:t>MEB ~ 4 Mo. Pre-Sep</w:t>
            </w:r>
          </w:p>
        </w:tc>
        <w:tc>
          <w:tcPr>
            <w:tcW w:w="2999" w:type="dxa"/>
            <w:gridSpan w:val="2"/>
            <w:shd w:val="clear" w:color="auto" w:fill="D9D9D9" w:themeFill="background1" w:themeFillShade="D9"/>
            <w:vAlign w:val="center"/>
          </w:tcPr>
          <w:p w:rsidR="00E649FB" w:rsidRPr="001B15EB" w:rsidRDefault="00E649FB" w:rsidP="00771407">
            <w:pPr>
              <w:spacing w:line="200" w:lineRule="exact"/>
              <w:contextualSpacing/>
              <w:jc w:val="center"/>
              <w:rPr>
                <w:rFonts w:asciiTheme="minorHAnsi" w:eastAsia="Calibri" w:hAnsiTheme="minorHAnsi"/>
                <w:color w:val="auto"/>
                <w:sz w:val="20"/>
              </w:rPr>
            </w:pPr>
            <w:r w:rsidRPr="001B15EB">
              <w:rPr>
                <w:rFonts w:asciiTheme="minorHAnsi" w:eastAsia="Calibri" w:hAnsiTheme="minorHAnsi"/>
                <w:color w:val="auto"/>
                <w:sz w:val="20"/>
              </w:rPr>
              <w:t>VA</w:t>
            </w:r>
            <w:r w:rsidRPr="001B15EB">
              <w:rPr>
                <w:rFonts w:asciiTheme="minorHAnsi" w:eastAsiaTheme="minorHAnsi" w:hAnsiTheme="minorHAnsi" w:cstheme="minorBidi"/>
                <w:color w:val="auto"/>
                <w:sz w:val="20"/>
              </w:rPr>
              <w:t xml:space="preserve"> C&amp;P </w:t>
            </w:r>
            <w:r w:rsidRPr="001B15EB">
              <w:rPr>
                <w:rFonts w:asciiTheme="minorHAnsi" w:eastAsia="Calibri" w:hAnsiTheme="minorHAnsi"/>
                <w:color w:val="auto"/>
                <w:sz w:val="20"/>
              </w:rPr>
              <w:t>~ 9 Mo. After-Sep</w:t>
            </w:r>
          </w:p>
        </w:tc>
      </w:tr>
      <w:tr w:rsidR="00E649FB" w:rsidRPr="001B15EB" w:rsidTr="003D7ACE">
        <w:trPr>
          <w:jc w:val="center"/>
        </w:trPr>
        <w:tc>
          <w:tcPr>
            <w:tcW w:w="2561" w:type="dxa"/>
            <w:vAlign w:val="center"/>
          </w:tcPr>
          <w:p w:rsidR="00E649FB" w:rsidRPr="001B15EB" w:rsidRDefault="00E649FB" w:rsidP="003D7ACE">
            <w:pPr>
              <w:spacing w:line="180" w:lineRule="exact"/>
              <w:contextualSpacing/>
              <w:rPr>
                <w:rFonts w:asciiTheme="minorHAnsi" w:eastAsia="Calibri" w:hAnsiTheme="minorHAnsi"/>
                <w:color w:val="auto"/>
                <w:sz w:val="18"/>
                <w:szCs w:val="18"/>
              </w:rPr>
            </w:pPr>
          </w:p>
        </w:tc>
        <w:tc>
          <w:tcPr>
            <w:tcW w:w="1432" w:type="dxa"/>
            <w:vAlign w:val="center"/>
          </w:tcPr>
          <w:p w:rsidR="00E649FB" w:rsidRPr="001B15EB" w:rsidRDefault="00E649FB"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R</w:t>
            </w:r>
          </w:p>
        </w:tc>
        <w:tc>
          <w:tcPr>
            <w:tcW w:w="1440" w:type="dxa"/>
          </w:tcPr>
          <w:p w:rsidR="00E649FB" w:rsidRPr="001B15EB" w:rsidRDefault="00E649FB"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L</w:t>
            </w:r>
          </w:p>
        </w:tc>
        <w:tc>
          <w:tcPr>
            <w:tcW w:w="1530" w:type="dxa"/>
            <w:vAlign w:val="center"/>
          </w:tcPr>
          <w:p w:rsidR="00E649FB" w:rsidRPr="001B15EB" w:rsidRDefault="00E649FB"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R</w:t>
            </w:r>
          </w:p>
        </w:tc>
        <w:tc>
          <w:tcPr>
            <w:tcW w:w="1469" w:type="dxa"/>
          </w:tcPr>
          <w:p w:rsidR="00E649FB" w:rsidRPr="001B15EB" w:rsidRDefault="00E649FB"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L</w:t>
            </w:r>
          </w:p>
        </w:tc>
      </w:tr>
      <w:tr w:rsidR="00E649FB" w:rsidRPr="001B15EB" w:rsidTr="003D7ACE">
        <w:trPr>
          <w:jc w:val="center"/>
        </w:trPr>
        <w:tc>
          <w:tcPr>
            <w:tcW w:w="2561" w:type="dxa"/>
            <w:vAlign w:val="center"/>
          </w:tcPr>
          <w:p w:rsidR="00E649FB" w:rsidRPr="001B15EB" w:rsidRDefault="00E649FB" w:rsidP="003D7ACE">
            <w:pPr>
              <w:spacing w:line="180" w:lineRule="exact"/>
              <w:contextualSpacing/>
              <w:rPr>
                <w:rFonts w:asciiTheme="minorHAnsi" w:eastAsia="Calibri" w:hAnsiTheme="minorHAnsi"/>
                <w:color w:val="auto"/>
                <w:sz w:val="18"/>
                <w:szCs w:val="18"/>
              </w:rPr>
            </w:pPr>
            <w:r w:rsidRPr="001B15EB">
              <w:rPr>
                <w:rFonts w:asciiTheme="minorHAnsi" w:eastAsia="Calibri" w:hAnsiTheme="minorHAnsi"/>
                <w:color w:val="auto"/>
                <w:sz w:val="18"/>
                <w:szCs w:val="18"/>
              </w:rPr>
              <w:t>Flexion (140⁰ normal)</w:t>
            </w:r>
          </w:p>
        </w:tc>
        <w:tc>
          <w:tcPr>
            <w:tcW w:w="1432" w:type="dxa"/>
            <w:vAlign w:val="center"/>
          </w:tcPr>
          <w:p w:rsidR="00E649FB" w:rsidRPr="001B15EB" w:rsidRDefault="00E649FB"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120⁰</w:t>
            </w:r>
          </w:p>
        </w:tc>
        <w:tc>
          <w:tcPr>
            <w:tcW w:w="1440" w:type="dxa"/>
          </w:tcPr>
          <w:p w:rsidR="00E649FB" w:rsidRPr="001B15EB" w:rsidRDefault="00DF5F5D"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120⁰</w:t>
            </w:r>
          </w:p>
        </w:tc>
        <w:tc>
          <w:tcPr>
            <w:tcW w:w="1530" w:type="dxa"/>
            <w:vAlign w:val="center"/>
          </w:tcPr>
          <w:p w:rsidR="00E649FB" w:rsidRPr="001B15EB" w:rsidRDefault="00E649FB"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140⁰</w:t>
            </w:r>
          </w:p>
        </w:tc>
        <w:tc>
          <w:tcPr>
            <w:tcW w:w="1469" w:type="dxa"/>
          </w:tcPr>
          <w:p w:rsidR="00E649FB" w:rsidRPr="001B15EB" w:rsidRDefault="00DF5F5D"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140⁰</w:t>
            </w:r>
          </w:p>
        </w:tc>
      </w:tr>
      <w:tr w:rsidR="00E649FB" w:rsidRPr="001B15EB" w:rsidTr="003D7ACE">
        <w:trPr>
          <w:jc w:val="center"/>
        </w:trPr>
        <w:tc>
          <w:tcPr>
            <w:tcW w:w="2561" w:type="dxa"/>
            <w:tcBorders>
              <w:bottom w:val="single" w:sz="4" w:space="0" w:color="auto"/>
            </w:tcBorders>
            <w:vAlign w:val="center"/>
          </w:tcPr>
          <w:p w:rsidR="00E649FB" w:rsidRPr="001B15EB" w:rsidRDefault="00E649FB" w:rsidP="003D7ACE">
            <w:pPr>
              <w:spacing w:line="180" w:lineRule="exact"/>
              <w:contextualSpacing/>
              <w:rPr>
                <w:rFonts w:asciiTheme="minorHAnsi" w:eastAsia="Calibri" w:hAnsiTheme="minorHAnsi"/>
                <w:color w:val="auto"/>
                <w:sz w:val="18"/>
                <w:szCs w:val="18"/>
              </w:rPr>
            </w:pPr>
            <w:r w:rsidRPr="001B15EB">
              <w:rPr>
                <w:rFonts w:asciiTheme="minorHAnsi" w:eastAsia="Calibri" w:hAnsiTheme="minorHAnsi"/>
                <w:color w:val="auto"/>
                <w:sz w:val="18"/>
                <w:szCs w:val="18"/>
              </w:rPr>
              <w:t>Extension (0⁰ normal)</w:t>
            </w:r>
          </w:p>
        </w:tc>
        <w:tc>
          <w:tcPr>
            <w:tcW w:w="1432" w:type="dxa"/>
            <w:tcBorders>
              <w:bottom w:val="single" w:sz="4" w:space="0" w:color="auto"/>
            </w:tcBorders>
            <w:vAlign w:val="center"/>
          </w:tcPr>
          <w:p w:rsidR="00E649FB" w:rsidRPr="001B15EB" w:rsidRDefault="00E649FB"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0⁰</w:t>
            </w:r>
          </w:p>
        </w:tc>
        <w:tc>
          <w:tcPr>
            <w:tcW w:w="1440" w:type="dxa"/>
            <w:tcBorders>
              <w:bottom w:val="single" w:sz="4" w:space="0" w:color="auto"/>
            </w:tcBorders>
          </w:tcPr>
          <w:p w:rsidR="00E649FB" w:rsidRPr="001B15EB" w:rsidRDefault="00DF5F5D"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0⁰</w:t>
            </w:r>
          </w:p>
        </w:tc>
        <w:tc>
          <w:tcPr>
            <w:tcW w:w="1530" w:type="dxa"/>
            <w:tcBorders>
              <w:bottom w:val="single" w:sz="4" w:space="0" w:color="auto"/>
            </w:tcBorders>
            <w:vAlign w:val="center"/>
          </w:tcPr>
          <w:p w:rsidR="00E649FB" w:rsidRPr="001B15EB" w:rsidRDefault="00E649FB"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0⁰</w:t>
            </w:r>
          </w:p>
        </w:tc>
        <w:tc>
          <w:tcPr>
            <w:tcW w:w="1469" w:type="dxa"/>
            <w:tcBorders>
              <w:bottom w:val="single" w:sz="4" w:space="0" w:color="auto"/>
              <w:right w:val="single" w:sz="4" w:space="0" w:color="auto"/>
            </w:tcBorders>
          </w:tcPr>
          <w:p w:rsidR="00E649FB" w:rsidRPr="001B15EB" w:rsidRDefault="00DF5F5D" w:rsidP="00771407">
            <w:pPr>
              <w:spacing w:line="180" w:lineRule="exact"/>
              <w:contextualSpacing/>
              <w:jc w:val="center"/>
              <w:rPr>
                <w:rFonts w:asciiTheme="minorHAnsi" w:eastAsia="Calibri" w:hAnsiTheme="minorHAnsi"/>
                <w:color w:val="auto"/>
                <w:sz w:val="18"/>
                <w:szCs w:val="18"/>
              </w:rPr>
            </w:pPr>
            <w:r w:rsidRPr="001B15EB">
              <w:rPr>
                <w:rFonts w:asciiTheme="minorHAnsi" w:eastAsia="Calibri" w:hAnsiTheme="minorHAnsi"/>
                <w:color w:val="auto"/>
                <w:sz w:val="18"/>
                <w:szCs w:val="18"/>
              </w:rPr>
              <w:t>0⁰</w:t>
            </w:r>
          </w:p>
        </w:tc>
      </w:tr>
      <w:tr w:rsidR="00227FC4" w:rsidRPr="001B15EB" w:rsidTr="003D7ACE">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227FC4" w:rsidRPr="001B15EB" w:rsidRDefault="00227FC4" w:rsidP="003D7ACE">
            <w:pPr>
              <w:tabs>
                <w:tab w:val="left" w:pos="288"/>
                <w:tab w:val="left" w:pos="4752"/>
              </w:tabs>
              <w:spacing w:line="180" w:lineRule="exact"/>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Comment</w:t>
            </w:r>
            <w:r w:rsidR="003D7ACE">
              <w:rPr>
                <w:rFonts w:asciiTheme="minorHAnsi" w:eastAsiaTheme="minorHAnsi" w:hAnsiTheme="minorHAnsi"/>
                <w:color w:val="auto"/>
                <w:sz w:val="18"/>
                <w:szCs w:val="18"/>
              </w:rPr>
              <w:t>s</w:t>
            </w:r>
          </w:p>
        </w:tc>
        <w:tc>
          <w:tcPr>
            <w:tcW w:w="2872" w:type="dxa"/>
            <w:gridSpan w:val="2"/>
            <w:tcBorders>
              <w:top w:val="single" w:sz="4" w:space="0" w:color="auto"/>
              <w:left w:val="single" w:sz="4" w:space="0" w:color="auto"/>
              <w:bottom w:val="single" w:sz="4" w:space="0" w:color="auto"/>
              <w:right w:val="single" w:sz="4" w:space="0" w:color="auto"/>
            </w:tcBorders>
            <w:vAlign w:val="center"/>
          </w:tcPr>
          <w:p w:rsidR="00227FC4" w:rsidRPr="001B15EB" w:rsidRDefault="00227FC4" w:rsidP="00771407">
            <w:pPr>
              <w:tabs>
                <w:tab w:val="left" w:pos="288"/>
                <w:tab w:val="left" w:pos="4752"/>
              </w:tabs>
              <w:spacing w:line="180" w:lineRule="exact"/>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Painful motion not indicated</w:t>
            </w:r>
          </w:p>
          <w:p w:rsidR="00227FC4" w:rsidRPr="001B15EB" w:rsidRDefault="00227FC4" w:rsidP="00771407">
            <w:pPr>
              <w:tabs>
                <w:tab w:val="left" w:pos="288"/>
                <w:tab w:val="left" w:pos="4752"/>
              </w:tabs>
              <w:spacing w:line="180" w:lineRule="exact"/>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Degenerative change on MRI (R)</w:t>
            </w:r>
          </w:p>
          <w:p w:rsidR="00227FC4" w:rsidRPr="001B15EB" w:rsidRDefault="00227FC4" w:rsidP="00771407">
            <w:pPr>
              <w:tabs>
                <w:tab w:val="left" w:pos="288"/>
                <w:tab w:val="left" w:pos="4752"/>
              </w:tabs>
              <w:spacing w:line="180" w:lineRule="exact"/>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Patellofemoral crepitus</w:t>
            </w:r>
          </w:p>
          <w:p w:rsidR="00227FC4" w:rsidRPr="001B15EB" w:rsidRDefault="00227FC4" w:rsidP="00771407">
            <w:pPr>
              <w:tabs>
                <w:tab w:val="left" w:pos="288"/>
                <w:tab w:val="left" w:pos="4752"/>
              </w:tabs>
              <w:spacing w:line="180" w:lineRule="exact"/>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Pain with use</w:t>
            </w:r>
          </w:p>
        </w:tc>
        <w:tc>
          <w:tcPr>
            <w:tcW w:w="1530" w:type="dxa"/>
            <w:tcBorders>
              <w:top w:val="single" w:sz="4" w:space="0" w:color="auto"/>
              <w:left w:val="single" w:sz="4" w:space="0" w:color="auto"/>
              <w:bottom w:val="single" w:sz="4" w:space="0" w:color="auto"/>
              <w:right w:val="single" w:sz="4" w:space="0" w:color="auto"/>
            </w:tcBorders>
            <w:vAlign w:val="center"/>
          </w:tcPr>
          <w:p w:rsidR="00227FC4" w:rsidRPr="001B15EB" w:rsidRDefault="00227FC4" w:rsidP="001B15EB">
            <w:pPr>
              <w:spacing w:line="180" w:lineRule="exact"/>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Pain at end range of motion</w:t>
            </w:r>
            <w:r w:rsidR="001B15EB" w:rsidRPr="001B15EB">
              <w:rPr>
                <w:rFonts w:asciiTheme="minorHAnsi" w:eastAsiaTheme="minorHAnsi" w:hAnsiTheme="minorHAnsi"/>
                <w:color w:val="auto"/>
                <w:sz w:val="18"/>
                <w:szCs w:val="18"/>
              </w:rPr>
              <w:t>;</w:t>
            </w:r>
            <w:r w:rsidRPr="001B15EB">
              <w:rPr>
                <w:rFonts w:asciiTheme="minorHAnsi" w:eastAsiaTheme="minorHAnsi" w:hAnsiTheme="minorHAnsi"/>
                <w:color w:val="auto"/>
                <w:sz w:val="18"/>
                <w:szCs w:val="18"/>
              </w:rPr>
              <w:t xml:space="preserve"> tenderness</w:t>
            </w:r>
          </w:p>
        </w:tc>
        <w:tc>
          <w:tcPr>
            <w:tcW w:w="1469" w:type="dxa"/>
            <w:tcBorders>
              <w:top w:val="single" w:sz="4" w:space="0" w:color="auto"/>
              <w:left w:val="single" w:sz="4" w:space="0" w:color="auto"/>
              <w:bottom w:val="single" w:sz="4" w:space="0" w:color="auto"/>
              <w:right w:val="single" w:sz="4" w:space="0" w:color="auto"/>
            </w:tcBorders>
            <w:vAlign w:val="center"/>
          </w:tcPr>
          <w:p w:rsidR="00227FC4" w:rsidRPr="001B15EB" w:rsidRDefault="00227FC4" w:rsidP="00771407">
            <w:pPr>
              <w:tabs>
                <w:tab w:val="left" w:pos="288"/>
                <w:tab w:val="left" w:pos="4752"/>
              </w:tabs>
              <w:spacing w:line="180" w:lineRule="exact"/>
              <w:rPr>
                <w:rFonts w:asciiTheme="minorHAnsi" w:eastAsiaTheme="minorHAnsi" w:hAnsiTheme="minorHAnsi"/>
                <w:color w:val="auto"/>
                <w:sz w:val="18"/>
                <w:szCs w:val="18"/>
              </w:rPr>
            </w:pPr>
          </w:p>
        </w:tc>
      </w:tr>
      <w:tr w:rsidR="00E649FB" w:rsidRPr="001B15EB" w:rsidTr="003D7ACE">
        <w:trPr>
          <w:jc w:val="center"/>
        </w:trPr>
        <w:tc>
          <w:tcPr>
            <w:tcW w:w="2561" w:type="dxa"/>
            <w:tcBorders>
              <w:top w:val="single" w:sz="4" w:space="0" w:color="auto"/>
              <w:left w:val="single" w:sz="4" w:space="0" w:color="auto"/>
              <w:bottom w:val="single" w:sz="4" w:space="0" w:color="auto"/>
              <w:right w:val="single" w:sz="4" w:space="0" w:color="auto"/>
            </w:tcBorders>
            <w:vAlign w:val="center"/>
          </w:tcPr>
          <w:p w:rsidR="00E649FB" w:rsidRPr="001B15EB" w:rsidRDefault="00E649FB" w:rsidP="003D7ACE">
            <w:pPr>
              <w:tabs>
                <w:tab w:val="left" w:pos="288"/>
                <w:tab w:val="left" w:pos="4752"/>
              </w:tabs>
              <w:spacing w:line="180" w:lineRule="exact"/>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§4.71a Rating</w:t>
            </w:r>
          </w:p>
        </w:tc>
        <w:tc>
          <w:tcPr>
            <w:tcW w:w="1432" w:type="dxa"/>
            <w:tcBorders>
              <w:top w:val="single" w:sz="4" w:space="0" w:color="auto"/>
              <w:left w:val="single" w:sz="4" w:space="0" w:color="auto"/>
              <w:bottom w:val="single" w:sz="4" w:space="0" w:color="auto"/>
              <w:right w:val="single" w:sz="4" w:space="0" w:color="auto"/>
            </w:tcBorders>
            <w:vAlign w:val="center"/>
          </w:tcPr>
          <w:p w:rsidR="00E649FB" w:rsidRPr="001B15EB" w:rsidRDefault="00E649FB" w:rsidP="00771407">
            <w:pPr>
              <w:tabs>
                <w:tab w:val="left" w:pos="288"/>
                <w:tab w:val="left" w:pos="4752"/>
              </w:tabs>
              <w:spacing w:line="180" w:lineRule="exact"/>
              <w:jc w:val="center"/>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E649FB" w:rsidRPr="001B15EB" w:rsidRDefault="00DF5F5D" w:rsidP="00771407">
            <w:pPr>
              <w:tabs>
                <w:tab w:val="left" w:pos="288"/>
                <w:tab w:val="left" w:pos="4752"/>
              </w:tabs>
              <w:spacing w:line="180" w:lineRule="exact"/>
              <w:jc w:val="center"/>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10%</w:t>
            </w:r>
          </w:p>
        </w:tc>
        <w:tc>
          <w:tcPr>
            <w:tcW w:w="1530" w:type="dxa"/>
            <w:tcBorders>
              <w:top w:val="single" w:sz="4" w:space="0" w:color="auto"/>
              <w:left w:val="single" w:sz="4" w:space="0" w:color="auto"/>
              <w:bottom w:val="single" w:sz="4" w:space="0" w:color="auto"/>
              <w:right w:val="single" w:sz="4" w:space="0" w:color="auto"/>
            </w:tcBorders>
            <w:vAlign w:val="center"/>
          </w:tcPr>
          <w:p w:rsidR="00E649FB" w:rsidRPr="001B15EB" w:rsidRDefault="00DF5F5D" w:rsidP="00771407">
            <w:pPr>
              <w:tabs>
                <w:tab w:val="left" w:pos="288"/>
                <w:tab w:val="left" w:pos="4752"/>
              </w:tabs>
              <w:spacing w:line="180" w:lineRule="exact"/>
              <w:jc w:val="center"/>
              <w:rPr>
                <w:rFonts w:asciiTheme="minorHAnsi" w:eastAsiaTheme="minorHAnsi" w:hAnsiTheme="minorHAnsi"/>
                <w:color w:val="auto"/>
                <w:sz w:val="18"/>
                <w:szCs w:val="18"/>
              </w:rPr>
            </w:pPr>
            <w:r w:rsidRPr="001B15EB">
              <w:rPr>
                <w:rFonts w:asciiTheme="minorHAnsi" w:eastAsiaTheme="minorHAnsi" w:hAnsiTheme="minorHAnsi"/>
                <w:color w:val="auto"/>
                <w:sz w:val="18"/>
                <w:szCs w:val="18"/>
              </w:rPr>
              <w:t>10%</w:t>
            </w:r>
          </w:p>
        </w:tc>
        <w:tc>
          <w:tcPr>
            <w:tcW w:w="1469" w:type="dxa"/>
            <w:tcBorders>
              <w:top w:val="single" w:sz="4" w:space="0" w:color="auto"/>
              <w:left w:val="single" w:sz="4" w:space="0" w:color="auto"/>
              <w:bottom w:val="single" w:sz="4" w:space="0" w:color="auto"/>
              <w:right w:val="single" w:sz="4" w:space="0" w:color="auto"/>
            </w:tcBorders>
          </w:tcPr>
          <w:p w:rsidR="00E649FB" w:rsidRPr="001B15EB" w:rsidRDefault="001B15EB" w:rsidP="00227FC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0% (No VA rating)</w:t>
            </w:r>
          </w:p>
        </w:tc>
      </w:tr>
    </w:tbl>
    <w:p w:rsidR="00EE0992" w:rsidRPr="001B15EB" w:rsidRDefault="00EE0992" w:rsidP="00EE0992">
      <w:pPr>
        <w:spacing w:line="180" w:lineRule="exact"/>
        <w:rPr>
          <w:rFonts w:asciiTheme="minorHAnsi" w:eastAsiaTheme="minorHAnsi" w:hAnsiTheme="minorHAnsi" w:cstheme="minorBidi"/>
          <w:color w:val="auto"/>
          <w:sz w:val="18"/>
          <w:szCs w:val="18"/>
        </w:rPr>
      </w:pPr>
    </w:p>
    <w:p w:rsidR="00413805" w:rsidRPr="00A94A9B" w:rsidRDefault="00771407" w:rsidP="00413805">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ROMs were in the 0% range including with application of </w:t>
      </w:r>
      <w:r w:rsidRPr="004201D7">
        <w:rPr>
          <w:rFonts w:asciiTheme="minorHAnsi" w:hAnsiTheme="minorHAnsi"/>
          <w:color w:val="auto"/>
          <w:szCs w:val="24"/>
        </w:rPr>
        <w:t>§4.59</w:t>
      </w:r>
      <w:r>
        <w:rPr>
          <w:rFonts w:asciiTheme="minorHAnsi" w:hAnsiTheme="minorHAnsi"/>
          <w:color w:val="auto"/>
          <w:szCs w:val="24"/>
        </w:rPr>
        <w:t xml:space="preserve"> for painful motion.  </w:t>
      </w:r>
      <w:r w:rsidR="00413805">
        <w:rPr>
          <w:rFonts w:asciiTheme="minorHAnsi" w:hAnsiTheme="minorHAnsi"/>
          <w:color w:val="auto"/>
          <w:szCs w:val="24"/>
        </w:rPr>
        <w:t>Neither exam documented any mechan</w:t>
      </w:r>
      <w:r w:rsidR="00EE0992">
        <w:rPr>
          <w:rFonts w:asciiTheme="minorHAnsi" w:hAnsiTheme="minorHAnsi"/>
          <w:color w:val="auto"/>
          <w:szCs w:val="24"/>
        </w:rPr>
        <w:t xml:space="preserve">ical instability </w:t>
      </w:r>
      <w:r>
        <w:rPr>
          <w:rFonts w:asciiTheme="minorHAnsi" w:hAnsiTheme="minorHAnsi"/>
          <w:color w:val="auto"/>
          <w:szCs w:val="24"/>
        </w:rPr>
        <w:t xml:space="preserve">or locking </w:t>
      </w:r>
      <w:r w:rsidR="00EE0992">
        <w:rPr>
          <w:rFonts w:asciiTheme="minorHAnsi" w:hAnsiTheme="minorHAnsi"/>
          <w:color w:val="auto"/>
          <w:szCs w:val="24"/>
        </w:rPr>
        <w:t>of the joint</w:t>
      </w:r>
      <w:r>
        <w:rPr>
          <w:rFonts w:asciiTheme="minorHAnsi" w:hAnsiTheme="minorHAnsi"/>
          <w:color w:val="auto"/>
          <w:szCs w:val="24"/>
        </w:rPr>
        <w:t xml:space="preserve"> </w:t>
      </w:r>
      <w:r w:rsidR="00ED0BE0">
        <w:rPr>
          <w:rFonts w:asciiTheme="minorHAnsi" w:hAnsiTheme="minorHAnsi"/>
          <w:color w:val="auto"/>
          <w:szCs w:val="24"/>
        </w:rPr>
        <w:t>to warrant rating under diagnostic codes 5257 or 5258</w:t>
      </w:r>
      <w:r w:rsidR="007C271F">
        <w:rPr>
          <w:rFonts w:asciiTheme="minorHAnsi" w:hAnsiTheme="minorHAnsi"/>
          <w:color w:val="auto"/>
          <w:szCs w:val="24"/>
        </w:rPr>
        <w:t xml:space="preserve"> (and the MRI further documented no abnormality of ligament or meniscus that would cause those symptoms)</w:t>
      </w:r>
      <w:r>
        <w:rPr>
          <w:rFonts w:asciiTheme="minorHAnsi" w:hAnsiTheme="minorHAnsi"/>
          <w:color w:val="auto"/>
          <w:szCs w:val="24"/>
        </w:rPr>
        <w:t xml:space="preserve">.  </w:t>
      </w:r>
      <w:r w:rsidR="00413805" w:rsidRPr="00A94A9B">
        <w:rPr>
          <w:rFonts w:asciiTheme="minorHAnsi" w:hAnsiTheme="minorHAnsi"/>
          <w:color w:val="auto"/>
          <w:szCs w:val="24"/>
        </w:rPr>
        <w:t>The PEB and VA chose different</w:t>
      </w:r>
      <w:r w:rsidR="007C271F">
        <w:rPr>
          <w:rFonts w:asciiTheme="minorHAnsi" w:hAnsiTheme="minorHAnsi"/>
          <w:color w:val="auto"/>
          <w:szCs w:val="24"/>
        </w:rPr>
        <w:t xml:space="preserve"> </w:t>
      </w:r>
      <w:r w:rsidR="00413805" w:rsidRPr="00A94A9B">
        <w:rPr>
          <w:rFonts w:asciiTheme="minorHAnsi" w:hAnsiTheme="minorHAnsi"/>
          <w:color w:val="auto"/>
          <w:szCs w:val="24"/>
        </w:rPr>
        <w:t xml:space="preserve">coding options for the condition, both of which were appropriate for the CI’s </w:t>
      </w:r>
      <w:r w:rsidR="00EE0992">
        <w:rPr>
          <w:rFonts w:asciiTheme="minorHAnsi" w:hAnsiTheme="minorHAnsi"/>
          <w:color w:val="auto"/>
          <w:szCs w:val="24"/>
        </w:rPr>
        <w:t>diagnoses</w:t>
      </w:r>
      <w:r w:rsidR="00413805" w:rsidRPr="00A94A9B">
        <w:rPr>
          <w:rFonts w:asciiTheme="minorHAnsi" w:hAnsiTheme="minorHAnsi"/>
          <w:color w:val="auto"/>
          <w:szCs w:val="24"/>
        </w:rPr>
        <w:t xml:space="preserve">, and </w:t>
      </w:r>
      <w:r w:rsidR="00413805">
        <w:rPr>
          <w:rFonts w:asciiTheme="minorHAnsi" w:hAnsiTheme="minorHAnsi"/>
          <w:color w:val="auto"/>
          <w:szCs w:val="24"/>
        </w:rPr>
        <w:t xml:space="preserve">both of </w:t>
      </w:r>
      <w:r w:rsidR="00413805" w:rsidRPr="00A94A9B">
        <w:rPr>
          <w:rFonts w:asciiTheme="minorHAnsi" w:hAnsiTheme="minorHAnsi"/>
          <w:color w:val="auto"/>
          <w:szCs w:val="24"/>
        </w:rPr>
        <w:t xml:space="preserve">which led to equivalent </w:t>
      </w:r>
      <w:r w:rsidR="00EE0992">
        <w:rPr>
          <w:rFonts w:asciiTheme="minorHAnsi" w:hAnsiTheme="minorHAnsi"/>
          <w:color w:val="auto"/>
          <w:szCs w:val="24"/>
        </w:rPr>
        <w:t xml:space="preserve">disability ratings for the right knee.  </w:t>
      </w:r>
      <w:r w:rsidR="00413805">
        <w:rPr>
          <w:rFonts w:asciiTheme="minorHAnsi" w:hAnsiTheme="minorHAnsi"/>
          <w:color w:val="auto"/>
          <w:szCs w:val="24"/>
        </w:rPr>
        <w:t>While the VA rated only the most symptomatic right knee</w:t>
      </w:r>
      <w:r w:rsidR="00993F81">
        <w:rPr>
          <w:rFonts w:asciiTheme="minorHAnsi" w:hAnsiTheme="minorHAnsi"/>
          <w:color w:val="auto"/>
          <w:szCs w:val="24"/>
        </w:rPr>
        <w:t xml:space="preserve"> (apparently the CI only claimed for the right knee)</w:t>
      </w:r>
      <w:r w:rsidR="00413805">
        <w:rPr>
          <w:rFonts w:asciiTheme="minorHAnsi" w:hAnsiTheme="minorHAnsi"/>
          <w:color w:val="auto"/>
          <w:szCs w:val="24"/>
        </w:rPr>
        <w:t>, the PEB rated both knees.</w:t>
      </w:r>
      <w:r>
        <w:rPr>
          <w:rFonts w:asciiTheme="minorHAnsi" w:hAnsiTheme="minorHAnsi"/>
          <w:color w:val="auto"/>
          <w:szCs w:val="24"/>
        </w:rPr>
        <w:t xml:space="preserve">  </w:t>
      </w:r>
      <w:r w:rsidR="00413805" w:rsidRPr="002072AB">
        <w:rPr>
          <w:rFonts w:asciiTheme="minorHAnsi" w:hAnsiTheme="minorHAnsi"/>
          <w:color w:val="auto"/>
          <w:szCs w:val="24"/>
        </w:rPr>
        <w:t xml:space="preserve">The PEB rated </w:t>
      </w:r>
      <w:r w:rsidR="00413805">
        <w:rPr>
          <w:rFonts w:asciiTheme="minorHAnsi" w:hAnsiTheme="minorHAnsi"/>
          <w:color w:val="auto"/>
          <w:szCs w:val="24"/>
        </w:rPr>
        <w:t xml:space="preserve">the </w:t>
      </w:r>
      <w:r>
        <w:rPr>
          <w:rFonts w:asciiTheme="minorHAnsi" w:hAnsiTheme="minorHAnsi"/>
          <w:color w:val="auto"/>
          <w:szCs w:val="24"/>
        </w:rPr>
        <w:t xml:space="preserve">bilateral </w:t>
      </w:r>
      <w:r w:rsidR="00413805">
        <w:rPr>
          <w:rFonts w:asciiTheme="minorHAnsi" w:hAnsiTheme="minorHAnsi"/>
          <w:color w:val="auto"/>
          <w:szCs w:val="24"/>
        </w:rPr>
        <w:t>knee</w:t>
      </w:r>
      <w:r w:rsidR="00413805" w:rsidRPr="002072AB">
        <w:rPr>
          <w:rFonts w:asciiTheme="minorHAnsi" w:hAnsiTheme="minorHAnsi"/>
          <w:color w:val="auto"/>
          <w:szCs w:val="24"/>
        </w:rPr>
        <w:t xml:space="preserve"> </w:t>
      </w:r>
      <w:r>
        <w:rPr>
          <w:rFonts w:asciiTheme="minorHAnsi" w:hAnsiTheme="minorHAnsi"/>
          <w:color w:val="auto"/>
          <w:szCs w:val="24"/>
        </w:rPr>
        <w:t xml:space="preserve">condition </w:t>
      </w:r>
      <w:r w:rsidR="00413805">
        <w:rPr>
          <w:rFonts w:asciiTheme="minorHAnsi" w:hAnsiTheme="minorHAnsi"/>
          <w:color w:val="auto"/>
          <w:szCs w:val="24"/>
        </w:rPr>
        <w:t>IAW</w:t>
      </w:r>
      <w:r w:rsidR="00413805" w:rsidRPr="002072AB">
        <w:rPr>
          <w:rFonts w:asciiTheme="minorHAnsi" w:hAnsiTheme="minorHAnsi"/>
          <w:color w:val="auto"/>
          <w:szCs w:val="24"/>
        </w:rPr>
        <w:t xml:space="preserve"> </w:t>
      </w:r>
      <w:r w:rsidR="003D7ACE">
        <w:rPr>
          <w:rFonts w:asciiTheme="minorHAnsi" w:hAnsiTheme="minorHAnsi"/>
          <w:color w:val="auto"/>
          <w:szCs w:val="24"/>
        </w:rPr>
        <w:t>the VA Schedule for Rating Disabilities (</w:t>
      </w:r>
      <w:r w:rsidR="00413805" w:rsidRPr="002072AB">
        <w:rPr>
          <w:rFonts w:asciiTheme="minorHAnsi" w:hAnsiTheme="minorHAnsi"/>
          <w:color w:val="auto"/>
          <w:szCs w:val="24"/>
        </w:rPr>
        <w:t>VASRD</w:t>
      </w:r>
      <w:r w:rsidR="003D7ACE">
        <w:rPr>
          <w:rFonts w:asciiTheme="minorHAnsi" w:hAnsiTheme="minorHAnsi"/>
          <w:color w:val="auto"/>
          <w:szCs w:val="24"/>
        </w:rPr>
        <w:t>)</w:t>
      </w:r>
      <w:r w:rsidR="00413805" w:rsidRPr="002072AB">
        <w:rPr>
          <w:rFonts w:asciiTheme="minorHAnsi" w:hAnsiTheme="minorHAnsi"/>
          <w:color w:val="auto"/>
          <w:szCs w:val="24"/>
        </w:rPr>
        <w:t xml:space="preserve"> </w:t>
      </w:r>
      <w:r w:rsidR="00413805" w:rsidRPr="009D6515">
        <w:rPr>
          <w:rFonts w:asciiTheme="minorHAnsi" w:hAnsiTheme="minorHAnsi"/>
          <w:color w:val="auto"/>
          <w:szCs w:val="24"/>
        </w:rPr>
        <w:t xml:space="preserve">§4.71a, </w:t>
      </w:r>
      <w:r w:rsidR="00413805" w:rsidRPr="002072AB">
        <w:rPr>
          <w:rFonts w:asciiTheme="minorHAnsi" w:hAnsiTheme="minorHAnsi"/>
          <w:color w:val="auto"/>
          <w:szCs w:val="24"/>
        </w:rPr>
        <w:t>coded 5003</w:t>
      </w:r>
      <w:r w:rsidR="00413805">
        <w:rPr>
          <w:rFonts w:asciiTheme="minorHAnsi" w:hAnsiTheme="minorHAnsi"/>
          <w:color w:val="auto"/>
          <w:szCs w:val="24"/>
        </w:rPr>
        <w:t xml:space="preserve"> for degenerative arthritis</w:t>
      </w:r>
      <w:r>
        <w:rPr>
          <w:rFonts w:asciiTheme="minorHAnsi" w:hAnsiTheme="minorHAnsi"/>
          <w:color w:val="auto"/>
          <w:szCs w:val="24"/>
        </w:rPr>
        <w:t xml:space="preserve"> consistent with the primary pathology supported by clinical and radio</w:t>
      </w:r>
      <w:r w:rsidR="00413805" w:rsidRPr="002072AB">
        <w:rPr>
          <w:rFonts w:asciiTheme="minorHAnsi" w:hAnsiTheme="minorHAnsi"/>
          <w:color w:val="auto"/>
          <w:szCs w:val="24"/>
        </w:rPr>
        <w:t>graphic evidence</w:t>
      </w:r>
      <w:r>
        <w:rPr>
          <w:rFonts w:asciiTheme="minorHAnsi" w:hAnsiTheme="minorHAnsi"/>
          <w:color w:val="auto"/>
          <w:szCs w:val="24"/>
        </w:rPr>
        <w:t xml:space="preserve">.  </w:t>
      </w:r>
      <w:r w:rsidR="00413805" w:rsidRPr="002072AB">
        <w:rPr>
          <w:rFonts w:asciiTheme="minorHAnsi" w:hAnsiTheme="minorHAnsi"/>
          <w:color w:val="auto"/>
          <w:szCs w:val="24"/>
        </w:rPr>
        <w:t xml:space="preserve">The VA rated </w:t>
      </w:r>
      <w:r w:rsidR="00413805">
        <w:rPr>
          <w:rFonts w:asciiTheme="minorHAnsi" w:hAnsiTheme="minorHAnsi"/>
          <w:color w:val="auto"/>
          <w:szCs w:val="24"/>
        </w:rPr>
        <w:t>the</w:t>
      </w:r>
      <w:r w:rsidR="00413805" w:rsidRPr="002072AB">
        <w:rPr>
          <w:rFonts w:asciiTheme="minorHAnsi" w:hAnsiTheme="minorHAnsi"/>
          <w:color w:val="auto"/>
          <w:szCs w:val="24"/>
        </w:rPr>
        <w:t xml:space="preserve"> knee analogously to</w:t>
      </w:r>
      <w:r w:rsidR="00413805">
        <w:rPr>
          <w:rFonts w:asciiTheme="minorHAnsi" w:hAnsiTheme="minorHAnsi"/>
          <w:color w:val="auto"/>
          <w:szCs w:val="24"/>
        </w:rPr>
        <w:t xml:space="preserve"> </w:t>
      </w:r>
      <w:proofErr w:type="spellStart"/>
      <w:r w:rsidR="00413805">
        <w:rPr>
          <w:rFonts w:asciiTheme="minorHAnsi" w:hAnsiTheme="minorHAnsi"/>
          <w:color w:val="auto"/>
          <w:szCs w:val="24"/>
        </w:rPr>
        <w:t>tenosynovitis</w:t>
      </w:r>
      <w:proofErr w:type="spellEnd"/>
      <w:r w:rsidR="00413805">
        <w:rPr>
          <w:rFonts w:asciiTheme="minorHAnsi" w:hAnsiTheme="minorHAnsi"/>
          <w:color w:val="auto"/>
          <w:szCs w:val="24"/>
        </w:rPr>
        <w:t xml:space="preserve"> </w:t>
      </w:r>
      <w:r w:rsidR="00ED0BE0">
        <w:rPr>
          <w:rFonts w:asciiTheme="minorHAnsi" w:hAnsiTheme="minorHAnsi"/>
          <w:color w:val="auto"/>
          <w:szCs w:val="24"/>
        </w:rPr>
        <w:t>(</w:t>
      </w:r>
      <w:r w:rsidR="00413805">
        <w:rPr>
          <w:rFonts w:asciiTheme="minorHAnsi" w:hAnsiTheme="minorHAnsi"/>
          <w:color w:val="auto"/>
          <w:szCs w:val="24"/>
        </w:rPr>
        <w:t>5024</w:t>
      </w:r>
      <w:r w:rsidR="00ED0BE0">
        <w:rPr>
          <w:rFonts w:asciiTheme="minorHAnsi" w:hAnsiTheme="minorHAnsi"/>
          <w:color w:val="auto"/>
          <w:szCs w:val="24"/>
        </w:rPr>
        <w:t>)</w:t>
      </w:r>
      <w:r w:rsidR="00413805">
        <w:rPr>
          <w:rFonts w:asciiTheme="minorHAnsi" w:hAnsiTheme="minorHAnsi"/>
          <w:color w:val="auto"/>
          <w:szCs w:val="24"/>
        </w:rPr>
        <w:t xml:space="preserve"> in the absence of a </w:t>
      </w:r>
      <w:r w:rsidR="00413805" w:rsidRPr="002072AB">
        <w:rPr>
          <w:rFonts w:asciiTheme="minorHAnsi" w:hAnsiTheme="minorHAnsi"/>
          <w:color w:val="auto"/>
          <w:szCs w:val="24"/>
        </w:rPr>
        <w:t>compensable ROM impairment or evidence of instability.</w:t>
      </w:r>
      <w:r>
        <w:rPr>
          <w:rFonts w:asciiTheme="minorHAnsi" w:hAnsiTheme="minorHAnsi"/>
          <w:color w:val="auto"/>
          <w:szCs w:val="24"/>
        </w:rPr>
        <w:t xml:space="preserve">  </w:t>
      </w:r>
      <w:r w:rsidR="00413805">
        <w:rPr>
          <w:rFonts w:asciiTheme="minorHAnsi" w:hAnsiTheme="minorHAnsi"/>
          <w:color w:val="auto"/>
          <w:szCs w:val="24"/>
        </w:rPr>
        <w:t xml:space="preserve">Both of these approaches allowed for a compensable rating without relying on the joint codes </w:t>
      </w:r>
      <w:r w:rsidR="007C271F">
        <w:rPr>
          <w:rFonts w:asciiTheme="minorHAnsi" w:hAnsiTheme="minorHAnsi"/>
          <w:color w:val="auto"/>
          <w:szCs w:val="24"/>
        </w:rPr>
        <w:t xml:space="preserve">based </w:t>
      </w:r>
      <w:r w:rsidR="00413805">
        <w:rPr>
          <w:rFonts w:asciiTheme="minorHAnsi" w:hAnsiTheme="minorHAnsi"/>
          <w:color w:val="auto"/>
          <w:szCs w:val="24"/>
        </w:rPr>
        <w:t xml:space="preserve">on ROM impairment.  </w:t>
      </w:r>
      <w:r w:rsidR="006B4AFC">
        <w:rPr>
          <w:rFonts w:asciiTheme="minorHAnsi" w:hAnsiTheme="minorHAnsi"/>
          <w:color w:val="auto"/>
          <w:szCs w:val="24"/>
        </w:rPr>
        <w:t>T</w:t>
      </w:r>
      <w:r w:rsidR="00413805" w:rsidRPr="00905C61">
        <w:rPr>
          <w:rFonts w:asciiTheme="minorHAnsi" w:hAnsiTheme="minorHAnsi"/>
          <w:color w:val="auto"/>
          <w:szCs w:val="24"/>
        </w:rPr>
        <w:t>he Board agreed that there was not a more favorable</w:t>
      </w:r>
      <w:r w:rsidR="00413805">
        <w:rPr>
          <w:rFonts w:asciiTheme="minorHAnsi" w:hAnsiTheme="minorHAnsi"/>
          <w:color w:val="auto"/>
          <w:szCs w:val="24"/>
        </w:rPr>
        <w:t xml:space="preserve"> coding choice than that applied by the PEB.  </w:t>
      </w:r>
      <w:r w:rsidR="00413805" w:rsidRPr="00AE3316">
        <w:rPr>
          <w:rFonts w:asciiTheme="minorHAnsi" w:hAnsiTheme="minorHAnsi"/>
          <w:color w:val="auto"/>
          <w:szCs w:val="24"/>
        </w:rPr>
        <w:t>All evidence considered</w:t>
      </w:r>
      <w:proofErr w:type="gramStart"/>
      <w:r w:rsidR="00413805" w:rsidRPr="00AE3316">
        <w:rPr>
          <w:rFonts w:asciiTheme="minorHAnsi" w:hAnsiTheme="minorHAnsi"/>
          <w:color w:val="auto"/>
          <w:szCs w:val="24"/>
        </w:rPr>
        <w:t>,</w:t>
      </w:r>
      <w:proofErr w:type="gramEnd"/>
      <w:r w:rsidR="00413805" w:rsidRPr="00AE3316">
        <w:rPr>
          <w:rFonts w:asciiTheme="minorHAnsi" w:hAnsiTheme="minorHAnsi"/>
          <w:color w:val="auto"/>
          <w:szCs w:val="24"/>
        </w:rPr>
        <w:t xml:space="preserve"> there is not reasonable doubt in the CI’s favor supporting </w:t>
      </w:r>
      <w:r w:rsidR="00413805">
        <w:rPr>
          <w:rFonts w:asciiTheme="minorHAnsi" w:hAnsiTheme="minorHAnsi"/>
          <w:color w:val="auto"/>
          <w:szCs w:val="24"/>
        </w:rPr>
        <w:t xml:space="preserve">a change from the </w:t>
      </w:r>
      <w:r w:rsidR="00413805" w:rsidRPr="00AE3316">
        <w:rPr>
          <w:rFonts w:asciiTheme="minorHAnsi" w:hAnsiTheme="minorHAnsi"/>
          <w:color w:val="auto"/>
          <w:szCs w:val="24"/>
        </w:rPr>
        <w:t>PEB</w:t>
      </w:r>
      <w:r w:rsidR="00413805">
        <w:rPr>
          <w:rFonts w:asciiTheme="minorHAnsi" w:hAnsiTheme="minorHAnsi"/>
          <w:color w:val="auto"/>
          <w:szCs w:val="24"/>
        </w:rPr>
        <w:t>’s rating decision for</w:t>
      </w:r>
      <w:r w:rsidR="00413805" w:rsidRPr="00AE3316">
        <w:rPr>
          <w:rFonts w:asciiTheme="minorHAnsi" w:hAnsiTheme="minorHAnsi"/>
          <w:color w:val="auto"/>
          <w:szCs w:val="24"/>
        </w:rPr>
        <w:t xml:space="preserve"> the </w:t>
      </w:r>
      <w:r w:rsidR="00413805">
        <w:rPr>
          <w:rFonts w:asciiTheme="minorHAnsi" w:hAnsiTheme="minorHAnsi"/>
          <w:color w:val="auto"/>
          <w:szCs w:val="24"/>
        </w:rPr>
        <w:t>knee</w:t>
      </w:r>
      <w:r w:rsidR="00413805" w:rsidRPr="00AE3316">
        <w:rPr>
          <w:rFonts w:asciiTheme="minorHAnsi" w:hAnsiTheme="minorHAnsi"/>
          <w:color w:val="auto"/>
          <w:szCs w:val="24"/>
        </w:rPr>
        <w:t xml:space="preserve"> condition.</w:t>
      </w:r>
    </w:p>
    <w:p w:rsidR="00A55AE5" w:rsidRDefault="00A55AE5" w:rsidP="007F0AB7">
      <w:pPr>
        <w:tabs>
          <w:tab w:val="left" w:pos="288"/>
          <w:tab w:val="left" w:pos="4752"/>
        </w:tabs>
        <w:spacing w:line="240" w:lineRule="exact"/>
        <w:jc w:val="both"/>
        <w:rPr>
          <w:rFonts w:asciiTheme="minorHAnsi" w:hAnsiTheme="minorHAnsi"/>
          <w:color w:val="auto"/>
          <w:szCs w:val="24"/>
        </w:rPr>
      </w:pPr>
    </w:p>
    <w:p w:rsidR="008A078C" w:rsidRPr="001B15EB" w:rsidRDefault="00EC337D" w:rsidP="009D6515">
      <w:pPr>
        <w:tabs>
          <w:tab w:val="left" w:pos="288"/>
          <w:tab w:val="left" w:pos="4752"/>
        </w:tabs>
        <w:spacing w:line="240" w:lineRule="exact"/>
        <w:jc w:val="both"/>
        <w:rPr>
          <w:rFonts w:asciiTheme="minorHAnsi" w:hAnsiTheme="minorHAnsi"/>
          <w:color w:val="auto"/>
          <w:szCs w:val="24"/>
        </w:rPr>
      </w:pPr>
      <w:proofErr w:type="gramStart"/>
      <w:r w:rsidRPr="009D6515">
        <w:rPr>
          <w:rFonts w:asciiTheme="minorHAnsi" w:hAnsiTheme="minorHAnsi"/>
          <w:color w:val="auto"/>
          <w:szCs w:val="24"/>
          <w:u w:val="single"/>
        </w:rPr>
        <w:t>Remaining Conditions</w:t>
      </w:r>
      <w:r w:rsidR="003D7ACE">
        <w:rPr>
          <w:rFonts w:asciiTheme="minorHAnsi" w:hAnsiTheme="minorHAnsi"/>
          <w:color w:val="auto"/>
          <w:szCs w:val="24"/>
          <w:u w:val="single"/>
        </w:rPr>
        <w:t>.</w:t>
      </w:r>
      <w:proofErr w:type="gramEnd"/>
      <w:r w:rsidRPr="00EC337D">
        <w:rPr>
          <w:rFonts w:asciiTheme="minorHAnsi" w:hAnsiTheme="minorHAnsi"/>
          <w:color w:val="auto"/>
          <w:szCs w:val="24"/>
        </w:rPr>
        <w:t xml:space="preserve">  </w:t>
      </w:r>
      <w:r w:rsidR="006852FF">
        <w:rPr>
          <w:rFonts w:asciiTheme="minorHAnsi" w:hAnsiTheme="minorHAnsi"/>
          <w:color w:val="auto"/>
          <w:szCs w:val="24"/>
        </w:rPr>
        <w:t xml:space="preserve">The CI indicated a history of depression in the MEB history and physical examination.  </w:t>
      </w:r>
      <w:r w:rsidR="00156807">
        <w:rPr>
          <w:rFonts w:asciiTheme="minorHAnsi" w:hAnsiTheme="minorHAnsi"/>
          <w:color w:val="auto"/>
          <w:szCs w:val="24"/>
        </w:rPr>
        <w:t>In October 2003, the CI presented to the clinic with symptoms of depression in the setting of separation from her spouse</w:t>
      </w:r>
      <w:r w:rsidR="00E649FB">
        <w:rPr>
          <w:rFonts w:asciiTheme="minorHAnsi" w:hAnsiTheme="minorHAnsi"/>
          <w:color w:val="auto"/>
          <w:szCs w:val="24"/>
        </w:rPr>
        <w:t>, stress of single parenthood,</w:t>
      </w:r>
      <w:r w:rsidR="00156807">
        <w:rPr>
          <w:rFonts w:asciiTheme="minorHAnsi" w:hAnsiTheme="minorHAnsi"/>
          <w:color w:val="auto"/>
          <w:szCs w:val="24"/>
        </w:rPr>
        <w:t xml:space="preserve"> and work stress.  The provider concluded the CI had mild depression related to overwhelming stress, prescribed medication, and referred the CI to mental health.  According to a VA C&amp;P </w:t>
      </w:r>
      <w:r w:rsidR="001C188C">
        <w:rPr>
          <w:rFonts w:asciiTheme="minorHAnsi" w:hAnsiTheme="minorHAnsi"/>
          <w:color w:val="auto"/>
          <w:szCs w:val="24"/>
        </w:rPr>
        <w:t>examination in January 2006, the CI did not follow through on that referral to mental health</w:t>
      </w:r>
      <w:r w:rsidR="009D6515">
        <w:rPr>
          <w:rFonts w:asciiTheme="minorHAnsi" w:hAnsiTheme="minorHAnsi"/>
          <w:color w:val="auto"/>
          <w:szCs w:val="24"/>
        </w:rPr>
        <w:t xml:space="preserve">, but the medication prescribed was helpful.  She took it for two or three months and stopped it because she felt she did not need it anymore.  The condition </w:t>
      </w:r>
      <w:r w:rsidR="007C271F">
        <w:rPr>
          <w:rFonts w:asciiTheme="minorHAnsi" w:hAnsiTheme="minorHAnsi"/>
          <w:color w:val="auto"/>
          <w:szCs w:val="24"/>
        </w:rPr>
        <w:t xml:space="preserve">was </w:t>
      </w:r>
      <w:r w:rsidR="009D6515">
        <w:rPr>
          <w:rFonts w:asciiTheme="minorHAnsi" w:hAnsiTheme="minorHAnsi"/>
          <w:color w:val="auto"/>
          <w:szCs w:val="24"/>
        </w:rPr>
        <w:t xml:space="preserve">within the range of normal responses to such stressors experienced by many people, </w:t>
      </w:r>
      <w:r w:rsidR="007C271F">
        <w:rPr>
          <w:rFonts w:asciiTheme="minorHAnsi" w:hAnsiTheme="minorHAnsi"/>
          <w:color w:val="auto"/>
          <w:szCs w:val="24"/>
        </w:rPr>
        <w:t xml:space="preserve">and </w:t>
      </w:r>
      <w:r w:rsidR="009D6515">
        <w:rPr>
          <w:rFonts w:asciiTheme="minorHAnsi" w:hAnsiTheme="minorHAnsi"/>
          <w:color w:val="auto"/>
          <w:szCs w:val="24"/>
        </w:rPr>
        <w:t>was transient, significantly improv</w:t>
      </w:r>
      <w:r w:rsidR="007C271F">
        <w:rPr>
          <w:rFonts w:asciiTheme="minorHAnsi" w:hAnsiTheme="minorHAnsi"/>
          <w:color w:val="auto"/>
          <w:szCs w:val="24"/>
        </w:rPr>
        <w:t xml:space="preserve">ing </w:t>
      </w:r>
      <w:r w:rsidR="009D6515">
        <w:rPr>
          <w:rFonts w:asciiTheme="minorHAnsi" w:hAnsiTheme="minorHAnsi"/>
          <w:color w:val="auto"/>
          <w:szCs w:val="24"/>
        </w:rPr>
        <w:t xml:space="preserve">over a few months.  </w:t>
      </w:r>
      <w:r w:rsidR="00E649FB">
        <w:rPr>
          <w:rFonts w:asciiTheme="minorHAnsi" w:hAnsiTheme="minorHAnsi"/>
          <w:color w:val="auto"/>
          <w:szCs w:val="24"/>
        </w:rPr>
        <w:t xml:space="preserve">The commander’s </w:t>
      </w:r>
      <w:r w:rsidR="003D7ACE">
        <w:rPr>
          <w:rFonts w:asciiTheme="minorHAnsi" w:hAnsiTheme="minorHAnsi"/>
          <w:color w:val="auto"/>
          <w:szCs w:val="24"/>
        </w:rPr>
        <w:t xml:space="preserve">assessment in </w:t>
      </w:r>
      <w:r w:rsidR="00E649FB">
        <w:rPr>
          <w:rFonts w:asciiTheme="minorHAnsi" w:hAnsiTheme="minorHAnsi"/>
          <w:color w:val="auto"/>
          <w:szCs w:val="24"/>
        </w:rPr>
        <w:t xml:space="preserve">October 2004 stated that the CI was working in her specialty and had good potential for continued service.  </w:t>
      </w:r>
      <w:r w:rsidR="009D6515">
        <w:rPr>
          <w:rFonts w:asciiTheme="minorHAnsi" w:hAnsiTheme="minorHAnsi"/>
          <w:color w:val="auto"/>
          <w:szCs w:val="24"/>
        </w:rPr>
        <w:t>There was no evidence the condition significantly interfered with performance of duties, and the brief period of clinically significant symptoms would not have formed the basis for referral into the DES.  O</w:t>
      </w:r>
      <w:r w:rsidR="009D6515" w:rsidRPr="00EC337D">
        <w:rPr>
          <w:rFonts w:asciiTheme="minorHAnsi" w:hAnsiTheme="minorHAnsi"/>
          <w:color w:val="auto"/>
          <w:szCs w:val="24"/>
        </w:rPr>
        <w:t>ther conditions identified in the D</w:t>
      </w:r>
      <w:r w:rsidR="003D7ACE">
        <w:rPr>
          <w:rFonts w:asciiTheme="minorHAnsi" w:hAnsiTheme="minorHAnsi"/>
          <w:color w:val="auto"/>
          <w:szCs w:val="24"/>
        </w:rPr>
        <w:t xml:space="preserve">isability Evaluation System </w:t>
      </w:r>
      <w:r w:rsidR="009D6515" w:rsidRPr="00EC337D">
        <w:rPr>
          <w:rFonts w:asciiTheme="minorHAnsi" w:hAnsiTheme="minorHAnsi"/>
          <w:color w:val="auto"/>
          <w:szCs w:val="24"/>
        </w:rPr>
        <w:t>file were</w:t>
      </w:r>
      <w:r w:rsidR="009D6515">
        <w:rPr>
          <w:rFonts w:asciiTheme="minorHAnsi" w:hAnsiTheme="minorHAnsi"/>
          <w:color w:val="auto"/>
          <w:szCs w:val="24"/>
        </w:rPr>
        <w:t xml:space="preserve"> c</w:t>
      </w:r>
      <w:r w:rsidR="009D6515" w:rsidRPr="009D6515">
        <w:rPr>
          <w:rFonts w:asciiTheme="minorHAnsi" w:hAnsiTheme="minorHAnsi"/>
          <w:color w:val="auto"/>
          <w:szCs w:val="24"/>
        </w:rPr>
        <w:t xml:space="preserve">old thyroid nodule, alopecia </w:t>
      </w:r>
      <w:proofErr w:type="spellStart"/>
      <w:r w:rsidR="009D6515" w:rsidRPr="009D6515">
        <w:rPr>
          <w:rFonts w:asciiTheme="minorHAnsi" w:hAnsiTheme="minorHAnsi"/>
          <w:color w:val="auto"/>
          <w:szCs w:val="24"/>
        </w:rPr>
        <w:t>areata</w:t>
      </w:r>
      <w:proofErr w:type="spellEnd"/>
      <w:r w:rsidR="009D6515" w:rsidRPr="009D6515">
        <w:rPr>
          <w:rFonts w:asciiTheme="minorHAnsi" w:hAnsiTheme="minorHAnsi"/>
          <w:color w:val="auto"/>
          <w:szCs w:val="24"/>
        </w:rPr>
        <w:t xml:space="preserve">, deviated nasal septum (status post surgery 1996), mild high frequency hearing loss, history of abnormal PAP smear, fractured sacrum (1996, healed), bronchitis, sinusitis, eczema and rib pain.  </w:t>
      </w:r>
      <w:r w:rsidR="009D6515" w:rsidRPr="00156807">
        <w:rPr>
          <w:rFonts w:asciiTheme="minorHAnsi" w:hAnsiTheme="minorHAnsi"/>
          <w:color w:val="auto"/>
          <w:szCs w:val="24"/>
        </w:rPr>
        <w:t>Several additional non-acute conditions or medical co</w:t>
      </w:r>
      <w:r w:rsidR="009D6515">
        <w:rPr>
          <w:rFonts w:asciiTheme="minorHAnsi" w:hAnsiTheme="minorHAnsi"/>
          <w:color w:val="auto"/>
          <w:szCs w:val="24"/>
        </w:rPr>
        <w:t xml:space="preserve">mplaints were also documented.  </w:t>
      </w:r>
      <w:r w:rsidR="00156807" w:rsidRPr="00156807">
        <w:rPr>
          <w:rFonts w:asciiTheme="minorHAnsi" w:hAnsiTheme="minorHAnsi"/>
          <w:color w:val="auto"/>
          <w:szCs w:val="24"/>
        </w:rPr>
        <w:t xml:space="preserve">None of these conditions </w:t>
      </w:r>
      <w:r w:rsidR="009D6515">
        <w:rPr>
          <w:rFonts w:asciiTheme="minorHAnsi" w:hAnsiTheme="minorHAnsi"/>
          <w:color w:val="auto"/>
          <w:szCs w:val="24"/>
        </w:rPr>
        <w:t xml:space="preserve">(including </w:t>
      </w:r>
      <w:r w:rsidR="009D6515" w:rsidRPr="001B15EB">
        <w:rPr>
          <w:rFonts w:asciiTheme="minorHAnsi" w:hAnsiTheme="minorHAnsi"/>
          <w:color w:val="auto"/>
          <w:szCs w:val="24"/>
        </w:rPr>
        <w:t xml:space="preserve">depression) </w:t>
      </w:r>
      <w:r w:rsidR="00156807" w:rsidRPr="001B15EB">
        <w:rPr>
          <w:rFonts w:asciiTheme="minorHAnsi" w:hAnsiTheme="minorHAnsi"/>
          <w:color w:val="auto"/>
          <w:szCs w:val="24"/>
        </w:rPr>
        <w:t>were significantly clinically active during the MEB period, none were the bases for limited duty</w:t>
      </w:r>
      <w:r w:rsidR="003D7ACE">
        <w:rPr>
          <w:rFonts w:asciiTheme="minorHAnsi" w:hAnsiTheme="minorHAnsi"/>
          <w:color w:val="auto"/>
          <w:szCs w:val="24"/>
        </w:rPr>
        <w:t>,</w:t>
      </w:r>
      <w:r w:rsidR="00156807" w:rsidRPr="001B15EB">
        <w:rPr>
          <w:rFonts w:asciiTheme="minorHAnsi" w:hAnsiTheme="minorHAnsi"/>
          <w:color w:val="auto"/>
          <w:szCs w:val="24"/>
        </w:rPr>
        <w:t xml:space="preserve"> and none were implicated in the commander’s </w:t>
      </w:r>
      <w:r w:rsidR="003D7ACE">
        <w:rPr>
          <w:rFonts w:asciiTheme="minorHAnsi" w:hAnsiTheme="minorHAnsi"/>
          <w:color w:val="auto"/>
          <w:szCs w:val="24"/>
        </w:rPr>
        <w:t>assessment</w:t>
      </w:r>
      <w:r w:rsidR="00156807" w:rsidRPr="001B15EB">
        <w:rPr>
          <w:rFonts w:asciiTheme="minorHAnsi" w:hAnsiTheme="minorHAnsi"/>
          <w:color w:val="auto"/>
          <w:szCs w:val="24"/>
        </w:rPr>
        <w:t>.  These conditions were reviewed by the action officer 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A83C15" w:rsidRPr="001B15EB" w:rsidRDefault="00A83C15" w:rsidP="000452D7">
      <w:pPr>
        <w:tabs>
          <w:tab w:val="left" w:pos="288"/>
          <w:tab w:val="left" w:pos="4752"/>
        </w:tabs>
        <w:spacing w:line="240" w:lineRule="exact"/>
        <w:jc w:val="both"/>
        <w:rPr>
          <w:rFonts w:asciiTheme="minorHAnsi" w:hAnsiTheme="minorHAnsi"/>
          <w:b/>
          <w:caps/>
          <w:color w:val="auto"/>
          <w:u w:val="single"/>
        </w:rPr>
      </w:pPr>
      <w:r w:rsidRPr="001B15EB">
        <w:rPr>
          <w:rFonts w:asciiTheme="minorHAnsi" w:hAnsiTheme="minorHAnsi"/>
          <w:b/>
          <w:color w:val="auto"/>
          <w:u w:val="single"/>
        </w:rPr>
        <w:t>______________________________________________________________________________</w:t>
      </w:r>
    </w:p>
    <w:p w:rsidR="00106AD8" w:rsidRPr="001B15EB" w:rsidRDefault="00106AD8" w:rsidP="000452D7">
      <w:pPr>
        <w:tabs>
          <w:tab w:val="left" w:pos="288"/>
          <w:tab w:val="left" w:pos="4752"/>
        </w:tabs>
        <w:spacing w:line="240" w:lineRule="exact"/>
        <w:rPr>
          <w:b/>
          <w:color w:val="auto"/>
          <w:szCs w:val="24"/>
        </w:rPr>
      </w:pPr>
    </w:p>
    <w:p w:rsidR="00DF5F5D" w:rsidRPr="001B15EB" w:rsidRDefault="00C56FC8" w:rsidP="000452D7">
      <w:pPr>
        <w:spacing w:line="240" w:lineRule="exact"/>
        <w:jc w:val="both"/>
        <w:rPr>
          <w:rFonts w:asciiTheme="minorHAnsi" w:eastAsiaTheme="minorHAnsi" w:hAnsiTheme="minorHAnsi"/>
          <w:color w:val="auto"/>
          <w:szCs w:val="24"/>
        </w:rPr>
      </w:pPr>
      <w:r w:rsidRPr="001B15EB">
        <w:rPr>
          <w:rFonts w:asciiTheme="minorHAnsi" w:hAnsiTheme="minorHAnsi"/>
          <w:color w:val="auto"/>
          <w:szCs w:val="24"/>
          <w:u w:val="single"/>
        </w:rPr>
        <w:lastRenderedPageBreak/>
        <w:t>BOARD FINDINGS</w:t>
      </w:r>
      <w:r w:rsidRPr="001B15EB">
        <w:rPr>
          <w:rFonts w:asciiTheme="minorHAnsi" w:hAnsiTheme="minorHAnsi"/>
          <w:color w:val="auto"/>
          <w:szCs w:val="24"/>
        </w:rPr>
        <w:t>:</w:t>
      </w:r>
      <w:r w:rsidRPr="001B15EB">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w:t>
      </w:r>
      <w:r w:rsidRPr="00396779">
        <w:rPr>
          <w:rFonts w:asciiTheme="minorHAnsi" w:eastAsiaTheme="minorHAnsi" w:hAnsiTheme="minorHAnsi"/>
          <w:color w:val="auto"/>
          <w:szCs w:val="24"/>
        </w:rPr>
        <w:t xml:space="preserve"> VASRD in effect at the time of the adjudication.</w:t>
      </w:r>
      <w:r w:rsidR="001804F3">
        <w:rPr>
          <w:rFonts w:asciiTheme="minorHAnsi" w:eastAsiaTheme="minorHAnsi" w:hAnsiTheme="minorHAnsi"/>
          <w:color w:val="auto"/>
          <w:szCs w:val="24"/>
        </w:rPr>
        <w:t xml:space="preserve">  </w:t>
      </w:r>
      <w:r w:rsidR="001804F3" w:rsidRPr="00396779">
        <w:rPr>
          <w:rFonts w:asciiTheme="minorHAnsi" w:eastAsiaTheme="minorHAnsi" w:hAnsiTheme="minorHAnsi"/>
          <w:color w:val="auto"/>
          <w:szCs w:val="24"/>
        </w:rPr>
        <w:t xml:space="preserve">In the matter of the </w:t>
      </w:r>
      <w:r w:rsidR="001804F3">
        <w:rPr>
          <w:rFonts w:asciiTheme="minorHAnsi" w:eastAsiaTheme="minorHAnsi" w:hAnsiTheme="minorHAnsi"/>
          <w:color w:val="auto"/>
          <w:szCs w:val="24"/>
        </w:rPr>
        <w:t>bilateral knee condition</w:t>
      </w:r>
      <w:r w:rsidR="001804F3" w:rsidRPr="008C2024">
        <w:rPr>
          <w:rFonts w:asciiTheme="minorHAnsi" w:eastAsiaTheme="minorHAnsi" w:hAnsiTheme="minorHAnsi"/>
          <w:color w:val="auto"/>
          <w:szCs w:val="24"/>
        </w:rPr>
        <w:t xml:space="preserve"> </w:t>
      </w:r>
      <w:r w:rsidR="001804F3" w:rsidRPr="00396779">
        <w:rPr>
          <w:rFonts w:asciiTheme="minorHAnsi" w:eastAsiaTheme="minorHAnsi" w:hAnsiTheme="minorHAnsi"/>
          <w:color w:val="auto"/>
          <w:szCs w:val="24"/>
        </w:rPr>
        <w:t xml:space="preserve">and </w:t>
      </w:r>
      <w:r w:rsidR="001804F3" w:rsidRPr="008C2024">
        <w:rPr>
          <w:rFonts w:asciiTheme="minorHAnsi" w:eastAsiaTheme="minorHAnsi" w:hAnsiTheme="minorHAnsi"/>
          <w:color w:val="auto"/>
          <w:szCs w:val="24"/>
        </w:rPr>
        <w:t>IAW VASRD §4.</w:t>
      </w:r>
      <w:r w:rsidR="00AF6A11">
        <w:rPr>
          <w:rFonts w:asciiTheme="minorHAnsi" w:eastAsiaTheme="minorHAnsi" w:hAnsiTheme="minorHAnsi"/>
          <w:color w:val="auto"/>
          <w:szCs w:val="24"/>
        </w:rPr>
        <w:t>7</w:t>
      </w:r>
      <w:r w:rsidR="001804F3">
        <w:rPr>
          <w:rFonts w:asciiTheme="minorHAnsi" w:eastAsiaTheme="minorHAnsi" w:hAnsiTheme="minorHAnsi"/>
          <w:color w:val="auto"/>
          <w:szCs w:val="24"/>
        </w:rPr>
        <w:t>1</w:t>
      </w:r>
      <w:r w:rsidR="001804F3" w:rsidRPr="008C2024">
        <w:rPr>
          <w:rFonts w:asciiTheme="minorHAnsi" w:eastAsiaTheme="minorHAnsi" w:hAnsiTheme="minorHAnsi"/>
          <w:color w:val="auto"/>
          <w:szCs w:val="24"/>
        </w:rPr>
        <w:t>a</w:t>
      </w:r>
      <w:r w:rsidR="001804F3" w:rsidRPr="00396779">
        <w:rPr>
          <w:rFonts w:asciiTheme="minorHAnsi" w:eastAsiaTheme="minorHAnsi" w:hAnsiTheme="minorHAnsi"/>
          <w:color w:val="auto"/>
          <w:szCs w:val="24"/>
        </w:rPr>
        <w:t xml:space="preserve">, the Board </w:t>
      </w:r>
      <w:r w:rsidR="001804F3" w:rsidRPr="008C2024">
        <w:rPr>
          <w:rFonts w:asciiTheme="minorHAnsi" w:eastAsiaTheme="minorHAnsi" w:hAnsiTheme="minorHAnsi"/>
          <w:color w:val="auto"/>
          <w:szCs w:val="24"/>
        </w:rPr>
        <w:t>unanimously</w:t>
      </w:r>
      <w:r w:rsidR="001804F3" w:rsidRPr="00396779">
        <w:rPr>
          <w:rFonts w:asciiTheme="minorHAnsi" w:eastAsiaTheme="minorHAnsi" w:hAnsiTheme="minorHAnsi"/>
          <w:color w:val="auto"/>
          <w:szCs w:val="24"/>
        </w:rPr>
        <w:t xml:space="preserve"> recommends no change in the PEB </w:t>
      </w:r>
      <w:r w:rsidR="001804F3" w:rsidRPr="001B15EB">
        <w:rPr>
          <w:rFonts w:asciiTheme="minorHAnsi" w:eastAsiaTheme="minorHAnsi" w:hAnsiTheme="minorHAnsi"/>
          <w:color w:val="auto"/>
          <w:szCs w:val="24"/>
        </w:rPr>
        <w:t>adjudication.  In the matter of any other medical conditions eligible for Board consideration</w:t>
      </w:r>
      <w:r w:rsidR="003D7ACE">
        <w:rPr>
          <w:rFonts w:asciiTheme="minorHAnsi" w:eastAsiaTheme="minorHAnsi" w:hAnsiTheme="minorHAnsi"/>
          <w:color w:val="auto"/>
          <w:szCs w:val="24"/>
        </w:rPr>
        <w:t>,</w:t>
      </w:r>
      <w:r w:rsidR="001804F3" w:rsidRPr="001B15EB">
        <w:rPr>
          <w:rFonts w:asciiTheme="minorHAnsi" w:eastAsiaTheme="minorHAnsi" w:hAnsiTheme="minorHAnsi"/>
          <w:color w:val="auto"/>
          <w:szCs w:val="24"/>
        </w:rPr>
        <w:t xml:space="preserve"> the Board unanimously agrees</w:t>
      </w:r>
      <w:r w:rsidR="001804F3" w:rsidRPr="001B15EB">
        <w:rPr>
          <w:rFonts w:asciiTheme="minorHAnsi" w:hAnsiTheme="minorHAnsi"/>
          <w:color w:val="auto"/>
          <w:szCs w:val="24"/>
        </w:rPr>
        <w:t xml:space="preserve"> that it cannot recommend any findings of unfit for additional rating at separation.</w:t>
      </w:r>
    </w:p>
    <w:p w:rsidR="00A83C15" w:rsidRPr="001B15EB" w:rsidRDefault="00A83C15" w:rsidP="000452D7">
      <w:pPr>
        <w:tabs>
          <w:tab w:val="left" w:pos="288"/>
          <w:tab w:val="left" w:pos="4752"/>
        </w:tabs>
        <w:spacing w:line="240" w:lineRule="exact"/>
        <w:jc w:val="both"/>
        <w:rPr>
          <w:rFonts w:asciiTheme="minorHAnsi" w:hAnsiTheme="minorHAnsi"/>
          <w:b/>
          <w:caps/>
          <w:color w:val="auto"/>
          <w:u w:val="single"/>
        </w:rPr>
      </w:pPr>
      <w:r w:rsidRPr="001B15EB">
        <w:rPr>
          <w:rFonts w:asciiTheme="minorHAnsi" w:hAnsiTheme="minorHAnsi"/>
          <w:b/>
          <w:color w:val="auto"/>
          <w:u w:val="single"/>
        </w:rPr>
        <w:t>______________________________________________________________________________</w:t>
      </w:r>
    </w:p>
    <w:p w:rsidR="00106AD8" w:rsidRPr="001B15EB" w:rsidRDefault="00106AD8" w:rsidP="000452D7">
      <w:pPr>
        <w:tabs>
          <w:tab w:val="left" w:pos="288"/>
          <w:tab w:val="left" w:pos="4752"/>
        </w:tabs>
        <w:spacing w:line="240" w:lineRule="exact"/>
        <w:rPr>
          <w:b/>
          <w:color w:val="auto"/>
          <w:szCs w:val="24"/>
        </w:rPr>
      </w:pPr>
    </w:p>
    <w:p w:rsidR="00DF5F5D" w:rsidRPr="001B15EB" w:rsidRDefault="00C56FC8" w:rsidP="00DF5F5D">
      <w:pPr>
        <w:spacing w:line="240" w:lineRule="exact"/>
        <w:rPr>
          <w:rFonts w:asciiTheme="minorHAnsi" w:hAnsiTheme="minorHAnsi"/>
          <w:color w:val="auto"/>
          <w:szCs w:val="24"/>
        </w:rPr>
      </w:pPr>
      <w:r w:rsidRPr="001B15EB">
        <w:rPr>
          <w:rFonts w:asciiTheme="minorHAnsi" w:hAnsiTheme="minorHAnsi"/>
          <w:color w:val="auto"/>
          <w:szCs w:val="24"/>
          <w:u w:val="single"/>
        </w:rPr>
        <w:t>RECOMMENDATION</w:t>
      </w:r>
      <w:r w:rsidRPr="001B15EB">
        <w:rPr>
          <w:rFonts w:asciiTheme="minorHAnsi" w:hAnsiTheme="minorHAnsi"/>
          <w:color w:val="auto"/>
          <w:szCs w:val="24"/>
        </w:rPr>
        <w:t>:</w:t>
      </w:r>
      <w:r w:rsidR="00DF5F5D" w:rsidRPr="001B15EB">
        <w:rPr>
          <w:rFonts w:asciiTheme="minorHAnsi" w:hAnsiTheme="minorHAnsi"/>
          <w:color w:val="auto"/>
          <w:szCs w:val="24"/>
        </w:rPr>
        <w:t xml:space="preserve">  </w:t>
      </w:r>
      <w:r w:rsidRPr="001B15EB">
        <w:rPr>
          <w:rFonts w:asciiTheme="minorHAnsi" w:hAnsiTheme="minorHAnsi"/>
          <w:color w:val="auto"/>
          <w:szCs w:val="24"/>
        </w:rPr>
        <w:t>The Board therefore recommends that there be no recharacterization of the CI’s disability and separation determination.</w:t>
      </w:r>
    </w:p>
    <w:p w:rsidR="004101B2" w:rsidRPr="001B15EB" w:rsidRDefault="004101B2" w:rsidP="000452D7">
      <w:pPr>
        <w:tabs>
          <w:tab w:val="left" w:pos="288"/>
          <w:tab w:val="left" w:pos="4752"/>
        </w:tabs>
        <w:spacing w:line="240" w:lineRule="exact"/>
        <w:jc w:val="both"/>
        <w:rPr>
          <w:rFonts w:asciiTheme="minorHAnsi" w:hAnsiTheme="minorHAnsi"/>
          <w:color w:val="auto"/>
        </w:rPr>
      </w:pPr>
    </w:p>
    <w:tbl>
      <w:tblPr>
        <w:tblW w:w="0" w:type="auto"/>
        <w:jc w:val="center"/>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2"/>
        <w:gridCol w:w="1172"/>
        <w:gridCol w:w="2160"/>
        <w:gridCol w:w="1136"/>
      </w:tblGrid>
      <w:tr w:rsidR="004101B2" w:rsidRPr="001B15EB" w:rsidTr="003D7ACE">
        <w:trPr>
          <w:trHeight w:val="206"/>
          <w:jc w:val="center"/>
        </w:trPr>
        <w:tc>
          <w:tcPr>
            <w:tcW w:w="5764" w:type="dxa"/>
            <w:gridSpan w:val="2"/>
            <w:tcBorders>
              <w:right w:val="single" w:sz="4" w:space="0" w:color="auto"/>
            </w:tcBorders>
            <w:shd w:val="clear" w:color="auto" w:fill="D9D9D9"/>
          </w:tcPr>
          <w:p w:rsidR="004101B2" w:rsidRPr="001B15EB" w:rsidRDefault="004101B2" w:rsidP="000452D7">
            <w:pPr>
              <w:tabs>
                <w:tab w:val="left" w:pos="288"/>
                <w:tab w:val="left" w:pos="4752"/>
              </w:tabs>
              <w:spacing w:line="240" w:lineRule="exact"/>
              <w:jc w:val="both"/>
              <w:rPr>
                <w:rFonts w:asciiTheme="minorHAnsi" w:hAnsiTheme="minorHAnsi"/>
                <w:b/>
                <w:color w:val="auto"/>
                <w:szCs w:val="24"/>
              </w:rPr>
            </w:pPr>
            <w:r w:rsidRPr="001B15EB">
              <w:rPr>
                <w:rFonts w:asciiTheme="minorHAnsi" w:hAnsiTheme="minorHAnsi"/>
                <w:b/>
                <w:color w:val="auto"/>
                <w:szCs w:val="24"/>
              </w:rPr>
              <w:t>UNFITTING CONDITION</w:t>
            </w:r>
          </w:p>
        </w:tc>
        <w:tc>
          <w:tcPr>
            <w:tcW w:w="2160" w:type="dxa"/>
            <w:tcBorders>
              <w:left w:val="single" w:sz="4" w:space="0" w:color="auto"/>
            </w:tcBorders>
            <w:shd w:val="clear" w:color="auto" w:fill="D9D9D9"/>
          </w:tcPr>
          <w:p w:rsidR="004101B2" w:rsidRPr="001B15EB" w:rsidRDefault="004101B2" w:rsidP="000452D7">
            <w:pPr>
              <w:tabs>
                <w:tab w:val="left" w:pos="288"/>
                <w:tab w:val="left" w:pos="4752"/>
              </w:tabs>
              <w:spacing w:line="240" w:lineRule="exact"/>
              <w:jc w:val="center"/>
              <w:rPr>
                <w:rFonts w:asciiTheme="minorHAnsi" w:hAnsiTheme="minorHAnsi"/>
                <w:b/>
                <w:color w:val="auto"/>
                <w:szCs w:val="24"/>
              </w:rPr>
            </w:pPr>
            <w:r w:rsidRPr="001B15EB">
              <w:rPr>
                <w:rFonts w:asciiTheme="minorHAnsi" w:hAnsiTheme="minorHAnsi"/>
                <w:b/>
                <w:color w:val="auto"/>
                <w:szCs w:val="24"/>
              </w:rPr>
              <w:t>VASRD CODE</w:t>
            </w:r>
          </w:p>
        </w:tc>
        <w:tc>
          <w:tcPr>
            <w:tcW w:w="1136" w:type="dxa"/>
            <w:shd w:val="clear" w:color="auto" w:fill="D9D9D9"/>
          </w:tcPr>
          <w:p w:rsidR="004101B2" w:rsidRPr="001B15EB" w:rsidRDefault="004101B2" w:rsidP="000452D7">
            <w:pPr>
              <w:tabs>
                <w:tab w:val="left" w:pos="288"/>
                <w:tab w:val="left" w:pos="4752"/>
              </w:tabs>
              <w:spacing w:line="240" w:lineRule="exact"/>
              <w:jc w:val="center"/>
              <w:rPr>
                <w:rFonts w:asciiTheme="minorHAnsi" w:hAnsiTheme="minorHAnsi"/>
                <w:b/>
                <w:color w:val="auto"/>
                <w:szCs w:val="24"/>
              </w:rPr>
            </w:pPr>
            <w:r w:rsidRPr="001B15EB">
              <w:rPr>
                <w:rFonts w:asciiTheme="minorHAnsi" w:hAnsiTheme="minorHAnsi"/>
                <w:b/>
                <w:color w:val="auto"/>
                <w:szCs w:val="24"/>
              </w:rPr>
              <w:t>RATING</w:t>
            </w:r>
          </w:p>
        </w:tc>
      </w:tr>
      <w:tr w:rsidR="006852FF" w:rsidRPr="001B15EB" w:rsidTr="003D7ACE">
        <w:trPr>
          <w:jc w:val="center"/>
        </w:trPr>
        <w:tc>
          <w:tcPr>
            <w:tcW w:w="4592" w:type="dxa"/>
            <w:vMerge w:val="restart"/>
            <w:tcBorders>
              <w:right w:val="single" w:sz="4" w:space="0" w:color="auto"/>
            </w:tcBorders>
          </w:tcPr>
          <w:p w:rsidR="006852FF" w:rsidRPr="001B15EB" w:rsidRDefault="006852FF" w:rsidP="00993F81">
            <w:pPr>
              <w:tabs>
                <w:tab w:val="left" w:pos="288"/>
                <w:tab w:val="left" w:pos="4752"/>
              </w:tabs>
              <w:spacing w:line="240" w:lineRule="exact"/>
              <w:jc w:val="both"/>
              <w:rPr>
                <w:rFonts w:asciiTheme="minorHAnsi" w:hAnsiTheme="minorHAnsi"/>
                <w:color w:val="auto"/>
                <w:szCs w:val="24"/>
              </w:rPr>
            </w:pPr>
            <w:r w:rsidRPr="001B15EB">
              <w:rPr>
                <w:rFonts w:asciiTheme="minorHAnsi" w:hAnsiTheme="minorHAnsi"/>
                <w:color w:val="auto"/>
                <w:szCs w:val="24"/>
              </w:rPr>
              <w:t>Bilateral Knee Patellofemoral Osteoarthritis</w:t>
            </w:r>
          </w:p>
        </w:tc>
        <w:tc>
          <w:tcPr>
            <w:tcW w:w="1172" w:type="dxa"/>
            <w:tcBorders>
              <w:right w:val="single" w:sz="4" w:space="0" w:color="auto"/>
            </w:tcBorders>
          </w:tcPr>
          <w:p w:rsidR="006852FF" w:rsidRPr="001B15EB" w:rsidRDefault="006852FF" w:rsidP="00480710">
            <w:pPr>
              <w:tabs>
                <w:tab w:val="left" w:pos="288"/>
                <w:tab w:val="left" w:pos="4752"/>
              </w:tabs>
              <w:spacing w:line="240" w:lineRule="exact"/>
              <w:jc w:val="both"/>
              <w:rPr>
                <w:rFonts w:asciiTheme="minorHAnsi" w:hAnsiTheme="minorHAnsi"/>
                <w:color w:val="auto"/>
                <w:szCs w:val="24"/>
              </w:rPr>
            </w:pPr>
            <w:r w:rsidRPr="001B15EB">
              <w:rPr>
                <w:rFonts w:asciiTheme="minorHAnsi" w:hAnsiTheme="minorHAnsi"/>
                <w:color w:val="auto"/>
                <w:szCs w:val="24"/>
              </w:rPr>
              <w:t>Right</w:t>
            </w:r>
          </w:p>
        </w:tc>
        <w:tc>
          <w:tcPr>
            <w:tcW w:w="2160" w:type="dxa"/>
            <w:tcBorders>
              <w:left w:val="single" w:sz="4" w:space="0" w:color="auto"/>
            </w:tcBorders>
          </w:tcPr>
          <w:p w:rsidR="006852FF" w:rsidRPr="001B15EB" w:rsidRDefault="006852FF" w:rsidP="000452D7">
            <w:pPr>
              <w:tabs>
                <w:tab w:val="left" w:pos="288"/>
                <w:tab w:val="left" w:pos="4752"/>
              </w:tabs>
              <w:spacing w:line="240" w:lineRule="exact"/>
              <w:jc w:val="center"/>
              <w:rPr>
                <w:rFonts w:asciiTheme="minorHAnsi" w:hAnsiTheme="minorHAnsi"/>
                <w:color w:val="auto"/>
                <w:szCs w:val="24"/>
              </w:rPr>
            </w:pPr>
            <w:r w:rsidRPr="001B15EB">
              <w:rPr>
                <w:rFonts w:asciiTheme="minorHAnsi" w:hAnsiTheme="minorHAnsi"/>
                <w:color w:val="auto"/>
                <w:szCs w:val="24"/>
              </w:rPr>
              <w:t>5099-5003</w:t>
            </w:r>
          </w:p>
        </w:tc>
        <w:tc>
          <w:tcPr>
            <w:tcW w:w="1136" w:type="dxa"/>
          </w:tcPr>
          <w:p w:rsidR="006852FF" w:rsidRPr="001B15EB" w:rsidRDefault="006852FF" w:rsidP="00993F81">
            <w:pPr>
              <w:tabs>
                <w:tab w:val="left" w:pos="288"/>
                <w:tab w:val="left" w:pos="4752"/>
              </w:tabs>
              <w:spacing w:line="240" w:lineRule="exact"/>
              <w:jc w:val="center"/>
              <w:rPr>
                <w:rFonts w:asciiTheme="minorHAnsi" w:hAnsiTheme="minorHAnsi"/>
                <w:color w:val="auto"/>
                <w:szCs w:val="24"/>
              </w:rPr>
            </w:pPr>
            <w:r w:rsidRPr="001B15EB">
              <w:rPr>
                <w:rFonts w:asciiTheme="minorHAnsi" w:hAnsiTheme="minorHAnsi"/>
                <w:color w:val="auto"/>
                <w:szCs w:val="24"/>
              </w:rPr>
              <w:t>10%</w:t>
            </w:r>
          </w:p>
        </w:tc>
      </w:tr>
      <w:tr w:rsidR="006852FF" w:rsidRPr="001B15EB" w:rsidTr="003D7ACE">
        <w:trPr>
          <w:jc w:val="center"/>
        </w:trPr>
        <w:tc>
          <w:tcPr>
            <w:tcW w:w="4592" w:type="dxa"/>
            <w:vMerge/>
            <w:tcBorders>
              <w:right w:val="single" w:sz="4" w:space="0" w:color="auto"/>
            </w:tcBorders>
          </w:tcPr>
          <w:p w:rsidR="006852FF" w:rsidRPr="001B15EB" w:rsidRDefault="006852FF" w:rsidP="000452D7">
            <w:pPr>
              <w:tabs>
                <w:tab w:val="left" w:pos="288"/>
                <w:tab w:val="left" w:pos="4752"/>
              </w:tabs>
              <w:spacing w:line="240" w:lineRule="exact"/>
              <w:jc w:val="both"/>
              <w:rPr>
                <w:rFonts w:asciiTheme="minorHAnsi" w:hAnsiTheme="minorHAnsi"/>
                <w:color w:val="auto"/>
                <w:szCs w:val="24"/>
              </w:rPr>
            </w:pPr>
          </w:p>
        </w:tc>
        <w:tc>
          <w:tcPr>
            <w:tcW w:w="1172" w:type="dxa"/>
            <w:tcBorders>
              <w:right w:val="single" w:sz="4" w:space="0" w:color="auto"/>
            </w:tcBorders>
          </w:tcPr>
          <w:p w:rsidR="006852FF" w:rsidRPr="001B15EB" w:rsidRDefault="006852FF" w:rsidP="00480710">
            <w:pPr>
              <w:tabs>
                <w:tab w:val="left" w:pos="288"/>
                <w:tab w:val="left" w:pos="4752"/>
              </w:tabs>
              <w:spacing w:line="240" w:lineRule="exact"/>
              <w:jc w:val="both"/>
              <w:rPr>
                <w:rFonts w:asciiTheme="minorHAnsi" w:hAnsiTheme="minorHAnsi"/>
                <w:color w:val="auto"/>
                <w:szCs w:val="24"/>
              </w:rPr>
            </w:pPr>
            <w:r w:rsidRPr="001B15EB">
              <w:rPr>
                <w:rFonts w:asciiTheme="minorHAnsi" w:hAnsiTheme="minorHAnsi"/>
                <w:color w:val="auto"/>
                <w:szCs w:val="24"/>
              </w:rPr>
              <w:t>Left</w:t>
            </w:r>
          </w:p>
        </w:tc>
        <w:tc>
          <w:tcPr>
            <w:tcW w:w="2160" w:type="dxa"/>
            <w:tcBorders>
              <w:left w:val="single" w:sz="4" w:space="0" w:color="auto"/>
            </w:tcBorders>
          </w:tcPr>
          <w:p w:rsidR="006852FF" w:rsidRPr="001B15EB" w:rsidRDefault="006852FF" w:rsidP="000452D7">
            <w:pPr>
              <w:tabs>
                <w:tab w:val="left" w:pos="288"/>
                <w:tab w:val="left" w:pos="4752"/>
              </w:tabs>
              <w:spacing w:line="240" w:lineRule="exact"/>
              <w:jc w:val="center"/>
              <w:rPr>
                <w:rFonts w:asciiTheme="minorHAnsi" w:hAnsiTheme="minorHAnsi"/>
                <w:color w:val="auto"/>
                <w:szCs w:val="24"/>
              </w:rPr>
            </w:pPr>
            <w:r w:rsidRPr="001B15EB">
              <w:rPr>
                <w:rFonts w:asciiTheme="minorHAnsi" w:hAnsiTheme="minorHAnsi"/>
                <w:color w:val="auto"/>
                <w:szCs w:val="24"/>
              </w:rPr>
              <w:t>5099-5003</w:t>
            </w:r>
          </w:p>
        </w:tc>
        <w:tc>
          <w:tcPr>
            <w:tcW w:w="1136" w:type="dxa"/>
          </w:tcPr>
          <w:p w:rsidR="006852FF" w:rsidRPr="001B15EB" w:rsidRDefault="006852FF" w:rsidP="001804F3">
            <w:pPr>
              <w:tabs>
                <w:tab w:val="left" w:pos="288"/>
                <w:tab w:val="left" w:pos="4752"/>
              </w:tabs>
              <w:spacing w:line="240" w:lineRule="exact"/>
              <w:jc w:val="center"/>
              <w:rPr>
                <w:rFonts w:asciiTheme="minorHAnsi" w:hAnsiTheme="minorHAnsi"/>
                <w:color w:val="auto"/>
                <w:szCs w:val="24"/>
              </w:rPr>
            </w:pPr>
            <w:r w:rsidRPr="001B15EB">
              <w:rPr>
                <w:rFonts w:asciiTheme="minorHAnsi" w:hAnsiTheme="minorHAnsi"/>
                <w:color w:val="auto"/>
                <w:szCs w:val="24"/>
              </w:rPr>
              <w:t>10%</w:t>
            </w:r>
          </w:p>
        </w:tc>
      </w:tr>
      <w:tr w:rsidR="004101B2" w:rsidRPr="001B15EB" w:rsidTr="003D7ACE">
        <w:tblPrEx>
          <w:tblLook w:val="0000"/>
        </w:tblPrEx>
        <w:trPr>
          <w:gridBefore w:val="1"/>
          <w:wBefore w:w="4592" w:type="dxa"/>
          <w:trHeight w:val="143"/>
          <w:jc w:val="center"/>
        </w:trPr>
        <w:tc>
          <w:tcPr>
            <w:tcW w:w="3332" w:type="dxa"/>
            <w:gridSpan w:val="2"/>
            <w:tcBorders>
              <w:left w:val="single" w:sz="4" w:space="0" w:color="auto"/>
              <w:bottom w:val="single" w:sz="4" w:space="0" w:color="auto"/>
            </w:tcBorders>
            <w:shd w:val="clear" w:color="auto" w:fill="D9D9D9" w:themeFill="background1" w:themeFillShade="D9"/>
          </w:tcPr>
          <w:p w:rsidR="004101B2" w:rsidRPr="001B15EB" w:rsidRDefault="004101B2" w:rsidP="001804F3">
            <w:pPr>
              <w:tabs>
                <w:tab w:val="left" w:pos="288"/>
                <w:tab w:val="left" w:pos="4752"/>
              </w:tabs>
              <w:spacing w:line="240" w:lineRule="exact"/>
              <w:jc w:val="center"/>
              <w:rPr>
                <w:rFonts w:asciiTheme="minorHAnsi" w:hAnsiTheme="minorHAnsi"/>
                <w:b/>
                <w:color w:val="auto"/>
                <w:szCs w:val="24"/>
              </w:rPr>
            </w:pPr>
            <w:r w:rsidRPr="001B15EB">
              <w:rPr>
                <w:rFonts w:asciiTheme="minorHAnsi" w:hAnsiTheme="minorHAnsi"/>
                <w:b/>
                <w:color w:val="auto"/>
                <w:szCs w:val="24"/>
              </w:rPr>
              <w:t>COMBINED (</w:t>
            </w:r>
            <w:r w:rsidR="001804F3" w:rsidRPr="001B15EB">
              <w:rPr>
                <w:rFonts w:asciiTheme="minorHAnsi" w:hAnsiTheme="minorHAnsi"/>
                <w:b/>
                <w:color w:val="auto"/>
                <w:szCs w:val="24"/>
              </w:rPr>
              <w:t>incorp</w:t>
            </w:r>
            <w:r w:rsidRPr="001B15EB">
              <w:rPr>
                <w:rFonts w:asciiTheme="minorHAnsi" w:hAnsiTheme="minorHAnsi"/>
                <w:b/>
                <w:color w:val="auto"/>
                <w:szCs w:val="24"/>
              </w:rPr>
              <w:t>orating BLF)</w:t>
            </w:r>
          </w:p>
        </w:tc>
        <w:tc>
          <w:tcPr>
            <w:tcW w:w="1136" w:type="dxa"/>
            <w:tcBorders>
              <w:bottom w:val="single" w:sz="4" w:space="0" w:color="000000"/>
            </w:tcBorders>
            <w:shd w:val="clear" w:color="auto" w:fill="D9D9D9" w:themeFill="background1" w:themeFillShade="D9"/>
          </w:tcPr>
          <w:p w:rsidR="004101B2" w:rsidRPr="001B15EB" w:rsidRDefault="00993F81" w:rsidP="000452D7">
            <w:pPr>
              <w:tabs>
                <w:tab w:val="left" w:pos="288"/>
                <w:tab w:val="left" w:pos="4752"/>
              </w:tabs>
              <w:spacing w:line="240" w:lineRule="exact"/>
              <w:jc w:val="center"/>
              <w:rPr>
                <w:rFonts w:asciiTheme="minorHAnsi" w:hAnsiTheme="minorHAnsi"/>
                <w:b/>
                <w:color w:val="auto"/>
                <w:szCs w:val="24"/>
              </w:rPr>
            </w:pPr>
            <w:r w:rsidRPr="001B15EB">
              <w:rPr>
                <w:rFonts w:asciiTheme="minorHAnsi" w:hAnsiTheme="minorHAnsi"/>
                <w:b/>
                <w:color w:val="auto"/>
                <w:szCs w:val="24"/>
              </w:rPr>
              <w:t>2</w:t>
            </w:r>
            <w:r w:rsidR="00911490" w:rsidRPr="001B15EB">
              <w:rPr>
                <w:rFonts w:asciiTheme="minorHAnsi" w:hAnsiTheme="minorHAnsi"/>
                <w:b/>
                <w:color w:val="auto"/>
                <w:szCs w:val="24"/>
              </w:rPr>
              <w:t>0</w:t>
            </w:r>
            <w:r w:rsidR="004101B2" w:rsidRPr="001B15EB">
              <w:rPr>
                <w:rFonts w:asciiTheme="minorHAnsi" w:hAnsiTheme="minorHAnsi"/>
                <w:b/>
                <w:color w:val="auto"/>
                <w:szCs w:val="24"/>
              </w:rPr>
              <w:t>%</w:t>
            </w:r>
          </w:p>
        </w:tc>
      </w:tr>
    </w:tbl>
    <w:p w:rsidR="004101B2" w:rsidRPr="001B15EB" w:rsidRDefault="004101B2" w:rsidP="000452D7">
      <w:pPr>
        <w:tabs>
          <w:tab w:val="left" w:pos="288"/>
          <w:tab w:val="left" w:pos="4752"/>
        </w:tabs>
        <w:spacing w:line="240" w:lineRule="exact"/>
        <w:jc w:val="both"/>
        <w:rPr>
          <w:rFonts w:asciiTheme="minorHAnsi" w:hAnsiTheme="minorHAnsi"/>
          <w:color w:val="auto"/>
        </w:rPr>
      </w:pPr>
    </w:p>
    <w:p w:rsidR="00A83C15" w:rsidRPr="001B15EB" w:rsidRDefault="00A83C15" w:rsidP="007F0AB7">
      <w:pPr>
        <w:tabs>
          <w:tab w:val="left" w:pos="288"/>
          <w:tab w:val="left" w:pos="1710"/>
        </w:tabs>
        <w:spacing w:line="240" w:lineRule="exact"/>
        <w:rPr>
          <w:rFonts w:asciiTheme="minorHAnsi" w:hAnsiTheme="minorHAnsi"/>
          <w:caps/>
          <w:color w:val="auto"/>
          <w:u w:val="single"/>
        </w:rPr>
      </w:pPr>
      <w:r w:rsidRPr="001B15EB">
        <w:rPr>
          <w:rFonts w:asciiTheme="minorHAnsi" w:hAnsiTheme="minorHAnsi"/>
          <w:color w:val="auto"/>
          <w:u w:val="single"/>
        </w:rPr>
        <w:t>______________________________________________________________________________</w:t>
      </w:r>
    </w:p>
    <w:p w:rsidR="00106AD8" w:rsidRPr="001B15EB" w:rsidRDefault="00106AD8" w:rsidP="000452D7">
      <w:pPr>
        <w:tabs>
          <w:tab w:val="left" w:pos="288"/>
          <w:tab w:val="left" w:pos="4752"/>
        </w:tabs>
        <w:spacing w:line="240" w:lineRule="exact"/>
        <w:rPr>
          <w:color w:val="auto"/>
          <w:szCs w:val="24"/>
        </w:rPr>
      </w:pPr>
    </w:p>
    <w:p w:rsidR="00D91DA6" w:rsidRPr="00006186" w:rsidRDefault="00FB1725" w:rsidP="000452D7">
      <w:pPr>
        <w:tabs>
          <w:tab w:val="left" w:pos="288"/>
          <w:tab w:val="left" w:pos="4752"/>
        </w:tabs>
        <w:spacing w:line="240" w:lineRule="exact"/>
        <w:jc w:val="both"/>
        <w:rPr>
          <w:rFonts w:asciiTheme="minorHAnsi" w:hAnsiTheme="minorHAnsi"/>
          <w:color w:val="auto"/>
        </w:rPr>
      </w:pPr>
      <w:r w:rsidRPr="001B15EB">
        <w:rPr>
          <w:rFonts w:asciiTheme="minorHAnsi" w:hAnsiTheme="minorHAnsi"/>
          <w:color w:val="auto"/>
        </w:rPr>
        <w:t>The following documentary</w:t>
      </w:r>
      <w:r>
        <w:rPr>
          <w:rFonts w:asciiTheme="minorHAnsi" w:hAnsiTheme="minorHAnsi"/>
          <w:color w:val="auto"/>
        </w:rPr>
        <w:t xml:space="preserve"> evidence was considered:</w:t>
      </w:r>
    </w:p>
    <w:p w:rsidR="00EB5EFD" w:rsidRPr="00006186" w:rsidRDefault="00EB5EFD" w:rsidP="000452D7">
      <w:pPr>
        <w:tabs>
          <w:tab w:val="left" w:pos="288"/>
          <w:tab w:val="left" w:pos="4752"/>
        </w:tabs>
        <w:spacing w:line="240" w:lineRule="exact"/>
        <w:jc w:val="both"/>
        <w:rPr>
          <w:rFonts w:asciiTheme="minorHAnsi" w:hAnsiTheme="minorHAnsi"/>
          <w:color w:val="auto"/>
        </w:rPr>
      </w:pP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w:t>
      </w:r>
      <w:r w:rsidRPr="002110B8">
        <w:rPr>
          <w:rFonts w:asciiTheme="minorHAnsi" w:hAnsiTheme="minorHAnsi"/>
          <w:color w:val="auto"/>
        </w:rPr>
        <w:t>0</w:t>
      </w:r>
      <w:r w:rsidR="002110B8" w:rsidRPr="002110B8">
        <w:rPr>
          <w:rFonts w:asciiTheme="minorHAnsi" w:hAnsiTheme="minorHAnsi"/>
          <w:color w:val="auto"/>
        </w:rPr>
        <w:t>091123</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D91DA6" w:rsidRPr="00006186" w:rsidRDefault="00FB1725" w:rsidP="000452D7">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sidR="00034720">
        <w:rPr>
          <w:rFonts w:asciiTheme="minorHAnsi" w:hAnsiTheme="minorHAnsi"/>
          <w:color w:val="auto"/>
        </w:rPr>
        <w:tab/>
      </w:r>
      <w:r w:rsidR="00034720">
        <w:rPr>
          <w:rFonts w:asciiTheme="minorHAnsi" w:hAnsiTheme="minorHAnsi"/>
          <w:color w:val="auto"/>
        </w:rPr>
        <w:tab/>
      </w:r>
      <w:r w:rsidR="00034720">
        <w:rPr>
          <w:rFonts w:asciiTheme="minorHAnsi" w:hAnsiTheme="minorHAnsi"/>
          <w:color w:val="auto"/>
        </w:rPr>
        <w:tab/>
      </w:r>
      <w:r>
        <w:rPr>
          <w:rFonts w:asciiTheme="minorHAnsi" w:hAnsiTheme="minorHAnsi"/>
          <w:color w:val="auto"/>
        </w:rPr>
        <w:tab/>
        <w:t>Physical Disability Board of Review</w:t>
      </w:r>
    </w:p>
    <w:p w:rsidR="00787F98" w:rsidRDefault="00787F98"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87F98" w:rsidRDefault="00787F98">
      <w:pPr>
        <w:rPr>
          <w:rFonts w:asciiTheme="minorHAnsi" w:hAnsiTheme="minorHAnsi"/>
          <w:color w:val="auto"/>
        </w:rPr>
      </w:pPr>
      <w:r>
        <w:rPr>
          <w:rFonts w:asciiTheme="minorHAnsi" w:hAnsiTheme="minorHAnsi"/>
          <w:color w:val="auto"/>
        </w:rPr>
        <w:br w:type="page"/>
      </w:r>
    </w:p>
    <w:p w:rsidR="00787F98" w:rsidRDefault="00787F98"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87F98" w:rsidRPr="00787F98" w:rsidRDefault="00787F98" w:rsidP="00787F98">
      <w:pPr>
        <w:jc w:val="both"/>
        <w:rPr>
          <w:color w:val="auto"/>
        </w:rPr>
      </w:pPr>
      <w:r w:rsidRPr="00787F98">
        <w:rPr>
          <w:color w:val="auto"/>
        </w:rPr>
        <w:t xml:space="preserve">MEMORANDUM FOR DIRECTOR, SECRETARY OF THE NAVY COUNCIL OF REVIEW    </w:t>
      </w:r>
    </w:p>
    <w:p w:rsidR="00787F98" w:rsidRPr="00787F98" w:rsidRDefault="00787F98" w:rsidP="00787F98">
      <w:pPr>
        <w:tabs>
          <w:tab w:val="left" w:pos="2430"/>
        </w:tabs>
        <w:jc w:val="both"/>
        <w:rPr>
          <w:color w:val="auto"/>
        </w:rPr>
      </w:pPr>
      <w:r w:rsidRPr="00787F98">
        <w:rPr>
          <w:color w:val="auto"/>
        </w:rPr>
        <w:t xml:space="preserve">                                        BOARDS </w:t>
      </w:r>
    </w:p>
    <w:p w:rsidR="00787F98" w:rsidRPr="00787F98" w:rsidRDefault="00787F98" w:rsidP="00787F98">
      <w:pPr>
        <w:jc w:val="both"/>
        <w:rPr>
          <w:color w:val="auto"/>
        </w:rPr>
      </w:pPr>
    </w:p>
    <w:p w:rsidR="00787F98" w:rsidRPr="00787F98" w:rsidRDefault="00787F98" w:rsidP="00787F98">
      <w:pPr>
        <w:jc w:val="both"/>
        <w:rPr>
          <w:color w:val="auto"/>
        </w:rPr>
      </w:pPr>
      <w:proofErr w:type="spellStart"/>
      <w:r w:rsidRPr="00787F98">
        <w:rPr>
          <w:color w:val="auto"/>
        </w:rPr>
        <w:t>Subj</w:t>
      </w:r>
      <w:proofErr w:type="spellEnd"/>
      <w:r w:rsidRPr="00787F98">
        <w:rPr>
          <w:color w:val="auto"/>
        </w:rPr>
        <w:t>:  PHYSICAL DISABILITY BOARD OF REVIEW (PDBR) RECOMMENDATION</w:t>
      </w:r>
    </w:p>
    <w:p w:rsidR="00787F98" w:rsidRPr="00787F98" w:rsidRDefault="00787F98" w:rsidP="00787F98">
      <w:pPr>
        <w:tabs>
          <w:tab w:val="left" w:pos="630"/>
        </w:tabs>
        <w:jc w:val="both"/>
        <w:rPr>
          <w:color w:val="auto"/>
        </w:rPr>
      </w:pPr>
      <w:r w:rsidRPr="00787F98">
        <w:rPr>
          <w:color w:val="auto"/>
        </w:rPr>
        <w:t xml:space="preserve">          </w:t>
      </w:r>
      <w:r w:rsidRPr="00787F98">
        <w:rPr>
          <w:color w:val="auto"/>
        </w:rPr>
        <w:tab/>
        <w:t xml:space="preserve">ICO </w:t>
      </w:r>
      <w:r>
        <w:rPr>
          <w:color w:val="auto"/>
        </w:rPr>
        <w:t>XXXX</w:t>
      </w:r>
      <w:r w:rsidRPr="00787F98">
        <w:rPr>
          <w:color w:val="auto"/>
        </w:rPr>
        <w:t>, FORMER USMC</w:t>
      </w:r>
    </w:p>
    <w:p w:rsidR="00787F98" w:rsidRPr="00787F98" w:rsidRDefault="00787F98" w:rsidP="00787F98">
      <w:pPr>
        <w:jc w:val="both"/>
        <w:rPr>
          <w:color w:val="auto"/>
        </w:rPr>
      </w:pPr>
    </w:p>
    <w:p w:rsidR="00787F98" w:rsidRPr="00787F98" w:rsidRDefault="00787F98" w:rsidP="00787F98">
      <w:pPr>
        <w:jc w:val="both"/>
        <w:rPr>
          <w:color w:val="auto"/>
        </w:rPr>
      </w:pPr>
      <w:r w:rsidRPr="00787F98">
        <w:rPr>
          <w:color w:val="auto"/>
        </w:rPr>
        <w:t>Ref:   (a) DoDI 6040.44</w:t>
      </w:r>
    </w:p>
    <w:p w:rsidR="00787F98" w:rsidRPr="00787F98" w:rsidRDefault="00787F98" w:rsidP="00787F98">
      <w:pPr>
        <w:jc w:val="both"/>
        <w:rPr>
          <w:color w:val="auto"/>
        </w:rPr>
      </w:pPr>
      <w:r w:rsidRPr="00787F98">
        <w:rPr>
          <w:color w:val="auto"/>
        </w:rPr>
        <w:t xml:space="preserve">          (b) PDBR </w:t>
      </w:r>
      <w:proofErr w:type="spellStart"/>
      <w:r w:rsidRPr="00787F98">
        <w:rPr>
          <w:color w:val="auto"/>
        </w:rPr>
        <w:t>ltr</w:t>
      </w:r>
      <w:proofErr w:type="spellEnd"/>
      <w:r w:rsidRPr="00787F98">
        <w:rPr>
          <w:color w:val="auto"/>
        </w:rPr>
        <w:t xml:space="preserve"> </w:t>
      </w:r>
      <w:proofErr w:type="spellStart"/>
      <w:r w:rsidRPr="00787F98">
        <w:rPr>
          <w:color w:val="auto"/>
        </w:rPr>
        <w:t>dtd</w:t>
      </w:r>
      <w:proofErr w:type="spellEnd"/>
      <w:r w:rsidRPr="00787F98">
        <w:rPr>
          <w:color w:val="auto"/>
        </w:rPr>
        <w:t xml:space="preserve"> 3 May 11</w:t>
      </w:r>
    </w:p>
    <w:p w:rsidR="00787F98" w:rsidRPr="00787F98" w:rsidRDefault="00787F98" w:rsidP="00787F98">
      <w:pPr>
        <w:jc w:val="both"/>
        <w:rPr>
          <w:color w:val="auto"/>
        </w:rPr>
      </w:pPr>
    </w:p>
    <w:p w:rsidR="00787F98" w:rsidRPr="00787F98" w:rsidRDefault="00787F98" w:rsidP="00787F98">
      <w:pPr>
        <w:jc w:val="both"/>
        <w:rPr>
          <w:color w:val="auto"/>
        </w:rPr>
      </w:pPr>
      <w:r w:rsidRPr="00787F98">
        <w:rPr>
          <w:color w:val="auto"/>
        </w:rPr>
        <w:t xml:space="preserve">      I have reviewed the subject case pursuant to reference (a) and, for the reasons set forth in reference (b), approve the recommendation of the Physical Disability Board of Review Ms. </w:t>
      </w:r>
      <w:r>
        <w:rPr>
          <w:color w:val="auto"/>
        </w:rPr>
        <w:t>XXXX</w:t>
      </w:r>
      <w:r w:rsidRPr="00787F98">
        <w:rPr>
          <w:color w:val="auto"/>
        </w:rPr>
        <w:t>’s records not be corrected to reflect a change in either his characterization of separation or in the disability rating previously assigned by the Department of the Navy’s Physical Evaluation Board.</w:t>
      </w:r>
    </w:p>
    <w:p w:rsidR="00787F98" w:rsidRPr="00787F98" w:rsidRDefault="00787F98" w:rsidP="00787F98">
      <w:pPr>
        <w:jc w:val="both"/>
        <w:rPr>
          <w:color w:val="auto"/>
        </w:rPr>
      </w:pPr>
    </w:p>
    <w:p w:rsidR="00787F98" w:rsidRPr="00787F98" w:rsidRDefault="00787F98" w:rsidP="00787F98">
      <w:pPr>
        <w:jc w:val="both"/>
        <w:rPr>
          <w:color w:val="auto"/>
        </w:rPr>
      </w:pPr>
    </w:p>
    <w:p w:rsidR="00787F98" w:rsidRPr="00787F98" w:rsidRDefault="00787F98" w:rsidP="00787F98">
      <w:pPr>
        <w:jc w:val="both"/>
        <w:rPr>
          <w:color w:val="auto"/>
        </w:rPr>
      </w:pPr>
    </w:p>
    <w:p w:rsidR="00787F98" w:rsidRPr="00787F98" w:rsidRDefault="00787F98" w:rsidP="00787F98">
      <w:pPr>
        <w:tabs>
          <w:tab w:val="left" w:pos="4680"/>
        </w:tabs>
        <w:jc w:val="both"/>
        <w:rPr>
          <w:color w:val="auto"/>
        </w:rPr>
      </w:pPr>
      <w:r w:rsidRPr="00787F98">
        <w:rPr>
          <w:color w:val="auto"/>
        </w:rPr>
        <w:tab/>
      </w:r>
    </w:p>
    <w:p w:rsidR="00787F98" w:rsidRPr="00787F98" w:rsidRDefault="00787F98" w:rsidP="00787F98">
      <w:pPr>
        <w:jc w:val="both"/>
        <w:rPr>
          <w:color w:val="auto"/>
        </w:rPr>
      </w:pPr>
      <w:r w:rsidRPr="00787F98">
        <w:rPr>
          <w:color w:val="auto"/>
        </w:rPr>
        <w:tab/>
        <w:t xml:space="preserve">     </w:t>
      </w:r>
      <w:r w:rsidRPr="00787F98">
        <w:rPr>
          <w:color w:val="auto"/>
        </w:rPr>
        <w:tab/>
      </w:r>
      <w:r w:rsidRPr="00787F98">
        <w:rPr>
          <w:color w:val="auto"/>
        </w:rPr>
        <w:tab/>
      </w:r>
      <w:r w:rsidRPr="00787F98">
        <w:rPr>
          <w:color w:val="auto"/>
        </w:rPr>
        <w:tab/>
      </w:r>
      <w:r w:rsidRPr="00787F98">
        <w:rPr>
          <w:color w:val="auto"/>
        </w:rPr>
        <w:tab/>
      </w:r>
      <w:r w:rsidRPr="00787F98">
        <w:rPr>
          <w:color w:val="auto"/>
        </w:rPr>
        <w:tab/>
        <w:t xml:space="preserve">      Assistant General Counsel</w:t>
      </w:r>
    </w:p>
    <w:p w:rsidR="00787F98" w:rsidRPr="00787F98" w:rsidRDefault="00787F98" w:rsidP="00787F98">
      <w:pPr>
        <w:jc w:val="both"/>
        <w:rPr>
          <w:color w:val="auto"/>
        </w:rPr>
      </w:pPr>
      <w:r w:rsidRPr="00787F98">
        <w:rPr>
          <w:color w:val="auto"/>
        </w:rPr>
        <w:tab/>
      </w:r>
      <w:r w:rsidRPr="00787F98">
        <w:rPr>
          <w:color w:val="auto"/>
        </w:rPr>
        <w:tab/>
      </w:r>
      <w:r w:rsidRPr="00787F98">
        <w:rPr>
          <w:color w:val="auto"/>
        </w:rPr>
        <w:tab/>
      </w:r>
      <w:r w:rsidRPr="00787F98">
        <w:rPr>
          <w:color w:val="auto"/>
        </w:rPr>
        <w:tab/>
      </w:r>
      <w:r w:rsidRPr="00787F98">
        <w:rPr>
          <w:color w:val="auto"/>
        </w:rPr>
        <w:tab/>
      </w:r>
      <w:r w:rsidRPr="00787F98">
        <w:rPr>
          <w:color w:val="auto"/>
        </w:rPr>
        <w:tab/>
        <w:t xml:space="preserve">        (Manpower &amp; Reserve Affairs)</w:t>
      </w:r>
    </w:p>
    <w:p w:rsidR="00787F98" w:rsidRPr="00787F98" w:rsidRDefault="00787F98" w:rsidP="00787F98">
      <w:pPr>
        <w:jc w:val="both"/>
        <w:rPr>
          <w:color w:val="auto"/>
        </w:rPr>
      </w:pPr>
      <w:r w:rsidRPr="00787F98">
        <w:rPr>
          <w:color w:val="auto"/>
        </w:rPr>
        <w:tab/>
      </w:r>
      <w:r w:rsidRPr="00787F98">
        <w:rPr>
          <w:color w:val="auto"/>
        </w:rPr>
        <w:tab/>
      </w:r>
      <w:r w:rsidRPr="00787F98">
        <w:rPr>
          <w:color w:val="auto"/>
        </w:rPr>
        <w:tab/>
      </w:r>
      <w:r w:rsidRPr="00787F98">
        <w:rPr>
          <w:color w:val="auto"/>
        </w:rPr>
        <w:tab/>
      </w:r>
      <w:r w:rsidRPr="00787F98">
        <w:rPr>
          <w:color w:val="auto"/>
        </w:rPr>
        <w:tab/>
      </w:r>
      <w:r w:rsidRPr="00787F98">
        <w:rPr>
          <w:color w:val="auto"/>
        </w:rPr>
        <w:tab/>
        <w:t xml:space="preserve">  </w:t>
      </w:r>
    </w:p>
    <w:p w:rsidR="00787F98" w:rsidRPr="00787F98" w:rsidRDefault="00787F98" w:rsidP="00787F98">
      <w:pPr>
        <w:jc w:val="both"/>
        <w:rPr>
          <w:color w:val="auto"/>
        </w:rPr>
      </w:pPr>
    </w:p>
    <w:p w:rsidR="00DF5F5D" w:rsidRPr="00787F98" w:rsidRDefault="00DF5F5D">
      <w:pPr>
        <w:rPr>
          <w:rFonts w:ascii="Times New Roman" w:hAnsi="Times New Roman"/>
          <w:b/>
          <w:color w:val="auto"/>
          <w:szCs w:val="24"/>
        </w:rPr>
      </w:pPr>
    </w:p>
    <w:sectPr w:rsidR="00DF5F5D" w:rsidRPr="00787F98"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74" w:rsidRDefault="004D6674">
      <w:r>
        <w:separator/>
      </w:r>
    </w:p>
  </w:endnote>
  <w:endnote w:type="continuationSeparator" w:id="0">
    <w:p w:rsidR="004D6674" w:rsidRDefault="004D6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766"/>
      <w:docPartObj>
        <w:docPartGallery w:val="Page Numbers (Bottom of Page)"/>
        <w:docPartUnique/>
      </w:docPartObj>
    </w:sdtPr>
    <w:sdtContent>
      <w:p w:rsidR="00E21994" w:rsidRDefault="001D0025" w:rsidP="00F65ED5">
        <w:pPr>
          <w:pStyle w:val="Footer"/>
          <w:jc w:val="right"/>
        </w:pPr>
        <w:r w:rsidRPr="00F65ED5">
          <w:rPr>
            <w:color w:val="auto"/>
          </w:rPr>
          <w:fldChar w:fldCharType="begin"/>
        </w:r>
        <w:r w:rsidR="00E21994" w:rsidRPr="00F65ED5">
          <w:rPr>
            <w:color w:val="auto"/>
          </w:rPr>
          <w:instrText xml:space="preserve"> PAGE   \* MERGEFORMAT </w:instrText>
        </w:r>
        <w:r w:rsidRPr="00F65ED5">
          <w:rPr>
            <w:color w:val="auto"/>
          </w:rPr>
          <w:fldChar w:fldCharType="separate"/>
        </w:r>
        <w:r w:rsidR="008828A6">
          <w:rPr>
            <w:noProof/>
            <w:color w:val="auto"/>
          </w:rPr>
          <w:t>2</w:t>
        </w:r>
        <w:r w:rsidRPr="00F65ED5">
          <w:rPr>
            <w:color w:val="auto"/>
          </w:rPr>
          <w:fldChar w:fldCharType="end"/>
        </w:r>
        <w:r w:rsidR="00E21994" w:rsidRPr="00F65ED5">
          <w:rPr>
            <w:color w:val="auto"/>
          </w:rPr>
          <w:t xml:space="preserve">                                                           PD</w:t>
        </w:r>
        <w:r w:rsidR="00E21994">
          <w:rPr>
            <w:color w:val="auto"/>
          </w:rPr>
          <w:t>200900692</w:t>
        </w:r>
      </w:p>
    </w:sdtContent>
  </w:sdt>
  <w:p w:rsidR="00E21994" w:rsidRDefault="00E21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994" w:rsidRPr="00396779" w:rsidRDefault="00E21994" w:rsidP="00EA52FE">
    <w:pPr>
      <w:pStyle w:val="Footer"/>
      <w:jc w:val="right"/>
      <w:rPr>
        <w:rFonts w:asciiTheme="minorHAnsi" w:hAnsiTheme="minorHAnsi"/>
        <w:color w:val="auto"/>
      </w:rPr>
    </w:pPr>
    <w:r>
      <w:t xml:space="preserve">                      </w:t>
    </w:r>
  </w:p>
  <w:p w:rsidR="00E21994" w:rsidRDefault="00E21994" w:rsidP="004766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74" w:rsidRDefault="004D6674">
      <w:r>
        <w:separator/>
      </w:r>
    </w:p>
  </w:footnote>
  <w:footnote w:type="continuationSeparator" w:id="0">
    <w:p w:rsidR="004D6674" w:rsidRDefault="004D6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F04EB"/>
    <w:multiLevelType w:val="hybridMultilevel"/>
    <w:tmpl w:val="D6A8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503BE"/>
    <w:multiLevelType w:val="hybridMultilevel"/>
    <w:tmpl w:val="7946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9"/>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20"/>
  </w:num>
  <w:num w:numId="16">
    <w:abstractNumId w:val="1"/>
  </w:num>
  <w:num w:numId="17">
    <w:abstractNumId w:val="16"/>
  </w:num>
  <w:num w:numId="18">
    <w:abstractNumId w:val="9"/>
  </w:num>
  <w:num w:numId="19">
    <w:abstractNumId w:val="12"/>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7105"/>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4720"/>
    <w:rsid w:val="00035C3A"/>
    <w:rsid w:val="00036E4B"/>
    <w:rsid w:val="00037929"/>
    <w:rsid w:val="000379D0"/>
    <w:rsid w:val="000401D0"/>
    <w:rsid w:val="00040FC4"/>
    <w:rsid w:val="0004148C"/>
    <w:rsid w:val="000416F8"/>
    <w:rsid w:val="00042C26"/>
    <w:rsid w:val="00043382"/>
    <w:rsid w:val="00044623"/>
    <w:rsid w:val="000452D7"/>
    <w:rsid w:val="00051622"/>
    <w:rsid w:val="00052234"/>
    <w:rsid w:val="00053D7C"/>
    <w:rsid w:val="000575C5"/>
    <w:rsid w:val="000577C9"/>
    <w:rsid w:val="0006431E"/>
    <w:rsid w:val="00065E21"/>
    <w:rsid w:val="00072433"/>
    <w:rsid w:val="00075702"/>
    <w:rsid w:val="000775C2"/>
    <w:rsid w:val="000806AD"/>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0A16"/>
    <w:rsid w:val="000C1D34"/>
    <w:rsid w:val="000C2362"/>
    <w:rsid w:val="000C3C13"/>
    <w:rsid w:val="000C53F9"/>
    <w:rsid w:val="000C5813"/>
    <w:rsid w:val="000C6D2D"/>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F20"/>
    <w:rsid w:val="000E7034"/>
    <w:rsid w:val="000F02BE"/>
    <w:rsid w:val="000F0928"/>
    <w:rsid w:val="000F2928"/>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20B"/>
    <w:rsid w:val="00122ABE"/>
    <w:rsid w:val="001231DC"/>
    <w:rsid w:val="0012489B"/>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807"/>
    <w:rsid w:val="00156BA9"/>
    <w:rsid w:val="00161761"/>
    <w:rsid w:val="00166182"/>
    <w:rsid w:val="001745DD"/>
    <w:rsid w:val="00177659"/>
    <w:rsid w:val="001779E5"/>
    <w:rsid w:val="001804F3"/>
    <w:rsid w:val="00181240"/>
    <w:rsid w:val="00182A4C"/>
    <w:rsid w:val="00183F77"/>
    <w:rsid w:val="001844D8"/>
    <w:rsid w:val="00185DA8"/>
    <w:rsid w:val="00185ECB"/>
    <w:rsid w:val="001865E0"/>
    <w:rsid w:val="001870F0"/>
    <w:rsid w:val="00190E48"/>
    <w:rsid w:val="0019273F"/>
    <w:rsid w:val="00193814"/>
    <w:rsid w:val="00193AD5"/>
    <w:rsid w:val="00194930"/>
    <w:rsid w:val="001A025E"/>
    <w:rsid w:val="001A08CD"/>
    <w:rsid w:val="001A0A1E"/>
    <w:rsid w:val="001A2182"/>
    <w:rsid w:val="001A48C0"/>
    <w:rsid w:val="001A5320"/>
    <w:rsid w:val="001A5E62"/>
    <w:rsid w:val="001A6848"/>
    <w:rsid w:val="001A7538"/>
    <w:rsid w:val="001B0B1A"/>
    <w:rsid w:val="001B15EB"/>
    <w:rsid w:val="001B4EC2"/>
    <w:rsid w:val="001B5B59"/>
    <w:rsid w:val="001B60E0"/>
    <w:rsid w:val="001B7C8C"/>
    <w:rsid w:val="001C0688"/>
    <w:rsid w:val="001C1443"/>
    <w:rsid w:val="001C181A"/>
    <w:rsid w:val="001C1877"/>
    <w:rsid w:val="001C188C"/>
    <w:rsid w:val="001C2053"/>
    <w:rsid w:val="001C252F"/>
    <w:rsid w:val="001C28D1"/>
    <w:rsid w:val="001C3473"/>
    <w:rsid w:val="001C5CFC"/>
    <w:rsid w:val="001C7418"/>
    <w:rsid w:val="001C7EBE"/>
    <w:rsid w:val="001D0025"/>
    <w:rsid w:val="001D0051"/>
    <w:rsid w:val="001D2224"/>
    <w:rsid w:val="001D31AA"/>
    <w:rsid w:val="001D4F88"/>
    <w:rsid w:val="001D68CF"/>
    <w:rsid w:val="001D6A8C"/>
    <w:rsid w:val="001D7A56"/>
    <w:rsid w:val="001E09D5"/>
    <w:rsid w:val="001E15C0"/>
    <w:rsid w:val="001E18E0"/>
    <w:rsid w:val="001E18E2"/>
    <w:rsid w:val="001E19D0"/>
    <w:rsid w:val="001E2A30"/>
    <w:rsid w:val="001E635C"/>
    <w:rsid w:val="00200AA0"/>
    <w:rsid w:val="00202325"/>
    <w:rsid w:val="00202736"/>
    <w:rsid w:val="00203652"/>
    <w:rsid w:val="00205B4F"/>
    <w:rsid w:val="002060B6"/>
    <w:rsid w:val="002066B5"/>
    <w:rsid w:val="002110B8"/>
    <w:rsid w:val="002119B6"/>
    <w:rsid w:val="00212B40"/>
    <w:rsid w:val="00213BD0"/>
    <w:rsid w:val="00214DBA"/>
    <w:rsid w:val="002151AB"/>
    <w:rsid w:val="00215ED6"/>
    <w:rsid w:val="00216049"/>
    <w:rsid w:val="002163FA"/>
    <w:rsid w:val="00217606"/>
    <w:rsid w:val="00217C09"/>
    <w:rsid w:val="00220F5C"/>
    <w:rsid w:val="00221B9B"/>
    <w:rsid w:val="00225196"/>
    <w:rsid w:val="00225CB4"/>
    <w:rsid w:val="00226B1A"/>
    <w:rsid w:val="00227FC4"/>
    <w:rsid w:val="0023049F"/>
    <w:rsid w:val="002306DE"/>
    <w:rsid w:val="002316F6"/>
    <w:rsid w:val="00232C9B"/>
    <w:rsid w:val="00232E73"/>
    <w:rsid w:val="00232F09"/>
    <w:rsid w:val="002335D5"/>
    <w:rsid w:val="00233859"/>
    <w:rsid w:val="002338CA"/>
    <w:rsid w:val="00233FE5"/>
    <w:rsid w:val="00234B3B"/>
    <w:rsid w:val="002374C9"/>
    <w:rsid w:val="0024174E"/>
    <w:rsid w:val="0024227D"/>
    <w:rsid w:val="00242D14"/>
    <w:rsid w:val="00246860"/>
    <w:rsid w:val="00246DFF"/>
    <w:rsid w:val="00246E89"/>
    <w:rsid w:val="0025183C"/>
    <w:rsid w:val="002528EC"/>
    <w:rsid w:val="00255049"/>
    <w:rsid w:val="00257DE5"/>
    <w:rsid w:val="00260531"/>
    <w:rsid w:val="00260B9A"/>
    <w:rsid w:val="00262B54"/>
    <w:rsid w:val="0026318D"/>
    <w:rsid w:val="00270864"/>
    <w:rsid w:val="002712F7"/>
    <w:rsid w:val="0027159C"/>
    <w:rsid w:val="002722F2"/>
    <w:rsid w:val="00274549"/>
    <w:rsid w:val="00274E46"/>
    <w:rsid w:val="002769AF"/>
    <w:rsid w:val="00276C86"/>
    <w:rsid w:val="00277217"/>
    <w:rsid w:val="002810A4"/>
    <w:rsid w:val="00284A26"/>
    <w:rsid w:val="00287006"/>
    <w:rsid w:val="00292AB2"/>
    <w:rsid w:val="002930BB"/>
    <w:rsid w:val="00293FE8"/>
    <w:rsid w:val="00294437"/>
    <w:rsid w:val="00297A45"/>
    <w:rsid w:val="002A233F"/>
    <w:rsid w:val="002A3237"/>
    <w:rsid w:val="002A58B7"/>
    <w:rsid w:val="002A5943"/>
    <w:rsid w:val="002A5C3C"/>
    <w:rsid w:val="002A685E"/>
    <w:rsid w:val="002A72C7"/>
    <w:rsid w:val="002B03B2"/>
    <w:rsid w:val="002B0749"/>
    <w:rsid w:val="002B2645"/>
    <w:rsid w:val="002B4E22"/>
    <w:rsid w:val="002B6FA0"/>
    <w:rsid w:val="002C3B6D"/>
    <w:rsid w:val="002C5D9D"/>
    <w:rsid w:val="002C5F10"/>
    <w:rsid w:val="002C6E5B"/>
    <w:rsid w:val="002D18B4"/>
    <w:rsid w:val="002D231A"/>
    <w:rsid w:val="002D7787"/>
    <w:rsid w:val="002E060F"/>
    <w:rsid w:val="002E1877"/>
    <w:rsid w:val="002E1C31"/>
    <w:rsid w:val="002E2E0F"/>
    <w:rsid w:val="002E333A"/>
    <w:rsid w:val="002E3474"/>
    <w:rsid w:val="002E400C"/>
    <w:rsid w:val="002E49C3"/>
    <w:rsid w:val="002E5114"/>
    <w:rsid w:val="002E5988"/>
    <w:rsid w:val="002E7570"/>
    <w:rsid w:val="002E764B"/>
    <w:rsid w:val="002F0E28"/>
    <w:rsid w:val="002F287E"/>
    <w:rsid w:val="002F2981"/>
    <w:rsid w:val="002F2D63"/>
    <w:rsid w:val="002F6AD8"/>
    <w:rsid w:val="002F7F81"/>
    <w:rsid w:val="00300A36"/>
    <w:rsid w:val="0030678B"/>
    <w:rsid w:val="00306DA0"/>
    <w:rsid w:val="00310CD7"/>
    <w:rsid w:val="0032136A"/>
    <w:rsid w:val="00323E70"/>
    <w:rsid w:val="003258A7"/>
    <w:rsid w:val="00325BA2"/>
    <w:rsid w:val="00326B1C"/>
    <w:rsid w:val="00326C08"/>
    <w:rsid w:val="00326F7F"/>
    <w:rsid w:val="003320E8"/>
    <w:rsid w:val="00332138"/>
    <w:rsid w:val="003328FD"/>
    <w:rsid w:val="0033334F"/>
    <w:rsid w:val="0033555E"/>
    <w:rsid w:val="00336805"/>
    <w:rsid w:val="00337351"/>
    <w:rsid w:val="00341A54"/>
    <w:rsid w:val="0034669F"/>
    <w:rsid w:val="00351498"/>
    <w:rsid w:val="00352B22"/>
    <w:rsid w:val="00352CBF"/>
    <w:rsid w:val="00354547"/>
    <w:rsid w:val="003567DE"/>
    <w:rsid w:val="003574F3"/>
    <w:rsid w:val="003604A5"/>
    <w:rsid w:val="00360C3A"/>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284B"/>
    <w:rsid w:val="00393651"/>
    <w:rsid w:val="00395651"/>
    <w:rsid w:val="00395E12"/>
    <w:rsid w:val="00396779"/>
    <w:rsid w:val="00397DB7"/>
    <w:rsid w:val="003A133D"/>
    <w:rsid w:val="003A27B2"/>
    <w:rsid w:val="003A40B4"/>
    <w:rsid w:val="003A41BA"/>
    <w:rsid w:val="003A5491"/>
    <w:rsid w:val="003A6A99"/>
    <w:rsid w:val="003A7FF8"/>
    <w:rsid w:val="003B17AC"/>
    <w:rsid w:val="003B227A"/>
    <w:rsid w:val="003B5854"/>
    <w:rsid w:val="003B6764"/>
    <w:rsid w:val="003C5046"/>
    <w:rsid w:val="003C6068"/>
    <w:rsid w:val="003D2BA3"/>
    <w:rsid w:val="003D3C22"/>
    <w:rsid w:val="003D56A0"/>
    <w:rsid w:val="003D7089"/>
    <w:rsid w:val="003D75EC"/>
    <w:rsid w:val="003D7ACE"/>
    <w:rsid w:val="003D7DDB"/>
    <w:rsid w:val="003E02C7"/>
    <w:rsid w:val="003E0543"/>
    <w:rsid w:val="003E061D"/>
    <w:rsid w:val="003E0B5A"/>
    <w:rsid w:val="003E31E3"/>
    <w:rsid w:val="003E46D1"/>
    <w:rsid w:val="003E6214"/>
    <w:rsid w:val="003F070E"/>
    <w:rsid w:val="003F1206"/>
    <w:rsid w:val="003F58B0"/>
    <w:rsid w:val="003F776F"/>
    <w:rsid w:val="004007E9"/>
    <w:rsid w:val="00400810"/>
    <w:rsid w:val="00401825"/>
    <w:rsid w:val="00401BBC"/>
    <w:rsid w:val="00403501"/>
    <w:rsid w:val="00403BFB"/>
    <w:rsid w:val="00404B45"/>
    <w:rsid w:val="00406CC5"/>
    <w:rsid w:val="004074A4"/>
    <w:rsid w:val="004101B2"/>
    <w:rsid w:val="004123D7"/>
    <w:rsid w:val="00412658"/>
    <w:rsid w:val="004129DA"/>
    <w:rsid w:val="00413805"/>
    <w:rsid w:val="00415EA4"/>
    <w:rsid w:val="0041604B"/>
    <w:rsid w:val="004172DB"/>
    <w:rsid w:val="00421485"/>
    <w:rsid w:val="00422B75"/>
    <w:rsid w:val="00424612"/>
    <w:rsid w:val="00425A6A"/>
    <w:rsid w:val="00427F54"/>
    <w:rsid w:val="00433F36"/>
    <w:rsid w:val="0043503A"/>
    <w:rsid w:val="00437D77"/>
    <w:rsid w:val="004435BE"/>
    <w:rsid w:val="0044384F"/>
    <w:rsid w:val="0044411E"/>
    <w:rsid w:val="00444F80"/>
    <w:rsid w:val="00446018"/>
    <w:rsid w:val="0045027B"/>
    <w:rsid w:val="004543BC"/>
    <w:rsid w:val="0045645D"/>
    <w:rsid w:val="004574C6"/>
    <w:rsid w:val="00457BCF"/>
    <w:rsid w:val="00457DCE"/>
    <w:rsid w:val="0046009C"/>
    <w:rsid w:val="00460E3F"/>
    <w:rsid w:val="00462F68"/>
    <w:rsid w:val="004640E9"/>
    <w:rsid w:val="00466CED"/>
    <w:rsid w:val="00467592"/>
    <w:rsid w:val="00467690"/>
    <w:rsid w:val="004718E7"/>
    <w:rsid w:val="00472535"/>
    <w:rsid w:val="004761CC"/>
    <w:rsid w:val="004766C9"/>
    <w:rsid w:val="00480710"/>
    <w:rsid w:val="00480D4A"/>
    <w:rsid w:val="00481DA1"/>
    <w:rsid w:val="00484212"/>
    <w:rsid w:val="0049255F"/>
    <w:rsid w:val="0049445D"/>
    <w:rsid w:val="00495350"/>
    <w:rsid w:val="00497156"/>
    <w:rsid w:val="004A0C79"/>
    <w:rsid w:val="004A24D2"/>
    <w:rsid w:val="004A3214"/>
    <w:rsid w:val="004A4136"/>
    <w:rsid w:val="004A417B"/>
    <w:rsid w:val="004A4378"/>
    <w:rsid w:val="004B03F3"/>
    <w:rsid w:val="004B0CC9"/>
    <w:rsid w:val="004B2536"/>
    <w:rsid w:val="004B6AF3"/>
    <w:rsid w:val="004B715E"/>
    <w:rsid w:val="004B7169"/>
    <w:rsid w:val="004B79C9"/>
    <w:rsid w:val="004C0776"/>
    <w:rsid w:val="004C5E33"/>
    <w:rsid w:val="004C60A3"/>
    <w:rsid w:val="004C6CDA"/>
    <w:rsid w:val="004D10D4"/>
    <w:rsid w:val="004D16BD"/>
    <w:rsid w:val="004D2AAB"/>
    <w:rsid w:val="004D6674"/>
    <w:rsid w:val="004D6F2B"/>
    <w:rsid w:val="004E0248"/>
    <w:rsid w:val="004E21A3"/>
    <w:rsid w:val="004E32EA"/>
    <w:rsid w:val="004E6866"/>
    <w:rsid w:val="004F3222"/>
    <w:rsid w:val="004F3BFA"/>
    <w:rsid w:val="005000AB"/>
    <w:rsid w:val="00500F3C"/>
    <w:rsid w:val="005025EE"/>
    <w:rsid w:val="00505524"/>
    <w:rsid w:val="00506688"/>
    <w:rsid w:val="00510588"/>
    <w:rsid w:val="0051146C"/>
    <w:rsid w:val="0051220B"/>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BE0"/>
    <w:rsid w:val="00540BEF"/>
    <w:rsid w:val="00542C9A"/>
    <w:rsid w:val="005436C2"/>
    <w:rsid w:val="005442D4"/>
    <w:rsid w:val="0054586A"/>
    <w:rsid w:val="0054631F"/>
    <w:rsid w:val="00546C24"/>
    <w:rsid w:val="0055288D"/>
    <w:rsid w:val="00555259"/>
    <w:rsid w:val="005569EF"/>
    <w:rsid w:val="00560D57"/>
    <w:rsid w:val="00562A94"/>
    <w:rsid w:val="0056678A"/>
    <w:rsid w:val="00570754"/>
    <w:rsid w:val="005709F7"/>
    <w:rsid w:val="005710A9"/>
    <w:rsid w:val="00571D1B"/>
    <w:rsid w:val="005738F5"/>
    <w:rsid w:val="00573D34"/>
    <w:rsid w:val="0058039C"/>
    <w:rsid w:val="00580A63"/>
    <w:rsid w:val="00583379"/>
    <w:rsid w:val="0058417C"/>
    <w:rsid w:val="00585FB0"/>
    <w:rsid w:val="00586EC6"/>
    <w:rsid w:val="00587DDE"/>
    <w:rsid w:val="00593043"/>
    <w:rsid w:val="00595BF0"/>
    <w:rsid w:val="005A0B1D"/>
    <w:rsid w:val="005A1846"/>
    <w:rsid w:val="005A258C"/>
    <w:rsid w:val="005A3560"/>
    <w:rsid w:val="005A464E"/>
    <w:rsid w:val="005A62FC"/>
    <w:rsid w:val="005A6C99"/>
    <w:rsid w:val="005A7D5D"/>
    <w:rsid w:val="005B011A"/>
    <w:rsid w:val="005B1D8F"/>
    <w:rsid w:val="005B1E94"/>
    <w:rsid w:val="005B5985"/>
    <w:rsid w:val="005B5B3D"/>
    <w:rsid w:val="005B64CF"/>
    <w:rsid w:val="005C16F3"/>
    <w:rsid w:val="005C3758"/>
    <w:rsid w:val="005C4D72"/>
    <w:rsid w:val="005D5E91"/>
    <w:rsid w:val="005D67EF"/>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51E6D"/>
    <w:rsid w:val="00653D2D"/>
    <w:rsid w:val="006573F2"/>
    <w:rsid w:val="00662AD0"/>
    <w:rsid w:val="00662F08"/>
    <w:rsid w:val="00663589"/>
    <w:rsid w:val="00665D75"/>
    <w:rsid w:val="006700F1"/>
    <w:rsid w:val="006708E3"/>
    <w:rsid w:val="00670DDC"/>
    <w:rsid w:val="00671389"/>
    <w:rsid w:val="00671EB4"/>
    <w:rsid w:val="0067443B"/>
    <w:rsid w:val="0067526A"/>
    <w:rsid w:val="00684E2B"/>
    <w:rsid w:val="006852FF"/>
    <w:rsid w:val="0068608F"/>
    <w:rsid w:val="006877EC"/>
    <w:rsid w:val="00690569"/>
    <w:rsid w:val="00690FDA"/>
    <w:rsid w:val="00691E61"/>
    <w:rsid w:val="00693C5E"/>
    <w:rsid w:val="00694EEA"/>
    <w:rsid w:val="006955B4"/>
    <w:rsid w:val="00696476"/>
    <w:rsid w:val="00696C74"/>
    <w:rsid w:val="006A10FA"/>
    <w:rsid w:val="006A40E6"/>
    <w:rsid w:val="006A5C07"/>
    <w:rsid w:val="006A75FA"/>
    <w:rsid w:val="006B07D5"/>
    <w:rsid w:val="006B1309"/>
    <w:rsid w:val="006B3923"/>
    <w:rsid w:val="006B3F3E"/>
    <w:rsid w:val="006B4AFC"/>
    <w:rsid w:val="006B5923"/>
    <w:rsid w:val="006B67D9"/>
    <w:rsid w:val="006B6C14"/>
    <w:rsid w:val="006B715E"/>
    <w:rsid w:val="006C1D6E"/>
    <w:rsid w:val="006C2EF6"/>
    <w:rsid w:val="006C3A68"/>
    <w:rsid w:val="006C6AB1"/>
    <w:rsid w:val="006C6E6B"/>
    <w:rsid w:val="006D2000"/>
    <w:rsid w:val="006D2D39"/>
    <w:rsid w:val="006D4250"/>
    <w:rsid w:val="006D4E0E"/>
    <w:rsid w:val="006D5CE2"/>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1CA6"/>
    <w:rsid w:val="00712504"/>
    <w:rsid w:val="007165CE"/>
    <w:rsid w:val="00720968"/>
    <w:rsid w:val="00721705"/>
    <w:rsid w:val="00721B7A"/>
    <w:rsid w:val="00721D12"/>
    <w:rsid w:val="00721F8B"/>
    <w:rsid w:val="007237CE"/>
    <w:rsid w:val="00724688"/>
    <w:rsid w:val="0073062D"/>
    <w:rsid w:val="0073254D"/>
    <w:rsid w:val="00736A49"/>
    <w:rsid w:val="0074120C"/>
    <w:rsid w:val="007419A1"/>
    <w:rsid w:val="00743B71"/>
    <w:rsid w:val="00743C2D"/>
    <w:rsid w:val="00743E36"/>
    <w:rsid w:val="00743F05"/>
    <w:rsid w:val="007446F7"/>
    <w:rsid w:val="00744EBB"/>
    <w:rsid w:val="00745B0A"/>
    <w:rsid w:val="00745DBE"/>
    <w:rsid w:val="007468AC"/>
    <w:rsid w:val="00746AE2"/>
    <w:rsid w:val="00750C82"/>
    <w:rsid w:val="00754A5A"/>
    <w:rsid w:val="0076100C"/>
    <w:rsid w:val="007612A5"/>
    <w:rsid w:val="00763F95"/>
    <w:rsid w:val="007651ED"/>
    <w:rsid w:val="007666DC"/>
    <w:rsid w:val="00766C87"/>
    <w:rsid w:val="00771407"/>
    <w:rsid w:val="00780378"/>
    <w:rsid w:val="00781BD4"/>
    <w:rsid w:val="00782562"/>
    <w:rsid w:val="007828B4"/>
    <w:rsid w:val="00784832"/>
    <w:rsid w:val="00785D77"/>
    <w:rsid w:val="00786111"/>
    <w:rsid w:val="00787F98"/>
    <w:rsid w:val="00790963"/>
    <w:rsid w:val="00791F1E"/>
    <w:rsid w:val="00794ADE"/>
    <w:rsid w:val="00794F3D"/>
    <w:rsid w:val="00796045"/>
    <w:rsid w:val="007968AC"/>
    <w:rsid w:val="007969AB"/>
    <w:rsid w:val="007A0B39"/>
    <w:rsid w:val="007A14A4"/>
    <w:rsid w:val="007A168F"/>
    <w:rsid w:val="007A2346"/>
    <w:rsid w:val="007A28E4"/>
    <w:rsid w:val="007A3A52"/>
    <w:rsid w:val="007A3BB3"/>
    <w:rsid w:val="007A3F91"/>
    <w:rsid w:val="007A5AD1"/>
    <w:rsid w:val="007A5B7B"/>
    <w:rsid w:val="007B0A06"/>
    <w:rsid w:val="007B5C5C"/>
    <w:rsid w:val="007B7B37"/>
    <w:rsid w:val="007B7C41"/>
    <w:rsid w:val="007C11E9"/>
    <w:rsid w:val="007C271F"/>
    <w:rsid w:val="007C433E"/>
    <w:rsid w:val="007C4452"/>
    <w:rsid w:val="007C4B3C"/>
    <w:rsid w:val="007C4DB1"/>
    <w:rsid w:val="007C4E1A"/>
    <w:rsid w:val="007C6046"/>
    <w:rsid w:val="007C6F0C"/>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80064F"/>
    <w:rsid w:val="00803850"/>
    <w:rsid w:val="008039E8"/>
    <w:rsid w:val="00804385"/>
    <w:rsid w:val="00805AFD"/>
    <w:rsid w:val="008078D8"/>
    <w:rsid w:val="00811D5B"/>
    <w:rsid w:val="00813C51"/>
    <w:rsid w:val="00817638"/>
    <w:rsid w:val="0081771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8A6"/>
    <w:rsid w:val="00882CC2"/>
    <w:rsid w:val="00883930"/>
    <w:rsid w:val="0089038F"/>
    <w:rsid w:val="00892B90"/>
    <w:rsid w:val="00896535"/>
    <w:rsid w:val="00896683"/>
    <w:rsid w:val="0089750B"/>
    <w:rsid w:val="00897589"/>
    <w:rsid w:val="008A078C"/>
    <w:rsid w:val="008A0D4F"/>
    <w:rsid w:val="008A5C34"/>
    <w:rsid w:val="008A63A9"/>
    <w:rsid w:val="008A7073"/>
    <w:rsid w:val="008A7F7E"/>
    <w:rsid w:val="008B04DB"/>
    <w:rsid w:val="008B09B4"/>
    <w:rsid w:val="008B27FD"/>
    <w:rsid w:val="008B3AF2"/>
    <w:rsid w:val="008B446D"/>
    <w:rsid w:val="008B515D"/>
    <w:rsid w:val="008B5D31"/>
    <w:rsid w:val="008B6705"/>
    <w:rsid w:val="008C22F3"/>
    <w:rsid w:val="008D29E7"/>
    <w:rsid w:val="008D795D"/>
    <w:rsid w:val="008D7B07"/>
    <w:rsid w:val="008E1E94"/>
    <w:rsid w:val="008E2D99"/>
    <w:rsid w:val="008E38B0"/>
    <w:rsid w:val="008E4A60"/>
    <w:rsid w:val="008E744D"/>
    <w:rsid w:val="008F1E08"/>
    <w:rsid w:val="00900D8F"/>
    <w:rsid w:val="009014E3"/>
    <w:rsid w:val="009026E8"/>
    <w:rsid w:val="00902FDD"/>
    <w:rsid w:val="00905EEF"/>
    <w:rsid w:val="00906EB7"/>
    <w:rsid w:val="009102BF"/>
    <w:rsid w:val="00911490"/>
    <w:rsid w:val="009115F2"/>
    <w:rsid w:val="00914ADB"/>
    <w:rsid w:val="00923B25"/>
    <w:rsid w:val="0092402E"/>
    <w:rsid w:val="009259BA"/>
    <w:rsid w:val="00926FCB"/>
    <w:rsid w:val="009303BB"/>
    <w:rsid w:val="0093311A"/>
    <w:rsid w:val="00941A4C"/>
    <w:rsid w:val="00942645"/>
    <w:rsid w:val="009461E6"/>
    <w:rsid w:val="00950A3A"/>
    <w:rsid w:val="0095340A"/>
    <w:rsid w:val="00954581"/>
    <w:rsid w:val="0095466C"/>
    <w:rsid w:val="00954E5B"/>
    <w:rsid w:val="009576BC"/>
    <w:rsid w:val="00960357"/>
    <w:rsid w:val="0096168C"/>
    <w:rsid w:val="00961840"/>
    <w:rsid w:val="009625E3"/>
    <w:rsid w:val="00962F2D"/>
    <w:rsid w:val="009672CD"/>
    <w:rsid w:val="00972996"/>
    <w:rsid w:val="009732B8"/>
    <w:rsid w:val="009759C2"/>
    <w:rsid w:val="00975C72"/>
    <w:rsid w:val="00976869"/>
    <w:rsid w:val="00977740"/>
    <w:rsid w:val="00977CB4"/>
    <w:rsid w:val="009809B8"/>
    <w:rsid w:val="009818AF"/>
    <w:rsid w:val="0098222D"/>
    <w:rsid w:val="00985099"/>
    <w:rsid w:val="00993F81"/>
    <w:rsid w:val="0099421F"/>
    <w:rsid w:val="0099767A"/>
    <w:rsid w:val="009A0DE3"/>
    <w:rsid w:val="009A1643"/>
    <w:rsid w:val="009A215A"/>
    <w:rsid w:val="009A49D3"/>
    <w:rsid w:val="009A4F1B"/>
    <w:rsid w:val="009A66C5"/>
    <w:rsid w:val="009A766F"/>
    <w:rsid w:val="009A79BA"/>
    <w:rsid w:val="009B14D1"/>
    <w:rsid w:val="009B1534"/>
    <w:rsid w:val="009B4963"/>
    <w:rsid w:val="009B4A3B"/>
    <w:rsid w:val="009B69D3"/>
    <w:rsid w:val="009B7BA7"/>
    <w:rsid w:val="009C0938"/>
    <w:rsid w:val="009C1A01"/>
    <w:rsid w:val="009C22C8"/>
    <w:rsid w:val="009C3F82"/>
    <w:rsid w:val="009C72DD"/>
    <w:rsid w:val="009C7DF5"/>
    <w:rsid w:val="009D01A4"/>
    <w:rsid w:val="009D056C"/>
    <w:rsid w:val="009D060F"/>
    <w:rsid w:val="009D1ADE"/>
    <w:rsid w:val="009D37CA"/>
    <w:rsid w:val="009D4229"/>
    <w:rsid w:val="009D6515"/>
    <w:rsid w:val="009E09D0"/>
    <w:rsid w:val="009E1283"/>
    <w:rsid w:val="009E3A7F"/>
    <w:rsid w:val="009E4DFC"/>
    <w:rsid w:val="009E5789"/>
    <w:rsid w:val="009E57B1"/>
    <w:rsid w:val="009E5FF4"/>
    <w:rsid w:val="009E6379"/>
    <w:rsid w:val="009F1569"/>
    <w:rsid w:val="009F3B63"/>
    <w:rsid w:val="009F6292"/>
    <w:rsid w:val="009F7809"/>
    <w:rsid w:val="009F7AF5"/>
    <w:rsid w:val="00A00D14"/>
    <w:rsid w:val="00A01408"/>
    <w:rsid w:val="00A02457"/>
    <w:rsid w:val="00A02966"/>
    <w:rsid w:val="00A03190"/>
    <w:rsid w:val="00A0404B"/>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68"/>
    <w:rsid w:val="00A414A9"/>
    <w:rsid w:val="00A44141"/>
    <w:rsid w:val="00A44CCA"/>
    <w:rsid w:val="00A44D75"/>
    <w:rsid w:val="00A47CF1"/>
    <w:rsid w:val="00A50418"/>
    <w:rsid w:val="00A54A47"/>
    <w:rsid w:val="00A55AE5"/>
    <w:rsid w:val="00A56D26"/>
    <w:rsid w:val="00A571A7"/>
    <w:rsid w:val="00A57BA8"/>
    <w:rsid w:val="00A608FB"/>
    <w:rsid w:val="00A60D83"/>
    <w:rsid w:val="00A60F68"/>
    <w:rsid w:val="00A63DF3"/>
    <w:rsid w:val="00A65C78"/>
    <w:rsid w:val="00A660A8"/>
    <w:rsid w:val="00A67591"/>
    <w:rsid w:val="00A67CA6"/>
    <w:rsid w:val="00A70E7B"/>
    <w:rsid w:val="00A73B84"/>
    <w:rsid w:val="00A7411D"/>
    <w:rsid w:val="00A7592B"/>
    <w:rsid w:val="00A76094"/>
    <w:rsid w:val="00A768E2"/>
    <w:rsid w:val="00A82C52"/>
    <w:rsid w:val="00A83C15"/>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4958"/>
    <w:rsid w:val="00AA73AF"/>
    <w:rsid w:val="00AB0A8A"/>
    <w:rsid w:val="00AB1754"/>
    <w:rsid w:val="00AB1F8D"/>
    <w:rsid w:val="00AB27DD"/>
    <w:rsid w:val="00AB5B27"/>
    <w:rsid w:val="00AC439D"/>
    <w:rsid w:val="00AC713F"/>
    <w:rsid w:val="00AC7329"/>
    <w:rsid w:val="00AD067E"/>
    <w:rsid w:val="00AD2801"/>
    <w:rsid w:val="00AD3496"/>
    <w:rsid w:val="00AD5771"/>
    <w:rsid w:val="00AD6870"/>
    <w:rsid w:val="00AD68C5"/>
    <w:rsid w:val="00AD7F8F"/>
    <w:rsid w:val="00AE1273"/>
    <w:rsid w:val="00AE18C5"/>
    <w:rsid w:val="00AE2D29"/>
    <w:rsid w:val="00AE4624"/>
    <w:rsid w:val="00AE5E14"/>
    <w:rsid w:val="00AE6115"/>
    <w:rsid w:val="00AE625B"/>
    <w:rsid w:val="00AF1103"/>
    <w:rsid w:val="00AF1668"/>
    <w:rsid w:val="00AF4FA5"/>
    <w:rsid w:val="00AF6A11"/>
    <w:rsid w:val="00B04562"/>
    <w:rsid w:val="00B07955"/>
    <w:rsid w:val="00B140B8"/>
    <w:rsid w:val="00B14FAA"/>
    <w:rsid w:val="00B15BED"/>
    <w:rsid w:val="00B15D30"/>
    <w:rsid w:val="00B20624"/>
    <w:rsid w:val="00B23436"/>
    <w:rsid w:val="00B237F1"/>
    <w:rsid w:val="00B24F33"/>
    <w:rsid w:val="00B26354"/>
    <w:rsid w:val="00B26CA0"/>
    <w:rsid w:val="00B32179"/>
    <w:rsid w:val="00B33007"/>
    <w:rsid w:val="00B331A9"/>
    <w:rsid w:val="00B33498"/>
    <w:rsid w:val="00B36569"/>
    <w:rsid w:val="00B40A05"/>
    <w:rsid w:val="00B40A3E"/>
    <w:rsid w:val="00B427BB"/>
    <w:rsid w:val="00B449EE"/>
    <w:rsid w:val="00B454AE"/>
    <w:rsid w:val="00B50227"/>
    <w:rsid w:val="00B50510"/>
    <w:rsid w:val="00B522CD"/>
    <w:rsid w:val="00B55143"/>
    <w:rsid w:val="00B555C8"/>
    <w:rsid w:val="00B55917"/>
    <w:rsid w:val="00B643A6"/>
    <w:rsid w:val="00B64DD6"/>
    <w:rsid w:val="00B6710C"/>
    <w:rsid w:val="00B67E84"/>
    <w:rsid w:val="00B72076"/>
    <w:rsid w:val="00B72303"/>
    <w:rsid w:val="00B72C72"/>
    <w:rsid w:val="00B731E4"/>
    <w:rsid w:val="00B76796"/>
    <w:rsid w:val="00B82277"/>
    <w:rsid w:val="00B8478F"/>
    <w:rsid w:val="00B91676"/>
    <w:rsid w:val="00B95833"/>
    <w:rsid w:val="00BA1824"/>
    <w:rsid w:val="00BA2D98"/>
    <w:rsid w:val="00BA2F0C"/>
    <w:rsid w:val="00BA30D1"/>
    <w:rsid w:val="00BA30E1"/>
    <w:rsid w:val="00BA4609"/>
    <w:rsid w:val="00BA5BE2"/>
    <w:rsid w:val="00BA7F46"/>
    <w:rsid w:val="00BB0A0A"/>
    <w:rsid w:val="00BB133C"/>
    <w:rsid w:val="00BB1F04"/>
    <w:rsid w:val="00BB45B5"/>
    <w:rsid w:val="00BB6064"/>
    <w:rsid w:val="00BB7012"/>
    <w:rsid w:val="00BC09D1"/>
    <w:rsid w:val="00BC1CF3"/>
    <w:rsid w:val="00BC3573"/>
    <w:rsid w:val="00BC7F82"/>
    <w:rsid w:val="00BD40AB"/>
    <w:rsid w:val="00BD6297"/>
    <w:rsid w:val="00BD6806"/>
    <w:rsid w:val="00BD7433"/>
    <w:rsid w:val="00BD7831"/>
    <w:rsid w:val="00BD7C10"/>
    <w:rsid w:val="00BE046F"/>
    <w:rsid w:val="00BE0DEB"/>
    <w:rsid w:val="00BE2FC1"/>
    <w:rsid w:val="00BE3142"/>
    <w:rsid w:val="00BE4039"/>
    <w:rsid w:val="00BE6365"/>
    <w:rsid w:val="00BF0B7F"/>
    <w:rsid w:val="00BF2988"/>
    <w:rsid w:val="00BF4720"/>
    <w:rsid w:val="00BF4F49"/>
    <w:rsid w:val="00BF6759"/>
    <w:rsid w:val="00BF7B4F"/>
    <w:rsid w:val="00BF7B63"/>
    <w:rsid w:val="00C038EC"/>
    <w:rsid w:val="00C05C6D"/>
    <w:rsid w:val="00C1122B"/>
    <w:rsid w:val="00C13B34"/>
    <w:rsid w:val="00C13F26"/>
    <w:rsid w:val="00C1474E"/>
    <w:rsid w:val="00C14C37"/>
    <w:rsid w:val="00C16E9F"/>
    <w:rsid w:val="00C1713D"/>
    <w:rsid w:val="00C17523"/>
    <w:rsid w:val="00C177F1"/>
    <w:rsid w:val="00C17EE6"/>
    <w:rsid w:val="00C2272E"/>
    <w:rsid w:val="00C22F3A"/>
    <w:rsid w:val="00C23311"/>
    <w:rsid w:val="00C24B04"/>
    <w:rsid w:val="00C25554"/>
    <w:rsid w:val="00C25978"/>
    <w:rsid w:val="00C261C6"/>
    <w:rsid w:val="00C26621"/>
    <w:rsid w:val="00C26E7C"/>
    <w:rsid w:val="00C276CD"/>
    <w:rsid w:val="00C30A97"/>
    <w:rsid w:val="00C31DDC"/>
    <w:rsid w:val="00C34326"/>
    <w:rsid w:val="00C35493"/>
    <w:rsid w:val="00C36201"/>
    <w:rsid w:val="00C368E8"/>
    <w:rsid w:val="00C36C3D"/>
    <w:rsid w:val="00C372C7"/>
    <w:rsid w:val="00C42443"/>
    <w:rsid w:val="00C42CBA"/>
    <w:rsid w:val="00C4338C"/>
    <w:rsid w:val="00C43825"/>
    <w:rsid w:val="00C472C7"/>
    <w:rsid w:val="00C5019E"/>
    <w:rsid w:val="00C5377C"/>
    <w:rsid w:val="00C53E8A"/>
    <w:rsid w:val="00C54DF3"/>
    <w:rsid w:val="00C560A7"/>
    <w:rsid w:val="00C56FC8"/>
    <w:rsid w:val="00C60F23"/>
    <w:rsid w:val="00C62EB2"/>
    <w:rsid w:val="00C71BEC"/>
    <w:rsid w:val="00C74D3A"/>
    <w:rsid w:val="00C75F3D"/>
    <w:rsid w:val="00C80511"/>
    <w:rsid w:val="00C826F5"/>
    <w:rsid w:val="00C83740"/>
    <w:rsid w:val="00C84AD1"/>
    <w:rsid w:val="00C85579"/>
    <w:rsid w:val="00C863E5"/>
    <w:rsid w:val="00C87BE6"/>
    <w:rsid w:val="00C87F76"/>
    <w:rsid w:val="00C931FC"/>
    <w:rsid w:val="00C932C5"/>
    <w:rsid w:val="00C95A72"/>
    <w:rsid w:val="00C9650E"/>
    <w:rsid w:val="00CA068D"/>
    <w:rsid w:val="00CA1228"/>
    <w:rsid w:val="00CA1C73"/>
    <w:rsid w:val="00CA282D"/>
    <w:rsid w:val="00CA4670"/>
    <w:rsid w:val="00CA6B1A"/>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F158D"/>
    <w:rsid w:val="00CF4394"/>
    <w:rsid w:val="00D000A9"/>
    <w:rsid w:val="00D005DB"/>
    <w:rsid w:val="00D0064E"/>
    <w:rsid w:val="00D00981"/>
    <w:rsid w:val="00D02596"/>
    <w:rsid w:val="00D0280D"/>
    <w:rsid w:val="00D0522A"/>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654A"/>
    <w:rsid w:val="00D3662E"/>
    <w:rsid w:val="00D40B1F"/>
    <w:rsid w:val="00D40D75"/>
    <w:rsid w:val="00D43978"/>
    <w:rsid w:val="00D449F0"/>
    <w:rsid w:val="00D46BB2"/>
    <w:rsid w:val="00D50C8C"/>
    <w:rsid w:val="00D512A1"/>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545C"/>
    <w:rsid w:val="00D87788"/>
    <w:rsid w:val="00D877C8"/>
    <w:rsid w:val="00D90199"/>
    <w:rsid w:val="00D91040"/>
    <w:rsid w:val="00D910C2"/>
    <w:rsid w:val="00D9168C"/>
    <w:rsid w:val="00D9189B"/>
    <w:rsid w:val="00D91DA6"/>
    <w:rsid w:val="00D93B9A"/>
    <w:rsid w:val="00D95984"/>
    <w:rsid w:val="00D9706F"/>
    <w:rsid w:val="00D972D4"/>
    <w:rsid w:val="00DA1482"/>
    <w:rsid w:val="00DA195B"/>
    <w:rsid w:val="00DA56B7"/>
    <w:rsid w:val="00DA6B55"/>
    <w:rsid w:val="00DA6B97"/>
    <w:rsid w:val="00DB0015"/>
    <w:rsid w:val="00DB0359"/>
    <w:rsid w:val="00DB0ABB"/>
    <w:rsid w:val="00DB2AAD"/>
    <w:rsid w:val="00DB5941"/>
    <w:rsid w:val="00DB626D"/>
    <w:rsid w:val="00DB62E7"/>
    <w:rsid w:val="00DB6365"/>
    <w:rsid w:val="00DC0BF1"/>
    <w:rsid w:val="00DC41C3"/>
    <w:rsid w:val="00DC4FA4"/>
    <w:rsid w:val="00DD286D"/>
    <w:rsid w:val="00DD2CAF"/>
    <w:rsid w:val="00DD3593"/>
    <w:rsid w:val="00DD64E0"/>
    <w:rsid w:val="00DE0C67"/>
    <w:rsid w:val="00DE6952"/>
    <w:rsid w:val="00DE7E74"/>
    <w:rsid w:val="00DF071B"/>
    <w:rsid w:val="00DF5F5D"/>
    <w:rsid w:val="00DF6EF8"/>
    <w:rsid w:val="00E00A69"/>
    <w:rsid w:val="00E017F0"/>
    <w:rsid w:val="00E01A0E"/>
    <w:rsid w:val="00E041E4"/>
    <w:rsid w:val="00E1012B"/>
    <w:rsid w:val="00E103C8"/>
    <w:rsid w:val="00E1085B"/>
    <w:rsid w:val="00E1308B"/>
    <w:rsid w:val="00E13FEC"/>
    <w:rsid w:val="00E14581"/>
    <w:rsid w:val="00E15539"/>
    <w:rsid w:val="00E16541"/>
    <w:rsid w:val="00E202F4"/>
    <w:rsid w:val="00E21994"/>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BEB"/>
    <w:rsid w:val="00E548FA"/>
    <w:rsid w:val="00E57703"/>
    <w:rsid w:val="00E57ED4"/>
    <w:rsid w:val="00E6092F"/>
    <w:rsid w:val="00E62049"/>
    <w:rsid w:val="00E629DA"/>
    <w:rsid w:val="00E6469F"/>
    <w:rsid w:val="00E649FB"/>
    <w:rsid w:val="00E65D39"/>
    <w:rsid w:val="00E670F8"/>
    <w:rsid w:val="00E67FAC"/>
    <w:rsid w:val="00E70B69"/>
    <w:rsid w:val="00E7200B"/>
    <w:rsid w:val="00E738CB"/>
    <w:rsid w:val="00E73C88"/>
    <w:rsid w:val="00E74437"/>
    <w:rsid w:val="00E7443D"/>
    <w:rsid w:val="00E75ACE"/>
    <w:rsid w:val="00E81C3E"/>
    <w:rsid w:val="00E82B6D"/>
    <w:rsid w:val="00E8608F"/>
    <w:rsid w:val="00E86A9F"/>
    <w:rsid w:val="00EA1177"/>
    <w:rsid w:val="00EA118B"/>
    <w:rsid w:val="00EA11B6"/>
    <w:rsid w:val="00EA2181"/>
    <w:rsid w:val="00EA2DD8"/>
    <w:rsid w:val="00EA4475"/>
    <w:rsid w:val="00EA52FE"/>
    <w:rsid w:val="00EA5E25"/>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BE0"/>
    <w:rsid w:val="00ED12F0"/>
    <w:rsid w:val="00ED4773"/>
    <w:rsid w:val="00ED5284"/>
    <w:rsid w:val="00ED664B"/>
    <w:rsid w:val="00ED6A61"/>
    <w:rsid w:val="00ED7DA4"/>
    <w:rsid w:val="00EE03BB"/>
    <w:rsid w:val="00EE0992"/>
    <w:rsid w:val="00EE0B44"/>
    <w:rsid w:val="00EE5F2D"/>
    <w:rsid w:val="00EE6FE0"/>
    <w:rsid w:val="00EE704A"/>
    <w:rsid w:val="00EE7840"/>
    <w:rsid w:val="00EF4C74"/>
    <w:rsid w:val="00EF5268"/>
    <w:rsid w:val="00EF608E"/>
    <w:rsid w:val="00F0044B"/>
    <w:rsid w:val="00F03525"/>
    <w:rsid w:val="00F04957"/>
    <w:rsid w:val="00F05807"/>
    <w:rsid w:val="00F07052"/>
    <w:rsid w:val="00F0706C"/>
    <w:rsid w:val="00F11EBE"/>
    <w:rsid w:val="00F12BA8"/>
    <w:rsid w:val="00F130D0"/>
    <w:rsid w:val="00F14933"/>
    <w:rsid w:val="00F1516A"/>
    <w:rsid w:val="00F171F9"/>
    <w:rsid w:val="00F22A26"/>
    <w:rsid w:val="00F24072"/>
    <w:rsid w:val="00F26432"/>
    <w:rsid w:val="00F3197A"/>
    <w:rsid w:val="00F32139"/>
    <w:rsid w:val="00F33D56"/>
    <w:rsid w:val="00F34E08"/>
    <w:rsid w:val="00F35406"/>
    <w:rsid w:val="00F41D91"/>
    <w:rsid w:val="00F42363"/>
    <w:rsid w:val="00F46964"/>
    <w:rsid w:val="00F46F9A"/>
    <w:rsid w:val="00F470FD"/>
    <w:rsid w:val="00F50F30"/>
    <w:rsid w:val="00F5126A"/>
    <w:rsid w:val="00F5126E"/>
    <w:rsid w:val="00F51755"/>
    <w:rsid w:val="00F6196E"/>
    <w:rsid w:val="00F624DD"/>
    <w:rsid w:val="00F629C0"/>
    <w:rsid w:val="00F63FC7"/>
    <w:rsid w:val="00F65ED5"/>
    <w:rsid w:val="00F6608B"/>
    <w:rsid w:val="00F6636A"/>
    <w:rsid w:val="00F667C5"/>
    <w:rsid w:val="00F67E31"/>
    <w:rsid w:val="00F718A8"/>
    <w:rsid w:val="00F72183"/>
    <w:rsid w:val="00F76D01"/>
    <w:rsid w:val="00F81C35"/>
    <w:rsid w:val="00F82981"/>
    <w:rsid w:val="00F8311F"/>
    <w:rsid w:val="00F83248"/>
    <w:rsid w:val="00F83376"/>
    <w:rsid w:val="00F853AE"/>
    <w:rsid w:val="00F9395D"/>
    <w:rsid w:val="00F93C74"/>
    <w:rsid w:val="00F93DCC"/>
    <w:rsid w:val="00F9435D"/>
    <w:rsid w:val="00F966F9"/>
    <w:rsid w:val="00F96F61"/>
    <w:rsid w:val="00F97740"/>
    <w:rsid w:val="00FA2DEF"/>
    <w:rsid w:val="00FA2F7B"/>
    <w:rsid w:val="00FA3C97"/>
    <w:rsid w:val="00FA3D30"/>
    <w:rsid w:val="00FA78C8"/>
    <w:rsid w:val="00FB09FE"/>
    <w:rsid w:val="00FB101D"/>
    <w:rsid w:val="00FB1725"/>
    <w:rsid w:val="00FB2493"/>
    <w:rsid w:val="00FB593A"/>
    <w:rsid w:val="00FB6410"/>
    <w:rsid w:val="00FB6B29"/>
    <w:rsid w:val="00FB6E82"/>
    <w:rsid w:val="00FB792E"/>
    <w:rsid w:val="00FC0042"/>
    <w:rsid w:val="00FC1E67"/>
    <w:rsid w:val="00FC2A13"/>
    <w:rsid w:val="00FC4284"/>
    <w:rsid w:val="00FC4576"/>
    <w:rsid w:val="00FC78FB"/>
    <w:rsid w:val="00FC7DBC"/>
    <w:rsid w:val="00FD076A"/>
    <w:rsid w:val="00FD0AA0"/>
    <w:rsid w:val="00FD1D5A"/>
    <w:rsid w:val="00FD5059"/>
    <w:rsid w:val="00FD554D"/>
    <w:rsid w:val="00FD5BCC"/>
    <w:rsid w:val="00FE5D0A"/>
    <w:rsid w:val="00FE6469"/>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74759139">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7046-273B-4B55-A5CC-2D6A2DDF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2011-02-07T15:04:00Z</cp:lastPrinted>
  <dcterms:created xsi:type="dcterms:W3CDTF">2012-03-06T18:33:00Z</dcterms:created>
  <dcterms:modified xsi:type="dcterms:W3CDTF">2012-03-06T18:37:00Z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