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FD14B8"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14B8">
        <w:rPr>
          <w:rFonts w:asciiTheme="minorHAnsi" w:hAnsiTheme="minorHAnsi"/>
          <w:caps/>
          <w:color w:val="auto"/>
        </w:rPr>
        <w:t xml:space="preserve">NAME:  </w:t>
      </w:r>
      <w:r w:rsidR="00CD2835">
        <w:rPr>
          <w:rFonts w:asciiTheme="minorHAnsi" w:hAnsiTheme="minorHAnsi"/>
          <w:caps/>
          <w:color w:val="auto"/>
        </w:rPr>
        <w:t xml:space="preserve">XXXX                        </w:t>
      </w:r>
      <w:r w:rsidR="004216DA" w:rsidRPr="00FD14B8">
        <w:rPr>
          <w:rFonts w:asciiTheme="minorHAnsi" w:hAnsiTheme="minorHAnsi"/>
          <w:caps/>
          <w:color w:val="auto"/>
        </w:rPr>
        <w:t xml:space="preserve">             </w:t>
      </w:r>
      <w:r w:rsidR="00332DE3" w:rsidRPr="00FD14B8">
        <w:rPr>
          <w:rFonts w:asciiTheme="minorHAnsi" w:hAnsiTheme="minorHAnsi"/>
          <w:caps/>
          <w:color w:val="auto"/>
        </w:rPr>
        <w:t xml:space="preserve"> </w:t>
      </w:r>
      <w:r w:rsidR="004216DA" w:rsidRPr="00FD14B8">
        <w:rPr>
          <w:rFonts w:asciiTheme="minorHAnsi" w:hAnsiTheme="minorHAnsi"/>
          <w:caps/>
          <w:color w:val="auto"/>
        </w:rPr>
        <w:t xml:space="preserve">  </w:t>
      </w:r>
      <w:r w:rsidR="00A46494" w:rsidRPr="00FD14B8">
        <w:rPr>
          <w:rFonts w:asciiTheme="minorHAnsi" w:hAnsiTheme="minorHAnsi"/>
          <w:caps/>
          <w:color w:val="auto"/>
        </w:rPr>
        <w:t xml:space="preserve">                      </w:t>
      </w:r>
      <w:r w:rsidR="00B951E4">
        <w:rPr>
          <w:rFonts w:asciiTheme="minorHAnsi" w:hAnsiTheme="minorHAnsi"/>
          <w:caps/>
          <w:color w:val="auto"/>
        </w:rPr>
        <w:t xml:space="preserve">                             </w:t>
      </w:r>
      <w:r w:rsidR="00D2221E">
        <w:rPr>
          <w:rFonts w:asciiTheme="minorHAnsi" w:hAnsiTheme="minorHAnsi"/>
          <w:caps/>
          <w:color w:val="auto"/>
        </w:rPr>
        <w:t xml:space="preserve"> </w:t>
      </w:r>
      <w:r w:rsidR="002E24FF">
        <w:rPr>
          <w:rFonts w:asciiTheme="minorHAnsi" w:hAnsiTheme="minorHAnsi"/>
          <w:caps/>
          <w:color w:val="auto"/>
        </w:rPr>
        <w:t xml:space="preserve">      </w:t>
      </w:r>
      <w:r w:rsidRPr="00FD14B8">
        <w:rPr>
          <w:rFonts w:asciiTheme="minorHAnsi" w:hAnsiTheme="minorHAnsi"/>
          <w:caps/>
          <w:color w:val="auto"/>
        </w:rPr>
        <w:t xml:space="preserve">BRANCH OF SERVICE: </w:t>
      </w:r>
      <w:r w:rsidR="00C4523A" w:rsidRPr="00FD14B8">
        <w:rPr>
          <w:rFonts w:asciiTheme="minorHAnsi" w:hAnsiTheme="minorHAnsi"/>
          <w:caps/>
          <w:color w:val="auto"/>
        </w:rPr>
        <w:t>NAVY</w:t>
      </w:r>
    </w:p>
    <w:p w:rsidR="00DE3AAD" w:rsidRPr="00FD14B8"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FD14B8">
        <w:rPr>
          <w:rFonts w:asciiTheme="minorHAnsi" w:hAnsiTheme="minorHAnsi"/>
          <w:caps/>
          <w:color w:val="auto"/>
        </w:rPr>
        <w:t>C</w:t>
      </w:r>
      <w:r w:rsidR="00DE3AAD" w:rsidRPr="00FD14B8">
        <w:rPr>
          <w:rFonts w:asciiTheme="minorHAnsi" w:hAnsiTheme="minorHAnsi"/>
          <w:caps/>
          <w:color w:val="auto"/>
        </w:rPr>
        <w:t>ASE NUMBER:  PD0900</w:t>
      </w:r>
      <w:r w:rsidR="00C4523A" w:rsidRPr="00FD14B8">
        <w:rPr>
          <w:rFonts w:asciiTheme="minorHAnsi" w:hAnsiTheme="minorHAnsi"/>
          <w:caps/>
          <w:color w:val="auto"/>
        </w:rPr>
        <w:t>690</w:t>
      </w:r>
      <w:r w:rsidR="00DE3AAD" w:rsidRPr="00FD14B8">
        <w:rPr>
          <w:rFonts w:asciiTheme="minorHAnsi" w:hAnsiTheme="minorHAnsi"/>
          <w:color w:val="auto"/>
        </w:rPr>
        <w:t xml:space="preserve"> </w:t>
      </w:r>
      <w:r w:rsidR="00DE3AAD" w:rsidRPr="00FD14B8">
        <w:rPr>
          <w:rFonts w:asciiTheme="minorHAnsi" w:hAnsiTheme="minorHAnsi"/>
          <w:color w:val="auto"/>
        </w:rPr>
        <w:tab/>
        <w:t xml:space="preserve">         </w:t>
      </w:r>
      <w:r w:rsidR="00B951E4">
        <w:rPr>
          <w:rFonts w:asciiTheme="minorHAnsi" w:hAnsiTheme="minorHAnsi"/>
          <w:color w:val="auto"/>
        </w:rPr>
        <w:t xml:space="preserve">              </w:t>
      </w:r>
      <w:r w:rsidR="00F71785">
        <w:rPr>
          <w:rFonts w:asciiTheme="minorHAnsi" w:hAnsiTheme="minorHAnsi"/>
          <w:color w:val="auto"/>
        </w:rPr>
        <w:t xml:space="preserve"> </w:t>
      </w:r>
      <w:r w:rsidR="00B951E4">
        <w:rPr>
          <w:rFonts w:asciiTheme="minorHAnsi" w:hAnsiTheme="minorHAnsi"/>
          <w:color w:val="auto"/>
        </w:rPr>
        <w:t xml:space="preserve">  </w:t>
      </w:r>
      <w:r w:rsidR="00D2221E">
        <w:rPr>
          <w:rFonts w:asciiTheme="minorHAnsi" w:hAnsiTheme="minorHAnsi"/>
          <w:color w:val="auto"/>
        </w:rPr>
        <w:t xml:space="preserve">   </w:t>
      </w:r>
      <w:r w:rsidR="00DE3AAD" w:rsidRPr="00FD14B8">
        <w:rPr>
          <w:rFonts w:asciiTheme="minorHAnsi" w:hAnsiTheme="minorHAnsi"/>
          <w:color w:val="auto"/>
        </w:rPr>
        <w:t>SEPARATION DATE:  200</w:t>
      </w:r>
      <w:r w:rsidR="002E3526">
        <w:rPr>
          <w:rFonts w:asciiTheme="minorHAnsi" w:hAnsiTheme="minorHAnsi"/>
          <w:color w:val="auto"/>
        </w:rPr>
        <w:t>61020</w:t>
      </w:r>
    </w:p>
    <w:p w:rsidR="004F3639" w:rsidRPr="00FD14B8" w:rsidRDefault="004F3639" w:rsidP="00510F9C">
      <w:pPr>
        <w:tabs>
          <w:tab w:val="left" w:pos="288"/>
          <w:tab w:val="left" w:pos="5130"/>
        </w:tabs>
        <w:spacing w:line="240" w:lineRule="exact"/>
        <w:jc w:val="both"/>
        <w:rPr>
          <w:rFonts w:asciiTheme="minorHAnsi" w:hAnsiTheme="minorHAnsi"/>
          <w:color w:val="auto"/>
        </w:rPr>
      </w:pPr>
      <w:r w:rsidRPr="00FD14B8">
        <w:rPr>
          <w:rFonts w:asciiTheme="minorHAnsi" w:hAnsiTheme="minorHAnsi"/>
          <w:caps/>
          <w:color w:val="auto"/>
        </w:rPr>
        <w:t>BOARD DATE:  2011</w:t>
      </w:r>
      <w:r w:rsidR="00F71785">
        <w:rPr>
          <w:rFonts w:asciiTheme="minorHAnsi" w:hAnsiTheme="minorHAnsi"/>
          <w:caps/>
          <w:color w:val="auto"/>
        </w:rPr>
        <w:t>0610</w:t>
      </w:r>
    </w:p>
    <w:p w:rsidR="008E0D8F" w:rsidRPr="009512E2" w:rsidRDefault="008E0D8F" w:rsidP="00510F9C">
      <w:pPr>
        <w:pBdr>
          <w:bottom w:val="single" w:sz="12" w:space="1" w:color="auto"/>
        </w:pBdr>
        <w:tabs>
          <w:tab w:val="left" w:pos="288"/>
          <w:tab w:val="left" w:pos="4752"/>
        </w:tabs>
        <w:spacing w:line="240" w:lineRule="exact"/>
        <w:jc w:val="both"/>
        <w:rPr>
          <w:rFonts w:asciiTheme="minorHAnsi" w:hAnsiTheme="minorHAnsi"/>
          <w:color w:val="auto"/>
          <w:highlight w:val="yellow"/>
          <w:u w:val="single"/>
        </w:rPr>
      </w:pPr>
    </w:p>
    <w:p w:rsidR="003F1206" w:rsidRPr="00FD14B8" w:rsidRDefault="003F1206" w:rsidP="00510F9C">
      <w:pPr>
        <w:tabs>
          <w:tab w:val="left" w:pos="288"/>
          <w:tab w:val="left" w:pos="4752"/>
        </w:tabs>
        <w:spacing w:line="240" w:lineRule="exact"/>
        <w:jc w:val="both"/>
        <w:rPr>
          <w:rFonts w:asciiTheme="minorHAnsi" w:hAnsiTheme="minorHAnsi"/>
          <w:color w:val="auto"/>
        </w:rPr>
      </w:pPr>
    </w:p>
    <w:p w:rsidR="00204F12" w:rsidRPr="00396779" w:rsidRDefault="00FB0E80" w:rsidP="00E31414">
      <w:pPr>
        <w:tabs>
          <w:tab w:val="left" w:pos="288"/>
          <w:tab w:val="left" w:pos="4752"/>
        </w:tabs>
        <w:spacing w:line="240" w:lineRule="exact"/>
        <w:jc w:val="both"/>
        <w:rPr>
          <w:rFonts w:asciiTheme="minorHAnsi" w:hAnsiTheme="minorHAnsi"/>
          <w:color w:val="auto"/>
        </w:rPr>
      </w:pPr>
      <w:r w:rsidRPr="00FD14B8">
        <w:rPr>
          <w:rFonts w:asciiTheme="minorHAnsi" w:hAnsiTheme="minorHAnsi"/>
          <w:color w:val="auto"/>
          <w:u w:val="single"/>
        </w:rPr>
        <w:t>SUMMARY OF CASE</w:t>
      </w:r>
      <w:r w:rsidRPr="00FD14B8">
        <w:rPr>
          <w:rFonts w:asciiTheme="minorHAnsi" w:hAnsiTheme="minorHAnsi"/>
          <w:color w:val="auto"/>
        </w:rPr>
        <w:t xml:space="preserve">:  </w:t>
      </w:r>
      <w:r w:rsidR="009759C2" w:rsidRPr="00FD14B8">
        <w:rPr>
          <w:rFonts w:asciiTheme="minorHAnsi" w:hAnsiTheme="minorHAnsi"/>
          <w:color w:val="auto"/>
        </w:rPr>
        <w:t>Data extracted from the available evidence of record reflects that this covered individual (CI)</w:t>
      </w:r>
      <w:r w:rsidR="00570754" w:rsidRPr="00FD14B8">
        <w:rPr>
          <w:rFonts w:asciiTheme="minorHAnsi" w:hAnsiTheme="minorHAnsi"/>
          <w:color w:val="auto"/>
        </w:rPr>
        <w:t xml:space="preserve"> </w:t>
      </w:r>
      <w:r w:rsidR="002C6E5B" w:rsidRPr="00FD14B8">
        <w:rPr>
          <w:rFonts w:asciiTheme="minorHAnsi" w:hAnsiTheme="minorHAnsi"/>
          <w:color w:val="auto"/>
          <w:szCs w:val="24"/>
        </w:rPr>
        <w:t xml:space="preserve">was </w:t>
      </w:r>
      <w:r w:rsidR="00BC1500">
        <w:rPr>
          <w:rFonts w:asciiTheme="minorHAnsi" w:hAnsiTheme="minorHAnsi"/>
          <w:color w:val="auto"/>
          <w:szCs w:val="24"/>
        </w:rPr>
        <w:t>a</w:t>
      </w:r>
      <w:r w:rsidR="00E322F7" w:rsidRPr="00FD14B8">
        <w:rPr>
          <w:rFonts w:asciiTheme="minorHAnsi" w:hAnsiTheme="minorHAnsi"/>
          <w:color w:val="auto"/>
          <w:szCs w:val="24"/>
        </w:rPr>
        <w:t xml:space="preserve"> </w:t>
      </w:r>
      <w:r w:rsidR="002E65E6" w:rsidRPr="00FD14B8">
        <w:rPr>
          <w:rFonts w:asciiTheme="minorHAnsi" w:hAnsiTheme="minorHAnsi"/>
          <w:color w:val="auto"/>
          <w:szCs w:val="24"/>
        </w:rPr>
        <w:t>R</w:t>
      </w:r>
      <w:r w:rsidR="006D4E0E" w:rsidRPr="00FD14B8">
        <w:rPr>
          <w:rFonts w:asciiTheme="minorHAnsi" w:hAnsiTheme="minorHAnsi"/>
          <w:color w:val="auto"/>
          <w:szCs w:val="24"/>
        </w:rPr>
        <w:t xml:space="preserve">eserve </w:t>
      </w:r>
      <w:r w:rsidR="009A33BB" w:rsidRPr="00FD14B8">
        <w:rPr>
          <w:rFonts w:asciiTheme="minorHAnsi" w:hAnsiTheme="minorHAnsi"/>
          <w:color w:val="auto"/>
          <w:szCs w:val="24"/>
        </w:rPr>
        <w:t>HM3</w:t>
      </w:r>
      <w:r w:rsidR="00D2221E" w:rsidRPr="00FD14B8">
        <w:rPr>
          <w:rFonts w:asciiTheme="minorHAnsi" w:hAnsiTheme="minorHAnsi"/>
          <w:color w:val="auto"/>
          <w:szCs w:val="24"/>
        </w:rPr>
        <w:t xml:space="preserve"> </w:t>
      </w:r>
      <w:r w:rsidR="00705C40" w:rsidRPr="00FD14B8">
        <w:rPr>
          <w:rFonts w:asciiTheme="minorHAnsi" w:hAnsiTheme="minorHAnsi"/>
          <w:color w:val="auto"/>
          <w:szCs w:val="24"/>
        </w:rPr>
        <w:t>(</w:t>
      </w:r>
      <w:r w:rsidR="009A33BB" w:rsidRPr="00FD14B8">
        <w:rPr>
          <w:rFonts w:asciiTheme="minorHAnsi" w:hAnsiTheme="minorHAnsi"/>
          <w:color w:val="auto"/>
          <w:szCs w:val="24"/>
        </w:rPr>
        <w:t>8404</w:t>
      </w:r>
      <w:r w:rsidR="00C75F3D" w:rsidRPr="00FD14B8">
        <w:rPr>
          <w:rFonts w:asciiTheme="minorHAnsi" w:hAnsiTheme="minorHAnsi"/>
          <w:color w:val="auto"/>
          <w:szCs w:val="24"/>
        </w:rPr>
        <w:t>/</w:t>
      </w:r>
      <w:r w:rsidR="009A33BB" w:rsidRPr="00FD14B8">
        <w:rPr>
          <w:rFonts w:asciiTheme="minorHAnsi" w:hAnsiTheme="minorHAnsi"/>
          <w:color w:val="auto"/>
          <w:szCs w:val="24"/>
        </w:rPr>
        <w:t>Field Medical Service Technician</w:t>
      </w:r>
      <w:r w:rsidR="00E322F7" w:rsidRPr="00FD14B8">
        <w:rPr>
          <w:rFonts w:asciiTheme="minorHAnsi" w:hAnsiTheme="minorHAnsi"/>
          <w:color w:val="auto"/>
          <w:szCs w:val="24"/>
        </w:rPr>
        <w:t>)</w:t>
      </w:r>
      <w:r w:rsidR="00C75F3D" w:rsidRPr="00FD14B8">
        <w:rPr>
          <w:rFonts w:asciiTheme="minorHAnsi" w:hAnsiTheme="minorHAnsi"/>
          <w:color w:val="auto"/>
          <w:szCs w:val="24"/>
        </w:rPr>
        <w:t xml:space="preserve"> </w:t>
      </w:r>
      <w:r w:rsidR="002C6E5B" w:rsidRPr="00FD14B8">
        <w:rPr>
          <w:rFonts w:asciiTheme="minorHAnsi" w:hAnsiTheme="minorHAnsi"/>
          <w:color w:val="auto"/>
          <w:szCs w:val="24"/>
        </w:rPr>
        <w:t>medically separated for</w:t>
      </w:r>
      <w:r w:rsidR="009A33BB" w:rsidRPr="00FD14B8">
        <w:rPr>
          <w:rFonts w:asciiTheme="minorHAnsi" w:hAnsiTheme="minorHAnsi"/>
          <w:color w:val="auto"/>
          <w:szCs w:val="24"/>
        </w:rPr>
        <w:t xml:space="preserve"> chronic episodic positional ver</w:t>
      </w:r>
      <w:r w:rsidR="000969B1">
        <w:rPr>
          <w:rFonts w:asciiTheme="minorHAnsi" w:hAnsiTheme="minorHAnsi"/>
          <w:color w:val="auto"/>
          <w:szCs w:val="24"/>
        </w:rPr>
        <w:t xml:space="preserve">tigo and complete hearing loss of the </w:t>
      </w:r>
      <w:r w:rsidR="009A33BB" w:rsidRPr="00FD14B8">
        <w:rPr>
          <w:rFonts w:asciiTheme="minorHAnsi" w:hAnsiTheme="minorHAnsi"/>
          <w:color w:val="auto"/>
          <w:szCs w:val="24"/>
        </w:rPr>
        <w:t>left ear</w:t>
      </w:r>
      <w:r w:rsidR="00C75F3D" w:rsidRPr="00055F37">
        <w:rPr>
          <w:rFonts w:asciiTheme="minorHAnsi" w:hAnsiTheme="minorHAnsi"/>
          <w:color w:val="auto"/>
          <w:szCs w:val="24"/>
        </w:rPr>
        <w:t>.</w:t>
      </w:r>
      <w:r w:rsidR="00055F37" w:rsidRPr="00055F37">
        <w:rPr>
          <w:rFonts w:asciiTheme="minorHAnsi" w:hAnsiTheme="minorHAnsi"/>
          <w:color w:val="auto"/>
          <w:szCs w:val="24"/>
        </w:rPr>
        <w:t xml:space="preserve"> </w:t>
      </w:r>
      <w:r w:rsidR="00BC1500">
        <w:rPr>
          <w:rFonts w:asciiTheme="minorHAnsi" w:hAnsiTheme="minorHAnsi"/>
          <w:color w:val="auto"/>
          <w:szCs w:val="24"/>
        </w:rPr>
        <w:t xml:space="preserve"> </w:t>
      </w:r>
      <w:r w:rsidR="00C64821" w:rsidRPr="00F32693">
        <w:rPr>
          <w:rFonts w:asciiTheme="minorHAnsi" w:hAnsiTheme="minorHAnsi"/>
          <w:color w:val="auto"/>
          <w:szCs w:val="24"/>
        </w:rPr>
        <w:t>Symptoms</w:t>
      </w:r>
      <w:r w:rsidR="00055F37" w:rsidRPr="00F32693">
        <w:rPr>
          <w:rFonts w:asciiTheme="minorHAnsi" w:hAnsiTheme="minorHAnsi"/>
          <w:color w:val="auto"/>
          <w:szCs w:val="24"/>
        </w:rPr>
        <w:t xml:space="preserve"> began </w:t>
      </w:r>
      <w:r w:rsidR="00204F12" w:rsidRPr="00F32693">
        <w:rPr>
          <w:rFonts w:asciiTheme="minorHAnsi" w:hAnsiTheme="minorHAnsi"/>
          <w:color w:val="auto"/>
          <w:szCs w:val="24"/>
        </w:rPr>
        <w:t>in 2003</w:t>
      </w:r>
      <w:r w:rsidR="00055F37" w:rsidRPr="00F32693">
        <w:rPr>
          <w:rFonts w:asciiTheme="minorHAnsi" w:hAnsiTheme="minorHAnsi"/>
          <w:i/>
          <w:color w:val="auto"/>
          <w:szCs w:val="24"/>
        </w:rPr>
        <w:t>.</w:t>
      </w:r>
      <w:r w:rsidR="00E31414" w:rsidRPr="00F32693">
        <w:rPr>
          <w:rFonts w:asciiTheme="minorHAnsi" w:hAnsiTheme="minorHAnsi"/>
          <w:i/>
          <w:color w:val="auto"/>
          <w:szCs w:val="24"/>
        </w:rPr>
        <w:t xml:space="preserve">  </w:t>
      </w:r>
      <w:r w:rsidR="00C2577D" w:rsidRPr="00F32693">
        <w:rPr>
          <w:rFonts w:asciiTheme="minorHAnsi" w:hAnsiTheme="minorHAnsi"/>
          <w:color w:val="auto"/>
          <w:szCs w:val="24"/>
        </w:rPr>
        <w:t>Despite treatment, the hearing loss persisted.  The vestibular symptoms recurred and h</w:t>
      </w:r>
      <w:r w:rsidR="00E322F7" w:rsidRPr="00F32693">
        <w:rPr>
          <w:rFonts w:asciiTheme="minorHAnsi" w:hAnsiTheme="minorHAnsi"/>
          <w:color w:val="auto"/>
          <w:szCs w:val="24"/>
        </w:rPr>
        <w:t xml:space="preserve">e did not respond adequately </w:t>
      </w:r>
      <w:r w:rsidR="00C75F3D" w:rsidRPr="00F32693">
        <w:rPr>
          <w:rFonts w:asciiTheme="minorHAnsi" w:hAnsiTheme="minorHAnsi"/>
          <w:color w:val="auto"/>
          <w:szCs w:val="24"/>
        </w:rPr>
        <w:t>to treatment</w:t>
      </w:r>
      <w:r w:rsidR="00204F12" w:rsidRPr="00F32693">
        <w:rPr>
          <w:rFonts w:asciiTheme="minorHAnsi" w:hAnsiTheme="minorHAnsi"/>
          <w:color w:val="auto"/>
          <w:szCs w:val="24"/>
        </w:rPr>
        <w:t>,</w:t>
      </w:r>
      <w:r w:rsidR="00C75F3D" w:rsidRPr="00F32693">
        <w:rPr>
          <w:rFonts w:asciiTheme="minorHAnsi" w:hAnsiTheme="minorHAnsi"/>
          <w:color w:val="auto"/>
          <w:szCs w:val="24"/>
        </w:rPr>
        <w:t xml:space="preserve"> </w:t>
      </w:r>
      <w:r w:rsidR="00204F12" w:rsidRPr="00F32693">
        <w:rPr>
          <w:rFonts w:asciiTheme="minorHAnsi" w:hAnsiTheme="minorHAnsi"/>
          <w:color w:val="auto"/>
          <w:szCs w:val="24"/>
        </w:rPr>
        <w:t xml:space="preserve">including surgery, </w:t>
      </w:r>
      <w:r w:rsidR="00C75F3D" w:rsidRPr="00F32693">
        <w:rPr>
          <w:rFonts w:asciiTheme="minorHAnsi" w:hAnsiTheme="minorHAnsi"/>
          <w:color w:val="auto"/>
          <w:szCs w:val="24"/>
        </w:rPr>
        <w:t xml:space="preserve">and was unable to </w:t>
      </w:r>
      <w:r w:rsidR="00E322F7" w:rsidRPr="00F32693">
        <w:rPr>
          <w:rFonts w:asciiTheme="minorHAnsi" w:hAnsiTheme="minorHAnsi"/>
          <w:color w:val="auto"/>
          <w:szCs w:val="24"/>
        </w:rPr>
        <w:t xml:space="preserve">perform within his </w:t>
      </w:r>
      <w:r w:rsidR="00E31414" w:rsidRPr="00F32693">
        <w:rPr>
          <w:rFonts w:asciiTheme="minorHAnsi" w:hAnsiTheme="minorHAnsi"/>
          <w:color w:val="auto"/>
          <w:szCs w:val="24"/>
        </w:rPr>
        <w:t>r</w:t>
      </w:r>
      <w:r w:rsidR="004C1EF8" w:rsidRPr="00F32693">
        <w:rPr>
          <w:rFonts w:asciiTheme="minorHAnsi" w:hAnsiTheme="minorHAnsi"/>
          <w:color w:val="auto"/>
          <w:szCs w:val="24"/>
        </w:rPr>
        <w:t xml:space="preserve">ating </w:t>
      </w:r>
      <w:r w:rsidR="002752AE" w:rsidRPr="00F32693">
        <w:rPr>
          <w:rFonts w:asciiTheme="minorHAnsi" w:hAnsiTheme="minorHAnsi"/>
          <w:color w:val="auto"/>
          <w:szCs w:val="24"/>
        </w:rPr>
        <w:t xml:space="preserve">or </w:t>
      </w:r>
      <w:r w:rsidR="00B951E4" w:rsidRPr="00F32693">
        <w:rPr>
          <w:rFonts w:asciiTheme="minorHAnsi" w:hAnsiTheme="minorHAnsi"/>
          <w:color w:val="auto"/>
          <w:szCs w:val="24"/>
        </w:rPr>
        <w:t xml:space="preserve">to </w:t>
      </w:r>
      <w:r w:rsidR="002752AE" w:rsidRPr="00F32693">
        <w:rPr>
          <w:rFonts w:asciiTheme="minorHAnsi" w:hAnsiTheme="minorHAnsi"/>
          <w:color w:val="auto"/>
          <w:szCs w:val="24"/>
        </w:rPr>
        <w:t xml:space="preserve">meet </w:t>
      </w:r>
      <w:r w:rsidR="0044411E" w:rsidRPr="00F32693">
        <w:rPr>
          <w:rFonts w:asciiTheme="minorHAnsi" w:hAnsiTheme="minorHAnsi"/>
          <w:color w:val="auto"/>
          <w:szCs w:val="24"/>
        </w:rPr>
        <w:t xml:space="preserve">physical fitness </w:t>
      </w:r>
      <w:r w:rsidR="002752AE" w:rsidRPr="00F32693">
        <w:rPr>
          <w:rFonts w:asciiTheme="minorHAnsi" w:hAnsiTheme="minorHAnsi"/>
          <w:color w:val="auto"/>
          <w:szCs w:val="24"/>
        </w:rPr>
        <w:t>standards</w:t>
      </w:r>
      <w:r w:rsidR="00555C66" w:rsidRPr="00F32693">
        <w:rPr>
          <w:rFonts w:asciiTheme="minorHAnsi" w:hAnsiTheme="minorHAnsi"/>
          <w:color w:val="auto"/>
          <w:szCs w:val="24"/>
        </w:rPr>
        <w:t>.</w:t>
      </w:r>
      <w:r w:rsidR="00555C66" w:rsidRPr="00FD14B8">
        <w:rPr>
          <w:rFonts w:asciiTheme="minorHAnsi" w:hAnsiTheme="minorHAnsi"/>
          <w:color w:val="auto"/>
          <w:szCs w:val="24"/>
        </w:rPr>
        <w:t xml:space="preserve">  He was </w:t>
      </w:r>
      <w:r w:rsidR="002E65E6" w:rsidRPr="00FD14B8">
        <w:rPr>
          <w:rFonts w:asciiTheme="minorHAnsi" w:hAnsiTheme="minorHAnsi"/>
          <w:color w:val="auto"/>
          <w:szCs w:val="24"/>
        </w:rPr>
        <w:t>placed on l</w:t>
      </w:r>
      <w:r w:rsidR="0044411E" w:rsidRPr="00FD14B8">
        <w:rPr>
          <w:rFonts w:asciiTheme="minorHAnsi" w:hAnsiTheme="minorHAnsi"/>
          <w:color w:val="auto"/>
          <w:szCs w:val="24"/>
        </w:rPr>
        <w:t xml:space="preserve">imited </w:t>
      </w:r>
      <w:r w:rsidR="002E65E6" w:rsidRPr="00FD14B8">
        <w:rPr>
          <w:rFonts w:asciiTheme="minorHAnsi" w:hAnsiTheme="minorHAnsi"/>
          <w:color w:val="auto"/>
          <w:szCs w:val="24"/>
        </w:rPr>
        <w:t>d</w:t>
      </w:r>
      <w:r w:rsidR="0044411E" w:rsidRPr="00FD14B8">
        <w:rPr>
          <w:rFonts w:asciiTheme="minorHAnsi" w:hAnsiTheme="minorHAnsi"/>
          <w:color w:val="auto"/>
          <w:szCs w:val="24"/>
        </w:rPr>
        <w:t>uty</w:t>
      </w:r>
      <w:r w:rsidR="00B951E4">
        <w:rPr>
          <w:rFonts w:asciiTheme="minorHAnsi" w:hAnsiTheme="minorHAnsi"/>
          <w:color w:val="auto"/>
          <w:szCs w:val="24"/>
        </w:rPr>
        <w:t xml:space="preserve"> (LIMDU)</w:t>
      </w:r>
      <w:r w:rsidR="0044411E" w:rsidRPr="00FD14B8">
        <w:rPr>
          <w:rFonts w:asciiTheme="minorHAnsi" w:hAnsiTheme="minorHAnsi"/>
          <w:color w:val="auto"/>
          <w:szCs w:val="24"/>
        </w:rPr>
        <w:t xml:space="preserve"> </w:t>
      </w:r>
      <w:r w:rsidR="00E322F7" w:rsidRPr="00FD14B8">
        <w:rPr>
          <w:rFonts w:asciiTheme="minorHAnsi" w:hAnsiTheme="minorHAnsi"/>
          <w:color w:val="auto"/>
          <w:szCs w:val="24"/>
        </w:rPr>
        <w:t xml:space="preserve">and underwent a </w:t>
      </w:r>
      <w:r w:rsidR="00705C40" w:rsidRPr="00FD14B8">
        <w:rPr>
          <w:rFonts w:asciiTheme="minorHAnsi" w:hAnsiTheme="minorHAnsi"/>
          <w:color w:val="auto"/>
          <w:szCs w:val="24"/>
        </w:rPr>
        <w:t>Medical Evaluation Board (</w:t>
      </w:r>
      <w:r w:rsidR="00E322F7" w:rsidRPr="00FD14B8">
        <w:rPr>
          <w:rFonts w:asciiTheme="minorHAnsi" w:hAnsiTheme="minorHAnsi"/>
          <w:color w:val="auto"/>
          <w:szCs w:val="24"/>
        </w:rPr>
        <w:t>MEB</w:t>
      </w:r>
      <w:r w:rsidR="00705C40" w:rsidRPr="00FD14B8">
        <w:rPr>
          <w:rFonts w:asciiTheme="minorHAnsi" w:hAnsiTheme="minorHAnsi"/>
          <w:color w:val="auto"/>
          <w:szCs w:val="24"/>
        </w:rPr>
        <w:t>)</w:t>
      </w:r>
      <w:r w:rsidR="00E322F7" w:rsidRPr="00FD14B8">
        <w:rPr>
          <w:rFonts w:asciiTheme="minorHAnsi" w:hAnsiTheme="minorHAnsi"/>
          <w:color w:val="auto"/>
          <w:szCs w:val="24"/>
        </w:rPr>
        <w:t>.</w:t>
      </w:r>
      <w:r w:rsidR="00E31414">
        <w:rPr>
          <w:rFonts w:asciiTheme="minorHAnsi" w:hAnsiTheme="minorHAnsi"/>
          <w:color w:val="auto"/>
          <w:szCs w:val="24"/>
        </w:rPr>
        <w:t xml:space="preserve">  </w:t>
      </w:r>
      <w:r w:rsidR="009A33BB" w:rsidRPr="00FD14B8">
        <w:rPr>
          <w:rFonts w:asciiTheme="minorHAnsi" w:hAnsiTheme="minorHAnsi"/>
          <w:color w:val="auto"/>
          <w:szCs w:val="24"/>
        </w:rPr>
        <w:t xml:space="preserve">Chronic </w:t>
      </w:r>
      <w:r w:rsidR="000969B1">
        <w:rPr>
          <w:rFonts w:asciiTheme="minorHAnsi" w:hAnsiTheme="minorHAnsi"/>
          <w:color w:val="auto"/>
          <w:szCs w:val="24"/>
        </w:rPr>
        <w:t>e</w:t>
      </w:r>
      <w:r w:rsidR="009A33BB" w:rsidRPr="00FD14B8">
        <w:rPr>
          <w:rFonts w:asciiTheme="minorHAnsi" w:hAnsiTheme="minorHAnsi"/>
          <w:color w:val="auto"/>
          <w:szCs w:val="24"/>
        </w:rPr>
        <w:t xml:space="preserve">pisodic </w:t>
      </w:r>
      <w:r w:rsidR="000969B1">
        <w:rPr>
          <w:rFonts w:asciiTheme="minorHAnsi" w:hAnsiTheme="minorHAnsi"/>
          <w:color w:val="auto"/>
          <w:szCs w:val="24"/>
        </w:rPr>
        <w:t>p</w:t>
      </w:r>
      <w:r w:rsidR="009A33BB" w:rsidRPr="00FD14B8">
        <w:rPr>
          <w:rFonts w:asciiTheme="minorHAnsi" w:hAnsiTheme="minorHAnsi"/>
          <w:color w:val="auto"/>
          <w:szCs w:val="24"/>
        </w:rPr>
        <w:t xml:space="preserve">ositional </w:t>
      </w:r>
      <w:r w:rsidR="000969B1">
        <w:rPr>
          <w:rFonts w:asciiTheme="minorHAnsi" w:hAnsiTheme="minorHAnsi"/>
          <w:color w:val="auto"/>
          <w:szCs w:val="24"/>
        </w:rPr>
        <w:t>v</w:t>
      </w:r>
      <w:r w:rsidR="009A33BB" w:rsidRPr="00FD14B8">
        <w:rPr>
          <w:rFonts w:asciiTheme="minorHAnsi" w:hAnsiTheme="minorHAnsi"/>
          <w:color w:val="auto"/>
          <w:szCs w:val="24"/>
        </w:rPr>
        <w:t xml:space="preserve">ertigo </w:t>
      </w:r>
      <w:r w:rsidR="000328E9">
        <w:rPr>
          <w:rFonts w:asciiTheme="minorHAnsi" w:hAnsiTheme="minorHAnsi"/>
          <w:color w:val="auto"/>
          <w:szCs w:val="24"/>
        </w:rPr>
        <w:t>and</w:t>
      </w:r>
      <w:r w:rsidR="009A33BB" w:rsidRPr="00FD14B8">
        <w:rPr>
          <w:rFonts w:asciiTheme="minorHAnsi" w:hAnsiTheme="minorHAnsi"/>
          <w:color w:val="auto"/>
          <w:szCs w:val="24"/>
        </w:rPr>
        <w:t xml:space="preserve"> </w:t>
      </w:r>
      <w:r w:rsidR="000969B1">
        <w:rPr>
          <w:rFonts w:asciiTheme="minorHAnsi" w:hAnsiTheme="minorHAnsi"/>
          <w:color w:val="auto"/>
          <w:szCs w:val="24"/>
        </w:rPr>
        <w:t>c</w:t>
      </w:r>
      <w:r w:rsidR="009A33BB" w:rsidRPr="00FD14B8">
        <w:rPr>
          <w:rFonts w:asciiTheme="minorHAnsi" w:hAnsiTheme="minorHAnsi"/>
          <w:color w:val="auto"/>
          <w:szCs w:val="24"/>
        </w:rPr>
        <w:t xml:space="preserve">omplete </w:t>
      </w:r>
      <w:r w:rsidR="000969B1">
        <w:rPr>
          <w:rFonts w:asciiTheme="minorHAnsi" w:hAnsiTheme="minorHAnsi"/>
          <w:color w:val="auto"/>
          <w:szCs w:val="24"/>
        </w:rPr>
        <w:t>h</w:t>
      </w:r>
      <w:r w:rsidR="009A33BB" w:rsidRPr="00FD14B8">
        <w:rPr>
          <w:rFonts w:asciiTheme="minorHAnsi" w:hAnsiTheme="minorHAnsi"/>
          <w:color w:val="auto"/>
          <w:szCs w:val="24"/>
        </w:rPr>
        <w:t xml:space="preserve">earing </w:t>
      </w:r>
      <w:r w:rsidR="000969B1">
        <w:rPr>
          <w:rFonts w:asciiTheme="minorHAnsi" w:hAnsiTheme="minorHAnsi"/>
          <w:color w:val="auto"/>
          <w:szCs w:val="24"/>
        </w:rPr>
        <w:t>l</w:t>
      </w:r>
      <w:r w:rsidR="009A33BB" w:rsidRPr="00FD14B8">
        <w:rPr>
          <w:rFonts w:asciiTheme="minorHAnsi" w:hAnsiTheme="minorHAnsi"/>
          <w:color w:val="auto"/>
          <w:szCs w:val="24"/>
        </w:rPr>
        <w:t xml:space="preserve">oss, </w:t>
      </w:r>
      <w:r w:rsidR="000969B1">
        <w:rPr>
          <w:rFonts w:asciiTheme="minorHAnsi" w:hAnsiTheme="minorHAnsi"/>
          <w:color w:val="auto"/>
          <w:szCs w:val="24"/>
        </w:rPr>
        <w:t>l</w:t>
      </w:r>
      <w:r w:rsidR="009A33BB" w:rsidRPr="00FD14B8">
        <w:rPr>
          <w:rFonts w:asciiTheme="minorHAnsi" w:hAnsiTheme="minorHAnsi"/>
          <w:color w:val="auto"/>
          <w:szCs w:val="24"/>
        </w:rPr>
        <w:t xml:space="preserve">eft </w:t>
      </w:r>
      <w:r w:rsidR="000969B1">
        <w:rPr>
          <w:rFonts w:asciiTheme="minorHAnsi" w:hAnsiTheme="minorHAnsi"/>
          <w:color w:val="auto"/>
          <w:szCs w:val="24"/>
        </w:rPr>
        <w:t>e</w:t>
      </w:r>
      <w:r w:rsidR="009A33BB" w:rsidRPr="00FD14B8">
        <w:rPr>
          <w:rFonts w:asciiTheme="minorHAnsi" w:hAnsiTheme="minorHAnsi"/>
          <w:color w:val="auto"/>
          <w:szCs w:val="24"/>
        </w:rPr>
        <w:t>ar</w:t>
      </w:r>
      <w:r w:rsidR="00204F12">
        <w:rPr>
          <w:rFonts w:asciiTheme="minorHAnsi" w:hAnsiTheme="minorHAnsi"/>
          <w:color w:val="auto"/>
          <w:szCs w:val="24"/>
        </w:rPr>
        <w:t>,</w:t>
      </w:r>
      <w:r w:rsidR="000A33C8" w:rsidRPr="00FD14B8">
        <w:rPr>
          <w:rFonts w:asciiTheme="minorHAnsi" w:hAnsiTheme="minorHAnsi"/>
          <w:color w:val="auto"/>
          <w:szCs w:val="24"/>
        </w:rPr>
        <w:t xml:space="preserve"> were forwarded to the </w:t>
      </w:r>
      <w:r w:rsidR="000969B1">
        <w:rPr>
          <w:rFonts w:asciiTheme="minorHAnsi" w:hAnsiTheme="minorHAnsi"/>
          <w:color w:val="auto"/>
          <w:szCs w:val="24"/>
        </w:rPr>
        <w:t xml:space="preserve">Informal </w:t>
      </w:r>
      <w:r w:rsidR="000A33C8" w:rsidRPr="00FD14B8">
        <w:rPr>
          <w:rFonts w:asciiTheme="minorHAnsi" w:hAnsiTheme="minorHAnsi"/>
          <w:color w:val="auto"/>
          <w:szCs w:val="24"/>
        </w:rPr>
        <w:t>Physical Evaluation Board (</w:t>
      </w:r>
      <w:r w:rsidR="000969B1">
        <w:rPr>
          <w:rFonts w:asciiTheme="minorHAnsi" w:hAnsiTheme="minorHAnsi"/>
          <w:color w:val="auto"/>
          <w:szCs w:val="24"/>
        </w:rPr>
        <w:t>I</w:t>
      </w:r>
      <w:r w:rsidR="000A33C8" w:rsidRPr="00FD14B8">
        <w:rPr>
          <w:rFonts w:asciiTheme="minorHAnsi" w:hAnsiTheme="minorHAnsi"/>
          <w:color w:val="auto"/>
          <w:szCs w:val="24"/>
        </w:rPr>
        <w:t xml:space="preserve">PEB) as medically unacceptable IAW </w:t>
      </w:r>
      <w:r w:rsidR="00AB1F8D" w:rsidRPr="00FD14B8">
        <w:rPr>
          <w:rFonts w:asciiTheme="minorHAnsi" w:hAnsiTheme="minorHAnsi"/>
          <w:color w:val="auto"/>
          <w:szCs w:val="24"/>
        </w:rPr>
        <w:t>SECNAVINST 1850.4</w:t>
      </w:r>
      <w:r w:rsidR="009A33BB" w:rsidRPr="00FD14B8">
        <w:rPr>
          <w:rFonts w:asciiTheme="minorHAnsi" w:hAnsiTheme="minorHAnsi"/>
          <w:color w:val="auto"/>
          <w:szCs w:val="24"/>
        </w:rPr>
        <w:t>.</w:t>
      </w:r>
      <w:r w:rsidR="00E31414">
        <w:rPr>
          <w:rFonts w:asciiTheme="minorHAnsi" w:hAnsiTheme="minorHAnsi"/>
          <w:color w:val="auto"/>
          <w:szCs w:val="24"/>
        </w:rPr>
        <w:t xml:space="preserve">  </w:t>
      </w:r>
      <w:r w:rsidR="00B20624" w:rsidRPr="00FD14B8">
        <w:rPr>
          <w:rFonts w:asciiTheme="minorHAnsi" w:hAnsiTheme="minorHAnsi"/>
          <w:color w:val="auto"/>
          <w:szCs w:val="24"/>
        </w:rPr>
        <w:t xml:space="preserve">The </w:t>
      </w:r>
      <w:r w:rsidR="002E24FF">
        <w:rPr>
          <w:rFonts w:asciiTheme="minorHAnsi" w:hAnsiTheme="minorHAnsi"/>
          <w:color w:val="auto"/>
          <w:szCs w:val="24"/>
        </w:rPr>
        <w:t>I</w:t>
      </w:r>
      <w:r w:rsidR="007828B4" w:rsidRPr="00FD14B8">
        <w:rPr>
          <w:rFonts w:asciiTheme="minorHAnsi" w:hAnsiTheme="minorHAnsi"/>
          <w:color w:val="auto"/>
          <w:szCs w:val="24"/>
        </w:rPr>
        <w:t>PEB</w:t>
      </w:r>
      <w:r w:rsidR="00B20624" w:rsidRPr="00FD14B8">
        <w:rPr>
          <w:rFonts w:asciiTheme="minorHAnsi" w:hAnsiTheme="minorHAnsi"/>
          <w:color w:val="auto"/>
          <w:szCs w:val="24"/>
        </w:rPr>
        <w:t xml:space="preserve"> adjudicated the </w:t>
      </w:r>
      <w:r w:rsidR="009A33BB" w:rsidRPr="00FD14B8">
        <w:rPr>
          <w:rFonts w:asciiTheme="minorHAnsi" w:hAnsiTheme="minorHAnsi"/>
          <w:color w:val="auto"/>
          <w:szCs w:val="24"/>
        </w:rPr>
        <w:t>chronic episodic positional vertigo</w:t>
      </w:r>
      <w:r w:rsidR="00B20624" w:rsidRPr="00FD14B8">
        <w:rPr>
          <w:rFonts w:asciiTheme="minorHAnsi" w:hAnsiTheme="minorHAnsi"/>
          <w:color w:val="auto"/>
          <w:szCs w:val="24"/>
        </w:rPr>
        <w:t xml:space="preserve"> condition and </w:t>
      </w:r>
      <w:r w:rsidR="009A33BB" w:rsidRPr="00FD14B8">
        <w:rPr>
          <w:rFonts w:asciiTheme="minorHAnsi" w:hAnsiTheme="minorHAnsi"/>
          <w:color w:val="auto"/>
          <w:szCs w:val="24"/>
        </w:rPr>
        <w:t>complete hearing loss, left ear</w:t>
      </w:r>
      <w:r w:rsidR="00B20624" w:rsidRPr="00FD14B8">
        <w:rPr>
          <w:rFonts w:asciiTheme="minorHAnsi" w:hAnsiTheme="minorHAnsi"/>
          <w:color w:val="auto"/>
          <w:szCs w:val="24"/>
        </w:rPr>
        <w:t xml:space="preserve"> </w:t>
      </w:r>
      <w:r w:rsidR="00C127F2" w:rsidRPr="00FD14B8">
        <w:rPr>
          <w:rFonts w:asciiTheme="minorHAnsi" w:hAnsiTheme="minorHAnsi"/>
          <w:color w:val="auto"/>
          <w:szCs w:val="24"/>
        </w:rPr>
        <w:t xml:space="preserve">condition </w:t>
      </w:r>
      <w:r w:rsidR="00B20624" w:rsidRPr="00FD14B8">
        <w:rPr>
          <w:rFonts w:asciiTheme="minorHAnsi" w:hAnsiTheme="minorHAnsi"/>
          <w:color w:val="auto"/>
          <w:szCs w:val="24"/>
        </w:rPr>
        <w:t xml:space="preserve">as unfitting, </w:t>
      </w:r>
      <w:r w:rsidR="004C03AD">
        <w:rPr>
          <w:rFonts w:asciiTheme="minorHAnsi" w:hAnsiTheme="minorHAnsi"/>
          <w:color w:val="auto"/>
          <w:szCs w:val="24"/>
        </w:rPr>
        <w:t xml:space="preserve">each </w:t>
      </w:r>
      <w:r w:rsidR="00B20624" w:rsidRPr="00FD14B8">
        <w:rPr>
          <w:rFonts w:asciiTheme="minorHAnsi" w:hAnsiTheme="minorHAnsi"/>
          <w:color w:val="auto"/>
          <w:szCs w:val="24"/>
        </w:rPr>
        <w:t xml:space="preserve">rated </w:t>
      </w:r>
      <w:r w:rsidR="009A33BB" w:rsidRPr="00FD14B8">
        <w:rPr>
          <w:rFonts w:asciiTheme="minorHAnsi" w:hAnsiTheme="minorHAnsi"/>
          <w:color w:val="auto"/>
          <w:szCs w:val="24"/>
        </w:rPr>
        <w:t>10%</w:t>
      </w:r>
      <w:r w:rsidR="00B80EDD" w:rsidRPr="00FD14B8">
        <w:rPr>
          <w:rFonts w:asciiTheme="minorHAnsi" w:hAnsiTheme="minorHAnsi"/>
          <w:color w:val="auto"/>
          <w:szCs w:val="24"/>
        </w:rPr>
        <w:t>,</w:t>
      </w:r>
      <w:r w:rsidR="00B20624" w:rsidRPr="00FD14B8">
        <w:rPr>
          <w:rFonts w:asciiTheme="minorHAnsi" w:hAnsiTheme="minorHAnsi"/>
          <w:color w:val="auto"/>
          <w:szCs w:val="24"/>
        </w:rPr>
        <w:t xml:space="preserve"> with application of </w:t>
      </w:r>
      <w:r w:rsidR="00065E21" w:rsidRPr="00FD14B8">
        <w:rPr>
          <w:rFonts w:asciiTheme="minorHAnsi" w:hAnsiTheme="minorHAnsi"/>
          <w:color w:val="auto"/>
          <w:szCs w:val="24"/>
        </w:rPr>
        <w:t>SECNAVINST 1850.4E</w:t>
      </w:r>
      <w:r w:rsidR="002B0204" w:rsidRPr="00FD14B8">
        <w:rPr>
          <w:rFonts w:asciiTheme="minorHAnsi" w:hAnsiTheme="minorHAnsi"/>
          <w:color w:val="auto"/>
          <w:szCs w:val="24"/>
        </w:rPr>
        <w:t xml:space="preserve"> </w:t>
      </w:r>
      <w:r w:rsidR="003A5958" w:rsidRPr="00FD14B8">
        <w:rPr>
          <w:rFonts w:asciiTheme="minorHAnsi" w:hAnsiTheme="minorHAnsi"/>
          <w:color w:val="auto"/>
          <w:szCs w:val="24"/>
        </w:rPr>
        <w:t xml:space="preserve">and </w:t>
      </w:r>
      <w:r w:rsidR="00B20624" w:rsidRPr="00FD14B8">
        <w:rPr>
          <w:rFonts w:asciiTheme="minorHAnsi" w:hAnsiTheme="minorHAnsi"/>
          <w:color w:val="auto"/>
          <w:szCs w:val="24"/>
        </w:rPr>
        <w:t>DoDI 1332.39</w:t>
      </w:r>
      <w:r w:rsidR="000812A9">
        <w:rPr>
          <w:rFonts w:asciiTheme="minorHAnsi" w:hAnsiTheme="minorHAnsi"/>
          <w:color w:val="auto"/>
          <w:szCs w:val="24"/>
        </w:rPr>
        <w:t xml:space="preserve"> and the VA Schedule </w:t>
      </w:r>
      <w:r w:rsidR="002E24FF">
        <w:rPr>
          <w:rFonts w:asciiTheme="minorHAnsi" w:hAnsiTheme="minorHAnsi"/>
          <w:color w:val="auto"/>
          <w:szCs w:val="24"/>
        </w:rPr>
        <w:t>for</w:t>
      </w:r>
      <w:r w:rsidR="000812A9">
        <w:rPr>
          <w:rFonts w:asciiTheme="minorHAnsi" w:hAnsiTheme="minorHAnsi"/>
          <w:color w:val="auto"/>
          <w:szCs w:val="24"/>
        </w:rPr>
        <w:t xml:space="preserve"> </w:t>
      </w:r>
      <w:r w:rsidR="00B951E4">
        <w:rPr>
          <w:rFonts w:asciiTheme="minorHAnsi" w:hAnsiTheme="minorHAnsi"/>
          <w:color w:val="auto"/>
          <w:szCs w:val="24"/>
        </w:rPr>
        <w:t>R</w:t>
      </w:r>
      <w:r w:rsidR="000812A9">
        <w:rPr>
          <w:rFonts w:asciiTheme="minorHAnsi" w:hAnsiTheme="minorHAnsi"/>
          <w:color w:val="auto"/>
          <w:szCs w:val="24"/>
        </w:rPr>
        <w:t>ating Disabilities (VASRD)</w:t>
      </w:r>
      <w:r w:rsidR="00B20624" w:rsidRPr="00FD14B8">
        <w:rPr>
          <w:rFonts w:asciiTheme="minorHAnsi" w:hAnsiTheme="minorHAnsi"/>
          <w:color w:val="auto"/>
          <w:szCs w:val="24"/>
        </w:rPr>
        <w:t>.</w:t>
      </w:r>
      <w:r w:rsidR="00407AFA">
        <w:rPr>
          <w:rFonts w:asciiTheme="minorHAnsi" w:hAnsiTheme="minorHAnsi"/>
          <w:color w:val="auto"/>
          <w:szCs w:val="24"/>
        </w:rPr>
        <w:t xml:space="preserve">  The CI </w:t>
      </w:r>
      <w:r w:rsidR="004C03AD">
        <w:rPr>
          <w:rFonts w:asciiTheme="minorHAnsi" w:hAnsiTheme="minorHAnsi"/>
          <w:color w:val="auto"/>
          <w:szCs w:val="24"/>
        </w:rPr>
        <w:t>appealed to the</w:t>
      </w:r>
      <w:r w:rsidR="00407AFA">
        <w:rPr>
          <w:rFonts w:asciiTheme="minorHAnsi" w:hAnsiTheme="minorHAnsi"/>
          <w:color w:val="auto"/>
          <w:szCs w:val="24"/>
        </w:rPr>
        <w:t xml:space="preserve"> Formal PEB </w:t>
      </w:r>
      <w:r w:rsidR="004C03AD">
        <w:rPr>
          <w:rFonts w:asciiTheme="minorHAnsi" w:hAnsiTheme="minorHAnsi"/>
          <w:color w:val="auto"/>
          <w:szCs w:val="24"/>
        </w:rPr>
        <w:t xml:space="preserve">(FPEB) which </w:t>
      </w:r>
      <w:r w:rsidR="00407AFA">
        <w:rPr>
          <w:rFonts w:asciiTheme="minorHAnsi" w:hAnsiTheme="minorHAnsi"/>
          <w:color w:val="auto"/>
          <w:szCs w:val="24"/>
        </w:rPr>
        <w:t xml:space="preserve">upheld the IPEB adjudication.  He then </w:t>
      </w:r>
      <w:r w:rsidR="004C03AD">
        <w:rPr>
          <w:rFonts w:asciiTheme="minorHAnsi" w:hAnsiTheme="minorHAnsi"/>
          <w:color w:val="auto"/>
        </w:rPr>
        <w:t xml:space="preserve">submitted a Petition for Relief (PFR) </w:t>
      </w:r>
      <w:r w:rsidR="00437D77" w:rsidRPr="00FD14B8">
        <w:rPr>
          <w:rFonts w:asciiTheme="minorHAnsi" w:hAnsiTheme="minorHAnsi"/>
          <w:color w:val="auto"/>
        </w:rPr>
        <w:t xml:space="preserve">to </w:t>
      </w:r>
      <w:r w:rsidR="004C03AD">
        <w:rPr>
          <w:rFonts w:asciiTheme="minorHAnsi" w:hAnsiTheme="minorHAnsi"/>
          <w:color w:val="auto"/>
        </w:rPr>
        <w:t xml:space="preserve">the Naval Council of Review </w:t>
      </w:r>
      <w:r w:rsidR="00CB7E8D">
        <w:rPr>
          <w:rFonts w:asciiTheme="minorHAnsi" w:hAnsiTheme="minorHAnsi"/>
          <w:color w:val="auto"/>
        </w:rPr>
        <w:t>Boards (N</w:t>
      </w:r>
      <w:r w:rsidR="004C03AD" w:rsidRPr="00FD14B8">
        <w:rPr>
          <w:rFonts w:asciiTheme="minorHAnsi" w:hAnsiTheme="minorHAnsi"/>
          <w:color w:val="auto"/>
        </w:rPr>
        <w:t>C</w:t>
      </w:r>
      <w:r w:rsidR="00437D77" w:rsidRPr="00FD14B8">
        <w:rPr>
          <w:rFonts w:asciiTheme="minorHAnsi" w:hAnsiTheme="minorHAnsi"/>
          <w:color w:val="auto"/>
        </w:rPr>
        <w:t>R</w:t>
      </w:r>
      <w:r w:rsidR="004C03AD" w:rsidRPr="00FD14B8">
        <w:rPr>
          <w:rFonts w:asciiTheme="minorHAnsi" w:hAnsiTheme="minorHAnsi"/>
          <w:color w:val="auto"/>
        </w:rPr>
        <w:t>B</w:t>
      </w:r>
      <w:r w:rsidR="00CB7E8D">
        <w:rPr>
          <w:rFonts w:asciiTheme="minorHAnsi" w:hAnsiTheme="minorHAnsi"/>
          <w:color w:val="auto"/>
        </w:rPr>
        <w:t>)</w:t>
      </w:r>
      <w:r w:rsidR="009A33BB" w:rsidRPr="00FD14B8">
        <w:rPr>
          <w:rFonts w:asciiTheme="minorHAnsi" w:hAnsiTheme="minorHAnsi"/>
          <w:color w:val="auto"/>
        </w:rPr>
        <w:t xml:space="preserve"> </w:t>
      </w:r>
      <w:r w:rsidR="004C03AD">
        <w:rPr>
          <w:rFonts w:asciiTheme="minorHAnsi" w:hAnsiTheme="minorHAnsi"/>
          <w:color w:val="auto"/>
        </w:rPr>
        <w:t xml:space="preserve">which upheld the </w:t>
      </w:r>
      <w:r w:rsidR="002E24FF">
        <w:rPr>
          <w:rFonts w:asciiTheme="minorHAnsi" w:hAnsiTheme="minorHAnsi"/>
          <w:color w:val="auto"/>
        </w:rPr>
        <w:t>F</w:t>
      </w:r>
      <w:r w:rsidR="004C03AD">
        <w:rPr>
          <w:rFonts w:asciiTheme="minorHAnsi" w:hAnsiTheme="minorHAnsi"/>
          <w:color w:val="auto"/>
        </w:rPr>
        <w:t>PEB adju</w:t>
      </w:r>
      <w:r w:rsidR="00B951E4">
        <w:rPr>
          <w:rFonts w:asciiTheme="minorHAnsi" w:hAnsiTheme="minorHAnsi"/>
          <w:color w:val="auto"/>
        </w:rPr>
        <w:t>dication and denied the PFR.</w:t>
      </w:r>
      <w:r w:rsidR="00204F12">
        <w:rPr>
          <w:rFonts w:asciiTheme="minorHAnsi" w:hAnsiTheme="minorHAnsi"/>
          <w:color w:val="auto"/>
        </w:rPr>
        <w:t xml:space="preserve"> </w:t>
      </w:r>
      <w:r w:rsidR="00D73F54">
        <w:rPr>
          <w:rFonts w:asciiTheme="minorHAnsi" w:hAnsiTheme="minorHAnsi"/>
          <w:color w:val="auto"/>
        </w:rPr>
        <w:t xml:space="preserve"> </w:t>
      </w:r>
      <w:r w:rsidR="004C03AD">
        <w:rPr>
          <w:rFonts w:asciiTheme="minorHAnsi" w:hAnsiTheme="minorHAnsi"/>
          <w:color w:val="auto"/>
        </w:rPr>
        <w:t xml:space="preserve">He </w:t>
      </w:r>
      <w:r w:rsidR="00437D77" w:rsidRPr="00FD14B8">
        <w:rPr>
          <w:rFonts w:asciiTheme="minorHAnsi" w:hAnsiTheme="minorHAnsi"/>
          <w:color w:val="auto"/>
        </w:rPr>
        <w:t xml:space="preserve">was then medically separated with a </w:t>
      </w:r>
      <w:r w:rsidR="009A33BB" w:rsidRPr="00FD14B8">
        <w:rPr>
          <w:rFonts w:asciiTheme="minorHAnsi" w:hAnsiTheme="minorHAnsi"/>
          <w:color w:val="auto"/>
        </w:rPr>
        <w:t>20</w:t>
      </w:r>
      <w:r w:rsidR="00437D77" w:rsidRPr="00FD14B8">
        <w:rPr>
          <w:rFonts w:asciiTheme="minorHAnsi" w:hAnsiTheme="minorHAnsi"/>
          <w:color w:val="auto"/>
        </w:rPr>
        <w:t>% combined disability rating.</w:t>
      </w:r>
      <w:r w:rsidR="00204F12" w:rsidRPr="00204F12">
        <w:rPr>
          <w:rFonts w:asciiTheme="minorHAnsi" w:hAnsiTheme="minorHAnsi"/>
          <w:color w:val="auto"/>
        </w:rPr>
        <w:t xml:space="preserve"> </w:t>
      </w:r>
      <w:r w:rsidR="00204F12">
        <w:rPr>
          <w:rFonts w:asciiTheme="minorHAnsi" w:hAnsiTheme="minorHAnsi"/>
          <w:color w:val="auto"/>
        </w:rPr>
        <w:t xml:space="preserve"> He subsequently appealed the Board for Correction of Naval Records (BCNR) which directed him to the </w:t>
      </w:r>
      <w:r w:rsidR="00204F12" w:rsidRPr="00E31414">
        <w:rPr>
          <w:rFonts w:asciiTheme="minorHAnsi" w:hAnsiTheme="minorHAnsi"/>
          <w:color w:val="auto"/>
        </w:rPr>
        <w:t>P</w:t>
      </w:r>
      <w:r w:rsidR="002E24FF">
        <w:rPr>
          <w:rFonts w:asciiTheme="minorHAnsi" w:hAnsiTheme="minorHAnsi"/>
          <w:color w:val="auto"/>
        </w:rPr>
        <w:t>DBR.</w:t>
      </w:r>
    </w:p>
    <w:p w:rsidR="008E0D8F" w:rsidRPr="00FD14B8"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FD14B8" w:rsidRDefault="00DE598A" w:rsidP="00510F9C">
      <w:pPr>
        <w:tabs>
          <w:tab w:val="left" w:pos="288"/>
          <w:tab w:val="left" w:pos="4752"/>
        </w:tabs>
        <w:spacing w:line="240" w:lineRule="exact"/>
        <w:jc w:val="both"/>
        <w:rPr>
          <w:rFonts w:asciiTheme="minorHAnsi" w:hAnsiTheme="minorHAnsi"/>
          <w:color w:val="auto"/>
          <w:u w:val="single"/>
        </w:rPr>
      </w:pPr>
    </w:p>
    <w:p w:rsidR="00085D7B" w:rsidRPr="00FD14B8" w:rsidRDefault="002C6E5B" w:rsidP="00510F9C">
      <w:pPr>
        <w:tabs>
          <w:tab w:val="left" w:pos="288"/>
          <w:tab w:val="left" w:pos="4752"/>
        </w:tabs>
        <w:spacing w:line="240" w:lineRule="exact"/>
        <w:jc w:val="both"/>
        <w:rPr>
          <w:rFonts w:asciiTheme="minorHAnsi" w:hAnsiTheme="minorHAnsi"/>
          <w:color w:val="auto"/>
        </w:rPr>
      </w:pPr>
      <w:r w:rsidRPr="00FD14B8">
        <w:rPr>
          <w:rFonts w:asciiTheme="minorHAnsi" w:hAnsiTheme="minorHAnsi"/>
          <w:color w:val="auto"/>
          <w:u w:val="single"/>
        </w:rPr>
        <w:t>CI CONTENTION</w:t>
      </w:r>
      <w:r w:rsidRPr="00FD14B8">
        <w:rPr>
          <w:rFonts w:asciiTheme="minorHAnsi" w:hAnsiTheme="minorHAnsi"/>
          <w:color w:val="auto"/>
        </w:rPr>
        <w:t>:</w:t>
      </w:r>
      <w:r w:rsidR="009A33BB" w:rsidRPr="00FD14B8">
        <w:rPr>
          <w:rFonts w:asciiTheme="minorHAnsi" w:hAnsiTheme="minorHAnsi"/>
          <w:color w:val="auto"/>
        </w:rPr>
        <w:t xml:space="preserve">  </w:t>
      </w:r>
      <w:r w:rsidR="00055F37">
        <w:rPr>
          <w:rFonts w:asciiTheme="minorHAnsi" w:hAnsiTheme="minorHAnsi"/>
          <w:color w:val="auto"/>
        </w:rPr>
        <w:t>“</w:t>
      </w:r>
      <w:r w:rsidR="009A33BB" w:rsidRPr="00FD14B8">
        <w:rPr>
          <w:rFonts w:asciiTheme="minorHAnsi" w:hAnsiTheme="minorHAnsi"/>
          <w:color w:val="auto"/>
        </w:rPr>
        <w:t xml:space="preserve">I provided the </w:t>
      </w:r>
      <w:r w:rsidR="002E24FF">
        <w:rPr>
          <w:rFonts w:asciiTheme="minorHAnsi" w:hAnsiTheme="minorHAnsi"/>
          <w:color w:val="auto"/>
        </w:rPr>
        <w:t>N</w:t>
      </w:r>
      <w:r w:rsidR="009A33BB" w:rsidRPr="00FD14B8">
        <w:rPr>
          <w:rFonts w:asciiTheme="minorHAnsi" w:hAnsiTheme="minorHAnsi"/>
          <w:color w:val="auto"/>
        </w:rPr>
        <w:t xml:space="preserve">avy the </w:t>
      </w:r>
      <w:r w:rsidR="00D44981" w:rsidRPr="00FD14B8">
        <w:rPr>
          <w:rFonts w:asciiTheme="minorHAnsi" w:hAnsiTheme="minorHAnsi"/>
          <w:color w:val="auto"/>
        </w:rPr>
        <w:t>opportunity</w:t>
      </w:r>
      <w:r w:rsidR="009A33BB" w:rsidRPr="00FD14B8">
        <w:rPr>
          <w:rFonts w:asciiTheme="minorHAnsi" w:hAnsiTheme="minorHAnsi"/>
          <w:color w:val="auto"/>
        </w:rPr>
        <w:t xml:space="preserve"> to teleconference my ENT doctor at hearing</w:t>
      </w:r>
      <w:r w:rsidR="00D44981" w:rsidRPr="00FD14B8">
        <w:rPr>
          <w:rFonts w:asciiTheme="minorHAnsi" w:hAnsiTheme="minorHAnsi"/>
          <w:color w:val="auto"/>
        </w:rPr>
        <w:t xml:space="preserve"> to support my case that my condition warranted higher rating.  I provided my VA rating, which at the time was 60%.  I am providing medical evidence from my physical therapist showing my condition occurred more than once a week</w:t>
      </w:r>
      <w:r w:rsidR="00BC1500">
        <w:rPr>
          <w:rFonts w:asciiTheme="minorHAnsi" w:hAnsiTheme="minorHAnsi"/>
          <w:color w:val="auto"/>
        </w:rPr>
        <w:t xml:space="preserve">. </w:t>
      </w:r>
      <w:r w:rsidR="008E44C1">
        <w:rPr>
          <w:rFonts w:asciiTheme="minorHAnsi" w:hAnsiTheme="minorHAnsi"/>
          <w:color w:val="auto"/>
        </w:rPr>
        <w:t xml:space="preserve"> </w:t>
      </w:r>
      <w:r w:rsidR="00BC1500">
        <w:rPr>
          <w:rFonts w:asciiTheme="minorHAnsi" w:hAnsiTheme="minorHAnsi"/>
          <w:color w:val="auto"/>
        </w:rPr>
        <w:t>T</w:t>
      </w:r>
      <w:r w:rsidR="00D44981" w:rsidRPr="00FD14B8">
        <w:rPr>
          <w:rFonts w:asciiTheme="minorHAnsi" w:hAnsiTheme="minorHAnsi"/>
          <w:color w:val="auto"/>
        </w:rPr>
        <w:t xml:space="preserve">he </w:t>
      </w:r>
      <w:r w:rsidR="002E24FF">
        <w:rPr>
          <w:rFonts w:asciiTheme="minorHAnsi" w:hAnsiTheme="minorHAnsi"/>
          <w:color w:val="auto"/>
        </w:rPr>
        <w:t>N</w:t>
      </w:r>
      <w:r w:rsidR="00D44981" w:rsidRPr="00FD14B8">
        <w:rPr>
          <w:rFonts w:asciiTheme="minorHAnsi" w:hAnsiTheme="minorHAnsi"/>
          <w:color w:val="auto"/>
        </w:rPr>
        <w:t>avy chose to ignore Dr Wallace my ENT that my condition resulted in daily symptoms by copy or his letter.  The condition warrants 100% evidenced by VA rating.  The preponderance of evidence suggest</w:t>
      </w:r>
      <w:r w:rsidR="009512E2">
        <w:rPr>
          <w:rFonts w:asciiTheme="minorHAnsi" w:hAnsiTheme="minorHAnsi"/>
          <w:color w:val="auto"/>
        </w:rPr>
        <w:t>s</w:t>
      </w:r>
      <w:r w:rsidR="00D44981" w:rsidRPr="00FD14B8">
        <w:rPr>
          <w:rFonts w:asciiTheme="minorHAnsi" w:hAnsiTheme="minorHAnsi"/>
          <w:color w:val="auto"/>
        </w:rPr>
        <w:t xml:space="preserve"> I get dizzy and stumble more than once a week, in addition to the total hearing loss and inner ear damage results of </w:t>
      </w:r>
      <w:proofErr w:type="spellStart"/>
      <w:r w:rsidR="00D44981" w:rsidRPr="00FD14B8">
        <w:rPr>
          <w:rFonts w:asciiTheme="minorHAnsi" w:hAnsiTheme="minorHAnsi"/>
          <w:color w:val="auto"/>
        </w:rPr>
        <w:t>paralymphatic</w:t>
      </w:r>
      <w:proofErr w:type="spellEnd"/>
      <w:r w:rsidR="00D44981" w:rsidRPr="00FD14B8">
        <w:rPr>
          <w:rFonts w:asciiTheme="minorHAnsi" w:hAnsiTheme="minorHAnsi"/>
          <w:color w:val="auto"/>
        </w:rPr>
        <w:t xml:space="preserve"> fistula.</w:t>
      </w:r>
      <w:r w:rsidR="00055F37">
        <w:rPr>
          <w:rFonts w:asciiTheme="minorHAnsi" w:hAnsiTheme="minorHAnsi"/>
          <w:color w:val="auto"/>
        </w:rPr>
        <w:t>”</w:t>
      </w:r>
      <w:r w:rsidR="009512E2">
        <w:rPr>
          <w:rFonts w:asciiTheme="minorHAnsi" w:hAnsiTheme="minorHAnsi"/>
          <w:color w:val="auto"/>
        </w:rPr>
        <w:t xml:space="preserve"> </w:t>
      </w:r>
    </w:p>
    <w:p w:rsidR="003E1682" w:rsidRPr="00FD14B8" w:rsidRDefault="003E1682" w:rsidP="00510F9C">
      <w:pPr>
        <w:pBdr>
          <w:bottom w:val="single" w:sz="12" w:space="1" w:color="auto"/>
        </w:pBdr>
        <w:spacing w:line="240" w:lineRule="exact"/>
        <w:rPr>
          <w:rFonts w:asciiTheme="minorHAnsi" w:hAnsiTheme="minorHAnsi"/>
          <w:color w:val="auto"/>
          <w:u w:val="single"/>
        </w:rPr>
      </w:pPr>
    </w:p>
    <w:p w:rsidR="00D44981" w:rsidRPr="00FD14B8" w:rsidRDefault="00D44981" w:rsidP="00510F9C">
      <w:pPr>
        <w:spacing w:line="240" w:lineRule="exact"/>
        <w:rPr>
          <w:rFonts w:asciiTheme="minorHAnsi" w:hAnsiTheme="minorHAnsi"/>
          <w:color w:val="auto"/>
        </w:rPr>
      </w:pPr>
    </w:p>
    <w:p w:rsidR="00D44981" w:rsidRPr="00FD14B8" w:rsidRDefault="009512E2" w:rsidP="00510F9C">
      <w:pPr>
        <w:spacing w:line="240" w:lineRule="exact"/>
        <w:rPr>
          <w:rFonts w:asciiTheme="minorHAnsi" w:hAnsiTheme="minorHAnsi"/>
          <w:color w:val="auto"/>
        </w:rPr>
      </w:pPr>
      <w:r>
        <w:rPr>
          <w:rFonts w:asciiTheme="minorHAnsi" w:hAnsiTheme="minorHAnsi"/>
          <w:color w:val="auto"/>
          <w:u w:val="single"/>
        </w:rPr>
        <w:t>R</w:t>
      </w:r>
      <w:r w:rsidRPr="00326C08">
        <w:rPr>
          <w:rFonts w:asciiTheme="minorHAnsi" w:hAnsiTheme="minorHAnsi"/>
          <w:color w:val="auto"/>
          <w:u w:val="single"/>
        </w:rPr>
        <w:t>ATING COMPARISON</w:t>
      </w:r>
      <w:r w:rsidRPr="00326C08">
        <w:rPr>
          <w:rFonts w:asciiTheme="minorHAnsi" w:hAnsiTheme="minorHAnsi"/>
          <w:color w:val="auto"/>
        </w:rPr>
        <w:t>:</w:t>
      </w:r>
    </w:p>
    <w:p w:rsidR="00D44981" w:rsidRPr="00FD14B8" w:rsidRDefault="00D44981" w:rsidP="00510F9C">
      <w:pPr>
        <w:spacing w:line="240" w:lineRule="exact"/>
        <w:rPr>
          <w:rFonts w:asciiTheme="minorHAnsi" w:hAnsiTheme="minorHAnsi"/>
          <w:color w:val="auto"/>
        </w:rPr>
      </w:pPr>
    </w:p>
    <w:tbl>
      <w:tblPr>
        <w:tblStyle w:val="TableGrid"/>
        <w:tblW w:w="9378" w:type="dxa"/>
        <w:jc w:val="center"/>
        <w:tblInd w:w="198" w:type="dxa"/>
        <w:tblLayout w:type="fixed"/>
        <w:tblLook w:val="04A0"/>
      </w:tblPr>
      <w:tblGrid>
        <w:gridCol w:w="2259"/>
        <w:gridCol w:w="801"/>
        <w:gridCol w:w="1179"/>
        <w:gridCol w:w="2259"/>
        <w:gridCol w:w="1062"/>
        <w:gridCol w:w="828"/>
        <w:gridCol w:w="990"/>
      </w:tblGrid>
      <w:tr w:rsidR="002B4E22" w:rsidRPr="00BC1500" w:rsidTr="002E24FF">
        <w:trPr>
          <w:trHeight w:val="233"/>
          <w:jc w:val="center"/>
        </w:trPr>
        <w:tc>
          <w:tcPr>
            <w:tcW w:w="4239" w:type="dxa"/>
            <w:gridSpan w:val="3"/>
            <w:tcBorders>
              <w:right w:val="thinThickThinSmallGap" w:sz="24" w:space="0" w:color="auto"/>
            </w:tcBorders>
            <w:shd w:val="clear" w:color="auto" w:fill="D9D9D9" w:themeFill="background1" w:themeFillShade="D9"/>
            <w:vAlign w:val="center"/>
          </w:tcPr>
          <w:p w:rsidR="002B4E22" w:rsidRPr="00BC1500" w:rsidRDefault="00B731E4" w:rsidP="00D2221E">
            <w:pPr>
              <w:spacing w:line="200" w:lineRule="exact"/>
              <w:contextualSpacing/>
              <w:jc w:val="center"/>
              <w:rPr>
                <w:b/>
                <w:color w:val="auto"/>
                <w:sz w:val="18"/>
                <w:szCs w:val="18"/>
              </w:rPr>
            </w:pPr>
            <w:r w:rsidRPr="00BC1500">
              <w:rPr>
                <w:b/>
                <w:color w:val="auto"/>
                <w:sz w:val="18"/>
                <w:szCs w:val="18"/>
              </w:rPr>
              <w:t>Service</w:t>
            </w:r>
            <w:r w:rsidR="00D2221E">
              <w:rPr>
                <w:b/>
                <w:color w:val="auto"/>
                <w:sz w:val="18"/>
                <w:szCs w:val="18"/>
              </w:rPr>
              <w:t xml:space="preserve"> F</w:t>
            </w:r>
            <w:r w:rsidRPr="00BC1500">
              <w:rPr>
                <w:b/>
                <w:color w:val="auto"/>
                <w:sz w:val="18"/>
                <w:szCs w:val="18"/>
              </w:rPr>
              <w:t>PEB – Dated 200</w:t>
            </w:r>
            <w:r w:rsidR="00D44981" w:rsidRPr="00BC1500">
              <w:rPr>
                <w:b/>
                <w:color w:val="auto"/>
                <w:sz w:val="18"/>
                <w:szCs w:val="18"/>
              </w:rPr>
              <w:t>60</w:t>
            </w:r>
            <w:r w:rsidR="00D2221E">
              <w:rPr>
                <w:b/>
                <w:color w:val="auto"/>
                <w:sz w:val="18"/>
                <w:szCs w:val="18"/>
              </w:rPr>
              <w:t>62</w:t>
            </w:r>
            <w:r w:rsidR="00D44981" w:rsidRPr="00BC1500">
              <w:rPr>
                <w:b/>
                <w:color w:val="auto"/>
                <w:sz w:val="18"/>
                <w:szCs w:val="18"/>
              </w:rPr>
              <w:t>3</w:t>
            </w:r>
          </w:p>
        </w:tc>
        <w:tc>
          <w:tcPr>
            <w:tcW w:w="5139" w:type="dxa"/>
            <w:gridSpan w:val="4"/>
            <w:tcBorders>
              <w:left w:val="thinThickThinSmallGap" w:sz="24" w:space="0" w:color="auto"/>
            </w:tcBorders>
            <w:shd w:val="clear" w:color="auto" w:fill="D9D9D9" w:themeFill="background1" w:themeFillShade="D9"/>
            <w:vAlign w:val="center"/>
          </w:tcPr>
          <w:p w:rsidR="002B4E22" w:rsidRPr="00BC1500" w:rsidRDefault="002B4E22" w:rsidP="00D44981">
            <w:pPr>
              <w:spacing w:line="200" w:lineRule="exact"/>
              <w:contextualSpacing/>
              <w:jc w:val="center"/>
              <w:rPr>
                <w:b/>
                <w:color w:val="auto"/>
                <w:sz w:val="18"/>
                <w:szCs w:val="18"/>
              </w:rPr>
            </w:pPr>
            <w:r w:rsidRPr="00BC1500">
              <w:rPr>
                <w:b/>
                <w:color w:val="auto"/>
                <w:sz w:val="18"/>
                <w:szCs w:val="18"/>
              </w:rPr>
              <w:t>VA (</w:t>
            </w:r>
            <w:r w:rsidR="00D44981" w:rsidRPr="00BC1500">
              <w:rPr>
                <w:b/>
                <w:color w:val="auto"/>
                <w:sz w:val="18"/>
                <w:szCs w:val="18"/>
              </w:rPr>
              <w:t>2</w:t>
            </w:r>
            <w:r w:rsidR="00B470D1">
              <w:rPr>
                <w:b/>
                <w:color w:val="auto"/>
                <w:sz w:val="18"/>
                <w:szCs w:val="18"/>
              </w:rPr>
              <w:t xml:space="preserve"> </w:t>
            </w:r>
            <w:r w:rsidRPr="00BC1500">
              <w:rPr>
                <w:b/>
                <w:color w:val="auto"/>
                <w:sz w:val="18"/>
                <w:szCs w:val="18"/>
              </w:rPr>
              <w:t xml:space="preserve">Mo. After Separation) – All Effective Date </w:t>
            </w:r>
            <w:r w:rsidR="002D08F3" w:rsidRPr="00BC1500">
              <w:rPr>
                <w:b/>
                <w:color w:val="auto"/>
                <w:sz w:val="18"/>
                <w:szCs w:val="18"/>
              </w:rPr>
              <w:t>200</w:t>
            </w:r>
            <w:r w:rsidR="00D44981" w:rsidRPr="00BC1500">
              <w:rPr>
                <w:b/>
                <w:color w:val="auto"/>
                <w:sz w:val="18"/>
                <w:szCs w:val="18"/>
              </w:rPr>
              <w:t>60410</w:t>
            </w:r>
          </w:p>
        </w:tc>
      </w:tr>
      <w:tr w:rsidR="002B4E22" w:rsidRPr="00BC1500" w:rsidTr="002A6AD6">
        <w:trPr>
          <w:trHeight w:val="278"/>
          <w:jc w:val="center"/>
        </w:trPr>
        <w:tc>
          <w:tcPr>
            <w:tcW w:w="2259" w:type="dxa"/>
            <w:tcBorders>
              <w:bottom w:val="single" w:sz="4" w:space="0" w:color="000000" w:themeColor="text1"/>
              <w:right w:val="single" w:sz="4" w:space="0" w:color="auto"/>
            </w:tcBorders>
            <w:shd w:val="clear" w:color="auto" w:fill="D9D9D9" w:themeFill="background1" w:themeFillShade="D9"/>
            <w:vAlign w:val="center"/>
          </w:tcPr>
          <w:p w:rsidR="002B4E22" w:rsidRPr="00BC1500" w:rsidRDefault="002B4E22" w:rsidP="00B0472F">
            <w:pPr>
              <w:spacing w:line="200" w:lineRule="exact"/>
              <w:contextualSpacing/>
              <w:jc w:val="center"/>
              <w:rPr>
                <w:b/>
                <w:color w:val="auto"/>
                <w:sz w:val="18"/>
                <w:szCs w:val="18"/>
              </w:rPr>
            </w:pPr>
            <w:r w:rsidRPr="00BC1500">
              <w:rPr>
                <w:b/>
                <w:color w:val="auto"/>
                <w:sz w:val="18"/>
                <w:szCs w:val="18"/>
              </w:rPr>
              <w:t>Condition</w:t>
            </w:r>
          </w:p>
        </w:tc>
        <w:tc>
          <w:tcPr>
            <w:tcW w:w="801" w:type="dxa"/>
            <w:tcBorders>
              <w:left w:val="single" w:sz="4" w:space="0" w:color="auto"/>
              <w:bottom w:val="single" w:sz="4" w:space="0" w:color="000000" w:themeColor="text1"/>
            </w:tcBorders>
            <w:shd w:val="clear" w:color="auto" w:fill="D9D9D9" w:themeFill="background1" w:themeFillShade="D9"/>
            <w:vAlign w:val="center"/>
          </w:tcPr>
          <w:p w:rsidR="002B4E22" w:rsidRPr="00BC1500" w:rsidRDefault="002B4E22" w:rsidP="00B0472F">
            <w:pPr>
              <w:spacing w:line="200" w:lineRule="exact"/>
              <w:contextualSpacing/>
              <w:jc w:val="center"/>
              <w:rPr>
                <w:b/>
                <w:color w:val="auto"/>
                <w:sz w:val="18"/>
                <w:szCs w:val="18"/>
              </w:rPr>
            </w:pPr>
            <w:r w:rsidRPr="00BC1500">
              <w:rPr>
                <w:b/>
                <w:color w:val="auto"/>
                <w:sz w:val="18"/>
                <w:szCs w:val="18"/>
              </w:rPr>
              <w:t>Code</w:t>
            </w:r>
          </w:p>
        </w:tc>
        <w:tc>
          <w:tcPr>
            <w:tcW w:w="1179"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C1500" w:rsidRDefault="002B4E22" w:rsidP="00B0472F">
            <w:pPr>
              <w:spacing w:line="200" w:lineRule="exact"/>
              <w:contextualSpacing/>
              <w:jc w:val="center"/>
              <w:rPr>
                <w:b/>
                <w:color w:val="auto"/>
                <w:sz w:val="18"/>
                <w:szCs w:val="18"/>
              </w:rPr>
            </w:pPr>
            <w:r w:rsidRPr="00BC1500">
              <w:rPr>
                <w:b/>
                <w:color w:val="auto"/>
                <w:sz w:val="18"/>
                <w:szCs w:val="18"/>
              </w:rPr>
              <w:t>Rating</w:t>
            </w:r>
          </w:p>
        </w:tc>
        <w:tc>
          <w:tcPr>
            <w:tcW w:w="2259"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C1500" w:rsidRDefault="002B4E22" w:rsidP="00B0472F">
            <w:pPr>
              <w:spacing w:line="200" w:lineRule="exact"/>
              <w:contextualSpacing/>
              <w:jc w:val="center"/>
              <w:rPr>
                <w:b/>
                <w:color w:val="auto"/>
                <w:sz w:val="18"/>
                <w:szCs w:val="18"/>
              </w:rPr>
            </w:pPr>
            <w:r w:rsidRPr="00BC1500">
              <w:rPr>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2B4E22" w:rsidRPr="00BC1500" w:rsidRDefault="002B4E22" w:rsidP="00B0472F">
            <w:pPr>
              <w:spacing w:line="200" w:lineRule="exact"/>
              <w:contextualSpacing/>
              <w:jc w:val="center"/>
              <w:rPr>
                <w:b/>
                <w:color w:val="auto"/>
                <w:sz w:val="18"/>
                <w:szCs w:val="18"/>
              </w:rPr>
            </w:pPr>
            <w:r w:rsidRPr="00BC1500">
              <w:rPr>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BC1500" w:rsidRDefault="002B4E22" w:rsidP="00B0472F">
            <w:pPr>
              <w:spacing w:line="200" w:lineRule="exact"/>
              <w:contextualSpacing/>
              <w:jc w:val="center"/>
              <w:rPr>
                <w:b/>
                <w:color w:val="auto"/>
                <w:sz w:val="18"/>
                <w:szCs w:val="18"/>
              </w:rPr>
            </w:pPr>
            <w:r w:rsidRPr="00BC1500">
              <w:rPr>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BC1500" w:rsidRDefault="002B4E22" w:rsidP="00B0472F">
            <w:pPr>
              <w:spacing w:line="200" w:lineRule="exact"/>
              <w:contextualSpacing/>
              <w:jc w:val="center"/>
              <w:rPr>
                <w:b/>
                <w:color w:val="auto"/>
                <w:sz w:val="18"/>
                <w:szCs w:val="18"/>
              </w:rPr>
            </w:pPr>
            <w:r w:rsidRPr="00BC1500">
              <w:rPr>
                <w:b/>
                <w:color w:val="auto"/>
                <w:sz w:val="18"/>
                <w:szCs w:val="18"/>
              </w:rPr>
              <w:t>Exam</w:t>
            </w:r>
          </w:p>
        </w:tc>
      </w:tr>
      <w:tr w:rsidR="00D44981" w:rsidRPr="00BC1500" w:rsidTr="002A6AD6">
        <w:trPr>
          <w:trHeight w:val="287"/>
          <w:jc w:val="center"/>
        </w:trPr>
        <w:tc>
          <w:tcPr>
            <w:tcW w:w="2259" w:type="dxa"/>
            <w:tcBorders>
              <w:right w:val="single" w:sz="4" w:space="0" w:color="auto"/>
            </w:tcBorders>
            <w:shd w:val="clear" w:color="auto" w:fill="FFFFFF" w:themeFill="background1"/>
          </w:tcPr>
          <w:p w:rsidR="00D44981" w:rsidRPr="00D73F54" w:rsidRDefault="00D73F54" w:rsidP="002E24FF">
            <w:pPr>
              <w:spacing w:line="180" w:lineRule="exact"/>
              <w:contextualSpacing/>
              <w:rPr>
                <w:color w:val="auto"/>
                <w:sz w:val="16"/>
                <w:szCs w:val="16"/>
              </w:rPr>
            </w:pPr>
            <w:r w:rsidRPr="00D73F54">
              <w:rPr>
                <w:color w:val="auto"/>
                <w:sz w:val="16"/>
                <w:szCs w:val="16"/>
              </w:rPr>
              <w:t xml:space="preserve">Chronic </w:t>
            </w:r>
            <w:r w:rsidR="002E24FF">
              <w:rPr>
                <w:color w:val="auto"/>
                <w:sz w:val="16"/>
                <w:szCs w:val="16"/>
              </w:rPr>
              <w:t>E</w:t>
            </w:r>
            <w:r w:rsidRPr="00D73F54">
              <w:rPr>
                <w:color w:val="auto"/>
                <w:sz w:val="16"/>
                <w:szCs w:val="16"/>
              </w:rPr>
              <w:t xml:space="preserve">pisodic </w:t>
            </w:r>
            <w:r w:rsidR="002E24FF">
              <w:rPr>
                <w:color w:val="auto"/>
                <w:sz w:val="16"/>
                <w:szCs w:val="16"/>
              </w:rPr>
              <w:t>P</w:t>
            </w:r>
            <w:r w:rsidRPr="00D73F54">
              <w:rPr>
                <w:color w:val="auto"/>
                <w:sz w:val="16"/>
                <w:szCs w:val="16"/>
              </w:rPr>
              <w:t xml:space="preserve">ositional </w:t>
            </w:r>
            <w:r w:rsidR="002E24FF">
              <w:rPr>
                <w:color w:val="auto"/>
                <w:sz w:val="16"/>
                <w:szCs w:val="16"/>
              </w:rPr>
              <w:t>V</w:t>
            </w:r>
            <w:r w:rsidR="00D44981" w:rsidRPr="00D73F54">
              <w:rPr>
                <w:color w:val="auto"/>
                <w:sz w:val="16"/>
                <w:szCs w:val="16"/>
              </w:rPr>
              <w:t>ertigo</w:t>
            </w:r>
          </w:p>
        </w:tc>
        <w:tc>
          <w:tcPr>
            <w:tcW w:w="801" w:type="dxa"/>
            <w:tcBorders>
              <w:left w:val="single" w:sz="4" w:space="0" w:color="auto"/>
            </w:tcBorders>
            <w:shd w:val="clear" w:color="auto" w:fill="FFFFFF" w:themeFill="background1"/>
          </w:tcPr>
          <w:p w:rsidR="00D44981" w:rsidRPr="00D73F54" w:rsidRDefault="00D44981" w:rsidP="00D2221E">
            <w:pPr>
              <w:spacing w:line="180" w:lineRule="exact"/>
              <w:contextualSpacing/>
              <w:jc w:val="center"/>
              <w:rPr>
                <w:color w:val="auto"/>
                <w:sz w:val="16"/>
                <w:szCs w:val="16"/>
              </w:rPr>
            </w:pPr>
            <w:r w:rsidRPr="00D73F54">
              <w:rPr>
                <w:color w:val="auto"/>
                <w:sz w:val="16"/>
                <w:szCs w:val="16"/>
              </w:rPr>
              <w:t>6100</w:t>
            </w:r>
          </w:p>
        </w:tc>
        <w:tc>
          <w:tcPr>
            <w:tcW w:w="1179" w:type="dxa"/>
            <w:tcBorders>
              <w:right w:val="thinThickThinSmallGap" w:sz="24" w:space="0" w:color="auto"/>
            </w:tcBorders>
            <w:shd w:val="clear" w:color="auto" w:fill="FFFFFF" w:themeFill="background1"/>
          </w:tcPr>
          <w:p w:rsidR="00D44981" w:rsidRPr="00D73F54" w:rsidRDefault="00D44981" w:rsidP="00D2221E">
            <w:pPr>
              <w:spacing w:line="180" w:lineRule="exact"/>
              <w:contextualSpacing/>
              <w:jc w:val="center"/>
              <w:rPr>
                <w:color w:val="auto"/>
                <w:sz w:val="16"/>
                <w:szCs w:val="16"/>
              </w:rPr>
            </w:pPr>
            <w:r w:rsidRPr="00D73F54">
              <w:rPr>
                <w:color w:val="auto"/>
                <w:sz w:val="16"/>
                <w:szCs w:val="16"/>
              </w:rPr>
              <w:t>10%</w:t>
            </w:r>
          </w:p>
        </w:tc>
        <w:tc>
          <w:tcPr>
            <w:tcW w:w="2259" w:type="dxa"/>
            <w:vMerge w:val="restart"/>
            <w:tcBorders>
              <w:left w:val="thinThickThinSmallGap" w:sz="24" w:space="0" w:color="auto"/>
            </w:tcBorders>
            <w:shd w:val="clear" w:color="auto" w:fill="FFFFFF" w:themeFill="background1"/>
          </w:tcPr>
          <w:p w:rsidR="00D44981" w:rsidRPr="00D73F54" w:rsidRDefault="00D73F54" w:rsidP="002E24FF">
            <w:pPr>
              <w:spacing w:line="180" w:lineRule="exact"/>
              <w:contextualSpacing/>
              <w:rPr>
                <w:color w:val="auto"/>
                <w:sz w:val="16"/>
                <w:szCs w:val="16"/>
              </w:rPr>
            </w:pPr>
            <w:r w:rsidRPr="00D73F54">
              <w:rPr>
                <w:color w:val="auto"/>
                <w:sz w:val="16"/>
                <w:szCs w:val="16"/>
              </w:rPr>
              <w:t xml:space="preserve">Positional </w:t>
            </w:r>
            <w:r w:rsidR="002E24FF">
              <w:rPr>
                <w:color w:val="auto"/>
                <w:sz w:val="16"/>
                <w:szCs w:val="16"/>
              </w:rPr>
              <w:t>V</w:t>
            </w:r>
            <w:r w:rsidR="00D44981" w:rsidRPr="00D73F54">
              <w:rPr>
                <w:color w:val="auto"/>
                <w:sz w:val="16"/>
                <w:szCs w:val="16"/>
              </w:rPr>
              <w:t>ertigo</w:t>
            </w:r>
            <w:r w:rsidR="002E24FF">
              <w:rPr>
                <w:color w:val="auto"/>
                <w:sz w:val="16"/>
                <w:szCs w:val="16"/>
              </w:rPr>
              <w:t xml:space="preserve"> </w:t>
            </w:r>
            <w:r>
              <w:rPr>
                <w:color w:val="auto"/>
                <w:sz w:val="16"/>
                <w:szCs w:val="16"/>
              </w:rPr>
              <w:t xml:space="preserve">&amp; </w:t>
            </w:r>
            <w:proofErr w:type="spellStart"/>
            <w:r w:rsidR="002E24FF">
              <w:rPr>
                <w:color w:val="auto"/>
                <w:sz w:val="16"/>
                <w:szCs w:val="16"/>
              </w:rPr>
              <w:t>D</w:t>
            </w:r>
            <w:r w:rsidR="00BC1500" w:rsidRPr="00D73F54">
              <w:rPr>
                <w:color w:val="auto"/>
                <w:sz w:val="16"/>
                <w:szCs w:val="16"/>
              </w:rPr>
              <w:t>ysequilibrium</w:t>
            </w:r>
            <w:proofErr w:type="spellEnd"/>
            <w:r w:rsidR="00BC1500" w:rsidRPr="00D73F54">
              <w:rPr>
                <w:color w:val="auto"/>
                <w:sz w:val="16"/>
                <w:szCs w:val="16"/>
              </w:rPr>
              <w:t xml:space="preserve"> with L</w:t>
            </w:r>
            <w:r>
              <w:rPr>
                <w:color w:val="auto"/>
                <w:sz w:val="16"/>
                <w:szCs w:val="16"/>
              </w:rPr>
              <w:t xml:space="preserve"> </w:t>
            </w:r>
            <w:r w:rsidR="002E24FF">
              <w:rPr>
                <w:color w:val="auto"/>
                <w:sz w:val="16"/>
                <w:szCs w:val="16"/>
              </w:rPr>
              <w:t>H</w:t>
            </w:r>
            <w:r>
              <w:rPr>
                <w:color w:val="auto"/>
                <w:sz w:val="16"/>
                <w:szCs w:val="16"/>
              </w:rPr>
              <w:t xml:space="preserve">earing </w:t>
            </w:r>
            <w:r w:rsidR="002E24FF">
              <w:rPr>
                <w:color w:val="auto"/>
                <w:sz w:val="16"/>
                <w:szCs w:val="16"/>
              </w:rPr>
              <w:t>L</w:t>
            </w:r>
            <w:r>
              <w:rPr>
                <w:color w:val="auto"/>
                <w:sz w:val="16"/>
                <w:szCs w:val="16"/>
              </w:rPr>
              <w:t xml:space="preserve">oss &amp; </w:t>
            </w:r>
            <w:r w:rsidR="002E24FF">
              <w:rPr>
                <w:color w:val="auto"/>
                <w:sz w:val="16"/>
                <w:szCs w:val="16"/>
              </w:rPr>
              <w:t>I</w:t>
            </w:r>
            <w:r w:rsidRPr="00D73F54">
              <w:rPr>
                <w:color w:val="auto"/>
                <w:sz w:val="16"/>
                <w:szCs w:val="16"/>
              </w:rPr>
              <w:t xml:space="preserve">ntermittent </w:t>
            </w:r>
            <w:r w:rsidR="002E24FF">
              <w:rPr>
                <w:color w:val="auto"/>
                <w:sz w:val="16"/>
                <w:szCs w:val="16"/>
              </w:rPr>
              <w:t>T</w:t>
            </w:r>
            <w:r w:rsidR="00D44981" w:rsidRPr="00D73F54">
              <w:rPr>
                <w:color w:val="auto"/>
                <w:sz w:val="16"/>
                <w:szCs w:val="16"/>
              </w:rPr>
              <w:t>innitus</w:t>
            </w:r>
          </w:p>
        </w:tc>
        <w:tc>
          <w:tcPr>
            <w:tcW w:w="1062" w:type="dxa"/>
            <w:vMerge w:val="restart"/>
            <w:shd w:val="clear" w:color="auto" w:fill="FFFFFF" w:themeFill="background1"/>
          </w:tcPr>
          <w:p w:rsidR="00D44981" w:rsidRPr="00D73F54" w:rsidRDefault="00D44981" w:rsidP="00D2221E">
            <w:pPr>
              <w:spacing w:line="180" w:lineRule="exact"/>
              <w:contextualSpacing/>
              <w:jc w:val="center"/>
              <w:rPr>
                <w:color w:val="auto"/>
                <w:sz w:val="16"/>
                <w:szCs w:val="16"/>
              </w:rPr>
            </w:pPr>
            <w:r w:rsidRPr="00D73F54">
              <w:rPr>
                <w:color w:val="auto"/>
                <w:sz w:val="16"/>
                <w:szCs w:val="16"/>
              </w:rPr>
              <w:t>6299-6205</w:t>
            </w:r>
          </w:p>
        </w:tc>
        <w:tc>
          <w:tcPr>
            <w:tcW w:w="828" w:type="dxa"/>
            <w:vMerge w:val="restart"/>
            <w:shd w:val="clear" w:color="auto" w:fill="FFFFFF" w:themeFill="background1"/>
          </w:tcPr>
          <w:p w:rsidR="00D44981" w:rsidRPr="00D73F54" w:rsidRDefault="00D44981" w:rsidP="00D2221E">
            <w:pPr>
              <w:spacing w:line="180" w:lineRule="exact"/>
              <w:contextualSpacing/>
              <w:jc w:val="center"/>
              <w:rPr>
                <w:color w:val="auto"/>
                <w:sz w:val="16"/>
                <w:szCs w:val="16"/>
              </w:rPr>
            </w:pPr>
            <w:r w:rsidRPr="00D73F54">
              <w:rPr>
                <w:color w:val="auto"/>
                <w:sz w:val="16"/>
                <w:szCs w:val="16"/>
              </w:rPr>
              <w:t>60%</w:t>
            </w:r>
            <w:r w:rsidR="00BC1500" w:rsidRPr="00D73F54">
              <w:rPr>
                <w:color w:val="auto"/>
                <w:sz w:val="16"/>
                <w:szCs w:val="16"/>
              </w:rPr>
              <w:t>*</w:t>
            </w:r>
          </w:p>
        </w:tc>
        <w:tc>
          <w:tcPr>
            <w:tcW w:w="990" w:type="dxa"/>
            <w:vMerge w:val="restart"/>
            <w:shd w:val="clear" w:color="auto" w:fill="FFFFFF" w:themeFill="background1"/>
          </w:tcPr>
          <w:p w:rsidR="00D44981" w:rsidRPr="00D73F54" w:rsidRDefault="00D44981" w:rsidP="00D2221E">
            <w:pPr>
              <w:spacing w:line="180" w:lineRule="exact"/>
              <w:contextualSpacing/>
              <w:jc w:val="center"/>
              <w:rPr>
                <w:color w:val="auto"/>
                <w:sz w:val="16"/>
                <w:szCs w:val="16"/>
              </w:rPr>
            </w:pPr>
            <w:r w:rsidRPr="00D73F54">
              <w:rPr>
                <w:color w:val="auto"/>
                <w:sz w:val="16"/>
                <w:szCs w:val="16"/>
              </w:rPr>
              <w:t>20060624</w:t>
            </w:r>
          </w:p>
        </w:tc>
      </w:tr>
      <w:tr w:rsidR="00D44981" w:rsidRPr="00BC1500" w:rsidTr="002A6AD6">
        <w:trPr>
          <w:trHeight w:val="197"/>
          <w:jc w:val="center"/>
        </w:trPr>
        <w:tc>
          <w:tcPr>
            <w:tcW w:w="2259" w:type="dxa"/>
            <w:tcBorders>
              <w:right w:val="single" w:sz="4" w:space="0" w:color="auto"/>
            </w:tcBorders>
            <w:shd w:val="clear" w:color="auto" w:fill="FFFFFF" w:themeFill="background1"/>
          </w:tcPr>
          <w:p w:rsidR="00D44981" w:rsidRPr="00D73F54" w:rsidRDefault="00D73F54" w:rsidP="002E24FF">
            <w:pPr>
              <w:spacing w:line="180" w:lineRule="exact"/>
              <w:contextualSpacing/>
              <w:rPr>
                <w:color w:val="auto"/>
                <w:sz w:val="16"/>
                <w:szCs w:val="16"/>
              </w:rPr>
            </w:pPr>
            <w:r w:rsidRPr="00D73F54">
              <w:rPr>
                <w:color w:val="auto"/>
                <w:sz w:val="16"/>
                <w:szCs w:val="16"/>
              </w:rPr>
              <w:t xml:space="preserve">Complete </w:t>
            </w:r>
            <w:r w:rsidR="002E24FF">
              <w:rPr>
                <w:color w:val="auto"/>
                <w:sz w:val="16"/>
                <w:szCs w:val="16"/>
              </w:rPr>
              <w:t>H</w:t>
            </w:r>
            <w:r w:rsidRPr="00D73F54">
              <w:rPr>
                <w:color w:val="auto"/>
                <w:sz w:val="16"/>
                <w:szCs w:val="16"/>
              </w:rPr>
              <w:t xml:space="preserve">earing </w:t>
            </w:r>
            <w:r w:rsidR="002E24FF">
              <w:rPr>
                <w:color w:val="auto"/>
                <w:sz w:val="16"/>
                <w:szCs w:val="16"/>
              </w:rPr>
              <w:t>L</w:t>
            </w:r>
            <w:r w:rsidR="00D44981" w:rsidRPr="00D73F54">
              <w:rPr>
                <w:color w:val="auto"/>
                <w:sz w:val="16"/>
                <w:szCs w:val="16"/>
              </w:rPr>
              <w:t>oss</w:t>
            </w:r>
            <w:r w:rsidR="002A6AD6">
              <w:rPr>
                <w:color w:val="auto"/>
                <w:sz w:val="16"/>
                <w:szCs w:val="16"/>
              </w:rPr>
              <w:t>,</w:t>
            </w:r>
            <w:r w:rsidRPr="00D73F54">
              <w:rPr>
                <w:color w:val="auto"/>
                <w:sz w:val="16"/>
                <w:szCs w:val="16"/>
              </w:rPr>
              <w:t xml:space="preserve"> L </w:t>
            </w:r>
            <w:r w:rsidR="002E24FF">
              <w:rPr>
                <w:color w:val="auto"/>
                <w:sz w:val="16"/>
                <w:szCs w:val="16"/>
              </w:rPr>
              <w:t>E</w:t>
            </w:r>
            <w:r w:rsidRPr="00D73F54">
              <w:rPr>
                <w:color w:val="auto"/>
                <w:sz w:val="16"/>
                <w:szCs w:val="16"/>
              </w:rPr>
              <w:t>ar</w:t>
            </w:r>
          </w:p>
        </w:tc>
        <w:tc>
          <w:tcPr>
            <w:tcW w:w="801" w:type="dxa"/>
            <w:tcBorders>
              <w:left w:val="single" w:sz="4" w:space="0" w:color="auto"/>
            </w:tcBorders>
            <w:shd w:val="clear" w:color="auto" w:fill="FFFFFF" w:themeFill="background1"/>
          </w:tcPr>
          <w:p w:rsidR="00D44981" w:rsidRPr="00D73F54" w:rsidRDefault="00D44981" w:rsidP="00D2221E">
            <w:pPr>
              <w:spacing w:line="180" w:lineRule="exact"/>
              <w:contextualSpacing/>
              <w:jc w:val="center"/>
              <w:rPr>
                <w:color w:val="auto"/>
                <w:sz w:val="16"/>
                <w:szCs w:val="16"/>
              </w:rPr>
            </w:pPr>
            <w:r w:rsidRPr="00D73F54">
              <w:rPr>
                <w:color w:val="auto"/>
                <w:sz w:val="16"/>
                <w:szCs w:val="16"/>
              </w:rPr>
              <w:t>6204</w:t>
            </w:r>
          </w:p>
        </w:tc>
        <w:tc>
          <w:tcPr>
            <w:tcW w:w="1179" w:type="dxa"/>
            <w:tcBorders>
              <w:right w:val="thinThickThinSmallGap" w:sz="24" w:space="0" w:color="auto"/>
            </w:tcBorders>
            <w:shd w:val="clear" w:color="auto" w:fill="FFFFFF" w:themeFill="background1"/>
          </w:tcPr>
          <w:p w:rsidR="00D44981" w:rsidRPr="00D73F54" w:rsidRDefault="00D44981" w:rsidP="00D2221E">
            <w:pPr>
              <w:spacing w:line="180" w:lineRule="exact"/>
              <w:contextualSpacing/>
              <w:jc w:val="center"/>
              <w:rPr>
                <w:color w:val="auto"/>
                <w:sz w:val="16"/>
                <w:szCs w:val="16"/>
              </w:rPr>
            </w:pPr>
            <w:r w:rsidRPr="00D73F54">
              <w:rPr>
                <w:color w:val="auto"/>
                <w:sz w:val="16"/>
                <w:szCs w:val="16"/>
              </w:rPr>
              <w:t>10%</w:t>
            </w:r>
          </w:p>
        </w:tc>
        <w:tc>
          <w:tcPr>
            <w:tcW w:w="2259" w:type="dxa"/>
            <w:vMerge/>
            <w:tcBorders>
              <w:left w:val="thinThickThinSmallGap" w:sz="24" w:space="0" w:color="auto"/>
            </w:tcBorders>
            <w:shd w:val="clear" w:color="auto" w:fill="FFFFFF" w:themeFill="background1"/>
            <w:vAlign w:val="center"/>
          </w:tcPr>
          <w:p w:rsidR="00D44981" w:rsidRPr="00D73F54" w:rsidRDefault="00D44981" w:rsidP="00B0472F">
            <w:pPr>
              <w:spacing w:line="180" w:lineRule="exact"/>
              <w:contextualSpacing/>
              <w:rPr>
                <w:color w:val="auto"/>
                <w:sz w:val="16"/>
                <w:szCs w:val="16"/>
              </w:rPr>
            </w:pPr>
          </w:p>
        </w:tc>
        <w:tc>
          <w:tcPr>
            <w:tcW w:w="1062" w:type="dxa"/>
            <w:vMerge/>
            <w:shd w:val="clear" w:color="auto" w:fill="FFFFFF" w:themeFill="background1"/>
            <w:vAlign w:val="center"/>
          </w:tcPr>
          <w:p w:rsidR="00D44981" w:rsidRPr="00D73F54" w:rsidRDefault="00D44981" w:rsidP="00B0472F">
            <w:pPr>
              <w:spacing w:line="180" w:lineRule="exact"/>
              <w:contextualSpacing/>
              <w:jc w:val="center"/>
              <w:rPr>
                <w:color w:val="auto"/>
                <w:sz w:val="16"/>
                <w:szCs w:val="16"/>
              </w:rPr>
            </w:pPr>
          </w:p>
        </w:tc>
        <w:tc>
          <w:tcPr>
            <w:tcW w:w="828" w:type="dxa"/>
            <w:vMerge/>
            <w:shd w:val="clear" w:color="auto" w:fill="FFFFFF" w:themeFill="background1"/>
            <w:vAlign w:val="center"/>
          </w:tcPr>
          <w:p w:rsidR="00D44981" w:rsidRPr="00D73F54" w:rsidRDefault="00D44981" w:rsidP="00B0472F">
            <w:pPr>
              <w:spacing w:line="180" w:lineRule="exact"/>
              <w:contextualSpacing/>
              <w:jc w:val="center"/>
              <w:rPr>
                <w:color w:val="auto"/>
                <w:sz w:val="16"/>
                <w:szCs w:val="16"/>
              </w:rPr>
            </w:pPr>
          </w:p>
        </w:tc>
        <w:tc>
          <w:tcPr>
            <w:tcW w:w="990" w:type="dxa"/>
            <w:vMerge/>
            <w:shd w:val="clear" w:color="auto" w:fill="FFFFFF" w:themeFill="background1"/>
            <w:vAlign w:val="center"/>
          </w:tcPr>
          <w:p w:rsidR="00D44981" w:rsidRPr="00D73F54" w:rsidRDefault="00D44981" w:rsidP="00B0472F">
            <w:pPr>
              <w:spacing w:line="180" w:lineRule="exact"/>
              <w:contextualSpacing/>
              <w:jc w:val="center"/>
              <w:rPr>
                <w:color w:val="auto"/>
                <w:sz w:val="16"/>
                <w:szCs w:val="16"/>
              </w:rPr>
            </w:pPr>
          </w:p>
        </w:tc>
      </w:tr>
      <w:tr w:rsidR="00BC1500" w:rsidRPr="00BC1500" w:rsidTr="002E24FF">
        <w:trPr>
          <w:trHeight w:val="170"/>
          <w:jc w:val="center"/>
        </w:trPr>
        <w:tc>
          <w:tcPr>
            <w:tcW w:w="4239" w:type="dxa"/>
            <w:gridSpan w:val="3"/>
            <w:tcBorders>
              <w:right w:val="thinThickThinSmallGap" w:sz="24" w:space="0" w:color="auto"/>
            </w:tcBorders>
            <w:shd w:val="clear" w:color="auto" w:fill="FFFFFF" w:themeFill="background1"/>
            <w:vAlign w:val="center"/>
          </w:tcPr>
          <w:p w:rsidR="00BC1500" w:rsidRPr="00D73F54" w:rsidRDefault="00BC1500" w:rsidP="00B0472F">
            <w:pPr>
              <w:spacing w:line="180" w:lineRule="exact"/>
              <w:contextualSpacing/>
              <w:jc w:val="center"/>
              <w:rPr>
                <w:color w:val="auto"/>
                <w:sz w:val="16"/>
                <w:szCs w:val="16"/>
              </w:rPr>
            </w:pPr>
            <w:r w:rsidRPr="00D73F54">
              <w:rPr>
                <w:color w:val="auto"/>
                <w:sz w:val="16"/>
                <w:szCs w:val="16"/>
              </w:rPr>
              <w:t>↓No Additional MEB/PEB Entries↓</w:t>
            </w:r>
          </w:p>
        </w:tc>
        <w:tc>
          <w:tcPr>
            <w:tcW w:w="4149" w:type="dxa"/>
            <w:gridSpan w:val="3"/>
            <w:tcBorders>
              <w:left w:val="thinThickThinSmallGap" w:sz="24" w:space="0" w:color="auto"/>
            </w:tcBorders>
            <w:shd w:val="clear" w:color="auto" w:fill="FFFFFF" w:themeFill="background1"/>
            <w:vAlign w:val="center"/>
          </w:tcPr>
          <w:p w:rsidR="00BC1500" w:rsidRPr="00D73F54" w:rsidRDefault="00BC1500" w:rsidP="00B0472F">
            <w:pPr>
              <w:spacing w:line="180" w:lineRule="exact"/>
              <w:contextualSpacing/>
              <w:jc w:val="center"/>
              <w:rPr>
                <w:color w:val="auto"/>
                <w:sz w:val="16"/>
                <w:szCs w:val="16"/>
              </w:rPr>
            </w:pPr>
            <w:r w:rsidRPr="00D73F54">
              <w:rPr>
                <w:rFonts w:cs="Times New Roman"/>
                <w:color w:val="auto"/>
                <w:sz w:val="16"/>
                <w:szCs w:val="16"/>
              </w:rPr>
              <w:t>Not Service Connected x 2</w:t>
            </w:r>
          </w:p>
        </w:tc>
        <w:tc>
          <w:tcPr>
            <w:tcW w:w="990" w:type="dxa"/>
            <w:shd w:val="clear" w:color="auto" w:fill="FFFFFF" w:themeFill="background1"/>
            <w:vAlign w:val="center"/>
          </w:tcPr>
          <w:p w:rsidR="00BC1500" w:rsidRPr="00D73F54" w:rsidRDefault="00BC1500" w:rsidP="00B0472F">
            <w:pPr>
              <w:spacing w:line="180" w:lineRule="exact"/>
              <w:contextualSpacing/>
              <w:jc w:val="center"/>
              <w:rPr>
                <w:color w:val="auto"/>
                <w:sz w:val="16"/>
                <w:szCs w:val="16"/>
              </w:rPr>
            </w:pPr>
            <w:r w:rsidRPr="00D73F54">
              <w:rPr>
                <w:color w:val="auto"/>
                <w:sz w:val="16"/>
                <w:szCs w:val="16"/>
              </w:rPr>
              <w:t>20060221</w:t>
            </w:r>
          </w:p>
        </w:tc>
      </w:tr>
      <w:tr w:rsidR="007A65A9" w:rsidRPr="00BC1500" w:rsidTr="002E24FF">
        <w:trPr>
          <w:trHeight w:val="242"/>
          <w:jc w:val="center"/>
        </w:trPr>
        <w:tc>
          <w:tcPr>
            <w:tcW w:w="4239" w:type="dxa"/>
            <w:gridSpan w:val="3"/>
            <w:tcBorders>
              <w:right w:val="thinThickThinSmallGap" w:sz="24" w:space="0" w:color="auto"/>
            </w:tcBorders>
            <w:shd w:val="clear" w:color="auto" w:fill="D9D9D9" w:themeFill="background1" w:themeFillShade="D9"/>
            <w:vAlign w:val="center"/>
          </w:tcPr>
          <w:p w:rsidR="007A65A9" w:rsidRPr="00BC1500" w:rsidRDefault="00BC1500" w:rsidP="00D44981">
            <w:pPr>
              <w:spacing w:line="200" w:lineRule="exact"/>
              <w:contextualSpacing/>
              <w:jc w:val="center"/>
              <w:rPr>
                <w:b/>
                <w:color w:val="auto"/>
                <w:sz w:val="18"/>
                <w:szCs w:val="18"/>
              </w:rPr>
            </w:pPr>
            <w:r w:rsidRPr="00BC1500">
              <w:rPr>
                <w:b/>
                <w:color w:val="auto"/>
                <w:sz w:val="18"/>
                <w:szCs w:val="18"/>
              </w:rPr>
              <w:t xml:space="preserve">Final </w:t>
            </w:r>
            <w:r w:rsidR="007A65A9" w:rsidRPr="00BC1500">
              <w:rPr>
                <w:b/>
                <w:color w:val="auto"/>
                <w:sz w:val="18"/>
                <w:szCs w:val="18"/>
              </w:rPr>
              <w:t xml:space="preserve">Combined: </w:t>
            </w:r>
            <w:r w:rsidR="00D44981" w:rsidRPr="00BC1500">
              <w:rPr>
                <w:b/>
                <w:color w:val="auto"/>
                <w:sz w:val="18"/>
                <w:szCs w:val="18"/>
              </w:rPr>
              <w:t>20</w:t>
            </w:r>
            <w:r w:rsidR="007A65A9" w:rsidRPr="00BC1500">
              <w:rPr>
                <w:b/>
                <w:color w:val="auto"/>
                <w:sz w:val="18"/>
                <w:szCs w:val="18"/>
              </w:rPr>
              <w:t>%</w:t>
            </w:r>
          </w:p>
        </w:tc>
        <w:tc>
          <w:tcPr>
            <w:tcW w:w="5139" w:type="dxa"/>
            <w:gridSpan w:val="4"/>
            <w:tcBorders>
              <w:left w:val="thinThickThinSmallGap" w:sz="24" w:space="0" w:color="auto"/>
            </w:tcBorders>
            <w:shd w:val="clear" w:color="auto" w:fill="D9D9D9" w:themeFill="background1" w:themeFillShade="D9"/>
            <w:vAlign w:val="center"/>
          </w:tcPr>
          <w:p w:rsidR="007A65A9" w:rsidRPr="00BC1500" w:rsidRDefault="00BC1500" w:rsidP="00D44981">
            <w:pPr>
              <w:spacing w:line="200" w:lineRule="exact"/>
              <w:contextualSpacing/>
              <w:jc w:val="center"/>
              <w:rPr>
                <w:b/>
                <w:color w:val="auto"/>
                <w:sz w:val="18"/>
                <w:szCs w:val="18"/>
              </w:rPr>
            </w:pPr>
            <w:r w:rsidRPr="00BC1500">
              <w:rPr>
                <w:b/>
                <w:color w:val="auto"/>
                <w:sz w:val="18"/>
                <w:szCs w:val="18"/>
              </w:rPr>
              <w:t>Total Combined:</w:t>
            </w:r>
            <w:r w:rsidR="007A65A9" w:rsidRPr="00BC1500">
              <w:rPr>
                <w:b/>
                <w:color w:val="auto"/>
                <w:sz w:val="18"/>
                <w:szCs w:val="18"/>
              </w:rPr>
              <w:t xml:space="preserve"> </w:t>
            </w:r>
            <w:r w:rsidR="00D44981" w:rsidRPr="00BC1500">
              <w:rPr>
                <w:b/>
                <w:color w:val="auto"/>
                <w:sz w:val="18"/>
                <w:szCs w:val="18"/>
              </w:rPr>
              <w:t>6</w:t>
            </w:r>
            <w:r w:rsidR="006F0F9C" w:rsidRPr="00BC1500">
              <w:rPr>
                <w:b/>
                <w:color w:val="auto"/>
                <w:sz w:val="18"/>
                <w:szCs w:val="18"/>
              </w:rPr>
              <w:t>0</w:t>
            </w:r>
            <w:r w:rsidR="007A65A9" w:rsidRPr="00BC1500">
              <w:rPr>
                <w:b/>
                <w:color w:val="auto"/>
                <w:sz w:val="18"/>
                <w:szCs w:val="18"/>
              </w:rPr>
              <w:t>%</w:t>
            </w:r>
          </w:p>
        </w:tc>
      </w:tr>
    </w:tbl>
    <w:p w:rsidR="009818AF" w:rsidRPr="00BC1500" w:rsidRDefault="00BC1500" w:rsidP="00510F9C">
      <w:pPr>
        <w:spacing w:line="240" w:lineRule="exact"/>
        <w:rPr>
          <w:rFonts w:asciiTheme="minorHAnsi" w:hAnsiTheme="minorHAnsi"/>
          <w:color w:val="auto"/>
          <w:sz w:val="18"/>
          <w:szCs w:val="18"/>
        </w:rPr>
      </w:pPr>
      <w:r w:rsidRPr="00BC1500">
        <w:rPr>
          <w:rFonts w:asciiTheme="minorHAnsi" w:hAnsiTheme="minorHAnsi"/>
          <w:color w:val="auto"/>
          <w:sz w:val="18"/>
          <w:szCs w:val="18"/>
        </w:rPr>
        <w:t>*100% effective 20080717</w:t>
      </w:r>
    </w:p>
    <w:p w:rsidR="002E24FF" w:rsidRPr="00FD14B8" w:rsidRDefault="002E24FF" w:rsidP="002E24FF">
      <w:pPr>
        <w:pBdr>
          <w:bottom w:val="single" w:sz="12" w:space="1" w:color="auto"/>
        </w:pBdr>
        <w:spacing w:line="240" w:lineRule="exact"/>
        <w:rPr>
          <w:rFonts w:asciiTheme="minorHAnsi" w:hAnsiTheme="minorHAnsi"/>
          <w:color w:val="auto"/>
          <w:u w:val="single"/>
        </w:rPr>
      </w:pPr>
    </w:p>
    <w:p w:rsidR="002E24FF" w:rsidRPr="00FD14B8" w:rsidRDefault="002E24FF" w:rsidP="002E24FF">
      <w:pPr>
        <w:spacing w:line="240" w:lineRule="exact"/>
        <w:rPr>
          <w:rFonts w:asciiTheme="minorHAnsi" w:hAnsiTheme="minorHAnsi"/>
          <w:color w:val="auto"/>
        </w:rPr>
      </w:pPr>
    </w:p>
    <w:p w:rsidR="00B951E4" w:rsidRDefault="002C6E5B" w:rsidP="00B951E4">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997324">
        <w:rPr>
          <w:rFonts w:asciiTheme="minorHAnsi" w:hAnsiTheme="minorHAnsi"/>
          <w:color w:val="auto"/>
          <w:szCs w:val="24"/>
        </w:rPr>
        <w:t xml:space="preserve"> </w:t>
      </w:r>
      <w:r w:rsidR="00263D59">
        <w:rPr>
          <w:rFonts w:asciiTheme="minorHAnsi" w:hAnsiTheme="minorHAnsi"/>
          <w:color w:val="auto"/>
          <w:szCs w:val="24"/>
        </w:rPr>
        <w:t xml:space="preserve"> </w:t>
      </w:r>
    </w:p>
    <w:p w:rsidR="00B951E4" w:rsidRDefault="00B951E4" w:rsidP="00B951E4">
      <w:pPr>
        <w:spacing w:line="240" w:lineRule="exact"/>
        <w:jc w:val="both"/>
        <w:rPr>
          <w:rFonts w:asciiTheme="minorHAnsi" w:hAnsiTheme="minorHAnsi"/>
          <w:color w:val="auto"/>
          <w:szCs w:val="24"/>
        </w:rPr>
      </w:pPr>
    </w:p>
    <w:p w:rsidR="002E24FF" w:rsidRDefault="00853454" w:rsidP="00612544">
      <w:pPr>
        <w:spacing w:line="240" w:lineRule="exact"/>
        <w:jc w:val="both"/>
        <w:rPr>
          <w:rFonts w:asciiTheme="minorHAnsi" w:hAnsiTheme="minorHAnsi"/>
          <w:color w:val="auto"/>
          <w:szCs w:val="24"/>
        </w:rPr>
      </w:pPr>
      <w:proofErr w:type="gramStart"/>
      <w:r w:rsidRPr="00F32693">
        <w:rPr>
          <w:rFonts w:asciiTheme="minorHAnsi" w:hAnsiTheme="minorHAnsi"/>
          <w:color w:val="auto"/>
          <w:szCs w:val="24"/>
          <w:u w:val="single"/>
        </w:rPr>
        <w:t xml:space="preserve">Chronic </w:t>
      </w:r>
      <w:r w:rsidR="002E24FF">
        <w:rPr>
          <w:rFonts w:asciiTheme="minorHAnsi" w:hAnsiTheme="minorHAnsi"/>
          <w:color w:val="auto"/>
          <w:szCs w:val="24"/>
          <w:u w:val="single"/>
        </w:rPr>
        <w:t>E</w:t>
      </w:r>
      <w:r w:rsidRPr="00F32693">
        <w:rPr>
          <w:rFonts w:asciiTheme="minorHAnsi" w:hAnsiTheme="minorHAnsi"/>
          <w:color w:val="auto"/>
          <w:szCs w:val="24"/>
          <w:u w:val="single"/>
        </w:rPr>
        <w:t xml:space="preserve">pisodic </w:t>
      </w:r>
      <w:r w:rsidR="002E24FF">
        <w:rPr>
          <w:rFonts w:asciiTheme="minorHAnsi" w:hAnsiTheme="minorHAnsi"/>
          <w:color w:val="auto"/>
          <w:szCs w:val="24"/>
          <w:u w:val="single"/>
        </w:rPr>
        <w:t>P</w:t>
      </w:r>
      <w:r w:rsidRPr="00F32693">
        <w:rPr>
          <w:rFonts w:asciiTheme="minorHAnsi" w:hAnsiTheme="minorHAnsi"/>
          <w:color w:val="auto"/>
          <w:szCs w:val="24"/>
          <w:u w:val="single"/>
        </w:rPr>
        <w:t xml:space="preserve">ositional </w:t>
      </w:r>
      <w:r w:rsidR="002E24FF">
        <w:rPr>
          <w:rFonts w:asciiTheme="minorHAnsi" w:hAnsiTheme="minorHAnsi"/>
          <w:color w:val="auto"/>
          <w:szCs w:val="24"/>
          <w:u w:val="single"/>
        </w:rPr>
        <w:t>V</w:t>
      </w:r>
      <w:r w:rsidRPr="00F32693">
        <w:rPr>
          <w:rFonts w:asciiTheme="minorHAnsi" w:hAnsiTheme="minorHAnsi"/>
          <w:color w:val="auto"/>
          <w:szCs w:val="24"/>
          <w:u w:val="single"/>
        </w:rPr>
        <w:t xml:space="preserve">ertigo </w:t>
      </w:r>
      <w:r w:rsidR="00D73F54">
        <w:rPr>
          <w:rFonts w:asciiTheme="minorHAnsi" w:hAnsiTheme="minorHAnsi"/>
          <w:color w:val="auto"/>
          <w:szCs w:val="24"/>
          <w:u w:val="single"/>
        </w:rPr>
        <w:t>with</w:t>
      </w:r>
      <w:r w:rsidRPr="00F32693">
        <w:rPr>
          <w:rFonts w:asciiTheme="minorHAnsi" w:hAnsiTheme="minorHAnsi"/>
          <w:color w:val="auto"/>
          <w:szCs w:val="24"/>
          <w:u w:val="single"/>
        </w:rPr>
        <w:t xml:space="preserve"> </w:t>
      </w:r>
      <w:r w:rsidR="002E24FF">
        <w:rPr>
          <w:rFonts w:asciiTheme="minorHAnsi" w:hAnsiTheme="minorHAnsi"/>
          <w:color w:val="auto"/>
          <w:szCs w:val="24"/>
          <w:u w:val="single"/>
        </w:rPr>
        <w:t>C</w:t>
      </w:r>
      <w:r w:rsidRPr="00F32693">
        <w:rPr>
          <w:rFonts w:asciiTheme="minorHAnsi" w:hAnsiTheme="minorHAnsi"/>
          <w:color w:val="auto"/>
          <w:szCs w:val="24"/>
          <w:u w:val="single"/>
        </w:rPr>
        <w:t xml:space="preserve">omplete </w:t>
      </w:r>
      <w:r w:rsidR="002E24FF">
        <w:rPr>
          <w:rFonts w:asciiTheme="minorHAnsi" w:hAnsiTheme="minorHAnsi"/>
          <w:color w:val="auto"/>
          <w:szCs w:val="24"/>
          <w:u w:val="single"/>
        </w:rPr>
        <w:t>H</w:t>
      </w:r>
      <w:r w:rsidRPr="00F32693">
        <w:rPr>
          <w:rFonts w:asciiTheme="minorHAnsi" w:hAnsiTheme="minorHAnsi"/>
          <w:color w:val="auto"/>
          <w:szCs w:val="24"/>
          <w:u w:val="single"/>
        </w:rPr>
        <w:t xml:space="preserve">earing </w:t>
      </w:r>
      <w:r w:rsidR="002E24FF">
        <w:rPr>
          <w:rFonts w:asciiTheme="minorHAnsi" w:hAnsiTheme="minorHAnsi"/>
          <w:color w:val="auto"/>
          <w:szCs w:val="24"/>
          <w:u w:val="single"/>
        </w:rPr>
        <w:t>L</w:t>
      </w:r>
      <w:r w:rsidRPr="00F32693">
        <w:rPr>
          <w:rFonts w:asciiTheme="minorHAnsi" w:hAnsiTheme="minorHAnsi"/>
          <w:color w:val="auto"/>
          <w:szCs w:val="24"/>
          <w:u w:val="single"/>
        </w:rPr>
        <w:t xml:space="preserve">oss, </w:t>
      </w:r>
      <w:r w:rsidR="002E24FF">
        <w:rPr>
          <w:rFonts w:asciiTheme="minorHAnsi" w:hAnsiTheme="minorHAnsi"/>
          <w:color w:val="auto"/>
          <w:szCs w:val="24"/>
          <w:u w:val="single"/>
        </w:rPr>
        <w:t>L</w:t>
      </w:r>
      <w:r w:rsidRPr="00F32693">
        <w:rPr>
          <w:rFonts w:asciiTheme="minorHAnsi" w:hAnsiTheme="minorHAnsi"/>
          <w:color w:val="auto"/>
          <w:szCs w:val="24"/>
          <w:u w:val="single"/>
        </w:rPr>
        <w:t xml:space="preserve">eft </w:t>
      </w:r>
      <w:r w:rsidR="002E24FF">
        <w:rPr>
          <w:rFonts w:asciiTheme="minorHAnsi" w:hAnsiTheme="minorHAnsi"/>
          <w:color w:val="auto"/>
          <w:szCs w:val="24"/>
          <w:u w:val="single"/>
        </w:rPr>
        <w:t>E</w:t>
      </w:r>
      <w:r w:rsidRPr="00F32693">
        <w:rPr>
          <w:rFonts w:asciiTheme="minorHAnsi" w:hAnsiTheme="minorHAnsi"/>
          <w:color w:val="auto"/>
          <w:szCs w:val="24"/>
          <w:u w:val="single"/>
        </w:rPr>
        <w:t>ar</w:t>
      </w:r>
      <w:r w:rsidRPr="00F32693">
        <w:rPr>
          <w:rFonts w:asciiTheme="minorHAnsi" w:hAnsiTheme="minorHAnsi"/>
          <w:color w:val="auto"/>
          <w:szCs w:val="24"/>
        </w:rPr>
        <w:t>.</w:t>
      </w:r>
      <w:proofErr w:type="gramEnd"/>
      <w:r w:rsidRPr="00F32693">
        <w:rPr>
          <w:rFonts w:asciiTheme="minorHAnsi" w:hAnsiTheme="minorHAnsi"/>
          <w:color w:val="auto"/>
          <w:szCs w:val="24"/>
        </w:rPr>
        <w:t xml:space="preserve">  In September 2003, the CI had difficulty </w:t>
      </w:r>
      <w:r w:rsidR="00C64821" w:rsidRPr="00F32693">
        <w:rPr>
          <w:rFonts w:asciiTheme="minorHAnsi" w:hAnsiTheme="minorHAnsi"/>
          <w:color w:val="auto"/>
          <w:szCs w:val="24"/>
        </w:rPr>
        <w:t>with ear pressure</w:t>
      </w:r>
      <w:r w:rsidRPr="00F32693">
        <w:rPr>
          <w:rFonts w:asciiTheme="minorHAnsi" w:hAnsiTheme="minorHAnsi"/>
          <w:color w:val="auto"/>
          <w:szCs w:val="24"/>
        </w:rPr>
        <w:t xml:space="preserve"> and continuously performed a </w:t>
      </w:r>
      <w:proofErr w:type="spellStart"/>
      <w:r w:rsidR="002E24FF">
        <w:rPr>
          <w:rFonts w:asciiTheme="minorHAnsi" w:hAnsiTheme="minorHAnsi"/>
          <w:color w:val="auto"/>
          <w:szCs w:val="24"/>
        </w:rPr>
        <w:t>v</w:t>
      </w:r>
      <w:r w:rsidRPr="00F32693">
        <w:rPr>
          <w:rFonts w:asciiTheme="minorHAnsi" w:hAnsiTheme="minorHAnsi"/>
          <w:color w:val="auto"/>
          <w:szCs w:val="24"/>
        </w:rPr>
        <w:t>alsalva</w:t>
      </w:r>
      <w:proofErr w:type="spellEnd"/>
      <w:r w:rsidRPr="00F32693">
        <w:rPr>
          <w:rFonts w:asciiTheme="minorHAnsi" w:hAnsiTheme="minorHAnsi"/>
          <w:color w:val="auto"/>
          <w:szCs w:val="24"/>
        </w:rPr>
        <w:t xml:space="preserve"> maneuver while </w:t>
      </w:r>
      <w:r w:rsidR="00C64821" w:rsidRPr="00F32693">
        <w:rPr>
          <w:rFonts w:asciiTheme="minorHAnsi" w:hAnsiTheme="minorHAnsi"/>
          <w:color w:val="auto"/>
          <w:szCs w:val="24"/>
        </w:rPr>
        <w:t xml:space="preserve">on a </w:t>
      </w:r>
      <w:r w:rsidRPr="00F32693">
        <w:rPr>
          <w:rFonts w:asciiTheme="minorHAnsi" w:hAnsiTheme="minorHAnsi"/>
          <w:color w:val="auto"/>
          <w:szCs w:val="24"/>
        </w:rPr>
        <w:t>redeployment flight</w:t>
      </w:r>
      <w:r w:rsidR="00E71CCE">
        <w:rPr>
          <w:rFonts w:asciiTheme="minorHAnsi" w:hAnsiTheme="minorHAnsi"/>
          <w:color w:val="auto"/>
          <w:szCs w:val="24"/>
        </w:rPr>
        <w:t xml:space="preserve">.  </w:t>
      </w:r>
      <w:r w:rsidRPr="00F32693">
        <w:rPr>
          <w:rFonts w:asciiTheme="minorHAnsi" w:hAnsiTheme="minorHAnsi"/>
          <w:color w:val="auto"/>
          <w:szCs w:val="24"/>
        </w:rPr>
        <w:t xml:space="preserve">He </w:t>
      </w:r>
      <w:r w:rsidR="00C64821" w:rsidRPr="00F32693">
        <w:rPr>
          <w:rFonts w:asciiTheme="minorHAnsi" w:hAnsiTheme="minorHAnsi"/>
          <w:color w:val="auto"/>
          <w:szCs w:val="24"/>
        </w:rPr>
        <w:t>experienced</w:t>
      </w:r>
      <w:r w:rsidRPr="00F32693">
        <w:rPr>
          <w:rFonts w:asciiTheme="minorHAnsi" w:hAnsiTheme="minorHAnsi"/>
          <w:color w:val="auto"/>
          <w:szCs w:val="24"/>
        </w:rPr>
        <w:t xml:space="preserve"> vertigo, nausea, vomiting</w:t>
      </w:r>
      <w:r w:rsidR="00D73F54">
        <w:rPr>
          <w:rFonts w:asciiTheme="minorHAnsi" w:hAnsiTheme="minorHAnsi"/>
          <w:color w:val="auto"/>
          <w:szCs w:val="24"/>
        </w:rPr>
        <w:t>,</w:t>
      </w:r>
      <w:r w:rsidRPr="00F32693">
        <w:rPr>
          <w:rFonts w:asciiTheme="minorHAnsi" w:hAnsiTheme="minorHAnsi"/>
          <w:color w:val="auto"/>
          <w:szCs w:val="24"/>
        </w:rPr>
        <w:t xml:space="preserve"> and dizziness upon </w:t>
      </w:r>
      <w:r w:rsidRPr="00F32693">
        <w:rPr>
          <w:rFonts w:asciiTheme="minorHAnsi" w:hAnsiTheme="minorHAnsi"/>
          <w:color w:val="auto"/>
          <w:szCs w:val="24"/>
        </w:rPr>
        <w:lastRenderedPageBreak/>
        <w:t xml:space="preserve">disembarkation.  The vertigo persisted and was associated with </w:t>
      </w:r>
      <w:r w:rsidR="00D73F54">
        <w:rPr>
          <w:rFonts w:asciiTheme="minorHAnsi" w:hAnsiTheme="minorHAnsi"/>
          <w:color w:val="auto"/>
          <w:szCs w:val="24"/>
        </w:rPr>
        <w:t xml:space="preserve">occasional tinnitus and sudden </w:t>
      </w:r>
      <w:r w:rsidRPr="00F32693">
        <w:rPr>
          <w:rFonts w:asciiTheme="minorHAnsi" w:hAnsiTheme="minorHAnsi"/>
          <w:color w:val="auto"/>
          <w:szCs w:val="24"/>
        </w:rPr>
        <w:t>hearing los</w:t>
      </w:r>
      <w:r w:rsidR="00B951E4" w:rsidRPr="00F32693">
        <w:rPr>
          <w:rFonts w:asciiTheme="minorHAnsi" w:hAnsiTheme="minorHAnsi"/>
          <w:color w:val="auto"/>
          <w:szCs w:val="24"/>
        </w:rPr>
        <w:t xml:space="preserve">s on the left.  </w:t>
      </w:r>
      <w:r w:rsidR="002E24FF">
        <w:rPr>
          <w:rFonts w:asciiTheme="minorHAnsi" w:hAnsiTheme="minorHAnsi"/>
          <w:color w:val="auto"/>
          <w:szCs w:val="24"/>
        </w:rPr>
        <w:t xml:space="preserve">Magnetic resonance imaging </w:t>
      </w:r>
      <w:r w:rsidR="00B951E4" w:rsidRPr="00F32693">
        <w:rPr>
          <w:rFonts w:asciiTheme="minorHAnsi" w:hAnsiTheme="minorHAnsi"/>
          <w:color w:val="auto"/>
          <w:szCs w:val="24"/>
        </w:rPr>
        <w:t>and lab tests were normal</w:t>
      </w:r>
      <w:r w:rsidR="00D843AB" w:rsidRPr="00F32693">
        <w:rPr>
          <w:rFonts w:asciiTheme="minorHAnsi" w:hAnsiTheme="minorHAnsi"/>
          <w:color w:val="auto"/>
          <w:szCs w:val="24"/>
        </w:rPr>
        <w:t xml:space="preserve">.  </w:t>
      </w:r>
      <w:r w:rsidR="0089751F" w:rsidRPr="00F32693">
        <w:rPr>
          <w:rFonts w:asciiTheme="minorHAnsi" w:hAnsiTheme="minorHAnsi"/>
          <w:color w:val="auto"/>
          <w:szCs w:val="24"/>
        </w:rPr>
        <w:t xml:space="preserve">Initial management included salt restriction and prednisone with subsequent vestibular rehabilitation.  </w:t>
      </w:r>
      <w:r w:rsidR="00A61CBB" w:rsidRPr="00F32693">
        <w:rPr>
          <w:rFonts w:asciiTheme="minorHAnsi" w:hAnsiTheme="minorHAnsi"/>
          <w:color w:val="auto"/>
          <w:szCs w:val="24"/>
        </w:rPr>
        <w:t xml:space="preserve">A </w:t>
      </w:r>
      <w:proofErr w:type="spellStart"/>
      <w:r w:rsidR="00A61CBB" w:rsidRPr="00F32693">
        <w:rPr>
          <w:rFonts w:asciiTheme="minorHAnsi" w:hAnsiTheme="minorHAnsi"/>
          <w:color w:val="auto"/>
          <w:szCs w:val="24"/>
        </w:rPr>
        <w:t>Rinne</w:t>
      </w:r>
      <w:proofErr w:type="spellEnd"/>
      <w:r w:rsidR="00A61CBB" w:rsidRPr="00F32693">
        <w:rPr>
          <w:rFonts w:asciiTheme="minorHAnsi" w:hAnsiTheme="minorHAnsi"/>
          <w:color w:val="auto"/>
          <w:szCs w:val="24"/>
        </w:rPr>
        <w:t xml:space="preserve"> test was negative (indicating bone conduc</w:t>
      </w:r>
      <w:r w:rsidR="00D843AB" w:rsidRPr="00F32693">
        <w:rPr>
          <w:rFonts w:asciiTheme="minorHAnsi" w:hAnsiTheme="minorHAnsi"/>
          <w:color w:val="auto"/>
          <w:szCs w:val="24"/>
        </w:rPr>
        <w:t>tion better than air</w:t>
      </w:r>
      <w:r w:rsidR="00A61CBB" w:rsidRPr="00F32693">
        <w:rPr>
          <w:rFonts w:asciiTheme="minorHAnsi" w:hAnsiTheme="minorHAnsi"/>
          <w:color w:val="auto"/>
          <w:szCs w:val="24"/>
        </w:rPr>
        <w:t xml:space="preserve"> </w:t>
      </w:r>
      <w:r w:rsidR="00D843AB" w:rsidRPr="00F32693">
        <w:rPr>
          <w:rFonts w:asciiTheme="minorHAnsi" w:hAnsiTheme="minorHAnsi"/>
          <w:color w:val="auto"/>
          <w:szCs w:val="24"/>
        </w:rPr>
        <w:t xml:space="preserve">i.e., </w:t>
      </w:r>
      <w:r w:rsidR="00A61CBB" w:rsidRPr="00F32693">
        <w:rPr>
          <w:rFonts w:asciiTheme="minorHAnsi" w:hAnsiTheme="minorHAnsi"/>
          <w:color w:val="auto"/>
          <w:szCs w:val="24"/>
        </w:rPr>
        <w:t>abnormal) and Weber lateralized to the right (</w:t>
      </w:r>
      <w:r w:rsidR="00D843AB" w:rsidRPr="00F32693">
        <w:rPr>
          <w:rFonts w:asciiTheme="minorHAnsi" w:hAnsiTheme="minorHAnsi"/>
          <w:color w:val="auto"/>
          <w:szCs w:val="24"/>
        </w:rPr>
        <w:t>indicating left ear dysfunction</w:t>
      </w:r>
      <w:r w:rsidR="00A61CBB" w:rsidRPr="00F32693">
        <w:rPr>
          <w:rFonts w:asciiTheme="minorHAnsi" w:hAnsiTheme="minorHAnsi"/>
          <w:color w:val="auto"/>
          <w:szCs w:val="24"/>
        </w:rPr>
        <w:t>)</w:t>
      </w:r>
      <w:r w:rsidR="00D843AB" w:rsidRPr="00F32693">
        <w:rPr>
          <w:rFonts w:asciiTheme="minorHAnsi" w:hAnsiTheme="minorHAnsi"/>
          <w:color w:val="auto"/>
          <w:szCs w:val="24"/>
        </w:rPr>
        <w:t>.</w:t>
      </w:r>
      <w:r w:rsidR="00A61CBB" w:rsidRPr="00F32693">
        <w:rPr>
          <w:rFonts w:asciiTheme="minorHAnsi" w:hAnsiTheme="minorHAnsi"/>
          <w:color w:val="auto"/>
          <w:szCs w:val="24"/>
        </w:rPr>
        <w:t xml:space="preserve">  </w:t>
      </w:r>
      <w:r w:rsidR="00D843AB" w:rsidRPr="00F32693">
        <w:rPr>
          <w:rFonts w:asciiTheme="minorHAnsi" w:hAnsiTheme="minorHAnsi"/>
          <w:color w:val="auto"/>
          <w:szCs w:val="24"/>
        </w:rPr>
        <w:t>The tests indicate</w:t>
      </w:r>
      <w:r w:rsidR="00A61CBB" w:rsidRPr="00F32693">
        <w:rPr>
          <w:rFonts w:asciiTheme="minorHAnsi" w:hAnsiTheme="minorHAnsi"/>
          <w:color w:val="auto"/>
          <w:szCs w:val="24"/>
        </w:rPr>
        <w:t xml:space="preserve"> a sensory and conductive loss on the left</w:t>
      </w:r>
      <w:r w:rsidR="002E24FF">
        <w:rPr>
          <w:rFonts w:asciiTheme="minorHAnsi" w:hAnsiTheme="minorHAnsi"/>
          <w:color w:val="auto"/>
          <w:szCs w:val="24"/>
        </w:rPr>
        <w:t xml:space="preserve">; </w:t>
      </w:r>
      <w:r w:rsidR="00535AEF" w:rsidRPr="00F32693">
        <w:rPr>
          <w:rFonts w:asciiTheme="minorHAnsi" w:hAnsiTheme="minorHAnsi"/>
          <w:color w:val="auto"/>
          <w:szCs w:val="24"/>
        </w:rPr>
        <w:t>hearing loss persisted</w:t>
      </w:r>
      <w:r w:rsidR="00D73F54">
        <w:rPr>
          <w:rFonts w:asciiTheme="minorHAnsi" w:hAnsiTheme="minorHAnsi"/>
          <w:color w:val="auto"/>
          <w:szCs w:val="24"/>
        </w:rPr>
        <w:t xml:space="preserve">.  </w:t>
      </w:r>
      <w:r w:rsidR="0020669E" w:rsidRPr="00F32693">
        <w:rPr>
          <w:rFonts w:asciiTheme="minorHAnsi" w:hAnsiTheme="minorHAnsi"/>
          <w:color w:val="auto"/>
          <w:szCs w:val="24"/>
        </w:rPr>
        <w:t xml:space="preserve">The </w:t>
      </w:r>
      <w:r w:rsidR="00535AEF" w:rsidRPr="00F32693">
        <w:rPr>
          <w:rFonts w:asciiTheme="minorHAnsi" w:hAnsiTheme="minorHAnsi"/>
          <w:color w:val="auto"/>
          <w:szCs w:val="24"/>
        </w:rPr>
        <w:t xml:space="preserve">vertigo was treated with </w:t>
      </w:r>
      <w:r w:rsidR="00BA0222" w:rsidRPr="00F32693">
        <w:rPr>
          <w:rFonts w:asciiTheme="minorHAnsi" w:hAnsiTheme="minorHAnsi"/>
          <w:color w:val="auto"/>
          <w:szCs w:val="24"/>
        </w:rPr>
        <w:t>vestibular rehabilitation</w:t>
      </w:r>
      <w:r w:rsidR="0020669E" w:rsidRPr="00F32693">
        <w:rPr>
          <w:rFonts w:asciiTheme="minorHAnsi" w:hAnsiTheme="minorHAnsi"/>
          <w:color w:val="auto"/>
          <w:szCs w:val="24"/>
        </w:rPr>
        <w:t xml:space="preserve"> </w:t>
      </w:r>
      <w:r w:rsidR="00535AEF" w:rsidRPr="00F32693">
        <w:rPr>
          <w:rFonts w:asciiTheme="minorHAnsi" w:hAnsiTheme="minorHAnsi"/>
          <w:color w:val="auto"/>
          <w:szCs w:val="24"/>
        </w:rPr>
        <w:t xml:space="preserve">which </w:t>
      </w:r>
      <w:r w:rsidR="00D843AB" w:rsidRPr="00F32693">
        <w:rPr>
          <w:rFonts w:asciiTheme="minorHAnsi" w:hAnsiTheme="minorHAnsi"/>
          <w:color w:val="auto"/>
          <w:szCs w:val="24"/>
        </w:rPr>
        <w:t>did not result in full resolution</w:t>
      </w:r>
      <w:r w:rsidR="00273745" w:rsidRPr="00F32693">
        <w:rPr>
          <w:rFonts w:asciiTheme="minorHAnsi" w:hAnsiTheme="minorHAnsi"/>
          <w:color w:val="auto"/>
          <w:szCs w:val="24"/>
        </w:rPr>
        <w:t xml:space="preserve">.  An </w:t>
      </w:r>
      <w:proofErr w:type="spellStart"/>
      <w:r w:rsidR="00273745" w:rsidRPr="00F32693">
        <w:rPr>
          <w:rFonts w:asciiTheme="minorHAnsi" w:hAnsiTheme="minorHAnsi"/>
          <w:color w:val="auto"/>
          <w:szCs w:val="24"/>
        </w:rPr>
        <w:t>electronystagmogram</w:t>
      </w:r>
      <w:proofErr w:type="spellEnd"/>
      <w:r w:rsidR="00273745" w:rsidRPr="00F32693">
        <w:rPr>
          <w:rFonts w:asciiTheme="minorHAnsi" w:hAnsiTheme="minorHAnsi"/>
          <w:color w:val="auto"/>
          <w:szCs w:val="24"/>
        </w:rPr>
        <w:t xml:space="preserve"> showed no </w:t>
      </w:r>
      <w:proofErr w:type="spellStart"/>
      <w:r w:rsidR="00273745" w:rsidRPr="00F32693">
        <w:rPr>
          <w:rFonts w:asciiTheme="minorHAnsi" w:hAnsiTheme="minorHAnsi"/>
          <w:color w:val="auto"/>
          <w:szCs w:val="24"/>
        </w:rPr>
        <w:t>nystagmus</w:t>
      </w:r>
      <w:proofErr w:type="spellEnd"/>
      <w:r w:rsidR="00273745" w:rsidRPr="00F32693">
        <w:rPr>
          <w:rFonts w:asciiTheme="minorHAnsi" w:hAnsiTheme="minorHAnsi"/>
          <w:color w:val="auto"/>
          <w:szCs w:val="24"/>
        </w:rPr>
        <w:t>, but did reveal left-sided</w:t>
      </w:r>
      <w:r w:rsidR="00535AEF" w:rsidRPr="00F32693">
        <w:rPr>
          <w:rFonts w:asciiTheme="minorHAnsi" w:hAnsiTheme="minorHAnsi"/>
          <w:color w:val="auto"/>
          <w:szCs w:val="24"/>
        </w:rPr>
        <w:t xml:space="preserve"> w</w:t>
      </w:r>
      <w:r w:rsidR="00E71CCE">
        <w:rPr>
          <w:rFonts w:asciiTheme="minorHAnsi" w:hAnsiTheme="minorHAnsi"/>
          <w:color w:val="auto"/>
          <w:szCs w:val="24"/>
        </w:rPr>
        <w:t xml:space="preserve">eakness on caloric testing.  He </w:t>
      </w:r>
      <w:r w:rsidR="00273745" w:rsidRPr="00F32693">
        <w:rPr>
          <w:rFonts w:asciiTheme="minorHAnsi" w:hAnsiTheme="minorHAnsi"/>
          <w:color w:val="auto"/>
          <w:szCs w:val="24"/>
        </w:rPr>
        <w:t xml:space="preserve">underwent </w:t>
      </w:r>
      <w:r w:rsidR="0020669E" w:rsidRPr="00F32693">
        <w:rPr>
          <w:rFonts w:asciiTheme="minorHAnsi" w:hAnsiTheme="minorHAnsi"/>
          <w:color w:val="auto"/>
          <w:szCs w:val="24"/>
        </w:rPr>
        <w:t xml:space="preserve">exploratory surgery with repair of a left </w:t>
      </w:r>
      <w:proofErr w:type="spellStart"/>
      <w:r w:rsidR="0020669E" w:rsidRPr="00F32693">
        <w:rPr>
          <w:rFonts w:asciiTheme="minorHAnsi" w:hAnsiTheme="minorHAnsi"/>
          <w:color w:val="auto"/>
          <w:szCs w:val="24"/>
        </w:rPr>
        <w:t>peri</w:t>
      </w:r>
      <w:proofErr w:type="spellEnd"/>
      <w:r w:rsidR="0020669E" w:rsidRPr="00F32693">
        <w:rPr>
          <w:rFonts w:asciiTheme="minorHAnsi" w:hAnsiTheme="minorHAnsi"/>
          <w:color w:val="auto"/>
          <w:szCs w:val="24"/>
        </w:rPr>
        <w:t>-lymphatic fistula</w:t>
      </w:r>
      <w:r w:rsidR="00273745" w:rsidRPr="00F32693">
        <w:rPr>
          <w:rFonts w:asciiTheme="minorHAnsi" w:hAnsiTheme="minorHAnsi"/>
          <w:color w:val="auto"/>
          <w:szCs w:val="24"/>
        </w:rPr>
        <w:t xml:space="preserve"> </w:t>
      </w:r>
      <w:r w:rsidR="00BA0222" w:rsidRPr="00F32693">
        <w:rPr>
          <w:rFonts w:asciiTheme="minorHAnsi" w:hAnsiTheme="minorHAnsi"/>
          <w:color w:val="auto"/>
          <w:szCs w:val="24"/>
        </w:rPr>
        <w:t>discovered</w:t>
      </w:r>
      <w:r w:rsidR="00273745" w:rsidRPr="00F32693">
        <w:rPr>
          <w:rFonts w:asciiTheme="minorHAnsi" w:hAnsiTheme="minorHAnsi"/>
          <w:color w:val="auto"/>
          <w:szCs w:val="24"/>
        </w:rPr>
        <w:t xml:space="preserve"> </w:t>
      </w:r>
      <w:r w:rsidR="00E71CCE">
        <w:rPr>
          <w:rFonts w:asciiTheme="minorHAnsi" w:hAnsiTheme="minorHAnsi"/>
          <w:color w:val="auto"/>
          <w:szCs w:val="24"/>
        </w:rPr>
        <w:t>during</w:t>
      </w:r>
      <w:r w:rsidR="00273745" w:rsidRPr="00F32693">
        <w:rPr>
          <w:rFonts w:asciiTheme="minorHAnsi" w:hAnsiTheme="minorHAnsi"/>
          <w:color w:val="auto"/>
          <w:szCs w:val="24"/>
        </w:rPr>
        <w:t xml:space="preserve"> surgery</w:t>
      </w:r>
      <w:r w:rsidR="0020669E" w:rsidRPr="00F32693">
        <w:rPr>
          <w:rFonts w:asciiTheme="minorHAnsi" w:hAnsiTheme="minorHAnsi"/>
          <w:color w:val="auto"/>
          <w:szCs w:val="24"/>
        </w:rPr>
        <w:t xml:space="preserve">.  </w:t>
      </w:r>
      <w:r w:rsidR="00C64821" w:rsidRPr="00F32693">
        <w:rPr>
          <w:rFonts w:asciiTheme="minorHAnsi" w:hAnsiTheme="minorHAnsi"/>
          <w:color w:val="auto"/>
          <w:szCs w:val="24"/>
        </w:rPr>
        <w:t xml:space="preserve">There was </w:t>
      </w:r>
      <w:r w:rsidR="0020669E" w:rsidRPr="00F32693">
        <w:rPr>
          <w:rFonts w:asciiTheme="minorHAnsi" w:hAnsiTheme="minorHAnsi"/>
          <w:color w:val="auto"/>
          <w:szCs w:val="24"/>
        </w:rPr>
        <w:t>improvement of the vertigo</w:t>
      </w:r>
      <w:r w:rsidR="002E24FF">
        <w:rPr>
          <w:rFonts w:asciiTheme="minorHAnsi" w:hAnsiTheme="minorHAnsi"/>
          <w:color w:val="auto"/>
          <w:szCs w:val="24"/>
        </w:rPr>
        <w:t xml:space="preserve">; </w:t>
      </w:r>
      <w:r w:rsidR="0020669E" w:rsidRPr="00F32693">
        <w:rPr>
          <w:rFonts w:asciiTheme="minorHAnsi" w:hAnsiTheme="minorHAnsi"/>
          <w:color w:val="auto"/>
          <w:szCs w:val="24"/>
        </w:rPr>
        <w:t>without complete resolution.</w:t>
      </w:r>
      <w:r w:rsidR="0020669E" w:rsidRPr="00D843AB">
        <w:rPr>
          <w:rFonts w:asciiTheme="minorHAnsi" w:hAnsiTheme="minorHAnsi"/>
          <w:color w:val="auto"/>
          <w:szCs w:val="24"/>
        </w:rPr>
        <w:t xml:space="preserve">  </w:t>
      </w:r>
      <w:r w:rsidR="000328E9" w:rsidRPr="00D843AB">
        <w:rPr>
          <w:rFonts w:asciiTheme="minorHAnsi" w:hAnsiTheme="minorHAnsi"/>
          <w:color w:val="auto"/>
          <w:szCs w:val="24"/>
        </w:rPr>
        <w:t>MEB exam</w:t>
      </w:r>
      <w:r w:rsidR="002E24FF">
        <w:rPr>
          <w:rFonts w:asciiTheme="minorHAnsi" w:hAnsiTheme="minorHAnsi"/>
          <w:color w:val="auto"/>
          <w:szCs w:val="24"/>
        </w:rPr>
        <w:t xml:space="preserve"> on 23 February 2006</w:t>
      </w:r>
      <w:r w:rsidR="000328E9" w:rsidRPr="00D843AB">
        <w:rPr>
          <w:rFonts w:asciiTheme="minorHAnsi" w:hAnsiTheme="minorHAnsi"/>
          <w:color w:val="auto"/>
          <w:szCs w:val="24"/>
        </w:rPr>
        <w:t xml:space="preserve">, eight months </w:t>
      </w:r>
      <w:r w:rsidR="00D843AB">
        <w:rPr>
          <w:rFonts w:asciiTheme="minorHAnsi" w:hAnsiTheme="minorHAnsi"/>
          <w:color w:val="auto"/>
          <w:szCs w:val="24"/>
        </w:rPr>
        <w:t>pre</w:t>
      </w:r>
      <w:r w:rsidR="00EC6A84">
        <w:rPr>
          <w:rFonts w:asciiTheme="minorHAnsi" w:hAnsiTheme="minorHAnsi"/>
          <w:color w:val="auto"/>
          <w:szCs w:val="24"/>
        </w:rPr>
        <w:t>-</w:t>
      </w:r>
      <w:r w:rsidR="000328E9" w:rsidRPr="00D843AB">
        <w:rPr>
          <w:rFonts w:asciiTheme="minorHAnsi" w:hAnsiTheme="minorHAnsi"/>
          <w:color w:val="auto"/>
          <w:szCs w:val="24"/>
        </w:rPr>
        <w:t>separation</w:t>
      </w:r>
      <w:r w:rsidR="00C64821">
        <w:rPr>
          <w:rFonts w:asciiTheme="minorHAnsi" w:hAnsiTheme="minorHAnsi"/>
          <w:color w:val="auto"/>
          <w:szCs w:val="24"/>
        </w:rPr>
        <w:t>,</w:t>
      </w:r>
      <w:r w:rsidR="00D843AB">
        <w:rPr>
          <w:rFonts w:asciiTheme="minorHAnsi" w:hAnsiTheme="minorHAnsi"/>
          <w:color w:val="auto"/>
          <w:szCs w:val="24"/>
        </w:rPr>
        <w:t xml:space="preserve"> revealed</w:t>
      </w:r>
      <w:r w:rsidR="00A61CBB" w:rsidRPr="00D843AB">
        <w:rPr>
          <w:rFonts w:asciiTheme="minorHAnsi" w:hAnsiTheme="minorHAnsi"/>
          <w:color w:val="auto"/>
          <w:szCs w:val="24"/>
        </w:rPr>
        <w:t xml:space="preserve"> occasional vertigo resulting</w:t>
      </w:r>
      <w:r w:rsidR="00A61CBB">
        <w:rPr>
          <w:rFonts w:asciiTheme="minorHAnsi" w:hAnsiTheme="minorHAnsi"/>
          <w:color w:val="auto"/>
          <w:szCs w:val="24"/>
        </w:rPr>
        <w:t xml:space="preserve"> from left-sided head movement and </w:t>
      </w:r>
      <w:r w:rsidR="00E71CCE">
        <w:rPr>
          <w:rFonts w:asciiTheme="minorHAnsi" w:hAnsiTheme="minorHAnsi"/>
          <w:color w:val="auto"/>
          <w:szCs w:val="24"/>
        </w:rPr>
        <w:t xml:space="preserve">from </w:t>
      </w:r>
      <w:r w:rsidR="00A61CBB">
        <w:rPr>
          <w:rFonts w:asciiTheme="minorHAnsi" w:hAnsiTheme="minorHAnsi"/>
          <w:color w:val="auto"/>
          <w:szCs w:val="24"/>
        </w:rPr>
        <w:t>looking up</w:t>
      </w:r>
      <w:r w:rsidR="00E71CCE">
        <w:rPr>
          <w:rFonts w:asciiTheme="minorHAnsi" w:hAnsiTheme="minorHAnsi"/>
          <w:color w:val="auto"/>
          <w:szCs w:val="24"/>
        </w:rPr>
        <w:t>ward</w:t>
      </w:r>
      <w:r w:rsidR="00D843AB">
        <w:rPr>
          <w:rFonts w:asciiTheme="minorHAnsi" w:hAnsiTheme="minorHAnsi"/>
          <w:color w:val="auto"/>
          <w:szCs w:val="24"/>
        </w:rPr>
        <w:t xml:space="preserve">.  The CI </w:t>
      </w:r>
      <w:r w:rsidR="00A61CBB">
        <w:rPr>
          <w:rFonts w:asciiTheme="minorHAnsi" w:hAnsiTheme="minorHAnsi"/>
          <w:color w:val="auto"/>
          <w:szCs w:val="24"/>
        </w:rPr>
        <w:t xml:space="preserve">felt unsteady most </w:t>
      </w:r>
      <w:r w:rsidR="00D843AB">
        <w:rPr>
          <w:rFonts w:asciiTheme="minorHAnsi" w:hAnsiTheme="minorHAnsi"/>
          <w:color w:val="auto"/>
          <w:szCs w:val="24"/>
        </w:rPr>
        <w:t>of the time</w:t>
      </w:r>
      <w:r w:rsidR="00A61CBB">
        <w:rPr>
          <w:rFonts w:asciiTheme="minorHAnsi" w:hAnsiTheme="minorHAnsi"/>
          <w:color w:val="auto"/>
          <w:szCs w:val="24"/>
        </w:rPr>
        <w:t xml:space="preserve">.  No </w:t>
      </w:r>
      <w:proofErr w:type="spellStart"/>
      <w:r w:rsidR="00A61CBB">
        <w:rPr>
          <w:rFonts w:asciiTheme="minorHAnsi" w:hAnsiTheme="minorHAnsi"/>
          <w:color w:val="auto"/>
          <w:szCs w:val="24"/>
        </w:rPr>
        <w:t>nystagmus</w:t>
      </w:r>
      <w:proofErr w:type="spellEnd"/>
      <w:r w:rsidR="00A61CBB">
        <w:rPr>
          <w:rFonts w:asciiTheme="minorHAnsi" w:hAnsiTheme="minorHAnsi"/>
          <w:color w:val="auto"/>
          <w:szCs w:val="24"/>
        </w:rPr>
        <w:t xml:space="preserve"> was noted and tympanic membranes were normal.  </w:t>
      </w:r>
      <w:r w:rsidR="00A61CBB" w:rsidRPr="00F32693">
        <w:rPr>
          <w:rFonts w:asciiTheme="minorHAnsi" w:hAnsiTheme="minorHAnsi"/>
          <w:color w:val="auto"/>
          <w:szCs w:val="24"/>
        </w:rPr>
        <w:t>Romb</w:t>
      </w:r>
      <w:r w:rsidR="00F32693">
        <w:rPr>
          <w:rFonts w:asciiTheme="minorHAnsi" w:hAnsiTheme="minorHAnsi"/>
          <w:color w:val="auto"/>
          <w:szCs w:val="24"/>
        </w:rPr>
        <w:t>e</w:t>
      </w:r>
      <w:r w:rsidR="00A61CBB" w:rsidRPr="00F32693">
        <w:rPr>
          <w:rFonts w:asciiTheme="minorHAnsi" w:hAnsiTheme="minorHAnsi"/>
          <w:color w:val="auto"/>
          <w:szCs w:val="24"/>
        </w:rPr>
        <w:t xml:space="preserve">rg and tandem gait were slightly unsteady, but overall gross gait was </w:t>
      </w:r>
      <w:r w:rsidR="00D843AB" w:rsidRPr="00F32693">
        <w:rPr>
          <w:rFonts w:asciiTheme="minorHAnsi" w:hAnsiTheme="minorHAnsi"/>
          <w:color w:val="auto"/>
          <w:szCs w:val="24"/>
        </w:rPr>
        <w:t>normal</w:t>
      </w:r>
      <w:r w:rsidR="00A61CBB" w:rsidRPr="00F32693">
        <w:rPr>
          <w:rFonts w:asciiTheme="minorHAnsi" w:hAnsiTheme="minorHAnsi"/>
          <w:color w:val="auto"/>
          <w:szCs w:val="24"/>
        </w:rPr>
        <w:t xml:space="preserve">.  </w:t>
      </w:r>
      <w:r w:rsidR="00E74325" w:rsidRPr="00F32693">
        <w:rPr>
          <w:rFonts w:asciiTheme="minorHAnsi" w:hAnsiTheme="minorHAnsi"/>
          <w:color w:val="auto"/>
          <w:szCs w:val="24"/>
        </w:rPr>
        <w:t>There</w:t>
      </w:r>
      <w:r w:rsidR="00E74325">
        <w:rPr>
          <w:rFonts w:asciiTheme="minorHAnsi" w:hAnsiTheme="minorHAnsi"/>
          <w:color w:val="auto"/>
          <w:szCs w:val="24"/>
        </w:rPr>
        <w:t xml:space="preserve"> was no </w:t>
      </w:r>
      <w:proofErr w:type="spellStart"/>
      <w:r w:rsidR="00A61CBB" w:rsidRPr="00D843AB">
        <w:rPr>
          <w:rFonts w:asciiTheme="minorHAnsi" w:hAnsiTheme="minorHAnsi"/>
          <w:color w:val="auto"/>
          <w:szCs w:val="24"/>
        </w:rPr>
        <w:t>dysdiadochokinesia</w:t>
      </w:r>
      <w:proofErr w:type="spellEnd"/>
      <w:r w:rsidR="00A61CBB" w:rsidRPr="00D843AB">
        <w:rPr>
          <w:rFonts w:asciiTheme="minorHAnsi" w:hAnsiTheme="minorHAnsi"/>
          <w:color w:val="auto"/>
          <w:szCs w:val="24"/>
        </w:rPr>
        <w:t xml:space="preserve"> (an inability to perform rapid </w:t>
      </w:r>
      <w:r w:rsidR="00E74325">
        <w:rPr>
          <w:rFonts w:asciiTheme="minorHAnsi" w:hAnsiTheme="minorHAnsi"/>
          <w:color w:val="auto"/>
          <w:szCs w:val="24"/>
        </w:rPr>
        <w:t>alternating movements</w:t>
      </w:r>
      <w:r w:rsidR="00A61CBB" w:rsidRPr="00D843AB">
        <w:rPr>
          <w:rFonts w:asciiTheme="minorHAnsi" w:hAnsiTheme="minorHAnsi"/>
          <w:color w:val="auto"/>
          <w:szCs w:val="24"/>
        </w:rPr>
        <w:t>).</w:t>
      </w:r>
      <w:r w:rsidR="00A61CBB" w:rsidRPr="00D843AB">
        <w:rPr>
          <w:rFonts w:asciiTheme="minorHAnsi" w:hAnsiTheme="minorHAnsi"/>
          <w:i/>
          <w:color w:val="auto"/>
          <w:szCs w:val="24"/>
        </w:rPr>
        <w:t xml:space="preserve"> </w:t>
      </w:r>
      <w:r w:rsidR="00A61CBB">
        <w:rPr>
          <w:rFonts w:asciiTheme="minorHAnsi" w:hAnsiTheme="minorHAnsi"/>
          <w:color w:val="auto"/>
          <w:szCs w:val="24"/>
        </w:rPr>
        <w:t xml:space="preserve"> The audiogram associated with </w:t>
      </w:r>
      <w:r w:rsidR="00427AA9">
        <w:rPr>
          <w:rFonts w:asciiTheme="minorHAnsi" w:hAnsiTheme="minorHAnsi"/>
          <w:color w:val="auto"/>
          <w:szCs w:val="24"/>
        </w:rPr>
        <w:t>the exam showed a complete loss</w:t>
      </w:r>
      <w:r w:rsidR="00D843AB">
        <w:rPr>
          <w:rFonts w:asciiTheme="minorHAnsi" w:hAnsiTheme="minorHAnsi"/>
          <w:color w:val="auto"/>
          <w:szCs w:val="24"/>
        </w:rPr>
        <w:t xml:space="preserve"> of hearing and speech discrimination</w:t>
      </w:r>
      <w:r w:rsidR="00427AA9">
        <w:rPr>
          <w:rFonts w:asciiTheme="minorHAnsi" w:hAnsiTheme="minorHAnsi"/>
          <w:color w:val="auto"/>
          <w:szCs w:val="24"/>
        </w:rPr>
        <w:t xml:space="preserve"> on the left and normal hearing </w:t>
      </w:r>
      <w:r w:rsidR="00E31414">
        <w:rPr>
          <w:rFonts w:asciiTheme="minorHAnsi" w:hAnsiTheme="minorHAnsi"/>
          <w:color w:val="auto"/>
          <w:szCs w:val="24"/>
        </w:rPr>
        <w:t xml:space="preserve">and speech discrimination </w:t>
      </w:r>
      <w:r w:rsidR="00427AA9">
        <w:rPr>
          <w:rFonts w:asciiTheme="minorHAnsi" w:hAnsiTheme="minorHAnsi"/>
          <w:color w:val="auto"/>
          <w:szCs w:val="24"/>
        </w:rPr>
        <w:t xml:space="preserve">on the right.  </w:t>
      </w:r>
    </w:p>
    <w:p w:rsidR="002E24FF" w:rsidRDefault="002E24FF" w:rsidP="00612544">
      <w:pPr>
        <w:spacing w:line="240" w:lineRule="exact"/>
        <w:jc w:val="both"/>
        <w:rPr>
          <w:rFonts w:asciiTheme="minorHAnsi" w:hAnsiTheme="minorHAnsi"/>
          <w:color w:val="auto"/>
          <w:szCs w:val="24"/>
        </w:rPr>
      </w:pPr>
    </w:p>
    <w:p w:rsidR="002A6AD6" w:rsidRDefault="00427AA9" w:rsidP="00612544">
      <w:pPr>
        <w:spacing w:line="240" w:lineRule="exact"/>
        <w:jc w:val="both"/>
        <w:rPr>
          <w:rFonts w:asciiTheme="minorHAnsi" w:hAnsiTheme="minorHAnsi"/>
          <w:color w:val="auto"/>
          <w:szCs w:val="24"/>
        </w:rPr>
      </w:pPr>
      <w:r>
        <w:rPr>
          <w:rFonts w:asciiTheme="minorHAnsi" w:hAnsiTheme="minorHAnsi"/>
          <w:color w:val="auto"/>
          <w:szCs w:val="24"/>
        </w:rPr>
        <w:t xml:space="preserve">VA compensation and pension (C&amp;P) exam for audiology and ear </w:t>
      </w:r>
      <w:r w:rsidR="00E71CCE">
        <w:rPr>
          <w:rFonts w:asciiTheme="minorHAnsi" w:hAnsiTheme="minorHAnsi"/>
          <w:color w:val="auto"/>
          <w:szCs w:val="24"/>
        </w:rPr>
        <w:t>disease</w:t>
      </w:r>
      <w:r w:rsidR="002A6AD6">
        <w:rPr>
          <w:rFonts w:asciiTheme="minorHAnsi" w:hAnsiTheme="minorHAnsi"/>
          <w:color w:val="auto"/>
          <w:szCs w:val="24"/>
        </w:rPr>
        <w:t xml:space="preserve"> on 21 February </w:t>
      </w:r>
      <w:r w:rsidR="004914AF" w:rsidRPr="004914AF">
        <w:rPr>
          <w:rFonts w:asciiTheme="minorHAnsi" w:hAnsiTheme="minorHAnsi"/>
          <w:color w:val="auto"/>
          <w:szCs w:val="24"/>
        </w:rPr>
        <w:t>2006</w:t>
      </w:r>
      <w:r w:rsidRPr="004914AF">
        <w:rPr>
          <w:rFonts w:asciiTheme="minorHAnsi" w:hAnsiTheme="minorHAnsi"/>
          <w:color w:val="auto"/>
          <w:szCs w:val="24"/>
        </w:rPr>
        <w:t xml:space="preserve"> </w:t>
      </w:r>
      <w:r w:rsidR="00E71CCE">
        <w:rPr>
          <w:rFonts w:asciiTheme="minorHAnsi" w:hAnsiTheme="minorHAnsi"/>
          <w:color w:val="auto"/>
          <w:szCs w:val="24"/>
        </w:rPr>
        <w:t xml:space="preserve">were </w:t>
      </w:r>
      <w:r w:rsidRPr="004914AF">
        <w:rPr>
          <w:rFonts w:asciiTheme="minorHAnsi" w:hAnsiTheme="minorHAnsi"/>
          <w:color w:val="auto"/>
          <w:szCs w:val="24"/>
        </w:rPr>
        <w:t>proximate to the MEB evaluation.  He</w:t>
      </w:r>
      <w:r>
        <w:rPr>
          <w:rFonts w:asciiTheme="minorHAnsi" w:hAnsiTheme="minorHAnsi"/>
          <w:color w:val="auto"/>
          <w:szCs w:val="24"/>
        </w:rPr>
        <w:t xml:space="preserve"> was </w:t>
      </w:r>
      <w:r w:rsidR="00E31414">
        <w:rPr>
          <w:rFonts w:asciiTheme="minorHAnsi" w:hAnsiTheme="minorHAnsi"/>
          <w:color w:val="auto"/>
          <w:szCs w:val="24"/>
        </w:rPr>
        <w:t xml:space="preserve">again </w:t>
      </w:r>
      <w:r>
        <w:rPr>
          <w:rFonts w:asciiTheme="minorHAnsi" w:hAnsiTheme="minorHAnsi"/>
          <w:color w:val="auto"/>
          <w:szCs w:val="24"/>
        </w:rPr>
        <w:t>noted to have 100% discrimination and normal hearing on the right with no hearing on the left.  The C&amp;P ear exam noted that</w:t>
      </w:r>
      <w:r w:rsidR="00187070">
        <w:rPr>
          <w:rFonts w:asciiTheme="minorHAnsi" w:hAnsiTheme="minorHAnsi"/>
          <w:color w:val="auto"/>
          <w:szCs w:val="24"/>
        </w:rPr>
        <w:t xml:space="preserve">, by history, </w:t>
      </w:r>
      <w:r>
        <w:rPr>
          <w:rFonts w:asciiTheme="minorHAnsi" w:hAnsiTheme="minorHAnsi"/>
          <w:color w:val="auto"/>
          <w:szCs w:val="24"/>
        </w:rPr>
        <w:t xml:space="preserve">he still walked with unsteadiness and had difficulty with sudden movements.  The ears were noted to be clear and no </w:t>
      </w:r>
      <w:proofErr w:type="spellStart"/>
      <w:r>
        <w:rPr>
          <w:rFonts w:asciiTheme="minorHAnsi" w:hAnsiTheme="minorHAnsi"/>
          <w:color w:val="auto"/>
          <w:szCs w:val="24"/>
        </w:rPr>
        <w:t>nystagmus</w:t>
      </w:r>
      <w:proofErr w:type="spellEnd"/>
      <w:r>
        <w:rPr>
          <w:rFonts w:asciiTheme="minorHAnsi" w:hAnsiTheme="minorHAnsi"/>
          <w:color w:val="auto"/>
          <w:szCs w:val="24"/>
        </w:rPr>
        <w:t xml:space="preserve"> was present.  No </w:t>
      </w:r>
      <w:r w:rsidR="005A7EAD">
        <w:rPr>
          <w:rFonts w:asciiTheme="minorHAnsi" w:hAnsiTheme="minorHAnsi"/>
          <w:color w:val="auto"/>
          <w:szCs w:val="24"/>
        </w:rPr>
        <w:t xml:space="preserve">objective </w:t>
      </w:r>
      <w:r>
        <w:rPr>
          <w:rFonts w:asciiTheme="minorHAnsi" w:hAnsiTheme="minorHAnsi"/>
          <w:color w:val="auto"/>
          <w:szCs w:val="24"/>
        </w:rPr>
        <w:t xml:space="preserve">assessment of gait </w:t>
      </w:r>
      <w:r w:rsidR="0020387D">
        <w:rPr>
          <w:rFonts w:asciiTheme="minorHAnsi" w:hAnsiTheme="minorHAnsi"/>
          <w:color w:val="auto"/>
          <w:szCs w:val="24"/>
        </w:rPr>
        <w:t xml:space="preserve">or vestibular function was </w:t>
      </w:r>
      <w:r w:rsidR="00E31414">
        <w:rPr>
          <w:rFonts w:asciiTheme="minorHAnsi" w:hAnsiTheme="minorHAnsi"/>
          <w:color w:val="auto"/>
          <w:szCs w:val="24"/>
        </w:rPr>
        <w:t>documented</w:t>
      </w:r>
      <w:r w:rsidR="00E71CCE">
        <w:rPr>
          <w:rFonts w:asciiTheme="minorHAnsi" w:hAnsiTheme="minorHAnsi"/>
          <w:color w:val="auto"/>
          <w:szCs w:val="24"/>
        </w:rPr>
        <w:t xml:space="preserve">.  </w:t>
      </w:r>
      <w:r w:rsidR="0020387D">
        <w:rPr>
          <w:rFonts w:asciiTheme="minorHAnsi" w:hAnsiTheme="minorHAnsi"/>
          <w:color w:val="auto"/>
          <w:szCs w:val="24"/>
        </w:rPr>
        <w:t xml:space="preserve">The assessment </w:t>
      </w:r>
      <w:r w:rsidR="00E71CCE">
        <w:rPr>
          <w:rFonts w:asciiTheme="minorHAnsi" w:hAnsiTheme="minorHAnsi"/>
          <w:color w:val="auto"/>
          <w:szCs w:val="24"/>
        </w:rPr>
        <w:t>reads,</w:t>
      </w:r>
      <w:r w:rsidR="0020387D">
        <w:rPr>
          <w:rFonts w:asciiTheme="minorHAnsi" w:hAnsiTheme="minorHAnsi"/>
          <w:color w:val="auto"/>
          <w:szCs w:val="24"/>
        </w:rPr>
        <w:t xml:space="preserve"> “</w:t>
      </w:r>
      <w:proofErr w:type="gramStart"/>
      <w:r w:rsidR="0020387D">
        <w:rPr>
          <w:rFonts w:asciiTheme="minorHAnsi" w:hAnsiTheme="minorHAnsi"/>
          <w:color w:val="auto"/>
          <w:szCs w:val="24"/>
        </w:rPr>
        <w:t>occlusion</w:t>
      </w:r>
      <w:proofErr w:type="gramEnd"/>
      <w:r w:rsidR="0020387D">
        <w:rPr>
          <w:rFonts w:asciiTheme="minorHAnsi" w:hAnsiTheme="minorHAnsi"/>
          <w:color w:val="auto"/>
          <w:szCs w:val="24"/>
        </w:rPr>
        <w:t xml:space="preserve">, left, probable </w:t>
      </w:r>
      <w:proofErr w:type="spellStart"/>
      <w:r w:rsidR="0020387D">
        <w:rPr>
          <w:rFonts w:asciiTheme="minorHAnsi" w:hAnsiTheme="minorHAnsi"/>
          <w:color w:val="auto"/>
          <w:szCs w:val="24"/>
        </w:rPr>
        <w:t>cochleovestibular</w:t>
      </w:r>
      <w:proofErr w:type="spellEnd"/>
      <w:r w:rsidR="0020387D">
        <w:rPr>
          <w:rFonts w:asciiTheme="minorHAnsi" w:hAnsiTheme="minorHAnsi"/>
          <w:color w:val="auto"/>
          <w:szCs w:val="24"/>
        </w:rPr>
        <w:t xml:space="preserve"> fistula, not active at this time but has not progressed to normal</w:t>
      </w:r>
      <w:r w:rsidR="002A6AD6">
        <w:rPr>
          <w:rFonts w:asciiTheme="minorHAnsi" w:hAnsiTheme="minorHAnsi"/>
          <w:color w:val="auto"/>
          <w:szCs w:val="24"/>
        </w:rPr>
        <w:t>.</w:t>
      </w:r>
      <w:r w:rsidR="0020387D">
        <w:rPr>
          <w:rFonts w:asciiTheme="minorHAnsi" w:hAnsiTheme="minorHAnsi"/>
          <w:color w:val="auto"/>
          <w:szCs w:val="24"/>
        </w:rPr>
        <w:t xml:space="preserve">”  </w:t>
      </w:r>
      <w:r w:rsidR="00100597">
        <w:rPr>
          <w:rFonts w:asciiTheme="minorHAnsi" w:hAnsiTheme="minorHAnsi"/>
          <w:color w:val="auto"/>
          <w:szCs w:val="24"/>
        </w:rPr>
        <w:t xml:space="preserve">A follow up note with his civilian ENT specialist dated </w:t>
      </w:r>
      <w:r w:rsidR="002A6AD6">
        <w:rPr>
          <w:rFonts w:asciiTheme="minorHAnsi" w:hAnsiTheme="minorHAnsi"/>
          <w:color w:val="auto"/>
          <w:szCs w:val="24"/>
        </w:rPr>
        <w:t xml:space="preserve">19 May </w:t>
      </w:r>
      <w:r w:rsidR="00100597">
        <w:rPr>
          <w:rFonts w:asciiTheme="minorHAnsi" w:hAnsiTheme="minorHAnsi"/>
          <w:color w:val="auto"/>
          <w:szCs w:val="24"/>
        </w:rPr>
        <w:t>2006 five months b</w:t>
      </w:r>
      <w:r w:rsidR="005A7EAD">
        <w:rPr>
          <w:rFonts w:asciiTheme="minorHAnsi" w:hAnsiTheme="minorHAnsi"/>
          <w:color w:val="auto"/>
          <w:szCs w:val="24"/>
        </w:rPr>
        <w:t>efore separation noted that he gave a history of</w:t>
      </w:r>
      <w:r w:rsidR="00100597">
        <w:rPr>
          <w:rFonts w:asciiTheme="minorHAnsi" w:hAnsiTheme="minorHAnsi"/>
          <w:color w:val="auto"/>
          <w:szCs w:val="24"/>
        </w:rPr>
        <w:t xml:space="preserve"> positio</w:t>
      </w:r>
      <w:r w:rsidR="00D843AB">
        <w:rPr>
          <w:rFonts w:asciiTheme="minorHAnsi" w:hAnsiTheme="minorHAnsi"/>
          <w:color w:val="auto"/>
          <w:szCs w:val="24"/>
        </w:rPr>
        <w:t>nal vertigo two to three times per</w:t>
      </w:r>
      <w:r w:rsidR="00100597">
        <w:rPr>
          <w:rFonts w:asciiTheme="minorHAnsi" w:hAnsiTheme="minorHAnsi"/>
          <w:color w:val="auto"/>
          <w:szCs w:val="24"/>
        </w:rPr>
        <w:t xml:space="preserve"> day</w:t>
      </w:r>
      <w:r w:rsidR="005A7EAD">
        <w:rPr>
          <w:rFonts w:asciiTheme="minorHAnsi" w:hAnsiTheme="minorHAnsi"/>
          <w:color w:val="auto"/>
          <w:szCs w:val="24"/>
        </w:rPr>
        <w:t xml:space="preserve">, each episode lasting </w:t>
      </w:r>
      <w:r w:rsidR="00100597">
        <w:rPr>
          <w:rFonts w:asciiTheme="minorHAnsi" w:hAnsiTheme="minorHAnsi"/>
          <w:color w:val="auto"/>
          <w:szCs w:val="24"/>
        </w:rPr>
        <w:t xml:space="preserve">a few seconds.  He had some occupational impairment (home inspector) due to difficulty driving and working at heights when dizzy.  On exam, the ears were normal, </w:t>
      </w:r>
      <w:proofErr w:type="spellStart"/>
      <w:r w:rsidR="00100597">
        <w:rPr>
          <w:rFonts w:asciiTheme="minorHAnsi" w:hAnsiTheme="minorHAnsi"/>
          <w:color w:val="auto"/>
          <w:szCs w:val="24"/>
        </w:rPr>
        <w:t>nystagmus</w:t>
      </w:r>
      <w:proofErr w:type="spellEnd"/>
      <w:r w:rsidR="00100597">
        <w:rPr>
          <w:rFonts w:asciiTheme="minorHAnsi" w:hAnsiTheme="minorHAnsi"/>
          <w:color w:val="auto"/>
          <w:szCs w:val="24"/>
        </w:rPr>
        <w:t xml:space="preserve"> absent, gait and tandem walking “performed well</w:t>
      </w:r>
      <w:r w:rsidR="002A6AD6">
        <w:rPr>
          <w:rFonts w:asciiTheme="minorHAnsi" w:hAnsiTheme="minorHAnsi"/>
          <w:color w:val="auto"/>
          <w:szCs w:val="24"/>
        </w:rPr>
        <w:t>,</w:t>
      </w:r>
      <w:r w:rsidR="00100597">
        <w:rPr>
          <w:rFonts w:asciiTheme="minorHAnsi" w:hAnsiTheme="minorHAnsi"/>
          <w:color w:val="auto"/>
          <w:szCs w:val="24"/>
        </w:rPr>
        <w:t xml:space="preserve">” while </w:t>
      </w:r>
      <w:r w:rsidR="00187070">
        <w:rPr>
          <w:rFonts w:asciiTheme="minorHAnsi" w:hAnsiTheme="minorHAnsi"/>
          <w:color w:val="auto"/>
          <w:szCs w:val="24"/>
        </w:rPr>
        <w:t>R</w:t>
      </w:r>
      <w:r w:rsidR="00100597">
        <w:rPr>
          <w:rFonts w:asciiTheme="minorHAnsi" w:hAnsiTheme="minorHAnsi"/>
          <w:color w:val="auto"/>
          <w:szCs w:val="24"/>
        </w:rPr>
        <w:t>omber</w:t>
      </w:r>
      <w:r w:rsidR="00187070">
        <w:rPr>
          <w:rFonts w:asciiTheme="minorHAnsi" w:hAnsiTheme="minorHAnsi"/>
          <w:color w:val="auto"/>
          <w:szCs w:val="24"/>
        </w:rPr>
        <w:t>g</w:t>
      </w:r>
      <w:r w:rsidR="00100597">
        <w:rPr>
          <w:rFonts w:asciiTheme="minorHAnsi" w:hAnsiTheme="minorHAnsi"/>
          <w:color w:val="auto"/>
          <w:szCs w:val="24"/>
        </w:rPr>
        <w:t xml:space="preserve"> test was </w:t>
      </w:r>
      <w:r w:rsidR="00187070">
        <w:rPr>
          <w:rFonts w:asciiTheme="minorHAnsi" w:hAnsiTheme="minorHAnsi"/>
          <w:color w:val="auto"/>
          <w:szCs w:val="24"/>
        </w:rPr>
        <w:t>“</w:t>
      </w:r>
      <w:r w:rsidR="00100597">
        <w:rPr>
          <w:rFonts w:asciiTheme="minorHAnsi" w:hAnsiTheme="minorHAnsi"/>
          <w:color w:val="auto"/>
          <w:szCs w:val="24"/>
        </w:rPr>
        <w:t>sligh</w:t>
      </w:r>
      <w:r w:rsidR="00187070">
        <w:rPr>
          <w:rFonts w:asciiTheme="minorHAnsi" w:hAnsiTheme="minorHAnsi"/>
          <w:color w:val="auto"/>
          <w:szCs w:val="24"/>
        </w:rPr>
        <w:t xml:space="preserve">tly positive with </w:t>
      </w:r>
      <w:r w:rsidR="008E44C1">
        <w:rPr>
          <w:rFonts w:asciiTheme="minorHAnsi" w:hAnsiTheme="minorHAnsi"/>
          <w:color w:val="auto"/>
          <w:szCs w:val="24"/>
        </w:rPr>
        <w:t>tendency</w:t>
      </w:r>
      <w:r w:rsidR="00187070">
        <w:rPr>
          <w:rFonts w:asciiTheme="minorHAnsi" w:hAnsiTheme="minorHAnsi"/>
          <w:color w:val="auto"/>
          <w:szCs w:val="24"/>
        </w:rPr>
        <w:t xml:space="preserve"> to fall backward.”  A brief note one month later by the same </w:t>
      </w:r>
      <w:r w:rsidR="00E71CCE">
        <w:rPr>
          <w:rFonts w:asciiTheme="minorHAnsi" w:hAnsiTheme="minorHAnsi"/>
          <w:color w:val="auto"/>
          <w:szCs w:val="24"/>
        </w:rPr>
        <w:t>physician</w:t>
      </w:r>
      <w:r w:rsidR="00187070">
        <w:rPr>
          <w:rFonts w:asciiTheme="minorHAnsi" w:hAnsiTheme="minorHAnsi"/>
          <w:color w:val="auto"/>
          <w:szCs w:val="24"/>
        </w:rPr>
        <w:t xml:space="preserve"> noted</w:t>
      </w:r>
      <w:r w:rsidR="002A6AD6">
        <w:rPr>
          <w:rFonts w:asciiTheme="minorHAnsi" w:hAnsiTheme="minorHAnsi"/>
          <w:color w:val="auto"/>
          <w:szCs w:val="24"/>
        </w:rPr>
        <w:t>,</w:t>
      </w:r>
      <w:r w:rsidR="00187070">
        <w:rPr>
          <w:rFonts w:asciiTheme="minorHAnsi" w:hAnsiTheme="minorHAnsi"/>
          <w:color w:val="auto"/>
          <w:szCs w:val="24"/>
        </w:rPr>
        <w:t xml:space="preserve"> “</w:t>
      </w:r>
      <w:proofErr w:type="gramStart"/>
      <w:r w:rsidR="00187070">
        <w:rPr>
          <w:rFonts w:asciiTheme="minorHAnsi" w:hAnsiTheme="minorHAnsi"/>
          <w:color w:val="auto"/>
          <w:szCs w:val="24"/>
        </w:rPr>
        <w:t>one</w:t>
      </w:r>
      <w:proofErr w:type="gramEnd"/>
      <w:r w:rsidR="00187070">
        <w:rPr>
          <w:rFonts w:asciiTheme="minorHAnsi" w:hAnsiTheme="minorHAnsi"/>
          <w:color w:val="auto"/>
          <w:szCs w:val="24"/>
        </w:rPr>
        <w:t xml:space="preserve"> with positional vertigo would be expected to stagger or stumble occasionally with such spells.”  </w:t>
      </w:r>
      <w:r w:rsidR="005A7EAD">
        <w:rPr>
          <w:rFonts w:asciiTheme="minorHAnsi" w:hAnsiTheme="minorHAnsi"/>
          <w:color w:val="auto"/>
          <w:szCs w:val="24"/>
        </w:rPr>
        <w:t xml:space="preserve">Tinnitus was noted on the audiology evaluation, but not on the MEB or C&amp;P ear exam.  </w:t>
      </w:r>
      <w:r w:rsidR="00187070" w:rsidRPr="00F32693">
        <w:rPr>
          <w:rFonts w:asciiTheme="minorHAnsi" w:hAnsiTheme="minorHAnsi"/>
          <w:color w:val="auto"/>
          <w:szCs w:val="24"/>
        </w:rPr>
        <w:t xml:space="preserve">The PEB </w:t>
      </w:r>
      <w:r w:rsidR="000812A9" w:rsidRPr="00F32693">
        <w:rPr>
          <w:rFonts w:asciiTheme="minorHAnsi" w:hAnsiTheme="minorHAnsi"/>
          <w:color w:val="auto"/>
          <w:szCs w:val="24"/>
        </w:rPr>
        <w:t>coded the vertigo as 6204 (peripheral vestibular disorders)</w:t>
      </w:r>
      <w:r w:rsidR="008E44C1" w:rsidRPr="00F32693">
        <w:rPr>
          <w:rFonts w:asciiTheme="minorHAnsi" w:hAnsiTheme="minorHAnsi"/>
          <w:color w:val="auto"/>
          <w:szCs w:val="24"/>
        </w:rPr>
        <w:t>,</w:t>
      </w:r>
      <w:r w:rsidR="000812A9" w:rsidRPr="00F32693">
        <w:rPr>
          <w:rFonts w:asciiTheme="minorHAnsi" w:hAnsiTheme="minorHAnsi"/>
          <w:color w:val="auto"/>
          <w:szCs w:val="24"/>
        </w:rPr>
        <w:t xml:space="preserve"> the hearing loss as 6100 (complete hearing loss) and rated each at 10% using the VASRD.  The VA coded </w:t>
      </w:r>
      <w:r w:rsidR="00616D40" w:rsidRPr="00F32693">
        <w:rPr>
          <w:rFonts w:asciiTheme="minorHAnsi" w:hAnsiTheme="minorHAnsi"/>
          <w:color w:val="auto"/>
          <w:szCs w:val="24"/>
        </w:rPr>
        <w:t>hearing loss, vertigo,</w:t>
      </w:r>
      <w:r w:rsidR="005A7EAD" w:rsidRPr="00F32693">
        <w:rPr>
          <w:rFonts w:asciiTheme="minorHAnsi" w:hAnsiTheme="minorHAnsi"/>
          <w:color w:val="auto"/>
          <w:szCs w:val="24"/>
        </w:rPr>
        <w:t xml:space="preserve"> and tinnitus </w:t>
      </w:r>
      <w:r w:rsidR="000812A9" w:rsidRPr="00F32693">
        <w:rPr>
          <w:rFonts w:asciiTheme="minorHAnsi" w:hAnsiTheme="minorHAnsi"/>
          <w:color w:val="auto"/>
          <w:szCs w:val="24"/>
        </w:rPr>
        <w:t xml:space="preserve">as 6299-6205 (analogous to </w:t>
      </w:r>
      <w:proofErr w:type="spellStart"/>
      <w:r w:rsidR="000812A9" w:rsidRPr="00F32693">
        <w:rPr>
          <w:rFonts w:asciiTheme="minorHAnsi" w:hAnsiTheme="minorHAnsi"/>
          <w:color w:val="auto"/>
          <w:szCs w:val="24"/>
        </w:rPr>
        <w:t>Meniere’s</w:t>
      </w:r>
      <w:proofErr w:type="spellEnd"/>
      <w:r w:rsidR="000812A9" w:rsidRPr="00F32693">
        <w:rPr>
          <w:rFonts w:asciiTheme="minorHAnsi" w:hAnsiTheme="minorHAnsi"/>
          <w:color w:val="auto"/>
          <w:szCs w:val="24"/>
        </w:rPr>
        <w:t xml:space="preserve"> syndrome) for positional vertigo/disequilibrium with left ear hearing loss and intermittent tinnitus</w:t>
      </w:r>
      <w:r w:rsidR="005A7EAD" w:rsidRPr="00F32693">
        <w:rPr>
          <w:rFonts w:asciiTheme="minorHAnsi" w:hAnsiTheme="minorHAnsi"/>
          <w:color w:val="auto"/>
          <w:szCs w:val="24"/>
        </w:rPr>
        <w:t xml:space="preserve"> rated at 60%</w:t>
      </w:r>
      <w:r w:rsidR="000812A9" w:rsidRPr="00F32693">
        <w:rPr>
          <w:rFonts w:asciiTheme="minorHAnsi" w:hAnsiTheme="minorHAnsi"/>
          <w:color w:val="auto"/>
          <w:szCs w:val="24"/>
        </w:rPr>
        <w:t>.</w:t>
      </w:r>
      <w:r w:rsidR="000812A9">
        <w:rPr>
          <w:rFonts w:asciiTheme="minorHAnsi" w:hAnsiTheme="minorHAnsi"/>
          <w:color w:val="auto"/>
          <w:szCs w:val="24"/>
        </w:rPr>
        <w:t xml:space="preserve">  </w:t>
      </w:r>
      <w:r w:rsidR="008E44C1">
        <w:rPr>
          <w:rFonts w:asciiTheme="minorHAnsi" w:hAnsiTheme="minorHAnsi"/>
          <w:color w:val="auto"/>
          <w:szCs w:val="24"/>
        </w:rPr>
        <w:t>The VA later</w:t>
      </w:r>
      <w:r w:rsidR="00D843AB">
        <w:rPr>
          <w:rFonts w:asciiTheme="minorHAnsi" w:hAnsiTheme="minorHAnsi"/>
          <w:color w:val="auto"/>
          <w:szCs w:val="24"/>
        </w:rPr>
        <w:t xml:space="preserve"> rated the condition</w:t>
      </w:r>
      <w:r w:rsidR="008E44C1">
        <w:rPr>
          <w:rFonts w:asciiTheme="minorHAnsi" w:hAnsiTheme="minorHAnsi"/>
          <w:color w:val="auto"/>
          <w:szCs w:val="24"/>
        </w:rPr>
        <w:t xml:space="preserve"> at 100%, 21 months after separation.  </w:t>
      </w:r>
    </w:p>
    <w:p w:rsidR="002A6AD6" w:rsidRDefault="002A6AD6" w:rsidP="00612544">
      <w:pPr>
        <w:spacing w:line="240" w:lineRule="exact"/>
        <w:jc w:val="both"/>
        <w:rPr>
          <w:rFonts w:asciiTheme="minorHAnsi" w:hAnsiTheme="minorHAnsi"/>
          <w:color w:val="auto"/>
          <w:szCs w:val="24"/>
        </w:rPr>
      </w:pPr>
    </w:p>
    <w:p w:rsidR="000A65F2" w:rsidRPr="00AD0FAE" w:rsidRDefault="001E4BBC" w:rsidP="00612544">
      <w:pPr>
        <w:spacing w:line="240" w:lineRule="exact"/>
        <w:jc w:val="both"/>
        <w:rPr>
          <w:rFonts w:asciiTheme="minorHAnsi" w:hAnsiTheme="minorHAnsi" w:cs="Arial"/>
          <w:color w:val="auto"/>
          <w:szCs w:val="24"/>
        </w:rPr>
      </w:pPr>
      <w:r>
        <w:rPr>
          <w:rFonts w:asciiTheme="minorHAnsi" w:hAnsiTheme="minorHAnsi"/>
          <w:color w:val="auto"/>
          <w:szCs w:val="24"/>
        </w:rPr>
        <w:t xml:space="preserve">The Board considered the VA analogous coding to </w:t>
      </w:r>
      <w:proofErr w:type="spellStart"/>
      <w:r>
        <w:rPr>
          <w:rFonts w:asciiTheme="minorHAnsi" w:hAnsiTheme="minorHAnsi"/>
          <w:color w:val="auto"/>
          <w:szCs w:val="24"/>
        </w:rPr>
        <w:t>Meniere’s</w:t>
      </w:r>
      <w:proofErr w:type="spellEnd"/>
      <w:r>
        <w:rPr>
          <w:rFonts w:asciiTheme="minorHAnsi" w:hAnsiTheme="minorHAnsi"/>
          <w:color w:val="auto"/>
          <w:szCs w:val="24"/>
        </w:rPr>
        <w:t xml:space="preserve"> syndrome as more reflec</w:t>
      </w:r>
      <w:r w:rsidR="00372C11">
        <w:rPr>
          <w:rFonts w:asciiTheme="minorHAnsi" w:hAnsiTheme="minorHAnsi"/>
          <w:color w:val="auto"/>
          <w:szCs w:val="24"/>
        </w:rPr>
        <w:t xml:space="preserve">tive of the actual clinical condition of </w:t>
      </w:r>
      <w:proofErr w:type="spellStart"/>
      <w:r w:rsidR="00372C11">
        <w:rPr>
          <w:rFonts w:asciiTheme="minorHAnsi" w:hAnsiTheme="minorHAnsi"/>
          <w:color w:val="auto"/>
          <w:szCs w:val="24"/>
        </w:rPr>
        <w:t>perilympahtic</w:t>
      </w:r>
      <w:proofErr w:type="spellEnd"/>
      <w:r w:rsidR="00372C11">
        <w:rPr>
          <w:rFonts w:asciiTheme="minorHAnsi" w:hAnsiTheme="minorHAnsi"/>
          <w:color w:val="auto"/>
          <w:szCs w:val="24"/>
        </w:rPr>
        <w:t xml:space="preserve"> fistula</w:t>
      </w:r>
      <w:r>
        <w:rPr>
          <w:rFonts w:asciiTheme="minorHAnsi" w:hAnsiTheme="minorHAnsi"/>
          <w:color w:val="auto"/>
          <w:szCs w:val="24"/>
        </w:rPr>
        <w:t xml:space="preserve"> since the two disorders are clinically related and have the same symptom complex.</w:t>
      </w:r>
      <w:r w:rsidR="00F32693">
        <w:rPr>
          <w:rFonts w:asciiTheme="minorHAnsi" w:hAnsiTheme="minorHAnsi"/>
          <w:color w:val="auto"/>
          <w:szCs w:val="24"/>
        </w:rPr>
        <w:t xml:space="preserve">  </w:t>
      </w:r>
      <w:r w:rsidR="00616D40">
        <w:rPr>
          <w:rFonts w:asciiTheme="minorHAnsi" w:hAnsiTheme="minorHAnsi"/>
          <w:color w:val="auto"/>
          <w:szCs w:val="24"/>
        </w:rPr>
        <w:t>The Board</w:t>
      </w:r>
      <w:r w:rsidR="002A01E7">
        <w:rPr>
          <w:rFonts w:asciiTheme="minorHAnsi" w:hAnsiTheme="minorHAnsi"/>
          <w:color w:val="auto"/>
          <w:szCs w:val="24"/>
        </w:rPr>
        <w:t xml:space="preserve"> then considered the appropriate </w:t>
      </w:r>
      <w:r w:rsidR="008E44C1">
        <w:rPr>
          <w:rFonts w:asciiTheme="minorHAnsi" w:hAnsiTheme="minorHAnsi"/>
          <w:color w:val="auto"/>
          <w:szCs w:val="24"/>
        </w:rPr>
        <w:t xml:space="preserve">disability </w:t>
      </w:r>
      <w:r w:rsidR="002A01E7">
        <w:rPr>
          <w:rFonts w:asciiTheme="minorHAnsi" w:hAnsiTheme="minorHAnsi"/>
          <w:color w:val="auto"/>
          <w:szCs w:val="24"/>
        </w:rPr>
        <w:t xml:space="preserve">ratings.  Using Tables VI and VII in the VASRD, a 10% rating </w:t>
      </w:r>
      <w:r w:rsidR="00F32693">
        <w:rPr>
          <w:rFonts w:asciiTheme="minorHAnsi" w:hAnsiTheme="minorHAnsi"/>
          <w:color w:val="auto"/>
          <w:szCs w:val="24"/>
        </w:rPr>
        <w:t xml:space="preserve">for the hearing loss </w:t>
      </w:r>
      <w:r w:rsidR="002A01E7">
        <w:rPr>
          <w:rFonts w:asciiTheme="minorHAnsi" w:hAnsiTheme="minorHAnsi"/>
          <w:color w:val="auto"/>
          <w:szCs w:val="24"/>
        </w:rPr>
        <w:t xml:space="preserve">is </w:t>
      </w:r>
      <w:r w:rsidR="00372C11">
        <w:rPr>
          <w:rFonts w:asciiTheme="minorHAnsi" w:hAnsiTheme="minorHAnsi"/>
          <w:color w:val="auto"/>
          <w:szCs w:val="24"/>
        </w:rPr>
        <w:t>obtained</w:t>
      </w:r>
      <w:r w:rsidR="002A01E7">
        <w:rPr>
          <w:rFonts w:asciiTheme="minorHAnsi" w:hAnsiTheme="minorHAnsi"/>
          <w:color w:val="auto"/>
          <w:szCs w:val="24"/>
        </w:rPr>
        <w:t xml:space="preserve"> regardless of which audiometric exam is utilized.</w:t>
      </w:r>
      <w:r w:rsidR="00F32693">
        <w:rPr>
          <w:rFonts w:asciiTheme="minorHAnsi" w:hAnsiTheme="minorHAnsi"/>
          <w:color w:val="auto"/>
          <w:szCs w:val="24"/>
        </w:rPr>
        <w:t xml:space="preserve">  </w:t>
      </w:r>
      <w:r w:rsidR="00C52F2E">
        <w:rPr>
          <w:rFonts w:asciiTheme="minorHAnsi" w:hAnsiTheme="minorHAnsi"/>
          <w:color w:val="auto"/>
          <w:szCs w:val="24"/>
        </w:rPr>
        <w:t>The Board not</w:t>
      </w:r>
      <w:r w:rsidR="00714528">
        <w:rPr>
          <w:rFonts w:asciiTheme="minorHAnsi" w:hAnsiTheme="minorHAnsi"/>
          <w:color w:val="auto"/>
          <w:szCs w:val="24"/>
        </w:rPr>
        <w:t>es that the CI gave a history of</w:t>
      </w:r>
      <w:r w:rsidR="00C52F2E">
        <w:rPr>
          <w:rFonts w:asciiTheme="minorHAnsi" w:hAnsiTheme="minorHAnsi"/>
          <w:color w:val="auto"/>
          <w:szCs w:val="24"/>
        </w:rPr>
        <w:t xml:space="preserve"> vertiginous epi</w:t>
      </w:r>
      <w:r w:rsidR="00D843AB">
        <w:rPr>
          <w:rFonts w:asciiTheme="minorHAnsi" w:hAnsiTheme="minorHAnsi"/>
          <w:color w:val="auto"/>
          <w:szCs w:val="24"/>
        </w:rPr>
        <w:t>sodes two to three times per</w:t>
      </w:r>
      <w:r w:rsidR="00C52F2E">
        <w:rPr>
          <w:rFonts w:asciiTheme="minorHAnsi" w:hAnsiTheme="minorHAnsi"/>
          <w:color w:val="auto"/>
          <w:szCs w:val="24"/>
        </w:rPr>
        <w:t xml:space="preserve"> day, </w:t>
      </w:r>
      <w:r w:rsidR="00714528">
        <w:rPr>
          <w:rFonts w:asciiTheme="minorHAnsi" w:hAnsiTheme="minorHAnsi"/>
          <w:color w:val="auto"/>
          <w:szCs w:val="24"/>
        </w:rPr>
        <w:t>lasting</w:t>
      </w:r>
      <w:r w:rsidR="00C52F2E">
        <w:rPr>
          <w:rFonts w:asciiTheme="minorHAnsi" w:hAnsiTheme="minorHAnsi"/>
          <w:color w:val="auto"/>
          <w:szCs w:val="24"/>
        </w:rPr>
        <w:t xml:space="preserve"> a few seconds.  While there is a note from a civilian otolaryngologist stating that occasional staggering would be expected, </w:t>
      </w:r>
      <w:r w:rsidR="008E44C1">
        <w:rPr>
          <w:rFonts w:asciiTheme="minorHAnsi" w:hAnsiTheme="minorHAnsi"/>
          <w:color w:val="auto"/>
          <w:szCs w:val="24"/>
        </w:rPr>
        <w:t xml:space="preserve">staggering </w:t>
      </w:r>
      <w:r w:rsidR="00C52F2E">
        <w:rPr>
          <w:rFonts w:asciiTheme="minorHAnsi" w:hAnsiTheme="minorHAnsi"/>
          <w:color w:val="auto"/>
          <w:szCs w:val="24"/>
        </w:rPr>
        <w:t xml:space="preserve">is not noted on any exam despite provocative testing.  </w:t>
      </w:r>
      <w:proofErr w:type="spellStart"/>
      <w:r w:rsidR="00714528">
        <w:rPr>
          <w:rFonts w:asciiTheme="minorHAnsi" w:hAnsiTheme="minorHAnsi"/>
          <w:color w:val="auto"/>
          <w:szCs w:val="24"/>
        </w:rPr>
        <w:t>Cerebellar</w:t>
      </w:r>
      <w:proofErr w:type="spellEnd"/>
      <w:r w:rsidR="00714528">
        <w:rPr>
          <w:rFonts w:asciiTheme="minorHAnsi" w:hAnsiTheme="minorHAnsi"/>
          <w:color w:val="auto"/>
          <w:szCs w:val="24"/>
        </w:rPr>
        <w:t xml:space="preserve"> testing was </w:t>
      </w:r>
      <w:r w:rsidR="00E74325">
        <w:rPr>
          <w:rFonts w:asciiTheme="minorHAnsi" w:hAnsiTheme="minorHAnsi"/>
          <w:color w:val="auto"/>
          <w:szCs w:val="24"/>
        </w:rPr>
        <w:t xml:space="preserve">not </w:t>
      </w:r>
      <w:r w:rsidR="00714528">
        <w:rPr>
          <w:rFonts w:asciiTheme="minorHAnsi" w:hAnsiTheme="minorHAnsi"/>
          <w:color w:val="auto"/>
          <w:szCs w:val="24"/>
        </w:rPr>
        <w:t>normal</w:t>
      </w:r>
      <w:r w:rsidR="00372C11">
        <w:rPr>
          <w:rFonts w:asciiTheme="minorHAnsi" w:hAnsiTheme="minorHAnsi"/>
          <w:color w:val="auto"/>
          <w:szCs w:val="24"/>
        </w:rPr>
        <w:t>, i.e</w:t>
      </w:r>
      <w:proofErr w:type="gramStart"/>
      <w:r w:rsidR="00372C11">
        <w:rPr>
          <w:rFonts w:asciiTheme="minorHAnsi" w:hAnsiTheme="minorHAnsi"/>
          <w:color w:val="auto"/>
          <w:szCs w:val="24"/>
        </w:rPr>
        <w:t>.</w:t>
      </w:r>
      <w:r w:rsidR="002A6AD6">
        <w:rPr>
          <w:rFonts w:asciiTheme="minorHAnsi" w:hAnsiTheme="minorHAnsi"/>
          <w:color w:val="auto"/>
          <w:szCs w:val="24"/>
        </w:rPr>
        <w:t>.</w:t>
      </w:r>
      <w:proofErr w:type="gramEnd"/>
      <w:r w:rsidR="00372C11">
        <w:rPr>
          <w:rFonts w:asciiTheme="minorHAnsi" w:hAnsiTheme="minorHAnsi"/>
          <w:color w:val="auto"/>
          <w:szCs w:val="24"/>
        </w:rPr>
        <w:t xml:space="preserve"> </w:t>
      </w:r>
      <w:proofErr w:type="gramStart"/>
      <w:r w:rsidR="00E74325">
        <w:rPr>
          <w:rFonts w:asciiTheme="minorHAnsi" w:hAnsiTheme="minorHAnsi"/>
          <w:color w:val="auto"/>
          <w:szCs w:val="24"/>
        </w:rPr>
        <w:t>positive</w:t>
      </w:r>
      <w:proofErr w:type="gramEnd"/>
      <w:r w:rsidR="00E74325">
        <w:rPr>
          <w:rFonts w:asciiTheme="minorHAnsi" w:hAnsiTheme="minorHAnsi"/>
          <w:color w:val="auto"/>
          <w:szCs w:val="24"/>
        </w:rPr>
        <w:t xml:space="preserve"> </w:t>
      </w:r>
      <w:proofErr w:type="spellStart"/>
      <w:r w:rsidR="00E74325">
        <w:rPr>
          <w:rFonts w:asciiTheme="minorHAnsi" w:hAnsiTheme="minorHAnsi"/>
          <w:color w:val="auto"/>
          <w:szCs w:val="24"/>
        </w:rPr>
        <w:t>Rhomb</w:t>
      </w:r>
      <w:r w:rsidR="00F32693">
        <w:rPr>
          <w:rFonts w:asciiTheme="minorHAnsi" w:hAnsiTheme="minorHAnsi"/>
          <w:color w:val="auto"/>
          <w:szCs w:val="24"/>
        </w:rPr>
        <w:t>e</w:t>
      </w:r>
      <w:r w:rsidR="00E74325">
        <w:rPr>
          <w:rFonts w:asciiTheme="minorHAnsi" w:hAnsiTheme="minorHAnsi"/>
          <w:color w:val="auto"/>
          <w:szCs w:val="24"/>
        </w:rPr>
        <w:t>rg</w:t>
      </w:r>
      <w:proofErr w:type="spellEnd"/>
      <w:r w:rsidR="00E74325">
        <w:rPr>
          <w:rFonts w:asciiTheme="minorHAnsi" w:hAnsiTheme="minorHAnsi"/>
          <w:color w:val="auto"/>
          <w:szCs w:val="24"/>
        </w:rPr>
        <w:t xml:space="preserve"> and unsteady tandem gait, but </w:t>
      </w:r>
      <w:proofErr w:type="spellStart"/>
      <w:r w:rsidR="00E74325">
        <w:rPr>
          <w:rFonts w:asciiTheme="minorHAnsi" w:hAnsiTheme="minorHAnsi"/>
          <w:color w:val="auto"/>
          <w:szCs w:val="24"/>
        </w:rPr>
        <w:t>cerebellar</w:t>
      </w:r>
      <w:proofErr w:type="spellEnd"/>
      <w:r w:rsidR="00E74325">
        <w:rPr>
          <w:rFonts w:asciiTheme="minorHAnsi" w:hAnsiTheme="minorHAnsi"/>
          <w:color w:val="auto"/>
          <w:szCs w:val="24"/>
        </w:rPr>
        <w:t xml:space="preserve"> gait was not noted to be present</w:t>
      </w:r>
      <w:r w:rsidR="00F32693">
        <w:rPr>
          <w:rFonts w:asciiTheme="minorHAnsi" w:hAnsiTheme="minorHAnsi"/>
          <w:color w:val="auto"/>
          <w:szCs w:val="24"/>
        </w:rPr>
        <w:t xml:space="preserve">.  </w:t>
      </w:r>
      <w:r w:rsidR="00714528">
        <w:rPr>
          <w:rFonts w:asciiTheme="minorHAnsi" w:hAnsiTheme="minorHAnsi"/>
          <w:color w:val="auto"/>
          <w:szCs w:val="24"/>
        </w:rPr>
        <w:t xml:space="preserve">The frequency of attacks was consistent with the highest rating of 100%; however, there was no </w:t>
      </w:r>
      <w:proofErr w:type="spellStart"/>
      <w:r w:rsidR="00714528">
        <w:rPr>
          <w:rFonts w:asciiTheme="minorHAnsi" w:hAnsiTheme="minorHAnsi"/>
          <w:color w:val="auto"/>
          <w:szCs w:val="24"/>
        </w:rPr>
        <w:t>cerebellar</w:t>
      </w:r>
      <w:proofErr w:type="spellEnd"/>
      <w:r w:rsidR="00714528">
        <w:rPr>
          <w:rFonts w:asciiTheme="minorHAnsi" w:hAnsiTheme="minorHAnsi"/>
          <w:color w:val="auto"/>
          <w:szCs w:val="24"/>
        </w:rPr>
        <w:t xml:space="preserve"> gait which is required for the 100% or the 60% rating.  </w:t>
      </w:r>
      <w:r w:rsidR="00F32693">
        <w:rPr>
          <w:rFonts w:asciiTheme="minorHAnsi" w:hAnsiTheme="minorHAnsi"/>
          <w:color w:val="auto"/>
          <w:szCs w:val="24"/>
        </w:rPr>
        <w:t>Th</w:t>
      </w:r>
      <w:r w:rsidR="00372C11">
        <w:rPr>
          <w:rFonts w:asciiTheme="minorHAnsi" w:hAnsiTheme="minorHAnsi"/>
          <w:color w:val="auto"/>
          <w:szCs w:val="24"/>
        </w:rPr>
        <w:t>us th</w:t>
      </w:r>
      <w:r w:rsidR="00F32693">
        <w:rPr>
          <w:rFonts w:asciiTheme="minorHAnsi" w:hAnsiTheme="minorHAnsi"/>
          <w:color w:val="auto"/>
          <w:szCs w:val="24"/>
        </w:rPr>
        <w:t>e</w:t>
      </w:r>
      <w:r w:rsidR="00714528">
        <w:rPr>
          <w:rFonts w:asciiTheme="minorHAnsi" w:hAnsiTheme="minorHAnsi"/>
          <w:color w:val="auto"/>
          <w:szCs w:val="24"/>
        </w:rPr>
        <w:t xml:space="preserve"> Board considered the appropriate </w:t>
      </w:r>
      <w:r w:rsidR="00F32693">
        <w:rPr>
          <w:rFonts w:asciiTheme="minorHAnsi" w:hAnsiTheme="minorHAnsi"/>
          <w:color w:val="auto"/>
          <w:szCs w:val="24"/>
        </w:rPr>
        <w:t xml:space="preserve">coding </w:t>
      </w:r>
      <w:r w:rsidR="002305D8">
        <w:rPr>
          <w:rFonts w:asciiTheme="minorHAnsi" w:hAnsiTheme="minorHAnsi"/>
          <w:color w:val="auto"/>
          <w:szCs w:val="24"/>
        </w:rPr>
        <w:t xml:space="preserve">to be 30% under the coding analogous to </w:t>
      </w:r>
      <w:proofErr w:type="spellStart"/>
      <w:r w:rsidR="002305D8">
        <w:rPr>
          <w:rFonts w:asciiTheme="minorHAnsi" w:hAnsiTheme="minorHAnsi"/>
          <w:color w:val="auto"/>
          <w:szCs w:val="24"/>
        </w:rPr>
        <w:t>Meniere’s</w:t>
      </w:r>
      <w:proofErr w:type="spellEnd"/>
      <w:r w:rsidR="002305D8">
        <w:rPr>
          <w:rFonts w:asciiTheme="minorHAnsi" w:hAnsiTheme="minorHAnsi"/>
          <w:color w:val="auto"/>
          <w:szCs w:val="24"/>
        </w:rPr>
        <w:t xml:space="preserve"> </w:t>
      </w:r>
      <w:r w:rsidR="002A6AD6">
        <w:rPr>
          <w:rFonts w:asciiTheme="minorHAnsi" w:hAnsiTheme="minorHAnsi"/>
          <w:color w:val="auto"/>
          <w:szCs w:val="24"/>
        </w:rPr>
        <w:t>s</w:t>
      </w:r>
      <w:r w:rsidR="002305D8">
        <w:rPr>
          <w:rFonts w:asciiTheme="minorHAnsi" w:hAnsiTheme="minorHAnsi"/>
          <w:color w:val="auto"/>
          <w:szCs w:val="24"/>
        </w:rPr>
        <w:t>yndrome</w:t>
      </w:r>
      <w:r w:rsidR="00F32693">
        <w:rPr>
          <w:rFonts w:asciiTheme="minorHAnsi" w:hAnsiTheme="minorHAnsi"/>
          <w:color w:val="auto"/>
          <w:szCs w:val="24"/>
        </w:rPr>
        <w:t>.  The Board noted that the PEB considered the hearing loss and vestibular dysfunction separately</w:t>
      </w:r>
      <w:r w:rsidR="00714528">
        <w:rPr>
          <w:rFonts w:asciiTheme="minorHAnsi" w:hAnsiTheme="minorHAnsi"/>
          <w:color w:val="auto"/>
          <w:szCs w:val="24"/>
        </w:rPr>
        <w:t xml:space="preserve"> </w:t>
      </w:r>
      <w:r w:rsidR="00F32693">
        <w:rPr>
          <w:rFonts w:asciiTheme="minorHAnsi" w:hAnsiTheme="minorHAnsi"/>
          <w:color w:val="auto"/>
          <w:szCs w:val="24"/>
        </w:rPr>
        <w:t xml:space="preserve">while the VA </w:t>
      </w:r>
      <w:r w:rsidR="00372C11">
        <w:rPr>
          <w:rFonts w:asciiTheme="minorHAnsi" w:hAnsiTheme="minorHAnsi"/>
          <w:color w:val="auto"/>
          <w:szCs w:val="24"/>
        </w:rPr>
        <w:t>considered the symptoms as once complex</w:t>
      </w:r>
      <w:r w:rsidR="00F32693">
        <w:rPr>
          <w:rFonts w:asciiTheme="minorHAnsi" w:hAnsiTheme="minorHAnsi"/>
          <w:color w:val="auto"/>
          <w:szCs w:val="24"/>
        </w:rPr>
        <w:t xml:space="preserve"> analogous </w:t>
      </w:r>
      <w:r w:rsidR="00372C11">
        <w:rPr>
          <w:rFonts w:asciiTheme="minorHAnsi" w:hAnsiTheme="minorHAnsi"/>
          <w:color w:val="auto"/>
          <w:szCs w:val="24"/>
        </w:rPr>
        <w:t xml:space="preserve">to </w:t>
      </w:r>
      <w:proofErr w:type="spellStart"/>
      <w:r w:rsidR="00372C11">
        <w:rPr>
          <w:rFonts w:asciiTheme="minorHAnsi" w:hAnsiTheme="minorHAnsi"/>
          <w:color w:val="auto"/>
          <w:szCs w:val="24"/>
        </w:rPr>
        <w:t>Meniere’s</w:t>
      </w:r>
      <w:proofErr w:type="spellEnd"/>
      <w:r w:rsidR="00372C11">
        <w:rPr>
          <w:rFonts w:asciiTheme="minorHAnsi" w:hAnsiTheme="minorHAnsi"/>
          <w:color w:val="auto"/>
          <w:szCs w:val="24"/>
        </w:rPr>
        <w:t xml:space="preserve"> </w:t>
      </w:r>
      <w:r w:rsidR="002A6AD6">
        <w:rPr>
          <w:rFonts w:asciiTheme="minorHAnsi" w:hAnsiTheme="minorHAnsi"/>
          <w:color w:val="auto"/>
          <w:szCs w:val="24"/>
        </w:rPr>
        <w:t>s</w:t>
      </w:r>
      <w:r w:rsidR="00372C11">
        <w:rPr>
          <w:rFonts w:asciiTheme="minorHAnsi" w:hAnsiTheme="minorHAnsi"/>
          <w:color w:val="auto"/>
          <w:szCs w:val="24"/>
        </w:rPr>
        <w:t>yndrome</w:t>
      </w:r>
      <w:r w:rsidR="00F32693">
        <w:rPr>
          <w:rFonts w:asciiTheme="minorHAnsi" w:hAnsiTheme="minorHAnsi"/>
          <w:color w:val="auto"/>
          <w:szCs w:val="24"/>
        </w:rPr>
        <w:t xml:space="preserve">.  </w:t>
      </w:r>
      <w:r w:rsidR="00612544">
        <w:rPr>
          <w:rFonts w:asciiTheme="minorHAnsi" w:hAnsiTheme="minorHAnsi"/>
          <w:color w:val="auto"/>
          <w:szCs w:val="24"/>
        </w:rPr>
        <w:t xml:space="preserve">The Board noted that there was no documented evidence of staggering to support a </w:t>
      </w:r>
      <w:r w:rsidR="00714528">
        <w:rPr>
          <w:rFonts w:asciiTheme="minorHAnsi" w:hAnsiTheme="minorHAnsi"/>
          <w:color w:val="auto"/>
          <w:szCs w:val="24"/>
        </w:rPr>
        <w:t xml:space="preserve">30% </w:t>
      </w:r>
      <w:r w:rsidR="00612544">
        <w:rPr>
          <w:rFonts w:asciiTheme="minorHAnsi" w:hAnsiTheme="minorHAnsi"/>
          <w:color w:val="auto"/>
          <w:szCs w:val="24"/>
        </w:rPr>
        <w:t xml:space="preserve">rating </w:t>
      </w:r>
      <w:r w:rsidR="00612544">
        <w:rPr>
          <w:rFonts w:asciiTheme="minorHAnsi" w:hAnsiTheme="minorHAnsi"/>
          <w:color w:val="auto"/>
          <w:szCs w:val="24"/>
        </w:rPr>
        <w:lastRenderedPageBreak/>
        <w:t xml:space="preserve">under </w:t>
      </w:r>
      <w:r w:rsidR="002305D8">
        <w:rPr>
          <w:rFonts w:asciiTheme="minorHAnsi" w:hAnsiTheme="minorHAnsi"/>
          <w:color w:val="auto"/>
          <w:szCs w:val="24"/>
        </w:rPr>
        <w:t xml:space="preserve">the PEB </w:t>
      </w:r>
      <w:r w:rsidR="00612544">
        <w:rPr>
          <w:rFonts w:asciiTheme="minorHAnsi" w:hAnsiTheme="minorHAnsi"/>
          <w:color w:val="auto"/>
          <w:szCs w:val="24"/>
        </w:rPr>
        <w:t>code 6204.  Using the analogous code 6299-</w:t>
      </w:r>
      <w:r w:rsidR="00714528">
        <w:rPr>
          <w:rFonts w:asciiTheme="minorHAnsi" w:hAnsiTheme="minorHAnsi"/>
          <w:color w:val="auto"/>
          <w:szCs w:val="24"/>
        </w:rPr>
        <w:t>6205</w:t>
      </w:r>
      <w:r w:rsidR="00612544">
        <w:rPr>
          <w:rFonts w:asciiTheme="minorHAnsi" w:hAnsiTheme="minorHAnsi"/>
          <w:color w:val="auto"/>
          <w:szCs w:val="24"/>
        </w:rPr>
        <w:t>, the three conditions (</w:t>
      </w:r>
      <w:r w:rsidR="00714528">
        <w:rPr>
          <w:rFonts w:asciiTheme="minorHAnsi" w:hAnsiTheme="minorHAnsi"/>
          <w:color w:val="auto"/>
          <w:szCs w:val="24"/>
        </w:rPr>
        <w:t>peripheral vestibular disorder, hearing impairment, and tinnitus</w:t>
      </w:r>
      <w:r w:rsidR="00612544">
        <w:rPr>
          <w:rFonts w:asciiTheme="minorHAnsi" w:hAnsiTheme="minorHAnsi"/>
          <w:color w:val="auto"/>
          <w:szCs w:val="24"/>
        </w:rPr>
        <w:t>) are treated as a single condition which better ref</w:t>
      </w:r>
      <w:r w:rsidR="00372C11">
        <w:rPr>
          <w:rFonts w:asciiTheme="minorHAnsi" w:hAnsiTheme="minorHAnsi"/>
          <w:color w:val="auto"/>
          <w:szCs w:val="24"/>
        </w:rPr>
        <w:t xml:space="preserve">lects the underlying pathology, i.e. </w:t>
      </w:r>
      <w:proofErr w:type="spellStart"/>
      <w:r w:rsidR="00372C11">
        <w:rPr>
          <w:rFonts w:asciiTheme="minorHAnsi" w:hAnsiTheme="minorHAnsi"/>
          <w:color w:val="auto"/>
          <w:szCs w:val="24"/>
        </w:rPr>
        <w:t>perilymphatic</w:t>
      </w:r>
      <w:proofErr w:type="spellEnd"/>
      <w:r w:rsidR="00372C11">
        <w:rPr>
          <w:rFonts w:asciiTheme="minorHAnsi" w:hAnsiTheme="minorHAnsi"/>
          <w:color w:val="auto"/>
          <w:szCs w:val="24"/>
        </w:rPr>
        <w:t xml:space="preserve"> fistula</w:t>
      </w:r>
      <w:r w:rsidR="00612544">
        <w:rPr>
          <w:rFonts w:asciiTheme="minorHAnsi" w:hAnsiTheme="minorHAnsi"/>
          <w:color w:val="auto"/>
          <w:szCs w:val="24"/>
        </w:rPr>
        <w:t xml:space="preserve">.  </w:t>
      </w:r>
      <w:r w:rsidR="00C52F2E" w:rsidRPr="00C52F2E">
        <w:rPr>
          <w:rFonts w:asciiTheme="minorHAnsi" w:hAnsiTheme="minorHAnsi" w:cs="Arial"/>
          <w:color w:val="000000"/>
          <w:szCs w:val="24"/>
        </w:rPr>
        <w:t xml:space="preserve">After due deliberation, in consideration of the totality of the evidence and </w:t>
      </w:r>
      <w:r w:rsidR="00C52F2E" w:rsidRPr="00AD0FAE">
        <w:rPr>
          <w:rFonts w:asciiTheme="minorHAnsi" w:hAnsiTheme="minorHAnsi"/>
          <w:color w:val="auto"/>
          <w:szCs w:val="24"/>
        </w:rPr>
        <w:t>VASRD §4.3 (reasonable doubt)</w:t>
      </w:r>
      <w:r w:rsidR="00C52F2E" w:rsidRPr="00AD0FAE">
        <w:rPr>
          <w:rFonts w:asciiTheme="minorHAnsi" w:hAnsiTheme="minorHAnsi" w:cs="Arial"/>
          <w:color w:val="auto"/>
          <w:szCs w:val="24"/>
        </w:rPr>
        <w:t>, the Board recommends</w:t>
      </w:r>
      <w:r w:rsidR="008441BF" w:rsidRPr="00AD0FAE">
        <w:rPr>
          <w:rFonts w:asciiTheme="minorHAnsi" w:hAnsiTheme="minorHAnsi" w:cs="Arial"/>
          <w:color w:val="auto"/>
          <w:szCs w:val="24"/>
        </w:rPr>
        <w:t xml:space="preserve"> a separation </w:t>
      </w:r>
      <w:r w:rsidR="00C52F2E" w:rsidRPr="00AD0FAE">
        <w:rPr>
          <w:rFonts w:asciiTheme="minorHAnsi" w:hAnsiTheme="minorHAnsi" w:cs="Arial"/>
          <w:color w:val="auto"/>
          <w:szCs w:val="24"/>
        </w:rPr>
        <w:t xml:space="preserve">rating </w:t>
      </w:r>
      <w:r w:rsidR="008441BF" w:rsidRPr="00AD0FAE">
        <w:rPr>
          <w:rFonts w:asciiTheme="minorHAnsi" w:hAnsiTheme="minorHAnsi" w:cs="Arial"/>
          <w:color w:val="auto"/>
          <w:szCs w:val="24"/>
        </w:rPr>
        <w:t xml:space="preserve">of 30% </w:t>
      </w:r>
      <w:r w:rsidR="00C52F2E" w:rsidRPr="00AD0FAE">
        <w:rPr>
          <w:rFonts w:asciiTheme="minorHAnsi" w:hAnsiTheme="minorHAnsi" w:cs="Arial"/>
          <w:color w:val="auto"/>
          <w:szCs w:val="24"/>
        </w:rPr>
        <w:t>for the chronic episodic positional vertigo with complete left hearing loss condition</w:t>
      </w:r>
      <w:r w:rsidR="002A6AD6">
        <w:rPr>
          <w:rFonts w:asciiTheme="minorHAnsi" w:hAnsiTheme="minorHAnsi" w:cs="Arial"/>
          <w:color w:val="auto"/>
          <w:szCs w:val="24"/>
        </w:rPr>
        <w:t>,</w:t>
      </w:r>
      <w:r w:rsidR="00C52F2E" w:rsidRPr="00AD0FAE">
        <w:rPr>
          <w:rFonts w:asciiTheme="minorHAnsi" w:hAnsiTheme="minorHAnsi" w:cs="Arial"/>
          <w:color w:val="auto"/>
          <w:szCs w:val="24"/>
        </w:rPr>
        <w:t xml:space="preserve"> </w:t>
      </w:r>
      <w:r w:rsidR="008441BF" w:rsidRPr="00AD0FAE">
        <w:rPr>
          <w:rFonts w:asciiTheme="minorHAnsi" w:hAnsiTheme="minorHAnsi" w:cs="Arial"/>
          <w:color w:val="auto"/>
          <w:szCs w:val="24"/>
        </w:rPr>
        <w:t>coded 6299-6205.</w:t>
      </w:r>
    </w:p>
    <w:p w:rsidR="00C94CB6" w:rsidRDefault="00C94CB6" w:rsidP="006B169B">
      <w:pPr>
        <w:spacing w:line="240" w:lineRule="exact"/>
        <w:jc w:val="both"/>
        <w:rPr>
          <w:rFonts w:asciiTheme="minorHAnsi" w:hAnsiTheme="minorHAnsi"/>
          <w:color w:val="auto"/>
          <w:szCs w:val="24"/>
          <w:u w:val="single"/>
        </w:rPr>
      </w:pPr>
    </w:p>
    <w:p w:rsidR="00F1737C" w:rsidRDefault="00AD0FAE" w:rsidP="00510F9C">
      <w:pPr>
        <w:spacing w:line="240" w:lineRule="exact"/>
        <w:jc w:val="both"/>
        <w:rPr>
          <w:rFonts w:asciiTheme="minorHAnsi" w:hAnsiTheme="minorHAnsi"/>
          <w:color w:val="auto"/>
          <w:szCs w:val="24"/>
        </w:rPr>
      </w:pPr>
      <w:proofErr w:type="gramStart"/>
      <w:r w:rsidRPr="00AD0FAE">
        <w:rPr>
          <w:rFonts w:asciiTheme="minorHAnsi" w:hAnsiTheme="minorHAnsi"/>
          <w:color w:val="auto"/>
          <w:szCs w:val="24"/>
          <w:u w:val="single"/>
        </w:rPr>
        <w:t>Other conditions</w:t>
      </w:r>
      <w:r>
        <w:rPr>
          <w:rFonts w:asciiTheme="minorHAnsi" w:hAnsiTheme="minorHAnsi"/>
          <w:color w:val="auto"/>
          <w:szCs w:val="24"/>
        </w:rPr>
        <w:t>.</w:t>
      </w:r>
      <w:proofErr w:type="gramEnd"/>
      <w:r>
        <w:rPr>
          <w:rFonts w:asciiTheme="minorHAnsi" w:hAnsiTheme="minorHAnsi"/>
          <w:color w:val="auto"/>
          <w:szCs w:val="24"/>
        </w:rPr>
        <w:t xml:space="preserve">  </w:t>
      </w:r>
      <w:r w:rsidR="00F6196E" w:rsidRPr="00F6196E">
        <w:rPr>
          <w:rFonts w:asciiTheme="minorHAnsi" w:hAnsiTheme="minorHAnsi"/>
          <w:color w:val="auto"/>
          <w:szCs w:val="24"/>
        </w:rPr>
        <w:t xml:space="preserve">No other conditions were </w:t>
      </w:r>
      <w:r w:rsidR="0078411A">
        <w:rPr>
          <w:rFonts w:asciiTheme="minorHAnsi" w:hAnsiTheme="minorHAnsi"/>
          <w:color w:val="auto"/>
          <w:szCs w:val="24"/>
        </w:rPr>
        <w:t>noted in the D</w:t>
      </w:r>
      <w:r w:rsidR="002A6AD6">
        <w:rPr>
          <w:rFonts w:asciiTheme="minorHAnsi" w:hAnsiTheme="minorHAnsi"/>
          <w:color w:val="auto"/>
          <w:szCs w:val="24"/>
        </w:rPr>
        <w:t>isability Evaluation System</w:t>
      </w:r>
      <w:r w:rsidR="0078411A">
        <w:rPr>
          <w:rFonts w:asciiTheme="minorHAnsi" w:hAnsiTheme="minorHAnsi"/>
          <w:color w:val="auto"/>
          <w:szCs w:val="24"/>
        </w:rPr>
        <w:t xml:space="preserve"> packet</w:t>
      </w:r>
      <w:r>
        <w:rPr>
          <w:rFonts w:asciiTheme="minorHAnsi" w:hAnsiTheme="minorHAnsi"/>
          <w:color w:val="auto"/>
          <w:szCs w:val="24"/>
        </w:rPr>
        <w:t>, contended by the CI</w:t>
      </w:r>
      <w:r w:rsidR="00372C11">
        <w:rPr>
          <w:rFonts w:asciiTheme="minorHAnsi" w:hAnsiTheme="minorHAnsi"/>
          <w:color w:val="auto"/>
          <w:szCs w:val="24"/>
        </w:rPr>
        <w:t>,</w:t>
      </w:r>
      <w:r>
        <w:rPr>
          <w:rFonts w:asciiTheme="minorHAnsi" w:hAnsiTheme="minorHAnsi"/>
          <w:color w:val="auto"/>
          <w:szCs w:val="24"/>
        </w:rPr>
        <w:t xml:space="preserve"> </w:t>
      </w:r>
      <w:r w:rsidR="0078411A">
        <w:rPr>
          <w:rFonts w:asciiTheme="minorHAnsi" w:hAnsiTheme="minorHAnsi"/>
          <w:color w:val="auto"/>
          <w:szCs w:val="24"/>
        </w:rPr>
        <w:t xml:space="preserve">or </w:t>
      </w:r>
      <w:r w:rsidR="00F6196E" w:rsidRPr="00F6196E">
        <w:rPr>
          <w:rFonts w:asciiTheme="minorHAnsi" w:hAnsiTheme="minorHAnsi"/>
          <w:color w:val="auto"/>
          <w:szCs w:val="24"/>
        </w:rPr>
        <w:t>service connected with a compensable rating by the VA within twelve months of separation.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78411A" w:rsidRPr="009C78FD" w:rsidRDefault="00C56FC8" w:rsidP="00510F9C">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78411A">
        <w:rPr>
          <w:rFonts w:asciiTheme="minorHAnsi" w:eastAsiaTheme="minorHAnsi" w:hAnsiTheme="minorHAnsi"/>
          <w:color w:val="auto"/>
          <w:szCs w:val="24"/>
        </w:rPr>
        <w:t xml:space="preserve">  In the matter of the </w:t>
      </w:r>
      <w:r w:rsidR="00025492">
        <w:rPr>
          <w:rFonts w:asciiTheme="minorHAnsi" w:eastAsiaTheme="minorHAnsi" w:hAnsiTheme="minorHAnsi"/>
          <w:color w:val="auto"/>
          <w:szCs w:val="24"/>
        </w:rPr>
        <w:t>c</w:t>
      </w:r>
      <w:r w:rsidR="0078411A">
        <w:rPr>
          <w:rFonts w:asciiTheme="minorHAnsi" w:eastAsiaTheme="minorHAnsi" w:hAnsiTheme="minorHAnsi"/>
          <w:color w:val="auto"/>
          <w:szCs w:val="24"/>
        </w:rPr>
        <w:t xml:space="preserve">hronic episodic positional vertigo with complete left hearing loss, the Board </w:t>
      </w:r>
      <w:r w:rsidR="0078411A" w:rsidRPr="00AD0FAE">
        <w:rPr>
          <w:rFonts w:asciiTheme="minorHAnsi" w:eastAsiaTheme="minorHAnsi" w:hAnsiTheme="minorHAnsi"/>
          <w:color w:val="auto"/>
          <w:szCs w:val="24"/>
        </w:rPr>
        <w:t>recommend</w:t>
      </w:r>
      <w:r w:rsidR="00AD0FAE">
        <w:rPr>
          <w:rFonts w:asciiTheme="minorHAnsi" w:eastAsiaTheme="minorHAnsi" w:hAnsiTheme="minorHAnsi"/>
          <w:color w:val="auto"/>
          <w:szCs w:val="24"/>
        </w:rPr>
        <w:t>s</w:t>
      </w:r>
      <w:r w:rsidR="002A6AD6">
        <w:rPr>
          <w:rFonts w:asciiTheme="minorHAnsi" w:eastAsiaTheme="minorHAnsi" w:hAnsiTheme="minorHAnsi"/>
          <w:color w:val="auto"/>
          <w:szCs w:val="24"/>
        </w:rPr>
        <w:t>,</w:t>
      </w:r>
      <w:r w:rsidR="00AD0FAE">
        <w:rPr>
          <w:rFonts w:asciiTheme="minorHAnsi" w:eastAsiaTheme="minorHAnsi" w:hAnsiTheme="minorHAnsi"/>
          <w:color w:val="auto"/>
          <w:szCs w:val="24"/>
        </w:rPr>
        <w:t xml:space="preserve"> by a 2:1 vote</w:t>
      </w:r>
      <w:r w:rsidR="002A6AD6">
        <w:rPr>
          <w:rFonts w:asciiTheme="minorHAnsi" w:eastAsiaTheme="minorHAnsi" w:hAnsiTheme="minorHAnsi"/>
          <w:color w:val="auto"/>
          <w:szCs w:val="24"/>
        </w:rPr>
        <w:t>,</w:t>
      </w:r>
      <w:r w:rsidR="00AD0FAE">
        <w:rPr>
          <w:rFonts w:asciiTheme="minorHAnsi" w:eastAsiaTheme="minorHAnsi" w:hAnsiTheme="minorHAnsi"/>
          <w:color w:val="auto"/>
          <w:szCs w:val="24"/>
        </w:rPr>
        <w:t xml:space="preserve"> </w:t>
      </w:r>
      <w:r w:rsidR="008441BF" w:rsidRPr="00AD0FAE">
        <w:rPr>
          <w:rFonts w:asciiTheme="minorHAnsi" w:eastAsiaTheme="minorHAnsi" w:hAnsiTheme="minorHAnsi"/>
          <w:color w:val="auto"/>
          <w:szCs w:val="24"/>
        </w:rPr>
        <w:t xml:space="preserve">that </w:t>
      </w:r>
      <w:r w:rsidR="0078411A" w:rsidRPr="00AD0FAE">
        <w:rPr>
          <w:rFonts w:asciiTheme="minorHAnsi" w:eastAsiaTheme="minorHAnsi" w:hAnsiTheme="minorHAnsi"/>
          <w:color w:val="auto"/>
          <w:szCs w:val="24"/>
        </w:rPr>
        <w:t>the chronic episodic positional vertigo</w:t>
      </w:r>
      <w:r w:rsidR="008441BF" w:rsidRPr="00AD0FAE">
        <w:rPr>
          <w:rFonts w:asciiTheme="minorHAnsi" w:eastAsiaTheme="minorHAnsi" w:hAnsiTheme="minorHAnsi"/>
          <w:color w:val="auto"/>
          <w:szCs w:val="24"/>
        </w:rPr>
        <w:t xml:space="preserve"> and complete hearing loss</w:t>
      </w:r>
      <w:r w:rsidR="0078411A" w:rsidRPr="00AD0FAE">
        <w:rPr>
          <w:rFonts w:asciiTheme="minorHAnsi" w:eastAsiaTheme="minorHAnsi" w:hAnsiTheme="minorHAnsi"/>
          <w:color w:val="auto"/>
          <w:szCs w:val="24"/>
        </w:rPr>
        <w:t xml:space="preserve"> be rated at 30%</w:t>
      </w:r>
      <w:r w:rsidR="00E31414" w:rsidRPr="00AD0FAE">
        <w:rPr>
          <w:rFonts w:asciiTheme="minorHAnsi" w:eastAsiaTheme="minorHAnsi" w:hAnsiTheme="minorHAnsi"/>
          <w:color w:val="auto"/>
          <w:szCs w:val="24"/>
        </w:rPr>
        <w:t>,</w:t>
      </w:r>
      <w:r w:rsidR="0078411A" w:rsidRPr="00AD0FAE">
        <w:rPr>
          <w:rFonts w:asciiTheme="minorHAnsi" w:eastAsiaTheme="minorHAnsi" w:hAnsiTheme="minorHAnsi"/>
          <w:color w:val="auto"/>
          <w:szCs w:val="24"/>
        </w:rPr>
        <w:t xml:space="preserve"> coded </w:t>
      </w:r>
      <w:r w:rsidR="008441BF" w:rsidRPr="00AD0FAE">
        <w:rPr>
          <w:rFonts w:asciiTheme="minorHAnsi" w:hAnsiTheme="minorHAnsi" w:cs="Arial"/>
          <w:color w:val="000000"/>
          <w:szCs w:val="24"/>
        </w:rPr>
        <w:t>6299-6205.</w:t>
      </w:r>
      <w:r w:rsidR="00AD0FAE">
        <w:rPr>
          <w:rFonts w:asciiTheme="minorHAnsi" w:hAnsiTheme="minorHAnsi" w:cs="Arial"/>
          <w:color w:val="000000"/>
          <w:szCs w:val="24"/>
        </w:rPr>
        <w:t xml:space="preserve">  The dissenting voter </w:t>
      </w:r>
      <w:r w:rsidR="00372C11">
        <w:rPr>
          <w:rFonts w:asciiTheme="minorHAnsi" w:hAnsiTheme="minorHAnsi" w:cs="Arial"/>
          <w:color w:val="000000"/>
          <w:szCs w:val="24"/>
        </w:rPr>
        <w:t xml:space="preserve">who </w:t>
      </w:r>
      <w:r w:rsidR="00AD0FAE">
        <w:rPr>
          <w:rFonts w:asciiTheme="minorHAnsi" w:hAnsiTheme="minorHAnsi" w:cs="Arial"/>
          <w:color w:val="000000"/>
          <w:szCs w:val="24"/>
        </w:rPr>
        <w:t>favored no re-char</w:t>
      </w:r>
      <w:r w:rsidR="00372C11">
        <w:rPr>
          <w:rFonts w:asciiTheme="minorHAnsi" w:hAnsiTheme="minorHAnsi" w:cs="Arial"/>
          <w:color w:val="000000"/>
          <w:szCs w:val="24"/>
        </w:rPr>
        <w:t xml:space="preserve">acterization </w:t>
      </w:r>
      <w:r w:rsidR="00AD0FAE">
        <w:rPr>
          <w:rFonts w:asciiTheme="minorHAnsi" w:hAnsiTheme="minorHAnsi" w:cs="Arial"/>
          <w:color w:val="000000"/>
          <w:szCs w:val="24"/>
        </w:rPr>
        <w:t xml:space="preserve">did not elect to </w:t>
      </w:r>
      <w:r w:rsidR="00372C11">
        <w:rPr>
          <w:rFonts w:asciiTheme="minorHAnsi" w:hAnsiTheme="minorHAnsi" w:cs="Arial"/>
          <w:color w:val="000000"/>
          <w:szCs w:val="24"/>
        </w:rPr>
        <w:t>submit a minority opinion</w:t>
      </w:r>
      <w:r w:rsidR="00AD0FAE">
        <w:rPr>
          <w:rFonts w:asciiTheme="minorHAnsi" w:hAnsiTheme="minorHAnsi" w:cs="Arial"/>
          <w:color w:val="000000"/>
          <w:szCs w:val="24"/>
        </w:rPr>
        <w:t xml:space="preserve">.  </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8208C3" w:rsidRPr="00976BF7" w:rsidRDefault="00C56FC8" w:rsidP="002A6AD6">
      <w:pPr>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976BF7">
        <w:rPr>
          <w:rFonts w:asciiTheme="minorHAnsi" w:hAnsiTheme="minorHAnsi"/>
          <w:color w:val="auto"/>
        </w:rPr>
        <w:t xml:space="preserve"> </w:t>
      </w:r>
      <w:r w:rsidR="008208C3" w:rsidRPr="00396779">
        <w:rPr>
          <w:rFonts w:asciiTheme="minorHAnsi" w:hAnsiTheme="minorHAnsi"/>
          <w:color w:val="auto"/>
          <w:szCs w:val="24"/>
        </w:rPr>
        <w:t xml:space="preserve">The Board recommends that the CI’s prior determination be modified as follows and that the discharge with severance pay be recharacterized to reflect </w:t>
      </w:r>
      <w:r w:rsidR="008208C3" w:rsidRPr="00B427BB">
        <w:rPr>
          <w:rFonts w:asciiTheme="minorHAnsi" w:hAnsiTheme="minorHAnsi"/>
          <w:color w:val="auto"/>
          <w:szCs w:val="24"/>
        </w:rPr>
        <w:t>permanent disability retirement, effective as of the date of his</w:t>
      </w:r>
      <w:r w:rsidR="00976BF7">
        <w:rPr>
          <w:rFonts w:asciiTheme="minorHAnsi" w:hAnsiTheme="minorHAnsi"/>
          <w:color w:val="auto"/>
          <w:szCs w:val="24"/>
        </w:rPr>
        <w:t xml:space="preserve"> prior medical separation:</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1E4BBC" w:rsidRPr="00AF01B2" w:rsidTr="003E2378">
        <w:trPr>
          <w:jc w:val="center"/>
        </w:trPr>
        <w:tc>
          <w:tcPr>
            <w:tcW w:w="6480" w:type="dxa"/>
            <w:vAlign w:val="center"/>
          </w:tcPr>
          <w:p w:rsidR="001E4BBC" w:rsidRPr="00372C11" w:rsidRDefault="00F71785" w:rsidP="002A6AD6">
            <w:pPr>
              <w:tabs>
                <w:tab w:val="left" w:pos="288"/>
                <w:tab w:val="left" w:pos="4752"/>
              </w:tabs>
              <w:spacing w:line="240" w:lineRule="exact"/>
              <w:rPr>
                <w:rFonts w:asciiTheme="minorHAnsi" w:hAnsiTheme="minorHAnsi"/>
                <w:color w:val="auto"/>
                <w:szCs w:val="24"/>
              </w:rPr>
            </w:pPr>
            <w:r w:rsidRPr="00372C11">
              <w:rPr>
                <w:color w:val="auto"/>
                <w:szCs w:val="24"/>
              </w:rPr>
              <w:t xml:space="preserve">Chronic </w:t>
            </w:r>
            <w:r w:rsidR="002A6AD6">
              <w:rPr>
                <w:color w:val="auto"/>
                <w:szCs w:val="24"/>
              </w:rPr>
              <w:t>E</w:t>
            </w:r>
            <w:r w:rsidRPr="00372C11">
              <w:rPr>
                <w:color w:val="auto"/>
                <w:szCs w:val="24"/>
              </w:rPr>
              <w:t xml:space="preserve">pisodic </w:t>
            </w:r>
            <w:r w:rsidR="002A6AD6">
              <w:rPr>
                <w:color w:val="auto"/>
                <w:szCs w:val="24"/>
              </w:rPr>
              <w:t>P</w:t>
            </w:r>
            <w:r w:rsidRPr="00372C11">
              <w:rPr>
                <w:color w:val="auto"/>
                <w:szCs w:val="24"/>
              </w:rPr>
              <w:t xml:space="preserve">ositional </w:t>
            </w:r>
            <w:r w:rsidR="002A6AD6">
              <w:rPr>
                <w:color w:val="auto"/>
                <w:szCs w:val="24"/>
              </w:rPr>
              <w:t>V</w:t>
            </w:r>
            <w:r w:rsidRPr="00372C11">
              <w:rPr>
                <w:color w:val="auto"/>
                <w:szCs w:val="24"/>
              </w:rPr>
              <w:t xml:space="preserve">ertigo with </w:t>
            </w:r>
            <w:r w:rsidR="002A6AD6">
              <w:rPr>
                <w:color w:val="auto"/>
                <w:szCs w:val="24"/>
              </w:rPr>
              <w:t>C</w:t>
            </w:r>
            <w:r w:rsidRPr="00372C11">
              <w:rPr>
                <w:color w:val="auto"/>
                <w:szCs w:val="24"/>
              </w:rPr>
              <w:t xml:space="preserve">omplete </w:t>
            </w:r>
            <w:r w:rsidR="002A6AD6">
              <w:rPr>
                <w:color w:val="auto"/>
                <w:szCs w:val="24"/>
              </w:rPr>
              <w:t>H</w:t>
            </w:r>
            <w:r w:rsidRPr="00372C11">
              <w:rPr>
                <w:color w:val="auto"/>
                <w:szCs w:val="24"/>
              </w:rPr>
              <w:t xml:space="preserve">earing </w:t>
            </w:r>
            <w:r w:rsidR="002A6AD6">
              <w:rPr>
                <w:color w:val="auto"/>
                <w:szCs w:val="24"/>
              </w:rPr>
              <w:t>L</w:t>
            </w:r>
            <w:r w:rsidRPr="00372C11">
              <w:rPr>
                <w:color w:val="auto"/>
                <w:szCs w:val="24"/>
              </w:rPr>
              <w:t>oss</w:t>
            </w:r>
            <w:r w:rsidR="002A6AD6">
              <w:rPr>
                <w:color w:val="auto"/>
                <w:szCs w:val="24"/>
              </w:rPr>
              <w:t>,</w:t>
            </w:r>
            <w:r w:rsidR="000969B1" w:rsidRPr="00372C11">
              <w:rPr>
                <w:color w:val="auto"/>
                <w:szCs w:val="24"/>
              </w:rPr>
              <w:t xml:space="preserve"> </w:t>
            </w:r>
            <w:r w:rsidR="002A6AD6">
              <w:rPr>
                <w:color w:val="auto"/>
                <w:szCs w:val="24"/>
              </w:rPr>
              <w:t>L</w:t>
            </w:r>
            <w:r w:rsidR="000969B1" w:rsidRPr="00372C11">
              <w:rPr>
                <w:color w:val="auto"/>
                <w:szCs w:val="24"/>
              </w:rPr>
              <w:t xml:space="preserve">eft </w:t>
            </w:r>
            <w:r w:rsidR="002A6AD6">
              <w:rPr>
                <w:color w:val="auto"/>
                <w:szCs w:val="24"/>
              </w:rPr>
              <w:t>E</w:t>
            </w:r>
            <w:r w:rsidR="000969B1" w:rsidRPr="00372C11">
              <w:rPr>
                <w:color w:val="auto"/>
                <w:szCs w:val="24"/>
              </w:rPr>
              <w:t>ar</w:t>
            </w:r>
          </w:p>
        </w:tc>
        <w:tc>
          <w:tcPr>
            <w:tcW w:w="1710" w:type="dxa"/>
          </w:tcPr>
          <w:p w:rsidR="001E4BBC" w:rsidRPr="00372C11" w:rsidRDefault="001E4BBC" w:rsidP="003E2378">
            <w:pPr>
              <w:tabs>
                <w:tab w:val="left" w:pos="288"/>
                <w:tab w:val="left" w:pos="4752"/>
              </w:tabs>
              <w:spacing w:line="240" w:lineRule="exact"/>
              <w:jc w:val="center"/>
              <w:rPr>
                <w:rFonts w:asciiTheme="minorHAnsi" w:hAnsiTheme="minorHAnsi"/>
                <w:color w:val="auto"/>
                <w:szCs w:val="24"/>
              </w:rPr>
            </w:pPr>
            <w:r w:rsidRPr="00372C11">
              <w:rPr>
                <w:color w:val="auto"/>
                <w:szCs w:val="24"/>
              </w:rPr>
              <w:t>6299-6205</w:t>
            </w:r>
          </w:p>
        </w:tc>
        <w:tc>
          <w:tcPr>
            <w:tcW w:w="1170" w:type="dxa"/>
          </w:tcPr>
          <w:p w:rsidR="001E4BBC" w:rsidRPr="00372C11" w:rsidRDefault="00976BF7" w:rsidP="003E2378">
            <w:pPr>
              <w:tabs>
                <w:tab w:val="left" w:pos="288"/>
                <w:tab w:val="left" w:pos="4752"/>
              </w:tabs>
              <w:spacing w:line="240" w:lineRule="exact"/>
              <w:jc w:val="center"/>
              <w:rPr>
                <w:rFonts w:asciiTheme="minorHAnsi" w:hAnsiTheme="minorHAnsi"/>
                <w:color w:val="auto"/>
                <w:szCs w:val="24"/>
              </w:rPr>
            </w:pPr>
            <w:r w:rsidRPr="00372C11">
              <w:rPr>
                <w:rFonts w:asciiTheme="minorHAnsi" w:hAnsiTheme="minorHAnsi"/>
                <w:color w:val="auto"/>
                <w:szCs w:val="24"/>
              </w:rPr>
              <w:t>30%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372C11" w:rsidRDefault="00A95BBA" w:rsidP="00103948">
            <w:pPr>
              <w:tabs>
                <w:tab w:val="left" w:pos="288"/>
                <w:tab w:val="left" w:pos="4752"/>
              </w:tabs>
              <w:spacing w:line="240" w:lineRule="exact"/>
              <w:jc w:val="center"/>
              <w:rPr>
                <w:rFonts w:asciiTheme="minorHAnsi" w:hAnsiTheme="minorHAnsi"/>
                <w:b/>
                <w:color w:val="auto"/>
                <w:szCs w:val="24"/>
              </w:rPr>
            </w:pPr>
            <w:r w:rsidRPr="00372C11">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372C11" w:rsidRDefault="00976BF7" w:rsidP="00103948">
            <w:pPr>
              <w:tabs>
                <w:tab w:val="left" w:pos="288"/>
                <w:tab w:val="left" w:pos="4752"/>
              </w:tabs>
              <w:spacing w:line="240" w:lineRule="exact"/>
              <w:jc w:val="center"/>
              <w:rPr>
                <w:rFonts w:asciiTheme="minorHAnsi" w:hAnsiTheme="minorHAnsi"/>
                <w:b/>
                <w:color w:val="auto"/>
                <w:szCs w:val="24"/>
              </w:rPr>
            </w:pPr>
            <w:r w:rsidRPr="00372C11">
              <w:rPr>
                <w:rFonts w:asciiTheme="minorHAnsi" w:hAnsiTheme="minorHAnsi"/>
                <w:b/>
                <w:color w:val="auto"/>
                <w:szCs w:val="24"/>
              </w:rPr>
              <w:t>30</w:t>
            </w:r>
            <w:r w:rsidR="00A95BBA" w:rsidRPr="00372C11">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7E59E3">
        <w:rPr>
          <w:rFonts w:asciiTheme="minorHAnsi" w:hAnsiTheme="minorHAnsi"/>
          <w:color w:val="auto"/>
        </w:rPr>
        <w:t>0</w:t>
      </w:r>
      <w:r w:rsidR="009A33BB">
        <w:rPr>
          <w:rFonts w:asciiTheme="minorHAnsi" w:hAnsiTheme="minorHAnsi"/>
          <w:color w:val="auto"/>
        </w:rPr>
        <w:t>91021</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C2272E" w:rsidRDefault="00FB1725" w:rsidP="0078411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CD2835" w:rsidRDefault="00CD2835" w:rsidP="0078411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D2835" w:rsidRDefault="00CD2835">
      <w:pPr>
        <w:rPr>
          <w:rFonts w:asciiTheme="minorHAnsi" w:hAnsiTheme="minorHAnsi"/>
          <w:color w:val="auto"/>
        </w:rPr>
      </w:pPr>
      <w:r>
        <w:rPr>
          <w:rFonts w:asciiTheme="minorHAnsi" w:hAnsiTheme="minorHAnsi"/>
          <w:color w:val="auto"/>
        </w:rPr>
        <w:br w:type="page"/>
      </w:r>
    </w:p>
    <w:p w:rsidR="00CD2835" w:rsidRDefault="00CD2835" w:rsidP="0078411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D2835" w:rsidRPr="00CD2835" w:rsidRDefault="00CD2835" w:rsidP="00CD2835">
      <w:pPr>
        <w:rPr>
          <w:color w:val="auto"/>
        </w:rPr>
      </w:pPr>
      <w:r w:rsidRPr="00CD2835">
        <w:rPr>
          <w:color w:val="auto"/>
        </w:rPr>
        <w:t>MEMORANDUM FOR COMMANDER, NAVY PERSONNEL COMMAND</w:t>
      </w:r>
    </w:p>
    <w:p w:rsidR="00CD2835" w:rsidRPr="00CD2835" w:rsidRDefault="00CD2835" w:rsidP="00CD2835">
      <w:pPr>
        <w:rPr>
          <w:color w:val="auto"/>
        </w:rPr>
      </w:pPr>
    </w:p>
    <w:p w:rsidR="00CD2835" w:rsidRPr="00CD2835" w:rsidRDefault="00CD2835" w:rsidP="00CD2835">
      <w:pPr>
        <w:rPr>
          <w:color w:val="auto"/>
        </w:rPr>
      </w:pPr>
      <w:proofErr w:type="spellStart"/>
      <w:r w:rsidRPr="00CD2835">
        <w:rPr>
          <w:color w:val="auto"/>
        </w:rPr>
        <w:t>Subj</w:t>
      </w:r>
      <w:proofErr w:type="spellEnd"/>
      <w:r w:rsidRPr="00CD2835">
        <w:rPr>
          <w:color w:val="auto"/>
        </w:rPr>
        <w:t>:  PHYSICAL DISABILITY BOARD OF REVIEW (PDBR) RECOMMENDATION</w:t>
      </w:r>
    </w:p>
    <w:p w:rsidR="00CD2835" w:rsidRPr="00CD2835" w:rsidRDefault="00CD2835" w:rsidP="00CD2835">
      <w:pPr>
        <w:tabs>
          <w:tab w:val="left" w:pos="630"/>
        </w:tabs>
        <w:rPr>
          <w:color w:val="auto"/>
        </w:rPr>
      </w:pPr>
      <w:r w:rsidRPr="00CD2835">
        <w:rPr>
          <w:color w:val="auto"/>
        </w:rPr>
        <w:t xml:space="preserve">          </w:t>
      </w:r>
      <w:r w:rsidRPr="00CD2835">
        <w:rPr>
          <w:color w:val="auto"/>
        </w:rPr>
        <w:tab/>
        <w:t>ICO XXXXX, FORMER USN, XXX-XX-XXXX</w:t>
      </w:r>
    </w:p>
    <w:p w:rsidR="00CD2835" w:rsidRPr="00CD2835" w:rsidRDefault="00CD2835" w:rsidP="00CD2835">
      <w:pPr>
        <w:rPr>
          <w:color w:val="auto"/>
        </w:rPr>
      </w:pPr>
    </w:p>
    <w:p w:rsidR="00CD2835" w:rsidRPr="00CD2835" w:rsidRDefault="00CD2835" w:rsidP="00CD2835">
      <w:pPr>
        <w:rPr>
          <w:color w:val="auto"/>
        </w:rPr>
      </w:pPr>
      <w:r w:rsidRPr="00CD2835">
        <w:rPr>
          <w:color w:val="auto"/>
        </w:rPr>
        <w:t>Ref:   (a) DoDI 6040.44</w:t>
      </w:r>
    </w:p>
    <w:p w:rsidR="00CD2835" w:rsidRPr="00CD2835" w:rsidRDefault="00CD2835" w:rsidP="00CD2835">
      <w:pPr>
        <w:rPr>
          <w:color w:val="auto"/>
        </w:rPr>
      </w:pPr>
      <w:r w:rsidRPr="00CD2835">
        <w:rPr>
          <w:color w:val="auto"/>
        </w:rPr>
        <w:t xml:space="preserve">          (b) PDBR </w:t>
      </w:r>
      <w:proofErr w:type="spellStart"/>
      <w:r w:rsidRPr="00CD2835">
        <w:rPr>
          <w:color w:val="auto"/>
        </w:rPr>
        <w:t>ltr</w:t>
      </w:r>
      <w:proofErr w:type="spellEnd"/>
      <w:r w:rsidRPr="00CD2835">
        <w:rPr>
          <w:color w:val="auto"/>
        </w:rPr>
        <w:t xml:space="preserve"> </w:t>
      </w:r>
      <w:proofErr w:type="spellStart"/>
      <w:r w:rsidRPr="00CD2835">
        <w:rPr>
          <w:color w:val="auto"/>
        </w:rPr>
        <w:t>dtd</w:t>
      </w:r>
      <w:proofErr w:type="spellEnd"/>
      <w:r w:rsidRPr="00CD2835">
        <w:rPr>
          <w:color w:val="auto"/>
        </w:rPr>
        <w:t xml:space="preserve"> 21 Jun 11</w:t>
      </w:r>
    </w:p>
    <w:p w:rsidR="00CD2835" w:rsidRPr="00CD2835" w:rsidRDefault="00CD2835" w:rsidP="00CD2835">
      <w:pPr>
        <w:rPr>
          <w:color w:val="auto"/>
        </w:rPr>
      </w:pPr>
    </w:p>
    <w:p w:rsidR="00CD2835" w:rsidRPr="00CD2835" w:rsidRDefault="00CD2835" w:rsidP="00CD2835">
      <w:pPr>
        <w:rPr>
          <w:color w:val="auto"/>
        </w:rPr>
      </w:pPr>
      <w:r w:rsidRPr="00CD2835">
        <w:rPr>
          <w:color w:val="auto"/>
        </w:rPr>
        <w:t>1.  I have reviewed the subject case pursuant to reference (a) and approve the recommendation of the Physical Disability Board of Review (reference (b)).</w:t>
      </w:r>
    </w:p>
    <w:p w:rsidR="00CD2835" w:rsidRPr="00CD2835" w:rsidRDefault="00CD2835" w:rsidP="00CD2835">
      <w:pPr>
        <w:rPr>
          <w:color w:val="auto"/>
        </w:rPr>
      </w:pPr>
    </w:p>
    <w:p w:rsidR="00CD2835" w:rsidRPr="00CD2835" w:rsidRDefault="00CD2835" w:rsidP="00CD2835">
      <w:pPr>
        <w:rPr>
          <w:color w:val="auto"/>
        </w:rPr>
      </w:pPr>
      <w:r w:rsidRPr="00CD2835">
        <w:rPr>
          <w:color w:val="auto"/>
        </w:rPr>
        <w:t>2.  The subject member’s official records are to be corrected to reflect the following disposition:</w:t>
      </w:r>
    </w:p>
    <w:p w:rsidR="00CD2835" w:rsidRPr="00CD2835" w:rsidRDefault="00CD2835" w:rsidP="00CD2835">
      <w:pPr>
        <w:rPr>
          <w:color w:val="auto"/>
        </w:rPr>
      </w:pPr>
    </w:p>
    <w:p w:rsidR="00CD2835" w:rsidRPr="00CD2835" w:rsidRDefault="00CD2835" w:rsidP="00CD2835">
      <w:pPr>
        <w:rPr>
          <w:color w:val="auto"/>
        </w:rPr>
      </w:pPr>
      <w:r w:rsidRPr="00CD2835">
        <w:rPr>
          <w:color w:val="auto"/>
        </w:rPr>
        <w:tab/>
        <w:t xml:space="preserve">a. Separation from the </w:t>
      </w:r>
      <w:proofErr w:type="gramStart"/>
      <w:r w:rsidRPr="00CD2835">
        <w:rPr>
          <w:color w:val="auto"/>
        </w:rPr>
        <w:t>Naval</w:t>
      </w:r>
      <w:proofErr w:type="gramEnd"/>
      <w:r w:rsidRPr="00CD2835">
        <w:rPr>
          <w:color w:val="auto"/>
        </w:rPr>
        <w:t xml:space="preserve"> service due to physical disability rated at 30 percent (increased from 20 percent) with transfer to the Permanent Disability Retired List effective 31 October 2003.</w:t>
      </w:r>
    </w:p>
    <w:p w:rsidR="00CD2835" w:rsidRPr="00CD2835" w:rsidRDefault="00CD2835" w:rsidP="00CD2835">
      <w:pPr>
        <w:rPr>
          <w:color w:val="auto"/>
        </w:rPr>
      </w:pPr>
    </w:p>
    <w:p w:rsidR="00CD2835" w:rsidRPr="00CD2835" w:rsidRDefault="00CD2835" w:rsidP="00CD2835">
      <w:pPr>
        <w:rPr>
          <w:color w:val="auto"/>
        </w:rPr>
      </w:pPr>
      <w:r w:rsidRPr="00CD2835">
        <w:rPr>
          <w:color w:val="auto"/>
        </w:rPr>
        <w:t>3.  Please ensure all necessary actions are taken to implement this decision, including the recoupment of previously paid disability separation pay if warranted, and notification to the subject member once those actions are completed.</w:t>
      </w:r>
    </w:p>
    <w:p w:rsidR="00CD2835" w:rsidRPr="00CD2835" w:rsidRDefault="00CD2835" w:rsidP="00CD2835">
      <w:pPr>
        <w:rPr>
          <w:color w:val="auto"/>
        </w:rPr>
      </w:pPr>
    </w:p>
    <w:p w:rsidR="00CD2835" w:rsidRPr="00CD2835" w:rsidRDefault="00CD2835" w:rsidP="00CD2835">
      <w:pPr>
        <w:rPr>
          <w:color w:val="auto"/>
        </w:rPr>
      </w:pPr>
    </w:p>
    <w:p w:rsidR="00CD2835" w:rsidRPr="00CD2835" w:rsidRDefault="00CD2835" w:rsidP="00CD2835">
      <w:pPr>
        <w:rPr>
          <w:color w:val="auto"/>
        </w:rPr>
      </w:pPr>
    </w:p>
    <w:p w:rsidR="00CD2835" w:rsidRPr="00CD2835" w:rsidRDefault="00CD2835" w:rsidP="00CD2835">
      <w:pPr>
        <w:tabs>
          <w:tab w:val="left" w:pos="4680"/>
        </w:tabs>
        <w:rPr>
          <w:color w:val="auto"/>
        </w:rPr>
      </w:pPr>
      <w:r w:rsidRPr="00CD2835">
        <w:rPr>
          <w:color w:val="auto"/>
        </w:rPr>
        <w:tab/>
      </w:r>
    </w:p>
    <w:p w:rsidR="00CD2835" w:rsidRPr="00CD2835" w:rsidRDefault="00CD2835" w:rsidP="00CD2835">
      <w:pPr>
        <w:rPr>
          <w:color w:val="auto"/>
        </w:rPr>
      </w:pPr>
      <w:r w:rsidRPr="00CD2835">
        <w:rPr>
          <w:color w:val="auto"/>
        </w:rPr>
        <w:tab/>
      </w:r>
      <w:r w:rsidRPr="00CD2835">
        <w:rPr>
          <w:color w:val="auto"/>
        </w:rPr>
        <w:tab/>
      </w:r>
      <w:r w:rsidRPr="00CD2835">
        <w:rPr>
          <w:color w:val="auto"/>
        </w:rPr>
        <w:tab/>
      </w:r>
      <w:r w:rsidRPr="00CD2835">
        <w:rPr>
          <w:color w:val="auto"/>
        </w:rPr>
        <w:tab/>
      </w:r>
      <w:r w:rsidRPr="00CD2835">
        <w:rPr>
          <w:color w:val="auto"/>
        </w:rPr>
        <w:tab/>
      </w:r>
      <w:r w:rsidRPr="00CD2835">
        <w:rPr>
          <w:color w:val="auto"/>
        </w:rPr>
        <w:tab/>
        <w:t xml:space="preserve">      Assistant General Counsel</w:t>
      </w:r>
    </w:p>
    <w:p w:rsidR="00CD2835" w:rsidRPr="00CD2835" w:rsidRDefault="00CD2835" w:rsidP="00CD2835">
      <w:pPr>
        <w:rPr>
          <w:color w:val="auto"/>
        </w:rPr>
      </w:pPr>
      <w:r w:rsidRPr="00CD2835">
        <w:rPr>
          <w:color w:val="auto"/>
        </w:rPr>
        <w:tab/>
      </w:r>
      <w:r w:rsidRPr="00CD2835">
        <w:rPr>
          <w:color w:val="auto"/>
        </w:rPr>
        <w:tab/>
      </w:r>
      <w:r w:rsidRPr="00CD2835">
        <w:rPr>
          <w:color w:val="auto"/>
        </w:rPr>
        <w:tab/>
      </w:r>
      <w:r w:rsidRPr="00CD2835">
        <w:rPr>
          <w:color w:val="auto"/>
        </w:rPr>
        <w:tab/>
      </w:r>
      <w:r w:rsidRPr="00CD2835">
        <w:rPr>
          <w:color w:val="auto"/>
        </w:rPr>
        <w:tab/>
      </w:r>
      <w:r w:rsidRPr="00CD2835">
        <w:rPr>
          <w:color w:val="auto"/>
        </w:rPr>
        <w:tab/>
        <w:t xml:space="preserve">        (Manpower &amp; Reserve Affairs)</w:t>
      </w:r>
    </w:p>
    <w:p w:rsidR="00CD2835" w:rsidRPr="00CD2835" w:rsidRDefault="00CD2835" w:rsidP="00CD2835">
      <w:pPr>
        <w:rPr>
          <w:color w:val="auto"/>
        </w:rPr>
      </w:pPr>
    </w:p>
    <w:p w:rsidR="00B951E4" w:rsidRPr="00CD2835" w:rsidRDefault="00B951E4" w:rsidP="0078411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951E4" w:rsidRPr="00CD2835" w:rsidRDefault="00B951E4" w:rsidP="0078411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951E4" w:rsidRPr="00CD2835" w:rsidRDefault="00B951E4" w:rsidP="00B951E4">
      <w:pPr>
        <w:tabs>
          <w:tab w:val="left" w:pos="288"/>
          <w:tab w:val="left" w:pos="4752"/>
        </w:tabs>
        <w:spacing w:line="240" w:lineRule="exact"/>
        <w:jc w:val="both"/>
        <w:rPr>
          <w:rFonts w:asciiTheme="minorHAnsi" w:hAnsiTheme="minorHAnsi"/>
          <w:color w:val="auto"/>
          <w:highlight w:val="yellow"/>
        </w:rPr>
      </w:pPr>
    </w:p>
    <w:p w:rsidR="001E4BBC" w:rsidRPr="00CD2835" w:rsidRDefault="001E4BBC" w:rsidP="00F71785">
      <w:pPr>
        <w:jc w:val="both"/>
        <w:rPr>
          <w:vanish/>
          <w:color w:val="auto"/>
          <w:sz w:val="16"/>
          <w:szCs w:val="16"/>
        </w:rPr>
      </w:pPr>
    </w:p>
    <w:p w:rsidR="00B951E4" w:rsidRPr="00CD2835" w:rsidRDefault="00B951E4" w:rsidP="0078411A">
      <w:pPr>
        <w:tabs>
          <w:tab w:val="left" w:pos="288"/>
          <w:tab w:val="left" w:pos="4320"/>
          <w:tab w:val="left" w:pos="4410"/>
          <w:tab w:val="left" w:pos="4770"/>
          <w:tab w:val="left" w:pos="4860"/>
          <w:tab w:val="left" w:pos="5040"/>
        </w:tabs>
        <w:spacing w:line="240" w:lineRule="exact"/>
        <w:jc w:val="both"/>
        <w:rPr>
          <w:rFonts w:ascii="Times New Roman" w:hAnsi="Times New Roman"/>
          <w:b/>
          <w:color w:val="auto"/>
          <w:sz w:val="16"/>
          <w:szCs w:val="16"/>
        </w:rPr>
      </w:pPr>
    </w:p>
    <w:sectPr w:rsidR="00B951E4" w:rsidRPr="00CD2835"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01" w:rsidRDefault="00884901">
      <w:r>
        <w:separator/>
      </w:r>
    </w:p>
  </w:endnote>
  <w:endnote w:type="continuationSeparator" w:id="0">
    <w:p w:rsidR="00884901" w:rsidRDefault="00884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714528" w:rsidRPr="00684CE6" w:rsidRDefault="00E9231A" w:rsidP="00F65ED5">
        <w:pPr>
          <w:pStyle w:val="Footer"/>
          <w:jc w:val="right"/>
          <w:rPr>
            <w:color w:val="auto"/>
          </w:rPr>
        </w:pPr>
        <w:r w:rsidRPr="00684CE6">
          <w:rPr>
            <w:color w:val="auto"/>
          </w:rPr>
          <w:fldChar w:fldCharType="begin"/>
        </w:r>
        <w:r w:rsidR="00714528" w:rsidRPr="00684CE6">
          <w:rPr>
            <w:color w:val="auto"/>
          </w:rPr>
          <w:instrText xml:space="preserve"> PAGE   \* MERGEFORMAT </w:instrText>
        </w:r>
        <w:r w:rsidRPr="00684CE6">
          <w:rPr>
            <w:color w:val="auto"/>
          </w:rPr>
          <w:fldChar w:fldCharType="separate"/>
        </w:r>
        <w:r w:rsidR="00CD2835">
          <w:rPr>
            <w:noProof/>
            <w:color w:val="auto"/>
          </w:rPr>
          <w:t>2</w:t>
        </w:r>
        <w:r w:rsidRPr="00684CE6">
          <w:rPr>
            <w:color w:val="auto"/>
          </w:rPr>
          <w:fldChar w:fldCharType="end"/>
        </w:r>
        <w:r w:rsidR="00714528" w:rsidRPr="00684CE6">
          <w:rPr>
            <w:color w:val="auto"/>
          </w:rPr>
          <w:t xml:space="preserve">                                                           PD</w:t>
        </w:r>
        <w:r w:rsidR="00714528" w:rsidRPr="0077588D">
          <w:rPr>
            <w:color w:val="auto"/>
          </w:rPr>
          <w:t>0900690</w:t>
        </w:r>
      </w:p>
    </w:sdtContent>
  </w:sdt>
  <w:p w:rsidR="00714528" w:rsidRPr="00684CE6" w:rsidRDefault="00714528">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28" w:rsidRPr="00DB4A6D" w:rsidRDefault="00714528"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01" w:rsidRDefault="00884901">
      <w:r>
        <w:separator/>
      </w:r>
    </w:p>
  </w:footnote>
  <w:footnote w:type="continuationSeparator" w:id="0">
    <w:p w:rsidR="00884901" w:rsidRDefault="00884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D786D"/>
    <w:multiLevelType w:val="multilevel"/>
    <w:tmpl w:val="77D8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7"/>
  </w:num>
  <w:num w:numId="5">
    <w:abstractNumId w:val="4"/>
  </w:num>
  <w:num w:numId="6">
    <w:abstractNumId w:val="9"/>
  </w:num>
  <w:num w:numId="7">
    <w:abstractNumId w:val="0"/>
  </w:num>
  <w:num w:numId="8">
    <w:abstractNumId w:val="6"/>
  </w:num>
  <w:num w:numId="9">
    <w:abstractNumId w:val="16"/>
  </w:num>
  <w:num w:numId="10">
    <w:abstractNumId w:val="11"/>
  </w:num>
  <w:num w:numId="11">
    <w:abstractNumId w:val="5"/>
  </w:num>
  <w:num w:numId="12">
    <w:abstractNumId w:val="14"/>
  </w:num>
  <w:num w:numId="13">
    <w:abstractNumId w:val="8"/>
  </w:num>
  <w:num w:numId="14">
    <w:abstractNumId w:val="15"/>
  </w:num>
  <w:num w:numId="15">
    <w:abstractNumId w:val="19"/>
  </w:num>
  <w:num w:numId="16">
    <w:abstractNumId w:val="2"/>
  </w:num>
  <w:num w:numId="17">
    <w:abstractNumId w:val="17"/>
  </w:num>
  <w:num w:numId="18">
    <w:abstractNumId w:val="10"/>
  </w:num>
  <w:num w:numId="19">
    <w:abstractNumId w:val="1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678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F19"/>
    <w:rsid w:val="00012428"/>
    <w:rsid w:val="00012733"/>
    <w:rsid w:val="00013417"/>
    <w:rsid w:val="000145C2"/>
    <w:rsid w:val="0001473F"/>
    <w:rsid w:val="00014A9E"/>
    <w:rsid w:val="00021361"/>
    <w:rsid w:val="00022CF3"/>
    <w:rsid w:val="00023611"/>
    <w:rsid w:val="00023913"/>
    <w:rsid w:val="00023D43"/>
    <w:rsid w:val="00024DE7"/>
    <w:rsid w:val="00025492"/>
    <w:rsid w:val="00026092"/>
    <w:rsid w:val="00030776"/>
    <w:rsid w:val="000328E9"/>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27AF"/>
    <w:rsid w:val="00053D7C"/>
    <w:rsid w:val="00055F37"/>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12A9"/>
    <w:rsid w:val="00082482"/>
    <w:rsid w:val="00084CF2"/>
    <w:rsid w:val="00085D7B"/>
    <w:rsid w:val="0008708B"/>
    <w:rsid w:val="00092619"/>
    <w:rsid w:val="00092C66"/>
    <w:rsid w:val="000949DD"/>
    <w:rsid w:val="00094E4F"/>
    <w:rsid w:val="000969B1"/>
    <w:rsid w:val="000A2BCE"/>
    <w:rsid w:val="000A33C8"/>
    <w:rsid w:val="000A3624"/>
    <w:rsid w:val="000A41E3"/>
    <w:rsid w:val="000A4BBA"/>
    <w:rsid w:val="000A5071"/>
    <w:rsid w:val="000A65F2"/>
    <w:rsid w:val="000B0AD2"/>
    <w:rsid w:val="000B1022"/>
    <w:rsid w:val="000B2FB8"/>
    <w:rsid w:val="000B4C99"/>
    <w:rsid w:val="000C06F6"/>
    <w:rsid w:val="000C1D34"/>
    <w:rsid w:val="000C2362"/>
    <w:rsid w:val="000C2FA8"/>
    <w:rsid w:val="000C3C13"/>
    <w:rsid w:val="000C4D5F"/>
    <w:rsid w:val="000C53F9"/>
    <w:rsid w:val="000C5813"/>
    <w:rsid w:val="000C61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16D2"/>
    <w:rsid w:val="000E2E50"/>
    <w:rsid w:val="000E37E0"/>
    <w:rsid w:val="000E3F20"/>
    <w:rsid w:val="000E4CBF"/>
    <w:rsid w:val="000E5577"/>
    <w:rsid w:val="000E69A5"/>
    <w:rsid w:val="000E7034"/>
    <w:rsid w:val="000F02BE"/>
    <w:rsid w:val="000F0928"/>
    <w:rsid w:val="000F427B"/>
    <w:rsid w:val="000F43D0"/>
    <w:rsid w:val="000F4F18"/>
    <w:rsid w:val="000F688E"/>
    <w:rsid w:val="000F7181"/>
    <w:rsid w:val="00100597"/>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352"/>
    <w:rsid w:val="00130756"/>
    <w:rsid w:val="001315DD"/>
    <w:rsid w:val="0013525F"/>
    <w:rsid w:val="00135385"/>
    <w:rsid w:val="001364D1"/>
    <w:rsid w:val="001374C7"/>
    <w:rsid w:val="001421FD"/>
    <w:rsid w:val="001425C8"/>
    <w:rsid w:val="00142EBA"/>
    <w:rsid w:val="00143B79"/>
    <w:rsid w:val="00145965"/>
    <w:rsid w:val="0014693C"/>
    <w:rsid w:val="00150B8A"/>
    <w:rsid w:val="00150DCB"/>
    <w:rsid w:val="00151912"/>
    <w:rsid w:val="00153740"/>
    <w:rsid w:val="00153D88"/>
    <w:rsid w:val="001541C5"/>
    <w:rsid w:val="0015623F"/>
    <w:rsid w:val="00156585"/>
    <w:rsid w:val="00156BA9"/>
    <w:rsid w:val="00161642"/>
    <w:rsid w:val="00161761"/>
    <w:rsid w:val="00166182"/>
    <w:rsid w:val="00167088"/>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70"/>
    <w:rsid w:val="001870F0"/>
    <w:rsid w:val="00190E48"/>
    <w:rsid w:val="0019273F"/>
    <w:rsid w:val="00193814"/>
    <w:rsid w:val="00193AAB"/>
    <w:rsid w:val="00193AD5"/>
    <w:rsid w:val="00194930"/>
    <w:rsid w:val="00195AAC"/>
    <w:rsid w:val="001A025E"/>
    <w:rsid w:val="001A08CD"/>
    <w:rsid w:val="001A0A1E"/>
    <w:rsid w:val="001A20B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4BBC"/>
    <w:rsid w:val="001E635C"/>
    <w:rsid w:val="001F0297"/>
    <w:rsid w:val="00200AA0"/>
    <w:rsid w:val="00202325"/>
    <w:rsid w:val="00202736"/>
    <w:rsid w:val="00203652"/>
    <w:rsid w:val="0020387D"/>
    <w:rsid w:val="00203B39"/>
    <w:rsid w:val="00204562"/>
    <w:rsid w:val="00204F12"/>
    <w:rsid w:val="00205B4F"/>
    <w:rsid w:val="002060B6"/>
    <w:rsid w:val="0020669E"/>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05D8"/>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3D59"/>
    <w:rsid w:val="00264148"/>
    <w:rsid w:val="002660AF"/>
    <w:rsid w:val="00270864"/>
    <w:rsid w:val="002712F7"/>
    <w:rsid w:val="0027159C"/>
    <w:rsid w:val="002722F2"/>
    <w:rsid w:val="00273745"/>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01E7"/>
    <w:rsid w:val="002A233F"/>
    <w:rsid w:val="002A3237"/>
    <w:rsid w:val="002A4119"/>
    <w:rsid w:val="002A58B7"/>
    <w:rsid w:val="002A5943"/>
    <w:rsid w:val="002A5C3C"/>
    <w:rsid w:val="002A685E"/>
    <w:rsid w:val="002A6AD6"/>
    <w:rsid w:val="002A72C7"/>
    <w:rsid w:val="002B0204"/>
    <w:rsid w:val="002B03B2"/>
    <w:rsid w:val="002B0749"/>
    <w:rsid w:val="002B2645"/>
    <w:rsid w:val="002B303A"/>
    <w:rsid w:val="002B32E9"/>
    <w:rsid w:val="002B4E22"/>
    <w:rsid w:val="002B6FA0"/>
    <w:rsid w:val="002C0DEA"/>
    <w:rsid w:val="002C29CC"/>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4FF"/>
    <w:rsid w:val="002E2E0F"/>
    <w:rsid w:val="002E333A"/>
    <w:rsid w:val="002E3474"/>
    <w:rsid w:val="002E3526"/>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364E"/>
    <w:rsid w:val="00305856"/>
    <w:rsid w:val="0030678B"/>
    <w:rsid w:val="00306D16"/>
    <w:rsid w:val="00307595"/>
    <w:rsid w:val="00310CD7"/>
    <w:rsid w:val="00313D7A"/>
    <w:rsid w:val="00314DA0"/>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42D"/>
    <w:rsid w:val="00341A54"/>
    <w:rsid w:val="00344A4F"/>
    <w:rsid w:val="00344D17"/>
    <w:rsid w:val="0034669F"/>
    <w:rsid w:val="00347A31"/>
    <w:rsid w:val="00351498"/>
    <w:rsid w:val="00352B22"/>
    <w:rsid w:val="00352CBF"/>
    <w:rsid w:val="00354547"/>
    <w:rsid w:val="003549F5"/>
    <w:rsid w:val="003567DE"/>
    <w:rsid w:val="003574F3"/>
    <w:rsid w:val="00357831"/>
    <w:rsid w:val="003604A5"/>
    <w:rsid w:val="0036319E"/>
    <w:rsid w:val="003632A4"/>
    <w:rsid w:val="00363362"/>
    <w:rsid w:val="00364C32"/>
    <w:rsid w:val="00365767"/>
    <w:rsid w:val="003659C0"/>
    <w:rsid w:val="003660DF"/>
    <w:rsid w:val="00367D4F"/>
    <w:rsid w:val="00370743"/>
    <w:rsid w:val="00370EF5"/>
    <w:rsid w:val="0037135B"/>
    <w:rsid w:val="00372251"/>
    <w:rsid w:val="00372C1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618C"/>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2378"/>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07AFA"/>
    <w:rsid w:val="004101B2"/>
    <w:rsid w:val="004123D7"/>
    <w:rsid w:val="00412658"/>
    <w:rsid w:val="004129DA"/>
    <w:rsid w:val="00415EA4"/>
    <w:rsid w:val="0041604B"/>
    <w:rsid w:val="004172DB"/>
    <w:rsid w:val="00420A1D"/>
    <w:rsid w:val="00421485"/>
    <w:rsid w:val="004216DA"/>
    <w:rsid w:val="00422411"/>
    <w:rsid w:val="00422B75"/>
    <w:rsid w:val="00424612"/>
    <w:rsid w:val="0042528C"/>
    <w:rsid w:val="00425672"/>
    <w:rsid w:val="00425A6A"/>
    <w:rsid w:val="00427AA9"/>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5"/>
    <w:rsid w:val="0046111A"/>
    <w:rsid w:val="00462F68"/>
    <w:rsid w:val="0046369B"/>
    <w:rsid w:val="004640E9"/>
    <w:rsid w:val="00466CED"/>
    <w:rsid w:val="00466EB5"/>
    <w:rsid w:val="00467592"/>
    <w:rsid w:val="00467690"/>
    <w:rsid w:val="004718E7"/>
    <w:rsid w:val="00472289"/>
    <w:rsid w:val="00472535"/>
    <w:rsid w:val="00473411"/>
    <w:rsid w:val="004761CC"/>
    <w:rsid w:val="004766C9"/>
    <w:rsid w:val="00480D4A"/>
    <w:rsid w:val="00481DA1"/>
    <w:rsid w:val="00483A2B"/>
    <w:rsid w:val="00484212"/>
    <w:rsid w:val="00484BA9"/>
    <w:rsid w:val="0048599A"/>
    <w:rsid w:val="00486818"/>
    <w:rsid w:val="004914AF"/>
    <w:rsid w:val="0049255F"/>
    <w:rsid w:val="0049445D"/>
    <w:rsid w:val="00495350"/>
    <w:rsid w:val="00495E3C"/>
    <w:rsid w:val="00497156"/>
    <w:rsid w:val="004A0C79"/>
    <w:rsid w:val="004A24D2"/>
    <w:rsid w:val="004A3214"/>
    <w:rsid w:val="004A4136"/>
    <w:rsid w:val="004A417B"/>
    <w:rsid w:val="004A4378"/>
    <w:rsid w:val="004A6C20"/>
    <w:rsid w:val="004A712D"/>
    <w:rsid w:val="004B03F3"/>
    <w:rsid w:val="004B0CC9"/>
    <w:rsid w:val="004B2536"/>
    <w:rsid w:val="004B46D7"/>
    <w:rsid w:val="004B6AF3"/>
    <w:rsid w:val="004B715E"/>
    <w:rsid w:val="004B7169"/>
    <w:rsid w:val="004B79C9"/>
    <w:rsid w:val="004C00DD"/>
    <w:rsid w:val="004C03AD"/>
    <w:rsid w:val="004C05CF"/>
    <w:rsid w:val="004C0776"/>
    <w:rsid w:val="004C1EF8"/>
    <w:rsid w:val="004C2063"/>
    <w:rsid w:val="004C24C5"/>
    <w:rsid w:val="004C47D5"/>
    <w:rsid w:val="004C4CAF"/>
    <w:rsid w:val="004C5CC6"/>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5AEF"/>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049"/>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A7EA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544"/>
    <w:rsid w:val="00612FB0"/>
    <w:rsid w:val="0061356D"/>
    <w:rsid w:val="00613E26"/>
    <w:rsid w:val="00615641"/>
    <w:rsid w:val="00616959"/>
    <w:rsid w:val="00616D40"/>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176"/>
    <w:rsid w:val="006573F2"/>
    <w:rsid w:val="00660EE3"/>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169B"/>
    <w:rsid w:val="006B31E6"/>
    <w:rsid w:val="006B3923"/>
    <w:rsid w:val="006B3F3E"/>
    <w:rsid w:val="006B4AA2"/>
    <w:rsid w:val="006B4F45"/>
    <w:rsid w:val="006B53C4"/>
    <w:rsid w:val="006B586B"/>
    <w:rsid w:val="006B5923"/>
    <w:rsid w:val="006B67D9"/>
    <w:rsid w:val="006B6C14"/>
    <w:rsid w:val="006B715E"/>
    <w:rsid w:val="006C1D6E"/>
    <w:rsid w:val="006C2EF6"/>
    <w:rsid w:val="006C3A68"/>
    <w:rsid w:val="006C3B08"/>
    <w:rsid w:val="006C5A0E"/>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38D7"/>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6F25"/>
    <w:rsid w:val="00707ECE"/>
    <w:rsid w:val="00710CE8"/>
    <w:rsid w:val="00711350"/>
    <w:rsid w:val="007116BC"/>
    <w:rsid w:val="00711961"/>
    <w:rsid w:val="00711CA6"/>
    <w:rsid w:val="00714528"/>
    <w:rsid w:val="007165CE"/>
    <w:rsid w:val="00717CEB"/>
    <w:rsid w:val="0072035D"/>
    <w:rsid w:val="00720968"/>
    <w:rsid w:val="00721705"/>
    <w:rsid w:val="00721B7A"/>
    <w:rsid w:val="00721D12"/>
    <w:rsid w:val="00721F8B"/>
    <w:rsid w:val="007237CE"/>
    <w:rsid w:val="00724688"/>
    <w:rsid w:val="0072586B"/>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7588D"/>
    <w:rsid w:val="00776CF3"/>
    <w:rsid w:val="00780378"/>
    <w:rsid w:val="0078085E"/>
    <w:rsid w:val="00781BD4"/>
    <w:rsid w:val="00782562"/>
    <w:rsid w:val="007828B4"/>
    <w:rsid w:val="0078411A"/>
    <w:rsid w:val="00784832"/>
    <w:rsid w:val="00784EA0"/>
    <w:rsid w:val="00785729"/>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026"/>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D6F4C"/>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2ED1"/>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1BF"/>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454"/>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4901"/>
    <w:rsid w:val="008902BE"/>
    <w:rsid w:val="0089038F"/>
    <w:rsid w:val="00890CDA"/>
    <w:rsid w:val="00891BBA"/>
    <w:rsid w:val="00892079"/>
    <w:rsid w:val="00892B90"/>
    <w:rsid w:val="00896535"/>
    <w:rsid w:val="00896683"/>
    <w:rsid w:val="00896E71"/>
    <w:rsid w:val="0089750B"/>
    <w:rsid w:val="0089751F"/>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33B0"/>
    <w:rsid w:val="008D5104"/>
    <w:rsid w:val="008D75F4"/>
    <w:rsid w:val="008D795D"/>
    <w:rsid w:val="008D7B07"/>
    <w:rsid w:val="008E0D8F"/>
    <w:rsid w:val="008E0F4E"/>
    <w:rsid w:val="008E1E94"/>
    <w:rsid w:val="008E2D99"/>
    <w:rsid w:val="008E30D4"/>
    <w:rsid w:val="008E38B0"/>
    <w:rsid w:val="008E44C1"/>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2AA4"/>
    <w:rsid w:val="00923B25"/>
    <w:rsid w:val="0092402E"/>
    <w:rsid w:val="009259BA"/>
    <w:rsid w:val="00926FCB"/>
    <w:rsid w:val="009303BB"/>
    <w:rsid w:val="0093108A"/>
    <w:rsid w:val="0093311A"/>
    <w:rsid w:val="009346D0"/>
    <w:rsid w:val="009419B4"/>
    <w:rsid w:val="00941A4C"/>
    <w:rsid w:val="00942645"/>
    <w:rsid w:val="009461E6"/>
    <w:rsid w:val="00950A3A"/>
    <w:rsid w:val="009512E2"/>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4592"/>
    <w:rsid w:val="009672CD"/>
    <w:rsid w:val="00971463"/>
    <w:rsid w:val="00972996"/>
    <w:rsid w:val="009732B8"/>
    <w:rsid w:val="00974647"/>
    <w:rsid w:val="0097514A"/>
    <w:rsid w:val="009759C2"/>
    <w:rsid w:val="00975C72"/>
    <w:rsid w:val="00976869"/>
    <w:rsid w:val="00976BF7"/>
    <w:rsid w:val="00977740"/>
    <w:rsid w:val="00977CB4"/>
    <w:rsid w:val="009809B8"/>
    <w:rsid w:val="00981086"/>
    <w:rsid w:val="009818AF"/>
    <w:rsid w:val="00981B1C"/>
    <w:rsid w:val="0098222D"/>
    <w:rsid w:val="00985099"/>
    <w:rsid w:val="00985C2B"/>
    <w:rsid w:val="00985D32"/>
    <w:rsid w:val="00986514"/>
    <w:rsid w:val="00986FCC"/>
    <w:rsid w:val="009935C3"/>
    <w:rsid w:val="00993A1E"/>
    <w:rsid w:val="0099421F"/>
    <w:rsid w:val="00994FC8"/>
    <w:rsid w:val="00997324"/>
    <w:rsid w:val="009A0DE3"/>
    <w:rsid w:val="009A1643"/>
    <w:rsid w:val="009A215A"/>
    <w:rsid w:val="009A33BB"/>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301"/>
    <w:rsid w:val="009D056C"/>
    <w:rsid w:val="009D060F"/>
    <w:rsid w:val="009D1ADE"/>
    <w:rsid w:val="009D2123"/>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AD"/>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4D92"/>
    <w:rsid w:val="00A35E8E"/>
    <w:rsid w:val="00A40FFB"/>
    <w:rsid w:val="00A41468"/>
    <w:rsid w:val="00A414A9"/>
    <w:rsid w:val="00A44141"/>
    <w:rsid w:val="00A44CCA"/>
    <w:rsid w:val="00A44D75"/>
    <w:rsid w:val="00A46494"/>
    <w:rsid w:val="00A47CF1"/>
    <w:rsid w:val="00A50418"/>
    <w:rsid w:val="00A54A47"/>
    <w:rsid w:val="00A56D26"/>
    <w:rsid w:val="00A571A7"/>
    <w:rsid w:val="00A5749A"/>
    <w:rsid w:val="00A57BA8"/>
    <w:rsid w:val="00A608FB"/>
    <w:rsid w:val="00A60D83"/>
    <w:rsid w:val="00A60F68"/>
    <w:rsid w:val="00A61CBB"/>
    <w:rsid w:val="00A6282C"/>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77D30"/>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0FA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35E"/>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470D1"/>
    <w:rsid w:val="00B50227"/>
    <w:rsid w:val="00B5045F"/>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57BB"/>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1E4"/>
    <w:rsid w:val="00B955D5"/>
    <w:rsid w:val="00B95833"/>
    <w:rsid w:val="00BA0222"/>
    <w:rsid w:val="00BA1824"/>
    <w:rsid w:val="00BA2155"/>
    <w:rsid w:val="00BA2D98"/>
    <w:rsid w:val="00BA2F0C"/>
    <w:rsid w:val="00BA30D1"/>
    <w:rsid w:val="00BA30E1"/>
    <w:rsid w:val="00BA4609"/>
    <w:rsid w:val="00BA5BE2"/>
    <w:rsid w:val="00BA7F46"/>
    <w:rsid w:val="00BB0A0A"/>
    <w:rsid w:val="00BB133C"/>
    <w:rsid w:val="00BB1F04"/>
    <w:rsid w:val="00BB25D1"/>
    <w:rsid w:val="00BB3117"/>
    <w:rsid w:val="00BB45B5"/>
    <w:rsid w:val="00BB4DDE"/>
    <w:rsid w:val="00BB6064"/>
    <w:rsid w:val="00BB65CE"/>
    <w:rsid w:val="00BB7012"/>
    <w:rsid w:val="00BC09D1"/>
    <w:rsid w:val="00BC1500"/>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D58"/>
    <w:rsid w:val="00C22F3A"/>
    <w:rsid w:val="00C23311"/>
    <w:rsid w:val="00C24AD9"/>
    <w:rsid w:val="00C2577D"/>
    <w:rsid w:val="00C25978"/>
    <w:rsid w:val="00C261C6"/>
    <w:rsid w:val="00C26621"/>
    <w:rsid w:val="00C26E7C"/>
    <w:rsid w:val="00C276CD"/>
    <w:rsid w:val="00C27827"/>
    <w:rsid w:val="00C30A97"/>
    <w:rsid w:val="00C31DDC"/>
    <w:rsid w:val="00C3223A"/>
    <w:rsid w:val="00C33753"/>
    <w:rsid w:val="00C34168"/>
    <w:rsid w:val="00C34326"/>
    <w:rsid w:val="00C34CEB"/>
    <w:rsid w:val="00C36201"/>
    <w:rsid w:val="00C368E8"/>
    <w:rsid w:val="00C36C3D"/>
    <w:rsid w:val="00C372C7"/>
    <w:rsid w:val="00C40AC9"/>
    <w:rsid w:val="00C42443"/>
    <w:rsid w:val="00C42B5F"/>
    <w:rsid w:val="00C42CBA"/>
    <w:rsid w:val="00C4338C"/>
    <w:rsid w:val="00C43AFB"/>
    <w:rsid w:val="00C43C2B"/>
    <w:rsid w:val="00C4523A"/>
    <w:rsid w:val="00C45B27"/>
    <w:rsid w:val="00C472C7"/>
    <w:rsid w:val="00C5019E"/>
    <w:rsid w:val="00C51962"/>
    <w:rsid w:val="00C52F2E"/>
    <w:rsid w:val="00C5377C"/>
    <w:rsid w:val="00C53E8A"/>
    <w:rsid w:val="00C54DF3"/>
    <w:rsid w:val="00C560A7"/>
    <w:rsid w:val="00C56B6F"/>
    <w:rsid w:val="00C56FC8"/>
    <w:rsid w:val="00C60F23"/>
    <w:rsid w:val="00C6170B"/>
    <w:rsid w:val="00C62EB2"/>
    <w:rsid w:val="00C64821"/>
    <w:rsid w:val="00C64C87"/>
    <w:rsid w:val="00C665FE"/>
    <w:rsid w:val="00C66700"/>
    <w:rsid w:val="00C71BEC"/>
    <w:rsid w:val="00C71D36"/>
    <w:rsid w:val="00C74D3A"/>
    <w:rsid w:val="00C75F3D"/>
    <w:rsid w:val="00C80511"/>
    <w:rsid w:val="00C81D14"/>
    <w:rsid w:val="00C826F5"/>
    <w:rsid w:val="00C83740"/>
    <w:rsid w:val="00C84AD1"/>
    <w:rsid w:val="00C85579"/>
    <w:rsid w:val="00C862F1"/>
    <w:rsid w:val="00C863E5"/>
    <w:rsid w:val="00C87BE6"/>
    <w:rsid w:val="00C87F76"/>
    <w:rsid w:val="00C931FC"/>
    <w:rsid w:val="00C932C5"/>
    <w:rsid w:val="00C94C1F"/>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E8D"/>
    <w:rsid w:val="00CB7FF7"/>
    <w:rsid w:val="00CC0D0E"/>
    <w:rsid w:val="00CC1253"/>
    <w:rsid w:val="00CC19B3"/>
    <w:rsid w:val="00CC2044"/>
    <w:rsid w:val="00CC39D2"/>
    <w:rsid w:val="00CC69EC"/>
    <w:rsid w:val="00CC78A2"/>
    <w:rsid w:val="00CC7DF8"/>
    <w:rsid w:val="00CD15BE"/>
    <w:rsid w:val="00CD1EF2"/>
    <w:rsid w:val="00CD2835"/>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902"/>
    <w:rsid w:val="00D20AC0"/>
    <w:rsid w:val="00D21272"/>
    <w:rsid w:val="00D2221E"/>
    <w:rsid w:val="00D2321B"/>
    <w:rsid w:val="00D23350"/>
    <w:rsid w:val="00D237E7"/>
    <w:rsid w:val="00D23DE4"/>
    <w:rsid w:val="00D25A5C"/>
    <w:rsid w:val="00D26873"/>
    <w:rsid w:val="00D31671"/>
    <w:rsid w:val="00D31683"/>
    <w:rsid w:val="00D336C8"/>
    <w:rsid w:val="00D339E8"/>
    <w:rsid w:val="00D3654A"/>
    <w:rsid w:val="00D3662E"/>
    <w:rsid w:val="00D40B1F"/>
    <w:rsid w:val="00D40D75"/>
    <w:rsid w:val="00D43978"/>
    <w:rsid w:val="00D43CBD"/>
    <w:rsid w:val="00D44981"/>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2C9"/>
    <w:rsid w:val="00D67FD7"/>
    <w:rsid w:val="00D72410"/>
    <w:rsid w:val="00D73D53"/>
    <w:rsid w:val="00D73F54"/>
    <w:rsid w:val="00D7408A"/>
    <w:rsid w:val="00D74261"/>
    <w:rsid w:val="00D7441B"/>
    <w:rsid w:val="00D75589"/>
    <w:rsid w:val="00D76AB2"/>
    <w:rsid w:val="00D80490"/>
    <w:rsid w:val="00D829AD"/>
    <w:rsid w:val="00D82EE2"/>
    <w:rsid w:val="00D83D1B"/>
    <w:rsid w:val="00D84133"/>
    <w:rsid w:val="00D843AB"/>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81A"/>
    <w:rsid w:val="00DB2AAD"/>
    <w:rsid w:val="00DB44E2"/>
    <w:rsid w:val="00DB4A6D"/>
    <w:rsid w:val="00DB5941"/>
    <w:rsid w:val="00DB626D"/>
    <w:rsid w:val="00DB6365"/>
    <w:rsid w:val="00DC07B7"/>
    <w:rsid w:val="00DC0BF1"/>
    <w:rsid w:val="00DC17F2"/>
    <w:rsid w:val="00DC41C3"/>
    <w:rsid w:val="00DC442E"/>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59A"/>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09D8"/>
    <w:rsid w:val="00E31414"/>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31B"/>
    <w:rsid w:val="00E57703"/>
    <w:rsid w:val="00E57ED4"/>
    <w:rsid w:val="00E57FED"/>
    <w:rsid w:val="00E6092F"/>
    <w:rsid w:val="00E62049"/>
    <w:rsid w:val="00E629DA"/>
    <w:rsid w:val="00E64374"/>
    <w:rsid w:val="00E6469F"/>
    <w:rsid w:val="00E65D39"/>
    <w:rsid w:val="00E670F8"/>
    <w:rsid w:val="00E6741B"/>
    <w:rsid w:val="00E67FAC"/>
    <w:rsid w:val="00E71CCE"/>
    <w:rsid w:val="00E7200B"/>
    <w:rsid w:val="00E738CB"/>
    <w:rsid w:val="00E73C88"/>
    <w:rsid w:val="00E74325"/>
    <w:rsid w:val="00E743FF"/>
    <w:rsid w:val="00E74437"/>
    <w:rsid w:val="00E7443D"/>
    <w:rsid w:val="00E74CE9"/>
    <w:rsid w:val="00E75ACE"/>
    <w:rsid w:val="00E76E6E"/>
    <w:rsid w:val="00E771AF"/>
    <w:rsid w:val="00E80386"/>
    <w:rsid w:val="00E809C3"/>
    <w:rsid w:val="00E81A1A"/>
    <w:rsid w:val="00E81C3E"/>
    <w:rsid w:val="00E82359"/>
    <w:rsid w:val="00E82B6D"/>
    <w:rsid w:val="00E83187"/>
    <w:rsid w:val="00E831E9"/>
    <w:rsid w:val="00E8608F"/>
    <w:rsid w:val="00E86C1D"/>
    <w:rsid w:val="00E9231A"/>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3B6E"/>
    <w:rsid w:val="00EC50C9"/>
    <w:rsid w:val="00EC58B4"/>
    <w:rsid w:val="00EC5BB2"/>
    <w:rsid w:val="00EC6A84"/>
    <w:rsid w:val="00ED12F0"/>
    <w:rsid w:val="00ED290C"/>
    <w:rsid w:val="00ED2A6C"/>
    <w:rsid w:val="00ED4773"/>
    <w:rsid w:val="00ED5284"/>
    <w:rsid w:val="00ED664B"/>
    <w:rsid w:val="00ED6A61"/>
    <w:rsid w:val="00ED6DD8"/>
    <w:rsid w:val="00ED7DA4"/>
    <w:rsid w:val="00EE03BB"/>
    <w:rsid w:val="00EE0552"/>
    <w:rsid w:val="00EE0B44"/>
    <w:rsid w:val="00EE125D"/>
    <w:rsid w:val="00EE23DE"/>
    <w:rsid w:val="00EE48BB"/>
    <w:rsid w:val="00EE6FE0"/>
    <w:rsid w:val="00EE704A"/>
    <w:rsid w:val="00EE72C5"/>
    <w:rsid w:val="00EE7840"/>
    <w:rsid w:val="00EF2E75"/>
    <w:rsid w:val="00EF4C74"/>
    <w:rsid w:val="00EF5268"/>
    <w:rsid w:val="00EF608E"/>
    <w:rsid w:val="00EF6C4A"/>
    <w:rsid w:val="00F0044B"/>
    <w:rsid w:val="00F03525"/>
    <w:rsid w:val="00F03BCD"/>
    <w:rsid w:val="00F0424D"/>
    <w:rsid w:val="00F04957"/>
    <w:rsid w:val="00F05807"/>
    <w:rsid w:val="00F060BA"/>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693"/>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1D3"/>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785"/>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434"/>
    <w:rsid w:val="00FD14B8"/>
    <w:rsid w:val="00FD1D5A"/>
    <w:rsid w:val="00FD5059"/>
    <w:rsid w:val="00FD554D"/>
    <w:rsid w:val="00FD5BCC"/>
    <w:rsid w:val="00FD7B23"/>
    <w:rsid w:val="00FE2A48"/>
    <w:rsid w:val="00FE5D0A"/>
    <w:rsid w:val="00FE6469"/>
    <w:rsid w:val="00FF05D0"/>
    <w:rsid w:val="00FF06CE"/>
    <w:rsid w:val="00FF0FF7"/>
    <w:rsid w:val="00FF1022"/>
    <w:rsid w:val="00FF10A2"/>
    <w:rsid w:val="00FF12D8"/>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paragraph" w:styleId="Heading2">
    <w:name w:val="heading 2"/>
    <w:basedOn w:val="Normal"/>
    <w:link w:val="Heading2Char"/>
    <w:uiPriority w:val="9"/>
    <w:qFormat/>
    <w:rsid w:val="001E4BBC"/>
    <w:pPr>
      <w:spacing w:before="100" w:beforeAutospacing="1" w:after="100" w:afterAutospacing="1"/>
      <w:outlineLvl w:val="1"/>
    </w:pPr>
    <w:rPr>
      <w:rFonts w:ascii="Times New Roman" w:hAnsi="Times New Roman"/>
      <w:b/>
      <w:bCs/>
      <w:color w:val="auto"/>
      <w:sz w:val="36"/>
      <w:szCs w:val="36"/>
    </w:rPr>
  </w:style>
  <w:style w:type="paragraph" w:styleId="Heading3">
    <w:name w:val="heading 3"/>
    <w:basedOn w:val="Normal"/>
    <w:link w:val="Heading3Char"/>
    <w:uiPriority w:val="9"/>
    <w:qFormat/>
    <w:rsid w:val="001E4BBC"/>
    <w:pPr>
      <w:spacing w:before="100" w:beforeAutospacing="1" w:after="100" w:afterAutospacing="1"/>
      <w:outlineLvl w:val="2"/>
    </w:pPr>
    <w:rPr>
      <w:rFonts w:ascii="Times New Roman" w:hAnsi="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97324"/>
    <w:pPr>
      <w:autoSpaceDE w:val="0"/>
      <w:autoSpaceDN w:val="0"/>
      <w:adjustRightInd w:val="0"/>
    </w:pPr>
    <w:rPr>
      <w:rFonts w:ascii="Times New Roman" w:hAnsi="Times New Roman"/>
      <w:color w:val="000000"/>
      <w:szCs w:val="24"/>
    </w:rPr>
  </w:style>
  <w:style w:type="character" w:customStyle="1" w:styleId="Heading2Char">
    <w:name w:val="Heading 2 Char"/>
    <w:basedOn w:val="DefaultParagraphFont"/>
    <w:link w:val="Heading2"/>
    <w:uiPriority w:val="9"/>
    <w:rsid w:val="001E4BBC"/>
    <w:rPr>
      <w:rFonts w:ascii="Times New Roman" w:hAnsi="Times New Roman"/>
      <w:b/>
      <w:bCs/>
      <w:sz w:val="36"/>
      <w:szCs w:val="36"/>
    </w:rPr>
  </w:style>
  <w:style w:type="character" w:customStyle="1" w:styleId="Heading3Char">
    <w:name w:val="Heading 3 Char"/>
    <w:basedOn w:val="DefaultParagraphFont"/>
    <w:link w:val="Heading3"/>
    <w:uiPriority w:val="9"/>
    <w:rsid w:val="001E4BBC"/>
    <w:rPr>
      <w:rFonts w:ascii="Times New Roman" w:hAnsi="Times New Roman"/>
      <w:b/>
      <w:bCs/>
      <w:sz w:val="27"/>
      <w:szCs w:val="27"/>
    </w:rPr>
  </w:style>
  <w:style w:type="paragraph" w:styleId="NormalWeb">
    <w:name w:val="Normal (Web)"/>
    <w:basedOn w:val="Normal"/>
    <w:uiPriority w:val="99"/>
    <w:unhideWhenUsed/>
    <w:rsid w:val="001E4BBC"/>
    <w:pPr>
      <w:spacing w:after="111"/>
    </w:pPr>
    <w:rPr>
      <w:rFonts w:ascii="Times New Roman" w:hAnsi="Times New Roman"/>
      <w:color w:val="auto"/>
      <w:szCs w:val="24"/>
    </w:rPr>
  </w:style>
  <w:style w:type="character" w:customStyle="1" w:styleId="HeaderChar">
    <w:name w:val="Header Char"/>
    <w:basedOn w:val="DefaultParagraphFont"/>
    <w:link w:val="Header"/>
    <w:rsid w:val="000A65F2"/>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785462968">
      <w:bodyDiv w:val="1"/>
      <w:marLeft w:val="0"/>
      <w:marRight w:val="0"/>
      <w:marTop w:val="0"/>
      <w:marBottom w:val="0"/>
      <w:divBdr>
        <w:top w:val="none" w:sz="0" w:space="0" w:color="auto"/>
        <w:left w:val="none" w:sz="0" w:space="0" w:color="auto"/>
        <w:bottom w:val="none" w:sz="0" w:space="0" w:color="auto"/>
        <w:right w:val="none" w:sz="0" w:space="0" w:color="auto"/>
      </w:divBdr>
      <w:divsChild>
        <w:div w:id="1092971540">
          <w:marLeft w:val="0"/>
          <w:marRight w:val="0"/>
          <w:marTop w:val="0"/>
          <w:marBottom w:val="0"/>
          <w:divBdr>
            <w:top w:val="none" w:sz="0" w:space="0" w:color="auto"/>
            <w:left w:val="none" w:sz="0" w:space="0" w:color="auto"/>
            <w:bottom w:val="none" w:sz="0" w:space="0" w:color="auto"/>
            <w:right w:val="none" w:sz="0" w:space="0" w:color="auto"/>
          </w:divBdr>
          <w:divsChild>
            <w:div w:id="377778092">
              <w:marLeft w:val="0"/>
              <w:marRight w:val="0"/>
              <w:marTop w:val="0"/>
              <w:marBottom w:val="0"/>
              <w:divBdr>
                <w:top w:val="none" w:sz="0" w:space="0" w:color="auto"/>
                <w:left w:val="none" w:sz="0" w:space="0" w:color="auto"/>
                <w:bottom w:val="none" w:sz="0" w:space="0" w:color="auto"/>
                <w:right w:val="none" w:sz="0" w:space="0" w:color="auto"/>
              </w:divBdr>
              <w:divsChild>
                <w:div w:id="909576857">
                  <w:marLeft w:val="0"/>
                  <w:marRight w:val="0"/>
                  <w:marTop w:val="0"/>
                  <w:marBottom w:val="0"/>
                  <w:divBdr>
                    <w:top w:val="none" w:sz="0" w:space="0" w:color="auto"/>
                    <w:left w:val="none" w:sz="0" w:space="0" w:color="auto"/>
                    <w:bottom w:val="none" w:sz="0" w:space="0" w:color="auto"/>
                    <w:right w:val="none" w:sz="0" w:space="0" w:color="auto"/>
                  </w:divBdr>
                  <w:divsChild>
                    <w:div w:id="1488128903">
                      <w:marLeft w:val="0"/>
                      <w:marRight w:val="0"/>
                      <w:marTop w:val="0"/>
                      <w:marBottom w:val="0"/>
                      <w:divBdr>
                        <w:top w:val="none" w:sz="0" w:space="0" w:color="auto"/>
                        <w:left w:val="none" w:sz="0" w:space="0" w:color="auto"/>
                        <w:bottom w:val="none" w:sz="0" w:space="0" w:color="auto"/>
                        <w:right w:val="none" w:sz="0" w:space="0" w:color="auto"/>
                      </w:divBdr>
                      <w:divsChild>
                        <w:div w:id="446705436">
                          <w:marLeft w:val="0"/>
                          <w:marRight w:val="0"/>
                          <w:marTop w:val="0"/>
                          <w:marBottom w:val="0"/>
                          <w:divBdr>
                            <w:top w:val="none" w:sz="0" w:space="0" w:color="auto"/>
                            <w:left w:val="none" w:sz="0" w:space="0" w:color="auto"/>
                            <w:bottom w:val="none" w:sz="0" w:space="0" w:color="auto"/>
                            <w:right w:val="none" w:sz="0" w:space="0" w:color="auto"/>
                          </w:divBdr>
                          <w:divsChild>
                            <w:div w:id="1801146384">
                              <w:marLeft w:val="0"/>
                              <w:marRight w:val="0"/>
                              <w:marTop w:val="0"/>
                              <w:marBottom w:val="0"/>
                              <w:divBdr>
                                <w:top w:val="none" w:sz="0" w:space="0" w:color="auto"/>
                                <w:left w:val="none" w:sz="0" w:space="0" w:color="auto"/>
                                <w:bottom w:val="none" w:sz="0" w:space="0" w:color="auto"/>
                                <w:right w:val="none" w:sz="0" w:space="0" w:color="auto"/>
                              </w:divBdr>
                              <w:divsChild>
                                <w:div w:id="337511090">
                                  <w:marLeft w:val="0"/>
                                  <w:marRight w:val="0"/>
                                  <w:marTop w:val="0"/>
                                  <w:marBottom w:val="0"/>
                                  <w:divBdr>
                                    <w:top w:val="none" w:sz="0" w:space="0" w:color="auto"/>
                                    <w:left w:val="none" w:sz="0" w:space="0" w:color="auto"/>
                                    <w:bottom w:val="none" w:sz="0" w:space="0" w:color="auto"/>
                                    <w:right w:val="none" w:sz="0" w:space="0" w:color="auto"/>
                                  </w:divBdr>
                                  <w:divsChild>
                                    <w:div w:id="2025741255">
                                      <w:marLeft w:val="0"/>
                                      <w:marRight w:val="0"/>
                                      <w:marTop w:val="0"/>
                                      <w:marBottom w:val="0"/>
                                      <w:divBdr>
                                        <w:top w:val="none" w:sz="0" w:space="0" w:color="auto"/>
                                        <w:left w:val="none" w:sz="0" w:space="0" w:color="auto"/>
                                        <w:bottom w:val="none" w:sz="0" w:space="0" w:color="auto"/>
                                        <w:right w:val="none" w:sz="0" w:space="0" w:color="auto"/>
                                      </w:divBdr>
                                    </w:div>
                                    <w:div w:id="1376658448">
                                      <w:marLeft w:val="0"/>
                                      <w:marRight w:val="0"/>
                                      <w:marTop w:val="0"/>
                                      <w:marBottom w:val="0"/>
                                      <w:divBdr>
                                        <w:top w:val="none" w:sz="0" w:space="0" w:color="auto"/>
                                        <w:left w:val="none" w:sz="0" w:space="0" w:color="auto"/>
                                        <w:bottom w:val="none" w:sz="0" w:space="0" w:color="auto"/>
                                        <w:right w:val="none" w:sz="0" w:space="0" w:color="auto"/>
                                      </w:divBdr>
                                      <w:divsChild>
                                        <w:div w:id="20765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467">
                                  <w:marLeft w:val="0"/>
                                  <w:marRight w:val="0"/>
                                  <w:marTop w:val="0"/>
                                  <w:marBottom w:val="0"/>
                                  <w:divBdr>
                                    <w:top w:val="none" w:sz="0" w:space="0" w:color="auto"/>
                                    <w:left w:val="none" w:sz="0" w:space="0" w:color="auto"/>
                                    <w:bottom w:val="none" w:sz="0" w:space="0" w:color="auto"/>
                                    <w:right w:val="none" w:sz="0" w:space="0" w:color="auto"/>
                                  </w:divBdr>
                                  <w:divsChild>
                                    <w:div w:id="1693413034">
                                      <w:marLeft w:val="0"/>
                                      <w:marRight w:val="0"/>
                                      <w:marTop w:val="0"/>
                                      <w:marBottom w:val="0"/>
                                      <w:divBdr>
                                        <w:top w:val="none" w:sz="0" w:space="0" w:color="auto"/>
                                        <w:left w:val="none" w:sz="0" w:space="0" w:color="auto"/>
                                        <w:bottom w:val="none" w:sz="0" w:space="0" w:color="auto"/>
                                        <w:right w:val="none" w:sz="0" w:space="0" w:color="auto"/>
                                      </w:divBdr>
                                    </w:div>
                                    <w:div w:id="2116903701">
                                      <w:marLeft w:val="0"/>
                                      <w:marRight w:val="0"/>
                                      <w:marTop w:val="0"/>
                                      <w:marBottom w:val="0"/>
                                      <w:divBdr>
                                        <w:top w:val="none" w:sz="0" w:space="0" w:color="auto"/>
                                        <w:left w:val="none" w:sz="0" w:space="0" w:color="auto"/>
                                        <w:bottom w:val="none" w:sz="0" w:space="0" w:color="auto"/>
                                        <w:right w:val="none" w:sz="0" w:space="0" w:color="auto"/>
                                      </w:divBdr>
                                      <w:divsChild>
                                        <w:div w:id="191841319">
                                          <w:marLeft w:val="0"/>
                                          <w:marRight w:val="0"/>
                                          <w:marTop w:val="0"/>
                                          <w:marBottom w:val="0"/>
                                          <w:divBdr>
                                            <w:top w:val="none" w:sz="0" w:space="0" w:color="auto"/>
                                            <w:left w:val="none" w:sz="0" w:space="0" w:color="auto"/>
                                            <w:bottom w:val="none" w:sz="0" w:space="0" w:color="auto"/>
                                            <w:right w:val="none" w:sz="0" w:space="0" w:color="auto"/>
                                          </w:divBdr>
                                        </w:div>
                                        <w:div w:id="5640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6957">
                                  <w:marLeft w:val="0"/>
                                  <w:marRight w:val="0"/>
                                  <w:marTop w:val="0"/>
                                  <w:marBottom w:val="0"/>
                                  <w:divBdr>
                                    <w:top w:val="none" w:sz="0" w:space="0" w:color="auto"/>
                                    <w:left w:val="none" w:sz="0" w:space="0" w:color="auto"/>
                                    <w:bottom w:val="none" w:sz="0" w:space="0" w:color="auto"/>
                                    <w:right w:val="none" w:sz="0" w:space="0" w:color="auto"/>
                                  </w:divBdr>
                                  <w:divsChild>
                                    <w:div w:id="126051674">
                                      <w:marLeft w:val="0"/>
                                      <w:marRight w:val="0"/>
                                      <w:marTop w:val="0"/>
                                      <w:marBottom w:val="0"/>
                                      <w:divBdr>
                                        <w:top w:val="none" w:sz="0" w:space="0" w:color="auto"/>
                                        <w:left w:val="none" w:sz="0" w:space="0" w:color="auto"/>
                                        <w:bottom w:val="none" w:sz="0" w:space="0" w:color="auto"/>
                                        <w:right w:val="none" w:sz="0" w:space="0" w:color="auto"/>
                                      </w:divBdr>
                                    </w:div>
                                    <w:div w:id="1929386402">
                                      <w:marLeft w:val="0"/>
                                      <w:marRight w:val="0"/>
                                      <w:marTop w:val="0"/>
                                      <w:marBottom w:val="0"/>
                                      <w:divBdr>
                                        <w:top w:val="none" w:sz="0" w:space="0" w:color="auto"/>
                                        <w:left w:val="none" w:sz="0" w:space="0" w:color="auto"/>
                                        <w:bottom w:val="none" w:sz="0" w:space="0" w:color="auto"/>
                                        <w:right w:val="none" w:sz="0" w:space="0" w:color="auto"/>
                                      </w:divBdr>
                                      <w:divsChild>
                                        <w:div w:id="1426800477">
                                          <w:marLeft w:val="0"/>
                                          <w:marRight w:val="0"/>
                                          <w:marTop w:val="0"/>
                                          <w:marBottom w:val="0"/>
                                          <w:divBdr>
                                            <w:top w:val="none" w:sz="0" w:space="0" w:color="auto"/>
                                            <w:left w:val="none" w:sz="0" w:space="0" w:color="auto"/>
                                            <w:bottom w:val="none" w:sz="0" w:space="0" w:color="auto"/>
                                            <w:right w:val="none" w:sz="0" w:space="0" w:color="auto"/>
                                          </w:divBdr>
                                        </w:div>
                                        <w:div w:id="1592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9424">
                                  <w:marLeft w:val="0"/>
                                  <w:marRight w:val="0"/>
                                  <w:marTop w:val="0"/>
                                  <w:marBottom w:val="0"/>
                                  <w:divBdr>
                                    <w:top w:val="none" w:sz="0" w:space="0" w:color="auto"/>
                                    <w:left w:val="none" w:sz="0" w:space="0" w:color="auto"/>
                                    <w:bottom w:val="none" w:sz="0" w:space="0" w:color="auto"/>
                                    <w:right w:val="none" w:sz="0" w:space="0" w:color="auto"/>
                                  </w:divBdr>
                                  <w:divsChild>
                                    <w:div w:id="47923631">
                                      <w:marLeft w:val="0"/>
                                      <w:marRight w:val="0"/>
                                      <w:marTop w:val="0"/>
                                      <w:marBottom w:val="0"/>
                                      <w:divBdr>
                                        <w:top w:val="none" w:sz="0" w:space="0" w:color="auto"/>
                                        <w:left w:val="none" w:sz="0" w:space="0" w:color="auto"/>
                                        <w:bottom w:val="none" w:sz="0" w:space="0" w:color="auto"/>
                                        <w:right w:val="none" w:sz="0" w:space="0" w:color="auto"/>
                                      </w:divBdr>
                                    </w:div>
                                    <w:div w:id="586547631">
                                      <w:marLeft w:val="0"/>
                                      <w:marRight w:val="0"/>
                                      <w:marTop w:val="0"/>
                                      <w:marBottom w:val="0"/>
                                      <w:divBdr>
                                        <w:top w:val="none" w:sz="0" w:space="0" w:color="auto"/>
                                        <w:left w:val="none" w:sz="0" w:space="0" w:color="auto"/>
                                        <w:bottom w:val="none" w:sz="0" w:space="0" w:color="auto"/>
                                        <w:right w:val="none" w:sz="0" w:space="0" w:color="auto"/>
                                      </w:divBdr>
                                      <w:divsChild>
                                        <w:div w:id="1682900858">
                                          <w:marLeft w:val="0"/>
                                          <w:marRight w:val="0"/>
                                          <w:marTop w:val="0"/>
                                          <w:marBottom w:val="0"/>
                                          <w:divBdr>
                                            <w:top w:val="none" w:sz="0" w:space="0" w:color="auto"/>
                                            <w:left w:val="none" w:sz="0" w:space="0" w:color="auto"/>
                                            <w:bottom w:val="none" w:sz="0" w:space="0" w:color="auto"/>
                                            <w:right w:val="none" w:sz="0" w:space="0" w:color="auto"/>
                                          </w:divBdr>
                                        </w:div>
                                        <w:div w:id="13134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50059">
                                  <w:marLeft w:val="0"/>
                                  <w:marRight w:val="0"/>
                                  <w:marTop w:val="0"/>
                                  <w:marBottom w:val="0"/>
                                  <w:divBdr>
                                    <w:top w:val="none" w:sz="0" w:space="0" w:color="auto"/>
                                    <w:left w:val="none" w:sz="0" w:space="0" w:color="auto"/>
                                    <w:bottom w:val="none" w:sz="0" w:space="0" w:color="auto"/>
                                    <w:right w:val="none" w:sz="0" w:space="0" w:color="auto"/>
                                  </w:divBdr>
                                  <w:divsChild>
                                    <w:div w:id="2072459608">
                                      <w:marLeft w:val="0"/>
                                      <w:marRight w:val="0"/>
                                      <w:marTop w:val="0"/>
                                      <w:marBottom w:val="0"/>
                                      <w:divBdr>
                                        <w:top w:val="none" w:sz="0" w:space="0" w:color="auto"/>
                                        <w:left w:val="none" w:sz="0" w:space="0" w:color="auto"/>
                                        <w:bottom w:val="none" w:sz="0" w:space="0" w:color="auto"/>
                                        <w:right w:val="none" w:sz="0" w:space="0" w:color="auto"/>
                                      </w:divBdr>
                                    </w:div>
                                    <w:div w:id="1172184242">
                                      <w:marLeft w:val="0"/>
                                      <w:marRight w:val="0"/>
                                      <w:marTop w:val="0"/>
                                      <w:marBottom w:val="0"/>
                                      <w:divBdr>
                                        <w:top w:val="none" w:sz="0" w:space="0" w:color="auto"/>
                                        <w:left w:val="none" w:sz="0" w:space="0" w:color="auto"/>
                                        <w:bottom w:val="none" w:sz="0" w:space="0" w:color="auto"/>
                                        <w:right w:val="none" w:sz="0" w:space="0" w:color="auto"/>
                                      </w:divBdr>
                                      <w:divsChild>
                                        <w:div w:id="1975477044">
                                          <w:marLeft w:val="0"/>
                                          <w:marRight w:val="0"/>
                                          <w:marTop w:val="0"/>
                                          <w:marBottom w:val="0"/>
                                          <w:divBdr>
                                            <w:top w:val="none" w:sz="0" w:space="0" w:color="auto"/>
                                            <w:left w:val="none" w:sz="0" w:space="0" w:color="auto"/>
                                            <w:bottom w:val="none" w:sz="0" w:space="0" w:color="auto"/>
                                            <w:right w:val="none" w:sz="0" w:space="0" w:color="auto"/>
                                          </w:divBdr>
                                        </w:div>
                                        <w:div w:id="16824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0129">
                                  <w:marLeft w:val="0"/>
                                  <w:marRight w:val="0"/>
                                  <w:marTop w:val="0"/>
                                  <w:marBottom w:val="0"/>
                                  <w:divBdr>
                                    <w:top w:val="none" w:sz="0" w:space="0" w:color="auto"/>
                                    <w:left w:val="none" w:sz="0" w:space="0" w:color="auto"/>
                                    <w:bottom w:val="none" w:sz="0" w:space="0" w:color="auto"/>
                                    <w:right w:val="none" w:sz="0" w:space="0" w:color="auto"/>
                                  </w:divBdr>
                                  <w:divsChild>
                                    <w:div w:id="1993676024">
                                      <w:marLeft w:val="0"/>
                                      <w:marRight w:val="0"/>
                                      <w:marTop w:val="0"/>
                                      <w:marBottom w:val="0"/>
                                      <w:divBdr>
                                        <w:top w:val="none" w:sz="0" w:space="0" w:color="auto"/>
                                        <w:left w:val="none" w:sz="0" w:space="0" w:color="auto"/>
                                        <w:bottom w:val="none" w:sz="0" w:space="0" w:color="auto"/>
                                        <w:right w:val="none" w:sz="0" w:space="0" w:color="auto"/>
                                      </w:divBdr>
                                      <w:divsChild>
                                        <w:div w:id="811757388">
                                          <w:marLeft w:val="0"/>
                                          <w:marRight w:val="0"/>
                                          <w:marTop w:val="0"/>
                                          <w:marBottom w:val="0"/>
                                          <w:divBdr>
                                            <w:top w:val="none" w:sz="0" w:space="0" w:color="auto"/>
                                            <w:left w:val="none" w:sz="0" w:space="0" w:color="auto"/>
                                            <w:bottom w:val="none" w:sz="0" w:space="0" w:color="auto"/>
                                            <w:right w:val="none" w:sz="0" w:space="0" w:color="auto"/>
                                          </w:divBdr>
                                        </w:div>
                                        <w:div w:id="1704863867">
                                          <w:marLeft w:val="0"/>
                                          <w:marRight w:val="0"/>
                                          <w:marTop w:val="0"/>
                                          <w:marBottom w:val="0"/>
                                          <w:divBdr>
                                            <w:top w:val="none" w:sz="0" w:space="0" w:color="auto"/>
                                            <w:left w:val="none" w:sz="0" w:space="0" w:color="auto"/>
                                            <w:bottom w:val="none" w:sz="0" w:space="0" w:color="auto"/>
                                            <w:right w:val="none" w:sz="0" w:space="0" w:color="auto"/>
                                          </w:divBdr>
                                        </w:div>
                                        <w:div w:id="144246108">
                                          <w:marLeft w:val="0"/>
                                          <w:marRight w:val="0"/>
                                          <w:marTop w:val="0"/>
                                          <w:marBottom w:val="0"/>
                                          <w:divBdr>
                                            <w:top w:val="none" w:sz="0" w:space="0" w:color="auto"/>
                                            <w:left w:val="none" w:sz="0" w:space="0" w:color="auto"/>
                                            <w:bottom w:val="none" w:sz="0" w:space="0" w:color="auto"/>
                                            <w:right w:val="none" w:sz="0" w:space="0" w:color="auto"/>
                                          </w:divBdr>
                                        </w:div>
                                        <w:div w:id="838156592">
                                          <w:marLeft w:val="0"/>
                                          <w:marRight w:val="0"/>
                                          <w:marTop w:val="0"/>
                                          <w:marBottom w:val="0"/>
                                          <w:divBdr>
                                            <w:top w:val="none" w:sz="0" w:space="0" w:color="auto"/>
                                            <w:left w:val="none" w:sz="0" w:space="0" w:color="auto"/>
                                            <w:bottom w:val="none" w:sz="0" w:space="0" w:color="auto"/>
                                            <w:right w:val="none" w:sz="0" w:space="0" w:color="auto"/>
                                          </w:divBdr>
                                        </w:div>
                                      </w:divsChild>
                                    </w:div>
                                    <w:div w:id="863055772">
                                      <w:marLeft w:val="0"/>
                                      <w:marRight w:val="0"/>
                                      <w:marTop w:val="0"/>
                                      <w:marBottom w:val="0"/>
                                      <w:divBdr>
                                        <w:top w:val="none" w:sz="0" w:space="0" w:color="auto"/>
                                        <w:left w:val="none" w:sz="0" w:space="0" w:color="auto"/>
                                        <w:bottom w:val="none" w:sz="0" w:space="0" w:color="auto"/>
                                        <w:right w:val="none" w:sz="0" w:space="0" w:color="auto"/>
                                      </w:divBdr>
                                      <w:divsChild>
                                        <w:div w:id="188153957">
                                          <w:marLeft w:val="0"/>
                                          <w:marRight w:val="0"/>
                                          <w:marTop w:val="0"/>
                                          <w:marBottom w:val="0"/>
                                          <w:divBdr>
                                            <w:top w:val="none" w:sz="0" w:space="0" w:color="auto"/>
                                            <w:left w:val="none" w:sz="0" w:space="0" w:color="auto"/>
                                            <w:bottom w:val="none" w:sz="0" w:space="0" w:color="auto"/>
                                            <w:right w:val="none" w:sz="0" w:space="0" w:color="auto"/>
                                          </w:divBdr>
                                        </w:div>
                                        <w:div w:id="5656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8275">
                                  <w:marLeft w:val="0"/>
                                  <w:marRight w:val="0"/>
                                  <w:marTop w:val="0"/>
                                  <w:marBottom w:val="0"/>
                                  <w:divBdr>
                                    <w:top w:val="none" w:sz="0" w:space="0" w:color="auto"/>
                                    <w:left w:val="none" w:sz="0" w:space="0" w:color="auto"/>
                                    <w:bottom w:val="none" w:sz="0" w:space="0" w:color="auto"/>
                                    <w:right w:val="none" w:sz="0" w:space="0" w:color="auto"/>
                                  </w:divBdr>
                                  <w:divsChild>
                                    <w:div w:id="899940394">
                                      <w:marLeft w:val="0"/>
                                      <w:marRight w:val="0"/>
                                      <w:marTop w:val="0"/>
                                      <w:marBottom w:val="0"/>
                                      <w:divBdr>
                                        <w:top w:val="none" w:sz="0" w:space="0" w:color="auto"/>
                                        <w:left w:val="none" w:sz="0" w:space="0" w:color="auto"/>
                                        <w:bottom w:val="none" w:sz="0" w:space="0" w:color="auto"/>
                                        <w:right w:val="none" w:sz="0" w:space="0" w:color="auto"/>
                                      </w:divBdr>
                                    </w:div>
                                    <w:div w:id="635598292">
                                      <w:marLeft w:val="0"/>
                                      <w:marRight w:val="0"/>
                                      <w:marTop w:val="0"/>
                                      <w:marBottom w:val="0"/>
                                      <w:divBdr>
                                        <w:top w:val="none" w:sz="0" w:space="0" w:color="auto"/>
                                        <w:left w:val="none" w:sz="0" w:space="0" w:color="auto"/>
                                        <w:bottom w:val="none" w:sz="0" w:space="0" w:color="auto"/>
                                        <w:right w:val="none" w:sz="0" w:space="0" w:color="auto"/>
                                      </w:divBdr>
                                      <w:divsChild>
                                        <w:div w:id="1696689933">
                                          <w:marLeft w:val="0"/>
                                          <w:marRight w:val="0"/>
                                          <w:marTop w:val="0"/>
                                          <w:marBottom w:val="0"/>
                                          <w:divBdr>
                                            <w:top w:val="none" w:sz="0" w:space="0" w:color="auto"/>
                                            <w:left w:val="none" w:sz="0" w:space="0" w:color="auto"/>
                                            <w:bottom w:val="none" w:sz="0" w:space="0" w:color="auto"/>
                                            <w:right w:val="none" w:sz="0" w:space="0" w:color="auto"/>
                                          </w:divBdr>
                                        </w:div>
                                        <w:div w:id="16450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4708">
                                  <w:marLeft w:val="0"/>
                                  <w:marRight w:val="0"/>
                                  <w:marTop w:val="0"/>
                                  <w:marBottom w:val="0"/>
                                  <w:divBdr>
                                    <w:top w:val="none" w:sz="0" w:space="0" w:color="auto"/>
                                    <w:left w:val="none" w:sz="0" w:space="0" w:color="auto"/>
                                    <w:bottom w:val="none" w:sz="0" w:space="0" w:color="auto"/>
                                    <w:right w:val="none" w:sz="0" w:space="0" w:color="auto"/>
                                  </w:divBdr>
                                  <w:divsChild>
                                    <w:div w:id="963660559">
                                      <w:marLeft w:val="0"/>
                                      <w:marRight w:val="0"/>
                                      <w:marTop w:val="0"/>
                                      <w:marBottom w:val="0"/>
                                      <w:divBdr>
                                        <w:top w:val="none" w:sz="0" w:space="0" w:color="auto"/>
                                        <w:left w:val="none" w:sz="0" w:space="0" w:color="auto"/>
                                        <w:bottom w:val="none" w:sz="0" w:space="0" w:color="auto"/>
                                        <w:right w:val="none" w:sz="0" w:space="0" w:color="auto"/>
                                      </w:divBdr>
                                    </w:div>
                                    <w:div w:id="1189563946">
                                      <w:marLeft w:val="0"/>
                                      <w:marRight w:val="0"/>
                                      <w:marTop w:val="0"/>
                                      <w:marBottom w:val="0"/>
                                      <w:divBdr>
                                        <w:top w:val="none" w:sz="0" w:space="0" w:color="auto"/>
                                        <w:left w:val="none" w:sz="0" w:space="0" w:color="auto"/>
                                        <w:bottom w:val="none" w:sz="0" w:space="0" w:color="auto"/>
                                        <w:right w:val="none" w:sz="0" w:space="0" w:color="auto"/>
                                      </w:divBdr>
                                      <w:divsChild>
                                        <w:div w:id="625233283">
                                          <w:marLeft w:val="0"/>
                                          <w:marRight w:val="0"/>
                                          <w:marTop w:val="0"/>
                                          <w:marBottom w:val="0"/>
                                          <w:divBdr>
                                            <w:top w:val="none" w:sz="0" w:space="0" w:color="auto"/>
                                            <w:left w:val="none" w:sz="0" w:space="0" w:color="auto"/>
                                            <w:bottom w:val="none" w:sz="0" w:space="0" w:color="auto"/>
                                            <w:right w:val="none" w:sz="0" w:space="0" w:color="auto"/>
                                          </w:divBdr>
                                        </w:div>
                                        <w:div w:id="8426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2560">
                                  <w:marLeft w:val="0"/>
                                  <w:marRight w:val="0"/>
                                  <w:marTop w:val="0"/>
                                  <w:marBottom w:val="0"/>
                                  <w:divBdr>
                                    <w:top w:val="none" w:sz="0" w:space="0" w:color="auto"/>
                                    <w:left w:val="none" w:sz="0" w:space="0" w:color="auto"/>
                                    <w:bottom w:val="none" w:sz="0" w:space="0" w:color="auto"/>
                                    <w:right w:val="none" w:sz="0" w:space="0" w:color="auto"/>
                                  </w:divBdr>
                                  <w:divsChild>
                                    <w:div w:id="1724207581">
                                      <w:marLeft w:val="0"/>
                                      <w:marRight w:val="0"/>
                                      <w:marTop w:val="0"/>
                                      <w:marBottom w:val="0"/>
                                      <w:divBdr>
                                        <w:top w:val="none" w:sz="0" w:space="0" w:color="auto"/>
                                        <w:left w:val="none" w:sz="0" w:space="0" w:color="auto"/>
                                        <w:bottom w:val="none" w:sz="0" w:space="0" w:color="auto"/>
                                        <w:right w:val="none" w:sz="0" w:space="0" w:color="auto"/>
                                      </w:divBdr>
                                    </w:div>
                                    <w:div w:id="795565920">
                                      <w:marLeft w:val="0"/>
                                      <w:marRight w:val="0"/>
                                      <w:marTop w:val="0"/>
                                      <w:marBottom w:val="0"/>
                                      <w:divBdr>
                                        <w:top w:val="none" w:sz="0" w:space="0" w:color="auto"/>
                                        <w:left w:val="none" w:sz="0" w:space="0" w:color="auto"/>
                                        <w:bottom w:val="none" w:sz="0" w:space="0" w:color="auto"/>
                                        <w:right w:val="none" w:sz="0" w:space="0" w:color="auto"/>
                                      </w:divBdr>
                                      <w:divsChild>
                                        <w:div w:id="9156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583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771D-5554-4868-B91B-880BE37A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2011-06-16T19:29:00Z</cp:lastPrinted>
  <dcterms:created xsi:type="dcterms:W3CDTF">2012-03-07T19:17:00Z</dcterms:created>
  <dcterms:modified xsi:type="dcterms:W3CDTF">2012-03-07T19:17:00Z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