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452D7">
      <w:pPr>
        <w:tabs>
          <w:tab w:val="left" w:pos="288"/>
          <w:tab w:val="left" w:pos="4752"/>
        </w:tabs>
        <w:spacing w:line="240" w:lineRule="exact"/>
        <w:jc w:val="both"/>
        <w:rPr>
          <w:rFonts w:asciiTheme="minorHAnsi" w:hAnsiTheme="minorHAnsi"/>
          <w:caps/>
          <w:color w:val="auto"/>
        </w:rPr>
      </w:pPr>
    </w:p>
    <w:p w:rsidR="00F629C0" w:rsidRPr="00FD6C41" w:rsidRDefault="00F629C0" w:rsidP="00F629C0">
      <w:pPr>
        <w:tabs>
          <w:tab w:val="left" w:pos="288"/>
          <w:tab w:val="left" w:pos="4752"/>
          <w:tab w:val="left" w:pos="531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C115C1">
        <w:rPr>
          <w:rFonts w:asciiTheme="minorHAnsi" w:hAnsiTheme="minorHAnsi"/>
          <w:caps/>
          <w:color w:val="auto"/>
        </w:rPr>
        <w:t>XXXX</w:t>
      </w:r>
      <w:r w:rsidRPr="00FD6C41">
        <w:rPr>
          <w:rFonts w:asciiTheme="minorHAnsi" w:hAnsiTheme="minorHAnsi"/>
          <w:caps/>
          <w:color w:val="auto"/>
        </w:rPr>
        <w:tab/>
      </w:r>
      <w:r w:rsidRPr="00FD6C41">
        <w:rPr>
          <w:rFonts w:asciiTheme="minorHAnsi" w:hAnsiTheme="minorHAnsi"/>
          <w:caps/>
          <w:color w:val="auto"/>
        </w:rPr>
        <w:tab/>
      </w:r>
      <w:r w:rsidR="003818B7">
        <w:rPr>
          <w:rFonts w:asciiTheme="minorHAnsi" w:hAnsiTheme="minorHAnsi"/>
          <w:caps/>
          <w:color w:val="auto"/>
        </w:rPr>
        <w:t xml:space="preserve">      </w:t>
      </w:r>
      <w:r w:rsidRPr="00FD6C41">
        <w:rPr>
          <w:rFonts w:asciiTheme="minorHAnsi" w:hAnsiTheme="minorHAnsi"/>
          <w:caps/>
          <w:color w:val="auto"/>
        </w:rPr>
        <w:t xml:space="preserve">BRANCH OF SERVICE: </w:t>
      </w:r>
      <w:r>
        <w:rPr>
          <w:rFonts w:asciiTheme="minorHAnsi" w:hAnsiTheme="minorHAnsi"/>
          <w:caps/>
          <w:color w:val="auto"/>
        </w:rPr>
        <w:t xml:space="preserve"> </w:t>
      </w:r>
      <w:r w:rsidR="00C947E7">
        <w:rPr>
          <w:rFonts w:asciiTheme="minorHAnsi" w:hAnsiTheme="minorHAnsi"/>
          <w:caps/>
          <w:color w:val="auto"/>
        </w:rPr>
        <w:t>marine CORPS</w:t>
      </w:r>
    </w:p>
    <w:p w:rsidR="00F629C0" w:rsidRPr="003818B7" w:rsidRDefault="00F629C0" w:rsidP="00F629C0">
      <w:pPr>
        <w:tabs>
          <w:tab w:val="left" w:pos="288"/>
          <w:tab w:val="left" w:pos="4752"/>
          <w:tab w:val="left" w:pos="5310"/>
        </w:tabs>
        <w:spacing w:line="240" w:lineRule="exact"/>
        <w:ind w:right="-900"/>
        <w:jc w:val="both"/>
        <w:rPr>
          <w:rFonts w:asciiTheme="minorHAnsi" w:hAnsiTheme="minorHAnsi"/>
          <w:caps/>
          <w:color w:val="auto"/>
        </w:rPr>
      </w:pPr>
      <w:r w:rsidRPr="003818B7">
        <w:rPr>
          <w:rFonts w:asciiTheme="minorHAnsi" w:hAnsiTheme="minorHAnsi"/>
          <w:caps/>
          <w:color w:val="auto"/>
        </w:rPr>
        <w:t>CASE NUMBER:  PD</w:t>
      </w:r>
      <w:r w:rsidR="006A2A05" w:rsidRPr="003818B7">
        <w:rPr>
          <w:rFonts w:asciiTheme="minorHAnsi" w:hAnsiTheme="minorHAnsi"/>
          <w:caps/>
          <w:color w:val="auto"/>
        </w:rPr>
        <w:t>200900688</w:t>
      </w:r>
      <w:r w:rsidR="006A2A05" w:rsidRPr="003818B7">
        <w:rPr>
          <w:rFonts w:asciiTheme="minorHAnsi" w:hAnsiTheme="minorHAnsi"/>
          <w:caps/>
          <w:color w:val="auto"/>
        </w:rPr>
        <w:tab/>
      </w:r>
      <w:r w:rsidRPr="003818B7">
        <w:rPr>
          <w:rFonts w:asciiTheme="minorHAnsi" w:hAnsiTheme="minorHAnsi"/>
          <w:caps/>
          <w:color w:val="auto"/>
        </w:rPr>
        <w:tab/>
      </w:r>
      <w:r w:rsidR="00AB57EC">
        <w:rPr>
          <w:rFonts w:asciiTheme="minorHAnsi" w:hAnsiTheme="minorHAnsi"/>
          <w:caps/>
          <w:color w:val="auto"/>
        </w:rPr>
        <w:t xml:space="preserve">      </w:t>
      </w:r>
      <w:r w:rsidRPr="003818B7">
        <w:rPr>
          <w:rFonts w:asciiTheme="minorHAnsi" w:hAnsiTheme="minorHAnsi"/>
          <w:caps/>
          <w:color w:val="auto"/>
        </w:rPr>
        <w:t>SEPARATION DATE:  200</w:t>
      </w:r>
      <w:r w:rsidR="006A2A05" w:rsidRPr="003818B7">
        <w:rPr>
          <w:rFonts w:asciiTheme="minorHAnsi" w:hAnsiTheme="minorHAnsi"/>
          <w:caps/>
          <w:color w:val="auto"/>
        </w:rPr>
        <w:t>60615</w:t>
      </w:r>
    </w:p>
    <w:p w:rsidR="00950B16" w:rsidRPr="003818B7" w:rsidRDefault="00F629C0" w:rsidP="00F629C0">
      <w:pPr>
        <w:tabs>
          <w:tab w:val="left" w:pos="288"/>
          <w:tab w:val="left" w:pos="5310"/>
        </w:tabs>
        <w:spacing w:line="240" w:lineRule="exact"/>
        <w:jc w:val="both"/>
        <w:rPr>
          <w:rFonts w:asciiTheme="minorHAnsi" w:hAnsiTheme="minorHAnsi"/>
          <w:caps/>
          <w:color w:val="auto"/>
        </w:rPr>
      </w:pPr>
      <w:r w:rsidRPr="003818B7">
        <w:rPr>
          <w:rFonts w:asciiTheme="minorHAnsi" w:hAnsiTheme="minorHAnsi"/>
          <w:caps/>
          <w:color w:val="auto"/>
        </w:rPr>
        <w:t xml:space="preserve">BOARD DATE:  </w:t>
      </w:r>
      <w:r w:rsidR="00C947E7" w:rsidRPr="003818B7">
        <w:rPr>
          <w:rFonts w:asciiTheme="minorHAnsi" w:hAnsiTheme="minorHAnsi"/>
          <w:caps/>
          <w:color w:val="auto"/>
        </w:rPr>
        <w:t>20110421</w:t>
      </w:r>
      <w:r w:rsidRPr="003818B7">
        <w:rPr>
          <w:rFonts w:asciiTheme="minorHAnsi" w:hAnsiTheme="minorHAnsi"/>
          <w:caps/>
          <w:color w:val="auto"/>
        </w:rPr>
        <w:tab/>
      </w:r>
    </w:p>
    <w:p w:rsidR="00D560DC" w:rsidRPr="003818B7" w:rsidRDefault="00D560DC" w:rsidP="000452D7">
      <w:pPr>
        <w:tabs>
          <w:tab w:val="left" w:pos="288"/>
          <w:tab w:val="left" w:pos="4752"/>
        </w:tabs>
        <w:spacing w:line="240" w:lineRule="exact"/>
        <w:jc w:val="both"/>
        <w:rPr>
          <w:rFonts w:asciiTheme="minorHAnsi" w:hAnsiTheme="minorHAnsi"/>
          <w:b/>
          <w:caps/>
          <w:color w:val="auto"/>
          <w:u w:val="single"/>
        </w:rPr>
      </w:pPr>
      <w:r w:rsidRPr="003818B7">
        <w:rPr>
          <w:rFonts w:asciiTheme="minorHAnsi" w:hAnsiTheme="minorHAnsi"/>
          <w:b/>
          <w:color w:val="auto"/>
          <w:u w:val="single"/>
        </w:rPr>
        <w:t>______________________________________________________________________________</w:t>
      </w:r>
    </w:p>
    <w:p w:rsidR="00106AD8" w:rsidRPr="003818B7" w:rsidRDefault="00106AD8" w:rsidP="000452D7">
      <w:pPr>
        <w:tabs>
          <w:tab w:val="left" w:pos="288"/>
          <w:tab w:val="left" w:pos="4752"/>
        </w:tabs>
        <w:spacing w:line="240" w:lineRule="exact"/>
        <w:rPr>
          <w:b/>
          <w:color w:val="auto"/>
          <w:szCs w:val="24"/>
        </w:rPr>
      </w:pPr>
    </w:p>
    <w:p w:rsidR="002E290F" w:rsidRPr="003818B7" w:rsidRDefault="002C6E5B" w:rsidP="002E290F">
      <w:pPr>
        <w:tabs>
          <w:tab w:val="left" w:pos="288"/>
          <w:tab w:val="left" w:pos="4752"/>
        </w:tabs>
        <w:spacing w:line="240" w:lineRule="exact"/>
        <w:jc w:val="both"/>
        <w:rPr>
          <w:rFonts w:asciiTheme="minorHAnsi" w:hAnsiTheme="minorHAnsi"/>
          <w:color w:val="auto"/>
        </w:rPr>
      </w:pPr>
      <w:r w:rsidRPr="003818B7">
        <w:rPr>
          <w:rFonts w:asciiTheme="minorHAnsi" w:hAnsiTheme="minorHAnsi"/>
          <w:color w:val="auto"/>
          <w:u w:val="single"/>
        </w:rPr>
        <w:t>SUMMARY OF CASE</w:t>
      </w:r>
      <w:r w:rsidRPr="003818B7">
        <w:rPr>
          <w:rFonts w:asciiTheme="minorHAnsi" w:hAnsiTheme="minorHAnsi"/>
          <w:color w:val="auto"/>
        </w:rPr>
        <w:t xml:space="preserve">:  </w:t>
      </w:r>
      <w:r w:rsidR="009759C2" w:rsidRPr="003818B7">
        <w:rPr>
          <w:rFonts w:asciiTheme="minorHAnsi" w:hAnsiTheme="minorHAnsi"/>
          <w:color w:val="auto"/>
        </w:rPr>
        <w:t>Data extracted from the available evidence of record reflects that this covered individual (CI)</w:t>
      </w:r>
      <w:r w:rsidR="00570754" w:rsidRPr="003818B7">
        <w:rPr>
          <w:rFonts w:asciiTheme="minorHAnsi" w:hAnsiTheme="minorHAnsi"/>
          <w:color w:val="auto"/>
        </w:rPr>
        <w:t xml:space="preserve"> </w:t>
      </w:r>
      <w:r w:rsidRPr="003818B7">
        <w:rPr>
          <w:rFonts w:asciiTheme="minorHAnsi" w:hAnsiTheme="minorHAnsi"/>
          <w:color w:val="auto"/>
          <w:szCs w:val="24"/>
        </w:rPr>
        <w:t xml:space="preserve">was </w:t>
      </w:r>
      <w:r w:rsidR="00E322F7" w:rsidRPr="003818B7">
        <w:rPr>
          <w:rFonts w:asciiTheme="minorHAnsi" w:hAnsiTheme="minorHAnsi"/>
          <w:color w:val="auto"/>
          <w:szCs w:val="24"/>
        </w:rPr>
        <w:t>an active duty</w:t>
      </w:r>
      <w:r w:rsidR="006D4E0E" w:rsidRPr="003818B7">
        <w:rPr>
          <w:rFonts w:asciiTheme="minorHAnsi" w:hAnsiTheme="minorHAnsi"/>
          <w:color w:val="auto"/>
          <w:szCs w:val="24"/>
        </w:rPr>
        <w:t xml:space="preserve"> </w:t>
      </w:r>
      <w:r w:rsidR="006A2A05" w:rsidRPr="003818B7">
        <w:rPr>
          <w:rFonts w:asciiTheme="minorHAnsi" w:hAnsiTheme="minorHAnsi"/>
          <w:color w:val="auto"/>
          <w:szCs w:val="24"/>
        </w:rPr>
        <w:t>C</w:t>
      </w:r>
      <w:r w:rsidR="00F622F7" w:rsidRPr="003818B7">
        <w:rPr>
          <w:rFonts w:asciiTheme="minorHAnsi" w:hAnsiTheme="minorHAnsi"/>
          <w:color w:val="auto"/>
          <w:szCs w:val="24"/>
        </w:rPr>
        <w:t xml:space="preserve">pl </w:t>
      </w:r>
      <w:r w:rsidR="00705C40" w:rsidRPr="003818B7">
        <w:rPr>
          <w:rFonts w:asciiTheme="minorHAnsi" w:hAnsiTheme="minorHAnsi"/>
          <w:color w:val="auto"/>
          <w:szCs w:val="24"/>
        </w:rPr>
        <w:t>(</w:t>
      </w:r>
      <w:r w:rsidR="00A92718" w:rsidRPr="003818B7">
        <w:rPr>
          <w:rFonts w:asciiTheme="minorHAnsi" w:hAnsiTheme="minorHAnsi"/>
          <w:color w:val="auto"/>
          <w:szCs w:val="24"/>
        </w:rPr>
        <w:t>0311</w:t>
      </w:r>
      <w:r w:rsidR="00EA1BED" w:rsidRPr="003818B7">
        <w:rPr>
          <w:rFonts w:asciiTheme="minorHAnsi" w:hAnsiTheme="minorHAnsi"/>
          <w:color w:val="auto"/>
          <w:szCs w:val="24"/>
        </w:rPr>
        <w:t>/</w:t>
      </w:r>
      <w:r w:rsidR="00A92718" w:rsidRPr="003818B7">
        <w:rPr>
          <w:rFonts w:asciiTheme="minorHAnsi" w:hAnsiTheme="minorHAnsi"/>
          <w:color w:val="auto"/>
          <w:szCs w:val="24"/>
        </w:rPr>
        <w:t>8152</w:t>
      </w:r>
      <w:r w:rsidR="00855065">
        <w:rPr>
          <w:rFonts w:asciiTheme="minorHAnsi" w:hAnsiTheme="minorHAnsi"/>
          <w:color w:val="auto"/>
          <w:szCs w:val="24"/>
        </w:rPr>
        <w:t xml:space="preserve">, </w:t>
      </w:r>
      <w:r w:rsidR="00A92718" w:rsidRPr="003818B7">
        <w:rPr>
          <w:rFonts w:asciiTheme="minorHAnsi" w:hAnsiTheme="minorHAnsi"/>
          <w:color w:val="auto"/>
          <w:szCs w:val="24"/>
        </w:rPr>
        <w:t>Rifleman</w:t>
      </w:r>
      <w:r w:rsidR="00EA1BED" w:rsidRPr="003818B7">
        <w:rPr>
          <w:rFonts w:asciiTheme="minorHAnsi" w:hAnsiTheme="minorHAnsi"/>
          <w:color w:val="auto"/>
          <w:szCs w:val="24"/>
        </w:rPr>
        <w:t>/</w:t>
      </w:r>
      <w:r w:rsidR="00A92718" w:rsidRPr="003818B7">
        <w:rPr>
          <w:rFonts w:asciiTheme="minorHAnsi" w:hAnsiTheme="minorHAnsi"/>
          <w:color w:val="auto"/>
          <w:szCs w:val="24"/>
        </w:rPr>
        <w:t>Basic Security Guard)</w:t>
      </w:r>
      <w:r w:rsidR="00C75F3D" w:rsidRPr="003818B7">
        <w:rPr>
          <w:rFonts w:asciiTheme="minorHAnsi" w:hAnsiTheme="minorHAnsi"/>
          <w:color w:val="auto"/>
          <w:szCs w:val="24"/>
        </w:rPr>
        <w:t>,</w:t>
      </w:r>
      <w:r w:rsidR="00A92718" w:rsidRPr="003818B7">
        <w:rPr>
          <w:rFonts w:asciiTheme="minorHAnsi" w:hAnsiTheme="minorHAnsi"/>
          <w:color w:val="auto"/>
          <w:szCs w:val="24"/>
        </w:rPr>
        <w:t xml:space="preserve"> </w:t>
      </w:r>
      <w:r w:rsidRPr="003818B7">
        <w:rPr>
          <w:rFonts w:asciiTheme="minorHAnsi" w:hAnsiTheme="minorHAnsi"/>
          <w:color w:val="auto"/>
          <w:szCs w:val="24"/>
        </w:rPr>
        <w:t>medically</w:t>
      </w:r>
      <w:r w:rsidRPr="00AD7F8F">
        <w:rPr>
          <w:rFonts w:asciiTheme="minorHAnsi" w:hAnsiTheme="minorHAnsi"/>
          <w:color w:val="auto"/>
          <w:szCs w:val="24"/>
        </w:rPr>
        <w:t xml:space="preserve"> separated from the </w:t>
      </w:r>
      <w:r w:rsidR="00A92718">
        <w:rPr>
          <w:rFonts w:asciiTheme="minorHAnsi" w:hAnsiTheme="minorHAnsi"/>
          <w:color w:val="auto"/>
          <w:szCs w:val="24"/>
        </w:rPr>
        <w:t>Marine</w:t>
      </w:r>
      <w:r w:rsidR="00842473">
        <w:rPr>
          <w:rFonts w:asciiTheme="minorHAnsi" w:hAnsiTheme="minorHAnsi"/>
          <w:color w:val="auto"/>
          <w:szCs w:val="24"/>
        </w:rPr>
        <w:t xml:space="preserve"> Corp</w:t>
      </w:r>
      <w:r w:rsidR="00EA1BED">
        <w:rPr>
          <w:rFonts w:asciiTheme="minorHAnsi" w:hAnsiTheme="minorHAnsi"/>
          <w:color w:val="auto"/>
          <w:szCs w:val="24"/>
        </w:rPr>
        <w:t>s</w:t>
      </w:r>
      <w:r w:rsidRPr="00AD7F8F">
        <w:rPr>
          <w:rFonts w:asciiTheme="minorHAnsi" w:hAnsiTheme="minorHAnsi"/>
          <w:color w:val="auto"/>
          <w:szCs w:val="24"/>
        </w:rPr>
        <w:t xml:space="preserve"> in 200</w:t>
      </w:r>
      <w:r w:rsidR="00A92718">
        <w:rPr>
          <w:rFonts w:asciiTheme="minorHAnsi" w:hAnsiTheme="minorHAnsi"/>
          <w:color w:val="auto"/>
          <w:szCs w:val="24"/>
        </w:rPr>
        <w:t>6</w:t>
      </w:r>
      <w:r w:rsidR="00D55C71">
        <w:rPr>
          <w:rFonts w:asciiTheme="minorHAnsi" w:hAnsiTheme="minorHAnsi"/>
          <w:color w:val="auto"/>
          <w:szCs w:val="24"/>
        </w:rPr>
        <w:t xml:space="preserve"> after </w:t>
      </w:r>
      <w:r w:rsidR="004E1E85">
        <w:rPr>
          <w:rFonts w:asciiTheme="minorHAnsi" w:hAnsiTheme="minorHAnsi"/>
          <w:color w:val="auto"/>
          <w:szCs w:val="24"/>
        </w:rPr>
        <w:t xml:space="preserve">two </w:t>
      </w:r>
      <w:r w:rsidR="00D55C71">
        <w:rPr>
          <w:rFonts w:asciiTheme="minorHAnsi" w:hAnsiTheme="minorHAnsi"/>
          <w:color w:val="auto"/>
          <w:szCs w:val="24"/>
        </w:rPr>
        <w:t>years of active service.</w:t>
      </w:r>
      <w:r w:rsidR="00A92718">
        <w:rPr>
          <w:rFonts w:asciiTheme="minorHAnsi" w:hAnsiTheme="minorHAnsi"/>
          <w:color w:val="auto"/>
          <w:szCs w:val="24"/>
        </w:rPr>
        <w:t xml:space="preserve"> </w:t>
      </w:r>
      <w:r w:rsidR="004E1E85">
        <w:rPr>
          <w:rFonts w:asciiTheme="minorHAnsi" w:hAnsiTheme="minorHAnsi"/>
          <w:color w:val="auto"/>
          <w:szCs w:val="24"/>
        </w:rPr>
        <w:t xml:space="preserve"> </w:t>
      </w:r>
      <w:r w:rsidRPr="00AD7F8F">
        <w:rPr>
          <w:rFonts w:asciiTheme="minorHAnsi" w:hAnsiTheme="minorHAnsi"/>
          <w:color w:val="auto"/>
          <w:szCs w:val="24"/>
        </w:rPr>
        <w:t>The medical basis for the separation was</w:t>
      </w:r>
      <w:r w:rsidR="00A92718">
        <w:rPr>
          <w:rFonts w:asciiTheme="minorHAnsi" w:hAnsiTheme="minorHAnsi"/>
          <w:color w:val="auto"/>
          <w:szCs w:val="24"/>
        </w:rPr>
        <w:t xml:space="preserve"> </w:t>
      </w:r>
      <w:r w:rsidR="00F622F7">
        <w:rPr>
          <w:rFonts w:asciiTheme="minorHAnsi" w:hAnsiTheme="minorHAnsi"/>
          <w:color w:val="auto"/>
          <w:szCs w:val="24"/>
        </w:rPr>
        <w:t>b</w:t>
      </w:r>
      <w:r w:rsidR="00A92718">
        <w:rPr>
          <w:rFonts w:asciiTheme="minorHAnsi" w:hAnsiTheme="minorHAnsi"/>
          <w:color w:val="auto"/>
          <w:szCs w:val="24"/>
        </w:rPr>
        <w:t xml:space="preserve">ilateral </w:t>
      </w:r>
      <w:r w:rsidR="00F622F7">
        <w:rPr>
          <w:rFonts w:asciiTheme="minorHAnsi" w:hAnsiTheme="minorHAnsi"/>
          <w:color w:val="auto"/>
          <w:szCs w:val="24"/>
        </w:rPr>
        <w:t>s</w:t>
      </w:r>
      <w:r w:rsidR="00A92718">
        <w:rPr>
          <w:rFonts w:asciiTheme="minorHAnsi" w:hAnsiTheme="minorHAnsi"/>
          <w:color w:val="auto"/>
          <w:szCs w:val="24"/>
        </w:rPr>
        <w:t xml:space="preserve">ymmetric </w:t>
      </w:r>
      <w:r w:rsidR="00F622F7">
        <w:rPr>
          <w:rFonts w:asciiTheme="minorHAnsi" w:hAnsiTheme="minorHAnsi"/>
          <w:color w:val="auto"/>
          <w:szCs w:val="24"/>
        </w:rPr>
        <w:t>m</w:t>
      </w:r>
      <w:r w:rsidR="00A92718">
        <w:rPr>
          <w:rFonts w:asciiTheme="minorHAnsi" w:hAnsiTheme="minorHAnsi"/>
          <w:color w:val="auto"/>
          <w:szCs w:val="24"/>
        </w:rPr>
        <w:t xml:space="preserve">oderate </w:t>
      </w:r>
      <w:r w:rsidR="00F622F7">
        <w:rPr>
          <w:rFonts w:asciiTheme="minorHAnsi" w:hAnsiTheme="minorHAnsi"/>
          <w:color w:val="auto"/>
          <w:szCs w:val="24"/>
        </w:rPr>
        <w:t>m</w:t>
      </w:r>
      <w:r w:rsidR="00A92718">
        <w:rPr>
          <w:rFonts w:asciiTheme="minorHAnsi" w:hAnsiTheme="minorHAnsi"/>
          <w:color w:val="auto"/>
          <w:szCs w:val="24"/>
        </w:rPr>
        <w:t>id-</w:t>
      </w:r>
      <w:r w:rsidR="00F622F7">
        <w:rPr>
          <w:rFonts w:asciiTheme="minorHAnsi" w:hAnsiTheme="minorHAnsi"/>
          <w:color w:val="auto"/>
          <w:szCs w:val="24"/>
        </w:rPr>
        <w:t>f</w:t>
      </w:r>
      <w:r w:rsidR="00A92718">
        <w:rPr>
          <w:rFonts w:asciiTheme="minorHAnsi" w:hAnsiTheme="minorHAnsi"/>
          <w:color w:val="auto"/>
          <w:szCs w:val="24"/>
        </w:rPr>
        <w:t xml:space="preserve">requency </w:t>
      </w:r>
      <w:r w:rsidR="00F622F7">
        <w:rPr>
          <w:rFonts w:asciiTheme="minorHAnsi" w:hAnsiTheme="minorHAnsi"/>
          <w:color w:val="auto"/>
          <w:szCs w:val="24"/>
        </w:rPr>
        <w:t>s</w:t>
      </w:r>
      <w:r w:rsidR="00A92718">
        <w:rPr>
          <w:rFonts w:asciiTheme="minorHAnsi" w:hAnsiTheme="minorHAnsi"/>
          <w:color w:val="auto"/>
          <w:szCs w:val="24"/>
        </w:rPr>
        <w:t xml:space="preserve">ensorineural </w:t>
      </w:r>
      <w:r w:rsidR="00F622F7">
        <w:rPr>
          <w:rFonts w:asciiTheme="minorHAnsi" w:hAnsiTheme="minorHAnsi"/>
          <w:color w:val="auto"/>
          <w:szCs w:val="24"/>
        </w:rPr>
        <w:t>h</w:t>
      </w:r>
      <w:r w:rsidR="00A92718">
        <w:rPr>
          <w:rFonts w:asciiTheme="minorHAnsi" w:hAnsiTheme="minorHAnsi"/>
          <w:color w:val="auto"/>
          <w:szCs w:val="24"/>
        </w:rPr>
        <w:t xml:space="preserve">earing </w:t>
      </w:r>
      <w:r w:rsidR="00F622F7">
        <w:rPr>
          <w:rFonts w:asciiTheme="minorHAnsi" w:hAnsiTheme="minorHAnsi"/>
          <w:color w:val="auto"/>
          <w:szCs w:val="24"/>
        </w:rPr>
        <w:t>l</w:t>
      </w:r>
      <w:r w:rsidR="00A92718">
        <w:rPr>
          <w:rFonts w:asciiTheme="minorHAnsi" w:hAnsiTheme="minorHAnsi"/>
          <w:color w:val="auto"/>
          <w:szCs w:val="24"/>
        </w:rPr>
        <w:t>oss</w:t>
      </w:r>
      <w:r w:rsidR="00C75F3D" w:rsidRPr="00541AEC">
        <w:rPr>
          <w:rFonts w:asciiTheme="minorHAnsi" w:hAnsiTheme="minorHAnsi"/>
          <w:color w:val="auto"/>
          <w:szCs w:val="24"/>
        </w:rPr>
        <w:t>.</w:t>
      </w:r>
      <w:r w:rsidR="00541AEC">
        <w:rPr>
          <w:rFonts w:asciiTheme="minorHAnsi" w:hAnsiTheme="minorHAnsi"/>
          <w:color w:val="auto"/>
          <w:szCs w:val="24"/>
        </w:rPr>
        <w:t xml:space="preserve">  He was placed on limited duty and removed from exposure to hazardous noise. </w:t>
      </w:r>
      <w:r w:rsidR="004379DD">
        <w:rPr>
          <w:rFonts w:asciiTheme="minorHAnsi" w:hAnsiTheme="minorHAnsi"/>
          <w:color w:val="auto"/>
          <w:szCs w:val="24"/>
        </w:rPr>
        <w:t xml:space="preserve"> </w:t>
      </w:r>
      <w:r w:rsidR="00541AEC">
        <w:rPr>
          <w:rFonts w:asciiTheme="minorHAnsi" w:hAnsiTheme="minorHAnsi"/>
          <w:color w:val="auto"/>
          <w:szCs w:val="24"/>
        </w:rPr>
        <w:t xml:space="preserve">Although </w:t>
      </w:r>
      <w:r w:rsidR="00855065">
        <w:rPr>
          <w:rFonts w:asciiTheme="minorHAnsi" w:hAnsiTheme="minorHAnsi"/>
          <w:color w:val="auto"/>
          <w:szCs w:val="24"/>
        </w:rPr>
        <w:t>had</w:t>
      </w:r>
      <w:r w:rsidR="00541AEC">
        <w:rPr>
          <w:rFonts w:asciiTheme="minorHAnsi" w:hAnsiTheme="minorHAnsi"/>
          <w:color w:val="auto"/>
          <w:szCs w:val="24"/>
        </w:rPr>
        <w:t xml:space="preserve"> hearing loss stabilized, repeat</w:t>
      </w:r>
      <w:r w:rsidR="00855065">
        <w:rPr>
          <w:rFonts w:asciiTheme="minorHAnsi" w:hAnsiTheme="minorHAnsi"/>
          <w:color w:val="auto"/>
          <w:szCs w:val="24"/>
        </w:rPr>
        <w:t>ed</w:t>
      </w:r>
      <w:r w:rsidR="00541AEC">
        <w:rPr>
          <w:rFonts w:asciiTheme="minorHAnsi" w:hAnsiTheme="minorHAnsi"/>
          <w:color w:val="auto"/>
          <w:szCs w:val="24"/>
        </w:rPr>
        <w:t xml:space="preserve"> exposure to noisy military environments </w:t>
      </w:r>
      <w:r w:rsidR="00855065">
        <w:rPr>
          <w:rFonts w:asciiTheme="minorHAnsi" w:hAnsiTheme="minorHAnsi"/>
          <w:color w:val="auto"/>
          <w:szCs w:val="24"/>
        </w:rPr>
        <w:t>was believed to f</w:t>
      </w:r>
      <w:r w:rsidR="00541AEC">
        <w:rPr>
          <w:rFonts w:asciiTheme="minorHAnsi" w:hAnsiTheme="minorHAnsi"/>
          <w:color w:val="auto"/>
          <w:szCs w:val="24"/>
        </w:rPr>
        <w:t>urther aggravate his condition and he</w:t>
      </w:r>
      <w:r w:rsidR="00855065">
        <w:rPr>
          <w:rFonts w:asciiTheme="minorHAnsi" w:hAnsiTheme="minorHAnsi"/>
          <w:color w:val="auto"/>
          <w:szCs w:val="24"/>
        </w:rPr>
        <w:t xml:space="preserve"> therefore</w:t>
      </w:r>
      <w:r w:rsidR="00541AEC">
        <w:rPr>
          <w:rFonts w:asciiTheme="minorHAnsi" w:hAnsiTheme="minorHAnsi"/>
          <w:color w:val="auto"/>
          <w:szCs w:val="24"/>
        </w:rPr>
        <w:t xml:space="preserve"> u</w:t>
      </w:r>
      <w:r w:rsidR="005E40C7">
        <w:rPr>
          <w:rFonts w:asciiTheme="minorHAnsi" w:hAnsiTheme="minorHAnsi"/>
          <w:color w:val="auto"/>
          <w:szCs w:val="24"/>
        </w:rPr>
        <w:t xml:space="preserve">nderwent a Medical Evaluation Board (MEB).  Bilateral </w:t>
      </w:r>
      <w:r w:rsidR="00F622F7">
        <w:rPr>
          <w:rFonts w:asciiTheme="minorHAnsi" w:hAnsiTheme="minorHAnsi"/>
          <w:color w:val="auto"/>
          <w:szCs w:val="24"/>
        </w:rPr>
        <w:t>s</w:t>
      </w:r>
      <w:r w:rsidR="005E40C7">
        <w:rPr>
          <w:rFonts w:asciiTheme="minorHAnsi" w:hAnsiTheme="minorHAnsi"/>
          <w:color w:val="auto"/>
          <w:szCs w:val="24"/>
        </w:rPr>
        <w:t xml:space="preserve">ymmetric </w:t>
      </w:r>
      <w:r w:rsidR="00F622F7">
        <w:rPr>
          <w:rFonts w:asciiTheme="minorHAnsi" w:hAnsiTheme="minorHAnsi"/>
          <w:color w:val="auto"/>
          <w:szCs w:val="24"/>
        </w:rPr>
        <w:t>m</w:t>
      </w:r>
      <w:r w:rsidR="005E40C7">
        <w:rPr>
          <w:rFonts w:asciiTheme="minorHAnsi" w:hAnsiTheme="minorHAnsi"/>
          <w:color w:val="auto"/>
          <w:szCs w:val="24"/>
        </w:rPr>
        <w:t xml:space="preserve">oderate </w:t>
      </w:r>
      <w:r w:rsidR="00F622F7">
        <w:rPr>
          <w:rFonts w:asciiTheme="minorHAnsi" w:hAnsiTheme="minorHAnsi"/>
          <w:color w:val="auto"/>
          <w:szCs w:val="24"/>
        </w:rPr>
        <w:t>m</w:t>
      </w:r>
      <w:r w:rsidR="005E40C7">
        <w:rPr>
          <w:rFonts w:asciiTheme="minorHAnsi" w:hAnsiTheme="minorHAnsi"/>
          <w:color w:val="auto"/>
          <w:szCs w:val="24"/>
        </w:rPr>
        <w:t>id-</w:t>
      </w:r>
      <w:r w:rsidR="00F622F7">
        <w:rPr>
          <w:rFonts w:asciiTheme="minorHAnsi" w:hAnsiTheme="minorHAnsi"/>
          <w:color w:val="auto"/>
          <w:szCs w:val="24"/>
        </w:rPr>
        <w:t>f</w:t>
      </w:r>
      <w:r w:rsidR="005E40C7">
        <w:rPr>
          <w:rFonts w:asciiTheme="minorHAnsi" w:hAnsiTheme="minorHAnsi"/>
          <w:color w:val="auto"/>
          <w:szCs w:val="24"/>
        </w:rPr>
        <w:t xml:space="preserve">requency </w:t>
      </w:r>
      <w:r w:rsidR="00F622F7">
        <w:rPr>
          <w:rFonts w:asciiTheme="minorHAnsi" w:hAnsiTheme="minorHAnsi"/>
          <w:color w:val="auto"/>
          <w:szCs w:val="24"/>
        </w:rPr>
        <w:t>s</w:t>
      </w:r>
      <w:r w:rsidR="005E40C7">
        <w:rPr>
          <w:rFonts w:asciiTheme="minorHAnsi" w:hAnsiTheme="minorHAnsi"/>
          <w:color w:val="auto"/>
          <w:szCs w:val="24"/>
        </w:rPr>
        <w:t xml:space="preserve">ensorineural </w:t>
      </w:r>
      <w:r w:rsidR="00F622F7">
        <w:rPr>
          <w:rFonts w:asciiTheme="minorHAnsi" w:hAnsiTheme="minorHAnsi"/>
          <w:color w:val="auto"/>
          <w:szCs w:val="24"/>
        </w:rPr>
        <w:t>h</w:t>
      </w:r>
      <w:r w:rsidR="005E40C7">
        <w:rPr>
          <w:rFonts w:asciiTheme="minorHAnsi" w:hAnsiTheme="minorHAnsi"/>
          <w:color w:val="auto"/>
          <w:szCs w:val="24"/>
        </w:rPr>
        <w:t xml:space="preserve">earing </w:t>
      </w:r>
      <w:r w:rsidR="00F622F7">
        <w:rPr>
          <w:rFonts w:asciiTheme="minorHAnsi" w:hAnsiTheme="minorHAnsi"/>
          <w:color w:val="auto"/>
          <w:szCs w:val="24"/>
        </w:rPr>
        <w:t>l</w:t>
      </w:r>
      <w:r w:rsidR="005E40C7">
        <w:rPr>
          <w:rFonts w:asciiTheme="minorHAnsi" w:hAnsiTheme="minorHAnsi"/>
          <w:color w:val="auto"/>
          <w:szCs w:val="24"/>
        </w:rPr>
        <w:t>oss</w:t>
      </w:r>
      <w:r w:rsidR="005E40C7" w:rsidRPr="00C472C7">
        <w:rPr>
          <w:rFonts w:asciiTheme="minorHAnsi" w:hAnsiTheme="minorHAnsi"/>
          <w:color w:val="auto"/>
          <w:szCs w:val="24"/>
        </w:rPr>
        <w:t xml:space="preserve"> </w:t>
      </w:r>
      <w:r w:rsidR="005E40C7">
        <w:rPr>
          <w:rFonts w:asciiTheme="minorHAnsi" w:hAnsiTheme="minorHAnsi"/>
          <w:color w:val="auto"/>
          <w:szCs w:val="24"/>
        </w:rPr>
        <w:t>was</w:t>
      </w:r>
      <w:r w:rsidR="005E40C7" w:rsidRPr="00C472C7">
        <w:rPr>
          <w:rFonts w:asciiTheme="minorHAnsi" w:hAnsiTheme="minorHAnsi"/>
          <w:color w:val="auto"/>
          <w:szCs w:val="24"/>
        </w:rPr>
        <w:t xml:space="preserve"> forwarded to the Physical Evaluation Board (PEB) as medically unacceptable IAW SECNAVINST 1850.4E.</w:t>
      </w:r>
      <w:r w:rsidR="005E40C7">
        <w:rPr>
          <w:rFonts w:asciiTheme="minorHAnsi" w:hAnsiTheme="minorHAnsi"/>
          <w:color w:val="auto"/>
          <w:szCs w:val="24"/>
        </w:rPr>
        <w:t xml:space="preserve"> </w:t>
      </w:r>
      <w:r w:rsidR="00541AEC">
        <w:rPr>
          <w:rFonts w:asciiTheme="minorHAnsi" w:hAnsiTheme="minorHAnsi"/>
          <w:color w:val="auto"/>
          <w:szCs w:val="24"/>
        </w:rPr>
        <w:t xml:space="preserve"> </w:t>
      </w:r>
      <w:r w:rsidR="002E290F" w:rsidRPr="003818B7">
        <w:rPr>
          <w:rFonts w:asciiTheme="minorHAnsi" w:hAnsiTheme="minorHAnsi"/>
          <w:color w:val="auto"/>
          <w:szCs w:val="24"/>
        </w:rPr>
        <w:t xml:space="preserve">The PEB adjudicated the </w:t>
      </w:r>
      <w:r w:rsidR="00F622F7" w:rsidRPr="003818B7">
        <w:rPr>
          <w:rFonts w:asciiTheme="minorHAnsi" w:hAnsiTheme="minorHAnsi"/>
          <w:color w:val="auto"/>
          <w:szCs w:val="24"/>
        </w:rPr>
        <w:t>b</w:t>
      </w:r>
      <w:r w:rsidR="002E290F" w:rsidRPr="003818B7">
        <w:rPr>
          <w:rFonts w:asciiTheme="minorHAnsi" w:hAnsiTheme="minorHAnsi"/>
          <w:color w:val="auto"/>
          <w:szCs w:val="24"/>
        </w:rPr>
        <w:t xml:space="preserve">ilateral </w:t>
      </w:r>
      <w:r w:rsidR="00F622F7" w:rsidRPr="003818B7">
        <w:rPr>
          <w:rFonts w:asciiTheme="minorHAnsi" w:hAnsiTheme="minorHAnsi"/>
          <w:color w:val="auto"/>
          <w:szCs w:val="24"/>
        </w:rPr>
        <w:t>s</w:t>
      </w:r>
      <w:r w:rsidR="002E290F" w:rsidRPr="003818B7">
        <w:rPr>
          <w:rFonts w:asciiTheme="minorHAnsi" w:hAnsiTheme="minorHAnsi"/>
          <w:color w:val="auto"/>
          <w:szCs w:val="24"/>
        </w:rPr>
        <w:t xml:space="preserve">ymmetric </w:t>
      </w:r>
      <w:r w:rsidR="00F622F7" w:rsidRPr="003818B7">
        <w:rPr>
          <w:rFonts w:asciiTheme="minorHAnsi" w:hAnsiTheme="minorHAnsi"/>
          <w:color w:val="auto"/>
          <w:szCs w:val="24"/>
        </w:rPr>
        <w:t>m</w:t>
      </w:r>
      <w:r w:rsidR="002E290F" w:rsidRPr="003818B7">
        <w:rPr>
          <w:rFonts w:asciiTheme="minorHAnsi" w:hAnsiTheme="minorHAnsi"/>
          <w:color w:val="auto"/>
          <w:szCs w:val="24"/>
        </w:rPr>
        <w:t xml:space="preserve">oderate </w:t>
      </w:r>
      <w:r w:rsidR="00F622F7" w:rsidRPr="003818B7">
        <w:rPr>
          <w:rFonts w:asciiTheme="minorHAnsi" w:hAnsiTheme="minorHAnsi"/>
          <w:color w:val="auto"/>
          <w:szCs w:val="24"/>
        </w:rPr>
        <w:t>m</w:t>
      </w:r>
      <w:r w:rsidR="002E290F" w:rsidRPr="003818B7">
        <w:rPr>
          <w:rFonts w:asciiTheme="minorHAnsi" w:hAnsiTheme="minorHAnsi"/>
          <w:color w:val="auto"/>
          <w:szCs w:val="24"/>
        </w:rPr>
        <w:t>id-</w:t>
      </w:r>
      <w:r w:rsidR="00F622F7" w:rsidRPr="003818B7">
        <w:rPr>
          <w:rFonts w:asciiTheme="minorHAnsi" w:hAnsiTheme="minorHAnsi"/>
          <w:color w:val="auto"/>
          <w:szCs w:val="24"/>
        </w:rPr>
        <w:t>f</w:t>
      </w:r>
      <w:r w:rsidR="002E290F" w:rsidRPr="003818B7">
        <w:rPr>
          <w:rFonts w:asciiTheme="minorHAnsi" w:hAnsiTheme="minorHAnsi"/>
          <w:color w:val="auto"/>
          <w:szCs w:val="24"/>
        </w:rPr>
        <w:t xml:space="preserve">requency </w:t>
      </w:r>
      <w:r w:rsidR="00F622F7" w:rsidRPr="003818B7">
        <w:rPr>
          <w:rFonts w:asciiTheme="minorHAnsi" w:hAnsiTheme="minorHAnsi"/>
          <w:color w:val="auto"/>
          <w:szCs w:val="24"/>
        </w:rPr>
        <w:t>s</w:t>
      </w:r>
      <w:r w:rsidR="002E290F" w:rsidRPr="003818B7">
        <w:rPr>
          <w:rFonts w:asciiTheme="minorHAnsi" w:hAnsiTheme="minorHAnsi"/>
          <w:color w:val="auto"/>
          <w:szCs w:val="24"/>
        </w:rPr>
        <w:t xml:space="preserve">ensorineural </w:t>
      </w:r>
      <w:r w:rsidR="00F622F7" w:rsidRPr="003818B7">
        <w:rPr>
          <w:rFonts w:asciiTheme="minorHAnsi" w:hAnsiTheme="minorHAnsi"/>
          <w:color w:val="auto"/>
          <w:szCs w:val="24"/>
        </w:rPr>
        <w:t>h</w:t>
      </w:r>
      <w:r w:rsidR="002E290F" w:rsidRPr="003818B7">
        <w:rPr>
          <w:rFonts w:asciiTheme="minorHAnsi" w:hAnsiTheme="minorHAnsi"/>
          <w:color w:val="auto"/>
          <w:szCs w:val="24"/>
        </w:rPr>
        <w:t xml:space="preserve">earing </w:t>
      </w:r>
      <w:r w:rsidR="00F622F7" w:rsidRPr="003818B7">
        <w:rPr>
          <w:rFonts w:asciiTheme="minorHAnsi" w:hAnsiTheme="minorHAnsi"/>
          <w:color w:val="auto"/>
          <w:szCs w:val="24"/>
        </w:rPr>
        <w:t>l</w:t>
      </w:r>
      <w:r w:rsidR="002E290F" w:rsidRPr="003818B7">
        <w:rPr>
          <w:rFonts w:asciiTheme="minorHAnsi" w:hAnsiTheme="minorHAnsi"/>
          <w:color w:val="auto"/>
          <w:szCs w:val="24"/>
        </w:rPr>
        <w:t xml:space="preserve">oss condition unfitting, rated 0%; with application of the SECNAVINST 1850.4E.  </w:t>
      </w:r>
      <w:r w:rsidR="002E290F" w:rsidRPr="003818B7">
        <w:rPr>
          <w:rFonts w:asciiTheme="minorHAnsi" w:hAnsiTheme="minorHAnsi"/>
          <w:color w:val="auto"/>
        </w:rPr>
        <w:t>The CI made no appeals, and was medically separated with a 0% disability rating.</w:t>
      </w:r>
    </w:p>
    <w:p w:rsidR="00A83C15" w:rsidRPr="003818B7" w:rsidRDefault="00A83C15" w:rsidP="000452D7">
      <w:pPr>
        <w:tabs>
          <w:tab w:val="left" w:pos="288"/>
          <w:tab w:val="left" w:pos="4752"/>
        </w:tabs>
        <w:spacing w:line="240" w:lineRule="exact"/>
        <w:jc w:val="both"/>
        <w:rPr>
          <w:rFonts w:asciiTheme="minorHAnsi" w:hAnsiTheme="minorHAnsi"/>
          <w:b/>
          <w:caps/>
          <w:color w:val="auto"/>
          <w:u w:val="single"/>
        </w:rPr>
      </w:pPr>
      <w:r w:rsidRPr="003818B7">
        <w:rPr>
          <w:rFonts w:asciiTheme="minorHAnsi" w:hAnsiTheme="minorHAnsi"/>
          <w:b/>
          <w:color w:val="auto"/>
          <w:u w:val="single"/>
        </w:rPr>
        <w:t>______________________________________________________________________________</w:t>
      </w:r>
    </w:p>
    <w:p w:rsidR="00106AD8" w:rsidRPr="003818B7" w:rsidRDefault="00106AD8" w:rsidP="000452D7">
      <w:pPr>
        <w:tabs>
          <w:tab w:val="left" w:pos="288"/>
          <w:tab w:val="left" w:pos="4752"/>
        </w:tabs>
        <w:spacing w:line="240" w:lineRule="exact"/>
        <w:rPr>
          <w:b/>
          <w:color w:val="auto"/>
          <w:szCs w:val="24"/>
        </w:rPr>
      </w:pPr>
    </w:p>
    <w:p w:rsidR="006A2A05" w:rsidRPr="003818B7" w:rsidRDefault="002C6E5B" w:rsidP="006A2A05">
      <w:pPr>
        <w:tabs>
          <w:tab w:val="left" w:pos="288"/>
          <w:tab w:val="left" w:pos="4752"/>
        </w:tabs>
        <w:spacing w:line="240" w:lineRule="exact"/>
        <w:jc w:val="both"/>
        <w:rPr>
          <w:rFonts w:eastAsiaTheme="minorHAnsi" w:cstheme="minorBidi"/>
          <w:color w:val="auto"/>
          <w:szCs w:val="24"/>
        </w:rPr>
      </w:pPr>
      <w:r w:rsidRPr="003818B7">
        <w:rPr>
          <w:rFonts w:asciiTheme="minorHAnsi" w:hAnsiTheme="minorHAnsi"/>
          <w:color w:val="auto"/>
          <w:u w:val="single"/>
        </w:rPr>
        <w:t>CI CONTENTION</w:t>
      </w:r>
      <w:r w:rsidRPr="003818B7">
        <w:rPr>
          <w:rFonts w:asciiTheme="minorHAnsi" w:hAnsiTheme="minorHAnsi"/>
          <w:color w:val="auto"/>
        </w:rPr>
        <w:t xml:space="preserve">:  </w:t>
      </w:r>
      <w:r w:rsidR="006A2A05" w:rsidRPr="003818B7">
        <w:rPr>
          <w:rFonts w:asciiTheme="minorHAnsi" w:hAnsiTheme="minorHAnsi"/>
          <w:color w:val="auto"/>
        </w:rPr>
        <w:t>CI states</w:t>
      </w:r>
      <w:r w:rsidR="004E1E85">
        <w:rPr>
          <w:rFonts w:asciiTheme="minorHAnsi" w:hAnsiTheme="minorHAnsi"/>
          <w:color w:val="auto"/>
        </w:rPr>
        <w:t>,</w:t>
      </w:r>
      <w:r w:rsidR="006A2A05" w:rsidRPr="003818B7">
        <w:rPr>
          <w:rFonts w:asciiTheme="minorHAnsi" w:hAnsiTheme="minorHAnsi"/>
          <w:color w:val="auto"/>
        </w:rPr>
        <w:t xml:space="preserve"> “The hearing loss causes communication issues on my job and in my personal life.  Also the hearing loss has prevented me from obtaining employment and doesn’t allow for certain areas of employment relating to my military training and specialty</w:t>
      </w:r>
      <w:r w:rsidR="004E1E85">
        <w:rPr>
          <w:rFonts w:asciiTheme="minorHAnsi" w:hAnsiTheme="minorHAnsi"/>
          <w:color w:val="auto"/>
        </w:rPr>
        <w:t>.</w:t>
      </w:r>
      <w:r w:rsidR="006A2A05" w:rsidRPr="003818B7">
        <w:rPr>
          <w:rFonts w:asciiTheme="minorHAnsi" w:hAnsiTheme="minorHAnsi"/>
          <w:color w:val="auto"/>
        </w:rPr>
        <w:t>”</w:t>
      </w:r>
    </w:p>
    <w:p w:rsidR="00A83C15" w:rsidRPr="002A496D" w:rsidRDefault="00A83C15" w:rsidP="000452D7">
      <w:pPr>
        <w:tabs>
          <w:tab w:val="left" w:pos="288"/>
          <w:tab w:val="left" w:pos="4752"/>
        </w:tabs>
        <w:spacing w:line="240" w:lineRule="exact"/>
        <w:jc w:val="both"/>
        <w:rPr>
          <w:rFonts w:asciiTheme="minorHAnsi" w:hAnsiTheme="minorHAnsi"/>
          <w:b/>
          <w:caps/>
          <w:color w:val="auto"/>
          <w:u w:val="single"/>
        </w:rPr>
      </w:pPr>
      <w:r w:rsidRPr="003818B7">
        <w:rPr>
          <w:rFonts w:asciiTheme="minorHAnsi" w:hAnsiTheme="minorHAnsi"/>
          <w:b/>
          <w:color w:val="auto"/>
          <w:u w:val="single"/>
        </w:rPr>
        <w:t>______________________________________________________________________________</w:t>
      </w:r>
    </w:p>
    <w:p w:rsidR="00EA1BED" w:rsidRPr="002A496D" w:rsidRDefault="00EA1BED" w:rsidP="00506688">
      <w:pPr>
        <w:rPr>
          <w:rFonts w:asciiTheme="minorHAnsi" w:hAnsiTheme="minorHAnsi"/>
          <w:b/>
          <w:color w:val="auto"/>
          <w:u w:val="single"/>
        </w:rPr>
      </w:pPr>
    </w:p>
    <w:p w:rsidR="002338CA" w:rsidRPr="003818B7" w:rsidRDefault="007F0AB7" w:rsidP="00506688">
      <w:pPr>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F55B87" w:rsidRPr="003818B7" w:rsidRDefault="00F55B87" w:rsidP="00F55B87">
      <w:pPr>
        <w:spacing w:line="240" w:lineRule="exact"/>
        <w:rPr>
          <w:rFonts w:asciiTheme="minorHAnsi" w:hAnsiTheme="minorHAnsi"/>
          <w:color w:val="auto"/>
        </w:rPr>
      </w:pPr>
    </w:p>
    <w:tbl>
      <w:tblPr>
        <w:tblStyle w:val="TableGrid"/>
        <w:tblW w:w="9480" w:type="dxa"/>
        <w:jc w:val="center"/>
        <w:tblInd w:w="279" w:type="dxa"/>
        <w:tblLayout w:type="fixed"/>
        <w:tblLook w:val="04A0"/>
      </w:tblPr>
      <w:tblGrid>
        <w:gridCol w:w="2820"/>
        <w:gridCol w:w="720"/>
        <w:gridCol w:w="810"/>
        <w:gridCol w:w="2250"/>
        <w:gridCol w:w="810"/>
        <w:gridCol w:w="900"/>
        <w:gridCol w:w="1170"/>
      </w:tblGrid>
      <w:tr w:rsidR="00F55B87" w:rsidRPr="003818B7" w:rsidTr="00842473">
        <w:trPr>
          <w:trHeight w:val="233"/>
          <w:jc w:val="center"/>
        </w:trPr>
        <w:tc>
          <w:tcPr>
            <w:tcW w:w="4350" w:type="dxa"/>
            <w:gridSpan w:val="3"/>
            <w:tcBorders>
              <w:right w:val="thinThickThinSmallGap" w:sz="24" w:space="0" w:color="auto"/>
            </w:tcBorders>
            <w:shd w:val="clear" w:color="auto" w:fill="D9D9D9" w:themeFill="background1" w:themeFillShade="D9"/>
            <w:vAlign w:val="center"/>
          </w:tcPr>
          <w:p w:rsidR="00F55B87" w:rsidRPr="003818B7" w:rsidRDefault="00F55B87" w:rsidP="00F55B87">
            <w:pPr>
              <w:spacing w:line="200" w:lineRule="exact"/>
              <w:contextualSpacing/>
              <w:jc w:val="center"/>
              <w:rPr>
                <w:b/>
                <w:color w:val="auto"/>
                <w:sz w:val="20"/>
                <w:szCs w:val="20"/>
              </w:rPr>
            </w:pPr>
            <w:r w:rsidRPr="003818B7">
              <w:rPr>
                <w:b/>
                <w:color w:val="auto"/>
                <w:sz w:val="20"/>
                <w:szCs w:val="20"/>
              </w:rPr>
              <w:t>Service IPEB – Dated 20060411</w:t>
            </w:r>
          </w:p>
        </w:tc>
        <w:tc>
          <w:tcPr>
            <w:tcW w:w="5130" w:type="dxa"/>
            <w:gridSpan w:val="4"/>
            <w:tcBorders>
              <w:left w:val="thinThickThinSmallGap" w:sz="24" w:space="0" w:color="auto"/>
            </w:tcBorders>
            <w:shd w:val="clear" w:color="auto" w:fill="D9D9D9" w:themeFill="background1" w:themeFillShade="D9"/>
            <w:vAlign w:val="center"/>
          </w:tcPr>
          <w:p w:rsidR="00F55B87" w:rsidRPr="003818B7" w:rsidRDefault="00F55B87" w:rsidP="00842473">
            <w:pPr>
              <w:spacing w:line="200" w:lineRule="exact"/>
              <w:contextualSpacing/>
              <w:jc w:val="center"/>
              <w:rPr>
                <w:b/>
                <w:color w:val="auto"/>
                <w:sz w:val="20"/>
                <w:szCs w:val="20"/>
              </w:rPr>
            </w:pPr>
            <w:r w:rsidRPr="003818B7">
              <w:rPr>
                <w:b/>
                <w:color w:val="auto"/>
                <w:sz w:val="20"/>
                <w:szCs w:val="20"/>
              </w:rPr>
              <w:t>VA 2 Mo. After Separation – Effective Date 20060616</w:t>
            </w:r>
          </w:p>
        </w:tc>
      </w:tr>
      <w:tr w:rsidR="00842473" w:rsidRPr="003818B7" w:rsidTr="00842473">
        <w:trPr>
          <w:trHeight w:val="278"/>
          <w:jc w:val="center"/>
        </w:trPr>
        <w:tc>
          <w:tcPr>
            <w:tcW w:w="2820" w:type="dxa"/>
            <w:tcBorders>
              <w:bottom w:val="single" w:sz="4" w:space="0" w:color="000000" w:themeColor="text1"/>
              <w:right w:val="single" w:sz="4" w:space="0" w:color="auto"/>
            </w:tcBorders>
            <w:shd w:val="clear" w:color="auto" w:fill="D9D9D9" w:themeFill="background1" w:themeFillShade="D9"/>
            <w:vAlign w:val="center"/>
          </w:tcPr>
          <w:p w:rsidR="00F55B87" w:rsidRPr="003818B7" w:rsidRDefault="00F55B87" w:rsidP="002B51E9">
            <w:pPr>
              <w:spacing w:line="200" w:lineRule="exact"/>
              <w:contextualSpacing/>
              <w:jc w:val="center"/>
              <w:rPr>
                <w:b/>
                <w:color w:val="auto"/>
                <w:sz w:val="20"/>
                <w:szCs w:val="20"/>
              </w:rPr>
            </w:pPr>
            <w:r w:rsidRPr="003818B7">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F55B87" w:rsidRPr="003818B7" w:rsidRDefault="00F55B87" w:rsidP="002B51E9">
            <w:pPr>
              <w:spacing w:line="200" w:lineRule="exact"/>
              <w:contextualSpacing/>
              <w:jc w:val="center"/>
              <w:rPr>
                <w:b/>
                <w:color w:val="auto"/>
                <w:sz w:val="20"/>
                <w:szCs w:val="20"/>
              </w:rPr>
            </w:pPr>
            <w:r w:rsidRPr="003818B7">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F55B87" w:rsidRPr="003818B7" w:rsidRDefault="00F55B87" w:rsidP="002B51E9">
            <w:pPr>
              <w:spacing w:line="200" w:lineRule="exact"/>
              <w:contextualSpacing/>
              <w:jc w:val="center"/>
              <w:rPr>
                <w:b/>
                <w:color w:val="auto"/>
                <w:sz w:val="20"/>
                <w:szCs w:val="20"/>
              </w:rPr>
            </w:pPr>
            <w:r w:rsidRPr="003818B7">
              <w:rPr>
                <w:b/>
                <w:color w:val="auto"/>
                <w:sz w:val="20"/>
                <w:szCs w:val="20"/>
              </w:rPr>
              <w:t>Rating</w:t>
            </w:r>
          </w:p>
        </w:tc>
        <w:tc>
          <w:tcPr>
            <w:tcW w:w="2250" w:type="dxa"/>
            <w:tcBorders>
              <w:left w:val="thinThickThinSmallGap" w:sz="24" w:space="0" w:color="auto"/>
              <w:bottom w:val="single" w:sz="4" w:space="0" w:color="000000" w:themeColor="text1"/>
            </w:tcBorders>
            <w:shd w:val="clear" w:color="auto" w:fill="D9D9D9" w:themeFill="background1" w:themeFillShade="D9"/>
            <w:vAlign w:val="center"/>
          </w:tcPr>
          <w:p w:rsidR="00F55B87" w:rsidRPr="003818B7" w:rsidRDefault="00F55B87" w:rsidP="002B51E9">
            <w:pPr>
              <w:spacing w:line="200" w:lineRule="exact"/>
              <w:contextualSpacing/>
              <w:jc w:val="center"/>
              <w:rPr>
                <w:b/>
                <w:color w:val="auto"/>
                <w:sz w:val="20"/>
                <w:szCs w:val="20"/>
              </w:rPr>
            </w:pPr>
            <w:r w:rsidRPr="003818B7">
              <w:rPr>
                <w:b/>
                <w:color w:val="auto"/>
                <w:sz w:val="20"/>
                <w:szCs w:val="20"/>
              </w:rPr>
              <w:t>Condition</w:t>
            </w:r>
          </w:p>
        </w:tc>
        <w:tc>
          <w:tcPr>
            <w:tcW w:w="810" w:type="dxa"/>
            <w:tcBorders>
              <w:bottom w:val="single" w:sz="4" w:space="0" w:color="000000" w:themeColor="text1"/>
            </w:tcBorders>
            <w:shd w:val="clear" w:color="auto" w:fill="D9D9D9" w:themeFill="background1" w:themeFillShade="D9"/>
            <w:vAlign w:val="center"/>
          </w:tcPr>
          <w:p w:rsidR="00F55B87" w:rsidRPr="003818B7" w:rsidRDefault="00F55B87" w:rsidP="002B51E9">
            <w:pPr>
              <w:spacing w:line="200" w:lineRule="exact"/>
              <w:contextualSpacing/>
              <w:jc w:val="center"/>
              <w:rPr>
                <w:b/>
                <w:color w:val="auto"/>
                <w:sz w:val="20"/>
                <w:szCs w:val="20"/>
              </w:rPr>
            </w:pPr>
            <w:r w:rsidRPr="003818B7">
              <w:rPr>
                <w:b/>
                <w:color w:val="auto"/>
                <w:sz w:val="20"/>
                <w:szCs w:val="20"/>
              </w:rPr>
              <w:t>Code</w:t>
            </w:r>
          </w:p>
        </w:tc>
        <w:tc>
          <w:tcPr>
            <w:tcW w:w="900" w:type="dxa"/>
            <w:tcBorders>
              <w:bottom w:val="single" w:sz="4" w:space="0" w:color="000000" w:themeColor="text1"/>
            </w:tcBorders>
            <w:shd w:val="clear" w:color="auto" w:fill="D9D9D9" w:themeFill="background1" w:themeFillShade="D9"/>
            <w:vAlign w:val="center"/>
          </w:tcPr>
          <w:p w:rsidR="00F55B87" w:rsidRPr="003818B7" w:rsidRDefault="00F55B87" w:rsidP="002B51E9">
            <w:pPr>
              <w:spacing w:line="200" w:lineRule="exact"/>
              <w:contextualSpacing/>
              <w:jc w:val="center"/>
              <w:rPr>
                <w:b/>
                <w:color w:val="auto"/>
                <w:sz w:val="20"/>
                <w:szCs w:val="20"/>
              </w:rPr>
            </w:pPr>
            <w:r w:rsidRPr="003818B7">
              <w:rPr>
                <w:b/>
                <w:color w:val="auto"/>
                <w:sz w:val="20"/>
                <w:szCs w:val="20"/>
              </w:rPr>
              <w:t>Rating</w:t>
            </w:r>
          </w:p>
        </w:tc>
        <w:tc>
          <w:tcPr>
            <w:tcW w:w="1170" w:type="dxa"/>
            <w:tcBorders>
              <w:bottom w:val="single" w:sz="4" w:space="0" w:color="000000" w:themeColor="text1"/>
            </w:tcBorders>
            <w:shd w:val="clear" w:color="auto" w:fill="D9D9D9" w:themeFill="background1" w:themeFillShade="D9"/>
            <w:vAlign w:val="center"/>
          </w:tcPr>
          <w:p w:rsidR="00F55B87" w:rsidRPr="003818B7" w:rsidRDefault="00F55B87" w:rsidP="002B51E9">
            <w:pPr>
              <w:spacing w:line="200" w:lineRule="exact"/>
              <w:contextualSpacing/>
              <w:jc w:val="center"/>
              <w:rPr>
                <w:b/>
                <w:color w:val="auto"/>
                <w:sz w:val="20"/>
                <w:szCs w:val="20"/>
              </w:rPr>
            </w:pPr>
            <w:r w:rsidRPr="003818B7">
              <w:rPr>
                <w:b/>
                <w:color w:val="auto"/>
                <w:sz w:val="20"/>
                <w:szCs w:val="20"/>
              </w:rPr>
              <w:t>Exam</w:t>
            </w:r>
          </w:p>
        </w:tc>
      </w:tr>
      <w:tr w:rsidR="00842473" w:rsidRPr="003818B7" w:rsidTr="00842473">
        <w:trPr>
          <w:trHeight w:val="287"/>
          <w:jc w:val="center"/>
        </w:trPr>
        <w:tc>
          <w:tcPr>
            <w:tcW w:w="2820" w:type="dxa"/>
            <w:tcBorders>
              <w:right w:val="single" w:sz="4" w:space="0" w:color="auto"/>
            </w:tcBorders>
            <w:shd w:val="clear" w:color="auto" w:fill="FFFFFF" w:themeFill="background1"/>
            <w:vAlign w:val="center"/>
          </w:tcPr>
          <w:p w:rsidR="00F55B87" w:rsidRPr="003818B7" w:rsidRDefault="00F55B87" w:rsidP="002A496D">
            <w:pPr>
              <w:spacing w:line="180" w:lineRule="exact"/>
              <w:contextualSpacing/>
              <w:rPr>
                <w:color w:val="auto"/>
                <w:sz w:val="18"/>
                <w:szCs w:val="18"/>
              </w:rPr>
            </w:pPr>
            <w:r w:rsidRPr="003818B7">
              <w:rPr>
                <w:color w:val="auto"/>
                <w:sz w:val="18"/>
                <w:szCs w:val="18"/>
              </w:rPr>
              <w:t xml:space="preserve">Bilateral </w:t>
            </w:r>
            <w:proofErr w:type="spellStart"/>
            <w:r w:rsidR="002A496D" w:rsidRPr="003818B7">
              <w:rPr>
                <w:color w:val="auto"/>
                <w:sz w:val="18"/>
                <w:szCs w:val="18"/>
              </w:rPr>
              <w:t>S</w:t>
            </w:r>
            <w:r w:rsidRPr="003818B7">
              <w:rPr>
                <w:color w:val="auto"/>
                <w:sz w:val="18"/>
                <w:szCs w:val="18"/>
              </w:rPr>
              <w:t>ensorineural</w:t>
            </w:r>
            <w:proofErr w:type="spellEnd"/>
            <w:r w:rsidRPr="003818B7">
              <w:rPr>
                <w:color w:val="auto"/>
                <w:sz w:val="18"/>
                <w:szCs w:val="18"/>
              </w:rPr>
              <w:t xml:space="preserve"> </w:t>
            </w:r>
            <w:r w:rsidR="002A496D" w:rsidRPr="003818B7">
              <w:rPr>
                <w:color w:val="auto"/>
                <w:sz w:val="18"/>
                <w:szCs w:val="18"/>
              </w:rPr>
              <w:t>H</w:t>
            </w:r>
            <w:r w:rsidRPr="003818B7">
              <w:rPr>
                <w:color w:val="auto"/>
                <w:sz w:val="18"/>
                <w:szCs w:val="18"/>
              </w:rPr>
              <w:t xml:space="preserve">earing </w:t>
            </w:r>
            <w:r w:rsidR="002A496D" w:rsidRPr="003818B7">
              <w:rPr>
                <w:color w:val="auto"/>
                <w:sz w:val="18"/>
                <w:szCs w:val="18"/>
              </w:rPr>
              <w:t>L</w:t>
            </w:r>
            <w:r w:rsidRPr="003818B7">
              <w:rPr>
                <w:color w:val="auto"/>
                <w:sz w:val="18"/>
                <w:szCs w:val="18"/>
              </w:rPr>
              <w:t>oss</w:t>
            </w:r>
          </w:p>
        </w:tc>
        <w:tc>
          <w:tcPr>
            <w:tcW w:w="720" w:type="dxa"/>
            <w:tcBorders>
              <w:left w:val="single" w:sz="4" w:space="0" w:color="auto"/>
            </w:tcBorders>
            <w:shd w:val="clear" w:color="auto" w:fill="FFFFFF" w:themeFill="background1"/>
            <w:vAlign w:val="center"/>
          </w:tcPr>
          <w:p w:rsidR="00F55B87" w:rsidRPr="003818B7" w:rsidRDefault="00F55B87" w:rsidP="003818B7">
            <w:pPr>
              <w:spacing w:line="180" w:lineRule="exact"/>
              <w:contextualSpacing/>
              <w:jc w:val="center"/>
              <w:rPr>
                <w:color w:val="auto"/>
                <w:sz w:val="18"/>
                <w:szCs w:val="18"/>
              </w:rPr>
            </w:pPr>
            <w:r w:rsidRPr="003818B7">
              <w:rPr>
                <w:color w:val="auto"/>
                <w:sz w:val="18"/>
                <w:szCs w:val="18"/>
              </w:rPr>
              <w:t>6100</w:t>
            </w:r>
          </w:p>
        </w:tc>
        <w:tc>
          <w:tcPr>
            <w:tcW w:w="810" w:type="dxa"/>
            <w:tcBorders>
              <w:right w:val="thinThickThinSmallGap" w:sz="24" w:space="0" w:color="auto"/>
            </w:tcBorders>
            <w:shd w:val="clear" w:color="auto" w:fill="FFFFFF" w:themeFill="background1"/>
            <w:vAlign w:val="center"/>
          </w:tcPr>
          <w:p w:rsidR="00F55B87" w:rsidRPr="003818B7" w:rsidRDefault="00F55B87" w:rsidP="00F55B87">
            <w:pPr>
              <w:spacing w:line="180" w:lineRule="exact"/>
              <w:contextualSpacing/>
              <w:jc w:val="center"/>
              <w:rPr>
                <w:color w:val="auto"/>
                <w:sz w:val="18"/>
                <w:szCs w:val="18"/>
                <w:highlight w:val="yellow"/>
              </w:rPr>
            </w:pPr>
            <w:r w:rsidRPr="003818B7">
              <w:rPr>
                <w:color w:val="auto"/>
                <w:sz w:val="18"/>
                <w:szCs w:val="18"/>
              </w:rPr>
              <w:t>0%</w:t>
            </w:r>
          </w:p>
        </w:tc>
        <w:tc>
          <w:tcPr>
            <w:tcW w:w="2250" w:type="dxa"/>
            <w:tcBorders>
              <w:left w:val="thinThickThinSmallGap" w:sz="24" w:space="0" w:color="auto"/>
            </w:tcBorders>
            <w:shd w:val="clear" w:color="auto" w:fill="FFFFFF" w:themeFill="background1"/>
            <w:vAlign w:val="center"/>
          </w:tcPr>
          <w:p w:rsidR="00F55B87" w:rsidRPr="003818B7" w:rsidRDefault="00F55B87" w:rsidP="00F55B87">
            <w:pPr>
              <w:spacing w:line="180" w:lineRule="exact"/>
              <w:contextualSpacing/>
              <w:rPr>
                <w:color w:val="auto"/>
                <w:sz w:val="18"/>
                <w:szCs w:val="18"/>
              </w:rPr>
            </w:pPr>
            <w:r w:rsidRPr="003818B7">
              <w:rPr>
                <w:color w:val="auto"/>
                <w:sz w:val="18"/>
                <w:szCs w:val="18"/>
              </w:rPr>
              <w:t>Bilateral Hearing Loss</w:t>
            </w:r>
          </w:p>
        </w:tc>
        <w:tc>
          <w:tcPr>
            <w:tcW w:w="810" w:type="dxa"/>
            <w:shd w:val="clear" w:color="auto" w:fill="FFFFFF" w:themeFill="background1"/>
            <w:vAlign w:val="center"/>
          </w:tcPr>
          <w:p w:rsidR="00F55B87" w:rsidRPr="003818B7" w:rsidRDefault="00F55B87" w:rsidP="00F55B87">
            <w:pPr>
              <w:spacing w:line="180" w:lineRule="exact"/>
              <w:contextualSpacing/>
              <w:jc w:val="center"/>
              <w:rPr>
                <w:color w:val="auto"/>
                <w:sz w:val="18"/>
                <w:szCs w:val="18"/>
              </w:rPr>
            </w:pPr>
            <w:r w:rsidRPr="003818B7">
              <w:rPr>
                <w:color w:val="auto"/>
                <w:sz w:val="18"/>
                <w:szCs w:val="18"/>
              </w:rPr>
              <w:t>6100</w:t>
            </w:r>
          </w:p>
        </w:tc>
        <w:tc>
          <w:tcPr>
            <w:tcW w:w="900" w:type="dxa"/>
            <w:shd w:val="clear" w:color="auto" w:fill="FFFFFF" w:themeFill="background1"/>
            <w:vAlign w:val="center"/>
          </w:tcPr>
          <w:p w:rsidR="00F55B87" w:rsidRPr="003818B7" w:rsidRDefault="00F55B87" w:rsidP="00F55B87">
            <w:pPr>
              <w:spacing w:line="180" w:lineRule="exact"/>
              <w:contextualSpacing/>
              <w:jc w:val="center"/>
              <w:rPr>
                <w:color w:val="auto"/>
                <w:sz w:val="18"/>
                <w:szCs w:val="18"/>
              </w:rPr>
            </w:pPr>
            <w:r w:rsidRPr="003818B7">
              <w:rPr>
                <w:color w:val="auto"/>
                <w:sz w:val="18"/>
                <w:szCs w:val="18"/>
              </w:rPr>
              <w:t>0%</w:t>
            </w:r>
          </w:p>
        </w:tc>
        <w:tc>
          <w:tcPr>
            <w:tcW w:w="1170" w:type="dxa"/>
            <w:shd w:val="clear" w:color="auto" w:fill="FFFFFF" w:themeFill="background1"/>
            <w:vAlign w:val="center"/>
          </w:tcPr>
          <w:p w:rsidR="00F55B87" w:rsidRPr="003818B7" w:rsidRDefault="00F55B87" w:rsidP="002B51E9">
            <w:pPr>
              <w:spacing w:line="180" w:lineRule="exact"/>
              <w:contextualSpacing/>
              <w:jc w:val="center"/>
              <w:rPr>
                <w:color w:val="auto"/>
                <w:sz w:val="18"/>
                <w:szCs w:val="18"/>
              </w:rPr>
            </w:pPr>
            <w:r w:rsidRPr="00842473">
              <w:rPr>
                <w:color w:val="auto"/>
                <w:sz w:val="18"/>
                <w:szCs w:val="18"/>
              </w:rPr>
              <w:t>20060831</w:t>
            </w:r>
          </w:p>
        </w:tc>
      </w:tr>
      <w:tr w:rsidR="002A496D" w:rsidRPr="003818B7" w:rsidTr="00842473">
        <w:trPr>
          <w:trHeight w:val="287"/>
          <w:jc w:val="center"/>
        </w:trPr>
        <w:tc>
          <w:tcPr>
            <w:tcW w:w="4350" w:type="dxa"/>
            <w:gridSpan w:val="3"/>
            <w:vMerge w:val="restart"/>
            <w:tcBorders>
              <w:right w:val="thinThickThinSmallGap" w:sz="24" w:space="0" w:color="auto"/>
            </w:tcBorders>
            <w:shd w:val="clear" w:color="auto" w:fill="FFFFFF" w:themeFill="background1"/>
            <w:vAlign w:val="center"/>
          </w:tcPr>
          <w:p w:rsidR="002A496D" w:rsidRPr="003818B7" w:rsidRDefault="002A496D" w:rsidP="00B51013">
            <w:pPr>
              <w:spacing w:line="180" w:lineRule="exact"/>
              <w:contextualSpacing/>
              <w:jc w:val="center"/>
              <w:rPr>
                <w:color w:val="auto"/>
                <w:sz w:val="18"/>
                <w:szCs w:val="18"/>
              </w:rPr>
            </w:pPr>
            <w:r w:rsidRPr="003818B7">
              <w:rPr>
                <w:color w:val="auto"/>
                <w:sz w:val="18"/>
                <w:szCs w:val="18"/>
              </w:rPr>
              <w:t>↓No Additional MEB/PEB Entries↓</w:t>
            </w:r>
          </w:p>
        </w:tc>
        <w:tc>
          <w:tcPr>
            <w:tcW w:w="2250" w:type="dxa"/>
            <w:tcBorders>
              <w:left w:val="thinThickThinSmallGap" w:sz="24" w:space="0" w:color="auto"/>
              <w:right w:val="single" w:sz="4" w:space="0" w:color="auto"/>
            </w:tcBorders>
            <w:shd w:val="clear" w:color="auto" w:fill="FFFFFF" w:themeFill="background1"/>
            <w:vAlign w:val="center"/>
          </w:tcPr>
          <w:p w:rsidR="002A496D" w:rsidRPr="003818B7" w:rsidRDefault="002A496D" w:rsidP="002B51E9">
            <w:pPr>
              <w:spacing w:line="180" w:lineRule="exact"/>
              <w:contextualSpacing/>
              <w:rPr>
                <w:color w:val="auto"/>
                <w:sz w:val="18"/>
                <w:szCs w:val="18"/>
              </w:rPr>
            </w:pPr>
            <w:r w:rsidRPr="003818B7">
              <w:rPr>
                <w:color w:val="auto"/>
                <w:sz w:val="18"/>
                <w:szCs w:val="18"/>
              </w:rPr>
              <w:t>Tinnitus*</w:t>
            </w:r>
          </w:p>
        </w:tc>
        <w:tc>
          <w:tcPr>
            <w:tcW w:w="810" w:type="dxa"/>
            <w:tcBorders>
              <w:left w:val="single" w:sz="4" w:space="0" w:color="auto"/>
            </w:tcBorders>
            <w:shd w:val="clear" w:color="auto" w:fill="FFFFFF" w:themeFill="background1"/>
            <w:vAlign w:val="center"/>
          </w:tcPr>
          <w:p w:rsidR="002A496D" w:rsidRPr="003818B7" w:rsidRDefault="002A496D" w:rsidP="00F55B87">
            <w:pPr>
              <w:spacing w:line="180" w:lineRule="exact"/>
              <w:contextualSpacing/>
              <w:jc w:val="center"/>
              <w:rPr>
                <w:color w:val="auto"/>
                <w:sz w:val="18"/>
                <w:szCs w:val="18"/>
              </w:rPr>
            </w:pPr>
            <w:r w:rsidRPr="003818B7">
              <w:rPr>
                <w:color w:val="auto"/>
                <w:sz w:val="18"/>
                <w:szCs w:val="18"/>
              </w:rPr>
              <w:t>6260</w:t>
            </w:r>
          </w:p>
        </w:tc>
        <w:tc>
          <w:tcPr>
            <w:tcW w:w="900" w:type="dxa"/>
            <w:shd w:val="clear" w:color="auto" w:fill="FFFFFF" w:themeFill="background1"/>
            <w:vAlign w:val="center"/>
          </w:tcPr>
          <w:p w:rsidR="002A496D" w:rsidRPr="003818B7" w:rsidRDefault="002A496D" w:rsidP="00F55B87">
            <w:pPr>
              <w:spacing w:line="180" w:lineRule="exact"/>
              <w:contextualSpacing/>
              <w:jc w:val="center"/>
              <w:rPr>
                <w:color w:val="auto"/>
                <w:sz w:val="18"/>
                <w:szCs w:val="18"/>
              </w:rPr>
            </w:pPr>
            <w:r w:rsidRPr="003818B7">
              <w:rPr>
                <w:color w:val="auto"/>
                <w:sz w:val="18"/>
                <w:szCs w:val="18"/>
              </w:rPr>
              <w:t>10%</w:t>
            </w:r>
          </w:p>
        </w:tc>
        <w:tc>
          <w:tcPr>
            <w:tcW w:w="1170" w:type="dxa"/>
            <w:shd w:val="clear" w:color="auto" w:fill="FFFFFF" w:themeFill="background1"/>
            <w:vAlign w:val="center"/>
          </w:tcPr>
          <w:p w:rsidR="002A496D" w:rsidRPr="003818B7" w:rsidRDefault="002A496D" w:rsidP="002B51E9">
            <w:pPr>
              <w:spacing w:line="180" w:lineRule="exact"/>
              <w:contextualSpacing/>
              <w:jc w:val="center"/>
              <w:rPr>
                <w:color w:val="auto"/>
                <w:sz w:val="18"/>
                <w:szCs w:val="18"/>
              </w:rPr>
            </w:pPr>
            <w:r w:rsidRPr="00842473">
              <w:rPr>
                <w:color w:val="auto"/>
                <w:sz w:val="18"/>
                <w:szCs w:val="18"/>
              </w:rPr>
              <w:t>20060831</w:t>
            </w:r>
          </w:p>
        </w:tc>
      </w:tr>
      <w:tr w:rsidR="002A496D" w:rsidRPr="003818B7" w:rsidTr="00842473">
        <w:trPr>
          <w:trHeight w:val="287"/>
          <w:jc w:val="center"/>
        </w:trPr>
        <w:tc>
          <w:tcPr>
            <w:tcW w:w="4350" w:type="dxa"/>
            <w:gridSpan w:val="3"/>
            <w:vMerge/>
            <w:tcBorders>
              <w:right w:val="thinThickThinSmallGap" w:sz="24" w:space="0" w:color="auto"/>
            </w:tcBorders>
            <w:shd w:val="clear" w:color="auto" w:fill="FFFFFF" w:themeFill="background1"/>
            <w:vAlign w:val="center"/>
          </w:tcPr>
          <w:p w:rsidR="002A496D" w:rsidRPr="003818B7" w:rsidRDefault="002A496D" w:rsidP="002B51E9">
            <w:pPr>
              <w:spacing w:line="180" w:lineRule="exact"/>
              <w:contextualSpacing/>
              <w:jc w:val="center"/>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2A496D" w:rsidRPr="003818B7" w:rsidRDefault="00AB57EC" w:rsidP="00F55B87">
            <w:pPr>
              <w:spacing w:line="180" w:lineRule="exact"/>
              <w:contextualSpacing/>
              <w:rPr>
                <w:color w:val="auto"/>
                <w:sz w:val="18"/>
                <w:szCs w:val="18"/>
              </w:rPr>
            </w:pPr>
            <w:r>
              <w:rPr>
                <w:color w:val="auto"/>
                <w:sz w:val="18"/>
                <w:szCs w:val="18"/>
              </w:rPr>
              <w:t>IG</w:t>
            </w:r>
            <w:r w:rsidR="002A496D" w:rsidRPr="003818B7">
              <w:rPr>
                <w:color w:val="auto"/>
                <w:sz w:val="18"/>
                <w:szCs w:val="18"/>
              </w:rPr>
              <w:t xml:space="preserve">A </w:t>
            </w:r>
            <w:proofErr w:type="spellStart"/>
            <w:r w:rsidR="002A496D" w:rsidRPr="003818B7">
              <w:rPr>
                <w:color w:val="auto"/>
                <w:sz w:val="18"/>
                <w:szCs w:val="18"/>
              </w:rPr>
              <w:t>Neprhopathy</w:t>
            </w:r>
            <w:proofErr w:type="spellEnd"/>
          </w:p>
        </w:tc>
        <w:tc>
          <w:tcPr>
            <w:tcW w:w="810" w:type="dxa"/>
            <w:tcBorders>
              <w:left w:val="single" w:sz="4" w:space="0" w:color="auto"/>
              <w:right w:val="single" w:sz="4" w:space="0" w:color="auto"/>
            </w:tcBorders>
            <w:shd w:val="clear" w:color="auto" w:fill="FFFFFF" w:themeFill="background1"/>
            <w:vAlign w:val="center"/>
          </w:tcPr>
          <w:p w:rsidR="002A496D" w:rsidRPr="003818B7" w:rsidRDefault="002A496D" w:rsidP="002B51E9">
            <w:pPr>
              <w:spacing w:line="180" w:lineRule="exact"/>
              <w:contextualSpacing/>
              <w:jc w:val="center"/>
              <w:rPr>
                <w:color w:val="auto"/>
                <w:sz w:val="18"/>
                <w:szCs w:val="18"/>
              </w:rPr>
            </w:pPr>
            <w:r w:rsidRPr="003818B7">
              <w:rPr>
                <w:color w:val="auto"/>
                <w:sz w:val="18"/>
                <w:szCs w:val="18"/>
              </w:rPr>
              <w:t>7502</w:t>
            </w:r>
          </w:p>
        </w:tc>
        <w:tc>
          <w:tcPr>
            <w:tcW w:w="900" w:type="dxa"/>
            <w:tcBorders>
              <w:left w:val="single" w:sz="4" w:space="0" w:color="auto"/>
            </w:tcBorders>
            <w:shd w:val="clear" w:color="auto" w:fill="FFFFFF" w:themeFill="background1"/>
            <w:vAlign w:val="center"/>
          </w:tcPr>
          <w:p w:rsidR="002A496D" w:rsidRPr="003818B7" w:rsidRDefault="002A496D" w:rsidP="00F55B87">
            <w:pPr>
              <w:spacing w:line="180" w:lineRule="exact"/>
              <w:contextualSpacing/>
              <w:jc w:val="center"/>
              <w:rPr>
                <w:color w:val="auto"/>
                <w:sz w:val="18"/>
                <w:szCs w:val="18"/>
              </w:rPr>
            </w:pPr>
            <w:r w:rsidRPr="003818B7">
              <w:rPr>
                <w:color w:val="auto"/>
                <w:sz w:val="18"/>
                <w:szCs w:val="18"/>
              </w:rPr>
              <w:t>0%</w:t>
            </w:r>
          </w:p>
        </w:tc>
        <w:tc>
          <w:tcPr>
            <w:tcW w:w="1170" w:type="dxa"/>
            <w:shd w:val="clear" w:color="auto" w:fill="FFFFFF" w:themeFill="background1"/>
            <w:vAlign w:val="center"/>
          </w:tcPr>
          <w:p w:rsidR="002A496D" w:rsidRPr="003818B7" w:rsidRDefault="002A496D" w:rsidP="002B51E9">
            <w:pPr>
              <w:spacing w:line="180" w:lineRule="exact"/>
              <w:contextualSpacing/>
              <w:jc w:val="center"/>
              <w:rPr>
                <w:color w:val="auto"/>
                <w:sz w:val="18"/>
                <w:szCs w:val="18"/>
              </w:rPr>
            </w:pPr>
            <w:r w:rsidRPr="00842473">
              <w:rPr>
                <w:color w:val="auto"/>
                <w:sz w:val="18"/>
                <w:szCs w:val="18"/>
              </w:rPr>
              <w:t>20060831</w:t>
            </w:r>
          </w:p>
        </w:tc>
      </w:tr>
      <w:tr w:rsidR="00B51013" w:rsidRPr="003818B7" w:rsidTr="00842473">
        <w:trPr>
          <w:trHeight w:val="260"/>
          <w:jc w:val="center"/>
        </w:trPr>
        <w:tc>
          <w:tcPr>
            <w:tcW w:w="4350" w:type="dxa"/>
            <w:gridSpan w:val="3"/>
            <w:vMerge/>
            <w:tcBorders>
              <w:right w:val="thinThickThinSmallGap" w:sz="24" w:space="0" w:color="auto"/>
            </w:tcBorders>
            <w:shd w:val="clear" w:color="auto" w:fill="FFFFFF" w:themeFill="background1"/>
          </w:tcPr>
          <w:p w:rsidR="00B51013" w:rsidRPr="003818B7" w:rsidRDefault="00B51013" w:rsidP="002B51E9">
            <w:pPr>
              <w:spacing w:line="180" w:lineRule="exact"/>
              <w:contextualSpacing/>
              <w:jc w:val="center"/>
              <w:rPr>
                <w:color w:val="auto"/>
                <w:sz w:val="18"/>
                <w:szCs w:val="18"/>
              </w:rPr>
            </w:pPr>
          </w:p>
        </w:tc>
        <w:tc>
          <w:tcPr>
            <w:tcW w:w="5130" w:type="dxa"/>
            <w:gridSpan w:val="4"/>
            <w:tcBorders>
              <w:left w:val="thinThickThinSmallGap" w:sz="24" w:space="0" w:color="auto"/>
            </w:tcBorders>
            <w:shd w:val="clear" w:color="auto" w:fill="FFFFFF" w:themeFill="background1"/>
            <w:vAlign w:val="center"/>
          </w:tcPr>
          <w:p w:rsidR="00B51013" w:rsidRPr="003818B7" w:rsidRDefault="00B51013" w:rsidP="002B51E9">
            <w:pPr>
              <w:spacing w:line="180" w:lineRule="exact"/>
              <w:contextualSpacing/>
              <w:jc w:val="center"/>
              <w:rPr>
                <w:color w:val="auto"/>
                <w:sz w:val="18"/>
                <w:szCs w:val="18"/>
              </w:rPr>
            </w:pPr>
            <w:r w:rsidRPr="003818B7">
              <w:rPr>
                <w:rFonts w:cs="Times New Roman"/>
                <w:color w:val="auto"/>
                <w:sz w:val="18"/>
                <w:szCs w:val="18"/>
              </w:rPr>
              <w:t>Not Service Connected x 1</w:t>
            </w:r>
          </w:p>
        </w:tc>
      </w:tr>
      <w:tr w:rsidR="00F55B87" w:rsidRPr="003818B7" w:rsidTr="00842473">
        <w:trPr>
          <w:trHeight w:val="242"/>
          <w:jc w:val="center"/>
        </w:trPr>
        <w:tc>
          <w:tcPr>
            <w:tcW w:w="4350" w:type="dxa"/>
            <w:gridSpan w:val="3"/>
            <w:tcBorders>
              <w:right w:val="thinThickThinSmallGap" w:sz="24" w:space="0" w:color="auto"/>
            </w:tcBorders>
            <w:shd w:val="clear" w:color="auto" w:fill="D9D9D9" w:themeFill="background1" w:themeFillShade="D9"/>
            <w:vAlign w:val="center"/>
          </w:tcPr>
          <w:p w:rsidR="00F55B87" w:rsidRPr="003818B7" w:rsidRDefault="00F55B87" w:rsidP="00285553">
            <w:pPr>
              <w:spacing w:line="200" w:lineRule="exact"/>
              <w:contextualSpacing/>
              <w:jc w:val="center"/>
              <w:rPr>
                <w:b/>
                <w:color w:val="auto"/>
                <w:sz w:val="20"/>
                <w:szCs w:val="20"/>
              </w:rPr>
            </w:pPr>
            <w:r w:rsidRPr="003818B7">
              <w:rPr>
                <w:b/>
                <w:color w:val="auto"/>
                <w:sz w:val="20"/>
                <w:szCs w:val="20"/>
              </w:rPr>
              <w:t xml:space="preserve">Combined:  </w:t>
            </w:r>
            <w:r w:rsidR="00285553" w:rsidRPr="003818B7">
              <w:rPr>
                <w:b/>
                <w:color w:val="auto"/>
                <w:sz w:val="20"/>
                <w:szCs w:val="20"/>
              </w:rPr>
              <w:t>0</w:t>
            </w:r>
            <w:r w:rsidRPr="003818B7">
              <w:rPr>
                <w:b/>
                <w:color w:val="auto"/>
                <w:sz w:val="20"/>
                <w:szCs w:val="20"/>
              </w:rPr>
              <w:t>%</w:t>
            </w:r>
          </w:p>
        </w:tc>
        <w:tc>
          <w:tcPr>
            <w:tcW w:w="5130" w:type="dxa"/>
            <w:gridSpan w:val="4"/>
            <w:tcBorders>
              <w:left w:val="thinThickThinSmallGap" w:sz="24" w:space="0" w:color="auto"/>
            </w:tcBorders>
            <w:shd w:val="clear" w:color="auto" w:fill="D9D9D9" w:themeFill="background1" w:themeFillShade="D9"/>
            <w:vAlign w:val="center"/>
          </w:tcPr>
          <w:p w:rsidR="00F55B87" w:rsidRPr="003818B7" w:rsidRDefault="00F55B87" w:rsidP="00F55B87">
            <w:pPr>
              <w:spacing w:line="200" w:lineRule="exact"/>
              <w:contextualSpacing/>
              <w:jc w:val="center"/>
              <w:rPr>
                <w:b/>
                <w:color w:val="auto"/>
                <w:sz w:val="20"/>
                <w:szCs w:val="20"/>
              </w:rPr>
            </w:pPr>
            <w:r w:rsidRPr="003818B7">
              <w:rPr>
                <w:b/>
                <w:color w:val="auto"/>
                <w:sz w:val="20"/>
                <w:szCs w:val="20"/>
              </w:rPr>
              <w:t>Combined:  10%</w:t>
            </w:r>
          </w:p>
        </w:tc>
      </w:tr>
    </w:tbl>
    <w:p w:rsidR="00F55B87" w:rsidRPr="00B51013" w:rsidRDefault="00F55B87" w:rsidP="00F55B87">
      <w:pPr>
        <w:spacing w:line="240" w:lineRule="exact"/>
        <w:rPr>
          <w:rFonts w:asciiTheme="minorHAnsi" w:hAnsiTheme="minorHAnsi"/>
          <w:color w:val="auto"/>
          <w:sz w:val="18"/>
          <w:szCs w:val="18"/>
        </w:rPr>
      </w:pPr>
      <w:r w:rsidRPr="00B51013">
        <w:rPr>
          <w:rFonts w:asciiTheme="minorHAnsi" w:hAnsiTheme="minorHAnsi"/>
          <w:color w:val="auto"/>
          <w:sz w:val="18"/>
          <w:szCs w:val="18"/>
        </w:rPr>
        <w:t>*Tinnitus granted from 20060831</w:t>
      </w:r>
    </w:p>
    <w:p w:rsidR="007F0AB7" w:rsidRPr="003818B7" w:rsidRDefault="0041604B" w:rsidP="007F0AB7">
      <w:pPr>
        <w:tabs>
          <w:tab w:val="left" w:pos="288"/>
          <w:tab w:val="left" w:pos="4752"/>
        </w:tabs>
        <w:spacing w:line="240" w:lineRule="exact"/>
        <w:jc w:val="both"/>
        <w:rPr>
          <w:rFonts w:asciiTheme="minorHAnsi" w:hAnsiTheme="minorHAnsi"/>
          <w:b/>
          <w:color w:val="auto"/>
          <w:u w:val="single"/>
        </w:rPr>
      </w:pPr>
      <w:r w:rsidRPr="003818B7">
        <w:rPr>
          <w:rFonts w:asciiTheme="minorHAnsi" w:hAnsiTheme="minorHAnsi"/>
          <w:b/>
          <w:color w:val="auto"/>
          <w:u w:val="single"/>
        </w:rPr>
        <w:t>___________________________________________________________________________</w:t>
      </w:r>
    </w:p>
    <w:p w:rsidR="002A496D" w:rsidRPr="003818B7" w:rsidRDefault="002A496D" w:rsidP="007F0AB7">
      <w:pPr>
        <w:tabs>
          <w:tab w:val="left" w:pos="288"/>
          <w:tab w:val="left" w:pos="4752"/>
        </w:tabs>
        <w:spacing w:line="240" w:lineRule="exact"/>
        <w:jc w:val="both"/>
        <w:rPr>
          <w:rFonts w:asciiTheme="minorHAnsi" w:hAnsiTheme="minorHAnsi"/>
          <w:b/>
          <w:color w:val="auto"/>
          <w:szCs w:val="24"/>
          <w:u w:val="single"/>
        </w:rPr>
      </w:pPr>
    </w:p>
    <w:p w:rsidR="002A496D" w:rsidRDefault="002C6E5B" w:rsidP="002A496D">
      <w:pPr>
        <w:tabs>
          <w:tab w:val="left" w:pos="288"/>
          <w:tab w:val="left" w:pos="4752"/>
        </w:tabs>
        <w:spacing w:line="240" w:lineRule="exact"/>
        <w:jc w:val="both"/>
        <w:rPr>
          <w:rFonts w:asciiTheme="minorHAnsi" w:hAnsiTheme="minorHAnsi"/>
          <w:color w:val="auto"/>
          <w:szCs w:val="24"/>
        </w:rPr>
      </w:pPr>
      <w:r w:rsidRPr="003818B7">
        <w:rPr>
          <w:rFonts w:asciiTheme="minorHAnsi" w:hAnsiTheme="minorHAnsi"/>
          <w:color w:val="auto"/>
          <w:szCs w:val="24"/>
          <w:u w:val="single"/>
        </w:rPr>
        <w:t>ANALYSIS SUMMARY</w:t>
      </w:r>
      <w:r w:rsidRPr="003818B7">
        <w:rPr>
          <w:rFonts w:asciiTheme="minorHAnsi" w:hAnsiTheme="minorHAnsi"/>
          <w:color w:val="auto"/>
          <w:szCs w:val="24"/>
        </w:rPr>
        <w:t>:</w:t>
      </w:r>
      <w:r w:rsidR="00C276CD" w:rsidRPr="003818B7">
        <w:rPr>
          <w:rFonts w:asciiTheme="minorHAnsi" w:hAnsiTheme="minorHAnsi"/>
          <w:color w:val="auto"/>
          <w:szCs w:val="24"/>
        </w:rPr>
        <w:t xml:space="preserve">  </w:t>
      </w:r>
      <w:r w:rsidR="002A496D" w:rsidRPr="003818B7">
        <w:rPr>
          <w:rFonts w:asciiTheme="minorHAnsi" w:hAnsiTheme="minorHAnsi"/>
          <w:color w:val="auto"/>
          <w:szCs w:val="24"/>
        </w:rPr>
        <w:t>The Board acknowledges the sentiment expressed in the CI’s application</w:t>
      </w:r>
      <w:r w:rsidR="002A496D" w:rsidRPr="001F5378">
        <w:rPr>
          <w:rFonts w:asciiTheme="minorHAnsi" w:hAnsiTheme="minorHAnsi"/>
          <w:color w:val="auto"/>
          <w:szCs w:val="24"/>
        </w:rPr>
        <w:t xml:space="preserve"> regarding the significant impact that h</w:t>
      </w:r>
      <w:r w:rsidR="002A496D">
        <w:rPr>
          <w:rFonts w:asciiTheme="minorHAnsi" w:hAnsiTheme="minorHAnsi"/>
          <w:color w:val="auto"/>
          <w:szCs w:val="24"/>
        </w:rPr>
        <w:t xml:space="preserve">is </w:t>
      </w:r>
      <w:r w:rsidR="002A496D" w:rsidRPr="001F5378">
        <w:rPr>
          <w:rFonts w:asciiTheme="minorHAnsi" w:hAnsiTheme="minorHAnsi"/>
          <w:color w:val="auto"/>
          <w:szCs w:val="24"/>
        </w:rPr>
        <w:t>service</w:t>
      </w:r>
      <w:r w:rsidR="002A496D">
        <w:rPr>
          <w:rFonts w:asciiTheme="minorHAnsi" w:hAnsiTheme="minorHAnsi"/>
          <w:color w:val="auto"/>
          <w:szCs w:val="24"/>
        </w:rPr>
        <w:t xml:space="preserve"> aggravated </w:t>
      </w:r>
      <w:r w:rsidR="002A496D" w:rsidRPr="001F5378">
        <w:rPr>
          <w:rFonts w:asciiTheme="minorHAnsi" w:hAnsiTheme="minorHAnsi"/>
          <w:color w:val="auto"/>
          <w:szCs w:val="24"/>
        </w:rPr>
        <w:t>condition has had on h</w:t>
      </w:r>
      <w:r w:rsidR="002A496D">
        <w:rPr>
          <w:rFonts w:asciiTheme="minorHAnsi" w:hAnsiTheme="minorHAnsi"/>
          <w:color w:val="auto"/>
          <w:szCs w:val="24"/>
        </w:rPr>
        <w:t>is</w:t>
      </w:r>
      <w:r w:rsidR="002A496D" w:rsidRPr="001F5378">
        <w:rPr>
          <w:rFonts w:asciiTheme="minorHAnsi" w:hAnsiTheme="minorHAnsi"/>
          <w:color w:val="auto"/>
          <w:szCs w:val="24"/>
        </w:rPr>
        <w:t xml:space="preserve"> quality of life.  However, the </w:t>
      </w:r>
      <w:r w:rsidR="00B51013">
        <w:rPr>
          <w:rFonts w:asciiTheme="minorHAnsi" w:hAnsiTheme="minorHAnsi"/>
          <w:color w:val="auto"/>
          <w:szCs w:val="24"/>
        </w:rPr>
        <w:t>m</w:t>
      </w:r>
      <w:r w:rsidR="002A496D" w:rsidRPr="001F5378">
        <w:rPr>
          <w:rFonts w:asciiTheme="minorHAnsi" w:hAnsiTheme="minorHAnsi"/>
          <w:color w:val="auto"/>
          <w:szCs w:val="24"/>
        </w:rPr>
        <w:t xml:space="preserve">ilitary </w:t>
      </w:r>
      <w:r w:rsidR="00B51013">
        <w:rPr>
          <w:rFonts w:asciiTheme="minorHAnsi" w:hAnsiTheme="minorHAnsi"/>
          <w:color w:val="auto"/>
          <w:szCs w:val="24"/>
        </w:rPr>
        <w:t>s</w:t>
      </w:r>
      <w:r w:rsidR="002A496D" w:rsidRPr="001F5378">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 and not based on possible future changes.  The V</w:t>
      </w:r>
      <w:r w:rsidR="00B51013">
        <w:rPr>
          <w:rFonts w:asciiTheme="minorHAnsi" w:hAnsiTheme="minorHAnsi"/>
          <w:color w:val="auto"/>
          <w:szCs w:val="24"/>
        </w:rPr>
        <w:t>eterans Administration (V</w:t>
      </w:r>
      <w:r w:rsidR="002A496D" w:rsidRPr="001F5378">
        <w:rPr>
          <w:rFonts w:asciiTheme="minorHAnsi" w:hAnsiTheme="minorHAnsi"/>
          <w:color w:val="auto"/>
          <w:szCs w:val="24"/>
        </w:rPr>
        <w:t>A</w:t>
      </w:r>
      <w:r w:rsidR="00B51013">
        <w:rPr>
          <w:rFonts w:asciiTheme="minorHAnsi" w:hAnsiTheme="minorHAnsi"/>
          <w:color w:val="auto"/>
          <w:szCs w:val="24"/>
        </w:rPr>
        <w:t>),</w:t>
      </w:r>
      <w:r w:rsidR="002A496D" w:rsidRPr="001F5378">
        <w:rPr>
          <w:rFonts w:asciiTheme="minorHAnsi" w:hAnsiTheme="minorHAnsi"/>
          <w:color w:val="auto"/>
          <w:szCs w:val="24"/>
        </w:rPr>
        <w:t xml:space="preserve"> however</w:t>
      </w:r>
      <w:r w:rsidR="00B51013">
        <w:rPr>
          <w:rFonts w:asciiTheme="minorHAnsi" w:hAnsiTheme="minorHAnsi"/>
          <w:color w:val="auto"/>
          <w:szCs w:val="24"/>
        </w:rPr>
        <w:t>,</w:t>
      </w:r>
      <w:r w:rsidR="002A496D" w:rsidRPr="001F5378">
        <w:rPr>
          <w:rFonts w:asciiTheme="minorHAnsi" w:hAnsiTheme="minorHAnsi"/>
          <w:color w:val="auto"/>
          <w:szCs w:val="24"/>
        </w:rPr>
        <w:t xml:space="preserve"> can rate and compensate all service connected conditions without regard to their impact on performance of military duties.  The VA can also increase or decrease ratings based on the changing severity of each condition over time.  The Board’s role is confined to the review of medical records and all evidence at hand to assess the fairness of PEB rating determinations compared to </w:t>
      </w:r>
      <w:r w:rsidR="00B51013">
        <w:rPr>
          <w:rFonts w:asciiTheme="minorHAnsi" w:hAnsiTheme="minorHAnsi"/>
          <w:color w:val="auto"/>
          <w:szCs w:val="24"/>
        </w:rPr>
        <w:t>VA Schedule for Rating Disabilities (</w:t>
      </w:r>
      <w:r w:rsidR="002A496D" w:rsidRPr="001F5378">
        <w:rPr>
          <w:rFonts w:asciiTheme="minorHAnsi" w:hAnsiTheme="minorHAnsi"/>
          <w:color w:val="auto"/>
          <w:szCs w:val="24"/>
        </w:rPr>
        <w:t>VASRD</w:t>
      </w:r>
      <w:r w:rsidR="00B51013">
        <w:rPr>
          <w:rFonts w:asciiTheme="minorHAnsi" w:hAnsiTheme="minorHAnsi"/>
          <w:color w:val="auto"/>
          <w:szCs w:val="24"/>
        </w:rPr>
        <w:t>)</w:t>
      </w:r>
      <w:r w:rsidR="002A496D" w:rsidRPr="001F5378">
        <w:rPr>
          <w:rFonts w:asciiTheme="minorHAnsi" w:hAnsiTheme="minorHAnsi"/>
          <w:color w:val="auto"/>
          <w:szCs w:val="24"/>
        </w:rPr>
        <w:t xml:space="preserve"> standards, as well as the fairness of PEB fitness adjudicati</w:t>
      </w:r>
      <w:r w:rsidR="003818B7">
        <w:rPr>
          <w:rFonts w:asciiTheme="minorHAnsi" w:hAnsiTheme="minorHAnsi"/>
          <w:color w:val="auto"/>
          <w:szCs w:val="24"/>
        </w:rPr>
        <w:t>ons at the time of separation.</w:t>
      </w:r>
    </w:p>
    <w:p w:rsidR="00F12B99" w:rsidRDefault="00F12B99" w:rsidP="00227691">
      <w:pPr>
        <w:tabs>
          <w:tab w:val="left" w:pos="2980"/>
        </w:tabs>
        <w:spacing w:line="240" w:lineRule="exact"/>
        <w:jc w:val="both"/>
        <w:rPr>
          <w:rFonts w:asciiTheme="minorHAnsi" w:hAnsiTheme="minorHAnsi"/>
          <w:color w:val="auto"/>
          <w:szCs w:val="24"/>
          <w:u w:val="single"/>
        </w:rPr>
      </w:pPr>
    </w:p>
    <w:p w:rsidR="00A02A53" w:rsidRDefault="00227691" w:rsidP="00F12B99">
      <w:pPr>
        <w:tabs>
          <w:tab w:val="left" w:pos="2980"/>
        </w:tabs>
        <w:spacing w:line="240" w:lineRule="exact"/>
        <w:jc w:val="both"/>
        <w:rPr>
          <w:rFonts w:asciiTheme="minorHAnsi" w:hAnsiTheme="minorHAnsi"/>
          <w:color w:val="auto"/>
          <w:szCs w:val="24"/>
        </w:rPr>
      </w:pPr>
      <w:proofErr w:type="spellStart"/>
      <w:proofErr w:type="gramStart"/>
      <w:r w:rsidRPr="00586298">
        <w:rPr>
          <w:rFonts w:asciiTheme="minorHAnsi" w:hAnsiTheme="minorHAnsi"/>
          <w:color w:val="auto"/>
          <w:szCs w:val="24"/>
          <w:u w:val="single"/>
        </w:rPr>
        <w:lastRenderedPageBreak/>
        <w:t>Sensor</w:t>
      </w:r>
      <w:r>
        <w:rPr>
          <w:rFonts w:asciiTheme="minorHAnsi" w:hAnsiTheme="minorHAnsi"/>
          <w:color w:val="auto"/>
          <w:szCs w:val="24"/>
          <w:u w:val="single"/>
        </w:rPr>
        <w:t>in</w:t>
      </w:r>
      <w:r w:rsidRPr="00586298">
        <w:rPr>
          <w:rFonts w:asciiTheme="minorHAnsi" w:hAnsiTheme="minorHAnsi"/>
          <w:color w:val="auto"/>
          <w:szCs w:val="24"/>
          <w:u w:val="single"/>
        </w:rPr>
        <w:t>eural</w:t>
      </w:r>
      <w:proofErr w:type="spellEnd"/>
      <w:r w:rsidRPr="00586298">
        <w:rPr>
          <w:rFonts w:asciiTheme="minorHAnsi" w:hAnsiTheme="minorHAnsi"/>
          <w:color w:val="auto"/>
          <w:szCs w:val="24"/>
          <w:u w:val="single"/>
        </w:rPr>
        <w:t xml:space="preserve"> </w:t>
      </w:r>
      <w:r w:rsidR="00855065">
        <w:rPr>
          <w:rFonts w:asciiTheme="minorHAnsi" w:hAnsiTheme="minorHAnsi"/>
          <w:color w:val="auto"/>
          <w:szCs w:val="24"/>
          <w:u w:val="single"/>
        </w:rPr>
        <w:t>H</w:t>
      </w:r>
      <w:r w:rsidRPr="00586298">
        <w:rPr>
          <w:rFonts w:asciiTheme="minorHAnsi" w:hAnsiTheme="minorHAnsi"/>
          <w:color w:val="auto"/>
          <w:szCs w:val="24"/>
          <w:u w:val="single"/>
        </w:rPr>
        <w:t xml:space="preserve">earing </w:t>
      </w:r>
      <w:r w:rsidR="00855065">
        <w:rPr>
          <w:rFonts w:asciiTheme="minorHAnsi" w:hAnsiTheme="minorHAnsi"/>
          <w:color w:val="auto"/>
          <w:szCs w:val="24"/>
          <w:u w:val="single"/>
        </w:rPr>
        <w:t>L</w:t>
      </w:r>
      <w:r w:rsidRPr="00586298">
        <w:rPr>
          <w:rFonts w:asciiTheme="minorHAnsi" w:hAnsiTheme="minorHAnsi"/>
          <w:color w:val="auto"/>
          <w:szCs w:val="24"/>
          <w:u w:val="single"/>
        </w:rPr>
        <w:t>oss</w:t>
      </w:r>
      <w:r w:rsidR="00B51013">
        <w:rPr>
          <w:rFonts w:asciiTheme="minorHAnsi" w:hAnsiTheme="minorHAnsi"/>
          <w:color w:val="auto"/>
          <w:szCs w:val="24"/>
          <w:u w:val="single"/>
        </w:rPr>
        <w:t>.</w:t>
      </w:r>
      <w:proofErr w:type="gramEnd"/>
      <w:r w:rsidRPr="007A7F51">
        <w:rPr>
          <w:rFonts w:asciiTheme="minorHAnsi" w:hAnsiTheme="minorHAnsi"/>
          <w:color w:val="auto"/>
          <w:szCs w:val="24"/>
        </w:rPr>
        <w:t xml:space="preserve">  </w:t>
      </w:r>
      <w:r w:rsidR="00F12B99">
        <w:rPr>
          <w:rFonts w:asciiTheme="minorHAnsi" w:hAnsiTheme="minorHAnsi"/>
          <w:color w:val="auto"/>
          <w:szCs w:val="24"/>
        </w:rPr>
        <w:t xml:space="preserve">CI had a history of hearing loss since early adolescence and entered the Marine Corps on a waiver for hearing loss.  Eighteen months after entry into military service, the CI was evaluated for </w:t>
      </w:r>
      <w:r w:rsidR="00541AEC">
        <w:rPr>
          <w:rFonts w:asciiTheme="minorHAnsi" w:hAnsiTheme="minorHAnsi"/>
          <w:color w:val="auto"/>
          <w:szCs w:val="24"/>
        </w:rPr>
        <w:t xml:space="preserve">worsening hearing </w:t>
      </w:r>
      <w:r w:rsidR="00F12B99">
        <w:rPr>
          <w:rFonts w:asciiTheme="minorHAnsi" w:hAnsiTheme="minorHAnsi"/>
          <w:color w:val="auto"/>
          <w:szCs w:val="24"/>
        </w:rPr>
        <w:t xml:space="preserve">with difficulty understanding speech.  </w:t>
      </w:r>
      <w:r w:rsidR="00541AEC">
        <w:rPr>
          <w:rFonts w:asciiTheme="minorHAnsi" w:hAnsiTheme="minorHAnsi"/>
          <w:color w:val="auto"/>
          <w:szCs w:val="24"/>
        </w:rPr>
        <w:t xml:space="preserve">Specialty evaluation by otolaryngology diagnosed </w:t>
      </w:r>
      <w:r w:rsidR="00E929A0">
        <w:rPr>
          <w:rFonts w:asciiTheme="minorHAnsi" w:hAnsiTheme="minorHAnsi"/>
          <w:color w:val="auto"/>
          <w:szCs w:val="24"/>
        </w:rPr>
        <w:t xml:space="preserve">bilateral symmetric </w:t>
      </w:r>
      <w:r w:rsidR="00541AEC">
        <w:rPr>
          <w:rFonts w:asciiTheme="minorHAnsi" w:hAnsiTheme="minorHAnsi"/>
          <w:color w:val="auto"/>
          <w:szCs w:val="24"/>
        </w:rPr>
        <w:t>sensorineural hearing loss</w:t>
      </w:r>
      <w:r w:rsidR="00F12B99">
        <w:rPr>
          <w:rFonts w:asciiTheme="minorHAnsi" w:hAnsiTheme="minorHAnsi"/>
          <w:color w:val="auto"/>
          <w:szCs w:val="24"/>
        </w:rPr>
        <w:t xml:space="preserve"> in the mid-frequency range</w:t>
      </w:r>
      <w:r w:rsidR="00541AEC">
        <w:rPr>
          <w:rFonts w:asciiTheme="minorHAnsi" w:hAnsiTheme="minorHAnsi"/>
          <w:color w:val="auto"/>
          <w:szCs w:val="24"/>
        </w:rPr>
        <w:t xml:space="preserve">, and </w:t>
      </w:r>
      <w:r w:rsidR="00855065">
        <w:rPr>
          <w:rFonts w:asciiTheme="minorHAnsi" w:hAnsiTheme="minorHAnsi"/>
          <w:color w:val="auto"/>
          <w:szCs w:val="24"/>
        </w:rPr>
        <w:t>h</w:t>
      </w:r>
      <w:r w:rsidR="00541AEC">
        <w:rPr>
          <w:rFonts w:asciiTheme="minorHAnsi" w:hAnsiTheme="minorHAnsi"/>
          <w:color w:val="auto"/>
          <w:szCs w:val="24"/>
        </w:rPr>
        <w:t>earing aids w</w:t>
      </w:r>
      <w:r w:rsidR="00855065">
        <w:rPr>
          <w:rFonts w:asciiTheme="minorHAnsi" w:hAnsiTheme="minorHAnsi"/>
          <w:color w:val="auto"/>
          <w:szCs w:val="24"/>
        </w:rPr>
        <w:t>ere</w:t>
      </w:r>
      <w:r w:rsidR="00541AEC">
        <w:rPr>
          <w:rFonts w:asciiTheme="minorHAnsi" w:hAnsiTheme="minorHAnsi"/>
          <w:color w:val="auto"/>
          <w:szCs w:val="24"/>
        </w:rPr>
        <w:t xml:space="preserve"> recommended.  The CI was placed on</w:t>
      </w:r>
      <w:r w:rsidR="00F12B99" w:rsidRPr="00F12B99">
        <w:rPr>
          <w:rFonts w:asciiTheme="minorHAnsi" w:hAnsiTheme="minorHAnsi"/>
          <w:color w:val="auto"/>
          <w:szCs w:val="24"/>
        </w:rPr>
        <w:t xml:space="preserve"> </w:t>
      </w:r>
      <w:r w:rsidR="00F12B99">
        <w:rPr>
          <w:rFonts w:asciiTheme="minorHAnsi" w:hAnsiTheme="minorHAnsi"/>
          <w:color w:val="auto"/>
          <w:szCs w:val="24"/>
        </w:rPr>
        <w:t>two consecutive six</w:t>
      </w:r>
      <w:r w:rsidR="00B51013">
        <w:rPr>
          <w:rFonts w:asciiTheme="minorHAnsi" w:hAnsiTheme="minorHAnsi"/>
          <w:color w:val="auto"/>
          <w:szCs w:val="24"/>
        </w:rPr>
        <w:t>-</w:t>
      </w:r>
      <w:r w:rsidR="00F12B99">
        <w:rPr>
          <w:rFonts w:asciiTheme="minorHAnsi" w:hAnsiTheme="minorHAnsi"/>
          <w:color w:val="auto"/>
          <w:szCs w:val="24"/>
        </w:rPr>
        <w:t>month</w:t>
      </w:r>
      <w:r w:rsidR="004379DD">
        <w:rPr>
          <w:rFonts w:asciiTheme="minorHAnsi" w:hAnsiTheme="minorHAnsi"/>
          <w:color w:val="auto"/>
          <w:szCs w:val="24"/>
        </w:rPr>
        <w:t xml:space="preserve"> periods of</w:t>
      </w:r>
      <w:r w:rsidR="00F12B99">
        <w:rPr>
          <w:rFonts w:asciiTheme="minorHAnsi" w:hAnsiTheme="minorHAnsi"/>
          <w:color w:val="auto"/>
          <w:szCs w:val="24"/>
        </w:rPr>
        <w:t xml:space="preserve"> limited duty</w:t>
      </w:r>
      <w:r w:rsidR="00541AEC">
        <w:rPr>
          <w:rFonts w:asciiTheme="minorHAnsi" w:hAnsiTheme="minorHAnsi"/>
          <w:color w:val="auto"/>
          <w:szCs w:val="24"/>
        </w:rPr>
        <w:t xml:space="preserve"> and removed from exposure to hazardous noise</w:t>
      </w:r>
      <w:r w:rsidR="00B51013">
        <w:rPr>
          <w:rFonts w:asciiTheme="minorHAnsi" w:hAnsiTheme="minorHAnsi"/>
          <w:color w:val="auto"/>
          <w:szCs w:val="24"/>
        </w:rPr>
        <w:t>s</w:t>
      </w:r>
      <w:r w:rsidR="00F12B99">
        <w:rPr>
          <w:rFonts w:asciiTheme="minorHAnsi" w:hAnsiTheme="minorHAnsi"/>
          <w:color w:val="auto"/>
          <w:szCs w:val="24"/>
        </w:rPr>
        <w:t>.  P</w:t>
      </w:r>
      <w:r w:rsidR="00541AEC">
        <w:rPr>
          <w:rFonts w:asciiTheme="minorHAnsi" w:hAnsiTheme="minorHAnsi"/>
          <w:color w:val="auto"/>
          <w:szCs w:val="24"/>
        </w:rPr>
        <w:t>eriodic audiograms demonstrated stability of the condition over the course of one year.</w:t>
      </w:r>
      <w:r w:rsidR="00F12B99">
        <w:rPr>
          <w:rFonts w:asciiTheme="minorHAnsi" w:hAnsiTheme="minorHAnsi"/>
          <w:color w:val="auto"/>
          <w:szCs w:val="24"/>
        </w:rPr>
        <w:t xml:space="preserve">  Although the hearing loss stabilized, there was considerable risk that continued noise exposure while on active duty</w:t>
      </w:r>
      <w:r w:rsidR="004379DD">
        <w:rPr>
          <w:rFonts w:asciiTheme="minorHAnsi" w:hAnsiTheme="minorHAnsi"/>
          <w:color w:val="auto"/>
          <w:szCs w:val="24"/>
        </w:rPr>
        <w:t xml:space="preserve"> (</w:t>
      </w:r>
      <w:r w:rsidR="00F12B99">
        <w:rPr>
          <w:rFonts w:asciiTheme="minorHAnsi" w:hAnsiTheme="minorHAnsi"/>
          <w:color w:val="auto"/>
          <w:szCs w:val="24"/>
        </w:rPr>
        <w:t>firearms</w:t>
      </w:r>
      <w:r w:rsidR="004379DD">
        <w:rPr>
          <w:rFonts w:asciiTheme="minorHAnsi" w:hAnsiTheme="minorHAnsi"/>
          <w:color w:val="auto"/>
          <w:szCs w:val="24"/>
        </w:rPr>
        <w:t>, machinery, vehicles, aircraft, etc.)</w:t>
      </w:r>
      <w:r w:rsidR="00F55B87">
        <w:rPr>
          <w:rFonts w:asciiTheme="minorHAnsi" w:hAnsiTheme="minorHAnsi"/>
          <w:color w:val="auto"/>
          <w:szCs w:val="24"/>
        </w:rPr>
        <w:t>, would result in continued decline in hearing</w:t>
      </w:r>
      <w:r w:rsidR="00E929A0">
        <w:rPr>
          <w:rFonts w:asciiTheme="minorHAnsi" w:hAnsiTheme="minorHAnsi"/>
          <w:color w:val="auto"/>
          <w:szCs w:val="24"/>
        </w:rPr>
        <w:t>,</w:t>
      </w:r>
      <w:r w:rsidR="00F55B87">
        <w:rPr>
          <w:rFonts w:asciiTheme="minorHAnsi" w:hAnsiTheme="minorHAnsi"/>
          <w:color w:val="auto"/>
          <w:szCs w:val="24"/>
        </w:rPr>
        <w:t xml:space="preserve"> including high frequencies</w:t>
      </w:r>
      <w:r w:rsidR="00E929A0">
        <w:rPr>
          <w:rFonts w:asciiTheme="minorHAnsi" w:hAnsiTheme="minorHAnsi"/>
          <w:color w:val="auto"/>
          <w:szCs w:val="24"/>
        </w:rPr>
        <w:t>,</w:t>
      </w:r>
      <w:r w:rsidR="00F55B87">
        <w:rPr>
          <w:rFonts w:asciiTheme="minorHAnsi" w:hAnsiTheme="minorHAnsi"/>
          <w:color w:val="auto"/>
          <w:szCs w:val="24"/>
        </w:rPr>
        <w:t xml:space="preserve"> further impairing his </w:t>
      </w:r>
      <w:r w:rsidR="00F12B99">
        <w:rPr>
          <w:rFonts w:asciiTheme="minorHAnsi" w:hAnsiTheme="minorHAnsi"/>
          <w:color w:val="auto"/>
          <w:szCs w:val="24"/>
        </w:rPr>
        <w:t>ability to communicate in complex listening environments.</w:t>
      </w:r>
      <w:r w:rsidR="00576206">
        <w:rPr>
          <w:rFonts w:asciiTheme="minorHAnsi" w:hAnsiTheme="minorHAnsi"/>
          <w:color w:val="auto"/>
          <w:szCs w:val="24"/>
        </w:rPr>
        <w:t xml:space="preserve">  Results of audiometric evaluations are displayed in the chart below:</w:t>
      </w:r>
    </w:p>
    <w:p w:rsidR="009132D2" w:rsidRPr="003818B7" w:rsidRDefault="009132D2" w:rsidP="001B3857">
      <w:pPr>
        <w:pStyle w:val="NoSpacing"/>
        <w:ind w:left="720"/>
        <w:rPr>
          <w:color w:val="auto"/>
        </w:rPr>
      </w:pPr>
    </w:p>
    <w:tbl>
      <w:tblPr>
        <w:tblStyle w:val="TableGrid"/>
        <w:tblW w:w="0" w:type="auto"/>
        <w:tblInd w:w="378" w:type="dxa"/>
        <w:tblLook w:val="04A0"/>
      </w:tblPr>
      <w:tblGrid>
        <w:gridCol w:w="1800"/>
        <w:gridCol w:w="2250"/>
        <w:gridCol w:w="2340"/>
        <w:gridCol w:w="2340"/>
      </w:tblGrid>
      <w:tr w:rsidR="00C37A31" w:rsidRPr="003818B7" w:rsidTr="00842473">
        <w:tc>
          <w:tcPr>
            <w:tcW w:w="1800" w:type="dxa"/>
            <w:tcBorders>
              <w:bottom w:val="single" w:sz="4" w:space="0" w:color="000000" w:themeColor="text1"/>
            </w:tcBorders>
            <w:shd w:val="clear" w:color="auto" w:fill="BFBFBF" w:themeFill="background1" w:themeFillShade="BF"/>
          </w:tcPr>
          <w:p w:rsidR="009132D2" w:rsidRPr="003818B7" w:rsidRDefault="00576206" w:rsidP="00B51013">
            <w:pPr>
              <w:tabs>
                <w:tab w:val="left" w:pos="2980"/>
              </w:tabs>
              <w:spacing w:line="240" w:lineRule="exact"/>
              <w:jc w:val="center"/>
              <w:rPr>
                <w:color w:val="auto"/>
                <w:szCs w:val="24"/>
              </w:rPr>
            </w:pPr>
            <w:r w:rsidRPr="003818B7">
              <w:rPr>
                <w:color w:val="auto"/>
                <w:szCs w:val="24"/>
              </w:rPr>
              <w:t>HEARING</w:t>
            </w:r>
          </w:p>
        </w:tc>
        <w:tc>
          <w:tcPr>
            <w:tcW w:w="2250" w:type="dxa"/>
            <w:shd w:val="clear" w:color="auto" w:fill="BFBFBF" w:themeFill="background1" w:themeFillShade="BF"/>
          </w:tcPr>
          <w:p w:rsidR="009132D2" w:rsidRPr="003818B7" w:rsidRDefault="009132D2" w:rsidP="00B51013">
            <w:pPr>
              <w:tabs>
                <w:tab w:val="left" w:pos="2980"/>
              </w:tabs>
              <w:spacing w:line="240" w:lineRule="exact"/>
              <w:jc w:val="center"/>
              <w:rPr>
                <w:color w:val="auto"/>
                <w:sz w:val="20"/>
                <w:szCs w:val="20"/>
              </w:rPr>
            </w:pPr>
            <w:r w:rsidRPr="003818B7">
              <w:rPr>
                <w:color w:val="auto"/>
                <w:sz w:val="20"/>
                <w:szCs w:val="20"/>
              </w:rPr>
              <w:t>EXAM</w:t>
            </w:r>
          </w:p>
        </w:tc>
        <w:tc>
          <w:tcPr>
            <w:tcW w:w="2340" w:type="dxa"/>
            <w:shd w:val="clear" w:color="auto" w:fill="BFBFBF" w:themeFill="background1" w:themeFillShade="BF"/>
          </w:tcPr>
          <w:p w:rsidR="00A02A53" w:rsidRPr="003818B7" w:rsidRDefault="009132D2" w:rsidP="00B51013">
            <w:pPr>
              <w:tabs>
                <w:tab w:val="left" w:pos="2980"/>
              </w:tabs>
              <w:spacing w:line="240" w:lineRule="exact"/>
              <w:jc w:val="center"/>
              <w:rPr>
                <w:color w:val="auto"/>
                <w:sz w:val="20"/>
                <w:szCs w:val="20"/>
              </w:rPr>
            </w:pPr>
            <w:r w:rsidRPr="003818B7">
              <w:rPr>
                <w:color w:val="auto"/>
                <w:sz w:val="20"/>
                <w:szCs w:val="20"/>
              </w:rPr>
              <w:t>MEB</w:t>
            </w:r>
            <w:r w:rsidR="00A02A53" w:rsidRPr="003818B7">
              <w:rPr>
                <w:color w:val="auto"/>
                <w:sz w:val="20"/>
                <w:szCs w:val="20"/>
              </w:rPr>
              <w:t xml:space="preserve"> </w:t>
            </w:r>
            <w:r w:rsidR="00226B82" w:rsidRPr="003818B7">
              <w:rPr>
                <w:color w:val="auto"/>
                <w:sz w:val="20"/>
                <w:szCs w:val="20"/>
              </w:rPr>
              <w:t xml:space="preserve">~5 </w:t>
            </w:r>
            <w:r w:rsidR="00C85318" w:rsidRPr="003818B7">
              <w:rPr>
                <w:color w:val="auto"/>
                <w:sz w:val="20"/>
                <w:szCs w:val="20"/>
              </w:rPr>
              <w:t>M</w:t>
            </w:r>
            <w:r w:rsidR="00226B82" w:rsidRPr="003818B7">
              <w:rPr>
                <w:color w:val="auto"/>
                <w:sz w:val="20"/>
                <w:szCs w:val="20"/>
              </w:rPr>
              <w:t>o</w:t>
            </w:r>
            <w:r w:rsidR="00C85318" w:rsidRPr="003818B7">
              <w:rPr>
                <w:color w:val="auto"/>
                <w:sz w:val="20"/>
                <w:szCs w:val="20"/>
              </w:rPr>
              <w:t>.</w:t>
            </w:r>
            <w:r w:rsidR="00226B82" w:rsidRPr="003818B7">
              <w:rPr>
                <w:color w:val="auto"/>
                <w:sz w:val="20"/>
                <w:szCs w:val="20"/>
              </w:rPr>
              <w:t xml:space="preserve"> Pre Sep</w:t>
            </w:r>
          </w:p>
        </w:tc>
        <w:tc>
          <w:tcPr>
            <w:tcW w:w="2340" w:type="dxa"/>
            <w:shd w:val="clear" w:color="auto" w:fill="BFBFBF" w:themeFill="background1" w:themeFillShade="BF"/>
          </w:tcPr>
          <w:p w:rsidR="009132D2" w:rsidRPr="003818B7" w:rsidRDefault="00C85318" w:rsidP="00B51013">
            <w:pPr>
              <w:tabs>
                <w:tab w:val="left" w:pos="2980"/>
              </w:tabs>
              <w:spacing w:line="240" w:lineRule="exact"/>
              <w:jc w:val="center"/>
              <w:rPr>
                <w:color w:val="auto"/>
                <w:sz w:val="20"/>
                <w:szCs w:val="20"/>
              </w:rPr>
            </w:pPr>
            <w:r w:rsidRPr="003818B7">
              <w:rPr>
                <w:color w:val="auto"/>
                <w:sz w:val="20"/>
                <w:szCs w:val="20"/>
              </w:rPr>
              <w:t xml:space="preserve">VA </w:t>
            </w:r>
            <w:r w:rsidR="009132D2" w:rsidRPr="003818B7">
              <w:rPr>
                <w:color w:val="auto"/>
                <w:sz w:val="20"/>
                <w:szCs w:val="20"/>
              </w:rPr>
              <w:t>C&amp;P</w:t>
            </w:r>
            <w:r w:rsidR="00A02A53" w:rsidRPr="003818B7">
              <w:rPr>
                <w:color w:val="auto"/>
                <w:sz w:val="20"/>
                <w:szCs w:val="20"/>
              </w:rPr>
              <w:t xml:space="preserve"> </w:t>
            </w:r>
            <w:r w:rsidR="00226B82" w:rsidRPr="003818B7">
              <w:rPr>
                <w:color w:val="auto"/>
                <w:sz w:val="20"/>
                <w:szCs w:val="20"/>
              </w:rPr>
              <w:t>~2 Mo</w:t>
            </w:r>
            <w:r w:rsidRPr="003818B7">
              <w:rPr>
                <w:color w:val="auto"/>
                <w:sz w:val="20"/>
                <w:szCs w:val="20"/>
              </w:rPr>
              <w:t>.</w:t>
            </w:r>
            <w:r w:rsidR="00226B82" w:rsidRPr="003818B7">
              <w:rPr>
                <w:color w:val="auto"/>
                <w:sz w:val="20"/>
                <w:szCs w:val="20"/>
              </w:rPr>
              <w:t xml:space="preserve"> After Sep</w:t>
            </w:r>
          </w:p>
        </w:tc>
      </w:tr>
      <w:tr w:rsidR="00C37A31" w:rsidRPr="003818B7" w:rsidTr="00842473">
        <w:tc>
          <w:tcPr>
            <w:tcW w:w="1800" w:type="dxa"/>
            <w:vMerge w:val="restart"/>
            <w:shd w:val="clear" w:color="auto" w:fill="BFBFBF" w:themeFill="background1" w:themeFillShade="BF"/>
          </w:tcPr>
          <w:p w:rsidR="009132D2" w:rsidRPr="003818B7" w:rsidRDefault="001B3857" w:rsidP="00B51013">
            <w:pPr>
              <w:tabs>
                <w:tab w:val="left" w:pos="2980"/>
              </w:tabs>
              <w:spacing w:line="240" w:lineRule="exact"/>
              <w:jc w:val="both"/>
              <w:rPr>
                <w:color w:val="auto"/>
                <w:sz w:val="20"/>
                <w:szCs w:val="20"/>
              </w:rPr>
            </w:pPr>
            <w:r w:rsidRPr="003818B7">
              <w:rPr>
                <w:color w:val="auto"/>
                <w:sz w:val="20"/>
                <w:szCs w:val="20"/>
              </w:rPr>
              <w:t>L</w:t>
            </w:r>
            <w:r w:rsidR="00B51013">
              <w:rPr>
                <w:color w:val="auto"/>
                <w:sz w:val="20"/>
                <w:szCs w:val="20"/>
              </w:rPr>
              <w:t>eft Ear</w:t>
            </w:r>
          </w:p>
        </w:tc>
        <w:tc>
          <w:tcPr>
            <w:tcW w:w="2250" w:type="dxa"/>
          </w:tcPr>
          <w:p w:rsidR="009132D2" w:rsidRPr="003818B7" w:rsidRDefault="009132D2" w:rsidP="00C37A31">
            <w:pPr>
              <w:tabs>
                <w:tab w:val="left" w:pos="2980"/>
              </w:tabs>
              <w:spacing w:line="240" w:lineRule="exact"/>
              <w:jc w:val="both"/>
              <w:rPr>
                <w:color w:val="auto"/>
                <w:sz w:val="18"/>
                <w:szCs w:val="18"/>
              </w:rPr>
            </w:pPr>
            <w:r w:rsidRPr="003818B7">
              <w:rPr>
                <w:color w:val="auto"/>
                <w:sz w:val="18"/>
                <w:szCs w:val="18"/>
              </w:rPr>
              <w:t>Av</w:t>
            </w:r>
            <w:r w:rsidR="00C37A31" w:rsidRPr="003818B7">
              <w:rPr>
                <w:color w:val="auto"/>
                <w:sz w:val="18"/>
                <w:szCs w:val="18"/>
              </w:rPr>
              <w:t>erage Hearing</w:t>
            </w:r>
            <w:r w:rsidRPr="003818B7">
              <w:rPr>
                <w:color w:val="auto"/>
                <w:sz w:val="18"/>
                <w:szCs w:val="18"/>
              </w:rPr>
              <w:t xml:space="preserve"> Loss</w:t>
            </w:r>
          </w:p>
        </w:tc>
        <w:tc>
          <w:tcPr>
            <w:tcW w:w="2340" w:type="dxa"/>
          </w:tcPr>
          <w:p w:rsidR="009132D2" w:rsidRPr="003818B7" w:rsidRDefault="009132D2" w:rsidP="00C37A31">
            <w:pPr>
              <w:tabs>
                <w:tab w:val="left" w:pos="2980"/>
              </w:tabs>
              <w:spacing w:line="240" w:lineRule="exact"/>
              <w:jc w:val="center"/>
              <w:rPr>
                <w:color w:val="auto"/>
                <w:sz w:val="18"/>
                <w:szCs w:val="18"/>
              </w:rPr>
            </w:pPr>
            <w:r w:rsidRPr="003818B7">
              <w:rPr>
                <w:color w:val="auto"/>
                <w:sz w:val="18"/>
                <w:szCs w:val="18"/>
              </w:rPr>
              <w:t>4</w:t>
            </w:r>
            <w:r w:rsidR="001B3857" w:rsidRPr="003818B7">
              <w:rPr>
                <w:color w:val="auto"/>
                <w:sz w:val="18"/>
                <w:szCs w:val="18"/>
              </w:rPr>
              <w:t>5</w:t>
            </w:r>
            <w:r w:rsidR="00C37A31" w:rsidRPr="003818B7">
              <w:rPr>
                <w:color w:val="auto"/>
                <w:sz w:val="18"/>
                <w:szCs w:val="18"/>
              </w:rPr>
              <w:t xml:space="preserve"> dB</w:t>
            </w:r>
          </w:p>
        </w:tc>
        <w:tc>
          <w:tcPr>
            <w:tcW w:w="2340" w:type="dxa"/>
          </w:tcPr>
          <w:p w:rsidR="009132D2" w:rsidRPr="003818B7" w:rsidRDefault="009132D2" w:rsidP="00C37A31">
            <w:pPr>
              <w:tabs>
                <w:tab w:val="left" w:pos="2980"/>
              </w:tabs>
              <w:spacing w:line="240" w:lineRule="exact"/>
              <w:jc w:val="center"/>
              <w:rPr>
                <w:color w:val="auto"/>
                <w:sz w:val="18"/>
                <w:szCs w:val="18"/>
              </w:rPr>
            </w:pPr>
            <w:r w:rsidRPr="003818B7">
              <w:rPr>
                <w:color w:val="auto"/>
                <w:sz w:val="18"/>
                <w:szCs w:val="18"/>
              </w:rPr>
              <w:t>4</w:t>
            </w:r>
            <w:r w:rsidR="001B3857" w:rsidRPr="003818B7">
              <w:rPr>
                <w:color w:val="auto"/>
                <w:sz w:val="18"/>
                <w:szCs w:val="18"/>
              </w:rPr>
              <w:t>5</w:t>
            </w:r>
            <w:r w:rsidR="00C37A31" w:rsidRPr="003818B7">
              <w:rPr>
                <w:color w:val="auto"/>
                <w:sz w:val="18"/>
                <w:szCs w:val="18"/>
              </w:rPr>
              <w:t xml:space="preserve"> dB</w:t>
            </w:r>
          </w:p>
        </w:tc>
      </w:tr>
      <w:tr w:rsidR="00C37A31" w:rsidRPr="003818B7" w:rsidTr="00842473">
        <w:tc>
          <w:tcPr>
            <w:tcW w:w="1800" w:type="dxa"/>
            <w:vMerge/>
            <w:shd w:val="clear" w:color="auto" w:fill="BFBFBF" w:themeFill="background1" w:themeFillShade="BF"/>
          </w:tcPr>
          <w:p w:rsidR="009132D2" w:rsidRPr="003818B7" w:rsidRDefault="009132D2" w:rsidP="00F12B99">
            <w:pPr>
              <w:tabs>
                <w:tab w:val="left" w:pos="2980"/>
              </w:tabs>
              <w:spacing w:line="240" w:lineRule="exact"/>
              <w:jc w:val="both"/>
              <w:rPr>
                <w:color w:val="auto"/>
                <w:sz w:val="20"/>
                <w:szCs w:val="20"/>
              </w:rPr>
            </w:pPr>
          </w:p>
        </w:tc>
        <w:tc>
          <w:tcPr>
            <w:tcW w:w="2250" w:type="dxa"/>
          </w:tcPr>
          <w:p w:rsidR="009132D2" w:rsidRPr="003818B7" w:rsidRDefault="009132D2" w:rsidP="00C37A31">
            <w:pPr>
              <w:tabs>
                <w:tab w:val="left" w:pos="2980"/>
              </w:tabs>
              <w:spacing w:line="240" w:lineRule="exact"/>
              <w:jc w:val="both"/>
              <w:rPr>
                <w:color w:val="auto"/>
                <w:sz w:val="18"/>
                <w:szCs w:val="18"/>
              </w:rPr>
            </w:pPr>
            <w:r w:rsidRPr="003818B7">
              <w:rPr>
                <w:color w:val="auto"/>
                <w:sz w:val="18"/>
                <w:szCs w:val="18"/>
              </w:rPr>
              <w:t xml:space="preserve">Speech </w:t>
            </w:r>
            <w:r w:rsidR="00C37A31" w:rsidRPr="003818B7">
              <w:rPr>
                <w:color w:val="auto"/>
                <w:sz w:val="18"/>
                <w:szCs w:val="18"/>
              </w:rPr>
              <w:t>Discrimination</w:t>
            </w:r>
          </w:p>
        </w:tc>
        <w:tc>
          <w:tcPr>
            <w:tcW w:w="2340" w:type="dxa"/>
          </w:tcPr>
          <w:p w:rsidR="009132D2" w:rsidRPr="003818B7" w:rsidRDefault="001B3857" w:rsidP="001B3857">
            <w:pPr>
              <w:tabs>
                <w:tab w:val="left" w:pos="2980"/>
              </w:tabs>
              <w:spacing w:line="240" w:lineRule="exact"/>
              <w:jc w:val="center"/>
              <w:rPr>
                <w:color w:val="auto"/>
                <w:sz w:val="18"/>
                <w:szCs w:val="18"/>
              </w:rPr>
            </w:pPr>
            <w:r w:rsidRPr="003818B7">
              <w:rPr>
                <w:color w:val="auto"/>
                <w:sz w:val="18"/>
                <w:szCs w:val="18"/>
              </w:rPr>
              <w:t>76</w:t>
            </w:r>
            <w:r w:rsidR="00C37A31" w:rsidRPr="003818B7">
              <w:rPr>
                <w:color w:val="auto"/>
                <w:sz w:val="18"/>
                <w:szCs w:val="18"/>
              </w:rPr>
              <w:t>%</w:t>
            </w:r>
          </w:p>
        </w:tc>
        <w:tc>
          <w:tcPr>
            <w:tcW w:w="2340" w:type="dxa"/>
          </w:tcPr>
          <w:p w:rsidR="009132D2" w:rsidRPr="003818B7" w:rsidRDefault="001B3857" w:rsidP="004D6F92">
            <w:pPr>
              <w:tabs>
                <w:tab w:val="left" w:pos="2980"/>
              </w:tabs>
              <w:spacing w:line="240" w:lineRule="exact"/>
              <w:jc w:val="center"/>
              <w:rPr>
                <w:color w:val="auto"/>
                <w:sz w:val="18"/>
                <w:szCs w:val="18"/>
              </w:rPr>
            </w:pPr>
            <w:r w:rsidRPr="003818B7">
              <w:rPr>
                <w:color w:val="auto"/>
                <w:sz w:val="18"/>
                <w:szCs w:val="18"/>
              </w:rPr>
              <w:t>8</w:t>
            </w:r>
            <w:r w:rsidR="004D6F92" w:rsidRPr="003818B7">
              <w:rPr>
                <w:color w:val="auto"/>
                <w:sz w:val="18"/>
                <w:szCs w:val="18"/>
              </w:rPr>
              <w:t>8</w:t>
            </w:r>
            <w:r w:rsidR="00C37A31" w:rsidRPr="003818B7">
              <w:rPr>
                <w:color w:val="auto"/>
                <w:sz w:val="18"/>
                <w:szCs w:val="18"/>
              </w:rPr>
              <w:t>%</w:t>
            </w:r>
          </w:p>
        </w:tc>
      </w:tr>
      <w:tr w:rsidR="00C37A31" w:rsidRPr="003818B7" w:rsidTr="00842473">
        <w:tc>
          <w:tcPr>
            <w:tcW w:w="1800" w:type="dxa"/>
            <w:vMerge/>
            <w:shd w:val="clear" w:color="auto" w:fill="BFBFBF" w:themeFill="background1" w:themeFillShade="BF"/>
          </w:tcPr>
          <w:p w:rsidR="009132D2" w:rsidRPr="003818B7" w:rsidRDefault="009132D2" w:rsidP="00F12B99">
            <w:pPr>
              <w:tabs>
                <w:tab w:val="left" w:pos="2980"/>
              </w:tabs>
              <w:spacing w:line="240" w:lineRule="exact"/>
              <w:jc w:val="both"/>
              <w:rPr>
                <w:color w:val="auto"/>
                <w:sz w:val="20"/>
                <w:szCs w:val="20"/>
              </w:rPr>
            </w:pPr>
          </w:p>
        </w:tc>
        <w:tc>
          <w:tcPr>
            <w:tcW w:w="2250" w:type="dxa"/>
          </w:tcPr>
          <w:p w:rsidR="009132D2" w:rsidRPr="003818B7" w:rsidRDefault="009132D2" w:rsidP="00576206">
            <w:pPr>
              <w:tabs>
                <w:tab w:val="left" w:pos="2980"/>
              </w:tabs>
              <w:spacing w:line="240" w:lineRule="exact"/>
              <w:jc w:val="both"/>
              <w:rPr>
                <w:color w:val="auto"/>
                <w:sz w:val="18"/>
                <w:szCs w:val="18"/>
              </w:rPr>
            </w:pPr>
            <w:r w:rsidRPr="003818B7">
              <w:rPr>
                <w:color w:val="auto"/>
                <w:sz w:val="18"/>
                <w:szCs w:val="18"/>
              </w:rPr>
              <w:t>Table VI</w:t>
            </w:r>
            <w:r w:rsidR="00576206" w:rsidRPr="003818B7">
              <w:rPr>
                <w:color w:val="auto"/>
                <w:sz w:val="18"/>
                <w:szCs w:val="18"/>
              </w:rPr>
              <w:t xml:space="preserve"> / </w:t>
            </w:r>
            <w:proofErr w:type="spellStart"/>
            <w:r w:rsidR="00576206" w:rsidRPr="003818B7">
              <w:rPr>
                <w:color w:val="auto"/>
                <w:sz w:val="18"/>
                <w:szCs w:val="18"/>
              </w:rPr>
              <w:t>VIa</w:t>
            </w:r>
            <w:proofErr w:type="spellEnd"/>
          </w:p>
        </w:tc>
        <w:tc>
          <w:tcPr>
            <w:tcW w:w="2340" w:type="dxa"/>
          </w:tcPr>
          <w:p w:rsidR="009132D2" w:rsidRPr="003818B7" w:rsidRDefault="009132D2" w:rsidP="001B3857">
            <w:pPr>
              <w:tabs>
                <w:tab w:val="left" w:pos="2980"/>
              </w:tabs>
              <w:spacing w:line="240" w:lineRule="exact"/>
              <w:jc w:val="center"/>
              <w:rPr>
                <w:color w:val="auto"/>
                <w:sz w:val="18"/>
                <w:szCs w:val="18"/>
              </w:rPr>
            </w:pPr>
            <w:r w:rsidRPr="003818B7">
              <w:rPr>
                <w:color w:val="auto"/>
                <w:sz w:val="18"/>
                <w:szCs w:val="18"/>
              </w:rPr>
              <w:t>II</w:t>
            </w:r>
            <w:r w:rsidR="001B3857" w:rsidRPr="003818B7">
              <w:rPr>
                <w:color w:val="auto"/>
                <w:sz w:val="18"/>
                <w:szCs w:val="18"/>
              </w:rPr>
              <w:t>I</w:t>
            </w:r>
            <w:r w:rsidR="00576206" w:rsidRPr="003818B7">
              <w:rPr>
                <w:color w:val="auto"/>
                <w:sz w:val="18"/>
                <w:szCs w:val="18"/>
              </w:rPr>
              <w:t xml:space="preserve"> / II</w:t>
            </w:r>
          </w:p>
        </w:tc>
        <w:tc>
          <w:tcPr>
            <w:tcW w:w="2340" w:type="dxa"/>
          </w:tcPr>
          <w:p w:rsidR="009132D2" w:rsidRPr="003818B7" w:rsidRDefault="009132D2" w:rsidP="001B3857">
            <w:pPr>
              <w:tabs>
                <w:tab w:val="left" w:pos="2980"/>
              </w:tabs>
              <w:spacing w:line="240" w:lineRule="exact"/>
              <w:jc w:val="center"/>
              <w:rPr>
                <w:color w:val="auto"/>
                <w:sz w:val="18"/>
                <w:szCs w:val="18"/>
              </w:rPr>
            </w:pPr>
            <w:r w:rsidRPr="003818B7">
              <w:rPr>
                <w:color w:val="auto"/>
                <w:sz w:val="18"/>
                <w:szCs w:val="18"/>
              </w:rPr>
              <w:t>II</w:t>
            </w:r>
            <w:r w:rsidR="00576206" w:rsidRPr="003818B7">
              <w:rPr>
                <w:color w:val="auto"/>
                <w:sz w:val="18"/>
                <w:szCs w:val="18"/>
              </w:rPr>
              <w:t xml:space="preserve"> / II</w:t>
            </w:r>
          </w:p>
        </w:tc>
      </w:tr>
      <w:tr w:rsidR="00C37A31" w:rsidRPr="003818B7" w:rsidTr="00842473">
        <w:tc>
          <w:tcPr>
            <w:tcW w:w="1800" w:type="dxa"/>
            <w:vMerge w:val="restart"/>
            <w:shd w:val="clear" w:color="auto" w:fill="BFBFBF" w:themeFill="background1" w:themeFillShade="BF"/>
          </w:tcPr>
          <w:p w:rsidR="009132D2" w:rsidRPr="003818B7" w:rsidRDefault="001B3857" w:rsidP="00B51013">
            <w:pPr>
              <w:tabs>
                <w:tab w:val="left" w:pos="2980"/>
              </w:tabs>
              <w:spacing w:line="240" w:lineRule="exact"/>
              <w:jc w:val="both"/>
              <w:rPr>
                <w:color w:val="auto"/>
                <w:sz w:val="20"/>
                <w:szCs w:val="20"/>
              </w:rPr>
            </w:pPr>
            <w:r w:rsidRPr="003818B7">
              <w:rPr>
                <w:color w:val="auto"/>
                <w:sz w:val="20"/>
                <w:szCs w:val="20"/>
              </w:rPr>
              <w:t>R</w:t>
            </w:r>
            <w:r w:rsidR="00B51013">
              <w:rPr>
                <w:color w:val="auto"/>
                <w:sz w:val="20"/>
                <w:szCs w:val="20"/>
              </w:rPr>
              <w:t>ight Ear</w:t>
            </w:r>
          </w:p>
        </w:tc>
        <w:tc>
          <w:tcPr>
            <w:tcW w:w="2250" w:type="dxa"/>
          </w:tcPr>
          <w:p w:rsidR="009132D2" w:rsidRPr="003818B7" w:rsidRDefault="009132D2" w:rsidP="00C37A31">
            <w:pPr>
              <w:tabs>
                <w:tab w:val="left" w:pos="2980"/>
              </w:tabs>
              <w:spacing w:line="240" w:lineRule="exact"/>
              <w:jc w:val="both"/>
              <w:rPr>
                <w:color w:val="auto"/>
                <w:sz w:val="18"/>
                <w:szCs w:val="18"/>
              </w:rPr>
            </w:pPr>
            <w:r w:rsidRPr="003818B7">
              <w:rPr>
                <w:color w:val="auto"/>
                <w:sz w:val="18"/>
                <w:szCs w:val="18"/>
              </w:rPr>
              <w:t>Av</w:t>
            </w:r>
            <w:r w:rsidR="00C37A31" w:rsidRPr="003818B7">
              <w:rPr>
                <w:color w:val="auto"/>
                <w:sz w:val="18"/>
                <w:szCs w:val="18"/>
              </w:rPr>
              <w:t xml:space="preserve">erage Hearing </w:t>
            </w:r>
            <w:r w:rsidRPr="003818B7">
              <w:rPr>
                <w:color w:val="auto"/>
                <w:sz w:val="18"/>
                <w:szCs w:val="18"/>
              </w:rPr>
              <w:t xml:space="preserve"> Loss</w:t>
            </w:r>
          </w:p>
        </w:tc>
        <w:tc>
          <w:tcPr>
            <w:tcW w:w="2340" w:type="dxa"/>
          </w:tcPr>
          <w:p w:rsidR="009132D2" w:rsidRPr="003818B7" w:rsidRDefault="009132D2" w:rsidP="00C37A31">
            <w:pPr>
              <w:tabs>
                <w:tab w:val="left" w:pos="2980"/>
              </w:tabs>
              <w:spacing w:line="240" w:lineRule="exact"/>
              <w:jc w:val="center"/>
              <w:rPr>
                <w:color w:val="auto"/>
                <w:sz w:val="18"/>
                <w:szCs w:val="18"/>
              </w:rPr>
            </w:pPr>
            <w:r w:rsidRPr="003818B7">
              <w:rPr>
                <w:color w:val="auto"/>
                <w:sz w:val="18"/>
                <w:szCs w:val="18"/>
              </w:rPr>
              <w:t>4</w:t>
            </w:r>
            <w:r w:rsidR="001B3857" w:rsidRPr="003818B7">
              <w:rPr>
                <w:color w:val="auto"/>
                <w:sz w:val="18"/>
                <w:szCs w:val="18"/>
              </w:rPr>
              <w:t>6</w:t>
            </w:r>
            <w:r w:rsidR="00C37A31" w:rsidRPr="003818B7">
              <w:rPr>
                <w:color w:val="auto"/>
                <w:sz w:val="18"/>
                <w:szCs w:val="18"/>
              </w:rPr>
              <w:t xml:space="preserve"> dB</w:t>
            </w:r>
          </w:p>
        </w:tc>
        <w:tc>
          <w:tcPr>
            <w:tcW w:w="2340" w:type="dxa"/>
          </w:tcPr>
          <w:p w:rsidR="009132D2" w:rsidRPr="003818B7" w:rsidRDefault="009132D2" w:rsidP="001B3857">
            <w:pPr>
              <w:tabs>
                <w:tab w:val="left" w:pos="2980"/>
              </w:tabs>
              <w:spacing w:line="240" w:lineRule="exact"/>
              <w:jc w:val="center"/>
              <w:rPr>
                <w:color w:val="auto"/>
                <w:sz w:val="18"/>
                <w:szCs w:val="18"/>
              </w:rPr>
            </w:pPr>
            <w:r w:rsidRPr="003818B7">
              <w:rPr>
                <w:color w:val="auto"/>
                <w:sz w:val="18"/>
                <w:szCs w:val="18"/>
              </w:rPr>
              <w:t>4</w:t>
            </w:r>
            <w:r w:rsidR="001B3857" w:rsidRPr="003818B7">
              <w:rPr>
                <w:color w:val="auto"/>
                <w:sz w:val="18"/>
                <w:szCs w:val="18"/>
              </w:rPr>
              <w:t>8</w:t>
            </w:r>
            <w:r w:rsidR="00C37A31" w:rsidRPr="003818B7">
              <w:rPr>
                <w:color w:val="auto"/>
                <w:sz w:val="18"/>
                <w:szCs w:val="18"/>
              </w:rPr>
              <w:t xml:space="preserve"> dB</w:t>
            </w:r>
          </w:p>
        </w:tc>
      </w:tr>
      <w:tr w:rsidR="00C37A31" w:rsidRPr="003818B7" w:rsidTr="00842473">
        <w:tc>
          <w:tcPr>
            <w:tcW w:w="1800" w:type="dxa"/>
            <w:vMerge/>
            <w:shd w:val="clear" w:color="auto" w:fill="BFBFBF" w:themeFill="background1" w:themeFillShade="BF"/>
          </w:tcPr>
          <w:p w:rsidR="009132D2" w:rsidRPr="003818B7" w:rsidRDefault="009132D2" w:rsidP="00F12B99">
            <w:pPr>
              <w:tabs>
                <w:tab w:val="left" w:pos="2980"/>
              </w:tabs>
              <w:spacing w:line="240" w:lineRule="exact"/>
              <w:jc w:val="both"/>
              <w:rPr>
                <w:color w:val="auto"/>
                <w:sz w:val="20"/>
                <w:szCs w:val="20"/>
              </w:rPr>
            </w:pPr>
          </w:p>
        </w:tc>
        <w:tc>
          <w:tcPr>
            <w:tcW w:w="2250" w:type="dxa"/>
          </w:tcPr>
          <w:p w:rsidR="009132D2" w:rsidRPr="003818B7" w:rsidRDefault="009132D2" w:rsidP="00C37A31">
            <w:pPr>
              <w:tabs>
                <w:tab w:val="left" w:pos="2980"/>
              </w:tabs>
              <w:spacing w:line="240" w:lineRule="exact"/>
              <w:jc w:val="both"/>
              <w:rPr>
                <w:color w:val="auto"/>
                <w:sz w:val="18"/>
                <w:szCs w:val="18"/>
              </w:rPr>
            </w:pPr>
            <w:r w:rsidRPr="003818B7">
              <w:rPr>
                <w:color w:val="auto"/>
                <w:sz w:val="18"/>
                <w:szCs w:val="18"/>
              </w:rPr>
              <w:t xml:space="preserve">Speech </w:t>
            </w:r>
            <w:r w:rsidR="00C37A31" w:rsidRPr="003818B7">
              <w:rPr>
                <w:color w:val="auto"/>
                <w:sz w:val="18"/>
                <w:szCs w:val="18"/>
              </w:rPr>
              <w:t>Discrimination</w:t>
            </w:r>
            <w:r w:rsidR="00A02A53" w:rsidRPr="003818B7">
              <w:rPr>
                <w:color w:val="auto"/>
                <w:sz w:val="18"/>
                <w:szCs w:val="18"/>
              </w:rPr>
              <w:t xml:space="preserve"> </w:t>
            </w:r>
          </w:p>
        </w:tc>
        <w:tc>
          <w:tcPr>
            <w:tcW w:w="2340" w:type="dxa"/>
          </w:tcPr>
          <w:p w:rsidR="009132D2" w:rsidRPr="003818B7" w:rsidRDefault="001B3857" w:rsidP="001B3857">
            <w:pPr>
              <w:tabs>
                <w:tab w:val="left" w:pos="2980"/>
              </w:tabs>
              <w:spacing w:line="240" w:lineRule="exact"/>
              <w:jc w:val="center"/>
              <w:rPr>
                <w:color w:val="auto"/>
                <w:sz w:val="18"/>
                <w:szCs w:val="18"/>
              </w:rPr>
            </w:pPr>
            <w:r w:rsidRPr="003818B7">
              <w:rPr>
                <w:color w:val="auto"/>
                <w:sz w:val="18"/>
                <w:szCs w:val="18"/>
              </w:rPr>
              <w:t>84</w:t>
            </w:r>
            <w:r w:rsidR="00C37A31" w:rsidRPr="003818B7">
              <w:rPr>
                <w:color w:val="auto"/>
                <w:sz w:val="18"/>
                <w:szCs w:val="18"/>
              </w:rPr>
              <w:t>%</w:t>
            </w:r>
          </w:p>
        </w:tc>
        <w:tc>
          <w:tcPr>
            <w:tcW w:w="2340" w:type="dxa"/>
          </w:tcPr>
          <w:p w:rsidR="009132D2" w:rsidRPr="003818B7" w:rsidRDefault="001B3857" w:rsidP="001B3857">
            <w:pPr>
              <w:tabs>
                <w:tab w:val="left" w:pos="2980"/>
              </w:tabs>
              <w:spacing w:line="240" w:lineRule="exact"/>
              <w:jc w:val="center"/>
              <w:rPr>
                <w:color w:val="auto"/>
                <w:sz w:val="18"/>
                <w:szCs w:val="18"/>
              </w:rPr>
            </w:pPr>
            <w:r w:rsidRPr="003818B7">
              <w:rPr>
                <w:color w:val="auto"/>
                <w:sz w:val="18"/>
                <w:szCs w:val="18"/>
              </w:rPr>
              <w:t>9</w:t>
            </w:r>
            <w:r w:rsidR="009132D2" w:rsidRPr="003818B7">
              <w:rPr>
                <w:color w:val="auto"/>
                <w:sz w:val="18"/>
                <w:szCs w:val="18"/>
              </w:rPr>
              <w:t>2</w:t>
            </w:r>
            <w:r w:rsidR="00C37A31" w:rsidRPr="003818B7">
              <w:rPr>
                <w:color w:val="auto"/>
                <w:sz w:val="18"/>
                <w:szCs w:val="18"/>
              </w:rPr>
              <w:t>%</w:t>
            </w:r>
          </w:p>
        </w:tc>
      </w:tr>
      <w:tr w:rsidR="00C37A31" w:rsidRPr="003818B7" w:rsidTr="00842473">
        <w:tc>
          <w:tcPr>
            <w:tcW w:w="1800" w:type="dxa"/>
            <w:vMerge/>
            <w:shd w:val="clear" w:color="auto" w:fill="BFBFBF" w:themeFill="background1" w:themeFillShade="BF"/>
          </w:tcPr>
          <w:p w:rsidR="009132D2" w:rsidRPr="003818B7" w:rsidRDefault="009132D2" w:rsidP="00F12B99">
            <w:pPr>
              <w:tabs>
                <w:tab w:val="left" w:pos="2980"/>
              </w:tabs>
              <w:spacing w:line="240" w:lineRule="exact"/>
              <w:jc w:val="both"/>
              <w:rPr>
                <w:color w:val="auto"/>
                <w:sz w:val="20"/>
                <w:szCs w:val="20"/>
              </w:rPr>
            </w:pPr>
          </w:p>
        </w:tc>
        <w:tc>
          <w:tcPr>
            <w:tcW w:w="2250" w:type="dxa"/>
          </w:tcPr>
          <w:p w:rsidR="009132D2" w:rsidRPr="003818B7" w:rsidRDefault="009132D2" w:rsidP="00A02A53">
            <w:pPr>
              <w:tabs>
                <w:tab w:val="left" w:pos="2980"/>
              </w:tabs>
              <w:spacing w:line="240" w:lineRule="exact"/>
              <w:jc w:val="both"/>
              <w:rPr>
                <w:color w:val="auto"/>
                <w:sz w:val="18"/>
                <w:szCs w:val="18"/>
              </w:rPr>
            </w:pPr>
            <w:r w:rsidRPr="003818B7">
              <w:rPr>
                <w:color w:val="auto"/>
                <w:sz w:val="18"/>
                <w:szCs w:val="18"/>
              </w:rPr>
              <w:t>Table VI</w:t>
            </w:r>
            <w:r w:rsidR="00576206" w:rsidRPr="003818B7">
              <w:rPr>
                <w:color w:val="auto"/>
                <w:sz w:val="18"/>
                <w:szCs w:val="18"/>
              </w:rPr>
              <w:t xml:space="preserve"> / </w:t>
            </w:r>
            <w:proofErr w:type="spellStart"/>
            <w:r w:rsidR="00576206" w:rsidRPr="003818B7">
              <w:rPr>
                <w:color w:val="auto"/>
                <w:sz w:val="18"/>
                <w:szCs w:val="18"/>
              </w:rPr>
              <w:t>VIa</w:t>
            </w:r>
            <w:proofErr w:type="spellEnd"/>
          </w:p>
        </w:tc>
        <w:tc>
          <w:tcPr>
            <w:tcW w:w="2340" w:type="dxa"/>
          </w:tcPr>
          <w:p w:rsidR="009132D2" w:rsidRPr="003818B7" w:rsidRDefault="009132D2" w:rsidP="001B3857">
            <w:pPr>
              <w:tabs>
                <w:tab w:val="left" w:pos="2980"/>
              </w:tabs>
              <w:spacing w:line="240" w:lineRule="exact"/>
              <w:jc w:val="center"/>
              <w:rPr>
                <w:color w:val="auto"/>
                <w:sz w:val="18"/>
                <w:szCs w:val="18"/>
              </w:rPr>
            </w:pPr>
            <w:r w:rsidRPr="003818B7">
              <w:rPr>
                <w:color w:val="auto"/>
                <w:sz w:val="18"/>
                <w:szCs w:val="18"/>
              </w:rPr>
              <w:t>II</w:t>
            </w:r>
            <w:r w:rsidR="00576206" w:rsidRPr="003818B7">
              <w:rPr>
                <w:color w:val="auto"/>
                <w:sz w:val="18"/>
                <w:szCs w:val="18"/>
              </w:rPr>
              <w:t xml:space="preserve"> / II</w:t>
            </w:r>
          </w:p>
        </w:tc>
        <w:tc>
          <w:tcPr>
            <w:tcW w:w="2340" w:type="dxa"/>
          </w:tcPr>
          <w:p w:rsidR="009132D2" w:rsidRPr="003818B7" w:rsidRDefault="009132D2" w:rsidP="001B3857">
            <w:pPr>
              <w:tabs>
                <w:tab w:val="left" w:pos="2980"/>
              </w:tabs>
              <w:spacing w:line="240" w:lineRule="exact"/>
              <w:jc w:val="center"/>
              <w:rPr>
                <w:color w:val="auto"/>
                <w:sz w:val="18"/>
                <w:szCs w:val="18"/>
              </w:rPr>
            </w:pPr>
            <w:r w:rsidRPr="003818B7">
              <w:rPr>
                <w:color w:val="auto"/>
                <w:sz w:val="18"/>
                <w:szCs w:val="18"/>
              </w:rPr>
              <w:t>II</w:t>
            </w:r>
            <w:r w:rsidR="00576206" w:rsidRPr="003818B7">
              <w:rPr>
                <w:color w:val="auto"/>
                <w:sz w:val="18"/>
                <w:szCs w:val="18"/>
              </w:rPr>
              <w:t xml:space="preserve"> / II</w:t>
            </w:r>
          </w:p>
        </w:tc>
      </w:tr>
      <w:tr w:rsidR="00C37A31" w:rsidRPr="003818B7" w:rsidTr="00842473">
        <w:tc>
          <w:tcPr>
            <w:tcW w:w="1800" w:type="dxa"/>
            <w:shd w:val="clear" w:color="auto" w:fill="BFBFBF" w:themeFill="background1" w:themeFillShade="BF"/>
          </w:tcPr>
          <w:p w:rsidR="009132D2" w:rsidRPr="003818B7" w:rsidRDefault="00226B82" w:rsidP="00B51013">
            <w:pPr>
              <w:tabs>
                <w:tab w:val="left" w:pos="2980"/>
              </w:tabs>
              <w:spacing w:line="240" w:lineRule="exact"/>
              <w:jc w:val="both"/>
              <w:rPr>
                <w:color w:val="auto"/>
                <w:sz w:val="20"/>
                <w:szCs w:val="20"/>
              </w:rPr>
            </w:pPr>
            <w:r w:rsidRPr="003818B7">
              <w:rPr>
                <w:color w:val="auto"/>
                <w:sz w:val="20"/>
                <w:szCs w:val="20"/>
              </w:rPr>
              <w:t xml:space="preserve">§4.85 </w:t>
            </w:r>
            <w:r w:rsidR="009132D2" w:rsidRPr="003818B7">
              <w:rPr>
                <w:color w:val="auto"/>
                <w:sz w:val="20"/>
                <w:szCs w:val="20"/>
              </w:rPr>
              <w:t>R</w:t>
            </w:r>
            <w:r w:rsidR="00B51013">
              <w:rPr>
                <w:color w:val="auto"/>
                <w:sz w:val="20"/>
                <w:szCs w:val="20"/>
              </w:rPr>
              <w:t>ating</w:t>
            </w:r>
          </w:p>
        </w:tc>
        <w:tc>
          <w:tcPr>
            <w:tcW w:w="2250" w:type="dxa"/>
          </w:tcPr>
          <w:p w:rsidR="009132D2" w:rsidRPr="003818B7" w:rsidRDefault="009132D2" w:rsidP="00105711">
            <w:pPr>
              <w:tabs>
                <w:tab w:val="left" w:pos="2980"/>
              </w:tabs>
              <w:spacing w:line="240" w:lineRule="exact"/>
              <w:jc w:val="both"/>
              <w:rPr>
                <w:color w:val="auto"/>
                <w:sz w:val="18"/>
                <w:szCs w:val="18"/>
              </w:rPr>
            </w:pPr>
            <w:r w:rsidRPr="003818B7">
              <w:rPr>
                <w:color w:val="auto"/>
                <w:sz w:val="18"/>
                <w:szCs w:val="18"/>
              </w:rPr>
              <w:t>Table VII</w:t>
            </w:r>
          </w:p>
        </w:tc>
        <w:tc>
          <w:tcPr>
            <w:tcW w:w="2340" w:type="dxa"/>
          </w:tcPr>
          <w:p w:rsidR="009132D2" w:rsidRPr="003818B7" w:rsidRDefault="009132D2" w:rsidP="001B3857">
            <w:pPr>
              <w:tabs>
                <w:tab w:val="left" w:pos="2980"/>
              </w:tabs>
              <w:spacing w:line="240" w:lineRule="exact"/>
              <w:jc w:val="center"/>
              <w:rPr>
                <w:color w:val="auto"/>
                <w:sz w:val="18"/>
                <w:szCs w:val="18"/>
              </w:rPr>
            </w:pPr>
            <w:r w:rsidRPr="003818B7">
              <w:rPr>
                <w:color w:val="auto"/>
                <w:sz w:val="18"/>
                <w:szCs w:val="18"/>
              </w:rPr>
              <w:t>0%</w:t>
            </w:r>
          </w:p>
        </w:tc>
        <w:tc>
          <w:tcPr>
            <w:tcW w:w="2340" w:type="dxa"/>
          </w:tcPr>
          <w:p w:rsidR="009132D2" w:rsidRPr="003818B7" w:rsidRDefault="009132D2" w:rsidP="001B3857">
            <w:pPr>
              <w:tabs>
                <w:tab w:val="left" w:pos="2980"/>
              </w:tabs>
              <w:spacing w:line="240" w:lineRule="exact"/>
              <w:jc w:val="center"/>
              <w:rPr>
                <w:color w:val="auto"/>
                <w:sz w:val="18"/>
                <w:szCs w:val="18"/>
              </w:rPr>
            </w:pPr>
            <w:r w:rsidRPr="003818B7">
              <w:rPr>
                <w:color w:val="auto"/>
                <w:sz w:val="18"/>
                <w:szCs w:val="18"/>
              </w:rPr>
              <w:t>0%</w:t>
            </w:r>
          </w:p>
        </w:tc>
      </w:tr>
    </w:tbl>
    <w:p w:rsidR="00861868" w:rsidRPr="00B51013" w:rsidRDefault="00576206" w:rsidP="003818B7">
      <w:pPr>
        <w:tabs>
          <w:tab w:val="left" w:pos="2980"/>
        </w:tabs>
        <w:spacing w:line="240" w:lineRule="exact"/>
        <w:ind w:left="288" w:right="288"/>
        <w:jc w:val="both"/>
        <w:rPr>
          <w:rFonts w:asciiTheme="minorHAnsi" w:hAnsiTheme="minorHAnsi"/>
          <w:color w:val="auto"/>
          <w:sz w:val="18"/>
          <w:szCs w:val="18"/>
        </w:rPr>
      </w:pPr>
      <w:r w:rsidRPr="00B51013">
        <w:rPr>
          <w:rFonts w:asciiTheme="minorHAnsi" w:hAnsiTheme="minorHAnsi"/>
          <w:color w:val="auto"/>
          <w:sz w:val="18"/>
          <w:szCs w:val="18"/>
        </w:rPr>
        <w:t>(Average hearing loss is the sum of pure tone thresholds at 1000, 2000, 3000, and 4000 Hz divided by four)</w:t>
      </w:r>
    </w:p>
    <w:p w:rsidR="00576206" w:rsidRDefault="00576206" w:rsidP="00F12B99">
      <w:pPr>
        <w:tabs>
          <w:tab w:val="left" w:pos="2980"/>
        </w:tabs>
        <w:spacing w:line="240" w:lineRule="exact"/>
        <w:jc w:val="both"/>
        <w:rPr>
          <w:rFonts w:asciiTheme="minorHAnsi" w:hAnsiTheme="minorHAnsi"/>
          <w:color w:val="auto"/>
          <w:szCs w:val="24"/>
        </w:rPr>
      </w:pPr>
    </w:p>
    <w:p w:rsidR="00F55B87" w:rsidRDefault="00A02A53" w:rsidP="00576206">
      <w:pPr>
        <w:tabs>
          <w:tab w:val="left" w:pos="2980"/>
        </w:tabs>
        <w:spacing w:line="240" w:lineRule="exact"/>
        <w:jc w:val="both"/>
        <w:rPr>
          <w:rFonts w:asciiTheme="minorHAnsi" w:eastAsiaTheme="minorHAnsi" w:hAnsiTheme="minorHAnsi" w:cstheme="minorBidi"/>
          <w:color w:val="auto"/>
          <w:szCs w:val="24"/>
          <w:u w:val="single"/>
        </w:rPr>
      </w:pPr>
      <w:r w:rsidRPr="007A7F51">
        <w:rPr>
          <w:rFonts w:asciiTheme="minorHAnsi" w:hAnsiTheme="minorHAnsi"/>
          <w:color w:val="auto"/>
          <w:szCs w:val="24"/>
        </w:rPr>
        <w:t xml:space="preserve">Application of VASRD §4.85 </w:t>
      </w:r>
      <w:r>
        <w:rPr>
          <w:rFonts w:asciiTheme="minorHAnsi" w:hAnsiTheme="minorHAnsi"/>
          <w:color w:val="auto"/>
          <w:szCs w:val="24"/>
        </w:rPr>
        <w:t xml:space="preserve">for both the MEB and </w:t>
      </w:r>
      <w:r w:rsidR="00842473">
        <w:rPr>
          <w:rFonts w:asciiTheme="minorHAnsi" w:hAnsiTheme="minorHAnsi"/>
          <w:color w:val="auto"/>
          <w:szCs w:val="24"/>
        </w:rPr>
        <w:t>compensation and pension (</w:t>
      </w:r>
      <w:r>
        <w:rPr>
          <w:rFonts w:asciiTheme="minorHAnsi" w:hAnsiTheme="minorHAnsi"/>
          <w:color w:val="auto"/>
          <w:szCs w:val="24"/>
        </w:rPr>
        <w:t>C&amp;P</w:t>
      </w:r>
      <w:r w:rsidR="00842473">
        <w:rPr>
          <w:rFonts w:asciiTheme="minorHAnsi" w:hAnsiTheme="minorHAnsi"/>
          <w:color w:val="auto"/>
          <w:szCs w:val="24"/>
        </w:rPr>
        <w:t>)</w:t>
      </w:r>
      <w:r>
        <w:rPr>
          <w:rFonts w:asciiTheme="minorHAnsi" w:hAnsiTheme="minorHAnsi"/>
          <w:color w:val="auto"/>
          <w:szCs w:val="24"/>
        </w:rPr>
        <w:t xml:space="preserve"> examinations </w:t>
      </w:r>
      <w:r w:rsidRPr="007A7F51">
        <w:rPr>
          <w:rFonts w:asciiTheme="minorHAnsi" w:hAnsiTheme="minorHAnsi"/>
          <w:color w:val="auto"/>
          <w:szCs w:val="24"/>
        </w:rPr>
        <w:t>yield</w:t>
      </w:r>
      <w:r>
        <w:rPr>
          <w:rFonts w:asciiTheme="minorHAnsi" w:hAnsiTheme="minorHAnsi"/>
          <w:color w:val="auto"/>
          <w:szCs w:val="24"/>
        </w:rPr>
        <w:t>s</w:t>
      </w:r>
      <w:r w:rsidRPr="007A7F51">
        <w:rPr>
          <w:rFonts w:asciiTheme="minorHAnsi" w:hAnsiTheme="minorHAnsi"/>
          <w:color w:val="auto"/>
          <w:szCs w:val="24"/>
        </w:rPr>
        <w:t xml:space="preserve"> a 0% rating</w:t>
      </w:r>
      <w:r>
        <w:rPr>
          <w:rFonts w:asciiTheme="minorHAnsi" w:hAnsiTheme="minorHAnsi"/>
          <w:color w:val="auto"/>
          <w:szCs w:val="24"/>
        </w:rPr>
        <w:t xml:space="preserve">.  </w:t>
      </w:r>
      <w:r w:rsidR="006A2653">
        <w:rPr>
          <w:rFonts w:asciiTheme="minorHAnsi" w:hAnsiTheme="minorHAnsi"/>
          <w:color w:val="auto"/>
          <w:szCs w:val="24"/>
        </w:rPr>
        <w:t xml:space="preserve">Although </w:t>
      </w:r>
      <w:r w:rsidR="004379DD">
        <w:rPr>
          <w:rFonts w:asciiTheme="minorHAnsi" w:hAnsiTheme="minorHAnsi"/>
          <w:color w:val="auto"/>
          <w:szCs w:val="24"/>
        </w:rPr>
        <w:t xml:space="preserve">the alternate rating approach in </w:t>
      </w:r>
      <w:r w:rsidR="006A2653" w:rsidRPr="007A7F51">
        <w:rPr>
          <w:rFonts w:asciiTheme="minorHAnsi" w:hAnsiTheme="minorHAnsi"/>
          <w:color w:val="auto"/>
          <w:szCs w:val="24"/>
        </w:rPr>
        <w:t xml:space="preserve">§4.86a </w:t>
      </w:r>
      <w:r w:rsidR="006A2653">
        <w:rPr>
          <w:rFonts w:asciiTheme="minorHAnsi" w:hAnsiTheme="minorHAnsi"/>
          <w:color w:val="auto"/>
          <w:szCs w:val="24"/>
        </w:rPr>
        <w:t>does not apply</w:t>
      </w:r>
      <w:r w:rsidR="004379DD">
        <w:rPr>
          <w:rFonts w:asciiTheme="minorHAnsi" w:hAnsiTheme="minorHAnsi"/>
          <w:color w:val="auto"/>
          <w:szCs w:val="24"/>
        </w:rPr>
        <w:t>,</w:t>
      </w:r>
      <w:r w:rsidR="006A2653">
        <w:rPr>
          <w:rFonts w:asciiTheme="minorHAnsi" w:hAnsiTheme="minorHAnsi"/>
          <w:color w:val="auto"/>
          <w:szCs w:val="24"/>
        </w:rPr>
        <w:t xml:space="preserve"> rating using the alternate </w:t>
      </w:r>
      <w:r w:rsidR="00C37A31">
        <w:rPr>
          <w:rFonts w:asciiTheme="minorHAnsi" w:hAnsiTheme="minorHAnsi"/>
          <w:color w:val="auto"/>
          <w:szCs w:val="24"/>
        </w:rPr>
        <w:t>T</w:t>
      </w:r>
      <w:r w:rsidR="006A2653">
        <w:rPr>
          <w:rFonts w:asciiTheme="minorHAnsi" w:hAnsiTheme="minorHAnsi"/>
          <w:color w:val="auto"/>
          <w:szCs w:val="24"/>
        </w:rPr>
        <w:t xml:space="preserve">able </w:t>
      </w:r>
      <w:proofErr w:type="spellStart"/>
      <w:r w:rsidR="006A2653">
        <w:rPr>
          <w:rFonts w:asciiTheme="minorHAnsi" w:hAnsiTheme="minorHAnsi"/>
          <w:color w:val="auto"/>
          <w:szCs w:val="24"/>
        </w:rPr>
        <w:t>V</w:t>
      </w:r>
      <w:r>
        <w:rPr>
          <w:rFonts w:asciiTheme="minorHAnsi" w:hAnsiTheme="minorHAnsi"/>
          <w:color w:val="auto"/>
          <w:szCs w:val="24"/>
        </w:rPr>
        <w:t>I</w:t>
      </w:r>
      <w:r w:rsidR="00576206">
        <w:rPr>
          <w:rFonts w:asciiTheme="minorHAnsi" w:hAnsiTheme="minorHAnsi"/>
          <w:color w:val="auto"/>
          <w:szCs w:val="24"/>
        </w:rPr>
        <w:t>a</w:t>
      </w:r>
      <w:proofErr w:type="spellEnd"/>
      <w:r w:rsidR="006A2653">
        <w:rPr>
          <w:rFonts w:asciiTheme="minorHAnsi" w:hAnsiTheme="minorHAnsi"/>
          <w:color w:val="auto"/>
          <w:szCs w:val="24"/>
        </w:rPr>
        <w:t xml:space="preserve"> does not result in a higher rating.  </w:t>
      </w:r>
      <w:r w:rsidR="00F12B99" w:rsidRPr="007A7F51">
        <w:rPr>
          <w:rFonts w:asciiTheme="minorHAnsi" w:hAnsiTheme="minorHAnsi"/>
          <w:color w:val="auto"/>
          <w:szCs w:val="24"/>
        </w:rPr>
        <w:t>All evidence considered</w:t>
      </w:r>
      <w:proofErr w:type="gramStart"/>
      <w:r w:rsidR="00F55B87">
        <w:rPr>
          <w:rFonts w:asciiTheme="minorHAnsi" w:hAnsiTheme="minorHAnsi"/>
          <w:color w:val="auto"/>
          <w:szCs w:val="24"/>
        </w:rPr>
        <w:t>,</w:t>
      </w:r>
      <w:proofErr w:type="gramEnd"/>
      <w:r w:rsidR="00F12B99" w:rsidRPr="007A7F51">
        <w:rPr>
          <w:rFonts w:asciiTheme="minorHAnsi" w:hAnsiTheme="minorHAnsi"/>
          <w:color w:val="auto"/>
          <w:szCs w:val="24"/>
        </w:rPr>
        <w:t xml:space="preserve"> there is not reasonable doubt in the CI’s favor supporting a change from the PEB’s rating decision for the </w:t>
      </w:r>
      <w:r w:rsidR="00F12B99">
        <w:rPr>
          <w:rFonts w:asciiTheme="minorHAnsi" w:hAnsiTheme="minorHAnsi"/>
          <w:color w:val="auto"/>
          <w:szCs w:val="24"/>
        </w:rPr>
        <w:t>hearing loss</w:t>
      </w:r>
      <w:r w:rsidR="00F12B99" w:rsidRPr="007A7F51">
        <w:rPr>
          <w:rFonts w:asciiTheme="minorHAnsi" w:hAnsiTheme="minorHAnsi"/>
          <w:color w:val="auto"/>
          <w:szCs w:val="24"/>
        </w:rPr>
        <w:t xml:space="preserve"> condition.</w:t>
      </w:r>
    </w:p>
    <w:p w:rsidR="001B3857" w:rsidRDefault="001B3857" w:rsidP="00227691">
      <w:pPr>
        <w:spacing w:line="240" w:lineRule="exact"/>
        <w:jc w:val="both"/>
        <w:rPr>
          <w:rFonts w:asciiTheme="minorHAnsi" w:eastAsiaTheme="minorHAnsi" w:hAnsiTheme="minorHAnsi" w:cstheme="minorBidi"/>
          <w:color w:val="auto"/>
          <w:szCs w:val="24"/>
          <w:u w:val="single"/>
        </w:rPr>
      </w:pPr>
    </w:p>
    <w:p w:rsidR="00D55C71" w:rsidRPr="003818B7" w:rsidRDefault="00227691" w:rsidP="00227691">
      <w:pPr>
        <w:spacing w:line="240" w:lineRule="exact"/>
        <w:jc w:val="both"/>
        <w:rPr>
          <w:rFonts w:asciiTheme="minorHAnsi" w:eastAsiaTheme="minorHAnsi" w:hAnsiTheme="minorHAnsi" w:cstheme="minorBidi"/>
          <w:color w:val="auto"/>
          <w:szCs w:val="24"/>
        </w:rPr>
      </w:pPr>
      <w:proofErr w:type="gramStart"/>
      <w:r w:rsidRPr="001F5387">
        <w:rPr>
          <w:rFonts w:asciiTheme="minorHAnsi" w:eastAsiaTheme="minorHAnsi" w:hAnsiTheme="minorHAnsi" w:cstheme="minorBidi"/>
          <w:color w:val="auto"/>
          <w:szCs w:val="24"/>
          <w:u w:val="single"/>
        </w:rPr>
        <w:t>Remaining Conditions</w:t>
      </w:r>
      <w:r w:rsidR="00842473">
        <w:rPr>
          <w:rFonts w:asciiTheme="minorHAnsi" w:eastAsiaTheme="minorHAnsi" w:hAnsiTheme="minorHAnsi" w:cstheme="minorBidi"/>
          <w:color w:val="auto"/>
          <w:szCs w:val="24"/>
          <w:u w:val="single"/>
        </w:rPr>
        <w:t>.</w:t>
      </w:r>
      <w:proofErr w:type="gramEnd"/>
      <w:r w:rsidR="006A2653">
        <w:rPr>
          <w:rFonts w:asciiTheme="minorHAnsi" w:eastAsiaTheme="minorHAnsi" w:hAnsiTheme="minorHAnsi" w:cstheme="minorBidi"/>
          <w:color w:val="auto"/>
          <w:szCs w:val="24"/>
        </w:rPr>
        <w:t xml:space="preserve">  </w:t>
      </w:r>
      <w:r w:rsidR="00576206">
        <w:rPr>
          <w:rFonts w:asciiTheme="minorHAnsi" w:eastAsiaTheme="minorHAnsi" w:hAnsiTheme="minorHAnsi" w:cstheme="minorBidi"/>
          <w:color w:val="auto"/>
          <w:szCs w:val="24"/>
        </w:rPr>
        <w:t xml:space="preserve">The MEB history and physical </w:t>
      </w:r>
      <w:r w:rsidR="00842473">
        <w:rPr>
          <w:rFonts w:asciiTheme="minorHAnsi" w:eastAsiaTheme="minorHAnsi" w:hAnsiTheme="minorHAnsi" w:cstheme="minorBidi"/>
          <w:color w:val="auto"/>
          <w:szCs w:val="24"/>
        </w:rPr>
        <w:t xml:space="preserve">(H&amp;P) </w:t>
      </w:r>
      <w:r w:rsidR="00576206">
        <w:rPr>
          <w:rFonts w:asciiTheme="minorHAnsi" w:eastAsiaTheme="minorHAnsi" w:hAnsiTheme="minorHAnsi" w:cstheme="minorBidi"/>
          <w:color w:val="auto"/>
          <w:szCs w:val="24"/>
        </w:rPr>
        <w:t xml:space="preserve">examination records a history of kidney disease.  </w:t>
      </w:r>
      <w:r w:rsidR="006A2653">
        <w:rPr>
          <w:rFonts w:asciiTheme="minorHAnsi" w:eastAsiaTheme="minorHAnsi" w:hAnsiTheme="minorHAnsi" w:cstheme="minorBidi"/>
          <w:color w:val="auto"/>
          <w:szCs w:val="24"/>
        </w:rPr>
        <w:t>The CI developed blood in his urine</w:t>
      </w:r>
      <w:r w:rsidR="002B51E9">
        <w:rPr>
          <w:rFonts w:asciiTheme="minorHAnsi" w:eastAsiaTheme="minorHAnsi" w:hAnsiTheme="minorHAnsi" w:cstheme="minorBidi"/>
          <w:color w:val="auto"/>
          <w:szCs w:val="24"/>
        </w:rPr>
        <w:t xml:space="preserve"> (</w:t>
      </w:r>
      <w:proofErr w:type="spellStart"/>
      <w:r w:rsidR="002B51E9">
        <w:rPr>
          <w:rFonts w:asciiTheme="minorHAnsi" w:eastAsiaTheme="minorHAnsi" w:hAnsiTheme="minorHAnsi" w:cstheme="minorBidi"/>
          <w:color w:val="auto"/>
          <w:szCs w:val="24"/>
        </w:rPr>
        <w:t>hematuria</w:t>
      </w:r>
      <w:proofErr w:type="spellEnd"/>
      <w:r w:rsidR="002B51E9">
        <w:rPr>
          <w:rFonts w:asciiTheme="minorHAnsi" w:eastAsiaTheme="minorHAnsi" w:hAnsiTheme="minorHAnsi" w:cstheme="minorBidi"/>
          <w:color w:val="auto"/>
          <w:szCs w:val="24"/>
        </w:rPr>
        <w:t>)</w:t>
      </w:r>
      <w:r w:rsidR="006A2653">
        <w:rPr>
          <w:rFonts w:asciiTheme="minorHAnsi" w:eastAsiaTheme="minorHAnsi" w:hAnsiTheme="minorHAnsi" w:cstheme="minorBidi"/>
          <w:color w:val="auto"/>
          <w:szCs w:val="24"/>
        </w:rPr>
        <w:t xml:space="preserve"> and underwent nephrology evaluation leading to diagnosis of </w:t>
      </w:r>
      <w:proofErr w:type="spellStart"/>
      <w:r w:rsidR="006A2653">
        <w:rPr>
          <w:rFonts w:asciiTheme="minorHAnsi" w:eastAsiaTheme="minorHAnsi" w:hAnsiTheme="minorHAnsi" w:cstheme="minorBidi"/>
          <w:color w:val="auto"/>
          <w:szCs w:val="24"/>
        </w:rPr>
        <w:t>IgA</w:t>
      </w:r>
      <w:proofErr w:type="spellEnd"/>
      <w:r w:rsidR="006A2653">
        <w:rPr>
          <w:rFonts w:asciiTheme="minorHAnsi" w:eastAsiaTheme="minorHAnsi" w:hAnsiTheme="minorHAnsi" w:cstheme="minorBidi"/>
          <w:color w:val="auto"/>
          <w:szCs w:val="24"/>
        </w:rPr>
        <w:t xml:space="preserve"> nephropathy.  He was placed on limited duty while undergoing the evaluation</w:t>
      </w:r>
      <w:r w:rsidR="00842473">
        <w:rPr>
          <w:rFonts w:asciiTheme="minorHAnsi" w:eastAsiaTheme="minorHAnsi" w:hAnsiTheme="minorHAnsi" w:cstheme="minorBidi"/>
          <w:color w:val="auto"/>
          <w:szCs w:val="24"/>
        </w:rPr>
        <w:t>;</w:t>
      </w:r>
      <w:r w:rsidR="006A2653">
        <w:rPr>
          <w:rFonts w:asciiTheme="minorHAnsi" w:eastAsiaTheme="minorHAnsi" w:hAnsiTheme="minorHAnsi" w:cstheme="minorBidi"/>
          <w:color w:val="auto"/>
          <w:szCs w:val="24"/>
        </w:rPr>
        <w:t xml:space="preserve"> however, at </w:t>
      </w:r>
      <w:r w:rsidR="002B51E9">
        <w:rPr>
          <w:rFonts w:asciiTheme="minorHAnsi" w:eastAsiaTheme="minorHAnsi" w:hAnsiTheme="minorHAnsi" w:cstheme="minorBidi"/>
          <w:color w:val="auto"/>
          <w:szCs w:val="24"/>
        </w:rPr>
        <w:t>its</w:t>
      </w:r>
      <w:r w:rsidR="006A2653">
        <w:rPr>
          <w:rFonts w:asciiTheme="minorHAnsi" w:eastAsiaTheme="minorHAnsi" w:hAnsiTheme="minorHAnsi" w:cstheme="minorBidi"/>
          <w:color w:val="auto"/>
          <w:szCs w:val="24"/>
        </w:rPr>
        <w:t xml:space="preserve"> </w:t>
      </w:r>
      <w:r w:rsidR="00842473">
        <w:rPr>
          <w:rFonts w:asciiTheme="minorHAnsi" w:eastAsiaTheme="minorHAnsi" w:hAnsiTheme="minorHAnsi" w:cstheme="minorBidi"/>
          <w:color w:val="auto"/>
          <w:szCs w:val="24"/>
        </w:rPr>
        <w:t>completion</w:t>
      </w:r>
      <w:r w:rsidR="006A2653">
        <w:rPr>
          <w:rFonts w:asciiTheme="minorHAnsi" w:eastAsiaTheme="minorHAnsi" w:hAnsiTheme="minorHAnsi" w:cstheme="minorBidi"/>
          <w:color w:val="auto"/>
          <w:szCs w:val="24"/>
        </w:rPr>
        <w:t xml:space="preserve"> the </w:t>
      </w:r>
      <w:proofErr w:type="spellStart"/>
      <w:r w:rsidR="006A2653">
        <w:rPr>
          <w:rFonts w:asciiTheme="minorHAnsi" w:eastAsiaTheme="minorHAnsi" w:hAnsiTheme="minorHAnsi" w:cstheme="minorBidi"/>
          <w:color w:val="auto"/>
          <w:szCs w:val="24"/>
        </w:rPr>
        <w:t>nephrologist</w:t>
      </w:r>
      <w:proofErr w:type="spellEnd"/>
      <w:r w:rsidR="006A2653">
        <w:rPr>
          <w:rFonts w:asciiTheme="minorHAnsi" w:eastAsiaTheme="minorHAnsi" w:hAnsiTheme="minorHAnsi" w:cstheme="minorBidi"/>
          <w:color w:val="auto"/>
          <w:szCs w:val="24"/>
        </w:rPr>
        <w:t xml:space="preserve"> released the CI to full unrestricted duty.</w:t>
      </w:r>
      <w:r w:rsidR="002B51E9">
        <w:rPr>
          <w:rFonts w:asciiTheme="minorHAnsi" w:eastAsiaTheme="minorHAnsi" w:hAnsiTheme="minorHAnsi" w:cstheme="minorBidi"/>
          <w:color w:val="auto"/>
          <w:szCs w:val="24"/>
        </w:rPr>
        <w:t xml:space="preserve">  </w:t>
      </w:r>
      <w:r w:rsidRPr="001F5387">
        <w:rPr>
          <w:rFonts w:asciiTheme="minorHAnsi" w:eastAsiaTheme="minorHAnsi" w:hAnsiTheme="minorHAnsi" w:cstheme="minorBidi"/>
          <w:color w:val="auto"/>
          <w:szCs w:val="24"/>
        </w:rPr>
        <w:t>Other conditions identifi</w:t>
      </w:r>
      <w:r w:rsidR="00842473">
        <w:rPr>
          <w:rFonts w:asciiTheme="minorHAnsi" w:eastAsiaTheme="minorHAnsi" w:hAnsiTheme="minorHAnsi" w:cstheme="minorBidi"/>
          <w:color w:val="auto"/>
          <w:szCs w:val="24"/>
        </w:rPr>
        <w:t xml:space="preserve">ed in the </w:t>
      </w:r>
      <w:r w:rsidR="002B51E9">
        <w:rPr>
          <w:rFonts w:asciiTheme="minorHAnsi" w:eastAsiaTheme="minorHAnsi" w:hAnsiTheme="minorHAnsi" w:cstheme="minorBidi"/>
          <w:color w:val="auto"/>
          <w:szCs w:val="24"/>
        </w:rPr>
        <w:t>MEB H</w:t>
      </w:r>
      <w:r w:rsidR="00842473">
        <w:rPr>
          <w:rFonts w:asciiTheme="minorHAnsi" w:eastAsiaTheme="minorHAnsi" w:hAnsiTheme="minorHAnsi" w:cstheme="minorBidi"/>
          <w:color w:val="auto"/>
          <w:szCs w:val="24"/>
        </w:rPr>
        <w:t>&amp;P e</w:t>
      </w:r>
      <w:r w:rsidR="002B51E9">
        <w:rPr>
          <w:rFonts w:asciiTheme="minorHAnsi" w:eastAsiaTheme="minorHAnsi" w:hAnsiTheme="minorHAnsi" w:cstheme="minorBidi"/>
          <w:color w:val="auto"/>
          <w:szCs w:val="24"/>
        </w:rPr>
        <w:t xml:space="preserve">xamination </w:t>
      </w:r>
      <w:r w:rsidRPr="001F5387">
        <w:rPr>
          <w:rFonts w:asciiTheme="minorHAnsi" w:eastAsiaTheme="minorHAnsi" w:hAnsiTheme="minorHAnsi" w:cstheme="minorBidi"/>
          <w:color w:val="auto"/>
          <w:szCs w:val="24"/>
        </w:rPr>
        <w:t>were</w:t>
      </w:r>
      <w:r w:rsidR="002B51E9">
        <w:rPr>
          <w:rFonts w:asciiTheme="minorHAnsi" w:eastAsiaTheme="minorHAnsi" w:hAnsiTheme="minorHAnsi" w:cstheme="minorBidi"/>
          <w:color w:val="auto"/>
          <w:szCs w:val="24"/>
        </w:rPr>
        <w:t xml:space="preserve"> intermittent low back pain (related to working out), foot pain when wearing boots, </w:t>
      </w:r>
      <w:r w:rsidR="00341091">
        <w:rPr>
          <w:rFonts w:asciiTheme="minorHAnsi" w:eastAsiaTheme="minorHAnsi" w:hAnsiTheme="minorHAnsi" w:cstheme="minorBidi"/>
          <w:color w:val="auto"/>
          <w:szCs w:val="24"/>
        </w:rPr>
        <w:t xml:space="preserve">and </w:t>
      </w:r>
      <w:r w:rsidR="002B51E9">
        <w:rPr>
          <w:rFonts w:asciiTheme="minorHAnsi" w:eastAsiaTheme="minorHAnsi" w:hAnsiTheme="minorHAnsi" w:cstheme="minorBidi"/>
          <w:color w:val="auto"/>
          <w:szCs w:val="24"/>
        </w:rPr>
        <w:t xml:space="preserve">controlled high blood pressure secondary to the kidney condition.  </w:t>
      </w:r>
      <w:r w:rsidR="002B51E9" w:rsidRPr="002B51E9">
        <w:rPr>
          <w:rFonts w:asciiTheme="minorHAnsi" w:eastAsiaTheme="minorHAnsi" w:hAnsiTheme="minorHAnsi" w:cstheme="minorBidi"/>
          <w:color w:val="auto"/>
          <w:szCs w:val="24"/>
        </w:rPr>
        <w:t xml:space="preserve">Several additional non-acute conditions or medical complaints were also documented.  None of these conditions were </w:t>
      </w:r>
      <w:r w:rsidR="00341091">
        <w:rPr>
          <w:rFonts w:asciiTheme="minorHAnsi" w:eastAsiaTheme="minorHAnsi" w:hAnsiTheme="minorHAnsi" w:cstheme="minorBidi"/>
          <w:color w:val="auto"/>
          <w:szCs w:val="24"/>
        </w:rPr>
        <w:t xml:space="preserve">significantly </w:t>
      </w:r>
      <w:r w:rsidR="002B51E9" w:rsidRPr="002B51E9">
        <w:rPr>
          <w:rFonts w:asciiTheme="minorHAnsi" w:eastAsiaTheme="minorHAnsi" w:hAnsiTheme="minorHAnsi" w:cstheme="minorBidi"/>
          <w:color w:val="auto"/>
          <w:szCs w:val="24"/>
        </w:rPr>
        <w:t>clinically active during the MEB period, were the bases for limited duty</w:t>
      </w:r>
      <w:r w:rsidR="00842473">
        <w:rPr>
          <w:rFonts w:asciiTheme="minorHAnsi" w:eastAsiaTheme="minorHAnsi" w:hAnsiTheme="minorHAnsi" w:cstheme="minorBidi"/>
          <w:color w:val="auto"/>
          <w:szCs w:val="24"/>
        </w:rPr>
        <w:t xml:space="preserve"> or </w:t>
      </w:r>
      <w:r w:rsidR="002B51E9" w:rsidRPr="002B51E9">
        <w:rPr>
          <w:rFonts w:asciiTheme="minorHAnsi" w:eastAsiaTheme="minorHAnsi" w:hAnsiTheme="minorHAnsi" w:cstheme="minorBidi"/>
          <w:color w:val="auto"/>
          <w:szCs w:val="24"/>
        </w:rPr>
        <w:t xml:space="preserve">were </w:t>
      </w:r>
      <w:r w:rsidR="002B51E9" w:rsidRPr="003818B7">
        <w:rPr>
          <w:rFonts w:asciiTheme="minorHAnsi" w:eastAsiaTheme="minorHAnsi" w:hAnsiTheme="minorHAnsi" w:cstheme="minorBidi"/>
          <w:color w:val="auto"/>
          <w:szCs w:val="24"/>
        </w:rPr>
        <w:t>implicated in the commander’s</w:t>
      </w:r>
      <w:r w:rsidR="00842473">
        <w:rPr>
          <w:rFonts w:asciiTheme="minorHAnsi" w:eastAsiaTheme="minorHAnsi" w:hAnsiTheme="minorHAnsi" w:cstheme="minorBidi"/>
          <w:color w:val="auto"/>
          <w:szCs w:val="24"/>
        </w:rPr>
        <w:t xml:space="preserve"> assessment.</w:t>
      </w:r>
      <w:r w:rsidR="002B51E9" w:rsidRPr="003818B7">
        <w:rPr>
          <w:rFonts w:asciiTheme="minorHAnsi" w:eastAsiaTheme="minorHAnsi" w:hAnsiTheme="minorHAnsi" w:cstheme="minorBidi"/>
          <w:color w:val="auto"/>
          <w:szCs w:val="24"/>
        </w:rPr>
        <w:t xml:space="preserve">  These conditions were reviewed by the action officer and considered by the Board.  It was determined that none could be argued as unfitting and subject to separation rating.</w:t>
      </w:r>
      <w:r w:rsidR="008425EB" w:rsidRPr="003818B7">
        <w:rPr>
          <w:rFonts w:asciiTheme="minorHAnsi" w:eastAsiaTheme="minorHAnsi" w:hAnsiTheme="minorHAnsi" w:cstheme="minorBidi"/>
          <w:color w:val="auto"/>
          <w:szCs w:val="24"/>
        </w:rPr>
        <w:t xml:space="preserve">  </w:t>
      </w:r>
      <w:r w:rsidR="002B51E9" w:rsidRPr="003818B7">
        <w:rPr>
          <w:rFonts w:asciiTheme="minorHAnsi" w:hAnsiTheme="minorHAnsi"/>
          <w:color w:val="auto"/>
          <w:szCs w:val="24"/>
        </w:rPr>
        <w:t>Additionally</w:t>
      </w:r>
      <w:r w:rsidR="00CD1AF9" w:rsidRPr="003818B7">
        <w:rPr>
          <w:rFonts w:asciiTheme="minorHAnsi" w:hAnsiTheme="minorHAnsi"/>
          <w:color w:val="auto"/>
          <w:szCs w:val="24"/>
        </w:rPr>
        <w:t>,</w:t>
      </w:r>
      <w:r w:rsidR="002B51E9" w:rsidRPr="003818B7">
        <w:rPr>
          <w:rFonts w:asciiTheme="minorHAnsi" w:hAnsiTheme="minorHAnsi"/>
          <w:color w:val="auto"/>
          <w:szCs w:val="24"/>
        </w:rPr>
        <w:t xml:space="preserve"> tinnitus was noted in the VA rating decision.  The C&amp;P examination recorded a four</w:t>
      </w:r>
      <w:r w:rsidR="00842473">
        <w:rPr>
          <w:rFonts w:asciiTheme="minorHAnsi" w:hAnsiTheme="minorHAnsi"/>
          <w:color w:val="auto"/>
          <w:szCs w:val="24"/>
        </w:rPr>
        <w:t>-</w:t>
      </w:r>
      <w:r w:rsidR="002B51E9" w:rsidRPr="003818B7">
        <w:rPr>
          <w:rFonts w:asciiTheme="minorHAnsi" w:hAnsiTheme="minorHAnsi"/>
          <w:color w:val="auto"/>
          <w:szCs w:val="24"/>
        </w:rPr>
        <w:t xml:space="preserve">year history of tinnitus (preceding enlistment) occurring twice per month.  Service treatment records did not record tinnitus and several </w:t>
      </w:r>
      <w:r w:rsidR="00CD1AF9" w:rsidRPr="003818B7">
        <w:rPr>
          <w:rFonts w:asciiTheme="minorHAnsi" w:hAnsiTheme="minorHAnsi"/>
          <w:color w:val="auto"/>
          <w:szCs w:val="24"/>
        </w:rPr>
        <w:t xml:space="preserve">entries </w:t>
      </w:r>
      <w:r w:rsidR="002B51E9" w:rsidRPr="003818B7">
        <w:rPr>
          <w:rFonts w:asciiTheme="minorHAnsi" w:hAnsiTheme="minorHAnsi"/>
          <w:color w:val="auto"/>
          <w:szCs w:val="24"/>
        </w:rPr>
        <w:t>specifically indicated no tinnitus.  The Board does not have the authority under DoDI 6040.44 to render fitness or rating recommendations for any conditions not considered by the D</w:t>
      </w:r>
      <w:r w:rsidR="00842473">
        <w:rPr>
          <w:rFonts w:asciiTheme="minorHAnsi" w:hAnsiTheme="minorHAnsi"/>
          <w:color w:val="auto"/>
          <w:szCs w:val="24"/>
        </w:rPr>
        <w:t xml:space="preserve">isability Evaluation System.  </w:t>
      </w:r>
      <w:r w:rsidR="002B51E9" w:rsidRPr="003818B7">
        <w:rPr>
          <w:rFonts w:asciiTheme="minorHAnsi" w:hAnsiTheme="minorHAnsi"/>
          <w:color w:val="auto"/>
          <w:szCs w:val="24"/>
        </w:rPr>
        <w:t>The Board therefore has no reasonable basis for recommending any additional unfitting conditions for separation rating.</w:t>
      </w:r>
    </w:p>
    <w:p w:rsidR="00227691" w:rsidRPr="003818B7" w:rsidRDefault="00227691" w:rsidP="00227691">
      <w:pPr>
        <w:spacing w:line="240" w:lineRule="exact"/>
        <w:jc w:val="both"/>
        <w:rPr>
          <w:rFonts w:asciiTheme="minorHAnsi" w:hAnsiTheme="minorHAnsi"/>
          <w:b/>
          <w:color w:val="auto"/>
          <w:szCs w:val="24"/>
          <w:u w:val="single"/>
        </w:rPr>
      </w:pPr>
      <w:r w:rsidRPr="003818B7">
        <w:rPr>
          <w:rFonts w:asciiTheme="minorHAnsi" w:hAnsiTheme="minorHAnsi"/>
          <w:b/>
          <w:color w:val="auto"/>
          <w:szCs w:val="24"/>
          <w:u w:val="single"/>
        </w:rPr>
        <w:t>______________________________________________________________________________</w:t>
      </w:r>
    </w:p>
    <w:p w:rsidR="00227691" w:rsidRPr="003818B7" w:rsidRDefault="00227691" w:rsidP="00227691">
      <w:pPr>
        <w:tabs>
          <w:tab w:val="left" w:pos="288"/>
          <w:tab w:val="left" w:pos="4752"/>
        </w:tabs>
        <w:spacing w:line="240" w:lineRule="exact"/>
        <w:jc w:val="both"/>
        <w:rPr>
          <w:b/>
          <w:color w:val="auto"/>
          <w:szCs w:val="24"/>
        </w:rPr>
      </w:pPr>
    </w:p>
    <w:p w:rsidR="00227691" w:rsidRDefault="00227691" w:rsidP="00227691">
      <w:pPr>
        <w:spacing w:line="240" w:lineRule="exact"/>
        <w:jc w:val="both"/>
        <w:rPr>
          <w:rFonts w:asciiTheme="minorHAnsi" w:eastAsiaTheme="minorHAnsi" w:hAnsiTheme="minorHAnsi"/>
          <w:color w:val="auto"/>
          <w:szCs w:val="24"/>
        </w:rPr>
      </w:pPr>
      <w:r w:rsidRPr="003818B7">
        <w:rPr>
          <w:rFonts w:asciiTheme="minorHAnsi" w:hAnsiTheme="minorHAnsi"/>
          <w:color w:val="auto"/>
          <w:szCs w:val="24"/>
          <w:u w:val="single"/>
        </w:rPr>
        <w:t>BOARD FINDINGS</w:t>
      </w:r>
      <w:r w:rsidRPr="003818B7">
        <w:rPr>
          <w:rFonts w:asciiTheme="minorHAnsi" w:hAnsiTheme="minorHAnsi"/>
          <w:color w:val="auto"/>
          <w:szCs w:val="24"/>
        </w:rPr>
        <w:t>:</w:t>
      </w:r>
      <w:r w:rsidRPr="003818B7">
        <w:rPr>
          <w:rFonts w:asciiTheme="minorHAnsi" w:eastAsiaTheme="minorHAnsi" w:hAnsiTheme="minorHAnsi"/>
          <w:color w:val="auto"/>
          <w:szCs w:val="24"/>
        </w:rPr>
        <w:t xml:space="preserve">  IAW DoDI 6040.44, provisions of DoD or Military Department regulations or guidelines re</w:t>
      </w:r>
      <w:r w:rsidRPr="00396779">
        <w:rPr>
          <w:rFonts w:asciiTheme="minorHAnsi" w:eastAsiaTheme="minorHAnsi" w:hAnsiTheme="minorHAnsi"/>
          <w:color w:val="auto"/>
          <w:szCs w:val="24"/>
        </w:rPr>
        <w:t xml:space="preserve">lied upon by the PEB will not be considered by the Board to the extent they were </w:t>
      </w:r>
      <w:r w:rsidRPr="001D72D9">
        <w:rPr>
          <w:rFonts w:asciiTheme="minorHAnsi" w:eastAsiaTheme="minorHAnsi" w:hAnsiTheme="minorHAnsi"/>
          <w:color w:val="auto"/>
          <w:szCs w:val="24"/>
        </w:rPr>
        <w:t xml:space="preserve">inconsistent with the VASRD in effect at the time of the adjudication.  The Board did not surmise from the record or PEB ruling in this case that any prerogatives outside the VASRD </w:t>
      </w:r>
      <w:r w:rsidRPr="001D72D9">
        <w:rPr>
          <w:rFonts w:asciiTheme="minorHAnsi" w:eastAsiaTheme="minorHAnsi" w:hAnsiTheme="minorHAnsi"/>
          <w:color w:val="auto"/>
          <w:szCs w:val="24"/>
        </w:rPr>
        <w:lastRenderedPageBreak/>
        <w:t>were exercised.  In the matter of the right sensorineural hearing loss condition and IAW VASRD §4.85, the Board unanimously recommends no change in the PEB adjudication.  The Board unanimously agrees that there were no other conditions eligible for Board consideration which could be recommended</w:t>
      </w:r>
      <w:r w:rsidRPr="0007476E">
        <w:rPr>
          <w:rFonts w:asciiTheme="minorHAnsi" w:eastAsiaTheme="minorHAnsi" w:hAnsiTheme="minorHAnsi"/>
          <w:color w:val="auto"/>
          <w:szCs w:val="24"/>
        </w:rPr>
        <w:t xml:space="preserve"> as additionally unfitting for rating at separation.</w:t>
      </w:r>
    </w:p>
    <w:p w:rsidR="00CD1AF9" w:rsidRPr="00457C14" w:rsidRDefault="00CD1AF9" w:rsidP="00CD1AF9">
      <w:pPr>
        <w:spacing w:line="240" w:lineRule="exact"/>
        <w:jc w:val="center"/>
        <w:rPr>
          <w:rFonts w:asciiTheme="minorHAnsi" w:hAnsiTheme="minorHAnsi"/>
          <w:b/>
          <w:color w:val="auto"/>
          <w:szCs w:val="24"/>
          <w:u w:val="single"/>
        </w:rPr>
      </w:pPr>
      <w:r w:rsidRPr="00457C14">
        <w:rPr>
          <w:rFonts w:asciiTheme="minorHAnsi" w:hAnsiTheme="minorHAnsi"/>
          <w:b/>
          <w:color w:val="auto"/>
          <w:szCs w:val="24"/>
          <w:u w:val="single"/>
        </w:rPr>
        <w:t>______________________________________________________________________________</w:t>
      </w:r>
    </w:p>
    <w:p w:rsidR="00227691" w:rsidRDefault="00227691" w:rsidP="000452D7">
      <w:pPr>
        <w:spacing w:line="240" w:lineRule="exact"/>
        <w:rPr>
          <w:rFonts w:asciiTheme="minorHAnsi" w:hAnsiTheme="minorHAnsi"/>
          <w:color w:val="auto"/>
          <w:szCs w:val="24"/>
        </w:rPr>
      </w:pPr>
    </w:p>
    <w:p w:rsidR="00227691" w:rsidRPr="003818B7" w:rsidRDefault="00227691" w:rsidP="00227691">
      <w:pPr>
        <w:spacing w:line="240" w:lineRule="exact"/>
        <w:jc w:val="both"/>
        <w:rPr>
          <w:rFonts w:asciiTheme="minorHAnsi" w:hAnsiTheme="minorHAnsi"/>
          <w:color w:val="auto"/>
          <w:szCs w:val="24"/>
        </w:rPr>
      </w:pPr>
      <w:r w:rsidRPr="001F5387">
        <w:rPr>
          <w:rFonts w:asciiTheme="minorHAnsi" w:eastAsiaTheme="minorHAnsi" w:hAnsiTheme="minorHAnsi"/>
          <w:color w:val="auto"/>
          <w:szCs w:val="24"/>
          <w:u w:val="single"/>
        </w:rPr>
        <w:t>RECOMMENDATION</w:t>
      </w:r>
      <w:r w:rsidRPr="001F5387">
        <w:rPr>
          <w:rFonts w:asciiTheme="minorHAnsi" w:eastAsiaTheme="minorHAnsi" w:hAnsiTheme="minorHAnsi"/>
          <w:color w:val="auto"/>
          <w:szCs w:val="24"/>
        </w:rPr>
        <w:t xml:space="preserve">: </w:t>
      </w:r>
      <w:r w:rsidRPr="00B95833">
        <w:rPr>
          <w:rFonts w:asciiTheme="minorHAnsi" w:hAnsiTheme="minorHAnsi"/>
          <w:color w:val="auto"/>
          <w:szCs w:val="24"/>
        </w:rPr>
        <w:t xml:space="preserve">The Board therefore recommends that there be no recharacterization </w:t>
      </w:r>
      <w:r w:rsidRPr="003818B7">
        <w:rPr>
          <w:rFonts w:asciiTheme="minorHAnsi" w:hAnsiTheme="minorHAnsi"/>
          <w:color w:val="auto"/>
          <w:szCs w:val="24"/>
        </w:rPr>
        <w:t>of the CI’s disability and separation determination.</w:t>
      </w:r>
    </w:p>
    <w:p w:rsidR="00576206" w:rsidRPr="003818B7" w:rsidRDefault="00576206" w:rsidP="00576206">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576206" w:rsidRPr="003818B7" w:rsidTr="006268C8">
        <w:trPr>
          <w:trHeight w:val="233"/>
          <w:jc w:val="center"/>
        </w:trPr>
        <w:tc>
          <w:tcPr>
            <w:tcW w:w="6480" w:type="dxa"/>
            <w:shd w:val="clear" w:color="auto" w:fill="D9D9D9"/>
            <w:vAlign w:val="center"/>
          </w:tcPr>
          <w:p w:rsidR="00576206" w:rsidRPr="003818B7" w:rsidRDefault="00576206" w:rsidP="006268C8">
            <w:pPr>
              <w:tabs>
                <w:tab w:val="left" w:pos="288"/>
                <w:tab w:val="left" w:pos="4752"/>
              </w:tabs>
              <w:spacing w:line="240" w:lineRule="exact"/>
              <w:jc w:val="center"/>
              <w:rPr>
                <w:rFonts w:asciiTheme="minorHAnsi" w:hAnsiTheme="minorHAnsi"/>
                <w:b/>
                <w:color w:val="auto"/>
                <w:szCs w:val="24"/>
              </w:rPr>
            </w:pPr>
            <w:r w:rsidRPr="003818B7">
              <w:rPr>
                <w:rFonts w:asciiTheme="minorHAnsi" w:hAnsiTheme="minorHAnsi"/>
                <w:b/>
                <w:color w:val="auto"/>
                <w:szCs w:val="24"/>
              </w:rPr>
              <w:t>UNFITTING CONDITION</w:t>
            </w:r>
          </w:p>
        </w:tc>
        <w:tc>
          <w:tcPr>
            <w:tcW w:w="1710" w:type="dxa"/>
            <w:shd w:val="clear" w:color="auto" w:fill="D9D9D9"/>
            <w:vAlign w:val="center"/>
          </w:tcPr>
          <w:p w:rsidR="00576206" w:rsidRPr="003818B7" w:rsidRDefault="00576206" w:rsidP="006268C8">
            <w:pPr>
              <w:tabs>
                <w:tab w:val="left" w:pos="288"/>
                <w:tab w:val="left" w:pos="4752"/>
              </w:tabs>
              <w:spacing w:line="240" w:lineRule="exact"/>
              <w:jc w:val="center"/>
              <w:rPr>
                <w:rFonts w:asciiTheme="minorHAnsi" w:hAnsiTheme="minorHAnsi"/>
                <w:b/>
                <w:color w:val="auto"/>
                <w:szCs w:val="24"/>
              </w:rPr>
            </w:pPr>
            <w:r w:rsidRPr="003818B7">
              <w:rPr>
                <w:rFonts w:asciiTheme="minorHAnsi" w:hAnsiTheme="minorHAnsi"/>
                <w:b/>
                <w:color w:val="auto"/>
                <w:szCs w:val="24"/>
              </w:rPr>
              <w:t>VASRD CODE</w:t>
            </w:r>
          </w:p>
        </w:tc>
        <w:tc>
          <w:tcPr>
            <w:tcW w:w="1170" w:type="dxa"/>
            <w:shd w:val="clear" w:color="auto" w:fill="D9D9D9"/>
            <w:vAlign w:val="center"/>
          </w:tcPr>
          <w:p w:rsidR="00576206" w:rsidRPr="003818B7" w:rsidRDefault="00576206" w:rsidP="006268C8">
            <w:pPr>
              <w:tabs>
                <w:tab w:val="left" w:pos="288"/>
                <w:tab w:val="left" w:pos="4752"/>
              </w:tabs>
              <w:spacing w:line="240" w:lineRule="exact"/>
              <w:jc w:val="center"/>
              <w:rPr>
                <w:rFonts w:asciiTheme="minorHAnsi" w:hAnsiTheme="minorHAnsi"/>
                <w:b/>
                <w:color w:val="auto"/>
                <w:szCs w:val="24"/>
              </w:rPr>
            </w:pPr>
            <w:r w:rsidRPr="003818B7">
              <w:rPr>
                <w:rFonts w:asciiTheme="minorHAnsi" w:hAnsiTheme="minorHAnsi"/>
                <w:b/>
                <w:color w:val="auto"/>
                <w:szCs w:val="24"/>
              </w:rPr>
              <w:t>RATING</w:t>
            </w:r>
          </w:p>
        </w:tc>
      </w:tr>
      <w:tr w:rsidR="00576206" w:rsidRPr="003818B7" w:rsidTr="00F22FAF">
        <w:trPr>
          <w:jc w:val="center"/>
        </w:trPr>
        <w:tc>
          <w:tcPr>
            <w:tcW w:w="6480" w:type="dxa"/>
          </w:tcPr>
          <w:p w:rsidR="00576206" w:rsidRPr="003818B7" w:rsidRDefault="00576206" w:rsidP="006268C8">
            <w:pPr>
              <w:tabs>
                <w:tab w:val="left" w:pos="288"/>
                <w:tab w:val="left" w:pos="4752"/>
              </w:tabs>
              <w:spacing w:line="240" w:lineRule="exact"/>
              <w:jc w:val="both"/>
              <w:rPr>
                <w:rFonts w:asciiTheme="minorHAnsi" w:hAnsiTheme="minorHAnsi"/>
                <w:color w:val="auto"/>
                <w:szCs w:val="24"/>
              </w:rPr>
            </w:pPr>
            <w:r w:rsidRPr="003818B7">
              <w:rPr>
                <w:rFonts w:asciiTheme="minorHAnsi" w:hAnsiTheme="minorHAnsi"/>
                <w:color w:val="auto"/>
                <w:szCs w:val="24"/>
              </w:rPr>
              <w:t>Bilateral Sensorineural Hearing Loss</w:t>
            </w:r>
          </w:p>
        </w:tc>
        <w:tc>
          <w:tcPr>
            <w:tcW w:w="1710" w:type="dxa"/>
          </w:tcPr>
          <w:p w:rsidR="00576206" w:rsidRPr="003818B7" w:rsidRDefault="00576206" w:rsidP="006268C8">
            <w:pPr>
              <w:tabs>
                <w:tab w:val="left" w:pos="288"/>
                <w:tab w:val="left" w:pos="4752"/>
              </w:tabs>
              <w:spacing w:line="240" w:lineRule="exact"/>
              <w:jc w:val="center"/>
              <w:rPr>
                <w:rFonts w:asciiTheme="minorHAnsi" w:hAnsiTheme="minorHAnsi"/>
                <w:color w:val="auto"/>
                <w:szCs w:val="24"/>
              </w:rPr>
            </w:pPr>
            <w:r w:rsidRPr="003818B7">
              <w:rPr>
                <w:rFonts w:asciiTheme="minorHAnsi" w:hAnsiTheme="minorHAnsi"/>
                <w:color w:val="auto"/>
                <w:szCs w:val="24"/>
              </w:rPr>
              <w:t>6100</w:t>
            </w:r>
          </w:p>
        </w:tc>
        <w:tc>
          <w:tcPr>
            <w:tcW w:w="1170" w:type="dxa"/>
          </w:tcPr>
          <w:p w:rsidR="00576206" w:rsidRPr="003818B7" w:rsidRDefault="00576206" w:rsidP="006268C8">
            <w:pPr>
              <w:tabs>
                <w:tab w:val="left" w:pos="288"/>
                <w:tab w:val="left" w:pos="4752"/>
              </w:tabs>
              <w:spacing w:line="240" w:lineRule="exact"/>
              <w:jc w:val="center"/>
              <w:rPr>
                <w:rFonts w:asciiTheme="minorHAnsi" w:hAnsiTheme="minorHAnsi"/>
                <w:color w:val="auto"/>
                <w:szCs w:val="24"/>
              </w:rPr>
            </w:pPr>
            <w:r w:rsidRPr="003818B7">
              <w:rPr>
                <w:rFonts w:asciiTheme="minorHAnsi" w:hAnsiTheme="minorHAnsi"/>
                <w:color w:val="auto"/>
                <w:szCs w:val="24"/>
              </w:rPr>
              <w:t>0%</w:t>
            </w:r>
          </w:p>
        </w:tc>
      </w:tr>
      <w:tr w:rsidR="00576206" w:rsidRPr="003818B7" w:rsidTr="006268C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576206" w:rsidRPr="003818B7" w:rsidRDefault="00576206" w:rsidP="006268C8">
            <w:pPr>
              <w:tabs>
                <w:tab w:val="left" w:pos="288"/>
                <w:tab w:val="left" w:pos="4752"/>
              </w:tabs>
              <w:spacing w:line="240" w:lineRule="exact"/>
              <w:jc w:val="center"/>
              <w:rPr>
                <w:rFonts w:asciiTheme="minorHAnsi" w:hAnsiTheme="minorHAnsi"/>
                <w:b/>
                <w:color w:val="auto"/>
                <w:szCs w:val="24"/>
              </w:rPr>
            </w:pPr>
            <w:r w:rsidRPr="003818B7">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576206" w:rsidRPr="003818B7" w:rsidRDefault="00576206" w:rsidP="006268C8">
            <w:pPr>
              <w:tabs>
                <w:tab w:val="left" w:pos="288"/>
                <w:tab w:val="left" w:pos="4752"/>
              </w:tabs>
              <w:spacing w:line="240" w:lineRule="exact"/>
              <w:jc w:val="center"/>
              <w:rPr>
                <w:rFonts w:asciiTheme="minorHAnsi" w:hAnsiTheme="minorHAnsi"/>
                <w:b/>
                <w:color w:val="auto"/>
                <w:szCs w:val="24"/>
              </w:rPr>
            </w:pPr>
            <w:r w:rsidRPr="003818B7">
              <w:rPr>
                <w:rFonts w:asciiTheme="minorHAnsi" w:hAnsiTheme="minorHAnsi"/>
                <w:b/>
                <w:color w:val="auto"/>
                <w:szCs w:val="24"/>
              </w:rPr>
              <w:t>0%</w:t>
            </w:r>
          </w:p>
        </w:tc>
      </w:tr>
    </w:tbl>
    <w:p w:rsidR="002A496D" w:rsidRPr="003818B7" w:rsidRDefault="002A496D" w:rsidP="002A496D">
      <w:pPr>
        <w:spacing w:line="240" w:lineRule="exact"/>
        <w:jc w:val="center"/>
        <w:rPr>
          <w:rFonts w:asciiTheme="minorHAnsi" w:hAnsiTheme="minorHAnsi"/>
          <w:b/>
          <w:color w:val="auto"/>
          <w:szCs w:val="24"/>
          <w:u w:val="single"/>
        </w:rPr>
      </w:pPr>
      <w:r w:rsidRPr="003818B7">
        <w:rPr>
          <w:rFonts w:asciiTheme="minorHAnsi" w:hAnsiTheme="minorHAnsi"/>
          <w:b/>
          <w:color w:val="auto"/>
          <w:szCs w:val="24"/>
          <w:u w:val="single"/>
        </w:rPr>
        <w:t>______________________________________________________________________________</w:t>
      </w:r>
    </w:p>
    <w:p w:rsidR="002A496D" w:rsidRPr="003818B7" w:rsidRDefault="002A496D" w:rsidP="002A496D">
      <w:pPr>
        <w:tabs>
          <w:tab w:val="left" w:pos="288"/>
          <w:tab w:val="left" w:pos="4752"/>
        </w:tabs>
        <w:spacing w:line="240" w:lineRule="exact"/>
        <w:jc w:val="both"/>
        <w:rPr>
          <w:rFonts w:asciiTheme="minorHAnsi" w:hAnsiTheme="minorHAnsi"/>
          <w:color w:val="auto"/>
        </w:rPr>
      </w:pPr>
    </w:p>
    <w:p w:rsidR="002A496D" w:rsidRPr="003818B7" w:rsidRDefault="002A496D" w:rsidP="002A496D">
      <w:pPr>
        <w:tabs>
          <w:tab w:val="left" w:pos="288"/>
          <w:tab w:val="left" w:pos="4752"/>
        </w:tabs>
        <w:spacing w:line="240" w:lineRule="exact"/>
        <w:rPr>
          <w:color w:val="auto"/>
          <w:szCs w:val="24"/>
        </w:rPr>
      </w:pPr>
    </w:p>
    <w:p w:rsidR="002A496D" w:rsidRPr="003818B7" w:rsidRDefault="002A496D" w:rsidP="002A496D">
      <w:pPr>
        <w:tabs>
          <w:tab w:val="left" w:pos="288"/>
          <w:tab w:val="left" w:pos="4752"/>
        </w:tabs>
        <w:spacing w:line="240" w:lineRule="exact"/>
        <w:jc w:val="both"/>
        <w:rPr>
          <w:rFonts w:asciiTheme="minorHAnsi" w:hAnsiTheme="minorHAnsi"/>
          <w:color w:val="auto"/>
        </w:rPr>
      </w:pPr>
      <w:r w:rsidRPr="003818B7">
        <w:rPr>
          <w:rFonts w:asciiTheme="minorHAnsi" w:hAnsiTheme="minorHAnsi"/>
          <w:color w:val="auto"/>
        </w:rPr>
        <w:t>The following documentary evidence was considered:</w:t>
      </w:r>
    </w:p>
    <w:p w:rsidR="002A496D" w:rsidRPr="003818B7" w:rsidRDefault="002A496D" w:rsidP="002A496D">
      <w:pPr>
        <w:tabs>
          <w:tab w:val="left" w:pos="288"/>
          <w:tab w:val="left" w:pos="4752"/>
        </w:tabs>
        <w:spacing w:line="240" w:lineRule="exact"/>
        <w:jc w:val="both"/>
        <w:rPr>
          <w:rFonts w:asciiTheme="minorHAnsi" w:hAnsiTheme="minorHAnsi"/>
          <w:color w:val="auto"/>
        </w:rPr>
      </w:pPr>
    </w:p>
    <w:p w:rsidR="002A496D" w:rsidRPr="003818B7" w:rsidRDefault="002A496D" w:rsidP="002A496D">
      <w:pPr>
        <w:tabs>
          <w:tab w:val="left" w:pos="288"/>
          <w:tab w:val="left" w:pos="4752"/>
        </w:tabs>
        <w:spacing w:line="240" w:lineRule="exact"/>
        <w:jc w:val="both"/>
        <w:rPr>
          <w:rFonts w:asciiTheme="minorHAnsi" w:hAnsiTheme="minorHAnsi"/>
          <w:color w:val="auto"/>
        </w:rPr>
      </w:pPr>
      <w:r w:rsidRPr="003818B7">
        <w:rPr>
          <w:rFonts w:asciiTheme="minorHAnsi" w:hAnsiTheme="minorHAnsi"/>
          <w:color w:val="auto"/>
        </w:rPr>
        <w:t xml:space="preserve">Exhibit A.  DD Form </w:t>
      </w:r>
      <w:proofErr w:type="gramStart"/>
      <w:r w:rsidRPr="003818B7">
        <w:rPr>
          <w:rFonts w:asciiTheme="minorHAnsi" w:hAnsiTheme="minorHAnsi"/>
          <w:color w:val="auto"/>
        </w:rPr>
        <w:t>294,</w:t>
      </w:r>
      <w:proofErr w:type="gramEnd"/>
      <w:r w:rsidRPr="003818B7">
        <w:rPr>
          <w:rFonts w:asciiTheme="minorHAnsi" w:hAnsiTheme="minorHAnsi"/>
          <w:color w:val="auto"/>
        </w:rPr>
        <w:t xml:space="preserve"> dated 20091113, w/</w:t>
      </w:r>
      <w:proofErr w:type="spellStart"/>
      <w:r w:rsidRPr="003818B7">
        <w:rPr>
          <w:rFonts w:asciiTheme="minorHAnsi" w:hAnsiTheme="minorHAnsi"/>
          <w:color w:val="auto"/>
        </w:rPr>
        <w:t>atchs</w:t>
      </w:r>
      <w:proofErr w:type="spellEnd"/>
      <w:r w:rsidRPr="003818B7">
        <w:rPr>
          <w:rFonts w:asciiTheme="minorHAnsi" w:hAnsiTheme="minorHAnsi"/>
          <w:color w:val="auto"/>
        </w:rPr>
        <w:t>.</w:t>
      </w:r>
    </w:p>
    <w:p w:rsidR="002A496D" w:rsidRPr="003818B7" w:rsidRDefault="002A496D" w:rsidP="002A496D">
      <w:pPr>
        <w:tabs>
          <w:tab w:val="left" w:pos="288"/>
          <w:tab w:val="left" w:pos="4752"/>
        </w:tabs>
        <w:spacing w:line="240" w:lineRule="exact"/>
        <w:jc w:val="both"/>
        <w:rPr>
          <w:rFonts w:asciiTheme="minorHAnsi" w:hAnsiTheme="minorHAnsi"/>
          <w:color w:val="auto"/>
        </w:rPr>
      </w:pPr>
      <w:r w:rsidRPr="003818B7">
        <w:rPr>
          <w:rFonts w:asciiTheme="minorHAnsi" w:hAnsiTheme="minorHAnsi"/>
          <w:color w:val="auto"/>
        </w:rPr>
        <w:t xml:space="preserve">Exhibit B.  </w:t>
      </w:r>
      <w:proofErr w:type="gramStart"/>
      <w:r w:rsidRPr="003818B7">
        <w:rPr>
          <w:rFonts w:asciiTheme="minorHAnsi" w:hAnsiTheme="minorHAnsi"/>
          <w:color w:val="auto"/>
        </w:rPr>
        <w:t>Service Treatment Record.</w:t>
      </w:r>
      <w:proofErr w:type="gramEnd"/>
    </w:p>
    <w:p w:rsidR="002A496D" w:rsidRPr="003818B7" w:rsidRDefault="002A496D" w:rsidP="002A496D">
      <w:pPr>
        <w:tabs>
          <w:tab w:val="left" w:pos="288"/>
          <w:tab w:val="left" w:pos="4752"/>
        </w:tabs>
        <w:spacing w:line="240" w:lineRule="exact"/>
        <w:jc w:val="both"/>
        <w:rPr>
          <w:rFonts w:asciiTheme="minorHAnsi" w:hAnsiTheme="minorHAnsi"/>
          <w:color w:val="auto"/>
        </w:rPr>
      </w:pPr>
      <w:r w:rsidRPr="003818B7">
        <w:rPr>
          <w:rFonts w:asciiTheme="minorHAnsi" w:hAnsiTheme="minorHAnsi"/>
          <w:color w:val="auto"/>
        </w:rPr>
        <w:t xml:space="preserve">Exhibit C.  </w:t>
      </w:r>
      <w:proofErr w:type="gramStart"/>
      <w:r w:rsidRPr="003818B7">
        <w:rPr>
          <w:rFonts w:asciiTheme="minorHAnsi" w:hAnsiTheme="minorHAnsi"/>
          <w:color w:val="auto"/>
        </w:rPr>
        <w:t>Department of Veterans' Affairs Treatment Record.</w:t>
      </w:r>
      <w:proofErr w:type="gramEnd"/>
    </w:p>
    <w:p w:rsidR="002A496D" w:rsidRPr="003818B7" w:rsidRDefault="002A496D" w:rsidP="002A496D">
      <w:pPr>
        <w:tabs>
          <w:tab w:val="left" w:pos="288"/>
          <w:tab w:val="left" w:pos="4752"/>
        </w:tabs>
        <w:spacing w:line="240" w:lineRule="exact"/>
        <w:jc w:val="both"/>
        <w:rPr>
          <w:rFonts w:asciiTheme="minorHAnsi" w:hAnsiTheme="minorHAnsi"/>
          <w:color w:val="auto"/>
        </w:rPr>
      </w:pPr>
    </w:p>
    <w:p w:rsidR="002A496D" w:rsidRPr="00006186" w:rsidRDefault="002A496D" w:rsidP="002A496D">
      <w:pPr>
        <w:tabs>
          <w:tab w:val="left" w:pos="288"/>
          <w:tab w:val="left" w:pos="4752"/>
        </w:tabs>
        <w:spacing w:line="240" w:lineRule="exact"/>
        <w:jc w:val="both"/>
        <w:rPr>
          <w:rFonts w:asciiTheme="minorHAnsi" w:hAnsiTheme="minorHAnsi"/>
          <w:color w:val="auto"/>
        </w:rPr>
      </w:pPr>
    </w:p>
    <w:p w:rsidR="002A496D" w:rsidRPr="00006186" w:rsidRDefault="002A496D" w:rsidP="002A496D">
      <w:pPr>
        <w:tabs>
          <w:tab w:val="left" w:pos="288"/>
          <w:tab w:val="left" w:pos="4752"/>
        </w:tabs>
        <w:spacing w:line="240" w:lineRule="exact"/>
        <w:jc w:val="both"/>
        <w:rPr>
          <w:rFonts w:asciiTheme="minorHAnsi" w:hAnsiTheme="minorHAnsi"/>
          <w:color w:val="auto"/>
        </w:rPr>
      </w:pPr>
    </w:p>
    <w:p w:rsidR="002A496D" w:rsidRPr="00006186" w:rsidRDefault="002A496D" w:rsidP="002A496D">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2A496D" w:rsidRPr="00006186" w:rsidRDefault="002A496D" w:rsidP="002A496D">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2A496D" w:rsidRDefault="002A496D" w:rsidP="002A496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5377AA" w:rsidRDefault="005377AA">
      <w:pPr>
        <w:rPr>
          <w:rFonts w:asciiTheme="minorHAnsi" w:hAnsiTheme="minorHAnsi"/>
          <w:color w:val="auto"/>
        </w:rPr>
      </w:pPr>
      <w:r>
        <w:rPr>
          <w:rFonts w:asciiTheme="minorHAnsi" w:hAnsiTheme="minorHAnsi"/>
          <w:color w:val="auto"/>
        </w:rPr>
        <w:br w:type="page"/>
      </w:r>
    </w:p>
    <w:p w:rsidR="00841E41" w:rsidRPr="005377AA" w:rsidRDefault="00841E41" w:rsidP="002A496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115C1" w:rsidRPr="005377AA" w:rsidRDefault="00C115C1" w:rsidP="00841E41">
      <w:pPr>
        <w:jc w:val="both"/>
        <w:rPr>
          <w:color w:val="auto"/>
        </w:rPr>
      </w:pPr>
    </w:p>
    <w:p w:rsidR="00841E41" w:rsidRPr="005377AA" w:rsidRDefault="00841E41" w:rsidP="00841E41">
      <w:pPr>
        <w:jc w:val="both"/>
        <w:rPr>
          <w:color w:val="auto"/>
        </w:rPr>
      </w:pPr>
      <w:r w:rsidRPr="005377AA">
        <w:rPr>
          <w:color w:val="auto"/>
        </w:rPr>
        <w:t xml:space="preserve">MEMORANDUM FOR DIRECTOR, SECRETARY OF THE NAVY COUNCIL OF REVIEW    </w:t>
      </w:r>
    </w:p>
    <w:p w:rsidR="00841E41" w:rsidRPr="005377AA" w:rsidRDefault="00841E41" w:rsidP="00841E41">
      <w:pPr>
        <w:ind w:left="-360"/>
        <w:jc w:val="both"/>
        <w:rPr>
          <w:color w:val="auto"/>
        </w:rPr>
      </w:pPr>
      <w:r w:rsidRPr="005377AA">
        <w:rPr>
          <w:color w:val="auto"/>
        </w:rPr>
        <w:t xml:space="preserve">                                              BOARDS </w:t>
      </w:r>
    </w:p>
    <w:p w:rsidR="00841E41" w:rsidRPr="005377AA" w:rsidRDefault="00841E41" w:rsidP="00841E41">
      <w:pPr>
        <w:jc w:val="both"/>
        <w:rPr>
          <w:color w:val="auto"/>
        </w:rPr>
      </w:pPr>
    </w:p>
    <w:p w:rsidR="00841E41" w:rsidRPr="005377AA" w:rsidRDefault="00841E41" w:rsidP="00841E41">
      <w:pPr>
        <w:jc w:val="both"/>
        <w:rPr>
          <w:color w:val="auto"/>
        </w:rPr>
      </w:pPr>
      <w:proofErr w:type="spellStart"/>
      <w:r w:rsidRPr="005377AA">
        <w:rPr>
          <w:color w:val="auto"/>
        </w:rPr>
        <w:t>Subj</w:t>
      </w:r>
      <w:proofErr w:type="spellEnd"/>
      <w:r w:rsidRPr="005377AA">
        <w:rPr>
          <w:color w:val="auto"/>
        </w:rPr>
        <w:t>:  PHYSICAL DISABILITY BOARD OF REVIEW (PDBR) RECOMMENDATION</w:t>
      </w:r>
    </w:p>
    <w:p w:rsidR="00841E41" w:rsidRPr="005377AA" w:rsidRDefault="00841E41" w:rsidP="00841E41">
      <w:pPr>
        <w:jc w:val="both"/>
        <w:rPr>
          <w:color w:val="auto"/>
        </w:rPr>
      </w:pPr>
      <w:r w:rsidRPr="005377AA">
        <w:rPr>
          <w:color w:val="auto"/>
        </w:rPr>
        <w:t xml:space="preserve">          ICO </w:t>
      </w:r>
      <w:r w:rsidR="00C115C1" w:rsidRPr="005377AA">
        <w:rPr>
          <w:color w:val="auto"/>
        </w:rPr>
        <w:t>XXX</w:t>
      </w:r>
      <w:r w:rsidRPr="005377AA">
        <w:rPr>
          <w:color w:val="auto"/>
        </w:rPr>
        <w:t>, FORMER USMC</w:t>
      </w:r>
    </w:p>
    <w:p w:rsidR="00841E41" w:rsidRPr="005377AA" w:rsidRDefault="00841E41" w:rsidP="00841E41">
      <w:pPr>
        <w:jc w:val="both"/>
        <w:rPr>
          <w:color w:val="auto"/>
        </w:rPr>
      </w:pPr>
    </w:p>
    <w:p w:rsidR="00841E41" w:rsidRPr="005377AA" w:rsidRDefault="00841E41" w:rsidP="00841E41">
      <w:pPr>
        <w:jc w:val="both"/>
        <w:rPr>
          <w:color w:val="auto"/>
        </w:rPr>
      </w:pPr>
      <w:r w:rsidRPr="005377AA">
        <w:rPr>
          <w:color w:val="auto"/>
        </w:rPr>
        <w:t>Ref:   (a) DoDI 6040.44</w:t>
      </w:r>
    </w:p>
    <w:p w:rsidR="00841E41" w:rsidRPr="005377AA" w:rsidRDefault="00841E41" w:rsidP="00841E41">
      <w:pPr>
        <w:ind w:left="-540"/>
        <w:jc w:val="both"/>
        <w:rPr>
          <w:color w:val="auto"/>
        </w:rPr>
      </w:pPr>
      <w:r w:rsidRPr="005377AA">
        <w:rPr>
          <w:color w:val="auto"/>
        </w:rPr>
        <w:t xml:space="preserve">                   (b) PDBR </w:t>
      </w:r>
      <w:proofErr w:type="spellStart"/>
      <w:r w:rsidRPr="005377AA">
        <w:rPr>
          <w:color w:val="auto"/>
        </w:rPr>
        <w:t>ltr</w:t>
      </w:r>
      <w:proofErr w:type="spellEnd"/>
      <w:r w:rsidRPr="005377AA">
        <w:rPr>
          <w:color w:val="auto"/>
        </w:rPr>
        <w:t xml:space="preserve"> </w:t>
      </w:r>
      <w:proofErr w:type="spellStart"/>
      <w:r w:rsidRPr="005377AA">
        <w:rPr>
          <w:color w:val="auto"/>
        </w:rPr>
        <w:t>dtd</w:t>
      </w:r>
      <w:proofErr w:type="spellEnd"/>
      <w:r w:rsidRPr="005377AA">
        <w:rPr>
          <w:color w:val="auto"/>
        </w:rPr>
        <w:t xml:space="preserve"> 3 May 11</w:t>
      </w:r>
    </w:p>
    <w:p w:rsidR="00841E41" w:rsidRPr="005377AA" w:rsidRDefault="00841E41" w:rsidP="00841E41">
      <w:pPr>
        <w:ind w:left="-540"/>
        <w:jc w:val="both"/>
        <w:rPr>
          <w:color w:val="auto"/>
        </w:rPr>
      </w:pPr>
    </w:p>
    <w:p w:rsidR="00841E41" w:rsidRPr="005377AA" w:rsidRDefault="00841E41" w:rsidP="00841E41">
      <w:pPr>
        <w:ind w:hanging="90"/>
        <w:jc w:val="both"/>
        <w:rPr>
          <w:color w:val="auto"/>
        </w:rPr>
      </w:pPr>
      <w:r w:rsidRPr="005377AA">
        <w:rPr>
          <w:color w:val="auto"/>
        </w:rPr>
        <w:t xml:space="preserve">      I have reviewed the subject case pursuant to reference (a) and, for the reasons set forth in reference (b), approve the recommendation of the Physical Disability Board of Review </w:t>
      </w:r>
      <w:r w:rsidR="00C115C1" w:rsidRPr="005377AA">
        <w:rPr>
          <w:color w:val="auto"/>
        </w:rPr>
        <w:t>XXX’s</w:t>
      </w:r>
      <w:r w:rsidRPr="005377AA">
        <w:rPr>
          <w:color w:val="auto"/>
        </w:rPr>
        <w:t xml:space="preserve"> records not be corrected to reflect a change in either his characterization of separation or in the disability rating previously assigned by the Department of the Navy’s Physical Evaluation Board.</w:t>
      </w:r>
    </w:p>
    <w:p w:rsidR="00841E41" w:rsidRPr="005377AA" w:rsidRDefault="00841E41" w:rsidP="00841E41">
      <w:pPr>
        <w:jc w:val="both"/>
        <w:rPr>
          <w:color w:val="auto"/>
        </w:rPr>
      </w:pPr>
    </w:p>
    <w:p w:rsidR="00841E41" w:rsidRPr="005377AA" w:rsidRDefault="00841E41" w:rsidP="00841E41">
      <w:pPr>
        <w:jc w:val="both"/>
        <w:rPr>
          <w:color w:val="auto"/>
        </w:rPr>
      </w:pPr>
    </w:p>
    <w:p w:rsidR="00841E41" w:rsidRPr="005377AA" w:rsidRDefault="00841E41" w:rsidP="00841E41">
      <w:pPr>
        <w:tabs>
          <w:tab w:val="left" w:pos="4680"/>
        </w:tabs>
        <w:jc w:val="both"/>
        <w:rPr>
          <w:color w:val="auto"/>
        </w:rPr>
      </w:pPr>
      <w:r w:rsidRPr="005377AA">
        <w:rPr>
          <w:color w:val="auto"/>
        </w:rPr>
        <w:tab/>
      </w:r>
    </w:p>
    <w:p w:rsidR="00841E41" w:rsidRPr="005377AA" w:rsidRDefault="00841E41" w:rsidP="00841E41">
      <w:pPr>
        <w:jc w:val="both"/>
        <w:rPr>
          <w:color w:val="auto"/>
        </w:rPr>
      </w:pPr>
      <w:r w:rsidRPr="005377AA">
        <w:rPr>
          <w:color w:val="auto"/>
        </w:rPr>
        <w:tab/>
        <w:t xml:space="preserve">     </w:t>
      </w:r>
      <w:r w:rsidRPr="005377AA">
        <w:rPr>
          <w:color w:val="auto"/>
        </w:rPr>
        <w:tab/>
      </w:r>
      <w:r w:rsidRPr="005377AA">
        <w:rPr>
          <w:color w:val="auto"/>
        </w:rPr>
        <w:tab/>
      </w:r>
      <w:r w:rsidRPr="005377AA">
        <w:rPr>
          <w:color w:val="auto"/>
        </w:rPr>
        <w:tab/>
      </w:r>
      <w:r w:rsidRPr="005377AA">
        <w:rPr>
          <w:color w:val="auto"/>
        </w:rPr>
        <w:tab/>
      </w:r>
      <w:r w:rsidRPr="005377AA">
        <w:rPr>
          <w:color w:val="auto"/>
        </w:rPr>
        <w:tab/>
        <w:t xml:space="preserve">      Assistant General Counsel</w:t>
      </w:r>
    </w:p>
    <w:p w:rsidR="00841E41" w:rsidRPr="005377AA" w:rsidRDefault="00841E41" w:rsidP="00841E41">
      <w:pPr>
        <w:jc w:val="both"/>
        <w:rPr>
          <w:color w:val="auto"/>
        </w:rPr>
      </w:pPr>
      <w:r w:rsidRPr="005377AA">
        <w:rPr>
          <w:color w:val="auto"/>
        </w:rPr>
        <w:tab/>
      </w:r>
      <w:r w:rsidRPr="005377AA">
        <w:rPr>
          <w:color w:val="auto"/>
        </w:rPr>
        <w:tab/>
      </w:r>
      <w:r w:rsidRPr="005377AA">
        <w:rPr>
          <w:color w:val="auto"/>
        </w:rPr>
        <w:tab/>
      </w:r>
      <w:r w:rsidRPr="005377AA">
        <w:rPr>
          <w:color w:val="auto"/>
        </w:rPr>
        <w:tab/>
      </w:r>
      <w:r w:rsidRPr="005377AA">
        <w:rPr>
          <w:color w:val="auto"/>
        </w:rPr>
        <w:tab/>
      </w:r>
      <w:r w:rsidRPr="005377AA">
        <w:rPr>
          <w:color w:val="auto"/>
        </w:rPr>
        <w:tab/>
        <w:t xml:space="preserve">        (Manpower &amp; Reserve Affairs)</w:t>
      </w:r>
    </w:p>
    <w:p w:rsidR="00841E41" w:rsidRDefault="00841E41" w:rsidP="00841E41">
      <w:pPr>
        <w:jc w:val="both"/>
      </w:pPr>
      <w:r>
        <w:tab/>
      </w:r>
      <w:r>
        <w:tab/>
      </w:r>
      <w:r>
        <w:tab/>
      </w:r>
      <w:r>
        <w:tab/>
      </w:r>
      <w:r>
        <w:tab/>
      </w:r>
      <w:r>
        <w:tab/>
        <w:t xml:space="preserve">  </w:t>
      </w:r>
    </w:p>
    <w:p w:rsidR="00841E41" w:rsidRDefault="00841E41" w:rsidP="002A496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841E4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DE0" w:rsidRDefault="002A0DE0">
      <w:r>
        <w:separator/>
      </w:r>
    </w:p>
  </w:endnote>
  <w:endnote w:type="continuationSeparator" w:id="0">
    <w:p w:rsidR="002A0DE0" w:rsidRDefault="002A0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B51E9" w:rsidRPr="003818B7" w:rsidRDefault="002A4435" w:rsidP="00F65ED5">
        <w:pPr>
          <w:pStyle w:val="Footer"/>
          <w:jc w:val="right"/>
          <w:rPr>
            <w:color w:val="auto"/>
          </w:rPr>
        </w:pPr>
        <w:r w:rsidRPr="003818B7">
          <w:rPr>
            <w:color w:val="auto"/>
          </w:rPr>
          <w:fldChar w:fldCharType="begin"/>
        </w:r>
        <w:r w:rsidR="002B51E9" w:rsidRPr="003818B7">
          <w:rPr>
            <w:color w:val="auto"/>
          </w:rPr>
          <w:instrText xml:space="preserve"> PAGE   \* MERGEFORMAT </w:instrText>
        </w:r>
        <w:r w:rsidRPr="003818B7">
          <w:rPr>
            <w:color w:val="auto"/>
          </w:rPr>
          <w:fldChar w:fldCharType="separate"/>
        </w:r>
        <w:r w:rsidR="005377AA">
          <w:rPr>
            <w:noProof/>
            <w:color w:val="auto"/>
          </w:rPr>
          <w:t>4</w:t>
        </w:r>
        <w:r w:rsidRPr="003818B7">
          <w:rPr>
            <w:color w:val="auto"/>
          </w:rPr>
          <w:fldChar w:fldCharType="end"/>
        </w:r>
        <w:r w:rsidR="002B51E9" w:rsidRPr="003818B7">
          <w:rPr>
            <w:color w:val="auto"/>
          </w:rPr>
          <w:t xml:space="preserve">                                                           PD200900688</w:t>
        </w:r>
      </w:p>
    </w:sdtContent>
  </w:sdt>
  <w:p w:rsidR="002B51E9" w:rsidRDefault="002B5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9" w:rsidRPr="00396779" w:rsidRDefault="002B51E9" w:rsidP="00EA52FE">
    <w:pPr>
      <w:pStyle w:val="Footer"/>
      <w:jc w:val="right"/>
      <w:rPr>
        <w:rFonts w:asciiTheme="minorHAnsi" w:hAnsiTheme="minorHAnsi"/>
        <w:color w:val="auto"/>
      </w:rPr>
    </w:pPr>
    <w:r>
      <w:t xml:space="preserve">                      </w:t>
    </w:r>
  </w:p>
  <w:p w:rsidR="002B51E9" w:rsidRDefault="002B51E9" w:rsidP="004766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DE0" w:rsidRDefault="002A0DE0">
      <w:r>
        <w:separator/>
      </w:r>
    </w:p>
  </w:footnote>
  <w:footnote w:type="continuationSeparator" w:id="0">
    <w:p w:rsidR="002A0DE0" w:rsidRDefault="002A0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F22BF"/>
    <w:multiLevelType w:val="hybridMultilevel"/>
    <w:tmpl w:val="89E0C71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40D28"/>
    <w:multiLevelType w:val="hybridMultilevel"/>
    <w:tmpl w:val="78E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9"/>
  </w:num>
  <w:num w:numId="4">
    <w:abstractNumId w:val="7"/>
  </w:num>
  <w:num w:numId="5">
    <w:abstractNumId w:val="3"/>
  </w:num>
  <w:num w:numId="6">
    <w:abstractNumId w:val="9"/>
  </w:num>
  <w:num w:numId="7">
    <w:abstractNumId w:val="0"/>
  </w:num>
  <w:num w:numId="8">
    <w:abstractNumId w:val="5"/>
  </w:num>
  <w:num w:numId="9">
    <w:abstractNumId w:val="17"/>
  </w:num>
  <w:num w:numId="10">
    <w:abstractNumId w:val="11"/>
  </w:num>
  <w:num w:numId="11">
    <w:abstractNumId w:val="4"/>
  </w:num>
  <w:num w:numId="12">
    <w:abstractNumId w:val="15"/>
  </w:num>
  <w:num w:numId="13">
    <w:abstractNumId w:val="8"/>
  </w:num>
  <w:num w:numId="14">
    <w:abstractNumId w:val="16"/>
  </w:num>
  <w:num w:numId="15">
    <w:abstractNumId w:val="20"/>
  </w:num>
  <w:num w:numId="16">
    <w:abstractNumId w:val="1"/>
  </w:num>
  <w:num w:numId="17">
    <w:abstractNumId w:val="18"/>
  </w:num>
  <w:num w:numId="18">
    <w:abstractNumId w:val="10"/>
  </w:num>
  <w:num w:numId="19">
    <w:abstractNumId w:val="13"/>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3249"/>
  </w:hdrShapeDefaults>
  <w:footnotePr>
    <w:numRestart w:val="eachSect"/>
    <w:footnote w:id="-1"/>
    <w:footnote w:id="0"/>
  </w:footnotePr>
  <w:endnotePr>
    <w:endnote w:id="-1"/>
    <w:endnote w:id="0"/>
  </w:endnotePr>
  <w:compat/>
  <w:rsids>
    <w:rsidRoot w:val="001C28D1"/>
    <w:rsid w:val="000032F2"/>
    <w:rsid w:val="000059FA"/>
    <w:rsid w:val="00006186"/>
    <w:rsid w:val="00006F87"/>
    <w:rsid w:val="00007107"/>
    <w:rsid w:val="00010ABA"/>
    <w:rsid w:val="00012428"/>
    <w:rsid w:val="00013417"/>
    <w:rsid w:val="000145C2"/>
    <w:rsid w:val="0001473F"/>
    <w:rsid w:val="00014A9E"/>
    <w:rsid w:val="00021361"/>
    <w:rsid w:val="00022CF3"/>
    <w:rsid w:val="00023913"/>
    <w:rsid w:val="00023D43"/>
    <w:rsid w:val="00030776"/>
    <w:rsid w:val="00032E07"/>
    <w:rsid w:val="000332CA"/>
    <w:rsid w:val="0003374E"/>
    <w:rsid w:val="000344D8"/>
    <w:rsid w:val="000344E6"/>
    <w:rsid w:val="00035C3A"/>
    <w:rsid w:val="00036E4B"/>
    <w:rsid w:val="00037929"/>
    <w:rsid w:val="000379D0"/>
    <w:rsid w:val="00040FC4"/>
    <w:rsid w:val="000416F8"/>
    <w:rsid w:val="00042520"/>
    <w:rsid w:val="00042C26"/>
    <w:rsid w:val="00043382"/>
    <w:rsid w:val="00044623"/>
    <w:rsid w:val="000452D7"/>
    <w:rsid w:val="00051622"/>
    <w:rsid w:val="00052234"/>
    <w:rsid w:val="00053D7C"/>
    <w:rsid w:val="000575C5"/>
    <w:rsid w:val="000577C9"/>
    <w:rsid w:val="0006431E"/>
    <w:rsid w:val="000654A1"/>
    <w:rsid w:val="00065E21"/>
    <w:rsid w:val="00072433"/>
    <w:rsid w:val="00075702"/>
    <w:rsid w:val="000775C2"/>
    <w:rsid w:val="000806AD"/>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3F20"/>
    <w:rsid w:val="000E7034"/>
    <w:rsid w:val="000F02BE"/>
    <w:rsid w:val="000F0928"/>
    <w:rsid w:val="000F427B"/>
    <w:rsid w:val="000F43D0"/>
    <w:rsid w:val="000F4F18"/>
    <w:rsid w:val="000F688E"/>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20B"/>
    <w:rsid w:val="00122ABE"/>
    <w:rsid w:val="001231DC"/>
    <w:rsid w:val="0012489B"/>
    <w:rsid w:val="001272AE"/>
    <w:rsid w:val="001315DD"/>
    <w:rsid w:val="001336D2"/>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1240"/>
    <w:rsid w:val="00182A4C"/>
    <w:rsid w:val="00182D99"/>
    <w:rsid w:val="00183F77"/>
    <w:rsid w:val="001844D8"/>
    <w:rsid w:val="00185DA8"/>
    <w:rsid w:val="00185ECB"/>
    <w:rsid w:val="001865E0"/>
    <w:rsid w:val="001870F0"/>
    <w:rsid w:val="00190E48"/>
    <w:rsid w:val="0019273F"/>
    <w:rsid w:val="00193814"/>
    <w:rsid w:val="00193AD5"/>
    <w:rsid w:val="00194930"/>
    <w:rsid w:val="001A025E"/>
    <w:rsid w:val="001A08CD"/>
    <w:rsid w:val="001A0A1E"/>
    <w:rsid w:val="001A2182"/>
    <w:rsid w:val="001A48C0"/>
    <w:rsid w:val="001A5320"/>
    <w:rsid w:val="001A5E62"/>
    <w:rsid w:val="001A63E7"/>
    <w:rsid w:val="001A6848"/>
    <w:rsid w:val="001A7538"/>
    <w:rsid w:val="001B0B1A"/>
    <w:rsid w:val="001B3857"/>
    <w:rsid w:val="001B3F5A"/>
    <w:rsid w:val="001B4EC2"/>
    <w:rsid w:val="001B5B59"/>
    <w:rsid w:val="001B60E0"/>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635C"/>
    <w:rsid w:val="00200AA0"/>
    <w:rsid w:val="00202325"/>
    <w:rsid w:val="00202736"/>
    <w:rsid w:val="00203652"/>
    <w:rsid w:val="00205B4F"/>
    <w:rsid w:val="002060B6"/>
    <w:rsid w:val="002066B5"/>
    <w:rsid w:val="002119B6"/>
    <w:rsid w:val="00212B40"/>
    <w:rsid w:val="00213BD0"/>
    <w:rsid w:val="00214DBA"/>
    <w:rsid w:val="002151AB"/>
    <w:rsid w:val="00215ED6"/>
    <w:rsid w:val="00216049"/>
    <w:rsid w:val="002163FA"/>
    <w:rsid w:val="00217606"/>
    <w:rsid w:val="00217C09"/>
    <w:rsid w:val="00220F5C"/>
    <w:rsid w:val="00221B9B"/>
    <w:rsid w:val="00225196"/>
    <w:rsid w:val="00225CB4"/>
    <w:rsid w:val="00226B1A"/>
    <w:rsid w:val="00226B82"/>
    <w:rsid w:val="00227691"/>
    <w:rsid w:val="0023049F"/>
    <w:rsid w:val="002316F6"/>
    <w:rsid w:val="00232C9B"/>
    <w:rsid w:val="00232E73"/>
    <w:rsid w:val="00232F09"/>
    <w:rsid w:val="002335D5"/>
    <w:rsid w:val="002338CA"/>
    <w:rsid w:val="00233FE5"/>
    <w:rsid w:val="00234B3B"/>
    <w:rsid w:val="002374C9"/>
    <w:rsid w:val="0024174E"/>
    <w:rsid w:val="0024227D"/>
    <w:rsid w:val="00242D14"/>
    <w:rsid w:val="00246860"/>
    <w:rsid w:val="00246DFF"/>
    <w:rsid w:val="00246E89"/>
    <w:rsid w:val="0025183C"/>
    <w:rsid w:val="002528EC"/>
    <w:rsid w:val="00255049"/>
    <w:rsid w:val="00257DE5"/>
    <w:rsid w:val="00260531"/>
    <w:rsid w:val="00260B9A"/>
    <w:rsid w:val="0026318D"/>
    <w:rsid w:val="00270864"/>
    <w:rsid w:val="002712F7"/>
    <w:rsid w:val="0027159C"/>
    <w:rsid w:val="002722F2"/>
    <w:rsid w:val="00274549"/>
    <w:rsid w:val="00274E46"/>
    <w:rsid w:val="002769AF"/>
    <w:rsid w:val="00276C86"/>
    <w:rsid w:val="00277217"/>
    <w:rsid w:val="002810A4"/>
    <w:rsid w:val="00284A26"/>
    <w:rsid w:val="00285553"/>
    <w:rsid w:val="00287006"/>
    <w:rsid w:val="00292AB2"/>
    <w:rsid w:val="00293FE8"/>
    <w:rsid w:val="00294437"/>
    <w:rsid w:val="0029506B"/>
    <w:rsid w:val="00295DED"/>
    <w:rsid w:val="00297A45"/>
    <w:rsid w:val="002A0DE0"/>
    <w:rsid w:val="002A233F"/>
    <w:rsid w:val="002A3237"/>
    <w:rsid w:val="002A4435"/>
    <w:rsid w:val="002A496D"/>
    <w:rsid w:val="002A58B7"/>
    <w:rsid w:val="002A5943"/>
    <w:rsid w:val="002A5C3C"/>
    <w:rsid w:val="002A6680"/>
    <w:rsid w:val="002A685E"/>
    <w:rsid w:val="002A72C7"/>
    <w:rsid w:val="002B03B2"/>
    <w:rsid w:val="002B0749"/>
    <w:rsid w:val="002B2645"/>
    <w:rsid w:val="002B4E22"/>
    <w:rsid w:val="002B51E9"/>
    <w:rsid w:val="002B5D2E"/>
    <w:rsid w:val="002B6FA0"/>
    <w:rsid w:val="002C3B6D"/>
    <w:rsid w:val="002C5D9D"/>
    <w:rsid w:val="002C5F10"/>
    <w:rsid w:val="002C6E5B"/>
    <w:rsid w:val="002D18B4"/>
    <w:rsid w:val="002D231A"/>
    <w:rsid w:val="002D7787"/>
    <w:rsid w:val="002E1877"/>
    <w:rsid w:val="002E1C31"/>
    <w:rsid w:val="002E290F"/>
    <w:rsid w:val="002E2E0F"/>
    <w:rsid w:val="002E333A"/>
    <w:rsid w:val="002E3474"/>
    <w:rsid w:val="002E400C"/>
    <w:rsid w:val="002E49C3"/>
    <w:rsid w:val="002E5114"/>
    <w:rsid w:val="002E5988"/>
    <w:rsid w:val="002E7570"/>
    <w:rsid w:val="002E764B"/>
    <w:rsid w:val="002F0E28"/>
    <w:rsid w:val="002F287E"/>
    <w:rsid w:val="002F2981"/>
    <w:rsid w:val="002F2D63"/>
    <w:rsid w:val="002F6AD8"/>
    <w:rsid w:val="002F7F81"/>
    <w:rsid w:val="00300A36"/>
    <w:rsid w:val="0030678B"/>
    <w:rsid w:val="00310CD7"/>
    <w:rsid w:val="0032136A"/>
    <w:rsid w:val="00323E70"/>
    <w:rsid w:val="003258A7"/>
    <w:rsid w:val="00325BA2"/>
    <w:rsid w:val="00326B1C"/>
    <w:rsid w:val="00326C08"/>
    <w:rsid w:val="00326F7F"/>
    <w:rsid w:val="003320E8"/>
    <w:rsid w:val="003328FD"/>
    <w:rsid w:val="0033334F"/>
    <w:rsid w:val="0033555E"/>
    <w:rsid w:val="00336805"/>
    <w:rsid w:val="00337351"/>
    <w:rsid w:val="00341091"/>
    <w:rsid w:val="00341A54"/>
    <w:rsid w:val="0034669F"/>
    <w:rsid w:val="00351498"/>
    <w:rsid w:val="00352B22"/>
    <w:rsid w:val="00352CBF"/>
    <w:rsid w:val="00354547"/>
    <w:rsid w:val="003567DE"/>
    <w:rsid w:val="003574F3"/>
    <w:rsid w:val="003604A5"/>
    <w:rsid w:val="00360C3A"/>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FD4"/>
    <w:rsid w:val="003818B7"/>
    <w:rsid w:val="003821E1"/>
    <w:rsid w:val="003840F6"/>
    <w:rsid w:val="00384866"/>
    <w:rsid w:val="003857D4"/>
    <w:rsid w:val="00385D6F"/>
    <w:rsid w:val="00386D43"/>
    <w:rsid w:val="00387095"/>
    <w:rsid w:val="00390092"/>
    <w:rsid w:val="00393651"/>
    <w:rsid w:val="00395651"/>
    <w:rsid w:val="00395E12"/>
    <w:rsid w:val="00396779"/>
    <w:rsid w:val="00397DB7"/>
    <w:rsid w:val="003A27B2"/>
    <w:rsid w:val="003A40B4"/>
    <w:rsid w:val="003A41BA"/>
    <w:rsid w:val="003A5491"/>
    <w:rsid w:val="003A6A99"/>
    <w:rsid w:val="003A7FF8"/>
    <w:rsid w:val="003B03C9"/>
    <w:rsid w:val="003B17AC"/>
    <w:rsid w:val="003B227A"/>
    <w:rsid w:val="003B5854"/>
    <w:rsid w:val="003B6764"/>
    <w:rsid w:val="003C5046"/>
    <w:rsid w:val="003C6068"/>
    <w:rsid w:val="003D2BA3"/>
    <w:rsid w:val="003D3C22"/>
    <w:rsid w:val="003D56A0"/>
    <w:rsid w:val="003D7089"/>
    <w:rsid w:val="003D7DDB"/>
    <w:rsid w:val="003E02C7"/>
    <w:rsid w:val="003E0543"/>
    <w:rsid w:val="003E061D"/>
    <w:rsid w:val="003E0B5A"/>
    <w:rsid w:val="003E31E3"/>
    <w:rsid w:val="003E46D1"/>
    <w:rsid w:val="003E6214"/>
    <w:rsid w:val="003F070E"/>
    <w:rsid w:val="003F1206"/>
    <w:rsid w:val="003F58B0"/>
    <w:rsid w:val="003F776F"/>
    <w:rsid w:val="004007E9"/>
    <w:rsid w:val="00400810"/>
    <w:rsid w:val="00400FD3"/>
    <w:rsid w:val="00401825"/>
    <w:rsid w:val="00401BBC"/>
    <w:rsid w:val="00403BFB"/>
    <w:rsid w:val="00404B45"/>
    <w:rsid w:val="00406CC5"/>
    <w:rsid w:val="004074A4"/>
    <w:rsid w:val="004101B2"/>
    <w:rsid w:val="004123D7"/>
    <w:rsid w:val="00412658"/>
    <w:rsid w:val="004129DA"/>
    <w:rsid w:val="00415EA4"/>
    <w:rsid w:val="0041604B"/>
    <w:rsid w:val="004172DB"/>
    <w:rsid w:val="00421485"/>
    <w:rsid w:val="00422B75"/>
    <w:rsid w:val="00424612"/>
    <w:rsid w:val="00425A6A"/>
    <w:rsid w:val="00427F54"/>
    <w:rsid w:val="00433F36"/>
    <w:rsid w:val="0043503A"/>
    <w:rsid w:val="004379DD"/>
    <w:rsid w:val="00437D77"/>
    <w:rsid w:val="004435BE"/>
    <w:rsid w:val="0044384F"/>
    <w:rsid w:val="0044411E"/>
    <w:rsid w:val="00444F80"/>
    <w:rsid w:val="00446018"/>
    <w:rsid w:val="0045027B"/>
    <w:rsid w:val="004543BC"/>
    <w:rsid w:val="0045645D"/>
    <w:rsid w:val="004574C6"/>
    <w:rsid w:val="00457BCF"/>
    <w:rsid w:val="00457DCE"/>
    <w:rsid w:val="00460E3F"/>
    <w:rsid w:val="00462F68"/>
    <w:rsid w:val="004640E9"/>
    <w:rsid w:val="00466CED"/>
    <w:rsid w:val="00467592"/>
    <w:rsid w:val="00467690"/>
    <w:rsid w:val="004718E7"/>
    <w:rsid w:val="00472535"/>
    <w:rsid w:val="004761CC"/>
    <w:rsid w:val="004766C9"/>
    <w:rsid w:val="00480D4A"/>
    <w:rsid w:val="00481DA1"/>
    <w:rsid w:val="00484212"/>
    <w:rsid w:val="0049255F"/>
    <w:rsid w:val="0049445D"/>
    <w:rsid w:val="00495350"/>
    <w:rsid w:val="00497156"/>
    <w:rsid w:val="004A0C79"/>
    <w:rsid w:val="004A24D2"/>
    <w:rsid w:val="004A3214"/>
    <w:rsid w:val="004A4136"/>
    <w:rsid w:val="004A417B"/>
    <w:rsid w:val="004A4378"/>
    <w:rsid w:val="004B03F3"/>
    <w:rsid w:val="004B0CC9"/>
    <w:rsid w:val="004B2536"/>
    <w:rsid w:val="004B6AF3"/>
    <w:rsid w:val="004B715E"/>
    <w:rsid w:val="004B7169"/>
    <w:rsid w:val="004B79C9"/>
    <w:rsid w:val="004C0776"/>
    <w:rsid w:val="004C5E33"/>
    <w:rsid w:val="004C60A3"/>
    <w:rsid w:val="004C6CDA"/>
    <w:rsid w:val="004D10D4"/>
    <w:rsid w:val="004D16BD"/>
    <w:rsid w:val="004D2AAB"/>
    <w:rsid w:val="004D6F2B"/>
    <w:rsid w:val="004D6F92"/>
    <w:rsid w:val="004E0248"/>
    <w:rsid w:val="004E1E85"/>
    <w:rsid w:val="004E21A3"/>
    <w:rsid w:val="004E32EA"/>
    <w:rsid w:val="004E6866"/>
    <w:rsid w:val="004F3222"/>
    <w:rsid w:val="004F3BFA"/>
    <w:rsid w:val="005000AB"/>
    <w:rsid w:val="00500F3C"/>
    <w:rsid w:val="005025EE"/>
    <w:rsid w:val="00505524"/>
    <w:rsid w:val="005059B6"/>
    <w:rsid w:val="00506688"/>
    <w:rsid w:val="00510588"/>
    <w:rsid w:val="0051146C"/>
    <w:rsid w:val="0051220B"/>
    <w:rsid w:val="00512484"/>
    <w:rsid w:val="00514449"/>
    <w:rsid w:val="00515419"/>
    <w:rsid w:val="005157BD"/>
    <w:rsid w:val="005214A3"/>
    <w:rsid w:val="005222E7"/>
    <w:rsid w:val="00523A8B"/>
    <w:rsid w:val="00523E04"/>
    <w:rsid w:val="00525003"/>
    <w:rsid w:val="0052590B"/>
    <w:rsid w:val="00526591"/>
    <w:rsid w:val="00526EAB"/>
    <w:rsid w:val="00527178"/>
    <w:rsid w:val="005278CB"/>
    <w:rsid w:val="00534D42"/>
    <w:rsid w:val="005350A5"/>
    <w:rsid w:val="00535561"/>
    <w:rsid w:val="00536379"/>
    <w:rsid w:val="00537238"/>
    <w:rsid w:val="005377AA"/>
    <w:rsid w:val="005400C5"/>
    <w:rsid w:val="00540BE0"/>
    <w:rsid w:val="00540BEF"/>
    <w:rsid w:val="00541AEC"/>
    <w:rsid w:val="00542C9A"/>
    <w:rsid w:val="005436C2"/>
    <w:rsid w:val="005442D4"/>
    <w:rsid w:val="0054586A"/>
    <w:rsid w:val="0054631F"/>
    <w:rsid w:val="00546C24"/>
    <w:rsid w:val="0055288D"/>
    <w:rsid w:val="00555259"/>
    <w:rsid w:val="005569EF"/>
    <w:rsid w:val="00560D57"/>
    <w:rsid w:val="00562A94"/>
    <w:rsid w:val="00570754"/>
    <w:rsid w:val="005709F7"/>
    <w:rsid w:val="005710A9"/>
    <w:rsid w:val="00571D1B"/>
    <w:rsid w:val="005738F5"/>
    <w:rsid w:val="00573D34"/>
    <w:rsid w:val="00576206"/>
    <w:rsid w:val="0058039C"/>
    <w:rsid w:val="00580A63"/>
    <w:rsid w:val="00583379"/>
    <w:rsid w:val="0058417C"/>
    <w:rsid w:val="00586EC6"/>
    <w:rsid w:val="00587DDE"/>
    <w:rsid w:val="00593043"/>
    <w:rsid w:val="00593171"/>
    <w:rsid w:val="00595BF0"/>
    <w:rsid w:val="00597D06"/>
    <w:rsid w:val="005A0B1D"/>
    <w:rsid w:val="005A1846"/>
    <w:rsid w:val="005A258C"/>
    <w:rsid w:val="005A3560"/>
    <w:rsid w:val="005A464E"/>
    <w:rsid w:val="005A48AE"/>
    <w:rsid w:val="005A62FC"/>
    <w:rsid w:val="005A6C99"/>
    <w:rsid w:val="005A7D5D"/>
    <w:rsid w:val="005B011A"/>
    <w:rsid w:val="005B1D8F"/>
    <w:rsid w:val="005B1E94"/>
    <w:rsid w:val="005B433D"/>
    <w:rsid w:val="005B5B3D"/>
    <w:rsid w:val="005B64CF"/>
    <w:rsid w:val="005C16F3"/>
    <w:rsid w:val="005C3758"/>
    <w:rsid w:val="005C4D72"/>
    <w:rsid w:val="005D1092"/>
    <w:rsid w:val="005D5E91"/>
    <w:rsid w:val="005D67EF"/>
    <w:rsid w:val="005E3064"/>
    <w:rsid w:val="005E40C7"/>
    <w:rsid w:val="005E5D5D"/>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49A"/>
    <w:rsid w:val="006307BA"/>
    <w:rsid w:val="006315BA"/>
    <w:rsid w:val="00634C4A"/>
    <w:rsid w:val="0063532E"/>
    <w:rsid w:val="00637BDC"/>
    <w:rsid w:val="006418C9"/>
    <w:rsid w:val="00642BD6"/>
    <w:rsid w:val="00645046"/>
    <w:rsid w:val="0064527A"/>
    <w:rsid w:val="00645EA2"/>
    <w:rsid w:val="00651E6D"/>
    <w:rsid w:val="00653D2D"/>
    <w:rsid w:val="006573F2"/>
    <w:rsid w:val="00662AD0"/>
    <w:rsid w:val="00662F08"/>
    <w:rsid w:val="00663589"/>
    <w:rsid w:val="00665D75"/>
    <w:rsid w:val="006708E3"/>
    <w:rsid w:val="00670DDC"/>
    <w:rsid w:val="00671389"/>
    <w:rsid w:val="00671EB4"/>
    <w:rsid w:val="0067365B"/>
    <w:rsid w:val="0067443B"/>
    <w:rsid w:val="00682852"/>
    <w:rsid w:val="00684E2B"/>
    <w:rsid w:val="00690569"/>
    <w:rsid w:val="00690FDA"/>
    <w:rsid w:val="00691E61"/>
    <w:rsid w:val="00693C5E"/>
    <w:rsid w:val="00694EEA"/>
    <w:rsid w:val="006955B4"/>
    <w:rsid w:val="00696476"/>
    <w:rsid w:val="00696C74"/>
    <w:rsid w:val="006A10FA"/>
    <w:rsid w:val="006A2653"/>
    <w:rsid w:val="006A2A05"/>
    <w:rsid w:val="006A40E6"/>
    <w:rsid w:val="006A5C07"/>
    <w:rsid w:val="006A75FA"/>
    <w:rsid w:val="006B07D5"/>
    <w:rsid w:val="006B1309"/>
    <w:rsid w:val="006B3923"/>
    <w:rsid w:val="006B3F3E"/>
    <w:rsid w:val="006B56D0"/>
    <w:rsid w:val="006B5923"/>
    <w:rsid w:val="006B67D9"/>
    <w:rsid w:val="006B6C14"/>
    <w:rsid w:val="006B715E"/>
    <w:rsid w:val="006C1D6E"/>
    <w:rsid w:val="006C2EF6"/>
    <w:rsid w:val="006C3A68"/>
    <w:rsid w:val="006C6AB1"/>
    <w:rsid w:val="006C6E6B"/>
    <w:rsid w:val="006D2000"/>
    <w:rsid w:val="006D2D39"/>
    <w:rsid w:val="006D4250"/>
    <w:rsid w:val="006D4E0E"/>
    <w:rsid w:val="006D5CE2"/>
    <w:rsid w:val="006E06D1"/>
    <w:rsid w:val="006E1313"/>
    <w:rsid w:val="006E2DC8"/>
    <w:rsid w:val="006E7356"/>
    <w:rsid w:val="006E77C8"/>
    <w:rsid w:val="006F149D"/>
    <w:rsid w:val="006F1A46"/>
    <w:rsid w:val="006F1D9B"/>
    <w:rsid w:val="006F4F06"/>
    <w:rsid w:val="006F5A4E"/>
    <w:rsid w:val="006F6005"/>
    <w:rsid w:val="00703B6C"/>
    <w:rsid w:val="00705C40"/>
    <w:rsid w:val="00706482"/>
    <w:rsid w:val="00706BEF"/>
    <w:rsid w:val="00707ECE"/>
    <w:rsid w:val="00710CE8"/>
    <w:rsid w:val="007116BC"/>
    <w:rsid w:val="00711CA6"/>
    <w:rsid w:val="007165CE"/>
    <w:rsid w:val="00720968"/>
    <w:rsid w:val="00721705"/>
    <w:rsid w:val="00721B7A"/>
    <w:rsid w:val="00721D12"/>
    <w:rsid w:val="00721F8B"/>
    <w:rsid w:val="007237CE"/>
    <w:rsid w:val="00724688"/>
    <w:rsid w:val="0073062D"/>
    <w:rsid w:val="0073254D"/>
    <w:rsid w:val="00736A49"/>
    <w:rsid w:val="007419A1"/>
    <w:rsid w:val="00743B71"/>
    <w:rsid w:val="00743C2D"/>
    <w:rsid w:val="00743E36"/>
    <w:rsid w:val="00743F05"/>
    <w:rsid w:val="007446F7"/>
    <w:rsid w:val="00744EBB"/>
    <w:rsid w:val="00745B0A"/>
    <w:rsid w:val="00745DBE"/>
    <w:rsid w:val="007468AC"/>
    <w:rsid w:val="00746AE2"/>
    <w:rsid w:val="00750C82"/>
    <w:rsid w:val="0076100C"/>
    <w:rsid w:val="007612A5"/>
    <w:rsid w:val="00763F95"/>
    <w:rsid w:val="007651ED"/>
    <w:rsid w:val="00766C87"/>
    <w:rsid w:val="00780378"/>
    <w:rsid w:val="00781BD4"/>
    <w:rsid w:val="00782562"/>
    <w:rsid w:val="007828B4"/>
    <w:rsid w:val="00784832"/>
    <w:rsid w:val="00785D77"/>
    <w:rsid w:val="00786111"/>
    <w:rsid w:val="00790963"/>
    <w:rsid w:val="00791F1E"/>
    <w:rsid w:val="00794ADE"/>
    <w:rsid w:val="00794F3D"/>
    <w:rsid w:val="00796045"/>
    <w:rsid w:val="00796126"/>
    <w:rsid w:val="007968AC"/>
    <w:rsid w:val="007969AB"/>
    <w:rsid w:val="007A0B39"/>
    <w:rsid w:val="007A14A4"/>
    <w:rsid w:val="007A168F"/>
    <w:rsid w:val="007A2346"/>
    <w:rsid w:val="007A28E4"/>
    <w:rsid w:val="007A3BB3"/>
    <w:rsid w:val="007A3F91"/>
    <w:rsid w:val="007A58C9"/>
    <w:rsid w:val="007A5AD1"/>
    <w:rsid w:val="007A5B7B"/>
    <w:rsid w:val="007B0A06"/>
    <w:rsid w:val="007B5C5C"/>
    <w:rsid w:val="007B7B37"/>
    <w:rsid w:val="007B7C41"/>
    <w:rsid w:val="007C11E9"/>
    <w:rsid w:val="007C433E"/>
    <w:rsid w:val="007C4452"/>
    <w:rsid w:val="007C4B3C"/>
    <w:rsid w:val="007C4DB1"/>
    <w:rsid w:val="007C6046"/>
    <w:rsid w:val="007C6F0C"/>
    <w:rsid w:val="007D0292"/>
    <w:rsid w:val="007D21AC"/>
    <w:rsid w:val="007D24B0"/>
    <w:rsid w:val="007D3882"/>
    <w:rsid w:val="007D568A"/>
    <w:rsid w:val="007D574E"/>
    <w:rsid w:val="007D57C0"/>
    <w:rsid w:val="007D6BFE"/>
    <w:rsid w:val="007D7D8A"/>
    <w:rsid w:val="007E2046"/>
    <w:rsid w:val="007E3883"/>
    <w:rsid w:val="007E4FBB"/>
    <w:rsid w:val="007E55BF"/>
    <w:rsid w:val="007E71B1"/>
    <w:rsid w:val="007E7B4E"/>
    <w:rsid w:val="007F0AB7"/>
    <w:rsid w:val="007F0CE2"/>
    <w:rsid w:val="007F0EFF"/>
    <w:rsid w:val="007F1375"/>
    <w:rsid w:val="007F46AF"/>
    <w:rsid w:val="0080064F"/>
    <w:rsid w:val="00803850"/>
    <w:rsid w:val="008039E8"/>
    <w:rsid w:val="00804385"/>
    <w:rsid w:val="00805AFD"/>
    <w:rsid w:val="008078D8"/>
    <w:rsid w:val="00811D5B"/>
    <w:rsid w:val="00813C51"/>
    <w:rsid w:val="00817713"/>
    <w:rsid w:val="008220F1"/>
    <w:rsid w:val="0082340B"/>
    <w:rsid w:val="00827DB6"/>
    <w:rsid w:val="008304B2"/>
    <w:rsid w:val="00830999"/>
    <w:rsid w:val="00830D5E"/>
    <w:rsid w:val="00830F69"/>
    <w:rsid w:val="00833418"/>
    <w:rsid w:val="0083387F"/>
    <w:rsid w:val="00834458"/>
    <w:rsid w:val="00834AEA"/>
    <w:rsid w:val="00835841"/>
    <w:rsid w:val="00837465"/>
    <w:rsid w:val="00840621"/>
    <w:rsid w:val="00841243"/>
    <w:rsid w:val="00841457"/>
    <w:rsid w:val="00841E41"/>
    <w:rsid w:val="00842473"/>
    <w:rsid w:val="008425EB"/>
    <w:rsid w:val="0084374E"/>
    <w:rsid w:val="00844842"/>
    <w:rsid w:val="00844A53"/>
    <w:rsid w:val="00844DD0"/>
    <w:rsid w:val="0085089F"/>
    <w:rsid w:val="0085206E"/>
    <w:rsid w:val="00852AD4"/>
    <w:rsid w:val="00852BA8"/>
    <w:rsid w:val="00853718"/>
    <w:rsid w:val="008541EF"/>
    <w:rsid w:val="00855065"/>
    <w:rsid w:val="00856AC7"/>
    <w:rsid w:val="00856FA4"/>
    <w:rsid w:val="00860E60"/>
    <w:rsid w:val="0086162B"/>
    <w:rsid w:val="00861868"/>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2B90"/>
    <w:rsid w:val="00896535"/>
    <w:rsid w:val="00896683"/>
    <w:rsid w:val="0089750B"/>
    <w:rsid w:val="00897589"/>
    <w:rsid w:val="008A0D4F"/>
    <w:rsid w:val="008A5C34"/>
    <w:rsid w:val="008A63A9"/>
    <w:rsid w:val="008A7073"/>
    <w:rsid w:val="008A7F7E"/>
    <w:rsid w:val="008B04DB"/>
    <w:rsid w:val="008B09B4"/>
    <w:rsid w:val="008B27FD"/>
    <w:rsid w:val="008B3AF2"/>
    <w:rsid w:val="008B446D"/>
    <w:rsid w:val="008B515D"/>
    <w:rsid w:val="008B5D31"/>
    <w:rsid w:val="008B6705"/>
    <w:rsid w:val="008C22F3"/>
    <w:rsid w:val="008C79BF"/>
    <w:rsid w:val="008D29E7"/>
    <w:rsid w:val="008D795D"/>
    <w:rsid w:val="008D7B07"/>
    <w:rsid w:val="008E1E94"/>
    <w:rsid w:val="008E2D99"/>
    <w:rsid w:val="008E38B0"/>
    <w:rsid w:val="008E4A60"/>
    <w:rsid w:val="008E744D"/>
    <w:rsid w:val="008F1E08"/>
    <w:rsid w:val="00900D8F"/>
    <w:rsid w:val="009014E3"/>
    <w:rsid w:val="009026E8"/>
    <w:rsid w:val="00902FDD"/>
    <w:rsid w:val="00903576"/>
    <w:rsid w:val="00905EEF"/>
    <w:rsid w:val="00906EB7"/>
    <w:rsid w:val="009102BF"/>
    <w:rsid w:val="00911490"/>
    <w:rsid w:val="009115F2"/>
    <w:rsid w:val="009132D2"/>
    <w:rsid w:val="00914ADB"/>
    <w:rsid w:val="009235AD"/>
    <w:rsid w:val="00923B25"/>
    <w:rsid w:val="0092402E"/>
    <w:rsid w:val="009259BA"/>
    <w:rsid w:val="00926FCB"/>
    <w:rsid w:val="009303BB"/>
    <w:rsid w:val="0093311A"/>
    <w:rsid w:val="00941A4C"/>
    <w:rsid w:val="00942645"/>
    <w:rsid w:val="009461E6"/>
    <w:rsid w:val="00950A3A"/>
    <w:rsid w:val="00950B16"/>
    <w:rsid w:val="0095340A"/>
    <w:rsid w:val="00954581"/>
    <w:rsid w:val="0095466C"/>
    <w:rsid w:val="00954E5B"/>
    <w:rsid w:val="009576BC"/>
    <w:rsid w:val="00960357"/>
    <w:rsid w:val="0096168C"/>
    <w:rsid w:val="00961840"/>
    <w:rsid w:val="009625E3"/>
    <w:rsid w:val="00962F2D"/>
    <w:rsid w:val="009672CD"/>
    <w:rsid w:val="00972996"/>
    <w:rsid w:val="009732B8"/>
    <w:rsid w:val="00974D4D"/>
    <w:rsid w:val="009759C2"/>
    <w:rsid w:val="00975C72"/>
    <w:rsid w:val="00976869"/>
    <w:rsid w:val="00977740"/>
    <w:rsid w:val="00977CB4"/>
    <w:rsid w:val="009809B8"/>
    <w:rsid w:val="009818AF"/>
    <w:rsid w:val="0098222D"/>
    <w:rsid w:val="00985099"/>
    <w:rsid w:val="009922EB"/>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D4229"/>
    <w:rsid w:val="009D6CE8"/>
    <w:rsid w:val="009E09D0"/>
    <w:rsid w:val="009E1283"/>
    <w:rsid w:val="009E3A7F"/>
    <w:rsid w:val="009E4DFC"/>
    <w:rsid w:val="009E5789"/>
    <w:rsid w:val="009E57B1"/>
    <w:rsid w:val="009E6379"/>
    <w:rsid w:val="009F3B63"/>
    <w:rsid w:val="009F60A3"/>
    <w:rsid w:val="009F6292"/>
    <w:rsid w:val="009F7809"/>
    <w:rsid w:val="009F7AF5"/>
    <w:rsid w:val="00A00D14"/>
    <w:rsid w:val="00A01408"/>
    <w:rsid w:val="00A02457"/>
    <w:rsid w:val="00A02A53"/>
    <w:rsid w:val="00A03190"/>
    <w:rsid w:val="00A0404B"/>
    <w:rsid w:val="00A0798C"/>
    <w:rsid w:val="00A07BDD"/>
    <w:rsid w:val="00A07F12"/>
    <w:rsid w:val="00A1105B"/>
    <w:rsid w:val="00A1213C"/>
    <w:rsid w:val="00A130E8"/>
    <w:rsid w:val="00A15B6B"/>
    <w:rsid w:val="00A15EB4"/>
    <w:rsid w:val="00A1634A"/>
    <w:rsid w:val="00A16876"/>
    <w:rsid w:val="00A200AA"/>
    <w:rsid w:val="00A20558"/>
    <w:rsid w:val="00A2186F"/>
    <w:rsid w:val="00A2270B"/>
    <w:rsid w:val="00A23B89"/>
    <w:rsid w:val="00A23FE3"/>
    <w:rsid w:val="00A248C3"/>
    <w:rsid w:val="00A2496E"/>
    <w:rsid w:val="00A258B7"/>
    <w:rsid w:val="00A32743"/>
    <w:rsid w:val="00A41468"/>
    <w:rsid w:val="00A414A9"/>
    <w:rsid w:val="00A44141"/>
    <w:rsid w:val="00A44CCA"/>
    <w:rsid w:val="00A44D75"/>
    <w:rsid w:val="00A47CF1"/>
    <w:rsid w:val="00A50418"/>
    <w:rsid w:val="00A54A47"/>
    <w:rsid w:val="00A56D26"/>
    <w:rsid w:val="00A571A7"/>
    <w:rsid w:val="00A57BA8"/>
    <w:rsid w:val="00A608FB"/>
    <w:rsid w:val="00A60D83"/>
    <w:rsid w:val="00A60F68"/>
    <w:rsid w:val="00A63DF3"/>
    <w:rsid w:val="00A65C78"/>
    <w:rsid w:val="00A660A8"/>
    <w:rsid w:val="00A67591"/>
    <w:rsid w:val="00A67CA6"/>
    <w:rsid w:val="00A70E7B"/>
    <w:rsid w:val="00A73B84"/>
    <w:rsid w:val="00A7411D"/>
    <w:rsid w:val="00A7592B"/>
    <w:rsid w:val="00A76094"/>
    <w:rsid w:val="00A768E2"/>
    <w:rsid w:val="00A82C52"/>
    <w:rsid w:val="00A83C15"/>
    <w:rsid w:val="00A86CB6"/>
    <w:rsid w:val="00A90D55"/>
    <w:rsid w:val="00A92718"/>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4912"/>
    <w:rsid w:val="00AB57EC"/>
    <w:rsid w:val="00AC439D"/>
    <w:rsid w:val="00AC713F"/>
    <w:rsid w:val="00AC7329"/>
    <w:rsid w:val="00AC7F23"/>
    <w:rsid w:val="00AD067E"/>
    <w:rsid w:val="00AD2801"/>
    <w:rsid w:val="00AD3496"/>
    <w:rsid w:val="00AD5771"/>
    <w:rsid w:val="00AD6870"/>
    <w:rsid w:val="00AD68C5"/>
    <w:rsid w:val="00AD7F8F"/>
    <w:rsid w:val="00AE1273"/>
    <w:rsid w:val="00AE18C5"/>
    <w:rsid w:val="00AE2D29"/>
    <w:rsid w:val="00AE4624"/>
    <w:rsid w:val="00AE5E14"/>
    <w:rsid w:val="00AE6115"/>
    <w:rsid w:val="00AE625B"/>
    <w:rsid w:val="00AF1103"/>
    <w:rsid w:val="00AF1668"/>
    <w:rsid w:val="00AF4FA5"/>
    <w:rsid w:val="00B04562"/>
    <w:rsid w:val="00B07955"/>
    <w:rsid w:val="00B140B8"/>
    <w:rsid w:val="00B14FAA"/>
    <w:rsid w:val="00B15BED"/>
    <w:rsid w:val="00B15D30"/>
    <w:rsid w:val="00B20624"/>
    <w:rsid w:val="00B23436"/>
    <w:rsid w:val="00B237F1"/>
    <w:rsid w:val="00B24F33"/>
    <w:rsid w:val="00B26354"/>
    <w:rsid w:val="00B26CA0"/>
    <w:rsid w:val="00B32179"/>
    <w:rsid w:val="00B32BCD"/>
    <w:rsid w:val="00B33007"/>
    <w:rsid w:val="00B331A9"/>
    <w:rsid w:val="00B33498"/>
    <w:rsid w:val="00B36569"/>
    <w:rsid w:val="00B40A05"/>
    <w:rsid w:val="00B40A3E"/>
    <w:rsid w:val="00B427BB"/>
    <w:rsid w:val="00B449EE"/>
    <w:rsid w:val="00B454AE"/>
    <w:rsid w:val="00B47F0F"/>
    <w:rsid w:val="00B50227"/>
    <w:rsid w:val="00B50510"/>
    <w:rsid w:val="00B51013"/>
    <w:rsid w:val="00B522CD"/>
    <w:rsid w:val="00B55143"/>
    <w:rsid w:val="00B555C8"/>
    <w:rsid w:val="00B55917"/>
    <w:rsid w:val="00B643A6"/>
    <w:rsid w:val="00B64DD6"/>
    <w:rsid w:val="00B6710C"/>
    <w:rsid w:val="00B67E84"/>
    <w:rsid w:val="00B72076"/>
    <w:rsid w:val="00B72303"/>
    <w:rsid w:val="00B72C72"/>
    <w:rsid w:val="00B731E4"/>
    <w:rsid w:val="00B76796"/>
    <w:rsid w:val="00B80721"/>
    <w:rsid w:val="00B82277"/>
    <w:rsid w:val="00B8478F"/>
    <w:rsid w:val="00B84C34"/>
    <w:rsid w:val="00B91676"/>
    <w:rsid w:val="00B94750"/>
    <w:rsid w:val="00B95833"/>
    <w:rsid w:val="00BA1824"/>
    <w:rsid w:val="00BA2D98"/>
    <w:rsid w:val="00BA2F0C"/>
    <w:rsid w:val="00BA30D1"/>
    <w:rsid w:val="00BA30E1"/>
    <w:rsid w:val="00BA4609"/>
    <w:rsid w:val="00BA5BE2"/>
    <w:rsid w:val="00BA71BD"/>
    <w:rsid w:val="00BA7F46"/>
    <w:rsid w:val="00BB0A0A"/>
    <w:rsid w:val="00BB133C"/>
    <w:rsid w:val="00BB1F04"/>
    <w:rsid w:val="00BB45B5"/>
    <w:rsid w:val="00BB6064"/>
    <w:rsid w:val="00BB7012"/>
    <w:rsid w:val="00BC09D1"/>
    <w:rsid w:val="00BC1CF3"/>
    <w:rsid w:val="00BC3573"/>
    <w:rsid w:val="00BC7F82"/>
    <w:rsid w:val="00BD40AB"/>
    <w:rsid w:val="00BD6297"/>
    <w:rsid w:val="00BD6806"/>
    <w:rsid w:val="00BD7433"/>
    <w:rsid w:val="00BD7831"/>
    <w:rsid w:val="00BD7C10"/>
    <w:rsid w:val="00BE046F"/>
    <w:rsid w:val="00BE0DEB"/>
    <w:rsid w:val="00BE2FC1"/>
    <w:rsid w:val="00BE3142"/>
    <w:rsid w:val="00BE4039"/>
    <w:rsid w:val="00BE6365"/>
    <w:rsid w:val="00BF0B7F"/>
    <w:rsid w:val="00BF2988"/>
    <w:rsid w:val="00BF4720"/>
    <w:rsid w:val="00BF4F49"/>
    <w:rsid w:val="00BF6759"/>
    <w:rsid w:val="00BF7B4F"/>
    <w:rsid w:val="00BF7B63"/>
    <w:rsid w:val="00C038EC"/>
    <w:rsid w:val="00C05C6D"/>
    <w:rsid w:val="00C1122B"/>
    <w:rsid w:val="00C115C1"/>
    <w:rsid w:val="00C13B34"/>
    <w:rsid w:val="00C13F26"/>
    <w:rsid w:val="00C1474E"/>
    <w:rsid w:val="00C14C37"/>
    <w:rsid w:val="00C16E9F"/>
    <w:rsid w:val="00C16EA5"/>
    <w:rsid w:val="00C1713D"/>
    <w:rsid w:val="00C17523"/>
    <w:rsid w:val="00C177F1"/>
    <w:rsid w:val="00C17EE6"/>
    <w:rsid w:val="00C2272E"/>
    <w:rsid w:val="00C22F3A"/>
    <w:rsid w:val="00C23311"/>
    <w:rsid w:val="00C24B04"/>
    <w:rsid w:val="00C25978"/>
    <w:rsid w:val="00C261C6"/>
    <w:rsid w:val="00C26621"/>
    <w:rsid w:val="00C26E7C"/>
    <w:rsid w:val="00C276CD"/>
    <w:rsid w:val="00C30A97"/>
    <w:rsid w:val="00C31DDC"/>
    <w:rsid w:val="00C34326"/>
    <w:rsid w:val="00C36201"/>
    <w:rsid w:val="00C368E8"/>
    <w:rsid w:val="00C36C3D"/>
    <w:rsid w:val="00C372C7"/>
    <w:rsid w:val="00C37A31"/>
    <w:rsid w:val="00C37E38"/>
    <w:rsid w:val="00C40578"/>
    <w:rsid w:val="00C42443"/>
    <w:rsid w:val="00C42CBA"/>
    <w:rsid w:val="00C4338C"/>
    <w:rsid w:val="00C472C7"/>
    <w:rsid w:val="00C5019E"/>
    <w:rsid w:val="00C5377C"/>
    <w:rsid w:val="00C53E8A"/>
    <w:rsid w:val="00C54DF3"/>
    <w:rsid w:val="00C560A7"/>
    <w:rsid w:val="00C56FC8"/>
    <w:rsid w:val="00C60F23"/>
    <w:rsid w:val="00C62EB2"/>
    <w:rsid w:val="00C71BEC"/>
    <w:rsid w:val="00C72690"/>
    <w:rsid w:val="00C74D3A"/>
    <w:rsid w:val="00C75F3D"/>
    <w:rsid w:val="00C80511"/>
    <w:rsid w:val="00C826F5"/>
    <w:rsid w:val="00C83740"/>
    <w:rsid w:val="00C84AD1"/>
    <w:rsid w:val="00C85318"/>
    <w:rsid w:val="00C85579"/>
    <w:rsid w:val="00C863E5"/>
    <w:rsid w:val="00C87BE6"/>
    <w:rsid w:val="00C87F76"/>
    <w:rsid w:val="00C931FC"/>
    <w:rsid w:val="00C932C5"/>
    <w:rsid w:val="00C947E7"/>
    <w:rsid w:val="00C95A72"/>
    <w:rsid w:val="00C9650E"/>
    <w:rsid w:val="00CA068D"/>
    <w:rsid w:val="00CA1228"/>
    <w:rsid w:val="00CA1C73"/>
    <w:rsid w:val="00CA20B2"/>
    <w:rsid w:val="00CA282D"/>
    <w:rsid w:val="00CA4670"/>
    <w:rsid w:val="00CA6B1A"/>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D15BE"/>
    <w:rsid w:val="00CD1AF9"/>
    <w:rsid w:val="00CD1EF2"/>
    <w:rsid w:val="00CD32BD"/>
    <w:rsid w:val="00CD34C7"/>
    <w:rsid w:val="00CD5653"/>
    <w:rsid w:val="00CD5E6D"/>
    <w:rsid w:val="00CD63C8"/>
    <w:rsid w:val="00CE069E"/>
    <w:rsid w:val="00CF158D"/>
    <w:rsid w:val="00CF4394"/>
    <w:rsid w:val="00CF69E3"/>
    <w:rsid w:val="00D000A9"/>
    <w:rsid w:val="00D005DB"/>
    <w:rsid w:val="00D0064E"/>
    <w:rsid w:val="00D00981"/>
    <w:rsid w:val="00D02596"/>
    <w:rsid w:val="00D0280D"/>
    <w:rsid w:val="00D05669"/>
    <w:rsid w:val="00D06952"/>
    <w:rsid w:val="00D07A72"/>
    <w:rsid w:val="00D10577"/>
    <w:rsid w:val="00D12A4E"/>
    <w:rsid w:val="00D1323B"/>
    <w:rsid w:val="00D14BAE"/>
    <w:rsid w:val="00D1648B"/>
    <w:rsid w:val="00D16819"/>
    <w:rsid w:val="00D17DD9"/>
    <w:rsid w:val="00D20AC0"/>
    <w:rsid w:val="00D2321B"/>
    <w:rsid w:val="00D23DE4"/>
    <w:rsid w:val="00D25A5C"/>
    <w:rsid w:val="00D26873"/>
    <w:rsid w:val="00D31683"/>
    <w:rsid w:val="00D336C8"/>
    <w:rsid w:val="00D339E8"/>
    <w:rsid w:val="00D3654A"/>
    <w:rsid w:val="00D3662E"/>
    <w:rsid w:val="00D40B1F"/>
    <w:rsid w:val="00D40D75"/>
    <w:rsid w:val="00D43978"/>
    <w:rsid w:val="00D449F0"/>
    <w:rsid w:val="00D50C8C"/>
    <w:rsid w:val="00D51BBB"/>
    <w:rsid w:val="00D52393"/>
    <w:rsid w:val="00D523E4"/>
    <w:rsid w:val="00D5279D"/>
    <w:rsid w:val="00D52A1B"/>
    <w:rsid w:val="00D52AA7"/>
    <w:rsid w:val="00D52FCC"/>
    <w:rsid w:val="00D53F14"/>
    <w:rsid w:val="00D54BE4"/>
    <w:rsid w:val="00D55C71"/>
    <w:rsid w:val="00D560DC"/>
    <w:rsid w:val="00D56602"/>
    <w:rsid w:val="00D60483"/>
    <w:rsid w:val="00D61ABB"/>
    <w:rsid w:val="00D62D5C"/>
    <w:rsid w:val="00D63577"/>
    <w:rsid w:val="00D67FD7"/>
    <w:rsid w:val="00D72410"/>
    <w:rsid w:val="00D7408A"/>
    <w:rsid w:val="00D74261"/>
    <w:rsid w:val="00D7441B"/>
    <w:rsid w:val="00D75589"/>
    <w:rsid w:val="00D76AB2"/>
    <w:rsid w:val="00D80490"/>
    <w:rsid w:val="00D829AD"/>
    <w:rsid w:val="00D82EE2"/>
    <w:rsid w:val="00D8545C"/>
    <w:rsid w:val="00D87788"/>
    <w:rsid w:val="00D877C8"/>
    <w:rsid w:val="00D91040"/>
    <w:rsid w:val="00D910C2"/>
    <w:rsid w:val="00D9168C"/>
    <w:rsid w:val="00D9189B"/>
    <w:rsid w:val="00D91DA6"/>
    <w:rsid w:val="00D93B9A"/>
    <w:rsid w:val="00D95984"/>
    <w:rsid w:val="00D9706F"/>
    <w:rsid w:val="00D972D4"/>
    <w:rsid w:val="00DA195B"/>
    <w:rsid w:val="00DA6B55"/>
    <w:rsid w:val="00DA6B97"/>
    <w:rsid w:val="00DB0015"/>
    <w:rsid w:val="00DB0359"/>
    <w:rsid w:val="00DB0ABB"/>
    <w:rsid w:val="00DB2AAD"/>
    <w:rsid w:val="00DB5941"/>
    <w:rsid w:val="00DB626D"/>
    <w:rsid w:val="00DB6365"/>
    <w:rsid w:val="00DC0BF1"/>
    <w:rsid w:val="00DC41C3"/>
    <w:rsid w:val="00DC4FA4"/>
    <w:rsid w:val="00DD286D"/>
    <w:rsid w:val="00DD2CAF"/>
    <w:rsid w:val="00DD3593"/>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16CFB"/>
    <w:rsid w:val="00E202F4"/>
    <w:rsid w:val="00E2536E"/>
    <w:rsid w:val="00E25B8A"/>
    <w:rsid w:val="00E2632B"/>
    <w:rsid w:val="00E322F7"/>
    <w:rsid w:val="00E3369B"/>
    <w:rsid w:val="00E36D76"/>
    <w:rsid w:val="00E40478"/>
    <w:rsid w:val="00E405EA"/>
    <w:rsid w:val="00E408B7"/>
    <w:rsid w:val="00E41637"/>
    <w:rsid w:val="00E42789"/>
    <w:rsid w:val="00E43F59"/>
    <w:rsid w:val="00E464F0"/>
    <w:rsid w:val="00E46EF3"/>
    <w:rsid w:val="00E473E9"/>
    <w:rsid w:val="00E50BEB"/>
    <w:rsid w:val="00E548FA"/>
    <w:rsid w:val="00E57703"/>
    <w:rsid w:val="00E57ED4"/>
    <w:rsid w:val="00E6092F"/>
    <w:rsid w:val="00E62049"/>
    <w:rsid w:val="00E629DA"/>
    <w:rsid w:val="00E6469F"/>
    <w:rsid w:val="00E65D39"/>
    <w:rsid w:val="00E670F8"/>
    <w:rsid w:val="00E67FAC"/>
    <w:rsid w:val="00E7200B"/>
    <w:rsid w:val="00E738CB"/>
    <w:rsid w:val="00E73C88"/>
    <w:rsid w:val="00E74437"/>
    <w:rsid w:val="00E7443D"/>
    <w:rsid w:val="00E75ACE"/>
    <w:rsid w:val="00E771D5"/>
    <w:rsid w:val="00E81C3E"/>
    <w:rsid w:val="00E82B6D"/>
    <w:rsid w:val="00E8608F"/>
    <w:rsid w:val="00E929A0"/>
    <w:rsid w:val="00EA1177"/>
    <w:rsid w:val="00EA118B"/>
    <w:rsid w:val="00EA11B6"/>
    <w:rsid w:val="00EA1BED"/>
    <w:rsid w:val="00EA2181"/>
    <w:rsid w:val="00EA2DD8"/>
    <w:rsid w:val="00EA4475"/>
    <w:rsid w:val="00EA52FE"/>
    <w:rsid w:val="00EA681F"/>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4773"/>
    <w:rsid w:val="00ED5284"/>
    <w:rsid w:val="00ED664B"/>
    <w:rsid w:val="00ED6A61"/>
    <w:rsid w:val="00ED7DA4"/>
    <w:rsid w:val="00EE03BB"/>
    <w:rsid w:val="00EE0B44"/>
    <w:rsid w:val="00EE6FE0"/>
    <w:rsid w:val="00EE704A"/>
    <w:rsid w:val="00EE7840"/>
    <w:rsid w:val="00EF4C74"/>
    <w:rsid w:val="00EF5268"/>
    <w:rsid w:val="00EF608E"/>
    <w:rsid w:val="00F0044B"/>
    <w:rsid w:val="00F02C58"/>
    <w:rsid w:val="00F03525"/>
    <w:rsid w:val="00F04957"/>
    <w:rsid w:val="00F05807"/>
    <w:rsid w:val="00F07052"/>
    <w:rsid w:val="00F0706C"/>
    <w:rsid w:val="00F11EBE"/>
    <w:rsid w:val="00F12B99"/>
    <w:rsid w:val="00F12BA8"/>
    <w:rsid w:val="00F130D0"/>
    <w:rsid w:val="00F14933"/>
    <w:rsid w:val="00F1516A"/>
    <w:rsid w:val="00F171F9"/>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51755"/>
    <w:rsid w:val="00F55B87"/>
    <w:rsid w:val="00F6196E"/>
    <w:rsid w:val="00F622F7"/>
    <w:rsid w:val="00F624DD"/>
    <w:rsid w:val="00F629C0"/>
    <w:rsid w:val="00F63FC7"/>
    <w:rsid w:val="00F65ED5"/>
    <w:rsid w:val="00F6608B"/>
    <w:rsid w:val="00F6636A"/>
    <w:rsid w:val="00F667C5"/>
    <w:rsid w:val="00F67E31"/>
    <w:rsid w:val="00F718A8"/>
    <w:rsid w:val="00F72183"/>
    <w:rsid w:val="00F76D01"/>
    <w:rsid w:val="00F81C35"/>
    <w:rsid w:val="00F82981"/>
    <w:rsid w:val="00F8311F"/>
    <w:rsid w:val="00F83248"/>
    <w:rsid w:val="00F83376"/>
    <w:rsid w:val="00F84485"/>
    <w:rsid w:val="00F853AE"/>
    <w:rsid w:val="00F93C74"/>
    <w:rsid w:val="00F93DCC"/>
    <w:rsid w:val="00F9435D"/>
    <w:rsid w:val="00F966F9"/>
    <w:rsid w:val="00F96F61"/>
    <w:rsid w:val="00F97740"/>
    <w:rsid w:val="00FA2DEF"/>
    <w:rsid w:val="00FA2F7B"/>
    <w:rsid w:val="00FA3C97"/>
    <w:rsid w:val="00FA3D30"/>
    <w:rsid w:val="00FA7802"/>
    <w:rsid w:val="00FA78C8"/>
    <w:rsid w:val="00FB09FE"/>
    <w:rsid w:val="00FB101D"/>
    <w:rsid w:val="00FB1725"/>
    <w:rsid w:val="00FB2493"/>
    <w:rsid w:val="00FB593A"/>
    <w:rsid w:val="00FB6410"/>
    <w:rsid w:val="00FB6E82"/>
    <w:rsid w:val="00FB792E"/>
    <w:rsid w:val="00FC0042"/>
    <w:rsid w:val="00FC1E67"/>
    <w:rsid w:val="00FC2A13"/>
    <w:rsid w:val="00FC4284"/>
    <w:rsid w:val="00FC4576"/>
    <w:rsid w:val="00FC78FB"/>
    <w:rsid w:val="00FC7DBC"/>
    <w:rsid w:val="00FD076A"/>
    <w:rsid w:val="00FD0AA0"/>
    <w:rsid w:val="00FD1D5A"/>
    <w:rsid w:val="00FD5059"/>
    <w:rsid w:val="00FD554D"/>
    <w:rsid w:val="00FD5BCC"/>
    <w:rsid w:val="00FE5D0A"/>
    <w:rsid w:val="00FE6469"/>
    <w:rsid w:val="00FF06CE"/>
    <w:rsid w:val="00FF0FF7"/>
    <w:rsid w:val="00FF10A2"/>
    <w:rsid w:val="00FF1438"/>
    <w:rsid w:val="00FF3A38"/>
    <w:rsid w:val="00FF3C25"/>
    <w:rsid w:val="00FF5806"/>
    <w:rsid w:val="00FF61BD"/>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paragraph" w:styleId="NoSpacing">
    <w:name w:val="No Spacing"/>
    <w:uiPriority w:val="1"/>
    <w:qFormat/>
    <w:rsid w:val="005E5D5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44290267">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0246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5B39-D6CD-472B-B619-B7D740B3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2011-02-07T15:04:00Z</cp:lastPrinted>
  <dcterms:created xsi:type="dcterms:W3CDTF">2012-02-28T16:32:00Z</dcterms:created>
  <dcterms:modified xsi:type="dcterms:W3CDTF">2012-02-29T16:49:00Z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