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190E48">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190E48">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190E48">
      <w:pPr>
        <w:tabs>
          <w:tab w:val="left" w:pos="288"/>
          <w:tab w:val="left" w:pos="4752"/>
        </w:tabs>
        <w:spacing w:line="240" w:lineRule="exact"/>
        <w:jc w:val="both"/>
        <w:rPr>
          <w:rFonts w:asciiTheme="minorHAnsi" w:hAnsiTheme="minorHAnsi"/>
          <w:caps/>
          <w:color w:val="auto"/>
        </w:rPr>
      </w:pPr>
    </w:p>
    <w:p w:rsidR="008B446D" w:rsidRPr="000E28AF" w:rsidRDefault="008B446D" w:rsidP="008B446D">
      <w:pPr>
        <w:tabs>
          <w:tab w:val="left" w:pos="288"/>
          <w:tab w:val="left" w:pos="4752"/>
        </w:tabs>
        <w:spacing w:line="240" w:lineRule="exact"/>
        <w:ind w:right="-1260"/>
        <w:jc w:val="both"/>
        <w:rPr>
          <w:rFonts w:asciiTheme="minorHAnsi" w:hAnsiTheme="minorHAnsi"/>
          <w:caps/>
          <w:color w:val="auto"/>
        </w:rPr>
      </w:pPr>
      <w:r w:rsidRPr="000E28AF">
        <w:rPr>
          <w:rFonts w:asciiTheme="minorHAnsi" w:hAnsiTheme="minorHAnsi"/>
          <w:caps/>
          <w:color w:val="auto"/>
        </w:rPr>
        <w:t xml:space="preserve">NAME: </w:t>
      </w:r>
      <w:r w:rsidR="0010047D">
        <w:rPr>
          <w:rFonts w:asciiTheme="minorHAnsi" w:hAnsiTheme="minorHAnsi"/>
          <w:caps/>
          <w:color w:val="auto"/>
        </w:rPr>
        <w:t xml:space="preserve"> </w:t>
      </w:r>
      <w:r w:rsidR="00B913DF">
        <w:rPr>
          <w:rFonts w:asciiTheme="minorHAnsi" w:hAnsiTheme="minorHAnsi"/>
          <w:caps/>
          <w:color w:val="auto"/>
        </w:rPr>
        <w:t>XXXXXX</w:t>
      </w:r>
      <w:r w:rsidRPr="000E28AF">
        <w:rPr>
          <w:rFonts w:asciiTheme="minorHAnsi" w:hAnsiTheme="minorHAnsi"/>
          <w:caps/>
          <w:color w:val="auto"/>
        </w:rPr>
        <w:tab/>
      </w:r>
      <w:r w:rsidRPr="000E28AF">
        <w:rPr>
          <w:rFonts w:asciiTheme="minorHAnsi" w:hAnsiTheme="minorHAnsi"/>
          <w:caps/>
          <w:color w:val="auto"/>
        </w:rPr>
        <w:tab/>
      </w:r>
      <w:r w:rsidRPr="000E28AF">
        <w:rPr>
          <w:rFonts w:asciiTheme="minorHAnsi" w:hAnsiTheme="minorHAnsi"/>
          <w:caps/>
          <w:color w:val="auto"/>
        </w:rPr>
        <w:tab/>
      </w:r>
      <w:r w:rsidR="00E4263C">
        <w:rPr>
          <w:rFonts w:asciiTheme="minorHAnsi" w:hAnsiTheme="minorHAnsi"/>
          <w:caps/>
          <w:color w:val="auto"/>
        </w:rPr>
        <w:tab/>
      </w:r>
      <w:r w:rsidRPr="000E28AF">
        <w:rPr>
          <w:rFonts w:asciiTheme="minorHAnsi" w:hAnsiTheme="minorHAnsi"/>
          <w:caps/>
          <w:color w:val="auto"/>
        </w:rPr>
        <w:t xml:space="preserve">BRANCH OF SERVICE: </w:t>
      </w:r>
      <w:r w:rsidR="0010047D">
        <w:rPr>
          <w:rFonts w:asciiTheme="minorHAnsi" w:hAnsiTheme="minorHAnsi"/>
          <w:caps/>
          <w:color w:val="auto"/>
        </w:rPr>
        <w:t xml:space="preserve"> </w:t>
      </w:r>
      <w:r w:rsidRPr="000E28AF">
        <w:rPr>
          <w:rFonts w:asciiTheme="minorHAnsi" w:hAnsiTheme="minorHAnsi"/>
          <w:caps/>
          <w:color w:val="auto"/>
        </w:rPr>
        <w:t xml:space="preserve">NAVY </w:t>
      </w:r>
    </w:p>
    <w:p w:rsidR="008B446D" w:rsidRPr="000E28AF" w:rsidRDefault="008B446D" w:rsidP="008B446D">
      <w:pPr>
        <w:tabs>
          <w:tab w:val="left" w:pos="288"/>
          <w:tab w:val="left" w:pos="4752"/>
        </w:tabs>
        <w:spacing w:line="240" w:lineRule="exact"/>
        <w:ind w:right="-900"/>
        <w:jc w:val="both"/>
        <w:rPr>
          <w:rFonts w:asciiTheme="minorHAnsi" w:hAnsiTheme="minorHAnsi"/>
          <w:caps/>
          <w:color w:val="auto"/>
        </w:rPr>
      </w:pPr>
      <w:r w:rsidRPr="000E28AF">
        <w:rPr>
          <w:rFonts w:asciiTheme="minorHAnsi" w:hAnsiTheme="minorHAnsi"/>
          <w:caps/>
          <w:color w:val="auto"/>
        </w:rPr>
        <w:t xml:space="preserve">CASE NUMBER: </w:t>
      </w:r>
      <w:r w:rsidR="0010047D">
        <w:rPr>
          <w:rFonts w:asciiTheme="minorHAnsi" w:hAnsiTheme="minorHAnsi"/>
          <w:caps/>
          <w:color w:val="auto"/>
        </w:rPr>
        <w:t xml:space="preserve"> </w:t>
      </w:r>
      <w:r w:rsidRPr="000E28AF">
        <w:rPr>
          <w:rFonts w:asciiTheme="minorHAnsi" w:hAnsiTheme="minorHAnsi"/>
          <w:caps/>
          <w:color w:val="auto"/>
        </w:rPr>
        <w:t>PD</w:t>
      </w:r>
      <w:r w:rsidR="00B82D63">
        <w:rPr>
          <w:rFonts w:asciiTheme="minorHAnsi" w:hAnsiTheme="minorHAnsi"/>
          <w:caps/>
          <w:color w:val="auto"/>
        </w:rPr>
        <w:t>2009-00685</w:t>
      </w:r>
      <w:r w:rsidRPr="000E28AF">
        <w:rPr>
          <w:rFonts w:asciiTheme="minorHAnsi" w:hAnsiTheme="minorHAnsi"/>
          <w:caps/>
          <w:color w:val="auto"/>
        </w:rPr>
        <w:tab/>
      </w:r>
      <w:r w:rsidRPr="000E28AF">
        <w:rPr>
          <w:rFonts w:asciiTheme="minorHAnsi" w:hAnsiTheme="minorHAnsi"/>
          <w:caps/>
          <w:color w:val="auto"/>
        </w:rPr>
        <w:tab/>
      </w:r>
      <w:r w:rsidRPr="000E28AF">
        <w:rPr>
          <w:rFonts w:asciiTheme="minorHAnsi" w:hAnsiTheme="minorHAnsi"/>
          <w:caps/>
          <w:color w:val="auto"/>
        </w:rPr>
        <w:tab/>
      </w:r>
      <w:r w:rsidR="00E4263C">
        <w:rPr>
          <w:rFonts w:asciiTheme="minorHAnsi" w:hAnsiTheme="minorHAnsi"/>
          <w:caps/>
          <w:color w:val="auto"/>
        </w:rPr>
        <w:tab/>
      </w:r>
      <w:r w:rsidRPr="000E28AF">
        <w:rPr>
          <w:rFonts w:asciiTheme="minorHAnsi" w:hAnsiTheme="minorHAnsi"/>
          <w:caps/>
          <w:color w:val="auto"/>
        </w:rPr>
        <w:t xml:space="preserve">SEPARATION DATE: </w:t>
      </w:r>
      <w:r w:rsidR="0010047D">
        <w:rPr>
          <w:rFonts w:asciiTheme="minorHAnsi" w:hAnsiTheme="minorHAnsi"/>
          <w:caps/>
          <w:color w:val="auto"/>
        </w:rPr>
        <w:t xml:space="preserve"> </w:t>
      </w:r>
      <w:r w:rsidRPr="000E28AF">
        <w:rPr>
          <w:rFonts w:asciiTheme="minorHAnsi" w:hAnsiTheme="minorHAnsi"/>
          <w:caps/>
          <w:color w:val="auto"/>
        </w:rPr>
        <w:t>200</w:t>
      </w:r>
      <w:r w:rsidR="000E28AF">
        <w:rPr>
          <w:rFonts w:asciiTheme="minorHAnsi" w:hAnsiTheme="minorHAnsi"/>
          <w:caps/>
          <w:color w:val="auto"/>
        </w:rPr>
        <w:t>30</w:t>
      </w:r>
      <w:r w:rsidR="00D52D91">
        <w:rPr>
          <w:rFonts w:asciiTheme="minorHAnsi" w:hAnsiTheme="minorHAnsi"/>
          <w:caps/>
          <w:color w:val="auto"/>
        </w:rPr>
        <w:t>8</w:t>
      </w:r>
      <w:r w:rsidR="000E28AF">
        <w:rPr>
          <w:rFonts w:asciiTheme="minorHAnsi" w:hAnsiTheme="minorHAnsi"/>
          <w:caps/>
          <w:color w:val="auto"/>
        </w:rPr>
        <w:t>01</w:t>
      </w:r>
    </w:p>
    <w:p w:rsidR="008B446D" w:rsidRPr="000E28AF" w:rsidRDefault="008B446D" w:rsidP="008B446D">
      <w:pPr>
        <w:tabs>
          <w:tab w:val="left" w:pos="288"/>
          <w:tab w:val="left" w:pos="4752"/>
        </w:tabs>
        <w:spacing w:line="240" w:lineRule="exact"/>
        <w:jc w:val="both"/>
        <w:rPr>
          <w:rFonts w:asciiTheme="minorHAnsi" w:hAnsiTheme="minorHAnsi"/>
          <w:caps/>
          <w:color w:val="auto"/>
        </w:rPr>
      </w:pPr>
      <w:r w:rsidRPr="000E28AF">
        <w:rPr>
          <w:rFonts w:asciiTheme="minorHAnsi" w:hAnsiTheme="minorHAnsi"/>
          <w:caps/>
          <w:color w:val="auto"/>
        </w:rPr>
        <w:t xml:space="preserve">BOARD DATE: </w:t>
      </w:r>
      <w:r w:rsidR="0010047D">
        <w:rPr>
          <w:rFonts w:asciiTheme="minorHAnsi" w:hAnsiTheme="minorHAnsi"/>
          <w:caps/>
          <w:color w:val="auto"/>
        </w:rPr>
        <w:t xml:space="preserve"> </w:t>
      </w:r>
      <w:r w:rsidRPr="00B82D63">
        <w:rPr>
          <w:rFonts w:asciiTheme="minorHAnsi" w:hAnsiTheme="minorHAnsi"/>
          <w:caps/>
          <w:color w:val="auto"/>
        </w:rPr>
        <w:t>2010</w:t>
      </w:r>
      <w:r w:rsidR="00B82D63" w:rsidRPr="00B82D63">
        <w:rPr>
          <w:rFonts w:asciiTheme="minorHAnsi" w:hAnsiTheme="minorHAnsi"/>
          <w:caps/>
          <w:color w:val="auto"/>
        </w:rPr>
        <w:t>0412</w:t>
      </w:r>
      <w:r w:rsidRPr="000E28AF">
        <w:rPr>
          <w:rFonts w:asciiTheme="minorHAnsi" w:hAnsiTheme="minorHAnsi"/>
          <w:caps/>
          <w:color w:val="auto"/>
        </w:rPr>
        <w:tab/>
      </w:r>
      <w:r w:rsidRPr="000E28AF">
        <w:rPr>
          <w:rFonts w:asciiTheme="minorHAnsi" w:hAnsiTheme="minorHAnsi"/>
          <w:caps/>
          <w:color w:val="auto"/>
        </w:rPr>
        <w:tab/>
      </w:r>
    </w:p>
    <w:p w:rsidR="00D560DC" w:rsidRPr="00B82D63" w:rsidRDefault="00D560DC" w:rsidP="00D560DC">
      <w:pPr>
        <w:tabs>
          <w:tab w:val="left" w:pos="288"/>
          <w:tab w:val="left" w:pos="4752"/>
        </w:tabs>
        <w:spacing w:line="240" w:lineRule="exact"/>
        <w:jc w:val="both"/>
        <w:rPr>
          <w:rFonts w:asciiTheme="minorHAnsi" w:hAnsiTheme="minorHAnsi"/>
          <w:b/>
          <w:caps/>
          <w:color w:val="auto"/>
          <w:u w:val="single"/>
        </w:rPr>
      </w:pPr>
      <w:r w:rsidRPr="00B82D63">
        <w:rPr>
          <w:rFonts w:asciiTheme="minorHAnsi" w:hAnsiTheme="minorHAnsi"/>
          <w:b/>
          <w:color w:val="auto"/>
          <w:u w:val="single"/>
        </w:rPr>
        <w:t>______________________________________________________________________________</w:t>
      </w:r>
    </w:p>
    <w:p w:rsidR="00106AD8" w:rsidRPr="00B82D63" w:rsidRDefault="00106AD8" w:rsidP="00106AD8">
      <w:pPr>
        <w:tabs>
          <w:tab w:val="left" w:pos="288"/>
          <w:tab w:val="left" w:pos="4752"/>
        </w:tabs>
        <w:spacing w:line="240" w:lineRule="exact"/>
        <w:rPr>
          <w:rFonts w:ascii="Calibri" w:hAnsi="Calibri"/>
          <w:b/>
          <w:color w:val="000080"/>
          <w:szCs w:val="24"/>
        </w:rPr>
      </w:pPr>
    </w:p>
    <w:p w:rsidR="00B20624" w:rsidRPr="00326C08" w:rsidRDefault="002C6E5B" w:rsidP="00DD64E0">
      <w:pPr>
        <w:tabs>
          <w:tab w:val="left" w:pos="288"/>
          <w:tab w:val="left" w:pos="4752"/>
        </w:tabs>
        <w:spacing w:line="240" w:lineRule="exact"/>
        <w:jc w:val="both"/>
        <w:rPr>
          <w:rFonts w:asciiTheme="minorHAnsi" w:hAnsiTheme="minorHAnsi"/>
          <w:color w:val="auto"/>
          <w:szCs w:val="24"/>
        </w:rPr>
      </w:pPr>
      <w:r w:rsidRPr="00396779">
        <w:rPr>
          <w:rFonts w:asciiTheme="minorHAnsi" w:hAnsiTheme="minorHAnsi"/>
          <w:color w:val="auto"/>
          <w:u w:val="single"/>
        </w:rPr>
        <w:t>SUMMARY OF CASE</w:t>
      </w:r>
      <w:r w:rsidRPr="00396779">
        <w:rPr>
          <w:rFonts w:asciiTheme="minorHAnsi" w:hAnsiTheme="minorHAnsi"/>
          <w:color w:val="auto"/>
        </w:rPr>
        <w:t xml:space="preserve">:  </w:t>
      </w:r>
      <w:r w:rsidR="00BB5FA3" w:rsidRPr="00BB5FA3">
        <w:rPr>
          <w:rFonts w:asciiTheme="minorHAnsi" w:hAnsiTheme="minorHAnsi"/>
          <w:color w:val="auto"/>
        </w:rPr>
        <w:t xml:space="preserve">Data extracted from the available evidence of record reflects that this covered individual (CI) was an </w:t>
      </w:r>
      <w:r w:rsidR="00E322F7" w:rsidRPr="000E28AF">
        <w:rPr>
          <w:rFonts w:asciiTheme="minorHAnsi" w:hAnsiTheme="minorHAnsi"/>
          <w:color w:val="auto"/>
          <w:szCs w:val="24"/>
        </w:rPr>
        <w:t>active duty</w:t>
      </w:r>
      <w:r w:rsidR="006D4E0E" w:rsidRPr="000E28AF">
        <w:rPr>
          <w:rFonts w:asciiTheme="minorHAnsi" w:hAnsiTheme="minorHAnsi"/>
          <w:color w:val="auto"/>
          <w:szCs w:val="24"/>
        </w:rPr>
        <w:t xml:space="preserve"> </w:t>
      </w:r>
      <w:r w:rsidR="000E28AF">
        <w:rPr>
          <w:rFonts w:asciiTheme="minorHAnsi" w:hAnsiTheme="minorHAnsi"/>
          <w:color w:val="auto"/>
          <w:szCs w:val="24"/>
        </w:rPr>
        <w:t>Chief Petty Officer</w:t>
      </w:r>
      <w:r w:rsidR="00705C40" w:rsidRPr="000E28AF">
        <w:rPr>
          <w:rFonts w:asciiTheme="minorHAnsi" w:hAnsiTheme="minorHAnsi"/>
          <w:color w:val="auto"/>
          <w:szCs w:val="24"/>
        </w:rPr>
        <w:t xml:space="preserve"> (</w:t>
      </w:r>
      <w:r w:rsidR="000E28AF">
        <w:rPr>
          <w:rFonts w:asciiTheme="minorHAnsi" w:hAnsiTheme="minorHAnsi"/>
          <w:color w:val="auto"/>
          <w:szCs w:val="24"/>
        </w:rPr>
        <w:t>ECW</w:t>
      </w:r>
      <w:r w:rsidR="00E4263C">
        <w:rPr>
          <w:rFonts w:asciiTheme="minorHAnsi" w:hAnsiTheme="minorHAnsi"/>
          <w:color w:val="auto"/>
          <w:szCs w:val="24"/>
        </w:rPr>
        <w:t>, E</w:t>
      </w:r>
      <w:r w:rsidR="000E28AF">
        <w:rPr>
          <w:rFonts w:asciiTheme="minorHAnsi" w:hAnsiTheme="minorHAnsi"/>
          <w:color w:val="auto"/>
          <w:szCs w:val="24"/>
        </w:rPr>
        <w:t>lectronics Warfare Technician</w:t>
      </w:r>
      <w:r w:rsidR="00E322F7" w:rsidRPr="000E28AF">
        <w:rPr>
          <w:rFonts w:asciiTheme="minorHAnsi" w:hAnsiTheme="minorHAnsi"/>
          <w:color w:val="auto"/>
          <w:szCs w:val="24"/>
        </w:rPr>
        <w:t>)</w:t>
      </w:r>
      <w:r w:rsidR="00E322F7" w:rsidRPr="00396779">
        <w:rPr>
          <w:rFonts w:asciiTheme="minorHAnsi" w:hAnsiTheme="minorHAnsi"/>
          <w:color w:val="auto"/>
          <w:szCs w:val="24"/>
        </w:rPr>
        <w:t xml:space="preserve"> </w:t>
      </w:r>
      <w:r w:rsidRPr="00396779">
        <w:rPr>
          <w:rFonts w:asciiTheme="minorHAnsi" w:hAnsiTheme="minorHAnsi"/>
          <w:color w:val="auto"/>
          <w:szCs w:val="24"/>
        </w:rPr>
        <w:t xml:space="preserve">medically separated from the </w:t>
      </w:r>
      <w:r w:rsidR="000E28AF">
        <w:rPr>
          <w:rFonts w:asciiTheme="minorHAnsi" w:hAnsiTheme="minorHAnsi"/>
          <w:color w:val="auto"/>
          <w:szCs w:val="24"/>
        </w:rPr>
        <w:t>Navy</w:t>
      </w:r>
      <w:r w:rsidRPr="00396779">
        <w:rPr>
          <w:rFonts w:asciiTheme="minorHAnsi" w:hAnsiTheme="minorHAnsi"/>
          <w:color w:val="auto"/>
          <w:szCs w:val="24"/>
        </w:rPr>
        <w:t xml:space="preserve"> in 200</w:t>
      </w:r>
      <w:r w:rsidR="000E28AF">
        <w:rPr>
          <w:rFonts w:asciiTheme="minorHAnsi" w:hAnsiTheme="minorHAnsi"/>
          <w:color w:val="auto"/>
          <w:szCs w:val="24"/>
        </w:rPr>
        <w:t>3</w:t>
      </w:r>
      <w:r w:rsidRPr="00396779">
        <w:rPr>
          <w:rFonts w:asciiTheme="minorHAnsi" w:hAnsiTheme="minorHAnsi"/>
          <w:color w:val="auto"/>
          <w:szCs w:val="24"/>
        </w:rPr>
        <w:t xml:space="preserve"> after</w:t>
      </w:r>
      <w:r w:rsidR="000E28AF">
        <w:rPr>
          <w:rFonts w:asciiTheme="minorHAnsi" w:hAnsiTheme="minorHAnsi"/>
          <w:color w:val="auto"/>
          <w:szCs w:val="24"/>
        </w:rPr>
        <w:t xml:space="preserve"> 13</w:t>
      </w:r>
      <w:r w:rsidRPr="00396779">
        <w:rPr>
          <w:rFonts w:asciiTheme="minorHAnsi" w:hAnsiTheme="minorHAnsi"/>
          <w:color w:val="auto"/>
          <w:szCs w:val="24"/>
        </w:rPr>
        <w:t xml:space="preserve"> years of</w:t>
      </w:r>
      <w:r w:rsidR="003A40B4" w:rsidRPr="00396779">
        <w:rPr>
          <w:rFonts w:asciiTheme="minorHAnsi" w:hAnsiTheme="minorHAnsi"/>
          <w:color w:val="auto"/>
          <w:szCs w:val="24"/>
        </w:rPr>
        <w:t xml:space="preserve"> service</w:t>
      </w:r>
      <w:r w:rsidR="000E28AF">
        <w:rPr>
          <w:rFonts w:asciiTheme="minorHAnsi" w:hAnsiTheme="minorHAnsi"/>
          <w:color w:val="auto"/>
          <w:szCs w:val="24"/>
        </w:rPr>
        <w:t>.</w:t>
      </w:r>
      <w:r w:rsidRPr="00396779">
        <w:rPr>
          <w:rFonts w:asciiTheme="minorHAnsi" w:hAnsiTheme="minorHAnsi"/>
          <w:color w:val="auto"/>
          <w:szCs w:val="24"/>
        </w:rPr>
        <w:t xml:space="preserve">  The medical basis for the separation was </w:t>
      </w:r>
      <w:r w:rsidR="00D52D91">
        <w:rPr>
          <w:rFonts w:asciiTheme="minorHAnsi" w:hAnsiTheme="minorHAnsi"/>
          <w:color w:val="auto"/>
          <w:szCs w:val="24"/>
        </w:rPr>
        <w:t>p</w:t>
      </w:r>
      <w:r w:rsidR="003E6EBD">
        <w:rPr>
          <w:rFonts w:asciiTheme="minorHAnsi" w:hAnsiTheme="minorHAnsi"/>
          <w:color w:val="auto"/>
          <w:szCs w:val="24"/>
        </w:rPr>
        <w:t xml:space="preserve">ulmonary </w:t>
      </w:r>
      <w:r w:rsidR="00D52D91">
        <w:rPr>
          <w:rFonts w:asciiTheme="minorHAnsi" w:hAnsiTheme="minorHAnsi"/>
          <w:color w:val="auto"/>
          <w:szCs w:val="24"/>
        </w:rPr>
        <w:t>e</w:t>
      </w:r>
      <w:r w:rsidR="003E6EBD">
        <w:rPr>
          <w:rFonts w:asciiTheme="minorHAnsi" w:hAnsiTheme="minorHAnsi"/>
          <w:color w:val="auto"/>
          <w:szCs w:val="24"/>
        </w:rPr>
        <w:t>mbolism</w:t>
      </w:r>
      <w:r w:rsidR="00E4263C">
        <w:rPr>
          <w:rFonts w:asciiTheme="minorHAnsi" w:hAnsiTheme="minorHAnsi"/>
          <w:color w:val="auto"/>
          <w:szCs w:val="24"/>
        </w:rPr>
        <w:t xml:space="preserve">.  </w:t>
      </w:r>
      <w:r w:rsidR="00C554EA">
        <w:rPr>
          <w:rFonts w:asciiTheme="minorHAnsi" w:hAnsiTheme="minorHAnsi"/>
          <w:color w:val="auto"/>
          <w:szCs w:val="24"/>
        </w:rPr>
        <w:t>The CI’s</w:t>
      </w:r>
      <w:r w:rsidR="00C554EA" w:rsidRPr="00C554EA">
        <w:rPr>
          <w:rFonts w:asciiTheme="minorHAnsi" w:hAnsiTheme="minorHAnsi"/>
          <w:color w:val="auto"/>
          <w:szCs w:val="24"/>
        </w:rPr>
        <w:t xml:space="preserve"> </w:t>
      </w:r>
      <w:r w:rsidR="00701B1D">
        <w:rPr>
          <w:rFonts w:asciiTheme="minorHAnsi" w:hAnsiTheme="minorHAnsi"/>
          <w:color w:val="auto"/>
          <w:szCs w:val="24"/>
        </w:rPr>
        <w:t>was recommended to MEB due to his inability</w:t>
      </w:r>
      <w:r w:rsidR="00C554EA" w:rsidRPr="00C554EA">
        <w:rPr>
          <w:rFonts w:asciiTheme="minorHAnsi" w:hAnsiTheme="minorHAnsi"/>
          <w:color w:val="auto"/>
          <w:szCs w:val="24"/>
        </w:rPr>
        <w:t xml:space="preserve"> to </w:t>
      </w:r>
      <w:r w:rsidR="00C554EA">
        <w:rPr>
          <w:rFonts w:asciiTheme="minorHAnsi" w:hAnsiTheme="minorHAnsi"/>
          <w:color w:val="auto"/>
          <w:szCs w:val="24"/>
        </w:rPr>
        <w:t xml:space="preserve">either deploy nor </w:t>
      </w:r>
      <w:r w:rsidR="00C554EA" w:rsidRPr="00C554EA">
        <w:rPr>
          <w:rFonts w:asciiTheme="minorHAnsi" w:hAnsiTheme="minorHAnsi"/>
          <w:color w:val="auto"/>
          <w:szCs w:val="24"/>
        </w:rPr>
        <w:t>maintain his physical readiness requirements consistent with being an Electronics Warfare Technician, without risking further injury to himself.</w:t>
      </w:r>
      <w:r w:rsidR="00C554EA">
        <w:rPr>
          <w:rFonts w:asciiTheme="minorHAnsi" w:hAnsiTheme="minorHAnsi"/>
          <w:color w:val="auto"/>
          <w:szCs w:val="24"/>
        </w:rPr>
        <w:t xml:space="preserve"> </w:t>
      </w:r>
      <w:r w:rsidR="00D52D91">
        <w:rPr>
          <w:rFonts w:asciiTheme="minorHAnsi" w:hAnsiTheme="minorHAnsi"/>
          <w:color w:val="auto"/>
          <w:szCs w:val="24"/>
        </w:rPr>
        <w:t xml:space="preserve"> </w:t>
      </w:r>
      <w:r w:rsidR="00C554EA">
        <w:rPr>
          <w:rFonts w:asciiTheme="minorHAnsi" w:hAnsiTheme="minorHAnsi"/>
          <w:color w:val="auto"/>
          <w:szCs w:val="24"/>
        </w:rPr>
        <w:t xml:space="preserve">The </w:t>
      </w:r>
      <w:r w:rsidR="00E4263C">
        <w:rPr>
          <w:rFonts w:asciiTheme="minorHAnsi" w:hAnsiTheme="minorHAnsi"/>
          <w:color w:val="auto"/>
          <w:szCs w:val="24"/>
        </w:rPr>
        <w:t>p</w:t>
      </w:r>
      <w:r w:rsidR="00C554EA">
        <w:rPr>
          <w:rFonts w:asciiTheme="minorHAnsi" w:hAnsiTheme="minorHAnsi"/>
          <w:color w:val="auto"/>
          <w:szCs w:val="24"/>
        </w:rPr>
        <w:t xml:space="preserve">ulmonary </w:t>
      </w:r>
      <w:r w:rsidR="00E4263C">
        <w:rPr>
          <w:rFonts w:asciiTheme="minorHAnsi" w:hAnsiTheme="minorHAnsi"/>
          <w:color w:val="auto"/>
          <w:szCs w:val="24"/>
        </w:rPr>
        <w:t>e</w:t>
      </w:r>
      <w:r w:rsidR="00C554EA">
        <w:rPr>
          <w:rFonts w:asciiTheme="minorHAnsi" w:hAnsiTheme="minorHAnsi"/>
          <w:color w:val="auto"/>
          <w:szCs w:val="24"/>
        </w:rPr>
        <w:t>mbolism</w:t>
      </w:r>
      <w:r w:rsidR="00AE5E14" w:rsidRPr="00396779">
        <w:rPr>
          <w:rFonts w:asciiTheme="minorHAnsi" w:hAnsiTheme="minorHAnsi"/>
          <w:color w:val="auto"/>
          <w:szCs w:val="24"/>
        </w:rPr>
        <w:t xml:space="preserve"> were addressed in the </w:t>
      </w:r>
      <w:r w:rsidR="00705C40" w:rsidRPr="00396779">
        <w:rPr>
          <w:rFonts w:asciiTheme="minorHAnsi" w:hAnsiTheme="minorHAnsi"/>
          <w:color w:val="auto"/>
          <w:szCs w:val="24"/>
        </w:rPr>
        <w:t>narrative summary (</w:t>
      </w:r>
      <w:r w:rsidR="00AE5E14" w:rsidRPr="00396779">
        <w:rPr>
          <w:rFonts w:asciiTheme="minorHAnsi" w:hAnsiTheme="minorHAnsi"/>
          <w:color w:val="auto"/>
          <w:szCs w:val="24"/>
        </w:rPr>
        <w:t>NARSUM</w:t>
      </w:r>
      <w:r w:rsidR="00705C40" w:rsidRPr="00396779">
        <w:rPr>
          <w:rFonts w:asciiTheme="minorHAnsi" w:hAnsiTheme="minorHAnsi"/>
          <w:color w:val="auto"/>
          <w:szCs w:val="24"/>
        </w:rPr>
        <w:t>)</w:t>
      </w:r>
      <w:r w:rsidR="00AE5E14" w:rsidRPr="00396779">
        <w:rPr>
          <w:rFonts w:asciiTheme="minorHAnsi" w:hAnsiTheme="minorHAnsi"/>
          <w:color w:val="auto"/>
          <w:szCs w:val="24"/>
        </w:rPr>
        <w:t xml:space="preserve"> and </w:t>
      </w:r>
      <w:r w:rsidR="00AE5E14" w:rsidRPr="0013525F">
        <w:rPr>
          <w:rFonts w:asciiTheme="minorHAnsi" w:hAnsiTheme="minorHAnsi"/>
          <w:color w:val="auto"/>
          <w:szCs w:val="24"/>
        </w:rPr>
        <w:t xml:space="preserve">forwarded to the </w:t>
      </w:r>
      <w:r w:rsidR="00B20624" w:rsidRPr="00396779">
        <w:rPr>
          <w:rFonts w:asciiTheme="minorHAnsi" w:hAnsiTheme="minorHAnsi"/>
          <w:color w:val="auto"/>
          <w:szCs w:val="24"/>
        </w:rPr>
        <w:t>Physical Evaluation Board (</w:t>
      </w:r>
      <w:r w:rsidR="00AE5E14" w:rsidRPr="00396779">
        <w:rPr>
          <w:rFonts w:asciiTheme="minorHAnsi" w:hAnsiTheme="minorHAnsi"/>
          <w:color w:val="auto"/>
          <w:szCs w:val="24"/>
        </w:rPr>
        <w:t>PEB</w:t>
      </w:r>
      <w:r w:rsidR="00B20624" w:rsidRPr="00396779">
        <w:rPr>
          <w:rFonts w:asciiTheme="minorHAnsi" w:hAnsiTheme="minorHAnsi"/>
          <w:color w:val="auto"/>
          <w:szCs w:val="24"/>
        </w:rPr>
        <w:t>)</w:t>
      </w:r>
      <w:r w:rsidR="00440ED0">
        <w:rPr>
          <w:rFonts w:asciiTheme="minorHAnsi" w:hAnsiTheme="minorHAnsi"/>
          <w:color w:val="auto"/>
          <w:szCs w:val="24"/>
        </w:rPr>
        <w:t>.</w:t>
      </w:r>
      <w:r w:rsidR="00C554EA">
        <w:rPr>
          <w:rFonts w:asciiTheme="minorHAnsi" w:hAnsiTheme="minorHAnsi"/>
          <w:color w:val="auto"/>
          <w:szCs w:val="24"/>
        </w:rPr>
        <w:t xml:space="preserve">  </w:t>
      </w:r>
      <w:r w:rsidR="00B20624" w:rsidRPr="00396779">
        <w:rPr>
          <w:rFonts w:asciiTheme="minorHAnsi" w:hAnsiTheme="minorHAnsi"/>
          <w:color w:val="auto"/>
          <w:szCs w:val="24"/>
        </w:rPr>
        <w:t xml:space="preserve">The PEB adjudicated the </w:t>
      </w:r>
      <w:r w:rsidR="00E4263C">
        <w:rPr>
          <w:rFonts w:asciiTheme="minorHAnsi" w:hAnsiTheme="minorHAnsi"/>
          <w:color w:val="auto"/>
          <w:szCs w:val="24"/>
        </w:rPr>
        <w:t>p</w:t>
      </w:r>
      <w:r w:rsidR="00C554EA">
        <w:rPr>
          <w:rFonts w:asciiTheme="minorHAnsi" w:hAnsiTheme="minorHAnsi"/>
          <w:color w:val="auto"/>
          <w:szCs w:val="24"/>
        </w:rPr>
        <w:t xml:space="preserve">ulmonary </w:t>
      </w:r>
      <w:r w:rsidR="00E4263C">
        <w:rPr>
          <w:rFonts w:asciiTheme="minorHAnsi" w:hAnsiTheme="minorHAnsi"/>
          <w:color w:val="auto"/>
          <w:szCs w:val="24"/>
        </w:rPr>
        <w:t>e</w:t>
      </w:r>
      <w:r w:rsidR="00C554EA">
        <w:rPr>
          <w:rFonts w:asciiTheme="minorHAnsi" w:hAnsiTheme="minorHAnsi"/>
          <w:color w:val="auto"/>
          <w:szCs w:val="24"/>
        </w:rPr>
        <w:t xml:space="preserve">mbolism </w:t>
      </w:r>
      <w:r w:rsidR="00B20624" w:rsidRPr="00396779">
        <w:rPr>
          <w:rFonts w:asciiTheme="minorHAnsi" w:hAnsiTheme="minorHAnsi"/>
          <w:color w:val="auto"/>
          <w:szCs w:val="24"/>
        </w:rPr>
        <w:t xml:space="preserve">as unfitting, rated </w:t>
      </w:r>
      <w:r w:rsidR="00C554EA">
        <w:rPr>
          <w:rFonts w:asciiTheme="minorHAnsi" w:hAnsiTheme="minorHAnsi"/>
          <w:color w:val="auto"/>
          <w:szCs w:val="24"/>
        </w:rPr>
        <w:t>0</w:t>
      </w:r>
      <w:r w:rsidR="00B20624" w:rsidRPr="00396779">
        <w:rPr>
          <w:rFonts w:asciiTheme="minorHAnsi" w:hAnsiTheme="minorHAnsi"/>
          <w:color w:val="auto"/>
          <w:szCs w:val="24"/>
        </w:rPr>
        <w:t xml:space="preserve">%; with application of </w:t>
      </w:r>
      <w:r w:rsidR="00B20624" w:rsidRPr="00C554EA">
        <w:rPr>
          <w:rFonts w:asciiTheme="minorHAnsi" w:hAnsiTheme="minorHAnsi"/>
          <w:color w:val="auto"/>
          <w:szCs w:val="24"/>
        </w:rPr>
        <w:t xml:space="preserve">the </w:t>
      </w:r>
      <w:r w:rsidR="00065E21" w:rsidRPr="00C554EA">
        <w:rPr>
          <w:rFonts w:asciiTheme="minorHAnsi" w:hAnsiTheme="minorHAnsi"/>
          <w:color w:val="auto"/>
          <w:szCs w:val="24"/>
        </w:rPr>
        <w:t xml:space="preserve">SECNAVINST 1850.4E </w:t>
      </w:r>
      <w:r w:rsidR="00B20624" w:rsidRPr="00C554EA">
        <w:rPr>
          <w:rFonts w:asciiTheme="minorHAnsi" w:hAnsiTheme="minorHAnsi"/>
          <w:color w:val="auto"/>
          <w:szCs w:val="24"/>
        </w:rPr>
        <w:t>and DoDI 1332.39 (E2.A1.5)</w:t>
      </w:r>
      <w:r w:rsidR="00E4263C">
        <w:rPr>
          <w:rFonts w:asciiTheme="minorHAnsi" w:hAnsiTheme="minorHAnsi"/>
          <w:color w:val="auto"/>
          <w:szCs w:val="24"/>
        </w:rPr>
        <w:t>,</w:t>
      </w:r>
      <w:r w:rsidR="00B20624" w:rsidRPr="00C554EA">
        <w:rPr>
          <w:rFonts w:asciiTheme="minorHAnsi" w:hAnsiTheme="minorHAnsi"/>
          <w:color w:val="auto"/>
          <w:szCs w:val="24"/>
        </w:rPr>
        <w:t xml:space="preserve"> respectively.</w:t>
      </w:r>
      <w:r w:rsidR="00B20624" w:rsidRPr="00396779">
        <w:rPr>
          <w:rFonts w:asciiTheme="minorHAnsi" w:hAnsiTheme="minorHAnsi"/>
          <w:color w:val="auto"/>
          <w:szCs w:val="24"/>
        </w:rPr>
        <w:t xml:space="preserve"> </w:t>
      </w:r>
      <w:r w:rsidR="008B04DB" w:rsidRPr="00396779">
        <w:rPr>
          <w:rFonts w:asciiTheme="minorHAnsi" w:hAnsiTheme="minorHAnsi"/>
          <w:color w:val="auto"/>
          <w:szCs w:val="24"/>
        </w:rPr>
        <w:t xml:space="preserve"> </w:t>
      </w:r>
      <w:r w:rsidR="00B20624" w:rsidRPr="00396779">
        <w:rPr>
          <w:rFonts w:asciiTheme="minorHAnsi" w:hAnsiTheme="minorHAnsi"/>
          <w:color w:val="auto"/>
        </w:rPr>
        <w:t xml:space="preserve">The CI </w:t>
      </w:r>
      <w:r w:rsidR="00190E48" w:rsidRPr="00396779">
        <w:rPr>
          <w:rFonts w:asciiTheme="minorHAnsi" w:hAnsiTheme="minorHAnsi"/>
          <w:color w:val="auto"/>
        </w:rPr>
        <w:t xml:space="preserve">made </w:t>
      </w:r>
      <w:r w:rsidR="00190E48" w:rsidRPr="00C554EA">
        <w:rPr>
          <w:rFonts w:asciiTheme="minorHAnsi" w:hAnsiTheme="minorHAnsi"/>
          <w:color w:val="auto"/>
        </w:rPr>
        <w:t>no appeals</w:t>
      </w:r>
      <w:r w:rsidR="00190E48" w:rsidRPr="00396779">
        <w:rPr>
          <w:rFonts w:asciiTheme="minorHAnsi" w:hAnsiTheme="minorHAnsi"/>
          <w:color w:val="auto"/>
        </w:rPr>
        <w:t xml:space="preserve">, </w:t>
      </w:r>
      <w:r w:rsidR="00B20624" w:rsidRPr="00396779">
        <w:rPr>
          <w:rFonts w:asciiTheme="minorHAnsi" w:hAnsiTheme="minorHAnsi"/>
          <w:color w:val="auto"/>
        </w:rPr>
        <w:t xml:space="preserve">and was medically separated with a </w:t>
      </w:r>
      <w:r w:rsidR="00C554EA">
        <w:rPr>
          <w:rFonts w:asciiTheme="minorHAnsi" w:hAnsiTheme="minorHAnsi"/>
          <w:color w:val="auto"/>
        </w:rPr>
        <w:t>0</w:t>
      </w:r>
      <w:r w:rsidR="00B20624" w:rsidRPr="00C554EA">
        <w:rPr>
          <w:rFonts w:asciiTheme="minorHAnsi" w:hAnsiTheme="minorHAnsi"/>
          <w:color w:val="auto"/>
        </w:rPr>
        <w:t>% combined</w:t>
      </w:r>
      <w:r w:rsidR="00B20624" w:rsidRPr="00396779">
        <w:rPr>
          <w:rFonts w:asciiTheme="minorHAnsi" w:hAnsiTheme="minorHAnsi"/>
          <w:color w:val="auto"/>
        </w:rPr>
        <w:t xml:space="preserve"> </w:t>
      </w:r>
      <w:r w:rsidR="00B20624" w:rsidRPr="00326C08">
        <w:rPr>
          <w:rFonts w:asciiTheme="minorHAnsi" w:hAnsiTheme="minorHAnsi"/>
          <w:color w:val="auto"/>
        </w:rPr>
        <w:t xml:space="preserve">disability rating.  </w:t>
      </w:r>
    </w:p>
    <w:p w:rsidR="00106AD8" w:rsidRPr="00CD5BD7" w:rsidRDefault="00106AD8" w:rsidP="00106AD8">
      <w:pPr>
        <w:pBdr>
          <w:bottom w:val="single" w:sz="12" w:space="1" w:color="auto"/>
        </w:pBdr>
        <w:tabs>
          <w:tab w:val="left" w:pos="288"/>
          <w:tab w:val="left" w:pos="4752"/>
        </w:tabs>
        <w:spacing w:line="240" w:lineRule="exact"/>
        <w:jc w:val="both"/>
        <w:rPr>
          <w:rFonts w:ascii="Calibri" w:hAnsi="Calibri"/>
          <w:color w:val="auto"/>
          <w:szCs w:val="24"/>
        </w:rPr>
      </w:pPr>
    </w:p>
    <w:p w:rsidR="00106AD8" w:rsidRPr="00CD5BD7" w:rsidRDefault="00106AD8" w:rsidP="00106AD8">
      <w:pPr>
        <w:tabs>
          <w:tab w:val="left" w:pos="288"/>
          <w:tab w:val="left" w:pos="4752"/>
        </w:tabs>
        <w:spacing w:line="240" w:lineRule="exact"/>
        <w:rPr>
          <w:rFonts w:ascii="Calibri" w:hAnsi="Calibri"/>
          <w:color w:val="000080"/>
          <w:szCs w:val="24"/>
        </w:rPr>
      </w:pPr>
    </w:p>
    <w:p w:rsidR="00C91E1C" w:rsidRPr="00326C08" w:rsidRDefault="002C6E5B" w:rsidP="00C91E1C">
      <w:pPr>
        <w:tabs>
          <w:tab w:val="left" w:pos="288"/>
          <w:tab w:val="left" w:pos="4752"/>
        </w:tabs>
        <w:spacing w:line="240" w:lineRule="exact"/>
        <w:jc w:val="both"/>
        <w:rPr>
          <w:rFonts w:asciiTheme="minorHAnsi" w:hAnsiTheme="minorHAnsi"/>
          <w:i/>
          <w:color w:val="auto"/>
          <w:szCs w:val="24"/>
        </w:rPr>
      </w:pPr>
      <w:r w:rsidRPr="00326C08">
        <w:rPr>
          <w:rFonts w:asciiTheme="minorHAnsi" w:hAnsiTheme="minorHAnsi"/>
          <w:color w:val="auto"/>
          <w:u w:val="single"/>
        </w:rPr>
        <w:t>CI CONTENTION</w:t>
      </w:r>
      <w:r w:rsidRPr="00326C08">
        <w:rPr>
          <w:rFonts w:asciiTheme="minorHAnsi" w:hAnsiTheme="minorHAnsi"/>
          <w:color w:val="auto"/>
        </w:rPr>
        <w:t xml:space="preserve">:  </w:t>
      </w:r>
      <w:r w:rsidR="00C91E1C" w:rsidRPr="00326C08">
        <w:rPr>
          <w:rFonts w:asciiTheme="minorHAnsi" w:hAnsiTheme="minorHAnsi"/>
          <w:color w:val="auto"/>
          <w:szCs w:val="24"/>
        </w:rPr>
        <w:t xml:space="preserve">The CI </w:t>
      </w:r>
      <w:r w:rsidR="00A65271">
        <w:rPr>
          <w:rFonts w:asciiTheme="minorHAnsi" w:hAnsiTheme="minorHAnsi"/>
          <w:color w:val="auto"/>
          <w:szCs w:val="24"/>
        </w:rPr>
        <w:t xml:space="preserve">requests review of his “separation findings and </w:t>
      </w:r>
      <w:r w:rsidR="00862B54">
        <w:rPr>
          <w:rFonts w:asciiTheme="minorHAnsi" w:hAnsiTheme="minorHAnsi"/>
          <w:color w:val="auto"/>
          <w:szCs w:val="24"/>
        </w:rPr>
        <w:t xml:space="preserve">conclude a 60% disability rating due to my chronic pulmonary </w:t>
      </w:r>
      <w:proofErr w:type="spellStart"/>
      <w:r w:rsidR="00862B54">
        <w:rPr>
          <w:rFonts w:asciiTheme="minorHAnsi" w:hAnsiTheme="minorHAnsi"/>
          <w:color w:val="auto"/>
          <w:szCs w:val="24"/>
        </w:rPr>
        <w:t>thromboembolism</w:t>
      </w:r>
      <w:proofErr w:type="spellEnd"/>
      <w:r w:rsidR="00862B54">
        <w:rPr>
          <w:rFonts w:asciiTheme="minorHAnsi" w:hAnsiTheme="minorHAnsi"/>
          <w:color w:val="auto"/>
          <w:szCs w:val="24"/>
        </w:rPr>
        <w:t xml:space="preserve"> requiring anticoagulant therapy</w:t>
      </w:r>
      <w:r w:rsidR="00E4263C">
        <w:rPr>
          <w:rFonts w:asciiTheme="minorHAnsi" w:hAnsiTheme="minorHAnsi"/>
          <w:color w:val="auto"/>
          <w:szCs w:val="24"/>
        </w:rPr>
        <w:t>.</w:t>
      </w:r>
      <w:r w:rsidR="00862B54">
        <w:rPr>
          <w:rFonts w:asciiTheme="minorHAnsi" w:hAnsiTheme="minorHAnsi"/>
          <w:color w:val="auto"/>
          <w:szCs w:val="24"/>
        </w:rPr>
        <w:t xml:space="preserve">”  </w:t>
      </w:r>
      <w:r w:rsidR="00C91E1C" w:rsidRPr="00396779">
        <w:rPr>
          <w:rFonts w:asciiTheme="minorHAnsi" w:hAnsiTheme="minorHAnsi"/>
          <w:color w:val="auto"/>
          <w:szCs w:val="24"/>
        </w:rPr>
        <w:t xml:space="preserve">He additionally lists his VA </w:t>
      </w:r>
      <w:r w:rsidR="00A65271">
        <w:rPr>
          <w:rFonts w:asciiTheme="minorHAnsi" w:hAnsiTheme="minorHAnsi"/>
          <w:color w:val="auto"/>
          <w:szCs w:val="24"/>
        </w:rPr>
        <w:t xml:space="preserve">service connected </w:t>
      </w:r>
      <w:r w:rsidR="00C91E1C" w:rsidRPr="00396779">
        <w:rPr>
          <w:rFonts w:asciiTheme="minorHAnsi" w:hAnsiTheme="minorHAnsi"/>
          <w:color w:val="auto"/>
          <w:szCs w:val="24"/>
        </w:rPr>
        <w:t xml:space="preserve">rating </w:t>
      </w:r>
      <w:r w:rsidR="00A65271">
        <w:rPr>
          <w:rFonts w:asciiTheme="minorHAnsi" w:hAnsiTheme="minorHAnsi"/>
          <w:color w:val="auto"/>
          <w:szCs w:val="24"/>
        </w:rPr>
        <w:t xml:space="preserve">for scoliosis </w:t>
      </w:r>
      <w:r w:rsidR="00C91E1C" w:rsidRPr="00396779">
        <w:rPr>
          <w:rFonts w:asciiTheme="minorHAnsi" w:hAnsiTheme="minorHAnsi"/>
          <w:color w:val="auto"/>
          <w:szCs w:val="24"/>
        </w:rPr>
        <w:t xml:space="preserve">as per the rating chart below.  </w:t>
      </w:r>
    </w:p>
    <w:p w:rsidR="00106AD8" w:rsidRPr="00CD5BD7" w:rsidRDefault="00106AD8" w:rsidP="00106AD8">
      <w:pPr>
        <w:pBdr>
          <w:bottom w:val="single" w:sz="12" w:space="1" w:color="auto"/>
        </w:pBdr>
        <w:tabs>
          <w:tab w:val="left" w:pos="288"/>
          <w:tab w:val="left" w:pos="4752"/>
        </w:tabs>
        <w:spacing w:line="240" w:lineRule="exact"/>
        <w:jc w:val="both"/>
        <w:rPr>
          <w:rFonts w:ascii="Calibri" w:hAnsi="Calibri"/>
          <w:color w:val="auto"/>
          <w:szCs w:val="24"/>
        </w:rPr>
      </w:pPr>
    </w:p>
    <w:p w:rsidR="00106AD8" w:rsidRPr="00CD5BD7" w:rsidRDefault="00106AD8" w:rsidP="00106AD8">
      <w:pPr>
        <w:tabs>
          <w:tab w:val="left" w:pos="288"/>
          <w:tab w:val="left" w:pos="4752"/>
        </w:tabs>
        <w:spacing w:line="240" w:lineRule="exact"/>
        <w:rPr>
          <w:rFonts w:ascii="Calibri" w:hAnsi="Calibri"/>
          <w:color w:val="000080"/>
          <w:szCs w:val="24"/>
        </w:rPr>
      </w:pPr>
    </w:p>
    <w:p w:rsidR="002338CA" w:rsidRDefault="002C6E5B" w:rsidP="00D17DD9">
      <w:pPr>
        <w:rPr>
          <w:rFonts w:asciiTheme="minorHAnsi" w:hAnsiTheme="minorHAnsi"/>
          <w:color w:val="auto"/>
        </w:rPr>
      </w:pPr>
      <w:r w:rsidRPr="00326C08">
        <w:rPr>
          <w:rFonts w:asciiTheme="minorHAnsi" w:hAnsiTheme="minorHAnsi"/>
          <w:color w:val="auto"/>
          <w:u w:val="single"/>
        </w:rPr>
        <w:t>RATING COMPARISON</w:t>
      </w:r>
      <w:r w:rsidRPr="00326C08">
        <w:rPr>
          <w:rFonts w:asciiTheme="minorHAnsi" w:hAnsiTheme="minorHAnsi"/>
          <w:color w:val="auto"/>
        </w:rPr>
        <w:t>:</w:t>
      </w:r>
    </w:p>
    <w:p w:rsidR="00582FB1" w:rsidRDefault="00582FB1" w:rsidP="00D17DD9">
      <w:pPr>
        <w:rPr>
          <w:rFonts w:asciiTheme="minorHAnsi" w:hAnsiTheme="minorHAnsi"/>
          <w:color w:val="auto"/>
        </w:rPr>
      </w:pPr>
    </w:p>
    <w:tbl>
      <w:tblPr>
        <w:tblStyle w:val="TableGrid"/>
        <w:tblW w:w="9738" w:type="dxa"/>
        <w:tblLayout w:type="fixed"/>
        <w:tblLook w:val="04A0"/>
      </w:tblPr>
      <w:tblGrid>
        <w:gridCol w:w="2808"/>
        <w:gridCol w:w="1039"/>
        <w:gridCol w:w="761"/>
        <w:gridCol w:w="2430"/>
        <w:gridCol w:w="900"/>
        <w:gridCol w:w="810"/>
        <w:gridCol w:w="990"/>
      </w:tblGrid>
      <w:tr w:rsidR="00582FB1" w:rsidRPr="00396779" w:rsidTr="00440ED0">
        <w:trPr>
          <w:trHeight w:val="233"/>
        </w:trPr>
        <w:tc>
          <w:tcPr>
            <w:tcW w:w="4608" w:type="dxa"/>
            <w:gridSpan w:val="3"/>
          </w:tcPr>
          <w:p w:rsidR="00582FB1" w:rsidRPr="00396779" w:rsidRDefault="00582FB1" w:rsidP="00F802EC">
            <w:pPr>
              <w:pStyle w:val="ListParagraph"/>
              <w:spacing w:after="0" w:line="240" w:lineRule="exact"/>
              <w:ind w:left="0"/>
              <w:jc w:val="center"/>
              <w:rPr>
                <w:rFonts w:cs="Times New Roman"/>
                <w:b/>
                <w:sz w:val="20"/>
                <w:szCs w:val="20"/>
              </w:rPr>
            </w:pPr>
            <w:r w:rsidRPr="00396779">
              <w:rPr>
                <w:rFonts w:cs="Times New Roman"/>
                <w:b/>
                <w:sz w:val="20"/>
                <w:szCs w:val="20"/>
              </w:rPr>
              <w:t xml:space="preserve">Service </w:t>
            </w:r>
            <w:r>
              <w:rPr>
                <w:rFonts w:cs="Times New Roman"/>
                <w:b/>
                <w:sz w:val="20"/>
                <w:szCs w:val="20"/>
              </w:rPr>
              <w:t>I</w:t>
            </w:r>
            <w:r w:rsidRPr="00396779">
              <w:rPr>
                <w:rFonts w:cs="Times New Roman"/>
                <w:b/>
                <w:sz w:val="20"/>
                <w:szCs w:val="20"/>
              </w:rPr>
              <w:t xml:space="preserve">PEB – Dated </w:t>
            </w:r>
            <w:r>
              <w:rPr>
                <w:rFonts w:cs="Times New Roman"/>
                <w:b/>
                <w:sz w:val="20"/>
                <w:szCs w:val="20"/>
              </w:rPr>
              <w:t>20030410</w:t>
            </w:r>
          </w:p>
        </w:tc>
        <w:tc>
          <w:tcPr>
            <w:tcW w:w="5130" w:type="dxa"/>
            <w:gridSpan w:val="4"/>
          </w:tcPr>
          <w:p w:rsidR="00582FB1" w:rsidRPr="00396779" w:rsidRDefault="00582FB1" w:rsidP="00F802EC">
            <w:pPr>
              <w:pStyle w:val="ListParagraph"/>
              <w:spacing w:after="0" w:line="240" w:lineRule="exact"/>
              <w:ind w:left="0"/>
              <w:jc w:val="center"/>
              <w:rPr>
                <w:rFonts w:cs="Times New Roman"/>
                <w:b/>
                <w:sz w:val="20"/>
                <w:szCs w:val="20"/>
              </w:rPr>
            </w:pPr>
            <w:r w:rsidRPr="00396779">
              <w:rPr>
                <w:rFonts w:cs="Times New Roman"/>
                <w:b/>
                <w:sz w:val="20"/>
                <w:szCs w:val="20"/>
              </w:rPr>
              <w:t>VA (</w:t>
            </w:r>
            <w:r>
              <w:rPr>
                <w:rFonts w:cs="Times New Roman"/>
                <w:b/>
                <w:sz w:val="20"/>
                <w:szCs w:val="20"/>
              </w:rPr>
              <w:t>5</w:t>
            </w:r>
            <w:r w:rsidRPr="00396779">
              <w:rPr>
                <w:rFonts w:cs="Times New Roman"/>
                <w:b/>
                <w:sz w:val="20"/>
                <w:szCs w:val="20"/>
              </w:rPr>
              <w:t xml:space="preserve"> Mo. </w:t>
            </w:r>
            <w:r>
              <w:rPr>
                <w:rFonts w:cs="Times New Roman"/>
                <w:b/>
                <w:sz w:val="20"/>
                <w:szCs w:val="20"/>
              </w:rPr>
              <w:t>Post</w:t>
            </w:r>
            <w:r w:rsidRPr="00396779">
              <w:rPr>
                <w:rFonts w:cs="Times New Roman"/>
                <w:b/>
                <w:sz w:val="20"/>
                <w:szCs w:val="20"/>
              </w:rPr>
              <w:t xml:space="preserve"> Separation) – All Effective </w:t>
            </w:r>
            <w:r>
              <w:rPr>
                <w:rFonts w:cs="Times New Roman"/>
                <w:b/>
                <w:sz w:val="20"/>
                <w:szCs w:val="20"/>
              </w:rPr>
              <w:t>20030802</w:t>
            </w:r>
          </w:p>
        </w:tc>
      </w:tr>
      <w:tr w:rsidR="00582FB1" w:rsidRPr="00396779" w:rsidTr="00440ED0">
        <w:trPr>
          <w:trHeight w:val="233"/>
        </w:trPr>
        <w:tc>
          <w:tcPr>
            <w:tcW w:w="2808" w:type="dxa"/>
          </w:tcPr>
          <w:p w:rsidR="00582FB1" w:rsidRPr="00396779" w:rsidRDefault="00582FB1" w:rsidP="00F802EC">
            <w:pPr>
              <w:pStyle w:val="ListParagraph"/>
              <w:spacing w:after="0" w:line="240" w:lineRule="exact"/>
              <w:ind w:left="0"/>
              <w:jc w:val="both"/>
              <w:rPr>
                <w:rFonts w:cs="Times New Roman"/>
                <w:b/>
                <w:sz w:val="20"/>
                <w:szCs w:val="20"/>
              </w:rPr>
            </w:pPr>
            <w:r w:rsidRPr="00396779">
              <w:rPr>
                <w:rFonts w:cs="Times New Roman"/>
                <w:b/>
                <w:sz w:val="20"/>
                <w:szCs w:val="20"/>
              </w:rPr>
              <w:t>Condition</w:t>
            </w:r>
          </w:p>
        </w:tc>
        <w:tc>
          <w:tcPr>
            <w:tcW w:w="1039" w:type="dxa"/>
          </w:tcPr>
          <w:p w:rsidR="00582FB1" w:rsidRPr="00396779" w:rsidRDefault="00582FB1" w:rsidP="00F802EC">
            <w:pPr>
              <w:pStyle w:val="ListParagraph"/>
              <w:spacing w:after="0" w:line="240" w:lineRule="exact"/>
              <w:ind w:left="0"/>
              <w:jc w:val="center"/>
              <w:rPr>
                <w:rFonts w:cs="Times New Roman"/>
                <w:b/>
                <w:sz w:val="20"/>
                <w:szCs w:val="20"/>
              </w:rPr>
            </w:pPr>
            <w:r w:rsidRPr="00396779">
              <w:rPr>
                <w:rFonts w:cs="Times New Roman"/>
                <w:b/>
                <w:sz w:val="20"/>
                <w:szCs w:val="20"/>
              </w:rPr>
              <w:t>Code</w:t>
            </w:r>
          </w:p>
        </w:tc>
        <w:tc>
          <w:tcPr>
            <w:tcW w:w="761" w:type="dxa"/>
          </w:tcPr>
          <w:p w:rsidR="00582FB1" w:rsidRPr="00396779" w:rsidRDefault="00582FB1" w:rsidP="00F802EC">
            <w:pPr>
              <w:pStyle w:val="ListParagraph"/>
              <w:spacing w:after="0" w:line="240" w:lineRule="exact"/>
              <w:ind w:left="0"/>
              <w:jc w:val="center"/>
              <w:rPr>
                <w:rFonts w:cs="Times New Roman"/>
                <w:b/>
                <w:sz w:val="20"/>
                <w:szCs w:val="20"/>
              </w:rPr>
            </w:pPr>
            <w:r w:rsidRPr="00396779">
              <w:rPr>
                <w:rFonts w:cs="Times New Roman"/>
                <w:b/>
                <w:sz w:val="20"/>
                <w:szCs w:val="20"/>
              </w:rPr>
              <w:t>Rating</w:t>
            </w:r>
          </w:p>
        </w:tc>
        <w:tc>
          <w:tcPr>
            <w:tcW w:w="2430" w:type="dxa"/>
          </w:tcPr>
          <w:p w:rsidR="00582FB1" w:rsidRPr="00396779" w:rsidRDefault="00582FB1" w:rsidP="00F802EC">
            <w:pPr>
              <w:pStyle w:val="ListParagraph"/>
              <w:spacing w:after="0" w:line="240" w:lineRule="exact"/>
              <w:ind w:left="0"/>
              <w:jc w:val="both"/>
              <w:rPr>
                <w:rFonts w:cs="Times New Roman"/>
                <w:b/>
                <w:sz w:val="20"/>
                <w:szCs w:val="20"/>
              </w:rPr>
            </w:pPr>
            <w:r w:rsidRPr="00396779">
              <w:rPr>
                <w:rFonts w:cs="Times New Roman"/>
                <w:b/>
                <w:sz w:val="20"/>
                <w:szCs w:val="20"/>
              </w:rPr>
              <w:t>Condition</w:t>
            </w:r>
          </w:p>
        </w:tc>
        <w:tc>
          <w:tcPr>
            <w:tcW w:w="900" w:type="dxa"/>
          </w:tcPr>
          <w:p w:rsidR="00582FB1" w:rsidRPr="00396779" w:rsidRDefault="00582FB1" w:rsidP="00F802EC">
            <w:pPr>
              <w:pStyle w:val="ListParagraph"/>
              <w:spacing w:after="0" w:line="240" w:lineRule="exact"/>
              <w:ind w:left="0"/>
              <w:jc w:val="center"/>
              <w:rPr>
                <w:rFonts w:cs="Times New Roman"/>
                <w:b/>
                <w:sz w:val="20"/>
                <w:szCs w:val="20"/>
              </w:rPr>
            </w:pPr>
            <w:r w:rsidRPr="00396779">
              <w:rPr>
                <w:rFonts w:cs="Times New Roman"/>
                <w:b/>
                <w:sz w:val="20"/>
                <w:szCs w:val="20"/>
              </w:rPr>
              <w:t>Code</w:t>
            </w:r>
          </w:p>
        </w:tc>
        <w:tc>
          <w:tcPr>
            <w:tcW w:w="810" w:type="dxa"/>
          </w:tcPr>
          <w:p w:rsidR="00582FB1" w:rsidRPr="00396779" w:rsidRDefault="00582FB1" w:rsidP="00F802EC">
            <w:pPr>
              <w:pStyle w:val="ListParagraph"/>
              <w:spacing w:after="0" w:line="240" w:lineRule="exact"/>
              <w:ind w:left="0"/>
              <w:jc w:val="center"/>
              <w:rPr>
                <w:rFonts w:cs="Times New Roman"/>
                <w:b/>
                <w:sz w:val="20"/>
                <w:szCs w:val="20"/>
              </w:rPr>
            </w:pPr>
            <w:r w:rsidRPr="00396779">
              <w:rPr>
                <w:rFonts w:cs="Times New Roman"/>
                <w:b/>
                <w:sz w:val="20"/>
                <w:szCs w:val="20"/>
              </w:rPr>
              <w:t>Rating</w:t>
            </w:r>
          </w:p>
        </w:tc>
        <w:tc>
          <w:tcPr>
            <w:tcW w:w="990" w:type="dxa"/>
          </w:tcPr>
          <w:p w:rsidR="00582FB1" w:rsidRPr="00396779" w:rsidRDefault="00582FB1" w:rsidP="00F802EC">
            <w:pPr>
              <w:pStyle w:val="ListParagraph"/>
              <w:spacing w:after="0" w:line="240" w:lineRule="exact"/>
              <w:ind w:left="0"/>
              <w:jc w:val="center"/>
              <w:rPr>
                <w:rFonts w:cs="Times New Roman"/>
                <w:b/>
                <w:sz w:val="20"/>
                <w:szCs w:val="20"/>
              </w:rPr>
            </w:pPr>
            <w:r w:rsidRPr="00396779">
              <w:rPr>
                <w:rFonts w:cs="Times New Roman"/>
                <w:b/>
                <w:sz w:val="20"/>
                <w:szCs w:val="20"/>
              </w:rPr>
              <w:t>Exam</w:t>
            </w:r>
          </w:p>
        </w:tc>
      </w:tr>
      <w:tr w:rsidR="00582FB1" w:rsidRPr="00396779" w:rsidTr="00440ED0">
        <w:trPr>
          <w:trHeight w:val="278"/>
        </w:trPr>
        <w:tc>
          <w:tcPr>
            <w:tcW w:w="2808" w:type="dxa"/>
          </w:tcPr>
          <w:p w:rsidR="00582FB1" w:rsidRPr="00396779" w:rsidRDefault="00582FB1" w:rsidP="00F802EC">
            <w:pPr>
              <w:pStyle w:val="ListParagraph"/>
              <w:spacing w:after="0" w:line="240" w:lineRule="exact"/>
              <w:ind w:left="0"/>
              <w:jc w:val="both"/>
              <w:rPr>
                <w:rFonts w:cs="Times New Roman"/>
                <w:sz w:val="18"/>
                <w:szCs w:val="18"/>
              </w:rPr>
            </w:pPr>
            <w:r>
              <w:rPr>
                <w:rFonts w:cs="Times New Roman"/>
                <w:sz w:val="18"/>
                <w:szCs w:val="18"/>
              </w:rPr>
              <w:t>Pulmonary Embolism</w:t>
            </w:r>
          </w:p>
        </w:tc>
        <w:tc>
          <w:tcPr>
            <w:tcW w:w="1039" w:type="dxa"/>
          </w:tcPr>
          <w:p w:rsidR="00582FB1" w:rsidRPr="00396779" w:rsidRDefault="00582FB1" w:rsidP="00F802EC">
            <w:pPr>
              <w:pStyle w:val="ListParagraph"/>
              <w:spacing w:after="0" w:line="240" w:lineRule="exact"/>
              <w:ind w:left="0"/>
              <w:jc w:val="center"/>
              <w:rPr>
                <w:rFonts w:cs="Times New Roman"/>
                <w:sz w:val="18"/>
                <w:szCs w:val="18"/>
              </w:rPr>
            </w:pPr>
            <w:r>
              <w:rPr>
                <w:rFonts w:cs="Times New Roman"/>
                <w:sz w:val="18"/>
                <w:szCs w:val="18"/>
              </w:rPr>
              <w:t>6817</w:t>
            </w:r>
          </w:p>
        </w:tc>
        <w:tc>
          <w:tcPr>
            <w:tcW w:w="761" w:type="dxa"/>
          </w:tcPr>
          <w:p w:rsidR="00582FB1" w:rsidRPr="00396779" w:rsidRDefault="00582FB1" w:rsidP="00F802EC">
            <w:pPr>
              <w:pStyle w:val="ListParagraph"/>
              <w:spacing w:after="0" w:line="240" w:lineRule="exact"/>
              <w:ind w:left="0"/>
              <w:jc w:val="center"/>
              <w:rPr>
                <w:rFonts w:cs="Times New Roman"/>
                <w:sz w:val="18"/>
                <w:szCs w:val="18"/>
              </w:rPr>
            </w:pPr>
            <w:r>
              <w:rPr>
                <w:rFonts w:cs="Times New Roman"/>
                <w:sz w:val="18"/>
                <w:szCs w:val="18"/>
              </w:rPr>
              <w:t>0%</w:t>
            </w:r>
          </w:p>
        </w:tc>
        <w:tc>
          <w:tcPr>
            <w:tcW w:w="2430" w:type="dxa"/>
          </w:tcPr>
          <w:p w:rsidR="00582FB1" w:rsidRPr="00396779" w:rsidRDefault="00582FB1" w:rsidP="00F802EC">
            <w:pPr>
              <w:pStyle w:val="ListParagraph"/>
              <w:spacing w:after="0" w:line="240" w:lineRule="exact"/>
              <w:ind w:left="0"/>
              <w:rPr>
                <w:rFonts w:cs="Times New Roman"/>
                <w:sz w:val="18"/>
                <w:szCs w:val="18"/>
              </w:rPr>
            </w:pPr>
            <w:proofErr w:type="spellStart"/>
            <w:r>
              <w:rPr>
                <w:rFonts w:cs="Times New Roman"/>
                <w:sz w:val="18"/>
                <w:szCs w:val="18"/>
              </w:rPr>
              <w:t>Bilat</w:t>
            </w:r>
            <w:proofErr w:type="spellEnd"/>
            <w:r>
              <w:rPr>
                <w:rFonts w:cs="Times New Roman"/>
                <w:sz w:val="18"/>
                <w:szCs w:val="18"/>
              </w:rPr>
              <w:t xml:space="preserve"> Pulmonary Embolism</w:t>
            </w:r>
          </w:p>
        </w:tc>
        <w:tc>
          <w:tcPr>
            <w:tcW w:w="900" w:type="dxa"/>
          </w:tcPr>
          <w:p w:rsidR="00582FB1" w:rsidRPr="00396779" w:rsidRDefault="00582FB1" w:rsidP="00F802EC">
            <w:pPr>
              <w:pStyle w:val="ListParagraph"/>
              <w:spacing w:after="0" w:line="240" w:lineRule="exact"/>
              <w:ind w:left="0"/>
              <w:jc w:val="center"/>
              <w:rPr>
                <w:rFonts w:cs="Times New Roman"/>
                <w:sz w:val="18"/>
                <w:szCs w:val="18"/>
              </w:rPr>
            </w:pPr>
            <w:r>
              <w:rPr>
                <w:rFonts w:cs="Times New Roman"/>
                <w:sz w:val="18"/>
                <w:szCs w:val="18"/>
              </w:rPr>
              <w:t>6817</w:t>
            </w:r>
          </w:p>
        </w:tc>
        <w:tc>
          <w:tcPr>
            <w:tcW w:w="810" w:type="dxa"/>
          </w:tcPr>
          <w:p w:rsidR="00582FB1" w:rsidRPr="00721705" w:rsidRDefault="00582FB1" w:rsidP="00F802EC">
            <w:pPr>
              <w:pStyle w:val="ListParagraph"/>
              <w:spacing w:after="0" w:line="240" w:lineRule="exact"/>
              <w:ind w:left="0"/>
              <w:jc w:val="center"/>
              <w:rPr>
                <w:rFonts w:cs="Times New Roman"/>
                <w:sz w:val="18"/>
                <w:szCs w:val="18"/>
                <w:highlight w:val="yellow"/>
              </w:rPr>
            </w:pPr>
            <w:r w:rsidRPr="004F30AB">
              <w:rPr>
                <w:rFonts w:cs="Times New Roman"/>
                <w:sz w:val="18"/>
                <w:szCs w:val="18"/>
              </w:rPr>
              <w:t>30%</w:t>
            </w:r>
          </w:p>
        </w:tc>
        <w:tc>
          <w:tcPr>
            <w:tcW w:w="990" w:type="dxa"/>
          </w:tcPr>
          <w:p w:rsidR="00582FB1" w:rsidRPr="00721705" w:rsidRDefault="00582FB1" w:rsidP="00F802EC">
            <w:pPr>
              <w:pStyle w:val="ListParagraph"/>
              <w:spacing w:after="0" w:line="240" w:lineRule="exact"/>
              <w:ind w:left="0"/>
              <w:jc w:val="center"/>
              <w:rPr>
                <w:rFonts w:cs="Times New Roman"/>
                <w:sz w:val="18"/>
                <w:szCs w:val="18"/>
                <w:highlight w:val="yellow"/>
              </w:rPr>
            </w:pPr>
            <w:r w:rsidRPr="004F30AB">
              <w:rPr>
                <w:rFonts w:cs="Times New Roman"/>
                <w:sz w:val="18"/>
                <w:szCs w:val="18"/>
              </w:rPr>
              <w:t>20031202</w:t>
            </w:r>
          </w:p>
        </w:tc>
      </w:tr>
      <w:tr w:rsidR="00582FB1" w:rsidRPr="00396779" w:rsidTr="00440ED0">
        <w:trPr>
          <w:trHeight w:val="132"/>
        </w:trPr>
        <w:tc>
          <w:tcPr>
            <w:tcW w:w="2808" w:type="dxa"/>
            <w:vMerge w:val="restart"/>
          </w:tcPr>
          <w:p w:rsidR="00582FB1" w:rsidRDefault="00582FB1" w:rsidP="00E0555C">
            <w:pPr>
              <w:pStyle w:val="ListParagraph"/>
              <w:spacing w:after="0" w:line="240" w:lineRule="exact"/>
              <w:ind w:left="0"/>
              <w:rPr>
                <w:rFonts w:cs="Times New Roman"/>
                <w:sz w:val="18"/>
                <w:szCs w:val="18"/>
              </w:rPr>
            </w:pPr>
            <w:proofErr w:type="spellStart"/>
            <w:r>
              <w:rPr>
                <w:rFonts w:cs="Times New Roman"/>
                <w:sz w:val="18"/>
                <w:szCs w:val="18"/>
              </w:rPr>
              <w:t>Thrombophilia</w:t>
            </w:r>
            <w:proofErr w:type="spellEnd"/>
            <w:r>
              <w:rPr>
                <w:rFonts w:cs="Times New Roman"/>
                <w:sz w:val="18"/>
                <w:szCs w:val="18"/>
              </w:rPr>
              <w:t xml:space="preserve"> w/Heterozygous Factor V</w:t>
            </w:r>
          </w:p>
        </w:tc>
        <w:tc>
          <w:tcPr>
            <w:tcW w:w="1800" w:type="dxa"/>
            <w:gridSpan w:val="2"/>
            <w:vMerge w:val="restart"/>
          </w:tcPr>
          <w:p w:rsidR="00582FB1" w:rsidRDefault="00582FB1" w:rsidP="00F802EC">
            <w:pPr>
              <w:pStyle w:val="ListParagraph"/>
              <w:spacing w:after="0" w:line="240" w:lineRule="exact"/>
              <w:ind w:left="0"/>
              <w:jc w:val="center"/>
              <w:rPr>
                <w:rFonts w:cs="Times New Roman"/>
                <w:sz w:val="18"/>
                <w:szCs w:val="18"/>
              </w:rPr>
            </w:pPr>
            <w:r>
              <w:rPr>
                <w:rFonts w:cs="Times New Roman"/>
                <w:sz w:val="18"/>
                <w:szCs w:val="18"/>
              </w:rPr>
              <w:t>Related diagnosis</w:t>
            </w:r>
          </w:p>
        </w:tc>
        <w:tc>
          <w:tcPr>
            <w:tcW w:w="2430" w:type="dxa"/>
          </w:tcPr>
          <w:p w:rsidR="00582FB1" w:rsidRDefault="00582FB1" w:rsidP="00F802EC">
            <w:pPr>
              <w:pStyle w:val="ListParagraph"/>
              <w:spacing w:after="0" w:line="240" w:lineRule="exact"/>
              <w:ind w:left="0"/>
              <w:rPr>
                <w:rFonts w:cs="Times New Roman"/>
                <w:sz w:val="18"/>
                <w:szCs w:val="18"/>
              </w:rPr>
            </w:pPr>
            <w:proofErr w:type="spellStart"/>
            <w:r>
              <w:rPr>
                <w:rFonts w:cs="Times New Roman"/>
                <w:sz w:val="18"/>
                <w:szCs w:val="18"/>
              </w:rPr>
              <w:t>Prothrombin</w:t>
            </w:r>
            <w:proofErr w:type="spellEnd"/>
            <w:r>
              <w:rPr>
                <w:rFonts w:cs="Times New Roman"/>
                <w:sz w:val="18"/>
                <w:szCs w:val="18"/>
              </w:rPr>
              <w:t xml:space="preserve"> II Deficiency</w:t>
            </w:r>
          </w:p>
        </w:tc>
        <w:tc>
          <w:tcPr>
            <w:tcW w:w="900" w:type="dxa"/>
          </w:tcPr>
          <w:p w:rsidR="00582FB1" w:rsidRDefault="00582FB1" w:rsidP="00F802EC">
            <w:pPr>
              <w:pStyle w:val="ListParagraph"/>
              <w:spacing w:after="0" w:line="240" w:lineRule="exact"/>
              <w:ind w:left="0"/>
              <w:jc w:val="center"/>
              <w:rPr>
                <w:rFonts w:cs="Times New Roman"/>
                <w:sz w:val="18"/>
                <w:szCs w:val="18"/>
              </w:rPr>
            </w:pPr>
            <w:r>
              <w:rPr>
                <w:rFonts w:cs="Times New Roman"/>
                <w:sz w:val="18"/>
                <w:szCs w:val="18"/>
              </w:rPr>
              <w:t>7799-7700</w:t>
            </w:r>
          </w:p>
        </w:tc>
        <w:tc>
          <w:tcPr>
            <w:tcW w:w="810" w:type="dxa"/>
            <w:vMerge w:val="restart"/>
            <w:vAlign w:val="center"/>
          </w:tcPr>
          <w:p w:rsidR="00582FB1" w:rsidRPr="00E4263C" w:rsidRDefault="00582FB1" w:rsidP="00F802EC">
            <w:pPr>
              <w:pStyle w:val="ListParagraph"/>
              <w:spacing w:after="0" w:line="240" w:lineRule="exact"/>
              <w:ind w:left="0"/>
              <w:jc w:val="center"/>
              <w:rPr>
                <w:rFonts w:cs="Times New Roman"/>
                <w:sz w:val="18"/>
                <w:szCs w:val="18"/>
              </w:rPr>
            </w:pPr>
            <w:r w:rsidRPr="00E4263C">
              <w:rPr>
                <w:rFonts w:cs="Times New Roman"/>
                <w:sz w:val="18"/>
                <w:szCs w:val="18"/>
              </w:rPr>
              <w:t>NSC</w:t>
            </w:r>
          </w:p>
        </w:tc>
        <w:tc>
          <w:tcPr>
            <w:tcW w:w="990" w:type="dxa"/>
            <w:vMerge w:val="restart"/>
            <w:vAlign w:val="center"/>
          </w:tcPr>
          <w:p w:rsidR="00582FB1" w:rsidRPr="004F30AB" w:rsidRDefault="00582FB1" w:rsidP="00F802EC">
            <w:pPr>
              <w:pStyle w:val="ListParagraph"/>
              <w:spacing w:after="0" w:line="240" w:lineRule="exact"/>
              <w:ind w:left="0"/>
              <w:jc w:val="center"/>
              <w:rPr>
                <w:rFonts w:cs="Times New Roman"/>
                <w:sz w:val="18"/>
                <w:szCs w:val="18"/>
              </w:rPr>
            </w:pPr>
            <w:r w:rsidRPr="000524AC">
              <w:rPr>
                <w:rFonts w:cs="Times New Roman"/>
                <w:sz w:val="18"/>
                <w:szCs w:val="18"/>
              </w:rPr>
              <w:t>20031202</w:t>
            </w:r>
          </w:p>
        </w:tc>
      </w:tr>
      <w:tr w:rsidR="00582FB1" w:rsidRPr="00396779" w:rsidTr="00440ED0">
        <w:trPr>
          <w:trHeight w:val="131"/>
        </w:trPr>
        <w:tc>
          <w:tcPr>
            <w:tcW w:w="2808" w:type="dxa"/>
            <w:vMerge/>
          </w:tcPr>
          <w:p w:rsidR="00582FB1" w:rsidRDefault="00582FB1" w:rsidP="00F802EC">
            <w:pPr>
              <w:pStyle w:val="ListParagraph"/>
              <w:spacing w:after="0" w:line="240" w:lineRule="exact"/>
              <w:ind w:left="0"/>
              <w:jc w:val="both"/>
              <w:rPr>
                <w:rFonts w:cs="Times New Roman"/>
                <w:sz w:val="18"/>
                <w:szCs w:val="18"/>
              </w:rPr>
            </w:pPr>
          </w:p>
        </w:tc>
        <w:tc>
          <w:tcPr>
            <w:tcW w:w="1800" w:type="dxa"/>
            <w:gridSpan w:val="2"/>
            <w:vMerge/>
          </w:tcPr>
          <w:p w:rsidR="00582FB1" w:rsidRDefault="00582FB1" w:rsidP="00F802EC">
            <w:pPr>
              <w:pStyle w:val="ListParagraph"/>
              <w:spacing w:after="0" w:line="240" w:lineRule="exact"/>
              <w:ind w:left="0"/>
              <w:jc w:val="center"/>
              <w:rPr>
                <w:rFonts w:cs="Times New Roman"/>
                <w:sz w:val="18"/>
                <w:szCs w:val="18"/>
              </w:rPr>
            </w:pPr>
          </w:p>
        </w:tc>
        <w:tc>
          <w:tcPr>
            <w:tcW w:w="2430" w:type="dxa"/>
          </w:tcPr>
          <w:p w:rsidR="00582FB1" w:rsidRDefault="00582FB1" w:rsidP="00F802EC">
            <w:pPr>
              <w:pStyle w:val="ListParagraph"/>
              <w:spacing w:after="0" w:line="240" w:lineRule="exact"/>
              <w:ind w:left="0"/>
              <w:rPr>
                <w:rFonts w:cs="Times New Roman"/>
                <w:sz w:val="18"/>
                <w:szCs w:val="18"/>
              </w:rPr>
            </w:pPr>
            <w:r>
              <w:rPr>
                <w:rFonts w:cs="Times New Roman"/>
                <w:sz w:val="18"/>
                <w:szCs w:val="18"/>
              </w:rPr>
              <w:t>Factor V Leiden Deficiency</w:t>
            </w:r>
          </w:p>
        </w:tc>
        <w:tc>
          <w:tcPr>
            <w:tcW w:w="900" w:type="dxa"/>
          </w:tcPr>
          <w:p w:rsidR="00582FB1" w:rsidRDefault="00582FB1" w:rsidP="00F802EC">
            <w:pPr>
              <w:pStyle w:val="ListParagraph"/>
              <w:spacing w:after="0" w:line="240" w:lineRule="exact"/>
              <w:ind w:left="0"/>
              <w:jc w:val="center"/>
              <w:rPr>
                <w:rFonts w:cs="Times New Roman"/>
                <w:sz w:val="18"/>
                <w:szCs w:val="18"/>
              </w:rPr>
            </w:pPr>
            <w:r>
              <w:rPr>
                <w:rFonts w:cs="Times New Roman"/>
                <w:sz w:val="18"/>
                <w:szCs w:val="18"/>
              </w:rPr>
              <w:t>7799-</w:t>
            </w:r>
            <w:r w:rsidRPr="000524AC">
              <w:rPr>
                <w:rFonts w:cs="Times New Roman"/>
                <w:sz w:val="18"/>
                <w:szCs w:val="18"/>
              </w:rPr>
              <w:t>7700</w:t>
            </w:r>
          </w:p>
        </w:tc>
        <w:tc>
          <w:tcPr>
            <w:tcW w:w="810" w:type="dxa"/>
            <w:vMerge/>
          </w:tcPr>
          <w:p w:rsidR="00582FB1" w:rsidRPr="00E4263C" w:rsidRDefault="00582FB1" w:rsidP="00F802EC">
            <w:pPr>
              <w:pStyle w:val="ListParagraph"/>
              <w:spacing w:after="0" w:line="240" w:lineRule="exact"/>
              <w:ind w:left="0"/>
              <w:jc w:val="center"/>
              <w:rPr>
                <w:rFonts w:cs="Times New Roman"/>
                <w:sz w:val="18"/>
                <w:szCs w:val="18"/>
              </w:rPr>
            </w:pPr>
          </w:p>
        </w:tc>
        <w:tc>
          <w:tcPr>
            <w:tcW w:w="990" w:type="dxa"/>
            <w:vMerge/>
          </w:tcPr>
          <w:p w:rsidR="00582FB1" w:rsidRPr="004F30AB" w:rsidRDefault="00582FB1" w:rsidP="00F802EC">
            <w:pPr>
              <w:pStyle w:val="ListParagraph"/>
              <w:spacing w:after="0" w:line="240" w:lineRule="exact"/>
              <w:ind w:left="0"/>
              <w:jc w:val="center"/>
              <w:rPr>
                <w:rFonts w:cs="Times New Roman"/>
                <w:sz w:val="18"/>
                <w:szCs w:val="18"/>
              </w:rPr>
            </w:pPr>
          </w:p>
        </w:tc>
      </w:tr>
      <w:tr w:rsidR="00582FB1" w:rsidRPr="00396779" w:rsidTr="00440ED0">
        <w:trPr>
          <w:trHeight w:val="125"/>
        </w:trPr>
        <w:tc>
          <w:tcPr>
            <w:tcW w:w="2808" w:type="dxa"/>
          </w:tcPr>
          <w:p w:rsidR="00582FB1" w:rsidRPr="00396779" w:rsidRDefault="00582FB1" w:rsidP="00F802EC">
            <w:pPr>
              <w:pStyle w:val="ListParagraph"/>
              <w:spacing w:after="0" w:line="240" w:lineRule="exact"/>
              <w:ind w:left="0"/>
              <w:jc w:val="both"/>
              <w:rPr>
                <w:rFonts w:cs="Times New Roman"/>
                <w:sz w:val="18"/>
                <w:szCs w:val="18"/>
              </w:rPr>
            </w:pPr>
            <w:r>
              <w:rPr>
                <w:rFonts w:cs="Times New Roman"/>
                <w:sz w:val="18"/>
                <w:szCs w:val="18"/>
              </w:rPr>
              <w:t xml:space="preserve">Familial </w:t>
            </w:r>
            <w:proofErr w:type="spellStart"/>
            <w:r>
              <w:rPr>
                <w:rFonts w:cs="Times New Roman"/>
                <w:sz w:val="18"/>
                <w:szCs w:val="18"/>
              </w:rPr>
              <w:t>Hyperlipdemia</w:t>
            </w:r>
            <w:proofErr w:type="spellEnd"/>
          </w:p>
        </w:tc>
        <w:tc>
          <w:tcPr>
            <w:tcW w:w="1800" w:type="dxa"/>
            <w:gridSpan w:val="2"/>
          </w:tcPr>
          <w:p w:rsidR="00582FB1" w:rsidRPr="00396779" w:rsidRDefault="00E4263C" w:rsidP="00F802EC">
            <w:pPr>
              <w:pStyle w:val="ListParagraph"/>
              <w:spacing w:after="0" w:line="240" w:lineRule="exact"/>
              <w:ind w:left="0"/>
              <w:jc w:val="center"/>
              <w:rPr>
                <w:rFonts w:cs="Times New Roman"/>
                <w:sz w:val="18"/>
                <w:szCs w:val="18"/>
              </w:rPr>
            </w:pPr>
            <w:r>
              <w:rPr>
                <w:rFonts w:cs="Times New Roman"/>
                <w:sz w:val="18"/>
                <w:szCs w:val="18"/>
              </w:rPr>
              <w:t>Not Unfitting</w:t>
            </w:r>
          </w:p>
        </w:tc>
        <w:tc>
          <w:tcPr>
            <w:tcW w:w="2430" w:type="dxa"/>
          </w:tcPr>
          <w:p w:rsidR="00582FB1" w:rsidRPr="00396779" w:rsidRDefault="00582FB1" w:rsidP="00F802EC">
            <w:pPr>
              <w:pStyle w:val="ListParagraph"/>
              <w:spacing w:after="0" w:line="240" w:lineRule="exact"/>
              <w:ind w:left="0"/>
              <w:jc w:val="both"/>
              <w:rPr>
                <w:rFonts w:cs="Times New Roman"/>
                <w:sz w:val="18"/>
                <w:szCs w:val="18"/>
              </w:rPr>
            </w:pPr>
            <w:proofErr w:type="spellStart"/>
            <w:r w:rsidRPr="003E7910">
              <w:rPr>
                <w:rFonts w:cs="Times New Roman"/>
                <w:sz w:val="18"/>
                <w:szCs w:val="18"/>
              </w:rPr>
              <w:t>Hyperlipdemia</w:t>
            </w:r>
            <w:proofErr w:type="spellEnd"/>
          </w:p>
        </w:tc>
        <w:tc>
          <w:tcPr>
            <w:tcW w:w="900" w:type="dxa"/>
          </w:tcPr>
          <w:p w:rsidR="00582FB1" w:rsidRPr="00396779" w:rsidRDefault="00582FB1" w:rsidP="00F802EC">
            <w:pPr>
              <w:pStyle w:val="ListParagraph"/>
              <w:spacing w:after="0" w:line="240" w:lineRule="exact"/>
              <w:ind w:left="0"/>
              <w:jc w:val="center"/>
              <w:rPr>
                <w:rFonts w:cs="Times New Roman"/>
                <w:sz w:val="18"/>
                <w:szCs w:val="18"/>
              </w:rPr>
            </w:pPr>
            <w:r>
              <w:rPr>
                <w:rFonts w:cs="Times New Roman"/>
                <w:sz w:val="18"/>
                <w:szCs w:val="18"/>
              </w:rPr>
              <w:t>7099-7005</w:t>
            </w:r>
          </w:p>
        </w:tc>
        <w:tc>
          <w:tcPr>
            <w:tcW w:w="810" w:type="dxa"/>
          </w:tcPr>
          <w:p w:rsidR="00582FB1" w:rsidRPr="00E4263C" w:rsidRDefault="00582FB1" w:rsidP="00F802EC">
            <w:pPr>
              <w:pStyle w:val="ListParagraph"/>
              <w:spacing w:after="0" w:line="240" w:lineRule="exact"/>
              <w:ind w:left="0"/>
              <w:jc w:val="center"/>
              <w:rPr>
                <w:rFonts w:cs="Times New Roman"/>
                <w:sz w:val="18"/>
                <w:szCs w:val="18"/>
              </w:rPr>
            </w:pPr>
            <w:r w:rsidRPr="00E4263C">
              <w:rPr>
                <w:rFonts w:cs="Times New Roman"/>
                <w:sz w:val="18"/>
                <w:szCs w:val="18"/>
              </w:rPr>
              <w:t>NSC</w:t>
            </w:r>
          </w:p>
        </w:tc>
        <w:tc>
          <w:tcPr>
            <w:tcW w:w="990" w:type="dxa"/>
          </w:tcPr>
          <w:p w:rsidR="00582FB1" w:rsidRPr="00396779" w:rsidRDefault="00582FB1" w:rsidP="00F802EC">
            <w:pPr>
              <w:pStyle w:val="ListParagraph"/>
              <w:spacing w:after="0" w:line="240" w:lineRule="exact"/>
              <w:ind w:left="0"/>
              <w:jc w:val="center"/>
              <w:rPr>
                <w:rFonts w:cs="Times New Roman"/>
                <w:sz w:val="18"/>
                <w:szCs w:val="18"/>
              </w:rPr>
            </w:pPr>
            <w:r w:rsidRPr="000524AC">
              <w:rPr>
                <w:rFonts w:cs="Times New Roman"/>
                <w:sz w:val="18"/>
                <w:szCs w:val="18"/>
              </w:rPr>
              <w:t>20031202</w:t>
            </w:r>
          </w:p>
        </w:tc>
      </w:tr>
      <w:tr w:rsidR="00582FB1" w:rsidRPr="00396779" w:rsidTr="00440ED0">
        <w:trPr>
          <w:trHeight w:val="125"/>
        </w:trPr>
        <w:tc>
          <w:tcPr>
            <w:tcW w:w="4608" w:type="dxa"/>
            <w:gridSpan w:val="3"/>
            <w:vMerge w:val="restart"/>
          </w:tcPr>
          <w:p w:rsidR="00582FB1" w:rsidRPr="00396779" w:rsidRDefault="00582FB1" w:rsidP="00F802EC">
            <w:pPr>
              <w:pStyle w:val="ListParagraph"/>
              <w:spacing w:line="240" w:lineRule="exact"/>
              <w:ind w:left="0"/>
              <w:jc w:val="center"/>
              <w:rPr>
                <w:rFonts w:cs="Times New Roman"/>
                <w:sz w:val="18"/>
                <w:szCs w:val="18"/>
              </w:rPr>
            </w:pPr>
            <w:r w:rsidRPr="00396779">
              <w:rPr>
                <w:rFonts w:cs="Times New Roman"/>
                <w:sz w:val="18"/>
                <w:szCs w:val="18"/>
              </w:rPr>
              <w:t>↓No Additional MEB Entries↓</w:t>
            </w:r>
          </w:p>
        </w:tc>
        <w:tc>
          <w:tcPr>
            <w:tcW w:w="2430" w:type="dxa"/>
          </w:tcPr>
          <w:p w:rsidR="00582FB1" w:rsidRPr="003E7910" w:rsidRDefault="00582FB1" w:rsidP="00F802EC">
            <w:pPr>
              <w:spacing w:line="240" w:lineRule="exact"/>
              <w:rPr>
                <w:rFonts w:cs="Times New Roman"/>
                <w:color w:val="auto"/>
                <w:sz w:val="18"/>
                <w:szCs w:val="18"/>
              </w:rPr>
            </w:pPr>
            <w:r w:rsidRPr="003E7910">
              <w:rPr>
                <w:rFonts w:cs="Times New Roman"/>
                <w:color w:val="auto"/>
                <w:sz w:val="18"/>
                <w:szCs w:val="18"/>
              </w:rPr>
              <w:t xml:space="preserve">Grade 1 </w:t>
            </w:r>
            <w:proofErr w:type="spellStart"/>
            <w:r w:rsidRPr="003E7910">
              <w:rPr>
                <w:rFonts w:cs="Times New Roman"/>
                <w:color w:val="auto"/>
                <w:sz w:val="18"/>
                <w:szCs w:val="18"/>
              </w:rPr>
              <w:t>Spondylolisthesis</w:t>
            </w:r>
            <w:proofErr w:type="spellEnd"/>
            <w:r w:rsidRPr="003E7910">
              <w:rPr>
                <w:rFonts w:cs="Times New Roman"/>
                <w:color w:val="auto"/>
                <w:sz w:val="18"/>
                <w:szCs w:val="18"/>
              </w:rPr>
              <w:t xml:space="preserve"> L5-S1 and Scoliosis</w:t>
            </w:r>
          </w:p>
        </w:tc>
        <w:tc>
          <w:tcPr>
            <w:tcW w:w="900" w:type="dxa"/>
            <w:vAlign w:val="center"/>
          </w:tcPr>
          <w:p w:rsidR="00582FB1" w:rsidRPr="00396779" w:rsidRDefault="00582FB1" w:rsidP="00F802EC">
            <w:pPr>
              <w:pStyle w:val="ListParagraph"/>
              <w:spacing w:after="0" w:line="240" w:lineRule="exact"/>
              <w:ind w:left="0"/>
              <w:jc w:val="center"/>
              <w:rPr>
                <w:rFonts w:cs="Times New Roman"/>
                <w:sz w:val="18"/>
                <w:szCs w:val="18"/>
              </w:rPr>
            </w:pPr>
            <w:r>
              <w:rPr>
                <w:rFonts w:cs="Times New Roman"/>
                <w:sz w:val="18"/>
                <w:szCs w:val="18"/>
              </w:rPr>
              <w:t>5239-5292</w:t>
            </w:r>
          </w:p>
        </w:tc>
        <w:tc>
          <w:tcPr>
            <w:tcW w:w="810" w:type="dxa"/>
            <w:vAlign w:val="center"/>
          </w:tcPr>
          <w:p w:rsidR="00582FB1" w:rsidRPr="00396779" w:rsidRDefault="00582FB1" w:rsidP="00F802EC">
            <w:pPr>
              <w:pStyle w:val="ListParagraph"/>
              <w:spacing w:after="0" w:line="240" w:lineRule="exact"/>
              <w:ind w:left="0"/>
              <w:jc w:val="center"/>
              <w:rPr>
                <w:rFonts w:cs="Times New Roman"/>
                <w:sz w:val="18"/>
                <w:szCs w:val="18"/>
              </w:rPr>
            </w:pPr>
            <w:r>
              <w:rPr>
                <w:rFonts w:cs="Times New Roman"/>
                <w:sz w:val="18"/>
                <w:szCs w:val="18"/>
              </w:rPr>
              <w:t>10%</w:t>
            </w:r>
          </w:p>
        </w:tc>
        <w:tc>
          <w:tcPr>
            <w:tcW w:w="990" w:type="dxa"/>
            <w:vAlign w:val="center"/>
          </w:tcPr>
          <w:p w:rsidR="00582FB1" w:rsidRPr="00396779" w:rsidRDefault="00582FB1" w:rsidP="00F802EC">
            <w:pPr>
              <w:pStyle w:val="ListParagraph"/>
              <w:spacing w:after="0" w:line="240" w:lineRule="exact"/>
              <w:ind w:left="0"/>
              <w:jc w:val="center"/>
              <w:rPr>
                <w:rFonts w:cs="Times New Roman"/>
                <w:sz w:val="18"/>
                <w:szCs w:val="18"/>
              </w:rPr>
            </w:pPr>
            <w:r w:rsidRPr="003E7910">
              <w:rPr>
                <w:rFonts w:cs="Times New Roman"/>
                <w:sz w:val="18"/>
                <w:szCs w:val="18"/>
              </w:rPr>
              <w:t>20031202</w:t>
            </w:r>
          </w:p>
        </w:tc>
      </w:tr>
      <w:tr w:rsidR="00582FB1" w:rsidRPr="00396779" w:rsidTr="00440ED0">
        <w:trPr>
          <w:trHeight w:val="125"/>
        </w:trPr>
        <w:tc>
          <w:tcPr>
            <w:tcW w:w="4608" w:type="dxa"/>
            <w:gridSpan w:val="3"/>
            <w:vMerge/>
          </w:tcPr>
          <w:p w:rsidR="00582FB1" w:rsidRPr="00396779" w:rsidRDefault="00582FB1" w:rsidP="00F802EC">
            <w:pPr>
              <w:pStyle w:val="ListParagraph"/>
              <w:spacing w:after="0" w:line="240" w:lineRule="exact"/>
              <w:ind w:left="0"/>
              <w:jc w:val="center"/>
              <w:rPr>
                <w:rFonts w:cs="Times New Roman"/>
                <w:sz w:val="18"/>
                <w:szCs w:val="18"/>
              </w:rPr>
            </w:pPr>
          </w:p>
        </w:tc>
        <w:tc>
          <w:tcPr>
            <w:tcW w:w="4140" w:type="dxa"/>
            <w:gridSpan w:val="3"/>
          </w:tcPr>
          <w:p w:rsidR="00582FB1" w:rsidRPr="00396779" w:rsidRDefault="00BB6CF4" w:rsidP="00F802EC">
            <w:pPr>
              <w:pStyle w:val="ListParagraph"/>
              <w:spacing w:after="0" w:line="240" w:lineRule="exact"/>
              <w:ind w:left="0"/>
              <w:jc w:val="center"/>
              <w:rPr>
                <w:rFonts w:cs="Times New Roman"/>
                <w:sz w:val="18"/>
                <w:szCs w:val="18"/>
              </w:rPr>
            </w:pPr>
            <w:r>
              <w:rPr>
                <w:sz w:val="18"/>
                <w:szCs w:val="18"/>
              </w:rPr>
              <w:t xml:space="preserve">2 </w:t>
            </w:r>
            <w:proofErr w:type="spellStart"/>
            <w:r>
              <w:rPr>
                <w:sz w:val="18"/>
                <w:szCs w:val="18"/>
              </w:rPr>
              <w:t>Add’l</w:t>
            </w:r>
            <w:proofErr w:type="spellEnd"/>
            <w:r>
              <w:rPr>
                <w:sz w:val="18"/>
                <w:szCs w:val="18"/>
              </w:rPr>
              <w:t xml:space="preserve"> Non Service Connected </w:t>
            </w:r>
            <w:r w:rsidR="00582FB1">
              <w:rPr>
                <w:sz w:val="18"/>
                <w:szCs w:val="18"/>
              </w:rPr>
              <w:t>Conditions</w:t>
            </w:r>
          </w:p>
        </w:tc>
        <w:tc>
          <w:tcPr>
            <w:tcW w:w="990" w:type="dxa"/>
          </w:tcPr>
          <w:p w:rsidR="00582FB1" w:rsidRPr="00396779" w:rsidRDefault="00582FB1" w:rsidP="00F802EC">
            <w:pPr>
              <w:pStyle w:val="ListParagraph"/>
              <w:spacing w:after="0" w:line="240" w:lineRule="exact"/>
              <w:ind w:left="0"/>
              <w:jc w:val="center"/>
              <w:rPr>
                <w:rFonts w:cs="Times New Roman"/>
                <w:sz w:val="18"/>
                <w:szCs w:val="18"/>
              </w:rPr>
            </w:pPr>
            <w:r>
              <w:rPr>
                <w:rFonts w:cs="Times New Roman"/>
                <w:sz w:val="18"/>
                <w:szCs w:val="18"/>
              </w:rPr>
              <w:t>20031202</w:t>
            </w:r>
          </w:p>
        </w:tc>
      </w:tr>
      <w:tr w:rsidR="00582FB1" w:rsidRPr="00396779" w:rsidTr="00440ED0">
        <w:trPr>
          <w:trHeight w:val="242"/>
        </w:trPr>
        <w:tc>
          <w:tcPr>
            <w:tcW w:w="4608" w:type="dxa"/>
            <w:gridSpan w:val="3"/>
          </w:tcPr>
          <w:p w:rsidR="00582FB1" w:rsidRPr="00396779" w:rsidRDefault="00582FB1" w:rsidP="00F802EC">
            <w:pPr>
              <w:pStyle w:val="ListParagraph"/>
              <w:spacing w:after="0" w:line="240" w:lineRule="exact"/>
              <w:ind w:left="0"/>
              <w:jc w:val="center"/>
              <w:rPr>
                <w:rFonts w:cs="Times New Roman"/>
                <w:b/>
                <w:sz w:val="20"/>
                <w:szCs w:val="20"/>
              </w:rPr>
            </w:pPr>
            <w:r w:rsidRPr="00396779">
              <w:rPr>
                <w:rFonts w:cs="Times New Roman"/>
                <w:b/>
                <w:sz w:val="20"/>
                <w:szCs w:val="20"/>
              </w:rPr>
              <w:t>Combined: 0%</w:t>
            </w:r>
          </w:p>
        </w:tc>
        <w:tc>
          <w:tcPr>
            <w:tcW w:w="5130" w:type="dxa"/>
            <w:gridSpan w:val="4"/>
          </w:tcPr>
          <w:p w:rsidR="00582FB1" w:rsidRPr="00396779" w:rsidRDefault="00582FB1" w:rsidP="00F802EC">
            <w:pPr>
              <w:pStyle w:val="ListParagraph"/>
              <w:spacing w:after="0" w:line="240" w:lineRule="exact"/>
              <w:ind w:left="0"/>
              <w:jc w:val="center"/>
              <w:rPr>
                <w:rFonts w:cs="Times New Roman"/>
                <w:b/>
                <w:sz w:val="20"/>
                <w:szCs w:val="20"/>
              </w:rPr>
            </w:pPr>
            <w:r w:rsidRPr="00396779">
              <w:rPr>
                <w:rFonts w:cs="Times New Roman"/>
                <w:b/>
                <w:sz w:val="20"/>
                <w:szCs w:val="20"/>
              </w:rPr>
              <w:t xml:space="preserve"> Combined</w:t>
            </w:r>
            <w:r w:rsidRPr="00FB1725">
              <w:rPr>
                <w:rFonts w:cs="Times New Roman"/>
                <w:b/>
                <w:sz w:val="20"/>
                <w:szCs w:val="20"/>
              </w:rPr>
              <w:t>:</w:t>
            </w:r>
            <w:r w:rsidRPr="00396779">
              <w:rPr>
                <w:rFonts w:cs="Times New Roman"/>
                <w:b/>
                <w:sz w:val="20"/>
                <w:szCs w:val="20"/>
              </w:rPr>
              <w:t xml:space="preserve"> </w:t>
            </w:r>
            <w:r>
              <w:rPr>
                <w:rFonts w:cs="Times New Roman"/>
                <w:b/>
                <w:sz w:val="20"/>
                <w:szCs w:val="20"/>
              </w:rPr>
              <w:t>4</w:t>
            </w:r>
            <w:r w:rsidRPr="00396779">
              <w:rPr>
                <w:rFonts w:cs="Times New Roman"/>
                <w:b/>
                <w:sz w:val="20"/>
                <w:szCs w:val="20"/>
              </w:rPr>
              <w:t>0%</w:t>
            </w:r>
          </w:p>
        </w:tc>
      </w:tr>
    </w:tbl>
    <w:p w:rsidR="00106AD8" w:rsidRPr="00CD5BD7" w:rsidRDefault="00106AD8" w:rsidP="00106AD8">
      <w:pPr>
        <w:pBdr>
          <w:bottom w:val="single" w:sz="12" w:space="1" w:color="auto"/>
        </w:pBdr>
        <w:tabs>
          <w:tab w:val="left" w:pos="288"/>
          <w:tab w:val="left" w:pos="4752"/>
        </w:tabs>
        <w:spacing w:line="240" w:lineRule="exact"/>
        <w:jc w:val="both"/>
        <w:rPr>
          <w:rFonts w:ascii="Calibri" w:hAnsi="Calibri"/>
          <w:color w:val="auto"/>
          <w:szCs w:val="24"/>
        </w:rPr>
      </w:pPr>
    </w:p>
    <w:p w:rsidR="00106AD8" w:rsidRPr="00CD5BD7" w:rsidRDefault="00106AD8" w:rsidP="00106AD8">
      <w:pPr>
        <w:tabs>
          <w:tab w:val="left" w:pos="288"/>
          <w:tab w:val="left" w:pos="4752"/>
        </w:tabs>
        <w:spacing w:line="240" w:lineRule="exact"/>
        <w:rPr>
          <w:rFonts w:ascii="Calibri" w:hAnsi="Calibri"/>
          <w:color w:val="000080"/>
          <w:szCs w:val="24"/>
        </w:rPr>
      </w:pPr>
    </w:p>
    <w:p w:rsidR="00BB5FA3" w:rsidRDefault="002C6E5B" w:rsidP="00BB5FA3">
      <w:pPr>
        <w:tabs>
          <w:tab w:val="left" w:pos="288"/>
          <w:tab w:val="left" w:pos="4752"/>
        </w:tabs>
        <w:spacing w:line="240" w:lineRule="exact"/>
        <w:jc w:val="both"/>
        <w:rPr>
          <w:rFonts w:asciiTheme="minorHAnsi" w:hAnsiTheme="minorHAnsi"/>
          <w:color w:val="auto"/>
          <w:szCs w:val="24"/>
        </w:rPr>
      </w:pPr>
      <w:r w:rsidRPr="00396779">
        <w:rPr>
          <w:rFonts w:asciiTheme="minorHAnsi" w:hAnsiTheme="minorHAnsi"/>
          <w:color w:val="auto"/>
          <w:szCs w:val="24"/>
          <w:u w:val="single"/>
        </w:rPr>
        <w:t>ANALYSIS SUMMARY</w:t>
      </w:r>
      <w:r w:rsidRPr="00396779">
        <w:rPr>
          <w:rFonts w:asciiTheme="minorHAnsi" w:hAnsiTheme="minorHAnsi"/>
          <w:color w:val="auto"/>
          <w:szCs w:val="24"/>
        </w:rPr>
        <w:t>:</w:t>
      </w:r>
      <w:r w:rsidR="00C276CD">
        <w:rPr>
          <w:rFonts w:asciiTheme="minorHAnsi" w:hAnsiTheme="minorHAnsi"/>
          <w:color w:val="auto"/>
          <w:szCs w:val="24"/>
        </w:rPr>
        <w:t xml:space="preserve">  </w:t>
      </w:r>
      <w:r w:rsidR="00BB5FA3">
        <w:rPr>
          <w:rFonts w:asciiTheme="minorHAnsi" w:hAnsiTheme="minorHAnsi"/>
          <w:color w:val="auto"/>
          <w:szCs w:val="24"/>
        </w:rPr>
        <w:t>T</w:t>
      </w:r>
      <w:r w:rsidR="00BB5FA3" w:rsidRPr="00BB5FA3">
        <w:rPr>
          <w:rFonts w:asciiTheme="minorHAnsi" w:hAnsiTheme="minorHAnsi"/>
          <w:color w:val="auto"/>
          <w:szCs w:val="24"/>
        </w:rPr>
        <w:t xml:space="preserve">he </w:t>
      </w:r>
      <w:r w:rsidR="00E4263C">
        <w:rPr>
          <w:rFonts w:asciiTheme="minorHAnsi" w:hAnsiTheme="minorHAnsi"/>
          <w:color w:val="auto"/>
          <w:szCs w:val="24"/>
        </w:rPr>
        <w:t>m</w:t>
      </w:r>
      <w:r w:rsidR="00BB5FA3" w:rsidRPr="00BB5FA3">
        <w:rPr>
          <w:rFonts w:asciiTheme="minorHAnsi" w:hAnsiTheme="minorHAnsi"/>
          <w:color w:val="auto"/>
          <w:szCs w:val="24"/>
        </w:rPr>
        <w:t xml:space="preserve">ilitary </w:t>
      </w:r>
      <w:r w:rsidR="00E4263C">
        <w:rPr>
          <w:rFonts w:asciiTheme="minorHAnsi" w:hAnsiTheme="minorHAnsi"/>
          <w:color w:val="auto"/>
          <w:szCs w:val="24"/>
        </w:rPr>
        <w:t>s</w:t>
      </w:r>
      <w:r w:rsidR="00BB5FA3" w:rsidRPr="00BB5FA3">
        <w:rPr>
          <w:rFonts w:asciiTheme="minorHAnsi" w:hAnsiTheme="minorHAnsi"/>
          <w:color w:val="auto"/>
          <w:szCs w:val="24"/>
        </w:rPr>
        <w:t>ervices, by law, can only rate and compensate for those conditions that were found unfitting for continued military service based on the severity of the condition at the time of separation and not based on possible future changes.  The VA</w:t>
      </w:r>
      <w:r w:rsidR="00E4263C">
        <w:rPr>
          <w:rFonts w:asciiTheme="minorHAnsi" w:hAnsiTheme="minorHAnsi"/>
          <w:color w:val="auto"/>
          <w:szCs w:val="24"/>
        </w:rPr>
        <w:t>,</w:t>
      </w:r>
      <w:r w:rsidR="00BB5FA3" w:rsidRPr="00BB5FA3">
        <w:rPr>
          <w:rFonts w:asciiTheme="minorHAnsi" w:hAnsiTheme="minorHAnsi"/>
          <w:color w:val="auto"/>
          <w:szCs w:val="24"/>
        </w:rPr>
        <w:t xml:space="preserve"> however</w:t>
      </w:r>
      <w:r w:rsidR="00E4263C">
        <w:rPr>
          <w:rFonts w:asciiTheme="minorHAnsi" w:hAnsiTheme="minorHAnsi"/>
          <w:color w:val="auto"/>
          <w:szCs w:val="24"/>
        </w:rPr>
        <w:t>,</w:t>
      </w:r>
      <w:r w:rsidR="00BB5FA3" w:rsidRPr="00BB5FA3">
        <w:rPr>
          <w:rFonts w:asciiTheme="minorHAnsi" w:hAnsiTheme="minorHAnsi"/>
          <w:color w:val="auto"/>
          <w:szCs w:val="24"/>
        </w:rPr>
        <w:t xml:space="preserve"> can rate and compensate all service connected conditions without regard to their impact on performance of military duties, including conditions developing after separation that are direct complications of a service connected condition.  The VA can also increase or decrease ratings based on the changing severity of each condition over time.  The Board’s role is confined to the review of medical records and all evidence at hand to assess the fairness of PEB rating </w:t>
      </w:r>
      <w:r w:rsidR="00BB5FA3" w:rsidRPr="00BB5FA3">
        <w:rPr>
          <w:rFonts w:asciiTheme="minorHAnsi" w:hAnsiTheme="minorHAnsi"/>
          <w:color w:val="auto"/>
          <w:szCs w:val="24"/>
        </w:rPr>
        <w:lastRenderedPageBreak/>
        <w:t xml:space="preserve">determinations compared to </w:t>
      </w:r>
      <w:r w:rsidR="00E4263C">
        <w:rPr>
          <w:rFonts w:asciiTheme="minorHAnsi" w:hAnsiTheme="minorHAnsi"/>
          <w:color w:val="auto"/>
          <w:szCs w:val="24"/>
        </w:rPr>
        <w:t>VA Schedule for Rating Disabilities (</w:t>
      </w:r>
      <w:r w:rsidR="00BB5FA3" w:rsidRPr="00BB5FA3">
        <w:rPr>
          <w:rFonts w:asciiTheme="minorHAnsi" w:hAnsiTheme="minorHAnsi"/>
          <w:color w:val="auto"/>
          <w:szCs w:val="24"/>
        </w:rPr>
        <w:t>VASRD</w:t>
      </w:r>
      <w:r w:rsidR="00E4263C">
        <w:rPr>
          <w:rFonts w:asciiTheme="minorHAnsi" w:hAnsiTheme="minorHAnsi"/>
          <w:color w:val="auto"/>
          <w:szCs w:val="24"/>
        </w:rPr>
        <w:t>)</w:t>
      </w:r>
      <w:r w:rsidR="00BB5FA3" w:rsidRPr="00BB5FA3">
        <w:rPr>
          <w:rFonts w:asciiTheme="minorHAnsi" w:hAnsiTheme="minorHAnsi"/>
          <w:color w:val="auto"/>
          <w:szCs w:val="24"/>
        </w:rPr>
        <w:t xml:space="preserve"> standards</w:t>
      </w:r>
      <w:r w:rsidR="00BB5FA3">
        <w:rPr>
          <w:rFonts w:asciiTheme="minorHAnsi" w:hAnsiTheme="minorHAnsi"/>
          <w:color w:val="auto"/>
          <w:szCs w:val="24"/>
        </w:rPr>
        <w:t xml:space="preserve"> in effect at the time</w:t>
      </w:r>
      <w:r w:rsidR="00BB5FA3" w:rsidRPr="00BB5FA3">
        <w:rPr>
          <w:rFonts w:asciiTheme="minorHAnsi" w:hAnsiTheme="minorHAnsi"/>
          <w:color w:val="auto"/>
          <w:szCs w:val="24"/>
        </w:rPr>
        <w:t>, as well as the fairness of PEB fitness adjudications.  The Board’s threshold for countering D</w:t>
      </w:r>
      <w:r w:rsidR="00E4263C">
        <w:rPr>
          <w:rFonts w:asciiTheme="minorHAnsi" w:hAnsiTheme="minorHAnsi"/>
          <w:color w:val="auto"/>
          <w:szCs w:val="24"/>
        </w:rPr>
        <w:t>isability Evaluation System (D</w:t>
      </w:r>
      <w:r w:rsidR="00BB5FA3" w:rsidRPr="00BB5FA3">
        <w:rPr>
          <w:rFonts w:asciiTheme="minorHAnsi" w:hAnsiTheme="minorHAnsi"/>
          <w:color w:val="auto"/>
          <w:szCs w:val="24"/>
        </w:rPr>
        <w:t>ES</w:t>
      </w:r>
      <w:r w:rsidR="00E4263C">
        <w:rPr>
          <w:rFonts w:asciiTheme="minorHAnsi" w:hAnsiTheme="minorHAnsi"/>
          <w:color w:val="auto"/>
          <w:szCs w:val="24"/>
        </w:rPr>
        <w:t>)</w:t>
      </w:r>
      <w:r w:rsidR="00BB5FA3" w:rsidRPr="00BB5FA3">
        <w:rPr>
          <w:rFonts w:asciiTheme="minorHAnsi" w:hAnsiTheme="minorHAnsi"/>
          <w:color w:val="auto"/>
          <w:szCs w:val="24"/>
        </w:rPr>
        <w:t xml:space="preserve"> fitness determinations is higher than the VASRD §4.3 reasonable doubt standard used for its rating recommendations but remains adherent to the DoDI 6040.44 “fair and equitable” standard.</w:t>
      </w:r>
    </w:p>
    <w:p w:rsidR="00687C5B" w:rsidRDefault="00687C5B" w:rsidP="00BB5FA3">
      <w:pPr>
        <w:tabs>
          <w:tab w:val="left" w:pos="288"/>
          <w:tab w:val="left" w:pos="4752"/>
        </w:tabs>
        <w:spacing w:line="240" w:lineRule="exact"/>
        <w:jc w:val="both"/>
        <w:rPr>
          <w:rFonts w:asciiTheme="minorHAnsi" w:hAnsiTheme="minorHAnsi"/>
          <w:color w:val="auto"/>
          <w:szCs w:val="24"/>
        </w:rPr>
      </w:pPr>
    </w:p>
    <w:p w:rsidR="00852CDA" w:rsidRDefault="00356913" w:rsidP="00EF7B85">
      <w:pPr>
        <w:tabs>
          <w:tab w:val="left" w:pos="288"/>
          <w:tab w:val="left" w:pos="4752"/>
        </w:tabs>
        <w:spacing w:line="240" w:lineRule="exact"/>
        <w:jc w:val="both"/>
        <w:rPr>
          <w:rFonts w:asciiTheme="minorHAnsi" w:hAnsiTheme="minorHAnsi"/>
          <w:color w:val="auto"/>
          <w:szCs w:val="24"/>
        </w:rPr>
      </w:pPr>
      <w:proofErr w:type="gramStart"/>
      <w:r>
        <w:rPr>
          <w:rFonts w:asciiTheme="minorHAnsi" w:hAnsiTheme="minorHAnsi"/>
          <w:color w:val="auto"/>
          <w:szCs w:val="24"/>
          <w:u w:val="single"/>
        </w:rPr>
        <w:t>Pulmonary Embolism</w:t>
      </w:r>
      <w:r w:rsidR="002C6E5B" w:rsidRPr="00396779">
        <w:rPr>
          <w:rFonts w:asciiTheme="minorHAnsi" w:hAnsiTheme="minorHAnsi"/>
          <w:color w:val="auto"/>
          <w:szCs w:val="24"/>
          <w:u w:val="single"/>
        </w:rPr>
        <w:t xml:space="preserve"> </w:t>
      </w:r>
      <w:r w:rsidR="00EF7B85">
        <w:rPr>
          <w:rFonts w:asciiTheme="minorHAnsi" w:hAnsiTheme="minorHAnsi"/>
          <w:color w:val="auto"/>
          <w:szCs w:val="24"/>
          <w:u w:val="single"/>
        </w:rPr>
        <w:t xml:space="preserve">with </w:t>
      </w:r>
      <w:proofErr w:type="spellStart"/>
      <w:r w:rsidR="00EF7B85">
        <w:rPr>
          <w:rFonts w:asciiTheme="minorHAnsi" w:hAnsiTheme="minorHAnsi"/>
          <w:color w:val="auto"/>
          <w:szCs w:val="24"/>
          <w:u w:val="single"/>
        </w:rPr>
        <w:t>Thrombophilia</w:t>
      </w:r>
      <w:proofErr w:type="spellEnd"/>
      <w:r w:rsidR="00E4263C">
        <w:rPr>
          <w:rFonts w:asciiTheme="minorHAnsi" w:hAnsiTheme="minorHAnsi"/>
          <w:color w:val="auto"/>
          <w:szCs w:val="24"/>
          <w:u w:val="single"/>
        </w:rPr>
        <w:t>.</w:t>
      </w:r>
      <w:proofErr w:type="gramEnd"/>
      <w:r w:rsidR="00BB5FA3">
        <w:rPr>
          <w:rFonts w:asciiTheme="minorHAnsi" w:hAnsiTheme="minorHAnsi"/>
          <w:color w:val="auto"/>
          <w:szCs w:val="24"/>
        </w:rPr>
        <w:t xml:space="preserve">  </w:t>
      </w:r>
      <w:r w:rsidR="0022798A">
        <w:rPr>
          <w:rFonts w:asciiTheme="minorHAnsi" w:hAnsiTheme="minorHAnsi"/>
          <w:color w:val="auto"/>
          <w:szCs w:val="24"/>
        </w:rPr>
        <w:t xml:space="preserve">The </w:t>
      </w:r>
      <w:r w:rsidR="00011B46">
        <w:rPr>
          <w:rFonts w:asciiTheme="minorHAnsi" w:hAnsiTheme="minorHAnsi"/>
          <w:color w:val="auto"/>
          <w:szCs w:val="24"/>
        </w:rPr>
        <w:t xml:space="preserve">CI </w:t>
      </w:r>
      <w:r w:rsidR="0022798A">
        <w:rPr>
          <w:rFonts w:asciiTheme="minorHAnsi" w:hAnsiTheme="minorHAnsi"/>
          <w:color w:val="auto"/>
          <w:szCs w:val="24"/>
        </w:rPr>
        <w:t xml:space="preserve">sought emergency care for </w:t>
      </w:r>
      <w:r w:rsidR="00011B46">
        <w:rPr>
          <w:rFonts w:asciiTheme="minorHAnsi" w:hAnsiTheme="minorHAnsi"/>
          <w:color w:val="auto"/>
          <w:szCs w:val="24"/>
        </w:rPr>
        <w:t>chest pain diagnose</w:t>
      </w:r>
      <w:r w:rsidR="0022798A">
        <w:rPr>
          <w:rFonts w:asciiTheme="minorHAnsi" w:hAnsiTheme="minorHAnsi"/>
          <w:color w:val="auto"/>
          <w:szCs w:val="24"/>
        </w:rPr>
        <w:t>d</w:t>
      </w:r>
      <w:r w:rsidR="00011B46">
        <w:rPr>
          <w:rFonts w:asciiTheme="minorHAnsi" w:hAnsiTheme="minorHAnsi"/>
          <w:color w:val="auto"/>
          <w:szCs w:val="24"/>
        </w:rPr>
        <w:t xml:space="preserve"> </w:t>
      </w:r>
      <w:r w:rsidR="0022798A">
        <w:rPr>
          <w:rFonts w:asciiTheme="minorHAnsi" w:hAnsiTheme="minorHAnsi"/>
          <w:color w:val="auto"/>
          <w:szCs w:val="24"/>
        </w:rPr>
        <w:t xml:space="preserve">as </w:t>
      </w:r>
      <w:r w:rsidR="00011B46">
        <w:rPr>
          <w:rFonts w:asciiTheme="minorHAnsi" w:hAnsiTheme="minorHAnsi"/>
          <w:color w:val="auto"/>
          <w:szCs w:val="24"/>
        </w:rPr>
        <w:t xml:space="preserve">pulmonary emboli to both lungs in March 2001 </w:t>
      </w:r>
      <w:r w:rsidR="0022798A">
        <w:rPr>
          <w:rFonts w:asciiTheme="minorHAnsi" w:hAnsiTheme="minorHAnsi"/>
          <w:color w:val="auto"/>
          <w:szCs w:val="24"/>
        </w:rPr>
        <w:t>follow</w:t>
      </w:r>
      <w:r w:rsidR="00F42100">
        <w:rPr>
          <w:rFonts w:asciiTheme="minorHAnsi" w:hAnsiTheme="minorHAnsi"/>
          <w:color w:val="auto"/>
          <w:szCs w:val="24"/>
        </w:rPr>
        <w:t>ing</w:t>
      </w:r>
      <w:r w:rsidR="0022798A">
        <w:rPr>
          <w:rFonts w:asciiTheme="minorHAnsi" w:hAnsiTheme="minorHAnsi"/>
          <w:color w:val="auto"/>
          <w:szCs w:val="24"/>
        </w:rPr>
        <w:t xml:space="preserve"> </w:t>
      </w:r>
      <w:r w:rsidR="00011B46">
        <w:rPr>
          <w:rFonts w:asciiTheme="minorHAnsi" w:hAnsiTheme="minorHAnsi"/>
          <w:color w:val="auto"/>
          <w:szCs w:val="24"/>
        </w:rPr>
        <w:t xml:space="preserve">a long car trip.  He was hospitalized </w:t>
      </w:r>
      <w:r w:rsidR="0022798A">
        <w:rPr>
          <w:rFonts w:asciiTheme="minorHAnsi" w:hAnsiTheme="minorHAnsi"/>
          <w:color w:val="auto"/>
          <w:szCs w:val="24"/>
        </w:rPr>
        <w:t xml:space="preserve">and </w:t>
      </w:r>
      <w:r w:rsidR="00011B46">
        <w:rPr>
          <w:rFonts w:asciiTheme="minorHAnsi" w:hAnsiTheme="minorHAnsi"/>
          <w:color w:val="auto"/>
          <w:szCs w:val="24"/>
        </w:rPr>
        <w:t>treated with blood thinning medication</w:t>
      </w:r>
      <w:r w:rsidR="0022798A">
        <w:rPr>
          <w:rFonts w:asciiTheme="minorHAnsi" w:hAnsiTheme="minorHAnsi"/>
          <w:color w:val="auto"/>
          <w:szCs w:val="24"/>
        </w:rPr>
        <w:t xml:space="preserve">.  </w:t>
      </w:r>
      <w:r w:rsidR="00011B46">
        <w:rPr>
          <w:rFonts w:asciiTheme="minorHAnsi" w:hAnsiTheme="minorHAnsi"/>
          <w:color w:val="auto"/>
          <w:szCs w:val="24"/>
        </w:rPr>
        <w:t>Treatment records (civilian and military) from March 2001 to the time of the MEB</w:t>
      </w:r>
      <w:r w:rsidR="00F42100">
        <w:rPr>
          <w:rFonts w:asciiTheme="minorHAnsi" w:hAnsiTheme="minorHAnsi"/>
          <w:color w:val="auto"/>
          <w:szCs w:val="24"/>
        </w:rPr>
        <w:t xml:space="preserve"> two years later</w:t>
      </w:r>
      <w:r w:rsidR="00011B46">
        <w:rPr>
          <w:rFonts w:asciiTheme="minorHAnsi" w:hAnsiTheme="minorHAnsi"/>
          <w:color w:val="auto"/>
          <w:szCs w:val="24"/>
        </w:rPr>
        <w:t xml:space="preserve"> reflected recovery and absence of recurrent blood clots or pulmonary emboli (</w:t>
      </w:r>
      <w:r w:rsidR="00BB5FA3">
        <w:rPr>
          <w:rFonts w:asciiTheme="minorHAnsi" w:hAnsiTheme="minorHAnsi"/>
          <w:color w:val="auto"/>
          <w:szCs w:val="24"/>
        </w:rPr>
        <w:t>pulmonary thromboembolism)</w:t>
      </w:r>
      <w:r w:rsidR="00011B46">
        <w:rPr>
          <w:rFonts w:asciiTheme="minorHAnsi" w:hAnsiTheme="minorHAnsi"/>
          <w:color w:val="auto"/>
          <w:szCs w:val="24"/>
        </w:rPr>
        <w:t>.  Evaluation by hematology diagnosed the presence of genetic abnormalities of the clotting system predisposing to the formation of blood clots</w:t>
      </w:r>
      <w:r w:rsidR="00D3100B">
        <w:rPr>
          <w:rFonts w:asciiTheme="minorHAnsi" w:hAnsiTheme="minorHAnsi"/>
          <w:color w:val="auto"/>
          <w:szCs w:val="24"/>
        </w:rPr>
        <w:t xml:space="preserve"> (thrombophilia).</w:t>
      </w:r>
      <w:r w:rsidR="00C42BFC">
        <w:rPr>
          <w:rFonts w:asciiTheme="minorHAnsi" w:hAnsiTheme="minorHAnsi"/>
          <w:color w:val="auto"/>
          <w:szCs w:val="24"/>
        </w:rPr>
        <w:t xml:space="preserve">  </w:t>
      </w:r>
      <w:r w:rsidR="00C95A77">
        <w:rPr>
          <w:rFonts w:asciiTheme="minorHAnsi" w:hAnsiTheme="minorHAnsi"/>
          <w:color w:val="auto"/>
          <w:szCs w:val="24"/>
        </w:rPr>
        <w:t xml:space="preserve">Based on the results of </w:t>
      </w:r>
      <w:r w:rsidR="0022798A">
        <w:rPr>
          <w:rFonts w:asciiTheme="minorHAnsi" w:hAnsiTheme="minorHAnsi"/>
          <w:color w:val="auto"/>
          <w:szCs w:val="24"/>
        </w:rPr>
        <w:t xml:space="preserve">these </w:t>
      </w:r>
      <w:r w:rsidR="00C95A77">
        <w:rPr>
          <w:rFonts w:asciiTheme="minorHAnsi" w:hAnsiTheme="minorHAnsi"/>
          <w:color w:val="auto"/>
          <w:szCs w:val="24"/>
        </w:rPr>
        <w:t>test</w:t>
      </w:r>
      <w:r w:rsidR="0022798A">
        <w:rPr>
          <w:rFonts w:asciiTheme="minorHAnsi" w:hAnsiTheme="minorHAnsi"/>
          <w:color w:val="auto"/>
          <w:szCs w:val="24"/>
        </w:rPr>
        <w:t>s</w:t>
      </w:r>
      <w:r w:rsidR="00C95A77">
        <w:rPr>
          <w:rFonts w:asciiTheme="minorHAnsi" w:hAnsiTheme="minorHAnsi"/>
          <w:color w:val="auto"/>
          <w:szCs w:val="24"/>
        </w:rPr>
        <w:t>,</w:t>
      </w:r>
      <w:r w:rsidR="0022798A">
        <w:rPr>
          <w:rFonts w:asciiTheme="minorHAnsi" w:hAnsiTheme="minorHAnsi"/>
          <w:color w:val="auto"/>
          <w:szCs w:val="24"/>
        </w:rPr>
        <w:t xml:space="preserve"> and a possible prior history of a leg blood clot,</w:t>
      </w:r>
      <w:r w:rsidR="00C95A77">
        <w:rPr>
          <w:rFonts w:asciiTheme="minorHAnsi" w:hAnsiTheme="minorHAnsi"/>
          <w:color w:val="auto"/>
          <w:szCs w:val="24"/>
        </w:rPr>
        <w:t xml:space="preserve"> </w:t>
      </w:r>
      <w:r w:rsidR="00A65271">
        <w:rPr>
          <w:rFonts w:asciiTheme="minorHAnsi" w:hAnsiTheme="minorHAnsi"/>
          <w:color w:val="auto"/>
          <w:szCs w:val="24"/>
        </w:rPr>
        <w:t xml:space="preserve">long term (possibly lifelong) </w:t>
      </w:r>
      <w:r w:rsidR="00C95A77">
        <w:rPr>
          <w:rFonts w:asciiTheme="minorHAnsi" w:hAnsiTheme="minorHAnsi"/>
          <w:color w:val="auto"/>
          <w:szCs w:val="24"/>
        </w:rPr>
        <w:t xml:space="preserve">treatment with blood thinning medication </w:t>
      </w:r>
      <w:r w:rsidR="00D3100B">
        <w:rPr>
          <w:rFonts w:asciiTheme="minorHAnsi" w:hAnsiTheme="minorHAnsi"/>
          <w:color w:val="auto"/>
          <w:szCs w:val="24"/>
        </w:rPr>
        <w:t>(</w:t>
      </w:r>
      <w:proofErr w:type="spellStart"/>
      <w:r w:rsidR="00D3100B">
        <w:rPr>
          <w:rFonts w:asciiTheme="minorHAnsi" w:hAnsiTheme="minorHAnsi"/>
          <w:color w:val="auto"/>
          <w:szCs w:val="24"/>
        </w:rPr>
        <w:t>warfarin</w:t>
      </w:r>
      <w:proofErr w:type="spellEnd"/>
      <w:r w:rsidR="00D3100B">
        <w:rPr>
          <w:rFonts w:asciiTheme="minorHAnsi" w:hAnsiTheme="minorHAnsi"/>
          <w:color w:val="auto"/>
          <w:szCs w:val="24"/>
        </w:rPr>
        <w:t xml:space="preserve">/Coumadin) </w:t>
      </w:r>
      <w:r w:rsidR="00C95A77">
        <w:rPr>
          <w:rFonts w:asciiTheme="minorHAnsi" w:hAnsiTheme="minorHAnsi"/>
          <w:color w:val="auto"/>
          <w:szCs w:val="24"/>
        </w:rPr>
        <w:t>was recommended</w:t>
      </w:r>
      <w:r w:rsidR="00EF7B85">
        <w:rPr>
          <w:rFonts w:asciiTheme="minorHAnsi" w:hAnsiTheme="minorHAnsi"/>
          <w:color w:val="auto"/>
          <w:szCs w:val="24"/>
        </w:rPr>
        <w:t xml:space="preserve"> by the hematologist</w:t>
      </w:r>
      <w:r w:rsidR="00C95A77">
        <w:rPr>
          <w:rFonts w:asciiTheme="minorHAnsi" w:hAnsiTheme="minorHAnsi"/>
          <w:color w:val="auto"/>
          <w:szCs w:val="24"/>
        </w:rPr>
        <w:t xml:space="preserve">.  </w:t>
      </w:r>
      <w:r w:rsidR="00C42BFC" w:rsidRPr="00F42100">
        <w:rPr>
          <w:rFonts w:asciiTheme="minorHAnsi" w:hAnsiTheme="minorHAnsi"/>
          <w:color w:val="auto"/>
          <w:szCs w:val="24"/>
        </w:rPr>
        <w:t>An episode of calf pain in December 1998</w:t>
      </w:r>
      <w:r w:rsidR="00E91283" w:rsidRPr="00F42100">
        <w:rPr>
          <w:rFonts w:asciiTheme="minorHAnsi" w:hAnsiTheme="minorHAnsi"/>
          <w:color w:val="auto"/>
          <w:szCs w:val="24"/>
        </w:rPr>
        <w:t>,</w:t>
      </w:r>
      <w:r w:rsidR="00C42BFC" w:rsidRPr="00F42100">
        <w:rPr>
          <w:rFonts w:asciiTheme="minorHAnsi" w:hAnsiTheme="minorHAnsi"/>
          <w:color w:val="auto"/>
          <w:szCs w:val="24"/>
        </w:rPr>
        <w:t xml:space="preserve"> </w:t>
      </w:r>
      <w:r w:rsidR="00BB5FA3" w:rsidRPr="00F42100">
        <w:rPr>
          <w:rFonts w:asciiTheme="minorHAnsi" w:hAnsiTheme="minorHAnsi"/>
          <w:color w:val="auto"/>
          <w:szCs w:val="24"/>
        </w:rPr>
        <w:t xml:space="preserve">while on ship, </w:t>
      </w:r>
      <w:r w:rsidR="00C42BFC" w:rsidRPr="00F42100">
        <w:rPr>
          <w:rFonts w:asciiTheme="minorHAnsi" w:hAnsiTheme="minorHAnsi"/>
          <w:color w:val="auto"/>
          <w:szCs w:val="24"/>
        </w:rPr>
        <w:t xml:space="preserve">was noted and </w:t>
      </w:r>
      <w:r w:rsidR="00BB5FA3" w:rsidRPr="00F42100">
        <w:rPr>
          <w:rFonts w:asciiTheme="minorHAnsi" w:hAnsiTheme="minorHAnsi"/>
          <w:color w:val="auto"/>
          <w:szCs w:val="24"/>
        </w:rPr>
        <w:t xml:space="preserve">retrospectively </w:t>
      </w:r>
      <w:r w:rsidR="00C42BFC" w:rsidRPr="00F42100">
        <w:rPr>
          <w:rFonts w:asciiTheme="minorHAnsi" w:hAnsiTheme="minorHAnsi"/>
          <w:color w:val="auto"/>
          <w:szCs w:val="24"/>
        </w:rPr>
        <w:t>attributed to possible deep vein thrombosis</w:t>
      </w:r>
      <w:r w:rsidR="00C95A77" w:rsidRPr="00F42100">
        <w:rPr>
          <w:rFonts w:asciiTheme="minorHAnsi" w:hAnsiTheme="minorHAnsi"/>
          <w:color w:val="auto"/>
          <w:szCs w:val="24"/>
        </w:rPr>
        <w:t xml:space="preserve">.  The treating medical officer at the time considered a diagnosis of deep vein thrombosis but concluded the symptoms were due to muscle strain and the pain resolved </w:t>
      </w:r>
      <w:r w:rsidR="00A65271">
        <w:rPr>
          <w:rFonts w:asciiTheme="minorHAnsi" w:hAnsiTheme="minorHAnsi"/>
          <w:color w:val="auto"/>
          <w:szCs w:val="24"/>
        </w:rPr>
        <w:t xml:space="preserve">after </w:t>
      </w:r>
      <w:r w:rsidR="00C95A77" w:rsidRPr="00F42100">
        <w:rPr>
          <w:rFonts w:asciiTheme="minorHAnsi" w:hAnsiTheme="minorHAnsi"/>
          <w:color w:val="auto"/>
          <w:szCs w:val="24"/>
        </w:rPr>
        <w:t>several days of treatment with a non-steroidal anti-inflammatory drug</w:t>
      </w:r>
      <w:r w:rsidR="00E91283" w:rsidRPr="00F42100">
        <w:rPr>
          <w:rFonts w:asciiTheme="minorHAnsi" w:hAnsiTheme="minorHAnsi"/>
          <w:color w:val="auto"/>
          <w:szCs w:val="24"/>
        </w:rPr>
        <w:t xml:space="preserve">.  </w:t>
      </w:r>
      <w:r w:rsidR="00C95A77" w:rsidRPr="00F42100">
        <w:rPr>
          <w:rFonts w:asciiTheme="minorHAnsi" w:hAnsiTheme="minorHAnsi"/>
          <w:color w:val="auto"/>
          <w:szCs w:val="24"/>
        </w:rPr>
        <w:t>There were no symptoms suggestive of pulmonary embolism at that time.</w:t>
      </w:r>
      <w:r w:rsidR="00C95A77">
        <w:rPr>
          <w:rFonts w:asciiTheme="minorHAnsi" w:hAnsiTheme="minorHAnsi"/>
          <w:color w:val="auto"/>
          <w:szCs w:val="24"/>
        </w:rPr>
        <w:t xml:space="preserve">  </w:t>
      </w:r>
      <w:r w:rsidR="00011B46">
        <w:rPr>
          <w:rFonts w:asciiTheme="minorHAnsi" w:hAnsiTheme="minorHAnsi"/>
          <w:color w:val="auto"/>
          <w:szCs w:val="24"/>
        </w:rPr>
        <w:t xml:space="preserve">In January 2003, an episode of chest pain prompted reevaluation that found no evidence of recurrent </w:t>
      </w:r>
      <w:r w:rsidR="00C95A77">
        <w:rPr>
          <w:rFonts w:asciiTheme="minorHAnsi" w:hAnsiTheme="minorHAnsi"/>
          <w:color w:val="auto"/>
          <w:szCs w:val="24"/>
        </w:rPr>
        <w:t xml:space="preserve">pulmonary embolism </w:t>
      </w:r>
      <w:r w:rsidR="00011B46">
        <w:rPr>
          <w:rFonts w:asciiTheme="minorHAnsi" w:hAnsiTheme="minorHAnsi"/>
          <w:color w:val="auto"/>
          <w:szCs w:val="24"/>
        </w:rPr>
        <w:t>(negative chest CT scan) or evidence of heart disease.</w:t>
      </w:r>
      <w:r w:rsidR="00E51979">
        <w:rPr>
          <w:rFonts w:asciiTheme="minorHAnsi" w:hAnsiTheme="minorHAnsi"/>
          <w:color w:val="auto"/>
          <w:szCs w:val="24"/>
        </w:rPr>
        <w:t xml:space="preserve">  A Mayo Clinic internal medicine clinic encounter</w:t>
      </w:r>
      <w:r w:rsidR="00E4263C">
        <w:rPr>
          <w:rFonts w:asciiTheme="minorHAnsi" w:hAnsiTheme="minorHAnsi"/>
          <w:color w:val="auto"/>
          <w:szCs w:val="24"/>
        </w:rPr>
        <w:t xml:space="preserve"> in</w:t>
      </w:r>
      <w:r w:rsidR="00E51979">
        <w:rPr>
          <w:rFonts w:asciiTheme="minorHAnsi" w:hAnsiTheme="minorHAnsi"/>
          <w:color w:val="auto"/>
          <w:szCs w:val="24"/>
        </w:rPr>
        <w:t xml:space="preserve"> January 2003, six months before separation, records no symptoms </w:t>
      </w:r>
      <w:r w:rsidR="00E91283">
        <w:rPr>
          <w:rFonts w:asciiTheme="minorHAnsi" w:hAnsiTheme="minorHAnsi"/>
          <w:color w:val="auto"/>
          <w:szCs w:val="24"/>
        </w:rPr>
        <w:t xml:space="preserve">of thromboembolic disease </w:t>
      </w:r>
      <w:r w:rsidR="00E51979">
        <w:rPr>
          <w:rFonts w:asciiTheme="minorHAnsi" w:hAnsiTheme="minorHAnsi"/>
          <w:color w:val="auto"/>
          <w:szCs w:val="24"/>
        </w:rPr>
        <w:t>including shortness of breath</w:t>
      </w:r>
      <w:r w:rsidR="00E91283">
        <w:rPr>
          <w:rFonts w:asciiTheme="minorHAnsi" w:hAnsiTheme="minorHAnsi"/>
          <w:color w:val="auto"/>
          <w:szCs w:val="24"/>
        </w:rPr>
        <w:t xml:space="preserve"> or leg symptoms</w:t>
      </w:r>
      <w:r w:rsidR="00E51979">
        <w:rPr>
          <w:rFonts w:asciiTheme="minorHAnsi" w:hAnsiTheme="minorHAnsi"/>
          <w:color w:val="auto"/>
          <w:szCs w:val="24"/>
        </w:rPr>
        <w:t>.  The physician records the CI was obese and not exercising</w:t>
      </w:r>
      <w:r w:rsidR="00E91283">
        <w:rPr>
          <w:rFonts w:asciiTheme="minorHAnsi" w:hAnsiTheme="minorHAnsi"/>
          <w:color w:val="auto"/>
          <w:szCs w:val="24"/>
        </w:rPr>
        <w:t>, but h</w:t>
      </w:r>
      <w:r w:rsidR="00E51979">
        <w:rPr>
          <w:rFonts w:asciiTheme="minorHAnsi" w:hAnsiTheme="minorHAnsi"/>
          <w:color w:val="auto"/>
          <w:szCs w:val="24"/>
        </w:rPr>
        <w:t>e had quit smoking when hospitalized in March 2001</w:t>
      </w:r>
      <w:r w:rsidR="00E91283">
        <w:rPr>
          <w:rFonts w:asciiTheme="minorHAnsi" w:hAnsiTheme="minorHAnsi"/>
          <w:color w:val="auto"/>
          <w:szCs w:val="24"/>
        </w:rPr>
        <w:t xml:space="preserve"> (</w:t>
      </w:r>
      <w:r w:rsidR="00F42100">
        <w:rPr>
          <w:rFonts w:asciiTheme="minorHAnsi" w:hAnsiTheme="minorHAnsi"/>
          <w:color w:val="auto"/>
          <w:szCs w:val="24"/>
        </w:rPr>
        <w:t xml:space="preserve">smoking, as well as obesity, </w:t>
      </w:r>
      <w:r w:rsidR="00E91283">
        <w:rPr>
          <w:rFonts w:asciiTheme="minorHAnsi" w:hAnsiTheme="minorHAnsi"/>
          <w:color w:val="auto"/>
          <w:szCs w:val="24"/>
        </w:rPr>
        <w:t>increases risk for clot formation)</w:t>
      </w:r>
      <w:r w:rsidR="00E51979">
        <w:rPr>
          <w:rFonts w:asciiTheme="minorHAnsi" w:hAnsiTheme="minorHAnsi"/>
          <w:color w:val="auto"/>
          <w:szCs w:val="24"/>
        </w:rPr>
        <w:t>.  The February 2003 NARSUM reflected no recurrent</w:t>
      </w:r>
      <w:r w:rsidR="00C95A77">
        <w:rPr>
          <w:rFonts w:asciiTheme="minorHAnsi" w:hAnsiTheme="minorHAnsi"/>
          <w:color w:val="auto"/>
          <w:szCs w:val="24"/>
        </w:rPr>
        <w:t xml:space="preserve"> venous thrombosis or pulmonary embolism, </w:t>
      </w:r>
      <w:r w:rsidR="00E51979">
        <w:rPr>
          <w:rFonts w:asciiTheme="minorHAnsi" w:hAnsiTheme="minorHAnsi"/>
          <w:color w:val="auto"/>
          <w:szCs w:val="24"/>
        </w:rPr>
        <w:t xml:space="preserve">and no residual signs, symptoms, examination findings or impairments.  </w:t>
      </w:r>
      <w:r w:rsidR="00011B46">
        <w:rPr>
          <w:rFonts w:asciiTheme="minorHAnsi" w:hAnsiTheme="minorHAnsi"/>
          <w:color w:val="auto"/>
          <w:szCs w:val="24"/>
        </w:rPr>
        <w:t>At the time, he was working as a recruiter but was scheduled to return to operational duties on a ship.</w:t>
      </w:r>
      <w:r w:rsidR="00DE1D97">
        <w:rPr>
          <w:rFonts w:asciiTheme="minorHAnsi" w:hAnsiTheme="minorHAnsi"/>
          <w:color w:val="auto"/>
          <w:szCs w:val="24"/>
        </w:rPr>
        <w:t xml:space="preserve">  Operational military duties </w:t>
      </w:r>
      <w:r w:rsidR="00C95A77">
        <w:rPr>
          <w:rFonts w:asciiTheme="minorHAnsi" w:hAnsiTheme="minorHAnsi"/>
          <w:color w:val="auto"/>
          <w:szCs w:val="24"/>
        </w:rPr>
        <w:t xml:space="preserve">were considered to be </w:t>
      </w:r>
      <w:r w:rsidR="00DE1D97">
        <w:rPr>
          <w:rFonts w:asciiTheme="minorHAnsi" w:hAnsiTheme="minorHAnsi"/>
          <w:color w:val="auto"/>
          <w:szCs w:val="24"/>
        </w:rPr>
        <w:t xml:space="preserve">medically </w:t>
      </w:r>
      <w:r w:rsidR="00D3100B">
        <w:rPr>
          <w:rFonts w:asciiTheme="minorHAnsi" w:hAnsiTheme="minorHAnsi"/>
          <w:color w:val="auto"/>
          <w:szCs w:val="24"/>
        </w:rPr>
        <w:t>in</w:t>
      </w:r>
      <w:r w:rsidR="00DE1D97">
        <w:rPr>
          <w:rFonts w:asciiTheme="minorHAnsi" w:hAnsiTheme="minorHAnsi"/>
          <w:color w:val="auto"/>
          <w:szCs w:val="24"/>
        </w:rPr>
        <w:t>advisable while on chronic treatment with blood thinn</w:t>
      </w:r>
      <w:r w:rsidR="00A65271">
        <w:rPr>
          <w:rFonts w:asciiTheme="minorHAnsi" w:hAnsiTheme="minorHAnsi"/>
          <w:color w:val="auto"/>
          <w:szCs w:val="24"/>
        </w:rPr>
        <w:t xml:space="preserve">ing </w:t>
      </w:r>
      <w:r w:rsidR="00DE1D97">
        <w:rPr>
          <w:rFonts w:asciiTheme="minorHAnsi" w:hAnsiTheme="minorHAnsi"/>
          <w:color w:val="auto"/>
          <w:szCs w:val="24"/>
        </w:rPr>
        <w:t>medication</w:t>
      </w:r>
      <w:r w:rsidR="00E91283">
        <w:rPr>
          <w:rFonts w:asciiTheme="minorHAnsi" w:hAnsiTheme="minorHAnsi"/>
          <w:color w:val="auto"/>
          <w:szCs w:val="24"/>
        </w:rPr>
        <w:t>.</w:t>
      </w:r>
      <w:r w:rsidR="00C95A77">
        <w:rPr>
          <w:rFonts w:asciiTheme="minorHAnsi" w:hAnsiTheme="minorHAnsi"/>
          <w:color w:val="auto"/>
          <w:szCs w:val="24"/>
        </w:rPr>
        <w:t xml:space="preserve">  </w:t>
      </w:r>
      <w:r w:rsidR="00DE1D97">
        <w:rPr>
          <w:rFonts w:asciiTheme="minorHAnsi" w:hAnsiTheme="minorHAnsi"/>
          <w:color w:val="auto"/>
          <w:szCs w:val="24"/>
        </w:rPr>
        <w:t>Th</w:t>
      </w:r>
      <w:r w:rsidR="00E91283">
        <w:rPr>
          <w:rFonts w:asciiTheme="minorHAnsi" w:hAnsiTheme="minorHAnsi"/>
          <w:color w:val="auto"/>
          <w:szCs w:val="24"/>
        </w:rPr>
        <w:t>erefore</w:t>
      </w:r>
      <w:r w:rsidR="00DE1D97">
        <w:rPr>
          <w:rFonts w:asciiTheme="minorHAnsi" w:hAnsiTheme="minorHAnsi"/>
          <w:color w:val="auto"/>
          <w:szCs w:val="24"/>
        </w:rPr>
        <w:t>, the CI was referred for MEB and found unfit for continued military duty by the PEB</w:t>
      </w:r>
      <w:r w:rsidR="00D3100B">
        <w:rPr>
          <w:rFonts w:asciiTheme="minorHAnsi" w:hAnsiTheme="minorHAnsi"/>
          <w:color w:val="auto"/>
          <w:szCs w:val="24"/>
        </w:rPr>
        <w:t xml:space="preserve"> due to the requirement for long term treatment with warfarin for thrombophilia</w:t>
      </w:r>
      <w:r w:rsidR="00DE1D97">
        <w:rPr>
          <w:rFonts w:asciiTheme="minorHAnsi" w:hAnsiTheme="minorHAnsi"/>
          <w:color w:val="auto"/>
          <w:szCs w:val="24"/>
        </w:rPr>
        <w:t xml:space="preserve">.  </w:t>
      </w:r>
      <w:r w:rsidR="00D3100B">
        <w:rPr>
          <w:rFonts w:asciiTheme="minorHAnsi" w:hAnsiTheme="minorHAnsi"/>
          <w:color w:val="auto"/>
          <w:szCs w:val="24"/>
        </w:rPr>
        <w:t xml:space="preserve">The genetic predisposition to blood clotting would be considered service connected by the PEB under the rules of the military DES because the CI had over </w:t>
      </w:r>
      <w:r w:rsidR="00E4263C">
        <w:rPr>
          <w:rFonts w:asciiTheme="minorHAnsi" w:hAnsiTheme="minorHAnsi"/>
          <w:color w:val="auto"/>
          <w:szCs w:val="24"/>
        </w:rPr>
        <w:t>eight</w:t>
      </w:r>
      <w:r w:rsidR="00D3100B">
        <w:rPr>
          <w:rFonts w:asciiTheme="minorHAnsi" w:hAnsiTheme="minorHAnsi"/>
          <w:color w:val="auto"/>
          <w:szCs w:val="24"/>
        </w:rPr>
        <w:t xml:space="preserve"> years of active military service (the VA does not have this requirement).</w:t>
      </w:r>
    </w:p>
    <w:p w:rsidR="00852CDA" w:rsidRDefault="00852CDA" w:rsidP="00EF7B85">
      <w:pPr>
        <w:tabs>
          <w:tab w:val="left" w:pos="288"/>
          <w:tab w:val="left" w:pos="4752"/>
        </w:tabs>
        <w:spacing w:line="240" w:lineRule="exact"/>
        <w:jc w:val="both"/>
        <w:rPr>
          <w:rFonts w:asciiTheme="minorHAnsi" w:hAnsiTheme="minorHAnsi"/>
          <w:color w:val="auto"/>
          <w:szCs w:val="24"/>
        </w:rPr>
      </w:pPr>
    </w:p>
    <w:p w:rsidR="00852CDA" w:rsidRDefault="00DE1D97" w:rsidP="00D82A89">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 xml:space="preserve">The VA </w:t>
      </w:r>
      <w:r w:rsidR="00E4263C">
        <w:rPr>
          <w:rFonts w:asciiTheme="minorHAnsi" w:hAnsiTheme="minorHAnsi"/>
          <w:color w:val="auto"/>
          <w:szCs w:val="24"/>
        </w:rPr>
        <w:t>c</w:t>
      </w:r>
      <w:r>
        <w:rPr>
          <w:rFonts w:asciiTheme="minorHAnsi" w:hAnsiTheme="minorHAnsi"/>
          <w:color w:val="auto"/>
          <w:szCs w:val="24"/>
        </w:rPr>
        <w:t>ompensat</w:t>
      </w:r>
      <w:r w:rsidR="00C42BFC">
        <w:rPr>
          <w:rFonts w:asciiTheme="minorHAnsi" w:hAnsiTheme="minorHAnsi"/>
          <w:color w:val="auto"/>
          <w:szCs w:val="24"/>
        </w:rPr>
        <w:t>i</w:t>
      </w:r>
      <w:r>
        <w:rPr>
          <w:rFonts w:asciiTheme="minorHAnsi" w:hAnsiTheme="minorHAnsi"/>
          <w:color w:val="auto"/>
          <w:szCs w:val="24"/>
        </w:rPr>
        <w:t xml:space="preserve">on and </w:t>
      </w:r>
      <w:r w:rsidR="00E4263C">
        <w:rPr>
          <w:rFonts w:asciiTheme="minorHAnsi" w:hAnsiTheme="minorHAnsi"/>
          <w:color w:val="auto"/>
          <w:szCs w:val="24"/>
        </w:rPr>
        <w:t>p</w:t>
      </w:r>
      <w:r>
        <w:rPr>
          <w:rFonts w:asciiTheme="minorHAnsi" w:hAnsiTheme="minorHAnsi"/>
          <w:color w:val="auto"/>
          <w:szCs w:val="24"/>
        </w:rPr>
        <w:t>ension</w:t>
      </w:r>
      <w:r w:rsidR="00C42BFC">
        <w:rPr>
          <w:rFonts w:asciiTheme="minorHAnsi" w:hAnsiTheme="minorHAnsi"/>
          <w:color w:val="auto"/>
          <w:szCs w:val="24"/>
        </w:rPr>
        <w:t xml:space="preserve"> (C&amp;P) </w:t>
      </w:r>
      <w:r>
        <w:rPr>
          <w:rFonts w:asciiTheme="minorHAnsi" w:hAnsiTheme="minorHAnsi"/>
          <w:color w:val="auto"/>
          <w:szCs w:val="24"/>
        </w:rPr>
        <w:t>exam</w:t>
      </w:r>
      <w:r w:rsidR="00E4263C">
        <w:rPr>
          <w:rFonts w:asciiTheme="minorHAnsi" w:hAnsiTheme="minorHAnsi"/>
          <w:color w:val="auto"/>
          <w:szCs w:val="24"/>
        </w:rPr>
        <w:t xml:space="preserve"> in </w:t>
      </w:r>
      <w:r>
        <w:rPr>
          <w:rFonts w:asciiTheme="minorHAnsi" w:hAnsiTheme="minorHAnsi"/>
          <w:color w:val="auto"/>
          <w:szCs w:val="24"/>
        </w:rPr>
        <w:t>Dec</w:t>
      </w:r>
      <w:r w:rsidR="00D828F9">
        <w:rPr>
          <w:rFonts w:asciiTheme="minorHAnsi" w:hAnsiTheme="minorHAnsi"/>
          <w:color w:val="auto"/>
          <w:szCs w:val="24"/>
        </w:rPr>
        <w:t>ember 20</w:t>
      </w:r>
      <w:r>
        <w:rPr>
          <w:rFonts w:asciiTheme="minorHAnsi" w:hAnsiTheme="minorHAnsi"/>
          <w:color w:val="auto"/>
          <w:szCs w:val="24"/>
        </w:rPr>
        <w:t xml:space="preserve">03, </w:t>
      </w:r>
      <w:r w:rsidR="00E4263C">
        <w:rPr>
          <w:rFonts w:asciiTheme="minorHAnsi" w:hAnsiTheme="minorHAnsi"/>
          <w:color w:val="auto"/>
          <w:szCs w:val="24"/>
        </w:rPr>
        <w:t>five</w:t>
      </w:r>
      <w:r>
        <w:rPr>
          <w:rFonts w:asciiTheme="minorHAnsi" w:hAnsiTheme="minorHAnsi"/>
          <w:color w:val="auto"/>
          <w:szCs w:val="24"/>
        </w:rPr>
        <w:t xml:space="preserve"> months after separation</w:t>
      </w:r>
      <w:r w:rsidR="00C42BFC">
        <w:rPr>
          <w:rFonts w:asciiTheme="minorHAnsi" w:hAnsiTheme="minorHAnsi"/>
          <w:color w:val="auto"/>
          <w:szCs w:val="24"/>
        </w:rPr>
        <w:t xml:space="preserve">, </w:t>
      </w:r>
      <w:r>
        <w:rPr>
          <w:rFonts w:asciiTheme="minorHAnsi" w:hAnsiTheme="minorHAnsi"/>
          <w:color w:val="auto"/>
          <w:szCs w:val="24"/>
        </w:rPr>
        <w:t xml:space="preserve">records that there were no symptoms of recurrent </w:t>
      </w:r>
      <w:r w:rsidR="00C95A77">
        <w:rPr>
          <w:rFonts w:asciiTheme="minorHAnsi" w:hAnsiTheme="minorHAnsi"/>
          <w:color w:val="auto"/>
          <w:szCs w:val="24"/>
        </w:rPr>
        <w:t>venous thrombosis or pulmonary embolism</w:t>
      </w:r>
      <w:r>
        <w:rPr>
          <w:rFonts w:asciiTheme="minorHAnsi" w:hAnsiTheme="minorHAnsi"/>
          <w:color w:val="auto"/>
          <w:szCs w:val="24"/>
        </w:rPr>
        <w:t>,</w:t>
      </w:r>
      <w:r w:rsidR="00C42BFC">
        <w:rPr>
          <w:rFonts w:asciiTheme="minorHAnsi" w:hAnsiTheme="minorHAnsi"/>
          <w:color w:val="auto"/>
          <w:szCs w:val="24"/>
        </w:rPr>
        <w:t xml:space="preserve"> no symptoms attributable to residuals of prior </w:t>
      </w:r>
      <w:r w:rsidR="00C95A77">
        <w:rPr>
          <w:rFonts w:asciiTheme="minorHAnsi" w:hAnsiTheme="minorHAnsi"/>
          <w:color w:val="auto"/>
          <w:szCs w:val="24"/>
        </w:rPr>
        <w:t>pulmonary embolism</w:t>
      </w:r>
      <w:r w:rsidR="00C42BFC">
        <w:rPr>
          <w:rFonts w:asciiTheme="minorHAnsi" w:hAnsiTheme="minorHAnsi"/>
          <w:color w:val="auto"/>
          <w:szCs w:val="24"/>
        </w:rPr>
        <w:t>,</w:t>
      </w:r>
      <w:r>
        <w:rPr>
          <w:rFonts w:asciiTheme="minorHAnsi" w:hAnsiTheme="minorHAnsi"/>
          <w:color w:val="auto"/>
          <w:szCs w:val="24"/>
        </w:rPr>
        <w:t xml:space="preserve"> and no prob</w:t>
      </w:r>
      <w:r w:rsidR="00C42BFC">
        <w:rPr>
          <w:rFonts w:asciiTheme="minorHAnsi" w:hAnsiTheme="minorHAnsi"/>
          <w:color w:val="auto"/>
          <w:szCs w:val="24"/>
        </w:rPr>
        <w:t>lem</w:t>
      </w:r>
      <w:r>
        <w:rPr>
          <w:rFonts w:asciiTheme="minorHAnsi" w:hAnsiTheme="minorHAnsi"/>
          <w:color w:val="auto"/>
          <w:szCs w:val="24"/>
        </w:rPr>
        <w:t>s with warfarin</w:t>
      </w:r>
      <w:r w:rsidR="00C42BFC">
        <w:rPr>
          <w:rFonts w:asciiTheme="minorHAnsi" w:hAnsiTheme="minorHAnsi"/>
          <w:color w:val="auto"/>
          <w:szCs w:val="24"/>
        </w:rPr>
        <w:t xml:space="preserve"> treatment</w:t>
      </w:r>
      <w:r>
        <w:rPr>
          <w:rFonts w:asciiTheme="minorHAnsi" w:hAnsiTheme="minorHAnsi"/>
          <w:color w:val="auto"/>
          <w:szCs w:val="24"/>
        </w:rPr>
        <w:t xml:space="preserve">.  </w:t>
      </w:r>
      <w:r w:rsidR="00C42BFC">
        <w:rPr>
          <w:rFonts w:asciiTheme="minorHAnsi" w:hAnsiTheme="minorHAnsi"/>
          <w:color w:val="auto"/>
          <w:szCs w:val="24"/>
        </w:rPr>
        <w:t xml:space="preserve">The </w:t>
      </w:r>
      <w:r>
        <w:rPr>
          <w:rFonts w:asciiTheme="minorHAnsi" w:hAnsiTheme="minorHAnsi"/>
          <w:color w:val="auto"/>
          <w:szCs w:val="24"/>
        </w:rPr>
        <w:t>CI stated there was no shortness of breath at rest and that walking was unlimited</w:t>
      </w:r>
      <w:r w:rsidR="00E4263C">
        <w:rPr>
          <w:rFonts w:asciiTheme="minorHAnsi" w:hAnsiTheme="minorHAnsi"/>
          <w:color w:val="auto"/>
          <w:szCs w:val="24"/>
        </w:rPr>
        <w:t>;</w:t>
      </w:r>
      <w:r w:rsidR="00F42100">
        <w:rPr>
          <w:rFonts w:asciiTheme="minorHAnsi" w:hAnsiTheme="minorHAnsi"/>
          <w:color w:val="auto"/>
          <w:szCs w:val="24"/>
        </w:rPr>
        <w:t xml:space="preserve"> however</w:t>
      </w:r>
      <w:r w:rsidR="00E4263C">
        <w:rPr>
          <w:rFonts w:asciiTheme="minorHAnsi" w:hAnsiTheme="minorHAnsi"/>
          <w:color w:val="auto"/>
          <w:szCs w:val="24"/>
        </w:rPr>
        <w:t>,</w:t>
      </w:r>
      <w:r w:rsidR="00F42100">
        <w:rPr>
          <w:rFonts w:asciiTheme="minorHAnsi" w:hAnsiTheme="minorHAnsi"/>
          <w:color w:val="auto"/>
          <w:szCs w:val="24"/>
        </w:rPr>
        <w:t xml:space="preserve"> h</w:t>
      </w:r>
      <w:r>
        <w:rPr>
          <w:rFonts w:asciiTheme="minorHAnsi" w:hAnsiTheme="minorHAnsi"/>
          <w:color w:val="auto"/>
          <w:szCs w:val="24"/>
        </w:rPr>
        <w:t xml:space="preserve">e did report shortness of breath with jogging.  Physical examination </w:t>
      </w:r>
      <w:r w:rsidR="00C42BFC">
        <w:rPr>
          <w:rFonts w:asciiTheme="minorHAnsi" w:hAnsiTheme="minorHAnsi"/>
          <w:color w:val="auto"/>
          <w:szCs w:val="24"/>
        </w:rPr>
        <w:t xml:space="preserve">noted obesity but </w:t>
      </w:r>
      <w:r>
        <w:rPr>
          <w:rFonts w:asciiTheme="minorHAnsi" w:hAnsiTheme="minorHAnsi"/>
          <w:color w:val="auto"/>
          <w:szCs w:val="24"/>
        </w:rPr>
        <w:t xml:space="preserve">was negative for stigmata of </w:t>
      </w:r>
      <w:r w:rsidR="00D828F9">
        <w:rPr>
          <w:rFonts w:asciiTheme="minorHAnsi" w:hAnsiTheme="minorHAnsi"/>
          <w:color w:val="auto"/>
          <w:szCs w:val="24"/>
        </w:rPr>
        <w:t>chronic or recurrent pulmonary embolism</w:t>
      </w:r>
      <w:r w:rsidR="008F171D">
        <w:rPr>
          <w:rFonts w:asciiTheme="minorHAnsi" w:hAnsiTheme="minorHAnsi"/>
          <w:color w:val="auto"/>
          <w:szCs w:val="24"/>
        </w:rPr>
        <w:t>,</w:t>
      </w:r>
      <w:r w:rsidR="00D828F9">
        <w:rPr>
          <w:rFonts w:asciiTheme="minorHAnsi" w:hAnsiTheme="minorHAnsi"/>
          <w:color w:val="auto"/>
          <w:szCs w:val="24"/>
        </w:rPr>
        <w:t xml:space="preserve"> or venous thrombosis in the extremities</w:t>
      </w:r>
      <w:r>
        <w:rPr>
          <w:rFonts w:asciiTheme="minorHAnsi" w:hAnsiTheme="minorHAnsi"/>
          <w:color w:val="auto"/>
          <w:szCs w:val="24"/>
        </w:rPr>
        <w:t>.  Lung function testing (spirometry and diffusion testing) was normal</w:t>
      </w:r>
      <w:r w:rsidR="00E4263C">
        <w:rPr>
          <w:rFonts w:asciiTheme="minorHAnsi" w:hAnsiTheme="minorHAnsi"/>
          <w:color w:val="auto"/>
          <w:szCs w:val="24"/>
        </w:rPr>
        <w:t>,</w:t>
      </w:r>
      <w:r>
        <w:rPr>
          <w:rFonts w:asciiTheme="minorHAnsi" w:hAnsiTheme="minorHAnsi"/>
          <w:color w:val="auto"/>
          <w:szCs w:val="24"/>
        </w:rPr>
        <w:t xml:space="preserve"> consistent with no evidence of residual lung function impairment</w:t>
      </w:r>
      <w:r w:rsidR="00C6010B">
        <w:rPr>
          <w:rFonts w:asciiTheme="minorHAnsi" w:hAnsiTheme="minorHAnsi"/>
          <w:color w:val="auto"/>
          <w:szCs w:val="24"/>
        </w:rPr>
        <w:t>.</w:t>
      </w:r>
      <w:r w:rsidR="00852CDA">
        <w:rPr>
          <w:rFonts w:asciiTheme="minorHAnsi" w:hAnsiTheme="minorHAnsi"/>
          <w:color w:val="auto"/>
          <w:szCs w:val="24"/>
        </w:rPr>
        <w:t xml:space="preserve">  </w:t>
      </w:r>
      <w:r w:rsidR="00670B4C">
        <w:rPr>
          <w:rFonts w:asciiTheme="minorHAnsi" w:hAnsiTheme="minorHAnsi"/>
          <w:color w:val="auto"/>
          <w:szCs w:val="24"/>
        </w:rPr>
        <w:t xml:space="preserve">The </w:t>
      </w:r>
      <w:r>
        <w:rPr>
          <w:rFonts w:asciiTheme="minorHAnsi" w:hAnsiTheme="minorHAnsi"/>
          <w:color w:val="auto"/>
          <w:szCs w:val="24"/>
        </w:rPr>
        <w:t xml:space="preserve">VA rated </w:t>
      </w:r>
      <w:r w:rsidR="00C6010B">
        <w:rPr>
          <w:rFonts w:asciiTheme="minorHAnsi" w:hAnsiTheme="minorHAnsi"/>
          <w:color w:val="auto"/>
          <w:szCs w:val="24"/>
        </w:rPr>
        <w:t xml:space="preserve">the CI’s condition at </w:t>
      </w:r>
      <w:r>
        <w:rPr>
          <w:rFonts w:asciiTheme="minorHAnsi" w:hAnsiTheme="minorHAnsi"/>
          <w:color w:val="auto"/>
          <w:szCs w:val="24"/>
        </w:rPr>
        <w:t>30%</w:t>
      </w:r>
      <w:r w:rsidR="00D82A89">
        <w:rPr>
          <w:rFonts w:asciiTheme="minorHAnsi" w:hAnsiTheme="minorHAnsi"/>
          <w:color w:val="auto"/>
          <w:szCs w:val="24"/>
        </w:rPr>
        <w:t xml:space="preserve"> under the code for pulmonary vascular disease</w:t>
      </w:r>
      <w:r>
        <w:rPr>
          <w:rFonts w:asciiTheme="minorHAnsi" w:hAnsiTheme="minorHAnsi"/>
          <w:color w:val="auto"/>
          <w:szCs w:val="24"/>
        </w:rPr>
        <w:t xml:space="preserve"> </w:t>
      </w:r>
      <w:r w:rsidR="00904251">
        <w:rPr>
          <w:rFonts w:asciiTheme="minorHAnsi" w:hAnsiTheme="minorHAnsi"/>
          <w:color w:val="auto"/>
          <w:szCs w:val="24"/>
        </w:rPr>
        <w:t>(</w:t>
      </w:r>
      <w:r w:rsidR="00D82A89">
        <w:rPr>
          <w:rFonts w:asciiTheme="minorHAnsi" w:hAnsiTheme="minorHAnsi"/>
          <w:color w:val="auto"/>
          <w:szCs w:val="24"/>
        </w:rPr>
        <w:t>6817</w:t>
      </w:r>
      <w:r w:rsidR="00BF2AAB">
        <w:rPr>
          <w:rFonts w:asciiTheme="minorHAnsi" w:hAnsiTheme="minorHAnsi"/>
          <w:color w:val="auto"/>
          <w:szCs w:val="24"/>
        </w:rPr>
        <w:t xml:space="preserve">) for </w:t>
      </w:r>
      <w:r w:rsidR="00D82A89">
        <w:rPr>
          <w:rFonts w:asciiTheme="minorHAnsi" w:hAnsiTheme="minorHAnsi"/>
          <w:color w:val="auto"/>
          <w:szCs w:val="24"/>
        </w:rPr>
        <w:t>symptomatic, after resolution of acute pulmonary thromboembolism</w:t>
      </w:r>
      <w:r w:rsidR="00904251">
        <w:rPr>
          <w:rFonts w:asciiTheme="minorHAnsi" w:hAnsiTheme="minorHAnsi"/>
          <w:color w:val="auto"/>
          <w:szCs w:val="24"/>
        </w:rPr>
        <w:t>, apparently due to the complaint of shortness of breath when jogging</w:t>
      </w:r>
      <w:r w:rsidR="00E4263C">
        <w:rPr>
          <w:rFonts w:asciiTheme="minorHAnsi" w:hAnsiTheme="minorHAnsi"/>
          <w:color w:val="auto"/>
          <w:szCs w:val="24"/>
        </w:rPr>
        <w:t xml:space="preserve">.  The VA </w:t>
      </w:r>
      <w:r w:rsidR="00904251">
        <w:rPr>
          <w:rFonts w:asciiTheme="minorHAnsi" w:hAnsiTheme="minorHAnsi"/>
          <w:color w:val="auto"/>
          <w:szCs w:val="24"/>
        </w:rPr>
        <w:t>not</w:t>
      </w:r>
      <w:r w:rsidR="008F171D">
        <w:rPr>
          <w:rFonts w:asciiTheme="minorHAnsi" w:hAnsiTheme="minorHAnsi"/>
          <w:color w:val="auto"/>
          <w:szCs w:val="24"/>
        </w:rPr>
        <w:t xml:space="preserve">ed </w:t>
      </w:r>
      <w:r w:rsidR="00BF2AAB">
        <w:rPr>
          <w:rFonts w:asciiTheme="minorHAnsi" w:hAnsiTheme="minorHAnsi"/>
          <w:color w:val="auto"/>
          <w:szCs w:val="24"/>
        </w:rPr>
        <w:t xml:space="preserve">that </w:t>
      </w:r>
      <w:r w:rsidR="00904251">
        <w:rPr>
          <w:rFonts w:asciiTheme="minorHAnsi" w:hAnsiTheme="minorHAnsi"/>
          <w:color w:val="auto"/>
          <w:szCs w:val="24"/>
        </w:rPr>
        <w:t xml:space="preserve">the CI’s symptoms and </w:t>
      </w:r>
      <w:r w:rsidR="00D3100B">
        <w:rPr>
          <w:rFonts w:asciiTheme="minorHAnsi" w:hAnsiTheme="minorHAnsi"/>
          <w:color w:val="auto"/>
          <w:szCs w:val="24"/>
        </w:rPr>
        <w:t xml:space="preserve">lung function testing did not meet criteria for </w:t>
      </w:r>
      <w:r w:rsidR="00904251">
        <w:rPr>
          <w:rFonts w:asciiTheme="minorHAnsi" w:hAnsiTheme="minorHAnsi"/>
          <w:color w:val="auto"/>
          <w:szCs w:val="24"/>
        </w:rPr>
        <w:t>the higher rating.</w:t>
      </w:r>
    </w:p>
    <w:p w:rsidR="00852CDA" w:rsidRDefault="00852CDA" w:rsidP="00D82A89">
      <w:pPr>
        <w:tabs>
          <w:tab w:val="left" w:pos="288"/>
          <w:tab w:val="left" w:pos="4752"/>
        </w:tabs>
        <w:spacing w:line="240" w:lineRule="exact"/>
        <w:jc w:val="both"/>
        <w:rPr>
          <w:rFonts w:asciiTheme="minorHAnsi" w:hAnsiTheme="minorHAnsi"/>
          <w:color w:val="auto"/>
          <w:szCs w:val="24"/>
        </w:rPr>
      </w:pPr>
    </w:p>
    <w:p w:rsidR="00155879" w:rsidRDefault="00852CDA" w:rsidP="00D52D91">
      <w:pPr>
        <w:tabs>
          <w:tab w:val="left" w:pos="288"/>
          <w:tab w:val="left" w:pos="4752"/>
        </w:tabs>
        <w:spacing w:line="240" w:lineRule="exact"/>
        <w:jc w:val="both"/>
        <w:rPr>
          <w:rFonts w:asciiTheme="minorHAnsi" w:hAnsiTheme="minorHAnsi"/>
          <w:color w:val="auto"/>
          <w:szCs w:val="24"/>
        </w:rPr>
      </w:pPr>
      <w:r w:rsidRPr="00852CDA">
        <w:rPr>
          <w:rFonts w:asciiTheme="minorHAnsi" w:hAnsiTheme="minorHAnsi"/>
          <w:color w:val="auto"/>
          <w:szCs w:val="24"/>
        </w:rPr>
        <w:t>The CI’s pulmonary embolism had occu</w:t>
      </w:r>
      <w:r>
        <w:rPr>
          <w:rFonts w:asciiTheme="minorHAnsi" w:hAnsiTheme="minorHAnsi"/>
          <w:color w:val="auto"/>
          <w:szCs w:val="24"/>
        </w:rPr>
        <w:t>rred two years prior to the PEB, and o</w:t>
      </w:r>
      <w:r w:rsidR="00D82A89">
        <w:rPr>
          <w:rFonts w:asciiTheme="minorHAnsi" w:hAnsiTheme="minorHAnsi"/>
          <w:color w:val="auto"/>
          <w:szCs w:val="24"/>
        </w:rPr>
        <w:t xml:space="preserve">bjective evidence of record including the CT scan in January 2003 and the lung function testing in December 2003 documented no recurrent pulmonary emboli and no residual impairment of lung function.  </w:t>
      </w:r>
      <w:r w:rsidR="00D52D91" w:rsidRPr="00894C01">
        <w:rPr>
          <w:rFonts w:asciiTheme="minorHAnsi" w:hAnsiTheme="minorHAnsi"/>
          <w:color w:val="auto"/>
          <w:szCs w:val="24"/>
        </w:rPr>
        <w:t xml:space="preserve">The Board considered whether the CI’s </w:t>
      </w:r>
      <w:r w:rsidR="00EB2790" w:rsidRPr="00894C01">
        <w:rPr>
          <w:rFonts w:asciiTheme="minorHAnsi" w:hAnsiTheme="minorHAnsi"/>
          <w:color w:val="auto"/>
          <w:szCs w:val="24"/>
        </w:rPr>
        <w:t xml:space="preserve">report of </w:t>
      </w:r>
      <w:r w:rsidR="00D52D91" w:rsidRPr="00894C01">
        <w:rPr>
          <w:rFonts w:asciiTheme="minorHAnsi" w:hAnsiTheme="minorHAnsi"/>
          <w:color w:val="auto"/>
          <w:szCs w:val="24"/>
        </w:rPr>
        <w:t xml:space="preserve">shortness of breath </w:t>
      </w:r>
      <w:r w:rsidR="00EB2790" w:rsidRPr="00894C01">
        <w:rPr>
          <w:rFonts w:asciiTheme="minorHAnsi" w:hAnsiTheme="minorHAnsi"/>
          <w:color w:val="auto"/>
          <w:szCs w:val="24"/>
        </w:rPr>
        <w:t xml:space="preserve">with jogging during the C&amp;P </w:t>
      </w:r>
      <w:r w:rsidR="00EB2790" w:rsidRPr="00894C01">
        <w:rPr>
          <w:rFonts w:asciiTheme="minorHAnsi" w:hAnsiTheme="minorHAnsi"/>
          <w:color w:val="auto"/>
          <w:szCs w:val="24"/>
        </w:rPr>
        <w:lastRenderedPageBreak/>
        <w:t xml:space="preserve">exam </w:t>
      </w:r>
      <w:r w:rsidR="00D52D91" w:rsidRPr="00894C01">
        <w:rPr>
          <w:rFonts w:asciiTheme="minorHAnsi" w:hAnsiTheme="minorHAnsi"/>
          <w:color w:val="auto"/>
          <w:szCs w:val="24"/>
        </w:rPr>
        <w:t>was linked to the history o</w:t>
      </w:r>
      <w:r w:rsidR="00EB2790" w:rsidRPr="00894C01">
        <w:rPr>
          <w:rFonts w:asciiTheme="minorHAnsi" w:hAnsiTheme="minorHAnsi"/>
          <w:color w:val="auto"/>
          <w:szCs w:val="24"/>
        </w:rPr>
        <w:t>f</w:t>
      </w:r>
      <w:r w:rsidR="00D52D91" w:rsidRPr="00894C01">
        <w:rPr>
          <w:rFonts w:asciiTheme="minorHAnsi" w:hAnsiTheme="minorHAnsi"/>
          <w:color w:val="auto"/>
          <w:szCs w:val="24"/>
        </w:rPr>
        <w:t xml:space="preserve"> pulmonary embolism.</w:t>
      </w:r>
      <w:r w:rsidR="00EB2790" w:rsidRPr="00894C01">
        <w:rPr>
          <w:rFonts w:asciiTheme="minorHAnsi" w:hAnsiTheme="minorHAnsi"/>
          <w:color w:val="auto"/>
          <w:szCs w:val="24"/>
        </w:rPr>
        <w:t xml:space="preserve">  Since the condition was stable, the Board concluded that shortness of breath was just as likely as not present prior to the time of separation.  Based on the preponderance of evidence, t</w:t>
      </w:r>
      <w:r w:rsidR="00D52D91" w:rsidRPr="00894C01">
        <w:rPr>
          <w:rFonts w:asciiTheme="minorHAnsi" w:hAnsiTheme="minorHAnsi"/>
          <w:color w:val="auto"/>
          <w:szCs w:val="24"/>
        </w:rPr>
        <w:t xml:space="preserve">he Board concluded (with one dissenting member) that the </w:t>
      </w:r>
      <w:r w:rsidR="00D82A89" w:rsidRPr="00894C01">
        <w:rPr>
          <w:rFonts w:asciiTheme="minorHAnsi" w:hAnsiTheme="minorHAnsi"/>
          <w:color w:val="auto"/>
          <w:szCs w:val="24"/>
        </w:rPr>
        <w:t xml:space="preserve">CI’s complaint of shortness of breath when jogging was not due to </w:t>
      </w:r>
      <w:r w:rsidR="00FE2277" w:rsidRPr="00894C01">
        <w:rPr>
          <w:rFonts w:asciiTheme="minorHAnsi" w:hAnsiTheme="minorHAnsi"/>
          <w:color w:val="auto"/>
          <w:szCs w:val="24"/>
        </w:rPr>
        <w:t>chronic/</w:t>
      </w:r>
      <w:r w:rsidR="00D82A89" w:rsidRPr="00894C01">
        <w:rPr>
          <w:rFonts w:asciiTheme="minorHAnsi" w:hAnsiTheme="minorHAnsi"/>
          <w:color w:val="auto"/>
          <w:szCs w:val="24"/>
        </w:rPr>
        <w:t>recurrent</w:t>
      </w:r>
      <w:r w:rsidR="00FE2277" w:rsidRPr="00894C01">
        <w:rPr>
          <w:rFonts w:asciiTheme="minorHAnsi" w:hAnsiTheme="minorHAnsi"/>
          <w:color w:val="auto"/>
          <w:szCs w:val="24"/>
        </w:rPr>
        <w:t xml:space="preserve"> </w:t>
      </w:r>
      <w:r w:rsidR="00D82A89" w:rsidRPr="00894C01">
        <w:rPr>
          <w:rFonts w:asciiTheme="minorHAnsi" w:hAnsiTheme="minorHAnsi"/>
          <w:color w:val="auto"/>
          <w:szCs w:val="24"/>
        </w:rPr>
        <w:t>pulmonary emboli or residuals of pulmonary emboli but rather due to de-conditioning</w:t>
      </w:r>
      <w:r w:rsidR="00B121CC" w:rsidRPr="00894C01">
        <w:rPr>
          <w:rFonts w:asciiTheme="minorHAnsi" w:hAnsiTheme="minorHAnsi"/>
          <w:color w:val="auto"/>
          <w:szCs w:val="24"/>
        </w:rPr>
        <w:t xml:space="preserve">.  The </w:t>
      </w:r>
      <w:r w:rsidR="00FE2277" w:rsidRPr="00894C01">
        <w:rPr>
          <w:rFonts w:asciiTheme="minorHAnsi" w:hAnsiTheme="minorHAnsi"/>
          <w:color w:val="auto"/>
          <w:szCs w:val="24"/>
        </w:rPr>
        <w:t>r</w:t>
      </w:r>
      <w:r w:rsidR="00D82A89" w:rsidRPr="00894C01">
        <w:rPr>
          <w:rFonts w:asciiTheme="minorHAnsi" w:hAnsiTheme="minorHAnsi"/>
          <w:color w:val="auto"/>
          <w:szCs w:val="24"/>
        </w:rPr>
        <w:t>ecords show the CI was obese and was not exercising</w:t>
      </w:r>
      <w:r w:rsidR="00B121CC" w:rsidRPr="00894C01">
        <w:rPr>
          <w:rFonts w:asciiTheme="minorHAnsi" w:hAnsiTheme="minorHAnsi"/>
          <w:color w:val="auto"/>
          <w:szCs w:val="24"/>
        </w:rPr>
        <w:t xml:space="preserve">, and shortness of breath with jogging is a normal result when sedentary individuals attempt vigorous exercise they do not engage in on </w:t>
      </w:r>
      <w:r w:rsidR="008F171D" w:rsidRPr="00894C01">
        <w:rPr>
          <w:rFonts w:asciiTheme="minorHAnsi" w:hAnsiTheme="minorHAnsi"/>
          <w:color w:val="auto"/>
          <w:szCs w:val="24"/>
        </w:rPr>
        <w:t xml:space="preserve">a </w:t>
      </w:r>
      <w:r w:rsidR="00B121CC" w:rsidRPr="00894C01">
        <w:rPr>
          <w:rFonts w:asciiTheme="minorHAnsi" w:hAnsiTheme="minorHAnsi"/>
          <w:color w:val="auto"/>
          <w:szCs w:val="24"/>
        </w:rPr>
        <w:t>regular long term basis.</w:t>
      </w:r>
    </w:p>
    <w:p w:rsidR="00155879" w:rsidRDefault="00155879" w:rsidP="00D82A89">
      <w:pPr>
        <w:tabs>
          <w:tab w:val="left" w:pos="288"/>
          <w:tab w:val="left" w:pos="4752"/>
        </w:tabs>
        <w:spacing w:line="240" w:lineRule="exact"/>
        <w:jc w:val="both"/>
        <w:rPr>
          <w:rFonts w:asciiTheme="minorHAnsi" w:hAnsiTheme="minorHAnsi"/>
          <w:color w:val="auto"/>
          <w:szCs w:val="24"/>
        </w:rPr>
      </w:pPr>
    </w:p>
    <w:p w:rsidR="00155879" w:rsidRDefault="00D82A89" w:rsidP="00D82A89">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 xml:space="preserve">The Board considered the CI’s contention that his condition meets VASRD criteria for </w:t>
      </w:r>
      <w:r w:rsidR="008F171D">
        <w:rPr>
          <w:rFonts w:asciiTheme="minorHAnsi" w:hAnsiTheme="minorHAnsi"/>
          <w:color w:val="auto"/>
          <w:szCs w:val="24"/>
        </w:rPr>
        <w:t xml:space="preserve">a </w:t>
      </w:r>
      <w:r>
        <w:rPr>
          <w:rFonts w:asciiTheme="minorHAnsi" w:hAnsiTheme="minorHAnsi"/>
          <w:color w:val="auto"/>
          <w:szCs w:val="24"/>
        </w:rPr>
        <w:t>60% rating</w:t>
      </w:r>
      <w:r w:rsidR="00D3100B">
        <w:rPr>
          <w:rFonts w:asciiTheme="minorHAnsi" w:hAnsiTheme="minorHAnsi"/>
          <w:color w:val="auto"/>
          <w:szCs w:val="24"/>
        </w:rPr>
        <w:t xml:space="preserve">.  The CI </w:t>
      </w:r>
      <w:r>
        <w:rPr>
          <w:rFonts w:asciiTheme="minorHAnsi" w:hAnsiTheme="minorHAnsi"/>
          <w:color w:val="auto"/>
          <w:szCs w:val="24"/>
        </w:rPr>
        <w:t>submi</w:t>
      </w:r>
      <w:r w:rsidR="0046476A">
        <w:rPr>
          <w:rFonts w:asciiTheme="minorHAnsi" w:hAnsiTheme="minorHAnsi"/>
          <w:color w:val="auto"/>
          <w:szCs w:val="24"/>
        </w:rPr>
        <w:t>t</w:t>
      </w:r>
      <w:r>
        <w:rPr>
          <w:rFonts w:asciiTheme="minorHAnsi" w:hAnsiTheme="minorHAnsi"/>
          <w:color w:val="auto"/>
          <w:szCs w:val="24"/>
        </w:rPr>
        <w:t>t</w:t>
      </w:r>
      <w:r w:rsidR="0046476A">
        <w:rPr>
          <w:rFonts w:asciiTheme="minorHAnsi" w:hAnsiTheme="minorHAnsi"/>
          <w:color w:val="auto"/>
          <w:szCs w:val="24"/>
        </w:rPr>
        <w:t>ed</w:t>
      </w:r>
      <w:r>
        <w:rPr>
          <w:rFonts w:asciiTheme="minorHAnsi" w:hAnsiTheme="minorHAnsi"/>
          <w:color w:val="auto"/>
          <w:szCs w:val="24"/>
        </w:rPr>
        <w:t xml:space="preserve"> </w:t>
      </w:r>
      <w:r w:rsidR="00D3100B">
        <w:rPr>
          <w:rFonts w:asciiTheme="minorHAnsi" w:hAnsiTheme="minorHAnsi"/>
          <w:color w:val="auto"/>
          <w:szCs w:val="24"/>
        </w:rPr>
        <w:t xml:space="preserve">a </w:t>
      </w:r>
      <w:r>
        <w:rPr>
          <w:rFonts w:asciiTheme="minorHAnsi" w:hAnsiTheme="minorHAnsi"/>
          <w:color w:val="auto"/>
          <w:szCs w:val="24"/>
        </w:rPr>
        <w:t xml:space="preserve">letter from </w:t>
      </w:r>
      <w:r w:rsidR="0046476A">
        <w:rPr>
          <w:rFonts w:asciiTheme="minorHAnsi" w:hAnsiTheme="minorHAnsi"/>
          <w:color w:val="auto"/>
          <w:szCs w:val="24"/>
        </w:rPr>
        <w:t xml:space="preserve">his </w:t>
      </w:r>
      <w:r>
        <w:rPr>
          <w:rFonts w:asciiTheme="minorHAnsi" w:hAnsiTheme="minorHAnsi"/>
          <w:color w:val="auto"/>
          <w:szCs w:val="24"/>
        </w:rPr>
        <w:t xml:space="preserve">VA clinic provider </w:t>
      </w:r>
      <w:r w:rsidR="00FE2277">
        <w:rPr>
          <w:rFonts w:asciiTheme="minorHAnsi" w:hAnsiTheme="minorHAnsi"/>
          <w:color w:val="auto"/>
          <w:szCs w:val="24"/>
        </w:rPr>
        <w:t xml:space="preserve">along with a </w:t>
      </w:r>
      <w:r>
        <w:rPr>
          <w:rFonts w:asciiTheme="minorHAnsi" w:hAnsiTheme="minorHAnsi"/>
          <w:color w:val="auto"/>
          <w:szCs w:val="24"/>
        </w:rPr>
        <w:t xml:space="preserve">copy of an Army Board for Correction of Military Records </w:t>
      </w:r>
      <w:r w:rsidR="00440ED0">
        <w:rPr>
          <w:rFonts w:asciiTheme="minorHAnsi" w:hAnsiTheme="minorHAnsi"/>
          <w:color w:val="auto"/>
          <w:szCs w:val="24"/>
        </w:rPr>
        <w:t>(</w:t>
      </w:r>
      <w:r w:rsidR="00440ED0" w:rsidRPr="00894C01">
        <w:rPr>
          <w:rFonts w:asciiTheme="minorHAnsi" w:hAnsiTheme="minorHAnsi"/>
          <w:color w:val="auto"/>
          <w:szCs w:val="24"/>
        </w:rPr>
        <w:t>ABCMR</w:t>
      </w:r>
      <w:r w:rsidR="00440ED0">
        <w:rPr>
          <w:rFonts w:asciiTheme="minorHAnsi" w:hAnsiTheme="minorHAnsi"/>
          <w:color w:val="auto"/>
          <w:szCs w:val="24"/>
        </w:rPr>
        <w:t xml:space="preserve">) </w:t>
      </w:r>
      <w:r>
        <w:rPr>
          <w:rFonts w:asciiTheme="minorHAnsi" w:hAnsiTheme="minorHAnsi"/>
          <w:color w:val="auto"/>
          <w:szCs w:val="24"/>
        </w:rPr>
        <w:t>case in support of his contention.  The letter</w:t>
      </w:r>
      <w:r w:rsidR="00FE2277">
        <w:rPr>
          <w:rFonts w:asciiTheme="minorHAnsi" w:hAnsiTheme="minorHAnsi"/>
          <w:color w:val="auto"/>
          <w:szCs w:val="24"/>
        </w:rPr>
        <w:t xml:space="preserve">, dated August 11, 2008, </w:t>
      </w:r>
      <w:r w:rsidR="00D3100B">
        <w:rPr>
          <w:rFonts w:asciiTheme="minorHAnsi" w:hAnsiTheme="minorHAnsi"/>
          <w:color w:val="auto"/>
          <w:szCs w:val="24"/>
        </w:rPr>
        <w:t xml:space="preserve">addressed </w:t>
      </w:r>
      <w:r>
        <w:rPr>
          <w:rFonts w:asciiTheme="minorHAnsi" w:hAnsiTheme="minorHAnsi"/>
          <w:color w:val="auto"/>
          <w:szCs w:val="24"/>
        </w:rPr>
        <w:t xml:space="preserve">to the Board for Correction of Navy Records from the CI’s VA medical provider states that at </w:t>
      </w:r>
      <w:r w:rsidR="001959A3">
        <w:rPr>
          <w:rFonts w:asciiTheme="minorHAnsi" w:hAnsiTheme="minorHAnsi"/>
          <w:color w:val="auto"/>
          <w:szCs w:val="24"/>
        </w:rPr>
        <w:t xml:space="preserve">the </w:t>
      </w:r>
      <w:r>
        <w:rPr>
          <w:rFonts w:asciiTheme="minorHAnsi" w:hAnsiTheme="minorHAnsi"/>
          <w:color w:val="auto"/>
          <w:szCs w:val="24"/>
        </w:rPr>
        <w:t xml:space="preserve">time of </w:t>
      </w:r>
      <w:r w:rsidR="00FE2277">
        <w:rPr>
          <w:rFonts w:asciiTheme="minorHAnsi" w:hAnsiTheme="minorHAnsi"/>
          <w:color w:val="auto"/>
          <w:szCs w:val="24"/>
        </w:rPr>
        <w:t xml:space="preserve">the </w:t>
      </w:r>
      <w:r>
        <w:rPr>
          <w:rFonts w:asciiTheme="minorHAnsi" w:hAnsiTheme="minorHAnsi"/>
          <w:color w:val="auto"/>
          <w:szCs w:val="24"/>
        </w:rPr>
        <w:t xml:space="preserve">PEB, the pulmonary embolism was completely resolved and </w:t>
      </w:r>
      <w:r w:rsidR="00FE2277">
        <w:rPr>
          <w:rFonts w:asciiTheme="minorHAnsi" w:hAnsiTheme="minorHAnsi"/>
          <w:color w:val="auto"/>
          <w:szCs w:val="24"/>
        </w:rPr>
        <w:t xml:space="preserve">the </w:t>
      </w:r>
      <w:r>
        <w:rPr>
          <w:rFonts w:asciiTheme="minorHAnsi" w:hAnsiTheme="minorHAnsi"/>
          <w:color w:val="auto"/>
          <w:szCs w:val="24"/>
        </w:rPr>
        <w:t>CI was asymptomatic.</w:t>
      </w:r>
      <w:r w:rsidR="0046476A">
        <w:rPr>
          <w:rFonts w:asciiTheme="minorHAnsi" w:hAnsiTheme="minorHAnsi"/>
          <w:color w:val="auto"/>
          <w:szCs w:val="24"/>
        </w:rPr>
        <w:t xml:space="preserve">  The </w:t>
      </w:r>
      <w:r w:rsidR="00FE2277">
        <w:rPr>
          <w:rFonts w:asciiTheme="minorHAnsi" w:hAnsiTheme="minorHAnsi"/>
          <w:color w:val="auto"/>
          <w:szCs w:val="24"/>
        </w:rPr>
        <w:t xml:space="preserve">provider </w:t>
      </w:r>
      <w:r w:rsidR="0046476A">
        <w:rPr>
          <w:rFonts w:asciiTheme="minorHAnsi" w:hAnsiTheme="minorHAnsi"/>
          <w:color w:val="auto"/>
          <w:szCs w:val="24"/>
        </w:rPr>
        <w:t xml:space="preserve">opines that chronic </w:t>
      </w:r>
      <w:r w:rsidR="00155879">
        <w:rPr>
          <w:rFonts w:asciiTheme="minorHAnsi" w:hAnsiTheme="minorHAnsi"/>
          <w:color w:val="auto"/>
          <w:szCs w:val="24"/>
        </w:rPr>
        <w:t xml:space="preserve">preventive </w:t>
      </w:r>
      <w:r w:rsidR="0046476A">
        <w:rPr>
          <w:rFonts w:asciiTheme="minorHAnsi" w:hAnsiTheme="minorHAnsi"/>
          <w:color w:val="auto"/>
          <w:szCs w:val="24"/>
        </w:rPr>
        <w:t xml:space="preserve">treatment with warfarin </w:t>
      </w:r>
      <w:r w:rsidR="00155879">
        <w:rPr>
          <w:rFonts w:asciiTheme="minorHAnsi" w:hAnsiTheme="minorHAnsi"/>
          <w:color w:val="auto"/>
          <w:szCs w:val="24"/>
        </w:rPr>
        <w:t xml:space="preserve">after a single resolved pulmonary embolism equates to criteria for </w:t>
      </w:r>
      <w:r w:rsidR="0046476A">
        <w:rPr>
          <w:rFonts w:asciiTheme="minorHAnsi" w:hAnsiTheme="minorHAnsi"/>
          <w:color w:val="auto"/>
          <w:szCs w:val="24"/>
        </w:rPr>
        <w:t xml:space="preserve">a 60% rating. </w:t>
      </w:r>
      <w:r w:rsidR="000B166D">
        <w:rPr>
          <w:rFonts w:asciiTheme="minorHAnsi" w:hAnsiTheme="minorHAnsi"/>
          <w:color w:val="auto"/>
          <w:szCs w:val="24"/>
        </w:rPr>
        <w:t xml:space="preserve"> </w:t>
      </w:r>
      <w:r w:rsidR="000B166D" w:rsidRPr="00894C01">
        <w:rPr>
          <w:rFonts w:asciiTheme="minorHAnsi" w:hAnsiTheme="minorHAnsi"/>
          <w:color w:val="auto"/>
          <w:szCs w:val="24"/>
        </w:rPr>
        <w:t xml:space="preserve">The ABCMR case, in which the ABCMR granted a 50% rating, </w:t>
      </w:r>
      <w:r w:rsidRPr="00894C01">
        <w:rPr>
          <w:rFonts w:asciiTheme="minorHAnsi" w:hAnsiTheme="minorHAnsi"/>
          <w:color w:val="auto"/>
          <w:szCs w:val="24"/>
        </w:rPr>
        <w:t xml:space="preserve">is </w:t>
      </w:r>
      <w:r w:rsidR="00840D0C" w:rsidRPr="00894C01">
        <w:rPr>
          <w:rFonts w:asciiTheme="minorHAnsi" w:hAnsiTheme="minorHAnsi"/>
          <w:color w:val="auto"/>
          <w:szCs w:val="24"/>
        </w:rPr>
        <w:t>similar in that the applicant in that case also had a genetic predisposition for blood clot formation</w:t>
      </w:r>
      <w:r w:rsidR="000B166D" w:rsidRPr="00894C01">
        <w:rPr>
          <w:rFonts w:asciiTheme="minorHAnsi" w:hAnsiTheme="minorHAnsi"/>
          <w:color w:val="auto"/>
          <w:szCs w:val="24"/>
        </w:rPr>
        <w:t>.  H</w:t>
      </w:r>
      <w:r w:rsidR="00923C88" w:rsidRPr="00894C01">
        <w:rPr>
          <w:rFonts w:asciiTheme="minorHAnsi" w:hAnsiTheme="minorHAnsi"/>
          <w:color w:val="auto"/>
          <w:szCs w:val="24"/>
        </w:rPr>
        <w:t>owever</w:t>
      </w:r>
      <w:r w:rsidR="00E4263C">
        <w:rPr>
          <w:rFonts w:asciiTheme="minorHAnsi" w:hAnsiTheme="minorHAnsi"/>
          <w:color w:val="auto"/>
          <w:szCs w:val="24"/>
        </w:rPr>
        <w:t>,</w:t>
      </w:r>
      <w:r w:rsidR="00923C88" w:rsidRPr="00894C01">
        <w:rPr>
          <w:rFonts w:asciiTheme="minorHAnsi" w:hAnsiTheme="minorHAnsi"/>
          <w:color w:val="auto"/>
          <w:szCs w:val="24"/>
        </w:rPr>
        <w:t xml:space="preserve"> </w:t>
      </w:r>
      <w:r w:rsidRPr="00894C01">
        <w:rPr>
          <w:rFonts w:asciiTheme="minorHAnsi" w:hAnsiTheme="minorHAnsi"/>
          <w:color w:val="auto"/>
          <w:szCs w:val="24"/>
        </w:rPr>
        <w:t>th</w:t>
      </w:r>
      <w:r w:rsidR="00440ED0">
        <w:rPr>
          <w:rFonts w:asciiTheme="minorHAnsi" w:hAnsiTheme="minorHAnsi"/>
          <w:color w:val="auto"/>
          <w:szCs w:val="24"/>
        </w:rPr>
        <w:t>e</w:t>
      </w:r>
      <w:r w:rsidRPr="00894C01">
        <w:rPr>
          <w:rFonts w:asciiTheme="minorHAnsi" w:hAnsiTheme="minorHAnsi"/>
          <w:color w:val="auto"/>
          <w:szCs w:val="24"/>
        </w:rPr>
        <w:t xml:space="preserve"> </w:t>
      </w:r>
      <w:r w:rsidR="00840D0C" w:rsidRPr="00894C01">
        <w:rPr>
          <w:rFonts w:asciiTheme="minorHAnsi" w:hAnsiTheme="minorHAnsi"/>
          <w:color w:val="auto"/>
          <w:szCs w:val="24"/>
        </w:rPr>
        <w:t xml:space="preserve">individual actually </w:t>
      </w:r>
      <w:r w:rsidRPr="00894C01">
        <w:rPr>
          <w:rFonts w:asciiTheme="minorHAnsi" w:hAnsiTheme="minorHAnsi"/>
          <w:color w:val="auto"/>
          <w:szCs w:val="24"/>
        </w:rPr>
        <w:t xml:space="preserve">experienced </w:t>
      </w:r>
      <w:r w:rsidR="00840D0C" w:rsidRPr="00894C01">
        <w:rPr>
          <w:rFonts w:asciiTheme="minorHAnsi" w:hAnsiTheme="minorHAnsi"/>
          <w:color w:val="auto"/>
          <w:szCs w:val="24"/>
        </w:rPr>
        <w:t>m</w:t>
      </w:r>
      <w:r w:rsidRPr="00894C01">
        <w:rPr>
          <w:rFonts w:asciiTheme="minorHAnsi" w:hAnsiTheme="minorHAnsi"/>
          <w:color w:val="auto"/>
          <w:szCs w:val="24"/>
        </w:rPr>
        <w:t>ult</w:t>
      </w:r>
      <w:r w:rsidR="00840D0C" w:rsidRPr="00894C01">
        <w:rPr>
          <w:rFonts w:asciiTheme="minorHAnsi" w:hAnsiTheme="minorHAnsi"/>
          <w:color w:val="auto"/>
          <w:szCs w:val="24"/>
        </w:rPr>
        <w:t>i</w:t>
      </w:r>
      <w:r w:rsidRPr="00894C01">
        <w:rPr>
          <w:rFonts w:asciiTheme="minorHAnsi" w:hAnsiTheme="minorHAnsi"/>
          <w:color w:val="auto"/>
          <w:szCs w:val="24"/>
        </w:rPr>
        <w:t xml:space="preserve">ple episodes of </w:t>
      </w:r>
      <w:r w:rsidR="00840D0C" w:rsidRPr="00894C01">
        <w:rPr>
          <w:rFonts w:asciiTheme="minorHAnsi" w:hAnsiTheme="minorHAnsi"/>
          <w:color w:val="auto"/>
          <w:szCs w:val="24"/>
        </w:rPr>
        <w:t>pulmonary embolism</w:t>
      </w:r>
      <w:r w:rsidRPr="00894C01">
        <w:rPr>
          <w:rFonts w:asciiTheme="minorHAnsi" w:hAnsiTheme="minorHAnsi"/>
          <w:color w:val="auto"/>
          <w:szCs w:val="24"/>
        </w:rPr>
        <w:t xml:space="preserve"> </w:t>
      </w:r>
      <w:r w:rsidR="00840D0C" w:rsidRPr="00894C01">
        <w:rPr>
          <w:rFonts w:asciiTheme="minorHAnsi" w:hAnsiTheme="minorHAnsi"/>
          <w:color w:val="auto"/>
          <w:szCs w:val="24"/>
        </w:rPr>
        <w:t>over one</w:t>
      </w:r>
      <w:r w:rsidR="00E4263C">
        <w:rPr>
          <w:rFonts w:asciiTheme="minorHAnsi" w:hAnsiTheme="minorHAnsi"/>
          <w:color w:val="auto"/>
          <w:szCs w:val="24"/>
        </w:rPr>
        <w:t>-</w:t>
      </w:r>
      <w:r w:rsidR="00840D0C" w:rsidRPr="00894C01">
        <w:rPr>
          <w:rFonts w:asciiTheme="minorHAnsi" w:hAnsiTheme="minorHAnsi"/>
          <w:color w:val="auto"/>
          <w:szCs w:val="24"/>
        </w:rPr>
        <w:t>and</w:t>
      </w:r>
      <w:r w:rsidR="00E4263C">
        <w:rPr>
          <w:rFonts w:asciiTheme="minorHAnsi" w:hAnsiTheme="minorHAnsi"/>
          <w:color w:val="auto"/>
          <w:szCs w:val="24"/>
        </w:rPr>
        <w:t>-</w:t>
      </w:r>
      <w:r w:rsidR="00840D0C" w:rsidRPr="00894C01">
        <w:rPr>
          <w:rFonts w:asciiTheme="minorHAnsi" w:hAnsiTheme="minorHAnsi"/>
          <w:color w:val="auto"/>
          <w:szCs w:val="24"/>
        </w:rPr>
        <w:t>a</w:t>
      </w:r>
      <w:r w:rsidR="00E4263C">
        <w:rPr>
          <w:rFonts w:asciiTheme="minorHAnsi" w:hAnsiTheme="minorHAnsi"/>
          <w:color w:val="auto"/>
          <w:szCs w:val="24"/>
        </w:rPr>
        <w:t>-</w:t>
      </w:r>
      <w:r w:rsidR="00840D0C" w:rsidRPr="00894C01">
        <w:rPr>
          <w:rFonts w:asciiTheme="minorHAnsi" w:hAnsiTheme="minorHAnsi"/>
          <w:color w:val="auto"/>
          <w:szCs w:val="24"/>
        </w:rPr>
        <w:t>half y</w:t>
      </w:r>
      <w:r w:rsidR="00155879" w:rsidRPr="00894C01">
        <w:rPr>
          <w:rFonts w:asciiTheme="minorHAnsi" w:hAnsiTheme="minorHAnsi"/>
          <w:color w:val="auto"/>
          <w:szCs w:val="24"/>
        </w:rPr>
        <w:t>ears</w:t>
      </w:r>
      <w:r w:rsidR="00E4263C">
        <w:rPr>
          <w:rFonts w:asciiTheme="minorHAnsi" w:hAnsiTheme="minorHAnsi"/>
          <w:color w:val="auto"/>
          <w:szCs w:val="24"/>
        </w:rPr>
        <w:t>;</w:t>
      </w:r>
      <w:r w:rsidR="000B166D" w:rsidRPr="00894C01">
        <w:rPr>
          <w:rFonts w:asciiTheme="minorHAnsi" w:hAnsiTheme="minorHAnsi"/>
          <w:color w:val="auto"/>
          <w:szCs w:val="24"/>
        </w:rPr>
        <w:t xml:space="preserve"> therefore</w:t>
      </w:r>
      <w:r w:rsidR="00D3100B" w:rsidRPr="00894C01">
        <w:rPr>
          <w:rFonts w:asciiTheme="minorHAnsi" w:hAnsiTheme="minorHAnsi"/>
          <w:color w:val="auto"/>
          <w:szCs w:val="24"/>
        </w:rPr>
        <w:t>, t</w:t>
      </w:r>
      <w:r w:rsidR="001959A3" w:rsidRPr="00894C01">
        <w:rPr>
          <w:rFonts w:asciiTheme="minorHAnsi" w:hAnsiTheme="minorHAnsi"/>
          <w:color w:val="auto"/>
          <w:szCs w:val="24"/>
        </w:rPr>
        <w:t xml:space="preserve">he Board concluded the </w:t>
      </w:r>
      <w:r w:rsidR="00D3100B" w:rsidRPr="00894C01">
        <w:rPr>
          <w:rFonts w:asciiTheme="minorHAnsi" w:hAnsiTheme="minorHAnsi"/>
          <w:color w:val="auto"/>
          <w:szCs w:val="24"/>
        </w:rPr>
        <w:t>ABCMR case was not comparable to th</w:t>
      </w:r>
      <w:r w:rsidR="000B166D" w:rsidRPr="00894C01">
        <w:rPr>
          <w:rFonts w:asciiTheme="minorHAnsi" w:hAnsiTheme="minorHAnsi"/>
          <w:color w:val="auto"/>
          <w:szCs w:val="24"/>
        </w:rPr>
        <w:t xml:space="preserve">e CI’s </w:t>
      </w:r>
      <w:r w:rsidR="00D3100B" w:rsidRPr="00894C01">
        <w:rPr>
          <w:rFonts w:asciiTheme="minorHAnsi" w:hAnsiTheme="minorHAnsi"/>
          <w:color w:val="auto"/>
          <w:szCs w:val="24"/>
        </w:rPr>
        <w:t>case.</w:t>
      </w:r>
    </w:p>
    <w:p w:rsidR="00852CDA" w:rsidRDefault="00852CDA" w:rsidP="00D82A89">
      <w:pPr>
        <w:tabs>
          <w:tab w:val="left" w:pos="288"/>
          <w:tab w:val="left" w:pos="4752"/>
        </w:tabs>
        <w:spacing w:line="240" w:lineRule="exact"/>
        <w:jc w:val="both"/>
        <w:rPr>
          <w:rFonts w:asciiTheme="minorHAnsi" w:hAnsiTheme="minorHAnsi"/>
          <w:color w:val="auto"/>
          <w:szCs w:val="24"/>
        </w:rPr>
      </w:pPr>
    </w:p>
    <w:p w:rsidR="00852CDA" w:rsidRDefault="00852CDA" w:rsidP="00852CDA">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The evidence clearly establishes that,</w:t>
      </w:r>
      <w:r w:rsidRPr="00852CDA">
        <w:rPr>
          <w:rFonts w:asciiTheme="minorHAnsi" w:hAnsiTheme="minorHAnsi"/>
          <w:color w:val="auto"/>
          <w:szCs w:val="24"/>
        </w:rPr>
        <w:t xml:space="preserve"> </w:t>
      </w:r>
      <w:r>
        <w:rPr>
          <w:rFonts w:asciiTheme="minorHAnsi" w:hAnsiTheme="minorHAnsi"/>
          <w:color w:val="auto"/>
          <w:szCs w:val="24"/>
        </w:rPr>
        <w:t xml:space="preserve">after his initial event, the CI did not have recurrent or chronic pulmonary thromboembolism as specified in the criteria for the 60% rating.  He had a genetic predisposition for the formation of blood clots and was taking warfarin to prevent possible recurrent pulmonary </w:t>
      </w:r>
      <w:r w:rsidR="008F171D">
        <w:rPr>
          <w:rFonts w:asciiTheme="minorHAnsi" w:hAnsiTheme="minorHAnsi"/>
          <w:color w:val="auto"/>
          <w:szCs w:val="24"/>
        </w:rPr>
        <w:t>thrombo</w:t>
      </w:r>
      <w:r>
        <w:rPr>
          <w:rFonts w:asciiTheme="minorHAnsi" w:hAnsiTheme="minorHAnsi"/>
          <w:color w:val="auto"/>
          <w:szCs w:val="24"/>
        </w:rPr>
        <w:t xml:space="preserve">emboli.  However, the presence of the genetic predisposition does not equate to a diagnosis of actual chronic recurrent pulmonary thromboembolism.  The fact that treatment for the predisposition has been recommended and followed does not equate with the serious level of occupation impairment that the 60% level describes and does not </w:t>
      </w:r>
      <w:r w:rsidRPr="00BF2AAB">
        <w:rPr>
          <w:rFonts w:asciiTheme="minorHAnsi" w:hAnsiTheme="minorHAnsi"/>
          <w:color w:val="auto"/>
          <w:szCs w:val="24"/>
        </w:rPr>
        <w:t>m</w:t>
      </w:r>
      <w:r>
        <w:rPr>
          <w:rFonts w:asciiTheme="minorHAnsi" w:hAnsiTheme="minorHAnsi"/>
          <w:color w:val="auto"/>
          <w:szCs w:val="24"/>
        </w:rPr>
        <w:t>e</w:t>
      </w:r>
      <w:r w:rsidRPr="00BF2AAB">
        <w:rPr>
          <w:rFonts w:asciiTheme="minorHAnsi" w:hAnsiTheme="minorHAnsi"/>
          <w:color w:val="auto"/>
          <w:szCs w:val="24"/>
        </w:rPr>
        <w:t>et the criteria for a 60</w:t>
      </w:r>
      <w:r w:rsidR="00440ED0">
        <w:rPr>
          <w:rFonts w:asciiTheme="minorHAnsi" w:hAnsiTheme="minorHAnsi"/>
          <w:color w:val="auto"/>
          <w:szCs w:val="24"/>
        </w:rPr>
        <w:t>%</w:t>
      </w:r>
      <w:r w:rsidRPr="00BF2AAB">
        <w:rPr>
          <w:rFonts w:asciiTheme="minorHAnsi" w:hAnsiTheme="minorHAnsi"/>
          <w:color w:val="auto"/>
          <w:szCs w:val="24"/>
        </w:rPr>
        <w:t xml:space="preserve"> evaluation</w:t>
      </w:r>
      <w:r w:rsidR="00440ED0">
        <w:rPr>
          <w:rFonts w:asciiTheme="minorHAnsi" w:hAnsiTheme="minorHAnsi"/>
          <w:color w:val="auto"/>
          <w:szCs w:val="24"/>
        </w:rPr>
        <w:t>.</w:t>
      </w:r>
    </w:p>
    <w:p w:rsidR="00D3100B" w:rsidRDefault="00D3100B" w:rsidP="00852CDA">
      <w:pPr>
        <w:tabs>
          <w:tab w:val="left" w:pos="288"/>
          <w:tab w:val="left" w:pos="4752"/>
        </w:tabs>
        <w:spacing w:line="240" w:lineRule="exact"/>
        <w:jc w:val="both"/>
        <w:rPr>
          <w:rFonts w:asciiTheme="minorHAnsi" w:hAnsiTheme="minorHAnsi"/>
          <w:color w:val="auto"/>
          <w:szCs w:val="24"/>
        </w:rPr>
      </w:pPr>
    </w:p>
    <w:p w:rsidR="00852CDA" w:rsidRDefault="00852CDA" w:rsidP="00852CDA">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 xml:space="preserve">IAW with </w:t>
      </w:r>
      <w:r w:rsidRPr="002255B7">
        <w:rPr>
          <w:rFonts w:asciiTheme="minorHAnsi" w:hAnsiTheme="minorHAnsi"/>
          <w:color w:val="auto"/>
          <w:szCs w:val="24"/>
        </w:rPr>
        <w:t xml:space="preserve">§ 4.1 </w:t>
      </w:r>
      <w:r>
        <w:rPr>
          <w:rFonts w:asciiTheme="minorHAnsi" w:hAnsiTheme="minorHAnsi"/>
          <w:color w:val="auto"/>
          <w:szCs w:val="24"/>
        </w:rPr>
        <w:t>(</w:t>
      </w:r>
      <w:r w:rsidR="00440ED0">
        <w:rPr>
          <w:rFonts w:asciiTheme="minorHAnsi" w:hAnsiTheme="minorHAnsi"/>
          <w:color w:val="auto"/>
          <w:szCs w:val="24"/>
        </w:rPr>
        <w:t>e</w:t>
      </w:r>
      <w:r w:rsidRPr="002255B7">
        <w:rPr>
          <w:rFonts w:asciiTheme="minorHAnsi" w:hAnsiTheme="minorHAnsi"/>
          <w:color w:val="auto"/>
          <w:szCs w:val="24"/>
        </w:rPr>
        <w:t>ssentials of evaluative rating</w:t>
      </w:r>
      <w:r>
        <w:rPr>
          <w:rFonts w:asciiTheme="minorHAnsi" w:hAnsiTheme="minorHAnsi"/>
          <w:color w:val="auto"/>
          <w:szCs w:val="24"/>
        </w:rPr>
        <w:t xml:space="preserve">), the VASRD </w:t>
      </w:r>
      <w:r w:rsidR="00687C5B">
        <w:rPr>
          <w:rFonts w:asciiTheme="minorHAnsi" w:hAnsiTheme="minorHAnsi"/>
          <w:color w:val="auto"/>
          <w:szCs w:val="24"/>
        </w:rPr>
        <w:t>i</w:t>
      </w:r>
      <w:r w:rsidR="00687C5B" w:rsidRPr="00687C5B">
        <w:rPr>
          <w:rFonts w:asciiTheme="minorHAnsi" w:hAnsiTheme="minorHAnsi"/>
          <w:color w:val="auto"/>
          <w:szCs w:val="24"/>
        </w:rPr>
        <w:t xml:space="preserve">s designed to compensate for average impairments of earning capacity resulting from service-connected </w:t>
      </w:r>
      <w:r w:rsidR="00687C5B">
        <w:rPr>
          <w:rFonts w:asciiTheme="minorHAnsi" w:hAnsiTheme="minorHAnsi"/>
          <w:color w:val="auto"/>
          <w:szCs w:val="24"/>
        </w:rPr>
        <w:t>disability in civil occupations (not military).</w:t>
      </w:r>
      <w:r w:rsidR="00A27717">
        <w:rPr>
          <w:rFonts w:asciiTheme="minorHAnsi" w:hAnsiTheme="minorHAnsi"/>
          <w:color w:val="auto"/>
          <w:szCs w:val="24"/>
        </w:rPr>
        <w:t xml:space="preserve">  </w:t>
      </w:r>
      <w:r w:rsidRPr="00BF2AAB">
        <w:rPr>
          <w:rFonts w:asciiTheme="minorHAnsi" w:hAnsiTheme="minorHAnsi"/>
          <w:color w:val="auto"/>
          <w:szCs w:val="24"/>
        </w:rPr>
        <w:t xml:space="preserve">Although the lifelong need for maintenance on blood thinners is shown, </w:t>
      </w:r>
      <w:r w:rsidR="00A27717">
        <w:rPr>
          <w:rFonts w:asciiTheme="minorHAnsi" w:hAnsiTheme="minorHAnsi"/>
          <w:color w:val="auto"/>
          <w:szCs w:val="24"/>
        </w:rPr>
        <w:t>m</w:t>
      </w:r>
      <w:r w:rsidR="00A27717" w:rsidRPr="00BF2AAB">
        <w:rPr>
          <w:rFonts w:asciiTheme="minorHAnsi" w:hAnsiTheme="minorHAnsi"/>
          <w:color w:val="auto"/>
          <w:szCs w:val="24"/>
        </w:rPr>
        <w:t>edical evidence demonstrate</w:t>
      </w:r>
      <w:r w:rsidR="008F171D">
        <w:rPr>
          <w:rFonts w:asciiTheme="minorHAnsi" w:hAnsiTheme="minorHAnsi"/>
          <w:color w:val="auto"/>
          <w:szCs w:val="24"/>
        </w:rPr>
        <w:t>d</w:t>
      </w:r>
      <w:r w:rsidR="00A27717" w:rsidRPr="00BF2AAB">
        <w:rPr>
          <w:rFonts w:asciiTheme="minorHAnsi" w:hAnsiTheme="minorHAnsi"/>
          <w:color w:val="auto"/>
          <w:szCs w:val="24"/>
        </w:rPr>
        <w:t xml:space="preserve"> no residual disability from the pulmonary embolism that can s</w:t>
      </w:r>
      <w:r w:rsidR="008F171D">
        <w:rPr>
          <w:rFonts w:asciiTheme="minorHAnsi" w:hAnsiTheme="minorHAnsi"/>
          <w:color w:val="auto"/>
          <w:szCs w:val="24"/>
        </w:rPr>
        <w:t xml:space="preserve">upport a compensable evaluation at the time of separation from military service.  </w:t>
      </w:r>
      <w:r w:rsidR="00A27717">
        <w:rPr>
          <w:rFonts w:asciiTheme="minorHAnsi" w:hAnsiTheme="minorHAnsi"/>
          <w:color w:val="auto"/>
          <w:szCs w:val="24"/>
        </w:rPr>
        <w:t xml:space="preserve">Further, there were </w:t>
      </w:r>
      <w:r w:rsidRPr="00BF2AAB">
        <w:rPr>
          <w:rFonts w:asciiTheme="minorHAnsi" w:hAnsiTheme="minorHAnsi"/>
          <w:color w:val="auto"/>
          <w:szCs w:val="24"/>
        </w:rPr>
        <w:t>no significantly disabling side</w:t>
      </w:r>
      <w:r w:rsidR="00440ED0">
        <w:rPr>
          <w:rFonts w:asciiTheme="minorHAnsi" w:hAnsiTheme="minorHAnsi"/>
          <w:color w:val="auto"/>
          <w:szCs w:val="24"/>
        </w:rPr>
        <w:t xml:space="preserve"> </w:t>
      </w:r>
      <w:r w:rsidRPr="00BF2AAB">
        <w:rPr>
          <w:rFonts w:asciiTheme="minorHAnsi" w:hAnsiTheme="minorHAnsi"/>
          <w:color w:val="auto"/>
          <w:szCs w:val="24"/>
        </w:rPr>
        <w:t xml:space="preserve">effects of the medication, and no unusual or exceptional disability factors </w:t>
      </w:r>
      <w:r w:rsidR="00D3100B">
        <w:rPr>
          <w:rFonts w:asciiTheme="minorHAnsi" w:hAnsiTheme="minorHAnsi"/>
          <w:color w:val="auto"/>
          <w:szCs w:val="24"/>
        </w:rPr>
        <w:t xml:space="preserve">were </w:t>
      </w:r>
      <w:r w:rsidRPr="00BF2AAB">
        <w:rPr>
          <w:rFonts w:asciiTheme="minorHAnsi" w:hAnsiTheme="minorHAnsi"/>
          <w:color w:val="auto"/>
          <w:szCs w:val="24"/>
        </w:rPr>
        <w:t>demonstrated with respect to the service</w:t>
      </w:r>
      <w:r w:rsidR="00D3100B">
        <w:rPr>
          <w:rFonts w:asciiTheme="minorHAnsi" w:hAnsiTheme="minorHAnsi"/>
          <w:color w:val="auto"/>
          <w:szCs w:val="24"/>
        </w:rPr>
        <w:t xml:space="preserve">-connected </w:t>
      </w:r>
      <w:r w:rsidR="00A27717">
        <w:rPr>
          <w:rFonts w:asciiTheme="minorHAnsi" w:hAnsiTheme="minorHAnsi"/>
          <w:color w:val="auto"/>
          <w:szCs w:val="24"/>
        </w:rPr>
        <w:t xml:space="preserve">thrombophilia or </w:t>
      </w:r>
      <w:r w:rsidR="00D3100B">
        <w:rPr>
          <w:rFonts w:asciiTheme="minorHAnsi" w:hAnsiTheme="minorHAnsi"/>
          <w:color w:val="auto"/>
          <w:szCs w:val="24"/>
        </w:rPr>
        <w:t>lung condition.</w:t>
      </w:r>
      <w:r w:rsidR="00A27717">
        <w:rPr>
          <w:rFonts w:asciiTheme="minorHAnsi" w:hAnsiTheme="minorHAnsi"/>
          <w:color w:val="auto"/>
          <w:szCs w:val="24"/>
        </w:rPr>
        <w:t xml:space="preserve">  </w:t>
      </w:r>
      <w:r w:rsidR="001715D5" w:rsidRPr="00BF2AAB">
        <w:rPr>
          <w:rFonts w:asciiTheme="minorHAnsi" w:hAnsiTheme="minorHAnsi"/>
          <w:color w:val="auto"/>
          <w:szCs w:val="24"/>
        </w:rPr>
        <w:t>Without evidence of a symptomatic condition following resolution of an acute pulmonary embolism, a compensable rating cannot be awarded.</w:t>
      </w:r>
      <w:r w:rsidR="00A27717">
        <w:rPr>
          <w:rFonts w:asciiTheme="minorHAnsi" w:hAnsiTheme="minorHAnsi"/>
          <w:color w:val="auto"/>
          <w:szCs w:val="24"/>
        </w:rPr>
        <w:t xml:space="preserve">  </w:t>
      </w:r>
      <w:r w:rsidR="001715D5">
        <w:rPr>
          <w:rFonts w:asciiTheme="minorHAnsi" w:hAnsiTheme="minorHAnsi"/>
          <w:color w:val="auto"/>
          <w:szCs w:val="24"/>
        </w:rPr>
        <w:t xml:space="preserve">The Board concluded that the evidence of the record </w:t>
      </w:r>
      <w:r w:rsidR="00A27717">
        <w:rPr>
          <w:rFonts w:asciiTheme="minorHAnsi" w:hAnsiTheme="minorHAnsi"/>
          <w:color w:val="auto"/>
          <w:szCs w:val="24"/>
        </w:rPr>
        <w:t xml:space="preserve">did not support a rating higher than </w:t>
      </w:r>
      <w:r w:rsidR="001715D5">
        <w:rPr>
          <w:rFonts w:asciiTheme="minorHAnsi" w:hAnsiTheme="minorHAnsi"/>
          <w:color w:val="auto"/>
          <w:szCs w:val="24"/>
        </w:rPr>
        <w:t xml:space="preserve">0%, asymptomatic, following resolution of pulmonary thromboembolism under the </w:t>
      </w:r>
      <w:r w:rsidR="008F171D">
        <w:rPr>
          <w:rFonts w:asciiTheme="minorHAnsi" w:hAnsiTheme="minorHAnsi"/>
          <w:color w:val="auto"/>
          <w:szCs w:val="24"/>
        </w:rPr>
        <w:t xml:space="preserve">diagnostic </w:t>
      </w:r>
      <w:r w:rsidR="001715D5">
        <w:rPr>
          <w:rFonts w:asciiTheme="minorHAnsi" w:hAnsiTheme="minorHAnsi"/>
          <w:color w:val="auto"/>
          <w:szCs w:val="24"/>
        </w:rPr>
        <w:t xml:space="preserve">code for pulmonary artery disease </w:t>
      </w:r>
      <w:r w:rsidR="008F171D">
        <w:rPr>
          <w:rFonts w:asciiTheme="minorHAnsi" w:hAnsiTheme="minorHAnsi"/>
          <w:color w:val="auto"/>
          <w:szCs w:val="24"/>
        </w:rPr>
        <w:t>(</w:t>
      </w:r>
      <w:r w:rsidR="001715D5">
        <w:rPr>
          <w:rFonts w:asciiTheme="minorHAnsi" w:hAnsiTheme="minorHAnsi"/>
          <w:color w:val="auto"/>
          <w:szCs w:val="24"/>
        </w:rPr>
        <w:t>6817</w:t>
      </w:r>
      <w:r w:rsidR="008F171D">
        <w:rPr>
          <w:rFonts w:asciiTheme="minorHAnsi" w:hAnsiTheme="minorHAnsi"/>
          <w:color w:val="auto"/>
          <w:szCs w:val="24"/>
        </w:rPr>
        <w:t>)</w:t>
      </w:r>
      <w:r w:rsidR="001715D5">
        <w:rPr>
          <w:rFonts w:asciiTheme="minorHAnsi" w:hAnsiTheme="minorHAnsi"/>
          <w:color w:val="auto"/>
          <w:szCs w:val="24"/>
        </w:rPr>
        <w:t xml:space="preserve">.  </w:t>
      </w:r>
      <w:r w:rsidR="00A27717">
        <w:rPr>
          <w:rFonts w:asciiTheme="minorHAnsi" w:hAnsiTheme="minorHAnsi"/>
          <w:color w:val="auto"/>
          <w:szCs w:val="24"/>
        </w:rPr>
        <w:t xml:space="preserve">There were no other residuals or manifestations of the unfitting condition that could support consideration for rating under any other codes.  </w:t>
      </w:r>
      <w:r w:rsidRPr="00FE0589">
        <w:rPr>
          <w:rFonts w:asciiTheme="minorHAnsi" w:hAnsiTheme="minorHAnsi"/>
          <w:color w:val="auto"/>
          <w:szCs w:val="24"/>
        </w:rPr>
        <w:t xml:space="preserve">All evidence considered, there is not reasonable doubt in the CI’s favor supporting a change from the PEB’s rating decision for the </w:t>
      </w:r>
      <w:r>
        <w:rPr>
          <w:rFonts w:asciiTheme="minorHAnsi" w:hAnsiTheme="minorHAnsi"/>
          <w:color w:val="auto"/>
          <w:szCs w:val="24"/>
        </w:rPr>
        <w:t>pulmonary embolism condition.</w:t>
      </w:r>
    </w:p>
    <w:p w:rsidR="00852CDA" w:rsidRDefault="00852CDA" w:rsidP="00852CDA">
      <w:pPr>
        <w:tabs>
          <w:tab w:val="left" w:pos="288"/>
          <w:tab w:val="left" w:pos="4752"/>
        </w:tabs>
        <w:spacing w:line="240" w:lineRule="exact"/>
        <w:jc w:val="both"/>
        <w:rPr>
          <w:rFonts w:asciiTheme="minorHAnsi" w:hAnsiTheme="minorHAnsi"/>
          <w:color w:val="auto"/>
          <w:szCs w:val="24"/>
        </w:rPr>
      </w:pPr>
    </w:p>
    <w:p w:rsidR="0073254D" w:rsidRPr="00C276CD" w:rsidRDefault="0073254D" w:rsidP="00DC7955">
      <w:pPr>
        <w:tabs>
          <w:tab w:val="left" w:pos="288"/>
          <w:tab w:val="left" w:pos="4752"/>
        </w:tabs>
        <w:spacing w:line="240" w:lineRule="exact"/>
        <w:jc w:val="both"/>
        <w:rPr>
          <w:rFonts w:asciiTheme="minorHAnsi" w:hAnsiTheme="minorHAnsi"/>
          <w:color w:val="auto"/>
          <w:szCs w:val="24"/>
        </w:rPr>
      </w:pPr>
      <w:proofErr w:type="gramStart"/>
      <w:r w:rsidRPr="00ED5053">
        <w:rPr>
          <w:rFonts w:asciiTheme="minorHAnsi" w:hAnsiTheme="minorHAnsi"/>
          <w:color w:val="auto"/>
          <w:szCs w:val="24"/>
          <w:u w:val="single"/>
        </w:rPr>
        <w:t xml:space="preserve">Other </w:t>
      </w:r>
      <w:r w:rsidR="00EF7B85">
        <w:rPr>
          <w:rFonts w:asciiTheme="minorHAnsi" w:hAnsiTheme="minorHAnsi"/>
          <w:color w:val="auto"/>
          <w:szCs w:val="24"/>
          <w:u w:val="single"/>
        </w:rPr>
        <w:t xml:space="preserve">PEB </w:t>
      </w:r>
      <w:r w:rsidR="00ED5053" w:rsidRPr="00396779">
        <w:rPr>
          <w:rFonts w:asciiTheme="minorHAnsi" w:hAnsiTheme="minorHAnsi"/>
          <w:color w:val="auto"/>
          <w:szCs w:val="24"/>
          <w:u w:val="single"/>
        </w:rPr>
        <w:t>Conditions</w:t>
      </w:r>
      <w:r w:rsidR="00440ED0">
        <w:rPr>
          <w:rFonts w:asciiTheme="minorHAnsi" w:hAnsiTheme="minorHAnsi"/>
          <w:color w:val="auto"/>
          <w:szCs w:val="24"/>
          <w:u w:val="single"/>
        </w:rPr>
        <w:t>.</w:t>
      </w:r>
      <w:proofErr w:type="gramEnd"/>
      <w:r w:rsidR="00ED5053">
        <w:rPr>
          <w:rFonts w:asciiTheme="minorHAnsi" w:hAnsiTheme="minorHAnsi"/>
          <w:color w:val="auto"/>
          <w:szCs w:val="24"/>
        </w:rPr>
        <w:t xml:space="preserve"> </w:t>
      </w:r>
      <w:r w:rsidR="00EF7B85">
        <w:rPr>
          <w:rFonts w:asciiTheme="minorHAnsi" w:hAnsiTheme="minorHAnsi"/>
          <w:color w:val="auto"/>
          <w:szCs w:val="24"/>
        </w:rPr>
        <w:t xml:space="preserve"> </w:t>
      </w:r>
      <w:r w:rsidRPr="00396779">
        <w:rPr>
          <w:rFonts w:asciiTheme="minorHAnsi" w:hAnsiTheme="minorHAnsi"/>
          <w:color w:val="auto"/>
          <w:szCs w:val="24"/>
        </w:rPr>
        <w:t xml:space="preserve">The </w:t>
      </w:r>
      <w:r w:rsidR="001D005A" w:rsidRPr="001D005A">
        <w:rPr>
          <w:rFonts w:asciiTheme="minorHAnsi" w:hAnsiTheme="minorHAnsi"/>
          <w:color w:val="auto"/>
          <w:szCs w:val="24"/>
        </w:rPr>
        <w:t xml:space="preserve">familial </w:t>
      </w:r>
      <w:r w:rsidR="00A27717">
        <w:rPr>
          <w:rFonts w:asciiTheme="minorHAnsi" w:hAnsiTheme="minorHAnsi"/>
          <w:color w:val="auto"/>
          <w:szCs w:val="24"/>
        </w:rPr>
        <w:t>h</w:t>
      </w:r>
      <w:r w:rsidR="001D005A" w:rsidRPr="001D005A">
        <w:rPr>
          <w:rFonts w:asciiTheme="minorHAnsi" w:hAnsiTheme="minorHAnsi"/>
          <w:color w:val="auto"/>
          <w:szCs w:val="24"/>
        </w:rPr>
        <w:t xml:space="preserve">yperlipdemia </w:t>
      </w:r>
      <w:r w:rsidRPr="00396779">
        <w:rPr>
          <w:rFonts w:asciiTheme="minorHAnsi" w:hAnsiTheme="minorHAnsi"/>
          <w:color w:val="auto"/>
          <w:szCs w:val="24"/>
        </w:rPr>
        <w:t xml:space="preserve">condition was judged to be within standards and was not identified as </w:t>
      </w:r>
      <w:r w:rsidR="001D005A">
        <w:rPr>
          <w:rFonts w:asciiTheme="minorHAnsi" w:hAnsiTheme="minorHAnsi"/>
          <w:color w:val="auto"/>
          <w:szCs w:val="24"/>
        </w:rPr>
        <w:t>impairment</w:t>
      </w:r>
      <w:r w:rsidRPr="00396779">
        <w:rPr>
          <w:rFonts w:asciiTheme="minorHAnsi" w:hAnsiTheme="minorHAnsi"/>
          <w:color w:val="auto"/>
          <w:szCs w:val="24"/>
        </w:rPr>
        <w:t xml:space="preserve"> in the </w:t>
      </w:r>
      <w:r w:rsidR="00A27717">
        <w:rPr>
          <w:rFonts w:asciiTheme="minorHAnsi" w:hAnsiTheme="minorHAnsi"/>
          <w:color w:val="auto"/>
          <w:szCs w:val="24"/>
        </w:rPr>
        <w:t>c</w:t>
      </w:r>
      <w:r w:rsidRPr="00396779">
        <w:rPr>
          <w:rFonts w:asciiTheme="minorHAnsi" w:hAnsiTheme="minorHAnsi"/>
          <w:color w:val="auto"/>
          <w:szCs w:val="24"/>
        </w:rPr>
        <w:t>ommander’s statement.  All evidence considered, there is not reasonable doubt in the CI’s favor supporting recharacterization of the PEB fitness adjudication for the</w:t>
      </w:r>
      <w:r w:rsidR="001D005A" w:rsidRPr="001D005A">
        <w:rPr>
          <w:sz w:val="18"/>
          <w:szCs w:val="18"/>
        </w:rPr>
        <w:t xml:space="preserve"> </w:t>
      </w:r>
      <w:r w:rsidR="001D005A" w:rsidRPr="001D005A">
        <w:rPr>
          <w:rFonts w:asciiTheme="minorHAnsi" w:hAnsiTheme="minorHAnsi"/>
          <w:color w:val="auto"/>
          <w:szCs w:val="24"/>
        </w:rPr>
        <w:t xml:space="preserve">familial </w:t>
      </w:r>
      <w:r w:rsidR="00A27717">
        <w:rPr>
          <w:rFonts w:asciiTheme="minorHAnsi" w:hAnsiTheme="minorHAnsi"/>
          <w:color w:val="auto"/>
          <w:szCs w:val="24"/>
        </w:rPr>
        <w:t>h</w:t>
      </w:r>
      <w:r w:rsidR="001D005A" w:rsidRPr="001D005A">
        <w:rPr>
          <w:rFonts w:asciiTheme="minorHAnsi" w:hAnsiTheme="minorHAnsi"/>
          <w:color w:val="auto"/>
          <w:szCs w:val="24"/>
        </w:rPr>
        <w:t xml:space="preserve">yperlipdemia </w:t>
      </w:r>
      <w:r w:rsidRPr="00C276CD">
        <w:rPr>
          <w:rFonts w:asciiTheme="minorHAnsi" w:hAnsiTheme="minorHAnsi"/>
          <w:color w:val="auto"/>
          <w:szCs w:val="24"/>
        </w:rPr>
        <w:t>condition.</w:t>
      </w:r>
    </w:p>
    <w:p w:rsidR="00B40ACA" w:rsidRDefault="00B40ACA" w:rsidP="00DC7955">
      <w:pPr>
        <w:spacing w:line="240" w:lineRule="exact"/>
        <w:jc w:val="both"/>
        <w:rPr>
          <w:rFonts w:asciiTheme="minorHAnsi" w:eastAsia="HiddenHorzOCR" w:hAnsiTheme="minorHAnsi"/>
          <w:color w:val="auto"/>
          <w:szCs w:val="24"/>
          <w:u w:val="single"/>
        </w:rPr>
      </w:pPr>
    </w:p>
    <w:p w:rsidR="00B40ACA" w:rsidRDefault="00B40ACA" w:rsidP="00DC7955">
      <w:pPr>
        <w:spacing w:line="240" w:lineRule="exact"/>
        <w:jc w:val="both"/>
        <w:rPr>
          <w:rFonts w:asciiTheme="minorHAnsi" w:hAnsiTheme="minorHAnsi"/>
          <w:color w:val="auto"/>
          <w:szCs w:val="24"/>
        </w:rPr>
      </w:pPr>
      <w:proofErr w:type="gramStart"/>
      <w:r w:rsidRPr="00EC337D">
        <w:rPr>
          <w:rFonts w:asciiTheme="minorHAnsi" w:hAnsiTheme="minorHAnsi"/>
          <w:color w:val="auto"/>
          <w:szCs w:val="24"/>
          <w:u w:val="single"/>
        </w:rPr>
        <w:t>Remaining Conditions</w:t>
      </w:r>
      <w:r w:rsidR="00440ED0">
        <w:rPr>
          <w:rFonts w:asciiTheme="minorHAnsi" w:hAnsiTheme="minorHAnsi"/>
          <w:color w:val="auto"/>
          <w:szCs w:val="24"/>
          <w:u w:val="single"/>
        </w:rPr>
        <w:t>.</w:t>
      </w:r>
      <w:proofErr w:type="gramEnd"/>
      <w:r w:rsidRPr="00EC337D">
        <w:rPr>
          <w:rFonts w:asciiTheme="minorHAnsi" w:hAnsiTheme="minorHAnsi"/>
          <w:color w:val="auto"/>
          <w:szCs w:val="24"/>
        </w:rPr>
        <w:t xml:space="preserve">  </w:t>
      </w:r>
      <w:r w:rsidRPr="00711350">
        <w:rPr>
          <w:rFonts w:asciiTheme="minorHAnsi" w:hAnsiTheme="minorHAnsi"/>
          <w:color w:val="auto"/>
          <w:szCs w:val="24"/>
        </w:rPr>
        <w:t>Other conditions identified in the DES file were</w:t>
      </w:r>
      <w:r w:rsidRPr="00B40ACA">
        <w:rPr>
          <w:rFonts w:asciiTheme="minorHAnsi" w:eastAsia="HiddenHorzOCR" w:hAnsiTheme="minorHAnsi"/>
          <w:color w:val="auto"/>
          <w:szCs w:val="24"/>
        </w:rPr>
        <w:t xml:space="preserve"> </w:t>
      </w:r>
      <w:r>
        <w:rPr>
          <w:rFonts w:asciiTheme="minorHAnsi" w:eastAsia="HiddenHorzOCR" w:hAnsiTheme="minorHAnsi"/>
          <w:color w:val="auto"/>
          <w:szCs w:val="24"/>
        </w:rPr>
        <w:t>back pain (</w:t>
      </w:r>
      <w:r>
        <w:rPr>
          <w:rFonts w:asciiTheme="minorHAnsi" w:hAnsiTheme="minorHAnsi"/>
          <w:color w:val="auto"/>
          <w:szCs w:val="24"/>
        </w:rPr>
        <w:t>grade 1 spondylolisthesis L5</w:t>
      </w:r>
      <w:r w:rsidR="008F171D">
        <w:rPr>
          <w:rFonts w:asciiTheme="minorHAnsi" w:hAnsiTheme="minorHAnsi"/>
          <w:color w:val="auto"/>
          <w:szCs w:val="24"/>
        </w:rPr>
        <w:t>-</w:t>
      </w:r>
      <w:r>
        <w:rPr>
          <w:rFonts w:asciiTheme="minorHAnsi" w:hAnsiTheme="minorHAnsi"/>
          <w:color w:val="auto"/>
          <w:szCs w:val="24"/>
        </w:rPr>
        <w:t xml:space="preserve"> S1</w:t>
      </w:r>
      <w:r w:rsidR="008F171D">
        <w:rPr>
          <w:rFonts w:asciiTheme="minorHAnsi" w:hAnsiTheme="minorHAnsi"/>
          <w:color w:val="auto"/>
          <w:szCs w:val="24"/>
        </w:rPr>
        <w:t>,</w:t>
      </w:r>
      <w:r>
        <w:rPr>
          <w:rFonts w:asciiTheme="minorHAnsi" w:hAnsiTheme="minorHAnsi"/>
          <w:color w:val="auto"/>
          <w:szCs w:val="24"/>
        </w:rPr>
        <w:t xml:space="preserve"> and scoliosis</w:t>
      </w:r>
      <w:r>
        <w:rPr>
          <w:rFonts w:asciiTheme="minorHAnsi" w:eastAsia="HiddenHorzOCR" w:hAnsiTheme="minorHAnsi"/>
          <w:color w:val="auto"/>
          <w:szCs w:val="24"/>
        </w:rPr>
        <w:t xml:space="preserve">) and hypothyroidism (listed on DD </w:t>
      </w:r>
      <w:r w:rsidR="00440ED0">
        <w:rPr>
          <w:rFonts w:asciiTheme="minorHAnsi" w:eastAsia="HiddenHorzOCR" w:hAnsiTheme="minorHAnsi"/>
          <w:color w:val="auto"/>
          <w:szCs w:val="24"/>
        </w:rPr>
        <w:t>F</w:t>
      </w:r>
      <w:r>
        <w:rPr>
          <w:rFonts w:asciiTheme="minorHAnsi" w:eastAsia="HiddenHorzOCR" w:hAnsiTheme="minorHAnsi"/>
          <w:color w:val="auto"/>
          <w:szCs w:val="24"/>
        </w:rPr>
        <w:t>orm</w:t>
      </w:r>
      <w:r w:rsidR="00705EAB">
        <w:rPr>
          <w:rFonts w:asciiTheme="minorHAnsi" w:eastAsia="HiddenHorzOCR" w:hAnsiTheme="minorHAnsi"/>
          <w:color w:val="auto"/>
          <w:szCs w:val="24"/>
        </w:rPr>
        <w:t xml:space="preserve"> 2807)</w:t>
      </w:r>
      <w:r>
        <w:rPr>
          <w:rFonts w:asciiTheme="minorHAnsi" w:eastAsia="HiddenHorzOCR" w:hAnsiTheme="minorHAnsi"/>
          <w:color w:val="auto"/>
          <w:szCs w:val="24"/>
        </w:rPr>
        <w:t xml:space="preserve">.  Available records show the CI sought care for intermittent low back pain beginning in 1989.  The last </w:t>
      </w:r>
      <w:r>
        <w:rPr>
          <w:rFonts w:asciiTheme="minorHAnsi" w:eastAsia="HiddenHorzOCR" w:hAnsiTheme="minorHAnsi"/>
          <w:color w:val="auto"/>
          <w:szCs w:val="24"/>
        </w:rPr>
        <w:lastRenderedPageBreak/>
        <w:t xml:space="preserve">available medical record entry is from 1999 when he sought care for back pain of a few days duration. </w:t>
      </w:r>
      <w:r w:rsidR="00A27717">
        <w:rPr>
          <w:rFonts w:asciiTheme="minorHAnsi" w:eastAsia="HiddenHorzOCR" w:hAnsiTheme="minorHAnsi"/>
          <w:color w:val="auto"/>
          <w:szCs w:val="24"/>
        </w:rPr>
        <w:t xml:space="preserve"> </w:t>
      </w:r>
      <w:r>
        <w:rPr>
          <w:rFonts w:asciiTheme="minorHAnsi" w:eastAsia="HiddenHorzOCR" w:hAnsiTheme="minorHAnsi"/>
          <w:color w:val="auto"/>
          <w:szCs w:val="24"/>
        </w:rPr>
        <w:t xml:space="preserve">At the time of the MEB history and physical examination, the CI noted the history of recurrent low back pain but there was no comments made regarding symptoms or limitation.  </w:t>
      </w:r>
      <w:r w:rsidRPr="00B40ACA">
        <w:rPr>
          <w:rFonts w:asciiTheme="minorHAnsi" w:eastAsia="HiddenHorzOCR" w:hAnsiTheme="minorHAnsi"/>
          <w:color w:val="auto"/>
          <w:szCs w:val="24"/>
        </w:rPr>
        <w:t xml:space="preserve">None of these conditions were clinically active during the MEB period, were the basis of </w:t>
      </w:r>
      <w:r w:rsidR="00A27717">
        <w:rPr>
          <w:rFonts w:asciiTheme="minorHAnsi" w:eastAsia="HiddenHorzOCR" w:hAnsiTheme="minorHAnsi"/>
          <w:color w:val="auto"/>
          <w:szCs w:val="24"/>
        </w:rPr>
        <w:t xml:space="preserve">a </w:t>
      </w:r>
      <w:r w:rsidR="00440ED0">
        <w:rPr>
          <w:rFonts w:asciiTheme="minorHAnsi" w:eastAsia="HiddenHorzOCR" w:hAnsiTheme="minorHAnsi"/>
          <w:color w:val="auto"/>
          <w:szCs w:val="24"/>
        </w:rPr>
        <w:t>limited duty period</w:t>
      </w:r>
      <w:r w:rsidRPr="00B40ACA">
        <w:rPr>
          <w:rFonts w:asciiTheme="minorHAnsi" w:eastAsia="HiddenHorzOCR" w:hAnsiTheme="minorHAnsi"/>
          <w:color w:val="auto"/>
          <w:szCs w:val="24"/>
        </w:rPr>
        <w:t>, and none were implicated in the commander’s non-medical assessment.  These</w:t>
      </w:r>
      <w:r w:rsidRPr="00711350">
        <w:rPr>
          <w:rFonts w:asciiTheme="minorHAnsi" w:hAnsiTheme="minorHAnsi"/>
          <w:color w:val="auto"/>
          <w:szCs w:val="24"/>
        </w:rPr>
        <w:t xml:space="preserve"> conditions were reviewed by the </w:t>
      </w:r>
      <w:r>
        <w:rPr>
          <w:rFonts w:asciiTheme="minorHAnsi" w:hAnsiTheme="minorHAnsi"/>
          <w:color w:val="auto"/>
          <w:szCs w:val="24"/>
        </w:rPr>
        <w:t>a</w:t>
      </w:r>
      <w:r w:rsidRPr="00711350">
        <w:rPr>
          <w:rFonts w:asciiTheme="minorHAnsi" w:hAnsiTheme="minorHAnsi"/>
          <w:color w:val="auto"/>
          <w:szCs w:val="24"/>
        </w:rPr>
        <w:t xml:space="preserve">ction </w:t>
      </w:r>
      <w:r>
        <w:rPr>
          <w:rFonts w:asciiTheme="minorHAnsi" w:hAnsiTheme="minorHAnsi"/>
          <w:color w:val="auto"/>
          <w:szCs w:val="24"/>
        </w:rPr>
        <w:t>o</w:t>
      </w:r>
      <w:r w:rsidRPr="00711350">
        <w:rPr>
          <w:rFonts w:asciiTheme="minorHAnsi" w:hAnsiTheme="minorHAnsi"/>
          <w:color w:val="auto"/>
          <w:szCs w:val="24"/>
        </w:rPr>
        <w:t>fficer and considered by the Board.  It was determined that none could be argued as unfitting and subject to separation rating.</w:t>
      </w:r>
      <w:r w:rsidR="00705EAB">
        <w:rPr>
          <w:rFonts w:asciiTheme="minorHAnsi" w:hAnsiTheme="minorHAnsi"/>
          <w:color w:val="auto"/>
          <w:szCs w:val="24"/>
        </w:rPr>
        <w:t xml:space="preserve">  </w:t>
      </w:r>
      <w:r w:rsidRPr="00B56F3D">
        <w:rPr>
          <w:rFonts w:asciiTheme="minorHAnsi" w:hAnsiTheme="minorHAnsi"/>
          <w:color w:val="auto"/>
          <w:szCs w:val="24"/>
        </w:rPr>
        <w:t>The Board therefore has no reasonable basis for recommending any additional unfitting conditions for separation rating.</w:t>
      </w:r>
    </w:p>
    <w:p w:rsidR="00106AD8" w:rsidRPr="00CD5BD7" w:rsidRDefault="00106AD8" w:rsidP="00106AD8">
      <w:pPr>
        <w:pBdr>
          <w:bottom w:val="single" w:sz="12" w:space="1" w:color="auto"/>
        </w:pBdr>
        <w:tabs>
          <w:tab w:val="left" w:pos="288"/>
          <w:tab w:val="left" w:pos="4752"/>
        </w:tabs>
        <w:spacing w:line="240" w:lineRule="exact"/>
        <w:jc w:val="both"/>
        <w:rPr>
          <w:rFonts w:ascii="Calibri" w:hAnsi="Calibri"/>
          <w:color w:val="auto"/>
          <w:szCs w:val="24"/>
        </w:rPr>
      </w:pPr>
    </w:p>
    <w:p w:rsidR="00106AD8" w:rsidRPr="00CD5BD7" w:rsidRDefault="00106AD8" w:rsidP="00106AD8">
      <w:pPr>
        <w:tabs>
          <w:tab w:val="left" w:pos="288"/>
          <w:tab w:val="left" w:pos="4752"/>
        </w:tabs>
        <w:spacing w:line="240" w:lineRule="exact"/>
        <w:rPr>
          <w:rFonts w:ascii="Calibri" w:hAnsi="Calibri"/>
          <w:color w:val="000080"/>
          <w:szCs w:val="24"/>
        </w:rPr>
      </w:pPr>
    </w:p>
    <w:p w:rsidR="00705EAB" w:rsidRDefault="00C56FC8" w:rsidP="00DD64E0">
      <w:pPr>
        <w:spacing w:line="240" w:lineRule="exact"/>
        <w:jc w:val="both"/>
        <w:rPr>
          <w:rFonts w:asciiTheme="minorHAnsi" w:hAnsiTheme="minorHAnsi"/>
          <w:color w:val="FF0000"/>
          <w:szCs w:val="24"/>
        </w:rPr>
      </w:pPr>
      <w:r w:rsidRPr="00C276CD">
        <w:rPr>
          <w:rFonts w:asciiTheme="minorHAnsi" w:hAnsiTheme="minorHAnsi"/>
          <w:color w:val="auto"/>
          <w:szCs w:val="24"/>
          <w:u w:val="single"/>
        </w:rPr>
        <w:t>BOARD FINDINGS</w:t>
      </w:r>
      <w:r w:rsidRPr="00C276CD">
        <w:rPr>
          <w:rFonts w:asciiTheme="minorHAnsi" w:hAnsiTheme="minorHAnsi"/>
          <w:color w:val="auto"/>
          <w:szCs w:val="24"/>
        </w:rPr>
        <w:t>:</w:t>
      </w:r>
      <w:r w:rsidRPr="00C276CD">
        <w:rPr>
          <w:rFonts w:asciiTheme="minorHAnsi" w:eastAsiaTheme="minorHAnsi" w:hAnsiTheme="minorHAnsi"/>
          <w:color w:val="auto"/>
          <w:szCs w:val="24"/>
        </w:rPr>
        <w:t xml:space="preserve">  IAW DoDI 6040.44, provisions </w:t>
      </w:r>
      <w:r w:rsidRPr="00396779">
        <w:rPr>
          <w:rFonts w:asciiTheme="minorHAnsi" w:eastAsiaTheme="minorHAnsi" w:hAnsiTheme="minorHAnsi"/>
          <w:color w:val="auto"/>
          <w:szCs w:val="24"/>
        </w:rPr>
        <w:t xml:space="preserve">of DoD or Military Department regulations or guidelines relied upon by the PEB will not be considered by the Board to the extent they were inconsistent with the VASRD in effect at the time of the adjudication. </w:t>
      </w:r>
      <w:r w:rsidR="001D68CF" w:rsidRPr="00396779">
        <w:rPr>
          <w:rFonts w:asciiTheme="minorHAnsi" w:eastAsiaTheme="minorHAnsi" w:hAnsiTheme="minorHAnsi"/>
          <w:color w:val="auto"/>
          <w:szCs w:val="24"/>
        </w:rPr>
        <w:t xml:space="preserve"> </w:t>
      </w:r>
      <w:r w:rsidR="00412658" w:rsidRPr="00396779">
        <w:rPr>
          <w:rFonts w:asciiTheme="minorHAnsi" w:eastAsiaTheme="minorHAnsi" w:hAnsiTheme="minorHAnsi"/>
          <w:color w:val="auto"/>
          <w:szCs w:val="24"/>
        </w:rPr>
        <w:t xml:space="preserve">In the matter of the </w:t>
      </w:r>
      <w:r w:rsidR="00705EAB">
        <w:rPr>
          <w:rFonts w:asciiTheme="minorHAnsi" w:eastAsiaTheme="minorHAnsi" w:hAnsiTheme="minorHAnsi"/>
          <w:color w:val="auto"/>
          <w:szCs w:val="24"/>
        </w:rPr>
        <w:t xml:space="preserve">pulmonary embolism and </w:t>
      </w:r>
      <w:proofErr w:type="spellStart"/>
      <w:r w:rsidR="00705EAB">
        <w:rPr>
          <w:rFonts w:asciiTheme="minorHAnsi" w:eastAsiaTheme="minorHAnsi" w:hAnsiTheme="minorHAnsi"/>
          <w:color w:val="auto"/>
          <w:szCs w:val="24"/>
        </w:rPr>
        <w:t>thrombophilia</w:t>
      </w:r>
      <w:proofErr w:type="spellEnd"/>
      <w:r w:rsidR="00705EAB">
        <w:rPr>
          <w:rFonts w:asciiTheme="minorHAnsi" w:eastAsiaTheme="minorHAnsi" w:hAnsiTheme="minorHAnsi"/>
          <w:color w:val="auto"/>
          <w:szCs w:val="24"/>
        </w:rPr>
        <w:t xml:space="preserve"> </w:t>
      </w:r>
      <w:r w:rsidR="00412658" w:rsidRPr="00396779">
        <w:rPr>
          <w:rFonts w:asciiTheme="minorHAnsi" w:eastAsiaTheme="minorHAnsi" w:hAnsiTheme="minorHAnsi"/>
          <w:color w:val="auto"/>
          <w:szCs w:val="24"/>
        </w:rPr>
        <w:t xml:space="preserve">condition and </w:t>
      </w:r>
      <w:r w:rsidR="00412658" w:rsidRPr="00B82D63">
        <w:rPr>
          <w:rFonts w:asciiTheme="minorHAnsi" w:eastAsiaTheme="minorHAnsi" w:hAnsiTheme="minorHAnsi"/>
          <w:color w:val="auto"/>
          <w:szCs w:val="24"/>
        </w:rPr>
        <w:t>IAW VASRD §4.</w:t>
      </w:r>
      <w:r w:rsidR="00705EAB" w:rsidRPr="00B82D63">
        <w:rPr>
          <w:rFonts w:asciiTheme="minorHAnsi" w:eastAsiaTheme="minorHAnsi" w:hAnsiTheme="minorHAnsi"/>
          <w:color w:val="auto"/>
          <w:szCs w:val="24"/>
        </w:rPr>
        <w:t>9</w:t>
      </w:r>
      <w:r w:rsidR="00412658" w:rsidRPr="00B82D63">
        <w:rPr>
          <w:rFonts w:asciiTheme="minorHAnsi" w:eastAsiaTheme="minorHAnsi" w:hAnsiTheme="minorHAnsi"/>
          <w:color w:val="auto"/>
          <w:szCs w:val="24"/>
        </w:rPr>
        <w:t>7</w:t>
      </w:r>
      <w:r w:rsidR="00412658" w:rsidRPr="00396779">
        <w:rPr>
          <w:rFonts w:asciiTheme="minorHAnsi" w:eastAsiaTheme="minorHAnsi" w:hAnsiTheme="minorHAnsi"/>
          <w:color w:val="auto"/>
          <w:szCs w:val="24"/>
        </w:rPr>
        <w:t xml:space="preserve">, the Board </w:t>
      </w:r>
      <w:r w:rsidR="00B82D63" w:rsidRPr="00B82D63">
        <w:rPr>
          <w:rFonts w:asciiTheme="minorHAnsi" w:eastAsiaTheme="minorHAnsi" w:hAnsiTheme="minorHAnsi"/>
          <w:color w:val="auto"/>
          <w:szCs w:val="24"/>
        </w:rPr>
        <w:t xml:space="preserve">by a vote of 2:1 </w:t>
      </w:r>
      <w:r w:rsidR="00412658" w:rsidRPr="00396779">
        <w:rPr>
          <w:rFonts w:asciiTheme="minorHAnsi" w:eastAsiaTheme="minorHAnsi" w:hAnsiTheme="minorHAnsi"/>
          <w:color w:val="auto"/>
          <w:szCs w:val="24"/>
        </w:rPr>
        <w:t>recommends no change in the PEB adjudication</w:t>
      </w:r>
      <w:r w:rsidR="00412658" w:rsidRPr="00B82D63">
        <w:rPr>
          <w:rFonts w:asciiTheme="minorHAnsi" w:eastAsiaTheme="minorHAnsi" w:hAnsiTheme="minorHAnsi"/>
          <w:color w:val="auto"/>
          <w:szCs w:val="24"/>
        </w:rPr>
        <w:t>.</w:t>
      </w:r>
      <w:r w:rsidR="00B82D63" w:rsidRPr="00B82D63">
        <w:rPr>
          <w:rFonts w:asciiTheme="minorHAnsi" w:eastAsiaTheme="minorHAnsi" w:hAnsiTheme="minorHAnsi"/>
          <w:color w:val="auto"/>
          <w:szCs w:val="24"/>
        </w:rPr>
        <w:t xml:space="preserve">  The single voter for dissent (who recommended 30%) did not elect to submit a minority opinion.</w:t>
      </w:r>
      <w:r w:rsidR="00B82D63">
        <w:rPr>
          <w:rFonts w:asciiTheme="minorHAnsi" w:eastAsiaTheme="minorHAnsi" w:hAnsiTheme="minorHAnsi"/>
          <w:color w:val="auto"/>
          <w:szCs w:val="24"/>
        </w:rPr>
        <w:t xml:space="preserve">  </w:t>
      </w:r>
      <w:r w:rsidR="00412658" w:rsidRPr="00B82D63">
        <w:rPr>
          <w:rFonts w:asciiTheme="minorHAnsi" w:eastAsiaTheme="minorHAnsi" w:hAnsiTheme="minorHAnsi"/>
          <w:color w:val="auto"/>
          <w:szCs w:val="24"/>
        </w:rPr>
        <w:t xml:space="preserve">In the matter of the </w:t>
      </w:r>
      <w:r w:rsidR="00705EAB" w:rsidRPr="00B82D63">
        <w:rPr>
          <w:rFonts w:asciiTheme="minorHAnsi" w:eastAsiaTheme="minorHAnsi" w:hAnsiTheme="minorHAnsi"/>
          <w:color w:val="auto"/>
          <w:szCs w:val="24"/>
        </w:rPr>
        <w:t xml:space="preserve">back </w:t>
      </w:r>
      <w:r w:rsidR="00412658" w:rsidRPr="00396779">
        <w:rPr>
          <w:rFonts w:asciiTheme="minorHAnsi" w:eastAsiaTheme="minorHAnsi" w:hAnsiTheme="minorHAnsi"/>
          <w:color w:val="auto"/>
          <w:szCs w:val="24"/>
        </w:rPr>
        <w:t>condition</w:t>
      </w:r>
      <w:r w:rsidR="00705EAB">
        <w:rPr>
          <w:rFonts w:asciiTheme="minorHAnsi" w:eastAsiaTheme="minorHAnsi" w:hAnsiTheme="minorHAnsi"/>
          <w:color w:val="auto"/>
          <w:szCs w:val="24"/>
        </w:rPr>
        <w:t xml:space="preserve"> </w:t>
      </w:r>
      <w:r w:rsidR="00412658" w:rsidRPr="00B82D63">
        <w:rPr>
          <w:rFonts w:asciiTheme="minorHAnsi" w:eastAsiaTheme="minorHAnsi" w:hAnsiTheme="minorHAnsi"/>
          <w:color w:val="auto"/>
          <w:szCs w:val="24"/>
        </w:rPr>
        <w:t>or any other medical conditions eligible for Board consideration</w:t>
      </w:r>
      <w:r w:rsidR="00440ED0">
        <w:rPr>
          <w:rFonts w:asciiTheme="minorHAnsi" w:eastAsiaTheme="minorHAnsi" w:hAnsiTheme="minorHAnsi"/>
          <w:color w:val="auto"/>
          <w:szCs w:val="24"/>
        </w:rPr>
        <w:t>,</w:t>
      </w:r>
      <w:r w:rsidR="00412658" w:rsidRPr="00B82D63">
        <w:rPr>
          <w:rFonts w:asciiTheme="minorHAnsi" w:eastAsiaTheme="minorHAnsi" w:hAnsiTheme="minorHAnsi"/>
          <w:color w:val="auto"/>
          <w:szCs w:val="24"/>
        </w:rPr>
        <w:t xml:space="preserve"> the Board unanimously agrees</w:t>
      </w:r>
      <w:r w:rsidR="00412658" w:rsidRPr="00396779">
        <w:rPr>
          <w:rFonts w:asciiTheme="minorHAnsi" w:hAnsiTheme="minorHAnsi"/>
          <w:color w:val="auto"/>
          <w:szCs w:val="24"/>
        </w:rPr>
        <w:t xml:space="preserve"> that it cannot</w:t>
      </w:r>
      <w:r w:rsidR="00412658" w:rsidRPr="00396779">
        <w:rPr>
          <w:rFonts w:asciiTheme="minorHAnsi" w:hAnsiTheme="minorHAnsi"/>
          <w:color w:val="000080"/>
          <w:szCs w:val="24"/>
        </w:rPr>
        <w:t xml:space="preserve"> </w:t>
      </w:r>
      <w:r w:rsidR="00412658" w:rsidRPr="00396779">
        <w:rPr>
          <w:rFonts w:asciiTheme="minorHAnsi" w:hAnsiTheme="minorHAnsi"/>
          <w:color w:val="auto"/>
          <w:szCs w:val="24"/>
        </w:rPr>
        <w:t>recommend any findings of unfit for additional rating at separation.</w:t>
      </w:r>
    </w:p>
    <w:p w:rsidR="00106AD8" w:rsidRPr="00CD5BD7" w:rsidRDefault="00106AD8" w:rsidP="00106AD8">
      <w:pPr>
        <w:pBdr>
          <w:bottom w:val="single" w:sz="12" w:space="1" w:color="auto"/>
        </w:pBdr>
        <w:tabs>
          <w:tab w:val="left" w:pos="288"/>
          <w:tab w:val="left" w:pos="4752"/>
        </w:tabs>
        <w:spacing w:line="240" w:lineRule="exact"/>
        <w:jc w:val="both"/>
        <w:rPr>
          <w:rFonts w:ascii="Calibri" w:hAnsi="Calibri"/>
          <w:color w:val="auto"/>
          <w:szCs w:val="24"/>
        </w:rPr>
      </w:pPr>
    </w:p>
    <w:p w:rsidR="00106AD8" w:rsidRPr="00CD5BD7" w:rsidRDefault="00106AD8" w:rsidP="00106AD8">
      <w:pPr>
        <w:tabs>
          <w:tab w:val="left" w:pos="288"/>
          <w:tab w:val="left" w:pos="4752"/>
        </w:tabs>
        <w:spacing w:line="240" w:lineRule="exact"/>
        <w:rPr>
          <w:rFonts w:ascii="Calibri" w:hAnsi="Calibri"/>
          <w:color w:val="000080"/>
          <w:szCs w:val="24"/>
        </w:rPr>
      </w:pPr>
    </w:p>
    <w:p w:rsidR="00705EAB" w:rsidRPr="00B427BB" w:rsidRDefault="00C56FC8" w:rsidP="00705EAB">
      <w:pPr>
        <w:tabs>
          <w:tab w:val="left" w:pos="288"/>
          <w:tab w:val="left" w:pos="4752"/>
        </w:tabs>
        <w:spacing w:line="240" w:lineRule="exact"/>
        <w:jc w:val="both"/>
        <w:rPr>
          <w:rFonts w:asciiTheme="minorHAnsi" w:hAnsiTheme="minorHAnsi"/>
          <w:color w:val="auto"/>
          <w:szCs w:val="24"/>
        </w:rPr>
      </w:pPr>
      <w:r w:rsidRPr="00396779">
        <w:rPr>
          <w:rFonts w:asciiTheme="minorHAnsi" w:hAnsiTheme="minorHAnsi"/>
          <w:color w:val="auto"/>
          <w:szCs w:val="24"/>
          <w:u w:val="single"/>
        </w:rPr>
        <w:t>RECOMMENDATION</w:t>
      </w:r>
      <w:r w:rsidRPr="00396779">
        <w:rPr>
          <w:rFonts w:asciiTheme="minorHAnsi" w:hAnsiTheme="minorHAnsi"/>
          <w:color w:val="auto"/>
          <w:szCs w:val="24"/>
        </w:rPr>
        <w:t>:</w:t>
      </w:r>
      <w:r w:rsidRPr="00396779">
        <w:rPr>
          <w:rFonts w:asciiTheme="minorHAnsi" w:hAnsiTheme="minorHAnsi"/>
          <w:color w:val="000080"/>
          <w:szCs w:val="24"/>
        </w:rPr>
        <w:t xml:space="preserve"> </w:t>
      </w:r>
      <w:r w:rsidR="00705EAB">
        <w:rPr>
          <w:rFonts w:asciiTheme="minorHAnsi" w:hAnsiTheme="minorHAnsi"/>
          <w:color w:val="000080"/>
          <w:szCs w:val="24"/>
        </w:rPr>
        <w:t xml:space="preserve"> </w:t>
      </w:r>
      <w:r w:rsidR="00705EAB" w:rsidRPr="00440ED0">
        <w:rPr>
          <w:rFonts w:asciiTheme="minorHAnsi" w:hAnsiTheme="minorHAnsi"/>
          <w:color w:val="auto"/>
          <w:szCs w:val="24"/>
        </w:rPr>
        <w:t xml:space="preserve">The </w:t>
      </w:r>
      <w:r w:rsidRPr="00396779">
        <w:rPr>
          <w:rFonts w:asciiTheme="minorHAnsi" w:hAnsiTheme="minorHAnsi"/>
          <w:color w:val="auto"/>
          <w:szCs w:val="24"/>
        </w:rPr>
        <w:t xml:space="preserve">Board therefore recommends that there be no recharacterization of the CI’s </w:t>
      </w:r>
      <w:r w:rsidRPr="00B427BB">
        <w:rPr>
          <w:rFonts w:asciiTheme="minorHAnsi" w:hAnsiTheme="minorHAnsi"/>
          <w:color w:val="auto"/>
          <w:szCs w:val="24"/>
        </w:rPr>
        <w:t>disability and separation determination.</w:t>
      </w:r>
    </w:p>
    <w:p w:rsidR="004101B2" w:rsidRPr="00396779" w:rsidRDefault="004101B2" w:rsidP="00190E48">
      <w:pPr>
        <w:tabs>
          <w:tab w:val="left" w:pos="288"/>
          <w:tab w:val="left" w:pos="4752"/>
        </w:tabs>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396779" w:rsidTr="00911490">
        <w:trPr>
          <w:trHeight w:val="233"/>
          <w:jc w:val="center"/>
        </w:trPr>
        <w:tc>
          <w:tcPr>
            <w:tcW w:w="6480" w:type="dxa"/>
            <w:shd w:val="clear" w:color="auto" w:fill="D9D9D9"/>
          </w:tcPr>
          <w:p w:rsidR="00A95BBA" w:rsidRPr="00396779" w:rsidRDefault="00A95BBA" w:rsidP="00106AD8">
            <w:pPr>
              <w:tabs>
                <w:tab w:val="left" w:pos="288"/>
                <w:tab w:val="left" w:pos="4752"/>
              </w:tabs>
              <w:spacing w:before="20" w:line="240" w:lineRule="exact"/>
              <w:jc w:val="both"/>
              <w:rPr>
                <w:rFonts w:asciiTheme="minorHAnsi" w:hAnsiTheme="minorHAnsi"/>
                <w:b/>
                <w:color w:val="auto"/>
                <w:szCs w:val="24"/>
              </w:rPr>
            </w:pPr>
            <w:r w:rsidRPr="00396779">
              <w:rPr>
                <w:rFonts w:asciiTheme="minorHAnsi" w:hAnsiTheme="minorHAnsi"/>
                <w:b/>
                <w:color w:val="auto"/>
                <w:szCs w:val="24"/>
              </w:rPr>
              <w:t>UNFITTING CONDITION</w:t>
            </w:r>
          </w:p>
        </w:tc>
        <w:tc>
          <w:tcPr>
            <w:tcW w:w="1710" w:type="dxa"/>
            <w:shd w:val="clear" w:color="auto" w:fill="D9D9D9"/>
          </w:tcPr>
          <w:p w:rsidR="00A95BBA" w:rsidRPr="00396779" w:rsidRDefault="00A95BBA" w:rsidP="00911490">
            <w:pPr>
              <w:tabs>
                <w:tab w:val="left" w:pos="288"/>
                <w:tab w:val="left" w:pos="4752"/>
              </w:tabs>
              <w:spacing w:before="20" w:line="240" w:lineRule="exact"/>
              <w:jc w:val="center"/>
              <w:rPr>
                <w:rFonts w:asciiTheme="minorHAnsi" w:hAnsiTheme="minorHAnsi"/>
                <w:b/>
                <w:color w:val="auto"/>
                <w:szCs w:val="24"/>
              </w:rPr>
            </w:pPr>
            <w:r w:rsidRPr="00396779">
              <w:rPr>
                <w:rFonts w:asciiTheme="minorHAnsi" w:hAnsiTheme="minorHAnsi"/>
                <w:b/>
                <w:color w:val="auto"/>
                <w:szCs w:val="24"/>
              </w:rPr>
              <w:t>VASRD CODE</w:t>
            </w:r>
          </w:p>
        </w:tc>
        <w:tc>
          <w:tcPr>
            <w:tcW w:w="1170" w:type="dxa"/>
            <w:shd w:val="clear" w:color="auto" w:fill="D9D9D9"/>
          </w:tcPr>
          <w:p w:rsidR="00A95BBA" w:rsidRPr="00396779" w:rsidRDefault="00A95BBA" w:rsidP="00911490">
            <w:pPr>
              <w:tabs>
                <w:tab w:val="left" w:pos="288"/>
                <w:tab w:val="left" w:pos="4752"/>
              </w:tabs>
              <w:spacing w:before="20" w:line="240" w:lineRule="exact"/>
              <w:jc w:val="center"/>
              <w:rPr>
                <w:rFonts w:asciiTheme="minorHAnsi" w:hAnsiTheme="minorHAnsi"/>
                <w:b/>
                <w:color w:val="auto"/>
                <w:szCs w:val="24"/>
              </w:rPr>
            </w:pPr>
            <w:r w:rsidRPr="00396779">
              <w:rPr>
                <w:rFonts w:asciiTheme="minorHAnsi" w:hAnsiTheme="minorHAnsi"/>
                <w:b/>
                <w:color w:val="auto"/>
                <w:szCs w:val="24"/>
              </w:rPr>
              <w:t>RATING</w:t>
            </w:r>
          </w:p>
        </w:tc>
      </w:tr>
      <w:tr w:rsidR="00A95BBA" w:rsidRPr="00396779" w:rsidTr="0085089F">
        <w:trPr>
          <w:jc w:val="center"/>
        </w:trPr>
        <w:tc>
          <w:tcPr>
            <w:tcW w:w="6480" w:type="dxa"/>
          </w:tcPr>
          <w:p w:rsidR="00A95BBA" w:rsidRPr="00396779" w:rsidRDefault="00705EAB" w:rsidP="00440ED0">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 xml:space="preserve">Pulmonary </w:t>
            </w:r>
            <w:r w:rsidR="00440ED0">
              <w:rPr>
                <w:rFonts w:asciiTheme="minorHAnsi" w:hAnsiTheme="minorHAnsi"/>
                <w:color w:val="auto"/>
                <w:szCs w:val="24"/>
              </w:rPr>
              <w:t>E</w:t>
            </w:r>
            <w:r>
              <w:rPr>
                <w:rFonts w:asciiTheme="minorHAnsi" w:hAnsiTheme="minorHAnsi"/>
                <w:color w:val="auto"/>
                <w:szCs w:val="24"/>
              </w:rPr>
              <w:t>mbolism</w:t>
            </w:r>
          </w:p>
        </w:tc>
        <w:tc>
          <w:tcPr>
            <w:tcW w:w="1710" w:type="dxa"/>
          </w:tcPr>
          <w:p w:rsidR="00A95BBA" w:rsidRPr="00396779" w:rsidRDefault="00705EAB" w:rsidP="00911490">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6817</w:t>
            </w:r>
          </w:p>
        </w:tc>
        <w:tc>
          <w:tcPr>
            <w:tcW w:w="1170" w:type="dxa"/>
          </w:tcPr>
          <w:p w:rsidR="00A95BBA" w:rsidRPr="00396779" w:rsidRDefault="00A95BBA" w:rsidP="00911490">
            <w:pPr>
              <w:tabs>
                <w:tab w:val="left" w:pos="288"/>
                <w:tab w:val="left" w:pos="4752"/>
              </w:tabs>
              <w:spacing w:line="240" w:lineRule="exact"/>
              <w:jc w:val="center"/>
              <w:rPr>
                <w:rFonts w:asciiTheme="minorHAnsi" w:hAnsiTheme="minorHAnsi"/>
                <w:color w:val="auto"/>
                <w:szCs w:val="24"/>
              </w:rPr>
            </w:pPr>
            <w:r w:rsidRPr="00396779">
              <w:rPr>
                <w:rFonts w:asciiTheme="minorHAnsi" w:hAnsiTheme="minorHAnsi"/>
                <w:color w:val="auto"/>
                <w:szCs w:val="24"/>
              </w:rPr>
              <w:t>0%</w:t>
            </w:r>
          </w:p>
        </w:tc>
      </w:tr>
      <w:tr w:rsidR="00A95BBA" w:rsidRPr="00396779" w:rsidTr="00911490">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tcPr>
          <w:p w:rsidR="00A95BBA" w:rsidRPr="00396779" w:rsidRDefault="00A95BBA" w:rsidP="00911490">
            <w:pPr>
              <w:tabs>
                <w:tab w:val="left" w:pos="288"/>
                <w:tab w:val="left" w:pos="4752"/>
              </w:tabs>
              <w:spacing w:before="20" w:line="240" w:lineRule="exact"/>
              <w:jc w:val="center"/>
              <w:rPr>
                <w:rFonts w:asciiTheme="minorHAnsi" w:hAnsiTheme="minorHAnsi"/>
                <w:b/>
                <w:color w:val="auto"/>
                <w:szCs w:val="24"/>
              </w:rPr>
            </w:pPr>
            <w:r w:rsidRPr="00396779">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tcPr>
          <w:p w:rsidR="00A95BBA" w:rsidRPr="00396779" w:rsidRDefault="00A95BBA" w:rsidP="00911490">
            <w:pPr>
              <w:tabs>
                <w:tab w:val="left" w:pos="288"/>
                <w:tab w:val="left" w:pos="4752"/>
              </w:tabs>
              <w:spacing w:before="20" w:line="240" w:lineRule="exact"/>
              <w:jc w:val="center"/>
              <w:rPr>
                <w:rFonts w:asciiTheme="minorHAnsi" w:hAnsiTheme="minorHAnsi"/>
                <w:b/>
                <w:color w:val="auto"/>
                <w:szCs w:val="24"/>
              </w:rPr>
            </w:pPr>
            <w:r w:rsidRPr="00396779">
              <w:rPr>
                <w:rFonts w:asciiTheme="minorHAnsi" w:hAnsiTheme="minorHAnsi"/>
                <w:b/>
                <w:color w:val="auto"/>
                <w:szCs w:val="24"/>
              </w:rPr>
              <w:t>0%</w:t>
            </w:r>
          </w:p>
        </w:tc>
      </w:tr>
    </w:tbl>
    <w:p w:rsidR="004101B2" w:rsidRPr="00B427BB" w:rsidRDefault="004101B2" w:rsidP="00190E48">
      <w:pPr>
        <w:tabs>
          <w:tab w:val="left" w:pos="288"/>
          <w:tab w:val="left" w:pos="4752"/>
        </w:tabs>
        <w:spacing w:line="240" w:lineRule="exact"/>
        <w:jc w:val="both"/>
        <w:rPr>
          <w:rFonts w:asciiTheme="minorHAnsi" w:hAnsiTheme="minorHAnsi"/>
          <w:color w:val="auto"/>
        </w:rPr>
      </w:pPr>
    </w:p>
    <w:p w:rsidR="00106AD8" w:rsidRPr="00CD5BD7" w:rsidRDefault="00106AD8" w:rsidP="00106AD8">
      <w:pPr>
        <w:pBdr>
          <w:bottom w:val="single" w:sz="12" w:space="1" w:color="auto"/>
        </w:pBdr>
        <w:tabs>
          <w:tab w:val="left" w:pos="288"/>
          <w:tab w:val="left" w:pos="4752"/>
        </w:tabs>
        <w:spacing w:line="240" w:lineRule="exact"/>
        <w:jc w:val="both"/>
        <w:rPr>
          <w:rFonts w:ascii="Calibri" w:hAnsi="Calibri"/>
          <w:color w:val="auto"/>
          <w:szCs w:val="24"/>
        </w:rPr>
      </w:pPr>
    </w:p>
    <w:p w:rsidR="00106AD8" w:rsidRPr="00CD5BD7" w:rsidRDefault="00106AD8" w:rsidP="00106AD8">
      <w:pPr>
        <w:tabs>
          <w:tab w:val="left" w:pos="288"/>
          <w:tab w:val="left" w:pos="4752"/>
        </w:tabs>
        <w:spacing w:line="240" w:lineRule="exact"/>
        <w:rPr>
          <w:rFonts w:ascii="Calibri" w:hAnsi="Calibri"/>
          <w:color w:val="000080"/>
          <w:szCs w:val="24"/>
        </w:rPr>
      </w:pPr>
    </w:p>
    <w:p w:rsidR="00D91DA6" w:rsidRPr="00006186" w:rsidRDefault="00FB1725" w:rsidP="00190E48">
      <w:pPr>
        <w:tabs>
          <w:tab w:val="left" w:pos="288"/>
          <w:tab w:val="left" w:pos="4752"/>
        </w:tabs>
        <w:spacing w:line="240" w:lineRule="exact"/>
        <w:jc w:val="both"/>
        <w:rPr>
          <w:rFonts w:asciiTheme="minorHAnsi" w:hAnsiTheme="minorHAnsi"/>
          <w:color w:val="auto"/>
        </w:rPr>
      </w:pPr>
      <w:r>
        <w:rPr>
          <w:rFonts w:asciiTheme="minorHAnsi" w:hAnsiTheme="minorHAnsi"/>
          <w:color w:val="auto"/>
        </w:rPr>
        <w:t>The following documentary evidence was considered:</w:t>
      </w:r>
    </w:p>
    <w:p w:rsidR="00EB5EFD" w:rsidRPr="00006186" w:rsidRDefault="00EB5EFD" w:rsidP="00190E48">
      <w:pPr>
        <w:tabs>
          <w:tab w:val="left" w:pos="288"/>
          <w:tab w:val="left" w:pos="4752"/>
        </w:tabs>
        <w:spacing w:line="240" w:lineRule="exact"/>
        <w:jc w:val="both"/>
        <w:rPr>
          <w:rFonts w:asciiTheme="minorHAnsi" w:hAnsiTheme="minorHAnsi"/>
          <w:color w:val="auto"/>
        </w:rPr>
      </w:pPr>
    </w:p>
    <w:p w:rsidR="00114F20" w:rsidRPr="00006186" w:rsidRDefault="00FB1725" w:rsidP="00190E48">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A.  DD Form 294, dated 20</w:t>
      </w:r>
      <w:r w:rsidR="001D005A">
        <w:rPr>
          <w:rFonts w:asciiTheme="minorHAnsi" w:hAnsiTheme="minorHAnsi"/>
          <w:color w:val="auto"/>
        </w:rPr>
        <w:t>091114</w:t>
      </w:r>
      <w:r>
        <w:rPr>
          <w:rFonts w:asciiTheme="minorHAnsi" w:hAnsiTheme="minorHAnsi"/>
          <w:color w:val="auto"/>
        </w:rPr>
        <w:t>, w/atchs.</w:t>
      </w:r>
    </w:p>
    <w:p w:rsidR="00114F20" w:rsidRPr="00006186" w:rsidRDefault="00FB1725" w:rsidP="00190E48">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B.  Service Treatment Record.</w:t>
      </w:r>
    </w:p>
    <w:p w:rsidR="00114F20" w:rsidRPr="00006186" w:rsidRDefault="00FB1725" w:rsidP="00190E48">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C.  Department of Veterans' Affairs Treatment Record.</w:t>
      </w:r>
    </w:p>
    <w:p w:rsidR="00D91DA6" w:rsidRPr="00006186" w:rsidRDefault="00D91DA6" w:rsidP="00190E48">
      <w:pPr>
        <w:tabs>
          <w:tab w:val="left" w:pos="288"/>
          <w:tab w:val="left" w:pos="4752"/>
        </w:tabs>
        <w:spacing w:line="240" w:lineRule="exact"/>
        <w:jc w:val="both"/>
        <w:rPr>
          <w:rFonts w:asciiTheme="minorHAnsi" w:hAnsiTheme="minorHAnsi"/>
          <w:color w:val="auto"/>
        </w:rPr>
      </w:pPr>
    </w:p>
    <w:p w:rsidR="00114F20" w:rsidRPr="00006186" w:rsidRDefault="00114F20" w:rsidP="00190E48">
      <w:pPr>
        <w:tabs>
          <w:tab w:val="left" w:pos="288"/>
          <w:tab w:val="left" w:pos="4752"/>
        </w:tabs>
        <w:spacing w:line="240" w:lineRule="exact"/>
        <w:jc w:val="both"/>
        <w:rPr>
          <w:rFonts w:asciiTheme="minorHAnsi" w:hAnsiTheme="minorHAnsi"/>
          <w:color w:val="auto"/>
        </w:rPr>
      </w:pPr>
    </w:p>
    <w:p w:rsidR="00114F20" w:rsidRPr="00006186" w:rsidRDefault="00114F20" w:rsidP="00190E48">
      <w:pPr>
        <w:tabs>
          <w:tab w:val="left" w:pos="288"/>
          <w:tab w:val="left" w:pos="4752"/>
        </w:tabs>
        <w:spacing w:line="240" w:lineRule="exact"/>
        <w:jc w:val="both"/>
        <w:rPr>
          <w:rFonts w:asciiTheme="minorHAnsi" w:hAnsiTheme="minorHAnsi"/>
          <w:color w:val="auto"/>
        </w:rPr>
      </w:pPr>
    </w:p>
    <w:p w:rsidR="00114F20" w:rsidRPr="00006186" w:rsidRDefault="00114F20" w:rsidP="00190E48">
      <w:pPr>
        <w:tabs>
          <w:tab w:val="left" w:pos="288"/>
          <w:tab w:val="left" w:pos="4752"/>
        </w:tabs>
        <w:spacing w:line="240" w:lineRule="exact"/>
        <w:jc w:val="both"/>
        <w:rPr>
          <w:rFonts w:asciiTheme="minorHAnsi" w:hAnsiTheme="minorHAnsi"/>
          <w:color w:val="auto"/>
        </w:rPr>
      </w:pPr>
    </w:p>
    <w:p w:rsidR="00D91DA6" w:rsidRPr="00006186" w:rsidRDefault="00FB1725" w:rsidP="00190E48">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r>
    </w:p>
    <w:p w:rsidR="00D91DA6" w:rsidRPr="00006186" w:rsidRDefault="00FB1725" w:rsidP="00190E48">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t>Deputy Director</w:t>
      </w:r>
    </w:p>
    <w:p w:rsidR="00B522CD" w:rsidRDefault="00FB1725"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Pr>
          <w:rFonts w:asciiTheme="minorHAnsi" w:hAnsiTheme="minorHAnsi"/>
          <w:color w:val="auto"/>
        </w:rPr>
        <w:tab/>
        <w:t xml:space="preserve">                           </w:t>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t>Physical Disability Board of Review</w:t>
      </w:r>
    </w:p>
    <w:p w:rsidR="00B913DF" w:rsidRDefault="00B913DF">
      <w:pPr>
        <w:rPr>
          <w:color w:val="auto"/>
        </w:rPr>
      </w:pPr>
      <w:r>
        <w:rPr>
          <w:color w:val="auto"/>
        </w:rPr>
        <w:br w:type="page"/>
      </w:r>
    </w:p>
    <w:p w:rsidR="00B913DF" w:rsidRPr="00B913DF" w:rsidRDefault="00B913DF" w:rsidP="00B913DF">
      <w:pPr>
        <w:ind w:left="-360"/>
        <w:jc w:val="both"/>
        <w:rPr>
          <w:color w:val="auto"/>
        </w:rPr>
      </w:pPr>
      <w:r w:rsidRPr="00B913DF">
        <w:rPr>
          <w:color w:val="auto"/>
        </w:rPr>
        <w:lastRenderedPageBreak/>
        <w:t xml:space="preserve">MEMORANDUM FOR DIRECTOR, SECRETARY OF THE NAVY COUNCIL OF REVIEW                        </w:t>
      </w:r>
    </w:p>
    <w:p w:rsidR="00B913DF" w:rsidRPr="00B913DF" w:rsidRDefault="00B913DF" w:rsidP="00B913DF">
      <w:pPr>
        <w:tabs>
          <w:tab w:val="left" w:pos="2070"/>
        </w:tabs>
        <w:ind w:left="-360"/>
        <w:jc w:val="both"/>
        <w:rPr>
          <w:color w:val="auto"/>
        </w:rPr>
      </w:pPr>
      <w:r w:rsidRPr="00B913DF">
        <w:rPr>
          <w:color w:val="auto"/>
        </w:rPr>
        <w:t xml:space="preserve">                                      </w:t>
      </w:r>
      <w:r w:rsidRPr="00B913DF">
        <w:rPr>
          <w:color w:val="auto"/>
        </w:rPr>
        <w:tab/>
        <w:t xml:space="preserve">BOARDS </w:t>
      </w:r>
    </w:p>
    <w:p w:rsidR="00B913DF" w:rsidRPr="00B913DF" w:rsidRDefault="00B913DF" w:rsidP="00B913DF">
      <w:pPr>
        <w:jc w:val="both"/>
        <w:rPr>
          <w:color w:val="auto"/>
        </w:rPr>
      </w:pPr>
    </w:p>
    <w:p w:rsidR="00B913DF" w:rsidRPr="00B913DF" w:rsidRDefault="00B913DF" w:rsidP="00B913DF">
      <w:pPr>
        <w:ind w:left="-360"/>
        <w:jc w:val="both"/>
        <w:rPr>
          <w:color w:val="auto"/>
        </w:rPr>
      </w:pPr>
      <w:proofErr w:type="spellStart"/>
      <w:r w:rsidRPr="00B913DF">
        <w:rPr>
          <w:color w:val="auto"/>
        </w:rPr>
        <w:t>Subj</w:t>
      </w:r>
      <w:proofErr w:type="spellEnd"/>
      <w:r w:rsidRPr="00B913DF">
        <w:rPr>
          <w:color w:val="auto"/>
        </w:rPr>
        <w:t xml:space="preserve">:  PHYSICAL DISABILITY BOARD OF REVIEW (PDBR) RECOMMENDATION ICO   </w:t>
      </w:r>
    </w:p>
    <w:p w:rsidR="00B913DF" w:rsidRPr="00B913DF" w:rsidRDefault="00B913DF" w:rsidP="00B913DF">
      <w:pPr>
        <w:ind w:left="-360"/>
        <w:jc w:val="both"/>
        <w:rPr>
          <w:color w:val="auto"/>
        </w:rPr>
      </w:pPr>
      <w:r w:rsidRPr="00B913DF">
        <w:rPr>
          <w:color w:val="auto"/>
        </w:rPr>
        <w:t xml:space="preserve">          </w:t>
      </w:r>
      <w:r>
        <w:rPr>
          <w:color w:val="auto"/>
        </w:rPr>
        <w:t>XXXXX</w:t>
      </w:r>
      <w:r w:rsidRPr="00B913DF">
        <w:rPr>
          <w:color w:val="auto"/>
        </w:rPr>
        <w:t>, FORMER USN, XXX-XX-</w:t>
      </w:r>
      <w:r>
        <w:rPr>
          <w:color w:val="auto"/>
        </w:rPr>
        <w:t>XXXX</w:t>
      </w:r>
    </w:p>
    <w:p w:rsidR="00B913DF" w:rsidRPr="00B913DF" w:rsidRDefault="00B913DF" w:rsidP="00B913DF">
      <w:pPr>
        <w:jc w:val="both"/>
        <w:rPr>
          <w:color w:val="auto"/>
        </w:rPr>
      </w:pPr>
    </w:p>
    <w:p w:rsidR="00B913DF" w:rsidRPr="00B913DF" w:rsidRDefault="00B913DF" w:rsidP="00B913DF">
      <w:pPr>
        <w:ind w:left="-360"/>
        <w:jc w:val="both"/>
        <w:rPr>
          <w:color w:val="auto"/>
        </w:rPr>
      </w:pPr>
      <w:r w:rsidRPr="00B913DF">
        <w:rPr>
          <w:color w:val="auto"/>
        </w:rPr>
        <w:t>Ref:   (a) DoDI 6040.44</w:t>
      </w:r>
    </w:p>
    <w:p w:rsidR="00B913DF" w:rsidRPr="00B913DF" w:rsidRDefault="00B913DF" w:rsidP="00B913DF">
      <w:pPr>
        <w:ind w:left="-540"/>
        <w:jc w:val="both"/>
        <w:rPr>
          <w:color w:val="auto"/>
        </w:rPr>
      </w:pPr>
      <w:r w:rsidRPr="00B913DF">
        <w:rPr>
          <w:color w:val="auto"/>
        </w:rPr>
        <w:t xml:space="preserve">             (b) PDBR </w:t>
      </w:r>
      <w:proofErr w:type="spellStart"/>
      <w:r w:rsidRPr="00B913DF">
        <w:rPr>
          <w:color w:val="auto"/>
        </w:rPr>
        <w:t>ltr</w:t>
      </w:r>
      <w:proofErr w:type="spellEnd"/>
      <w:r w:rsidRPr="00B913DF">
        <w:rPr>
          <w:color w:val="auto"/>
        </w:rPr>
        <w:t xml:space="preserve"> </w:t>
      </w:r>
      <w:proofErr w:type="spellStart"/>
      <w:r w:rsidRPr="00B913DF">
        <w:rPr>
          <w:color w:val="auto"/>
        </w:rPr>
        <w:t>dtd</w:t>
      </w:r>
      <w:proofErr w:type="spellEnd"/>
      <w:r w:rsidRPr="00B913DF">
        <w:rPr>
          <w:color w:val="auto"/>
        </w:rPr>
        <w:t xml:space="preserve"> 19 Apr 11</w:t>
      </w:r>
    </w:p>
    <w:p w:rsidR="00B913DF" w:rsidRPr="00B913DF" w:rsidRDefault="00B913DF" w:rsidP="00B913DF">
      <w:pPr>
        <w:ind w:left="-540"/>
        <w:jc w:val="both"/>
        <w:rPr>
          <w:color w:val="auto"/>
        </w:rPr>
      </w:pPr>
    </w:p>
    <w:p w:rsidR="00B913DF" w:rsidRPr="00B913DF" w:rsidRDefault="00B913DF" w:rsidP="00B913DF">
      <w:pPr>
        <w:ind w:left="-360"/>
        <w:jc w:val="both"/>
        <w:rPr>
          <w:color w:val="auto"/>
        </w:rPr>
      </w:pPr>
      <w:r w:rsidRPr="00B913DF">
        <w:rPr>
          <w:color w:val="auto"/>
        </w:rPr>
        <w:t xml:space="preserve">      I have reviewed the subject case pursuant to reference (a) and, for the reasons set forth in reference (b), approve the recommendation of the Physical Disability Board of Review Mr. Jacobson’s records not be corrected to reflect a change in either his characterization of separation or in the disability rating previously assigned by the Department of the Navy’s Physical Evaluation Board.</w:t>
      </w:r>
    </w:p>
    <w:p w:rsidR="00B913DF" w:rsidRPr="00B913DF" w:rsidRDefault="00B913DF" w:rsidP="00B913DF">
      <w:pPr>
        <w:tabs>
          <w:tab w:val="left" w:pos="4680"/>
        </w:tabs>
        <w:jc w:val="both"/>
        <w:rPr>
          <w:color w:val="auto"/>
        </w:rPr>
      </w:pPr>
    </w:p>
    <w:p w:rsidR="00B913DF" w:rsidRPr="00B913DF" w:rsidRDefault="00B913DF" w:rsidP="00B913DF">
      <w:pPr>
        <w:tabs>
          <w:tab w:val="left" w:pos="4680"/>
        </w:tabs>
        <w:jc w:val="both"/>
        <w:rPr>
          <w:color w:val="auto"/>
        </w:rPr>
      </w:pPr>
    </w:p>
    <w:p w:rsidR="00B913DF" w:rsidRPr="00B913DF" w:rsidRDefault="00B913DF" w:rsidP="00B913DF">
      <w:pPr>
        <w:tabs>
          <w:tab w:val="left" w:pos="4680"/>
        </w:tabs>
        <w:jc w:val="both"/>
        <w:rPr>
          <w:color w:val="auto"/>
        </w:rPr>
      </w:pPr>
    </w:p>
    <w:p w:rsidR="00B913DF" w:rsidRPr="00B913DF" w:rsidRDefault="00B913DF" w:rsidP="00B913DF">
      <w:pPr>
        <w:tabs>
          <w:tab w:val="left" w:pos="4680"/>
        </w:tabs>
        <w:jc w:val="both"/>
        <w:rPr>
          <w:color w:val="auto"/>
        </w:rPr>
      </w:pPr>
      <w:r w:rsidRPr="00B913DF">
        <w:rPr>
          <w:color w:val="auto"/>
        </w:rPr>
        <w:tab/>
      </w:r>
    </w:p>
    <w:p w:rsidR="00B913DF" w:rsidRPr="00B913DF" w:rsidRDefault="00B913DF" w:rsidP="00B913DF">
      <w:pPr>
        <w:jc w:val="both"/>
        <w:rPr>
          <w:color w:val="auto"/>
        </w:rPr>
      </w:pPr>
      <w:r w:rsidRPr="00B913DF">
        <w:rPr>
          <w:color w:val="auto"/>
        </w:rPr>
        <w:tab/>
        <w:t xml:space="preserve">     </w:t>
      </w:r>
      <w:r w:rsidRPr="00B913DF">
        <w:rPr>
          <w:color w:val="auto"/>
        </w:rPr>
        <w:tab/>
      </w:r>
      <w:r w:rsidRPr="00B913DF">
        <w:rPr>
          <w:color w:val="auto"/>
        </w:rPr>
        <w:tab/>
      </w:r>
      <w:r w:rsidRPr="00B913DF">
        <w:rPr>
          <w:color w:val="auto"/>
        </w:rPr>
        <w:tab/>
      </w:r>
      <w:r w:rsidRPr="00B913DF">
        <w:rPr>
          <w:color w:val="auto"/>
        </w:rPr>
        <w:tab/>
        <w:t xml:space="preserve">      Assistant General Counsel</w:t>
      </w:r>
    </w:p>
    <w:p w:rsidR="00B913DF" w:rsidRPr="00B913DF" w:rsidRDefault="00B913DF" w:rsidP="00B913DF">
      <w:pPr>
        <w:jc w:val="both"/>
        <w:rPr>
          <w:color w:val="auto"/>
        </w:rPr>
      </w:pPr>
      <w:r w:rsidRPr="00B913DF">
        <w:rPr>
          <w:color w:val="auto"/>
        </w:rPr>
        <w:tab/>
      </w:r>
      <w:r w:rsidRPr="00B913DF">
        <w:rPr>
          <w:color w:val="auto"/>
        </w:rPr>
        <w:tab/>
      </w:r>
      <w:r w:rsidRPr="00B913DF">
        <w:rPr>
          <w:color w:val="auto"/>
        </w:rPr>
        <w:tab/>
      </w:r>
      <w:r w:rsidRPr="00B913DF">
        <w:rPr>
          <w:color w:val="auto"/>
        </w:rPr>
        <w:tab/>
      </w:r>
      <w:r w:rsidRPr="00B913DF">
        <w:rPr>
          <w:color w:val="auto"/>
        </w:rPr>
        <w:tab/>
        <w:t xml:space="preserve">         (Manpower &amp; Reserve Affairs)</w:t>
      </w:r>
    </w:p>
    <w:p w:rsidR="00B913DF" w:rsidRDefault="00B913DF" w:rsidP="00B913DF">
      <w:pPr>
        <w:jc w:val="both"/>
      </w:pPr>
      <w:r w:rsidRPr="00B913DF">
        <w:rPr>
          <w:color w:val="auto"/>
        </w:rPr>
        <w:tab/>
      </w:r>
      <w:r w:rsidRPr="00B913DF">
        <w:rPr>
          <w:color w:val="auto"/>
        </w:rPr>
        <w:tab/>
      </w:r>
      <w:r w:rsidRPr="00B913DF">
        <w:rPr>
          <w:color w:val="auto"/>
        </w:rPr>
        <w:tab/>
      </w:r>
      <w:r>
        <w:tab/>
      </w:r>
      <w:r>
        <w:tab/>
      </w:r>
      <w:r>
        <w:tab/>
        <w:t xml:space="preserve">  </w:t>
      </w:r>
    </w:p>
    <w:p w:rsidR="00B913DF" w:rsidRDefault="00B913DF"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B913DF" w:rsidRPr="00006186" w:rsidRDefault="00B913DF"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AA04B3" w:rsidRPr="00006186" w:rsidRDefault="00AA04B3"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705EAB" w:rsidRDefault="00705EAB" w:rsidP="00B427BB">
      <w:pPr>
        <w:tabs>
          <w:tab w:val="left" w:pos="288"/>
          <w:tab w:val="left" w:pos="4320"/>
          <w:tab w:val="left" w:pos="4410"/>
          <w:tab w:val="left" w:pos="4770"/>
          <w:tab w:val="left" w:pos="4860"/>
          <w:tab w:val="left" w:pos="5040"/>
        </w:tabs>
        <w:spacing w:line="240" w:lineRule="exact"/>
        <w:jc w:val="both"/>
        <w:rPr>
          <w:rFonts w:asciiTheme="minorHAnsi" w:hAnsiTheme="minorHAnsi"/>
          <w:color w:val="auto"/>
          <w:highlight w:val="yellow"/>
        </w:rPr>
      </w:pPr>
    </w:p>
    <w:sectPr w:rsidR="00705EAB" w:rsidSect="002A5C3C">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7E5" w:rsidRDefault="006377E5">
      <w:r>
        <w:separator/>
      </w:r>
    </w:p>
  </w:endnote>
  <w:endnote w:type="continuationSeparator" w:id="0">
    <w:p w:rsidR="006377E5" w:rsidRDefault="006377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5BC" w:rsidRDefault="00A715E4">
    <w:pPr>
      <w:pStyle w:val="Footer"/>
      <w:framePr w:wrap="around" w:vAnchor="text" w:hAnchor="margin" w:xAlign="center" w:y="1"/>
      <w:rPr>
        <w:rStyle w:val="PageNumber"/>
      </w:rPr>
    </w:pPr>
    <w:r>
      <w:rPr>
        <w:rStyle w:val="PageNumber"/>
      </w:rPr>
      <w:fldChar w:fldCharType="begin"/>
    </w:r>
    <w:r w:rsidR="00F245BC">
      <w:rPr>
        <w:rStyle w:val="PageNumber"/>
      </w:rPr>
      <w:instrText xml:space="preserve">PAGE  </w:instrText>
    </w:r>
    <w:r>
      <w:rPr>
        <w:rStyle w:val="PageNumber"/>
      </w:rPr>
      <w:fldChar w:fldCharType="separate"/>
    </w:r>
    <w:r w:rsidR="00F245BC">
      <w:rPr>
        <w:rStyle w:val="PageNumber"/>
        <w:noProof/>
      </w:rPr>
      <w:t>2</w:t>
    </w:r>
    <w:r>
      <w:rPr>
        <w:rStyle w:val="PageNumber"/>
      </w:rPr>
      <w:fldChar w:fldCharType="end"/>
    </w:r>
  </w:p>
  <w:p w:rsidR="00F245BC" w:rsidRDefault="00F245BC"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5BC" w:rsidRPr="00AC713F" w:rsidRDefault="00A715E4">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F245BC"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BF06FE">
      <w:rPr>
        <w:rStyle w:val="PageNumber"/>
        <w:rFonts w:asciiTheme="minorHAnsi" w:hAnsiTheme="minorHAnsi"/>
        <w:noProof/>
        <w:color w:val="auto"/>
      </w:rPr>
      <w:t>5</w:t>
    </w:r>
    <w:r w:rsidRPr="00AC713F">
      <w:rPr>
        <w:rStyle w:val="PageNumber"/>
        <w:rFonts w:asciiTheme="minorHAnsi" w:hAnsiTheme="minorHAnsi"/>
        <w:color w:val="auto"/>
      </w:rPr>
      <w:fldChar w:fldCharType="end"/>
    </w:r>
  </w:p>
  <w:p w:rsidR="00F245BC" w:rsidRPr="00396779" w:rsidRDefault="00F245BC" w:rsidP="002B0749">
    <w:pPr>
      <w:pStyle w:val="Footer"/>
      <w:jc w:val="right"/>
      <w:rPr>
        <w:rFonts w:asciiTheme="minorHAnsi" w:hAnsiTheme="minorHAnsi"/>
        <w:color w:val="auto"/>
      </w:rPr>
    </w:pPr>
    <w:r>
      <w:tab/>
    </w:r>
    <w:r>
      <w:tab/>
    </w:r>
    <w:r w:rsidRPr="00396779">
      <w:rPr>
        <w:rFonts w:asciiTheme="minorHAnsi" w:hAnsiTheme="minorHAnsi"/>
        <w:caps/>
        <w:color w:val="auto"/>
      </w:rPr>
      <w:t>PD</w:t>
    </w:r>
    <w:r w:rsidR="001D005A">
      <w:rPr>
        <w:rFonts w:asciiTheme="minorHAnsi" w:hAnsiTheme="minorHAnsi"/>
        <w:caps/>
        <w:color w:val="auto"/>
      </w:rPr>
      <w:t>0900685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7E5" w:rsidRDefault="006377E5">
      <w:r>
        <w:separator/>
      </w:r>
    </w:p>
  </w:footnote>
  <w:footnote w:type="continuationSeparator" w:id="0">
    <w:p w:rsidR="006377E5" w:rsidRDefault="006377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89089"/>
  </w:hdrShapeDefaults>
  <w:footnotePr>
    <w:numRestart w:val="eachSect"/>
    <w:footnote w:id="-1"/>
    <w:footnote w:id="0"/>
  </w:footnotePr>
  <w:endnotePr>
    <w:endnote w:id="-1"/>
    <w:endnote w:id="0"/>
  </w:endnotePr>
  <w:compat/>
  <w:rsids>
    <w:rsidRoot w:val="001C28D1"/>
    <w:rsid w:val="000059FA"/>
    <w:rsid w:val="00006186"/>
    <w:rsid w:val="00006F87"/>
    <w:rsid w:val="00010ABA"/>
    <w:rsid w:val="00011B46"/>
    <w:rsid w:val="00012428"/>
    <w:rsid w:val="00013417"/>
    <w:rsid w:val="000145C2"/>
    <w:rsid w:val="0001473F"/>
    <w:rsid w:val="00014A9E"/>
    <w:rsid w:val="00021361"/>
    <w:rsid w:val="00022CF3"/>
    <w:rsid w:val="00023913"/>
    <w:rsid w:val="00023D43"/>
    <w:rsid w:val="00030D72"/>
    <w:rsid w:val="00032E07"/>
    <w:rsid w:val="000332CA"/>
    <w:rsid w:val="0003374E"/>
    <w:rsid w:val="000344E6"/>
    <w:rsid w:val="00035C3A"/>
    <w:rsid w:val="00036E4B"/>
    <w:rsid w:val="000379D0"/>
    <w:rsid w:val="00040FC4"/>
    <w:rsid w:val="000416F8"/>
    <w:rsid w:val="00042C26"/>
    <w:rsid w:val="00043382"/>
    <w:rsid w:val="00044623"/>
    <w:rsid w:val="00051622"/>
    <w:rsid w:val="00052234"/>
    <w:rsid w:val="000524AC"/>
    <w:rsid w:val="00053D7C"/>
    <w:rsid w:val="000577C9"/>
    <w:rsid w:val="0006041D"/>
    <w:rsid w:val="0006431E"/>
    <w:rsid w:val="00065E21"/>
    <w:rsid w:val="00067443"/>
    <w:rsid w:val="00072433"/>
    <w:rsid w:val="00075702"/>
    <w:rsid w:val="000775C2"/>
    <w:rsid w:val="000806AD"/>
    <w:rsid w:val="00082482"/>
    <w:rsid w:val="0008708B"/>
    <w:rsid w:val="00092619"/>
    <w:rsid w:val="00092C66"/>
    <w:rsid w:val="00094E4F"/>
    <w:rsid w:val="000A0E0C"/>
    <w:rsid w:val="000A2BCE"/>
    <w:rsid w:val="000A41E3"/>
    <w:rsid w:val="000A4BBA"/>
    <w:rsid w:val="000A5071"/>
    <w:rsid w:val="000B166D"/>
    <w:rsid w:val="000B4C99"/>
    <w:rsid w:val="000C06F6"/>
    <w:rsid w:val="000C1D34"/>
    <w:rsid w:val="000C2362"/>
    <w:rsid w:val="000C3C13"/>
    <w:rsid w:val="000C53F9"/>
    <w:rsid w:val="000C5813"/>
    <w:rsid w:val="000C75CF"/>
    <w:rsid w:val="000C7B83"/>
    <w:rsid w:val="000C7DE4"/>
    <w:rsid w:val="000D15E7"/>
    <w:rsid w:val="000D1A24"/>
    <w:rsid w:val="000D21C7"/>
    <w:rsid w:val="000D248A"/>
    <w:rsid w:val="000D35D8"/>
    <w:rsid w:val="000D43F9"/>
    <w:rsid w:val="000D4717"/>
    <w:rsid w:val="000D6457"/>
    <w:rsid w:val="000D7D55"/>
    <w:rsid w:val="000E0993"/>
    <w:rsid w:val="000E28AF"/>
    <w:rsid w:val="000E37E0"/>
    <w:rsid w:val="000E5F35"/>
    <w:rsid w:val="000E7034"/>
    <w:rsid w:val="000F02BE"/>
    <w:rsid w:val="000F2496"/>
    <w:rsid w:val="000F427B"/>
    <w:rsid w:val="000F7181"/>
    <w:rsid w:val="0010047D"/>
    <w:rsid w:val="001008C1"/>
    <w:rsid w:val="001023DB"/>
    <w:rsid w:val="00103CCF"/>
    <w:rsid w:val="0010417F"/>
    <w:rsid w:val="001042D2"/>
    <w:rsid w:val="0010530E"/>
    <w:rsid w:val="00105C07"/>
    <w:rsid w:val="00106AD8"/>
    <w:rsid w:val="00107EC5"/>
    <w:rsid w:val="001103CD"/>
    <w:rsid w:val="00114F20"/>
    <w:rsid w:val="001211AF"/>
    <w:rsid w:val="001219DF"/>
    <w:rsid w:val="00122ABE"/>
    <w:rsid w:val="001231DC"/>
    <w:rsid w:val="001272AE"/>
    <w:rsid w:val="00127F34"/>
    <w:rsid w:val="001315DD"/>
    <w:rsid w:val="0013524D"/>
    <w:rsid w:val="0013525F"/>
    <w:rsid w:val="00135385"/>
    <w:rsid w:val="001364D1"/>
    <w:rsid w:val="00142EBA"/>
    <w:rsid w:val="00143B79"/>
    <w:rsid w:val="00147618"/>
    <w:rsid w:val="00150B8A"/>
    <w:rsid w:val="00150DCB"/>
    <w:rsid w:val="00151912"/>
    <w:rsid w:val="00153740"/>
    <w:rsid w:val="001541C5"/>
    <w:rsid w:val="001545B1"/>
    <w:rsid w:val="00154B24"/>
    <w:rsid w:val="00155879"/>
    <w:rsid w:val="0015623F"/>
    <w:rsid w:val="00156585"/>
    <w:rsid w:val="00156BA9"/>
    <w:rsid w:val="00161761"/>
    <w:rsid w:val="00166182"/>
    <w:rsid w:val="001715D5"/>
    <w:rsid w:val="001745DD"/>
    <w:rsid w:val="00177659"/>
    <w:rsid w:val="001779E5"/>
    <w:rsid w:val="00182A4C"/>
    <w:rsid w:val="00182FA6"/>
    <w:rsid w:val="00183F77"/>
    <w:rsid w:val="001844D8"/>
    <w:rsid w:val="00185DA8"/>
    <w:rsid w:val="00185ECB"/>
    <w:rsid w:val="001865E0"/>
    <w:rsid w:val="001870F0"/>
    <w:rsid w:val="00190E48"/>
    <w:rsid w:val="0019273F"/>
    <w:rsid w:val="00193814"/>
    <w:rsid w:val="00193AD5"/>
    <w:rsid w:val="00194930"/>
    <w:rsid w:val="001959A3"/>
    <w:rsid w:val="001A08CD"/>
    <w:rsid w:val="001A0A1E"/>
    <w:rsid w:val="001A5320"/>
    <w:rsid w:val="001A5E62"/>
    <w:rsid w:val="001A6848"/>
    <w:rsid w:val="001A7538"/>
    <w:rsid w:val="001B0B1A"/>
    <w:rsid w:val="001B4EC2"/>
    <w:rsid w:val="001B5B59"/>
    <w:rsid w:val="001B60E0"/>
    <w:rsid w:val="001B7C8C"/>
    <w:rsid w:val="001C181A"/>
    <w:rsid w:val="001C1877"/>
    <w:rsid w:val="001C2053"/>
    <w:rsid w:val="001C252F"/>
    <w:rsid w:val="001C28D1"/>
    <w:rsid w:val="001C5CFC"/>
    <w:rsid w:val="001C7418"/>
    <w:rsid w:val="001C7EBE"/>
    <w:rsid w:val="001D0051"/>
    <w:rsid w:val="001D005A"/>
    <w:rsid w:val="001D1283"/>
    <w:rsid w:val="001D2224"/>
    <w:rsid w:val="001D31AA"/>
    <w:rsid w:val="001D4F88"/>
    <w:rsid w:val="001D68CF"/>
    <w:rsid w:val="001D6A8C"/>
    <w:rsid w:val="001D7A56"/>
    <w:rsid w:val="001E15C0"/>
    <w:rsid w:val="001E18E0"/>
    <w:rsid w:val="001E18E2"/>
    <w:rsid w:val="001E19D0"/>
    <w:rsid w:val="001E2A30"/>
    <w:rsid w:val="001F2338"/>
    <w:rsid w:val="00200AA0"/>
    <w:rsid w:val="00202325"/>
    <w:rsid w:val="00202736"/>
    <w:rsid w:val="00203652"/>
    <w:rsid w:val="00205B4F"/>
    <w:rsid w:val="002060B6"/>
    <w:rsid w:val="002066B5"/>
    <w:rsid w:val="00206AA5"/>
    <w:rsid w:val="002119B6"/>
    <w:rsid w:val="00212B40"/>
    <w:rsid w:val="00213BD0"/>
    <w:rsid w:val="00215ED6"/>
    <w:rsid w:val="00216049"/>
    <w:rsid w:val="00217606"/>
    <w:rsid w:val="00217C09"/>
    <w:rsid w:val="00220F5C"/>
    <w:rsid w:val="00225196"/>
    <w:rsid w:val="002255B7"/>
    <w:rsid w:val="00225CB4"/>
    <w:rsid w:val="0022798A"/>
    <w:rsid w:val="0023049F"/>
    <w:rsid w:val="002316F6"/>
    <w:rsid w:val="00232C9B"/>
    <w:rsid w:val="00232F09"/>
    <w:rsid w:val="002335D5"/>
    <w:rsid w:val="002338CA"/>
    <w:rsid w:val="00233FE5"/>
    <w:rsid w:val="00234B3B"/>
    <w:rsid w:val="0024174E"/>
    <w:rsid w:val="0024227D"/>
    <w:rsid w:val="00242680"/>
    <w:rsid w:val="00242D14"/>
    <w:rsid w:val="00246860"/>
    <w:rsid w:val="00246DFF"/>
    <w:rsid w:val="00246E89"/>
    <w:rsid w:val="00247D4A"/>
    <w:rsid w:val="0025183C"/>
    <w:rsid w:val="002528EC"/>
    <w:rsid w:val="00255049"/>
    <w:rsid w:val="00257DE5"/>
    <w:rsid w:val="00260531"/>
    <w:rsid w:val="0026318D"/>
    <w:rsid w:val="00270864"/>
    <w:rsid w:val="002712F7"/>
    <w:rsid w:val="0027159C"/>
    <w:rsid w:val="00274549"/>
    <w:rsid w:val="00274E46"/>
    <w:rsid w:val="00276C86"/>
    <w:rsid w:val="002810A4"/>
    <w:rsid w:val="002816C0"/>
    <w:rsid w:val="00284A26"/>
    <w:rsid w:val="00287006"/>
    <w:rsid w:val="00291637"/>
    <w:rsid w:val="00292AB2"/>
    <w:rsid w:val="00294437"/>
    <w:rsid w:val="002A3237"/>
    <w:rsid w:val="002A58B7"/>
    <w:rsid w:val="002A5943"/>
    <w:rsid w:val="002A5C3C"/>
    <w:rsid w:val="002A685E"/>
    <w:rsid w:val="002A72C7"/>
    <w:rsid w:val="002B03B2"/>
    <w:rsid w:val="002B0749"/>
    <w:rsid w:val="002B2645"/>
    <w:rsid w:val="002B6FA0"/>
    <w:rsid w:val="002C5F10"/>
    <w:rsid w:val="002C6CB7"/>
    <w:rsid w:val="002C6E5B"/>
    <w:rsid w:val="002D18B4"/>
    <w:rsid w:val="002D231A"/>
    <w:rsid w:val="002E0F95"/>
    <w:rsid w:val="002E1877"/>
    <w:rsid w:val="002E1C31"/>
    <w:rsid w:val="002E333A"/>
    <w:rsid w:val="002E3474"/>
    <w:rsid w:val="002E400C"/>
    <w:rsid w:val="002E49C3"/>
    <w:rsid w:val="002E5114"/>
    <w:rsid w:val="002E7570"/>
    <w:rsid w:val="002E764B"/>
    <w:rsid w:val="002F0E28"/>
    <w:rsid w:val="002F287E"/>
    <w:rsid w:val="002F2D63"/>
    <w:rsid w:val="002F7F81"/>
    <w:rsid w:val="00300A36"/>
    <w:rsid w:val="0030678B"/>
    <w:rsid w:val="00310CD7"/>
    <w:rsid w:val="0032136A"/>
    <w:rsid w:val="00323E70"/>
    <w:rsid w:val="00325BA2"/>
    <w:rsid w:val="00326C08"/>
    <w:rsid w:val="00326F7F"/>
    <w:rsid w:val="003320E8"/>
    <w:rsid w:val="0033334F"/>
    <w:rsid w:val="0033555E"/>
    <w:rsid w:val="00336805"/>
    <w:rsid w:val="00337351"/>
    <w:rsid w:val="00341A54"/>
    <w:rsid w:val="0034669F"/>
    <w:rsid w:val="00351498"/>
    <w:rsid w:val="00352B22"/>
    <w:rsid w:val="00354547"/>
    <w:rsid w:val="003567DE"/>
    <w:rsid w:val="00356913"/>
    <w:rsid w:val="003574F3"/>
    <w:rsid w:val="00362717"/>
    <w:rsid w:val="0036319E"/>
    <w:rsid w:val="003632A4"/>
    <w:rsid w:val="00363362"/>
    <w:rsid w:val="00367D4F"/>
    <w:rsid w:val="00370743"/>
    <w:rsid w:val="00370EF5"/>
    <w:rsid w:val="0037135B"/>
    <w:rsid w:val="00372251"/>
    <w:rsid w:val="00373163"/>
    <w:rsid w:val="0037520D"/>
    <w:rsid w:val="00375724"/>
    <w:rsid w:val="00375809"/>
    <w:rsid w:val="0037628C"/>
    <w:rsid w:val="00376B81"/>
    <w:rsid w:val="00377BD2"/>
    <w:rsid w:val="003821E1"/>
    <w:rsid w:val="00384866"/>
    <w:rsid w:val="003857D4"/>
    <w:rsid w:val="00385D6F"/>
    <w:rsid w:val="00387095"/>
    <w:rsid w:val="00390092"/>
    <w:rsid w:val="0039153E"/>
    <w:rsid w:val="00393651"/>
    <w:rsid w:val="00395E12"/>
    <w:rsid w:val="00396779"/>
    <w:rsid w:val="00397DB7"/>
    <w:rsid w:val="003A27B2"/>
    <w:rsid w:val="003A40B4"/>
    <w:rsid w:val="003A41BA"/>
    <w:rsid w:val="003A6A99"/>
    <w:rsid w:val="003A7FF8"/>
    <w:rsid w:val="003B17AC"/>
    <w:rsid w:val="003B227A"/>
    <w:rsid w:val="003B5854"/>
    <w:rsid w:val="003B6764"/>
    <w:rsid w:val="003C5825"/>
    <w:rsid w:val="003C6068"/>
    <w:rsid w:val="003D2BA3"/>
    <w:rsid w:val="003D3C22"/>
    <w:rsid w:val="003D7089"/>
    <w:rsid w:val="003D7DDB"/>
    <w:rsid w:val="003E02C7"/>
    <w:rsid w:val="003E0543"/>
    <w:rsid w:val="003E0B5A"/>
    <w:rsid w:val="003E31E3"/>
    <w:rsid w:val="003E46D1"/>
    <w:rsid w:val="003E6214"/>
    <w:rsid w:val="003E6EBD"/>
    <w:rsid w:val="003E7910"/>
    <w:rsid w:val="003F070E"/>
    <w:rsid w:val="003F58B0"/>
    <w:rsid w:val="004007E9"/>
    <w:rsid w:val="00401825"/>
    <w:rsid w:val="00401BBC"/>
    <w:rsid w:val="00403BFB"/>
    <w:rsid w:val="00404B45"/>
    <w:rsid w:val="00406CC5"/>
    <w:rsid w:val="004074A4"/>
    <w:rsid w:val="004101B2"/>
    <w:rsid w:val="004123D7"/>
    <w:rsid w:val="00412658"/>
    <w:rsid w:val="00413674"/>
    <w:rsid w:val="004172DB"/>
    <w:rsid w:val="00421485"/>
    <w:rsid w:val="00422B75"/>
    <w:rsid w:val="00433F36"/>
    <w:rsid w:val="0043503A"/>
    <w:rsid w:val="00440ED0"/>
    <w:rsid w:val="0044384F"/>
    <w:rsid w:val="00444F80"/>
    <w:rsid w:val="00446018"/>
    <w:rsid w:val="004543BC"/>
    <w:rsid w:val="0045645D"/>
    <w:rsid w:val="004574C6"/>
    <w:rsid w:val="00457BCF"/>
    <w:rsid w:val="00457DCE"/>
    <w:rsid w:val="00460E3F"/>
    <w:rsid w:val="00462F68"/>
    <w:rsid w:val="0046476A"/>
    <w:rsid w:val="00466CED"/>
    <w:rsid w:val="00467592"/>
    <w:rsid w:val="00467690"/>
    <w:rsid w:val="004718E7"/>
    <w:rsid w:val="00472535"/>
    <w:rsid w:val="00474A97"/>
    <w:rsid w:val="004761CC"/>
    <w:rsid w:val="00480D4A"/>
    <w:rsid w:val="00481DA1"/>
    <w:rsid w:val="00484212"/>
    <w:rsid w:val="0049255F"/>
    <w:rsid w:val="0049445D"/>
    <w:rsid w:val="00495350"/>
    <w:rsid w:val="00496510"/>
    <w:rsid w:val="00497156"/>
    <w:rsid w:val="004A0C79"/>
    <w:rsid w:val="004A24D2"/>
    <w:rsid w:val="004A3214"/>
    <w:rsid w:val="004A4136"/>
    <w:rsid w:val="004A417B"/>
    <w:rsid w:val="004A4222"/>
    <w:rsid w:val="004A7A36"/>
    <w:rsid w:val="004B03F3"/>
    <w:rsid w:val="004B0CC9"/>
    <w:rsid w:val="004B160B"/>
    <w:rsid w:val="004B2536"/>
    <w:rsid w:val="004B6AF3"/>
    <w:rsid w:val="004B715E"/>
    <w:rsid w:val="004B7169"/>
    <w:rsid w:val="004B79C9"/>
    <w:rsid w:val="004C3928"/>
    <w:rsid w:val="004C5E33"/>
    <w:rsid w:val="004C6CDA"/>
    <w:rsid w:val="004D10D4"/>
    <w:rsid w:val="004D16BD"/>
    <w:rsid w:val="004D2AAB"/>
    <w:rsid w:val="004D6F2B"/>
    <w:rsid w:val="004E0248"/>
    <w:rsid w:val="004E21A3"/>
    <w:rsid w:val="004E32EA"/>
    <w:rsid w:val="004E477B"/>
    <w:rsid w:val="004E6866"/>
    <w:rsid w:val="004F2545"/>
    <w:rsid w:val="004F30AB"/>
    <w:rsid w:val="004F3222"/>
    <w:rsid w:val="004F3BFA"/>
    <w:rsid w:val="005000AB"/>
    <w:rsid w:val="005025EE"/>
    <w:rsid w:val="00510588"/>
    <w:rsid w:val="0051146C"/>
    <w:rsid w:val="00514449"/>
    <w:rsid w:val="005157BD"/>
    <w:rsid w:val="005173FC"/>
    <w:rsid w:val="005214A3"/>
    <w:rsid w:val="005222E7"/>
    <w:rsid w:val="00523A8B"/>
    <w:rsid w:val="00523E04"/>
    <w:rsid w:val="0052590B"/>
    <w:rsid w:val="00526591"/>
    <w:rsid w:val="00527178"/>
    <w:rsid w:val="005278CB"/>
    <w:rsid w:val="00534D42"/>
    <w:rsid w:val="005350A5"/>
    <w:rsid w:val="00536379"/>
    <w:rsid w:val="00537238"/>
    <w:rsid w:val="005400C5"/>
    <w:rsid w:val="00540BEF"/>
    <w:rsid w:val="00542C9A"/>
    <w:rsid w:val="005436C2"/>
    <w:rsid w:val="005442D4"/>
    <w:rsid w:val="0054586A"/>
    <w:rsid w:val="0054631F"/>
    <w:rsid w:val="0055288D"/>
    <w:rsid w:val="00552A89"/>
    <w:rsid w:val="00555259"/>
    <w:rsid w:val="00560D57"/>
    <w:rsid w:val="00562A94"/>
    <w:rsid w:val="005709F7"/>
    <w:rsid w:val="005710A9"/>
    <w:rsid w:val="00571D1B"/>
    <w:rsid w:val="005738F5"/>
    <w:rsid w:val="0058039C"/>
    <w:rsid w:val="00582FB1"/>
    <w:rsid w:val="00592068"/>
    <w:rsid w:val="00593043"/>
    <w:rsid w:val="00595BF0"/>
    <w:rsid w:val="005A1846"/>
    <w:rsid w:val="005A258C"/>
    <w:rsid w:val="005A3560"/>
    <w:rsid w:val="005A464E"/>
    <w:rsid w:val="005A6C99"/>
    <w:rsid w:val="005A7D5D"/>
    <w:rsid w:val="005B011A"/>
    <w:rsid w:val="005B1D8F"/>
    <w:rsid w:val="005B1E94"/>
    <w:rsid w:val="005B3619"/>
    <w:rsid w:val="005B5B3D"/>
    <w:rsid w:val="005B64CF"/>
    <w:rsid w:val="005C16F3"/>
    <w:rsid w:val="005C3758"/>
    <w:rsid w:val="005E3064"/>
    <w:rsid w:val="005E72B2"/>
    <w:rsid w:val="005F1115"/>
    <w:rsid w:val="005F1AB6"/>
    <w:rsid w:val="005F27F2"/>
    <w:rsid w:val="005F3AFE"/>
    <w:rsid w:val="005F424D"/>
    <w:rsid w:val="005F6B6D"/>
    <w:rsid w:val="00605AAB"/>
    <w:rsid w:val="00606BEB"/>
    <w:rsid w:val="0061014A"/>
    <w:rsid w:val="0061054B"/>
    <w:rsid w:val="00613E26"/>
    <w:rsid w:val="00615641"/>
    <w:rsid w:val="00616959"/>
    <w:rsid w:val="006211D0"/>
    <w:rsid w:val="00624D0C"/>
    <w:rsid w:val="006274B4"/>
    <w:rsid w:val="006307BA"/>
    <w:rsid w:val="006315BA"/>
    <w:rsid w:val="00634C4A"/>
    <w:rsid w:val="0063532E"/>
    <w:rsid w:val="006377E5"/>
    <w:rsid w:val="00637BDC"/>
    <w:rsid w:val="006418C9"/>
    <w:rsid w:val="00642BD6"/>
    <w:rsid w:val="00645046"/>
    <w:rsid w:val="0064527A"/>
    <w:rsid w:val="00645EA2"/>
    <w:rsid w:val="00653D2D"/>
    <w:rsid w:val="006573F2"/>
    <w:rsid w:val="00662F08"/>
    <w:rsid w:val="00663589"/>
    <w:rsid w:val="006708E3"/>
    <w:rsid w:val="00670B4C"/>
    <w:rsid w:val="00670DDC"/>
    <w:rsid w:val="00671EB4"/>
    <w:rsid w:val="0067443B"/>
    <w:rsid w:val="00683323"/>
    <w:rsid w:val="00684E2B"/>
    <w:rsid w:val="00687C5B"/>
    <w:rsid w:val="00690FDA"/>
    <w:rsid w:val="00691E61"/>
    <w:rsid w:val="00693C5E"/>
    <w:rsid w:val="00694EEA"/>
    <w:rsid w:val="006955B4"/>
    <w:rsid w:val="00696153"/>
    <w:rsid w:val="00696476"/>
    <w:rsid w:val="006A015E"/>
    <w:rsid w:val="006A10FA"/>
    <w:rsid w:val="006A40E6"/>
    <w:rsid w:val="006A5C07"/>
    <w:rsid w:val="006A75FA"/>
    <w:rsid w:val="006B07D5"/>
    <w:rsid w:val="006B1309"/>
    <w:rsid w:val="006B3923"/>
    <w:rsid w:val="006B3F3E"/>
    <w:rsid w:val="006B5923"/>
    <w:rsid w:val="006B67D9"/>
    <w:rsid w:val="006B6C14"/>
    <w:rsid w:val="006B715E"/>
    <w:rsid w:val="006B73E4"/>
    <w:rsid w:val="006C1D6E"/>
    <w:rsid w:val="006C2EF6"/>
    <w:rsid w:val="006C3A68"/>
    <w:rsid w:val="006C6AB1"/>
    <w:rsid w:val="006D2D39"/>
    <w:rsid w:val="006D4E0E"/>
    <w:rsid w:val="006D5CE2"/>
    <w:rsid w:val="006E06D1"/>
    <w:rsid w:val="006E1313"/>
    <w:rsid w:val="006E2DC8"/>
    <w:rsid w:val="006E37F4"/>
    <w:rsid w:val="006E7356"/>
    <w:rsid w:val="006E77C8"/>
    <w:rsid w:val="006F149D"/>
    <w:rsid w:val="006F1A46"/>
    <w:rsid w:val="006F4F06"/>
    <w:rsid w:val="006F5A4E"/>
    <w:rsid w:val="006F6005"/>
    <w:rsid w:val="00701B1D"/>
    <w:rsid w:val="00703B6C"/>
    <w:rsid w:val="00705C40"/>
    <w:rsid w:val="00705EAB"/>
    <w:rsid w:val="00706482"/>
    <w:rsid w:val="00706BEF"/>
    <w:rsid w:val="00707ECE"/>
    <w:rsid w:val="00710CE8"/>
    <w:rsid w:val="007116BC"/>
    <w:rsid w:val="007165CE"/>
    <w:rsid w:val="00720968"/>
    <w:rsid w:val="00721705"/>
    <w:rsid w:val="00721D12"/>
    <w:rsid w:val="00721F8B"/>
    <w:rsid w:val="007237CE"/>
    <w:rsid w:val="00724688"/>
    <w:rsid w:val="0073062D"/>
    <w:rsid w:val="0073254D"/>
    <w:rsid w:val="00736A49"/>
    <w:rsid w:val="007419A1"/>
    <w:rsid w:val="00743B71"/>
    <w:rsid w:val="00743C2D"/>
    <w:rsid w:val="00743E36"/>
    <w:rsid w:val="007446F7"/>
    <w:rsid w:val="00744EBB"/>
    <w:rsid w:val="00745B0A"/>
    <w:rsid w:val="007468AC"/>
    <w:rsid w:val="00746AE2"/>
    <w:rsid w:val="00750C82"/>
    <w:rsid w:val="007567D4"/>
    <w:rsid w:val="0076100C"/>
    <w:rsid w:val="007612A5"/>
    <w:rsid w:val="00763F95"/>
    <w:rsid w:val="007651ED"/>
    <w:rsid w:val="00766C87"/>
    <w:rsid w:val="00773897"/>
    <w:rsid w:val="00780378"/>
    <w:rsid w:val="00781BD4"/>
    <w:rsid w:val="00784832"/>
    <w:rsid w:val="00785D77"/>
    <w:rsid w:val="00786111"/>
    <w:rsid w:val="00791F1E"/>
    <w:rsid w:val="00794F3D"/>
    <w:rsid w:val="00796045"/>
    <w:rsid w:val="007968AC"/>
    <w:rsid w:val="007969AB"/>
    <w:rsid w:val="00797882"/>
    <w:rsid w:val="007A0B39"/>
    <w:rsid w:val="007A14A4"/>
    <w:rsid w:val="007A168F"/>
    <w:rsid w:val="007A28E4"/>
    <w:rsid w:val="007A3BB3"/>
    <w:rsid w:val="007A5AD1"/>
    <w:rsid w:val="007A5B7B"/>
    <w:rsid w:val="007B0A06"/>
    <w:rsid w:val="007B5C5C"/>
    <w:rsid w:val="007B7B37"/>
    <w:rsid w:val="007B7C41"/>
    <w:rsid w:val="007C11E9"/>
    <w:rsid w:val="007C433E"/>
    <w:rsid w:val="007C4452"/>
    <w:rsid w:val="007C4B3C"/>
    <w:rsid w:val="007C4DB1"/>
    <w:rsid w:val="007C6046"/>
    <w:rsid w:val="007C6C92"/>
    <w:rsid w:val="007D0292"/>
    <w:rsid w:val="007D21AC"/>
    <w:rsid w:val="007D3882"/>
    <w:rsid w:val="007D568A"/>
    <w:rsid w:val="007D574E"/>
    <w:rsid w:val="007D6BFE"/>
    <w:rsid w:val="007E2046"/>
    <w:rsid w:val="007E3883"/>
    <w:rsid w:val="007E4FBB"/>
    <w:rsid w:val="007E55BF"/>
    <w:rsid w:val="007E71B1"/>
    <w:rsid w:val="007E7B4E"/>
    <w:rsid w:val="007F0CE2"/>
    <w:rsid w:val="007F0EFF"/>
    <w:rsid w:val="007F1375"/>
    <w:rsid w:val="007F5571"/>
    <w:rsid w:val="0080124A"/>
    <w:rsid w:val="00803850"/>
    <w:rsid w:val="00804385"/>
    <w:rsid w:val="00805AFD"/>
    <w:rsid w:val="008078D8"/>
    <w:rsid w:val="00811D5B"/>
    <w:rsid w:val="00817713"/>
    <w:rsid w:val="008220F1"/>
    <w:rsid w:val="0082340B"/>
    <w:rsid w:val="00827DB6"/>
    <w:rsid w:val="008304B2"/>
    <w:rsid w:val="00830999"/>
    <w:rsid w:val="00830D5E"/>
    <w:rsid w:val="00830F69"/>
    <w:rsid w:val="00833418"/>
    <w:rsid w:val="00834458"/>
    <w:rsid w:val="00835841"/>
    <w:rsid w:val="00837465"/>
    <w:rsid w:val="00840D0C"/>
    <w:rsid w:val="00841243"/>
    <w:rsid w:val="00841457"/>
    <w:rsid w:val="0084374E"/>
    <w:rsid w:val="00844842"/>
    <w:rsid w:val="00844DD0"/>
    <w:rsid w:val="0085089F"/>
    <w:rsid w:val="0085206E"/>
    <w:rsid w:val="00852AD4"/>
    <w:rsid w:val="00852BA8"/>
    <w:rsid w:val="00852CDA"/>
    <w:rsid w:val="00853718"/>
    <w:rsid w:val="008541EF"/>
    <w:rsid w:val="00856AC7"/>
    <w:rsid w:val="00856FA4"/>
    <w:rsid w:val="0086162B"/>
    <w:rsid w:val="00861D5C"/>
    <w:rsid w:val="00862B54"/>
    <w:rsid w:val="00865207"/>
    <w:rsid w:val="008656A7"/>
    <w:rsid w:val="00866231"/>
    <w:rsid w:val="00871262"/>
    <w:rsid w:val="00871D4E"/>
    <w:rsid w:val="00871E7B"/>
    <w:rsid w:val="00875B51"/>
    <w:rsid w:val="00875F2D"/>
    <w:rsid w:val="008764DC"/>
    <w:rsid w:val="00882CC2"/>
    <w:rsid w:val="00883930"/>
    <w:rsid w:val="00885379"/>
    <w:rsid w:val="00894C01"/>
    <w:rsid w:val="00896535"/>
    <w:rsid w:val="00896683"/>
    <w:rsid w:val="0089750B"/>
    <w:rsid w:val="00897589"/>
    <w:rsid w:val="008A63A9"/>
    <w:rsid w:val="008A7F7E"/>
    <w:rsid w:val="008B04DB"/>
    <w:rsid w:val="008B27FD"/>
    <w:rsid w:val="008B3AF2"/>
    <w:rsid w:val="008B446D"/>
    <w:rsid w:val="008B515D"/>
    <w:rsid w:val="008B5D31"/>
    <w:rsid w:val="008B6705"/>
    <w:rsid w:val="008C22F3"/>
    <w:rsid w:val="008D795D"/>
    <w:rsid w:val="008D7B07"/>
    <w:rsid w:val="008D7C73"/>
    <w:rsid w:val="008E1E94"/>
    <w:rsid w:val="008E2D99"/>
    <w:rsid w:val="008E4A60"/>
    <w:rsid w:val="008E744D"/>
    <w:rsid w:val="008F171D"/>
    <w:rsid w:val="008F1E08"/>
    <w:rsid w:val="008F554C"/>
    <w:rsid w:val="00900D8F"/>
    <w:rsid w:val="009014E3"/>
    <w:rsid w:val="009026E8"/>
    <w:rsid w:val="00904251"/>
    <w:rsid w:val="00906EB7"/>
    <w:rsid w:val="009102BF"/>
    <w:rsid w:val="00911490"/>
    <w:rsid w:val="009115F2"/>
    <w:rsid w:val="00914ADB"/>
    <w:rsid w:val="00920B58"/>
    <w:rsid w:val="00923B25"/>
    <w:rsid w:val="00923C88"/>
    <w:rsid w:val="0092402E"/>
    <w:rsid w:val="009259BA"/>
    <w:rsid w:val="00926FCB"/>
    <w:rsid w:val="0093311A"/>
    <w:rsid w:val="00942645"/>
    <w:rsid w:val="00950A3A"/>
    <w:rsid w:val="0095340A"/>
    <w:rsid w:val="00954581"/>
    <w:rsid w:val="0095466C"/>
    <w:rsid w:val="00954E5B"/>
    <w:rsid w:val="00955765"/>
    <w:rsid w:val="009576BC"/>
    <w:rsid w:val="00960357"/>
    <w:rsid w:val="0096168C"/>
    <w:rsid w:val="00961840"/>
    <w:rsid w:val="00962F2D"/>
    <w:rsid w:val="009672CD"/>
    <w:rsid w:val="00967E06"/>
    <w:rsid w:val="00972996"/>
    <w:rsid w:val="009732B8"/>
    <w:rsid w:val="00975C72"/>
    <w:rsid w:val="00976869"/>
    <w:rsid w:val="00977740"/>
    <w:rsid w:val="00977CB4"/>
    <w:rsid w:val="009809B8"/>
    <w:rsid w:val="0098222D"/>
    <w:rsid w:val="00985099"/>
    <w:rsid w:val="0099421F"/>
    <w:rsid w:val="009A05D7"/>
    <w:rsid w:val="009A0DE3"/>
    <w:rsid w:val="009A1643"/>
    <w:rsid w:val="009A215A"/>
    <w:rsid w:val="009A397E"/>
    <w:rsid w:val="009A49D3"/>
    <w:rsid w:val="009A4F1B"/>
    <w:rsid w:val="009A66C5"/>
    <w:rsid w:val="009A79BA"/>
    <w:rsid w:val="009B14D1"/>
    <w:rsid w:val="009B1534"/>
    <w:rsid w:val="009B4963"/>
    <w:rsid w:val="009B4A3B"/>
    <w:rsid w:val="009B69D3"/>
    <w:rsid w:val="009B7BA7"/>
    <w:rsid w:val="009C0938"/>
    <w:rsid w:val="009C22C8"/>
    <w:rsid w:val="009C3F82"/>
    <w:rsid w:val="009C72DD"/>
    <w:rsid w:val="009C7DF5"/>
    <w:rsid w:val="009D056C"/>
    <w:rsid w:val="009D060F"/>
    <w:rsid w:val="009D1ADE"/>
    <w:rsid w:val="009D27B1"/>
    <w:rsid w:val="009D37CA"/>
    <w:rsid w:val="009E09D0"/>
    <w:rsid w:val="009E1283"/>
    <w:rsid w:val="009E3A7F"/>
    <w:rsid w:val="009E57B1"/>
    <w:rsid w:val="009E6379"/>
    <w:rsid w:val="009F7809"/>
    <w:rsid w:val="009F7AF5"/>
    <w:rsid w:val="00A00D14"/>
    <w:rsid w:val="00A01408"/>
    <w:rsid w:val="00A02457"/>
    <w:rsid w:val="00A03190"/>
    <w:rsid w:val="00A0404B"/>
    <w:rsid w:val="00A0798C"/>
    <w:rsid w:val="00A07BDD"/>
    <w:rsid w:val="00A1105B"/>
    <w:rsid w:val="00A1213C"/>
    <w:rsid w:val="00A130E8"/>
    <w:rsid w:val="00A15B6B"/>
    <w:rsid w:val="00A15EB4"/>
    <w:rsid w:val="00A16876"/>
    <w:rsid w:val="00A200AA"/>
    <w:rsid w:val="00A20558"/>
    <w:rsid w:val="00A2186F"/>
    <w:rsid w:val="00A2270B"/>
    <w:rsid w:val="00A23B89"/>
    <w:rsid w:val="00A23FE3"/>
    <w:rsid w:val="00A248C3"/>
    <w:rsid w:val="00A2496E"/>
    <w:rsid w:val="00A258B7"/>
    <w:rsid w:val="00A27717"/>
    <w:rsid w:val="00A32743"/>
    <w:rsid w:val="00A414A9"/>
    <w:rsid w:val="00A44CCA"/>
    <w:rsid w:val="00A44D75"/>
    <w:rsid w:val="00A47CF1"/>
    <w:rsid w:val="00A50418"/>
    <w:rsid w:val="00A54A47"/>
    <w:rsid w:val="00A56D26"/>
    <w:rsid w:val="00A571A7"/>
    <w:rsid w:val="00A608FB"/>
    <w:rsid w:val="00A60D83"/>
    <w:rsid w:val="00A60F68"/>
    <w:rsid w:val="00A62C29"/>
    <w:rsid w:val="00A63DF3"/>
    <w:rsid w:val="00A65271"/>
    <w:rsid w:val="00A65C78"/>
    <w:rsid w:val="00A660A8"/>
    <w:rsid w:val="00A67591"/>
    <w:rsid w:val="00A67CA6"/>
    <w:rsid w:val="00A70E7B"/>
    <w:rsid w:val="00A715E4"/>
    <w:rsid w:val="00A73B84"/>
    <w:rsid w:val="00A7411D"/>
    <w:rsid w:val="00A76094"/>
    <w:rsid w:val="00A768E2"/>
    <w:rsid w:val="00A82865"/>
    <w:rsid w:val="00A82C52"/>
    <w:rsid w:val="00A84E31"/>
    <w:rsid w:val="00A86CB6"/>
    <w:rsid w:val="00A90D55"/>
    <w:rsid w:val="00A944D8"/>
    <w:rsid w:val="00A959E7"/>
    <w:rsid w:val="00A95BBA"/>
    <w:rsid w:val="00A961EE"/>
    <w:rsid w:val="00A9753A"/>
    <w:rsid w:val="00AA04B3"/>
    <w:rsid w:val="00AA1253"/>
    <w:rsid w:val="00AA1ED0"/>
    <w:rsid w:val="00AA28EF"/>
    <w:rsid w:val="00AA3593"/>
    <w:rsid w:val="00AA38CA"/>
    <w:rsid w:val="00AA493E"/>
    <w:rsid w:val="00AA73AF"/>
    <w:rsid w:val="00AB0A8A"/>
    <w:rsid w:val="00AB1754"/>
    <w:rsid w:val="00AB27DD"/>
    <w:rsid w:val="00AC0148"/>
    <w:rsid w:val="00AC439D"/>
    <w:rsid w:val="00AC713F"/>
    <w:rsid w:val="00AD067E"/>
    <w:rsid w:val="00AD2801"/>
    <w:rsid w:val="00AD6870"/>
    <w:rsid w:val="00AD68C5"/>
    <w:rsid w:val="00AE1273"/>
    <w:rsid w:val="00AE2D29"/>
    <w:rsid w:val="00AE4624"/>
    <w:rsid w:val="00AE5E14"/>
    <w:rsid w:val="00AE5FDB"/>
    <w:rsid w:val="00AE6115"/>
    <w:rsid w:val="00AE625B"/>
    <w:rsid w:val="00AF1668"/>
    <w:rsid w:val="00AF4FA5"/>
    <w:rsid w:val="00B07955"/>
    <w:rsid w:val="00B10CF2"/>
    <w:rsid w:val="00B121CC"/>
    <w:rsid w:val="00B140B8"/>
    <w:rsid w:val="00B14FAA"/>
    <w:rsid w:val="00B15D30"/>
    <w:rsid w:val="00B20624"/>
    <w:rsid w:val="00B23436"/>
    <w:rsid w:val="00B237F1"/>
    <w:rsid w:val="00B24F33"/>
    <w:rsid w:val="00B26354"/>
    <w:rsid w:val="00B26CA0"/>
    <w:rsid w:val="00B32179"/>
    <w:rsid w:val="00B33007"/>
    <w:rsid w:val="00B331A9"/>
    <w:rsid w:val="00B36569"/>
    <w:rsid w:val="00B40A05"/>
    <w:rsid w:val="00B40A3E"/>
    <w:rsid w:val="00B40ACA"/>
    <w:rsid w:val="00B427BB"/>
    <w:rsid w:val="00B449EE"/>
    <w:rsid w:val="00B50227"/>
    <w:rsid w:val="00B50510"/>
    <w:rsid w:val="00B51700"/>
    <w:rsid w:val="00B51906"/>
    <w:rsid w:val="00B522CD"/>
    <w:rsid w:val="00B55143"/>
    <w:rsid w:val="00B555C8"/>
    <w:rsid w:val="00B55917"/>
    <w:rsid w:val="00B643A6"/>
    <w:rsid w:val="00B64DD6"/>
    <w:rsid w:val="00B6710C"/>
    <w:rsid w:val="00B67E84"/>
    <w:rsid w:val="00B72076"/>
    <w:rsid w:val="00B72303"/>
    <w:rsid w:val="00B72C72"/>
    <w:rsid w:val="00B82277"/>
    <w:rsid w:val="00B82D63"/>
    <w:rsid w:val="00B913DF"/>
    <w:rsid w:val="00B91676"/>
    <w:rsid w:val="00B95833"/>
    <w:rsid w:val="00BA1824"/>
    <w:rsid w:val="00BA2D98"/>
    <w:rsid w:val="00BA30D1"/>
    <w:rsid w:val="00BA30E1"/>
    <w:rsid w:val="00BA4609"/>
    <w:rsid w:val="00BA5BE2"/>
    <w:rsid w:val="00BA7F46"/>
    <w:rsid w:val="00BB09B3"/>
    <w:rsid w:val="00BB0A0A"/>
    <w:rsid w:val="00BB133C"/>
    <w:rsid w:val="00BB45B5"/>
    <w:rsid w:val="00BB5FA3"/>
    <w:rsid w:val="00BB6064"/>
    <w:rsid w:val="00BB6CF4"/>
    <w:rsid w:val="00BC09D1"/>
    <w:rsid w:val="00BC1CF3"/>
    <w:rsid w:val="00BC3573"/>
    <w:rsid w:val="00BC7F82"/>
    <w:rsid w:val="00BD01A9"/>
    <w:rsid w:val="00BD3191"/>
    <w:rsid w:val="00BD40AB"/>
    <w:rsid w:val="00BD6297"/>
    <w:rsid w:val="00BD6806"/>
    <w:rsid w:val="00BD7433"/>
    <w:rsid w:val="00BD7831"/>
    <w:rsid w:val="00BD7C10"/>
    <w:rsid w:val="00BE046F"/>
    <w:rsid w:val="00BE0DEB"/>
    <w:rsid w:val="00BE2FC1"/>
    <w:rsid w:val="00BE6365"/>
    <w:rsid w:val="00BF06FE"/>
    <w:rsid w:val="00BF0B7F"/>
    <w:rsid w:val="00BF2AAB"/>
    <w:rsid w:val="00BF4720"/>
    <w:rsid w:val="00BF4F49"/>
    <w:rsid w:val="00BF7B4F"/>
    <w:rsid w:val="00BF7B63"/>
    <w:rsid w:val="00C038EC"/>
    <w:rsid w:val="00C05C6D"/>
    <w:rsid w:val="00C1122B"/>
    <w:rsid w:val="00C13B34"/>
    <w:rsid w:val="00C13F26"/>
    <w:rsid w:val="00C1474E"/>
    <w:rsid w:val="00C16E9F"/>
    <w:rsid w:val="00C1713D"/>
    <w:rsid w:val="00C177F1"/>
    <w:rsid w:val="00C17EE6"/>
    <w:rsid w:val="00C22F3A"/>
    <w:rsid w:val="00C23311"/>
    <w:rsid w:val="00C25978"/>
    <w:rsid w:val="00C261C6"/>
    <w:rsid w:val="00C26E7C"/>
    <w:rsid w:val="00C276CD"/>
    <w:rsid w:val="00C27D85"/>
    <w:rsid w:val="00C30A97"/>
    <w:rsid w:val="00C31DDC"/>
    <w:rsid w:val="00C34326"/>
    <w:rsid w:val="00C36201"/>
    <w:rsid w:val="00C368E8"/>
    <w:rsid w:val="00C36C3D"/>
    <w:rsid w:val="00C372C7"/>
    <w:rsid w:val="00C42443"/>
    <w:rsid w:val="00C42BFC"/>
    <w:rsid w:val="00C42CBA"/>
    <w:rsid w:val="00C47CE4"/>
    <w:rsid w:val="00C5019E"/>
    <w:rsid w:val="00C5377C"/>
    <w:rsid w:val="00C53E8A"/>
    <w:rsid w:val="00C54DF3"/>
    <w:rsid w:val="00C554EA"/>
    <w:rsid w:val="00C560A7"/>
    <w:rsid w:val="00C56FC8"/>
    <w:rsid w:val="00C6010B"/>
    <w:rsid w:val="00C60F23"/>
    <w:rsid w:val="00C62EB2"/>
    <w:rsid w:val="00C71BEC"/>
    <w:rsid w:val="00C74D3A"/>
    <w:rsid w:val="00C80511"/>
    <w:rsid w:val="00C826F5"/>
    <w:rsid w:val="00C83740"/>
    <w:rsid w:val="00C84AD1"/>
    <w:rsid w:val="00C85579"/>
    <w:rsid w:val="00C863E5"/>
    <w:rsid w:val="00C87BE6"/>
    <w:rsid w:val="00C87F76"/>
    <w:rsid w:val="00C91E1C"/>
    <w:rsid w:val="00C931FC"/>
    <w:rsid w:val="00C932C5"/>
    <w:rsid w:val="00C954A4"/>
    <w:rsid w:val="00C95A77"/>
    <w:rsid w:val="00C9650E"/>
    <w:rsid w:val="00CA068D"/>
    <w:rsid w:val="00CA1228"/>
    <w:rsid w:val="00CA282D"/>
    <w:rsid w:val="00CA4670"/>
    <w:rsid w:val="00CA6B1A"/>
    <w:rsid w:val="00CB20DC"/>
    <w:rsid w:val="00CB23DC"/>
    <w:rsid w:val="00CB2487"/>
    <w:rsid w:val="00CB28E2"/>
    <w:rsid w:val="00CB2D8A"/>
    <w:rsid w:val="00CB7A3E"/>
    <w:rsid w:val="00CB7FF7"/>
    <w:rsid w:val="00CC0D0E"/>
    <w:rsid w:val="00CC150D"/>
    <w:rsid w:val="00CC19B3"/>
    <w:rsid w:val="00CC2044"/>
    <w:rsid w:val="00CC39D2"/>
    <w:rsid w:val="00CC69EC"/>
    <w:rsid w:val="00CD15BE"/>
    <w:rsid w:val="00CD1EF2"/>
    <w:rsid w:val="00CD32BD"/>
    <w:rsid w:val="00CD34C7"/>
    <w:rsid w:val="00CD5653"/>
    <w:rsid w:val="00CD5E6D"/>
    <w:rsid w:val="00CD63C8"/>
    <w:rsid w:val="00CF0971"/>
    <w:rsid w:val="00CF158D"/>
    <w:rsid w:val="00CF3FB2"/>
    <w:rsid w:val="00CF4394"/>
    <w:rsid w:val="00D000A9"/>
    <w:rsid w:val="00D005DB"/>
    <w:rsid w:val="00D0064E"/>
    <w:rsid w:val="00D00981"/>
    <w:rsid w:val="00D02596"/>
    <w:rsid w:val="00D0280D"/>
    <w:rsid w:val="00D0455A"/>
    <w:rsid w:val="00D07A72"/>
    <w:rsid w:val="00D10577"/>
    <w:rsid w:val="00D1323B"/>
    <w:rsid w:val="00D14BAE"/>
    <w:rsid w:val="00D1648B"/>
    <w:rsid w:val="00D16819"/>
    <w:rsid w:val="00D17DD9"/>
    <w:rsid w:val="00D20AC0"/>
    <w:rsid w:val="00D2321B"/>
    <w:rsid w:val="00D23DE4"/>
    <w:rsid w:val="00D26873"/>
    <w:rsid w:val="00D27DBC"/>
    <w:rsid w:val="00D3100B"/>
    <w:rsid w:val="00D31683"/>
    <w:rsid w:val="00D336C8"/>
    <w:rsid w:val="00D339E8"/>
    <w:rsid w:val="00D3662E"/>
    <w:rsid w:val="00D40B1F"/>
    <w:rsid w:val="00D40D75"/>
    <w:rsid w:val="00D449F0"/>
    <w:rsid w:val="00D50C8C"/>
    <w:rsid w:val="00D52393"/>
    <w:rsid w:val="00D523E4"/>
    <w:rsid w:val="00D5279D"/>
    <w:rsid w:val="00D52A1B"/>
    <w:rsid w:val="00D52D91"/>
    <w:rsid w:val="00D52FCC"/>
    <w:rsid w:val="00D53F14"/>
    <w:rsid w:val="00D54BE4"/>
    <w:rsid w:val="00D560DC"/>
    <w:rsid w:val="00D60483"/>
    <w:rsid w:val="00D61A7B"/>
    <w:rsid w:val="00D61ABB"/>
    <w:rsid w:val="00D63577"/>
    <w:rsid w:val="00D67FD7"/>
    <w:rsid w:val="00D74261"/>
    <w:rsid w:val="00D7441B"/>
    <w:rsid w:val="00D76AB2"/>
    <w:rsid w:val="00D80490"/>
    <w:rsid w:val="00D828F9"/>
    <w:rsid w:val="00D829AD"/>
    <w:rsid w:val="00D82A89"/>
    <w:rsid w:val="00D82EE2"/>
    <w:rsid w:val="00D8545C"/>
    <w:rsid w:val="00D87788"/>
    <w:rsid w:val="00D877C8"/>
    <w:rsid w:val="00D910C2"/>
    <w:rsid w:val="00D9168C"/>
    <w:rsid w:val="00D9189B"/>
    <w:rsid w:val="00D91DA6"/>
    <w:rsid w:val="00D96540"/>
    <w:rsid w:val="00D9706F"/>
    <w:rsid w:val="00D972D4"/>
    <w:rsid w:val="00DA195B"/>
    <w:rsid w:val="00DA6B55"/>
    <w:rsid w:val="00DA6B97"/>
    <w:rsid w:val="00DB0015"/>
    <w:rsid w:val="00DB2AAD"/>
    <w:rsid w:val="00DB626D"/>
    <w:rsid w:val="00DB6365"/>
    <w:rsid w:val="00DC0BF1"/>
    <w:rsid w:val="00DC41C3"/>
    <w:rsid w:val="00DC7955"/>
    <w:rsid w:val="00DD286D"/>
    <w:rsid w:val="00DD2CAF"/>
    <w:rsid w:val="00DD3593"/>
    <w:rsid w:val="00DD64E0"/>
    <w:rsid w:val="00DE0C67"/>
    <w:rsid w:val="00DE1D97"/>
    <w:rsid w:val="00DE6952"/>
    <w:rsid w:val="00DE7E74"/>
    <w:rsid w:val="00DF071B"/>
    <w:rsid w:val="00DF6EF8"/>
    <w:rsid w:val="00E00A69"/>
    <w:rsid w:val="00E017F0"/>
    <w:rsid w:val="00E01A0E"/>
    <w:rsid w:val="00E041E4"/>
    <w:rsid w:val="00E0555C"/>
    <w:rsid w:val="00E1012B"/>
    <w:rsid w:val="00E103C8"/>
    <w:rsid w:val="00E1085B"/>
    <w:rsid w:val="00E10F97"/>
    <w:rsid w:val="00E1308B"/>
    <w:rsid w:val="00E14581"/>
    <w:rsid w:val="00E15539"/>
    <w:rsid w:val="00E16541"/>
    <w:rsid w:val="00E2536E"/>
    <w:rsid w:val="00E25B8A"/>
    <w:rsid w:val="00E2632B"/>
    <w:rsid w:val="00E322F7"/>
    <w:rsid w:val="00E3369B"/>
    <w:rsid w:val="00E36D76"/>
    <w:rsid w:val="00E405EA"/>
    <w:rsid w:val="00E408B7"/>
    <w:rsid w:val="00E41637"/>
    <w:rsid w:val="00E4263C"/>
    <w:rsid w:val="00E42789"/>
    <w:rsid w:val="00E43F59"/>
    <w:rsid w:val="00E464F0"/>
    <w:rsid w:val="00E50BEB"/>
    <w:rsid w:val="00E51979"/>
    <w:rsid w:val="00E548FA"/>
    <w:rsid w:val="00E57ED4"/>
    <w:rsid w:val="00E6092F"/>
    <w:rsid w:val="00E62049"/>
    <w:rsid w:val="00E629DA"/>
    <w:rsid w:val="00E6469F"/>
    <w:rsid w:val="00E670F8"/>
    <w:rsid w:val="00E67FAC"/>
    <w:rsid w:val="00E7200B"/>
    <w:rsid w:val="00E738CB"/>
    <w:rsid w:val="00E73C88"/>
    <w:rsid w:val="00E74437"/>
    <w:rsid w:val="00E7443D"/>
    <w:rsid w:val="00E81C3E"/>
    <w:rsid w:val="00E82B6D"/>
    <w:rsid w:val="00E84E60"/>
    <w:rsid w:val="00E875F0"/>
    <w:rsid w:val="00E91283"/>
    <w:rsid w:val="00EA1177"/>
    <w:rsid w:val="00EA118B"/>
    <w:rsid w:val="00EA11B6"/>
    <w:rsid w:val="00EA2181"/>
    <w:rsid w:val="00EA2DD8"/>
    <w:rsid w:val="00EA4475"/>
    <w:rsid w:val="00EA55B3"/>
    <w:rsid w:val="00EA681F"/>
    <w:rsid w:val="00EB121F"/>
    <w:rsid w:val="00EB2790"/>
    <w:rsid w:val="00EB3307"/>
    <w:rsid w:val="00EB3823"/>
    <w:rsid w:val="00EB47D8"/>
    <w:rsid w:val="00EB57D3"/>
    <w:rsid w:val="00EB5EFD"/>
    <w:rsid w:val="00EB679F"/>
    <w:rsid w:val="00EB76E4"/>
    <w:rsid w:val="00EC0E65"/>
    <w:rsid w:val="00EC2938"/>
    <w:rsid w:val="00EC38EF"/>
    <w:rsid w:val="00EC50C9"/>
    <w:rsid w:val="00EC58B4"/>
    <w:rsid w:val="00EC5BB2"/>
    <w:rsid w:val="00EC62B0"/>
    <w:rsid w:val="00EC66CF"/>
    <w:rsid w:val="00ED12F0"/>
    <w:rsid w:val="00ED4773"/>
    <w:rsid w:val="00ED5053"/>
    <w:rsid w:val="00ED664B"/>
    <w:rsid w:val="00ED6A61"/>
    <w:rsid w:val="00EE03BB"/>
    <w:rsid w:val="00EE0B44"/>
    <w:rsid w:val="00EE6FE0"/>
    <w:rsid w:val="00EE704A"/>
    <w:rsid w:val="00EE7840"/>
    <w:rsid w:val="00EF4C74"/>
    <w:rsid w:val="00EF4D98"/>
    <w:rsid w:val="00EF5268"/>
    <w:rsid w:val="00EF608E"/>
    <w:rsid w:val="00EF7B85"/>
    <w:rsid w:val="00F0044B"/>
    <w:rsid w:val="00F04957"/>
    <w:rsid w:val="00F05807"/>
    <w:rsid w:val="00F07052"/>
    <w:rsid w:val="00F0706C"/>
    <w:rsid w:val="00F11EBE"/>
    <w:rsid w:val="00F12BA8"/>
    <w:rsid w:val="00F130D0"/>
    <w:rsid w:val="00F14933"/>
    <w:rsid w:val="00F1516A"/>
    <w:rsid w:val="00F22A26"/>
    <w:rsid w:val="00F24072"/>
    <w:rsid w:val="00F245BC"/>
    <w:rsid w:val="00F26432"/>
    <w:rsid w:val="00F3197A"/>
    <w:rsid w:val="00F32139"/>
    <w:rsid w:val="00F33D56"/>
    <w:rsid w:val="00F3463E"/>
    <w:rsid w:val="00F34E08"/>
    <w:rsid w:val="00F41D91"/>
    <w:rsid w:val="00F42100"/>
    <w:rsid w:val="00F42363"/>
    <w:rsid w:val="00F43D60"/>
    <w:rsid w:val="00F46964"/>
    <w:rsid w:val="00F46F9A"/>
    <w:rsid w:val="00F470FD"/>
    <w:rsid w:val="00F50F30"/>
    <w:rsid w:val="00F51079"/>
    <w:rsid w:val="00F5126A"/>
    <w:rsid w:val="00F5126E"/>
    <w:rsid w:val="00F60BEF"/>
    <w:rsid w:val="00F6636A"/>
    <w:rsid w:val="00F667C5"/>
    <w:rsid w:val="00F67E31"/>
    <w:rsid w:val="00F718A8"/>
    <w:rsid w:val="00F72183"/>
    <w:rsid w:val="00F76D01"/>
    <w:rsid w:val="00F81C35"/>
    <w:rsid w:val="00F82981"/>
    <w:rsid w:val="00F8311F"/>
    <w:rsid w:val="00F83248"/>
    <w:rsid w:val="00F83376"/>
    <w:rsid w:val="00F853AE"/>
    <w:rsid w:val="00F93C74"/>
    <w:rsid w:val="00F93DCC"/>
    <w:rsid w:val="00F9435D"/>
    <w:rsid w:val="00F94524"/>
    <w:rsid w:val="00F97740"/>
    <w:rsid w:val="00FA2F7B"/>
    <w:rsid w:val="00FA3C97"/>
    <w:rsid w:val="00FA78C8"/>
    <w:rsid w:val="00FB09FE"/>
    <w:rsid w:val="00FB101D"/>
    <w:rsid w:val="00FB1725"/>
    <w:rsid w:val="00FB593A"/>
    <w:rsid w:val="00FB6410"/>
    <w:rsid w:val="00FB6E82"/>
    <w:rsid w:val="00FC0042"/>
    <w:rsid w:val="00FC2A13"/>
    <w:rsid w:val="00FC4284"/>
    <w:rsid w:val="00FC4576"/>
    <w:rsid w:val="00FC78FB"/>
    <w:rsid w:val="00FC7DBC"/>
    <w:rsid w:val="00FD076A"/>
    <w:rsid w:val="00FD0AA0"/>
    <w:rsid w:val="00FD1D5A"/>
    <w:rsid w:val="00FD5059"/>
    <w:rsid w:val="00FD554D"/>
    <w:rsid w:val="00FE0589"/>
    <w:rsid w:val="00FE2277"/>
    <w:rsid w:val="00FE6469"/>
    <w:rsid w:val="00FF0FF7"/>
    <w:rsid w:val="00FF10A2"/>
    <w:rsid w:val="00FF1438"/>
    <w:rsid w:val="00FF3A38"/>
    <w:rsid w:val="00FF3C25"/>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styleId="NoSpacing">
    <w:name w:val="No Spacing"/>
    <w:uiPriority w:val="1"/>
    <w:qFormat/>
    <w:rsid w:val="00D0455A"/>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 w:id="209979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F6EB3-98F5-4E3A-8CAD-97B474B3C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2144</Words>
  <Characters>12397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14512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3</cp:revision>
  <cp:lastPrinted>2011-04-13T17:52:00Z</cp:lastPrinted>
  <dcterms:created xsi:type="dcterms:W3CDTF">2012-03-08T17:29:00Z</dcterms:created>
  <dcterms:modified xsi:type="dcterms:W3CDTF">2012-03-12T17:29:00Z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