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03AD5">
        <w:rPr>
          <w:rFonts w:asciiTheme="minorHAnsi" w:hAnsiTheme="minorHAnsi"/>
          <w:caps/>
          <w:color w:val="auto"/>
        </w:rPr>
        <w:t>XXXXXX</w:t>
      </w:r>
      <w:r w:rsidR="00FD2B92">
        <w:rPr>
          <w:rFonts w:asciiTheme="minorHAnsi" w:hAnsiTheme="minorHAnsi"/>
          <w:caps/>
          <w:color w:val="auto"/>
        </w:rPr>
        <w:t xml:space="preserve"> </w:t>
      </w:r>
      <w:r w:rsidR="00913A1A">
        <w:rPr>
          <w:rFonts w:asciiTheme="minorHAnsi" w:hAnsiTheme="minorHAnsi"/>
          <w:caps/>
          <w:color w:val="auto"/>
        </w:rPr>
        <w:t xml:space="preserve"> </w:t>
      </w:r>
      <w:r w:rsidR="00913A1A">
        <w:rPr>
          <w:rFonts w:asciiTheme="minorHAnsi" w:hAnsiTheme="minorHAnsi"/>
          <w:caps/>
          <w:color w:val="auto"/>
        </w:rPr>
        <w:tab/>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Pr="00FD6C41">
        <w:rPr>
          <w:rFonts w:asciiTheme="minorHAnsi" w:hAnsiTheme="minorHAnsi"/>
          <w:caps/>
          <w:color w:val="auto"/>
        </w:rPr>
        <w:t>BRANCH OF SERVICE</w:t>
      </w:r>
      <w:r w:rsidRPr="00E53509">
        <w:rPr>
          <w:rFonts w:asciiTheme="minorHAnsi" w:hAnsiTheme="minorHAnsi"/>
          <w:caps/>
          <w:color w:val="auto"/>
        </w:rPr>
        <w:t xml:space="preserve">: </w:t>
      </w:r>
      <w:r w:rsidR="004C24C5" w:rsidRPr="00E53509">
        <w:rPr>
          <w:rFonts w:asciiTheme="minorHAnsi" w:hAnsiTheme="minorHAnsi"/>
          <w:caps/>
          <w:color w:val="auto"/>
        </w:rPr>
        <w:t xml:space="preserve"> </w:t>
      </w:r>
      <w:r w:rsidR="00332DE3" w:rsidRPr="00E53509">
        <w:rPr>
          <w:rFonts w:asciiTheme="minorHAnsi" w:hAnsiTheme="minorHAnsi"/>
          <w:caps/>
          <w:color w:val="auto"/>
        </w:rPr>
        <w:t xml:space="preserve">marine corps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E53509">
        <w:rPr>
          <w:rFonts w:asciiTheme="minorHAnsi" w:hAnsiTheme="minorHAnsi"/>
          <w:caps/>
          <w:color w:val="auto"/>
        </w:rPr>
        <w:t>09</w:t>
      </w:r>
      <w:r w:rsidR="00913A1A">
        <w:rPr>
          <w:rFonts w:asciiTheme="minorHAnsi" w:hAnsiTheme="minorHAnsi"/>
          <w:caps/>
          <w:color w:val="auto"/>
        </w:rPr>
        <w:t>00680</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913A1A">
        <w:rPr>
          <w:rFonts w:asciiTheme="minorHAnsi" w:hAnsiTheme="minorHAnsi"/>
          <w:color w:val="auto"/>
        </w:rPr>
        <w:t xml:space="preserve"> </w:t>
      </w:r>
      <w:r w:rsidR="00E0346A">
        <w:rPr>
          <w:rFonts w:asciiTheme="minorHAnsi" w:hAnsiTheme="minorHAnsi"/>
          <w:color w:val="auto"/>
        </w:rPr>
        <w:t xml:space="preserve">         </w:t>
      </w:r>
      <w:r w:rsidR="00DE3AAD" w:rsidRPr="00DE3AAD">
        <w:rPr>
          <w:rFonts w:asciiTheme="minorHAnsi" w:hAnsiTheme="minorHAnsi"/>
          <w:color w:val="auto"/>
        </w:rPr>
        <w:t>SEPARATION DATE:  200</w:t>
      </w:r>
      <w:r w:rsidR="00913A1A">
        <w:rPr>
          <w:rFonts w:asciiTheme="minorHAnsi" w:hAnsiTheme="minorHAnsi"/>
          <w:color w:val="auto"/>
        </w:rPr>
        <w:t>31031</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FD2B92">
        <w:rPr>
          <w:rFonts w:asciiTheme="minorHAnsi" w:hAnsiTheme="minorHAnsi"/>
          <w:caps/>
          <w:color w:val="auto"/>
        </w:rPr>
        <w:t>0722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913A1A" w:rsidRPr="00C472C7" w:rsidRDefault="00FB0E80" w:rsidP="00913A1A">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13A1A" w:rsidRPr="00EC337D">
        <w:rPr>
          <w:rFonts w:asciiTheme="minorHAnsi" w:hAnsiTheme="minorHAnsi"/>
          <w:color w:val="auto"/>
        </w:rPr>
        <w:t xml:space="preserve">Data extracted from the available evidence of record reflects that this covered individual (CI) </w:t>
      </w:r>
      <w:r w:rsidR="00913A1A" w:rsidRPr="00AD7F8F">
        <w:rPr>
          <w:rFonts w:asciiTheme="minorHAnsi" w:hAnsiTheme="minorHAnsi"/>
          <w:color w:val="auto"/>
          <w:szCs w:val="24"/>
        </w:rPr>
        <w:t xml:space="preserve">was an active duty </w:t>
      </w:r>
      <w:proofErr w:type="spellStart"/>
      <w:r w:rsidR="00913A1A">
        <w:rPr>
          <w:rFonts w:asciiTheme="minorHAnsi" w:hAnsiTheme="minorHAnsi"/>
          <w:color w:val="auto"/>
          <w:szCs w:val="24"/>
        </w:rPr>
        <w:t>LC</w:t>
      </w:r>
      <w:r w:rsidR="00FD2B92">
        <w:rPr>
          <w:rFonts w:asciiTheme="minorHAnsi" w:hAnsiTheme="minorHAnsi"/>
          <w:color w:val="auto"/>
          <w:szCs w:val="24"/>
        </w:rPr>
        <w:t>pl</w:t>
      </w:r>
      <w:proofErr w:type="spellEnd"/>
      <w:r w:rsidR="00913A1A">
        <w:rPr>
          <w:rFonts w:asciiTheme="minorHAnsi" w:hAnsiTheme="minorHAnsi"/>
          <w:color w:val="auto"/>
          <w:szCs w:val="24"/>
        </w:rPr>
        <w:t>/E-3</w:t>
      </w:r>
      <w:r w:rsidR="00913A1A" w:rsidRPr="00AD7F8F">
        <w:rPr>
          <w:rFonts w:asciiTheme="minorHAnsi" w:hAnsiTheme="minorHAnsi"/>
          <w:color w:val="auto"/>
          <w:szCs w:val="24"/>
        </w:rPr>
        <w:t xml:space="preserve"> (</w:t>
      </w:r>
      <w:r w:rsidR="00913A1A">
        <w:rPr>
          <w:rFonts w:asciiTheme="minorHAnsi" w:hAnsiTheme="minorHAnsi"/>
          <w:color w:val="auto"/>
          <w:szCs w:val="24"/>
        </w:rPr>
        <w:t>6300, Avionics</w:t>
      </w:r>
      <w:r w:rsidR="00913A1A" w:rsidRPr="00AD7F8F">
        <w:rPr>
          <w:rFonts w:asciiTheme="minorHAnsi" w:hAnsiTheme="minorHAnsi"/>
          <w:color w:val="auto"/>
          <w:szCs w:val="24"/>
        </w:rPr>
        <w:t>)</w:t>
      </w:r>
      <w:r w:rsidR="00F72425">
        <w:rPr>
          <w:rFonts w:asciiTheme="minorHAnsi" w:hAnsiTheme="minorHAnsi"/>
          <w:color w:val="auto"/>
          <w:szCs w:val="24"/>
        </w:rPr>
        <w:t xml:space="preserve"> medically separated </w:t>
      </w:r>
      <w:r w:rsidR="00FD2B92">
        <w:rPr>
          <w:rFonts w:asciiTheme="minorHAnsi" w:hAnsiTheme="minorHAnsi"/>
          <w:color w:val="auto"/>
          <w:szCs w:val="24"/>
        </w:rPr>
        <w:t xml:space="preserve">for </w:t>
      </w:r>
      <w:r w:rsidR="00F72425">
        <w:rPr>
          <w:rFonts w:asciiTheme="minorHAnsi" w:hAnsiTheme="minorHAnsi"/>
          <w:color w:val="auto"/>
          <w:szCs w:val="24"/>
        </w:rPr>
        <w:t>a left hip condition.  In November 2002, he fractured his</w:t>
      </w:r>
      <w:r w:rsidR="00913A1A" w:rsidRPr="00AD7F8F">
        <w:rPr>
          <w:rFonts w:asciiTheme="minorHAnsi" w:hAnsiTheme="minorHAnsi"/>
          <w:color w:val="auto"/>
          <w:szCs w:val="24"/>
        </w:rPr>
        <w:t xml:space="preserve"> </w:t>
      </w:r>
      <w:r w:rsidR="00913A1A">
        <w:rPr>
          <w:rFonts w:asciiTheme="minorHAnsi" w:hAnsiTheme="minorHAnsi"/>
          <w:color w:val="auto"/>
          <w:szCs w:val="24"/>
        </w:rPr>
        <w:t xml:space="preserve">left </w:t>
      </w:r>
      <w:r w:rsidR="00913A1A" w:rsidRPr="00E53509">
        <w:rPr>
          <w:rFonts w:asciiTheme="minorHAnsi" w:hAnsiTheme="minorHAnsi"/>
          <w:color w:val="auto"/>
          <w:szCs w:val="24"/>
        </w:rPr>
        <w:t xml:space="preserve">femoral neck </w:t>
      </w:r>
      <w:r w:rsidR="00913A1A">
        <w:rPr>
          <w:rFonts w:asciiTheme="minorHAnsi" w:hAnsiTheme="minorHAnsi"/>
          <w:color w:val="auto"/>
          <w:szCs w:val="24"/>
        </w:rPr>
        <w:t>during a formatio</w:t>
      </w:r>
      <w:r w:rsidR="00F72425">
        <w:rPr>
          <w:rFonts w:asciiTheme="minorHAnsi" w:hAnsiTheme="minorHAnsi"/>
          <w:color w:val="auto"/>
          <w:szCs w:val="24"/>
        </w:rPr>
        <w:t>n run while in recruit training</w:t>
      </w:r>
      <w:r w:rsidR="00913A1A">
        <w:rPr>
          <w:rFonts w:asciiTheme="minorHAnsi" w:hAnsiTheme="minorHAnsi"/>
          <w:color w:val="auto"/>
          <w:szCs w:val="24"/>
        </w:rPr>
        <w:t xml:space="preserve">. </w:t>
      </w:r>
      <w:r w:rsidR="00F95605">
        <w:rPr>
          <w:rFonts w:asciiTheme="minorHAnsi" w:hAnsiTheme="minorHAnsi"/>
          <w:color w:val="auto"/>
          <w:szCs w:val="24"/>
        </w:rPr>
        <w:t xml:space="preserve"> </w:t>
      </w:r>
      <w:r w:rsidR="00913A1A" w:rsidRPr="00C472C7">
        <w:rPr>
          <w:rFonts w:asciiTheme="minorHAnsi" w:hAnsiTheme="minorHAnsi"/>
          <w:color w:val="auto"/>
          <w:szCs w:val="24"/>
        </w:rPr>
        <w:t>He</w:t>
      </w:r>
      <w:r w:rsidR="00F72425">
        <w:rPr>
          <w:rFonts w:asciiTheme="minorHAnsi" w:hAnsiTheme="minorHAnsi"/>
          <w:color w:val="auto"/>
          <w:szCs w:val="24"/>
        </w:rPr>
        <w:t xml:space="preserve"> was treated (including surgery and rehabilitation) but did </w:t>
      </w:r>
      <w:r w:rsidR="00913A1A" w:rsidRPr="00C472C7">
        <w:rPr>
          <w:rFonts w:asciiTheme="minorHAnsi" w:hAnsiTheme="minorHAnsi"/>
          <w:color w:val="auto"/>
          <w:szCs w:val="24"/>
        </w:rPr>
        <w:t xml:space="preserve">not respond adequately to perform </w:t>
      </w:r>
      <w:r w:rsidR="00F72425">
        <w:rPr>
          <w:rFonts w:asciiTheme="minorHAnsi" w:hAnsiTheme="minorHAnsi"/>
          <w:color w:val="auto"/>
          <w:szCs w:val="24"/>
        </w:rPr>
        <w:t xml:space="preserve">his required military duties </w:t>
      </w:r>
      <w:r w:rsidR="00913A1A">
        <w:rPr>
          <w:rFonts w:asciiTheme="minorHAnsi" w:hAnsiTheme="minorHAnsi"/>
          <w:color w:val="auto"/>
          <w:szCs w:val="24"/>
        </w:rPr>
        <w:t>or</w:t>
      </w:r>
      <w:r w:rsidR="00913A1A" w:rsidRPr="00C472C7">
        <w:rPr>
          <w:rFonts w:asciiTheme="minorHAnsi" w:hAnsiTheme="minorHAnsi"/>
          <w:color w:val="auto"/>
          <w:szCs w:val="24"/>
        </w:rPr>
        <w:t xml:space="preserve"> </w:t>
      </w:r>
      <w:r w:rsidR="00F72425">
        <w:rPr>
          <w:rFonts w:asciiTheme="minorHAnsi" w:hAnsiTheme="minorHAnsi"/>
          <w:color w:val="auto"/>
          <w:szCs w:val="24"/>
        </w:rPr>
        <w:t xml:space="preserve">meet </w:t>
      </w:r>
      <w:r w:rsidR="00913A1A">
        <w:rPr>
          <w:rFonts w:asciiTheme="minorHAnsi" w:hAnsiTheme="minorHAnsi"/>
          <w:color w:val="auto"/>
          <w:szCs w:val="24"/>
        </w:rPr>
        <w:t xml:space="preserve">physical fitness </w:t>
      </w:r>
      <w:r w:rsidR="00F72425">
        <w:rPr>
          <w:rFonts w:asciiTheme="minorHAnsi" w:hAnsiTheme="minorHAnsi"/>
          <w:color w:val="auto"/>
          <w:szCs w:val="24"/>
        </w:rPr>
        <w:t>standards</w:t>
      </w:r>
      <w:r w:rsidR="00913A1A">
        <w:rPr>
          <w:rFonts w:asciiTheme="minorHAnsi" w:hAnsiTheme="minorHAnsi"/>
          <w:color w:val="auto"/>
          <w:szCs w:val="24"/>
        </w:rPr>
        <w:t>.  The CI</w:t>
      </w:r>
      <w:r w:rsidR="00F95605">
        <w:rPr>
          <w:rFonts w:asciiTheme="minorHAnsi" w:hAnsiTheme="minorHAnsi"/>
          <w:color w:val="auto"/>
          <w:szCs w:val="24"/>
        </w:rPr>
        <w:t xml:space="preserve"> was placed in the Medical Rehabilitation Platoon</w:t>
      </w:r>
      <w:r w:rsidR="00F72425">
        <w:rPr>
          <w:rFonts w:asciiTheme="minorHAnsi" w:hAnsiTheme="minorHAnsi"/>
          <w:color w:val="auto"/>
          <w:szCs w:val="24"/>
        </w:rPr>
        <w:t>,</w:t>
      </w:r>
      <w:r w:rsidR="00913A1A" w:rsidRPr="00C472C7">
        <w:rPr>
          <w:rFonts w:asciiTheme="minorHAnsi" w:hAnsiTheme="minorHAnsi"/>
          <w:color w:val="auto"/>
          <w:szCs w:val="24"/>
        </w:rPr>
        <w:t xml:space="preserve"> and underwent a Medical Evaluation Board (MEB).</w:t>
      </w:r>
      <w:r w:rsidR="00F95605">
        <w:rPr>
          <w:rFonts w:asciiTheme="minorHAnsi" w:hAnsiTheme="minorHAnsi"/>
          <w:color w:val="auto"/>
          <w:szCs w:val="24"/>
        </w:rPr>
        <w:t xml:space="preserve"> </w:t>
      </w:r>
      <w:r w:rsidR="00913A1A">
        <w:rPr>
          <w:rFonts w:asciiTheme="minorHAnsi" w:hAnsiTheme="minorHAnsi"/>
          <w:color w:val="auto"/>
          <w:szCs w:val="24"/>
        </w:rPr>
        <w:t xml:space="preserve"> </w:t>
      </w:r>
      <w:r w:rsidR="00F679A9">
        <w:rPr>
          <w:rFonts w:asciiTheme="minorHAnsi" w:hAnsiTheme="minorHAnsi"/>
          <w:color w:val="auto"/>
          <w:szCs w:val="24"/>
        </w:rPr>
        <w:t>His l</w:t>
      </w:r>
      <w:r w:rsidR="00E371A9">
        <w:rPr>
          <w:rFonts w:asciiTheme="minorHAnsi" w:hAnsiTheme="minorHAnsi"/>
          <w:color w:val="auto"/>
          <w:szCs w:val="24"/>
        </w:rPr>
        <w:t>eft f</w:t>
      </w:r>
      <w:r w:rsidR="00E53509">
        <w:rPr>
          <w:rFonts w:asciiTheme="minorHAnsi" w:hAnsiTheme="minorHAnsi"/>
          <w:color w:val="auto"/>
          <w:szCs w:val="24"/>
        </w:rPr>
        <w:t>emoral neck f</w:t>
      </w:r>
      <w:r w:rsidR="00913A1A" w:rsidRPr="00E53509">
        <w:rPr>
          <w:rFonts w:asciiTheme="minorHAnsi" w:hAnsiTheme="minorHAnsi"/>
          <w:color w:val="auto"/>
          <w:szCs w:val="24"/>
        </w:rPr>
        <w:t>racture</w:t>
      </w:r>
      <w:r w:rsidR="00913A1A" w:rsidRPr="00C472C7">
        <w:rPr>
          <w:rFonts w:asciiTheme="minorHAnsi" w:hAnsiTheme="minorHAnsi"/>
          <w:color w:val="auto"/>
          <w:szCs w:val="24"/>
        </w:rPr>
        <w:t xml:space="preserve"> </w:t>
      </w:r>
      <w:r w:rsidR="00F679A9">
        <w:rPr>
          <w:rFonts w:asciiTheme="minorHAnsi" w:hAnsiTheme="minorHAnsi"/>
          <w:color w:val="auto"/>
          <w:szCs w:val="24"/>
        </w:rPr>
        <w:t xml:space="preserve">condition </w:t>
      </w:r>
      <w:r w:rsidR="00913A1A" w:rsidRPr="00C472C7">
        <w:rPr>
          <w:rFonts w:asciiTheme="minorHAnsi" w:hAnsiTheme="minorHAnsi"/>
          <w:color w:val="auto"/>
          <w:szCs w:val="24"/>
        </w:rPr>
        <w:t>w</w:t>
      </w:r>
      <w:r w:rsidR="00913A1A">
        <w:rPr>
          <w:rFonts w:asciiTheme="minorHAnsi" w:hAnsiTheme="minorHAnsi"/>
          <w:color w:val="auto"/>
          <w:szCs w:val="24"/>
        </w:rPr>
        <w:t>as</w:t>
      </w:r>
      <w:r w:rsidR="00913A1A" w:rsidRPr="00C472C7">
        <w:rPr>
          <w:rFonts w:asciiTheme="minorHAnsi" w:hAnsiTheme="minorHAnsi"/>
          <w:color w:val="auto"/>
          <w:szCs w:val="24"/>
        </w:rPr>
        <w:t xml:space="preserve"> forwarded to the Physical Evaluation Board (PEB) as medically unacceptab</w:t>
      </w:r>
      <w:r w:rsidR="00E53509">
        <w:rPr>
          <w:rFonts w:asciiTheme="minorHAnsi" w:hAnsiTheme="minorHAnsi"/>
          <w:color w:val="auto"/>
          <w:szCs w:val="24"/>
        </w:rPr>
        <w:t>le IAW</w:t>
      </w:r>
      <w:r w:rsidR="00913A1A" w:rsidRPr="00C472C7">
        <w:rPr>
          <w:rFonts w:asciiTheme="minorHAnsi" w:hAnsiTheme="minorHAnsi"/>
          <w:color w:val="auto"/>
          <w:szCs w:val="24"/>
        </w:rPr>
        <w:t xml:space="preserve"> SECNAVINST 1850.4E.</w:t>
      </w:r>
      <w:r w:rsidR="00F95605">
        <w:rPr>
          <w:rFonts w:asciiTheme="minorHAnsi" w:hAnsiTheme="minorHAnsi"/>
          <w:color w:val="auto"/>
          <w:szCs w:val="24"/>
        </w:rPr>
        <w:t xml:space="preserve"> </w:t>
      </w:r>
      <w:r w:rsidR="00913A1A">
        <w:rPr>
          <w:rFonts w:asciiTheme="minorHAnsi" w:hAnsiTheme="minorHAnsi"/>
          <w:color w:val="auto"/>
          <w:szCs w:val="24"/>
        </w:rPr>
        <w:t xml:space="preserve"> </w:t>
      </w:r>
      <w:r w:rsidR="00913A1A" w:rsidRPr="00C472C7">
        <w:rPr>
          <w:rFonts w:asciiTheme="minorHAnsi" w:hAnsiTheme="minorHAnsi"/>
          <w:color w:val="auto"/>
          <w:szCs w:val="24"/>
        </w:rPr>
        <w:t xml:space="preserve">The PEB </w:t>
      </w:r>
      <w:r w:rsidR="00F72425">
        <w:rPr>
          <w:rFonts w:asciiTheme="minorHAnsi" w:hAnsiTheme="minorHAnsi"/>
          <w:color w:val="auto"/>
          <w:szCs w:val="24"/>
        </w:rPr>
        <w:t xml:space="preserve">found the left hip condition </w:t>
      </w:r>
      <w:r w:rsidR="00913A1A" w:rsidRPr="00C472C7">
        <w:rPr>
          <w:rFonts w:asciiTheme="minorHAnsi" w:hAnsiTheme="minorHAnsi"/>
          <w:color w:val="auto"/>
          <w:szCs w:val="24"/>
        </w:rPr>
        <w:t xml:space="preserve">unfitting, </w:t>
      </w:r>
      <w:r w:rsidR="00F72425">
        <w:rPr>
          <w:rFonts w:asciiTheme="minorHAnsi" w:hAnsiTheme="minorHAnsi"/>
          <w:color w:val="auto"/>
          <w:szCs w:val="24"/>
        </w:rPr>
        <w:t xml:space="preserve">and assigned a </w:t>
      </w:r>
      <w:r w:rsidR="00913A1A" w:rsidRPr="00C472C7">
        <w:rPr>
          <w:rFonts w:asciiTheme="minorHAnsi" w:hAnsiTheme="minorHAnsi"/>
          <w:color w:val="auto"/>
          <w:szCs w:val="24"/>
        </w:rPr>
        <w:t>rat</w:t>
      </w:r>
      <w:r w:rsidR="00F72425">
        <w:rPr>
          <w:rFonts w:asciiTheme="minorHAnsi" w:hAnsiTheme="minorHAnsi"/>
          <w:color w:val="auto"/>
          <w:szCs w:val="24"/>
        </w:rPr>
        <w:t xml:space="preserve">ing of </w:t>
      </w:r>
      <w:r w:rsidR="00913A1A">
        <w:rPr>
          <w:rFonts w:asciiTheme="minorHAnsi" w:hAnsiTheme="minorHAnsi"/>
          <w:color w:val="auto"/>
          <w:szCs w:val="24"/>
        </w:rPr>
        <w:t>10</w:t>
      </w:r>
      <w:r w:rsidR="00DE49B5">
        <w:rPr>
          <w:rFonts w:asciiTheme="minorHAnsi" w:hAnsiTheme="minorHAnsi"/>
          <w:color w:val="auto"/>
          <w:szCs w:val="24"/>
        </w:rPr>
        <w:t>%</w:t>
      </w:r>
      <w:r w:rsidR="00F72425">
        <w:rPr>
          <w:rFonts w:asciiTheme="minorHAnsi" w:hAnsiTheme="minorHAnsi"/>
          <w:color w:val="auto"/>
          <w:szCs w:val="24"/>
        </w:rPr>
        <w:t xml:space="preserve">.  </w:t>
      </w:r>
      <w:r w:rsidR="00913A1A" w:rsidRPr="00C472C7">
        <w:rPr>
          <w:rFonts w:asciiTheme="minorHAnsi" w:hAnsiTheme="minorHAnsi"/>
          <w:color w:val="auto"/>
        </w:rPr>
        <w:t xml:space="preserve">The CI </w:t>
      </w:r>
      <w:r w:rsidR="00F72425">
        <w:rPr>
          <w:rFonts w:asciiTheme="minorHAnsi" w:hAnsiTheme="minorHAnsi"/>
          <w:color w:val="auto"/>
        </w:rPr>
        <w:t xml:space="preserve">accepted the PEB findings, </w:t>
      </w:r>
      <w:r w:rsidR="00913A1A" w:rsidRPr="00C472C7">
        <w:rPr>
          <w:rFonts w:asciiTheme="minorHAnsi" w:hAnsiTheme="minorHAnsi"/>
          <w:color w:val="auto"/>
        </w:rPr>
        <w:t xml:space="preserve">and was medically separated with </w:t>
      </w:r>
      <w:r w:rsidR="00913A1A">
        <w:rPr>
          <w:rFonts w:asciiTheme="minorHAnsi" w:hAnsiTheme="minorHAnsi"/>
          <w:color w:val="auto"/>
        </w:rPr>
        <w:t>10</w:t>
      </w:r>
      <w:r w:rsidR="00302FC5">
        <w:rPr>
          <w:rFonts w:asciiTheme="minorHAnsi" w:hAnsiTheme="minorHAnsi"/>
          <w:color w:val="auto"/>
        </w:rPr>
        <w:t xml:space="preserve">% disability IAW applicable Navy and </w:t>
      </w:r>
      <w:proofErr w:type="gramStart"/>
      <w:r w:rsidR="00302FC5">
        <w:rPr>
          <w:rFonts w:asciiTheme="minorHAnsi" w:hAnsiTheme="minorHAnsi"/>
          <w:color w:val="auto"/>
        </w:rPr>
        <w:t>DoD</w:t>
      </w:r>
      <w:proofErr w:type="gramEnd"/>
      <w:r w:rsidR="00302FC5">
        <w:rPr>
          <w:rFonts w:asciiTheme="minorHAnsi" w:hAnsiTheme="minorHAnsi"/>
          <w:color w:val="auto"/>
        </w:rPr>
        <w:t xml:space="preserve"> regulations.</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F95605"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w:t>
      </w:r>
      <w:r w:rsidR="00454D2E">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F95605">
        <w:rPr>
          <w:rFonts w:asciiTheme="minorHAnsi" w:hAnsiTheme="minorHAnsi"/>
          <w:color w:val="auto"/>
        </w:rPr>
        <w:t xml:space="preserve">  </w:t>
      </w:r>
      <w:r w:rsidR="00F679A9">
        <w:rPr>
          <w:rFonts w:asciiTheme="minorHAnsi" w:hAnsiTheme="minorHAnsi"/>
          <w:color w:val="auto"/>
        </w:rPr>
        <w:t>H</w:t>
      </w:r>
      <w:r w:rsidR="00F95605">
        <w:rPr>
          <w:rFonts w:eastAsiaTheme="minorHAnsi" w:cstheme="minorBidi"/>
          <w:color w:val="auto"/>
          <w:szCs w:val="24"/>
        </w:rPr>
        <w:t>e</w:t>
      </w:r>
      <w:r w:rsidR="00ED5284" w:rsidRPr="005C4D72">
        <w:rPr>
          <w:rFonts w:eastAsiaTheme="minorHAnsi" w:cstheme="minorBidi"/>
          <w:color w:val="auto"/>
          <w:szCs w:val="24"/>
        </w:rPr>
        <w:t xml:space="preserve"> elaborates no specific contention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F0928" w:rsidRDefault="000F0928" w:rsidP="00510F9C">
      <w:pPr>
        <w:spacing w:line="240" w:lineRule="exact"/>
        <w:rPr>
          <w:rFonts w:asciiTheme="minorHAnsi" w:hAnsiTheme="minorHAnsi"/>
          <w:color w:val="auto"/>
        </w:rPr>
      </w:pPr>
    </w:p>
    <w:p w:rsidR="00F95605" w:rsidRDefault="00F95605" w:rsidP="00F95605">
      <w:pPr>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p w:rsidR="00F95605" w:rsidRPr="00BE2AB8" w:rsidRDefault="00F95605" w:rsidP="00F95605">
      <w:pPr>
        <w:spacing w:line="240" w:lineRule="exact"/>
        <w:rPr>
          <w:rFonts w:asciiTheme="minorHAnsi" w:hAnsiTheme="minorHAnsi"/>
          <w:color w:val="auto"/>
        </w:rPr>
      </w:pPr>
    </w:p>
    <w:tbl>
      <w:tblPr>
        <w:tblStyle w:val="TableGrid"/>
        <w:tblpPr w:leftFromText="180" w:rightFromText="180" w:vertAnchor="text" w:horzAnchor="margin" w:tblpXSpec="center" w:tblpY="-51"/>
        <w:tblW w:w="9221" w:type="dxa"/>
        <w:tblLayout w:type="fixed"/>
        <w:tblLook w:val="04A0"/>
      </w:tblPr>
      <w:tblGrid>
        <w:gridCol w:w="2322"/>
        <w:gridCol w:w="715"/>
        <w:gridCol w:w="760"/>
        <w:gridCol w:w="2553"/>
        <w:gridCol w:w="659"/>
        <w:gridCol w:w="760"/>
        <w:gridCol w:w="1452"/>
      </w:tblGrid>
      <w:tr w:rsidR="00F95605" w:rsidRPr="00BE2AB8" w:rsidTr="00AB1226">
        <w:trPr>
          <w:trHeight w:val="236"/>
        </w:trPr>
        <w:tc>
          <w:tcPr>
            <w:tcW w:w="3797" w:type="dxa"/>
            <w:gridSpan w:val="3"/>
            <w:tcBorders>
              <w:right w:val="thinThickThinSmallGap" w:sz="24" w:space="0" w:color="auto"/>
            </w:tcBorders>
            <w:shd w:val="clear" w:color="auto" w:fill="D9D9D9" w:themeFill="background1" w:themeFillShade="D9"/>
          </w:tcPr>
          <w:p w:rsidR="00F95605" w:rsidRPr="00BE2AB8" w:rsidRDefault="000D56ED" w:rsidP="00C87F8E">
            <w:pPr>
              <w:spacing w:line="240" w:lineRule="exact"/>
              <w:contextualSpacing/>
              <w:jc w:val="center"/>
              <w:rPr>
                <w:b/>
                <w:color w:val="auto"/>
                <w:sz w:val="20"/>
                <w:szCs w:val="20"/>
              </w:rPr>
            </w:pPr>
            <w:r>
              <w:rPr>
                <w:b/>
                <w:color w:val="auto"/>
                <w:sz w:val="20"/>
                <w:szCs w:val="20"/>
              </w:rPr>
              <w:t>Navy</w:t>
            </w:r>
            <w:r w:rsidR="00F95605" w:rsidRPr="00BE2AB8">
              <w:rPr>
                <w:b/>
                <w:color w:val="auto"/>
                <w:sz w:val="20"/>
                <w:szCs w:val="20"/>
              </w:rPr>
              <w:t xml:space="preserve"> </w:t>
            </w:r>
            <w:r w:rsidR="00994A03">
              <w:rPr>
                <w:b/>
                <w:color w:val="auto"/>
                <w:sz w:val="20"/>
                <w:szCs w:val="20"/>
              </w:rPr>
              <w:t>I</w:t>
            </w:r>
            <w:r w:rsidR="00F95605">
              <w:rPr>
                <w:b/>
                <w:color w:val="auto"/>
                <w:sz w:val="20"/>
                <w:szCs w:val="20"/>
              </w:rPr>
              <w:t xml:space="preserve">PEB – </w:t>
            </w:r>
            <w:r w:rsidR="00C87F8E">
              <w:rPr>
                <w:b/>
                <w:color w:val="auto"/>
                <w:sz w:val="20"/>
                <w:szCs w:val="20"/>
              </w:rPr>
              <w:t>d</w:t>
            </w:r>
            <w:r w:rsidR="00F95605">
              <w:rPr>
                <w:b/>
                <w:color w:val="auto"/>
                <w:sz w:val="20"/>
                <w:szCs w:val="20"/>
              </w:rPr>
              <w:t>ated</w:t>
            </w:r>
            <w:r w:rsidR="00B14B50">
              <w:rPr>
                <w:b/>
                <w:color w:val="auto"/>
                <w:sz w:val="20"/>
                <w:szCs w:val="20"/>
              </w:rPr>
              <w:t xml:space="preserve"> </w:t>
            </w:r>
            <w:r w:rsidR="00F95605">
              <w:rPr>
                <w:b/>
                <w:color w:val="auto"/>
                <w:sz w:val="20"/>
                <w:szCs w:val="20"/>
              </w:rPr>
              <w:t>20030904</w:t>
            </w:r>
          </w:p>
        </w:tc>
        <w:tc>
          <w:tcPr>
            <w:tcW w:w="5424" w:type="dxa"/>
            <w:gridSpan w:val="4"/>
            <w:tcBorders>
              <w:left w:val="thinThickThinSmallGap" w:sz="24" w:space="0" w:color="auto"/>
            </w:tcBorders>
            <w:shd w:val="clear" w:color="auto" w:fill="D9D9D9" w:themeFill="background1" w:themeFillShade="D9"/>
          </w:tcPr>
          <w:p w:rsidR="00F95605" w:rsidRPr="00BE2AB8" w:rsidRDefault="00F95605" w:rsidP="00C87F8E">
            <w:pPr>
              <w:spacing w:line="240" w:lineRule="exact"/>
              <w:contextualSpacing/>
              <w:jc w:val="center"/>
              <w:rPr>
                <w:b/>
                <w:color w:val="auto"/>
                <w:sz w:val="20"/>
                <w:szCs w:val="20"/>
              </w:rPr>
            </w:pPr>
            <w:r>
              <w:rPr>
                <w:b/>
                <w:color w:val="auto"/>
                <w:sz w:val="20"/>
                <w:szCs w:val="20"/>
              </w:rPr>
              <w:t xml:space="preserve">VA (7 </w:t>
            </w:r>
            <w:r w:rsidR="00C87F8E">
              <w:rPr>
                <w:b/>
                <w:color w:val="auto"/>
                <w:sz w:val="20"/>
                <w:szCs w:val="20"/>
              </w:rPr>
              <w:t>m</w:t>
            </w:r>
            <w:r w:rsidRPr="00BE2AB8">
              <w:rPr>
                <w:b/>
                <w:color w:val="auto"/>
                <w:sz w:val="20"/>
                <w:szCs w:val="20"/>
              </w:rPr>
              <w:t>o. Pr</w:t>
            </w:r>
            <w:r>
              <w:rPr>
                <w:b/>
                <w:color w:val="auto"/>
                <w:sz w:val="20"/>
                <w:szCs w:val="20"/>
              </w:rPr>
              <w:t>e</w:t>
            </w:r>
            <w:r w:rsidRPr="00BE2AB8">
              <w:rPr>
                <w:b/>
                <w:color w:val="auto"/>
                <w:sz w:val="20"/>
                <w:szCs w:val="20"/>
              </w:rPr>
              <w:t xml:space="preserve"> Separation) – All Effective 200</w:t>
            </w:r>
            <w:r>
              <w:rPr>
                <w:b/>
                <w:color w:val="auto"/>
                <w:sz w:val="20"/>
                <w:szCs w:val="20"/>
              </w:rPr>
              <w:t>31101</w:t>
            </w:r>
          </w:p>
        </w:tc>
      </w:tr>
      <w:tr w:rsidR="00F95605" w:rsidRPr="00BE2AB8" w:rsidTr="00AB1226">
        <w:trPr>
          <w:trHeight w:val="282"/>
        </w:trPr>
        <w:tc>
          <w:tcPr>
            <w:tcW w:w="2322" w:type="dxa"/>
            <w:tcBorders>
              <w:bottom w:val="single" w:sz="4" w:space="0" w:color="000000" w:themeColor="text1"/>
              <w:right w:val="single" w:sz="4" w:space="0" w:color="auto"/>
            </w:tcBorders>
            <w:shd w:val="clear" w:color="auto" w:fill="D9D9D9" w:themeFill="background1" w:themeFillShade="D9"/>
          </w:tcPr>
          <w:p w:rsidR="00F95605" w:rsidRPr="00BE2AB8" w:rsidRDefault="00F95605" w:rsidP="00EC27A5">
            <w:pPr>
              <w:spacing w:line="240" w:lineRule="exact"/>
              <w:contextualSpacing/>
              <w:jc w:val="both"/>
              <w:rPr>
                <w:b/>
                <w:color w:val="auto"/>
                <w:sz w:val="20"/>
                <w:szCs w:val="20"/>
              </w:rPr>
            </w:pPr>
            <w:r w:rsidRPr="00BE2AB8">
              <w:rPr>
                <w:b/>
                <w:color w:val="auto"/>
                <w:sz w:val="20"/>
                <w:szCs w:val="20"/>
              </w:rPr>
              <w:t>Condition</w:t>
            </w:r>
          </w:p>
        </w:tc>
        <w:tc>
          <w:tcPr>
            <w:tcW w:w="715" w:type="dxa"/>
            <w:tcBorders>
              <w:left w:val="single" w:sz="4" w:space="0" w:color="auto"/>
              <w:bottom w:val="single" w:sz="4" w:space="0" w:color="000000" w:themeColor="text1"/>
            </w:tcBorders>
            <w:shd w:val="clear" w:color="auto" w:fill="D9D9D9" w:themeFill="background1" w:themeFillShade="D9"/>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Code</w:t>
            </w:r>
          </w:p>
        </w:tc>
        <w:tc>
          <w:tcPr>
            <w:tcW w:w="760" w:type="dxa"/>
            <w:tcBorders>
              <w:bottom w:val="single" w:sz="4" w:space="0" w:color="000000" w:themeColor="text1"/>
              <w:right w:val="thinThickThinSmallGap" w:sz="24" w:space="0" w:color="auto"/>
            </w:tcBorders>
            <w:shd w:val="clear" w:color="auto" w:fill="D9D9D9" w:themeFill="background1" w:themeFillShade="D9"/>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Rating</w:t>
            </w:r>
          </w:p>
        </w:tc>
        <w:tc>
          <w:tcPr>
            <w:tcW w:w="2553" w:type="dxa"/>
            <w:tcBorders>
              <w:left w:val="thinThickThinSmallGap" w:sz="24" w:space="0" w:color="auto"/>
              <w:bottom w:val="single" w:sz="4" w:space="0" w:color="000000" w:themeColor="text1"/>
            </w:tcBorders>
            <w:shd w:val="clear" w:color="auto" w:fill="D9D9D9" w:themeFill="background1" w:themeFillShade="D9"/>
          </w:tcPr>
          <w:p w:rsidR="00F95605" w:rsidRPr="00BE2AB8" w:rsidRDefault="00F95605" w:rsidP="00EC27A5">
            <w:pPr>
              <w:spacing w:line="240" w:lineRule="exact"/>
              <w:contextualSpacing/>
              <w:jc w:val="both"/>
              <w:rPr>
                <w:b/>
                <w:color w:val="auto"/>
                <w:sz w:val="20"/>
                <w:szCs w:val="20"/>
              </w:rPr>
            </w:pPr>
            <w:r w:rsidRPr="00BE2AB8">
              <w:rPr>
                <w:b/>
                <w:color w:val="auto"/>
                <w:sz w:val="20"/>
                <w:szCs w:val="20"/>
              </w:rPr>
              <w:t>Condition</w:t>
            </w:r>
          </w:p>
        </w:tc>
        <w:tc>
          <w:tcPr>
            <w:tcW w:w="659" w:type="dxa"/>
            <w:tcBorders>
              <w:bottom w:val="single" w:sz="4" w:space="0" w:color="000000" w:themeColor="text1"/>
            </w:tcBorders>
            <w:shd w:val="clear" w:color="auto" w:fill="D9D9D9" w:themeFill="background1" w:themeFillShade="D9"/>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Code</w:t>
            </w:r>
          </w:p>
        </w:tc>
        <w:tc>
          <w:tcPr>
            <w:tcW w:w="760" w:type="dxa"/>
            <w:tcBorders>
              <w:bottom w:val="single" w:sz="4" w:space="0" w:color="000000" w:themeColor="text1"/>
            </w:tcBorders>
            <w:shd w:val="clear" w:color="auto" w:fill="D9D9D9" w:themeFill="background1" w:themeFillShade="D9"/>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Rating</w:t>
            </w:r>
          </w:p>
        </w:tc>
        <w:tc>
          <w:tcPr>
            <w:tcW w:w="1452" w:type="dxa"/>
            <w:tcBorders>
              <w:bottom w:val="single" w:sz="4" w:space="0" w:color="000000" w:themeColor="text1"/>
            </w:tcBorders>
            <w:shd w:val="clear" w:color="auto" w:fill="D9D9D9" w:themeFill="background1" w:themeFillShade="D9"/>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Exam</w:t>
            </w:r>
          </w:p>
        </w:tc>
      </w:tr>
      <w:tr w:rsidR="00F95605" w:rsidRPr="00BE2AB8" w:rsidTr="00994A03">
        <w:trPr>
          <w:trHeight w:val="291"/>
        </w:trPr>
        <w:tc>
          <w:tcPr>
            <w:tcW w:w="2322" w:type="dxa"/>
            <w:tcBorders>
              <w:right w:val="single" w:sz="4" w:space="0" w:color="auto"/>
            </w:tcBorders>
            <w:shd w:val="clear" w:color="auto" w:fill="FFFFFF" w:themeFill="background1"/>
            <w:vAlign w:val="center"/>
          </w:tcPr>
          <w:p w:rsidR="00F95605" w:rsidRPr="00BE2AB8" w:rsidRDefault="00C87F8E" w:rsidP="00C87F8E">
            <w:pPr>
              <w:spacing w:line="240" w:lineRule="exact"/>
              <w:contextualSpacing/>
              <w:rPr>
                <w:color w:val="auto"/>
                <w:sz w:val="20"/>
                <w:szCs w:val="20"/>
              </w:rPr>
            </w:pPr>
            <w:r>
              <w:rPr>
                <w:color w:val="auto"/>
                <w:sz w:val="20"/>
                <w:szCs w:val="20"/>
              </w:rPr>
              <w:t>Left Hip</w:t>
            </w:r>
            <w:r w:rsidR="00F95605">
              <w:rPr>
                <w:color w:val="auto"/>
                <w:sz w:val="20"/>
                <w:szCs w:val="20"/>
              </w:rPr>
              <w:t xml:space="preserve"> Fracture</w:t>
            </w:r>
          </w:p>
        </w:tc>
        <w:tc>
          <w:tcPr>
            <w:tcW w:w="715" w:type="dxa"/>
            <w:tcBorders>
              <w:left w:val="single" w:sz="4" w:space="0" w:color="auto"/>
            </w:tcBorders>
            <w:shd w:val="clear" w:color="auto" w:fill="FFFFFF" w:themeFill="background1"/>
            <w:vAlign w:val="center"/>
          </w:tcPr>
          <w:p w:rsidR="00F95605" w:rsidRPr="00BE2AB8" w:rsidRDefault="00F95605" w:rsidP="00EC27A5">
            <w:pPr>
              <w:spacing w:line="240" w:lineRule="exact"/>
              <w:contextualSpacing/>
              <w:jc w:val="center"/>
              <w:rPr>
                <w:color w:val="auto"/>
                <w:sz w:val="20"/>
                <w:szCs w:val="20"/>
              </w:rPr>
            </w:pPr>
            <w:r>
              <w:rPr>
                <w:color w:val="auto"/>
                <w:sz w:val="20"/>
                <w:szCs w:val="20"/>
              </w:rPr>
              <w:t>5255</w:t>
            </w:r>
          </w:p>
        </w:tc>
        <w:tc>
          <w:tcPr>
            <w:tcW w:w="760" w:type="dxa"/>
            <w:tcBorders>
              <w:right w:val="thinThickThinSmallGap" w:sz="24" w:space="0" w:color="auto"/>
            </w:tcBorders>
            <w:shd w:val="clear" w:color="auto" w:fill="FFFFFF" w:themeFill="background1"/>
            <w:vAlign w:val="center"/>
          </w:tcPr>
          <w:p w:rsidR="00F95605" w:rsidRPr="00BE2AB8" w:rsidRDefault="00F95605" w:rsidP="00EC27A5">
            <w:pPr>
              <w:spacing w:line="240" w:lineRule="exact"/>
              <w:contextualSpacing/>
              <w:jc w:val="center"/>
              <w:rPr>
                <w:color w:val="auto"/>
                <w:sz w:val="20"/>
                <w:szCs w:val="20"/>
              </w:rPr>
            </w:pPr>
            <w:r>
              <w:rPr>
                <w:color w:val="auto"/>
                <w:sz w:val="20"/>
                <w:szCs w:val="20"/>
              </w:rPr>
              <w:t>1</w:t>
            </w:r>
            <w:r w:rsidRPr="00BE2AB8">
              <w:rPr>
                <w:color w:val="auto"/>
                <w:sz w:val="20"/>
                <w:szCs w:val="20"/>
              </w:rPr>
              <w:t>0%</w:t>
            </w:r>
          </w:p>
        </w:tc>
        <w:tc>
          <w:tcPr>
            <w:tcW w:w="2553" w:type="dxa"/>
            <w:tcBorders>
              <w:left w:val="thinThickThinSmallGap" w:sz="24" w:space="0" w:color="auto"/>
            </w:tcBorders>
            <w:shd w:val="clear" w:color="auto" w:fill="FFFFFF" w:themeFill="background1"/>
            <w:vAlign w:val="center"/>
          </w:tcPr>
          <w:p w:rsidR="00F95605" w:rsidRPr="00BE2AB8" w:rsidRDefault="00F95605" w:rsidP="00994A03">
            <w:pPr>
              <w:spacing w:line="240" w:lineRule="exact"/>
              <w:contextualSpacing/>
              <w:rPr>
                <w:color w:val="auto"/>
                <w:sz w:val="20"/>
                <w:szCs w:val="20"/>
              </w:rPr>
            </w:pPr>
            <w:r>
              <w:rPr>
                <w:color w:val="auto"/>
                <w:sz w:val="20"/>
                <w:szCs w:val="20"/>
              </w:rPr>
              <w:t>Left Femoral Neck Fracture</w:t>
            </w:r>
          </w:p>
        </w:tc>
        <w:tc>
          <w:tcPr>
            <w:tcW w:w="659" w:type="dxa"/>
            <w:shd w:val="clear" w:color="auto" w:fill="FFFFFF" w:themeFill="background1"/>
          </w:tcPr>
          <w:p w:rsidR="00F95605" w:rsidRPr="00BE2AB8" w:rsidRDefault="00F95605" w:rsidP="00994A03">
            <w:pPr>
              <w:spacing w:line="240" w:lineRule="exact"/>
              <w:contextualSpacing/>
              <w:jc w:val="center"/>
              <w:rPr>
                <w:color w:val="auto"/>
                <w:sz w:val="20"/>
                <w:szCs w:val="20"/>
              </w:rPr>
            </w:pPr>
            <w:r>
              <w:rPr>
                <w:color w:val="auto"/>
                <w:sz w:val="20"/>
                <w:szCs w:val="20"/>
              </w:rPr>
              <w:t>5255</w:t>
            </w:r>
          </w:p>
        </w:tc>
        <w:tc>
          <w:tcPr>
            <w:tcW w:w="760" w:type="dxa"/>
            <w:shd w:val="clear" w:color="auto" w:fill="FFFFFF" w:themeFill="background1"/>
          </w:tcPr>
          <w:p w:rsidR="00F95605" w:rsidRPr="00BE2AB8" w:rsidRDefault="00F95605" w:rsidP="00994A03">
            <w:pPr>
              <w:spacing w:line="240" w:lineRule="exact"/>
              <w:contextualSpacing/>
              <w:jc w:val="center"/>
              <w:rPr>
                <w:color w:val="auto"/>
                <w:sz w:val="20"/>
                <w:szCs w:val="20"/>
              </w:rPr>
            </w:pPr>
            <w:r>
              <w:rPr>
                <w:color w:val="auto"/>
                <w:sz w:val="20"/>
                <w:szCs w:val="20"/>
              </w:rPr>
              <w:t>2</w:t>
            </w:r>
            <w:r w:rsidRPr="00BE2AB8">
              <w:rPr>
                <w:color w:val="auto"/>
                <w:sz w:val="20"/>
                <w:szCs w:val="20"/>
              </w:rPr>
              <w:t>0%</w:t>
            </w:r>
          </w:p>
        </w:tc>
        <w:tc>
          <w:tcPr>
            <w:tcW w:w="1452" w:type="dxa"/>
            <w:shd w:val="clear" w:color="auto" w:fill="FFFFFF" w:themeFill="background1"/>
            <w:vAlign w:val="center"/>
          </w:tcPr>
          <w:p w:rsidR="00F95605" w:rsidRPr="00BE2AB8" w:rsidRDefault="00F95605" w:rsidP="00994A03">
            <w:pPr>
              <w:spacing w:line="240" w:lineRule="exact"/>
              <w:contextualSpacing/>
              <w:jc w:val="center"/>
              <w:rPr>
                <w:color w:val="auto"/>
                <w:sz w:val="20"/>
                <w:szCs w:val="20"/>
              </w:rPr>
            </w:pPr>
            <w:r w:rsidRPr="00BE2AB8">
              <w:rPr>
                <w:color w:val="auto"/>
                <w:sz w:val="20"/>
                <w:szCs w:val="20"/>
              </w:rPr>
              <w:t>200</w:t>
            </w:r>
            <w:r>
              <w:rPr>
                <w:color w:val="auto"/>
                <w:sz w:val="20"/>
                <w:szCs w:val="20"/>
              </w:rPr>
              <w:t>30321</w:t>
            </w:r>
          </w:p>
        </w:tc>
      </w:tr>
      <w:tr w:rsidR="00F95605" w:rsidRPr="00BE2AB8" w:rsidTr="00994A03">
        <w:trPr>
          <w:trHeight w:val="291"/>
        </w:trPr>
        <w:tc>
          <w:tcPr>
            <w:tcW w:w="3797" w:type="dxa"/>
            <w:gridSpan w:val="3"/>
            <w:tcBorders>
              <w:right w:val="thinThickThinSmallGap" w:sz="24" w:space="0" w:color="auto"/>
            </w:tcBorders>
            <w:shd w:val="clear" w:color="auto" w:fill="FFFFFF" w:themeFill="background1"/>
          </w:tcPr>
          <w:p w:rsidR="00F95605" w:rsidRPr="00BE2AB8" w:rsidRDefault="00F95605" w:rsidP="00EC27A5">
            <w:pPr>
              <w:spacing w:line="240" w:lineRule="exact"/>
              <w:contextualSpacing/>
              <w:jc w:val="center"/>
              <w:rPr>
                <w:color w:val="auto"/>
                <w:sz w:val="20"/>
                <w:szCs w:val="20"/>
              </w:rPr>
            </w:pPr>
            <w:r>
              <w:rPr>
                <w:color w:val="auto"/>
                <w:sz w:val="20"/>
                <w:szCs w:val="20"/>
              </w:rPr>
              <w:t>↓No Additional MEB</w:t>
            </w:r>
            <w:r w:rsidR="00C87F8E">
              <w:rPr>
                <w:color w:val="auto"/>
                <w:sz w:val="20"/>
                <w:szCs w:val="20"/>
              </w:rPr>
              <w:t>/PEB</w:t>
            </w:r>
            <w:r>
              <w:rPr>
                <w:color w:val="auto"/>
                <w:sz w:val="20"/>
                <w:szCs w:val="20"/>
              </w:rPr>
              <w:t xml:space="preserve"> Entries</w:t>
            </w:r>
            <w:r w:rsidRPr="00BE2AB8">
              <w:rPr>
                <w:color w:val="auto"/>
                <w:sz w:val="20"/>
                <w:szCs w:val="20"/>
              </w:rPr>
              <w:t>↓</w:t>
            </w:r>
          </w:p>
        </w:tc>
        <w:tc>
          <w:tcPr>
            <w:tcW w:w="2553" w:type="dxa"/>
            <w:tcBorders>
              <w:left w:val="thinThickThinSmallGap" w:sz="24" w:space="0" w:color="auto"/>
              <w:right w:val="single" w:sz="4" w:space="0" w:color="auto"/>
            </w:tcBorders>
            <w:shd w:val="clear" w:color="auto" w:fill="FFFFFF" w:themeFill="background1"/>
            <w:vAlign w:val="center"/>
          </w:tcPr>
          <w:p w:rsidR="00F95605" w:rsidRPr="00BE2AB8" w:rsidRDefault="00F95605" w:rsidP="00994A03">
            <w:pPr>
              <w:spacing w:line="240" w:lineRule="exact"/>
              <w:contextualSpacing/>
              <w:rPr>
                <w:color w:val="auto"/>
                <w:sz w:val="20"/>
                <w:szCs w:val="20"/>
              </w:rPr>
            </w:pPr>
            <w:r>
              <w:rPr>
                <w:color w:val="auto"/>
                <w:sz w:val="20"/>
                <w:szCs w:val="20"/>
              </w:rPr>
              <w:t>Scar on L</w:t>
            </w:r>
            <w:r w:rsidR="00C87F8E">
              <w:rPr>
                <w:color w:val="auto"/>
                <w:sz w:val="20"/>
                <w:szCs w:val="20"/>
              </w:rPr>
              <w:t xml:space="preserve">eft </w:t>
            </w:r>
            <w:r>
              <w:rPr>
                <w:color w:val="auto"/>
                <w:sz w:val="20"/>
                <w:szCs w:val="20"/>
              </w:rPr>
              <w:t>L</w:t>
            </w:r>
            <w:r w:rsidR="00C87F8E">
              <w:rPr>
                <w:color w:val="auto"/>
                <w:sz w:val="20"/>
                <w:szCs w:val="20"/>
              </w:rPr>
              <w:t>eg</w:t>
            </w:r>
          </w:p>
        </w:tc>
        <w:tc>
          <w:tcPr>
            <w:tcW w:w="659" w:type="dxa"/>
            <w:tcBorders>
              <w:left w:val="single" w:sz="4" w:space="0" w:color="auto"/>
            </w:tcBorders>
            <w:shd w:val="clear" w:color="auto" w:fill="FFFFFF" w:themeFill="background1"/>
            <w:vAlign w:val="center"/>
          </w:tcPr>
          <w:p w:rsidR="00F95605" w:rsidRPr="00BE2AB8" w:rsidRDefault="00F95605" w:rsidP="00994A03">
            <w:pPr>
              <w:spacing w:line="240" w:lineRule="exact"/>
              <w:contextualSpacing/>
              <w:jc w:val="center"/>
              <w:rPr>
                <w:color w:val="auto"/>
                <w:sz w:val="20"/>
                <w:szCs w:val="20"/>
              </w:rPr>
            </w:pPr>
            <w:r>
              <w:rPr>
                <w:color w:val="auto"/>
                <w:sz w:val="20"/>
                <w:szCs w:val="20"/>
              </w:rPr>
              <w:t>7804</w:t>
            </w:r>
          </w:p>
        </w:tc>
        <w:tc>
          <w:tcPr>
            <w:tcW w:w="760" w:type="dxa"/>
            <w:shd w:val="clear" w:color="auto" w:fill="FFFFFF" w:themeFill="background1"/>
          </w:tcPr>
          <w:p w:rsidR="00F95605" w:rsidRPr="00BE2AB8" w:rsidRDefault="00F95605" w:rsidP="00994A03">
            <w:pPr>
              <w:spacing w:line="240" w:lineRule="exact"/>
              <w:contextualSpacing/>
              <w:jc w:val="center"/>
              <w:rPr>
                <w:color w:val="auto"/>
                <w:sz w:val="20"/>
                <w:szCs w:val="20"/>
              </w:rPr>
            </w:pPr>
            <w:r>
              <w:rPr>
                <w:color w:val="auto"/>
                <w:sz w:val="20"/>
                <w:szCs w:val="20"/>
              </w:rPr>
              <w:t>1</w:t>
            </w:r>
            <w:r w:rsidRPr="00BE2AB8">
              <w:rPr>
                <w:color w:val="auto"/>
                <w:sz w:val="20"/>
                <w:szCs w:val="20"/>
              </w:rPr>
              <w:t>0%</w:t>
            </w:r>
          </w:p>
        </w:tc>
        <w:tc>
          <w:tcPr>
            <w:tcW w:w="1452" w:type="dxa"/>
            <w:shd w:val="clear" w:color="auto" w:fill="FFFFFF" w:themeFill="background1"/>
            <w:vAlign w:val="center"/>
          </w:tcPr>
          <w:p w:rsidR="00F95605" w:rsidRPr="00BE2AB8" w:rsidRDefault="00F95605" w:rsidP="00994A03">
            <w:pPr>
              <w:spacing w:line="240" w:lineRule="exact"/>
              <w:contextualSpacing/>
              <w:jc w:val="center"/>
              <w:rPr>
                <w:color w:val="auto"/>
                <w:sz w:val="20"/>
                <w:szCs w:val="20"/>
              </w:rPr>
            </w:pPr>
            <w:r w:rsidRPr="00BE2AB8">
              <w:rPr>
                <w:color w:val="auto"/>
                <w:sz w:val="20"/>
                <w:szCs w:val="20"/>
              </w:rPr>
              <w:t>200</w:t>
            </w:r>
            <w:r>
              <w:rPr>
                <w:color w:val="auto"/>
                <w:sz w:val="20"/>
                <w:szCs w:val="20"/>
              </w:rPr>
              <w:t>30321</w:t>
            </w:r>
          </w:p>
        </w:tc>
      </w:tr>
      <w:tr w:rsidR="00F95605" w:rsidRPr="00BE2AB8" w:rsidTr="00AB1226">
        <w:trPr>
          <w:trHeight w:val="245"/>
        </w:trPr>
        <w:tc>
          <w:tcPr>
            <w:tcW w:w="3797" w:type="dxa"/>
            <w:gridSpan w:val="3"/>
            <w:tcBorders>
              <w:right w:val="thinThickThinSmallGap" w:sz="24" w:space="0" w:color="auto"/>
            </w:tcBorders>
            <w:shd w:val="clear" w:color="auto" w:fill="D9D9D9" w:themeFill="background1" w:themeFillShade="D9"/>
            <w:vAlign w:val="center"/>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 xml:space="preserve">Final Combined:  </w:t>
            </w:r>
            <w:r>
              <w:rPr>
                <w:b/>
                <w:color w:val="auto"/>
                <w:sz w:val="20"/>
                <w:szCs w:val="20"/>
              </w:rPr>
              <w:t>1</w:t>
            </w:r>
            <w:r w:rsidRPr="00BE2AB8">
              <w:rPr>
                <w:b/>
                <w:color w:val="auto"/>
                <w:sz w:val="20"/>
                <w:szCs w:val="20"/>
              </w:rPr>
              <w:t>0%</w:t>
            </w:r>
          </w:p>
        </w:tc>
        <w:tc>
          <w:tcPr>
            <w:tcW w:w="5424" w:type="dxa"/>
            <w:gridSpan w:val="4"/>
            <w:tcBorders>
              <w:left w:val="thinThickThinSmallGap" w:sz="24" w:space="0" w:color="auto"/>
            </w:tcBorders>
            <w:shd w:val="clear" w:color="auto" w:fill="D9D9D9" w:themeFill="background1" w:themeFillShade="D9"/>
            <w:vAlign w:val="center"/>
          </w:tcPr>
          <w:p w:rsidR="00F95605" w:rsidRPr="00BE2AB8" w:rsidRDefault="00F95605" w:rsidP="00EC27A5">
            <w:pPr>
              <w:spacing w:line="240" w:lineRule="exact"/>
              <w:contextualSpacing/>
              <w:jc w:val="center"/>
              <w:rPr>
                <w:b/>
                <w:color w:val="auto"/>
                <w:sz w:val="20"/>
                <w:szCs w:val="20"/>
              </w:rPr>
            </w:pPr>
            <w:r w:rsidRPr="00BE2AB8">
              <w:rPr>
                <w:b/>
                <w:color w:val="auto"/>
                <w:sz w:val="20"/>
                <w:szCs w:val="20"/>
              </w:rPr>
              <w:t xml:space="preserve">Total Combined: </w:t>
            </w:r>
            <w:r>
              <w:rPr>
                <w:b/>
                <w:color w:val="auto"/>
                <w:sz w:val="20"/>
                <w:szCs w:val="20"/>
              </w:rPr>
              <w:t xml:space="preserve"> 3</w:t>
            </w:r>
            <w:r w:rsidRPr="00BE2AB8">
              <w:rPr>
                <w:b/>
                <w:color w:val="auto"/>
                <w:sz w:val="20"/>
                <w:szCs w:val="20"/>
              </w:rPr>
              <w:t>0%</w:t>
            </w:r>
          </w:p>
        </w:tc>
      </w:tr>
    </w:tbl>
    <w:p w:rsidR="00C87F8E" w:rsidRDefault="00C87F8E" w:rsidP="00C87F8E">
      <w:pPr>
        <w:pBdr>
          <w:bottom w:val="single" w:sz="12" w:space="1" w:color="auto"/>
        </w:pBdr>
        <w:tabs>
          <w:tab w:val="left" w:pos="288"/>
          <w:tab w:val="left" w:pos="4752"/>
        </w:tabs>
        <w:spacing w:line="240" w:lineRule="exact"/>
        <w:jc w:val="both"/>
        <w:rPr>
          <w:rFonts w:asciiTheme="minorHAnsi" w:hAnsiTheme="minorHAnsi"/>
          <w:color w:val="auto"/>
          <w:u w:val="single"/>
        </w:rPr>
      </w:pPr>
    </w:p>
    <w:p w:rsidR="00F95605" w:rsidRDefault="00F95605" w:rsidP="00510F9C">
      <w:pPr>
        <w:spacing w:line="240" w:lineRule="exact"/>
        <w:rPr>
          <w:rFonts w:asciiTheme="minorHAnsi" w:hAnsiTheme="minorHAnsi"/>
          <w:color w:val="auto"/>
        </w:rPr>
      </w:pPr>
    </w:p>
    <w:p w:rsidR="002C6E5B" w:rsidRDefault="002C6E5B" w:rsidP="00653733">
      <w:pPr>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653733">
      <w:pPr>
        <w:spacing w:line="240" w:lineRule="exact"/>
        <w:jc w:val="both"/>
        <w:rPr>
          <w:rFonts w:asciiTheme="minorHAnsi" w:hAnsiTheme="minorHAnsi"/>
          <w:color w:val="auto"/>
          <w:szCs w:val="24"/>
        </w:rPr>
      </w:pPr>
    </w:p>
    <w:p w:rsidR="004C60A3" w:rsidRDefault="00AB1226" w:rsidP="00653733">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Left </w:t>
      </w:r>
      <w:r w:rsidR="00754063">
        <w:rPr>
          <w:rFonts w:asciiTheme="minorHAnsi" w:hAnsiTheme="minorHAnsi"/>
          <w:color w:val="auto"/>
          <w:szCs w:val="24"/>
          <w:u w:val="single"/>
        </w:rPr>
        <w:t>hip</w:t>
      </w:r>
      <w:r>
        <w:rPr>
          <w:rFonts w:asciiTheme="minorHAnsi" w:hAnsiTheme="minorHAnsi"/>
          <w:color w:val="auto"/>
          <w:szCs w:val="24"/>
          <w:u w:val="single"/>
        </w:rPr>
        <w:t xml:space="preserve"> fracture</w:t>
      </w:r>
      <w:r>
        <w:rPr>
          <w:rFonts w:asciiTheme="minorHAnsi" w:hAnsiTheme="minorHAnsi"/>
          <w:color w:val="auto"/>
          <w:szCs w:val="24"/>
        </w:rPr>
        <w:t>.</w:t>
      </w:r>
      <w:proofErr w:type="gramEnd"/>
      <w:r>
        <w:rPr>
          <w:rFonts w:asciiTheme="minorHAnsi" w:hAnsiTheme="minorHAnsi"/>
          <w:color w:val="auto"/>
          <w:szCs w:val="24"/>
        </w:rPr>
        <w:t xml:space="preserve">  </w:t>
      </w:r>
      <w:r w:rsidR="00F679A9">
        <w:rPr>
          <w:rFonts w:asciiTheme="minorHAnsi" w:hAnsiTheme="minorHAnsi"/>
          <w:color w:val="auto"/>
          <w:szCs w:val="24"/>
        </w:rPr>
        <w:t>T</w:t>
      </w:r>
      <w:r w:rsidR="00754063">
        <w:rPr>
          <w:rFonts w:asciiTheme="minorHAnsi" w:hAnsiTheme="minorHAnsi"/>
          <w:color w:val="auto"/>
          <w:szCs w:val="24"/>
        </w:rPr>
        <w:t>his Marine fractured his</w:t>
      </w:r>
      <w:r w:rsidR="00754063" w:rsidRPr="00AD7F8F">
        <w:rPr>
          <w:rFonts w:asciiTheme="minorHAnsi" w:hAnsiTheme="minorHAnsi"/>
          <w:color w:val="auto"/>
          <w:szCs w:val="24"/>
        </w:rPr>
        <w:t xml:space="preserve"> </w:t>
      </w:r>
      <w:r w:rsidR="00754063">
        <w:rPr>
          <w:rFonts w:asciiTheme="minorHAnsi" w:hAnsiTheme="minorHAnsi"/>
          <w:color w:val="auto"/>
          <w:szCs w:val="24"/>
        </w:rPr>
        <w:t xml:space="preserve">left </w:t>
      </w:r>
      <w:r w:rsidR="00754063" w:rsidRPr="00E53509">
        <w:rPr>
          <w:rFonts w:asciiTheme="minorHAnsi" w:hAnsiTheme="minorHAnsi"/>
          <w:color w:val="auto"/>
          <w:szCs w:val="24"/>
        </w:rPr>
        <w:t xml:space="preserve">femoral neck </w:t>
      </w:r>
      <w:r w:rsidR="00754063">
        <w:rPr>
          <w:rFonts w:asciiTheme="minorHAnsi" w:hAnsiTheme="minorHAnsi"/>
          <w:color w:val="auto"/>
          <w:szCs w:val="24"/>
        </w:rPr>
        <w:t xml:space="preserve">during a formation run, </w:t>
      </w:r>
      <w:r>
        <w:rPr>
          <w:rFonts w:asciiTheme="minorHAnsi" w:hAnsiTheme="minorHAnsi"/>
          <w:color w:val="auto"/>
          <w:szCs w:val="24"/>
        </w:rPr>
        <w:t xml:space="preserve">as a </w:t>
      </w:r>
      <w:r w:rsidR="00754063">
        <w:rPr>
          <w:rFonts w:asciiTheme="minorHAnsi" w:hAnsiTheme="minorHAnsi"/>
          <w:color w:val="auto"/>
          <w:szCs w:val="24"/>
        </w:rPr>
        <w:t xml:space="preserve">basic </w:t>
      </w:r>
      <w:r>
        <w:rPr>
          <w:rFonts w:asciiTheme="minorHAnsi" w:hAnsiTheme="minorHAnsi"/>
          <w:color w:val="auto"/>
          <w:szCs w:val="24"/>
        </w:rPr>
        <w:t>recruit.  He underwent open reduction</w:t>
      </w:r>
      <w:r w:rsidR="00754063">
        <w:rPr>
          <w:rFonts w:asciiTheme="minorHAnsi" w:hAnsiTheme="minorHAnsi"/>
          <w:color w:val="auto"/>
          <w:szCs w:val="24"/>
        </w:rPr>
        <w:t xml:space="preserve"> and internal fixation (ORIF) surgery.  </w:t>
      </w:r>
      <w:r>
        <w:rPr>
          <w:rFonts w:asciiTheme="minorHAnsi" w:hAnsiTheme="minorHAnsi"/>
          <w:color w:val="auto"/>
          <w:szCs w:val="24"/>
        </w:rPr>
        <w:t xml:space="preserve">An MEB was initiated </w:t>
      </w:r>
      <w:r w:rsidR="000B49D2">
        <w:rPr>
          <w:rFonts w:asciiTheme="minorHAnsi" w:hAnsiTheme="minorHAnsi"/>
          <w:color w:val="auto"/>
          <w:szCs w:val="24"/>
        </w:rPr>
        <w:t>i</w:t>
      </w:r>
      <w:r>
        <w:rPr>
          <w:rFonts w:asciiTheme="minorHAnsi" w:hAnsiTheme="minorHAnsi"/>
          <w:color w:val="auto"/>
          <w:szCs w:val="24"/>
        </w:rPr>
        <w:t xml:space="preserve">n January 2003, but </w:t>
      </w:r>
      <w:r w:rsidR="00140EFA">
        <w:rPr>
          <w:rFonts w:asciiTheme="minorHAnsi" w:hAnsiTheme="minorHAnsi"/>
          <w:color w:val="auto"/>
          <w:szCs w:val="24"/>
        </w:rPr>
        <w:t xml:space="preserve">was terminated because the fracture failed to heal.  </w:t>
      </w:r>
      <w:r w:rsidR="005925D4">
        <w:rPr>
          <w:rFonts w:asciiTheme="minorHAnsi" w:hAnsiTheme="minorHAnsi"/>
          <w:color w:val="auto"/>
          <w:szCs w:val="24"/>
        </w:rPr>
        <w:t>Due to</w:t>
      </w:r>
      <w:r w:rsidR="00140EFA">
        <w:rPr>
          <w:rFonts w:asciiTheme="minorHAnsi" w:hAnsiTheme="minorHAnsi"/>
          <w:color w:val="auto"/>
          <w:szCs w:val="24"/>
        </w:rPr>
        <w:t xml:space="preserve"> the </w:t>
      </w:r>
      <w:r w:rsidR="00302FC5">
        <w:rPr>
          <w:rFonts w:asciiTheme="minorHAnsi" w:hAnsiTheme="minorHAnsi"/>
          <w:color w:val="auto"/>
          <w:szCs w:val="24"/>
        </w:rPr>
        <w:t xml:space="preserve">femoral </w:t>
      </w:r>
      <w:r w:rsidR="00140EFA">
        <w:rPr>
          <w:rFonts w:asciiTheme="minorHAnsi" w:hAnsiTheme="minorHAnsi"/>
          <w:color w:val="auto"/>
          <w:szCs w:val="24"/>
        </w:rPr>
        <w:t xml:space="preserve">nonunion, he underwent a </w:t>
      </w:r>
      <w:proofErr w:type="spellStart"/>
      <w:r w:rsidR="00140EFA">
        <w:rPr>
          <w:rFonts w:asciiTheme="minorHAnsi" w:hAnsiTheme="minorHAnsi"/>
          <w:color w:val="auto"/>
          <w:szCs w:val="24"/>
        </w:rPr>
        <w:t>Pauwel</w:t>
      </w:r>
      <w:r w:rsidR="000D56ED">
        <w:rPr>
          <w:rFonts w:asciiTheme="minorHAnsi" w:hAnsiTheme="minorHAnsi"/>
          <w:color w:val="auto"/>
          <w:szCs w:val="24"/>
        </w:rPr>
        <w:t>’</w:t>
      </w:r>
      <w:r w:rsidR="00140EFA">
        <w:rPr>
          <w:rFonts w:asciiTheme="minorHAnsi" w:hAnsiTheme="minorHAnsi"/>
          <w:color w:val="auto"/>
          <w:szCs w:val="24"/>
        </w:rPr>
        <w:t>s</w:t>
      </w:r>
      <w:proofErr w:type="spellEnd"/>
      <w:r w:rsidR="00140EFA">
        <w:rPr>
          <w:rFonts w:asciiTheme="minorHAnsi" w:hAnsiTheme="minorHAnsi"/>
          <w:color w:val="auto"/>
          <w:szCs w:val="24"/>
        </w:rPr>
        <w:t xml:space="preserve"> </w:t>
      </w:r>
      <w:proofErr w:type="spellStart"/>
      <w:r w:rsidR="000B49D2">
        <w:rPr>
          <w:rFonts w:asciiTheme="minorHAnsi" w:hAnsiTheme="minorHAnsi"/>
          <w:color w:val="auto"/>
          <w:szCs w:val="24"/>
        </w:rPr>
        <w:t>osteotomy</w:t>
      </w:r>
      <w:proofErr w:type="spellEnd"/>
      <w:r w:rsidR="000B49D2">
        <w:rPr>
          <w:rFonts w:asciiTheme="minorHAnsi" w:hAnsiTheme="minorHAnsi"/>
          <w:color w:val="auto"/>
          <w:szCs w:val="24"/>
        </w:rPr>
        <w:t xml:space="preserve"> </w:t>
      </w:r>
      <w:r w:rsidR="00140EFA">
        <w:rPr>
          <w:rFonts w:asciiTheme="minorHAnsi" w:hAnsiTheme="minorHAnsi"/>
          <w:color w:val="auto"/>
          <w:szCs w:val="24"/>
        </w:rPr>
        <w:t>to stimulate healing and re-align the hip joint.  On</w:t>
      </w:r>
      <w:r w:rsidR="000B49D2">
        <w:rPr>
          <w:rFonts w:asciiTheme="minorHAnsi" w:hAnsiTheme="minorHAnsi"/>
          <w:color w:val="auto"/>
          <w:szCs w:val="24"/>
        </w:rPr>
        <w:t>e week later (</w:t>
      </w:r>
      <w:r w:rsidR="00140EFA">
        <w:rPr>
          <w:rFonts w:asciiTheme="minorHAnsi" w:hAnsiTheme="minorHAnsi"/>
          <w:color w:val="auto"/>
          <w:szCs w:val="24"/>
        </w:rPr>
        <w:t>1 March 2003</w:t>
      </w:r>
      <w:r w:rsidR="000B49D2">
        <w:rPr>
          <w:rFonts w:asciiTheme="minorHAnsi" w:hAnsiTheme="minorHAnsi"/>
          <w:color w:val="auto"/>
          <w:szCs w:val="24"/>
        </w:rPr>
        <w:t>)</w:t>
      </w:r>
      <w:r w:rsidR="00140EFA">
        <w:rPr>
          <w:rFonts w:asciiTheme="minorHAnsi" w:hAnsiTheme="minorHAnsi"/>
          <w:color w:val="auto"/>
          <w:szCs w:val="24"/>
        </w:rPr>
        <w:t xml:space="preserve"> th</w:t>
      </w:r>
      <w:r w:rsidR="000B49D2">
        <w:rPr>
          <w:rFonts w:asciiTheme="minorHAnsi" w:hAnsiTheme="minorHAnsi"/>
          <w:color w:val="auto"/>
          <w:szCs w:val="24"/>
        </w:rPr>
        <w:t>e</w:t>
      </w:r>
      <w:r w:rsidR="00140EFA">
        <w:rPr>
          <w:rFonts w:asciiTheme="minorHAnsi" w:hAnsiTheme="minorHAnsi"/>
          <w:color w:val="auto"/>
          <w:szCs w:val="24"/>
        </w:rPr>
        <w:t xml:space="preserve"> </w:t>
      </w:r>
      <w:proofErr w:type="spellStart"/>
      <w:r w:rsidR="000B49D2">
        <w:rPr>
          <w:rFonts w:asciiTheme="minorHAnsi" w:hAnsiTheme="minorHAnsi"/>
          <w:color w:val="auto"/>
          <w:szCs w:val="24"/>
        </w:rPr>
        <w:t>Pauwel’s</w:t>
      </w:r>
      <w:proofErr w:type="spellEnd"/>
      <w:r w:rsidR="000B49D2">
        <w:rPr>
          <w:rFonts w:asciiTheme="minorHAnsi" w:hAnsiTheme="minorHAnsi"/>
          <w:color w:val="auto"/>
          <w:szCs w:val="24"/>
        </w:rPr>
        <w:t xml:space="preserve"> </w:t>
      </w:r>
      <w:proofErr w:type="spellStart"/>
      <w:r w:rsidR="00140EFA">
        <w:rPr>
          <w:rFonts w:asciiTheme="minorHAnsi" w:hAnsiTheme="minorHAnsi"/>
          <w:color w:val="auto"/>
          <w:szCs w:val="24"/>
        </w:rPr>
        <w:t>osteotomy</w:t>
      </w:r>
      <w:proofErr w:type="spellEnd"/>
      <w:r w:rsidR="00140EFA">
        <w:rPr>
          <w:rFonts w:asciiTheme="minorHAnsi" w:hAnsiTheme="minorHAnsi"/>
          <w:color w:val="auto"/>
          <w:szCs w:val="24"/>
        </w:rPr>
        <w:t xml:space="preserve"> was revised </w:t>
      </w:r>
      <w:r w:rsidR="000B49D2">
        <w:rPr>
          <w:rFonts w:asciiTheme="minorHAnsi" w:hAnsiTheme="minorHAnsi"/>
          <w:color w:val="auto"/>
          <w:szCs w:val="24"/>
        </w:rPr>
        <w:t>due to</w:t>
      </w:r>
      <w:r w:rsidR="00140EFA">
        <w:rPr>
          <w:rFonts w:asciiTheme="minorHAnsi" w:hAnsiTheme="minorHAnsi"/>
          <w:color w:val="auto"/>
          <w:szCs w:val="24"/>
        </w:rPr>
        <w:t xml:space="preserve"> unacceptable </w:t>
      </w:r>
      <w:proofErr w:type="spellStart"/>
      <w:r w:rsidR="00140EFA">
        <w:rPr>
          <w:rFonts w:asciiTheme="minorHAnsi" w:hAnsiTheme="minorHAnsi"/>
          <w:color w:val="auto"/>
          <w:szCs w:val="24"/>
        </w:rPr>
        <w:t>malrotation</w:t>
      </w:r>
      <w:proofErr w:type="spellEnd"/>
      <w:r w:rsidR="00140EFA">
        <w:rPr>
          <w:rFonts w:asciiTheme="minorHAnsi" w:hAnsiTheme="minorHAnsi"/>
          <w:color w:val="auto"/>
          <w:szCs w:val="24"/>
        </w:rPr>
        <w:t xml:space="preserve"> of the fracture fragments.  </w:t>
      </w:r>
      <w:r w:rsidR="00722AD2">
        <w:rPr>
          <w:rFonts w:asciiTheme="minorHAnsi" w:hAnsiTheme="minorHAnsi"/>
          <w:color w:val="auto"/>
          <w:szCs w:val="24"/>
        </w:rPr>
        <w:t>After surgery, t</w:t>
      </w:r>
      <w:r w:rsidR="00140EFA">
        <w:rPr>
          <w:rFonts w:asciiTheme="minorHAnsi" w:hAnsiTheme="minorHAnsi"/>
          <w:color w:val="auto"/>
          <w:szCs w:val="24"/>
        </w:rPr>
        <w:t xml:space="preserve">he CI </w:t>
      </w:r>
      <w:r w:rsidR="00722AD2">
        <w:rPr>
          <w:rFonts w:asciiTheme="minorHAnsi" w:hAnsiTheme="minorHAnsi"/>
          <w:color w:val="auto"/>
          <w:szCs w:val="24"/>
        </w:rPr>
        <w:t xml:space="preserve">began </w:t>
      </w:r>
      <w:r w:rsidR="00140EFA">
        <w:rPr>
          <w:rFonts w:asciiTheme="minorHAnsi" w:hAnsiTheme="minorHAnsi"/>
          <w:color w:val="auto"/>
          <w:szCs w:val="24"/>
        </w:rPr>
        <w:t>physical therapy</w:t>
      </w:r>
      <w:r w:rsidR="000B49D2">
        <w:rPr>
          <w:rFonts w:asciiTheme="minorHAnsi" w:hAnsiTheme="minorHAnsi"/>
          <w:color w:val="auto"/>
          <w:szCs w:val="24"/>
        </w:rPr>
        <w:t xml:space="preserve"> (PT)</w:t>
      </w:r>
      <w:r w:rsidR="00140EFA">
        <w:rPr>
          <w:rFonts w:asciiTheme="minorHAnsi" w:hAnsiTheme="minorHAnsi"/>
          <w:color w:val="auto"/>
          <w:szCs w:val="24"/>
        </w:rPr>
        <w:t xml:space="preserve"> and reh</w:t>
      </w:r>
      <w:r w:rsidR="00722AD2">
        <w:rPr>
          <w:rFonts w:asciiTheme="minorHAnsi" w:hAnsiTheme="minorHAnsi"/>
          <w:color w:val="auto"/>
          <w:szCs w:val="24"/>
        </w:rPr>
        <w:t>abilitation</w:t>
      </w:r>
      <w:r w:rsidR="00140EFA">
        <w:rPr>
          <w:rFonts w:asciiTheme="minorHAnsi" w:hAnsiTheme="minorHAnsi"/>
          <w:color w:val="auto"/>
          <w:szCs w:val="24"/>
        </w:rPr>
        <w:t>.</w:t>
      </w:r>
      <w:r w:rsidR="00722AD2">
        <w:rPr>
          <w:rFonts w:asciiTheme="minorHAnsi" w:hAnsiTheme="minorHAnsi"/>
          <w:color w:val="auto"/>
          <w:szCs w:val="24"/>
        </w:rPr>
        <w:t xml:space="preserve">  </w:t>
      </w:r>
      <w:r w:rsidR="000B49D2">
        <w:rPr>
          <w:rFonts w:asciiTheme="minorHAnsi" w:hAnsiTheme="minorHAnsi"/>
          <w:color w:val="auto"/>
          <w:szCs w:val="24"/>
        </w:rPr>
        <w:t xml:space="preserve">However, it was determined </w:t>
      </w:r>
      <w:r w:rsidR="00C54CE1">
        <w:rPr>
          <w:rFonts w:asciiTheme="minorHAnsi" w:hAnsiTheme="minorHAnsi"/>
          <w:color w:val="auto"/>
          <w:szCs w:val="24"/>
        </w:rPr>
        <w:t xml:space="preserve">that he would not be able to complete his Marine Corps </w:t>
      </w:r>
      <w:r w:rsidR="000B49D2">
        <w:rPr>
          <w:rFonts w:asciiTheme="minorHAnsi" w:hAnsiTheme="minorHAnsi"/>
          <w:color w:val="auto"/>
          <w:szCs w:val="24"/>
        </w:rPr>
        <w:t>basic</w:t>
      </w:r>
      <w:r w:rsidR="00C54CE1">
        <w:rPr>
          <w:rFonts w:asciiTheme="minorHAnsi" w:hAnsiTheme="minorHAnsi"/>
          <w:color w:val="auto"/>
          <w:szCs w:val="24"/>
        </w:rPr>
        <w:t xml:space="preserve"> training</w:t>
      </w:r>
      <w:r w:rsidR="000B49D2">
        <w:rPr>
          <w:rFonts w:asciiTheme="minorHAnsi" w:hAnsiTheme="minorHAnsi"/>
          <w:color w:val="auto"/>
          <w:szCs w:val="24"/>
        </w:rPr>
        <w:t>,</w:t>
      </w:r>
      <w:r w:rsidR="00C54CE1">
        <w:rPr>
          <w:rFonts w:asciiTheme="minorHAnsi" w:hAnsiTheme="minorHAnsi"/>
          <w:color w:val="auto"/>
          <w:szCs w:val="24"/>
        </w:rPr>
        <w:t xml:space="preserve"> and </w:t>
      </w:r>
      <w:r w:rsidR="000B49D2">
        <w:rPr>
          <w:rFonts w:asciiTheme="minorHAnsi" w:hAnsiTheme="minorHAnsi"/>
          <w:color w:val="auto"/>
          <w:szCs w:val="24"/>
        </w:rPr>
        <w:t xml:space="preserve">an MEB was then </w:t>
      </w:r>
      <w:r w:rsidR="00722AD2">
        <w:rPr>
          <w:rFonts w:asciiTheme="minorHAnsi" w:hAnsiTheme="minorHAnsi"/>
          <w:color w:val="auto"/>
          <w:szCs w:val="24"/>
        </w:rPr>
        <w:t>re-</w:t>
      </w:r>
      <w:r w:rsidR="00C54CE1">
        <w:rPr>
          <w:rFonts w:asciiTheme="minorHAnsi" w:hAnsiTheme="minorHAnsi"/>
          <w:color w:val="auto"/>
          <w:szCs w:val="24"/>
        </w:rPr>
        <w:t>initiated.</w:t>
      </w:r>
    </w:p>
    <w:p w:rsidR="00C54CE1" w:rsidRDefault="00C54CE1" w:rsidP="00653733">
      <w:pPr>
        <w:spacing w:line="240" w:lineRule="exact"/>
        <w:jc w:val="both"/>
        <w:rPr>
          <w:rFonts w:asciiTheme="minorHAnsi" w:hAnsiTheme="minorHAnsi"/>
          <w:color w:val="auto"/>
          <w:szCs w:val="24"/>
        </w:rPr>
      </w:pPr>
    </w:p>
    <w:p w:rsidR="000B49D2" w:rsidRDefault="00722AD2" w:rsidP="000B49D2">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On 21 March 2003, </w:t>
      </w:r>
      <w:r w:rsidR="000B49D2">
        <w:rPr>
          <w:rFonts w:asciiTheme="minorHAnsi" w:hAnsiTheme="minorHAnsi"/>
          <w:color w:val="auto"/>
          <w:szCs w:val="24"/>
        </w:rPr>
        <w:t>the CI had a VA compensation and pension (C&amp;P) evaluation.  At that time</w:t>
      </w:r>
      <w:r w:rsidR="00CB3E90">
        <w:rPr>
          <w:rFonts w:asciiTheme="minorHAnsi" w:hAnsiTheme="minorHAnsi"/>
          <w:color w:val="auto"/>
          <w:szCs w:val="24"/>
        </w:rPr>
        <w:t>,</w:t>
      </w:r>
      <w:r>
        <w:rPr>
          <w:rFonts w:asciiTheme="minorHAnsi" w:hAnsiTheme="minorHAnsi"/>
          <w:color w:val="auto"/>
          <w:szCs w:val="24"/>
        </w:rPr>
        <w:t xml:space="preserve"> h</w:t>
      </w:r>
      <w:r w:rsidR="000B49D2">
        <w:rPr>
          <w:rFonts w:asciiTheme="minorHAnsi" w:hAnsiTheme="minorHAnsi"/>
          <w:color w:val="auto"/>
          <w:szCs w:val="24"/>
        </w:rPr>
        <w:t xml:space="preserve">e was </w:t>
      </w:r>
      <w:r w:rsidR="00CB3E90">
        <w:rPr>
          <w:rFonts w:asciiTheme="minorHAnsi" w:hAnsiTheme="minorHAnsi"/>
          <w:color w:val="auto"/>
          <w:szCs w:val="24"/>
        </w:rPr>
        <w:t xml:space="preserve">only </w:t>
      </w:r>
      <w:r>
        <w:rPr>
          <w:rFonts w:asciiTheme="minorHAnsi" w:hAnsiTheme="minorHAnsi"/>
          <w:color w:val="auto"/>
          <w:szCs w:val="24"/>
        </w:rPr>
        <w:t xml:space="preserve">three weeks post-operative and was </w:t>
      </w:r>
      <w:r w:rsidR="000B49D2">
        <w:rPr>
          <w:rFonts w:asciiTheme="minorHAnsi" w:hAnsiTheme="minorHAnsi"/>
          <w:color w:val="auto"/>
          <w:szCs w:val="24"/>
        </w:rPr>
        <w:t xml:space="preserve">not </w:t>
      </w:r>
      <w:r>
        <w:rPr>
          <w:rFonts w:asciiTheme="minorHAnsi" w:hAnsiTheme="minorHAnsi"/>
          <w:color w:val="auto"/>
          <w:szCs w:val="24"/>
        </w:rPr>
        <w:t xml:space="preserve">yet </w:t>
      </w:r>
      <w:r w:rsidR="000B49D2">
        <w:rPr>
          <w:rFonts w:asciiTheme="minorHAnsi" w:hAnsiTheme="minorHAnsi"/>
          <w:color w:val="auto"/>
          <w:szCs w:val="24"/>
        </w:rPr>
        <w:t xml:space="preserve">bearing </w:t>
      </w:r>
      <w:r>
        <w:rPr>
          <w:rFonts w:asciiTheme="minorHAnsi" w:hAnsiTheme="minorHAnsi"/>
          <w:color w:val="auto"/>
          <w:szCs w:val="24"/>
        </w:rPr>
        <w:t xml:space="preserve">any </w:t>
      </w:r>
      <w:r w:rsidR="000B49D2">
        <w:rPr>
          <w:rFonts w:asciiTheme="minorHAnsi" w:hAnsiTheme="minorHAnsi"/>
          <w:color w:val="auto"/>
          <w:szCs w:val="24"/>
        </w:rPr>
        <w:t xml:space="preserve">weight on his left leg.  He was concerned about his left leg muscle atrophy and </w:t>
      </w:r>
      <w:r w:rsidR="00AB54EB">
        <w:rPr>
          <w:rFonts w:asciiTheme="minorHAnsi" w:hAnsiTheme="minorHAnsi"/>
          <w:color w:val="auto"/>
          <w:szCs w:val="24"/>
        </w:rPr>
        <w:t xml:space="preserve">his </w:t>
      </w:r>
      <w:r w:rsidR="000B49D2">
        <w:rPr>
          <w:rFonts w:asciiTheme="minorHAnsi" w:hAnsiTheme="minorHAnsi"/>
          <w:color w:val="auto"/>
          <w:szCs w:val="24"/>
        </w:rPr>
        <w:t xml:space="preserve">leg length discrepancy.  The examiner noted </w:t>
      </w:r>
      <w:r w:rsidR="00AB54EB">
        <w:rPr>
          <w:rFonts w:asciiTheme="minorHAnsi" w:hAnsiTheme="minorHAnsi"/>
          <w:color w:val="auto"/>
          <w:szCs w:val="24"/>
        </w:rPr>
        <w:t xml:space="preserve">a slight decrease in left </w:t>
      </w:r>
      <w:r w:rsidR="000B49D2">
        <w:rPr>
          <w:rFonts w:asciiTheme="minorHAnsi" w:hAnsiTheme="minorHAnsi"/>
          <w:color w:val="auto"/>
          <w:szCs w:val="24"/>
        </w:rPr>
        <w:t>quadriceps strength</w:t>
      </w:r>
      <w:r w:rsidR="00AB54EB">
        <w:rPr>
          <w:rFonts w:asciiTheme="minorHAnsi" w:hAnsiTheme="minorHAnsi"/>
          <w:color w:val="auto"/>
          <w:szCs w:val="24"/>
        </w:rPr>
        <w:t xml:space="preserve">, </w:t>
      </w:r>
      <w:r w:rsidR="000B49D2">
        <w:rPr>
          <w:rFonts w:asciiTheme="minorHAnsi" w:hAnsiTheme="minorHAnsi"/>
          <w:color w:val="auto"/>
          <w:szCs w:val="24"/>
        </w:rPr>
        <w:t xml:space="preserve">and </w:t>
      </w:r>
      <w:r w:rsidR="00AB54EB">
        <w:rPr>
          <w:rFonts w:asciiTheme="minorHAnsi" w:hAnsiTheme="minorHAnsi"/>
          <w:color w:val="auto"/>
          <w:szCs w:val="24"/>
        </w:rPr>
        <w:t xml:space="preserve">left hip </w:t>
      </w:r>
      <w:r w:rsidR="000B49D2">
        <w:rPr>
          <w:rFonts w:asciiTheme="minorHAnsi" w:hAnsiTheme="minorHAnsi"/>
          <w:color w:val="auto"/>
          <w:szCs w:val="24"/>
        </w:rPr>
        <w:t xml:space="preserve">motion </w:t>
      </w:r>
      <w:r w:rsidR="00AB54EB">
        <w:rPr>
          <w:rFonts w:asciiTheme="minorHAnsi" w:hAnsiTheme="minorHAnsi"/>
          <w:color w:val="auto"/>
          <w:szCs w:val="24"/>
        </w:rPr>
        <w:t xml:space="preserve">was limited by pain.  </w:t>
      </w:r>
    </w:p>
    <w:p w:rsidR="00AB54EB" w:rsidRDefault="00AB54EB" w:rsidP="00653733">
      <w:pPr>
        <w:tabs>
          <w:tab w:val="left" w:pos="2980"/>
        </w:tabs>
        <w:spacing w:line="240" w:lineRule="exact"/>
        <w:jc w:val="both"/>
        <w:rPr>
          <w:rFonts w:asciiTheme="minorHAnsi" w:hAnsiTheme="minorHAnsi"/>
          <w:color w:val="auto"/>
          <w:szCs w:val="24"/>
        </w:rPr>
      </w:pPr>
    </w:p>
    <w:p w:rsidR="00C54CE1" w:rsidRPr="00622927" w:rsidRDefault="00C54CE1" w:rsidP="00653733">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In the MEB narrative summary (NARSUM) of 19 June 2003, </w:t>
      </w:r>
      <w:r w:rsidR="000D56ED">
        <w:rPr>
          <w:rFonts w:asciiTheme="minorHAnsi" w:hAnsiTheme="minorHAnsi"/>
          <w:color w:val="auto"/>
          <w:szCs w:val="24"/>
        </w:rPr>
        <w:t>the examiner did not</w:t>
      </w:r>
      <w:r>
        <w:rPr>
          <w:rFonts w:asciiTheme="minorHAnsi" w:hAnsiTheme="minorHAnsi"/>
          <w:color w:val="auto"/>
          <w:szCs w:val="24"/>
        </w:rPr>
        <w:t xml:space="preserve"> mention any of the CI’s symptoms.  </w:t>
      </w:r>
      <w:r w:rsidR="005925D4">
        <w:rPr>
          <w:rFonts w:asciiTheme="minorHAnsi" w:hAnsiTheme="minorHAnsi"/>
          <w:color w:val="auto"/>
          <w:szCs w:val="24"/>
        </w:rPr>
        <w:t>On</w:t>
      </w:r>
      <w:r>
        <w:rPr>
          <w:rFonts w:asciiTheme="minorHAnsi" w:hAnsiTheme="minorHAnsi"/>
          <w:color w:val="auto"/>
          <w:szCs w:val="24"/>
        </w:rPr>
        <w:t xml:space="preserve"> examination there was restricted left hip motion, </w:t>
      </w:r>
      <w:r w:rsidR="003A6D6B">
        <w:rPr>
          <w:rFonts w:asciiTheme="minorHAnsi" w:hAnsiTheme="minorHAnsi"/>
          <w:color w:val="auto"/>
          <w:szCs w:val="24"/>
        </w:rPr>
        <w:t xml:space="preserve">and one centimeter </w:t>
      </w:r>
      <w:r w:rsidR="003A6D6B">
        <w:rPr>
          <w:rFonts w:asciiTheme="minorHAnsi" w:hAnsiTheme="minorHAnsi"/>
          <w:color w:val="auto"/>
          <w:szCs w:val="24"/>
        </w:rPr>
        <w:lastRenderedPageBreak/>
        <w:t>of leg length discrepancy.  Radiographs showed that the osteotomy and femoral neck fracture were well healed</w:t>
      </w:r>
      <w:r w:rsidR="005925D4">
        <w:rPr>
          <w:rFonts w:asciiTheme="minorHAnsi" w:hAnsiTheme="minorHAnsi"/>
          <w:color w:val="auto"/>
          <w:szCs w:val="24"/>
        </w:rPr>
        <w:t>,</w:t>
      </w:r>
      <w:r w:rsidR="003A6D6B">
        <w:rPr>
          <w:rFonts w:asciiTheme="minorHAnsi" w:hAnsiTheme="minorHAnsi"/>
          <w:color w:val="auto"/>
          <w:szCs w:val="24"/>
        </w:rPr>
        <w:t xml:space="preserve"> and there was </w:t>
      </w:r>
      <w:r w:rsidR="005925D4">
        <w:rPr>
          <w:rFonts w:asciiTheme="minorHAnsi" w:hAnsiTheme="minorHAnsi"/>
          <w:color w:val="auto"/>
          <w:szCs w:val="24"/>
        </w:rPr>
        <w:t xml:space="preserve">some </w:t>
      </w:r>
      <w:r w:rsidR="003A6D6B">
        <w:rPr>
          <w:rFonts w:asciiTheme="minorHAnsi" w:hAnsiTheme="minorHAnsi"/>
          <w:color w:val="auto"/>
          <w:szCs w:val="24"/>
        </w:rPr>
        <w:t xml:space="preserve">heterotopic ossification in the gluteus </w:t>
      </w:r>
      <w:proofErr w:type="spellStart"/>
      <w:r w:rsidR="003A6D6B">
        <w:rPr>
          <w:rFonts w:asciiTheme="minorHAnsi" w:hAnsiTheme="minorHAnsi"/>
          <w:color w:val="auto"/>
          <w:szCs w:val="24"/>
        </w:rPr>
        <w:t>medius</w:t>
      </w:r>
      <w:proofErr w:type="spellEnd"/>
      <w:r w:rsidR="005925D4">
        <w:rPr>
          <w:rFonts w:asciiTheme="minorHAnsi" w:hAnsiTheme="minorHAnsi"/>
          <w:color w:val="auto"/>
          <w:szCs w:val="24"/>
        </w:rPr>
        <w:t xml:space="preserve"> muscle.  </w:t>
      </w:r>
      <w:r>
        <w:rPr>
          <w:color w:val="auto"/>
          <w:szCs w:val="24"/>
        </w:rPr>
        <w:t>In the treat</w:t>
      </w:r>
      <w:r w:rsidR="00366F13">
        <w:rPr>
          <w:color w:val="auto"/>
          <w:szCs w:val="24"/>
        </w:rPr>
        <w:t>ment record, three</w:t>
      </w:r>
      <w:r>
        <w:rPr>
          <w:color w:val="auto"/>
          <w:szCs w:val="24"/>
        </w:rPr>
        <w:t xml:space="preserve"> </w:t>
      </w:r>
      <w:proofErr w:type="gramStart"/>
      <w:r>
        <w:rPr>
          <w:color w:val="auto"/>
          <w:szCs w:val="24"/>
        </w:rPr>
        <w:t>range</w:t>
      </w:r>
      <w:proofErr w:type="gramEnd"/>
      <w:r w:rsidR="00F679A9">
        <w:rPr>
          <w:color w:val="auto"/>
          <w:szCs w:val="24"/>
        </w:rPr>
        <w:t xml:space="preserve"> </w:t>
      </w:r>
      <w:r>
        <w:rPr>
          <w:color w:val="auto"/>
          <w:szCs w:val="24"/>
        </w:rPr>
        <w:t>of</w:t>
      </w:r>
      <w:r w:rsidR="00F679A9">
        <w:rPr>
          <w:color w:val="auto"/>
          <w:szCs w:val="24"/>
        </w:rPr>
        <w:t xml:space="preserve"> </w:t>
      </w:r>
      <w:r>
        <w:rPr>
          <w:color w:val="auto"/>
          <w:szCs w:val="24"/>
        </w:rPr>
        <w:t xml:space="preserve">motion (ROM) evaluations were in evidence, which the Board </w:t>
      </w:r>
      <w:r w:rsidRPr="00743E36">
        <w:rPr>
          <w:color w:val="auto"/>
          <w:szCs w:val="24"/>
        </w:rPr>
        <w:t>weighed in arriving at its recommendation</w:t>
      </w:r>
      <w:r w:rsidR="00366F13">
        <w:rPr>
          <w:color w:val="auto"/>
          <w:szCs w:val="24"/>
        </w:rPr>
        <w:t>.  These three</w:t>
      </w:r>
      <w:r>
        <w:rPr>
          <w:color w:val="auto"/>
          <w:szCs w:val="24"/>
        </w:rPr>
        <w:t xml:space="preserve"> ex</w:t>
      </w:r>
      <w:r w:rsidR="005925D4">
        <w:rPr>
          <w:color w:val="auto"/>
          <w:szCs w:val="24"/>
        </w:rPr>
        <w:t xml:space="preserve">ams are summarized </w:t>
      </w:r>
      <w:r>
        <w:rPr>
          <w:color w:val="auto"/>
          <w:szCs w:val="24"/>
        </w:rPr>
        <w:t>below.</w:t>
      </w:r>
    </w:p>
    <w:p w:rsidR="00C54CE1" w:rsidRDefault="00C54CE1" w:rsidP="00510F9C">
      <w:pPr>
        <w:spacing w:line="240" w:lineRule="exact"/>
        <w:rPr>
          <w:rFonts w:asciiTheme="minorHAnsi" w:hAnsiTheme="minorHAnsi"/>
          <w:color w:val="auto"/>
          <w:szCs w:val="24"/>
        </w:rPr>
      </w:pPr>
    </w:p>
    <w:tbl>
      <w:tblPr>
        <w:tblW w:w="8033"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5"/>
        <w:gridCol w:w="1845"/>
        <w:gridCol w:w="1800"/>
        <w:gridCol w:w="1823"/>
      </w:tblGrid>
      <w:tr w:rsidR="00EC27A5" w:rsidRPr="00C34CEB" w:rsidTr="00F679A9">
        <w:trPr>
          <w:jc w:val="center"/>
        </w:trPr>
        <w:tc>
          <w:tcPr>
            <w:tcW w:w="2565" w:type="dxa"/>
            <w:shd w:val="clear" w:color="auto" w:fill="D9D9D9" w:themeFill="background1" w:themeFillShade="D9"/>
            <w:vAlign w:val="center"/>
          </w:tcPr>
          <w:p w:rsidR="00EC27A5" w:rsidRPr="00F80B43" w:rsidRDefault="00EC27A5" w:rsidP="00EC27A5">
            <w:pPr>
              <w:spacing w:line="200" w:lineRule="exact"/>
              <w:contextualSpacing/>
              <w:jc w:val="center"/>
              <w:rPr>
                <w:rFonts w:asciiTheme="minorHAnsi" w:eastAsia="Calibri" w:hAnsiTheme="minorHAnsi"/>
                <w:color w:val="auto"/>
                <w:sz w:val="20"/>
              </w:rPr>
            </w:pPr>
            <w:r w:rsidRPr="00F80B43">
              <w:rPr>
                <w:rFonts w:asciiTheme="minorHAnsi" w:eastAsia="Calibri" w:hAnsiTheme="minorHAnsi"/>
                <w:color w:val="auto"/>
                <w:sz w:val="20"/>
              </w:rPr>
              <w:t>Goniometric ROM –</w:t>
            </w:r>
          </w:p>
          <w:p w:rsidR="00EC27A5" w:rsidRPr="00F80B43" w:rsidRDefault="004A2F55" w:rsidP="005925D4">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Left</w:t>
            </w:r>
            <w:r w:rsidR="00EC27A5" w:rsidRPr="00F606D5">
              <w:rPr>
                <w:rFonts w:asciiTheme="minorHAnsi" w:eastAsia="Calibri" w:hAnsiTheme="minorHAnsi"/>
                <w:color w:val="auto"/>
                <w:sz w:val="20"/>
              </w:rPr>
              <w:t xml:space="preserve"> </w:t>
            </w:r>
            <w:r w:rsidR="00EC27A5" w:rsidRPr="00F80B43">
              <w:rPr>
                <w:rFonts w:asciiTheme="minorHAnsi" w:eastAsia="Calibri" w:hAnsiTheme="minorHAnsi"/>
                <w:color w:val="auto"/>
                <w:sz w:val="20"/>
              </w:rPr>
              <w:t>Hip</w:t>
            </w:r>
          </w:p>
        </w:tc>
        <w:tc>
          <w:tcPr>
            <w:tcW w:w="1845" w:type="dxa"/>
            <w:shd w:val="clear" w:color="auto" w:fill="D9D9D9" w:themeFill="background1" w:themeFillShade="D9"/>
            <w:vAlign w:val="center"/>
          </w:tcPr>
          <w:p w:rsidR="00EC27A5" w:rsidRPr="00FB42B7" w:rsidRDefault="004A2F55" w:rsidP="005925D4">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VA C&amp;P</w:t>
            </w:r>
            <w:r w:rsidR="005925D4">
              <w:rPr>
                <w:rFonts w:asciiTheme="minorHAnsi" w:eastAsia="Calibri" w:hAnsiTheme="minorHAnsi"/>
                <w:color w:val="auto"/>
                <w:sz w:val="20"/>
              </w:rPr>
              <w:t xml:space="preserve"> – </w:t>
            </w:r>
            <w:r>
              <w:rPr>
                <w:rFonts w:asciiTheme="minorHAnsi" w:eastAsia="Calibri" w:hAnsiTheme="minorHAnsi"/>
                <w:color w:val="auto"/>
                <w:sz w:val="20"/>
              </w:rPr>
              <w:t>7</w:t>
            </w:r>
            <w:r w:rsidR="00EC27A5" w:rsidRPr="00FB42B7">
              <w:rPr>
                <w:rFonts w:asciiTheme="minorHAnsi" w:eastAsia="Calibri" w:hAnsiTheme="minorHAnsi"/>
                <w:color w:val="auto"/>
                <w:sz w:val="20"/>
              </w:rPr>
              <w:t xml:space="preserve"> </w:t>
            </w:r>
            <w:r w:rsidR="005925D4">
              <w:rPr>
                <w:rFonts w:asciiTheme="minorHAnsi" w:eastAsia="Calibri" w:hAnsiTheme="minorHAnsi"/>
                <w:color w:val="auto"/>
                <w:sz w:val="20"/>
              </w:rPr>
              <w:t>m</w:t>
            </w:r>
            <w:r w:rsidR="00EC27A5" w:rsidRPr="00FB42B7">
              <w:rPr>
                <w:rFonts w:asciiTheme="minorHAnsi" w:eastAsia="Calibri" w:hAnsiTheme="minorHAnsi"/>
                <w:color w:val="auto"/>
                <w:sz w:val="20"/>
              </w:rPr>
              <w:t>o. Pre-Sep</w:t>
            </w:r>
          </w:p>
        </w:tc>
        <w:tc>
          <w:tcPr>
            <w:tcW w:w="1800" w:type="dxa"/>
            <w:shd w:val="clear" w:color="auto" w:fill="D9D9D9" w:themeFill="background1" w:themeFillShade="D9"/>
            <w:vAlign w:val="center"/>
          </w:tcPr>
          <w:p w:rsidR="00EC27A5" w:rsidRPr="00FB42B7" w:rsidRDefault="00EC27A5" w:rsidP="005925D4">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5925D4">
              <w:rPr>
                <w:rFonts w:asciiTheme="minorHAnsi" w:eastAsia="Calibri" w:hAnsiTheme="minorHAnsi"/>
                <w:color w:val="auto"/>
                <w:sz w:val="20"/>
              </w:rPr>
              <w:t xml:space="preserve"> – </w:t>
            </w:r>
            <w:r w:rsidR="004A2F55">
              <w:rPr>
                <w:rFonts w:asciiTheme="minorHAnsi" w:eastAsia="Calibri" w:hAnsiTheme="minorHAnsi"/>
                <w:color w:val="auto"/>
                <w:sz w:val="20"/>
              </w:rPr>
              <w:t>4</w:t>
            </w:r>
            <w:r w:rsidRPr="00FB42B7">
              <w:rPr>
                <w:rFonts w:asciiTheme="minorHAnsi" w:eastAsia="Calibri" w:hAnsiTheme="minorHAnsi"/>
                <w:color w:val="auto"/>
                <w:sz w:val="20"/>
              </w:rPr>
              <w:t xml:space="preserve"> </w:t>
            </w:r>
            <w:r w:rsidR="005925D4">
              <w:rPr>
                <w:rFonts w:asciiTheme="minorHAnsi" w:eastAsia="Calibri" w:hAnsiTheme="minorHAnsi"/>
                <w:color w:val="auto"/>
                <w:sz w:val="20"/>
              </w:rPr>
              <w:t>m</w:t>
            </w:r>
            <w:r w:rsidRPr="00FB42B7">
              <w:rPr>
                <w:rFonts w:asciiTheme="minorHAnsi" w:eastAsia="Calibri" w:hAnsiTheme="minorHAnsi"/>
                <w:color w:val="auto"/>
                <w:sz w:val="20"/>
              </w:rPr>
              <w:t>o. Pre-Sep</w:t>
            </w:r>
          </w:p>
        </w:tc>
        <w:tc>
          <w:tcPr>
            <w:tcW w:w="1823" w:type="dxa"/>
            <w:shd w:val="clear" w:color="auto" w:fill="D9D9D9" w:themeFill="background1" w:themeFillShade="D9"/>
            <w:vAlign w:val="center"/>
          </w:tcPr>
          <w:p w:rsidR="00EC27A5" w:rsidRPr="00FB42B7" w:rsidRDefault="00EC27A5" w:rsidP="005925D4">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5925D4">
              <w:rPr>
                <w:rFonts w:asciiTheme="minorHAnsi" w:eastAsiaTheme="minorHAnsi" w:hAnsiTheme="minorHAnsi" w:cstheme="minorBidi"/>
                <w:color w:val="auto"/>
                <w:sz w:val="20"/>
              </w:rPr>
              <w:t xml:space="preserve"> – </w:t>
            </w:r>
            <w:r w:rsidR="004A2F55">
              <w:rPr>
                <w:rFonts w:asciiTheme="minorHAnsi" w:eastAsia="Calibri" w:hAnsiTheme="minorHAnsi"/>
                <w:color w:val="auto"/>
                <w:sz w:val="20"/>
              </w:rPr>
              <w:t>46</w:t>
            </w:r>
            <w:r w:rsidRPr="00FB42B7">
              <w:rPr>
                <w:rFonts w:asciiTheme="minorHAnsi" w:eastAsia="Calibri" w:hAnsiTheme="minorHAnsi"/>
                <w:color w:val="auto"/>
                <w:sz w:val="20"/>
              </w:rPr>
              <w:t xml:space="preserve"> </w:t>
            </w:r>
            <w:r w:rsidR="005925D4">
              <w:rPr>
                <w:rFonts w:asciiTheme="minorHAnsi" w:eastAsia="Calibri" w:hAnsiTheme="minorHAnsi"/>
                <w:color w:val="auto"/>
                <w:sz w:val="20"/>
              </w:rPr>
              <w:t>m</w:t>
            </w:r>
            <w:r w:rsidRPr="00FB42B7">
              <w:rPr>
                <w:rFonts w:asciiTheme="minorHAnsi" w:eastAsia="Calibri" w:hAnsiTheme="minorHAnsi"/>
                <w:color w:val="auto"/>
                <w:sz w:val="20"/>
              </w:rPr>
              <w:t xml:space="preserve">o. </w:t>
            </w:r>
            <w:r w:rsidR="005925D4">
              <w:rPr>
                <w:rFonts w:asciiTheme="minorHAnsi" w:eastAsia="Calibri" w:hAnsiTheme="minorHAnsi"/>
                <w:color w:val="auto"/>
                <w:sz w:val="20"/>
              </w:rPr>
              <w:t>Post</w:t>
            </w:r>
            <w:r w:rsidRPr="00FB42B7">
              <w:rPr>
                <w:rFonts w:asciiTheme="minorHAnsi" w:eastAsia="Calibri" w:hAnsiTheme="minorHAnsi"/>
                <w:color w:val="auto"/>
                <w:sz w:val="20"/>
              </w:rPr>
              <w:t>-Sep</w:t>
            </w:r>
          </w:p>
        </w:tc>
      </w:tr>
      <w:tr w:rsidR="00EC27A5" w:rsidRPr="00C34CEB" w:rsidTr="00F679A9">
        <w:trPr>
          <w:jc w:val="center"/>
        </w:trPr>
        <w:tc>
          <w:tcPr>
            <w:tcW w:w="2565" w:type="dxa"/>
            <w:vAlign w:val="center"/>
          </w:tcPr>
          <w:p w:rsidR="00EC27A5" w:rsidRPr="00C34CEB" w:rsidRDefault="005925D4" w:rsidP="00F679A9">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Flexion (90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is normal</w:t>
            </w:r>
            <w:r w:rsidR="00EC27A5" w:rsidRPr="00C34CEB">
              <w:rPr>
                <w:rFonts w:asciiTheme="minorHAnsi" w:eastAsia="Calibri" w:hAnsiTheme="minorHAnsi"/>
                <w:color w:val="auto"/>
                <w:sz w:val="18"/>
                <w:szCs w:val="18"/>
              </w:rPr>
              <w:t>)</w:t>
            </w:r>
          </w:p>
        </w:tc>
        <w:tc>
          <w:tcPr>
            <w:tcW w:w="1845" w:type="dxa"/>
            <w:vAlign w:val="center"/>
          </w:tcPr>
          <w:p w:rsidR="00EC27A5" w:rsidRPr="00C34CEB" w:rsidRDefault="0022745A"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00EC27A5" w:rsidRPr="00C34CEB">
              <w:rPr>
                <w:rFonts w:asciiTheme="minorHAnsi" w:eastAsia="Calibri" w:hAnsiTheme="minorHAnsi"/>
                <w:color w:val="auto"/>
                <w:sz w:val="18"/>
                <w:szCs w:val="18"/>
              </w:rPr>
              <w:t>⁰</w:t>
            </w:r>
          </w:p>
        </w:tc>
        <w:tc>
          <w:tcPr>
            <w:tcW w:w="1800" w:type="dxa"/>
            <w:vAlign w:val="center"/>
          </w:tcPr>
          <w:p w:rsidR="00EC27A5" w:rsidRPr="00C34CEB" w:rsidRDefault="0022745A"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00EC27A5" w:rsidRPr="00C34CEB">
              <w:rPr>
                <w:rFonts w:asciiTheme="minorHAnsi" w:eastAsia="Calibri" w:hAnsiTheme="minorHAnsi"/>
                <w:color w:val="auto"/>
                <w:sz w:val="18"/>
                <w:szCs w:val="18"/>
              </w:rPr>
              <w:t>⁰</w:t>
            </w:r>
          </w:p>
        </w:tc>
        <w:tc>
          <w:tcPr>
            <w:tcW w:w="1823" w:type="dxa"/>
            <w:vAlign w:val="center"/>
          </w:tcPr>
          <w:p w:rsidR="00EC27A5" w:rsidRPr="00C34CEB" w:rsidRDefault="004A2F55"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80</w:t>
            </w:r>
            <w:r w:rsidR="00EC27A5" w:rsidRPr="00C34CEB">
              <w:rPr>
                <w:rFonts w:asciiTheme="minorHAnsi" w:eastAsia="Calibri" w:hAnsiTheme="minorHAnsi"/>
                <w:color w:val="auto"/>
                <w:sz w:val="18"/>
                <w:szCs w:val="18"/>
              </w:rPr>
              <w:t>⁰</w:t>
            </w:r>
          </w:p>
        </w:tc>
      </w:tr>
      <w:tr w:rsidR="00EC27A5" w:rsidRPr="00C34CEB" w:rsidTr="00F679A9">
        <w:trPr>
          <w:jc w:val="center"/>
        </w:trPr>
        <w:tc>
          <w:tcPr>
            <w:tcW w:w="2565" w:type="dxa"/>
            <w:vAlign w:val="center"/>
          </w:tcPr>
          <w:p w:rsidR="00EC27A5" w:rsidRPr="00C34CEB" w:rsidRDefault="00EC27A5" w:rsidP="00F679A9">
            <w:pPr>
              <w:spacing w:line="180" w:lineRule="exact"/>
              <w:contextualSpacing/>
              <w:rPr>
                <w:rFonts w:asciiTheme="minorHAnsi" w:eastAsia="Calibri" w:hAnsiTheme="minorHAnsi"/>
                <w:color w:val="auto"/>
                <w:sz w:val="18"/>
                <w:szCs w:val="18"/>
              </w:rPr>
            </w:pPr>
            <w:r w:rsidRPr="00C34CEB">
              <w:rPr>
                <w:rFonts w:asciiTheme="minorHAnsi" w:eastAsia="Calibri" w:hAnsiTheme="minorHAnsi"/>
                <w:color w:val="auto"/>
                <w:sz w:val="18"/>
                <w:szCs w:val="18"/>
              </w:rPr>
              <w:t>Extension (0</w:t>
            </w:r>
            <w:r w:rsidR="005925D4" w:rsidRPr="00C34CEB">
              <w:rPr>
                <w:rFonts w:asciiTheme="minorHAnsi" w:eastAsia="Calibri" w:hAnsiTheme="minorHAnsi"/>
                <w:color w:val="auto"/>
                <w:sz w:val="18"/>
                <w:szCs w:val="18"/>
              </w:rPr>
              <w:t>⁰</w:t>
            </w:r>
            <w:r w:rsidR="005925D4">
              <w:rPr>
                <w:rFonts w:asciiTheme="minorHAnsi" w:eastAsia="Calibri" w:hAnsiTheme="minorHAnsi"/>
                <w:color w:val="auto"/>
                <w:sz w:val="18"/>
                <w:szCs w:val="18"/>
              </w:rPr>
              <w:t xml:space="preserve"> is normal</w:t>
            </w:r>
            <w:r w:rsidRPr="00C34CEB">
              <w:rPr>
                <w:rFonts w:asciiTheme="minorHAnsi" w:eastAsia="Calibri" w:hAnsiTheme="minorHAnsi"/>
                <w:color w:val="auto"/>
                <w:sz w:val="18"/>
                <w:szCs w:val="18"/>
              </w:rPr>
              <w:t>)</w:t>
            </w:r>
          </w:p>
        </w:tc>
        <w:tc>
          <w:tcPr>
            <w:tcW w:w="1845" w:type="dxa"/>
            <w:vAlign w:val="center"/>
          </w:tcPr>
          <w:p w:rsidR="00EC27A5" w:rsidRPr="00C34CEB" w:rsidRDefault="00EC27A5" w:rsidP="00EC27A5">
            <w:pPr>
              <w:spacing w:line="180" w:lineRule="exact"/>
              <w:contextualSpacing/>
              <w:jc w:val="center"/>
              <w:rPr>
                <w:rFonts w:asciiTheme="minorHAnsi" w:eastAsia="Calibri" w:hAnsiTheme="minorHAnsi"/>
                <w:color w:val="auto"/>
                <w:sz w:val="18"/>
                <w:szCs w:val="18"/>
              </w:rPr>
            </w:pPr>
          </w:p>
        </w:tc>
        <w:tc>
          <w:tcPr>
            <w:tcW w:w="1800" w:type="dxa"/>
            <w:vAlign w:val="center"/>
          </w:tcPr>
          <w:p w:rsidR="00EC27A5" w:rsidRPr="00C34CEB" w:rsidRDefault="00EC27A5" w:rsidP="00EC27A5">
            <w:pPr>
              <w:spacing w:line="180" w:lineRule="exact"/>
              <w:contextualSpacing/>
              <w:jc w:val="center"/>
              <w:rPr>
                <w:rFonts w:asciiTheme="minorHAnsi" w:eastAsia="Calibri" w:hAnsiTheme="minorHAnsi"/>
                <w:color w:val="auto"/>
                <w:sz w:val="18"/>
                <w:szCs w:val="18"/>
              </w:rPr>
            </w:pPr>
          </w:p>
        </w:tc>
        <w:tc>
          <w:tcPr>
            <w:tcW w:w="1823" w:type="dxa"/>
            <w:vAlign w:val="center"/>
          </w:tcPr>
          <w:p w:rsidR="00EC27A5" w:rsidRPr="00C34CEB" w:rsidRDefault="004A2F55"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00EC27A5" w:rsidRPr="00C34CEB">
              <w:rPr>
                <w:rFonts w:asciiTheme="minorHAnsi" w:eastAsia="Calibri" w:hAnsiTheme="minorHAnsi"/>
                <w:color w:val="auto"/>
                <w:sz w:val="18"/>
                <w:szCs w:val="18"/>
              </w:rPr>
              <w:t>⁰</w:t>
            </w:r>
          </w:p>
        </w:tc>
      </w:tr>
      <w:tr w:rsidR="00EC27A5" w:rsidRPr="00C34CEB" w:rsidTr="00F679A9">
        <w:trPr>
          <w:jc w:val="center"/>
        </w:trPr>
        <w:tc>
          <w:tcPr>
            <w:tcW w:w="2565" w:type="dxa"/>
            <w:vAlign w:val="center"/>
          </w:tcPr>
          <w:p w:rsidR="00EC27A5" w:rsidRPr="00C34CEB" w:rsidRDefault="00541794" w:rsidP="00F679A9">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Abduction (</w:t>
            </w:r>
            <w:r w:rsidR="00EC27A5" w:rsidRPr="00C34CEB">
              <w:rPr>
                <w:rFonts w:asciiTheme="minorHAnsi" w:eastAsia="Calibri" w:hAnsiTheme="minorHAnsi"/>
                <w:color w:val="auto"/>
                <w:sz w:val="18"/>
                <w:szCs w:val="18"/>
              </w:rPr>
              <w:t>45</w:t>
            </w:r>
            <w:r w:rsidR="005925D4" w:rsidRPr="00C34CEB">
              <w:rPr>
                <w:rFonts w:asciiTheme="minorHAnsi" w:eastAsia="Calibri" w:hAnsiTheme="minorHAnsi"/>
                <w:color w:val="auto"/>
                <w:sz w:val="18"/>
                <w:szCs w:val="18"/>
              </w:rPr>
              <w:t>⁰</w:t>
            </w:r>
            <w:r w:rsidR="005925D4">
              <w:rPr>
                <w:rFonts w:asciiTheme="minorHAnsi" w:eastAsia="Calibri" w:hAnsiTheme="minorHAnsi"/>
                <w:color w:val="auto"/>
                <w:sz w:val="18"/>
                <w:szCs w:val="18"/>
              </w:rPr>
              <w:t xml:space="preserve"> is normal</w:t>
            </w:r>
            <w:r w:rsidR="00EC27A5" w:rsidRPr="00C34CEB">
              <w:rPr>
                <w:rFonts w:asciiTheme="minorHAnsi" w:eastAsia="Calibri" w:hAnsiTheme="minorHAnsi"/>
                <w:color w:val="auto"/>
                <w:sz w:val="18"/>
                <w:szCs w:val="18"/>
              </w:rPr>
              <w:t>)</w:t>
            </w:r>
          </w:p>
        </w:tc>
        <w:tc>
          <w:tcPr>
            <w:tcW w:w="1845" w:type="dxa"/>
            <w:vAlign w:val="center"/>
          </w:tcPr>
          <w:p w:rsidR="00EC27A5" w:rsidRPr="00C34CEB" w:rsidRDefault="0022745A"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50</w:t>
            </w:r>
            <w:r w:rsidR="00EC27A5" w:rsidRPr="00C34CEB">
              <w:rPr>
                <w:rFonts w:asciiTheme="minorHAnsi" w:eastAsia="Calibri" w:hAnsiTheme="minorHAnsi"/>
                <w:color w:val="auto"/>
                <w:sz w:val="18"/>
                <w:szCs w:val="18"/>
              </w:rPr>
              <w:t>⁰</w:t>
            </w:r>
          </w:p>
        </w:tc>
        <w:tc>
          <w:tcPr>
            <w:tcW w:w="1800" w:type="dxa"/>
            <w:vAlign w:val="center"/>
          </w:tcPr>
          <w:p w:rsidR="00EC27A5" w:rsidRPr="00C34CEB" w:rsidRDefault="00EC27A5" w:rsidP="00EC27A5">
            <w:pPr>
              <w:spacing w:line="180" w:lineRule="exact"/>
              <w:contextualSpacing/>
              <w:jc w:val="center"/>
              <w:rPr>
                <w:rFonts w:asciiTheme="minorHAnsi" w:eastAsia="Calibri" w:hAnsiTheme="minorHAnsi"/>
                <w:color w:val="auto"/>
                <w:sz w:val="18"/>
                <w:szCs w:val="18"/>
              </w:rPr>
            </w:pPr>
          </w:p>
        </w:tc>
        <w:tc>
          <w:tcPr>
            <w:tcW w:w="1823" w:type="dxa"/>
            <w:vAlign w:val="center"/>
          </w:tcPr>
          <w:p w:rsidR="00EC27A5" w:rsidRPr="00C34CEB" w:rsidRDefault="004A2F55"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25</w:t>
            </w:r>
            <w:r w:rsidR="00EC27A5" w:rsidRPr="00C34CEB">
              <w:rPr>
                <w:rFonts w:asciiTheme="minorHAnsi" w:eastAsia="Calibri" w:hAnsiTheme="minorHAnsi"/>
                <w:color w:val="auto"/>
                <w:sz w:val="18"/>
                <w:szCs w:val="18"/>
              </w:rPr>
              <w:t>⁰</w:t>
            </w:r>
          </w:p>
        </w:tc>
      </w:tr>
      <w:tr w:rsidR="00EC27A5" w:rsidRPr="00C34CEB" w:rsidTr="00F679A9">
        <w:trPr>
          <w:jc w:val="center"/>
        </w:trPr>
        <w:tc>
          <w:tcPr>
            <w:tcW w:w="2565" w:type="dxa"/>
            <w:vAlign w:val="center"/>
          </w:tcPr>
          <w:p w:rsidR="00EC27A5" w:rsidRPr="00C34CEB" w:rsidRDefault="00541794" w:rsidP="00F679A9">
            <w:pPr>
              <w:spacing w:line="180" w:lineRule="exact"/>
              <w:contextualSpacing/>
              <w:rPr>
                <w:rFonts w:asciiTheme="minorHAnsi" w:eastAsia="Calibri" w:hAnsiTheme="minorHAnsi"/>
                <w:color w:val="auto"/>
                <w:sz w:val="18"/>
                <w:szCs w:val="18"/>
                <w:highlight w:val="yellow"/>
              </w:rPr>
            </w:pPr>
            <w:r>
              <w:rPr>
                <w:rFonts w:asciiTheme="minorHAnsi" w:eastAsia="Calibri" w:hAnsiTheme="minorHAnsi"/>
                <w:color w:val="auto"/>
                <w:sz w:val="18"/>
                <w:szCs w:val="18"/>
              </w:rPr>
              <w:t>Adduction (</w:t>
            </w:r>
            <w:r w:rsidR="00EC27A5" w:rsidRPr="00C34CEB">
              <w:rPr>
                <w:rFonts w:asciiTheme="minorHAnsi" w:eastAsia="Calibri" w:hAnsiTheme="minorHAnsi"/>
                <w:color w:val="auto"/>
                <w:sz w:val="18"/>
                <w:szCs w:val="18"/>
              </w:rPr>
              <w:t>45</w:t>
            </w:r>
            <w:r w:rsidR="005925D4" w:rsidRPr="00C34CEB">
              <w:rPr>
                <w:rFonts w:asciiTheme="minorHAnsi" w:eastAsia="Calibri" w:hAnsiTheme="minorHAnsi"/>
                <w:color w:val="auto"/>
                <w:sz w:val="18"/>
                <w:szCs w:val="18"/>
              </w:rPr>
              <w:t>⁰</w:t>
            </w:r>
            <w:r w:rsidR="005925D4">
              <w:rPr>
                <w:rFonts w:asciiTheme="minorHAnsi" w:eastAsia="Calibri" w:hAnsiTheme="minorHAnsi"/>
                <w:color w:val="auto"/>
                <w:sz w:val="18"/>
                <w:szCs w:val="18"/>
              </w:rPr>
              <w:t xml:space="preserve"> is normal</w:t>
            </w:r>
            <w:r w:rsidR="00EC27A5" w:rsidRPr="00C34CEB">
              <w:rPr>
                <w:rFonts w:asciiTheme="minorHAnsi" w:eastAsia="Calibri" w:hAnsiTheme="minorHAnsi"/>
                <w:color w:val="auto"/>
                <w:sz w:val="18"/>
                <w:szCs w:val="18"/>
              </w:rPr>
              <w:t>)</w:t>
            </w:r>
          </w:p>
        </w:tc>
        <w:tc>
          <w:tcPr>
            <w:tcW w:w="1845" w:type="dxa"/>
            <w:vAlign w:val="center"/>
          </w:tcPr>
          <w:p w:rsidR="00EC27A5" w:rsidRPr="00C34CEB" w:rsidRDefault="00EC27A5" w:rsidP="00EC27A5">
            <w:pPr>
              <w:spacing w:line="180" w:lineRule="exact"/>
              <w:contextualSpacing/>
              <w:jc w:val="center"/>
              <w:rPr>
                <w:rFonts w:asciiTheme="minorHAnsi" w:eastAsia="Calibri" w:hAnsiTheme="minorHAnsi"/>
                <w:color w:val="auto"/>
                <w:sz w:val="18"/>
                <w:szCs w:val="18"/>
              </w:rPr>
            </w:pPr>
          </w:p>
        </w:tc>
        <w:tc>
          <w:tcPr>
            <w:tcW w:w="1800" w:type="dxa"/>
            <w:vAlign w:val="center"/>
          </w:tcPr>
          <w:p w:rsidR="00EC27A5" w:rsidRPr="00C34CEB" w:rsidRDefault="00EC27A5" w:rsidP="00EC27A5">
            <w:pPr>
              <w:spacing w:line="180" w:lineRule="exact"/>
              <w:contextualSpacing/>
              <w:jc w:val="center"/>
              <w:rPr>
                <w:rFonts w:asciiTheme="minorHAnsi" w:eastAsia="Calibri" w:hAnsiTheme="minorHAnsi"/>
                <w:color w:val="auto"/>
                <w:sz w:val="18"/>
                <w:szCs w:val="18"/>
              </w:rPr>
            </w:pPr>
          </w:p>
        </w:tc>
        <w:tc>
          <w:tcPr>
            <w:tcW w:w="1823" w:type="dxa"/>
            <w:vAlign w:val="center"/>
          </w:tcPr>
          <w:p w:rsidR="00EC27A5" w:rsidRPr="00C34CEB" w:rsidRDefault="004A2F55" w:rsidP="00EC27A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50</w:t>
            </w:r>
            <w:r w:rsidR="00EC27A5" w:rsidRPr="00C34CEB">
              <w:rPr>
                <w:rFonts w:asciiTheme="minorHAnsi" w:eastAsia="Calibri" w:hAnsiTheme="minorHAnsi"/>
                <w:color w:val="auto"/>
                <w:sz w:val="18"/>
                <w:szCs w:val="18"/>
              </w:rPr>
              <w:t>⁰</w:t>
            </w:r>
          </w:p>
        </w:tc>
      </w:tr>
      <w:tr w:rsidR="00EC27A5" w:rsidRPr="00C34CEB" w:rsidTr="00F679A9">
        <w:trPr>
          <w:jc w:val="center"/>
        </w:trPr>
        <w:tc>
          <w:tcPr>
            <w:tcW w:w="2565" w:type="dxa"/>
            <w:vAlign w:val="center"/>
          </w:tcPr>
          <w:p w:rsidR="00EC27A5" w:rsidRPr="00C34CEB" w:rsidRDefault="00EC27A5" w:rsidP="00F679A9">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845" w:type="dxa"/>
            <w:vAlign w:val="center"/>
          </w:tcPr>
          <w:p w:rsidR="00EC27A5" w:rsidRPr="00C34CEB" w:rsidRDefault="00541794" w:rsidP="00EC27A5">
            <w:pPr>
              <w:pStyle w:val="ListParagraph"/>
              <w:spacing w:after="0" w:line="180" w:lineRule="exact"/>
              <w:ind w:left="0"/>
              <w:rPr>
                <w:rFonts w:eastAsia="Calibri" w:cs="Times New Roman"/>
                <w:sz w:val="18"/>
                <w:szCs w:val="18"/>
              </w:rPr>
            </w:pPr>
            <w:r>
              <w:rPr>
                <w:rFonts w:eastAsia="Calibri" w:cs="Times New Roman"/>
                <w:sz w:val="18"/>
                <w:szCs w:val="18"/>
              </w:rPr>
              <w:t>o</w:t>
            </w:r>
            <w:r w:rsidR="00366F13">
              <w:rPr>
                <w:rFonts w:eastAsia="Calibri" w:cs="Times New Roman"/>
                <w:sz w:val="18"/>
                <w:szCs w:val="18"/>
              </w:rPr>
              <w:t>nly 3 weeks post surgery</w:t>
            </w:r>
          </w:p>
        </w:tc>
        <w:tc>
          <w:tcPr>
            <w:tcW w:w="1800" w:type="dxa"/>
            <w:vAlign w:val="center"/>
          </w:tcPr>
          <w:p w:rsidR="00EC27A5" w:rsidRPr="00C34CEB" w:rsidRDefault="00EC27A5" w:rsidP="00EC27A5">
            <w:pPr>
              <w:pStyle w:val="ListParagraph"/>
              <w:spacing w:after="0" w:line="180" w:lineRule="exact"/>
              <w:ind w:left="0"/>
              <w:rPr>
                <w:rFonts w:eastAsia="Calibri" w:cs="Times New Roman"/>
                <w:sz w:val="18"/>
                <w:szCs w:val="18"/>
              </w:rPr>
            </w:pPr>
          </w:p>
        </w:tc>
        <w:tc>
          <w:tcPr>
            <w:tcW w:w="1823" w:type="dxa"/>
            <w:vAlign w:val="center"/>
          </w:tcPr>
          <w:p w:rsidR="00EC27A5" w:rsidRPr="00C34CEB" w:rsidRDefault="00EC27A5" w:rsidP="00EC27A5">
            <w:pPr>
              <w:pStyle w:val="ListParagraph"/>
              <w:spacing w:after="0" w:line="180" w:lineRule="exact"/>
              <w:ind w:left="0"/>
              <w:rPr>
                <w:rFonts w:eastAsia="Calibri" w:cs="Times New Roman"/>
                <w:sz w:val="18"/>
                <w:szCs w:val="18"/>
              </w:rPr>
            </w:pPr>
          </w:p>
        </w:tc>
      </w:tr>
      <w:tr w:rsidR="00EC27A5" w:rsidRPr="00C34CEB" w:rsidTr="00F679A9">
        <w:trPr>
          <w:jc w:val="center"/>
        </w:trPr>
        <w:tc>
          <w:tcPr>
            <w:tcW w:w="2565" w:type="dxa"/>
            <w:vAlign w:val="center"/>
          </w:tcPr>
          <w:p w:rsidR="00EC27A5" w:rsidRPr="00C34CEB" w:rsidRDefault="00EC27A5" w:rsidP="00F679A9">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1845" w:type="dxa"/>
            <w:vAlign w:val="center"/>
          </w:tcPr>
          <w:p w:rsidR="00EC27A5" w:rsidRPr="00C34CEB" w:rsidRDefault="00366F13" w:rsidP="00EC27A5">
            <w:pPr>
              <w:pStyle w:val="ListParagraph"/>
              <w:spacing w:after="0" w:line="180" w:lineRule="exact"/>
              <w:ind w:left="0"/>
              <w:jc w:val="center"/>
              <w:rPr>
                <w:rFonts w:eastAsia="Calibri" w:cs="Times New Roman"/>
                <w:sz w:val="18"/>
                <w:szCs w:val="18"/>
              </w:rPr>
            </w:pPr>
            <w:r>
              <w:rPr>
                <w:rFonts w:eastAsia="Calibri" w:cs="Times New Roman"/>
                <w:sz w:val="18"/>
                <w:szCs w:val="18"/>
              </w:rPr>
              <w:t>10</w:t>
            </w:r>
            <w:r w:rsidR="00EC27A5" w:rsidRPr="00C34CEB">
              <w:rPr>
                <w:rFonts w:eastAsia="Calibri" w:cs="Times New Roman"/>
                <w:sz w:val="18"/>
                <w:szCs w:val="18"/>
              </w:rPr>
              <w:t>%</w:t>
            </w:r>
            <w:r>
              <w:rPr>
                <w:rFonts w:eastAsia="Calibri" w:cs="Times New Roman"/>
                <w:sz w:val="18"/>
                <w:szCs w:val="18"/>
              </w:rPr>
              <w:t xml:space="preserve"> (painful motion)</w:t>
            </w:r>
          </w:p>
        </w:tc>
        <w:tc>
          <w:tcPr>
            <w:tcW w:w="1800" w:type="dxa"/>
            <w:vAlign w:val="center"/>
          </w:tcPr>
          <w:p w:rsidR="00EC27A5" w:rsidRPr="00C34CEB" w:rsidRDefault="00366F13" w:rsidP="00EC27A5">
            <w:pPr>
              <w:pStyle w:val="ListParagraph"/>
              <w:spacing w:after="0" w:line="180" w:lineRule="exact"/>
              <w:ind w:left="0"/>
              <w:jc w:val="center"/>
              <w:rPr>
                <w:rFonts w:eastAsia="Calibri" w:cs="Times New Roman"/>
                <w:sz w:val="18"/>
                <w:szCs w:val="18"/>
              </w:rPr>
            </w:pPr>
            <w:r>
              <w:rPr>
                <w:rFonts w:eastAsia="Calibri" w:cs="Times New Roman"/>
                <w:sz w:val="18"/>
                <w:szCs w:val="18"/>
              </w:rPr>
              <w:t>10</w:t>
            </w:r>
            <w:r w:rsidR="00EC27A5" w:rsidRPr="00C34CEB">
              <w:rPr>
                <w:rFonts w:eastAsia="Calibri" w:cs="Times New Roman"/>
                <w:sz w:val="18"/>
                <w:szCs w:val="18"/>
              </w:rPr>
              <w:t>%</w:t>
            </w:r>
            <w:r>
              <w:rPr>
                <w:rFonts w:eastAsia="Calibri" w:cs="Times New Roman"/>
                <w:sz w:val="18"/>
                <w:szCs w:val="18"/>
              </w:rPr>
              <w:t xml:space="preserve"> (painful motion)</w:t>
            </w:r>
          </w:p>
        </w:tc>
        <w:tc>
          <w:tcPr>
            <w:tcW w:w="1823" w:type="dxa"/>
            <w:vAlign w:val="center"/>
          </w:tcPr>
          <w:p w:rsidR="00EC27A5" w:rsidRPr="00C34CEB" w:rsidRDefault="00366F13" w:rsidP="00EC27A5">
            <w:pPr>
              <w:pStyle w:val="ListParagraph"/>
              <w:spacing w:after="0" w:line="180" w:lineRule="exact"/>
              <w:ind w:left="0"/>
              <w:jc w:val="center"/>
              <w:rPr>
                <w:rFonts w:eastAsia="Calibri" w:cs="Times New Roman"/>
                <w:sz w:val="18"/>
                <w:szCs w:val="18"/>
              </w:rPr>
            </w:pPr>
            <w:r>
              <w:rPr>
                <w:rFonts w:eastAsia="Calibri" w:cs="Times New Roman"/>
                <w:sz w:val="18"/>
                <w:szCs w:val="18"/>
              </w:rPr>
              <w:t>10</w:t>
            </w:r>
            <w:r w:rsidR="00EC27A5" w:rsidRPr="00C34CEB">
              <w:rPr>
                <w:rFonts w:eastAsia="Calibri" w:cs="Times New Roman"/>
                <w:sz w:val="18"/>
                <w:szCs w:val="18"/>
              </w:rPr>
              <w:t>%</w:t>
            </w:r>
            <w:r>
              <w:rPr>
                <w:rFonts w:eastAsia="Calibri" w:cs="Times New Roman"/>
                <w:sz w:val="18"/>
                <w:szCs w:val="18"/>
              </w:rPr>
              <w:t xml:space="preserve"> (painful motion)</w:t>
            </w:r>
          </w:p>
        </w:tc>
      </w:tr>
    </w:tbl>
    <w:p w:rsidR="00C54CE1" w:rsidRDefault="00C54CE1" w:rsidP="00510F9C">
      <w:pPr>
        <w:spacing w:line="240" w:lineRule="exact"/>
        <w:rPr>
          <w:rFonts w:asciiTheme="minorHAnsi" w:hAnsiTheme="minorHAnsi"/>
          <w:color w:val="auto"/>
          <w:szCs w:val="24"/>
        </w:rPr>
      </w:pPr>
    </w:p>
    <w:p w:rsidR="00C54CE1" w:rsidRDefault="00366F13" w:rsidP="00653733">
      <w:pPr>
        <w:spacing w:line="240" w:lineRule="exact"/>
        <w:jc w:val="both"/>
        <w:rPr>
          <w:rFonts w:asciiTheme="minorHAnsi" w:hAnsiTheme="minorHAnsi"/>
          <w:color w:val="auto"/>
          <w:szCs w:val="24"/>
        </w:rPr>
      </w:pPr>
      <w:r>
        <w:rPr>
          <w:rFonts w:asciiTheme="minorHAnsi" w:hAnsiTheme="minorHAnsi"/>
          <w:color w:val="auto"/>
          <w:szCs w:val="24"/>
        </w:rPr>
        <w:t>The Board</w:t>
      </w:r>
      <w:r w:rsidR="00541794">
        <w:rPr>
          <w:rFonts w:asciiTheme="minorHAnsi" w:hAnsiTheme="minorHAnsi"/>
          <w:color w:val="auto"/>
          <w:szCs w:val="24"/>
        </w:rPr>
        <w:t xml:space="preserve"> carefully reviewed all evidentiary information available.  </w:t>
      </w:r>
      <w:r>
        <w:rPr>
          <w:rFonts w:asciiTheme="minorHAnsi" w:hAnsiTheme="minorHAnsi"/>
          <w:color w:val="auto"/>
          <w:szCs w:val="24"/>
        </w:rPr>
        <w:t xml:space="preserve">The </w:t>
      </w:r>
      <w:r w:rsidR="00280048">
        <w:rPr>
          <w:rFonts w:asciiTheme="minorHAnsi" w:hAnsiTheme="minorHAnsi"/>
          <w:color w:val="auto"/>
          <w:szCs w:val="24"/>
        </w:rPr>
        <w:t xml:space="preserve">first VA </w:t>
      </w:r>
      <w:r>
        <w:rPr>
          <w:rFonts w:asciiTheme="minorHAnsi" w:hAnsiTheme="minorHAnsi"/>
          <w:color w:val="auto"/>
          <w:szCs w:val="24"/>
        </w:rPr>
        <w:t xml:space="preserve">C&amp;P examination was conducted just </w:t>
      </w:r>
      <w:r w:rsidR="00F679A9">
        <w:rPr>
          <w:rFonts w:asciiTheme="minorHAnsi" w:hAnsiTheme="minorHAnsi"/>
          <w:color w:val="auto"/>
          <w:szCs w:val="24"/>
        </w:rPr>
        <w:t>three</w:t>
      </w:r>
      <w:r>
        <w:rPr>
          <w:rFonts w:asciiTheme="minorHAnsi" w:hAnsiTheme="minorHAnsi"/>
          <w:color w:val="auto"/>
          <w:szCs w:val="24"/>
        </w:rPr>
        <w:t xml:space="preserve"> weeks after surgery.</w:t>
      </w:r>
      <w:r w:rsidR="00DE49B5">
        <w:rPr>
          <w:rFonts w:asciiTheme="minorHAnsi" w:hAnsiTheme="minorHAnsi"/>
          <w:color w:val="auto"/>
          <w:szCs w:val="24"/>
        </w:rPr>
        <w:t xml:space="preserve">   At that time</w:t>
      </w:r>
      <w:r w:rsidR="00280048">
        <w:rPr>
          <w:rFonts w:asciiTheme="minorHAnsi" w:hAnsiTheme="minorHAnsi"/>
          <w:color w:val="auto"/>
          <w:szCs w:val="24"/>
        </w:rPr>
        <w:t>,</w:t>
      </w:r>
      <w:r w:rsidR="00DE49B5">
        <w:rPr>
          <w:rFonts w:asciiTheme="minorHAnsi" w:hAnsiTheme="minorHAnsi"/>
          <w:color w:val="auto"/>
          <w:szCs w:val="24"/>
        </w:rPr>
        <w:t xml:space="preserve"> the CI was</w:t>
      </w:r>
      <w:r>
        <w:rPr>
          <w:rFonts w:asciiTheme="minorHAnsi" w:hAnsiTheme="minorHAnsi"/>
          <w:color w:val="auto"/>
          <w:szCs w:val="24"/>
        </w:rPr>
        <w:t xml:space="preserve"> required to be on crutches and he had not completed hi</w:t>
      </w:r>
      <w:r w:rsidR="001874DD">
        <w:rPr>
          <w:rFonts w:asciiTheme="minorHAnsi" w:hAnsiTheme="minorHAnsi"/>
          <w:color w:val="auto"/>
          <w:szCs w:val="24"/>
        </w:rPr>
        <w:t xml:space="preserve">s </w:t>
      </w:r>
      <w:r w:rsidR="00280048">
        <w:rPr>
          <w:rFonts w:asciiTheme="minorHAnsi" w:hAnsiTheme="minorHAnsi"/>
          <w:color w:val="auto"/>
          <w:szCs w:val="24"/>
        </w:rPr>
        <w:t xml:space="preserve">hip </w:t>
      </w:r>
      <w:r>
        <w:rPr>
          <w:rFonts w:asciiTheme="minorHAnsi" w:hAnsiTheme="minorHAnsi"/>
          <w:color w:val="auto"/>
          <w:szCs w:val="24"/>
        </w:rPr>
        <w:t xml:space="preserve">rehabilitation.  </w:t>
      </w:r>
      <w:r w:rsidR="00280048">
        <w:rPr>
          <w:rFonts w:asciiTheme="minorHAnsi" w:hAnsiTheme="minorHAnsi"/>
          <w:color w:val="auto"/>
          <w:szCs w:val="24"/>
        </w:rPr>
        <w:t xml:space="preserve">Three months later, the </w:t>
      </w:r>
      <w:r w:rsidR="00C23401">
        <w:rPr>
          <w:rFonts w:asciiTheme="minorHAnsi" w:hAnsiTheme="minorHAnsi"/>
          <w:color w:val="auto"/>
          <w:szCs w:val="24"/>
        </w:rPr>
        <w:t xml:space="preserve">June 2003 </w:t>
      </w:r>
      <w:r w:rsidR="001874DD">
        <w:rPr>
          <w:rFonts w:asciiTheme="minorHAnsi" w:hAnsiTheme="minorHAnsi"/>
          <w:color w:val="auto"/>
          <w:szCs w:val="24"/>
        </w:rPr>
        <w:t xml:space="preserve">MEB examination was </w:t>
      </w:r>
      <w:r w:rsidR="00280048">
        <w:rPr>
          <w:rFonts w:asciiTheme="minorHAnsi" w:hAnsiTheme="minorHAnsi"/>
          <w:color w:val="auto"/>
          <w:szCs w:val="24"/>
        </w:rPr>
        <w:t xml:space="preserve">very </w:t>
      </w:r>
      <w:r w:rsidR="001874DD">
        <w:rPr>
          <w:rFonts w:asciiTheme="minorHAnsi" w:hAnsiTheme="minorHAnsi"/>
          <w:color w:val="auto"/>
          <w:szCs w:val="24"/>
        </w:rPr>
        <w:t>cursory in its scope</w:t>
      </w:r>
      <w:r w:rsidR="001A3D14">
        <w:rPr>
          <w:rFonts w:asciiTheme="minorHAnsi" w:hAnsiTheme="minorHAnsi"/>
          <w:color w:val="auto"/>
          <w:szCs w:val="24"/>
        </w:rPr>
        <w:t>.  It</w:t>
      </w:r>
      <w:r w:rsidR="001874DD">
        <w:rPr>
          <w:rFonts w:asciiTheme="minorHAnsi" w:hAnsiTheme="minorHAnsi"/>
          <w:color w:val="auto"/>
          <w:szCs w:val="24"/>
        </w:rPr>
        <w:t xml:space="preserve"> fail</w:t>
      </w:r>
      <w:r w:rsidR="001A3D14">
        <w:rPr>
          <w:rFonts w:asciiTheme="minorHAnsi" w:hAnsiTheme="minorHAnsi"/>
          <w:color w:val="auto"/>
          <w:szCs w:val="24"/>
        </w:rPr>
        <w:t>ed</w:t>
      </w:r>
      <w:r w:rsidR="001874DD">
        <w:rPr>
          <w:rFonts w:asciiTheme="minorHAnsi" w:hAnsiTheme="minorHAnsi"/>
          <w:color w:val="auto"/>
          <w:szCs w:val="24"/>
        </w:rPr>
        <w:t xml:space="preserve"> to mention any symptoms</w:t>
      </w:r>
      <w:r w:rsidR="00280048">
        <w:rPr>
          <w:rFonts w:asciiTheme="minorHAnsi" w:hAnsiTheme="minorHAnsi"/>
          <w:color w:val="auto"/>
          <w:szCs w:val="24"/>
        </w:rPr>
        <w:t>,</w:t>
      </w:r>
      <w:r w:rsidR="001A3D14">
        <w:rPr>
          <w:rFonts w:asciiTheme="minorHAnsi" w:hAnsiTheme="minorHAnsi"/>
          <w:color w:val="auto"/>
          <w:szCs w:val="24"/>
        </w:rPr>
        <w:t xml:space="preserve"> and did not document a complete </w:t>
      </w:r>
      <w:r w:rsidR="00F679A9">
        <w:rPr>
          <w:rFonts w:asciiTheme="minorHAnsi" w:hAnsiTheme="minorHAnsi"/>
          <w:color w:val="auto"/>
          <w:szCs w:val="24"/>
        </w:rPr>
        <w:t>ROM</w:t>
      </w:r>
      <w:r w:rsidR="001A3D14">
        <w:rPr>
          <w:rFonts w:asciiTheme="minorHAnsi" w:hAnsiTheme="minorHAnsi"/>
          <w:color w:val="auto"/>
          <w:szCs w:val="24"/>
        </w:rPr>
        <w:t xml:space="preserve"> examination or gait analysis</w:t>
      </w:r>
      <w:r w:rsidR="001874DD">
        <w:rPr>
          <w:rFonts w:asciiTheme="minorHAnsi" w:hAnsiTheme="minorHAnsi"/>
          <w:color w:val="auto"/>
          <w:szCs w:val="24"/>
        </w:rPr>
        <w:t xml:space="preserve">.  </w:t>
      </w:r>
      <w:r w:rsidR="00280048">
        <w:rPr>
          <w:rFonts w:asciiTheme="minorHAnsi" w:hAnsiTheme="minorHAnsi"/>
          <w:color w:val="auto"/>
          <w:szCs w:val="24"/>
        </w:rPr>
        <w:t xml:space="preserve">A </w:t>
      </w:r>
      <w:r w:rsidR="0078705A">
        <w:rPr>
          <w:rFonts w:asciiTheme="minorHAnsi" w:hAnsiTheme="minorHAnsi"/>
          <w:color w:val="auto"/>
          <w:szCs w:val="24"/>
        </w:rPr>
        <w:t xml:space="preserve">much </w:t>
      </w:r>
      <w:r w:rsidR="00280048">
        <w:rPr>
          <w:rFonts w:asciiTheme="minorHAnsi" w:hAnsiTheme="minorHAnsi"/>
          <w:color w:val="auto"/>
          <w:szCs w:val="24"/>
        </w:rPr>
        <w:t>more complete</w:t>
      </w:r>
      <w:r w:rsidR="001A3D14">
        <w:rPr>
          <w:rFonts w:asciiTheme="minorHAnsi" w:hAnsiTheme="minorHAnsi"/>
          <w:color w:val="auto"/>
          <w:szCs w:val="24"/>
        </w:rPr>
        <w:t xml:space="preserve"> evaluation was </w:t>
      </w:r>
      <w:r w:rsidR="00280048">
        <w:rPr>
          <w:rFonts w:asciiTheme="minorHAnsi" w:hAnsiTheme="minorHAnsi"/>
          <w:color w:val="auto"/>
          <w:szCs w:val="24"/>
        </w:rPr>
        <w:t xml:space="preserve">done at </w:t>
      </w:r>
      <w:r w:rsidR="001A3D14">
        <w:rPr>
          <w:rFonts w:asciiTheme="minorHAnsi" w:hAnsiTheme="minorHAnsi"/>
          <w:color w:val="auto"/>
          <w:szCs w:val="24"/>
        </w:rPr>
        <w:t xml:space="preserve">the </w:t>
      </w:r>
      <w:r w:rsidR="0078705A">
        <w:rPr>
          <w:rFonts w:asciiTheme="minorHAnsi" w:hAnsiTheme="minorHAnsi"/>
          <w:color w:val="auto"/>
          <w:szCs w:val="24"/>
        </w:rPr>
        <w:t xml:space="preserve">August 2007 </w:t>
      </w:r>
      <w:r w:rsidR="001A3D14">
        <w:rPr>
          <w:rFonts w:asciiTheme="minorHAnsi" w:hAnsiTheme="minorHAnsi"/>
          <w:color w:val="auto"/>
          <w:szCs w:val="24"/>
        </w:rPr>
        <w:t>C&amp;P examination</w:t>
      </w:r>
      <w:r w:rsidR="0078705A">
        <w:rPr>
          <w:rFonts w:asciiTheme="minorHAnsi" w:hAnsiTheme="minorHAnsi"/>
          <w:color w:val="auto"/>
          <w:szCs w:val="24"/>
        </w:rPr>
        <w:t>, but th</w:t>
      </w:r>
      <w:r w:rsidR="00E278E4">
        <w:rPr>
          <w:rFonts w:asciiTheme="minorHAnsi" w:hAnsiTheme="minorHAnsi"/>
          <w:color w:val="auto"/>
          <w:szCs w:val="24"/>
        </w:rPr>
        <w:t>at</w:t>
      </w:r>
      <w:r w:rsidR="0078705A">
        <w:rPr>
          <w:rFonts w:asciiTheme="minorHAnsi" w:hAnsiTheme="minorHAnsi"/>
          <w:color w:val="auto"/>
          <w:szCs w:val="24"/>
        </w:rPr>
        <w:t xml:space="preserve"> was </w:t>
      </w:r>
      <w:r w:rsidR="00280048">
        <w:rPr>
          <w:rFonts w:asciiTheme="minorHAnsi" w:hAnsiTheme="minorHAnsi"/>
          <w:color w:val="auto"/>
          <w:szCs w:val="24"/>
        </w:rPr>
        <w:t>almost four years after</w:t>
      </w:r>
      <w:r w:rsidR="001A3D14">
        <w:rPr>
          <w:rFonts w:asciiTheme="minorHAnsi" w:hAnsiTheme="minorHAnsi"/>
          <w:color w:val="auto"/>
          <w:szCs w:val="24"/>
        </w:rPr>
        <w:t xml:space="preserve"> separation.  </w:t>
      </w:r>
    </w:p>
    <w:p w:rsidR="00C27FF5" w:rsidRDefault="00C27FF5" w:rsidP="00653733">
      <w:pPr>
        <w:spacing w:line="240" w:lineRule="exact"/>
        <w:jc w:val="both"/>
        <w:rPr>
          <w:rFonts w:asciiTheme="minorHAnsi" w:hAnsiTheme="minorHAnsi"/>
          <w:color w:val="auto"/>
          <w:szCs w:val="24"/>
        </w:rPr>
      </w:pPr>
    </w:p>
    <w:p w:rsidR="0078705A" w:rsidRDefault="00C27FF5" w:rsidP="00653733">
      <w:pPr>
        <w:spacing w:line="240" w:lineRule="exact"/>
        <w:jc w:val="both"/>
        <w:rPr>
          <w:rFonts w:asciiTheme="minorHAnsi" w:hAnsiTheme="minorHAnsi"/>
          <w:color w:val="auto"/>
          <w:szCs w:val="24"/>
        </w:rPr>
      </w:pPr>
      <w:r>
        <w:rPr>
          <w:rFonts w:asciiTheme="minorHAnsi" w:hAnsiTheme="minorHAnsi"/>
          <w:color w:val="auto"/>
          <w:szCs w:val="24"/>
        </w:rPr>
        <w:t xml:space="preserve">The Board </w:t>
      </w:r>
      <w:r w:rsidR="00280048">
        <w:rPr>
          <w:rFonts w:asciiTheme="minorHAnsi" w:hAnsiTheme="minorHAnsi"/>
          <w:color w:val="auto"/>
          <w:szCs w:val="24"/>
        </w:rPr>
        <w:t xml:space="preserve">noted that the left hip condition was essentially non-compensable based on the ROM criteria in VASRD </w:t>
      </w:r>
      <w:r w:rsidR="00F679A9">
        <w:rPr>
          <w:rFonts w:asciiTheme="minorHAnsi" w:hAnsiTheme="minorHAnsi"/>
          <w:color w:val="auto"/>
          <w:szCs w:val="24"/>
        </w:rPr>
        <w:t xml:space="preserve">hip and thigh </w:t>
      </w:r>
      <w:r w:rsidR="00280048">
        <w:rPr>
          <w:rFonts w:asciiTheme="minorHAnsi" w:hAnsiTheme="minorHAnsi"/>
          <w:color w:val="auto"/>
          <w:szCs w:val="24"/>
        </w:rPr>
        <w:t>codes 5250</w:t>
      </w:r>
      <w:r w:rsidR="0078705A">
        <w:rPr>
          <w:rFonts w:asciiTheme="minorHAnsi" w:hAnsiTheme="minorHAnsi"/>
          <w:color w:val="auto"/>
          <w:szCs w:val="24"/>
        </w:rPr>
        <w:t xml:space="preserve"> through </w:t>
      </w:r>
      <w:r w:rsidR="00280048">
        <w:rPr>
          <w:rFonts w:asciiTheme="minorHAnsi" w:hAnsiTheme="minorHAnsi"/>
          <w:color w:val="auto"/>
          <w:szCs w:val="24"/>
        </w:rPr>
        <w:t>5253.  However, the Board determined that</w:t>
      </w:r>
      <w:r w:rsidR="00C35AEE">
        <w:rPr>
          <w:rFonts w:asciiTheme="minorHAnsi" w:hAnsiTheme="minorHAnsi"/>
          <w:color w:val="auto"/>
          <w:szCs w:val="24"/>
        </w:rPr>
        <w:t xml:space="preserve"> even though there was not actual </w:t>
      </w:r>
      <w:proofErr w:type="spellStart"/>
      <w:r w:rsidR="00C35AEE">
        <w:rPr>
          <w:rFonts w:asciiTheme="minorHAnsi" w:hAnsiTheme="minorHAnsi"/>
          <w:color w:val="auto"/>
          <w:szCs w:val="24"/>
        </w:rPr>
        <w:t>malunion</w:t>
      </w:r>
      <w:proofErr w:type="spellEnd"/>
      <w:r w:rsidR="00C35AEE">
        <w:rPr>
          <w:rFonts w:asciiTheme="minorHAnsi" w:hAnsiTheme="minorHAnsi"/>
          <w:color w:val="auto"/>
          <w:szCs w:val="24"/>
        </w:rPr>
        <w:t xml:space="preserve">, </w:t>
      </w:r>
      <w:r w:rsidR="00280048">
        <w:rPr>
          <w:rFonts w:asciiTheme="minorHAnsi" w:hAnsiTheme="minorHAnsi"/>
          <w:color w:val="auto"/>
          <w:szCs w:val="24"/>
        </w:rPr>
        <w:t xml:space="preserve">the CI’s painful, disabling hip condition was analogous to femoral </w:t>
      </w:r>
      <w:proofErr w:type="spellStart"/>
      <w:r w:rsidR="00280048">
        <w:rPr>
          <w:rFonts w:asciiTheme="minorHAnsi" w:hAnsiTheme="minorHAnsi"/>
          <w:color w:val="auto"/>
          <w:szCs w:val="24"/>
        </w:rPr>
        <w:t>malunion</w:t>
      </w:r>
      <w:proofErr w:type="spellEnd"/>
      <w:r w:rsidR="00280048">
        <w:rPr>
          <w:rFonts w:asciiTheme="minorHAnsi" w:hAnsiTheme="minorHAnsi"/>
          <w:color w:val="auto"/>
          <w:szCs w:val="24"/>
        </w:rPr>
        <w:t xml:space="preserve">.  </w:t>
      </w:r>
      <w:r w:rsidR="00C35AEE">
        <w:rPr>
          <w:rFonts w:asciiTheme="minorHAnsi" w:hAnsiTheme="minorHAnsi"/>
          <w:color w:val="auto"/>
          <w:szCs w:val="24"/>
        </w:rPr>
        <w:t xml:space="preserve">Therefore, the Board felt that </w:t>
      </w:r>
      <w:r w:rsidR="0078705A">
        <w:rPr>
          <w:rFonts w:asciiTheme="minorHAnsi" w:hAnsiTheme="minorHAnsi"/>
          <w:color w:val="auto"/>
          <w:szCs w:val="24"/>
        </w:rPr>
        <w:t xml:space="preserve">the analogous </w:t>
      </w:r>
      <w:r w:rsidR="00C35AEE">
        <w:rPr>
          <w:rFonts w:asciiTheme="minorHAnsi" w:hAnsiTheme="minorHAnsi"/>
          <w:color w:val="auto"/>
          <w:szCs w:val="24"/>
        </w:rPr>
        <w:t>code 5299-5255 would best fit</w:t>
      </w:r>
      <w:r w:rsidR="00B24243">
        <w:rPr>
          <w:rFonts w:asciiTheme="minorHAnsi" w:hAnsiTheme="minorHAnsi"/>
          <w:color w:val="auto"/>
          <w:szCs w:val="24"/>
        </w:rPr>
        <w:t xml:space="preserve"> the CI’s </w:t>
      </w:r>
      <w:r w:rsidR="00C35AEE">
        <w:rPr>
          <w:rFonts w:asciiTheme="minorHAnsi" w:hAnsiTheme="minorHAnsi"/>
          <w:color w:val="auto"/>
          <w:szCs w:val="24"/>
        </w:rPr>
        <w:t xml:space="preserve">left hip </w:t>
      </w:r>
      <w:r w:rsidR="00B24243">
        <w:rPr>
          <w:rFonts w:asciiTheme="minorHAnsi" w:hAnsiTheme="minorHAnsi"/>
          <w:color w:val="auto"/>
          <w:szCs w:val="24"/>
        </w:rPr>
        <w:t xml:space="preserve">condition </w:t>
      </w:r>
      <w:r w:rsidR="00C35AEE">
        <w:rPr>
          <w:rFonts w:asciiTheme="minorHAnsi" w:hAnsiTheme="minorHAnsi"/>
          <w:color w:val="auto"/>
          <w:szCs w:val="24"/>
        </w:rPr>
        <w:t xml:space="preserve">at the time of separation from service.  </w:t>
      </w:r>
    </w:p>
    <w:p w:rsidR="0078705A" w:rsidRDefault="0078705A" w:rsidP="00653733">
      <w:pPr>
        <w:spacing w:line="240" w:lineRule="exact"/>
        <w:jc w:val="both"/>
        <w:rPr>
          <w:rFonts w:asciiTheme="minorHAnsi" w:hAnsiTheme="minorHAnsi"/>
          <w:color w:val="auto"/>
          <w:szCs w:val="24"/>
        </w:rPr>
      </w:pPr>
    </w:p>
    <w:p w:rsidR="00C12996" w:rsidRPr="00AE3316" w:rsidRDefault="0078705A" w:rsidP="00653733">
      <w:pPr>
        <w:spacing w:line="240" w:lineRule="exact"/>
        <w:jc w:val="both"/>
        <w:rPr>
          <w:rFonts w:asciiTheme="minorHAnsi" w:hAnsiTheme="minorHAnsi"/>
          <w:color w:val="auto"/>
          <w:szCs w:val="24"/>
        </w:rPr>
      </w:pPr>
      <w:r>
        <w:rPr>
          <w:color w:val="auto"/>
          <w:szCs w:val="24"/>
        </w:rPr>
        <w:t xml:space="preserve">The Board then directed its attention to the appropriate rating.  </w:t>
      </w:r>
      <w:r w:rsidR="00EA0142" w:rsidRPr="00B11F20">
        <w:rPr>
          <w:color w:val="auto"/>
          <w:szCs w:val="24"/>
        </w:rPr>
        <w:t>The</w:t>
      </w:r>
      <w:r w:rsidR="00EA0142">
        <w:rPr>
          <w:color w:val="auto"/>
          <w:szCs w:val="24"/>
        </w:rPr>
        <w:t xml:space="preserve"> Board’s</w:t>
      </w:r>
      <w:r w:rsidR="00EA0142" w:rsidRPr="00B11F20">
        <w:rPr>
          <w:color w:val="auto"/>
          <w:szCs w:val="24"/>
        </w:rPr>
        <w:t xml:space="preserve"> deliberation</w:t>
      </w:r>
      <w:r w:rsidR="000D56ED">
        <w:rPr>
          <w:color w:val="auto"/>
          <w:szCs w:val="24"/>
        </w:rPr>
        <w:t>s</w:t>
      </w:r>
      <w:r>
        <w:rPr>
          <w:color w:val="auto"/>
          <w:szCs w:val="24"/>
        </w:rPr>
        <w:t xml:space="preserve"> </w:t>
      </w:r>
      <w:r w:rsidR="00EA0142">
        <w:rPr>
          <w:color w:val="auto"/>
          <w:szCs w:val="24"/>
        </w:rPr>
        <w:t xml:space="preserve">settled on arguments for a 10% (slight </w:t>
      </w:r>
      <w:r w:rsidR="00C12996">
        <w:rPr>
          <w:color w:val="auto"/>
          <w:szCs w:val="24"/>
        </w:rPr>
        <w:t xml:space="preserve">hip </w:t>
      </w:r>
      <w:r>
        <w:rPr>
          <w:color w:val="auto"/>
          <w:szCs w:val="24"/>
        </w:rPr>
        <w:t>disability</w:t>
      </w:r>
      <w:r w:rsidR="00EA0142">
        <w:rPr>
          <w:color w:val="auto"/>
          <w:szCs w:val="24"/>
        </w:rPr>
        <w:t xml:space="preserve">) vs. 20% (moderate </w:t>
      </w:r>
      <w:r>
        <w:rPr>
          <w:color w:val="auto"/>
          <w:szCs w:val="24"/>
        </w:rPr>
        <w:t>hip disability</w:t>
      </w:r>
      <w:r w:rsidR="00C12996">
        <w:rPr>
          <w:color w:val="auto"/>
          <w:szCs w:val="24"/>
        </w:rPr>
        <w:t>)</w:t>
      </w:r>
      <w:r w:rsidR="00EA0142" w:rsidRPr="00B11F20">
        <w:rPr>
          <w:color w:val="auto"/>
          <w:szCs w:val="24"/>
        </w:rPr>
        <w:t xml:space="preserve"> rating recommendation</w:t>
      </w:r>
      <w:r w:rsidR="004F58C8">
        <w:rPr>
          <w:rFonts w:asciiTheme="minorHAnsi" w:hAnsiTheme="minorHAnsi"/>
          <w:color w:val="auto"/>
          <w:szCs w:val="24"/>
        </w:rPr>
        <w:t xml:space="preserve">.  </w:t>
      </w:r>
      <w:r>
        <w:rPr>
          <w:rFonts w:asciiTheme="minorHAnsi" w:hAnsiTheme="minorHAnsi"/>
          <w:color w:val="auto"/>
          <w:szCs w:val="24"/>
        </w:rPr>
        <w:t xml:space="preserve">Because of the </w:t>
      </w:r>
      <w:r w:rsidR="00C226BD">
        <w:rPr>
          <w:rFonts w:asciiTheme="minorHAnsi" w:hAnsiTheme="minorHAnsi"/>
          <w:color w:val="auto"/>
          <w:szCs w:val="24"/>
        </w:rPr>
        <w:t xml:space="preserve">35 degree loss of flexion, </w:t>
      </w:r>
      <w:r w:rsidR="00B274F0">
        <w:rPr>
          <w:rFonts w:asciiTheme="minorHAnsi" w:hAnsiTheme="minorHAnsi"/>
          <w:color w:val="auto"/>
          <w:szCs w:val="24"/>
        </w:rPr>
        <w:t xml:space="preserve">the </w:t>
      </w:r>
      <w:r w:rsidR="00C226BD">
        <w:rPr>
          <w:rFonts w:asciiTheme="minorHAnsi" w:hAnsiTheme="minorHAnsi"/>
          <w:color w:val="auto"/>
          <w:szCs w:val="24"/>
        </w:rPr>
        <w:t>leg length discrepancy</w:t>
      </w:r>
      <w:r w:rsidR="00B274F0">
        <w:rPr>
          <w:rFonts w:asciiTheme="minorHAnsi" w:hAnsiTheme="minorHAnsi"/>
          <w:color w:val="auto"/>
          <w:szCs w:val="24"/>
        </w:rPr>
        <w:t>,</w:t>
      </w:r>
      <w:r w:rsidR="00EA0142">
        <w:rPr>
          <w:rFonts w:asciiTheme="minorHAnsi" w:hAnsiTheme="minorHAnsi"/>
          <w:color w:val="auto"/>
          <w:szCs w:val="24"/>
        </w:rPr>
        <w:t xml:space="preserve"> and </w:t>
      </w:r>
      <w:r w:rsidR="00B274F0">
        <w:rPr>
          <w:rFonts w:asciiTheme="minorHAnsi" w:hAnsiTheme="minorHAnsi"/>
          <w:color w:val="auto"/>
          <w:szCs w:val="24"/>
        </w:rPr>
        <w:t xml:space="preserve">the </w:t>
      </w:r>
      <w:r w:rsidR="00EA0142">
        <w:rPr>
          <w:rFonts w:asciiTheme="minorHAnsi" w:hAnsiTheme="minorHAnsi"/>
          <w:color w:val="auto"/>
          <w:szCs w:val="24"/>
        </w:rPr>
        <w:t>heterotopic ossification</w:t>
      </w:r>
      <w:r w:rsidR="00B274F0">
        <w:rPr>
          <w:rFonts w:asciiTheme="minorHAnsi" w:hAnsiTheme="minorHAnsi"/>
          <w:color w:val="auto"/>
          <w:szCs w:val="24"/>
        </w:rPr>
        <w:t xml:space="preserve"> the Board felt that the left hip disability was greater than slight.  </w:t>
      </w:r>
      <w:r w:rsidR="00C12996">
        <w:rPr>
          <w:rFonts w:asciiTheme="minorHAnsi" w:hAnsiTheme="minorHAnsi"/>
          <w:color w:val="auto"/>
          <w:szCs w:val="24"/>
        </w:rPr>
        <w:t>After due deliberation considering all of the</w:t>
      </w:r>
      <w:r w:rsidR="00C12996" w:rsidRPr="00AE3316">
        <w:rPr>
          <w:rFonts w:asciiTheme="minorHAnsi" w:hAnsiTheme="minorHAnsi"/>
          <w:color w:val="auto"/>
          <w:szCs w:val="24"/>
        </w:rPr>
        <w:t xml:space="preserve"> evidence </w:t>
      </w:r>
      <w:r w:rsidR="00C12996" w:rsidRPr="00C12996">
        <w:rPr>
          <w:rFonts w:asciiTheme="minorHAnsi" w:hAnsiTheme="minorHAnsi"/>
          <w:color w:val="auto"/>
          <w:szCs w:val="24"/>
        </w:rPr>
        <w:t>and mindful of VASRD §4.3 (reasonable doubt),</w:t>
      </w:r>
      <w:r w:rsidR="00C12996">
        <w:rPr>
          <w:rFonts w:asciiTheme="minorHAnsi" w:hAnsiTheme="minorHAnsi"/>
          <w:color w:val="auto"/>
          <w:szCs w:val="24"/>
        </w:rPr>
        <w:t xml:space="preserve"> the Board </w:t>
      </w:r>
      <w:r w:rsidR="00B274F0">
        <w:rPr>
          <w:rFonts w:asciiTheme="minorHAnsi" w:hAnsiTheme="minorHAnsi"/>
          <w:color w:val="auto"/>
          <w:szCs w:val="24"/>
        </w:rPr>
        <w:t xml:space="preserve">unanimously </w:t>
      </w:r>
      <w:r w:rsidR="00C12996">
        <w:rPr>
          <w:rFonts w:asciiTheme="minorHAnsi" w:hAnsiTheme="minorHAnsi"/>
          <w:color w:val="auto"/>
          <w:szCs w:val="24"/>
        </w:rPr>
        <w:t>recommends</w:t>
      </w:r>
      <w:r w:rsidR="00C12996" w:rsidRPr="00AE3316">
        <w:rPr>
          <w:rFonts w:asciiTheme="minorHAnsi" w:hAnsiTheme="minorHAnsi"/>
          <w:color w:val="auto"/>
          <w:szCs w:val="24"/>
        </w:rPr>
        <w:t xml:space="preserve"> a </w:t>
      </w:r>
      <w:r w:rsidR="00B274F0">
        <w:rPr>
          <w:rFonts w:asciiTheme="minorHAnsi" w:hAnsiTheme="minorHAnsi"/>
          <w:color w:val="auto"/>
          <w:szCs w:val="24"/>
        </w:rPr>
        <w:t xml:space="preserve">20% </w:t>
      </w:r>
      <w:r w:rsidR="00C12996" w:rsidRPr="00AE3316">
        <w:rPr>
          <w:rFonts w:asciiTheme="minorHAnsi" w:hAnsiTheme="minorHAnsi"/>
          <w:color w:val="auto"/>
          <w:szCs w:val="24"/>
        </w:rPr>
        <w:t xml:space="preserve">rating for the </w:t>
      </w:r>
      <w:r w:rsidR="005A3C08">
        <w:rPr>
          <w:rFonts w:asciiTheme="minorHAnsi" w:hAnsiTheme="minorHAnsi"/>
          <w:color w:val="auto"/>
          <w:szCs w:val="24"/>
        </w:rPr>
        <w:t xml:space="preserve">chronic, painful </w:t>
      </w:r>
      <w:r w:rsidR="00045CD7">
        <w:rPr>
          <w:rFonts w:asciiTheme="minorHAnsi" w:hAnsiTheme="minorHAnsi"/>
          <w:color w:val="auto"/>
          <w:szCs w:val="24"/>
        </w:rPr>
        <w:t xml:space="preserve">left </w:t>
      </w:r>
      <w:r w:rsidR="00B274F0">
        <w:rPr>
          <w:rFonts w:asciiTheme="minorHAnsi" w:hAnsiTheme="minorHAnsi"/>
          <w:color w:val="auto"/>
          <w:szCs w:val="24"/>
        </w:rPr>
        <w:t>hip</w:t>
      </w:r>
      <w:r w:rsidR="00045CD7">
        <w:rPr>
          <w:rFonts w:asciiTheme="minorHAnsi" w:hAnsiTheme="minorHAnsi"/>
          <w:color w:val="auto"/>
          <w:szCs w:val="24"/>
        </w:rPr>
        <w:t xml:space="preserve"> </w:t>
      </w:r>
      <w:r w:rsidR="005A3C08">
        <w:rPr>
          <w:rFonts w:asciiTheme="minorHAnsi" w:hAnsiTheme="minorHAnsi"/>
          <w:color w:val="auto"/>
          <w:szCs w:val="24"/>
        </w:rPr>
        <w:t>condition.</w:t>
      </w:r>
    </w:p>
    <w:p w:rsidR="00C94CB6" w:rsidRDefault="00C94CB6" w:rsidP="00653733">
      <w:pPr>
        <w:spacing w:line="240" w:lineRule="exact"/>
        <w:jc w:val="both"/>
        <w:rPr>
          <w:rFonts w:asciiTheme="minorHAnsi" w:hAnsiTheme="minorHAnsi"/>
          <w:color w:val="auto"/>
          <w:szCs w:val="24"/>
          <w:u w:val="single"/>
        </w:rPr>
      </w:pPr>
    </w:p>
    <w:p w:rsidR="00EC337D" w:rsidRDefault="00EC337D" w:rsidP="00653733">
      <w:pPr>
        <w:spacing w:line="240" w:lineRule="exact"/>
        <w:jc w:val="both"/>
        <w:rPr>
          <w:rFonts w:asciiTheme="minorHAnsi" w:hAnsiTheme="minorHAnsi"/>
          <w: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5A3C08">
        <w:rPr>
          <w:rFonts w:asciiTheme="minorHAnsi" w:hAnsiTheme="minorHAnsi"/>
          <w:color w:val="auto"/>
          <w:szCs w:val="24"/>
        </w:rPr>
        <w:t>L</w:t>
      </w:r>
      <w:r w:rsidR="001A4142">
        <w:rPr>
          <w:rFonts w:asciiTheme="minorHAnsi" w:hAnsiTheme="minorHAnsi"/>
          <w:color w:val="auto"/>
          <w:szCs w:val="24"/>
        </w:rPr>
        <w:t>eft thigh surgical scar</w:t>
      </w:r>
      <w:r w:rsidR="005A3C08">
        <w:rPr>
          <w:rFonts w:asciiTheme="minorHAnsi" w:hAnsiTheme="minorHAnsi"/>
          <w:color w:val="auto"/>
          <w:szCs w:val="24"/>
        </w:rPr>
        <w:t>, and s</w:t>
      </w:r>
      <w:r w:rsidRPr="00711350">
        <w:rPr>
          <w:rFonts w:asciiTheme="minorHAnsi" w:hAnsiTheme="minorHAnsi"/>
          <w:color w:val="auto"/>
          <w:szCs w:val="24"/>
        </w:rPr>
        <w:t xml:space="preserve">everal </w:t>
      </w:r>
      <w:r w:rsidR="005A3C08">
        <w:rPr>
          <w:rFonts w:asciiTheme="minorHAnsi" w:hAnsiTheme="minorHAnsi"/>
          <w:color w:val="auto"/>
          <w:szCs w:val="24"/>
        </w:rPr>
        <w:t>other</w:t>
      </w:r>
      <w:r w:rsidRPr="00711350">
        <w:rPr>
          <w:rFonts w:asciiTheme="minorHAnsi" w:hAnsiTheme="minorHAnsi"/>
          <w:color w:val="auto"/>
          <w:szCs w:val="24"/>
        </w:rPr>
        <w:t xml:space="preserve"> conditions were </w:t>
      </w:r>
      <w:r w:rsidR="005A3C08">
        <w:rPr>
          <w:rFonts w:asciiTheme="minorHAnsi" w:hAnsiTheme="minorHAnsi"/>
          <w:color w:val="auto"/>
          <w:szCs w:val="24"/>
        </w:rPr>
        <w:t xml:space="preserve">noted in the Disability Evaluation System (DES) file.  </w:t>
      </w:r>
      <w:r w:rsidRPr="00711350">
        <w:rPr>
          <w:rFonts w:asciiTheme="minorHAnsi" w:hAnsiTheme="minorHAnsi"/>
          <w:color w:val="auto"/>
          <w:szCs w:val="24"/>
        </w:rPr>
        <w:t xml:space="preserve">None of these </w:t>
      </w:r>
      <w:r w:rsidRPr="009C3B2A">
        <w:rPr>
          <w:rFonts w:asciiTheme="minorHAnsi" w:hAnsiTheme="minorHAnsi"/>
          <w:color w:val="auto"/>
          <w:szCs w:val="24"/>
        </w:rPr>
        <w:t xml:space="preserve">conditions </w:t>
      </w:r>
      <w:r w:rsidR="00B56F3D" w:rsidRPr="009C3B2A">
        <w:rPr>
          <w:rFonts w:asciiTheme="minorHAnsi" w:hAnsiTheme="minorHAnsi"/>
          <w:color w:val="auto"/>
          <w:szCs w:val="24"/>
        </w:rPr>
        <w:t xml:space="preserve">were the </w:t>
      </w:r>
      <w:r w:rsidR="001A4142" w:rsidRPr="009C3B2A">
        <w:rPr>
          <w:rFonts w:asciiTheme="minorHAnsi" w:hAnsiTheme="minorHAnsi"/>
          <w:color w:val="auto"/>
          <w:szCs w:val="24"/>
        </w:rPr>
        <w:t>bas</w:t>
      </w:r>
      <w:r w:rsidR="005A3C08">
        <w:rPr>
          <w:rFonts w:asciiTheme="minorHAnsi" w:hAnsiTheme="minorHAnsi"/>
          <w:color w:val="auto"/>
          <w:szCs w:val="24"/>
        </w:rPr>
        <w:t>is</w:t>
      </w:r>
      <w:r w:rsidR="00B56F3D" w:rsidRPr="009C3B2A">
        <w:rPr>
          <w:rFonts w:asciiTheme="minorHAnsi" w:hAnsiTheme="minorHAnsi"/>
          <w:color w:val="auto"/>
          <w:szCs w:val="24"/>
        </w:rPr>
        <w:t xml:space="preserve"> </w:t>
      </w:r>
      <w:r w:rsidR="005C62C2" w:rsidRPr="009C3B2A">
        <w:rPr>
          <w:rFonts w:asciiTheme="minorHAnsi" w:hAnsiTheme="minorHAnsi"/>
          <w:color w:val="auto"/>
          <w:szCs w:val="24"/>
        </w:rPr>
        <w:t>for limited duty</w:t>
      </w:r>
      <w:r w:rsidR="005A3C08">
        <w:rPr>
          <w:rFonts w:asciiTheme="minorHAnsi" w:hAnsiTheme="minorHAnsi"/>
          <w:color w:val="auto"/>
          <w:szCs w:val="24"/>
        </w:rPr>
        <w:t xml:space="preserve"> </w:t>
      </w:r>
      <w:r w:rsidRPr="00711350">
        <w:rPr>
          <w:rFonts w:asciiTheme="minorHAnsi" w:hAnsiTheme="minorHAnsi"/>
          <w:color w:val="auto"/>
          <w:szCs w:val="24"/>
        </w:rPr>
        <w:t xml:space="preserve">and none </w:t>
      </w:r>
      <w:r w:rsidRPr="009C3B2A">
        <w:rPr>
          <w:rFonts w:asciiTheme="minorHAnsi" w:hAnsiTheme="minorHAnsi"/>
          <w:color w:val="auto"/>
          <w:szCs w:val="24"/>
        </w:rPr>
        <w:t>were</w:t>
      </w:r>
      <w:r w:rsidRPr="00711350">
        <w:rPr>
          <w:rFonts w:asciiTheme="minorHAnsi" w:hAnsiTheme="minorHAnsi"/>
          <w:color w:val="auto"/>
          <w:szCs w:val="24"/>
        </w:rPr>
        <w:t xml:space="preserve"> implicated in the </w:t>
      </w:r>
      <w:r w:rsidR="001A4142">
        <w:rPr>
          <w:rFonts w:asciiTheme="minorHAnsi" w:hAnsiTheme="minorHAnsi"/>
          <w:color w:val="auto"/>
          <w:szCs w:val="24"/>
        </w:rPr>
        <w:t>non-medical assessment</w:t>
      </w:r>
      <w:r w:rsidRPr="00711350">
        <w:rPr>
          <w:rFonts w:asciiTheme="minorHAnsi" w:hAnsiTheme="minorHAnsi"/>
          <w:color w:val="auto"/>
          <w:szCs w:val="24"/>
        </w:rPr>
        <w:t xml:space="preserve">.  These conditions were </w:t>
      </w:r>
      <w:r w:rsidR="005A3C08">
        <w:rPr>
          <w:rFonts w:asciiTheme="minorHAnsi" w:hAnsiTheme="minorHAnsi"/>
          <w:color w:val="auto"/>
          <w:szCs w:val="24"/>
        </w:rPr>
        <w:t xml:space="preserve">all </w:t>
      </w:r>
      <w:r w:rsidRPr="00711350">
        <w:rPr>
          <w:rFonts w:asciiTheme="minorHAnsi" w:hAnsiTheme="minorHAnsi"/>
          <w:color w:val="auto"/>
          <w:szCs w:val="24"/>
        </w:rPr>
        <w:t xml:space="preserve">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9C3B2A" w:rsidRPr="00F6196E">
        <w:rPr>
          <w:rFonts w:asciiTheme="minorHAnsi" w:hAnsiTheme="minorHAnsi"/>
          <w:color w:val="auto"/>
          <w:szCs w:val="24"/>
        </w:rPr>
        <w:t>No other conditions were service connected with a compensable rating by the VA within twelve months of separation</w:t>
      </w:r>
      <w:r w:rsidR="005A3C08">
        <w:rPr>
          <w:rFonts w:asciiTheme="minorHAnsi" w:hAnsiTheme="minorHAnsi"/>
          <w:color w:val="auto"/>
          <w:szCs w:val="24"/>
        </w:rPr>
        <w:t>,</w:t>
      </w:r>
      <w:r w:rsidR="009C3B2A" w:rsidRPr="00F6196E">
        <w:rPr>
          <w:rFonts w:asciiTheme="minorHAnsi" w:hAnsiTheme="minorHAnsi"/>
          <w:color w:val="auto"/>
          <w:szCs w:val="24"/>
        </w:rPr>
        <w:t xml:space="preserve"> or contended by the CI.  The Board therefore has no reasonable basis for recommending any additional unfitting conditions for separation rating.</w:t>
      </w:r>
      <w:r w:rsidR="009C3B2A" w:rsidRPr="00704EA1">
        <w:rPr>
          <w:rFonts w:asciiTheme="minorHAnsi" w:hAnsiTheme="minorHAnsi"/>
          <w:b/>
          <w:color w:val="auto"/>
          <w:szCs w:val="24"/>
        </w:rPr>
        <w:tab/>
      </w:r>
    </w:p>
    <w:p w:rsidR="00F1737C" w:rsidRPr="00391858" w:rsidRDefault="00F1737C" w:rsidP="0065373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653733">
      <w:pPr>
        <w:spacing w:line="240" w:lineRule="exact"/>
        <w:jc w:val="both"/>
        <w:rPr>
          <w:rFonts w:asciiTheme="minorHAnsi" w:hAnsiTheme="minorHAnsi"/>
          <w:b/>
          <w:color w:val="auto"/>
          <w:szCs w:val="24"/>
          <w:u w:val="single"/>
        </w:rPr>
      </w:pPr>
    </w:p>
    <w:p w:rsidR="00D80B90" w:rsidRPr="000D56ED" w:rsidRDefault="00C56FC8" w:rsidP="00653733">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502E9">
        <w:rPr>
          <w:rFonts w:asciiTheme="minorHAnsi" w:eastAsiaTheme="minorHAnsi" w:hAnsiTheme="minorHAnsi"/>
          <w:color w:val="auto"/>
          <w:szCs w:val="24"/>
        </w:rPr>
        <w:t xml:space="preserve">  </w:t>
      </w:r>
      <w:r w:rsidR="002674BB" w:rsidRPr="00AE3316">
        <w:rPr>
          <w:rFonts w:asciiTheme="minorHAnsi" w:eastAsiaTheme="minorHAnsi" w:hAnsiTheme="minorHAnsi"/>
          <w:color w:val="auto"/>
          <w:szCs w:val="24"/>
        </w:rPr>
        <w:t xml:space="preserve">In the matter of the </w:t>
      </w:r>
      <w:r w:rsidR="002674BB">
        <w:rPr>
          <w:rFonts w:asciiTheme="minorHAnsi" w:eastAsiaTheme="minorHAnsi" w:hAnsiTheme="minorHAnsi"/>
          <w:color w:val="auto"/>
          <w:szCs w:val="24"/>
        </w:rPr>
        <w:t>left femoral neck fracture</w:t>
      </w:r>
      <w:r w:rsidR="002674BB" w:rsidRPr="00AE3316">
        <w:rPr>
          <w:rFonts w:asciiTheme="minorHAnsi" w:eastAsiaTheme="minorHAnsi" w:hAnsiTheme="minorHAnsi"/>
          <w:color w:val="auto"/>
          <w:szCs w:val="24"/>
        </w:rPr>
        <w:t xml:space="preserve">, the Board </w:t>
      </w:r>
      <w:r w:rsidR="002674BB" w:rsidRPr="000D56ED">
        <w:rPr>
          <w:rFonts w:asciiTheme="minorHAnsi" w:eastAsiaTheme="minorHAnsi" w:hAnsiTheme="minorHAnsi"/>
          <w:color w:val="auto"/>
          <w:szCs w:val="24"/>
        </w:rPr>
        <w:t>unanimously</w:t>
      </w:r>
      <w:r w:rsidR="002674BB" w:rsidRPr="00AE3316">
        <w:rPr>
          <w:rFonts w:asciiTheme="minorHAnsi" w:eastAsiaTheme="minorHAnsi" w:hAnsiTheme="minorHAnsi"/>
          <w:color w:val="auto"/>
          <w:szCs w:val="24"/>
        </w:rPr>
        <w:t xml:space="preserve"> recommends a rating of </w:t>
      </w:r>
      <w:r w:rsidR="002674BB" w:rsidRPr="000D56ED">
        <w:rPr>
          <w:rFonts w:asciiTheme="minorHAnsi" w:eastAsiaTheme="minorHAnsi" w:hAnsiTheme="minorHAnsi"/>
          <w:color w:val="auto"/>
          <w:szCs w:val="24"/>
        </w:rPr>
        <w:t>20%</w:t>
      </w:r>
      <w:r w:rsidR="002674BB" w:rsidRPr="00AE3316">
        <w:rPr>
          <w:rFonts w:asciiTheme="minorHAnsi" w:eastAsiaTheme="minorHAnsi" w:hAnsiTheme="minorHAnsi"/>
          <w:color w:val="auto"/>
          <w:szCs w:val="24"/>
        </w:rPr>
        <w:t xml:space="preserve"> </w:t>
      </w:r>
      <w:r w:rsidR="005A3C08">
        <w:rPr>
          <w:rFonts w:asciiTheme="minorHAnsi" w:eastAsiaTheme="minorHAnsi" w:hAnsiTheme="minorHAnsi"/>
          <w:color w:val="auto"/>
          <w:szCs w:val="24"/>
        </w:rPr>
        <w:t>(</w:t>
      </w:r>
      <w:r w:rsidR="002674BB" w:rsidRPr="00AE3316">
        <w:rPr>
          <w:rFonts w:asciiTheme="minorHAnsi" w:eastAsiaTheme="minorHAnsi" w:hAnsiTheme="minorHAnsi"/>
          <w:color w:val="auto"/>
          <w:szCs w:val="24"/>
        </w:rPr>
        <w:t xml:space="preserve">coded </w:t>
      </w:r>
      <w:r w:rsidR="005A3C08">
        <w:rPr>
          <w:rFonts w:asciiTheme="minorHAnsi" w:eastAsiaTheme="minorHAnsi" w:hAnsiTheme="minorHAnsi"/>
          <w:color w:val="auto"/>
          <w:szCs w:val="24"/>
        </w:rPr>
        <w:t>5299-</w:t>
      </w:r>
      <w:r w:rsidR="002674BB">
        <w:rPr>
          <w:rFonts w:asciiTheme="minorHAnsi" w:eastAsiaTheme="minorHAnsi" w:hAnsiTheme="minorHAnsi"/>
          <w:color w:val="auto"/>
          <w:szCs w:val="24"/>
        </w:rPr>
        <w:t>5255</w:t>
      </w:r>
      <w:r w:rsidR="005A3C08">
        <w:rPr>
          <w:rFonts w:asciiTheme="minorHAnsi" w:eastAsiaTheme="minorHAnsi" w:hAnsiTheme="minorHAnsi"/>
          <w:color w:val="auto"/>
          <w:szCs w:val="24"/>
        </w:rPr>
        <w:t>)</w:t>
      </w:r>
      <w:r w:rsidR="002674BB" w:rsidRPr="00AE3316">
        <w:rPr>
          <w:rFonts w:asciiTheme="minorHAnsi" w:eastAsiaTheme="minorHAnsi" w:hAnsiTheme="minorHAnsi"/>
          <w:color w:val="auto"/>
          <w:szCs w:val="24"/>
        </w:rPr>
        <w:t xml:space="preserve"> </w:t>
      </w:r>
      <w:r w:rsidR="002674BB" w:rsidRPr="00AE3316">
        <w:rPr>
          <w:rFonts w:asciiTheme="minorHAnsi" w:hAnsiTheme="minorHAnsi"/>
          <w:color w:val="auto"/>
          <w:szCs w:val="24"/>
        </w:rPr>
        <w:t>IAW VASRD §</w:t>
      </w:r>
      <w:r w:rsidR="002674BB" w:rsidRPr="002674BB">
        <w:rPr>
          <w:rFonts w:asciiTheme="minorHAnsi" w:hAnsiTheme="minorHAnsi"/>
          <w:color w:val="auto"/>
          <w:szCs w:val="24"/>
        </w:rPr>
        <w:t>4.71a</w:t>
      </w:r>
      <w:r w:rsidR="002674BB" w:rsidRPr="00AE3316">
        <w:rPr>
          <w:rFonts w:asciiTheme="minorHAnsi" w:hAnsiTheme="minorHAnsi"/>
          <w:color w:val="auto"/>
          <w:szCs w:val="24"/>
        </w:rPr>
        <w:t>.</w:t>
      </w:r>
      <w:r w:rsidR="002674BB">
        <w:rPr>
          <w:rFonts w:asciiTheme="minorHAnsi" w:hAnsiTheme="minorHAnsi"/>
          <w:color w:val="auto"/>
          <w:szCs w:val="24"/>
        </w:rPr>
        <w:t xml:space="preserve">  </w:t>
      </w:r>
      <w:r w:rsidR="00D80B90" w:rsidRPr="00AE3316">
        <w:rPr>
          <w:rFonts w:asciiTheme="minorHAnsi" w:hAnsiTheme="minorHAnsi"/>
          <w:color w:val="auto"/>
          <w:szCs w:val="24"/>
        </w:rPr>
        <w:t xml:space="preserve">In the matter of the </w:t>
      </w:r>
      <w:r w:rsidR="00D80B90">
        <w:rPr>
          <w:rFonts w:asciiTheme="minorHAnsi" w:eastAsiaTheme="minorHAnsi" w:hAnsiTheme="minorHAnsi"/>
          <w:color w:val="auto"/>
          <w:szCs w:val="24"/>
        </w:rPr>
        <w:t>surgical scar</w:t>
      </w:r>
      <w:r w:rsidR="005A3C08">
        <w:rPr>
          <w:rFonts w:asciiTheme="minorHAnsi" w:eastAsiaTheme="minorHAnsi" w:hAnsiTheme="minorHAnsi"/>
          <w:color w:val="auto"/>
          <w:szCs w:val="24"/>
        </w:rPr>
        <w:t xml:space="preserve">, </w:t>
      </w:r>
      <w:r w:rsidR="00D80B90">
        <w:rPr>
          <w:rFonts w:asciiTheme="minorHAnsi" w:hAnsiTheme="minorHAnsi"/>
          <w:color w:val="auto"/>
          <w:szCs w:val="24"/>
        </w:rPr>
        <w:t>or any other</w:t>
      </w:r>
      <w:r w:rsidR="00D80B90" w:rsidRPr="00AE3316">
        <w:rPr>
          <w:rFonts w:asciiTheme="minorHAnsi" w:hAnsiTheme="minorHAnsi"/>
          <w:color w:val="auto"/>
          <w:szCs w:val="24"/>
        </w:rPr>
        <w:t xml:space="preserve"> conditions</w:t>
      </w:r>
      <w:r w:rsidR="00D80B90">
        <w:rPr>
          <w:rFonts w:asciiTheme="minorHAnsi" w:hAnsiTheme="minorHAnsi"/>
          <w:color w:val="auto"/>
          <w:szCs w:val="24"/>
        </w:rPr>
        <w:t xml:space="preserve"> eligible for consideration</w:t>
      </w:r>
      <w:r w:rsidR="005A3C08">
        <w:rPr>
          <w:rFonts w:asciiTheme="minorHAnsi" w:hAnsiTheme="minorHAnsi"/>
          <w:color w:val="auto"/>
          <w:szCs w:val="24"/>
        </w:rPr>
        <w:t xml:space="preserve">, </w:t>
      </w:r>
      <w:r w:rsidR="00D80B90" w:rsidRPr="00AE3316">
        <w:rPr>
          <w:rFonts w:asciiTheme="minorHAnsi" w:hAnsiTheme="minorHAnsi"/>
          <w:color w:val="auto"/>
          <w:szCs w:val="24"/>
        </w:rPr>
        <w:t xml:space="preserve">the Board </w:t>
      </w:r>
      <w:r w:rsidR="00D80B90" w:rsidRPr="000D56ED">
        <w:rPr>
          <w:rFonts w:asciiTheme="minorHAnsi" w:hAnsiTheme="minorHAnsi"/>
          <w:color w:val="auto"/>
          <w:szCs w:val="24"/>
        </w:rPr>
        <w:t xml:space="preserve">unanimously </w:t>
      </w:r>
      <w:r w:rsidR="00D80B90" w:rsidRPr="00AE3316">
        <w:rPr>
          <w:rFonts w:asciiTheme="minorHAnsi" w:hAnsiTheme="minorHAnsi"/>
          <w:color w:val="auto"/>
          <w:szCs w:val="24"/>
        </w:rPr>
        <w:t>agrees that it cannot</w:t>
      </w:r>
      <w:r w:rsidR="00D80B90" w:rsidRPr="00AE3316">
        <w:rPr>
          <w:rFonts w:asciiTheme="minorHAnsi" w:hAnsiTheme="minorHAnsi"/>
          <w:color w:val="000080"/>
          <w:szCs w:val="24"/>
        </w:rPr>
        <w:t xml:space="preserve"> </w:t>
      </w:r>
      <w:r w:rsidR="00D80B90" w:rsidRPr="00AE3316">
        <w:rPr>
          <w:rFonts w:asciiTheme="minorHAnsi" w:hAnsiTheme="minorHAnsi"/>
          <w:color w:val="auto"/>
          <w:szCs w:val="24"/>
        </w:rPr>
        <w:t>recommend a</w:t>
      </w:r>
      <w:r w:rsidR="00D80B90">
        <w:rPr>
          <w:rFonts w:asciiTheme="minorHAnsi" w:hAnsiTheme="minorHAnsi"/>
          <w:color w:val="auto"/>
          <w:szCs w:val="24"/>
        </w:rPr>
        <w:t>ny</w:t>
      </w:r>
      <w:r w:rsidR="00D80B90" w:rsidRPr="00AE3316">
        <w:rPr>
          <w:rFonts w:asciiTheme="minorHAnsi" w:hAnsiTheme="minorHAnsi"/>
          <w:color w:val="auto"/>
          <w:szCs w:val="24"/>
        </w:rPr>
        <w:t xml:space="preserve"> finding</w:t>
      </w:r>
      <w:r w:rsidR="00D80B90">
        <w:rPr>
          <w:rFonts w:asciiTheme="minorHAnsi" w:hAnsiTheme="minorHAnsi"/>
          <w:color w:val="auto"/>
          <w:szCs w:val="24"/>
        </w:rPr>
        <w:t>s</w:t>
      </w:r>
      <w:r w:rsidR="00D80B90" w:rsidRPr="00AE3316">
        <w:rPr>
          <w:rFonts w:asciiTheme="minorHAnsi" w:hAnsiTheme="minorHAnsi"/>
          <w:color w:val="auto"/>
          <w:szCs w:val="24"/>
        </w:rPr>
        <w:t xml:space="preserve"> of unfit for additional rating at separation.</w:t>
      </w:r>
    </w:p>
    <w:p w:rsidR="00DA6560" w:rsidRDefault="00DA6560" w:rsidP="00653733">
      <w:pPr>
        <w:pBdr>
          <w:bottom w:val="single" w:sz="12" w:space="1" w:color="auto"/>
        </w:pBdr>
        <w:tabs>
          <w:tab w:val="left" w:pos="288"/>
          <w:tab w:val="left" w:pos="4752"/>
        </w:tabs>
        <w:spacing w:line="240" w:lineRule="exact"/>
        <w:jc w:val="both"/>
        <w:rPr>
          <w:rFonts w:asciiTheme="minorHAnsi" w:hAnsiTheme="minorHAnsi"/>
          <w:color w:val="auto"/>
          <w:szCs w:val="24"/>
        </w:rPr>
      </w:pPr>
    </w:p>
    <w:p w:rsidR="00DA6560" w:rsidRPr="000D56ED" w:rsidRDefault="00DA6560" w:rsidP="00653733">
      <w:pPr>
        <w:tabs>
          <w:tab w:val="left" w:pos="288"/>
          <w:tab w:val="left" w:pos="4752"/>
        </w:tabs>
        <w:spacing w:line="240" w:lineRule="exact"/>
        <w:jc w:val="both"/>
        <w:rPr>
          <w:color w:val="auto"/>
        </w:rPr>
      </w:pPr>
    </w:p>
    <w:p w:rsidR="00FD2B92" w:rsidRDefault="00DA6560" w:rsidP="00653733">
      <w:pPr>
        <w:spacing w:line="240" w:lineRule="exact"/>
        <w:jc w:val="both"/>
        <w:rPr>
          <w:rFonts w:asciiTheme="minorHAnsi" w:hAnsiTheme="minorHAnsi"/>
          <w:color w:val="auto"/>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D80B90">
        <w:rPr>
          <w:rFonts w:asciiTheme="minorHAnsi" w:hAnsiTheme="minorHAnsi"/>
          <w:color w:val="auto"/>
        </w:rPr>
        <w:t xml:space="preserve">  </w:t>
      </w:r>
      <w:r w:rsidR="00C56FC8" w:rsidRPr="00396779">
        <w:rPr>
          <w:rFonts w:asciiTheme="minorHAnsi" w:hAnsiTheme="minorHAnsi"/>
          <w:color w:val="auto"/>
          <w:szCs w:val="24"/>
        </w:rPr>
        <w:t xml:space="preserve">The Board recommends that the CI’s prior determination be modified </w:t>
      </w:r>
      <w:r w:rsidR="00C56FC8" w:rsidRPr="00B427BB">
        <w:rPr>
          <w:rFonts w:asciiTheme="minorHAnsi" w:hAnsiTheme="minorHAnsi"/>
          <w:color w:val="auto"/>
          <w:szCs w:val="24"/>
        </w:rPr>
        <w:t>as follows, effective as of the date of his</w:t>
      </w:r>
      <w:r w:rsidR="00911B11">
        <w:rPr>
          <w:rFonts w:asciiTheme="minorHAnsi" w:hAnsiTheme="minorHAnsi"/>
          <w:color w:val="auto"/>
          <w:szCs w:val="24"/>
        </w:rPr>
        <w:t xml:space="preserve"> prior medical separation:</w:t>
      </w:r>
      <w:r w:rsidR="00D80B90">
        <w:rPr>
          <w:rFonts w:asciiTheme="minorHAnsi" w:hAnsiTheme="minorHAnsi"/>
          <w:color w:val="auto"/>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DA6560"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Left Femoral Neck Fracture</w:t>
            </w:r>
          </w:p>
        </w:tc>
        <w:tc>
          <w:tcPr>
            <w:tcW w:w="1710" w:type="dxa"/>
            <w:vAlign w:val="center"/>
          </w:tcPr>
          <w:p w:rsidR="00A95BBA" w:rsidRPr="00AF01B2" w:rsidRDefault="000D56ED" w:rsidP="00454D2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w:t>
            </w:r>
            <w:r w:rsidR="00DA6560">
              <w:rPr>
                <w:rFonts w:asciiTheme="minorHAnsi" w:hAnsiTheme="minorHAnsi"/>
                <w:color w:val="auto"/>
                <w:szCs w:val="24"/>
              </w:rPr>
              <w:t>5255</w:t>
            </w:r>
          </w:p>
        </w:tc>
        <w:tc>
          <w:tcPr>
            <w:tcW w:w="1170" w:type="dxa"/>
            <w:vAlign w:val="center"/>
          </w:tcPr>
          <w:p w:rsidR="00A95BBA" w:rsidRPr="00AF01B2" w:rsidRDefault="00DA656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DA6560"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C87F8E" w:rsidRDefault="00C87F8E" w:rsidP="00C87F8E">
      <w:pPr>
        <w:pBdr>
          <w:bottom w:val="single" w:sz="12" w:space="1" w:color="auto"/>
        </w:pBdr>
        <w:tabs>
          <w:tab w:val="left" w:pos="288"/>
          <w:tab w:val="left" w:pos="4752"/>
        </w:tabs>
        <w:spacing w:line="240" w:lineRule="exact"/>
        <w:jc w:val="both"/>
        <w:rPr>
          <w:rFonts w:asciiTheme="minorHAnsi" w:hAnsiTheme="minorHAnsi"/>
          <w:color w:val="auto"/>
          <w:u w:val="single"/>
        </w:rPr>
      </w:pPr>
    </w:p>
    <w:p w:rsidR="00A83C15" w:rsidRPr="00391858" w:rsidRDefault="00A83C15" w:rsidP="00653733">
      <w:pPr>
        <w:tabs>
          <w:tab w:val="left" w:pos="288"/>
          <w:tab w:val="left" w:pos="1710"/>
        </w:tabs>
        <w:spacing w:line="240" w:lineRule="exact"/>
        <w:jc w:val="both"/>
        <w:rPr>
          <w:rFonts w:asciiTheme="minorHAnsi" w:hAnsiTheme="minorHAnsi"/>
          <w:b/>
          <w:caps/>
          <w:color w:val="auto"/>
          <w:u w:val="single"/>
        </w:rPr>
      </w:pPr>
    </w:p>
    <w:p w:rsidR="00D91DA6" w:rsidRPr="00006186" w:rsidRDefault="00FB1725" w:rsidP="00653733">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653733">
      <w:pPr>
        <w:tabs>
          <w:tab w:val="left" w:pos="288"/>
          <w:tab w:val="left" w:pos="4752"/>
        </w:tabs>
        <w:spacing w:line="240" w:lineRule="exact"/>
        <w:jc w:val="both"/>
        <w:rPr>
          <w:rFonts w:asciiTheme="minorHAnsi" w:hAnsiTheme="minorHAnsi"/>
          <w:color w:val="auto"/>
        </w:rPr>
      </w:pPr>
    </w:p>
    <w:p w:rsidR="00114F20" w:rsidRPr="00B211F8" w:rsidRDefault="00FB1725" w:rsidP="00653733">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B211F8">
        <w:rPr>
          <w:rFonts w:asciiTheme="minorHAnsi" w:hAnsiTheme="minorHAnsi"/>
          <w:color w:val="auto"/>
        </w:rPr>
        <w:t>91106</w:t>
      </w:r>
      <w:r w:rsidRPr="00B211F8">
        <w:rPr>
          <w:rFonts w:asciiTheme="minorHAnsi" w:hAnsiTheme="minorHAnsi"/>
          <w:color w:val="auto"/>
        </w:rPr>
        <w:t>, w/</w:t>
      </w:r>
      <w:proofErr w:type="spellStart"/>
      <w:r w:rsidRPr="00B211F8">
        <w:rPr>
          <w:rFonts w:asciiTheme="minorHAnsi" w:hAnsiTheme="minorHAnsi"/>
          <w:color w:val="auto"/>
        </w:rPr>
        <w:t>atchs</w:t>
      </w:r>
      <w:proofErr w:type="spellEnd"/>
      <w:r w:rsidRPr="00B211F8">
        <w:rPr>
          <w:rFonts w:asciiTheme="minorHAnsi" w:hAnsiTheme="minorHAnsi"/>
          <w:color w:val="auto"/>
        </w:rPr>
        <w:t>.</w:t>
      </w:r>
    </w:p>
    <w:p w:rsidR="00114F20" w:rsidRPr="00B211F8" w:rsidRDefault="00FB1725" w:rsidP="00653733">
      <w:pPr>
        <w:tabs>
          <w:tab w:val="left" w:pos="288"/>
          <w:tab w:val="left" w:pos="4752"/>
        </w:tabs>
        <w:spacing w:line="240" w:lineRule="exact"/>
        <w:jc w:val="both"/>
        <w:rPr>
          <w:rFonts w:asciiTheme="minorHAnsi" w:hAnsiTheme="minorHAnsi"/>
          <w:color w:val="auto"/>
        </w:rPr>
      </w:pPr>
      <w:r w:rsidRPr="00B211F8">
        <w:rPr>
          <w:rFonts w:asciiTheme="minorHAnsi" w:hAnsiTheme="minorHAnsi"/>
          <w:color w:val="auto"/>
        </w:rPr>
        <w:t xml:space="preserve">Exhibit B.  </w:t>
      </w:r>
      <w:proofErr w:type="gramStart"/>
      <w:r w:rsidRPr="00B211F8">
        <w:rPr>
          <w:rFonts w:asciiTheme="minorHAnsi" w:hAnsiTheme="minorHAnsi"/>
          <w:color w:val="auto"/>
        </w:rPr>
        <w:t>Service Treatment Record.</w:t>
      </w:r>
      <w:proofErr w:type="gramEnd"/>
    </w:p>
    <w:p w:rsidR="00114F20" w:rsidRPr="00006186" w:rsidRDefault="00FB1725" w:rsidP="0065373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A44141"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03AD5" w:rsidRDefault="00503AD5">
      <w:pPr>
        <w:rPr>
          <w:rFonts w:asciiTheme="minorHAnsi" w:hAnsiTheme="minorHAnsi"/>
          <w:color w:val="auto"/>
        </w:rPr>
      </w:pPr>
      <w:r>
        <w:rPr>
          <w:rFonts w:asciiTheme="minorHAnsi" w:hAnsiTheme="minorHAnsi"/>
          <w:color w:val="auto"/>
        </w:rPr>
        <w:br w:type="page"/>
      </w:r>
    </w:p>
    <w:p w:rsidR="00503AD5" w:rsidRDefault="00503AD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03AD5" w:rsidRPr="00503AD5" w:rsidRDefault="00503AD5" w:rsidP="00503AD5">
      <w:pPr>
        <w:rPr>
          <w:color w:val="auto"/>
        </w:rPr>
      </w:pPr>
      <w:r w:rsidRPr="00503AD5">
        <w:rPr>
          <w:color w:val="auto"/>
        </w:rPr>
        <w:t>MEMORANDUM FOR DEPUTY COMMANDANT, MANPOWER &amp; RESERVE AFFAIRS</w:t>
      </w:r>
    </w:p>
    <w:p w:rsidR="00503AD5" w:rsidRPr="00503AD5" w:rsidRDefault="00503AD5" w:rsidP="00503AD5">
      <w:pPr>
        <w:rPr>
          <w:color w:val="auto"/>
        </w:rPr>
      </w:pPr>
    </w:p>
    <w:p w:rsidR="00503AD5" w:rsidRPr="00503AD5" w:rsidRDefault="00503AD5" w:rsidP="00503AD5">
      <w:pPr>
        <w:rPr>
          <w:color w:val="auto"/>
        </w:rPr>
      </w:pPr>
      <w:proofErr w:type="spellStart"/>
      <w:r w:rsidRPr="00503AD5">
        <w:rPr>
          <w:color w:val="auto"/>
        </w:rPr>
        <w:t>Subj</w:t>
      </w:r>
      <w:proofErr w:type="spellEnd"/>
      <w:r w:rsidRPr="00503AD5">
        <w:rPr>
          <w:color w:val="auto"/>
        </w:rPr>
        <w:t>:  PHYSICAL DISABILITY BOARD OF REVIEW (PDBR) RECOMMENDATION</w:t>
      </w:r>
    </w:p>
    <w:p w:rsidR="00503AD5" w:rsidRPr="00503AD5" w:rsidRDefault="00503AD5" w:rsidP="00503AD5">
      <w:pPr>
        <w:tabs>
          <w:tab w:val="left" w:pos="630"/>
        </w:tabs>
        <w:rPr>
          <w:color w:val="auto"/>
        </w:rPr>
      </w:pPr>
      <w:r w:rsidRPr="00503AD5">
        <w:rPr>
          <w:color w:val="auto"/>
        </w:rPr>
        <w:t xml:space="preserve">          </w:t>
      </w:r>
      <w:r w:rsidRPr="00503AD5">
        <w:rPr>
          <w:color w:val="auto"/>
        </w:rPr>
        <w:tab/>
        <w:t xml:space="preserve">ICO </w:t>
      </w:r>
      <w:r>
        <w:rPr>
          <w:color w:val="auto"/>
        </w:rPr>
        <w:t>XXXXX</w:t>
      </w:r>
      <w:r w:rsidRPr="00503AD5">
        <w:rPr>
          <w:color w:val="auto"/>
        </w:rPr>
        <w:t xml:space="preserve">, FORMER USMC, XXX XX </w:t>
      </w:r>
      <w:r>
        <w:rPr>
          <w:color w:val="auto"/>
        </w:rPr>
        <w:t>XXXX</w:t>
      </w:r>
    </w:p>
    <w:p w:rsidR="00503AD5" w:rsidRPr="00503AD5" w:rsidRDefault="00503AD5" w:rsidP="00503AD5">
      <w:pPr>
        <w:rPr>
          <w:color w:val="auto"/>
        </w:rPr>
      </w:pPr>
    </w:p>
    <w:p w:rsidR="00503AD5" w:rsidRPr="00503AD5" w:rsidRDefault="00503AD5" w:rsidP="00503AD5">
      <w:pPr>
        <w:rPr>
          <w:color w:val="auto"/>
        </w:rPr>
      </w:pPr>
      <w:r w:rsidRPr="00503AD5">
        <w:rPr>
          <w:color w:val="auto"/>
        </w:rPr>
        <w:t>Ref:   (a) DoDI 6040.44</w:t>
      </w:r>
    </w:p>
    <w:p w:rsidR="00503AD5" w:rsidRPr="00503AD5" w:rsidRDefault="00503AD5" w:rsidP="00503AD5">
      <w:pPr>
        <w:rPr>
          <w:color w:val="auto"/>
        </w:rPr>
      </w:pPr>
      <w:r w:rsidRPr="00503AD5">
        <w:rPr>
          <w:color w:val="auto"/>
        </w:rPr>
        <w:t xml:space="preserve">          (b) PDBR </w:t>
      </w:r>
      <w:proofErr w:type="spellStart"/>
      <w:r w:rsidRPr="00503AD5">
        <w:rPr>
          <w:color w:val="auto"/>
        </w:rPr>
        <w:t>ltr</w:t>
      </w:r>
      <w:proofErr w:type="spellEnd"/>
      <w:r w:rsidRPr="00503AD5">
        <w:rPr>
          <w:color w:val="auto"/>
        </w:rPr>
        <w:t xml:space="preserve"> </w:t>
      </w:r>
      <w:proofErr w:type="spellStart"/>
      <w:r w:rsidRPr="00503AD5">
        <w:rPr>
          <w:color w:val="auto"/>
        </w:rPr>
        <w:t>dtd</w:t>
      </w:r>
      <w:proofErr w:type="spellEnd"/>
      <w:r w:rsidRPr="00503AD5">
        <w:rPr>
          <w:color w:val="auto"/>
        </w:rPr>
        <w:t xml:space="preserve"> 16 Aug 11</w:t>
      </w:r>
    </w:p>
    <w:p w:rsidR="00503AD5" w:rsidRPr="00503AD5" w:rsidRDefault="00503AD5" w:rsidP="00503AD5">
      <w:pPr>
        <w:rPr>
          <w:color w:val="auto"/>
        </w:rPr>
      </w:pPr>
    </w:p>
    <w:p w:rsidR="00503AD5" w:rsidRPr="00503AD5" w:rsidRDefault="00503AD5" w:rsidP="00503AD5">
      <w:pPr>
        <w:rPr>
          <w:color w:val="auto"/>
        </w:rPr>
      </w:pPr>
      <w:r w:rsidRPr="00503AD5">
        <w:rPr>
          <w:color w:val="auto"/>
        </w:rPr>
        <w:t>1.  I have reviewed the subject case pursuant to reference (a) and approve the recommendation of the PDBR (reference (b)).</w:t>
      </w:r>
    </w:p>
    <w:p w:rsidR="00503AD5" w:rsidRPr="00503AD5" w:rsidRDefault="00503AD5" w:rsidP="00503AD5">
      <w:pPr>
        <w:rPr>
          <w:color w:val="auto"/>
        </w:rPr>
      </w:pPr>
    </w:p>
    <w:p w:rsidR="00503AD5" w:rsidRPr="00503AD5" w:rsidRDefault="00503AD5" w:rsidP="00503AD5">
      <w:pPr>
        <w:rPr>
          <w:color w:val="auto"/>
        </w:rPr>
      </w:pPr>
      <w:r w:rsidRPr="00503AD5">
        <w:rPr>
          <w:color w:val="auto"/>
        </w:rPr>
        <w:t>2.  The subject member’s official records are to be corrected to reflect the following disposition:</w:t>
      </w:r>
    </w:p>
    <w:p w:rsidR="00503AD5" w:rsidRPr="00503AD5" w:rsidRDefault="00503AD5" w:rsidP="00503AD5">
      <w:pPr>
        <w:rPr>
          <w:color w:val="auto"/>
        </w:rPr>
      </w:pPr>
    </w:p>
    <w:p w:rsidR="00503AD5" w:rsidRPr="00503AD5" w:rsidRDefault="00503AD5" w:rsidP="00503AD5">
      <w:pPr>
        <w:rPr>
          <w:color w:val="auto"/>
        </w:rPr>
      </w:pPr>
      <w:r w:rsidRPr="00503AD5">
        <w:rPr>
          <w:color w:val="auto"/>
        </w:rPr>
        <w:tab/>
      </w:r>
      <w:proofErr w:type="gramStart"/>
      <w:r w:rsidRPr="00503AD5">
        <w:rPr>
          <w:color w:val="auto"/>
        </w:rPr>
        <w:t>a.  Separation</w:t>
      </w:r>
      <w:proofErr w:type="gramEnd"/>
      <w:r w:rsidRPr="00503AD5">
        <w:rPr>
          <w:color w:val="auto"/>
        </w:rPr>
        <w:t xml:space="preserve"> from the Naval service due to physical disability rated at 20 percent (increased from 10 percent) effective 31 October 2003.</w:t>
      </w:r>
    </w:p>
    <w:p w:rsidR="00503AD5" w:rsidRPr="00503AD5" w:rsidRDefault="00503AD5" w:rsidP="00503AD5">
      <w:pPr>
        <w:rPr>
          <w:color w:val="auto"/>
        </w:rPr>
      </w:pPr>
    </w:p>
    <w:p w:rsidR="00503AD5" w:rsidRPr="00503AD5" w:rsidRDefault="00503AD5" w:rsidP="00503AD5">
      <w:pPr>
        <w:rPr>
          <w:color w:val="auto"/>
        </w:rPr>
      </w:pPr>
      <w:r w:rsidRPr="00503AD5">
        <w:rPr>
          <w:color w:val="auto"/>
        </w:rPr>
        <w:t>3.  Please ensure all necessary actions are taken to implement this decision including notification to the subject member once those actions are completed.</w:t>
      </w:r>
    </w:p>
    <w:p w:rsidR="00503AD5" w:rsidRPr="00503AD5" w:rsidRDefault="00503AD5" w:rsidP="00503AD5">
      <w:pPr>
        <w:rPr>
          <w:color w:val="auto"/>
        </w:rPr>
      </w:pPr>
    </w:p>
    <w:p w:rsidR="00503AD5" w:rsidRPr="00503AD5" w:rsidRDefault="00503AD5" w:rsidP="00503AD5">
      <w:pPr>
        <w:rPr>
          <w:color w:val="auto"/>
        </w:rPr>
      </w:pPr>
    </w:p>
    <w:p w:rsidR="00503AD5" w:rsidRPr="00503AD5" w:rsidRDefault="00503AD5" w:rsidP="00503AD5">
      <w:pPr>
        <w:rPr>
          <w:color w:val="auto"/>
        </w:rPr>
      </w:pPr>
    </w:p>
    <w:p w:rsidR="00503AD5" w:rsidRPr="00503AD5" w:rsidRDefault="00503AD5" w:rsidP="00503AD5">
      <w:pPr>
        <w:tabs>
          <w:tab w:val="left" w:pos="4680"/>
        </w:tabs>
        <w:rPr>
          <w:color w:val="auto"/>
        </w:rPr>
      </w:pPr>
      <w:r w:rsidRPr="00503AD5">
        <w:rPr>
          <w:color w:val="auto"/>
        </w:rPr>
        <w:tab/>
      </w:r>
    </w:p>
    <w:p w:rsidR="00503AD5" w:rsidRPr="00503AD5" w:rsidRDefault="00503AD5" w:rsidP="00503AD5">
      <w:pPr>
        <w:tabs>
          <w:tab w:val="left" w:pos="4680"/>
        </w:tabs>
        <w:rPr>
          <w:color w:val="auto"/>
        </w:rPr>
      </w:pPr>
      <w:r w:rsidRPr="00503AD5">
        <w:rPr>
          <w:color w:val="auto"/>
        </w:rPr>
        <w:tab/>
        <w:t>Assistant General Counsel</w:t>
      </w:r>
    </w:p>
    <w:p w:rsidR="00503AD5" w:rsidRPr="00503AD5" w:rsidRDefault="00503AD5" w:rsidP="00503AD5">
      <w:pPr>
        <w:tabs>
          <w:tab w:val="left" w:pos="4680"/>
        </w:tabs>
        <w:rPr>
          <w:color w:val="auto"/>
        </w:rPr>
      </w:pPr>
      <w:r w:rsidRPr="00503AD5">
        <w:rPr>
          <w:color w:val="auto"/>
        </w:rPr>
        <w:tab/>
        <w:t xml:space="preserve">  (Manpower &amp; Reserve Affairs)</w:t>
      </w:r>
    </w:p>
    <w:p w:rsidR="00503AD5" w:rsidRDefault="00503AD5" w:rsidP="00503AD5"/>
    <w:p w:rsidR="00503AD5" w:rsidRDefault="00503AD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503AD5"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04" w:rsidRDefault="00F34804">
      <w:r>
        <w:separator/>
      </w:r>
    </w:p>
  </w:endnote>
  <w:endnote w:type="continuationSeparator" w:id="0">
    <w:p w:rsidR="00F34804" w:rsidRDefault="00F3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8705A" w:rsidRPr="00684CE6" w:rsidRDefault="00407BFE" w:rsidP="00F65ED5">
        <w:pPr>
          <w:pStyle w:val="Footer"/>
          <w:jc w:val="right"/>
          <w:rPr>
            <w:color w:val="auto"/>
          </w:rPr>
        </w:pPr>
        <w:r w:rsidRPr="00684CE6">
          <w:rPr>
            <w:color w:val="auto"/>
          </w:rPr>
          <w:fldChar w:fldCharType="begin"/>
        </w:r>
        <w:r w:rsidR="0078705A" w:rsidRPr="00684CE6">
          <w:rPr>
            <w:color w:val="auto"/>
          </w:rPr>
          <w:instrText xml:space="preserve"> PAGE   \* MERGEFORMAT </w:instrText>
        </w:r>
        <w:r w:rsidRPr="00684CE6">
          <w:rPr>
            <w:color w:val="auto"/>
          </w:rPr>
          <w:fldChar w:fldCharType="separate"/>
        </w:r>
        <w:r w:rsidR="00503AD5">
          <w:rPr>
            <w:noProof/>
            <w:color w:val="auto"/>
          </w:rPr>
          <w:t>2</w:t>
        </w:r>
        <w:r w:rsidRPr="00684CE6">
          <w:rPr>
            <w:color w:val="auto"/>
          </w:rPr>
          <w:fldChar w:fldCharType="end"/>
        </w:r>
        <w:r w:rsidR="0078705A" w:rsidRPr="00684CE6">
          <w:rPr>
            <w:color w:val="auto"/>
          </w:rPr>
          <w:t xml:space="preserve">                                                           </w:t>
        </w:r>
        <w:r w:rsidR="0078705A" w:rsidRPr="005125F0">
          <w:rPr>
            <w:color w:val="auto"/>
          </w:rPr>
          <w:t>PD0900680</w:t>
        </w:r>
      </w:p>
    </w:sdtContent>
  </w:sdt>
  <w:p w:rsidR="0078705A" w:rsidRPr="00684CE6" w:rsidRDefault="0078705A">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5A" w:rsidRPr="00DB4A6D" w:rsidRDefault="0078705A" w:rsidP="00DB4A6D">
    <w:pPr>
      <w:pStyle w:val="Footer"/>
      <w:rPr>
        <w:color w:val="auto"/>
      </w:rPr>
    </w:pPr>
    <w:r w:rsidRPr="00DB4A6D">
      <w:rPr>
        <w:color w:val="auto"/>
      </w:rPr>
      <w:tab/>
      <w:t>1</w:t>
    </w:r>
  </w:p>
  <w:p w:rsidR="0078705A" w:rsidRPr="009F020F" w:rsidRDefault="0078705A"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04" w:rsidRDefault="00F34804">
      <w:r>
        <w:separator/>
      </w:r>
    </w:p>
  </w:footnote>
  <w:footnote w:type="continuationSeparator" w:id="0">
    <w:p w:rsidR="00F34804" w:rsidRDefault="00F34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07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C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9D2"/>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6ED"/>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0EFA"/>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4DD"/>
    <w:rsid w:val="00190E48"/>
    <w:rsid w:val="0019273F"/>
    <w:rsid w:val="00193814"/>
    <w:rsid w:val="00193AAB"/>
    <w:rsid w:val="00193AD5"/>
    <w:rsid w:val="00194930"/>
    <w:rsid w:val="00195AAC"/>
    <w:rsid w:val="001A025E"/>
    <w:rsid w:val="001A08CD"/>
    <w:rsid w:val="001A0A1E"/>
    <w:rsid w:val="001A2182"/>
    <w:rsid w:val="001A323E"/>
    <w:rsid w:val="001A3D14"/>
    <w:rsid w:val="001A4142"/>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68C"/>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45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674BB"/>
    <w:rsid w:val="00270864"/>
    <w:rsid w:val="002712F7"/>
    <w:rsid w:val="0027159C"/>
    <w:rsid w:val="002722F2"/>
    <w:rsid w:val="00274549"/>
    <w:rsid w:val="00274E46"/>
    <w:rsid w:val="002752AE"/>
    <w:rsid w:val="002769AF"/>
    <w:rsid w:val="00276C86"/>
    <w:rsid w:val="00276FD0"/>
    <w:rsid w:val="00277217"/>
    <w:rsid w:val="00280048"/>
    <w:rsid w:val="002810A4"/>
    <w:rsid w:val="00282CF7"/>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362"/>
    <w:rsid w:val="00300A36"/>
    <w:rsid w:val="00301B45"/>
    <w:rsid w:val="00302FC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5F9A"/>
    <w:rsid w:val="00336805"/>
    <w:rsid w:val="00337351"/>
    <w:rsid w:val="00341A54"/>
    <w:rsid w:val="00344A4F"/>
    <w:rsid w:val="00344D17"/>
    <w:rsid w:val="0034669F"/>
    <w:rsid w:val="003502E9"/>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F13"/>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D6B"/>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5E1E"/>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07BFE"/>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4D2E"/>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25DB"/>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2F55"/>
    <w:rsid w:val="004A3214"/>
    <w:rsid w:val="004A4136"/>
    <w:rsid w:val="004A417B"/>
    <w:rsid w:val="004A4378"/>
    <w:rsid w:val="004A58A3"/>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8C8"/>
    <w:rsid w:val="004F5A1A"/>
    <w:rsid w:val="004F77A3"/>
    <w:rsid w:val="005000AB"/>
    <w:rsid w:val="00500F3C"/>
    <w:rsid w:val="005025EE"/>
    <w:rsid w:val="00503AD5"/>
    <w:rsid w:val="00503DDF"/>
    <w:rsid w:val="00505524"/>
    <w:rsid w:val="00506688"/>
    <w:rsid w:val="00510588"/>
    <w:rsid w:val="00510F9C"/>
    <w:rsid w:val="0051146C"/>
    <w:rsid w:val="0051220B"/>
    <w:rsid w:val="00512253"/>
    <w:rsid w:val="00512484"/>
    <w:rsid w:val="005125F0"/>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1794"/>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01F"/>
    <w:rsid w:val="005738F5"/>
    <w:rsid w:val="00573D34"/>
    <w:rsid w:val="00575963"/>
    <w:rsid w:val="00575EBE"/>
    <w:rsid w:val="0058039C"/>
    <w:rsid w:val="00580A63"/>
    <w:rsid w:val="00583379"/>
    <w:rsid w:val="0058417C"/>
    <w:rsid w:val="00586EC6"/>
    <w:rsid w:val="00587DDE"/>
    <w:rsid w:val="005925D4"/>
    <w:rsid w:val="00593043"/>
    <w:rsid w:val="00595B60"/>
    <w:rsid w:val="00595BF0"/>
    <w:rsid w:val="00597E16"/>
    <w:rsid w:val="005A0B1D"/>
    <w:rsid w:val="005A1846"/>
    <w:rsid w:val="005A258C"/>
    <w:rsid w:val="005A3560"/>
    <w:rsid w:val="005A3C08"/>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733"/>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C7321"/>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2AD2"/>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063"/>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705A"/>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C51"/>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8E2"/>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075"/>
    <w:rsid w:val="00891BBA"/>
    <w:rsid w:val="00892079"/>
    <w:rsid w:val="00892B90"/>
    <w:rsid w:val="00895823"/>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1EB8"/>
    <w:rsid w:val="008C22F3"/>
    <w:rsid w:val="008C3FD0"/>
    <w:rsid w:val="008C4F01"/>
    <w:rsid w:val="008D1484"/>
    <w:rsid w:val="008D29E7"/>
    <w:rsid w:val="008D5104"/>
    <w:rsid w:val="008D64DE"/>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3A1A"/>
    <w:rsid w:val="00914ADB"/>
    <w:rsid w:val="00917182"/>
    <w:rsid w:val="00923B25"/>
    <w:rsid w:val="0092402E"/>
    <w:rsid w:val="009259BA"/>
    <w:rsid w:val="00926FCB"/>
    <w:rsid w:val="009303BB"/>
    <w:rsid w:val="0093108A"/>
    <w:rsid w:val="00931951"/>
    <w:rsid w:val="0093311A"/>
    <w:rsid w:val="009346D0"/>
    <w:rsid w:val="00940E41"/>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2D0"/>
    <w:rsid w:val="00985099"/>
    <w:rsid w:val="00985D32"/>
    <w:rsid w:val="00986514"/>
    <w:rsid w:val="00986FCC"/>
    <w:rsid w:val="009935C3"/>
    <w:rsid w:val="0099421F"/>
    <w:rsid w:val="00994A03"/>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B2A"/>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0A2"/>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226"/>
    <w:rsid w:val="00AB1754"/>
    <w:rsid w:val="00AB1F8D"/>
    <w:rsid w:val="00AB27DD"/>
    <w:rsid w:val="00AB54EB"/>
    <w:rsid w:val="00AB592E"/>
    <w:rsid w:val="00AC0403"/>
    <w:rsid w:val="00AC37BE"/>
    <w:rsid w:val="00AC439D"/>
    <w:rsid w:val="00AC62CC"/>
    <w:rsid w:val="00AC713F"/>
    <w:rsid w:val="00AC7329"/>
    <w:rsid w:val="00AC7D96"/>
    <w:rsid w:val="00AD00E4"/>
    <w:rsid w:val="00AD067E"/>
    <w:rsid w:val="00AD06BD"/>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0"/>
    <w:rsid w:val="00B14FAA"/>
    <w:rsid w:val="00B15BED"/>
    <w:rsid w:val="00B15D30"/>
    <w:rsid w:val="00B16D18"/>
    <w:rsid w:val="00B177DE"/>
    <w:rsid w:val="00B20624"/>
    <w:rsid w:val="00B211F8"/>
    <w:rsid w:val="00B23436"/>
    <w:rsid w:val="00B237F1"/>
    <w:rsid w:val="00B23F10"/>
    <w:rsid w:val="00B24243"/>
    <w:rsid w:val="00B24328"/>
    <w:rsid w:val="00B24ED4"/>
    <w:rsid w:val="00B24F33"/>
    <w:rsid w:val="00B26354"/>
    <w:rsid w:val="00B26CA0"/>
    <w:rsid w:val="00B274F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BC1"/>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996"/>
    <w:rsid w:val="00C13B34"/>
    <w:rsid w:val="00C13D97"/>
    <w:rsid w:val="00C13F26"/>
    <w:rsid w:val="00C1474E"/>
    <w:rsid w:val="00C14C37"/>
    <w:rsid w:val="00C157AA"/>
    <w:rsid w:val="00C162E1"/>
    <w:rsid w:val="00C16BE4"/>
    <w:rsid w:val="00C16E9F"/>
    <w:rsid w:val="00C1713D"/>
    <w:rsid w:val="00C17523"/>
    <w:rsid w:val="00C177F1"/>
    <w:rsid w:val="00C17EE6"/>
    <w:rsid w:val="00C217F7"/>
    <w:rsid w:val="00C226BD"/>
    <w:rsid w:val="00C2272E"/>
    <w:rsid w:val="00C22F3A"/>
    <w:rsid w:val="00C23311"/>
    <w:rsid w:val="00C23401"/>
    <w:rsid w:val="00C24AD9"/>
    <w:rsid w:val="00C25978"/>
    <w:rsid w:val="00C261C6"/>
    <w:rsid w:val="00C26621"/>
    <w:rsid w:val="00C26E7C"/>
    <w:rsid w:val="00C276CD"/>
    <w:rsid w:val="00C27827"/>
    <w:rsid w:val="00C27FF5"/>
    <w:rsid w:val="00C30A97"/>
    <w:rsid w:val="00C31DDC"/>
    <w:rsid w:val="00C3223A"/>
    <w:rsid w:val="00C32F1F"/>
    <w:rsid w:val="00C34168"/>
    <w:rsid w:val="00C34326"/>
    <w:rsid w:val="00C349E0"/>
    <w:rsid w:val="00C34CEB"/>
    <w:rsid w:val="00C35AEE"/>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CE1"/>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6FC3"/>
    <w:rsid w:val="00C87BE6"/>
    <w:rsid w:val="00C87F76"/>
    <w:rsid w:val="00C87F8E"/>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3E9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6C14"/>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20A"/>
    <w:rsid w:val="00D60483"/>
    <w:rsid w:val="00D61ABB"/>
    <w:rsid w:val="00D62D5C"/>
    <w:rsid w:val="00D63577"/>
    <w:rsid w:val="00D67FD7"/>
    <w:rsid w:val="00D72410"/>
    <w:rsid w:val="00D73D53"/>
    <w:rsid w:val="00D7408A"/>
    <w:rsid w:val="00D74261"/>
    <w:rsid w:val="00D7441B"/>
    <w:rsid w:val="00D75589"/>
    <w:rsid w:val="00D76AB2"/>
    <w:rsid w:val="00D80490"/>
    <w:rsid w:val="00D80B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560"/>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447"/>
    <w:rsid w:val="00DC5B37"/>
    <w:rsid w:val="00DD286D"/>
    <w:rsid w:val="00DD2CAF"/>
    <w:rsid w:val="00DD3593"/>
    <w:rsid w:val="00DD64E0"/>
    <w:rsid w:val="00DD7BE0"/>
    <w:rsid w:val="00DE0C67"/>
    <w:rsid w:val="00DE3AAD"/>
    <w:rsid w:val="00DE49B5"/>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278E4"/>
    <w:rsid w:val="00E322F7"/>
    <w:rsid w:val="00E3369B"/>
    <w:rsid w:val="00E362D2"/>
    <w:rsid w:val="00E36D76"/>
    <w:rsid w:val="00E371A9"/>
    <w:rsid w:val="00E40478"/>
    <w:rsid w:val="00E405EA"/>
    <w:rsid w:val="00E408B7"/>
    <w:rsid w:val="00E41637"/>
    <w:rsid w:val="00E42789"/>
    <w:rsid w:val="00E43F59"/>
    <w:rsid w:val="00E464F0"/>
    <w:rsid w:val="00E46EF3"/>
    <w:rsid w:val="00E47370"/>
    <w:rsid w:val="00E473E9"/>
    <w:rsid w:val="00E47B47"/>
    <w:rsid w:val="00E50BEB"/>
    <w:rsid w:val="00E53509"/>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947"/>
    <w:rsid w:val="00E8608F"/>
    <w:rsid w:val="00E86C1D"/>
    <w:rsid w:val="00E9763D"/>
    <w:rsid w:val="00EA0142"/>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7A5"/>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804"/>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9A9"/>
    <w:rsid w:val="00F67E31"/>
    <w:rsid w:val="00F718A8"/>
    <w:rsid w:val="00F72183"/>
    <w:rsid w:val="00F72425"/>
    <w:rsid w:val="00F76D01"/>
    <w:rsid w:val="00F80B43"/>
    <w:rsid w:val="00F81C35"/>
    <w:rsid w:val="00F82981"/>
    <w:rsid w:val="00F8311F"/>
    <w:rsid w:val="00F83248"/>
    <w:rsid w:val="00F83376"/>
    <w:rsid w:val="00F853AE"/>
    <w:rsid w:val="00F908D5"/>
    <w:rsid w:val="00F913B9"/>
    <w:rsid w:val="00F93C74"/>
    <w:rsid w:val="00F93DCC"/>
    <w:rsid w:val="00F9435D"/>
    <w:rsid w:val="00F95605"/>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B92"/>
    <w:rsid w:val="00FD2C80"/>
    <w:rsid w:val="00FD5059"/>
    <w:rsid w:val="00FD554D"/>
    <w:rsid w:val="00FD5BCC"/>
    <w:rsid w:val="00FD7B23"/>
    <w:rsid w:val="00FE2A48"/>
    <w:rsid w:val="00FE5D0A"/>
    <w:rsid w:val="00FE6469"/>
    <w:rsid w:val="00FF05D0"/>
    <w:rsid w:val="00FF06CE"/>
    <w:rsid w:val="00FF0FF7"/>
    <w:rsid w:val="00FF1022"/>
    <w:rsid w:val="00FF10A2"/>
    <w:rsid w:val="00FF1438"/>
    <w:rsid w:val="00FF23D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13301428">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214D-D0F7-4E98-A8A4-4615B15A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2012-03-08T16:58:00Z</dcterms:created>
  <dcterms:modified xsi:type="dcterms:W3CDTF">2012-03-08T16:58:00Z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