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670" w:rsidRPr="00DC76F0" w:rsidRDefault="00540BEF" w:rsidP="00F46D3F">
      <w:pPr>
        <w:tabs>
          <w:tab w:val="left" w:pos="288"/>
          <w:tab w:val="left" w:pos="4752"/>
        </w:tabs>
        <w:spacing w:line="240" w:lineRule="exact"/>
        <w:jc w:val="center"/>
        <w:rPr>
          <w:rFonts w:asciiTheme="minorHAnsi" w:hAnsiTheme="minorHAnsi"/>
          <w:color w:val="auto"/>
        </w:rPr>
      </w:pPr>
      <w:r w:rsidRPr="00DC76F0">
        <w:rPr>
          <w:rFonts w:asciiTheme="minorHAnsi" w:hAnsiTheme="minorHAnsi"/>
          <w:color w:val="auto"/>
        </w:rPr>
        <w:t>RECORD OF PROCEEDINGS</w:t>
      </w:r>
    </w:p>
    <w:p w:rsidR="00540BEF" w:rsidRPr="00DC76F0" w:rsidRDefault="00540BEF" w:rsidP="00F46D3F">
      <w:pPr>
        <w:tabs>
          <w:tab w:val="left" w:pos="288"/>
          <w:tab w:val="left" w:pos="4752"/>
        </w:tabs>
        <w:spacing w:line="240" w:lineRule="exact"/>
        <w:jc w:val="center"/>
        <w:rPr>
          <w:rFonts w:asciiTheme="minorHAnsi" w:hAnsiTheme="minorHAnsi"/>
          <w:color w:val="auto"/>
        </w:rPr>
      </w:pPr>
      <w:r w:rsidRPr="00DC76F0">
        <w:rPr>
          <w:rFonts w:asciiTheme="minorHAnsi" w:hAnsiTheme="minorHAnsi"/>
          <w:color w:val="auto"/>
        </w:rPr>
        <w:t>PHYSICAL DISABILITY BOARD OF REVIEW</w:t>
      </w:r>
    </w:p>
    <w:p w:rsidR="00540BEF" w:rsidRPr="00DC76F0" w:rsidRDefault="00540BEF" w:rsidP="00C52CC8">
      <w:pPr>
        <w:tabs>
          <w:tab w:val="left" w:pos="288"/>
          <w:tab w:val="left" w:pos="4752"/>
        </w:tabs>
        <w:spacing w:line="240" w:lineRule="exact"/>
        <w:jc w:val="both"/>
        <w:rPr>
          <w:rFonts w:asciiTheme="minorHAnsi" w:hAnsiTheme="minorHAnsi"/>
          <w:caps/>
          <w:color w:val="auto"/>
        </w:rPr>
      </w:pPr>
    </w:p>
    <w:p w:rsidR="00B34E67" w:rsidRPr="00DC76F0" w:rsidRDefault="00540BEF" w:rsidP="00C52CC8">
      <w:pPr>
        <w:tabs>
          <w:tab w:val="left" w:pos="288"/>
          <w:tab w:val="left" w:pos="4752"/>
          <w:tab w:val="left" w:pos="5130"/>
          <w:tab w:val="left" w:pos="9270"/>
        </w:tabs>
        <w:spacing w:line="240" w:lineRule="exact"/>
        <w:jc w:val="both"/>
        <w:rPr>
          <w:rFonts w:asciiTheme="minorHAnsi" w:hAnsiTheme="minorHAnsi"/>
          <w:caps/>
          <w:color w:val="auto"/>
        </w:rPr>
      </w:pPr>
      <w:r w:rsidRPr="00DC76F0">
        <w:rPr>
          <w:rFonts w:asciiTheme="minorHAnsi" w:hAnsiTheme="minorHAnsi"/>
          <w:caps/>
          <w:color w:val="auto"/>
        </w:rPr>
        <w:t>NAME:</w:t>
      </w:r>
      <w:r w:rsidR="00F10CBA" w:rsidRPr="00DC76F0">
        <w:rPr>
          <w:rFonts w:asciiTheme="minorHAnsi" w:hAnsiTheme="minorHAnsi"/>
          <w:caps/>
          <w:color w:val="auto"/>
        </w:rPr>
        <w:t xml:space="preserve"> </w:t>
      </w:r>
      <w:r w:rsidR="00F46D3F" w:rsidRPr="00DC76F0">
        <w:rPr>
          <w:rFonts w:asciiTheme="minorHAnsi" w:hAnsiTheme="minorHAnsi"/>
          <w:caps/>
          <w:color w:val="auto"/>
        </w:rPr>
        <w:t xml:space="preserve"> </w:t>
      </w:r>
      <w:r w:rsidR="00D91188">
        <w:rPr>
          <w:rFonts w:asciiTheme="minorHAnsi" w:hAnsiTheme="minorHAnsi"/>
          <w:caps/>
          <w:color w:val="auto"/>
        </w:rPr>
        <w:t>XXXXXXX</w:t>
      </w:r>
      <w:r w:rsidRPr="00DC76F0">
        <w:rPr>
          <w:rFonts w:asciiTheme="minorHAnsi" w:hAnsiTheme="minorHAnsi"/>
          <w:caps/>
          <w:color w:val="auto"/>
        </w:rPr>
        <w:tab/>
      </w:r>
      <w:r w:rsidR="00B34E67" w:rsidRPr="00DC76F0">
        <w:rPr>
          <w:rFonts w:asciiTheme="minorHAnsi" w:hAnsiTheme="minorHAnsi"/>
          <w:caps/>
          <w:color w:val="auto"/>
        </w:rPr>
        <w:t xml:space="preserve">     </w:t>
      </w:r>
      <w:r w:rsidR="00A3072F">
        <w:rPr>
          <w:rFonts w:asciiTheme="minorHAnsi" w:hAnsiTheme="minorHAnsi"/>
          <w:caps/>
          <w:color w:val="auto"/>
        </w:rPr>
        <w:tab/>
        <w:t xml:space="preserve">        </w:t>
      </w:r>
      <w:r w:rsidRPr="00DC76F0">
        <w:rPr>
          <w:rFonts w:asciiTheme="minorHAnsi" w:hAnsiTheme="minorHAnsi"/>
          <w:caps/>
          <w:color w:val="auto"/>
        </w:rPr>
        <w:t xml:space="preserve">BRANCH OF SERVICE: </w:t>
      </w:r>
      <w:r w:rsidR="00E1012B" w:rsidRPr="00DC76F0">
        <w:rPr>
          <w:rFonts w:asciiTheme="minorHAnsi" w:hAnsiTheme="minorHAnsi"/>
          <w:caps/>
          <w:color w:val="auto"/>
        </w:rPr>
        <w:t xml:space="preserve"> </w:t>
      </w:r>
      <w:r w:rsidR="00B34E67" w:rsidRPr="00DC76F0">
        <w:rPr>
          <w:rFonts w:asciiTheme="minorHAnsi" w:hAnsiTheme="minorHAnsi"/>
          <w:caps/>
          <w:color w:val="auto"/>
        </w:rPr>
        <w:t>Marine corps</w:t>
      </w:r>
    </w:p>
    <w:p w:rsidR="00540BEF" w:rsidRPr="00DC76F0" w:rsidRDefault="00540BEF" w:rsidP="00C52CC8">
      <w:pPr>
        <w:tabs>
          <w:tab w:val="left" w:pos="288"/>
          <w:tab w:val="left" w:pos="4752"/>
        </w:tabs>
        <w:spacing w:line="240" w:lineRule="exact"/>
        <w:ind w:right="-900"/>
        <w:jc w:val="both"/>
        <w:rPr>
          <w:rFonts w:asciiTheme="minorHAnsi" w:hAnsiTheme="minorHAnsi"/>
          <w:caps/>
          <w:color w:val="auto"/>
        </w:rPr>
      </w:pPr>
      <w:r w:rsidRPr="00DC76F0">
        <w:rPr>
          <w:rFonts w:asciiTheme="minorHAnsi" w:hAnsiTheme="minorHAnsi"/>
          <w:caps/>
          <w:color w:val="auto"/>
        </w:rPr>
        <w:t>CASE NUMBER:  PD</w:t>
      </w:r>
      <w:r w:rsidR="00F10CBA" w:rsidRPr="00DC76F0">
        <w:rPr>
          <w:rFonts w:asciiTheme="minorHAnsi" w:hAnsiTheme="minorHAnsi"/>
          <w:caps/>
          <w:color w:val="auto"/>
        </w:rPr>
        <w:t>0900678</w:t>
      </w:r>
      <w:r w:rsidR="00A3072F">
        <w:rPr>
          <w:rFonts w:asciiTheme="minorHAnsi" w:hAnsiTheme="minorHAnsi"/>
          <w:caps/>
          <w:color w:val="auto"/>
        </w:rPr>
        <w:tab/>
      </w:r>
      <w:r w:rsidR="00A3072F">
        <w:rPr>
          <w:rFonts w:asciiTheme="minorHAnsi" w:hAnsiTheme="minorHAnsi"/>
          <w:caps/>
          <w:color w:val="auto"/>
        </w:rPr>
        <w:tab/>
      </w:r>
      <w:r w:rsidR="00A3072F">
        <w:rPr>
          <w:rFonts w:asciiTheme="minorHAnsi" w:hAnsiTheme="minorHAnsi"/>
          <w:caps/>
          <w:color w:val="auto"/>
        </w:rPr>
        <w:tab/>
      </w:r>
      <w:r w:rsidR="007D2AA1">
        <w:rPr>
          <w:rFonts w:asciiTheme="minorHAnsi" w:hAnsiTheme="minorHAnsi"/>
          <w:caps/>
          <w:color w:val="auto"/>
        </w:rPr>
        <w:t xml:space="preserve"> </w:t>
      </w:r>
      <w:r w:rsidR="00A3072F">
        <w:rPr>
          <w:rFonts w:asciiTheme="minorHAnsi" w:hAnsiTheme="minorHAnsi"/>
          <w:caps/>
          <w:color w:val="auto"/>
        </w:rPr>
        <w:t xml:space="preserve">  </w:t>
      </w:r>
      <w:r w:rsidR="007D2AA1">
        <w:rPr>
          <w:rFonts w:asciiTheme="minorHAnsi" w:hAnsiTheme="minorHAnsi"/>
          <w:caps/>
          <w:color w:val="auto"/>
        </w:rPr>
        <w:t xml:space="preserve">       </w:t>
      </w:r>
      <w:r w:rsidR="00C22F3A" w:rsidRPr="00DC76F0">
        <w:rPr>
          <w:rFonts w:asciiTheme="minorHAnsi" w:hAnsiTheme="minorHAnsi"/>
          <w:caps/>
          <w:color w:val="auto"/>
        </w:rPr>
        <w:t xml:space="preserve">SEPARATION DATE: </w:t>
      </w:r>
      <w:r w:rsidR="00F46D3F" w:rsidRPr="00DC76F0">
        <w:rPr>
          <w:rFonts w:asciiTheme="minorHAnsi" w:hAnsiTheme="minorHAnsi"/>
          <w:caps/>
          <w:color w:val="auto"/>
        </w:rPr>
        <w:t xml:space="preserve"> </w:t>
      </w:r>
      <w:r w:rsidR="00B34E67" w:rsidRPr="00DC76F0">
        <w:rPr>
          <w:rFonts w:asciiTheme="minorHAnsi" w:hAnsiTheme="minorHAnsi"/>
          <w:caps/>
          <w:color w:val="auto"/>
        </w:rPr>
        <w:t>20070228</w:t>
      </w:r>
    </w:p>
    <w:p w:rsidR="00540BEF" w:rsidRPr="00DC76F0" w:rsidRDefault="00540BEF" w:rsidP="00C52CC8">
      <w:pPr>
        <w:tabs>
          <w:tab w:val="left" w:pos="288"/>
          <w:tab w:val="left" w:pos="4752"/>
        </w:tabs>
        <w:spacing w:line="240" w:lineRule="exact"/>
        <w:jc w:val="both"/>
        <w:rPr>
          <w:rFonts w:asciiTheme="minorHAnsi" w:hAnsiTheme="minorHAnsi"/>
          <w:caps/>
          <w:color w:val="auto"/>
        </w:rPr>
      </w:pPr>
      <w:r w:rsidRPr="00DC76F0">
        <w:rPr>
          <w:rFonts w:asciiTheme="minorHAnsi" w:hAnsiTheme="minorHAnsi"/>
          <w:caps/>
          <w:color w:val="auto"/>
        </w:rPr>
        <w:t xml:space="preserve">BOARD DATE: </w:t>
      </w:r>
      <w:r w:rsidR="00F46D3F" w:rsidRPr="00DC76F0">
        <w:rPr>
          <w:rFonts w:asciiTheme="minorHAnsi" w:hAnsiTheme="minorHAnsi"/>
          <w:caps/>
          <w:color w:val="auto"/>
        </w:rPr>
        <w:t xml:space="preserve"> </w:t>
      </w:r>
      <w:r w:rsidR="000F02BE" w:rsidRPr="00DC76F0">
        <w:rPr>
          <w:rFonts w:asciiTheme="minorHAnsi" w:hAnsiTheme="minorHAnsi"/>
          <w:caps/>
          <w:color w:val="auto"/>
        </w:rPr>
        <w:t>201</w:t>
      </w:r>
      <w:r w:rsidR="005B6643" w:rsidRPr="00DC76F0">
        <w:rPr>
          <w:rFonts w:asciiTheme="minorHAnsi" w:hAnsiTheme="minorHAnsi"/>
          <w:caps/>
          <w:color w:val="auto"/>
        </w:rPr>
        <w:t>1</w:t>
      </w:r>
      <w:r w:rsidR="00DC76F0" w:rsidRPr="00DC76F0">
        <w:rPr>
          <w:rFonts w:asciiTheme="minorHAnsi" w:hAnsiTheme="minorHAnsi"/>
          <w:caps/>
          <w:color w:val="auto"/>
        </w:rPr>
        <w:t>0406</w:t>
      </w:r>
      <w:r w:rsidRPr="00DC76F0">
        <w:rPr>
          <w:rFonts w:asciiTheme="minorHAnsi" w:hAnsiTheme="minorHAnsi"/>
          <w:caps/>
          <w:color w:val="auto"/>
        </w:rPr>
        <w:tab/>
      </w:r>
      <w:r w:rsidRPr="00DC76F0">
        <w:rPr>
          <w:rFonts w:asciiTheme="minorHAnsi" w:hAnsiTheme="minorHAnsi"/>
          <w:caps/>
          <w:color w:val="auto"/>
        </w:rPr>
        <w:tab/>
      </w:r>
    </w:p>
    <w:p w:rsidR="00540BEF" w:rsidRPr="00DC76F0" w:rsidRDefault="00540BEF" w:rsidP="00C52CC8">
      <w:pPr>
        <w:tabs>
          <w:tab w:val="left" w:pos="288"/>
          <w:tab w:val="left" w:pos="4752"/>
        </w:tabs>
        <w:spacing w:line="240" w:lineRule="exact"/>
        <w:jc w:val="both"/>
        <w:rPr>
          <w:rFonts w:asciiTheme="minorHAnsi" w:hAnsiTheme="minorHAnsi"/>
          <w:caps/>
          <w:color w:val="auto"/>
        </w:rPr>
      </w:pPr>
      <w:r w:rsidRPr="00DC76F0">
        <w:rPr>
          <w:rFonts w:asciiTheme="minorHAnsi" w:hAnsiTheme="minorHAnsi"/>
          <w:color w:val="auto"/>
          <w:u w:val="single"/>
        </w:rPr>
        <w:t>_______________________________________________________________</w:t>
      </w:r>
      <w:r w:rsidRPr="00DC76F0">
        <w:rPr>
          <w:rFonts w:asciiTheme="minorHAnsi" w:hAnsiTheme="minorHAnsi"/>
          <w:color w:val="auto"/>
        </w:rPr>
        <w:t>_</w:t>
      </w:r>
      <w:r w:rsidR="00AC713F" w:rsidRPr="00DC76F0">
        <w:rPr>
          <w:rFonts w:asciiTheme="minorHAnsi" w:hAnsiTheme="minorHAnsi"/>
          <w:color w:val="auto"/>
        </w:rPr>
        <w:t>___________</w:t>
      </w:r>
      <w:r w:rsidR="00DC76F0">
        <w:rPr>
          <w:rFonts w:asciiTheme="minorHAnsi" w:hAnsiTheme="minorHAnsi"/>
          <w:color w:val="auto"/>
        </w:rPr>
        <w:t>___</w:t>
      </w:r>
    </w:p>
    <w:p w:rsidR="00B522CD" w:rsidRPr="00DC76F0" w:rsidRDefault="00B522CD" w:rsidP="00C52CC8">
      <w:pPr>
        <w:tabs>
          <w:tab w:val="left" w:pos="288"/>
          <w:tab w:val="left" w:pos="4752"/>
        </w:tabs>
        <w:spacing w:line="240" w:lineRule="exact"/>
        <w:jc w:val="both"/>
        <w:rPr>
          <w:color w:val="auto"/>
        </w:rPr>
      </w:pPr>
    </w:p>
    <w:p w:rsidR="00B34E67" w:rsidRPr="00DC76F0" w:rsidRDefault="002C6E5B" w:rsidP="00C52CC8">
      <w:pPr>
        <w:tabs>
          <w:tab w:val="left" w:pos="288"/>
          <w:tab w:val="left" w:pos="4752"/>
        </w:tabs>
        <w:spacing w:line="240" w:lineRule="exact"/>
        <w:jc w:val="both"/>
        <w:rPr>
          <w:rFonts w:asciiTheme="minorHAnsi" w:hAnsiTheme="minorHAnsi"/>
          <w:color w:val="auto"/>
        </w:rPr>
      </w:pPr>
      <w:r w:rsidRPr="00DC76F0">
        <w:rPr>
          <w:rFonts w:ascii="Calibri" w:hAnsi="Calibri"/>
          <w:color w:val="auto"/>
          <w:u w:val="single"/>
        </w:rPr>
        <w:t>SUMMARY OF CASE</w:t>
      </w:r>
      <w:r w:rsidRPr="00DC76F0">
        <w:rPr>
          <w:rFonts w:ascii="Calibri" w:hAnsi="Calibri"/>
          <w:color w:val="auto"/>
        </w:rPr>
        <w:t xml:space="preserve">: </w:t>
      </w:r>
      <w:r w:rsidR="007150EC" w:rsidRPr="00DC76F0">
        <w:rPr>
          <w:rFonts w:ascii="Calibri" w:hAnsi="Calibri"/>
          <w:color w:val="auto"/>
        </w:rPr>
        <w:t xml:space="preserve"> </w:t>
      </w:r>
      <w:r w:rsidR="00B34E67" w:rsidRPr="00DC76F0">
        <w:rPr>
          <w:rFonts w:asciiTheme="minorHAnsi" w:hAnsiTheme="minorHAnsi"/>
          <w:color w:val="auto"/>
        </w:rPr>
        <w:t xml:space="preserve">Data extracted from the available evidence of record reflects that this covered individual (CI) </w:t>
      </w:r>
      <w:r w:rsidR="00B34E67" w:rsidRPr="00DC76F0">
        <w:rPr>
          <w:rFonts w:asciiTheme="minorHAnsi" w:hAnsiTheme="minorHAnsi"/>
          <w:color w:val="auto"/>
          <w:szCs w:val="24"/>
        </w:rPr>
        <w:t xml:space="preserve">was an active duty </w:t>
      </w:r>
      <w:proofErr w:type="spellStart"/>
      <w:r w:rsidR="00B34E67" w:rsidRPr="00DC76F0">
        <w:rPr>
          <w:rFonts w:asciiTheme="minorHAnsi" w:hAnsiTheme="minorHAnsi"/>
          <w:color w:val="auto"/>
          <w:szCs w:val="24"/>
        </w:rPr>
        <w:t>LC</w:t>
      </w:r>
      <w:r w:rsidR="007150EC" w:rsidRPr="00DC76F0">
        <w:rPr>
          <w:rFonts w:asciiTheme="minorHAnsi" w:hAnsiTheme="minorHAnsi"/>
          <w:color w:val="auto"/>
          <w:szCs w:val="24"/>
        </w:rPr>
        <w:t>pl</w:t>
      </w:r>
      <w:proofErr w:type="spellEnd"/>
      <w:r w:rsidR="00B34E67" w:rsidRPr="00DC76F0">
        <w:rPr>
          <w:rFonts w:asciiTheme="minorHAnsi" w:hAnsiTheme="minorHAnsi"/>
          <w:color w:val="auto"/>
          <w:szCs w:val="24"/>
        </w:rPr>
        <w:t xml:space="preserve"> (1371</w:t>
      </w:r>
      <w:r w:rsidR="000F5E06">
        <w:rPr>
          <w:rFonts w:asciiTheme="minorHAnsi" w:hAnsiTheme="minorHAnsi"/>
          <w:color w:val="auto"/>
          <w:szCs w:val="24"/>
        </w:rPr>
        <w:t xml:space="preserve">, </w:t>
      </w:r>
      <w:r w:rsidR="00B34E67" w:rsidRPr="00DC76F0">
        <w:rPr>
          <w:rFonts w:asciiTheme="minorHAnsi" w:hAnsiTheme="minorHAnsi"/>
          <w:color w:val="auto"/>
          <w:szCs w:val="24"/>
        </w:rPr>
        <w:t>Combat Engineer) medically separated from the Marine</w:t>
      </w:r>
      <w:r w:rsidR="000F5E06">
        <w:rPr>
          <w:rFonts w:asciiTheme="minorHAnsi" w:hAnsiTheme="minorHAnsi"/>
          <w:color w:val="auto"/>
          <w:szCs w:val="24"/>
        </w:rPr>
        <w:t xml:space="preserve"> Corps</w:t>
      </w:r>
      <w:r w:rsidR="00B34E67" w:rsidRPr="00DC76F0">
        <w:rPr>
          <w:rFonts w:asciiTheme="minorHAnsi" w:hAnsiTheme="minorHAnsi"/>
          <w:color w:val="auto"/>
          <w:szCs w:val="24"/>
        </w:rPr>
        <w:t xml:space="preserve"> in 2007</w:t>
      </w:r>
      <w:r w:rsidR="00590284" w:rsidRPr="00DC76F0">
        <w:rPr>
          <w:rFonts w:asciiTheme="minorHAnsi" w:hAnsiTheme="minorHAnsi"/>
          <w:color w:val="auto"/>
          <w:szCs w:val="24"/>
        </w:rPr>
        <w:t>.</w:t>
      </w:r>
      <w:r w:rsidR="00B34E67" w:rsidRPr="00DC76F0">
        <w:rPr>
          <w:rFonts w:asciiTheme="minorHAnsi" w:hAnsiTheme="minorHAnsi"/>
          <w:color w:val="auto"/>
          <w:szCs w:val="24"/>
        </w:rPr>
        <w:t xml:space="preserve">  The medical basis for the separation was </w:t>
      </w:r>
      <w:r w:rsidR="000F5E06">
        <w:rPr>
          <w:rFonts w:asciiTheme="minorHAnsi" w:hAnsiTheme="minorHAnsi"/>
          <w:color w:val="auto"/>
          <w:szCs w:val="24"/>
        </w:rPr>
        <w:t>le</w:t>
      </w:r>
      <w:r w:rsidR="00B34E67" w:rsidRPr="00DC76F0">
        <w:rPr>
          <w:rFonts w:asciiTheme="minorHAnsi" w:hAnsiTheme="minorHAnsi"/>
          <w:color w:val="auto"/>
          <w:szCs w:val="24"/>
        </w:rPr>
        <w:t xml:space="preserve">ft </w:t>
      </w:r>
      <w:r w:rsidR="000F5E06">
        <w:rPr>
          <w:rFonts w:asciiTheme="minorHAnsi" w:hAnsiTheme="minorHAnsi"/>
          <w:color w:val="auto"/>
          <w:szCs w:val="24"/>
        </w:rPr>
        <w:t>h</w:t>
      </w:r>
      <w:r w:rsidR="00B34E67" w:rsidRPr="00DC76F0">
        <w:rPr>
          <w:rFonts w:asciiTheme="minorHAnsi" w:hAnsiTheme="minorHAnsi"/>
          <w:color w:val="auto"/>
          <w:szCs w:val="24"/>
        </w:rPr>
        <w:t xml:space="preserve">ip </w:t>
      </w:r>
      <w:proofErr w:type="spellStart"/>
      <w:r w:rsidR="000F5E06">
        <w:rPr>
          <w:rFonts w:asciiTheme="minorHAnsi" w:hAnsiTheme="minorHAnsi"/>
          <w:color w:val="auto"/>
          <w:szCs w:val="24"/>
        </w:rPr>
        <w:t>l</w:t>
      </w:r>
      <w:r w:rsidR="00B34E67" w:rsidRPr="00DC76F0">
        <w:rPr>
          <w:rFonts w:asciiTheme="minorHAnsi" w:hAnsiTheme="minorHAnsi"/>
          <w:color w:val="auto"/>
          <w:szCs w:val="24"/>
        </w:rPr>
        <w:t>abral</w:t>
      </w:r>
      <w:proofErr w:type="spellEnd"/>
      <w:r w:rsidR="00B34E67" w:rsidRPr="00DC76F0">
        <w:rPr>
          <w:rFonts w:asciiTheme="minorHAnsi" w:hAnsiTheme="minorHAnsi"/>
          <w:color w:val="auto"/>
          <w:szCs w:val="24"/>
        </w:rPr>
        <w:t xml:space="preserve"> </w:t>
      </w:r>
      <w:r w:rsidR="000F5E06">
        <w:rPr>
          <w:rFonts w:asciiTheme="minorHAnsi" w:hAnsiTheme="minorHAnsi"/>
          <w:color w:val="auto"/>
          <w:szCs w:val="24"/>
        </w:rPr>
        <w:t>t</w:t>
      </w:r>
      <w:r w:rsidR="00B34E67" w:rsidRPr="00DC76F0">
        <w:rPr>
          <w:rFonts w:asciiTheme="minorHAnsi" w:hAnsiTheme="minorHAnsi"/>
          <w:color w:val="auto"/>
          <w:szCs w:val="24"/>
        </w:rPr>
        <w:t xml:space="preserve">ear and </w:t>
      </w:r>
      <w:r w:rsidR="000F5E06">
        <w:rPr>
          <w:rFonts w:asciiTheme="minorHAnsi" w:hAnsiTheme="minorHAnsi"/>
          <w:color w:val="auto"/>
          <w:szCs w:val="24"/>
        </w:rPr>
        <w:t>h</w:t>
      </w:r>
      <w:r w:rsidR="00B34E67" w:rsidRPr="00DC76F0">
        <w:rPr>
          <w:rFonts w:asciiTheme="minorHAnsi" w:hAnsiTheme="minorHAnsi"/>
          <w:color w:val="auto"/>
          <w:szCs w:val="24"/>
        </w:rPr>
        <w:t xml:space="preserve">ealed </w:t>
      </w:r>
      <w:r w:rsidR="000F5E06">
        <w:rPr>
          <w:rFonts w:asciiTheme="minorHAnsi" w:hAnsiTheme="minorHAnsi"/>
          <w:color w:val="auto"/>
          <w:szCs w:val="24"/>
        </w:rPr>
        <w:t>l</w:t>
      </w:r>
      <w:r w:rsidR="00B34E67" w:rsidRPr="00DC76F0">
        <w:rPr>
          <w:rFonts w:asciiTheme="minorHAnsi" w:hAnsiTheme="minorHAnsi"/>
          <w:color w:val="auto"/>
          <w:szCs w:val="24"/>
        </w:rPr>
        <w:t xml:space="preserve">eft </w:t>
      </w:r>
      <w:r w:rsidR="000F5E06">
        <w:rPr>
          <w:rFonts w:asciiTheme="minorHAnsi" w:hAnsiTheme="minorHAnsi"/>
          <w:color w:val="auto"/>
          <w:szCs w:val="24"/>
        </w:rPr>
        <w:t>i</w:t>
      </w:r>
      <w:r w:rsidR="00B34E67" w:rsidRPr="00DC76F0">
        <w:rPr>
          <w:rFonts w:asciiTheme="minorHAnsi" w:hAnsiTheme="minorHAnsi"/>
          <w:color w:val="auto"/>
          <w:szCs w:val="24"/>
        </w:rPr>
        <w:t xml:space="preserve">nferior </w:t>
      </w:r>
      <w:r w:rsidR="000F5E06">
        <w:rPr>
          <w:rFonts w:asciiTheme="minorHAnsi" w:hAnsiTheme="minorHAnsi"/>
          <w:color w:val="auto"/>
          <w:szCs w:val="24"/>
        </w:rPr>
        <w:t>p</w:t>
      </w:r>
      <w:r w:rsidR="00B34E67" w:rsidRPr="00DC76F0">
        <w:rPr>
          <w:rFonts w:asciiTheme="minorHAnsi" w:hAnsiTheme="minorHAnsi"/>
          <w:color w:val="auto"/>
          <w:szCs w:val="24"/>
        </w:rPr>
        <w:t xml:space="preserve">ubic </w:t>
      </w:r>
      <w:proofErr w:type="spellStart"/>
      <w:r w:rsidR="000F5E06">
        <w:rPr>
          <w:rFonts w:asciiTheme="minorHAnsi" w:hAnsiTheme="minorHAnsi"/>
          <w:color w:val="auto"/>
          <w:szCs w:val="24"/>
        </w:rPr>
        <w:t>r</w:t>
      </w:r>
      <w:r w:rsidR="00B34E67" w:rsidRPr="00DC76F0">
        <w:rPr>
          <w:rFonts w:asciiTheme="minorHAnsi" w:hAnsiTheme="minorHAnsi"/>
          <w:color w:val="auto"/>
          <w:szCs w:val="24"/>
        </w:rPr>
        <w:t>amus</w:t>
      </w:r>
      <w:proofErr w:type="spellEnd"/>
      <w:r w:rsidR="00B34E67" w:rsidRPr="00DC76F0">
        <w:rPr>
          <w:rFonts w:asciiTheme="minorHAnsi" w:hAnsiTheme="minorHAnsi"/>
          <w:color w:val="auto"/>
          <w:szCs w:val="24"/>
        </w:rPr>
        <w:t xml:space="preserve"> and </w:t>
      </w:r>
      <w:r w:rsidR="000F5E06">
        <w:rPr>
          <w:rFonts w:asciiTheme="minorHAnsi" w:hAnsiTheme="minorHAnsi"/>
          <w:color w:val="auto"/>
          <w:szCs w:val="24"/>
        </w:rPr>
        <w:t>s</w:t>
      </w:r>
      <w:r w:rsidR="00B34E67" w:rsidRPr="00DC76F0">
        <w:rPr>
          <w:rFonts w:asciiTheme="minorHAnsi" w:hAnsiTheme="minorHAnsi"/>
          <w:color w:val="auto"/>
          <w:szCs w:val="24"/>
        </w:rPr>
        <w:t xml:space="preserve">uperior </w:t>
      </w:r>
      <w:r w:rsidR="000F5E06">
        <w:rPr>
          <w:rFonts w:asciiTheme="minorHAnsi" w:hAnsiTheme="minorHAnsi"/>
          <w:color w:val="auto"/>
          <w:szCs w:val="24"/>
        </w:rPr>
        <w:t>p</w:t>
      </w:r>
      <w:r w:rsidR="00B34E67" w:rsidRPr="00DC76F0">
        <w:rPr>
          <w:rFonts w:asciiTheme="minorHAnsi" w:hAnsiTheme="minorHAnsi"/>
          <w:color w:val="auto"/>
          <w:szCs w:val="24"/>
        </w:rPr>
        <w:t xml:space="preserve">ubic </w:t>
      </w:r>
      <w:proofErr w:type="spellStart"/>
      <w:r w:rsidR="000F5E06">
        <w:rPr>
          <w:rFonts w:asciiTheme="minorHAnsi" w:hAnsiTheme="minorHAnsi"/>
          <w:color w:val="auto"/>
          <w:szCs w:val="24"/>
        </w:rPr>
        <w:t>r</w:t>
      </w:r>
      <w:r w:rsidR="00B34E67" w:rsidRPr="00DC76F0">
        <w:rPr>
          <w:rFonts w:asciiTheme="minorHAnsi" w:hAnsiTheme="minorHAnsi"/>
          <w:color w:val="auto"/>
          <w:szCs w:val="24"/>
        </w:rPr>
        <w:t>amus</w:t>
      </w:r>
      <w:proofErr w:type="spellEnd"/>
      <w:r w:rsidR="00B34E67" w:rsidRPr="00DC76F0">
        <w:rPr>
          <w:rFonts w:asciiTheme="minorHAnsi" w:hAnsiTheme="minorHAnsi"/>
          <w:color w:val="auto"/>
          <w:szCs w:val="24"/>
        </w:rPr>
        <w:t xml:space="preserve"> </w:t>
      </w:r>
      <w:r w:rsidR="000F5E06">
        <w:rPr>
          <w:rFonts w:asciiTheme="minorHAnsi" w:hAnsiTheme="minorHAnsi"/>
          <w:color w:val="auto"/>
          <w:szCs w:val="24"/>
        </w:rPr>
        <w:t>p</w:t>
      </w:r>
      <w:r w:rsidR="00B34E67" w:rsidRPr="00DC76F0">
        <w:rPr>
          <w:rFonts w:asciiTheme="minorHAnsi" w:hAnsiTheme="minorHAnsi"/>
          <w:color w:val="auto"/>
          <w:szCs w:val="24"/>
        </w:rPr>
        <w:t xml:space="preserve">elvic </w:t>
      </w:r>
      <w:r w:rsidR="000F5E06">
        <w:rPr>
          <w:rFonts w:asciiTheme="minorHAnsi" w:hAnsiTheme="minorHAnsi"/>
          <w:color w:val="auto"/>
          <w:szCs w:val="24"/>
        </w:rPr>
        <w:t>f</w:t>
      </w:r>
      <w:r w:rsidR="00B34E67" w:rsidRPr="00DC76F0">
        <w:rPr>
          <w:rFonts w:asciiTheme="minorHAnsi" w:hAnsiTheme="minorHAnsi"/>
          <w:color w:val="auto"/>
          <w:szCs w:val="24"/>
        </w:rPr>
        <w:t xml:space="preserve">ractures.  CI sustained left superior pubic </w:t>
      </w:r>
      <w:proofErr w:type="spellStart"/>
      <w:r w:rsidR="00B34E67" w:rsidRPr="00DC76F0">
        <w:rPr>
          <w:rFonts w:asciiTheme="minorHAnsi" w:hAnsiTheme="minorHAnsi"/>
          <w:color w:val="auto"/>
          <w:szCs w:val="24"/>
        </w:rPr>
        <w:t>ramus</w:t>
      </w:r>
      <w:proofErr w:type="spellEnd"/>
      <w:r w:rsidR="00B34E67" w:rsidRPr="00DC76F0">
        <w:rPr>
          <w:rFonts w:asciiTheme="minorHAnsi" w:hAnsiTheme="minorHAnsi"/>
          <w:color w:val="auto"/>
          <w:szCs w:val="24"/>
        </w:rPr>
        <w:t xml:space="preserve"> and in</w:t>
      </w:r>
      <w:r w:rsidR="00590284" w:rsidRPr="00DC76F0">
        <w:rPr>
          <w:rFonts w:asciiTheme="minorHAnsi" w:hAnsiTheme="minorHAnsi"/>
          <w:color w:val="auto"/>
          <w:szCs w:val="24"/>
        </w:rPr>
        <w:t>f</w:t>
      </w:r>
      <w:r w:rsidR="00B34E67" w:rsidRPr="00DC76F0">
        <w:rPr>
          <w:rFonts w:asciiTheme="minorHAnsi" w:hAnsiTheme="minorHAnsi"/>
          <w:color w:val="auto"/>
          <w:szCs w:val="24"/>
        </w:rPr>
        <w:t xml:space="preserve">erior pubic </w:t>
      </w:r>
      <w:proofErr w:type="spellStart"/>
      <w:r w:rsidR="00B45A95" w:rsidRPr="00DC76F0">
        <w:rPr>
          <w:rFonts w:asciiTheme="minorHAnsi" w:hAnsiTheme="minorHAnsi"/>
          <w:color w:val="auto"/>
          <w:szCs w:val="24"/>
        </w:rPr>
        <w:t>ramus</w:t>
      </w:r>
      <w:proofErr w:type="spellEnd"/>
      <w:r w:rsidR="00B45A95" w:rsidRPr="00DC76F0">
        <w:rPr>
          <w:rFonts w:asciiTheme="minorHAnsi" w:hAnsiTheme="minorHAnsi"/>
          <w:color w:val="auto"/>
          <w:szCs w:val="24"/>
        </w:rPr>
        <w:t xml:space="preserve"> pelvis fractures </w:t>
      </w:r>
      <w:r w:rsidR="000F5E06">
        <w:rPr>
          <w:rFonts w:asciiTheme="minorHAnsi" w:hAnsiTheme="minorHAnsi"/>
          <w:color w:val="auto"/>
          <w:szCs w:val="24"/>
        </w:rPr>
        <w:t>o</w:t>
      </w:r>
      <w:r w:rsidR="00B45A95" w:rsidRPr="00DC76F0">
        <w:rPr>
          <w:rFonts w:asciiTheme="minorHAnsi" w:hAnsiTheme="minorHAnsi"/>
          <w:color w:val="auto"/>
          <w:szCs w:val="24"/>
        </w:rPr>
        <w:t xml:space="preserve">n </w:t>
      </w:r>
      <w:r w:rsidR="000F5E06">
        <w:rPr>
          <w:rFonts w:asciiTheme="minorHAnsi" w:hAnsiTheme="minorHAnsi"/>
          <w:color w:val="auto"/>
          <w:szCs w:val="24"/>
        </w:rPr>
        <w:t xml:space="preserve">2 October </w:t>
      </w:r>
      <w:r w:rsidR="00B45A95" w:rsidRPr="00DC76F0">
        <w:rPr>
          <w:rFonts w:asciiTheme="minorHAnsi" w:hAnsiTheme="minorHAnsi"/>
          <w:color w:val="auto"/>
          <w:szCs w:val="24"/>
        </w:rPr>
        <w:t>2005</w:t>
      </w:r>
      <w:r w:rsidR="00B34E67" w:rsidRPr="00DC76F0">
        <w:rPr>
          <w:rFonts w:asciiTheme="minorHAnsi" w:hAnsiTheme="minorHAnsi"/>
          <w:color w:val="auto"/>
          <w:szCs w:val="24"/>
        </w:rPr>
        <w:t xml:space="preserve"> due to a HUMVEE rollover while in Iraq.  He was treated with light duty, physical therapy,</w:t>
      </w:r>
      <w:r w:rsidR="007D2AA1">
        <w:rPr>
          <w:rFonts w:asciiTheme="minorHAnsi" w:hAnsiTheme="minorHAnsi"/>
          <w:color w:val="auto"/>
          <w:szCs w:val="24"/>
        </w:rPr>
        <w:t xml:space="preserve"> and </w:t>
      </w:r>
      <w:r w:rsidR="00B34E67" w:rsidRPr="00DC76F0">
        <w:rPr>
          <w:rFonts w:asciiTheme="minorHAnsi" w:hAnsiTheme="minorHAnsi"/>
          <w:color w:val="auto"/>
          <w:szCs w:val="24"/>
        </w:rPr>
        <w:t xml:space="preserve">medication that included </w:t>
      </w:r>
      <w:proofErr w:type="spellStart"/>
      <w:r w:rsidR="000F5E06">
        <w:rPr>
          <w:rFonts w:asciiTheme="minorHAnsi" w:hAnsiTheme="minorHAnsi"/>
          <w:color w:val="auto"/>
          <w:szCs w:val="24"/>
        </w:rPr>
        <w:t>p</w:t>
      </w:r>
      <w:r w:rsidR="00B34E67" w:rsidRPr="00DC76F0">
        <w:rPr>
          <w:rFonts w:asciiTheme="minorHAnsi" w:hAnsiTheme="minorHAnsi"/>
          <w:color w:val="auto"/>
          <w:szCs w:val="24"/>
        </w:rPr>
        <w:t>ercocet</w:t>
      </w:r>
      <w:proofErr w:type="spellEnd"/>
      <w:r w:rsidR="00B34E67" w:rsidRPr="00DC76F0">
        <w:rPr>
          <w:rFonts w:asciiTheme="minorHAnsi" w:hAnsiTheme="minorHAnsi"/>
          <w:color w:val="auto"/>
          <w:szCs w:val="24"/>
        </w:rPr>
        <w:t xml:space="preserve"> and </w:t>
      </w:r>
      <w:proofErr w:type="spellStart"/>
      <w:r w:rsidR="00B34E67" w:rsidRPr="00DC76F0">
        <w:rPr>
          <w:rFonts w:asciiTheme="minorHAnsi" w:hAnsiTheme="minorHAnsi"/>
          <w:color w:val="auto"/>
          <w:szCs w:val="24"/>
        </w:rPr>
        <w:t>lidocaine</w:t>
      </w:r>
      <w:proofErr w:type="spellEnd"/>
      <w:r w:rsidR="00B34E67" w:rsidRPr="00DC76F0">
        <w:rPr>
          <w:rFonts w:asciiTheme="minorHAnsi" w:hAnsiTheme="minorHAnsi"/>
          <w:color w:val="auto"/>
          <w:szCs w:val="24"/>
        </w:rPr>
        <w:t xml:space="preserve"> injection to his hip with temporary pain relief from the </w:t>
      </w:r>
      <w:proofErr w:type="spellStart"/>
      <w:r w:rsidR="00B34E67" w:rsidRPr="00DC76F0">
        <w:rPr>
          <w:rFonts w:asciiTheme="minorHAnsi" w:hAnsiTheme="minorHAnsi"/>
          <w:color w:val="auto"/>
          <w:szCs w:val="24"/>
        </w:rPr>
        <w:t>lidocaine</w:t>
      </w:r>
      <w:proofErr w:type="spellEnd"/>
      <w:r w:rsidR="00B34E67" w:rsidRPr="00DC76F0">
        <w:rPr>
          <w:rFonts w:asciiTheme="minorHAnsi" w:hAnsiTheme="minorHAnsi"/>
          <w:color w:val="auto"/>
          <w:szCs w:val="24"/>
        </w:rPr>
        <w:t xml:space="preserve">.  He did not respond adequately to treatment, was unable to perform within his military occupational specialty </w:t>
      </w:r>
      <w:r w:rsidR="009A03E3">
        <w:rPr>
          <w:rFonts w:asciiTheme="minorHAnsi" w:hAnsiTheme="minorHAnsi"/>
          <w:color w:val="auto"/>
          <w:szCs w:val="24"/>
        </w:rPr>
        <w:t xml:space="preserve">(MOS) </w:t>
      </w:r>
      <w:r w:rsidR="00B34E67" w:rsidRPr="00DC76F0">
        <w:rPr>
          <w:rFonts w:asciiTheme="minorHAnsi" w:hAnsiTheme="minorHAnsi"/>
          <w:color w:val="auto"/>
          <w:szCs w:val="24"/>
        </w:rPr>
        <w:t>or participate in a physical fitness test</w:t>
      </w:r>
      <w:r w:rsidR="00210392" w:rsidRPr="00DC76F0">
        <w:rPr>
          <w:rFonts w:asciiTheme="minorHAnsi" w:hAnsiTheme="minorHAnsi"/>
          <w:color w:val="auto"/>
          <w:szCs w:val="24"/>
        </w:rPr>
        <w:t>.  He exhausted two six</w:t>
      </w:r>
      <w:r w:rsidR="000F5E06">
        <w:rPr>
          <w:rFonts w:asciiTheme="minorHAnsi" w:hAnsiTheme="minorHAnsi"/>
          <w:color w:val="auto"/>
          <w:szCs w:val="24"/>
        </w:rPr>
        <w:t>-</w:t>
      </w:r>
      <w:r w:rsidR="00210392" w:rsidRPr="00DC76F0">
        <w:rPr>
          <w:rFonts w:asciiTheme="minorHAnsi" w:hAnsiTheme="minorHAnsi"/>
          <w:color w:val="auto"/>
          <w:szCs w:val="24"/>
        </w:rPr>
        <w:t>month</w:t>
      </w:r>
      <w:r w:rsidR="00B34E67" w:rsidRPr="00DC76F0">
        <w:rPr>
          <w:rFonts w:asciiTheme="minorHAnsi" w:hAnsiTheme="minorHAnsi"/>
          <w:color w:val="auto"/>
          <w:szCs w:val="24"/>
        </w:rPr>
        <w:t xml:space="preserve"> periods of </w:t>
      </w:r>
      <w:r w:rsidR="000F5E06">
        <w:rPr>
          <w:rFonts w:asciiTheme="minorHAnsi" w:hAnsiTheme="minorHAnsi"/>
          <w:color w:val="auto"/>
          <w:szCs w:val="24"/>
        </w:rPr>
        <w:t>l</w:t>
      </w:r>
      <w:r w:rsidR="00B34E67" w:rsidRPr="00DC76F0">
        <w:rPr>
          <w:rFonts w:asciiTheme="minorHAnsi" w:hAnsiTheme="minorHAnsi"/>
          <w:color w:val="auto"/>
          <w:szCs w:val="24"/>
        </w:rPr>
        <w:t xml:space="preserve">imited </w:t>
      </w:r>
      <w:r w:rsidR="000F5E06">
        <w:rPr>
          <w:rFonts w:asciiTheme="minorHAnsi" w:hAnsiTheme="minorHAnsi"/>
          <w:color w:val="auto"/>
          <w:szCs w:val="24"/>
        </w:rPr>
        <w:t>d</w:t>
      </w:r>
      <w:r w:rsidR="00590284" w:rsidRPr="00DC76F0">
        <w:rPr>
          <w:rFonts w:asciiTheme="minorHAnsi" w:hAnsiTheme="minorHAnsi"/>
          <w:color w:val="auto"/>
          <w:szCs w:val="24"/>
        </w:rPr>
        <w:t>uty (</w:t>
      </w:r>
      <w:r w:rsidR="004C5685" w:rsidRPr="00DC76F0">
        <w:rPr>
          <w:rFonts w:asciiTheme="minorHAnsi" w:hAnsiTheme="minorHAnsi"/>
          <w:color w:val="auto"/>
          <w:szCs w:val="24"/>
        </w:rPr>
        <w:t>LIMDU)</w:t>
      </w:r>
      <w:r w:rsidR="00B34E67" w:rsidRPr="00DC76F0">
        <w:rPr>
          <w:rFonts w:asciiTheme="minorHAnsi" w:hAnsiTheme="minorHAnsi"/>
          <w:color w:val="auto"/>
          <w:szCs w:val="24"/>
        </w:rPr>
        <w:t xml:space="preserve"> and underwent a Medical Evaluation Board (MEB).  </w:t>
      </w:r>
      <w:r w:rsidR="004C5685" w:rsidRPr="00DC76F0">
        <w:rPr>
          <w:rFonts w:asciiTheme="minorHAnsi" w:hAnsiTheme="minorHAnsi"/>
          <w:color w:val="auto"/>
          <w:szCs w:val="24"/>
        </w:rPr>
        <w:t>The MEB found “</w:t>
      </w:r>
      <w:r w:rsidR="000F5E06">
        <w:rPr>
          <w:rFonts w:asciiTheme="minorHAnsi" w:hAnsiTheme="minorHAnsi"/>
          <w:color w:val="auto"/>
          <w:szCs w:val="24"/>
        </w:rPr>
        <w:t>s</w:t>
      </w:r>
      <w:r w:rsidR="00D82B19" w:rsidRPr="00DC76F0">
        <w:rPr>
          <w:rFonts w:asciiTheme="minorHAnsi" w:hAnsiTheme="minorHAnsi"/>
          <w:color w:val="auto"/>
          <w:szCs w:val="24"/>
        </w:rPr>
        <w:t>prain of unspecified site of hip and thigh</w:t>
      </w:r>
      <w:r w:rsidR="00132C77" w:rsidRPr="00DC76F0">
        <w:rPr>
          <w:rFonts w:asciiTheme="minorHAnsi" w:hAnsiTheme="minorHAnsi"/>
          <w:color w:val="auto"/>
          <w:szCs w:val="24"/>
        </w:rPr>
        <w:t>,</w:t>
      </w:r>
      <w:r w:rsidR="00D82B19" w:rsidRPr="00DC76F0">
        <w:rPr>
          <w:rFonts w:asciiTheme="minorHAnsi" w:hAnsiTheme="minorHAnsi"/>
          <w:color w:val="auto"/>
          <w:szCs w:val="24"/>
        </w:rPr>
        <w:t xml:space="preserve">” and “closed fracture of pubis” </w:t>
      </w:r>
      <w:r w:rsidR="004C5685" w:rsidRPr="00DC76F0">
        <w:rPr>
          <w:rFonts w:asciiTheme="minorHAnsi" w:hAnsiTheme="minorHAnsi"/>
          <w:color w:val="auto"/>
          <w:szCs w:val="24"/>
        </w:rPr>
        <w:t xml:space="preserve">as interfering with duty </w:t>
      </w:r>
      <w:r w:rsidR="00590284" w:rsidRPr="00DC76F0">
        <w:rPr>
          <w:rFonts w:asciiTheme="minorHAnsi" w:hAnsiTheme="minorHAnsi"/>
          <w:color w:val="auto"/>
          <w:szCs w:val="24"/>
        </w:rPr>
        <w:t>and forwarded</w:t>
      </w:r>
      <w:r w:rsidR="00B34E67" w:rsidRPr="00DC76F0">
        <w:rPr>
          <w:rFonts w:asciiTheme="minorHAnsi" w:hAnsiTheme="minorHAnsi"/>
          <w:color w:val="auto"/>
          <w:szCs w:val="24"/>
        </w:rPr>
        <w:t xml:space="preserve"> to the Physical Evaluation Board (PEB)</w:t>
      </w:r>
      <w:r w:rsidR="004C5685" w:rsidRPr="00DC76F0">
        <w:rPr>
          <w:rFonts w:asciiTheme="minorHAnsi" w:hAnsiTheme="minorHAnsi"/>
          <w:color w:val="auto"/>
          <w:szCs w:val="24"/>
        </w:rPr>
        <w:t xml:space="preserve">.  The informal PEB adjudicated </w:t>
      </w:r>
      <w:r w:rsidR="000F5E06">
        <w:rPr>
          <w:rFonts w:asciiTheme="minorHAnsi" w:hAnsiTheme="minorHAnsi"/>
          <w:color w:val="auto"/>
          <w:szCs w:val="24"/>
        </w:rPr>
        <w:t>le</w:t>
      </w:r>
      <w:r w:rsidR="004C5685" w:rsidRPr="00DC76F0">
        <w:rPr>
          <w:rFonts w:asciiTheme="minorHAnsi" w:hAnsiTheme="minorHAnsi"/>
          <w:color w:val="auto"/>
          <w:szCs w:val="24"/>
        </w:rPr>
        <w:t xml:space="preserve">ft </w:t>
      </w:r>
      <w:r w:rsidR="000F5E06">
        <w:rPr>
          <w:rFonts w:asciiTheme="minorHAnsi" w:hAnsiTheme="minorHAnsi"/>
          <w:color w:val="auto"/>
          <w:szCs w:val="24"/>
        </w:rPr>
        <w:t>h</w:t>
      </w:r>
      <w:r w:rsidR="004C5685" w:rsidRPr="00DC76F0">
        <w:rPr>
          <w:rFonts w:asciiTheme="minorHAnsi" w:hAnsiTheme="minorHAnsi"/>
          <w:color w:val="auto"/>
          <w:szCs w:val="24"/>
        </w:rPr>
        <w:t xml:space="preserve">ip </w:t>
      </w:r>
      <w:proofErr w:type="spellStart"/>
      <w:r w:rsidR="000F5E06">
        <w:rPr>
          <w:rFonts w:asciiTheme="minorHAnsi" w:hAnsiTheme="minorHAnsi"/>
          <w:color w:val="auto"/>
          <w:szCs w:val="24"/>
        </w:rPr>
        <w:t>l</w:t>
      </w:r>
      <w:r w:rsidR="004C5685" w:rsidRPr="00DC76F0">
        <w:rPr>
          <w:rFonts w:asciiTheme="minorHAnsi" w:hAnsiTheme="minorHAnsi"/>
          <w:color w:val="auto"/>
          <w:szCs w:val="24"/>
        </w:rPr>
        <w:t>abral</w:t>
      </w:r>
      <w:proofErr w:type="spellEnd"/>
      <w:r w:rsidR="004C5685" w:rsidRPr="00DC76F0">
        <w:rPr>
          <w:rFonts w:asciiTheme="minorHAnsi" w:hAnsiTheme="minorHAnsi"/>
          <w:color w:val="auto"/>
          <w:szCs w:val="24"/>
        </w:rPr>
        <w:t xml:space="preserve"> </w:t>
      </w:r>
      <w:r w:rsidR="000F5E06">
        <w:rPr>
          <w:rFonts w:asciiTheme="minorHAnsi" w:hAnsiTheme="minorHAnsi"/>
          <w:color w:val="auto"/>
          <w:szCs w:val="24"/>
        </w:rPr>
        <w:t>t</w:t>
      </w:r>
      <w:r w:rsidR="004C5685" w:rsidRPr="00DC76F0">
        <w:rPr>
          <w:rFonts w:asciiTheme="minorHAnsi" w:hAnsiTheme="minorHAnsi"/>
          <w:color w:val="auto"/>
          <w:szCs w:val="24"/>
        </w:rPr>
        <w:t xml:space="preserve">ear as </w:t>
      </w:r>
      <w:r w:rsidR="00590284" w:rsidRPr="00DC76F0">
        <w:rPr>
          <w:rFonts w:asciiTheme="minorHAnsi" w:hAnsiTheme="minorHAnsi"/>
          <w:color w:val="auto"/>
          <w:szCs w:val="24"/>
        </w:rPr>
        <w:t>unfitting</w:t>
      </w:r>
      <w:r w:rsidR="004C5685" w:rsidRPr="00DC76F0">
        <w:rPr>
          <w:rFonts w:asciiTheme="minorHAnsi" w:hAnsiTheme="minorHAnsi"/>
          <w:color w:val="auto"/>
          <w:szCs w:val="24"/>
        </w:rPr>
        <w:t xml:space="preserve"> at 10% and </w:t>
      </w:r>
      <w:r w:rsidR="000F5E06">
        <w:rPr>
          <w:rFonts w:asciiTheme="minorHAnsi" w:hAnsiTheme="minorHAnsi"/>
          <w:color w:val="auto"/>
          <w:szCs w:val="24"/>
        </w:rPr>
        <w:t>h</w:t>
      </w:r>
      <w:r w:rsidR="004C5685" w:rsidRPr="00DC76F0">
        <w:rPr>
          <w:rFonts w:asciiTheme="minorHAnsi" w:hAnsiTheme="minorHAnsi"/>
          <w:color w:val="auto"/>
          <w:szCs w:val="24"/>
        </w:rPr>
        <w:t xml:space="preserve">ealed </w:t>
      </w:r>
      <w:r w:rsidR="000F5E06">
        <w:rPr>
          <w:rFonts w:asciiTheme="minorHAnsi" w:hAnsiTheme="minorHAnsi"/>
          <w:color w:val="auto"/>
          <w:szCs w:val="24"/>
        </w:rPr>
        <w:t>l</w:t>
      </w:r>
      <w:r w:rsidR="004C5685" w:rsidRPr="00DC76F0">
        <w:rPr>
          <w:rFonts w:asciiTheme="minorHAnsi" w:hAnsiTheme="minorHAnsi"/>
          <w:color w:val="auto"/>
          <w:szCs w:val="24"/>
        </w:rPr>
        <w:t xml:space="preserve">eft </w:t>
      </w:r>
      <w:r w:rsidR="000F5E06">
        <w:rPr>
          <w:rFonts w:asciiTheme="minorHAnsi" w:hAnsiTheme="minorHAnsi"/>
          <w:color w:val="auto"/>
          <w:szCs w:val="24"/>
        </w:rPr>
        <w:t>i</w:t>
      </w:r>
      <w:r w:rsidR="004C5685" w:rsidRPr="00DC76F0">
        <w:rPr>
          <w:rFonts w:asciiTheme="minorHAnsi" w:hAnsiTheme="minorHAnsi"/>
          <w:color w:val="auto"/>
          <w:szCs w:val="24"/>
        </w:rPr>
        <w:t xml:space="preserve">nferior </w:t>
      </w:r>
      <w:r w:rsidR="000F5E06">
        <w:rPr>
          <w:rFonts w:asciiTheme="minorHAnsi" w:hAnsiTheme="minorHAnsi"/>
          <w:color w:val="auto"/>
          <w:szCs w:val="24"/>
        </w:rPr>
        <w:t>p</w:t>
      </w:r>
      <w:r w:rsidR="004C5685" w:rsidRPr="00DC76F0">
        <w:rPr>
          <w:rFonts w:asciiTheme="minorHAnsi" w:hAnsiTheme="minorHAnsi"/>
          <w:color w:val="auto"/>
          <w:szCs w:val="24"/>
        </w:rPr>
        <w:t xml:space="preserve">ubic </w:t>
      </w:r>
      <w:proofErr w:type="spellStart"/>
      <w:r w:rsidR="000F5E06">
        <w:rPr>
          <w:rFonts w:asciiTheme="minorHAnsi" w:hAnsiTheme="minorHAnsi"/>
          <w:color w:val="auto"/>
          <w:szCs w:val="24"/>
        </w:rPr>
        <w:t>r</w:t>
      </w:r>
      <w:r w:rsidR="004C5685" w:rsidRPr="00DC76F0">
        <w:rPr>
          <w:rFonts w:asciiTheme="minorHAnsi" w:hAnsiTheme="minorHAnsi"/>
          <w:color w:val="auto"/>
          <w:szCs w:val="24"/>
        </w:rPr>
        <w:t>amus</w:t>
      </w:r>
      <w:proofErr w:type="spellEnd"/>
      <w:r w:rsidR="004C5685" w:rsidRPr="00DC76F0">
        <w:rPr>
          <w:rFonts w:asciiTheme="minorHAnsi" w:hAnsiTheme="minorHAnsi"/>
          <w:color w:val="auto"/>
          <w:szCs w:val="24"/>
        </w:rPr>
        <w:t xml:space="preserve"> and </w:t>
      </w:r>
      <w:r w:rsidR="000F5E06">
        <w:rPr>
          <w:rFonts w:asciiTheme="minorHAnsi" w:hAnsiTheme="minorHAnsi"/>
          <w:color w:val="auto"/>
          <w:szCs w:val="24"/>
        </w:rPr>
        <w:t>s</w:t>
      </w:r>
      <w:r w:rsidR="004C5685" w:rsidRPr="00DC76F0">
        <w:rPr>
          <w:rFonts w:asciiTheme="minorHAnsi" w:hAnsiTheme="minorHAnsi"/>
          <w:color w:val="auto"/>
          <w:szCs w:val="24"/>
        </w:rPr>
        <w:t xml:space="preserve">uperior </w:t>
      </w:r>
      <w:r w:rsidR="000F5E06">
        <w:rPr>
          <w:rFonts w:asciiTheme="minorHAnsi" w:hAnsiTheme="minorHAnsi"/>
          <w:color w:val="auto"/>
          <w:szCs w:val="24"/>
        </w:rPr>
        <w:t>p</w:t>
      </w:r>
      <w:r w:rsidR="004C5685" w:rsidRPr="00DC76F0">
        <w:rPr>
          <w:rFonts w:asciiTheme="minorHAnsi" w:hAnsiTheme="minorHAnsi"/>
          <w:color w:val="auto"/>
          <w:szCs w:val="24"/>
        </w:rPr>
        <w:t xml:space="preserve">ubic </w:t>
      </w:r>
      <w:proofErr w:type="spellStart"/>
      <w:r w:rsidR="000F5E06">
        <w:rPr>
          <w:rFonts w:asciiTheme="minorHAnsi" w:hAnsiTheme="minorHAnsi"/>
          <w:color w:val="auto"/>
          <w:szCs w:val="24"/>
        </w:rPr>
        <w:t>r</w:t>
      </w:r>
      <w:r w:rsidR="004C5685" w:rsidRPr="00DC76F0">
        <w:rPr>
          <w:rFonts w:asciiTheme="minorHAnsi" w:hAnsiTheme="minorHAnsi"/>
          <w:color w:val="auto"/>
          <w:szCs w:val="24"/>
        </w:rPr>
        <w:t>amus</w:t>
      </w:r>
      <w:proofErr w:type="spellEnd"/>
      <w:r w:rsidR="004C5685" w:rsidRPr="00DC76F0">
        <w:rPr>
          <w:rFonts w:asciiTheme="minorHAnsi" w:hAnsiTheme="minorHAnsi"/>
          <w:color w:val="auto"/>
          <w:szCs w:val="24"/>
        </w:rPr>
        <w:t xml:space="preserve"> </w:t>
      </w:r>
      <w:r w:rsidR="000F5E06">
        <w:rPr>
          <w:rFonts w:asciiTheme="minorHAnsi" w:hAnsiTheme="minorHAnsi"/>
          <w:color w:val="auto"/>
          <w:szCs w:val="24"/>
        </w:rPr>
        <w:t>p</w:t>
      </w:r>
      <w:r w:rsidR="004C5685" w:rsidRPr="00DC76F0">
        <w:rPr>
          <w:rFonts w:asciiTheme="minorHAnsi" w:hAnsiTheme="minorHAnsi"/>
          <w:color w:val="auto"/>
          <w:szCs w:val="24"/>
        </w:rPr>
        <w:t xml:space="preserve">elvic </w:t>
      </w:r>
      <w:r w:rsidR="000F5E06">
        <w:rPr>
          <w:rFonts w:asciiTheme="minorHAnsi" w:hAnsiTheme="minorHAnsi"/>
          <w:color w:val="auto"/>
          <w:szCs w:val="24"/>
        </w:rPr>
        <w:t>f</w:t>
      </w:r>
      <w:r w:rsidR="004C5685" w:rsidRPr="00DC76F0">
        <w:rPr>
          <w:rFonts w:asciiTheme="minorHAnsi" w:hAnsiTheme="minorHAnsi"/>
          <w:color w:val="auto"/>
          <w:szCs w:val="24"/>
        </w:rPr>
        <w:t>ractures</w:t>
      </w:r>
      <w:r w:rsidR="00D82B19" w:rsidRPr="00DC76F0">
        <w:rPr>
          <w:rFonts w:asciiTheme="minorHAnsi" w:hAnsiTheme="minorHAnsi"/>
          <w:color w:val="auto"/>
          <w:szCs w:val="24"/>
        </w:rPr>
        <w:t xml:space="preserve"> as unfitting </w:t>
      </w:r>
      <w:r w:rsidR="004C5685" w:rsidRPr="00DC76F0">
        <w:rPr>
          <w:rFonts w:asciiTheme="minorHAnsi" w:hAnsiTheme="minorHAnsi"/>
          <w:color w:val="auto"/>
          <w:szCs w:val="24"/>
        </w:rPr>
        <w:t>at 10%</w:t>
      </w:r>
      <w:r w:rsidR="00D82B19" w:rsidRPr="00DC76F0">
        <w:rPr>
          <w:rFonts w:asciiTheme="minorHAnsi" w:hAnsiTheme="minorHAnsi"/>
          <w:color w:val="auto"/>
          <w:szCs w:val="24"/>
        </w:rPr>
        <w:t>; with probable application of SECNAVINST 1850.4E</w:t>
      </w:r>
      <w:r w:rsidR="004C5685" w:rsidRPr="00DC76F0">
        <w:rPr>
          <w:rFonts w:asciiTheme="minorHAnsi" w:hAnsiTheme="minorHAnsi"/>
          <w:color w:val="auto"/>
          <w:szCs w:val="24"/>
        </w:rPr>
        <w:t xml:space="preserve">.  </w:t>
      </w:r>
      <w:r w:rsidR="00590284" w:rsidRPr="00DC76F0">
        <w:rPr>
          <w:rFonts w:asciiTheme="minorHAnsi" w:hAnsiTheme="minorHAnsi"/>
          <w:color w:val="auto"/>
          <w:szCs w:val="24"/>
        </w:rPr>
        <w:t xml:space="preserve">Panic </w:t>
      </w:r>
      <w:r w:rsidR="000F5E06">
        <w:rPr>
          <w:rFonts w:asciiTheme="minorHAnsi" w:hAnsiTheme="minorHAnsi"/>
          <w:color w:val="auto"/>
          <w:szCs w:val="24"/>
        </w:rPr>
        <w:t>d</w:t>
      </w:r>
      <w:r w:rsidR="00590284" w:rsidRPr="00DC76F0">
        <w:rPr>
          <w:rFonts w:asciiTheme="minorHAnsi" w:hAnsiTheme="minorHAnsi"/>
          <w:color w:val="auto"/>
          <w:szCs w:val="24"/>
        </w:rPr>
        <w:t xml:space="preserve">isorder without </w:t>
      </w:r>
      <w:r w:rsidR="000F5E06">
        <w:rPr>
          <w:rFonts w:asciiTheme="minorHAnsi" w:hAnsiTheme="minorHAnsi"/>
          <w:color w:val="auto"/>
          <w:szCs w:val="24"/>
        </w:rPr>
        <w:t>a</w:t>
      </w:r>
      <w:r w:rsidR="00590284" w:rsidRPr="00DC76F0">
        <w:rPr>
          <w:rFonts w:asciiTheme="minorHAnsi" w:hAnsiTheme="minorHAnsi"/>
          <w:color w:val="auto"/>
          <w:szCs w:val="24"/>
        </w:rPr>
        <w:t xml:space="preserve">goraphobia and </w:t>
      </w:r>
      <w:r w:rsidR="000F5E06">
        <w:rPr>
          <w:rFonts w:asciiTheme="minorHAnsi" w:hAnsiTheme="minorHAnsi"/>
          <w:color w:val="auto"/>
          <w:szCs w:val="24"/>
        </w:rPr>
        <w:t>t</w:t>
      </w:r>
      <w:r w:rsidR="00590284" w:rsidRPr="00DC76F0">
        <w:rPr>
          <w:rFonts w:asciiTheme="minorHAnsi" w:hAnsiTheme="minorHAnsi"/>
          <w:color w:val="auto"/>
          <w:szCs w:val="24"/>
        </w:rPr>
        <w:t xml:space="preserve">raumatic </w:t>
      </w:r>
      <w:r w:rsidR="000F5E06">
        <w:rPr>
          <w:rFonts w:asciiTheme="minorHAnsi" w:hAnsiTheme="minorHAnsi"/>
          <w:color w:val="auto"/>
          <w:szCs w:val="24"/>
        </w:rPr>
        <w:t>u</w:t>
      </w:r>
      <w:r w:rsidR="00590284" w:rsidRPr="00DC76F0">
        <w:rPr>
          <w:rFonts w:asciiTheme="minorHAnsi" w:hAnsiTheme="minorHAnsi"/>
          <w:color w:val="auto"/>
          <w:szCs w:val="24"/>
        </w:rPr>
        <w:t xml:space="preserve">rethral </w:t>
      </w:r>
      <w:r w:rsidR="000F5E06">
        <w:rPr>
          <w:rFonts w:asciiTheme="minorHAnsi" w:hAnsiTheme="minorHAnsi"/>
          <w:color w:val="auto"/>
          <w:szCs w:val="24"/>
        </w:rPr>
        <w:t>d</w:t>
      </w:r>
      <w:r w:rsidR="00590284" w:rsidRPr="00DC76F0">
        <w:rPr>
          <w:rFonts w:asciiTheme="minorHAnsi" w:hAnsiTheme="minorHAnsi"/>
          <w:color w:val="auto"/>
          <w:szCs w:val="24"/>
        </w:rPr>
        <w:t xml:space="preserve">isruption </w:t>
      </w:r>
      <w:r w:rsidR="000F5E06">
        <w:rPr>
          <w:rFonts w:asciiTheme="minorHAnsi" w:hAnsiTheme="minorHAnsi"/>
          <w:color w:val="auto"/>
          <w:szCs w:val="24"/>
        </w:rPr>
        <w:t>r</w:t>
      </w:r>
      <w:r w:rsidR="00590284" w:rsidRPr="00DC76F0">
        <w:rPr>
          <w:rFonts w:asciiTheme="minorHAnsi" w:hAnsiTheme="minorHAnsi"/>
          <w:color w:val="auto"/>
          <w:szCs w:val="24"/>
        </w:rPr>
        <w:t>esolved</w:t>
      </w:r>
      <w:r w:rsidR="000F5E06">
        <w:rPr>
          <w:rFonts w:asciiTheme="minorHAnsi" w:hAnsiTheme="minorHAnsi"/>
          <w:color w:val="auto"/>
          <w:szCs w:val="24"/>
        </w:rPr>
        <w:t xml:space="preserve"> status post</w:t>
      </w:r>
      <w:r w:rsidR="00590284" w:rsidRPr="00DC76F0">
        <w:rPr>
          <w:rFonts w:asciiTheme="minorHAnsi" w:hAnsiTheme="minorHAnsi"/>
          <w:color w:val="auto"/>
          <w:szCs w:val="24"/>
        </w:rPr>
        <w:t xml:space="preserve"> </w:t>
      </w:r>
      <w:r w:rsidR="000F5E06">
        <w:rPr>
          <w:rFonts w:asciiTheme="minorHAnsi" w:hAnsiTheme="minorHAnsi"/>
          <w:color w:val="auto"/>
          <w:szCs w:val="24"/>
        </w:rPr>
        <w:t>e</w:t>
      </w:r>
      <w:r w:rsidR="00590284" w:rsidRPr="00DC76F0">
        <w:rPr>
          <w:rFonts w:asciiTheme="minorHAnsi" w:hAnsiTheme="minorHAnsi"/>
          <w:color w:val="auto"/>
          <w:szCs w:val="24"/>
        </w:rPr>
        <w:t xml:space="preserve">ndoscopic </w:t>
      </w:r>
      <w:r w:rsidR="000F5E06">
        <w:rPr>
          <w:rFonts w:asciiTheme="minorHAnsi" w:hAnsiTheme="minorHAnsi"/>
          <w:color w:val="auto"/>
          <w:szCs w:val="24"/>
        </w:rPr>
        <w:t>r</w:t>
      </w:r>
      <w:r w:rsidR="00590284" w:rsidRPr="00DC76F0">
        <w:rPr>
          <w:rFonts w:asciiTheme="minorHAnsi" w:hAnsiTheme="minorHAnsi"/>
          <w:color w:val="auto"/>
          <w:szCs w:val="24"/>
        </w:rPr>
        <w:t xml:space="preserve">ealignment with no </w:t>
      </w:r>
      <w:r w:rsidR="000F5E06">
        <w:rPr>
          <w:rFonts w:asciiTheme="minorHAnsi" w:hAnsiTheme="minorHAnsi"/>
          <w:color w:val="auto"/>
          <w:szCs w:val="24"/>
        </w:rPr>
        <w:t>s</w:t>
      </w:r>
      <w:r w:rsidR="0007510D" w:rsidRPr="00DC76F0">
        <w:rPr>
          <w:rFonts w:asciiTheme="minorHAnsi" w:hAnsiTheme="minorHAnsi"/>
          <w:color w:val="auto"/>
          <w:szCs w:val="24"/>
        </w:rPr>
        <w:t>equelae</w:t>
      </w:r>
      <w:r w:rsidR="00590284" w:rsidRPr="00DC76F0">
        <w:rPr>
          <w:rFonts w:asciiTheme="minorHAnsi" w:hAnsiTheme="minorHAnsi"/>
          <w:color w:val="auto"/>
          <w:szCs w:val="24"/>
        </w:rPr>
        <w:t xml:space="preserve"> were adjudicated as </w:t>
      </w:r>
      <w:r w:rsidR="009A03E3">
        <w:rPr>
          <w:rFonts w:asciiTheme="minorHAnsi" w:hAnsiTheme="minorHAnsi"/>
          <w:color w:val="auto"/>
          <w:szCs w:val="24"/>
        </w:rPr>
        <w:t>c</w:t>
      </w:r>
      <w:r w:rsidR="00590284" w:rsidRPr="00DC76F0">
        <w:rPr>
          <w:rFonts w:asciiTheme="minorHAnsi" w:hAnsiTheme="minorHAnsi"/>
          <w:color w:val="auto"/>
          <w:szCs w:val="24"/>
        </w:rPr>
        <w:t>ategory III</w:t>
      </w:r>
      <w:r w:rsidR="00D82B19" w:rsidRPr="00DC76F0">
        <w:rPr>
          <w:rFonts w:asciiTheme="minorHAnsi" w:hAnsiTheme="minorHAnsi"/>
          <w:color w:val="auto"/>
          <w:szCs w:val="24"/>
        </w:rPr>
        <w:t xml:space="preserve"> (not </w:t>
      </w:r>
      <w:r w:rsidR="00590284" w:rsidRPr="00DC76F0">
        <w:rPr>
          <w:rFonts w:asciiTheme="minorHAnsi" w:hAnsiTheme="minorHAnsi"/>
          <w:color w:val="auto"/>
          <w:szCs w:val="24"/>
        </w:rPr>
        <w:t>separately unfitting</w:t>
      </w:r>
      <w:r w:rsidR="00D82B19" w:rsidRPr="00DC76F0">
        <w:rPr>
          <w:rFonts w:asciiTheme="minorHAnsi" w:hAnsiTheme="minorHAnsi"/>
          <w:color w:val="auto"/>
          <w:szCs w:val="24"/>
        </w:rPr>
        <w:t>)</w:t>
      </w:r>
      <w:r w:rsidR="00590284" w:rsidRPr="00DC76F0">
        <w:rPr>
          <w:rFonts w:asciiTheme="minorHAnsi" w:hAnsiTheme="minorHAnsi"/>
          <w:color w:val="auto"/>
          <w:szCs w:val="24"/>
        </w:rPr>
        <w:t xml:space="preserve">.  </w:t>
      </w:r>
      <w:r w:rsidR="00B34E67" w:rsidRPr="00DC76F0">
        <w:rPr>
          <w:rFonts w:asciiTheme="minorHAnsi" w:hAnsiTheme="minorHAnsi"/>
          <w:color w:val="auto"/>
        </w:rPr>
        <w:t>The CI made no appeals, and was medically separated with a 20% combined disability rating.</w:t>
      </w:r>
      <w:r w:rsidR="00D82B19" w:rsidRPr="00DC76F0">
        <w:rPr>
          <w:rFonts w:asciiTheme="minorHAnsi" w:hAnsiTheme="minorHAnsi"/>
          <w:color w:val="auto"/>
        </w:rPr>
        <w:t xml:space="preserve"> </w:t>
      </w:r>
    </w:p>
    <w:p w:rsidR="00923B25" w:rsidRPr="00DC76F0" w:rsidRDefault="008B5D31" w:rsidP="00C52CC8">
      <w:pPr>
        <w:tabs>
          <w:tab w:val="left" w:pos="288"/>
          <w:tab w:val="left" w:pos="4752"/>
        </w:tabs>
        <w:spacing w:line="240" w:lineRule="exact"/>
        <w:jc w:val="both"/>
        <w:rPr>
          <w:rFonts w:asciiTheme="minorHAnsi" w:hAnsiTheme="minorHAnsi"/>
          <w:color w:val="auto"/>
        </w:rPr>
      </w:pPr>
      <w:r w:rsidRPr="00DC76F0">
        <w:rPr>
          <w:rFonts w:asciiTheme="minorHAnsi" w:hAnsiTheme="minorHAnsi"/>
          <w:color w:val="auto"/>
          <w:u w:val="single"/>
        </w:rPr>
        <w:t>_______________________________________________________________</w:t>
      </w:r>
      <w:r w:rsidRPr="00DC76F0">
        <w:rPr>
          <w:rFonts w:asciiTheme="minorHAnsi" w:hAnsiTheme="minorHAnsi"/>
          <w:color w:val="auto"/>
        </w:rPr>
        <w:t>_</w:t>
      </w:r>
      <w:r w:rsidR="00AC713F" w:rsidRPr="00DC76F0">
        <w:rPr>
          <w:rFonts w:asciiTheme="minorHAnsi" w:hAnsiTheme="minorHAnsi"/>
          <w:color w:val="auto"/>
        </w:rPr>
        <w:t>________</w:t>
      </w:r>
      <w:r w:rsidR="00A3072F">
        <w:rPr>
          <w:rFonts w:asciiTheme="minorHAnsi" w:hAnsiTheme="minorHAnsi"/>
          <w:color w:val="auto"/>
        </w:rPr>
        <w:t>___</w:t>
      </w:r>
      <w:r w:rsidR="00AC713F" w:rsidRPr="00DC76F0">
        <w:rPr>
          <w:rFonts w:asciiTheme="minorHAnsi" w:hAnsiTheme="minorHAnsi"/>
          <w:color w:val="auto"/>
        </w:rPr>
        <w:t>___</w:t>
      </w:r>
    </w:p>
    <w:p w:rsidR="0085089F" w:rsidRPr="00DC76F0" w:rsidRDefault="0085089F" w:rsidP="00C52CC8">
      <w:pPr>
        <w:tabs>
          <w:tab w:val="left" w:pos="288"/>
          <w:tab w:val="left" w:pos="4752"/>
        </w:tabs>
        <w:spacing w:line="240" w:lineRule="exact"/>
        <w:jc w:val="both"/>
        <w:rPr>
          <w:rFonts w:asciiTheme="minorHAnsi" w:hAnsiTheme="minorHAnsi"/>
          <w:color w:val="auto"/>
          <w:u w:val="single"/>
        </w:rPr>
      </w:pPr>
    </w:p>
    <w:p w:rsidR="00A90D55" w:rsidRPr="00DC76F0" w:rsidRDefault="002C6E5B" w:rsidP="00C52CC8">
      <w:pPr>
        <w:tabs>
          <w:tab w:val="left" w:pos="288"/>
          <w:tab w:val="left" w:pos="4752"/>
        </w:tabs>
        <w:spacing w:line="240" w:lineRule="exact"/>
        <w:jc w:val="both"/>
        <w:rPr>
          <w:rFonts w:eastAsiaTheme="minorHAnsi" w:cstheme="minorBidi"/>
          <w:color w:val="auto"/>
          <w:szCs w:val="24"/>
        </w:rPr>
      </w:pPr>
      <w:r w:rsidRPr="00DC76F0">
        <w:rPr>
          <w:rFonts w:ascii="Calibri" w:hAnsi="Calibri"/>
          <w:color w:val="auto"/>
          <w:u w:val="single"/>
        </w:rPr>
        <w:t>CI CONTENTION</w:t>
      </w:r>
      <w:r w:rsidRPr="00DC76F0">
        <w:rPr>
          <w:rFonts w:asciiTheme="minorHAnsi" w:hAnsiTheme="minorHAnsi"/>
          <w:color w:val="auto"/>
        </w:rPr>
        <w:t>:</w:t>
      </w:r>
      <w:r w:rsidRPr="00DC76F0">
        <w:rPr>
          <w:rFonts w:asciiTheme="minorHAnsi" w:hAnsiTheme="minorHAnsi"/>
          <w:color w:val="000080"/>
        </w:rPr>
        <w:t xml:space="preserve"> </w:t>
      </w:r>
      <w:r w:rsidR="007150EC" w:rsidRPr="00DC76F0">
        <w:rPr>
          <w:rFonts w:asciiTheme="minorHAnsi" w:hAnsiTheme="minorHAnsi"/>
          <w:color w:val="000080"/>
        </w:rPr>
        <w:t xml:space="preserve"> </w:t>
      </w:r>
      <w:r w:rsidR="00DE2CF3" w:rsidRPr="00DC76F0">
        <w:rPr>
          <w:rFonts w:asciiTheme="minorHAnsi" w:hAnsiTheme="minorHAnsi"/>
          <w:color w:val="auto"/>
        </w:rPr>
        <w:t>The CI did not state contentions.</w:t>
      </w:r>
      <w:r w:rsidR="00DE2CF3" w:rsidRPr="00DC76F0">
        <w:rPr>
          <w:rFonts w:asciiTheme="minorHAnsi" w:eastAsiaTheme="minorHAnsi" w:hAnsiTheme="minorHAnsi" w:cstheme="minorBidi"/>
          <w:color w:val="auto"/>
          <w:szCs w:val="24"/>
        </w:rPr>
        <w:t xml:space="preserve">  </w:t>
      </w:r>
    </w:p>
    <w:p w:rsidR="00BD6297" w:rsidRPr="00DC76F0" w:rsidRDefault="00DE2CF3" w:rsidP="00C52CC8">
      <w:pPr>
        <w:spacing w:line="240" w:lineRule="exact"/>
        <w:jc w:val="both"/>
        <w:rPr>
          <w:rFonts w:ascii="Calibri" w:hAnsi="Calibri"/>
          <w:color w:val="auto"/>
          <w:u w:val="single"/>
        </w:rPr>
      </w:pPr>
      <w:r w:rsidRPr="00DC76F0">
        <w:rPr>
          <w:rFonts w:ascii="Calibri" w:hAnsi="Calibri"/>
          <w:color w:val="auto"/>
          <w:u w:val="single"/>
        </w:rPr>
        <w:t>______________________________________________________________________________</w:t>
      </w:r>
    </w:p>
    <w:p w:rsidR="00F46D3F" w:rsidRPr="00DC76F0" w:rsidRDefault="00F46D3F">
      <w:pPr>
        <w:rPr>
          <w:rFonts w:ascii="Calibri" w:hAnsi="Calibri"/>
          <w:color w:val="auto"/>
          <w:u w:val="single"/>
        </w:rPr>
      </w:pPr>
    </w:p>
    <w:p w:rsidR="00DE2CF3" w:rsidRPr="001E75AF" w:rsidRDefault="00DE2CF3" w:rsidP="00C52CC8">
      <w:pPr>
        <w:spacing w:line="240" w:lineRule="exact"/>
        <w:jc w:val="both"/>
        <w:rPr>
          <w:rFonts w:ascii="Calibri" w:hAnsi="Calibri"/>
          <w:color w:val="auto"/>
        </w:rPr>
      </w:pPr>
      <w:r w:rsidRPr="00DC76F0">
        <w:rPr>
          <w:rFonts w:ascii="Calibri" w:hAnsi="Calibri"/>
          <w:color w:val="auto"/>
          <w:u w:val="single"/>
        </w:rPr>
        <w:t>RATING DECISION</w:t>
      </w:r>
      <w:r w:rsidRPr="00DC76F0">
        <w:rPr>
          <w:rFonts w:ascii="Calibri" w:hAnsi="Calibri"/>
          <w:color w:val="auto"/>
        </w:rPr>
        <w:t>:</w:t>
      </w:r>
    </w:p>
    <w:p w:rsidR="0061759C" w:rsidRPr="001E75AF" w:rsidRDefault="0061759C" w:rsidP="00C52CC8">
      <w:pPr>
        <w:spacing w:line="240" w:lineRule="exact"/>
        <w:jc w:val="both"/>
        <w:rPr>
          <w:rFonts w:ascii="Calibri" w:hAnsi="Calibri"/>
          <w:color w:val="auto"/>
        </w:rPr>
      </w:pPr>
    </w:p>
    <w:tbl>
      <w:tblPr>
        <w:tblStyle w:val="TableGrid"/>
        <w:tblW w:w="9378" w:type="dxa"/>
        <w:jc w:val="center"/>
        <w:tblLayout w:type="fixed"/>
        <w:tblLook w:val="04A0"/>
      </w:tblPr>
      <w:tblGrid>
        <w:gridCol w:w="2439"/>
        <w:gridCol w:w="1170"/>
        <w:gridCol w:w="819"/>
        <w:gridCol w:w="1791"/>
        <w:gridCol w:w="1170"/>
        <w:gridCol w:w="810"/>
        <w:gridCol w:w="1179"/>
      </w:tblGrid>
      <w:tr w:rsidR="00DE2CF3" w:rsidRPr="001E75AF" w:rsidTr="0061759C">
        <w:trPr>
          <w:trHeight w:val="233"/>
          <w:jc w:val="center"/>
        </w:trPr>
        <w:tc>
          <w:tcPr>
            <w:tcW w:w="4428" w:type="dxa"/>
            <w:gridSpan w:val="3"/>
            <w:tcBorders>
              <w:right w:val="thinThickThinSmallGap" w:sz="24" w:space="0" w:color="auto"/>
            </w:tcBorders>
            <w:shd w:val="clear" w:color="auto" w:fill="D9D9D9" w:themeFill="background1" w:themeFillShade="D9"/>
          </w:tcPr>
          <w:p w:rsidR="00DE2CF3" w:rsidRPr="001E75AF" w:rsidRDefault="00DE2CF3" w:rsidP="0061759C">
            <w:pPr>
              <w:spacing w:line="240" w:lineRule="exact"/>
              <w:contextualSpacing/>
              <w:jc w:val="center"/>
              <w:rPr>
                <w:b/>
                <w:color w:val="auto"/>
                <w:sz w:val="20"/>
                <w:szCs w:val="20"/>
              </w:rPr>
            </w:pPr>
            <w:r w:rsidRPr="001E75AF">
              <w:rPr>
                <w:b/>
                <w:color w:val="auto"/>
                <w:sz w:val="20"/>
                <w:szCs w:val="20"/>
              </w:rPr>
              <w:t>Service IPEB – Dated 20070117</w:t>
            </w:r>
          </w:p>
        </w:tc>
        <w:tc>
          <w:tcPr>
            <w:tcW w:w="4950" w:type="dxa"/>
            <w:gridSpan w:val="4"/>
            <w:tcBorders>
              <w:left w:val="thinThickThinSmallGap" w:sz="24" w:space="0" w:color="auto"/>
            </w:tcBorders>
            <w:shd w:val="clear" w:color="auto" w:fill="D9D9D9" w:themeFill="background1" w:themeFillShade="D9"/>
          </w:tcPr>
          <w:p w:rsidR="00DE2CF3" w:rsidRPr="007D2AA1" w:rsidRDefault="00DE2CF3" w:rsidP="007D2AA1">
            <w:pPr>
              <w:spacing w:line="240" w:lineRule="exact"/>
              <w:contextualSpacing/>
              <w:jc w:val="center"/>
              <w:rPr>
                <w:b/>
                <w:color w:val="auto"/>
                <w:sz w:val="20"/>
                <w:szCs w:val="20"/>
              </w:rPr>
            </w:pPr>
            <w:r w:rsidRPr="007D2AA1">
              <w:rPr>
                <w:b/>
                <w:color w:val="auto"/>
                <w:sz w:val="20"/>
                <w:szCs w:val="20"/>
              </w:rPr>
              <w:t xml:space="preserve">VA </w:t>
            </w:r>
            <w:r w:rsidR="00874F46" w:rsidRPr="007D2AA1">
              <w:rPr>
                <w:b/>
                <w:color w:val="auto"/>
                <w:sz w:val="20"/>
                <w:szCs w:val="20"/>
              </w:rPr>
              <w:t>(</w:t>
            </w:r>
            <w:r w:rsidR="007D2AA1">
              <w:rPr>
                <w:b/>
                <w:color w:val="auto"/>
                <w:sz w:val="20"/>
                <w:szCs w:val="20"/>
              </w:rPr>
              <w:t>~2</w:t>
            </w:r>
            <w:r w:rsidR="00874F46" w:rsidRPr="007D2AA1">
              <w:rPr>
                <w:b/>
                <w:color w:val="auto"/>
                <w:sz w:val="20"/>
                <w:szCs w:val="20"/>
              </w:rPr>
              <w:t xml:space="preserve"> </w:t>
            </w:r>
            <w:r w:rsidR="00132C77" w:rsidRPr="007D2AA1">
              <w:rPr>
                <w:b/>
                <w:color w:val="auto"/>
                <w:sz w:val="20"/>
                <w:szCs w:val="20"/>
              </w:rPr>
              <w:t>mos.</w:t>
            </w:r>
            <w:r w:rsidR="00874F46" w:rsidRPr="007D2AA1">
              <w:rPr>
                <w:b/>
                <w:color w:val="auto"/>
                <w:sz w:val="20"/>
                <w:szCs w:val="20"/>
              </w:rPr>
              <w:t xml:space="preserve"> </w:t>
            </w:r>
            <w:r w:rsidR="007D2AA1" w:rsidRPr="007D2AA1">
              <w:rPr>
                <w:b/>
                <w:color w:val="auto"/>
                <w:sz w:val="20"/>
                <w:szCs w:val="20"/>
              </w:rPr>
              <w:t>Pre-</w:t>
            </w:r>
            <w:r w:rsidRPr="007D2AA1">
              <w:rPr>
                <w:b/>
                <w:color w:val="auto"/>
                <w:sz w:val="20"/>
                <w:szCs w:val="20"/>
              </w:rPr>
              <w:t xml:space="preserve">Separation) – All Effective </w:t>
            </w:r>
            <w:r w:rsidRPr="007D2AA1">
              <w:rPr>
                <w:b/>
                <w:caps/>
                <w:color w:val="auto"/>
                <w:sz w:val="20"/>
                <w:szCs w:val="20"/>
              </w:rPr>
              <w:t>20070301</w:t>
            </w:r>
          </w:p>
        </w:tc>
      </w:tr>
      <w:tr w:rsidR="00DE2CF3" w:rsidRPr="001E75AF" w:rsidTr="009570AE">
        <w:trPr>
          <w:trHeight w:val="278"/>
          <w:jc w:val="center"/>
        </w:trPr>
        <w:tc>
          <w:tcPr>
            <w:tcW w:w="2439" w:type="dxa"/>
            <w:tcBorders>
              <w:bottom w:val="single" w:sz="4" w:space="0" w:color="000000" w:themeColor="text1"/>
              <w:right w:val="single" w:sz="4" w:space="0" w:color="auto"/>
            </w:tcBorders>
            <w:shd w:val="clear" w:color="auto" w:fill="D9D9D9" w:themeFill="background1" w:themeFillShade="D9"/>
          </w:tcPr>
          <w:p w:rsidR="00DE2CF3" w:rsidRPr="001E75AF" w:rsidRDefault="00DE2CF3" w:rsidP="0061759C">
            <w:pPr>
              <w:spacing w:line="240" w:lineRule="exact"/>
              <w:contextualSpacing/>
              <w:jc w:val="both"/>
              <w:rPr>
                <w:b/>
                <w:color w:val="auto"/>
                <w:sz w:val="20"/>
                <w:szCs w:val="20"/>
              </w:rPr>
            </w:pPr>
            <w:r w:rsidRPr="001E75AF">
              <w:rPr>
                <w:b/>
                <w:color w:val="auto"/>
                <w:sz w:val="20"/>
                <w:szCs w:val="20"/>
              </w:rPr>
              <w:t>Condition</w:t>
            </w:r>
          </w:p>
        </w:tc>
        <w:tc>
          <w:tcPr>
            <w:tcW w:w="1170" w:type="dxa"/>
            <w:tcBorders>
              <w:left w:val="single" w:sz="4" w:space="0" w:color="auto"/>
              <w:bottom w:val="single" w:sz="4" w:space="0" w:color="000000" w:themeColor="text1"/>
            </w:tcBorders>
            <w:shd w:val="clear" w:color="auto" w:fill="D9D9D9" w:themeFill="background1" w:themeFillShade="D9"/>
          </w:tcPr>
          <w:p w:rsidR="00DE2CF3" w:rsidRPr="001E75AF" w:rsidRDefault="00DE2CF3" w:rsidP="0061759C">
            <w:pPr>
              <w:spacing w:line="240" w:lineRule="exact"/>
              <w:contextualSpacing/>
              <w:jc w:val="center"/>
              <w:rPr>
                <w:b/>
                <w:color w:val="auto"/>
                <w:sz w:val="20"/>
                <w:szCs w:val="20"/>
              </w:rPr>
            </w:pPr>
            <w:r w:rsidRPr="001E75AF">
              <w:rPr>
                <w:b/>
                <w:color w:val="auto"/>
                <w:sz w:val="20"/>
                <w:szCs w:val="20"/>
              </w:rPr>
              <w:t>Code</w:t>
            </w:r>
          </w:p>
        </w:tc>
        <w:tc>
          <w:tcPr>
            <w:tcW w:w="819" w:type="dxa"/>
            <w:tcBorders>
              <w:bottom w:val="single" w:sz="4" w:space="0" w:color="auto"/>
              <w:right w:val="thinThickThinSmallGap" w:sz="24" w:space="0" w:color="auto"/>
            </w:tcBorders>
            <w:shd w:val="clear" w:color="auto" w:fill="D9D9D9" w:themeFill="background1" w:themeFillShade="D9"/>
          </w:tcPr>
          <w:p w:rsidR="00DE2CF3" w:rsidRPr="001E75AF" w:rsidRDefault="00DE2CF3" w:rsidP="0061759C">
            <w:pPr>
              <w:spacing w:line="240" w:lineRule="exact"/>
              <w:contextualSpacing/>
              <w:jc w:val="center"/>
              <w:rPr>
                <w:b/>
                <w:color w:val="auto"/>
                <w:sz w:val="20"/>
                <w:szCs w:val="20"/>
              </w:rPr>
            </w:pPr>
            <w:r w:rsidRPr="001E75AF">
              <w:rPr>
                <w:b/>
                <w:color w:val="auto"/>
                <w:sz w:val="20"/>
                <w:szCs w:val="20"/>
              </w:rPr>
              <w:t>Rating</w:t>
            </w:r>
          </w:p>
        </w:tc>
        <w:tc>
          <w:tcPr>
            <w:tcW w:w="1791" w:type="dxa"/>
            <w:tcBorders>
              <w:left w:val="thinThickThinSmallGap" w:sz="24" w:space="0" w:color="auto"/>
              <w:bottom w:val="single" w:sz="4" w:space="0" w:color="auto"/>
            </w:tcBorders>
            <w:shd w:val="clear" w:color="auto" w:fill="D9D9D9" w:themeFill="background1" w:themeFillShade="D9"/>
          </w:tcPr>
          <w:p w:rsidR="00DE2CF3" w:rsidRPr="001E75AF" w:rsidRDefault="00DE2CF3" w:rsidP="0061759C">
            <w:pPr>
              <w:spacing w:line="240" w:lineRule="exact"/>
              <w:contextualSpacing/>
              <w:jc w:val="both"/>
              <w:rPr>
                <w:b/>
                <w:color w:val="auto"/>
                <w:sz w:val="20"/>
                <w:szCs w:val="20"/>
              </w:rPr>
            </w:pPr>
            <w:r w:rsidRPr="001E75AF">
              <w:rPr>
                <w:b/>
                <w:color w:val="auto"/>
                <w:sz w:val="20"/>
                <w:szCs w:val="20"/>
              </w:rPr>
              <w:t>Condition</w:t>
            </w:r>
          </w:p>
        </w:tc>
        <w:tc>
          <w:tcPr>
            <w:tcW w:w="1170" w:type="dxa"/>
            <w:tcBorders>
              <w:bottom w:val="single" w:sz="4" w:space="0" w:color="000000" w:themeColor="text1"/>
            </w:tcBorders>
            <w:shd w:val="clear" w:color="auto" w:fill="D9D9D9" w:themeFill="background1" w:themeFillShade="D9"/>
          </w:tcPr>
          <w:p w:rsidR="00DE2CF3" w:rsidRPr="001E75AF" w:rsidRDefault="00DE2CF3" w:rsidP="0061759C">
            <w:pPr>
              <w:spacing w:line="240" w:lineRule="exact"/>
              <w:contextualSpacing/>
              <w:jc w:val="center"/>
              <w:rPr>
                <w:b/>
                <w:color w:val="auto"/>
                <w:sz w:val="20"/>
                <w:szCs w:val="20"/>
              </w:rPr>
            </w:pPr>
            <w:r w:rsidRPr="001E75AF">
              <w:rPr>
                <w:b/>
                <w:color w:val="auto"/>
                <w:sz w:val="20"/>
                <w:szCs w:val="20"/>
              </w:rPr>
              <w:t>Code</w:t>
            </w:r>
          </w:p>
        </w:tc>
        <w:tc>
          <w:tcPr>
            <w:tcW w:w="810" w:type="dxa"/>
            <w:tcBorders>
              <w:bottom w:val="single" w:sz="4" w:space="0" w:color="000000" w:themeColor="text1"/>
            </w:tcBorders>
            <w:shd w:val="clear" w:color="auto" w:fill="D9D9D9" w:themeFill="background1" w:themeFillShade="D9"/>
          </w:tcPr>
          <w:p w:rsidR="00DE2CF3" w:rsidRPr="001E75AF" w:rsidRDefault="00DE2CF3" w:rsidP="0061759C">
            <w:pPr>
              <w:spacing w:line="240" w:lineRule="exact"/>
              <w:contextualSpacing/>
              <w:jc w:val="center"/>
              <w:rPr>
                <w:b/>
                <w:color w:val="auto"/>
                <w:sz w:val="20"/>
                <w:szCs w:val="20"/>
              </w:rPr>
            </w:pPr>
            <w:r w:rsidRPr="001E75AF">
              <w:rPr>
                <w:b/>
                <w:color w:val="auto"/>
                <w:sz w:val="20"/>
                <w:szCs w:val="20"/>
              </w:rPr>
              <w:t>Rating</w:t>
            </w:r>
          </w:p>
        </w:tc>
        <w:tc>
          <w:tcPr>
            <w:tcW w:w="1179" w:type="dxa"/>
            <w:tcBorders>
              <w:bottom w:val="single" w:sz="4" w:space="0" w:color="000000" w:themeColor="text1"/>
            </w:tcBorders>
            <w:shd w:val="clear" w:color="auto" w:fill="D9D9D9" w:themeFill="background1" w:themeFillShade="D9"/>
          </w:tcPr>
          <w:p w:rsidR="00DE2CF3" w:rsidRPr="001E75AF" w:rsidRDefault="00DE2CF3" w:rsidP="0061759C">
            <w:pPr>
              <w:spacing w:line="240" w:lineRule="exact"/>
              <w:contextualSpacing/>
              <w:jc w:val="center"/>
              <w:rPr>
                <w:b/>
                <w:color w:val="auto"/>
                <w:sz w:val="20"/>
                <w:szCs w:val="20"/>
              </w:rPr>
            </w:pPr>
            <w:r w:rsidRPr="001E75AF">
              <w:rPr>
                <w:b/>
                <w:color w:val="auto"/>
                <w:sz w:val="20"/>
                <w:szCs w:val="20"/>
              </w:rPr>
              <w:t>Exam</w:t>
            </w:r>
          </w:p>
        </w:tc>
      </w:tr>
      <w:tr w:rsidR="00BB7598" w:rsidRPr="001E75AF" w:rsidTr="007D2AA1">
        <w:trPr>
          <w:trHeight w:val="440"/>
          <w:jc w:val="center"/>
        </w:trPr>
        <w:tc>
          <w:tcPr>
            <w:tcW w:w="2439" w:type="dxa"/>
            <w:tcBorders>
              <w:right w:val="single" w:sz="4" w:space="0" w:color="auto"/>
            </w:tcBorders>
            <w:shd w:val="clear" w:color="auto" w:fill="FFFFFF" w:themeFill="background1"/>
            <w:vAlign w:val="center"/>
          </w:tcPr>
          <w:p w:rsidR="00BB7598" w:rsidRPr="001E75AF" w:rsidRDefault="00BB7598" w:rsidP="0061759C">
            <w:pPr>
              <w:spacing w:line="220" w:lineRule="exact"/>
              <w:contextualSpacing/>
              <w:rPr>
                <w:color w:val="auto"/>
                <w:sz w:val="20"/>
                <w:szCs w:val="20"/>
              </w:rPr>
            </w:pPr>
            <w:r w:rsidRPr="001E75AF">
              <w:rPr>
                <w:color w:val="auto"/>
                <w:sz w:val="20"/>
              </w:rPr>
              <w:t>L</w:t>
            </w:r>
            <w:r w:rsidR="00132C77" w:rsidRPr="001E75AF">
              <w:rPr>
                <w:color w:val="auto"/>
                <w:sz w:val="20"/>
              </w:rPr>
              <w:t>eft</w:t>
            </w:r>
            <w:r w:rsidRPr="001E75AF">
              <w:rPr>
                <w:color w:val="auto"/>
                <w:sz w:val="20"/>
              </w:rPr>
              <w:t xml:space="preserve"> Hip </w:t>
            </w:r>
            <w:proofErr w:type="spellStart"/>
            <w:r w:rsidRPr="001E75AF">
              <w:rPr>
                <w:color w:val="auto"/>
                <w:sz w:val="20"/>
              </w:rPr>
              <w:t>Labral</w:t>
            </w:r>
            <w:proofErr w:type="spellEnd"/>
            <w:r w:rsidRPr="001E75AF">
              <w:rPr>
                <w:color w:val="auto"/>
                <w:sz w:val="20"/>
              </w:rPr>
              <w:t xml:space="preserve"> Tear</w:t>
            </w:r>
          </w:p>
        </w:tc>
        <w:tc>
          <w:tcPr>
            <w:tcW w:w="1170" w:type="dxa"/>
            <w:tcBorders>
              <w:left w:val="single" w:sz="4" w:space="0" w:color="auto"/>
            </w:tcBorders>
            <w:shd w:val="clear" w:color="auto" w:fill="FFFFFF" w:themeFill="background1"/>
            <w:vAlign w:val="center"/>
          </w:tcPr>
          <w:p w:rsidR="00BB7598" w:rsidRPr="001E75AF" w:rsidRDefault="00BB7598" w:rsidP="0061759C">
            <w:pPr>
              <w:spacing w:line="220" w:lineRule="exact"/>
              <w:contextualSpacing/>
              <w:jc w:val="center"/>
              <w:rPr>
                <w:color w:val="auto"/>
                <w:sz w:val="20"/>
                <w:szCs w:val="20"/>
              </w:rPr>
            </w:pPr>
            <w:r w:rsidRPr="001E75AF">
              <w:rPr>
                <w:color w:val="auto"/>
                <w:sz w:val="20"/>
                <w:szCs w:val="20"/>
              </w:rPr>
              <w:t>5299-5003</w:t>
            </w:r>
          </w:p>
        </w:tc>
        <w:tc>
          <w:tcPr>
            <w:tcW w:w="819" w:type="dxa"/>
            <w:tcBorders>
              <w:right w:val="thinThickThinSmallGap" w:sz="24" w:space="0" w:color="auto"/>
            </w:tcBorders>
            <w:shd w:val="clear" w:color="auto" w:fill="FFFFFF" w:themeFill="background1"/>
            <w:vAlign w:val="center"/>
          </w:tcPr>
          <w:p w:rsidR="00BB7598" w:rsidRPr="001E75AF" w:rsidRDefault="00BB7598" w:rsidP="0061759C">
            <w:pPr>
              <w:spacing w:line="220" w:lineRule="exact"/>
              <w:contextualSpacing/>
              <w:jc w:val="center"/>
              <w:rPr>
                <w:color w:val="auto"/>
                <w:sz w:val="20"/>
                <w:szCs w:val="20"/>
              </w:rPr>
            </w:pPr>
            <w:r w:rsidRPr="001E75AF">
              <w:rPr>
                <w:color w:val="auto"/>
                <w:sz w:val="20"/>
                <w:szCs w:val="20"/>
              </w:rPr>
              <w:t>10%</w:t>
            </w:r>
          </w:p>
        </w:tc>
        <w:tc>
          <w:tcPr>
            <w:tcW w:w="1791" w:type="dxa"/>
            <w:tcBorders>
              <w:left w:val="thinThickThinSmallGap" w:sz="24" w:space="0" w:color="auto"/>
              <w:bottom w:val="single" w:sz="4" w:space="0" w:color="auto"/>
            </w:tcBorders>
            <w:shd w:val="clear" w:color="auto" w:fill="FFFFFF" w:themeFill="background1"/>
            <w:vAlign w:val="center"/>
          </w:tcPr>
          <w:p w:rsidR="00BB7598" w:rsidRPr="001E75AF" w:rsidRDefault="00BB7598" w:rsidP="0061759C">
            <w:pPr>
              <w:spacing w:line="220" w:lineRule="exact"/>
              <w:contextualSpacing/>
              <w:rPr>
                <w:color w:val="auto"/>
                <w:sz w:val="20"/>
                <w:szCs w:val="20"/>
              </w:rPr>
            </w:pPr>
            <w:r w:rsidRPr="001E75AF">
              <w:rPr>
                <w:color w:val="auto"/>
                <w:sz w:val="20"/>
                <w:szCs w:val="20"/>
              </w:rPr>
              <w:t xml:space="preserve">L Hip Strain, S/P L Pelvic </w:t>
            </w:r>
            <w:proofErr w:type="spellStart"/>
            <w:r w:rsidRPr="001E75AF">
              <w:rPr>
                <w:color w:val="auto"/>
                <w:sz w:val="20"/>
                <w:szCs w:val="20"/>
              </w:rPr>
              <w:t>Fx</w:t>
            </w:r>
            <w:proofErr w:type="spellEnd"/>
          </w:p>
        </w:tc>
        <w:tc>
          <w:tcPr>
            <w:tcW w:w="1170" w:type="dxa"/>
            <w:tcBorders>
              <w:bottom w:val="single" w:sz="4" w:space="0" w:color="auto"/>
            </w:tcBorders>
            <w:shd w:val="clear" w:color="auto" w:fill="FFFFFF" w:themeFill="background1"/>
            <w:vAlign w:val="center"/>
          </w:tcPr>
          <w:p w:rsidR="00BB7598" w:rsidRPr="001E75AF" w:rsidRDefault="00BB7598" w:rsidP="007D2AA1">
            <w:pPr>
              <w:spacing w:line="220" w:lineRule="exact"/>
              <w:contextualSpacing/>
              <w:jc w:val="center"/>
              <w:rPr>
                <w:color w:val="auto"/>
                <w:sz w:val="20"/>
              </w:rPr>
            </w:pPr>
            <w:r w:rsidRPr="001E75AF">
              <w:rPr>
                <w:color w:val="auto"/>
                <w:sz w:val="20"/>
              </w:rPr>
              <w:t>5299-5252</w:t>
            </w:r>
          </w:p>
        </w:tc>
        <w:tc>
          <w:tcPr>
            <w:tcW w:w="810" w:type="dxa"/>
            <w:tcBorders>
              <w:bottom w:val="single" w:sz="4" w:space="0" w:color="auto"/>
            </w:tcBorders>
            <w:shd w:val="clear" w:color="auto" w:fill="FFFFFF" w:themeFill="background1"/>
            <w:vAlign w:val="center"/>
          </w:tcPr>
          <w:p w:rsidR="00BB7598" w:rsidRPr="001E75AF" w:rsidRDefault="00BB7598" w:rsidP="007D2AA1">
            <w:pPr>
              <w:spacing w:line="220" w:lineRule="exact"/>
              <w:contextualSpacing/>
              <w:jc w:val="center"/>
              <w:rPr>
                <w:color w:val="auto"/>
                <w:sz w:val="20"/>
                <w:szCs w:val="20"/>
              </w:rPr>
            </w:pPr>
            <w:r w:rsidRPr="001E75AF">
              <w:rPr>
                <w:color w:val="auto"/>
                <w:sz w:val="20"/>
                <w:szCs w:val="20"/>
              </w:rPr>
              <w:t>10%</w:t>
            </w:r>
            <w:r w:rsidR="007150EC" w:rsidRPr="001E75AF">
              <w:rPr>
                <w:color w:val="auto"/>
                <w:sz w:val="20"/>
                <w:szCs w:val="20"/>
              </w:rPr>
              <w:t>*</w:t>
            </w:r>
          </w:p>
        </w:tc>
        <w:tc>
          <w:tcPr>
            <w:tcW w:w="1179" w:type="dxa"/>
            <w:tcBorders>
              <w:bottom w:val="single" w:sz="4" w:space="0" w:color="auto"/>
            </w:tcBorders>
            <w:shd w:val="clear" w:color="auto" w:fill="FFFFFF" w:themeFill="background1"/>
            <w:vAlign w:val="center"/>
          </w:tcPr>
          <w:p w:rsidR="00BB7598" w:rsidRPr="001E75AF" w:rsidRDefault="00BB7598" w:rsidP="0061759C">
            <w:pPr>
              <w:spacing w:line="220" w:lineRule="exact"/>
              <w:contextualSpacing/>
              <w:jc w:val="center"/>
              <w:rPr>
                <w:color w:val="auto"/>
                <w:sz w:val="20"/>
                <w:szCs w:val="20"/>
              </w:rPr>
            </w:pPr>
            <w:r w:rsidRPr="001E75AF">
              <w:rPr>
                <w:color w:val="auto"/>
                <w:sz w:val="20"/>
                <w:szCs w:val="20"/>
              </w:rPr>
              <w:t>20061213</w:t>
            </w:r>
          </w:p>
        </w:tc>
      </w:tr>
      <w:tr w:rsidR="00E60720" w:rsidRPr="001E75AF" w:rsidTr="007D2AA1">
        <w:trPr>
          <w:trHeight w:val="404"/>
          <w:jc w:val="center"/>
        </w:trPr>
        <w:tc>
          <w:tcPr>
            <w:tcW w:w="2439" w:type="dxa"/>
            <w:vMerge w:val="restart"/>
            <w:tcBorders>
              <w:right w:val="single" w:sz="4" w:space="0" w:color="auto"/>
            </w:tcBorders>
            <w:shd w:val="clear" w:color="auto" w:fill="FFFFFF" w:themeFill="background1"/>
            <w:vAlign w:val="center"/>
          </w:tcPr>
          <w:p w:rsidR="00E60720" w:rsidRPr="001E75AF" w:rsidRDefault="00E60720" w:rsidP="000F5E06">
            <w:pPr>
              <w:spacing w:line="220" w:lineRule="exact"/>
              <w:contextualSpacing/>
              <w:rPr>
                <w:color w:val="auto"/>
                <w:sz w:val="20"/>
              </w:rPr>
            </w:pPr>
            <w:r w:rsidRPr="001E75AF">
              <w:rPr>
                <w:color w:val="auto"/>
                <w:sz w:val="20"/>
              </w:rPr>
              <w:t xml:space="preserve">Healed L Inferior Pubic </w:t>
            </w:r>
            <w:proofErr w:type="spellStart"/>
            <w:r w:rsidRPr="001E75AF">
              <w:rPr>
                <w:color w:val="auto"/>
                <w:sz w:val="20"/>
              </w:rPr>
              <w:t>Ramus</w:t>
            </w:r>
            <w:proofErr w:type="spellEnd"/>
            <w:r w:rsidRPr="001E75AF">
              <w:rPr>
                <w:color w:val="auto"/>
                <w:sz w:val="20"/>
              </w:rPr>
              <w:t xml:space="preserve"> and Superior Pubic </w:t>
            </w:r>
            <w:proofErr w:type="spellStart"/>
            <w:r w:rsidRPr="001E75AF">
              <w:rPr>
                <w:color w:val="auto"/>
                <w:sz w:val="20"/>
              </w:rPr>
              <w:t>Ramus</w:t>
            </w:r>
            <w:proofErr w:type="spellEnd"/>
            <w:r w:rsidRPr="001E75AF">
              <w:rPr>
                <w:color w:val="auto"/>
                <w:sz w:val="20"/>
              </w:rPr>
              <w:t xml:space="preserve"> Pelvic </w:t>
            </w:r>
            <w:proofErr w:type="spellStart"/>
            <w:r w:rsidRPr="001E75AF">
              <w:rPr>
                <w:color w:val="auto"/>
                <w:sz w:val="20"/>
              </w:rPr>
              <w:t>Fx</w:t>
            </w:r>
            <w:proofErr w:type="spellEnd"/>
            <w:r w:rsidRPr="001E75AF">
              <w:rPr>
                <w:color w:val="auto"/>
                <w:sz w:val="20"/>
              </w:rPr>
              <w:t xml:space="preserve"> </w:t>
            </w:r>
          </w:p>
        </w:tc>
        <w:tc>
          <w:tcPr>
            <w:tcW w:w="1170" w:type="dxa"/>
            <w:vMerge w:val="restart"/>
            <w:tcBorders>
              <w:left w:val="single" w:sz="4" w:space="0" w:color="auto"/>
            </w:tcBorders>
            <w:shd w:val="clear" w:color="auto" w:fill="FFFFFF" w:themeFill="background1"/>
            <w:vAlign w:val="center"/>
          </w:tcPr>
          <w:p w:rsidR="00E60720" w:rsidRPr="001E75AF" w:rsidRDefault="00E60720" w:rsidP="0061759C">
            <w:pPr>
              <w:spacing w:line="220" w:lineRule="exact"/>
              <w:contextualSpacing/>
              <w:jc w:val="center"/>
              <w:rPr>
                <w:color w:val="auto"/>
                <w:sz w:val="20"/>
              </w:rPr>
            </w:pPr>
            <w:r w:rsidRPr="001E75AF">
              <w:rPr>
                <w:color w:val="auto"/>
                <w:sz w:val="20"/>
              </w:rPr>
              <w:t>5299-5236</w:t>
            </w:r>
          </w:p>
        </w:tc>
        <w:tc>
          <w:tcPr>
            <w:tcW w:w="819" w:type="dxa"/>
            <w:vMerge w:val="restart"/>
            <w:tcBorders>
              <w:right w:val="thinThickThinSmallGap" w:sz="24" w:space="0" w:color="auto"/>
            </w:tcBorders>
            <w:shd w:val="clear" w:color="auto" w:fill="FFFFFF" w:themeFill="background1"/>
            <w:vAlign w:val="center"/>
          </w:tcPr>
          <w:p w:rsidR="00E60720" w:rsidRPr="001E75AF" w:rsidRDefault="00E60720" w:rsidP="0061759C">
            <w:pPr>
              <w:spacing w:line="220" w:lineRule="exact"/>
              <w:contextualSpacing/>
              <w:jc w:val="center"/>
              <w:rPr>
                <w:color w:val="auto"/>
                <w:sz w:val="20"/>
              </w:rPr>
            </w:pPr>
            <w:r w:rsidRPr="001E75AF">
              <w:rPr>
                <w:color w:val="auto"/>
                <w:sz w:val="20"/>
              </w:rPr>
              <w:t>10%</w:t>
            </w:r>
          </w:p>
        </w:tc>
        <w:tc>
          <w:tcPr>
            <w:tcW w:w="1791" w:type="dxa"/>
            <w:tcBorders>
              <w:top w:val="single" w:sz="4" w:space="0" w:color="auto"/>
              <w:left w:val="thinThickThinSmallGap" w:sz="24" w:space="0" w:color="auto"/>
              <w:bottom w:val="single" w:sz="4" w:space="0" w:color="000000" w:themeColor="text1"/>
            </w:tcBorders>
            <w:shd w:val="clear" w:color="auto" w:fill="FFFFFF" w:themeFill="background1"/>
            <w:vAlign w:val="center"/>
          </w:tcPr>
          <w:p w:rsidR="00E60720" w:rsidRPr="001E75AF" w:rsidRDefault="00E60720" w:rsidP="0061759C">
            <w:pPr>
              <w:spacing w:line="220" w:lineRule="exact"/>
              <w:contextualSpacing/>
              <w:rPr>
                <w:color w:val="auto"/>
                <w:sz w:val="20"/>
              </w:rPr>
            </w:pPr>
            <w:r w:rsidRPr="001E75AF">
              <w:rPr>
                <w:color w:val="auto"/>
                <w:sz w:val="20"/>
              </w:rPr>
              <w:t>Lumbosacral Strain</w:t>
            </w:r>
          </w:p>
        </w:tc>
        <w:tc>
          <w:tcPr>
            <w:tcW w:w="1170" w:type="dxa"/>
            <w:tcBorders>
              <w:top w:val="single" w:sz="4" w:space="0" w:color="auto"/>
              <w:bottom w:val="single" w:sz="4" w:space="0" w:color="000000" w:themeColor="text1"/>
            </w:tcBorders>
            <w:shd w:val="clear" w:color="auto" w:fill="FFFFFF" w:themeFill="background1"/>
            <w:vAlign w:val="center"/>
          </w:tcPr>
          <w:p w:rsidR="00E60720" w:rsidRPr="001E75AF" w:rsidRDefault="00E60720" w:rsidP="007D2AA1">
            <w:pPr>
              <w:spacing w:line="220" w:lineRule="exact"/>
              <w:contextualSpacing/>
              <w:jc w:val="center"/>
              <w:rPr>
                <w:color w:val="auto"/>
                <w:sz w:val="20"/>
              </w:rPr>
            </w:pPr>
            <w:r w:rsidRPr="001E75AF">
              <w:rPr>
                <w:color w:val="auto"/>
                <w:sz w:val="20"/>
              </w:rPr>
              <w:t>5237</w:t>
            </w:r>
          </w:p>
        </w:tc>
        <w:tc>
          <w:tcPr>
            <w:tcW w:w="810" w:type="dxa"/>
            <w:tcBorders>
              <w:top w:val="single" w:sz="4" w:space="0" w:color="auto"/>
              <w:bottom w:val="single" w:sz="4" w:space="0" w:color="000000" w:themeColor="text1"/>
            </w:tcBorders>
            <w:shd w:val="clear" w:color="auto" w:fill="FFFFFF" w:themeFill="background1"/>
            <w:vAlign w:val="center"/>
          </w:tcPr>
          <w:p w:rsidR="00E60720" w:rsidRPr="001E75AF" w:rsidRDefault="00E60720" w:rsidP="007D2AA1">
            <w:pPr>
              <w:spacing w:line="220" w:lineRule="exact"/>
              <w:contextualSpacing/>
              <w:jc w:val="center"/>
              <w:rPr>
                <w:color w:val="auto"/>
                <w:sz w:val="20"/>
              </w:rPr>
            </w:pPr>
            <w:r w:rsidRPr="001E75AF">
              <w:rPr>
                <w:color w:val="auto"/>
                <w:sz w:val="20"/>
              </w:rPr>
              <w:t>20%</w:t>
            </w:r>
          </w:p>
        </w:tc>
        <w:tc>
          <w:tcPr>
            <w:tcW w:w="1179" w:type="dxa"/>
            <w:tcBorders>
              <w:top w:val="single" w:sz="4" w:space="0" w:color="auto"/>
              <w:bottom w:val="single" w:sz="4" w:space="0" w:color="000000" w:themeColor="text1"/>
            </w:tcBorders>
            <w:shd w:val="clear" w:color="auto" w:fill="FFFFFF" w:themeFill="background1"/>
            <w:vAlign w:val="center"/>
          </w:tcPr>
          <w:p w:rsidR="00E60720" w:rsidRPr="001E75AF" w:rsidRDefault="00E60720" w:rsidP="0061759C">
            <w:pPr>
              <w:spacing w:line="220" w:lineRule="exact"/>
              <w:contextualSpacing/>
              <w:jc w:val="center"/>
              <w:rPr>
                <w:color w:val="auto"/>
                <w:sz w:val="20"/>
              </w:rPr>
            </w:pPr>
            <w:r w:rsidRPr="001E75AF">
              <w:rPr>
                <w:color w:val="auto"/>
                <w:sz w:val="20"/>
              </w:rPr>
              <w:t>20061213</w:t>
            </w:r>
          </w:p>
        </w:tc>
      </w:tr>
      <w:tr w:rsidR="00E60720" w:rsidRPr="001E75AF" w:rsidTr="007D2AA1">
        <w:trPr>
          <w:trHeight w:val="539"/>
          <w:jc w:val="center"/>
        </w:trPr>
        <w:tc>
          <w:tcPr>
            <w:tcW w:w="2439" w:type="dxa"/>
            <w:vMerge/>
            <w:tcBorders>
              <w:bottom w:val="single" w:sz="4" w:space="0" w:color="000000" w:themeColor="text1"/>
              <w:right w:val="single" w:sz="4" w:space="0" w:color="auto"/>
            </w:tcBorders>
            <w:shd w:val="clear" w:color="auto" w:fill="FFFFFF" w:themeFill="background1"/>
            <w:vAlign w:val="center"/>
          </w:tcPr>
          <w:p w:rsidR="00E60720" w:rsidRPr="001E75AF" w:rsidRDefault="00E60720" w:rsidP="00E57FE3">
            <w:pPr>
              <w:spacing w:line="220" w:lineRule="exact"/>
              <w:contextualSpacing/>
              <w:rPr>
                <w:color w:val="auto"/>
                <w:sz w:val="20"/>
              </w:rPr>
            </w:pPr>
          </w:p>
        </w:tc>
        <w:tc>
          <w:tcPr>
            <w:tcW w:w="1170" w:type="dxa"/>
            <w:vMerge/>
            <w:tcBorders>
              <w:left w:val="single" w:sz="4" w:space="0" w:color="auto"/>
              <w:bottom w:val="single" w:sz="4" w:space="0" w:color="000000" w:themeColor="text1"/>
            </w:tcBorders>
            <w:shd w:val="clear" w:color="auto" w:fill="FFFFFF" w:themeFill="background1"/>
            <w:vAlign w:val="center"/>
          </w:tcPr>
          <w:p w:rsidR="00E60720" w:rsidRPr="001E75AF" w:rsidRDefault="00E60720" w:rsidP="0061759C">
            <w:pPr>
              <w:spacing w:line="220" w:lineRule="exact"/>
              <w:contextualSpacing/>
              <w:jc w:val="center"/>
              <w:rPr>
                <w:color w:val="auto"/>
                <w:sz w:val="20"/>
              </w:rPr>
            </w:pPr>
          </w:p>
        </w:tc>
        <w:tc>
          <w:tcPr>
            <w:tcW w:w="819" w:type="dxa"/>
            <w:vMerge/>
            <w:tcBorders>
              <w:bottom w:val="single" w:sz="4" w:space="0" w:color="000000" w:themeColor="text1"/>
              <w:right w:val="thinThickThinSmallGap" w:sz="24" w:space="0" w:color="auto"/>
            </w:tcBorders>
            <w:shd w:val="clear" w:color="auto" w:fill="FFFFFF" w:themeFill="background1"/>
            <w:vAlign w:val="center"/>
          </w:tcPr>
          <w:p w:rsidR="00E60720" w:rsidRPr="001E75AF" w:rsidRDefault="00E60720" w:rsidP="0061759C">
            <w:pPr>
              <w:spacing w:line="220" w:lineRule="exact"/>
              <w:contextualSpacing/>
              <w:jc w:val="center"/>
              <w:rPr>
                <w:color w:val="auto"/>
                <w:sz w:val="20"/>
              </w:rPr>
            </w:pPr>
          </w:p>
        </w:tc>
        <w:tc>
          <w:tcPr>
            <w:tcW w:w="1791" w:type="dxa"/>
            <w:tcBorders>
              <w:top w:val="single" w:sz="4" w:space="0" w:color="auto"/>
              <w:left w:val="thinThickThinSmallGap" w:sz="24" w:space="0" w:color="auto"/>
              <w:bottom w:val="single" w:sz="4" w:space="0" w:color="000000" w:themeColor="text1"/>
            </w:tcBorders>
            <w:shd w:val="clear" w:color="auto" w:fill="FFFFFF" w:themeFill="background1"/>
            <w:vAlign w:val="center"/>
          </w:tcPr>
          <w:p w:rsidR="00E60720" w:rsidRPr="001E75AF" w:rsidRDefault="00E60720" w:rsidP="00E60720">
            <w:pPr>
              <w:spacing w:line="220" w:lineRule="exact"/>
              <w:contextualSpacing/>
              <w:rPr>
                <w:color w:val="auto"/>
                <w:sz w:val="20"/>
              </w:rPr>
            </w:pPr>
            <w:r w:rsidRPr="001E75AF">
              <w:rPr>
                <w:color w:val="auto"/>
                <w:sz w:val="20"/>
              </w:rPr>
              <w:t>L</w:t>
            </w:r>
            <w:r w:rsidR="00B11512">
              <w:rPr>
                <w:color w:val="auto"/>
                <w:sz w:val="20"/>
              </w:rPr>
              <w:t>eft</w:t>
            </w:r>
            <w:r w:rsidRPr="001E75AF">
              <w:rPr>
                <w:color w:val="auto"/>
                <w:sz w:val="20"/>
              </w:rPr>
              <w:t xml:space="preserve"> lat femoral cutaneous nerve …</w:t>
            </w:r>
          </w:p>
        </w:tc>
        <w:tc>
          <w:tcPr>
            <w:tcW w:w="1170" w:type="dxa"/>
            <w:tcBorders>
              <w:top w:val="single" w:sz="4" w:space="0" w:color="auto"/>
              <w:bottom w:val="single" w:sz="4" w:space="0" w:color="000000" w:themeColor="text1"/>
            </w:tcBorders>
            <w:shd w:val="clear" w:color="auto" w:fill="FFFFFF" w:themeFill="background1"/>
            <w:vAlign w:val="center"/>
          </w:tcPr>
          <w:p w:rsidR="00E60720" w:rsidRPr="001E75AF" w:rsidRDefault="00E60720" w:rsidP="007D2AA1">
            <w:pPr>
              <w:spacing w:line="220" w:lineRule="exact"/>
              <w:contextualSpacing/>
              <w:jc w:val="center"/>
              <w:rPr>
                <w:color w:val="auto"/>
                <w:sz w:val="20"/>
              </w:rPr>
            </w:pPr>
            <w:r w:rsidRPr="001E75AF">
              <w:rPr>
                <w:color w:val="auto"/>
                <w:sz w:val="20"/>
              </w:rPr>
              <w:t>8526</w:t>
            </w:r>
          </w:p>
        </w:tc>
        <w:tc>
          <w:tcPr>
            <w:tcW w:w="810" w:type="dxa"/>
            <w:tcBorders>
              <w:top w:val="single" w:sz="4" w:space="0" w:color="auto"/>
              <w:bottom w:val="single" w:sz="4" w:space="0" w:color="000000" w:themeColor="text1"/>
            </w:tcBorders>
            <w:shd w:val="clear" w:color="auto" w:fill="FFFFFF" w:themeFill="background1"/>
            <w:vAlign w:val="center"/>
          </w:tcPr>
          <w:p w:rsidR="00E60720" w:rsidRPr="001E75AF" w:rsidRDefault="00E60720" w:rsidP="007D2AA1">
            <w:pPr>
              <w:spacing w:line="220" w:lineRule="exact"/>
              <w:contextualSpacing/>
              <w:jc w:val="center"/>
              <w:rPr>
                <w:color w:val="auto"/>
                <w:sz w:val="20"/>
              </w:rPr>
            </w:pPr>
            <w:r w:rsidRPr="001E75AF">
              <w:rPr>
                <w:color w:val="auto"/>
                <w:sz w:val="20"/>
              </w:rPr>
              <w:t>10%</w:t>
            </w:r>
          </w:p>
        </w:tc>
        <w:tc>
          <w:tcPr>
            <w:tcW w:w="1179" w:type="dxa"/>
            <w:tcBorders>
              <w:top w:val="single" w:sz="4" w:space="0" w:color="auto"/>
              <w:bottom w:val="single" w:sz="4" w:space="0" w:color="000000" w:themeColor="text1"/>
            </w:tcBorders>
            <w:shd w:val="clear" w:color="auto" w:fill="FFFFFF" w:themeFill="background1"/>
            <w:vAlign w:val="center"/>
          </w:tcPr>
          <w:p w:rsidR="00E60720" w:rsidRPr="001E75AF" w:rsidRDefault="00E60720" w:rsidP="0061759C">
            <w:pPr>
              <w:spacing w:line="220" w:lineRule="exact"/>
              <w:contextualSpacing/>
              <w:jc w:val="center"/>
              <w:rPr>
                <w:color w:val="auto"/>
                <w:sz w:val="20"/>
              </w:rPr>
            </w:pPr>
            <w:r w:rsidRPr="001E75AF">
              <w:rPr>
                <w:color w:val="auto"/>
                <w:sz w:val="20"/>
              </w:rPr>
              <w:t>20080709</w:t>
            </w:r>
          </w:p>
        </w:tc>
      </w:tr>
      <w:tr w:rsidR="00DE2CF3" w:rsidRPr="001E75AF" w:rsidTr="007D2AA1">
        <w:trPr>
          <w:trHeight w:val="287"/>
          <w:jc w:val="center"/>
        </w:trPr>
        <w:tc>
          <w:tcPr>
            <w:tcW w:w="2439" w:type="dxa"/>
            <w:tcBorders>
              <w:right w:val="single" w:sz="4" w:space="0" w:color="auto"/>
            </w:tcBorders>
            <w:shd w:val="clear" w:color="auto" w:fill="FFFFFF" w:themeFill="background1"/>
            <w:vAlign w:val="center"/>
          </w:tcPr>
          <w:p w:rsidR="00DE2CF3" w:rsidRPr="001E75AF" w:rsidRDefault="00DE2CF3" w:rsidP="0061759C">
            <w:pPr>
              <w:spacing w:line="220" w:lineRule="exact"/>
              <w:contextualSpacing/>
              <w:rPr>
                <w:color w:val="auto"/>
                <w:sz w:val="20"/>
              </w:rPr>
            </w:pPr>
            <w:r w:rsidRPr="001E75AF">
              <w:rPr>
                <w:color w:val="auto"/>
                <w:sz w:val="20"/>
              </w:rPr>
              <w:t>Panic Disorder without Agoraphobia</w:t>
            </w:r>
          </w:p>
        </w:tc>
        <w:tc>
          <w:tcPr>
            <w:tcW w:w="1989" w:type="dxa"/>
            <w:gridSpan w:val="2"/>
            <w:tcBorders>
              <w:left w:val="single" w:sz="4" w:space="0" w:color="auto"/>
              <w:bottom w:val="single" w:sz="4" w:space="0" w:color="auto"/>
              <w:right w:val="thinThickThinSmallGap" w:sz="24" w:space="0" w:color="auto"/>
            </w:tcBorders>
            <w:shd w:val="clear" w:color="auto" w:fill="FFFFFF" w:themeFill="background1"/>
            <w:vAlign w:val="center"/>
          </w:tcPr>
          <w:p w:rsidR="00DE2CF3" w:rsidRPr="001E75AF" w:rsidRDefault="00DE2CF3" w:rsidP="0061759C">
            <w:pPr>
              <w:spacing w:line="220" w:lineRule="exact"/>
              <w:contextualSpacing/>
              <w:jc w:val="center"/>
              <w:rPr>
                <w:color w:val="auto"/>
                <w:sz w:val="20"/>
              </w:rPr>
            </w:pPr>
            <w:r w:rsidRPr="001E75AF">
              <w:rPr>
                <w:color w:val="auto"/>
                <w:sz w:val="20"/>
              </w:rPr>
              <w:t>Category III</w:t>
            </w:r>
          </w:p>
        </w:tc>
        <w:tc>
          <w:tcPr>
            <w:tcW w:w="1791" w:type="dxa"/>
            <w:tcBorders>
              <w:left w:val="thinThickThinSmallGap" w:sz="24" w:space="0" w:color="auto"/>
            </w:tcBorders>
            <w:shd w:val="clear" w:color="auto" w:fill="FFFFFF" w:themeFill="background1"/>
            <w:vAlign w:val="center"/>
          </w:tcPr>
          <w:p w:rsidR="00DE2CF3" w:rsidRPr="001E75AF" w:rsidRDefault="00DE2CF3" w:rsidP="0061759C">
            <w:pPr>
              <w:spacing w:line="220" w:lineRule="exact"/>
              <w:contextualSpacing/>
              <w:rPr>
                <w:color w:val="auto"/>
                <w:sz w:val="20"/>
              </w:rPr>
            </w:pPr>
            <w:r w:rsidRPr="001E75AF">
              <w:rPr>
                <w:color w:val="auto"/>
                <w:sz w:val="20"/>
              </w:rPr>
              <w:t>Gen</w:t>
            </w:r>
            <w:r w:rsidR="0061759C" w:rsidRPr="001E75AF">
              <w:rPr>
                <w:color w:val="auto"/>
                <w:sz w:val="20"/>
              </w:rPr>
              <w:t>.</w:t>
            </w:r>
            <w:r w:rsidRPr="001E75AF">
              <w:rPr>
                <w:color w:val="auto"/>
                <w:sz w:val="20"/>
              </w:rPr>
              <w:t xml:space="preserve"> Anxiety D</w:t>
            </w:r>
            <w:r w:rsidR="0061759C" w:rsidRPr="001E75AF">
              <w:rPr>
                <w:color w:val="auto"/>
                <w:sz w:val="20"/>
              </w:rPr>
              <w:t>/O</w:t>
            </w:r>
            <w:r w:rsidRPr="001E75AF">
              <w:rPr>
                <w:color w:val="auto"/>
                <w:sz w:val="20"/>
              </w:rPr>
              <w:t xml:space="preserve"> </w:t>
            </w:r>
            <w:r w:rsidR="0061759C" w:rsidRPr="001E75AF">
              <w:rPr>
                <w:color w:val="auto"/>
                <w:sz w:val="20"/>
              </w:rPr>
              <w:t>&amp;</w:t>
            </w:r>
            <w:r w:rsidRPr="001E75AF">
              <w:rPr>
                <w:color w:val="auto"/>
                <w:sz w:val="20"/>
              </w:rPr>
              <w:t xml:space="preserve"> Depression NOS</w:t>
            </w:r>
          </w:p>
        </w:tc>
        <w:tc>
          <w:tcPr>
            <w:tcW w:w="1170" w:type="dxa"/>
            <w:shd w:val="clear" w:color="auto" w:fill="FFFFFF" w:themeFill="background1"/>
            <w:vAlign w:val="center"/>
          </w:tcPr>
          <w:p w:rsidR="00DE2CF3" w:rsidRPr="001E75AF" w:rsidRDefault="00DE2CF3" w:rsidP="007D2AA1">
            <w:pPr>
              <w:spacing w:line="220" w:lineRule="exact"/>
              <w:contextualSpacing/>
              <w:jc w:val="center"/>
              <w:rPr>
                <w:color w:val="auto"/>
                <w:sz w:val="20"/>
              </w:rPr>
            </w:pPr>
            <w:r w:rsidRPr="001E75AF">
              <w:rPr>
                <w:color w:val="auto"/>
                <w:sz w:val="20"/>
              </w:rPr>
              <w:t>9400</w:t>
            </w:r>
          </w:p>
        </w:tc>
        <w:tc>
          <w:tcPr>
            <w:tcW w:w="810" w:type="dxa"/>
            <w:shd w:val="clear" w:color="auto" w:fill="FFFFFF" w:themeFill="background1"/>
            <w:vAlign w:val="center"/>
          </w:tcPr>
          <w:p w:rsidR="00DE2CF3" w:rsidRPr="001E75AF" w:rsidRDefault="00DE2CF3" w:rsidP="007D2AA1">
            <w:pPr>
              <w:spacing w:line="220" w:lineRule="exact"/>
              <w:contextualSpacing/>
              <w:jc w:val="center"/>
              <w:rPr>
                <w:color w:val="auto"/>
                <w:sz w:val="20"/>
              </w:rPr>
            </w:pPr>
            <w:r w:rsidRPr="001E75AF">
              <w:rPr>
                <w:color w:val="auto"/>
                <w:sz w:val="20"/>
              </w:rPr>
              <w:t>30%</w:t>
            </w:r>
            <w:r w:rsidR="007150EC" w:rsidRPr="001E75AF">
              <w:rPr>
                <w:color w:val="auto"/>
                <w:sz w:val="20"/>
              </w:rPr>
              <w:t>*</w:t>
            </w:r>
          </w:p>
        </w:tc>
        <w:tc>
          <w:tcPr>
            <w:tcW w:w="1179" w:type="dxa"/>
            <w:shd w:val="clear" w:color="auto" w:fill="FFFFFF" w:themeFill="background1"/>
            <w:vAlign w:val="center"/>
          </w:tcPr>
          <w:p w:rsidR="00DE2CF3" w:rsidRPr="001E75AF" w:rsidRDefault="00DE2CF3" w:rsidP="0061759C">
            <w:pPr>
              <w:spacing w:line="220" w:lineRule="exact"/>
              <w:contextualSpacing/>
              <w:jc w:val="center"/>
              <w:rPr>
                <w:color w:val="auto"/>
                <w:sz w:val="20"/>
              </w:rPr>
            </w:pPr>
            <w:r w:rsidRPr="001E75AF">
              <w:rPr>
                <w:color w:val="auto"/>
                <w:sz w:val="20"/>
              </w:rPr>
              <w:t>20070103</w:t>
            </w:r>
          </w:p>
        </w:tc>
      </w:tr>
      <w:tr w:rsidR="00DE2CF3" w:rsidRPr="001E75AF" w:rsidTr="00132C77">
        <w:trPr>
          <w:trHeight w:val="440"/>
          <w:jc w:val="center"/>
        </w:trPr>
        <w:tc>
          <w:tcPr>
            <w:tcW w:w="2439" w:type="dxa"/>
            <w:tcBorders>
              <w:right w:val="single" w:sz="4" w:space="0" w:color="auto"/>
            </w:tcBorders>
            <w:shd w:val="clear" w:color="auto" w:fill="FFFFFF" w:themeFill="background1"/>
            <w:vAlign w:val="center"/>
          </w:tcPr>
          <w:p w:rsidR="00DE2CF3" w:rsidRPr="001E75AF" w:rsidRDefault="00DE2CF3" w:rsidP="00132C77">
            <w:pPr>
              <w:spacing w:line="220" w:lineRule="exact"/>
              <w:contextualSpacing/>
              <w:rPr>
                <w:color w:val="auto"/>
                <w:sz w:val="20"/>
              </w:rPr>
            </w:pPr>
            <w:r w:rsidRPr="001E75AF">
              <w:rPr>
                <w:color w:val="auto"/>
                <w:sz w:val="20"/>
              </w:rPr>
              <w:t>Traumatic Urethral</w:t>
            </w:r>
            <w:r w:rsidR="00085AF7" w:rsidRPr="001E75AF">
              <w:rPr>
                <w:color w:val="auto"/>
                <w:sz w:val="20"/>
              </w:rPr>
              <w:t xml:space="preserve"> Disruption Resolved </w:t>
            </w:r>
            <w:r w:rsidR="00132C77" w:rsidRPr="001E75AF">
              <w:rPr>
                <w:color w:val="auto"/>
                <w:sz w:val="20"/>
              </w:rPr>
              <w:t>…</w:t>
            </w:r>
          </w:p>
        </w:tc>
        <w:tc>
          <w:tcPr>
            <w:tcW w:w="1989" w:type="dxa"/>
            <w:gridSpan w:val="2"/>
            <w:tcBorders>
              <w:top w:val="single" w:sz="4" w:space="0" w:color="auto"/>
              <w:left w:val="single" w:sz="4" w:space="0" w:color="auto"/>
              <w:right w:val="thinThickThinSmallGap" w:sz="24" w:space="0" w:color="auto"/>
            </w:tcBorders>
            <w:shd w:val="clear" w:color="auto" w:fill="FFFFFF" w:themeFill="background1"/>
            <w:vAlign w:val="center"/>
          </w:tcPr>
          <w:p w:rsidR="00DE2CF3" w:rsidRPr="001E75AF" w:rsidRDefault="00DE2CF3" w:rsidP="0061759C">
            <w:pPr>
              <w:spacing w:line="220" w:lineRule="exact"/>
              <w:contextualSpacing/>
              <w:jc w:val="center"/>
              <w:rPr>
                <w:color w:val="auto"/>
                <w:sz w:val="20"/>
              </w:rPr>
            </w:pPr>
            <w:r w:rsidRPr="001E75AF">
              <w:rPr>
                <w:color w:val="auto"/>
                <w:sz w:val="20"/>
              </w:rPr>
              <w:t>Category III</w:t>
            </w:r>
          </w:p>
        </w:tc>
        <w:tc>
          <w:tcPr>
            <w:tcW w:w="4950" w:type="dxa"/>
            <w:gridSpan w:val="4"/>
            <w:tcBorders>
              <w:left w:val="thinThickThinSmallGap" w:sz="24" w:space="0" w:color="auto"/>
            </w:tcBorders>
            <w:shd w:val="clear" w:color="auto" w:fill="FFFFFF" w:themeFill="background1"/>
            <w:vAlign w:val="center"/>
          </w:tcPr>
          <w:p w:rsidR="00DE2CF3" w:rsidRPr="001E75AF" w:rsidRDefault="001E75AF" w:rsidP="001E75AF">
            <w:pPr>
              <w:spacing w:line="220" w:lineRule="exact"/>
              <w:contextualSpacing/>
              <w:jc w:val="center"/>
              <w:rPr>
                <w:color w:val="auto"/>
                <w:sz w:val="20"/>
              </w:rPr>
            </w:pPr>
            <w:r w:rsidRPr="001E75AF">
              <w:rPr>
                <w:color w:val="auto"/>
                <w:sz w:val="20"/>
              </w:rPr>
              <w:t>No corresponding VA Entry</w:t>
            </w:r>
          </w:p>
        </w:tc>
      </w:tr>
      <w:tr w:rsidR="0061759C" w:rsidRPr="001E75AF" w:rsidTr="00706DFD">
        <w:trPr>
          <w:trHeight w:val="285"/>
          <w:jc w:val="center"/>
        </w:trPr>
        <w:tc>
          <w:tcPr>
            <w:tcW w:w="4428" w:type="dxa"/>
            <w:gridSpan w:val="3"/>
            <w:vMerge w:val="restart"/>
            <w:tcBorders>
              <w:right w:val="thinThickThinSmallGap" w:sz="24" w:space="0" w:color="auto"/>
            </w:tcBorders>
            <w:shd w:val="clear" w:color="auto" w:fill="FFFFFF" w:themeFill="background1"/>
            <w:vAlign w:val="center"/>
          </w:tcPr>
          <w:p w:rsidR="0061759C" w:rsidRPr="001E75AF" w:rsidRDefault="0061759C" w:rsidP="0061759C">
            <w:pPr>
              <w:spacing w:line="220" w:lineRule="exact"/>
              <w:contextualSpacing/>
              <w:jc w:val="center"/>
              <w:rPr>
                <w:color w:val="auto"/>
                <w:sz w:val="20"/>
              </w:rPr>
            </w:pPr>
            <w:r w:rsidRPr="001E75AF">
              <w:rPr>
                <w:color w:val="auto"/>
                <w:sz w:val="20"/>
                <w:szCs w:val="20"/>
              </w:rPr>
              <w:t>↓No Additional MEB/PEB Entries↓</w:t>
            </w:r>
          </w:p>
        </w:tc>
        <w:tc>
          <w:tcPr>
            <w:tcW w:w="1791" w:type="dxa"/>
            <w:tcBorders>
              <w:left w:val="thinThickThinSmallGap" w:sz="24" w:space="0" w:color="auto"/>
            </w:tcBorders>
            <w:shd w:val="clear" w:color="auto" w:fill="FFFFFF" w:themeFill="background1"/>
            <w:vAlign w:val="center"/>
          </w:tcPr>
          <w:p w:rsidR="0061759C" w:rsidRPr="001E75AF" w:rsidRDefault="0061759C" w:rsidP="00706DFD">
            <w:pPr>
              <w:spacing w:line="220" w:lineRule="exact"/>
              <w:contextualSpacing/>
              <w:jc w:val="center"/>
              <w:rPr>
                <w:color w:val="auto"/>
                <w:sz w:val="20"/>
              </w:rPr>
            </w:pPr>
            <w:r w:rsidRPr="001E75AF">
              <w:rPr>
                <w:color w:val="auto"/>
                <w:sz w:val="20"/>
              </w:rPr>
              <w:t>GERD</w:t>
            </w:r>
          </w:p>
        </w:tc>
        <w:tc>
          <w:tcPr>
            <w:tcW w:w="1170" w:type="dxa"/>
            <w:shd w:val="clear" w:color="auto" w:fill="FFFFFF" w:themeFill="background1"/>
            <w:vAlign w:val="center"/>
          </w:tcPr>
          <w:p w:rsidR="0061759C" w:rsidRPr="001E75AF" w:rsidRDefault="0061759C" w:rsidP="00706DFD">
            <w:pPr>
              <w:spacing w:line="220" w:lineRule="exact"/>
              <w:contextualSpacing/>
              <w:jc w:val="center"/>
              <w:rPr>
                <w:color w:val="auto"/>
                <w:sz w:val="20"/>
              </w:rPr>
            </w:pPr>
            <w:r w:rsidRPr="001E75AF">
              <w:rPr>
                <w:color w:val="auto"/>
                <w:sz w:val="20"/>
              </w:rPr>
              <w:t>7399-7346</w:t>
            </w:r>
          </w:p>
        </w:tc>
        <w:tc>
          <w:tcPr>
            <w:tcW w:w="810" w:type="dxa"/>
            <w:shd w:val="clear" w:color="auto" w:fill="FFFFFF" w:themeFill="background1"/>
            <w:vAlign w:val="center"/>
          </w:tcPr>
          <w:p w:rsidR="0061759C" w:rsidRPr="001E75AF" w:rsidRDefault="0061759C" w:rsidP="00706DFD">
            <w:pPr>
              <w:spacing w:line="220" w:lineRule="exact"/>
              <w:contextualSpacing/>
              <w:jc w:val="center"/>
              <w:rPr>
                <w:color w:val="auto"/>
                <w:sz w:val="20"/>
              </w:rPr>
            </w:pPr>
            <w:r w:rsidRPr="001E75AF">
              <w:rPr>
                <w:color w:val="auto"/>
                <w:sz w:val="20"/>
              </w:rPr>
              <w:t>10%</w:t>
            </w:r>
          </w:p>
        </w:tc>
        <w:tc>
          <w:tcPr>
            <w:tcW w:w="1179" w:type="dxa"/>
            <w:shd w:val="clear" w:color="auto" w:fill="FFFFFF" w:themeFill="background1"/>
            <w:vAlign w:val="center"/>
          </w:tcPr>
          <w:p w:rsidR="0061759C" w:rsidRPr="001E75AF" w:rsidRDefault="0061759C" w:rsidP="00706DFD">
            <w:pPr>
              <w:spacing w:line="220" w:lineRule="exact"/>
              <w:contextualSpacing/>
              <w:jc w:val="center"/>
              <w:rPr>
                <w:color w:val="auto"/>
                <w:sz w:val="20"/>
              </w:rPr>
            </w:pPr>
            <w:r w:rsidRPr="001E75AF">
              <w:rPr>
                <w:color w:val="auto"/>
                <w:sz w:val="20"/>
              </w:rPr>
              <w:t>20061213</w:t>
            </w:r>
          </w:p>
        </w:tc>
      </w:tr>
      <w:tr w:rsidR="0061759C" w:rsidRPr="001E75AF" w:rsidTr="0061759C">
        <w:trPr>
          <w:trHeight w:val="275"/>
          <w:jc w:val="center"/>
        </w:trPr>
        <w:tc>
          <w:tcPr>
            <w:tcW w:w="4428" w:type="dxa"/>
            <w:gridSpan w:val="3"/>
            <w:vMerge/>
            <w:tcBorders>
              <w:right w:val="thinThickThinSmallGap" w:sz="24" w:space="0" w:color="auto"/>
            </w:tcBorders>
            <w:shd w:val="clear" w:color="auto" w:fill="FFFFFF" w:themeFill="background1"/>
          </w:tcPr>
          <w:p w:rsidR="0061759C" w:rsidRPr="001E75AF" w:rsidRDefault="0061759C" w:rsidP="0061759C">
            <w:pPr>
              <w:spacing w:line="220" w:lineRule="exact"/>
              <w:contextualSpacing/>
              <w:jc w:val="center"/>
              <w:rPr>
                <w:color w:val="auto"/>
                <w:sz w:val="20"/>
                <w:szCs w:val="20"/>
              </w:rPr>
            </w:pPr>
          </w:p>
        </w:tc>
        <w:tc>
          <w:tcPr>
            <w:tcW w:w="4950" w:type="dxa"/>
            <w:gridSpan w:val="4"/>
            <w:tcBorders>
              <w:left w:val="thinThickThinSmallGap" w:sz="24" w:space="0" w:color="auto"/>
            </w:tcBorders>
            <w:shd w:val="clear" w:color="auto" w:fill="FFFFFF" w:themeFill="background1"/>
            <w:vAlign w:val="center"/>
          </w:tcPr>
          <w:p w:rsidR="0061759C" w:rsidRPr="001E75AF" w:rsidRDefault="0061759C" w:rsidP="0061759C">
            <w:pPr>
              <w:spacing w:line="220" w:lineRule="exact"/>
              <w:contextualSpacing/>
              <w:jc w:val="center"/>
              <w:rPr>
                <w:color w:val="auto"/>
                <w:sz w:val="20"/>
                <w:szCs w:val="20"/>
              </w:rPr>
            </w:pPr>
            <w:r w:rsidRPr="001E75AF">
              <w:rPr>
                <w:rFonts w:cs="Times New Roman"/>
                <w:color w:val="auto"/>
                <w:sz w:val="20"/>
                <w:szCs w:val="20"/>
              </w:rPr>
              <w:t>0% x 3 / Not Service Connected x 0</w:t>
            </w:r>
          </w:p>
        </w:tc>
      </w:tr>
      <w:tr w:rsidR="00DE2CF3" w:rsidRPr="001E75AF" w:rsidTr="0061759C">
        <w:trPr>
          <w:trHeight w:val="123"/>
          <w:jc w:val="center"/>
        </w:trPr>
        <w:tc>
          <w:tcPr>
            <w:tcW w:w="4428" w:type="dxa"/>
            <w:gridSpan w:val="3"/>
            <w:tcBorders>
              <w:right w:val="thinThickThinSmallGap" w:sz="24" w:space="0" w:color="auto"/>
            </w:tcBorders>
            <w:shd w:val="clear" w:color="auto" w:fill="D9D9D9" w:themeFill="background1" w:themeFillShade="D9"/>
            <w:vAlign w:val="center"/>
          </w:tcPr>
          <w:p w:rsidR="00DE2CF3" w:rsidRPr="001E75AF" w:rsidRDefault="00A8476B" w:rsidP="0061759C">
            <w:pPr>
              <w:spacing w:line="240" w:lineRule="exact"/>
              <w:contextualSpacing/>
              <w:jc w:val="center"/>
              <w:rPr>
                <w:b/>
                <w:color w:val="auto"/>
                <w:sz w:val="20"/>
                <w:szCs w:val="20"/>
              </w:rPr>
            </w:pPr>
            <w:r>
              <w:rPr>
                <w:b/>
                <w:color w:val="auto"/>
                <w:sz w:val="20"/>
                <w:szCs w:val="20"/>
              </w:rPr>
              <w:t>Combined</w:t>
            </w:r>
            <w:r w:rsidR="00DE2CF3" w:rsidRPr="001E75AF">
              <w:rPr>
                <w:b/>
                <w:color w:val="auto"/>
                <w:sz w:val="20"/>
                <w:szCs w:val="20"/>
              </w:rPr>
              <w:t>:  20%</w:t>
            </w:r>
          </w:p>
        </w:tc>
        <w:tc>
          <w:tcPr>
            <w:tcW w:w="4950" w:type="dxa"/>
            <w:gridSpan w:val="4"/>
            <w:tcBorders>
              <w:left w:val="thinThickThinSmallGap" w:sz="24" w:space="0" w:color="auto"/>
            </w:tcBorders>
            <w:shd w:val="clear" w:color="auto" w:fill="D9D9D9" w:themeFill="background1" w:themeFillShade="D9"/>
            <w:vAlign w:val="center"/>
          </w:tcPr>
          <w:p w:rsidR="00DE2CF3" w:rsidRPr="001E75AF" w:rsidRDefault="00A8476B" w:rsidP="0061759C">
            <w:pPr>
              <w:spacing w:line="240" w:lineRule="exact"/>
              <w:contextualSpacing/>
              <w:jc w:val="center"/>
              <w:rPr>
                <w:b/>
                <w:color w:val="auto"/>
                <w:sz w:val="20"/>
                <w:szCs w:val="20"/>
              </w:rPr>
            </w:pPr>
            <w:r>
              <w:rPr>
                <w:b/>
                <w:color w:val="auto"/>
                <w:sz w:val="20"/>
                <w:szCs w:val="20"/>
              </w:rPr>
              <w:t>Combined</w:t>
            </w:r>
            <w:r w:rsidR="00DE2CF3" w:rsidRPr="001E75AF">
              <w:rPr>
                <w:b/>
                <w:color w:val="auto"/>
                <w:sz w:val="20"/>
                <w:szCs w:val="20"/>
              </w:rPr>
              <w:t>:  60%</w:t>
            </w:r>
          </w:p>
        </w:tc>
      </w:tr>
    </w:tbl>
    <w:p w:rsidR="002338CA" w:rsidRPr="001E75AF" w:rsidRDefault="0061759C" w:rsidP="001E75AF">
      <w:pPr>
        <w:spacing w:line="220" w:lineRule="exact"/>
        <w:jc w:val="both"/>
        <w:rPr>
          <w:rFonts w:ascii="Calibri" w:hAnsi="Calibri"/>
          <w:color w:val="auto"/>
          <w:sz w:val="22"/>
        </w:rPr>
      </w:pPr>
      <w:r w:rsidRPr="001E75AF">
        <w:rPr>
          <w:rFonts w:ascii="Calibri" w:hAnsi="Calibri"/>
          <w:color w:val="auto"/>
          <w:sz w:val="22"/>
        </w:rPr>
        <w:t>*</w:t>
      </w:r>
      <w:r w:rsidR="00ED2144" w:rsidRPr="001E75AF">
        <w:rPr>
          <w:rFonts w:ascii="Calibri" w:hAnsi="Calibri"/>
          <w:color w:val="auto"/>
          <w:sz w:val="22"/>
        </w:rPr>
        <w:t>L Hip rating increased to 30% effective 20071227</w:t>
      </w:r>
      <w:r w:rsidRPr="001E75AF">
        <w:rPr>
          <w:rFonts w:ascii="Calibri" w:hAnsi="Calibri"/>
          <w:color w:val="auto"/>
          <w:sz w:val="22"/>
        </w:rPr>
        <w:t>; 9400 increased to 50% effective 20080917</w:t>
      </w:r>
      <w:r w:rsidR="007150EC" w:rsidRPr="001E75AF">
        <w:rPr>
          <w:rFonts w:ascii="Calibri" w:hAnsi="Calibri"/>
          <w:color w:val="auto"/>
          <w:sz w:val="22"/>
        </w:rPr>
        <w:t xml:space="preserve"> (</w:t>
      </w:r>
      <w:r w:rsidRPr="001E75AF">
        <w:rPr>
          <w:rFonts w:ascii="Calibri" w:hAnsi="Calibri"/>
          <w:color w:val="auto"/>
          <w:sz w:val="22"/>
        </w:rPr>
        <w:t xml:space="preserve">both </w:t>
      </w:r>
      <w:r w:rsidR="007150EC" w:rsidRPr="001E75AF">
        <w:rPr>
          <w:rFonts w:ascii="Calibri" w:hAnsi="Calibri"/>
          <w:color w:val="auto"/>
          <w:sz w:val="22"/>
        </w:rPr>
        <w:t>on 20090421)</w:t>
      </w:r>
    </w:p>
    <w:p w:rsidR="00A90D55" w:rsidRPr="00DC76F0" w:rsidRDefault="0055420F" w:rsidP="00190E48">
      <w:pPr>
        <w:tabs>
          <w:tab w:val="left" w:pos="288"/>
          <w:tab w:val="left" w:pos="4752"/>
        </w:tabs>
        <w:spacing w:line="240" w:lineRule="exact"/>
        <w:jc w:val="both"/>
        <w:rPr>
          <w:color w:val="000080"/>
        </w:rPr>
      </w:pPr>
      <w:r w:rsidRPr="00DC76F0">
        <w:rPr>
          <w:color w:val="auto"/>
          <w:u w:val="single"/>
        </w:rPr>
        <w:t>________________________________________________________________</w:t>
      </w:r>
    </w:p>
    <w:p w:rsidR="00F46D3F" w:rsidRDefault="00F46D3F" w:rsidP="00AF1668">
      <w:pPr>
        <w:tabs>
          <w:tab w:val="left" w:pos="288"/>
          <w:tab w:val="left" w:pos="4752"/>
        </w:tabs>
        <w:spacing w:line="240" w:lineRule="exact"/>
        <w:rPr>
          <w:rFonts w:asciiTheme="minorHAnsi" w:hAnsiTheme="minorHAnsi"/>
          <w:color w:val="auto"/>
          <w:szCs w:val="24"/>
          <w:u w:val="single"/>
        </w:rPr>
      </w:pPr>
    </w:p>
    <w:p w:rsidR="000F5E06" w:rsidRPr="00DC76F0" w:rsidRDefault="000F5E06" w:rsidP="00AF1668">
      <w:pPr>
        <w:tabs>
          <w:tab w:val="left" w:pos="288"/>
          <w:tab w:val="left" w:pos="4752"/>
        </w:tabs>
        <w:spacing w:line="240" w:lineRule="exact"/>
        <w:rPr>
          <w:rFonts w:asciiTheme="minorHAnsi" w:hAnsiTheme="minorHAnsi"/>
          <w:color w:val="auto"/>
          <w:szCs w:val="24"/>
          <w:u w:val="single"/>
        </w:rPr>
      </w:pPr>
    </w:p>
    <w:p w:rsidR="00F07052" w:rsidRPr="00DC76F0" w:rsidRDefault="002C6E5B" w:rsidP="00AF1668">
      <w:pPr>
        <w:tabs>
          <w:tab w:val="left" w:pos="288"/>
          <w:tab w:val="left" w:pos="4752"/>
        </w:tabs>
        <w:spacing w:line="240" w:lineRule="exact"/>
        <w:rPr>
          <w:rFonts w:asciiTheme="minorHAnsi" w:hAnsiTheme="minorHAnsi"/>
          <w:color w:val="auto"/>
          <w:szCs w:val="24"/>
        </w:rPr>
      </w:pPr>
      <w:r w:rsidRPr="00DC76F0">
        <w:rPr>
          <w:rFonts w:asciiTheme="minorHAnsi" w:hAnsiTheme="minorHAnsi"/>
          <w:color w:val="auto"/>
          <w:szCs w:val="24"/>
          <w:u w:val="single"/>
        </w:rPr>
        <w:lastRenderedPageBreak/>
        <w:t>ANALYSIS SUMMARY</w:t>
      </w:r>
      <w:r w:rsidRPr="00DC76F0">
        <w:rPr>
          <w:rFonts w:asciiTheme="minorHAnsi" w:hAnsiTheme="minorHAnsi"/>
          <w:color w:val="auto"/>
          <w:szCs w:val="24"/>
        </w:rPr>
        <w:t>:</w:t>
      </w:r>
      <w:r w:rsidR="00F07052" w:rsidRPr="00DC76F0">
        <w:rPr>
          <w:rFonts w:asciiTheme="minorHAnsi" w:eastAsia="HiddenHorzOCR" w:hAnsiTheme="minorHAnsi"/>
          <w:color w:val="auto"/>
          <w:szCs w:val="24"/>
        </w:rPr>
        <w:t xml:space="preserve">  </w:t>
      </w:r>
    </w:p>
    <w:p w:rsidR="008D0A0C" w:rsidRPr="00DC76F0" w:rsidRDefault="008D0A0C" w:rsidP="008E15E1">
      <w:pPr>
        <w:tabs>
          <w:tab w:val="left" w:pos="288"/>
          <w:tab w:val="left" w:pos="4752"/>
        </w:tabs>
        <w:spacing w:line="240" w:lineRule="exact"/>
        <w:rPr>
          <w:rFonts w:asciiTheme="minorHAnsi" w:hAnsiTheme="minorHAnsi"/>
          <w:color w:val="auto"/>
          <w:szCs w:val="24"/>
          <w:u w:val="single"/>
        </w:rPr>
      </w:pPr>
    </w:p>
    <w:p w:rsidR="00DB19BF" w:rsidRPr="00A6416E" w:rsidRDefault="00C52CC8" w:rsidP="008B4BF6">
      <w:pPr>
        <w:spacing w:line="240" w:lineRule="exact"/>
        <w:jc w:val="both"/>
        <w:rPr>
          <w:rFonts w:asciiTheme="minorHAnsi" w:hAnsiTheme="minorHAnsi"/>
          <w:color w:val="auto"/>
          <w:szCs w:val="24"/>
        </w:rPr>
      </w:pPr>
      <w:proofErr w:type="gramStart"/>
      <w:r w:rsidRPr="00DC76F0">
        <w:rPr>
          <w:rFonts w:asciiTheme="minorHAnsi" w:hAnsiTheme="minorHAnsi"/>
          <w:color w:val="auto"/>
          <w:szCs w:val="24"/>
          <w:u w:val="single"/>
        </w:rPr>
        <w:t xml:space="preserve">Left Hip </w:t>
      </w:r>
      <w:proofErr w:type="spellStart"/>
      <w:r w:rsidRPr="00DC76F0">
        <w:rPr>
          <w:rFonts w:asciiTheme="minorHAnsi" w:hAnsiTheme="minorHAnsi"/>
          <w:color w:val="auto"/>
          <w:szCs w:val="24"/>
          <w:u w:val="single"/>
        </w:rPr>
        <w:t>Labral</w:t>
      </w:r>
      <w:proofErr w:type="spellEnd"/>
      <w:r w:rsidRPr="00DC76F0">
        <w:rPr>
          <w:rFonts w:asciiTheme="minorHAnsi" w:hAnsiTheme="minorHAnsi"/>
          <w:color w:val="auto"/>
          <w:szCs w:val="24"/>
          <w:u w:val="single"/>
        </w:rPr>
        <w:t xml:space="preserve"> Tear</w:t>
      </w:r>
      <w:r w:rsidR="00B11512">
        <w:rPr>
          <w:rFonts w:asciiTheme="minorHAnsi" w:hAnsiTheme="minorHAnsi"/>
          <w:color w:val="auto"/>
          <w:szCs w:val="24"/>
          <w:u w:val="single"/>
        </w:rPr>
        <w:t>.</w:t>
      </w:r>
      <w:proofErr w:type="gramEnd"/>
      <w:r w:rsidRPr="00DC76F0">
        <w:rPr>
          <w:rFonts w:asciiTheme="minorHAnsi" w:hAnsiTheme="minorHAnsi"/>
          <w:color w:val="auto"/>
          <w:szCs w:val="24"/>
        </w:rPr>
        <w:t xml:space="preserve"> </w:t>
      </w:r>
      <w:r w:rsidR="0007510D" w:rsidRPr="00DC76F0">
        <w:rPr>
          <w:rFonts w:asciiTheme="minorHAnsi" w:hAnsiTheme="minorHAnsi"/>
          <w:color w:val="auto"/>
          <w:szCs w:val="24"/>
        </w:rPr>
        <w:t xml:space="preserve"> </w:t>
      </w:r>
      <w:r w:rsidR="00DB19BF" w:rsidRPr="00DC76F0">
        <w:rPr>
          <w:rFonts w:asciiTheme="minorHAnsi" w:hAnsiTheme="minorHAnsi"/>
          <w:color w:val="auto"/>
          <w:szCs w:val="24"/>
        </w:rPr>
        <w:t xml:space="preserve">There were two </w:t>
      </w:r>
      <w:proofErr w:type="gramStart"/>
      <w:r w:rsidR="00DB19BF" w:rsidRPr="00DC76F0">
        <w:rPr>
          <w:rFonts w:asciiTheme="minorHAnsi" w:hAnsiTheme="minorHAnsi"/>
          <w:color w:val="auto"/>
          <w:szCs w:val="24"/>
        </w:rPr>
        <w:t>range</w:t>
      </w:r>
      <w:proofErr w:type="gramEnd"/>
      <w:r w:rsidR="000F5E06">
        <w:rPr>
          <w:rFonts w:asciiTheme="minorHAnsi" w:hAnsiTheme="minorHAnsi"/>
          <w:color w:val="auto"/>
          <w:szCs w:val="24"/>
        </w:rPr>
        <w:t xml:space="preserve"> </w:t>
      </w:r>
      <w:r w:rsidR="00DB19BF" w:rsidRPr="00DC76F0">
        <w:rPr>
          <w:rFonts w:asciiTheme="minorHAnsi" w:hAnsiTheme="minorHAnsi"/>
          <w:color w:val="auto"/>
          <w:szCs w:val="24"/>
        </w:rPr>
        <w:t>of</w:t>
      </w:r>
      <w:r w:rsidR="000F5E06">
        <w:rPr>
          <w:rFonts w:asciiTheme="minorHAnsi" w:hAnsiTheme="minorHAnsi"/>
          <w:color w:val="auto"/>
          <w:szCs w:val="24"/>
        </w:rPr>
        <w:t xml:space="preserve"> </w:t>
      </w:r>
      <w:r w:rsidR="00DB19BF" w:rsidRPr="00DC76F0">
        <w:rPr>
          <w:rFonts w:asciiTheme="minorHAnsi" w:hAnsiTheme="minorHAnsi"/>
          <w:color w:val="auto"/>
          <w:szCs w:val="24"/>
        </w:rPr>
        <w:t xml:space="preserve">motion (ROM) evaluations in evidence which the Board weighed in arriving at its rating recommendation.  Both of these exams are summarized in the chart below.  </w:t>
      </w:r>
    </w:p>
    <w:p w:rsidR="00880807" w:rsidRPr="00A6416E" w:rsidRDefault="00880807" w:rsidP="008B4BF6">
      <w:pPr>
        <w:spacing w:line="240" w:lineRule="exact"/>
        <w:jc w:val="both"/>
        <w:rPr>
          <w:rFonts w:asciiTheme="minorHAnsi" w:hAnsiTheme="minorHAnsi"/>
          <w:color w:val="auto"/>
          <w:szCs w:val="24"/>
        </w:rPr>
      </w:pPr>
    </w:p>
    <w:tbl>
      <w:tblPr>
        <w:tblW w:w="9407" w:type="dxa"/>
        <w:jc w:val="center"/>
        <w:tblInd w:w="-14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724"/>
        <w:gridCol w:w="3420"/>
        <w:gridCol w:w="3263"/>
      </w:tblGrid>
      <w:tr w:rsidR="001E75AF" w:rsidRPr="00A6416E" w:rsidTr="00B11512">
        <w:trPr>
          <w:jc w:val="center"/>
        </w:trPr>
        <w:tc>
          <w:tcPr>
            <w:tcW w:w="2724" w:type="dxa"/>
            <w:shd w:val="clear" w:color="auto" w:fill="D9D9D9" w:themeFill="background1" w:themeFillShade="D9"/>
          </w:tcPr>
          <w:p w:rsidR="001E75AF" w:rsidRPr="00A6416E" w:rsidRDefault="001E75AF" w:rsidP="00D32B12">
            <w:pPr>
              <w:spacing w:line="240" w:lineRule="exact"/>
              <w:contextualSpacing/>
              <w:jc w:val="center"/>
              <w:rPr>
                <w:rFonts w:asciiTheme="minorHAnsi" w:eastAsia="Calibri" w:hAnsiTheme="minorHAnsi"/>
                <w:color w:val="auto"/>
                <w:sz w:val="20"/>
              </w:rPr>
            </w:pPr>
            <w:r w:rsidRPr="00A6416E">
              <w:rPr>
                <w:rFonts w:asciiTheme="minorHAnsi" w:eastAsia="Calibri" w:hAnsiTheme="minorHAnsi"/>
                <w:color w:val="auto"/>
                <w:sz w:val="20"/>
              </w:rPr>
              <w:t>ROM - Left Hip</w:t>
            </w:r>
          </w:p>
        </w:tc>
        <w:tc>
          <w:tcPr>
            <w:tcW w:w="3420" w:type="dxa"/>
            <w:shd w:val="clear" w:color="auto" w:fill="D9D9D9" w:themeFill="background1" w:themeFillShade="D9"/>
            <w:vAlign w:val="center"/>
          </w:tcPr>
          <w:p w:rsidR="001E75AF" w:rsidRPr="00A6416E" w:rsidRDefault="001E75AF" w:rsidP="00046E30">
            <w:pPr>
              <w:spacing w:line="240" w:lineRule="exact"/>
              <w:contextualSpacing/>
              <w:jc w:val="center"/>
              <w:rPr>
                <w:rFonts w:asciiTheme="minorHAnsi" w:eastAsia="Calibri" w:hAnsiTheme="minorHAnsi"/>
                <w:color w:val="auto"/>
                <w:sz w:val="20"/>
              </w:rPr>
            </w:pPr>
            <w:r w:rsidRPr="00A6416E">
              <w:rPr>
                <w:rFonts w:asciiTheme="minorHAnsi" w:eastAsia="Calibri" w:hAnsiTheme="minorHAnsi"/>
                <w:color w:val="auto"/>
                <w:sz w:val="20"/>
              </w:rPr>
              <w:t>MEB - ~4 Mo. Pre-Sep</w:t>
            </w:r>
          </w:p>
        </w:tc>
        <w:tc>
          <w:tcPr>
            <w:tcW w:w="3263" w:type="dxa"/>
            <w:shd w:val="clear" w:color="auto" w:fill="D9D9D9" w:themeFill="background1" w:themeFillShade="D9"/>
            <w:vAlign w:val="center"/>
          </w:tcPr>
          <w:p w:rsidR="001E75AF" w:rsidRPr="00046E30" w:rsidRDefault="001E75AF" w:rsidP="00046E30">
            <w:pPr>
              <w:spacing w:line="240" w:lineRule="exact"/>
              <w:contextualSpacing/>
              <w:jc w:val="center"/>
              <w:rPr>
                <w:rFonts w:asciiTheme="minorHAnsi" w:eastAsia="Calibri" w:hAnsiTheme="minorHAnsi"/>
                <w:color w:val="auto"/>
                <w:sz w:val="20"/>
              </w:rPr>
            </w:pPr>
            <w:r w:rsidRPr="00A6416E">
              <w:rPr>
                <w:rFonts w:asciiTheme="minorHAnsi" w:eastAsia="Calibri" w:hAnsiTheme="minorHAnsi"/>
                <w:color w:val="auto"/>
                <w:sz w:val="20"/>
              </w:rPr>
              <w:t>VA</w:t>
            </w:r>
            <w:r w:rsidRPr="00A6416E">
              <w:rPr>
                <w:rFonts w:asciiTheme="minorHAnsi" w:eastAsiaTheme="minorHAnsi" w:hAnsiTheme="minorHAnsi" w:cstheme="minorBidi"/>
                <w:color w:val="auto"/>
                <w:sz w:val="20"/>
              </w:rPr>
              <w:t xml:space="preserve"> C&amp;P - </w:t>
            </w:r>
            <w:r w:rsidRPr="00A6416E">
              <w:rPr>
                <w:rFonts w:asciiTheme="minorHAnsi" w:eastAsia="Calibri" w:hAnsiTheme="minorHAnsi"/>
                <w:color w:val="auto"/>
                <w:sz w:val="20"/>
              </w:rPr>
              <w:t>~ 2 Mo. Pre-Sep</w:t>
            </w:r>
          </w:p>
        </w:tc>
      </w:tr>
      <w:tr w:rsidR="001E75AF" w:rsidRPr="00A6416E" w:rsidTr="00B11512">
        <w:trPr>
          <w:jc w:val="center"/>
        </w:trPr>
        <w:tc>
          <w:tcPr>
            <w:tcW w:w="2724" w:type="dxa"/>
          </w:tcPr>
          <w:p w:rsidR="001E75AF" w:rsidRPr="00214D40" w:rsidRDefault="001E75AF" w:rsidP="00214D40">
            <w:pPr>
              <w:spacing w:line="200" w:lineRule="exact"/>
              <w:contextualSpacing/>
              <w:jc w:val="both"/>
              <w:rPr>
                <w:rFonts w:asciiTheme="minorHAnsi" w:eastAsia="Calibri" w:hAnsiTheme="minorHAnsi"/>
                <w:color w:val="auto"/>
                <w:sz w:val="20"/>
                <w:szCs w:val="18"/>
              </w:rPr>
            </w:pPr>
            <w:r w:rsidRPr="00214D40">
              <w:rPr>
                <w:rFonts w:asciiTheme="minorHAnsi" w:eastAsia="Calibri" w:hAnsiTheme="minorHAnsi"/>
                <w:color w:val="auto"/>
                <w:sz w:val="20"/>
                <w:szCs w:val="18"/>
              </w:rPr>
              <w:t>Flexion (0-125)</w:t>
            </w:r>
          </w:p>
        </w:tc>
        <w:tc>
          <w:tcPr>
            <w:tcW w:w="3420" w:type="dxa"/>
          </w:tcPr>
          <w:p w:rsidR="001E75AF" w:rsidRPr="00214D40" w:rsidRDefault="001E75AF" w:rsidP="00214D40">
            <w:pPr>
              <w:spacing w:line="200" w:lineRule="exact"/>
              <w:contextualSpacing/>
              <w:jc w:val="center"/>
              <w:rPr>
                <w:rFonts w:asciiTheme="minorHAnsi" w:eastAsia="Calibri" w:hAnsiTheme="minorHAnsi"/>
                <w:color w:val="auto"/>
                <w:sz w:val="20"/>
                <w:szCs w:val="18"/>
              </w:rPr>
            </w:pPr>
            <w:r w:rsidRPr="00214D40">
              <w:rPr>
                <w:rFonts w:asciiTheme="minorHAnsi" w:eastAsia="Calibri" w:hAnsiTheme="minorHAnsi"/>
                <w:color w:val="auto"/>
                <w:sz w:val="20"/>
                <w:szCs w:val="18"/>
              </w:rPr>
              <w:t>“20⁰ loss of full hip flexion” (105⁰)</w:t>
            </w:r>
          </w:p>
        </w:tc>
        <w:tc>
          <w:tcPr>
            <w:tcW w:w="3263" w:type="dxa"/>
          </w:tcPr>
          <w:p w:rsidR="001E75AF" w:rsidRPr="00214D40" w:rsidRDefault="001E75AF" w:rsidP="00214D40">
            <w:pPr>
              <w:spacing w:line="200" w:lineRule="exact"/>
              <w:contextualSpacing/>
              <w:jc w:val="center"/>
              <w:rPr>
                <w:rFonts w:asciiTheme="minorHAnsi" w:eastAsia="Calibri" w:hAnsiTheme="minorHAnsi"/>
                <w:color w:val="auto"/>
                <w:sz w:val="20"/>
                <w:szCs w:val="18"/>
              </w:rPr>
            </w:pPr>
            <w:r w:rsidRPr="00214D40">
              <w:rPr>
                <w:rFonts w:asciiTheme="minorHAnsi" w:eastAsia="Calibri" w:hAnsiTheme="minorHAnsi"/>
                <w:color w:val="auto"/>
                <w:sz w:val="20"/>
                <w:szCs w:val="18"/>
              </w:rPr>
              <w:t>80⁰ (0⁰-80⁰ w/pain)</w:t>
            </w:r>
          </w:p>
        </w:tc>
      </w:tr>
      <w:tr w:rsidR="001E75AF" w:rsidRPr="00A6416E" w:rsidTr="00B11512">
        <w:trPr>
          <w:jc w:val="center"/>
        </w:trPr>
        <w:tc>
          <w:tcPr>
            <w:tcW w:w="2724" w:type="dxa"/>
          </w:tcPr>
          <w:p w:rsidR="001E75AF" w:rsidRPr="00214D40" w:rsidRDefault="001E75AF" w:rsidP="00214D40">
            <w:pPr>
              <w:spacing w:line="200" w:lineRule="exact"/>
              <w:contextualSpacing/>
              <w:jc w:val="both"/>
              <w:rPr>
                <w:rFonts w:asciiTheme="minorHAnsi" w:eastAsia="Calibri" w:hAnsiTheme="minorHAnsi"/>
                <w:color w:val="auto"/>
                <w:sz w:val="20"/>
                <w:szCs w:val="18"/>
              </w:rPr>
            </w:pPr>
            <w:r w:rsidRPr="00214D40">
              <w:rPr>
                <w:rFonts w:asciiTheme="minorHAnsi" w:eastAsia="Calibri" w:hAnsiTheme="minorHAnsi"/>
                <w:color w:val="auto"/>
                <w:sz w:val="20"/>
                <w:szCs w:val="18"/>
              </w:rPr>
              <w:t>Extension (0-30)</w:t>
            </w:r>
          </w:p>
        </w:tc>
        <w:tc>
          <w:tcPr>
            <w:tcW w:w="3420" w:type="dxa"/>
          </w:tcPr>
          <w:p w:rsidR="001E75AF" w:rsidRPr="00214D40" w:rsidRDefault="001E75AF" w:rsidP="00214D40">
            <w:pPr>
              <w:spacing w:line="200" w:lineRule="exact"/>
              <w:contextualSpacing/>
              <w:jc w:val="center"/>
              <w:rPr>
                <w:rFonts w:asciiTheme="minorHAnsi" w:eastAsia="Calibri" w:hAnsiTheme="minorHAnsi"/>
                <w:color w:val="auto"/>
                <w:sz w:val="20"/>
                <w:szCs w:val="18"/>
              </w:rPr>
            </w:pPr>
            <w:r w:rsidRPr="00214D40">
              <w:rPr>
                <w:rFonts w:asciiTheme="minorHAnsi" w:eastAsia="Calibri" w:hAnsiTheme="minorHAnsi"/>
                <w:color w:val="auto"/>
                <w:sz w:val="20"/>
                <w:szCs w:val="18"/>
              </w:rPr>
              <w:t>Full hip extension</w:t>
            </w:r>
          </w:p>
        </w:tc>
        <w:tc>
          <w:tcPr>
            <w:tcW w:w="3263" w:type="dxa"/>
          </w:tcPr>
          <w:p w:rsidR="001E75AF" w:rsidRPr="00214D40" w:rsidRDefault="001E75AF" w:rsidP="00214D40">
            <w:pPr>
              <w:spacing w:line="200" w:lineRule="exact"/>
              <w:contextualSpacing/>
              <w:jc w:val="center"/>
              <w:rPr>
                <w:rFonts w:asciiTheme="minorHAnsi" w:eastAsia="Calibri" w:hAnsiTheme="minorHAnsi"/>
                <w:color w:val="auto"/>
                <w:sz w:val="20"/>
                <w:szCs w:val="18"/>
              </w:rPr>
            </w:pPr>
            <w:r w:rsidRPr="00214D40">
              <w:rPr>
                <w:rFonts w:asciiTheme="minorHAnsi" w:eastAsia="Calibri" w:hAnsiTheme="minorHAnsi"/>
                <w:color w:val="auto"/>
                <w:sz w:val="20"/>
                <w:szCs w:val="18"/>
              </w:rPr>
              <w:t>25⁰ w/pain</w:t>
            </w:r>
          </w:p>
        </w:tc>
      </w:tr>
      <w:tr w:rsidR="001E75AF" w:rsidRPr="00A6416E" w:rsidTr="00B11512">
        <w:trPr>
          <w:jc w:val="center"/>
        </w:trPr>
        <w:tc>
          <w:tcPr>
            <w:tcW w:w="2724" w:type="dxa"/>
          </w:tcPr>
          <w:p w:rsidR="001E75AF" w:rsidRPr="00214D40" w:rsidRDefault="001E75AF" w:rsidP="00214D40">
            <w:pPr>
              <w:spacing w:line="200" w:lineRule="exact"/>
              <w:contextualSpacing/>
              <w:jc w:val="both"/>
              <w:rPr>
                <w:rFonts w:asciiTheme="minorHAnsi" w:eastAsia="Calibri" w:hAnsiTheme="minorHAnsi"/>
                <w:color w:val="auto"/>
                <w:sz w:val="20"/>
                <w:szCs w:val="18"/>
              </w:rPr>
            </w:pPr>
            <w:r w:rsidRPr="00214D40">
              <w:rPr>
                <w:rFonts w:asciiTheme="minorHAnsi" w:eastAsia="Calibri" w:hAnsiTheme="minorHAnsi"/>
                <w:color w:val="auto"/>
                <w:sz w:val="20"/>
                <w:szCs w:val="18"/>
              </w:rPr>
              <w:t>Abduction (0-45)</w:t>
            </w:r>
          </w:p>
        </w:tc>
        <w:tc>
          <w:tcPr>
            <w:tcW w:w="3420" w:type="dxa"/>
          </w:tcPr>
          <w:p w:rsidR="001E75AF" w:rsidRPr="00214D40" w:rsidRDefault="001E75AF" w:rsidP="00214D40">
            <w:pPr>
              <w:spacing w:line="200" w:lineRule="exact"/>
              <w:contextualSpacing/>
              <w:jc w:val="center"/>
              <w:rPr>
                <w:rFonts w:asciiTheme="minorHAnsi" w:eastAsia="Calibri" w:hAnsiTheme="minorHAnsi"/>
                <w:i/>
                <w:color w:val="auto"/>
                <w:sz w:val="20"/>
                <w:szCs w:val="18"/>
              </w:rPr>
            </w:pPr>
            <w:r w:rsidRPr="00214D40">
              <w:rPr>
                <w:rFonts w:asciiTheme="minorHAnsi" w:eastAsia="Calibri" w:hAnsiTheme="minorHAnsi"/>
                <w:i/>
                <w:color w:val="auto"/>
                <w:sz w:val="20"/>
                <w:szCs w:val="18"/>
              </w:rPr>
              <w:t>Not given</w:t>
            </w:r>
          </w:p>
        </w:tc>
        <w:tc>
          <w:tcPr>
            <w:tcW w:w="3263" w:type="dxa"/>
          </w:tcPr>
          <w:p w:rsidR="001E75AF" w:rsidRPr="00214D40" w:rsidRDefault="001E75AF" w:rsidP="00214D40">
            <w:pPr>
              <w:spacing w:line="200" w:lineRule="exact"/>
              <w:contextualSpacing/>
              <w:jc w:val="center"/>
              <w:rPr>
                <w:rFonts w:asciiTheme="minorHAnsi" w:eastAsia="Calibri" w:hAnsiTheme="minorHAnsi"/>
                <w:color w:val="auto"/>
                <w:sz w:val="20"/>
                <w:szCs w:val="18"/>
              </w:rPr>
            </w:pPr>
            <w:r w:rsidRPr="00214D40">
              <w:rPr>
                <w:rFonts w:asciiTheme="minorHAnsi" w:eastAsia="Calibri" w:hAnsiTheme="minorHAnsi"/>
                <w:color w:val="auto"/>
                <w:sz w:val="20"/>
                <w:szCs w:val="18"/>
              </w:rPr>
              <w:t>40⁰ w/pain</w:t>
            </w:r>
          </w:p>
        </w:tc>
      </w:tr>
      <w:tr w:rsidR="001E75AF" w:rsidRPr="00A6416E" w:rsidTr="00B11512">
        <w:trPr>
          <w:jc w:val="center"/>
        </w:trPr>
        <w:tc>
          <w:tcPr>
            <w:tcW w:w="2724" w:type="dxa"/>
          </w:tcPr>
          <w:p w:rsidR="001E75AF" w:rsidRPr="00214D40" w:rsidRDefault="001E75AF" w:rsidP="00214D40">
            <w:pPr>
              <w:spacing w:line="200" w:lineRule="exact"/>
              <w:contextualSpacing/>
              <w:jc w:val="both"/>
              <w:rPr>
                <w:rFonts w:asciiTheme="minorHAnsi" w:eastAsia="Calibri" w:hAnsiTheme="minorHAnsi"/>
                <w:color w:val="auto"/>
                <w:sz w:val="20"/>
                <w:szCs w:val="18"/>
              </w:rPr>
            </w:pPr>
            <w:r w:rsidRPr="00214D40">
              <w:rPr>
                <w:rFonts w:asciiTheme="minorHAnsi" w:eastAsia="Calibri" w:hAnsiTheme="minorHAnsi"/>
                <w:color w:val="auto"/>
                <w:sz w:val="20"/>
                <w:szCs w:val="18"/>
              </w:rPr>
              <w:t>Adduction (0-45)</w:t>
            </w:r>
          </w:p>
        </w:tc>
        <w:tc>
          <w:tcPr>
            <w:tcW w:w="3420" w:type="dxa"/>
          </w:tcPr>
          <w:p w:rsidR="001E75AF" w:rsidRPr="00214D40" w:rsidRDefault="001E75AF" w:rsidP="00214D40">
            <w:pPr>
              <w:spacing w:line="200" w:lineRule="exact"/>
              <w:contextualSpacing/>
              <w:jc w:val="center"/>
              <w:rPr>
                <w:rFonts w:asciiTheme="minorHAnsi" w:eastAsia="Calibri" w:hAnsiTheme="minorHAnsi"/>
                <w:i/>
                <w:color w:val="auto"/>
                <w:sz w:val="20"/>
                <w:szCs w:val="18"/>
              </w:rPr>
            </w:pPr>
            <w:r w:rsidRPr="00214D40">
              <w:rPr>
                <w:rFonts w:asciiTheme="minorHAnsi" w:eastAsia="Calibri" w:hAnsiTheme="minorHAnsi"/>
                <w:i/>
                <w:color w:val="auto"/>
                <w:sz w:val="20"/>
                <w:szCs w:val="18"/>
              </w:rPr>
              <w:t>Not given</w:t>
            </w:r>
          </w:p>
        </w:tc>
        <w:tc>
          <w:tcPr>
            <w:tcW w:w="3263" w:type="dxa"/>
          </w:tcPr>
          <w:p w:rsidR="001E75AF" w:rsidRPr="00214D40" w:rsidRDefault="001E75AF" w:rsidP="00214D40">
            <w:pPr>
              <w:spacing w:line="200" w:lineRule="exact"/>
              <w:contextualSpacing/>
              <w:jc w:val="center"/>
              <w:rPr>
                <w:rFonts w:asciiTheme="minorHAnsi" w:eastAsia="Calibri" w:hAnsiTheme="minorHAnsi"/>
                <w:color w:val="auto"/>
                <w:sz w:val="20"/>
                <w:szCs w:val="18"/>
              </w:rPr>
            </w:pPr>
            <w:r w:rsidRPr="00214D40">
              <w:rPr>
                <w:rFonts w:asciiTheme="minorHAnsi" w:eastAsia="Calibri" w:hAnsiTheme="minorHAnsi"/>
                <w:color w:val="auto"/>
                <w:sz w:val="20"/>
                <w:szCs w:val="18"/>
              </w:rPr>
              <w:t>25⁰</w:t>
            </w:r>
          </w:p>
        </w:tc>
      </w:tr>
      <w:tr w:rsidR="001E75AF" w:rsidRPr="00A6416E" w:rsidTr="00B11512">
        <w:trPr>
          <w:jc w:val="center"/>
        </w:trPr>
        <w:tc>
          <w:tcPr>
            <w:tcW w:w="2724" w:type="dxa"/>
          </w:tcPr>
          <w:p w:rsidR="001E75AF" w:rsidRPr="00214D40" w:rsidRDefault="001E75AF" w:rsidP="00214D40">
            <w:pPr>
              <w:spacing w:line="200" w:lineRule="exact"/>
              <w:contextualSpacing/>
              <w:jc w:val="both"/>
              <w:rPr>
                <w:rFonts w:asciiTheme="minorHAnsi" w:eastAsia="Calibri" w:hAnsiTheme="minorHAnsi"/>
                <w:color w:val="auto"/>
                <w:sz w:val="20"/>
                <w:szCs w:val="18"/>
              </w:rPr>
            </w:pPr>
            <w:r w:rsidRPr="00214D40">
              <w:rPr>
                <w:rFonts w:asciiTheme="minorHAnsi" w:eastAsia="Calibri" w:hAnsiTheme="minorHAnsi"/>
                <w:color w:val="auto"/>
                <w:sz w:val="20"/>
                <w:szCs w:val="18"/>
              </w:rPr>
              <w:t>External Rotation</w:t>
            </w:r>
          </w:p>
        </w:tc>
        <w:tc>
          <w:tcPr>
            <w:tcW w:w="3420" w:type="dxa"/>
          </w:tcPr>
          <w:p w:rsidR="001E75AF" w:rsidRPr="00214D40" w:rsidRDefault="001E75AF" w:rsidP="00214D40">
            <w:pPr>
              <w:spacing w:line="200" w:lineRule="exact"/>
              <w:contextualSpacing/>
              <w:jc w:val="center"/>
              <w:rPr>
                <w:rFonts w:asciiTheme="minorHAnsi" w:eastAsia="Calibri" w:hAnsiTheme="minorHAnsi"/>
                <w:color w:val="auto"/>
                <w:sz w:val="20"/>
                <w:szCs w:val="18"/>
              </w:rPr>
            </w:pPr>
            <w:r w:rsidRPr="00214D40">
              <w:rPr>
                <w:rFonts w:asciiTheme="minorHAnsi" w:eastAsia="Calibri" w:hAnsiTheme="minorHAnsi"/>
                <w:color w:val="auto"/>
                <w:sz w:val="20"/>
                <w:szCs w:val="18"/>
              </w:rPr>
              <w:t>45⁰</w:t>
            </w:r>
          </w:p>
        </w:tc>
        <w:tc>
          <w:tcPr>
            <w:tcW w:w="3263" w:type="dxa"/>
          </w:tcPr>
          <w:p w:rsidR="001E75AF" w:rsidRPr="00214D40" w:rsidRDefault="001E75AF" w:rsidP="00214D40">
            <w:pPr>
              <w:spacing w:line="200" w:lineRule="exact"/>
              <w:contextualSpacing/>
              <w:jc w:val="center"/>
              <w:rPr>
                <w:rFonts w:asciiTheme="minorHAnsi" w:eastAsia="Calibri" w:hAnsiTheme="minorHAnsi"/>
                <w:color w:val="auto"/>
                <w:sz w:val="20"/>
                <w:szCs w:val="18"/>
              </w:rPr>
            </w:pPr>
            <w:r w:rsidRPr="00214D40">
              <w:rPr>
                <w:rFonts w:asciiTheme="minorHAnsi" w:eastAsia="Calibri" w:hAnsiTheme="minorHAnsi"/>
                <w:color w:val="auto"/>
                <w:sz w:val="20"/>
                <w:szCs w:val="18"/>
              </w:rPr>
              <w:t>50⁰ w/pain</w:t>
            </w:r>
          </w:p>
        </w:tc>
      </w:tr>
      <w:tr w:rsidR="001E75AF" w:rsidRPr="00A6416E" w:rsidTr="00B11512">
        <w:trPr>
          <w:jc w:val="center"/>
        </w:trPr>
        <w:tc>
          <w:tcPr>
            <w:tcW w:w="2724" w:type="dxa"/>
          </w:tcPr>
          <w:p w:rsidR="001E75AF" w:rsidRPr="00214D40" w:rsidRDefault="001E75AF" w:rsidP="00214D40">
            <w:pPr>
              <w:spacing w:line="200" w:lineRule="exact"/>
              <w:contextualSpacing/>
              <w:jc w:val="both"/>
              <w:rPr>
                <w:rFonts w:asciiTheme="minorHAnsi" w:eastAsia="Calibri" w:hAnsiTheme="minorHAnsi"/>
                <w:color w:val="auto"/>
                <w:sz w:val="20"/>
                <w:szCs w:val="18"/>
              </w:rPr>
            </w:pPr>
            <w:r w:rsidRPr="00214D40">
              <w:rPr>
                <w:rFonts w:asciiTheme="minorHAnsi" w:eastAsia="Calibri" w:hAnsiTheme="minorHAnsi"/>
                <w:color w:val="auto"/>
                <w:sz w:val="20"/>
                <w:szCs w:val="18"/>
              </w:rPr>
              <w:t>Internal Rotation</w:t>
            </w:r>
          </w:p>
        </w:tc>
        <w:tc>
          <w:tcPr>
            <w:tcW w:w="3420" w:type="dxa"/>
          </w:tcPr>
          <w:p w:rsidR="001E75AF" w:rsidRPr="00214D40" w:rsidRDefault="001E75AF" w:rsidP="00214D40">
            <w:pPr>
              <w:spacing w:line="200" w:lineRule="exact"/>
              <w:contextualSpacing/>
              <w:jc w:val="center"/>
              <w:rPr>
                <w:rFonts w:asciiTheme="minorHAnsi" w:eastAsia="Calibri" w:hAnsiTheme="minorHAnsi"/>
                <w:color w:val="auto"/>
                <w:sz w:val="20"/>
                <w:szCs w:val="18"/>
              </w:rPr>
            </w:pPr>
            <w:r w:rsidRPr="00214D40">
              <w:rPr>
                <w:rFonts w:asciiTheme="minorHAnsi" w:eastAsia="Calibri" w:hAnsiTheme="minorHAnsi"/>
                <w:color w:val="auto"/>
                <w:sz w:val="20"/>
                <w:szCs w:val="18"/>
              </w:rPr>
              <w:t>45⁰</w:t>
            </w:r>
          </w:p>
        </w:tc>
        <w:tc>
          <w:tcPr>
            <w:tcW w:w="3263" w:type="dxa"/>
          </w:tcPr>
          <w:p w:rsidR="001E75AF" w:rsidRPr="00214D40" w:rsidRDefault="001E75AF" w:rsidP="00214D40">
            <w:pPr>
              <w:spacing w:line="200" w:lineRule="exact"/>
              <w:contextualSpacing/>
              <w:jc w:val="center"/>
              <w:rPr>
                <w:rFonts w:asciiTheme="minorHAnsi" w:eastAsia="Calibri" w:hAnsiTheme="minorHAnsi"/>
                <w:color w:val="auto"/>
                <w:sz w:val="20"/>
                <w:szCs w:val="18"/>
              </w:rPr>
            </w:pPr>
            <w:r w:rsidRPr="00214D40">
              <w:rPr>
                <w:rFonts w:asciiTheme="minorHAnsi" w:eastAsia="Calibri" w:hAnsiTheme="minorHAnsi"/>
                <w:color w:val="auto"/>
                <w:sz w:val="20"/>
                <w:szCs w:val="18"/>
              </w:rPr>
              <w:t>40⁰</w:t>
            </w:r>
          </w:p>
        </w:tc>
      </w:tr>
      <w:tr w:rsidR="001E75AF" w:rsidRPr="00A6416E" w:rsidTr="00B11512">
        <w:trPr>
          <w:jc w:val="center"/>
        </w:trPr>
        <w:tc>
          <w:tcPr>
            <w:tcW w:w="2724" w:type="dxa"/>
          </w:tcPr>
          <w:p w:rsidR="001E75AF" w:rsidRPr="00214D40" w:rsidRDefault="001E75AF" w:rsidP="00214D40">
            <w:pPr>
              <w:tabs>
                <w:tab w:val="left" w:pos="288"/>
                <w:tab w:val="left" w:pos="4752"/>
              </w:tabs>
              <w:spacing w:line="200" w:lineRule="exact"/>
              <w:rPr>
                <w:rFonts w:asciiTheme="minorHAnsi" w:eastAsiaTheme="minorHAnsi" w:hAnsiTheme="minorHAnsi"/>
                <w:color w:val="auto"/>
                <w:sz w:val="20"/>
                <w:szCs w:val="18"/>
              </w:rPr>
            </w:pPr>
            <w:r w:rsidRPr="00214D40">
              <w:rPr>
                <w:rFonts w:asciiTheme="minorHAnsi" w:eastAsiaTheme="minorHAnsi" w:hAnsiTheme="minorHAnsi"/>
                <w:color w:val="auto"/>
                <w:sz w:val="20"/>
                <w:szCs w:val="18"/>
              </w:rPr>
              <w:t>Comment</w:t>
            </w:r>
            <w:r w:rsidR="00046E30" w:rsidRPr="00214D40">
              <w:rPr>
                <w:rFonts w:asciiTheme="minorHAnsi" w:eastAsiaTheme="minorHAnsi" w:hAnsiTheme="minorHAnsi"/>
                <w:color w:val="auto"/>
                <w:sz w:val="20"/>
                <w:szCs w:val="18"/>
              </w:rPr>
              <w:t>:  See overlap with LS exam</w:t>
            </w:r>
          </w:p>
        </w:tc>
        <w:tc>
          <w:tcPr>
            <w:tcW w:w="3420" w:type="dxa"/>
          </w:tcPr>
          <w:p w:rsidR="001E75AF" w:rsidRPr="00214D40" w:rsidRDefault="001E75AF" w:rsidP="00214D40">
            <w:pPr>
              <w:pStyle w:val="ListParagraph"/>
              <w:spacing w:after="0" w:line="200" w:lineRule="exact"/>
              <w:ind w:left="0"/>
              <w:rPr>
                <w:rFonts w:eastAsia="Calibri" w:cs="Times New Roman"/>
                <w:sz w:val="20"/>
                <w:szCs w:val="18"/>
              </w:rPr>
            </w:pPr>
            <w:r w:rsidRPr="00214D40">
              <w:rPr>
                <w:rFonts w:eastAsia="Calibri" w:cs="Times New Roman"/>
                <w:sz w:val="20"/>
                <w:szCs w:val="18"/>
              </w:rPr>
              <w:t>TTP; antalgic gait; positive FABER with restricted motion; tight hamstrings; positive SLR due to tight hamstrings</w:t>
            </w:r>
          </w:p>
        </w:tc>
        <w:tc>
          <w:tcPr>
            <w:tcW w:w="3263" w:type="dxa"/>
          </w:tcPr>
          <w:p w:rsidR="001E75AF" w:rsidRPr="00214D40" w:rsidRDefault="001E75AF" w:rsidP="00214D40">
            <w:pPr>
              <w:pStyle w:val="ListParagraph"/>
              <w:spacing w:after="0" w:line="200" w:lineRule="exact"/>
              <w:ind w:left="0"/>
              <w:rPr>
                <w:rFonts w:eastAsia="Calibri" w:cs="Times New Roman"/>
                <w:sz w:val="20"/>
                <w:szCs w:val="18"/>
              </w:rPr>
            </w:pPr>
            <w:r w:rsidRPr="00214D40">
              <w:rPr>
                <w:rFonts w:eastAsia="Calibri" w:cs="Times New Roman"/>
                <w:sz w:val="20"/>
                <w:szCs w:val="18"/>
              </w:rPr>
              <w:t xml:space="preserve">TTP; Normal gait; Pain –major functional impact, w/ </w:t>
            </w:r>
            <w:r w:rsidRPr="00214D40">
              <w:rPr>
                <w:sz w:val="20"/>
                <w:szCs w:val="18"/>
              </w:rPr>
              <w:t>fatigue, weakness, &amp; lack of endurance</w:t>
            </w:r>
          </w:p>
        </w:tc>
      </w:tr>
      <w:tr w:rsidR="001E75AF" w:rsidRPr="00A6416E" w:rsidTr="00B11512">
        <w:trPr>
          <w:jc w:val="center"/>
        </w:trPr>
        <w:tc>
          <w:tcPr>
            <w:tcW w:w="2724" w:type="dxa"/>
          </w:tcPr>
          <w:p w:rsidR="001E75AF" w:rsidRPr="00214D40" w:rsidRDefault="001E75AF" w:rsidP="00214D40">
            <w:pPr>
              <w:tabs>
                <w:tab w:val="left" w:pos="288"/>
                <w:tab w:val="left" w:pos="4752"/>
              </w:tabs>
              <w:spacing w:line="200" w:lineRule="exact"/>
              <w:jc w:val="both"/>
              <w:rPr>
                <w:rFonts w:asciiTheme="minorHAnsi" w:eastAsiaTheme="minorHAnsi" w:hAnsiTheme="minorHAnsi"/>
                <w:color w:val="auto"/>
                <w:sz w:val="20"/>
                <w:szCs w:val="18"/>
              </w:rPr>
            </w:pPr>
            <w:r w:rsidRPr="00214D40">
              <w:rPr>
                <w:rFonts w:asciiTheme="minorHAnsi" w:eastAsiaTheme="minorHAnsi" w:hAnsiTheme="minorHAnsi"/>
                <w:color w:val="auto"/>
                <w:sz w:val="20"/>
                <w:szCs w:val="18"/>
              </w:rPr>
              <w:t>§4.71a Rating</w:t>
            </w:r>
          </w:p>
        </w:tc>
        <w:tc>
          <w:tcPr>
            <w:tcW w:w="3420" w:type="dxa"/>
          </w:tcPr>
          <w:p w:rsidR="001E75AF" w:rsidRPr="00214D40" w:rsidRDefault="001E75AF" w:rsidP="00214D40">
            <w:pPr>
              <w:pStyle w:val="ListParagraph"/>
              <w:spacing w:after="0" w:line="200" w:lineRule="exact"/>
              <w:ind w:left="0"/>
              <w:jc w:val="center"/>
              <w:rPr>
                <w:rFonts w:eastAsia="Calibri" w:cs="Times New Roman"/>
                <w:sz w:val="20"/>
                <w:szCs w:val="18"/>
              </w:rPr>
            </w:pPr>
            <w:r w:rsidRPr="00214D40">
              <w:rPr>
                <w:rFonts w:eastAsia="Calibri" w:cs="Times New Roman"/>
                <w:sz w:val="20"/>
                <w:szCs w:val="18"/>
              </w:rPr>
              <w:t>10%</w:t>
            </w:r>
          </w:p>
        </w:tc>
        <w:tc>
          <w:tcPr>
            <w:tcW w:w="3263" w:type="dxa"/>
          </w:tcPr>
          <w:p w:rsidR="001E75AF" w:rsidRPr="00214D40" w:rsidRDefault="001E75AF" w:rsidP="00214D40">
            <w:pPr>
              <w:pStyle w:val="ListParagraph"/>
              <w:spacing w:after="0" w:line="200" w:lineRule="exact"/>
              <w:ind w:left="0"/>
              <w:jc w:val="center"/>
              <w:rPr>
                <w:rFonts w:eastAsia="Calibri" w:cs="Times New Roman"/>
                <w:sz w:val="20"/>
                <w:szCs w:val="18"/>
              </w:rPr>
            </w:pPr>
            <w:r w:rsidRPr="00214D40">
              <w:rPr>
                <w:rFonts w:eastAsia="Calibri" w:cs="Times New Roman"/>
                <w:sz w:val="20"/>
                <w:szCs w:val="18"/>
              </w:rPr>
              <w:t>10%</w:t>
            </w:r>
          </w:p>
        </w:tc>
      </w:tr>
    </w:tbl>
    <w:p w:rsidR="001E75AF" w:rsidRPr="00A6416E" w:rsidRDefault="001E75AF" w:rsidP="008B4BF6">
      <w:pPr>
        <w:spacing w:line="240" w:lineRule="exact"/>
        <w:jc w:val="both"/>
        <w:rPr>
          <w:rFonts w:asciiTheme="minorHAnsi" w:hAnsiTheme="minorHAnsi"/>
          <w:color w:val="auto"/>
          <w:szCs w:val="24"/>
        </w:rPr>
      </w:pPr>
    </w:p>
    <w:p w:rsidR="007D2994" w:rsidRPr="00DC76F0" w:rsidRDefault="00A6416E" w:rsidP="00A6416E">
      <w:pPr>
        <w:spacing w:line="240" w:lineRule="exact"/>
        <w:jc w:val="both"/>
        <w:rPr>
          <w:rFonts w:asciiTheme="minorHAnsi" w:hAnsiTheme="minorHAnsi"/>
          <w:color w:val="auto"/>
          <w:szCs w:val="24"/>
        </w:rPr>
      </w:pPr>
      <w:r w:rsidRPr="00DC76F0">
        <w:rPr>
          <w:rFonts w:asciiTheme="minorHAnsi" w:hAnsiTheme="minorHAnsi"/>
          <w:color w:val="auto"/>
          <w:szCs w:val="24"/>
        </w:rPr>
        <w:t>Although the MEB exam did not include abduction or adduction ROMs and did not specify use of a goniometer, all ratable components for the hip condition were documented and substantially agreed with other service treatment record exams.</w:t>
      </w:r>
      <w:r>
        <w:rPr>
          <w:rFonts w:asciiTheme="minorHAnsi" w:hAnsiTheme="minorHAnsi"/>
          <w:color w:val="auto"/>
          <w:szCs w:val="24"/>
        </w:rPr>
        <w:t xml:space="preserve">  </w:t>
      </w:r>
      <w:r w:rsidR="00637653" w:rsidRPr="00A6416E">
        <w:rPr>
          <w:rFonts w:asciiTheme="minorHAnsi" w:hAnsiTheme="minorHAnsi"/>
          <w:color w:val="auto"/>
          <w:szCs w:val="24"/>
        </w:rPr>
        <w:t xml:space="preserve">The </w:t>
      </w:r>
      <w:r w:rsidR="000F5E06">
        <w:rPr>
          <w:rFonts w:asciiTheme="minorHAnsi" w:hAnsiTheme="minorHAnsi"/>
          <w:color w:val="auto"/>
          <w:szCs w:val="24"/>
        </w:rPr>
        <w:t>magnetic resonance imaging (</w:t>
      </w:r>
      <w:r w:rsidR="00637653" w:rsidRPr="00A6416E">
        <w:rPr>
          <w:rFonts w:asciiTheme="minorHAnsi" w:hAnsiTheme="minorHAnsi"/>
          <w:color w:val="auto"/>
          <w:szCs w:val="24"/>
        </w:rPr>
        <w:t>MRI</w:t>
      </w:r>
      <w:r w:rsidR="000F5E06">
        <w:rPr>
          <w:rFonts w:asciiTheme="minorHAnsi" w:hAnsiTheme="minorHAnsi"/>
          <w:color w:val="auto"/>
          <w:szCs w:val="24"/>
        </w:rPr>
        <w:t>)</w:t>
      </w:r>
      <w:r w:rsidR="00637653" w:rsidRPr="00A6416E">
        <w:rPr>
          <w:rFonts w:asciiTheme="minorHAnsi" w:hAnsiTheme="minorHAnsi"/>
          <w:color w:val="auto"/>
          <w:szCs w:val="24"/>
        </w:rPr>
        <w:t xml:space="preserve"> of the left lower extremity</w:t>
      </w:r>
      <w:r w:rsidR="00085AF7" w:rsidRPr="00A6416E">
        <w:rPr>
          <w:rFonts w:asciiTheme="minorHAnsi" w:hAnsiTheme="minorHAnsi"/>
          <w:color w:val="auto"/>
          <w:szCs w:val="24"/>
        </w:rPr>
        <w:t xml:space="preserve"> </w:t>
      </w:r>
      <w:r w:rsidR="00637653" w:rsidRPr="00A6416E">
        <w:rPr>
          <w:rFonts w:asciiTheme="minorHAnsi" w:hAnsiTheme="minorHAnsi"/>
          <w:color w:val="auto"/>
          <w:szCs w:val="24"/>
        </w:rPr>
        <w:t xml:space="preserve">and left hip </w:t>
      </w:r>
      <w:proofErr w:type="spellStart"/>
      <w:r w:rsidR="00637653" w:rsidRPr="00A6416E">
        <w:rPr>
          <w:rFonts w:asciiTheme="minorHAnsi" w:hAnsiTheme="minorHAnsi"/>
          <w:color w:val="auto"/>
          <w:szCs w:val="24"/>
        </w:rPr>
        <w:t>arthrogram</w:t>
      </w:r>
      <w:proofErr w:type="spellEnd"/>
      <w:r w:rsidR="00637653" w:rsidRPr="00A6416E">
        <w:rPr>
          <w:rFonts w:asciiTheme="minorHAnsi" w:hAnsiTheme="minorHAnsi"/>
          <w:color w:val="auto"/>
          <w:szCs w:val="24"/>
        </w:rPr>
        <w:t xml:space="preserve"> done </w:t>
      </w:r>
      <w:r w:rsidR="00B064FB" w:rsidRPr="00A6416E">
        <w:rPr>
          <w:rFonts w:asciiTheme="minorHAnsi" w:hAnsiTheme="minorHAnsi"/>
          <w:color w:val="auto"/>
          <w:szCs w:val="24"/>
        </w:rPr>
        <w:t>four</w:t>
      </w:r>
      <w:r w:rsidR="00637653" w:rsidRPr="00A6416E">
        <w:rPr>
          <w:rFonts w:asciiTheme="minorHAnsi" w:hAnsiTheme="minorHAnsi"/>
          <w:color w:val="auto"/>
          <w:szCs w:val="24"/>
        </w:rPr>
        <w:t xml:space="preserve"> months pre</w:t>
      </w:r>
      <w:r w:rsidR="0007510D" w:rsidRPr="00A6416E">
        <w:rPr>
          <w:rFonts w:asciiTheme="minorHAnsi" w:hAnsiTheme="minorHAnsi"/>
          <w:color w:val="auto"/>
          <w:szCs w:val="24"/>
        </w:rPr>
        <w:t>-</w:t>
      </w:r>
      <w:r w:rsidR="00637653" w:rsidRPr="00A6416E">
        <w:rPr>
          <w:rFonts w:asciiTheme="minorHAnsi" w:hAnsiTheme="minorHAnsi"/>
          <w:color w:val="auto"/>
          <w:szCs w:val="24"/>
        </w:rPr>
        <w:t xml:space="preserve">separation </w:t>
      </w:r>
      <w:r w:rsidR="000F5E06">
        <w:rPr>
          <w:rFonts w:asciiTheme="minorHAnsi" w:hAnsiTheme="minorHAnsi"/>
          <w:color w:val="auto"/>
          <w:szCs w:val="24"/>
        </w:rPr>
        <w:t xml:space="preserve">on 3 October </w:t>
      </w:r>
      <w:r w:rsidR="00637653" w:rsidRPr="00A6416E">
        <w:rPr>
          <w:rFonts w:asciiTheme="minorHAnsi" w:hAnsiTheme="minorHAnsi"/>
          <w:color w:val="auto"/>
          <w:szCs w:val="24"/>
        </w:rPr>
        <w:t xml:space="preserve">2006 showed a small tear of the superior labrum.  </w:t>
      </w:r>
      <w:r w:rsidR="00144301" w:rsidRPr="00A6416E">
        <w:rPr>
          <w:rFonts w:asciiTheme="minorHAnsi" w:hAnsiTheme="minorHAnsi"/>
          <w:color w:val="auto"/>
          <w:szCs w:val="24"/>
        </w:rPr>
        <w:t xml:space="preserve">In the </w:t>
      </w:r>
      <w:r w:rsidR="000F5E06">
        <w:rPr>
          <w:rFonts w:asciiTheme="minorHAnsi" w:hAnsiTheme="minorHAnsi"/>
          <w:color w:val="auto"/>
          <w:szCs w:val="24"/>
        </w:rPr>
        <w:t>n</w:t>
      </w:r>
      <w:r w:rsidR="00144301" w:rsidRPr="00A6416E">
        <w:rPr>
          <w:rFonts w:asciiTheme="minorHAnsi" w:hAnsiTheme="minorHAnsi"/>
          <w:color w:val="auto"/>
          <w:szCs w:val="24"/>
        </w:rPr>
        <w:t xml:space="preserve">arrative </w:t>
      </w:r>
      <w:r w:rsidR="000F5E06">
        <w:rPr>
          <w:rFonts w:asciiTheme="minorHAnsi" w:hAnsiTheme="minorHAnsi"/>
          <w:color w:val="auto"/>
          <w:szCs w:val="24"/>
        </w:rPr>
        <w:t>s</w:t>
      </w:r>
      <w:r w:rsidR="00144301" w:rsidRPr="00A6416E">
        <w:rPr>
          <w:rFonts w:asciiTheme="minorHAnsi" w:hAnsiTheme="minorHAnsi"/>
          <w:color w:val="auto"/>
          <w:szCs w:val="24"/>
        </w:rPr>
        <w:t>ummary (NAR</w:t>
      </w:r>
      <w:r w:rsidR="007C45A2" w:rsidRPr="00A6416E">
        <w:rPr>
          <w:rFonts w:asciiTheme="minorHAnsi" w:hAnsiTheme="minorHAnsi"/>
          <w:color w:val="auto"/>
          <w:szCs w:val="24"/>
        </w:rPr>
        <w:t>SUM)</w:t>
      </w:r>
      <w:r w:rsidR="003D4585" w:rsidRPr="00A6416E">
        <w:rPr>
          <w:rFonts w:asciiTheme="minorHAnsi" w:hAnsiTheme="minorHAnsi"/>
          <w:color w:val="auto"/>
          <w:szCs w:val="24"/>
        </w:rPr>
        <w:t xml:space="preserve"> </w:t>
      </w:r>
      <w:r w:rsidR="00637653" w:rsidRPr="00A6416E">
        <w:rPr>
          <w:rFonts w:asciiTheme="minorHAnsi" w:hAnsiTheme="minorHAnsi"/>
          <w:color w:val="auto"/>
          <w:szCs w:val="24"/>
        </w:rPr>
        <w:t>four months</w:t>
      </w:r>
      <w:r w:rsidR="00144301" w:rsidRPr="00A6416E">
        <w:rPr>
          <w:rFonts w:asciiTheme="minorHAnsi" w:hAnsiTheme="minorHAnsi"/>
          <w:color w:val="auto"/>
          <w:szCs w:val="24"/>
        </w:rPr>
        <w:t xml:space="preserve"> pre</w:t>
      </w:r>
      <w:r w:rsidR="0007510D" w:rsidRPr="00A6416E">
        <w:rPr>
          <w:rFonts w:asciiTheme="minorHAnsi" w:hAnsiTheme="minorHAnsi"/>
          <w:color w:val="auto"/>
          <w:szCs w:val="24"/>
        </w:rPr>
        <w:t>-</w:t>
      </w:r>
      <w:r w:rsidR="00144301" w:rsidRPr="00A6416E">
        <w:rPr>
          <w:rFonts w:asciiTheme="minorHAnsi" w:hAnsiTheme="minorHAnsi"/>
          <w:color w:val="auto"/>
          <w:szCs w:val="24"/>
        </w:rPr>
        <w:t>separation, the examiner documented</w:t>
      </w:r>
      <w:r w:rsidR="003D4585" w:rsidRPr="00A6416E">
        <w:rPr>
          <w:rFonts w:asciiTheme="minorHAnsi" w:hAnsiTheme="minorHAnsi"/>
          <w:color w:val="auto"/>
          <w:szCs w:val="24"/>
        </w:rPr>
        <w:t xml:space="preserve"> that the CI complaine</w:t>
      </w:r>
      <w:r w:rsidR="00637653" w:rsidRPr="00A6416E">
        <w:rPr>
          <w:rFonts w:asciiTheme="minorHAnsi" w:hAnsiTheme="minorHAnsi"/>
          <w:color w:val="auto"/>
          <w:szCs w:val="24"/>
        </w:rPr>
        <w:t>d of numbness to the left groin</w:t>
      </w:r>
      <w:r w:rsidR="008B4BF6" w:rsidRPr="00A6416E">
        <w:rPr>
          <w:rFonts w:asciiTheme="minorHAnsi" w:hAnsiTheme="minorHAnsi"/>
          <w:color w:val="auto"/>
          <w:szCs w:val="24"/>
        </w:rPr>
        <w:t xml:space="preserve"> with</w:t>
      </w:r>
      <w:r w:rsidR="0007510D" w:rsidRPr="00A6416E">
        <w:rPr>
          <w:rFonts w:asciiTheme="minorHAnsi" w:hAnsiTheme="minorHAnsi"/>
          <w:color w:val="auto"/>
          <w:szCs w:val="24"/>
        </w:rPr>
        <w:t xml:space="preserve"> </w:t>
      </w:r>
      <w:r w:rsidR="008B4BF6" w:rsidRPr="00A6416E">
        <w:rPr>
          <w:rFonts w:asciiTheme="minorHAnsi" w:hAnsiTheme="minorHAnsi"/>
          <w:color w:val="auto"/>
          <w:szCs w:val="24"/>
        </w:rPr>
        <w:t xml:space="preserve">chronic pain with squatting prolonged sitting, walking, </w:t>
      </w:r>
      <w:proofErr w:type="gramStart"/>
      <w:r w:rsidR="008B4BF6" w:rsidRPr="00A6416E">
        <w:rPr>
          <w:rFonts w:asciiTheme="minorHAnsi" w:hAnsiTheme="minorHAnsi"/>
          <w:color w:val="auto"/>
          <w:szCs w:val="24"/>
        </w:rPr>
        <w:t>s</w:t>
      </w:r>
      <w:r w:rsidR="008B4BF6" w:rsidRPr="00DC76F0">
        <w:rPr>
          <w:rFonts w:asciiTheme="minorHAnsi" w:hAnsiTheme="minorHAnsi"/>
          <w:color w:val="auto"/>
          <w:szCs w:val="24"/>
        </w:rPr>
        <w:t>tairs</w:t>
      </w:r>
      <w:proofErr w:type="gramEnd"/>
      <w:r w:rsidR="008B4BF6" w:rsidRPr="00DC76F0">
        <w:rPr>
          <w:rFonts w:asciiTheme="minorHAnsi" w:hAnsiTheme="minorHAnsi"/>
          <w:color w:val="auto"/>
          <w:szCs w:val="24"/>
        </w:rPr>
        <w:t xml:space="preserve"> and cannot run.  </w:t>
      </w:r>
      <w:r w:rsidR="00DF1D6A" w:rsidRPr="00DC76F0">
        <w:rPr>
          <w:rFonts w:asciiTheme="minorHAnsi" w:hAnsiTheme="minorHAnsi"/>
          <w:color w:val="auto"/>
          <w:szCs w:val="24"/>
        </w:rPr>
        <w:t xml:space="preserve">On physical examination, the CI was found to be overweight with an antalgic gait, positive </w:t>
      </w:r>
      <w:r w:rsidR="00B11512">
        <w:rPr>
          <w:rFonts w:asciiTheme="minorHAnsi" w:hAnsiTheme="minorHAnsi"/>
          <w:color w:val="auto"/>
          <w:szCs w:val="24"/>
        </w:rPr>
        <w:t>f</w:t>
      </w:r>
      <w:r w:rsidR="00DF1D6A" w:rsidRPr="00DC76F0">
        <w:rPr>
          <w:rFonts w:asciiTheme="minorHAnsi" w:hAnsiTheme="minorHAnsi"/>
          <w:color w:val="auto"/>
          <w:szCs w:val="24"/>
        </w:rPr>
        <w:t xml:space="preserve">lexion, </w:t>
      </w:r>
      <w:r w:rsidR="00B11512">
        <w:rPr>
          <w:rFonts w:asciiTheme="minorHAnsi" w:hAnsiTheme="minorHAnsi"/>
          <w:color w:val="auto"/>
          <w:szCs w:val="24"/>
        </w:rPr>
        <w:t>a</w:t>
      </w:r>
      <w:r w:rsidR="00DF1D6A" w:rsidRPr="00DC76F0">
        <w:rPr>
          <w:rFonts w:asciiTheme="minorHAnsi" w:hAnsiTheme="minorHAnsi"/>
          <w:color w:val="auto"/>
          <w:szCs w:val="24"/>
        </w:rPr>
        <w:t xml:space="preserve">bduction and </w:t>
      </w:r>
      <w:r w:rsidR="00B11512">
        <w:rPr>
          <w:rFonts w:asciiTheme="minorHAnsi" w:hAnsiTheme="minorHAnsi"/>
          <w:color w:val="auto"/>
          <w:szCs w:val="24"/>
        </w:rPr>
        <w:t>e</w:t>
      </w:r>
      <w:r w:rsidR="00DF1D6A" w:rsidRPr="00DC76F0">
        <w:rPr>
          <w:rFonts w:asciiTheme="minorHAnsi" w:hAnsiTheme="minorHAnsi"/>
          <w:color w:val="auto"/>
          <w:szCs w:val="24"/>
        </w:rPr>
        <w:t xml:space="preserve">xternal </w:t>
      </w:r>
      <w:r w:rsidR="00B11512">
        <w:rPr>
          <w:rFonts w:asciiTheme="minorHAnsi" w:hAnsiTheme="minorHAnsi"/>
          <w:color w:val="auto"/>
          <w:szCs w:val="24"/>
        </w:rPr>
        <w:t>r</w:t>
      </w:r>
      <w:r w:rsidR="00C52CC8" w:rsidRPr="00DC76F0">
        <w:rPr>
          <w:rFonts w:asciiTheme="minorHAnsi" w:hAnsiTheme="minorHAnsi"/>
          <w:color w:val="auto"/>
          <w:szCs w:val="24"/>
        </w:rPr>
        <w:t xml:space="preserve">otation </w:t>
      </w:r>
      <w:r w:rsidR="00DF1D6A" w:rsidRPr="00DC76F0">
        <w:rPr>
          <w:rFonts w:asciiTheme="minorHAnsi" w:hAnsiTheme="minorHAnsi"/>
          <w:color w:val="auto"/>
          <w:szCs w:val="24"/>
        </w:rPr>
        <w:t xml:space="preserve">with restricted motion despite </w:t>
      </w:r>
      <w:r w:rsidR="00B11512">
        <w:rPr>
          <w:rFonts w:asciiTheme="minorHAnsi" w:hAnsiTheme="minorHAnsi"/>
          <w:color w:val="auto"/>
          <w:szCs w:val="24"/>
        </w:rPr>
        <w:t>p</w:t>
      </w:r>
      <w:r w:rsidR="00DF1D6A" w:rsidRPr="00DC76F0">
        <w:rPr>
          <w:rFonts w:asciiTheme="minorHAnsi" w:hAnsiTheme="minorHAnsi"/>
          <w:color w:val="auto"/>
          <w:szCs w:val="24"/>
        </w:rPr>
        <w:t xml:space="preserve">hysical </w:t>
      </w:r>
      <w:r w:rsidR="00B11512">
        <w:rPr>
          <w:rFonts w:asciiTheme="minorHAnsi" w:hAnsiTheme="minorHAnsi"/>
          <w:color w:val="auto"/>
          <w:szCs w:val="24"/>
        </w:rPr>
        <w:t>t</w:t>
      </w:r>
      <w:r w:rsidR="00DF1D6A" w:rsidRPr="00DC76F0">
        <w:rPr>
          <w:rFonts w:asciiTheme="minorHAnsi" w:hAnsiTheme="minorHAnsi"/>
          <w:color w:val="auto"/>
          <w:szCs w:val="24"/>
        </w:rPr>
        <w:t xml:space="preserve">herapy (PT), positive straight leg raise due to a tight hamstrings and positive tenderness to palpation over </w:t>
      </w:r>
      <w:r w:rsidR="0007510D" w:rsidRPr="00DC76F0">
        <w:rPr>
          <w:rFonts w:asciiTheme="minorHAnsi" w:hAnsiTheme="minorHAnsi"/>
          <w:color w:val="auto"/>
          <w:szCs w:val="24"/>
        </w:rPr>
        <w:t xml:space="preserve">the left lumbar and </w:t>
      </w:r>
      <w:r w:rsidR="00B11512">
        <w:rPr>
          <w:rFonts w:asciiTheme="minorHAnsi" w:hAnsiTheme="minorHAnsi"/>
          <w:color w:val="auto"/>
          <w:szCs w:val="24"/>
        </w:rPr>
        <w:t>sacroiliac (</w:t>
      </w:r>
      <w:r w:rsidR="0007510D" w:rsidRPr="00DC76F0">
        <w:rPr>
          <w:rFonts w:asciiTheme="minorHAnsi" w:hAnsiTheme="minorHAnsi"/>
          <w:color w:val="auto"/>
          <w:szCs w:val="24"/>
        </w:rPr>
        <w:t>SI</w:t>
      </w:r>
      <w:r w:rsidR="00B11512">
        <w:rPr>
          <w:rFonts w:asciiTheme="minorHAnsi" w:hAnsiTheme="minorHAnsi"/>
          <w:color w:val="auto"/>
          <w:szCs w:val="24"/>
        </w:rPr>
        <w:t>)</w:t>
      </w:r>
      <w:r w:rsidR="0007510D" w:rsidRPr="00DC76F0">
        <w:rPr>
          <w:rFonts w:asciiTheme="minorHAnsi" w:hAnsiTheme="minorHAnsi"/>
          <w:color w:val="auto"/>
          <w:szCs w:val="24"/>
        </w:rPr>
        <w:t xml:space="preserve"> joint.  </w:t>
      </w:r>
      <w:r w:rsidR="00DF1D6A" w:rsidRPr="00DC76F0">
        <w:rPr>
          <w:rFonts w:asciiTheme="minorHAnsi" w:hAnsiTheme="minorHAnsi"/>
          <w:color w:val="auto"/>
          <w:szCs w:val="24"/>
        </w:rPr>
        <w:t>MRI showed signs of a hip labrum tear over the superior aspect of his left hip</w:t>
      </w:r>
      <w:r w:rsidR="0007510D" w:rsidRPr="00DC76F0">
        <w:rPr>
          <w:rFonts w:asciiTheme="minorHAnsi" w:hAnsiTheme="minorHAnsi"/>
          <w:color w:val="auto"/>
          <w:szCs w:val="24"/>
        </w:rPr>
        <w:t xml:space="preserve">.  Throughout the PT notes from January 2006 through April 2009, the therapists documented left hip </w:t>
      </w:r>
      <w:r w:rsidR="00B11512">
        <w:rPr>
          <w:rFonts w:asciiTheme="minorHAnsi" w:hAnsiTheme="minorHAnsi"/>
          <w:color w:val="auto"/>
          <w:szCs w:val="24"/>
        </w:rPr>
        <w:t>p</w:t>
      </w:r>
      <w:r w:rsidR="0007510D" w:rsidRPr="00DC76F0">
        <w:rPr>
          <w:rFonts w:asciiTheme="minorHAnsi" w:hAnsiTheme="minorHAnsi"/>
          <w:color w:val="auto"/>
          <w:szCs w:val="24"/>
        </w:rPr>
        <w:t>assive R</w:t>
      </w:r>
      <w:r w:rsidR="00B11512">
        <w:rPr>
          <w:rFonts w:asciiTheme="minorHAnsi" w:hAnsiTheme="minorHAnsi"/>
          <w:color w:val="auto"/>
          <w:szCs w:val="24"/>
        </w:rPr>
        <w:t xml:space="preserve">OM </w:t>
      </w:r>
      <w:r w:rsidR="0007510D" w:rsidRPr="00DC76F0">
        <w:rPr>
          <w:rFonts w:asciiTheme="minorHAnsi" w:hAnsiTheme="minorHAnsi"/>
          <w:color w:val="auto"/>
          <w:szCs w:val="24"/>
        </w:rPr>
        <w:t xml:space="preserve">all with painful limited end range.  </w:t>
      </w:r>
      <w:r w:rsidR="00276218" w:rsidRPr="00DC76F0">
        <w:rPr>
          <w:rFonts w:asciiTheme="minorHAnsi" w:hAnsiTheme="minorHAnsi"/>
          <w:color w:val="auto"/>
          <w:szCs w:val="24"/>
        </w:rPr>
        <w:t xml:space="preserve">The </w:t>
      </w:r>
      <w:r w:rsidR="00B11512">
        <w:rPr>
          <w:rFonts w:asciiTheme="minorHAnsi" w:hAnsiTheme="minorHAnsi"/>
          <w:color w:val="auto"/>
          <w:szCs w:val="24"/>
        </w:rPr>
        <w:t>c</w:t>
      </w:r>
      <w:r w:rsidR="00276218" w:rsidRPr="00DC76F0">
        <w:rPr>
          <w:rFonts w:asciiTheme="minorHAnsi" w:hAnsiTheme="minorHAnsi"/>
          <w:color w:val="auto"/>
          <w:szCs w:val="24"/>
        </w:rPr>
        <w:t xml:space="preserve">ompensation and </w:t>
      </w:r>
      <w:r w:rsidR="00B11512">
        <w:rPr>
          <w:rFonts w:asciiTheme="minorHAnsi" w:hAnsiTheme="minorHAnsi"/>
          <w:color w:val="auto"/>
          <w:szCs w:val="24"/>
        </w:rPr>
        <w:t>p</w:t>
      </w:r>
      <w:r w:rsidR="00276218" w:rsidRPr="00DC76F0">
        <w:rPr>
          <w:rFonts w:asciiTheme="minorHAnsi" w:hAnsiTheme="minorHAnsi"/>
          <w:color w:val="auto"/>
          <w:szCs w:val="24"/>
        </w:rPr>
        <w:t>ension (C&amp;P) examination</w:t>
      </w:r>
      <w:r w:rsidR="009B700C" w:rsidRPr="00DC76F0">
        <w:rPr>
          <w:rFonts w:asciiTheme="minorHAnsi" w:hAnsiTheme="minorHAnsi"/>
          <w:color w:val="auto"/>
          <w:szCs w:val="24"/>
        </w:rPr>
        <w:t xml:space="preserve"> </w:t>
      </w:r>
      <w:r w:rsidR="00B11512">
        <w:rPr>
          <w:rFonts w:asciiTheme="minorHAnsi" w:hAnsiTheme="minorHAnsi"/>
          <w:color w:val="auto"/>
          <w:szCs w:val="24"/>
        </w:rPr>
        <w:t xml:space="preserve">on 9 July </w:t>
      </w:r>
      <w:r w:rsidR="009B700C" w:rsidRPr="00DC76F0">
        <w:rPr>
          <w:rFonts w:asciiTheme="minorHAnsi" w:hAnsiTheme="minorHAnsi"/>
          <w:color w:val="auto"/>
          <w:szCs w:val="24"/>
        </w:rPr>
        <w:t>2008</w:t>
      </w:r>
      <w:r w:rsidR="00B11512">
        <w:rPr>
          <w:rFonts w:asciiTheme="minorHAnsi" w:hAnsiTheme="minorHAnsi"/>
          <w:color w:val="auto"/>
          <w:szCs w:val="24"/>
        </w:rPr>
        <w:t>,</w:t>
      </w:r>
      <w:r w:rsidR="00276218" w:rsidRPr="00DC76F0">
        <w:rPr>
          <w:rFonts w:asciiTheme="minorHAnsi" w:hAnsiTheme="minorHAnsi"/>
          <w:color w:val="auto"/>
          <w:szCs w:val="24"/>
        </w:rPr>
        <w:t xml:space="preserve"> </w:t>
      </w:r>
      <w:r w:rsidR="009B700C" w:rsidRPr="00DC76F0">
        <w:rPr>
          <w:rFonts w:asciiTheme="minorHAnsi" w:hAnsiTheme="minorHAnsi"/>
          <w:color w:val="auto"/>
          <w:szCs w:val="24"/>
        </w:rPr>
        <w:t>17 months post</w:t>
      </w:r>
      <w:r w:rsidR="0007510D" w:rsidRPr="00DC76F0">
        <w:rPr>
          <w:rFonts w:asciiTheme="minorHAnsi" w:hAnsiTheme="minorHAnsi"/>
          <w:color w:val="auto"/>
          <w:szCs w:val="24"/>
        </w:rPr>
        <w:t>-</w:t>
      </w:r>
      <w:r w:rsidR="009B700C" w:rsidRPr="00DC76F0">
        <w:rPr>
          <w:rFonts w:asciiTheme="minorHAnsi" w:hAnsiTheme="minorHAnsi"/>
          <w:color w:val="auto"/>
          <w:szCs w:val="24"/>
        </w:rPr>
        <w:t>separation</w:t>
      </w:r>
      <w:r w:rsidR="00B11512">
        <w:rPr>
          <w:rFonts w:asciiTheme="minorHAnsi" w:hAnsiTheme="minorHAnsi"/>
          <w:color w:val="auto"/>
          <w:szCs w:val="24"/>
        </w:rPr>
        <w:t>,</w:t>
      </w:r>
      <w:r w:rsidR="009B700C" w:rsidRPr="00DC76F0">
        <w:rPr>
          <w:rFonts w:asciiTheme="minorHAnsi" w:hAnsiTheme="minorHAnsi"/>
          <w:color w:val="auto"/>
          <w:szCs w:val="24"/>
        </w:rPr>
        <w:t xml:space="preserve"> documented that the CI had </w:t>
      </w:r>
      <w:r w:rsidR="00AD185F" w:rsidRPr="00DC76F0">
        <w:rPr>
          <w:rFonts w:asciiTheme="minorHAnsi" w:hAnsiTheme="minorHAnsi"/>
          <w:color w:val="auto"/>
          <w:szCs w:val="24"/>
        </w:rPr>
        <w:t>symptoms</w:t>
      </w:r>
      <w:r w:rsidR="00085AF7" w:rsidRPr="00DC76F0">
        <w:rPr>
          <w:rFonts w:asciiTheme="minorHAnsi" w:hAnsiTheme="minorHAnsi"/>
          <w:color w:val="auto"/>
          <w:szCs w:val="24"/>
        </w:rPr>
        <w:t xml:space="preserve"> of chronic pain and</w:t>
      </w:r>
      <w:r w:rsidR="00B11512">
        <w:rPr>
          <w:rFonts w:asciiTheme="minorHAnsi" w:hAnsiTheme="minorHAnsi"/>
          <w:color w:val="auto"/>
          <w:szCs w:val="24"/>
        </w:rPr>
        <w:t>,</w:t>
      </w:r>
      <w:r w:rsidR="00085AF7" w:rsidRPr="00DC76F0">
        <w:rPr>
          <w:rFonts w:asciiTheme="minorHAnsi" w:hAnsiTheme="minorHAnsi"/>
          <w:color w:val="auto"/>
          <w:szCs w:val="24"/>
        </w:rPr>
        <w:t xml:space="preserve"> although a </w:t>
      </w:r>
      <w:proofErr w:type="spellStart"/>
      <w:r w:rsidR="00085AF7" w:rsidRPr="00DC76F0">
        <w:rPr>
          <w:rFonts w:asciiTheme="minorHAnsi" w:hAnsiTheme="minorHAnsi"/>
          <w:color w:val="auto"/>
          <w:szCs w:val="24"/>
        </w:rPr>
        <w:t>neurostimulator</w:t>
      </w:r>
      <w:proofErr w:type="spellEnd"/>
      <w:r w:rsidR="00085AF7" w:rsidRPr="00DC76F0">
        <w:rPr>
          <w:rFonts w:asciiTheme="minorHAnsi" w:hAnsiTheme="minorHAnsi"/>
          <w:color w:val="auto"/>
          <w:szCs w:val="24"/>
        </w:rPr>
        <w:t xml:space="preserve"> was placed for pain control</w:t>
      </w:r>
      <w:r w:rsidR="00B11512">
        <w:rPr>
          <w:rFonts w:asciiTheme="minorHAnsi" w:hAnsiTheme="minorHAnsi"/>
          <w:color w:val="auto"/>
          <w:szCs w:val="24"/>
        </w:rPr>
        <w:t xml:space="preserve"> on 10 March </w:t>
      </w:r>
      <w:r w:rsidR="00AD185F" w:rsidRPr="00DC76F0">
        <w:rPr>
          <w:rFonts w:asciiTheme="minorHAnsi" w:hAnsiTheme="minorHAnsi"/>
          <w:color w:val="auto"/>
          <w:szCs w:val="24"/>
        </w:rPr>
        <w:t>2008</w:t>
      </w:r>
      <w:r w:rsidR="00085AF7" w:rsidRPr="00DC76F0">
        <w:rPr>
          <w:rFonts w:asciiTheme="minorHAnsi" w:hAnsiTheme="minorHAnsi"/>
          <w:color w:val="auto"/>
          <w:szCs w:val="24"/>
        </w:rPr>
        <w:t xml:space="preserve">, the CI still needed additional oral medication for pain relief.  </w:t>
      </w:r>
      <w:r w:rsidR="00AD185F" w:rsidRPr="00DC76F0">
        <w:rPr>
          <w:rFonts w:asciiTheme="minorHAnsi" w:hAnsiTheme="minorHAnsi"/>
          <w:color w:val="auto"/>
          <w:szCs w:val="24"/>
        </w:rPr>
        <w:t>There was left groin tissue loss indentation (11 cm deep), instability, stiffness, and numbness to the left thigh from groin to knee.  The CI was unable to cross his legs and had hip flexion to 22 degrees</w:t>
      </w:r>
      <w:r w:rsidR="009A03E3">
        <w:rPr>
          <w:rFonts w:asciiTheme="minorHAnsi" w:hAnsiTheme="minorHAnsi"/>
          <w:color w:val="auto"/>
          <w:szCs w:val="24"/>
        </w:rPr>
        <w:t>,</w:t>
      </w:r>
      <w:r w:rsidR="00AD185F" w:rsidRPr="00DC76F0">
        <w:rPr>
          <w:rFonts w:asciiTheme="minorHAnsi" w:hAnsiTheme="minorHAnsi"/>
          <w:color w:val="auto"/>
          <w:szCs w:val="24"/>
        </w:rPr>
        <w:t xml:space="preserve"> with other indications of more limited ROMs than prior exams.  </w:t>
      </w:r>
    </w:p>
    <w:p w:rsidR="0061759C" w:rsidRPr="00DC76F0" w:rsidRDefault="0061759C" w:rsidP="0023675C">
      <w:pPr>
        <w:tabs>
          <w:tab w:val="left" w:pos="288"/>
          <w:tab w:val="left" w:pos="4752"/>
        </w:tabs>
        <w:spacing w:line="240" w:lineRule="exact"/>
        <w:jc w:val="both"/>
        <w:rPr>
          <w:rFonts w:asciiTheme="minorHAnsi" w:hAnsiTheme="minorHAnsi"/>
          <w:color w:val="auto"/>
          <w:szCs w:val="24"/>
        </w:rPr>
      </w:pPr>
    </w:p>
    <w:p w:rsidR="0094325F" w:rsidRPr="00DC76F0" w:rsidRDefault="00085AF7" w:rsidP="0023675C">
      <w:pPr>
        <w:tabs>
          <w:tab w:val="left" w:pos="288"/>
          <w:tab w:val="left" w:pos="4752"/>
        </w:tabs>
        <w:spacing w:line="240" w:lineRule="exact"/>
        <w:jc w:val="both"/>
        <w:rPr>
          <w:rFonts w:asciiTheme="minorHAnsi" w:hAnsiTheme="minorHAnsi"/>
          <w:color w:val="auto"/>
          <w:szCs w:val="24"/>
        </w:rPr>
      </w:pPr>
      <w:r w:rsidRPr="00DC76F0">
        <w:rPr>
          <w:rFonts w:asciiTheme="minorHAnsi" w:hAnsiTheme="minorHAnsi"/>
          <w:color w:val="auto"/>
          <w:szCs w:val="24"/>
        </w:rPr>
        <w:t xml:space="preserve">The PEB rated the CI’s left hip condition as </w:t>
      </w:r>
      <w:r w:rsidR="00B11512">
        <w:rPr>
          <w:rFonts w:asciiTheme="minorHAnsi" w:hAnsiTheme="minorHAnsi"/>
          <w:color w:val="auto"/>
          <w:szCs w:val="24"/>
        </w:rPr>
        <w:t>l</w:t>
      </w:r>
      <w:r w:rsidRPr="00DC76F0">
        <w:rPr>
          <w:rFonts w:asciiTheme="minorHAnsi" w:hAnsiTheme="minorHAnsi"/>
          <w:color w:val="auto"/>
          <w:szCs w:val="24"/>
        </w:rPr>
        <w:t xml:space="preserve">eft </w:t>
      </w:r>
      <w:r w:rsidR="00B11512" w:rsidRPr="00DC76F0">
        <w:rPr>
          <w:rFonts w:asciiTheme="minorHAnsi" w:hAnsiTheme="minorHAnsi"/>
          <w:color w:val="auto"/>
          <w:szCs w:val="24"/>
        </w:rPr>
        <w:t xml:space="preserve">hip </w:t>
      </w:r>
      <w:proofErr w:type="spellStart"/>
      <w:r w:rsidR="00B11512" w:rsidRPr="00DC76F0">
        <w:rPr>
          <w:rFonts w:asciiTheme="minorHAnsi" w:hAnsiTheme="minorHAnsi"/>
          <w:color w:val="auto"/>
          <w:szCs w:val="24"/>
        </w:rPr>
        <w:t>labral</w:t>
      </w:r>
      <w:proofErr w:type="spellEnd"/>
      <w:r w:rsidR="00B11512" w:rsidRPr="00DC76F0">
        <w:rPr>
          <w:rFonts w:asciiTheme="minorHAnsi" w:hAnsiTheme="minorHAnsi"/>
          <w:color w:val="auto"/>
          <w:szCs w:val="24"/>
        </w:rPr>
        <w:t xml:space="preserve"> tear </w:t>
      </w:r>
      <w:r w:rsidR="007D2994" w:rsidRPr="00DC76F0">
        <w:rPr>
          <w:rFonts w:asciiTheme="minorHAnsi" w:hAnsiTheme="minorHAnsi"/>
          <w:color w:val="auto"/>
          <w:szCs w:val="24"/>
        </w:rPr>
        <w:t>analogously</w:t>
      </w:r>
      <w:r w:rsidRPr="00DC76F0">
        <w:rPr>
          <w:rFonts w:asciiTheme="minorHAnsi" w:hAnsiTheme="minorHAnsi"/>
          <w:color w:val="auto"/>
          <w:szCs w:val="24"/>
        </w:rPr>
        <w:t xml:space="preserve"> coded to arthritis, degenerative </w:t>
      </w:r>
      <w:r w:rsidR="007D2994" w:rsidRPr="00DC76F0">
        <w:rPr>
          <w:rFonts w:asciiTheme="minorHAnsi" w:hAnsiTheme="minorHAnsi"/>
          <w:color w:val="auto"/>
          <w:szCs w:val="24"/>
        </w:rPr>
        <w:t xml:space="preserve">and appeared to consider the affect of the </w:t>
      </w:r>
      <w:proofErr w:type="spellStart"/>
      <w:r w:rsidR="007D2994" w:rsidRPr="00DC76F0">
        <w:rPr>
          <w:rFonts w:asciiTheme="minorHAnsi" w:hAnsiTheme="minorHAnsi"/>
          <w:color w:val="auto"/>
          <w:szCs w:val="24"/>
        </w:rPr>
        <w:t>labral</w:t>
      </w:r>
      <w:proofErr w:type="spellEnd"/>
      <w:r w:rsidR="007D2994" w:rsidRPr="00DC76F0">
        <w:rPr>
          <w:rFonts w:asciiTheme="minorHAnsi" w:hAnsiTheme="minorHAnsi"/>
          <w:color w:val="auto"/>
          <w:szCs w:val="24"/>
        </w:rPr>
        <w:t xml:space="preserve"> tear on hip function alone for coding.</w:t>
      </w:r>
      <w:r w:rsidR="0007510D" w:rsidRPr="00DC76F0">
        <w:rPr>
          <w:rFonts w:asciiTheme="minorHAnsi" w:hAnsiTheme="minorHAnsi"/>
          <w:color w:val="auto"/>
          <w:szCs w:val="24"/>
        </w:rPr>
        <w:t xml:space="preserve">  </w:t>
      </w:r>
      <w:r w:rsidR="007D2994" w:rsidRPr="00DC76F0">
        <w:rPr>
          <w:rFonts w:asciiTheme="minorHAnsi" w:hAnsiTheme="minorHAnsi"/>
          <w:color w:val="auto"/>
          <w:szCs w:val="24"/>
        </w:rPr>
        <w:t xml:space="preserve">The VA coding and rating </w:t>
      </w:r>
      <w:r w:rsidR="00D47E38" w:rsidRPr="00DC76F0">
        <w:rPr>
          <w:rFonts w:asciiTheme="minorHAnsi" w:hAnsiTheme="minorHAnsi"/>
          <w:color w:val="auto"/>
          <w:szCs w:val="24"/>
        </w:rPr>
        <w:t>52</w:t>
      </w:r>
      <w:r w:rsidR="00B3764F" w:rsidRPr="00DC76F0">
        <w:rPr>
          <w:rFonts w:asciiTheme="minorHAnsi" w:hAnsiTheme="minorHAnsi"/>
          <w:color w:val="auto"/>
          <w:szCs w:val="24"/>
        </w:rPr>
        <w:t>99 analogous to 5252 (</w:t>
      </w:r>
      <w:r w:rsidR="00B11512" w:rsidRPr="00DC76F0">
        <w:rPr>
          <w:rFonts w:asciiTheme="minorHAnsi" w:hAnsiTheme="minorHAnsi"/>
          <w:color w:val="auto"/>
          <w:szCs w:val="24"/>
        </w:rPr>
        <w:t>thig</w:t>
      </w:r>
      <w:r w:rsidR="00B3764F" w:rsidRPr="00DC76F0">
        <w:rPr>
          <w:rFonts w:asciiTheme="minorHAnsi" w:hAnsiTheme="minorHAnsi"/>
          <w:color w:val="auto"/>
          <w:szCs w:val="24"/>
        </w:rPr>
        <w:t xml:space="preserve">h, impairment of) </w:t>
      </w:r>
      <w:r w:rsidR="00B11512" w:rsidRPr="00DC76F0">
        <w:rPr>
          <w:rFonts w:asciiTheme="minorHAnsi" w:hAnsiTheme="minorHAnsi"/>
          <w:color w:val="auto"/>
          <w:szCs w:val="24"/>
        </w:rPr>
        <w:t>flexio</w:t>
      </w:r>
      <w:r w:rsidR="00B3764F" w:rsidRPr="00DC76F0">
        <w:rPr>
          <w:rFonts w:asciiTheme="minorHAnsi" w:hAnsiTheme="minorHAnsi"/>
          <w:color w:val="auto"/>
          <w:szCs w:val="24"/>
        </w:rPr>
        <w:t xml:space="preserve">n limited to 45° </w:t>
      </w:r>
      <w:r w:rsidR="0007510D" w:rsidRPr="00DC76F0">
        <w:rPr>
          <w:rFonts w:asciiTheme="minorHAnsi" w:hAnsiTheme="minorHAnsi"/>
          <w:color w:val="auto"/>
          <w:szCs w:val="24"/>
        </w:rPr>
        <w:t xml:space="preserve">at </w:t>
      </w:r>
      <w:r w:rsidR="00B3764F" w:rsidRPr="00DC76F0">
        <w:rPr>
          <w:rFonts w:asciiTheme="minorHAnsi" w:hAnsiTheme="minorHAnsi"/>
          <w:color w:val="auto"/>
          <w:szCs w:val="24"/>
        </w:rPr>
        <w:t xml:space="preserve">10% differed from the PEB </w:t>
      </w:r>
      <w:r w:rsidR="00252762" w:rsidRPr="00DC76F0">
        <w:rPr>
          <w:rFonts w:asciiTheme="minorHAnsi" w:hAnsiTheme="minorHAnsi"/>
          <w:color w:val="auto"/>
          <w:szCs w:val="24"/>
        </w:rPr>
        <w:t xml:space="preserve">coding of 5003 </w:t>
      </w:r>
      <w:r w:rsidR="00B11512" w:rsidRPr="00DC76F0">
        <w:rPr>
          <w:rFonts w:asciiTheme="minorHAnsi" w:hAnsiTheme="minorHAnsi"/>
          <w:color w:val="auto"/>
          <w:szCs w:val="24"/>
        </w:rPr>
        <w:t>arthrit</w:t>
      </w:r>
      <w:r w:rsidR="00252762" w:rsidRPr="00DC76F0">
        <w:rPr>
          <w:rFonts w:asciiTheme="minorHAnsi" w:hAnsiTheme="minorHAnsi"/>
          <w:color w:val="auto"/>
          <w:szCs w:val="24"/>
        </w:rPr>
        <w:t>is, degenerative (hypertrophic or osteoarthritic), mild at 10%</w:t>
      </w:r>
      <w:r w:rsidR="0007510D" w:rsidRPr="00DC76F0">
        <w:rPr>
          <w:rFonts w:asciiTheme="minorHAnsi" w:hAnsiTheme="minorHAnsi"/>
          <w:color w:val="auto"/>
          <w:szCs w:val="24"/>
        </w:rPr>
        <w:t>; but did not impact the level of disability rating</w:t>
      </w:r>
      <w:r w:rsidR="00252762" w:rsidRPr="00DC76F0">
        <w:rPr>
          <w:rFonts w:asciiTheme="minorHAnsi" w:hAnsiTheme="minorHAnsi"/>
          <w:color w:val="auto"/>
          <w:szCs w:val="24"/>
        </w:rPr>
        <w:t>.</w:t>
      </w:r>
      <w:r w:rsidR="00AD185F" w:rsidRPr="00DC76F0">
        <w:rPr>
          <w:rFonts w:asciiTheme="minorHAnsi" w:hAnsiTheme="minorHAnsi"/>
          <w:color w:val="auto"/>
          <w:szCs w:val="24"/>
        </w:rPr>
        <w:t xml:space="preserve">  </w:t>
      </w:r>
      <w:r w:rsidR="0094325F" w:rsidRPr="00DC76F0">
        <w:rPr>
          <w:rFonts w:asciiTheme="minorHAnsi" w:hAnsiTheme="minorHAnsi"/>
          <w:color w:val="auto"/>
          <w:szCs w:val="24"/>
        </w:rPr>
        <w:t xml:space="preserve">The Board considered </w:t>
      </w:r>
      <w:r w:rsidR="00A6416E">
        <w:rPr>
          <w:rFonts w:asciiTheme="minorHAnsi" w:hAnsiTheme="minorHAnsi"/>
          <w:color w:val="auto"/>
          <w:szCs w:val="24"/>
        </w:rPr>
        <w:t xml:space="preserve">the dilemma of overlapping symptoms of the hip and pelvis/back and determined that the abnormal gait could be attributed to either condition (see below), and was not a required symptom to either consider the hip condition unfitting or to rate the hip condition at the 10% level.  The Board adjudged </w:t>
      </w:r>
      <w:r w:rsidR="0094325F" w:rsidRPr="00DC76F0">
        <w:rPr>
          <w:rFonts w:asciiTheme="minorHAnsi" w:hAnsiTheme="minorHAnsi"/>
          <w:color w:val="auto"/>
          <w:szCs w:val="24"/>
        </w:rPr>
        <w:t xml:space="preserve">that the CI’s </w:t>
      </w:r>
      <w:r w:rsidR="001E6489" w:rsidRPr="00DC76F0">
        <w:rPr>
          <w:rFonts w:asciiTheme="minorHAnsi" w:hAnsiTheme="minorHAnsi"/>
          <w:color w:val="auto"/>
          <w:szCs w:val="24"/>
        </w:rPr>
        <w:t xml:space="preserve">left hip demonstrated </w:t>
      </w:r>
      <w:r w:rsidR="0094325F" w:rsidRPr="00DC76F0">
        <w:rPr>
          <w:rFonts w:asciiTheme="minorHAnsi" w:hAnsiTheme="minorHAnsi"/>
          <w:color w:val="auto"/>
          <w:szCs w:val="24"/>
        </w:rPr>
        <w:t xml:space="preserve">pain on motion </w:t>
      </w:r>
      <w:r w:rsidR="00A6416E">
        <w:rPr>
          <w:rFonts w:asciiTheme="minorHAnsi" w:hAnsiTheme="minorHAnsi"/>
          <w:color w:val="auto"/>
          <w:szCs w:val="24"/>
        </w:rPr>
        <w:t xml:space="preserve">short of the normal </w:t>
      </w:r>
      <w:r w:rsidR="00B11512">
        <w:rPr>
          <w:rFonts w:asciiTheme="minorHAnsi" w:hAnsiTheme="minorHAnsi"/>
          <w:color w:val="auto"/>
          <w:szCs w:val="24"/>
        </w:rPr>
        <w:t>VA Schedule for Rating Disabilities (</w:t>
      </w:r>
      <w:r w:rsidR="00A6416E">
        <w:rPr>
          <w:rFonts w:asciiTheme="minorHAnsi" w:hAnsiTheme="minorHAnsi"/>
          <w:color w:val="auto"/>
          <w:szCs w:val="24"/>
        </w:rPr>
        <w:t>VASRD</w:t>
      </w:r>
      <w:r w:rsidR="00B11512">
        <w:rPr>
          <w:rFonts w:asciiTheme="minorHAnsi" w:hAnsiTheme="minorHAnsi"/>
          <w:color w:val="auto"/>
          <w:szCs w:val="24"/>
        </w:rPr>
        <w:t>)</w:t>
      </w:r>
      <w:r w:rsidR="00A6416E">
        <w:rPr>
          <w:rFonts w:asciiTheme="minorHAnsi" w:hAnsiTheme="minorHAnsi"/>
          <w:color w:val="auto"/>
          <w:szCs w:val="24"/>
        </w:rPr>
        <w:t xml:space="preserve"> hip flexion ROM (0</w:t>
      </w:r>
      <w:r w:rsidR="00A6416E" w:rsidRPr="00DC76F0">
        <w:rPr>
          <w:rFonts w:asciiTheme="minorHAnsi" w:hAnsiTheme="minorHAnsi"/>
          <w:color w:val="auto"/>
          <w:szCs w:val="24"/>
        </w:rPr>
        <w:t>°</w:t>
      </w:r>
      <w:r w:rsidR="00A6416E">
        <w:rPr>
          <w:rFonts w:asciiTheme="minorHAnsi" w:hAnsiTheme="minorHAnsi"/>
          <w:color w:val="auto"/>
          <w:szCs w:val="24"/>
        </w:rPr>
        <w:t>-125</w:t>
      </w:r>
      <w:r w:rsidR="00A6416E" w:rsidRPr="00DC76F0">
        <w:rPr>
          <w:rFonts w:asciiTheme="minorHAnsi" w:hAnsiTheme="minorHAnsi"/>
          <w:color w:val="auto"/>
          <w:szCs w:val="24"/>
        </w:rPr>
        <w:t>°</w:t>
      </w:r>
      <w:r w:rsidR="00A6416E">
        <w:rPr>
          <w:rFonts w:asciiTheme="minorHAnsi" w:hAnsiTheme="minorHAnsi"/>
          <w:color w:val="auto"/>
          <w:szCs w:val="24"/>
        </w:rPr>
        <w:t>) a</w:t>
      </w:r>
      <w:r w:rsidR="0094325F" w:rsidRPr="00DC76F0">
        <w:rPr>
          <w:rFonts w:asciiTheme="minorHAnsi" w:hAnsiTheme="minorHAnsi"/>
          <w:color w:val="auto"/>
          <w:szCs w:val="24"/>
        </w:rPr>
        <w:t xml:space="preserve">nd applied the tenants of VASRD §4.59 </w:t>
      </w:r>
      <w:r w:rsidR="001E6489" w:rsidRPr="00DC76F0">
        <w:rPr>
          <w:rFonts w:asciiTheme="minorHAnsi" w:hAnsiTheme="minorHAnsi"/>
          <w:color w:val="auto"/>
          <w:szCs w:val="24"/>
        </w:rPr>
        <w:t>(p</w:t>
      </w:r>
      <w:r w:rsidR="0094325F" w:rsidRPr="00DC76F0">
        <w:rPr>
          <w:rFonts w:asciiTheme="minorHAnsi" w:hAnsiTheme="minorHAnsi"/>
          <w:color w:val="auto"/>
          <w:szCs w:val="24"/>
        </w:rPr>
        <w:t xml:space="preserve">ainful </w:t>
      </w:r>
      <w:r w:rsidR="001E6489" w:rsidRPr="00DC76F0">
        <w:rPr>
          <w:rFonts w:asciiTheme="minorHAnsi" w:hAnsiTheme="minorHAnsi"/>
          <w:color w:val="auto"/>
          <w:szCs w:val="24"/>
        </w:rPr>
        <w:t>m</w:t>
      </w:r>
      <w:r w:rsidR="0094325F" w:rsidRPr="00DC76F0">
        <w:rPr>
          <w:rFonts w:asciiTheme="minorHAnsi" w:hAnsiTheme="minorHAnsi"/>
          <w:color w:val="auto"/>
          <w:szCs w:val="24"/>
        </w:rPr>
        <w:t>otion</w:t>
      </w:r>
      <w:r w:rsidR="001E6489" w:rsidRPr="00DC76F0">
        <w:rPr>
          <w:rFonts w:asciiTheme="minorHAnsi" w:hAnsiTheme="minorHAnsi"/>
          <w:color w:val="auto"/>
          <w:szCs w:val="24"/>
        </w:rPr>
        <w:t>) at the time of separation</w:t>
      </w:r>
      <w:r w:rsidR="0094325F" w:rsidRPr="00DC76F0">
        <w:rPr>
          <w:rFonts w:asciiTheme="minorHAnsi" w:hAnsiTheme="minorHAnsi"/>
          <w:color w:val="auto"/>
          <w:szCs w:val="24"/>
        </w:rPr>
        <w:t xml:space="preserve">.  </w:t>
      </w:r>
      <w:r w:rsidR="001E6489" w:rsidRPr="00DC76F0">
        <w:rPr>
          <w:rFonts w:asciiTheme="minorHAnsi" w:hAnsiTheme="minorHAnsi"/>
          <w:color w:val="auto"/>
          <w:szCs w:val="24"/>
        </w:rPr>
        <w:t>The 17</w:t>
      </w:r>
      <w:r w:rsidR="00B11512">
        <w:rPr>
          <w:rFonts w:asciiTheme="minorHAnsi" w:hAnsiTheme="minorHAnsi"/>
          <w:color w:val="auto"/>
          <w:szCs w:val="24"/>
        </w:rPr>
        <w:t>-</w:t>
      </w:r>
      <w:r w:rsidR="001E6489" w:rsidRPr="00DC76F0">
        <w:rPr>
          <w:rFonts w:asciiTheme="minorHAnsi" w:hAnsiTheme="minorHAnsi"/>
          <w:color w:val="auto"/>
          <w:szCs w:val="24"/>
        </w:rPr>
        <w:t xml:space="preserve">month post-separation VA exam was considered post-separation worsening.  </w:t>
      </w:r>
      <w:r w:rsidR="0094325F" w:rsidRPr="00DC76F0">
        <w:rPr>
          <w:rFonts w:asciiTheme="minorHAnsi" w:hAnsiTheme="minorHAnsi"/>
          <w:color w:val="auto"/>
          <w:szCs w:val="24"/>
        </w:rPr>
        <w:t xml:space="preserve">After due deliberation, </w:t>
      </w:r>
      <w:r w:rsidR="00196D07" w:rsidRPr="00DC76F0">
        <w:rPr>
          <w:rFonts w:asciiTheme="minorHAnsi" w:hAnsiTheme="minorHAnsi"/>
          <w:color w:val="auto"/>
          <w:szCs w:val="24"/>
        </w:rPr>
        <w:t xml:space="preserve">there is not reasonable doubt in the CI’s favor therefore to justify a Board recommendation for other than the 10% rating assigned by the PEB for the </w:t>
      </w:r>
      <w:r w:rsidR="00B11512" w:rsidRPr="00DC76F0">
        <w:rPr>
          <w:rFonts w:asciiTheme="minorHAnsi" w:hAnsiTheme="minorHAnsi"/>
          <w:color w:val="auto"/>
          <w:szCs w:val="24"/>
        </w:rPr>
        <w:t xml:space="preserve">left hip </w:t>
      </w:r>
      <w:proofErr w:type="spellStart"/>
      <w:r w:rsidR="00B11512" w:rsidRPr="00DC76F0">
        <w:rPr>
          <w:rFonts w:asciiTheme="minorHAnsi" w:hAnsiTheme="minorHAnsi"/>
          <w:color w:val="auto"/>
          <w:szCs w:val="24"/>
        </w:rPr>
        <w:t>labral</w:t>
      </w:r>
      <w:proofErr w:type="spellEnd"/>
      <w:r w:rsidR="00B11512" w:rsidRPr="00DC76F0">
        <w:rPr>
          <w:rFonts w:asciiTheme="minorHAnsi" w:hAnsiTheme="minorHAnsi"/>
          <w:color w:val="auto"/>
          <w:szCs w:val="24"/>
        </w:rPr>
        <w:t xml:space="preserve"> tear </w:t>
      </w:r>
      <w:r w:rsidR="00196D07" w:rsidRPr="00DC76F0">
        <w:rPr>
          <w:rFonts w:asciiTheme="minorHAnsi" w:hAnsiTheme="minorHAnsi"/>
          <w:color w:val="auto"/>
          <w:szCs w:val="24"/>
        </w:rPr>
        <w:t>condition.</w:t>
      </w:r>
    </w:p>
    <w:p w:rsidR="00196D07" w:rsidRPr="00DC76F0" w:rsidRDefault="00196D07" w:rsidP="0023675C">
      <w:pPr>
        <w:tabs>
          <w:tab w:val="left" w:pos="288"/>
          <w:tab w:val="left" w:pos="4752"/>
        </w:tabs>
        <w:spacing w:line="240" w:lineRule="exact"/>
        <w:jc w:val="both"/>
        <w:rPr>
          <w:rFonts w:asciiTheme="minorHAnsi" w:hAnsiTheme="minorHAnsi"/>
          <w:color w:val="auto"/>
          <w:szCs w:val="24"/>
        </w:rPr>
      </w:pPr>
    </w:p>
    <w:p w:rsidR="00334616" w:rsidRDefault="00FC1520" w:rsidP="00880807">
      <w:pPr>
        <w:tabs>
          <w:tab w:val="left" w:pos="288"/>
          <w:tab w:val="left" w:pos="4752"/>
        </w:tabs>
        <w:spacing w:line="240" w:lineRule="exact"/>
        <w:jc w:val="both"/>
        <w:rPr>
          <w:rFonts w:asciiTheme="minorHAnsi" w:hAnsiTheme="minorHAnsi"/>
          <w:color w:val="auto"/>
          <w:szCs w:val="24"/>
        </w:rPr>
      </w:pPr>
      <w:r w:rsidRPr="00DC76F0">
        <w:rPr>
          <w:rFonts w:asciiTheme="minorHAnsi" w:hAnsiTheme="minorHAnsi"/>
          <w:color w:val="auto"/>
          <w:szCs w:val="24"/>
          <w:u w:val="single"/>
        </w:rPr>
        <w:lastRenderedPageBreak/>
        <w:t>Healed L</w:t>
      </w:r>
      <w:r w:rsidR="00B11512">
        <w:rPr>
          <w:rFonts w:asciiTheme="minorHAnsi" w:hAnsiTheme="minorHAnsi"/>
          <w:color w:val="auto"/>
          <w:szCs w:val="24"/>
          <w:u w:val="single"/>
        </w:rPr>
        <w:t>eft</w:t>
      </w:r>
      <w:r w:rsidRPr="00DC76F0">
        <w:rPr>
          <w:rFonts w:asciiTheme="minorHAnsi" w:hAnsiTheme="minorHAnsi"/>
          <w:color w:val="auto"/>
          <w:szCs w:val="24"/>
          <w:u w:val="single"/>
        </w:rPr>
        <w:t xml:space="preserve"> Inferior Pubic </w:t>
      </w:r>
      <w:proofErr w:type="spellStart"/>
      <w:r w:rsidRPr="00DC76F0">
        <w:rPr>
          <w:rFonts w:asciiTheme="minorHAnsi" w:hAnsiTheme="minorHAnsi"/>
          <w:color w:val="auto"/>
          <w:szCs w:val="24"/>
          <w:u w:val="single"/>
        </w:rPr>
        <w:t>Ramus</w:t>
      </w:r>
      <w:proofErr w:type="spellEnd"/>
      <w:r w:rsidRPr="00DC76F0">
        <w:rPr>
          <w:rFonts w:asciiTheme="minorHAnsi" w:hAnsiTheme="minorHAnsi"/>
          <w:color w:val="auto"/>
          <w:szCs w:val="24"/>
          <w:u w:val="single"/>
        </w:rPr>
        <w:t xml:space="preserve"> and Superior Pubic </w:t>
      </w:r>
      <w:proofErr w:type="spellStart"/>
      <w:r w:rsidRPr="00DC76F0">
        <w:rPr>
          <w:rFonts w:asciiTheme="minorHAnsi" w:hAnsiTheme="minorHAnsi"/>
          <w:color w:val="auto"/>
          <w:szCs w:val="24"/>
          <w:u w:val="single"/>
        </w:rPr>
        <w:t>Ramus</w:t>
      </w:r>
      <w:proofErr w:type="spellEnd"/>
      <w:r w:rsidRPr="00DC76F0">
        <w:rPr>
          <w:rFonts w:asciiTheme="minorHAnsi" w:hAnsiTheme="minorHAnsi"/>
          <w:color w:val="auto"/>
          <w:szCs w:val="24"/>
          <w:u w:val="single"/>
        </w:rPr>
        <w:t xml:space="preserve"> Pelvic </w:t>
      </w:r>
      <w:r w:rsidR="00C52CC8" w:rsidRPr="00DC76F0">
        <w:rPr>
          <w:rFonts w:asciiTheme="minorHAnsi" w:hAnsiTheme="minorHAnsi"/>
          <w:color w:val="auto"/>
          <w:szCs w:val="24"/>
          <w:u w:val="single"/>
        </w:rPr>
        <w:t>F</w:t>
      </w:r>
      <w:r w:rsidR="00B11512">
        <w:rPr>
          <w:rFonts w:asciiTheme="minorHAnsi" w:hAnsiTheme="minorHAnsi"/>
          <w:color w:val="auto"/>
          <w:szCs w:val="24"/>
          <w:u w:val="single"/>
        </w:rPr>
        <w:t>racture.</w:t>
      </w:r>
      <w:r w:rsidR="00196D07" w:rsidRPr="00DC76F0">
        <w:rPr>
          <w:rFonts w:asciiTheme="minorHAnsi" w:hAnsiTheme="minorHAnsi"/>
          <w:color w:val="auto"/>
          <w:szCs w:val="24"/>
        </w:rPr>
        <w:t xml:space="preserve"> </w:t>
      </w:r>
      <w:r w:rsidR="0041095A" w:rsidRPr="00DC76F0">
        <w:rPr>
          <w:rFonts w:asciiTheme="minorHAnsi" w:hAnsiTheme="minorHAnsi"/>
          <w:color w:val="auto"/>
          <w:szCs w:val="24"/>
        </w:rPr>
        <w:t xml:space="preserve"> </w:t>
      </w:r>
      <w:r w:rsidR="00E57FE3" w:rsidRPr="00DC76F0">
        <w:rPr>
          <w:rFonts w:asciiTheme="minorHAnsi" w:hAnsiTheme="minorHAnsi"/>
          <w:color w:val="auto"/>
          <w:szCs w:val="24"/>
        </w:rPr>
        <w:t>The PEB found this condition unfitting at 10% coded analogously to 5236 (</w:t>
      </w:r>
      <w:r w:rsidR="0041095A" w:rsidRPr="00DC76F0">
        <w:rPr>
          <w:rFonts w:asciiTheme="minorHAnsi" w:hAnsiTheme="minorHAnsi"/>
          <w:color w:val="auto"/>
          <w:szCs w:val="24"/>
        </w:rPr>
        <w:t>S</w:t>
      </w:r>
      <w:r w:rsidR="00B11512">
        <w:rPr>
          <w:rFonts w:asciiTheme="minorHAnsi" w:hAnsiTheme="minorHAnsi"/>
          <w:color w:val="auto"/>
          <w:szCs w:val="24"/>
        </w:rPr>
        <w:t>I</w:t>
      </w:r>
      <w:r w:rsidR="0041095A" w:rsidRPr="00DC76F0">
        <w:rPr>
          <w:rFonts w:asciiTheme="minorHAnsi" w:hAnsiTheme="minorHAnsi"/>
          <w:color w:val="auto"/>
          <w:szCs w:val="24"/>
        </w:rPr>
        <w:t xml:space="preserve"> injury and weakness</w:t>
      </w:r>
      <w:r w:rsidR="00E57FE3" w:rsidRPr="00DC76F0">
        <w:rPr>
          <w:rFonts w:asciiTheme="minorHAnsi" w:hAnsiTheme="minorHAnsi"/>
          <w:color w:val="auto"/>
          <w:szCs w:val="24"/>
        </w:rPr>
        <w:t xml:space="preserve">) which uses the criteria of the VASRD </w:t>
      </w:r>
      <w:r w:rsidR="00B11512" w:rsidRPr="00DC76F0">
        <w:rPr>
          <w:rFonts w:asciiTheme="minorHAnsi" w:hAnsiTheme="minorHAnsi"/>
          <w:color w:val="auto"/>
          <w:szCs w:val="24"/>
        </w:rPr>
        <w:t>general rating formula for diseases and injuries of the spine</w:t>
      </w:r>
      <w:r w:rsidR="00E57FE3" w:rsidRPr="00DC76F0">
        <w:rPr>
          <w:rFonts w:asciiTheme="minorHAnsi" w:hAnsiTheme="minorHAnsi"/>
          <w:color w:val="auto"/>
          <w:szCs w:val="24"/>
        </w:rPr>
        <w:t xml:space="preserve">.  </w:t>
      </w:r>
      <w:r w:rsidR="00334616" w:rsidRPr="00DC76F0">
        <w:rPr>
          <w:rFonts w:asciiTheme="minorHAnsi" w:hAnsiTheme="minorHAnsi"/>
          <w:color w:val="auto"/>
          <w:szCs w:val="24"/>
        </w:rPr>
        <w:t xml:space="preserve">The CI had </w:t>
      </w:r>
      <w:r w:rsidR="00E57FE3" w:rsidRPr="00DC76F0">
        <w:rPr>
          <w:rFonts w:asciiTheme="minorHAnsi" w:hAnsiTheme="minorHAnsi"/>
          <w:color w:val="auto"/>
          <w:szCs w:val="24"/>
        </w:rPr>
        <w:t>two</w:t>
      </w:r>
      <w:r w:rsidR="00334616" w:rsidRPr="00DC76F0">
        <w:rPr>
          <w:rFonts w:asciiTheme="minorHAnsi" w:hAnsiTheme="minorHAnsi"/>
          <w:color w:val="auto"/>
          <w:szCs w:val="24"/>
        </w:rPr>
        <w:t xml:space="preserve"> goniometric ROM evaluations in evidence</w:t>
      </w:r>
      <w:r w:rsidR="00E57FE3" w:rsidRPr="00DC76F0">
        <w:rPr>
          <w:rFonts w:asciiTheme="minorHAnsi" w:hAnsiTheme="minorHAnsi"/>
          <w:color w:val="auto"/>
          <w:szCs w:val="24"/>
        </w:rPr>
        <w:t xml:space="preserve">, along with two service non-goniometric exams </w:t>
      </w:r>
      <w:r w:rsidR="00334616" w:rsidRPr="00DC76F0">
        <w:rPr>
          <w:rFonts w:asciiTheme="minorHAnsi" w:hAnsiTheme="minorHAnsi"/>
          <w:color w:val="auto"/>
          <w:szCs w:val="24"/>
        </w:rPr>
        <w:t>which the Board weighed in arriving at its rating recommendation.  All exams are summarized in the chart below.</w:t>
      </w:r>
    </w:p>
    <w:p w:rsidR="00880807" w:rsidRDefault="00880807" w:rsidP="00880807">
      <w:pPr>
        <w:tabs>
          <w:tab w:val="left" w:pos="288"/>
          <w:tab w:val="left" w:pos="4752"/>
        </w:tabs>
        <w:spacing w:line="240" w:lineRule="exact"/>
        <w:jc w:val="both"/>
        <w:rPr>
          <w:rFonts w:asciiTheme="minorHAnsi" w:hAnsiTheme="minorHAnsi"/>
          <w:color w:val="auto"/>
          <w:szCs w:val="24"/>
        </w:rPr>
      </w:pPr>
    </w:p>
    <w:tbl>
      <w:tblPr>
        <w:tblW w:w="9407" w:type="dxa"/>
        <w:jc w:val="center"/>
        <w:tblInd w:w="4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824"/>
        <w:gridCol w:w="1800"/>
        <w:gridCol w:w="1440"/>
        <w:gridCol w:w="2340"/>
        <w:gridCol w:w="2003"/>
      </w:tblGrid>
      <w:tr w:rsidR="00046E30" w:rsidRPr="00F451D1" w:rsidTr="00D32B12">
        <w:trPr>
          <w:jc w:val="center"/>
        </w:trPr>
        <w:tc>
          <w:tcPr>
            <w:tcW w:w="1824" w:type="dxa"/>
            <w:shd w:val="clear" w:color="auto" w:fill="D9D9D9" w:themeFill="background1" w:themeFillShade="D9"/>
          </w:tcPr>
          <w:p w:rsidR="00046E30" w:rsidRPr="00F451D1" w:rsidRDefault="00046E30" w:rsidP="00046E30">
            <w:pPr>
              <w:spacing w:line="240" w:lineRule="exact"/>
              <w:contextualSpacing/>
              <w:jc w:val="center"/>
              <w:rPr>
                <w:rFonts w:ascii="Calibri" w:eastAsia="Calibri" w:hAnsi="Calibri"/>
                <w:color w:val="auto"/>
                <w:sz w:val="22"/>
                <w:szCs w:val="22"/>
              </w:rPr>
            </w:pPr>
          </w:p>
        </w:tc>
        <w:tc>
          <w:tcPr>
            <w:tcW w:w="7583" w:type="dxa"/>
            <w:gridSpan w:val="4"/>
            <w:tcBorders>
              <w:right w:val="single" w:sz="4" w:space="0" w:color="auto"/>
            </w:tcBorders>
            <w:shd w:val="clear" w:color="auto" w:fill="D9D9D9" w:themeFill="background1" w:themeFillShade="D9"/>
          </w:tcPr>
          <w:p w:rsidR="00046E30" w:rsidRPr="00F451D1" w:rsidRDefault="00046E30" w:rsidP="00D32B12">
            <w:pPr>
              <w:tabs>
                <w:tab w:val="left" w:pos="288"/>
                <w:tab w:val="left" w:pos="4752"/>
              </w:tabs>
              <w:spacing w:line="240" w:lineRule="exact"/>
              <w:ind w:right="-900"/>
              <w:jc w:val="center"/>
              <w:rPr>
                <w:color w:val="auto"/>
              </w:rPr>
            </w:pPr>
            <w:r w:rsidRPr="00F451D1">
              <w:rPr>
                <w:rFonts w:ascii="Calibri" w:eastAsia="Calibri" w:hAnsi="Calibri"/>
                <w:color w:val="auto"/>
                <w:sz w:val="22"/>
                <w:szCs w:val="22"/>
              </w:rPr>
              <w:t>Separation Date:  20070228</w:t>
            </w:r>
          </w:p>
        </w:tc>
      </w:tr>
      <w:tr w:rsidR="00046E30" w:rsidRPr="00F451D1" w:rsidTr="00D32B12">
        <w:trPr>
          <w:jc w:val="center"/>
        </w:trPr>
        <w:tc>
          <w:tcPr>
            <w:tcW w:w="1824" w:type="dxa"/>
            <w:shd w:val="clear" w:color="auto" w:fill="D9D9D9" w:themeFill="background1" w:themeFillShade="D9"/>
          </w:tcPr>
          <w:p w:rsidR="00046E30" w:rsidRPr="00F451D1" w:rsidRDefault="00046E30" w:rsidP="00D32B12">
            <w:pPr>
              <w:spacing w:line="240" w:lineRule="exact"/>
              <w:contextualSpacing/>
              <w:jc w:val="center"/>
              <w:rPr>
                <w:rFonts w:ascii="Calibri" w:eastAsia="Calibri" w:hAnsi="Calibri"/>
                <w:color w:val="auto"/>
                <w:sz w:val="22"/>
                <w:szCs w:val="22"/>
              </w:rPr>
            </w:pPr>
            <w:r w:rsidRPr="00F451D1">
              <w:rPr>
                <w:rFonts w:ascii="Calibri" w:eastAsia="Calibri" w:hAnsi="Calibri"/>
                <w:color w:val="auto"/>
                <w:sz w:val="22"/>
                <w:szCs w:val="22"/>
              </w:rPr>
              <w:t>TL Spine ROM</w:t>
            </w:r>
          </w:p>
        </w:tc>
        <w:tc>
          <w:tcPr>
            <w:tcW w:w="1800" w:type="dxa"/>
            <w:shd w:val="clear" w:color="auto" w:fill="D9D9D9" w:themeFill="background1" w:themeFillShade="D9"/>
          </w:tcPr>
          <w:p w:rsidR="00046E30" w:rsidRPr="00046E30" w:rsidRDefault="00046E30" w:rsidP="00046E30">
            <w:pPr>
              <w:spacing w:line="240" w:lineRule="exact"/>
              <w:contextualSpacing/>
              <w:jc w:val="center"/>
              <w:rPr>
                <w:rFonts w:ascii="Calibri" w:eastAsia="Calibri" w:hAnsi="Calibri"/>
                <w:color w:val="auto"/>
                <w:sz w:val="22"/>
                <w:szCs w:val="22"/>
              </w:rPr>
            </w:pPr>
            <w:r w:rsidRPr="00046E30">
              <w:rPr>
                <w:rFonts w:ascii="Calibri" w:eastAsia="Calibri" w:hAnsi="Calibri"/>
                <w:color w:val="auto"/>
                <w:sz w:val="22"/>
                <w:szCs w:val="22"/>
              </w:rPr>
              <w:t xml:space="preserve">PT – </w:t>
            </w:r>
            <w:r w:rsidRPr="00046E30">
              <w:rPr>
                <w:rFonts w:asciiTheme="minorHAnsi" w:eastAsia="Calibri" w:hAnsiTheme="minorHAnsi"/>
                <w:color w:val="auto"/>
                <w:sz w:val="20"/>
              </w:rPr>
              <w:t>~4 Mo. Pre-Sep</w:t>
            </w:r>
          </w:p>
        </w:tc>
        <w:tc>
          <w:tcPr>
            <w:tcW w:w="1440" w:type="dxa"/>
            <w:shd w:val="clear" w:color="auto" w:fill="D9D9D9" w:themeFill="background1" w:themeFillShade="D9"/>
          </w:tcPr>
          <w:p w:rsidR="00046E30" w:rsidRPr="00046E30" w:rsidRDefault="00046E30" w:rsidP="00046E30">
            <w:pPr>
              <w:spacing w:line="240" w:lineRule="exact"/>
              <w:contextualSpacing/>
              <w:jc w:val="center"/>
              <w:rPr>
                <w:rFonts w:ascii="Calibri" w:eastAsia="Calibri" w:hAnsi="Calibri"/>
                <w:color w:val="auto"/>
                <w:sz w:val="22"/>
                <w:szCs w:val="22"/>
              </w:rPr>
            </w:pPr>
            <w:r w:rsidRPr="00046E30">
              <w:rPr>
                <w:rFonts w:ascii="Calibri" w:eastAsia="Calibri" w:hAnsi="Calibri"/>
                <w:color w:val="auto"/>
                <w:sz w:val="22"/>
                <w:szCs w:val="22"/>
              </w:rPr>
              <w:t xml:space="preserve">MEB - </w:t>
            </w:r>
            <w:r w:rsidRPr="00046E30">
              <w:rPr>
                <w:rFonts w:asciiTheme="minorHAnsi" w:eastAsia="Calibri" w:hAnsiTheme="minorHAnsi"/>
                <w:color w:val="auto"/>
                <w:sz w:val="20"/>
              </w:rPr>
              <w:t>~4 Mo. Pre-Sep</w:t>
            </w:r>
            <w:r w:rsidRPr="00046E30">
              <w:rPr>
                <w:rFonts w:ascii="Calibri" w:eastAsia="Calibri" w:hAnsi="Calibri"/>
                <w:color w:val="auto"/>
                <w:sz w:val="22"/>
                <w:szCs w:val="22"/>
              </w:rPr>
              <w:t xml:space="preserve"> </w:t>
            </w:r>
          </w:p>
        </w:tc>
        <w:tc>
          <w:tcPr>
            <w:tcW w:w="2340" w:type="dxa"/>
            <w:tcBorders>
              <w:top w:val="single" w:sz="4" w:space="0" w:color="auto"/>
              <w:right w:val="single" w:sz="4" w:space="0" w:color="auto"/>
            </w:tcBorders>
            <w:shd w:val="clear" w:color="auto" w:fill="D9D9D9" w:themeFill="background1" w:themeFillShade="D9"/>
          </w:tcPr>
          <w:p w:rsidR="00046E30" w:rsidRPr="00046E30" w:rsidRDefault="00046E30" w:rsidP="00D32B12">
            <w:pPr>
              <w:spacing w:line="240" w:lineRule="exact"/>
              <w:contextualSpacing/>
              <w:jc w:val="center"/>
              <w:rPr>
                <w:rFonts w:ascii="Calibri" w:eastAsia="Calibri" w:hAnsi="Calibri"/>
                <w:color w:val="auto"/>
                <w:sz w:val="22"/>
                <w:szCs w:val="22"/>
              </w:rPr>
            </w:pPr>
            <w:r w:rsidRPr="00046E30">
              <w:rPr>
                <w:rFonts w:ascii="Calibri" w:eastAsia="Calibri" w:hAnsi="Calibri"/>
                <w:color w:val="auto"/>
                <w:sz w:val="22"/>
                <w:szCs w:val="22"/>
              </w:rPr>
              <w:t xml:space="preserve">VA C&amp;P - </w:t>
            </w:r>
            <w:r w:rsidRPr="00046E30">
              <w:rPr>
                <w:rFonts w:asciiTheme="minorHAnsi" w:eastAsia="Calibri" w:hAnsiTheme="minorHAnsi"/>
                <w:color w:val="auto"/>
                <w:sz w:val="20"/>
              </w:rPr>
              <w:t>~2 Mo. Pre-Sep</w:t>
            </w:r>
          </w:p>
          <w:p w:rsidR="00046E30" w:rsidRPr="00046E30" w:rsidRDefault="00046E30" w:rsidP="00D32B12">
            <w:pPr>
              <w:spacing w:line="240" w:lineRule="exact"/>
              <w:contextualSpacing/>
              <w:jc w:val="center"/>
              <w:rPr>
                <w:rFonts w:ascii="Calibri" w:eastAsiaTheme="minorHAnsi" w:hAnsi="Calibri" w:cstheme="minorBidi"/>
                <w:color w:val="auto"/>
                <w:sz w:val="22"/>
                <w:szCs w:val="22"/>
              </w:rPr>
            </w:pPr>
          </w:p>
        </w:tc>
        <w:tc>
          <w:tcPr>
            <w:tcW w:w="2003" w:type="dxa"/>
            <w:tcBorders>
              <w:top w:val="single" w:sz="4" w:space="0" w:color="auto"/>
              <w:left w:val="single" w:sz="4" w:space="0" w:color="auto"/>
            </w:tcBorders>
            <w:shd w:val="clear" w:color="auto" w:fill="D9D9D9" w:themeFill="background1" w:themeFillShade="D9"/>
          </w:tcPr>
          <w:p w:rsidR="00046E30" w:rsidRPr="00046E30" w:rsidRDefault="00046E30" w:rsidP="00046E30">
            <w:pPr>
              <w:spacing w:line="240" w:lineRule="exact"/>
              <w:contextualSpacing/>
              <w:jc w:val="center"/>
              <w:rPr>
                <w:rFonts w:ascii="Calibri" w:eastAsia="Calibri" w:hAnsi="Calibri"/>
                <w:color w:val="auto"/>
                <w:sz w:val="22"/>
                <w:szCs w:val="22"/>
              </w:rPr>
            </w:pPr>
            <w:r w:rsidRPr="00046E30">
              <w:rPr>
                <w:rFonts w:ascii="Calibri" w:eastAsia="Calibri" w:hAnsi="Calibri"/>
                <w:color w:val="auto"/>
                <w:sz w:val="22"/>
                <w:szCs w:val="22"/>
              </w:rPr>
              <w:t>VA</w:t>
            </w:r>
            <w:r w:rsidRPr="00046E30">
              <w:rPr>
                <w:rFonts w:ascii="Calibri" w:eastAsiaTheme="minorHAnsi" w:hAnsi="Calibri" w:cstheme="minorBidi"/>
                <w:color w:val="auto"/>
                <w:sz w:val="22"/>
                <w:szCs w:val="22"/>
              </w:rPr>
              <w:t xml:space="preserve"> C&amp;P -</w:t>
            </w:r>
            <w:r w:rsidRPr="00046E30">
              <w:rPr>
                <w:rFonts w:ascii="Calibri" w:eastAsia="Calibri" w:hAnsi="Calibri"/>
                <w:color w:val="auto"/>
                <w:sz w:val="22"/>
                <w:szCs w:val="22"/>
              </w:rPr>
              <w:t>~17 Mo. post sep)</w:t>
            </w:r>
          </w:p>
        </w:tc>
      </w:tr>
      <w:tr w:rsidR="00046E30" w:rsidRPr="00F451D1" w:rsidTr="00D32B12">
        <w:trPr>
          <w:jc w:val="center"/>
        </w:trPr>
        <w:tc>
          <w:tcPr>
            <w:tcW w:w="1824" w:type="dxa"/>
          </w:tcPr>
          <w:p w:rsidR="00046E30" w:rsidRPr="00214D40" w:rsidRDefault="00046E30" w:rsidP="00214D40">
            <w:pPr>
              <w:spacing w:line="200" w:lineRule="exact"/>
              <w:contextualSpacing/>
              <w:jc w:val="center"/>
              <w:rPr>
                <w:rFonts w:ascii="Calibri" w:eastAsia="Calibri" w:hAnsi="Calibri"/>
                <w:color w:val="auto"/>
                <w:sz w:val="20"/>
              </w:rPr>
            </w:pPr>
            <w:r w:rsidRPr="00214D40">
              <w:rPr>
                <w:rFonts w:ascii="Calibri" w:eastAsia="Calibri" w:hAnsi="Calibri"/>
                <w:color w:val="auto"/>
                <w:sz w:val="20"/>
              </w:rPr>
              <w:t>Flexion (0-90⁰)</w:t>
            </w:r>
          </w:p>
        </w:tc>
        <w:tc>
          <w:tcPr>
            <w:tcW w:w="1800" w:type="dxa"/>
            <w:vMerge w:val="restart"/>
          </w:tcPr>
          <w:p w:rsidR="00046E30" w:rsidRPr="00214D40" w:rsidRDefault="00046E30" w:rsidP="00214D40">
            <w:pPr>
              <w:spacing w:line="200" w:lineRule="exact"/>
              <w:contextualSpacing/>
              <w:jc w:val="center"/>
              <w:rPr>
                <w:rFonts w:ascii="Calibri" w:eastAsia="Calibri" w:hAnsi="Calibri"/>
                <w:color w:val="auto"/>
                <w:sz w:val="20"/>
              </w:rPr>
            </w:pPr>
            <w:r w:rsidRPr="00214D40">
              <w:rPr>
                <w:rFonts w:ascii="Calibri" w:eastAsia="Calibri" w:hAnsi="Calibri"/>
                <w:color w:val="auto"/>
                <w:sz w:val="20"/>
              </w:rPr>
              <w:t>WNL except ext 50% &amp; SB w/ pain</w:t>
            </w:r>
          </w:p>
        </w:tc>
        <w:tc>
          <w:tcPr>
            <w:tcW w:w="1440" w:type="dxa"/>
            <w:vMerge w:val="restart"/>
          </w:tcPr>
          <w:p w:rsidR="00046E30" w:rsidRPr="00214D40" w:rsidRDefault="00046E30" w:rsidP="00214D40">
            <w:pPr>
              <w:spacing w:line="200" w:lineRule="exact"/>
              <w:contextualSpacing/>
              <w:jc w:val="center"/>
              <w:rPr>
                <w:rFonts w:ascii="Calibri" w:eastAsia="Calibri" w:hAnsi="Calibri"/>
                <w:color w:val="auto"/>
                <w:sz w:val="20"/>
              </w:rPr>
            </w:pPr>
            <w:r w:rsidRPr="00214D40">
              <w:rPr>
                <w:rFonts w:asciiTheme="minorHAnsi" w:eastAsia="Calibri" w:hAnsiTheme="minorHAnsi"/>
                <w:i/>
                <w:color w:val="auto"/>
                <w:sz w:val="20"/>
              </w:rPr>
              <w:t>Not given</w:t>
            </w:r>
          </w:p>
        </w:tc>
        <w:tc>
          <w:tcPr>
            <w:tcW w:w="2340" w:type="dxa"/>
            <w:tcBorders>
              <w:right w:val="single" w:sz="4" w:space="0" w:color="auto"/>
            </w:tcBorders>
          </w:tcPr>
          <w:p w:rsidR="00046E30" w:rsidRPr="00214D40" w:rsidRDefault="00046E30" w:rsidP="00214D40">
            <w:pPr>
              <w:spacing w:line="200" w:lineRule="exact"/>
              <w:contextualSpacing/>
              <w:jc w:val="center"/>
              <w:rPr>
                <w:rFonts w:ascii="Calibri" w:eastAsia="Calibri" w:hAnsi="Calibri"/>
                <w:color w:val="auto"/>
                <w:sz w:val="20"/>
              </w:rPr>
            </w:pPr>
            <w:r w:rsidRPr="00214D40">
              <w:rPr>
                <w:rFonts w:ascii="Calibri" w:eastAsia="Calibri" w:hAnsi="Calibri"/>
                <w:color w:val="auto"/>
                <w:sz w:val="20"/>
              </w:rPr>
              <w:t>0⁰-50⁰ (pain)</w:t>
            </w:r>
          </w:p>
        </w:tc>
        <w:tc>
          <w:tcPr>
            <w:tcW w:w="2003" w:type="dxa"/>
            <w:tcBorders>
              <w:left w:val="single" w:sz="4" w:space="0" w:color="auto"/>
            </w:tcBorders>
          </w:tcPr>
          <w:p w:rsidR="00046E30" w:rsidRPr="00214D40" w:rsidRDefault="00046E30" w:rsidP="00214D40">
            <w:pPr>
              <w:spacing w:line="200" w:lineRule="exact"/>
              <w:contextualSpacing/>
              <w:jc w:val="center"/>
              <w:rPr>
                <w:rFonts w:ascii="Calibri" w:eastAsia="Calibri" w:hAnsi="Calibri"/>
                <w:color w:val="auto"/>
                <w:sz w:val="20"/>
              </w:rPr>
            </w:pPr>
            <w:r w:rsidRPr="00214D40">
              <w:rPr>
                <w:rFonts w:ascii="Calibri" w:eastAsia="Calibri" w:hAnsi="Calibri"/>
                <w:color w:val="auto"/>
                <w:sz w:val="20"/>
              </w:rPr>
              <w:t>0⁰-50⁰</w:t>
            </w:r>
          </w:p>
        </w:tc>
      </w:tr>
      <w:tr w:rsidR="00046E30" w:rsidRPr="00F451D1" w:rsidTr="00D32B12">
        <w:trPr>
          <w:jc w:val="center"/>
        </w:trPr>
        <w:tc>
          <w:tcPr>
            <w:tcW w:w="1824" w:type="dxa"/>
          </w:tcPr>
          <w:p w:rsidR="00046E30" w:rsidRPr="00214D40" w:rsidRDefault="00046E30" w:rsidP="00214D40">
            <w:pPr>
              <w:spacing w:line="200" w:lineRule="exact"/>
              <w:contextualSpacing/>
              <w:jc w:val="center"/>
              <w:rPr>
                <w:rFonts w:ascii="Calibri" w:eastAsia="Calibri" w:hAnsi="Calibri"/>
                <w:color w:val="auto"/>
                <w:sz w:val="20"/>
              </w:rPr>
            </w:pPr>
            <w:r w:rsidRPr="00214D40">
              <w:rPr>
                <w:rFonts w:ascii="Calibri" w:eastAsia="Calibri" w:hAnsi="Calibri"/>
                <w:color w:val="auto"/>
                <w:sz w:val="20"/>
              </w:rPr>
              <w:t>Combined (240⁰)</w:t>
            </w:r>
          </w:p>
        </w:tc>
        <w:tc>
          <w:tcPr>
            <w:tcW w:w="1800" w:type="dxa"/>
            <w:vMerge/>
          </w:tcPr>
          <w:p w:rsidR="00046E30" w:rsidRPr="00214D40" w:rsidRDefault="00046E30" w:rsidP="00214D40">
            <w:pPr>
              <w:spacing w:line="200" w:lineRule="exact"/>
              <w:contextualSpacing/>
              <w:jc w:val="center"/>
              <w:rPr>
                <w:rFonts w:ascii="Calibri" w:eastAsia="Calibri" w:hAnsi="Calibri"/>
                <w:color w:val="auto"/>
                <w:sz w:val="20"/>
              </w:rPr>
            </w:pPr>
          </w:p>
        </w:tc>
        <w:tc>
          <w:tcPr>
            <w:tcW w:w="1440" w:type="dxa"/>
            <w:vMerge/>
          </w:tcPr>
          <w:p w:rsidR="00046E30" w:rsidRPr="00214D40" w:rsidRDefault="00046E30" w:rsidP="00214D40">
            <w:pPr>
              <w:spacing w:line="200" w:lineRule="exact"/>
              <w:contextualSpacing/>
              <w:jc w:val="center"/>
              <w:rPr>
                <w:rFonts w:ascii="Calibri" w:eastAsia="Calibri" w:hAnsi="Calibri"/>
                <w:color w:val="auto"/>
                <w:sz w:val="20"/>
              </w:rPr>
            </w:pPr>
          </w:p>
        </w:tc>
        <w:tc>
          <w:tcPr>
            <w:tcW w:w="2340" w:type="dxa"/>
            <w:tcBorders>
              <w:right w:val="single" w:sz="4" w:space="0" w:color="auto"/>
            </w:tcBorders>
          </w:tcPr>
          <w:p w:rsidR="00046E30" w:rsidRPr="00214D40" w:rsidRDefault="00046E30" w:rsidP="00214D40">
            <w:pPr>
              <w:spacing w:line="200" w:lineRule="exact"/>
              <w:contextualSpacing/>
              <w:jc w:val="center"/>
              <w:rPr>
                <w:rFonts w:ascii="Calibri" w:eastAsia="Calibri" w:hAnsi="Calibri"/>
                <w:color w:val="auto"/>
                <w:sz w:val="20"/>
              </w:rPr>
            </w:pPr>
            <w:r w:rsidRPr="00214D40">
              <w:rPr>
                <w:rFonts w:ascii="Calibri" w:eastAsia="Calibri" w:hAnsi="Calibri"/>
                <w:color w:val="auto"/>
                <w:sz w:val="20"/>
              </w:rPr>
              <w:t>60⁰</w:t>
            </w:r>
          </w:p>
        </w:tc>
        <w:tc>
          <w:tcPr>
            <w:tcW w:w="2003" w:type="dxa"/>
            <w:tcBorders>
              <w:left w:val="single" w:sz="4" w:space="0" w:color="auto"/>
            </w:tcBorders>
          </w:tcPr>
          <w:p w:rsidR="00046E30" w:rsidRPr="00214D40" w:rsidRDefault="00046E30" w:rsidP="00214D40">
            <w:pPr>
              <w:spacing w:line="200" w:lineRule="exact"/>
              <w:contextualSpacing/>
              <w:jc w:val="center"/>
              <w:rPr>
                <w:rFonts w:ascii="Calibri" w:eastAsia="Calibri" w:hAnsi="Calibri"/>
                <w:color w:val="auto"/>
                <w:sz w:val="20"/>
              </w:rPr>
            </w:pPr>
            <w:r w:rsidRPr="00214D40">
              <w:rPr>
                <w:rFonts w:ascii="Calibri" w:eastAsia="Calibri" w:hAnsi="Calibri"/>
                <w:color w:val="auto"/>
                <w:sz w:val="20"/>
              </w:rPr>
              <w:t>70⁰</w:t>
            </w:r>
          </w:p>
        </w:tc>
      </w:tr>
      <w:tr w:rsidR="00046E30" w:rsidRPr="00F451D1" w:rsidTr="00D32B12">
        <w:trPr>
          <w:trHeight w:val="70"/>
          <w:jc w:val="center"/>
        </w:trPr>
        <w:tc>
          <w:tcPr>
            <w:tcW w:w="1824" w:type="dxa"/>
          </w:tcPr>
          <w:p w:rsidR="00046E30" w:rsidRPr="00214D40" w:rsidRDefault="00046E30" w:rsidP="00214D40">
            <w:pPr>
              <w:tabs>
                <w:tab w:val="left" w:pos="288"/>
                <w:tab w:val="left" w:pos="4752"/>
              </w:tabs>
              <w:spacing w:line="200" w:lineRule="exact"/>
              <w:jc w:val="center"/>
              <w:rPr>
                <w:rFonts w:asciiTheme="minorHAnsi" w:eastAsiaTheme="minorHAnsi" w:hAnsiTheme="minorHAnsi"/>
                <w:color w:val="auto"/>
                <w:sz w:val="20"/>
              </w:rPr>
            </w:pPr>
            <w:r w:rsidRPr="00214D40">
              <w:rPr>
                <w:rFonts w:asciiTheme="minorHAnsi" w:eastAsiaTheme="minorHAnsi" w:hAnsiTheme="minorHAnsi"/>
                <w:color w:val="auto"/>
                <w:sz w:val="20"/>
              </w:rPr>
              <w:t xml:space="preserve">Comments:  </w:t>
            </w:r>
            <w:r w:rsidRPr="00214D40">
              <w:rPr>
                <w:rFonts w:asciiTheme="minorHAnsi" w:eastAsiaTheme="minorHAnsi" w:hAnsiTheme="minorHAnsi"/>
                <w:i/>
                <w:color w:val="auto"/>
                <w:sz w:val="20"/>
              </w:rPr>
              <w:t>See overlap with hip exam</w:t>
            </w:r>
          </w:p>
        </w:tc>
        <w:tc>
          <w:tcPr>
            <w:tcW w:w="1800" w:type="dxa"/>
          </w:tcPr>
          <w:p w:rsidR="00046E30" w:rsidRPr="00214D40" w:rsidRDefault="00046E30" w:rsidP="00214D40">
            <w:pPr>
              <w:tabs>
                <w:tab w:val="left" w:pos="288"/>
                <w:tab w:val="left" w:pos="4752"/>
              </w:tabs>
              <w:spacing w:line="200" w:lineRule="exact"/>
              <w:rPr>
                <w:rFonts w:asciiTheme="minorHAnsi" w:eastAsiaTheme="minorHAnsi" w:hAnsiTheme="minorHAnsi"/>
                <w:color w:val="auto"/>
                <w:sz w:val="20"/>
              </w:rPr>
            </w:pPr>
            <w:r w:rsidRPr="00214D40">
              <w:rPr>
                <w:rFonts w:asciiTheme="minorHAnsi" w:eastAsiaTheme="minorHAnsi" w:hAnsiTheme="minorHAnsi"/>
                <w:color w:val="auto"/>
                <w:sz w:val="20"/>
              </w:rPr>
              <w:t>pain 5/10</w:t>
            </w:r>
          </w:p>
        </w:tc>
        <w:tc>
          <w:tcPr>
            <w:tcW w:w="1440" w:type="dxa"/>
          </w:tcPr>
          <w:p w:rsidR="00046E30" w:rsidRPr="00214D40" w:rsidRDefault="00046E30" w:rsidP="00214D40">
            <w:pPr>
              <w:tabs>
                <w:tab w:val="left" w:pos="288"/>
                <w:tab w:val="left" w:pos="4752"/>
              </w:tabs>
              <w:spacing w:line="200" w:lineRule="exact"/>
              <w:rPr>
                <w:rFonts w:asciiTheme="minorHAnsi" w:eastAsiaTheme="minorHAnsi" w:hAnsiTheme="minorHAnsi"/>
                <w:color w:val="auto"/>
                <w:sz w:val="20"/>
              </w:rPr>
            </w:pPr>
            <w:r w:rsidRPr="00214D40">
              <w:rPr>
                <w:rFonts w:asciiTheme="minorHAnsi" w:eastAsiaTheme="minorHAnsi" w:hAnsiTheme="minorHAnsi"/>
                <w:color w:val="auto"/>
                <w:sz w:val="20"/>
              </w:rPr>
              <w:t xml:space="preserve">Antalgic gait; TTP L lumbar and SI </w:t>
            </w:r>
            <w:proofErr w:type="spellStart"/>
            <w:r w:rsidRPr="00214D40">
              <w:rPr>
                <w:rFonts w:asciiTheme="minorHAnsi" w:eastAsiaTheme="minorHAnsi" w:hAnsiTheme="minorHAnsi"/>
                <w:color w:val="auto"/>
                <w:sz w:val="20"/>
              </w:rPr>
              <w:t>jt</w:t>
            </w:r>
            <w:proofErr w:type="spellEnd"/>
            <w:r w:rsidRPr="00214D40">
              <w:rPr>
                <w:rFonts w:asciiTheme="minorHAnsi" w:eastAsiaTheme="minorHAnsi" w:hAnsiTheme="minorHAnsi"/>
                <w:color w:val="auto"/>
                <w:sz w:val="20"/>
              </w:rPr>
              <w:t xml:space="preserve">; + SLR </w:t>
            </w:r>
          </w:p>
        </w:tc>
        <w:tc>
          <w:tcPr>
            <w:tcW w:w="2340" w:type="dxa"/>
            <w:tcBorders>
              <w:right w:val="single" w:sz="4" w:space="0" w:color="auto"/>
            </w:tcBorders>
          </w:tcPr>
          <w:p w:rsidR="00214D40" w:rsidRDefault="00046E30" w:rsidP="00214D40">
            <w:pPr>
              <w:tabs>
                <w:tab w:val="left" w:pos="288"/>
                <w:tab w:val="left" w:pos="4752"/>
              </w:tabs>
              <w:spacing w:line="200" w:lineRule="exact"/>
              <w:rPr>
                <w:rFonts w:asciiTheme="minorHAnsi" w:eastAsiaTheme="minorHAnsi" w:hAnsiTheme="minorHAnsi"/>
                <w:color w:val="auto"/>
                <w:sz w:val="20"/>
              </w:rPr>
            </w:pPr>
            <w:r w:rsidRPr="00214D40">
              <w:rPr>
                <w:rFonts w:asciiTheme="minorHAnsi" w:eastAsiaTheme="minorHAnsi" w:hAnsiTheme="minorHAnsi"/>
                <w:color w:val="auto"/>
                <w:sz w:val="20"/>
              </w:rPr>
              <w:t xml:space="preserve">Normal gait; tenderness; </w:t>
            </w:r>
          </w:p>
          <w:p w:rsidR="00046E30" w:rsidRPr="00214D40" w:rsidRDefault="00046E30" w:rsidP="00214D40">
            <w:pPr>
              <w:tabs>
                <w:tab w:val="left" w:pos="288"/>
                <w:tab w:val="left" w:pos="4752"/>
              </w:tabs>
              <w:spacing w:line="200" w:lineRule="exact"/>
              <w:rPr>
                <w:rFonts w:asciiTheme="minorHAnsi" w:eastAsiaTheme="minorHAnsi" w:hAnsiTheme="minorHAnsi"/>
                <w:color w:val="auto"/>
                <w:sz w:val="20"/>
              </w:rPr>
            </w:pPr>
            <w:r w:rsidRPr="00214D40">
              <w:rPr>
                <w:rFonts w:asciiTheme="minorHAnsi" w:eastAsiaTheme="minorHAnsi" w:hAnsiTheme="minorHAnsi"/>
                <w:color w:val="auto"/>
                <w:sz w:val="20"/>
              </w:rPr>
              <w:t>- SLR; + Muscle spasm; fatigue, weakness, &amp; lack of endurance</w:t>
            </w:r>
          </w:p>
        </w:tc>
        <w:tc>
          <w:tcPr>
            <w:tcW w:w="2003" w:type="dxa"/>
            <w:tcBorders>
              <w:left w:val="single" w:sz="4" w:space="0" w:color="auto"/>
            </w:tcBorders>
          </w:tcPr>
          <w:p w:rsidR="00046E30" w:rsidRPr="00214D40" w:rsidRDefault="00046E30" w:rsidP="00214D40">
            <w:pPr>
              <w:tabs>
                <w:tab w:val="left" w:pos="288"/>
                <w:tab w:val="left" w:pos="4752"/>
              </w:tabs>
              <w:spacing w:line="200" w:lineRule="exact"/>
              <w:rPr>
                <w:rFonts w:asciiTheme="minorHAnsi" w:eastAsiaTheme="minorHAnsi" w:hAnsiTheme="minorHAnsi"/>
                <w:color w:val="auto"/>
                <w:sz w:val="20"/>
              </w:rPr>
            </w:pPr>
            <w:r w:rsidRPr="00214D40">
              <w:rPr>
                <w:rFonts w:asciiTheme="minorHAnsi" w:eastAsiaTheme="minorHAnsi" w:hAnsiTheme="minorHAnsi"/>
                <w:color w:val="auto"/>
                <w:sz w:val="20"/>
              </w:rPr>
              <w:t xml:space="preserve">Antalgic gait; </w:t>
            </w:r>
            <w:proofErr w:type="spellStart"/>
            <w:r w:rsidRPr="00214D40">
              <w:rPr>
                <w:rFonts w:asciiTheme="minorHAnsi" w:eastAsiaTheme="minorHAnsi" w:hAnsiTheme="minorHAnsi"/>
                <w:color w:val="auto"/>
                <w:sz w:val="20"/>
              </w:rPr>
              <w:t>Neurostimulator</w:t>
            </w:r>
            <w:proofErr w:type="spellEnd"/>
            <w:r w:rsidRPr="00214D40">
              <w:rPr>
                <w:rFonts w:asciiTheme="minorHAnsi" w:eastAsiaTheme="minorHAnsi" w:hAnsiTheme="minorHAnsi"/>
                <w:color w:val="auto"/>
                <w:sz w:val="20"/>
              </w:rPr>
              <w:t xml:space="preserve"> in place</w:t>
            </w:r>
          </w:p>
        </w:tc>
      </w:tr>
      <w:tr w:rsidR="00046E30" w:rsidRPr="00F451D1" w:rsidTr="00D32B12">
        <w:trPr>
          <w:trHeight w:val="70"/>
          <w:jc w:val="center"/>
        </w:trPr>
        <w:tc>
          <w:tcPr>
            <w:tcW w:w="1824" w:type="dxa"/>
          </w:tcPr>
          <w:p w:rsidR="00046E30" w:rsidRPr="00214D40" w:rsidRDefault="00046E30" w:rsidP="00214D40">
            <w:pPr>
              <w:tabs>
                <w:tab w:val="left" w:pos="288"/>
                <w:tab w:val="left" w:pos="4752"/>
              </w:tabs>
              <w:spacing w:line="200" w:lineRule="exact"/>
              <w:jc w:val="center"/>
              <w:rPr>
                <w:rFonts w:asciiTheme="minorHAnsi" w:eastAsiaTheme="minorHAnsi" w:hAnsiTheme="minorHAnsi"/>
                <w:color w:val="auto"/>
                <w:sz w:val="20"/>
              </w:rPr>
            </w:pPr>
            <w:r w:rsidRPr="00214D40">
              <w:rPr>
                <w:rFonts w:asciiTheme="minorHAnsi" w:eastAsiaTheme="minorHAnsi" w:hAnsiTheme="minorHAnsi"/>
                <w:color w:val="auto"/>
                <w:sz w:val="20"/>
              </w:rPr>
              <w:t>§4.71a Rating</w:t>
            </w:r>
          </w:p>
        </w:tc>
        <w:tc>
          <w:tcPr>
            <w:tcW w:w="1800" w:type="dxa"/>
          </w:tcPr>
          <w:p w:rsidR="00046E30" w:rsidRPr="00214D40" w:rsidRDefault="00046E30" w:rsidP="00214D40">
            <w:pPr>
              <w:tabs>
                <w:tab w:val="left" w:pos="288"/>
                <w:tab w:val="left" w:pos="4752"/>
              </w:tabs>
              <w:spacing w:line="200" w:lineRule="exact"/>
              <w:jc w:val="center"/>
              <w:rPr>
                <w:rFonts w:asciiTheme="minorHAnsi" w:eastAsiaTheme="minorHAnsi" w:hAnsiTheme="minorHAnsi"/>
                <w:color w:val="auto"/>
                <w:sz w:val="20"/>
              </w:rPr>
            </w:pPr>
            <w:r w:rsidRPr="00214D40">
              <w:rPr>
                <w:rFonts w:asciiTheme="minorHAnsi" w:eastAsiaTheme="minorHAnsi" w:hAnsiTheme="minorHAnsi"/>
                <w:color w:val="auto"/>
                <w:sz w:val="20"/>
              </w:rPr>
              <w:t>10%</w:t>
            </w:r>
          </w:p>
        </w:tc>
        <w:tc>
          <w:tcPr>
            <w:tcW w:w="1440" w:type="dxa"/>
          </w:tcPr>
          <w:p w:rsidR="00046E30" w:rsidRPr="00214D40" w:rsidRDefault="00046E30" w:rsidP="00214D40">
            <w:pPr>
              <w:tabs>
                <w:tab w:val="left" w:pos="288"/>
                <w:tab w:val="left" w:pos="4752"/>
              </w:tabs>
              <w:spacing w:line="200" w:lineRule="exact"/>
              <w:jc w:val="center"/>
              <w:rPr>
                <w:rFonts w:asciiTheme="minorHAnsi" w:eastAsiaTheme="minorHAnsi" w:hAnsiTheme="minorHAnsi"/>
                <w:color w:val="auto"/>
                <w:sz w:val="20"/>
              </w:rPr>
            </w:pPr>
            <w:r w:rsidRPr="00214D40">
              <w:rPr>
                <w:rFonts w:asciiTheme="minorHAnsi" w:eastAsiaTheme="minorHAnsi" w:hAnsiTheme="minorHAnsi"/>
                <w:color w:val="auto"/>
                <w:sz w:val="20"/>
              </w:rPr>
              <w:t>20%</w:t>
            </w:r>
          </w:p>
        </w:tc>
        <w:tc>
          <w:tcPr>
            <w:tcW w:w="2340" w:type="dxa"/>
            <w:tcBorders>
              <w:right w:val="single" w:sz="4" w:space="0" w:color="auto"/>
            </w:tcBorders>
          </w:tcPr>
          <w:p w:rsidR="00046E30" w:rsidRPr="00214D40" w:rsidRDefault="00046E30" w:rsidP="00214D40">
            <w:pPr>
              <w:tabs>
                <w:tab w:val="left" w:pos="288"/>
                <w:tab w:val="left" w:pos="4752"/>
              </w:tabs>
              <w:spacing w:line="200" w:lineRule="exact"/>
              <w:jc w:val="center"/>
              <w:rPr>
                <w:rFonts w:asciiTheme="minorHAnsi" w:eastAsiaTheme="minorHAnsi" w:hAnsiTheme="minorHAnsi"/>
                <w:color w:val="auto"/>
                <w:sz w:val="20"/>
              </w:rPr>
            </w:pPr>
            <w:r w:rsidRPr="00214D40">
              <w:rPr>
                <w:rFonts w:asciiTheme="minorHAnsi" w:eastAsiaTheme="minorHAnsi" w:hAnsiTheme="minorHAnsi"/>
                <w:color w:val="auto"/>
                <w:sz w:val="20"/>
              </w:rPr>
              <w:t>20%</w:t>
            </w:r>
          </w:p>
        </w:tc>
        <w:tc>
          <w:tcPr>
            <w:tcW w:w="2003" w:type="dxa"/>
            <w:tcBorders>
              <w:left w:val="single" w:sz="4" w:space="0" w:color="auto"/>
            </w:tcBorders>
          </w:tcPr>
          <w:p w:rsidR="00046E30" w:rsidRPr="00214D40" w:rsidRDefault="00046E30" w:rsidP="00214D40">
            <w:pPr>
              <w:tabs>
                <w:tab w:val="left" w:pos="288"/>
                <w:tab w:val="left" w:pos="4752"/>
              </w:tabs>
              <w:spacing w:line="200" w:lineRule="exact"/>
              <w:jc w:val="center"/>
              <w:rPr>
                <w:rFonts w:asciiTheme="minorHAnsi" w:eastAsiaTheme="minorHAnsi" w:hAnsiTheme="minorHAnsi"/>
                <w:color w:val="auto"/>
                <w:sz w:val="20"/>
              </w:rPr>
            </w:pPr>
            <w:r w:rsidRPr="00214D40">
              <w:rPr>
                <w:rFonts w:asciiTheme="minorHAnsi" w:eastAsiaTheme="minorHAnsi" w:hAnsiTheme="minorHAnsi"/>
                <w:color w:val="auto"/>
                <w:sz w:val="20"/>
              </w:rPr>
              <w:t>20%</w:t>
            </w:r>
          </w:p>
        </w:tc>
      </w:tr>
    </w:tbl>
    <w:p w:rsidR="00046E30" w:rsidRDefault="00046E30" w:rsidP="00880807">
      <w:pPr>
        <w:tabs>
          <w:tab w:val="left" w:pos="288"/>
          <w:tab w:val="left" w:pos="4752"/>
        </w:tabs>
        <w:spacing w:line="240" w:lineRule="exact"/>
        <w:jc w:val="both"/>
        <w:rPr>
          <w:rFonts w:asciiTheme="minorHAnsi" w:hAnsiTheme="minorHAnsi"/>
          <w:color w:val="auto"/>
          <w:szCs w:val="24"/>
        </w:rPr>
      </w:pPr>
    </w:p>
    <w:p w:rsidR="00176C64" w:rsidRPr="00DC76F0" w:rsidRDefault="00B064FB" w:rsidP="00F451D1">
      <w:pPr>
        <w:tabs>
          <w:tab w:val="left" w:pos="288"/>
          <w:tab w:val="left" w:pos="4752"/>
        </w:tabs>
        <w:spacing w:line="240" w:lineRule="exact"/>
        <w:jc w:val="both"/>
        <w:rPr>
          <w:rFonts w:asciiTheme="minorHAnsi" w:hAnsiTheme="minorHAnsi"/>
          <w:color w:val="auto"/>
          <w:szCs w:val="24"/>
        </w:rPr>
      </w:pPr>
      <w:r w:rsidRPr="00DC76F0">
        <w:rPr>
          <w:rFonts w:asciiTheme="minorHAnsi" w:hAnsiTheme="minorHAnsi"/>
          <w:color w:val="auto"/>
          <w:szCs w:val="24"/>
        </w:rPr>
        <w:t>The MEB exam</w:t>
      </w:r>
      <w:r w:rsidR="00B11512">
        <w:rPr>
          <w:rFonts w:asciiTheme="minorHAnsi" w:hAnsiTheme="minorHAnsi"/>
          <w:color w:val="auto"/>
          <w:szCs w:val="24"/>
        </w:rPr>
        <w:t xml:space="preserve"> on 18 October </w:t>
      </w:r>
      <w:r w:rsidRPr="00DC76F0">
        <w:rPr>
          <w:rFonts w:asciiTheme="minorHAnsi" w:hAnsiTheme="minorHAnsi"/>
          <w:color w:val="auto"/>
          <w:szCs w:val="24"/>
        </w:rPr>
        <w:t xml:space="preserve">2006, four months prior to separation, indicated the CI had an antalgic gait, positive </w:t>
      </w:r>
      <w:r w:rsidR="00B11512">
        <w:rPr>
          <w:rFonts w:asciiTheme="minorHAnsi" w:hAnsiTheme="minorHAnsi"/>
          <w:color w:val="auto"/>
          <w:szCs w:val="24"/>
        </w:rPr>
        <w:t>SLR</w:t>
      </w:r>
      <w:r w:rsidRPr="00DC76F0">
        <w:rPr>
          <w:rFonts w:asciiTheme="minorHAnsi" w:hAnsiTheme="minorHAnsi"/>
          <w:color w:val="auto"/>
          <w:szCs w:val="24"/>
        </w:rPr>
        <w:t xml:space="preserve">, and </w:t>
      </w:r>
      <w:r w:rsidR="0093018E" w:rsidRPr="00DC76F0">
        <w:rPr>
          <w:rFonts w:asciiTheme="minorHAnsi" w:hAnsiTheme="minorHAnsi"/>
          <w:color w:val="auto"/>
          <w:szCs w:val="24"/>
        </w:rPr>
        <w:t xml:space="preserve">subjective </w:t>
      </w:r>
      <w:r w:rsidR="008C59A4" w:rsidRPr="00DC76F0">
        <w:rPr>
          <w:rFonts w:asciiTheme="minorHAnsi" w:hAnsiTheme="minorHAnsi"/>
          <w:color w:val="auto"/>
          <w:szCs w:val="24"/>
        </w:rPr>
        <w:t>numbness to the left groin</w:t>
      </w:r>
      <w:r w:rsidR="00F451D1" w:rsidRPr="00DC76F0">
        <w:rPr>
          <w:rFonts w:asciiTheme="minorHAnsi" w:hAnsiTheme="minorHAnsi"/>
          <w:color w:val="auto"/>
          <w:szCs w:val="24"/>
        </w:rPr>
        <w:t xml:space="preserve">.  Symptoms were </w:t>
      </w:r>
      <w:r w:rsidRPr="00DC76F0">
        <w:rPr>
          <w:rFonts w:asciiTheme="minorHAnsi" w:hAnsiTheme="minorHAnsi"/>
          <w:color w:val="auto"/>
          <w:szCs w:val="24"/>
        </w:rPr>
        <w:t xml:space="preserve">chronic pain with squatting, prolonged sitting, walking, </w:t>
      </w:r>
      <w:proofErr w:type="gramStart"/>
      <w:r w:rsidRPr="00DC76F0">
        <w:rPr>
          <w:rFonts w:asciiTheme="minorHAnsi" w:hAnsiTheme="minorHAnsi"/>
          <w:color w:val="auto"/>
          <w:szCs w:val="24"/>
        </w:rPr>
        <w:t>stairs</w:t>
      </w:r>
      <w:proofErr w:type="gramEnd"/>
      <w:r w:rsidRPr="00DC76F0">
        <w:rPr>
          <w:rFonts w:asciiTheme="minorHAnsi" w:hAnsiTheme="minorHAnsi"/>
          <w:color w:val="auto"/>
          <w:szCs w:val="24"/>
        </w:rPr>
        <w:t xml:space="preserve"> and c</w:t>
      </w:r>
      <w:r w:rsidR="00B11512">
        <w:rPr>
          <w:rFonts w:asciiTheme="minorHAnsi" w:hAnsiTheme="minorHAnsi"/>
          <w:color w:val="auto"/>
          <w:szCs w:val="24"/>
        </w:rPr>
        <w:t xml:space="preserve">ould not </w:t>
      </w:r>
      <w:r w:rsidRPr="00DC76F0">
        <w:rPr>
          <w:rFonts w:asciiTheme="minorHAnsi" w:hAnsiTheme="minorHAnsi"/>
          <w:color w:val="auto"/>
          <w:szCs w:val="24"/>
        </w:rPr>
        <w:t>run.</w:t>
      </w:r>
      <w:r w:rsidR="0041095A" w:rsidRPr="00DC76F0">
        <w:rPr>
          <w:rFonts w:asciiTheme="minorHAnsi" w:hAnsiTheme="minorHAnsi"/>
          <w:color w:val="auto"/>
          <w:szCs w:val="24"/>
        </w:rPr>
        <w:t xml:space="preserve">  </w:t>
      </w:r>
      <w:r w:rsidR="00F451D1" w:rsidRPr="00DC76F0">
        <w:rPr>
          <w:rFonts w:asciiTheme="minorHAnsi" w:hAnsiTheme="minorHAnsi"/>
          <w:color w:val="auto"/>
          <w:szCs w:val="24"/>
        </w:rPr>
        <w:t xml:space="preserve">The MEB history and physical indicated lower back pain as a primary complaint.  The NARSUM indicated low back and SI joint pain.  </w:t>
      </w:r>
    </w:p>
    <w:p w:rsidR="00F451D1" w:rsidRPr="00DC76F0" w:rsidRDefault="00F451D1" w:rsidP="00F451D1">
      <w:pPr>
        <w:tabs>
          <w:tab w:val="left" w:pos="288"/>
          <w:tab w:val="left" w:pos="4752"/>
        </w:tabs>
        <w:spacing w:line="240" w:lineRule="exact"/>
        <w:jc w:val="both"/>
        <w:rPr>
          <w:rFonts w:asciiTheme="minorHAnsi" w:hAnsiTheme="minorHAnsi"/>
          <w:color w:val="auto"/>
          <w:sz w:val="20"/>
          <w:szCs w:val="24"/>
        </w:rPr>
      </w:pPr>
    </w:p>
    <w:p w:rsidR="009570AE" w:rsidRPr="00A8476B" w:rsidRDefault="0093018E" w:rsidP="00A8476B">
      <w:pPr>
        <w:tabs>
          <w:tab w:val="left" w:pos="288"/>
          <w:tab w:val="left" w:pos="4752"/>
        </w:tabs>
        <w:spacing w:line="240" w:lineRule="exact"/>
        <w:jc w:val="both"/>
        <w:rPr>
          <w:rFonts w:asciiTheme="minorHAnsi" w:hAnsiTheme="minorHAnsi"/>
          <w:color w:val="auto"/>
          <w:szCs w:val="24"/>
        </w:rPr>
      </w:pPr>
      <w:r w:rsidRPr="00DC76F0">
        <w:rPr>
          <w:rFonts w:asciiTheme="minorHAnsi" w:hAnsiTheme="minorHAnsi"/>
          <w:color w:val="auto"/>
          <w:szCs w:val="24"/>
        </w:rPr>
        <w:t>T</w:t>
      </w:r>
      <w:r w:rsidR="00CD4EE7" w:rsidRPr="00DC76F0">
        <w:rPr>
          <w:rFonts w:asciiTheme="minorHAnsi" w:hAnsiTheme="minorHAnsi"/>
          <w:color w:val="auto"/>
          <w:szCs w:val="24"/>
        </w:rPr>
        <w:t>he VA C&amp;P exam</w:t>
      </w:r>
      <w:r w:rsidR="00B11512">
        <w:rPr>
          <w:rFonts w:asciiTheme="minorHAnsi" w:hAnsiTheme="minorHAnsi"/>
          <w:color w:val="auto"/>
          <w:szCs w:val="24"/>
        </w:rPr>
        <w:t xml:space="preserve"> on 13 December </w:t>
      </w:r>
      <w:r w:rsidR="00A27BE6" w:rsidRPr="00DC76F0">
        <w:rPr>
          <w:rFonts w:asciiTheme="minorHAnsi" w:hAnsiTheme="minorHAnsi"/>
          <w:color w:val="auto"/>
          <w:szCs w:val="24"/>
        </w:rPr>
        <w:t xml:space="preserve">2006 two months prior </w:t>
      </w:r>
      <w:r w:rsidR="00514E59" w:rsidRPr="00DC76F0">
        <w:rPr>
          <w:rFonts w:asciiTheme="minorHAnsi" w:hAnsiTheme="minorHAnsi"/>
          <w:color w:val="auto"/>
          <w:szCs w:val="24"/>
        </w:rPr>
        <w:t xml:space="preserve">to </w:t>
      </w:r>
      <w:r w:rsidR="00A27BE6" w:rsidRPr="00DC76F0">
        <w:rPr>
          <w:rFonts w:asciiTheme="minorHAnsi" w:hAnsiTheme="minorHAnsi"/>
          <w:color w:val="auto"/>
          <w:szCs w:val="24"/>
        </w:rPr>
        <w:t>separation</w:t>
      </w:r>
      <w:r w:rsidRPr="00DC76F0">
        <w:rPr>
          <w:rFonts w:asciiTheme="minorHAnsi" w:hAnsiTheme="minorHAnsi"/>
          <w:color w:val="auto"/>
          <w:szCs w:val="24"/>
        </w:rPr>
        <w:t xml:space="preserve"> </w:t>
      </w:r>
      <w:r w:rsidR="00F51AFD" w:rsidRPr="00DC76F0">
        <w:rPr>
          <w:rFonts w:asciiTheme="minorHAnsi" w:hAnsiTheme="minorHAnsi"/>
          <w:color w:val="auto"/>
          <w:szCs w:val="24"/>
        </w:rPr>
        <w:t>indicated</w:t>
      </w:r>
      <w:r w:rsidR="00063621" w:rsidRPr="00DC76F0">
        <w:rPr>
          <w:rFonts w:asciiTheme="minorHAnsi" w:hAnsiTheme="minorHAnsi"/>
          <w:color w:val="auto"/>
          <w:szCs w:val="24"/>
        </w:rPr>
        <w:t xml:space="preserve"> the CI had constant</w:t>
      </w:r>
      <w:r w:rsidR="007F053D" w:rsidRPr="00DC76F0">
        <w:rPr>
          <w:rFonts w:asciiTheme="minorHAnsi" w:hAnsiTheme="minorHAnsi"/>
          <w:color w:val="auto"/>
          <w:szCs w:val="24"/>
        </w:rPr>
        <w:t xml:space="preserve"> </w:t>
      </w:r>
      <w:r w:rsidR="00063621" w:rsidRPr="00DC76F0">
        <w:rPr>
          <w:rFonts w:asciiTheme="minorHAnsi" w:hAnsiTheme="minorHAnsi"/>
          <w:color w:val="auto"/>
          <w:szCs w:val="24"/>
        </w:rPr>
        <w:t>pain (“</w:t>
      </w:r>
      <w:r w:rsidR="007F053D" w:rsidRPr="00DC76F0">
        <w:rPr>
          <w:rFonts w:asciiTheme="minorHAnsi" w:hAnsiTheme="minorHAnsi"/>
          <w:color w:val="auto"/>
          <w:szCs w:val="24"/>
        </w:rPr>
        <w:t>aching, sticking, oppressing, cramping</w:t>
      </w:r>
      <w:r w:rsidR="00063621" w:rsidRPr="00DC76F0">
        <w:rPr>
          <w:rFonts w:asciiTheme="minorHAnsi" w:hAnsiTheme="minorHAnsi"/>
          <w:color w:val="auto"/>
          <w:szCs w:val="24"/>
        </w:rPr>
        <w:t xml:space="preserve"> and </w:t>
      </w:r>
      <w:r w:rsidR="007F053D" w:rsidRPr="00DC76F0">
        <w:rPr>
          <w:rFonts w:asciiTheme="minorHAnsi" w:hAnsiTheme="minorHAnsi"/>
          <w:color w:val="auto"/>
          <w:szCs w:val="24"/>
        </w:rPr>
        <w:t>sharp</w:t>
      </w:r>
      <w:r w:rsidR="00063621" w:rsidRPr="00DC76F0">
        <w:rPr>
          <w:rFonts w:asciiTheme="minorHAnsi" w:hAnsiTheme="minorHAnsi"/>
          <w:color w:val="auto"/>
          <w:szCs w:val="24"/>
        </w:rPr>
        <w:t>”)</w:t>
      </w:r>
      <w:r w:rsidR="007F053D" w:rsidRPr="00DC76F0">
        <w:rPr>
          <w:rFonts w:asciiTheme="minorHAnsi" w:hAnsiTheme="minorHAnsi"/>
          <w:color w:val="auto"/>
          <w:szCs w:val="24"/>
        </w:rPr>
        <w:t xml:space="preserve"> related to the </w:t>
      </w:r>
      <w:r w:rsidR="00063621" w:rsidRPr="00DC76F0">
        <w:rPr>
          <w:rFonts w:asciiTheme="minorHAnsi" w:hAnsiTheme="minorHAnsi"/>
          <w:color w:val="auto"/>
          <w:szCs w:val="24"/>
        </w:rPr>
        <w:t>pelvic</w:t>
      </w:r>
      <w:r w:rsidR="007F053D" w:rsidRPr="00DC76F0">
        <w:rPr>
          <w:rFonts w:asciiTheme="minorHAnsi" w:hAnsiTheme="minorHAnsi"/>
          <w:color w:val="auto"/>
          <w:szCs w:val="24"/>
        </w:rPr>
        <w:t xml:space="preserve"> fracture</w:t>
      </w:r>
      <w:r w:rsidR="00063621" w:rsidRPr="00DC76F0">
        <w:rPr>
          <w:rFonts w:asciiTheme="minorHAnsi" w:hAnsiTheme="minorHAnsi"/>
          <w:color w:val="auto"/>
          <w:szCs w:val="24"/>
        </w:rPr>
        <w:t>s</w:t>
      </w:r>
      <w:r w:rsidR="007F053D" w:rsidRPr="00DC76F0">
        <w:rPr>
          <w:rFonts w:asciiTheme="minorHAnsi" w:hAnsiTheme="minorHAnsi"/>
          <w:color w:val="auto"/>
          <w:szCs w:val="24"/>
        </w:rPr>
        <w:t xml:space="preserve"> which involved the thoracolumbar spine which radiated to the lower back and leg</w:t>
      </w:r>
      <w:r w:rsidR="009C78E4" w:rsidRPr="00DC76F0">
        <w:rPr>
          <w:rFonts w:asciiTheme="minorHAnsi" w:hAnsiTheme="minorHAnsi"/>
          <w:color w:val="auto"/>
          <w:szCs w:val="24"/>
        </w:rPr>
        <w:t xml:space="preserve">. </w:t>
      </w:r>
      <w:r w:rsidR="00F51AFD" w:rsidRPr="00DC76F0">
        <w:rPr>
          <w:rFonts w:asciiTheme="minorHAnsi" w:hAnsiTheme="minorHAnsi"/>
          <w:color w:val="auto"/>
          <w:szCs w:val="24"/>
        </w:rPr>
        <w:t xml:space="preserve"> </w:t>
      </w:r>
      <w:r w:rsidR="009C78E4" w:rsidRPr="00DC76F0">
        <w:rPr>
          <w:rFonts w:asciiTheme="minorHAnsi" w:hAnsiTheme="minorHAnsi"/>
          <w:color w:val="auto"/>
          <w:szCs w:val="24"/>
        </w:rPr>
        <w:t xml:space="preserve">The examiner documented findings of </w:t>
      </w:r>
      <w:r w:rsidR="009C78E4" w:rsidRPr="00DC76F0">
        <w:rPr>
          <w:rFonts w:asciiTheme="minorHAnsi" w:eastAsiaTheme="minorHAnsi" w:hAnsiTheme="minorHAnsi"/>
          <w:color w:val="auto"/>
          <w:szCs w:val="24"/>
        </w:rPr>
        <w:t>muscle spasm, tenderness, fatigue, weakness and lack of endurance.</w:t>
      </w:r>
      <w:r w:rsidR="009C78E4" w:rsidRPr="00DC76F0">
        <w:rPr>
          <w:rFonts w:asciiTheme="minorHAnsi" w:hAnsiTheme="minorHAnsi"/>
          <w:color w:val="auto"/>
          <w:szCs w:val="24"/>
        </w:rPr>
        <w:t xml:space="preserve"> </w:t>
      </w:r>
      <w:r w:rsidR="00F51AFD" w:rsidRPr="00DC76F0">
        <w:rPr>
          <w:rFonts w:asciiTheme="minorHAnsi" w:hAnsiTheme="minorHAnsi"/>
          <w:color w:val="auto"/>
          <w:szCs w:val="24"/>
        </w:rPr>
        <w:t xml:space="preserve"> </w:t>
      </w:r>
      <w:r w:rsidR="007F053D" w:rsidRPr="00DC76F0">
        <w:rPr>
          <w:rFonts w:asciiTheme="minorHAnsi" w:hAnsiTheme="minorHAnsi"/>
          <w:color w:val="auto"/>
          <w:szCs w:val="24"/>
        </w:rPr>
        <w:t xml:space="preserve">The CI rated the pain severity at 5-6/10, elicited by physical activity, relieved by narcotic pain medication and rest. </w:t>
      </w:r>
      <w:r w:rsidR="00F51AFD" w:rsidRPr="00DC76F0">
        <w:rPr>
          <w:rFonts w:asciiTheme="minorHAnsi" w:hAnsiTheme="minorHAnsi"/>
          <w:color w:val="auto"/>
          <w:szCs w:val="24"/>
        </w:rPr>
        <w:t xml:space="preserve"> </w:t>
      </w:r>
      <w:r w:rsidR="009570AE" w:rsidRPr="00DC76F0">
        <w:rPr>
          <w:rFonts w:asciiTheme="minorHAnsi" w:hAnsiTheme="minorHAnsi"/>
          <w:color w:val="auto"/>
          <w:szCs w:val="24"/>
        </w:rPr>
        <w:t xml:space="preserve">The VA C&amp;P examination post-separation documented that the CI had numbness of the medial aspect of the left thigh from the groin to the knee and weakness of the left inferior </w:t>
      </w:r>
      <w:proofErr w:type="spellStart"/>
      <w:r w:rsidR="009570AE" w:rsidRPr="00DC76F0">
        <w:rPr>
          <w:rFonts w:asciiTheme="minorHAnsi" w:hAnsiTheme="minorHAnsi"/>
          <w:color w:val="auto"/>
          <w:szCs w:val="24"/>
        </w:rPr>
        <w:t>gluteal</w:t>
      </w:r>
      <w:proofErr w:type="spellEnd"/>
      <w:r w:rsidR="009570AE" w:rsidRPr="00DC76F0">
        <w:rPr>
          <w:rFonts w:asciiTheme="minorHAnsi" w:hAnsiTheme="minorHAnsi"/>
          <w:color w:val="auto"/>
          <w:szCs w:val="24"/>
        </w:rPr>
        <w:t xml:space="preserve"> </w:t>
      </w:r>
      <w:proofErr w:type="spellStart"/>
      <w:r w:rsidR="009570AE" w:rsidRPr="00DC76F0">
        <w:rPr>
          <w:rFonts w:asciiTheme="minorHAnsi" w:hAnsiTheme="minorHAnsi"/>
          <w:color w:val="auto"/>
          <w:szCs w:val="24"/>
        </w:rPr>
        <w:t>maximus</w:t>
      </w:r>
      <w:proofErr w:type="spellEnd"/>
      <w:r w:rsidR="009570AE" w:rsidRPr="00DC76F0">
        <w:rPr>
          <w:rFonts w:asciiTheme="minorHAnsi" w:hAnsiTheme="minorHAnsi"/>
          <w:color w:val="auto"/>
          <w:szCs w:val="24"/>
        </w:rPr>
        <w:t xml:space="preserve">, quadriceps, tibialis anterior, </w:t>
      </w:r>
      <w:proofErr w:type="spellStart"/>
      <w:proofErr w:type="gramStart"/>
      <w:r w:rsidR="009570AE" w:rsidRPr="00DC76F0">
        <w:rPr>
          <w:rFonts w:asciiTheme="minorHAnsi" w:hAnsiTheme="minorHAnsi"/>
          <w:color w:val="auto"/>
          <w:szCs w:val="24"/>
        </w:rPr>
        <w:t>gastrocnemius</w:t>
      </w:r>
      <w:proofErr w:type="spellEnd"/>
      <w:proofErr w:type="gramEnd"/>
      <w:r w:rsidR="009570AE" w:rsidRPr="00DC76F0">
        <w:rPr>
          <w:rFonts w:asciiTheme="minorHAnsi" w:hAnsiTheme="minorHAnsi"/>
          <w:color w:val="auto"/>
          <w:szCs w:val="24"/>
        </w:rPr>
        <w:t xml:space="preserve"> and </w:t>
      </w:r>
      <w:proofErr w:type="spellStart"/>
      <w:r w:rsidR="009570AE" w:rsidRPr="00DC76F0">
        <w:rPr>
          <w:rFonts w:asciiTheme="minorHAnsi" w:hAnsiTheme="minorHAnsi"/>
          <w:color w:val="auto"/>
          <w:szCs w:val="24"/>
        </w:rPr>
        <w:t>soleus</w:t>
      </w:r>
      <w:proofErr w:type="spellEnd"/>
      <w:r w:rsidR="009570AE" w:rsidRPr="00DC76F0">
        <w:rPr>
          <w:rFonts w:asciiTheme="minorHAnsi" w:hAnsiTheme="minorHAnsi"/>
          <w:color w:val="auto"/>
          <w:szCs w:val="24"/>
        </w:rPr>
        <w:t xml:space="preserve"> muscles.  The CI had complained of chronic pain and although a </w:t>
      </w:r>
      <w:proofErr w:type="spellStart"/>
      <w:r w:rsidR="009570AE" w:rsidRPr="00DC76F0">
        <w:rPr>
          <w:rFonts w:asciiTheme="minorHAnsi" w:hAnsiTheme="minorHAnsi"/>
          <w:color w:val="auto"/>
          <w:szCs w:val="24"/>
        </w:rPr>
        <w:t>neurostimulator</w:t>
      </w:r>
      <w:proofErr w:type="spellEnd"/>
      <w:r w:rsidR="009570AE" w:rsidRPr="00DC76F0">
        <w:rPr>
          <w:rFonts w:asciiTheme="minorHAnsi" w:hAnsiTheme="minorHAnsi"/>
          <w:color w:val="auto"/>
          <w:szCs w:val="24"/>
        </w:rPr>
        <w:t xml:space="preserve"> was placed for pain control, the CI still needed additional oral medication for pain relief.  The VA added a rating of </w:t>
      </w:r>
      <w:r w:rsidR="009570AE" w:rsidRPr="00DC76F0">
        <w:rPr>
          <w:rFonts w:ascii="Calibri" w:hAnsi="Calibri"/>
          <w:color w:val="auto"/>
        </w:rPr>
        <w:t xml:space="preserve">8526 </w:t>
      </w:r>
      <w:r w:rsidR="00EF7DC3">
        <w:rPr>
          <w:rFonts w:ascii="Calibri" w:hAnsi="Calibri"/>
          <w:color w:val="auto"/>
        </w:rPr>
        <w:t xml:space="preserve">(nerve radiculopathy) </w:t>
      </w:r>
      <w:r w:rsidR="00B11512">
        <w:rPr>
          <w:rFonts w:ascii="Calibri" w:hAnsi="Calibri"/>
          <w:color w:val="auto"/>
        </w:rPr>
        <w:t>at 10% effective back to 1 March 2</w:t>
      </w:r>
      <w:r w:rsidR="009570AE" w:rsidRPr="00DC76F0">
        <w:rPr>
          <w:rFonts w:ascii="Calibri" w:hAnsi="Calibri"/>
          <w:color w:val="auto"/>
        </w:rPr>
        <w:t>007</w:t>
      </w:r>
      <w:r w:rsidR="00817BC4">
        <w:rPr>
          <w:rFonts w:ascii="Calibri" w:hAnsi="Calibri"/>
          <w:color w:val="auto"/>
        </w:rPr>
        <w:t>,</w:t>
      </w:r>
      <w:r w:rsidR="009570AE" w:rsidRPr="00DC76F0">
        <w:rPr>
          <w:rFonts w:ascii="Calibri" w:hAnsi="Calibri"/>
          <w:color w:val="auto"/>
        </w:rPr>
        <w:t xml:space="preserve"> based on this exam and documented earlier subjective complaints.</w:t>
      </w:r>
      <w:r w:rsidR="00EF7DC3">
        <w:rPr>
          <w:rFonts w:ascii="Calibri" w:hAnsi="Calibri"/>
          <w:color w:val="auto"/>
        </w:rPr>
        <w:t xml:space="preserve">  </w:t>
      </w:r>
    </w:p>
    <w:p w:rsidR="00063621" w:rsidRPr="00DC76F0" w:rsidRDefault="00063621" w:rsidP="00F46D3F">
      <w:pPr>
        <w:tabs>
          <w:tab w:val="left" w:pos="288"/>
          <w:tab w:val="left" w:pos="4752"/>
        </w:tabs>
        <w:spacing w:line="240" w:lineRule="exact"/>
        <w:jc w:val="both"/>
        <w:rPr>
          <w:rFonts w:asciiTheme="minorHAnsi" w:hAnsiTheme="minorHAnsi"/>
          <w:color w:val="auto"/>
          <w:szCs w:val="24"/>
        </w:rPr>
      </w:pPr>
    </w:p>
    <w:p w:rsidR="00F51AFD" w:rsidRPr="00DC76F0" w:rsidRDefault="00F51AFD" w:rsidP="00F51AFD">
      <w:pPr>
        <w:pStyle w:val="PlainText"/>
        <w:tabs>
          <w:tab w:val="left" w:pos="720"/>
          <w:tab w:val="left" w:pos="1080"/>
          <w:tab w:val="left" w:pos="1350"/>
          <w:tab w:val="left" w:pos="1620"/>
          <w:tab w:val="right" w:leader="dot" w:pos="9180"/>
        </w:tabs>
        <w:spacing w:line="240" w:lineRule="exact"/>
        <w:jc w:val="both"/>
        <w:rPr>
          <w:rFonts w:asciiTheme="minorHAnsi" w:hAnsiTheme="minorHAnsi"/>
          <w:sz w:val="24"/>
          <w:szCs w:val="24"/>
        </w:rPr>
      </w:pPr>
      <w:r w:rsidRPr="00DC76F0">
        <w:rPr>
          <w:rFonts w:asciiTheme="minorHAnsi" w:hAnsiTheme="minorHAnsi"/>
          <w:sz w:val="24"/>
          <w:szCs w:val="24"/>
        </w:rPr>
        <w:t>The PEB and the VA chose different coding options</w:t>
      </w:r>
      <w:r w:rsidR="00817BC4">
        <w:rPr>
          <w:rFonts w:asciiTheme="minorHAnsi" w:hAnsiTheme="minorHAnsi"/>
          <w:sz w:val="24"/>
          <w:szCs w:val="24"/>
        </w:rPr>
        <w:t>;</w:t>
      </w:r>
      <w:r w:rsidRPr="00DC76F0">
        <w:rPr>
          <w:rFonts w:asciiTheme="minorHAnsi" w:hAnsiTheme="minorHAnsi"/>
          <w:sz w:val="24"/>
          <w:szCs w:val="24"/>
        </w:rPr>
        <w:t xml:space="preserve"> </w:t>
      </w:r>
      <w:r w:rsidR="00063621" w:rsidRPr="00DC76F0">
        <w:rPr>
          <w:rFonts w:asciiTheme="minorHAnsi" w:hAnsiTheme="minorHAnsi"/>
          <w:sz w:val="24"/>
          <w:szCs w:val="24"/>
        </w:rPr>
        <w:t>however</w:t>
      </w:r>
      <w:r w:rsidR="00817BC4">
        <w:rPr>
          <w:rFonts w:asciiTheme="minorHAnsi" w:hAnsiTheme="minorHAnsi"/>
          <w:sz w:val="24"/>
          <w:szCs w:val="24"/>
        </w:rPr>
        <w:t>,</w:t>
      </w:r>
      <w:r w:rsidRPr="00DC76F0">
        <w:rPr>
          <w:rFonts w:asciiTheme="minorHAnsi" w:hAnsiTheme="minorHAnsi"/>
          <w:sz w:val="24"/>
          <w:szCs w:val="24"/>
        </w:rPr>
        <w:t xml:space="preserve"> this </w:t>
      </w:r>
      <w:r w:rsidR="00276BFE" w:rsidRPr="00DC76F0">
        <w:rPr>
          <w:rFonts w:asciiTheme="minorHAnsi" w:hAnsiTheme="minorHAnsi"/>
          <w:sz w:val="24"/>
          <w:szCs w:val="24"/>
        </w:rPr>
        <w:t xml:space="preserve">was not </w:t>
      </w:r>
      <w:r w:rsidRPr="00DC76F0">
        <w:rPr>
          <w:rFonts w:asciiTheme="minorHAnsi" w:hAnsiTheme="minorHAnsi"/>
          <w:sz w:val="24"/>
          <w:szCs w:val="24"/>
        </w:rPr>
        <w:t>significant</w:t>
      </w:r>
      <w:r w:rsidR="00276BFE" w:rsidRPr="00DC76F0">
        <w:rPr>
          <w:rFonts w:asciiTheme="minorHAnsi" w:hAnsiTheme="minorHAnsi"/>
          <w:sz w:val="24"/>
          <w:szCs w:val="24"/>
        </w:rPr>
        <w:t xml:space="preserve"> as both coding options used the </w:t>
      </w:r>
      <w:r w:rsidR="000B3B31" w:rsidRPr="00DC76F0">
        <w:rPr>
          <w:rFonts w:asciiTheme="minorHAnsi" w:hAnsiTheme="minorHAnsi"/>
          <w:sz w:val="24"/>
          <w:szCs w:val="24"/>
        </w:rPr>
        <w:t xml:space="preserve">same </w:t>
      </w:r>
      <w:r w:rsidR="00276BFE" w:rsidRPr="00DC76F0">
        <w:rPr>
          <w:rFonts w:asciiTheme="minorHAnsi" w:hAnsiTheme="minorHAnsi"/>
          <w:sz w:val="24"/>
          <w:szCs w:val="24"/>
        </w:rPr>
        <w:t xml:space="preserve">VASRD </w:t>
      </w:r>
      <w:r w:rsidR="00817BC4" w:rsidRPr="00DC76F0">
        <w:rPr>
          <w:rFonts w:asciiTheme="minorHAnsi" w:hAnsiTheme="minorHAnsi"/>
          <w:sz w:val="24"/>
          <w:szCs w:val="24"/>
        </w:rPr>
        <w:t xml:space="preserve">general rating formula for diseases </w:t>
      </w:r>
      <w:r w:rsidR="00276BFE" w:rsidRPr="00DC76F0">
        <w:rPr>
          <w:rFonts w:asciiTheme="minorHAnsi" w:hAnsiTheme="minorHAnsi"/>
          <w:sz w:val="24"/>
          <w:szCs w:val="24"/>
        </w:rPr>
        <w:t xml:space="preserve">and </w:t>
      </w:r>
      <w:r w:rsidR="00817BC4" w:rsidRPr="00DC76F0">
        <w:rPr>
          <w:rFonts w:asciiTheme="minorHAnsi" w:hAnsiTheme="minorHAnsi"/>
          <w:sz w:val="24"/>
          <w:szCs w:val="24"/>
        </w:rPr>
        <w:t xml:space="preserve">injuries of the spine criteria as noted above.  </w:t>
      </w:r>
      <w:r w:rsidRPr="00DC76F0">
        <w:rPr>
          <w:rFonts w:asciiTheme="minorHAnsi" w:hAnsiTheme="minorHAnsi"/>
          <w:sz w:val="24"/>
          <w:szCs w:val="24"/>
        </w:rPr>
        <w:t xml:space="preserve">The </w:t>
      </w:r>
      <w:r w:rsidR="000B3B31" w:rsidRPr="00DC76F0">
        <w:rPr>
          <w:rFonts w:asciiTheme="minorHAnsi" w:hAnsiTheme="minorHAnsi"/>
          <w:sz w:val="24"/>
          <w:szCs w:val="24"/>
        </w:rPr>
        <w:t xml:space="preserve">MEB and 17-month post-separation exams met the 20% spine </w:t>
      </w:r>
      <w:r w:rsidRPr="00DC76F0">
        <w:rPr>
          <w:rFonts w:asciiTheme="minorHAnsi" w:hAnsiTheme="minorHAnsi"/>
          <w:sz w:val="24"/>
          <w:szCs w:val="24"/>
        </w:rPr>
        <w:t xml:space="preserve">criteria </w:t>
      </w:r>
      <w:r w:rsidR="000B3B31" w:rsidRPr="00DC76F0">
        <w:rPr>
          <w:rFonts w:asciiTheme="minorHAnsi" w:hAnsiTheme="minorHAnsi"/>
          <w:sz w:val="24"/>
          <w:szCs w:val="24"/>
        </w:rPr>
        <w:t xml:space="preserve">for muscle spasm or guarding severe enough to result in an abnormal gait.  The VA’s </w:t>
      </w:r>
      <w:r w:rsidR="00EF7DC3">
        <w:rPr>
          <w:rFonts w:asciiTheme="minorHAnsi" w:hAnsiTheme="minorHAnsi"/>
          <w:sz w:val="24"/>
          <w:szCs w:val="24"/>
        </w:rPr>
        <w:t>2</w:t>
      </w:r>
      <w:r w:rsidR="00817BC4">
        <w:rPr>
          <w:rFonts w:asciiTheme="minorHAnsi" w:hAnsiTheme="minorHAnsi"/>
          <w:sz w:val="24"/>
          <w:szCs w:val="24"/>
        </w:rPr>
        <w:t>-</w:t>
      </w:r>
      <w:r w:rsidR="001E6489" w:rsidRPr="00DC76F0">
        <w:rPr>
          <w:rFonts w:asciiTheme="minorHAnsi" w:hAnsiTheme="minorHAnsi"/>
          <w:sz w:val="24"/>
          <w:szCs w:val="24"/>
        </w:rPr>
        <w:t>month pre-</w:t>
      </w:r>
      <w:r w:rsidR="000B3B31" w:rsidRPr="00DC76F0">
        <w:rPr>
          <w:rFonts w:asciiTheme="minorHAnsi" w:hAnsiTheme="minorHAnsi"/>
          <w:sz w:val="24"/>
          <w:szCs w:val="24"/>
        </w:rPr>
        <w:t>separation and 17</w:t>
      </w:r>
      <w:r w:rsidR="00817BC4">
        <w:rPr>
          <w:rFonts w:asciiTheme="minorHAnsi" w:hAnsiTheme="minorHAnsi"/>
          <w:sz w:val="24"/>
          <w:szCs w:val="24"/>
        </w:rPr>
        <w:t>-</w:t>
      </w:r>
      <w:r w:rsidR="000B3B31" w:rsidRPr="00DC76F0">
        <w:rPr>
          <w:rFonts w:asciiTheme="minorHAnsi" w:hAnsiTheme="minorHAnsi"/>
          <w:sz w:val="24"/>
          <w:szCs w:val="24"/>
        </w:rPr>
        <w:t xml:space="preserve">month post-separation exams met the 20% spine criteria for </w:t>
      </w:r>
      <w:r w:rsidRPr="00DC76F0">
        <w:rPr>
          <w:rFonts w:asciiTheme="minorHAnsi" w:hAnsiTheme="minorHAnsi"/>
          <w:sz w:val="24"/>
          <w:szCs w:val="24"/>
        </w:rPr>
        <w:t xml:space="preserve">combined </w:t>
      </w:r>
      <w:r w:rsidR="00817BC4">
        <w:rPr>
          <w:rFonts w:asciiTheme="minorHAnsi" w:hAnsiTheme="minorHAnsi"/>
          <w:sz w:val="24"/>
          <w:szCs w:val="24"/>
        </w:rPr>
        <w:t>ROM</w:t>
      </w:r>
      <w:r w:rsidRPr="00DC76F0">
        <w:rPr>
          <w:rFonts w:asciiTheme="minorHAnsi" w:hAnsiTheme="minorHAnsi"/>
          <w:sz w:val="24"/>
          <w:szCs w:val="24"/>
        </w:rPr>
        <w:t xml:space="preserve"> of the thoracolumbar spi</w:t>
      </w:r>
      <w:r w:rsidR="000B3B31" w:rsidRPr="00DC76F0">
        <w:rPr>
          <w:rFonts w:asciiTheme="minorHAnsi" w:hAnsiTheme="minorHAnsi"/>
          <w:sz w:val="24"/>
          <w:szCs w:val="24"/>
        </w:rPr>
        <w:t xml:space="preserve">ne not greater than 120 degrees.  There was no formal </w:t>
      </w:r>
      <w:r w:rsidR="00EF7DC3" w:rsidRPr="00DC76F0">
        <w:rPr>
          <w:rFonts w:asciiTheme="minorHAnsi" w:hAnsiTheme="minorHAnsi"/>
          <w:sz w:val="24"/>
          <w:szCs w:val="24"/>
        </w:rPr>
        <w:t>electrophysiological</w:t>
      </w:r>
      <w:r w:rsidR="000B3B31" w:rsidRPr="00DC76F0">
        <w:rPr>
          <w:rFonts w:asciiTheme="minorHAnsi" w:hAnsiTheme="minorHAnsi"/>
          <w:sz w:val="24"/>
          <w:szCs w:val="24"/>
        </w:rPr>
        <w:t xml:space="preserve"> (EMG/NCV) testing indicated in any exam and the CI’s numbness to the left groin was not indicated as impairing any function or interfering with duty</w:t>
      </w:r>
      <w:r w:rsidR="001E6489" w:rsidRPr="00DC76F0">
        <w:rPr>
          <w:rFonts w:asciiTheme="minorHAnsi" w:hAnsiTheme="minorHAnsi"/>
          <w:sz w:val="24"/>
          <w:szCs w:val="24"/>
        </w:rPr>
        <w:t xml:space="preserve"> at the time of PEB or projected to his separation</w:t>
      </w:r>
      <w:r w:rsidR="000B3B31" w:rsidRPr="00DC76F0">
        <w:rPr>
          <w:rFonts w:asciiTheme="minorHAnsi" w:hAnsiTheme="minorHAnsi"/>
          <w:sz w:val="24"/>
          <w:szCs w:val="24"/>
        </w:rPr>
        <w:t>.  Any pain radiculopathy is considered under the general spine criteria (“</w:t>
      </w:r>
      <w:r w:rsidR="00817BC4">
        <w:rPr>
          <w:rFonts w:asciiTheme="minorHAnsi" w:hAnsiTheme="minorHAnsi"/>
          <w:sz w:val="24"/>
          <w:szCs w:val="24"/>
        </w:rPr>
        <w:t>w</w:t>
      </w:r>
      <w:r w:rsidR="000B3B31" w:rsidRPr="00DC76F0">
        <w:rPr>
          <w:rFonts w:asciiTheme="minorHAnsi" w:hAnsiTheme="minorHAnsi"/>
          <w:sz w:val="24"/>
          <w:szCs w:val="24"/>
        </w:rPr>
        <w:t>ith or without symptoms such as pain (whether or not it radiates), stiffness, or aching in the area of the spine affected by residuals of injury or disease”).  The Board considered that lumbosacral ROMs are impacted by hip flexion, the level and nature of the CI’s injuries</w:t>
      </w:r>
      <w:r w:rsidR="00EF7DC3">
        <w:rPr>
          <w:rFonts w:asciiTheme="minorHAnsi" w:hAnsiTheme="minorHAnsi"/>
          <w:sz w:val="24"/>
          <w:szCs w:val="24"/>
        </w:rPr>
        <w:t xml:space="preserve"> in the pelvis</w:t>
      </w:r>
      <w:r w:rsidR="000B3B31" w:rsidRPr="00DC76F0">
        <w:rPr>
          <w:rFonts w:asciiTheme="minorHAnsi" w:hAnsiTheme="minorHAnsi"/>
          <w:sz w:val="24"/>
          <w:szCs w:val="24"/>
        </w:rPr>
        <w:t>, and the CI’s overall disability picture at separation, a</w:t>
      </w:r>
      <w:r w:rsidR="001E6489" w:rsidRPr="00DC76F0">
        <w:rPr>
          <w:rFonts w:asciiTheme="minorHAnsi" w:hAnsiTheme="minorHAnsi"/>
          <w:sz w:val="24"/>
          <w:szCs w:val="24"/>
        </w:rPr>
        <w:t>bsent post-separation worsening.</w:t>
      </w:r>
      <w:r w:rsidR="00EF7DC3">
        <w:rPr>
          <w:rFonts w:asciiTheme="minorHAnsi" w:hAnsiTheme="minorHAnsi"/>
          <w:sz w:val="24"/>
          <w:szCs w:val="24"/>
        </w:rPr>
        <w:t xml:space="preserve">  Deliberations focused on attribution of symptoms of antalgic gait to either the hip or pelvic fracture conditions.  The Board majority opined that the antalgic gait noted at the MEB and sporadically through the service treatment record was as likely as not attributed to the pelvic condition, and not solely due to the hip condition.  The hip condition retained sufficient </w:t>
      </w:r>
      <w:r w:rsidR="00EF7DC3">
        <w:rPr>
          <w:rFonts w:asciiTheme="minorHAnsi" w:hAnsiTheme="minorHAnsi"/>
          <w:sz w:val="24"/>
          <w:szCs w:val="24"/>
        </w:rPr>
        <w:lastRenderedPageBreak/>
        <w:t>disability, absent the antalgic gait, to still be considered unfitting and meet the 10% criteria.  Although the VA exam did not document antalgic gait, it met the ROM criteria for a</w:t>
      </w:r>
      <w:r w:rsidR="00390D15">
        <w:rPr>
          <w:rFonts w:asciiTheme="minorHAnsi" w:hAnsiTheme="minorHAnsi"/>
          <w:sz w:val="24"/>
          <w:szCs w:val="24"/>
        </w:rPr>
        <w:t xml:space="preserve"> </w:t>
      </w:r>
      <w:r w:rsidR="00EF7DC3">
        <w:rPr>
          <w:rFonts w:asciiTheme="minorHAnsi" w:hAnsiTheme="minorHAnsi"/>
          <w:sz w:val="24"/>
          <w:szCs w:val="24"/>
        </w:rPr>
        <w:t xml:space="preserve">20% evaluation and the Board could not reasonably consider different portions of different exams for a less favorable rating.  </w:t>
      </w:r>
      <w:r w:rsidRPr="00DC76F0">
        <w:rPr>
          <w:rFonts w:asciiTheme="minorHAnsi" w:hAnsiTheme="minorHAnsi"/>
          <w:sz w:val="24"/>
          <w:szCs w:val="24"/>
        </w:rPr>
        <w:t>After due deliberation, considering all of the evidence and mindful of VASRD §4.3 (reasonable doubt), the Board recommends a separation rating of 20% for the pelvic condition coded analogously to 5236 (S</w:t>
      </w:r>
      <w:r w:rsidR="00817BC4">
        <w:rPr>
          <w:rFonts w:asciiTheme="minorHAnsi" w:hAnsiTheme="minorHAnsi"/>
          <w:sz w:val="24"/>
          <w:szCs w:val="24"/>
        </w:rPr>
        <w:t>I</w:t>
      </w:r>
      <w:r w:rsidRPr="00DC76F0">
        <w:rPr>
          <w:rFonts w:asciiTheme="minorHAnsi" w:hAnsiTheme="minorHAnsi"/>
          <w:sz w:val="24"/>
          <w:szCs w:val="24"/>
        </w:rPr>
        <w:t xml:space="preserve"> injury and weakness).  </w:t>
      </w:r>
      <w:r w:rsidR="001E6489" w:rsidRPr="00DC76F0">
        <w:rPr>
          <w:rFonts w:asciiTheme="minorHAnsi" w:hAnsiTheme="minorHAnsi"/>
          <w:sz w:val="24"/>
          <w:szCs w:val="24"/>
        </w:rPr>
        <w:t xml:space="preserve">At the time of separation, even with consideration of all reasonable doubt, there was not sufficient evidence to consider any non-pain </w:t>
      </w:r>
      <w:r w:rsidR="000B3B31" w:rsidRPr="00DC76F0">
        <w:rPr>
          <w:rFonts w:asciiTheme="minorHAnsi" w:hAnsiTheme="minorHAnsi"/>
          <w:sz w:val="24"/>
          <w:szCs w:val="24"/>
        </w:rPr>
        <w:t xml:space="preserve">radiculopathy </w:t>
      </w:r>
      <w:r w:rsidR="001E6489" w:rsidRPr="00DC76F0">
        <w:rPr>
          <w:rFonts w:asciiTheme="minorHAnsi" w:hAnsiTheme="minorHAnsi"/>
          <w:sz w:val="24"/>
          <w:szCs w:val="24"/>
        </w:rPr>
        <w:t xml:space="preserve">as separately unfitting.  </w:t>
      </w:r>
    </w:p>
    <w:p w:rsidR="00F51AFD" w:rsidRPr="00DC76F0" w:rsidRDefault="00F51AFD" w:rsidP="00F46D3F">
      <w:pPr>
        <w:tabs>
          <w:tab w:val="left" w:pos="288"/>
          <w:tab w:val="left" w:pos="4752"/>
        </w:tabs>
        <w:spacing w:line="240" w:lineRule="exact"/>
        <w:jc w:val="both"/>
        <w:rPr>
          <w:rFonts w:asciiTheme="minorHAnsi" w:hAnsiTheme="minorHAnsi"/>
          <w:color w:val="auto"/>
          <w:szCs w:val="24"/>
        </w:rPr>
      </w:pPr>
    </w:p>
    <w:p w:rsidR="009C78E4" w:rsidRPr="00DC76F0" w:rsidRDefault="00F51AFD" w:rsidP="00F46D3F">
      <w:pPr>
        <w:tabs>
          <w:tab w:val="left" w:pos="288"/>
          <w:tab w:val="left" w:pos="4752"/>
        </w:tabs>
        <w:spacing w:line="240" w:lineRule="exact"/>
        <w:jc w:val="both"/>
        <w:rPr>
          <w:rFonts w:asciiTheme="minorHAnsi" w:hAnsiTheme="minorHAnsi"/>
          <w:color w:val="auto"/>
          <w:szCs w:val="24"/>
        </w:rPr>
      </w:pPr>
      <w:proofErr w:type="gramStart"/>
      <w:r w:rsidRPr="00DC76F0">
        <w:rPr>
          <w:rFonts w:asciiTheme="minorHAnsi" w:hAnsiTheme="minorHAnsi"/>
          <w:color w:val="auto"/>
          <w:szCs w:val="24"/>
          <w:u w:val="single"/>
        </w:rPr>
        <w:t>Remaining PEB Conditions</w:t>
      </w:r>
      <w:r w:rsidRPr="00DC76F0">
        <w:rPr>
          <w:rFonts w:asciiTheme="minorHAnsi" w:hAnsiTheme="minorHAnsi"/>
          <w:color w:val="auto"/>
          <w:szCs w:val="24"/>
        </w:rPr>
        <w:t>.</w:t>
      </w:r>
      <w:proofErr w:type="gramEnd"/>
      <w:r w:rsidRPr="00DC76F0">
        <w:rPr>
          <w:rFonts w:asciiTheme="minorHAnsi" w:hAnsiTheme="minorHAnsi"/>
          <w:color w:val="auto"/>
          <w:szCs w:val="24"/>
        </w:rPr>
        <w:t xml:space="preserve">  </w:t>
      </w:r>
      <w:r w:rsidR="00D71B86" w:rsidRPr="00DC76F0">
        <w:rPr>
          <w:rFonts w:asciiTheme="minorHAnsi" w:hAnsiTheme="minorHAnsi"/>
          <w:color w:val="auto"/>
          <w:szCs w:val="24"/>
        </w:rPr>
        <w:t xml:space="preserve">The </w:t>
      </w:r>
      <w:r w:rsidR="00952E1E">
        <w:rPr>
          <w:rFonts w:asciiTheme="minorHAnsi" w:hAnsiTheme="minorHAnsi"/>
          <w:color w:val="auto"/>
          <w:szCs w:val="24"/>
        </w:rPr>
        <w:t>PEB</w:t>
      </w:r>
      <w:r w:rsidR="00817BC4" w:rsidRPr="00DC76F0">
        <w:rPr>
          <w:rFonts w:asciiTheme="minorHAnsi" w:hAnsiTheme="minorHAnsi"/>
          <w:color w:val="auto"/>
          <w:szCs w:val="24"/>
        </w:rPr>
        <w:t xml:space="preserve">’s traumatic urethral disruption resolved </w:t>
      </w:r>
      <w:r w:rsidR="00817BC4">
        <w:rPr>
          <w:rFonts w:asciiTheme="minorHAnsi" w:hAnsiTheme="minorHAnsi"/>
          <w:color w:val="auto"/>
          <w:szCs w:val="24"/>
        </w:rPr>
        <w:t>status post (</w:t>
      </w:r>
      <w:r w:rsidR="00817BC4" w:rsidRPr="00DC76F0">
        <w:rPr>
          <w:rFonts w:asciiTheme="minorHAnsi" w:hAnsiTheme="minorHAnsi"/>
          <w:color w:val="auto"/>
          <w:szCs w:val="24"/>
        </w:rPr>
        <w:t>s/p</w:t>
      </w:r>
      <w:r w:rsidR="00817BC4">
        <w:rPr>
          <w:rFonts w:asciiTheme="minorHAnsi" w:hAnsiTheme="minorHAnsi"/>
          <w:color w:val="auto"/>
          <w:szCs w:val="24"/>
        </w:rPr>
        <w:t>)</w:t>
      </w:r>
      <w:r w:rsidR="00817BC4" w:rsidRPr="00DC76F0">
        <w:rPr>
          <w:rFonts w:asciiTheme="minorHAnsi" w:hAnsiTheme="minorHAnsi"/>
          <w:color w:val="auto"/>
          <w:szCs w:val="24"/>
        </w:rPr>
        <w:t xml:space="preserve"> endoscopic realignment with no sequelae </w:t>
      </w:r>
      <w:r w:rsidR="009468B9" w:rsidRPr="00DC76F0">
        <w:rPr>
          <w:rFonts w:asciiTheme="minorHAnsi" w:hAnsiTheme="minorHAnsi"/>
          <w:color w:val="auto"/>
          <w:szCs w:val="24"/>
        </w:rPr>
        <w:t xml:space="preserve">was </w:t>
      </w:r>
      <w:r w:rsidR="00D71B86" w:rsidRPr="00DC76F0">
        <w:rPr>
          <w:rFonts w:asciiTheme="minorHAnsi" w:hAnsiTheme="minorHAnsi"/>
          <w:color w:val="auto"/>
          <w:szCs w:val="24"/>
        </w:rPr>
        <w:t xml:space="preserve">confirmed by the record and post-separation exams.  This condition was </w:t>
      </w:r>
      <w:r w:rsidR="009468B9" w:rsidRPr="00DC76F0">
        <w:rPr>
          <w:rFonts w:asciiTheme="minorHAnsi" w:hAnsiTheme="minorHAnsi"/>
          <w:color w:val="auto"/>
          <w:szCs w:val="24"/>
        </w:rPr>
        <w:t xml:space="preserve">resolved </w:t>
      </w:r>
      <w:r w:rsidR="00D71B86" w:rsidRPr="00DC76F0">
        <w:rPr>
          <w:rFonts w:asciiTheme="minorHAnsi" w:hAnsiTheme="minorHAnsi"/>
          <w:color w:val="auto"/>
          <w:szCs w:val="24"/>
        </w:rPr>
        <w:t xml:space="preserve">without residual disability </w:t>
      </w:r>
      <w:r w:rsidR="009468B9" w:rsidRPr="00DC76F0">
        <w:rPr>
          <w:rFonts w:asciiTheme="minorHAnsi" w:hAnsiTheme="minorHAnsi"/>
          <w:color w:val="auto"/>
          <w:szCs w:val="24"/>
        </w:rPr>
        <w:t xml:space="preserve">and did and was appropriately indicated as </w:t>
      </w:r>
      <w:r w:rsidR="00D71B86" w:rsidRPr="00DC76F0">
        <w:rPr>
          <w:rFonts w:asciiTheme="minorHAnsi" w:hAnsiTheme="minorHAnsi"/>
          <w:color w:val="auto"/>
          <w:szCs w:val="24"/>
        </w:rPr>
        <w:t>not unfitting (</w:t>
      </w:r>
      <w:r w:rsidR="00817BC4">
        <w:rPr>
          <w:rFonts w:asciiTheme="minorHAnsi" w:hAnsiTheme="minorHAnsi"/>
          <w:color w:val="auto"/>
          <w:szCs w:val="24"/>
        </w:rPr>
        <w:t>c</w:t>
      </w:r>
      <w:r w:rsidR="009468B9" w:rsidRPr="00DC76F0">
        <w:rPr>
          <w:rFonts w:asciiTheme="minorHAnsi" w:hAnsiTheme="minorHAnsi"/>
          <w:color w:val="auto"/>
          <w:szCs w:val="24"/>
        </w:rPr>
        <w:t>ategory III</w:t>
      </w:r>
      <w:r w:rsidR="00D71B86" w:rsidRPr="00DC76F0">
        <w:rPr>
          <w:rFonts w:asciiTheme="minorHAnsi" w:hAnsiTheme="minorHAnsi"/>
          <w:color w:val="auto"/>
          <w:szCs w:val="24"/>
        </w:rPr>
        <w:t>)</w:t>
      </w:r>
      <w:r w:rsidR="009468B9" w:rsidRPr="00DC76F0">
        <w:rPr>
          <w:rFonts w:asciiTheme="minorHAnsi" w:hAnsiTheme="minorHAnsi"/>
          <w:color w:val="auto"/>
          <w:szCs w:val="24"/>
        </w:rPr>
        <w:t xml:space="preserve"> by the PEB.</w:t>
      </w:r>
      <w:r w:rsidR="00C9602D" w:rsidRPr="00DC76F0">
        <w:rPr>
          <w:rFonts w:asciiTheme="minorHAnsi" w:hAnsiTheme="minorHAnsi"/>
          <w:color w:val="auto"/>
          <w:szCs w:val="24"/>
        </w:rPr>
        <w:t xml:space="preserve"> The </w:t>
      </w:r>
      <w:r w:rsidR="00817BC4" w:rsidRPr="00DC76F0">
        <w:rPr>
          <w:rFonts w:asciiTheme="minorHAnsi" w:hAnsiTheme="minorHAnsi"/>
          <w:color w:val="auto"/>
          <w:szCs w:val="24"/>
        </w:rPr>
        <w:t xml:space="preserve">panic disorder without agoraphobia </w:t>
      </w:r>
      <w:r w:rsidR="00C9602D" w:rsidRPr="00DC76F0">
        <w:rPr>
          <w:rFonts w:asciiTheme="minorHAnsi" w:hAnsiTheme="minorHAnsi"/>
          <w:color w:val="auto"/>
          <w:szCs w:val="24"/>
        </w:rPr>
        <w:t>was discussed with consideration of pre</w:t>
      </w:r>
      <w:r w:rsidR="00817BC4">
        <w:rPr>
          <w:rFonts w:asciiTheme="minorHAnsi" w:hAnsiTheme="minorHAnsi"/>
          <w:color w:val="auto"/>
          <w:szCs w:val="24"/>
        </w:rPr>
        <w:t>-</w:t>
      </w:r>
      <w:r w:rsidR="00C9602D" w:rsidRPr="00DC76F0">
        <w:rPr>
          <w:rFonts w:asciiTheme="minorHAnsi" w:hAnsiTheme="minorHAnsi"/>
          <w:color w:val="auto"/>
          <w:szCs w:val="24"/>
        </w:rPr>
        <w:t xml:space="preserve"> and post</w:t>
      </w:r>
      <w:r w:rsidR="00817BC4">
        <w:rPr>
          <w:rFonts w:asciiTheme="minorHAnsi" w:hAnsiTheme="minorHAnsi"/>
          <w:color w:val="auto"/>
          <w:szCs w:val="24"/>
        </w:rPr>
        <w:t>-</w:t>
      </w:r>
      <w:r w:rsidR="00C9602D" w:rsidRPr="00DC76F0">
        <w:rPr>
          <w:rFonts w:asciiTheme="minorHAnsi" w:hAnsiTheme="minorHAnsi"/>
          <w:color w:val="auto"/>
          <w:szCs w:val="24"/>
        </w:rPr>
        <w:t xml:space="preserve">separation exams and VA ratings.  The PEB </w:t>
      </w:r>
      <w:r w:rsidR="00817BC4">
        <w:rPr>
          <w:rFonts w:asciiTheme="minorHAnsi" w:hAnsiTheme="minorHAnsi"/>
          <w:color w:val="auto"/>
          <w:szCs w:val="24"/>
        </w:rPr>
        <w:t>p</w:t>
      </w:r>
      <w:r w:rsidR="00C9602D" w:rsidRPr="00DC76F0">
        <w:rPr>
          <w:rFonts w:asciiTheme="minorHAnsi" w:hAnsiTheme="minorHAnsi"/>
          <w:color w:val="auto"/>
          <w:szCs w:val="24"/>
        </w:rPr>
        <w:t>sychiatrist documented that the condition “</w:t>
      </w:r>
      <w:r w:rsidR="00817BC4">
        <w:rPr>
          <w:rFonts w:asciiTheme="minorHAnsi" w:hAnsiTheme="minorHAnsi"/>
          <w:color w:val="auto"/>
          <w:szCs w:val="24"/>
        </w:rPr>
        <w:t>did not exist prior to entrance</w:t>
      </w:r>
      <w:r w:rsidR="00C9602D" w:rsidRPr="00DC76F0">
        <w:rPr>
          <w:rFonts w:asciiTheme="minorHAnsi" w:hAnsiTheme="minorHAnsi"/>
          <w:color w:val="auto"/>
          <w:szCs w:val="24"/>
        </w:rPr>
        <w:t>, not unfitting for duty</w:t>
      </w:r>
      <w:r w:rsidR="00817BC4">
        <w:rPr>
          <w:rFonts w:asciiTheme="minorHAnsi" w:hAnsiTheme="minorHAnsi"/>
          <w:color w:val="auto"/>
          <w:szCs w:val="24"/>
        </w:rPr>
        <w:t>.</w:t>
      </w:r>
      <w:r w:rsidR="00C9602D" w:rsidRPr="00DC76F0">
        <w:rPr>
          <w:rFonts w:asciiTheme="minorHAnsi" w:hAnsiTheme="minorHAnsi"/>
          <w:color w:val="auto"/>
          <w:szCs w:val="24"/>
        </w:rPr>
        <w:t xml:space="preserve">”  The </w:t>
      </w:r>
      <w:r w:rsidR="00817BC4" w:rsidRPr="00DC76F0">
        <w:rPr>
          <w:rFonts w:asciiTheme="minorHAnsi" w:hAnsiTheme="minorHAnsi"/>
          <w:color w:val="auto"/>
          <w:szCs w:val="24"/>
        </w:rPr>
        <w:t xml:space="preserve">panic disorder </w:t>
      </w:r>
      <w:r w:rsidR="00C9602D" w:rsidRPr="00DC76F0">
        <w:rPr>
          <w:rFonts w:asciiTheme="minorHAnsi" w:hAnsiTheme="minorHAnsi"/>
          <w:color w:val="auto"/>
          <w:szCs w:val="24"/>
        </w:rPr>
        <w:t xml:space="preserve">is a condition not constituting a physical disability and is not compensable or ratable, and was appropriately indicated as </w:t>
      </w:r>
      <w:r w:rsidR="00817BC4">
        <w:rPr>
          <w:rFonts w:asciiTheme="minorHAnsi" w:hAnsiTheme="minorHAnsi"/>
          <w:color w:val="auto"/>
          <w:szCs w:val="24"/>
        </w:rPr>
        <w:t>c</w:t>
      </w:r>
      <w:r w:rsidR="00C9602D" w:rsidRPr="00DC76F0">
        <w:rPr>
          <w:rFonts w:asciiTheme="minorHAnsi" w:hAnsiTheme="minorHAnsi"/>
          <w:color w:val="auto"/>
          <w:szCs w:val="24"/>
        </w:rPr>
        <w:t xml:space="preserve">ategory III by the PEB. </w:t>
      </w:r>
      <w:r w:rsidR="009468B9" w:rsidRPr="00DC76F0">
        <w:rPr>
          <w:rFonts w:asciiTheme="minorHAnsi" w:hAnsiTheme="minorHAnsi"/>
          <w:color w:val="auto"/>
          <w:szCs w:val="24"/>
        </w:rPr>
        <w:t xml:space="preserve"> </w:t>
      </w:r>
      <w:r w:rsidR="00D71B86" w:rsidRPr="00DC76F0">
        <w:rPr>
          <w:rFonts w:asciiTheme="minorHAnsi" w:hAnsiTheme="minorHAnsi"/>
          <w:color w:val="auto"/>
          <w:szCs w:val="24"/>
        </w:rPr>
        <w:t xml:space="preserve">Additionally, </w:t>
      </w:r>
      <w:r w:rsidR="00817BC4" w:rsidRPr="00DC76F0">
        <w:rPr>
          <w:rFonts w:asciiTheme="minorHAnsi" w:hAnsiTheme="minorHAnsi"/>
          <w:color w:val="auto"/>
          <w:szCs w:val="24"/>
        </w:rPr>
        <w:t xml:space="preserve">panic disorder </w:t>
      </w:r>
      <w:r w:rsidR="00C23378" w:rsidRPr="00DC76F0">
        <w:rPr>
          <w:rFonts w:asciiTheme="minorHAnsi" w:hAnsiTheme="minorHAnsi"/>
          <w:color w:val="auto"/>
          <w:szCs w:val="24"/>
        </w:rPr>
        <w:t>is a condition not constituting a physical disability and is not compensable or ratable</w:t>
      </w:r>
      <w:r w:rsidR="00D71B86" w:rsidRPr="00DC76F0">
        <w:rPr>
          <w:rFonts w:asciiTheme="minorHAnsi" w:hAnsiTheme="minorHAnsi"/>
          <w:color w:val="auto"/>
          <w:szCs w:val="24"/>
        </w:rPr>
        <w:t xml:space="preserve">; it was therefore </w:t>
      </w:r>
      <w:r w:rsidR="00C23378" w:rsidRPr="00DC76F0">
        <w:rPr>
          <w:rFonts w:asciiTheme="minorHAnsi" w:hAnsiTheme="minorHAnsi"/>
          <w:color w:val="auto"/>
          <w:szCs w:val="24"/>
        </w:rPr>
        <w:t xml:space="preserve">appropriately indicated as </w:t>
      </w:r>
      <w:r w:rsidR="00D71B86" w:rsidRPr="00DC76F0">
        <w:rPr>
          <w:rFonts w:asciiTheme="minorHAnsi" w:hAnsiTheme="minorHAnsi"/>
          <w:color w:val="auto"/>
          <w:szCs w:val="24"/>
        </w:rPr>
        <w:t>not unfitting and not ratable</w:t>
      </w:r>
      <w:r w:rsidR="00C23378" w:rsidRPr="00DC76F0">
        <w:rPr>
          <w:rFonts w:asciiTheme="minorHAnsi" w:hAnsiTheme="minorHAnsi"/>
          <w:color w:val="auto"/>
          <w:szCs w:val="24"/>
        </w:rPr>
        <w:t xml:space="preserve"> by the PEB.  </w:t>
      </w:r>
      <w:r w:rsidR="00C52CC8" w:rsidRPr="00DC76F0">
        <w:rPr>
          <w:rFonts w:asciiTheme="minorHAnsi" w:hAnsiTheme="minorHAnsi"/>
          <w:color w:val="auto"/>
          <w:szCs w:val="24"/>
        </w:rPr>
        <w:t>All evidence considered</w:t>
      </w:r>
      <w:proofErr w:type="gramStart"/>
      <w:r w:rsidR="00C52CC8" w:rsidRPr="00DC76F0">
        <w:rPr>
          <w:rFonts w:asciiTheme="minorHAnsi" w:hAnsiTheme="minorHAnsi"/>
          <w:color w:val="auto"/>
          <w:szCs w:val="24"/>
        </w:rPr>
        <w:t>,</w:t>
      </w:r>
      <w:proofErr w:type="gramEnd"/>
      <w:r w:rsidR="00C52CC8" w:rsidRPr="00DC76F0">
        <w:rPr>
          <w:rFonts w:asciiTheme="minorHAnsi" w:hAnsiTheme="minorHAnsi"/>
          <w:color w:val="auto"/>
          <w:szCs w:val="24"/>
        </w:rPr>
        <w:t xml:space="preserve"> there is not reasonable doubt in the CI’s favor supporting recharacterization of the PEB fitness adjudication for the </w:t>
      </w:r>
      <w:r w:rsidR="00817BC4" w:rsidRPr="00DC76F0">
        <w:rPr>
          <w:rFonts w:asciiTheme="minorHAnsi" w:hAnsiTheme="minorHAnsi"/>
          <w:color w:val="auto"/>
          <w:szCs w:val="24"/>
        </w:rPr>
        <w:t>traumatic urethral disruption resolved or panic disorder conditions.</w:t>
      </w:r>
    </w:p>
    <w:p w:rsidR="00D71B86" w:rsidRPr="00DC76F0" w:rsidRDefault="00D71B86" w:rsidP="00F46D3F">
      <w:pPr>
        <w:tabs>
          <w:tab w:val="left" w:pos="288"/>
          <w:tab w:val="left" w:pos="4752"/>
        </w:tabs>
        <w:spacing w:line="240" w:lineRule="exact"/>
        <w:jc w:val="both"/>
        <w:rPr>
          <w:rFonts w:asciiTheme="minorHAnsi" w:hAnsiTheme="minorHAnsi"/>
          <w:color w:val="auto"/>
          <w:szCs w:val="24"/>
        </w:rPr>
      </w:pPr>
    </w:p>
    <w:p w:rsidR="00334616" w:rsidRPr="00DC76F0" w:rsidRDefault="00334616" w:rsidP="00F46D3F">
      <w:pPr>
        <w:pStyle w:val="PlainText"/>
        <w:tabs>
          <w:tab w:val="left" w:pos="720"/>
          <w:tab w:val="left" w:pos="1080"/>
          <w:tab w:val="left" w:pos="1350"/>
          <w:tab w:val="left" w:pos="1620"/>
          <w:tab w:val="right" w:leader="dot" w:pos="9180"/>
        </w:tabs>
        <w:spacing w:line="240" w:lineRule="exact"/>
        <w:jc w:val="both"/>
        <w:rPr>
          <w:rFonts w:asciiTheme="minorHAnsi" w:hAnsiTheme="minorHAnsi"/>
          <w:sz w:val="24"/>
          <w:szCs w:val="24"/>
        </w:rPr>
      </w:pPr>
      <w:r w:rsidRPr="00DC76F0">
        <w:rPr>
          <w:rFonts w:asciiTheme="minorHAnsi" w:hAnsiTheme="minorHAnsi"/>
          <w:sz w:val="24"/>
          <w:szCs w:val="24"/>
          <w:u w:val="single"/>
        </w:rPr>
        <w:t>Other Conditions</w:t>
      </w:r>
      <w:r w:rsidRPr="00DC76F0">
        <w:rPr>
          <w:rFonts w:asciiTheme="minorHAnsi" w:hAnsiTheme="minorHAnsi"/>
          <w:sz w:val="24"/>
          <w:szCs w:val="24"/>
        </w:rPr>
        <w:t xml:space="preserve">:  </w:t>
      </w:r>
      <w:r w:rsidR="00817BC4" w:rsidRPr="00DC76F0">
        <w:rPr>
          <w:rFonts w:asciiTheme="minorHAnsi" w:hAnsiTheme="minorHAnsi"/>
          <w:sz w:val="24"/>
          <w:szCs w:val="24"/>
        </w:rPr>
        <w:t>G</w:t>
      </w:r>
      <w:r w:rsidR="00817BC4">
        <w:rPr>
          <w:rFonts w:asciiTheme="minorHAnsi" w:hAnsiTheme="minorHAnsi"/>
          <w:sz w:val="24"/>
          <w:szCs w:val="24"/>
        </w:rPr>
        <w:t>astroesophageal reflux disease (G</w:t>
      </w:r>
      <w:r w:rsidR="00DA6A04" w:rsidRPr="00DC76F0">
        <w:rPr>
          <w:rFonts w:asciiTheme="minorHAnsi" w:hAnsiTheme="minorHAnsi"/>
          <w:sz w:val="24"/>
          <w:szCs w:val="24"/>
        </w:rPr>
        <w:t>ERD</w:t>
      </w:r>
      <w:r w:rsidR="00817BC4">
        <w:rPr>
          <w:rFonts w:asciiTheme="minorHAnsi" w:hAnsiTheme="minorHAnsi"/>
          <w:sz w:val="24"/>
          <w:szCs w:val="24"/>
        </w:rPr>
        <w:t>)</w:t>
      </w:r>
      <w:r w:rsidR="00DA6A04" w:rsidRPr="00DC76F0">
        <w:rPr>
          <w:rFonts w:asciiTheme="minorHAnsi" w:hAnsiTheme="minorHAnsi"/>
          <w:sz w:val="24"/>
          <w:szCs w:val="24"/>
        </w:rPr>
        <w:t xml:space="preserve"> was mentioned in the Disability Evaluation System (DES) package.  There was no LIMDU or </w:t>
      </w:r>
      <w:r w:rsidR="00817BC4">
        <w:rPr>
          <w:rFonts w:asciiTheme="minorHAnsi" w:hAnsiTheme="minorHAnsi"/>
          <w:sz w:val="24"/>
          <w:szCs w:val="24"/>
        </w:rPr>
        <w:t>commander’s</w:t>
      </w:r>
      <w:r w:rsidR="00DA6A04" w:rsidRPr="00DC76F0">
        <w:rPr>
          <w:rFonts w:asciiTheme="minorHAnsi" w:hAnsiTheme="minorHAnsi"/>
          <w:sz w:val="24"/>
          <w:szCs w:val="24"/>
        </w:rPr>
        <w:t xml:space="preserve"> comment or any other indication of </w:t>
      </w:r>
      <w:r w:rsidR="00C52CC8" w:rsidRPr="00DC76F0">
        <w:rPr>
          <w:rFonts w:asciiTheme="minorHAnsi" w:hAnsiTheme="minorHAnsi"/>
          <w:sz w:val="24"/>
          <w:szCs w:val="24"/>
        </w:rPr>
        <w:t>interference</w:t>
      </w:r>
      <w:r w:rsidR="00DA6A04" w:rsidRPr="00DC76F0">
        <w:rPr>
          <w:rFonts w:asciiTheme="minorHAnsi" w:hAnsiTheme="minorHAnsi"/>
          <w:sz w:val="24"/>
          <w:szCs w:val="24"/>
        </w:rPr>
        <w:t xml:space="preserve"> with duty from this condition.  The VA exam indicated symptoms consistent with GERD</w:t>
      </w:r>
      <w:r w:rsidR="00F51AFD" w:rsidRPr="00DC76F0">
        <w:rPr>
          <w:rFonts w:asciiTheme="minorHAnsi" w:hAnsiTheme="minorHAnsi"/>
          <w:sz w:val="24"/>
          <w:szCs w:val="24"/>
        </w:rPr>
        <w:t>,</w:t>
      </w:r>
      <w:r w:rsidR="00DA6A04" w:rsidRPr="00DC76F0">
        <w:rPr>
          <w:rFonts w:asciiTheme="minorHAnsi" w:hAnsiTheme="minorHAnsi"/>
          <w:sz w:val="24"/>
          <w:szCs w:val="24"/>
        </w:rPr>
        <w:t xml:space="preserve"> but without impairment of </w:t>
      </w:r>
      <w:r w:rsidR="00C52CC8" w:rsidRPr="00DC76F0">
        <w:rPr>
          <w:rFonts w:asciiTheme="minorHAnsi" w:hAnsiTheme="minorHAnsi"/>
          <w:sz w:val="24"/>
          <w:szCs w:val="24"/>
        </w:rPr>
        <w:t>health</w:t>
      </w:r>
      <w:r w:rsidR="00F51AFD" w:rsidRPr="00DC76F0">
        <w:rPr>
          <w:rFonts w:asciiTheme="minorHAnsi" w:hAnsiTheme="minorHAnsi"/>
          <w:sz w:val="24"/>
          <w:szCs w:val="24"/>
        </w:rPr>
        <w:t xml:space="preserve"> and </w:t>
      </w:r>
      <w:r w:rsidR="00DA6A04" w:rsidRPr="00DC76F0">
        <w:rPr>
          <w:rFonts w:asciiTheme="minorHAnsi" w:hAnsiTheme="minorHAnsi"/>
          <w:sz w:val="24"/>
          <w:szCs w:val="24"/>
        </w:rPr>
        <w:t xml:space="preserve">rated this condition </w:t>
      </w:r>
      <w:r w:rsidR="00F51AFD" w:rsidRPr="00DC76F0">
        <w:rPr>
          <w:rFonts w:asciiTheme="minorHAnsi" w:hAnsiTheme="minorHAnsi"/>
          <w:sz w:val="24"/>
          <w:szCs w:val="24"/>
        </w:rPr>
        <w:t xml:space="preserve">at </w:t>
      </w:r>
      <w:r w:rsidR="00DA6A04" w:rsidRPr="00DC76F0">
        <w:rPr>
          <w:rFonts w:asciiTheme="minorHAnsi" w:hAnsiTheme="minorHAnsi"/>
          <w:sz w:val="24"/>
          <w:szCs w:val="24"/>
        </w:rPr>
        <w:t xml:space="preserve">30%.  </w:t>
      </w:r>
      <w:r w:rsidR="00C52CC8" w:rsidRPr="00DC76F0">
        <w:rPr>
          <w:rFonts w:asciiTheme="minorHAnsi" w:hAnsiTheme="minorHAnsi"/>
          <w:sz w:val="24"/>
          <w:szCs w:val="24"/>
        </w:rPr>
        <w:t>All evidence</w:t>
      </w:r>
      <w:r w:rsidR="00DA6A04" w:rsidRPr="00DC76F0">
        <w:rPr>
          <w:rFonts w:asciiTheme="minorHAnsi" w:hAnsiTheme="minorHAnsi"/>
          <w:sz w:val="24"/>
          <w:szCs w:val="24"/>
        </w:rPr>
        <w:t xml:space="preserve"> considered</w:t>
      </w:r>
      <w:proofErr w:type="gramStart"/>
      <w:r w:rsidR="00DA6A04" w:rsidRPr="00DC76F0">
        <w:rPr>
          <w:rFonts w:asciiTheme="minorHAnsi" w:hAnsiTheme="minorHAnsi"/>
          <w:sz w:val="24"/>
          <w:szCs w:val="24"/>
        </w:rPr>
        <w:t>,</w:t>
      </w:r>
      <w:proofErr w:type="gramEnd"/>
      <w:r w:rsidR="00DA6A04" w:rsidRPr="00DC76F0">
        <w:rPr>
          <w:rFonts w:asciiTheme="minorHAnsi" w:hAnsiTheme="minorHAnsi"/>
          <w:sz w:val="24"/>
          <w:szCs w:val="24"/>
        </w:rPr>
        <w:t xml:space="preserve"> there is not reasonable doubt in the CI’s favor supporting addition of any condition as an unfitting condition for </w:t>
      </w:r>
      <w:r w:rsidR="00C52CC8" w:rsidRPr="00DC76F0">
        <w:rPr>
          <w:rFonts w:asciiTheme="minorHAnsi" w:hAnsiTheme="minorHAnsi"/>
          <w:sz w:val="24"/>
          <w:szCs w:val="24"/>
        </w:rPr>
        <w:t>separation</w:t>
      </w:r>
      <w:r w:rsidR="00DA6A04" w:rsidRPr="00DC76F0">
        <w:rPr>
          <w:rFonts w:asciiTheme="minorHAnsi" w:hAnsiTheme="minorHAnsi"/>
          <w:sz w:val="24"/>
          <w:szCs w:val="24"/>
        </w:rPr>
        <w:t xml:space="preserve"> rating.  </w:t>
      </w:r>
    </w:p>
    <w:p w:rsidR="00A90D55" w:rsidRPr="00DC76F0" w:rsidRDefault="008B5D31" w:rsidP="00F46D3F">
      <w:pPr>
        <w:tabs>
          <w:tab w:val="left" w:pos="288"/>
          <w:tab w:val="left" w:pos="4752"/>
        </w:tabs>
        <w:spacing w:line="240" w:lineRule="exact"/>
        <w:jc w:val="both"/>
        <w:rPr>
          <w:rFonts w:asciiTheme="minorHAnsi" w:hAnsiTheme="minorHAnsi"/>
          <w:color w:val="auto"/>
        </w:rPr>
      </w:pPr>
      <w:r w:rsidRPr="00DC76F0">
        <w:rPr>
          <w:rFonts w:asciiTheme="minorHAnsi" w:hAnsiTheme="minorHAnsi"/>
          <w:color w:val="auto"/>
          <w:u w:val="single"/>
        </w:rPr>
        <w:t>_______________________________________________________________</w:t>
      </w:r>
      <w:r w:rsidRPr="00DC76F0">
        <w:rPr>
          <w:rFonts w:asciiTheme="minorHAnsi" w:hAnsiTheme="minorHAnsi"/>
          <w:color w:val="auto"/>
        </w:rPr>
        <w:t>_</w:t>
      </w:r>
      <w:r w:rsidR="00AC713F" w:rsidRPr="00DC76F0">
        <w:rPr>
          <w:rFonts w:asciiTheme="minorHAnsi" w:hAnsiTheme="minorHAnsi"/>
          <w:color w:val="auto"/>
        </w:rPr>
        <w:t>_____________</w:t>
      </w:r>
      <w:r w:rsidR="00C853C5">
        <w:rPr>
          <w:rFonts w:asciiTheme="minorHAnsi" w:hAnsiTheme="minorHAnsi"/>
          <w:color w:val="auto"/>
        </w:rPr>
        <w:t>_</w:t>
      </w:r>
    </w:p>
    <w:p w:rsidR="00A90D55" w:rsidRPr="00DC76F0" w:rsidRDefault="00A90D55" w:rsidP="00F46D3F">
      <w:pPr>
        <w:tabs>
          <w:tab w:val="left" w:pos="288"/>
          <w:tab w:val="left" w:pos="4752"/>
        </w:tabs>
        <w:spacing w:line="240" w:lineRule="exact"/>
        <w:jc w:val="both"/>
        <w:rPr>
          <w:color w:val="auto"/>
        </w:rPr>
      </w:pPr>
    </w:p>
    <w:p w:rsidR="00C56FC8" w:rsidRPr="00DC76F0" w:rsidRDefault="00C56FC8" w:rsidP="00F46D3F">
      <w:pPr>
        <w:spacing w:line="240" w:lineRule="exact"/>
        <w:jc w:val="both"/>
        <w:rPr>
          <w:rFonts w:asciiTheme="minorHAnsi" w:eastAsiaTheme="minorHAnsi" w:hAnsiTheme="minorHAnsi"/>
          <w:color w:val="auto"/>
          <w:szCs w:val="24"/>
        </w:rPr>
      </w:pPr>
      <w:r w:rsidRPr="00DC76F0">
        <w:rPr>
          <w:rFonts w:asciiTheme="minorHAnsi" w:hAnsiTheme="minorHAnsi"/>
          <w:color w:val="auto"/>
          <w:szCs w:val="24"/>
          <w:u w:val="single"/>
        </w:rPr>
        <w:t>BOARD FINDINGS</w:t>
      </w:r>
      <w:r w:rsidRPr="00DC76F0">
        <w:rPr>
          <w:rFonts w:asciiTheme="minorHAnsi" w:hAnsiTheme="minorHAnsi"/>
          <w:color w:val="auto"/>
          <w:szCs w:val="24"/>
        </w:rPr>
        <w:t>:</w:t>
      </w:r>
      <w:r w:rsidRPr="00DC76F0">
        <w:rPr>
          <w:rFonts w:asciiTheme="minorHAnsi" w:eastAsiaTheme="minorHAnsi" w:hAnsiTheme="minorHAnsi"/>
          <w:color w:val="auto"/>
          <w:szCs w:val="24"/>
        </w:rPr>
        <w:t xml:space="preserve">  IAW DoDI 6040.44, provisions of DoD or Military Department regulations or guidelines relied upon by the PEB will not be considered by the Board to the extent they were inconsistent with the VASRD in effect at the time of the adjudication. </w:t>
      </w:r>
      <w:r w:rsidR="001D68CF" w:rsidRPr="00DC76F0">
        <w:rPr>
          <w:rFonts w:asciiTheme="minorHAnsi" w:eastAsiaTheme="minorHAnsi" w:hAnsiTheme="minorHAnsi"/>
          <w:color w:val="auto"/>
          <w:szCs w:val="24"/>
        </w:rPr>
        <w:t xml:space="preserve"> </w:t>
      </w:r>
      <w:r w:rsidR="00DA6A04" w:rsidRPr="00DC76F0">
        <w:rPr>
          <w:rFonts w:asciiTheme="minorHAnsi" w:eastAsiaTheme="minorHAnsi" w:hAnsiTheme="minorHAnsi"/>
          <w:color w:val="auto"/>
          <w:szCs w:val="24"/>
        </w:rPr>
        <w:t xml:space="preserve">In the matter of </w:t>
      </w:r>
      <w:r w:rsidR="00817BC4" w:rsidRPr="00DC76F0">
        <w:rPr>
          <w:rFonts w:asciiTheme="minorHAnsi" w:eastAsiaTheme="minorHAnsi" w:hAnsiTheme="minorHAnsi"/>
          <w:color w:val="auto"/>
          <w:szCs w:val="24"/>
        </w:rPr>
        <w:t xml:space="preserve">the </w:t>
      </w:r>
      <w:r w:rsidR="00817BC4" w:rsidRPr="00DC76F0">
        <w:rPr>
          <w:rFonts w:asciiTheme="minorHAnsi" w:hAnsiTheme="minorHAnsi"/>
          <w:color w:val="auto"/>
          <w:szCs w:val="24"/>
        </w:rPr>
        <w:t xml:space="preserve">left hip </w:t>
      </w:r>
      <w:r w:rsidR="00817BC4">
        <w:rPr>
          <w:rFonts w:asciiTheme="minorHAnsi" w:hAnsiTheme="minorHAnsi"/>
          <w:color w:val="auto"/>
          <w:szCs w:val="24"/>
        </w:rPr>
        <w:t>condition</w:t>
      </w:r>
      <w:r w:rsidR="00817BC4" w:rsidRPr="00DC76F0">
        <w:rPr>
          <w:rFonts w:asciiTheme="minorHAnsi" w:hAnsiTheme="minorHAnsi"/>
          <w:color w:val="auto"/>
          <w:szCs w:val="24"/>
        </w:rPr>
        <w:t xml:space="preserve">, the </w:t>
      </w:r>
      <w:r w:rsidR="00952E1E">
        <w:rPr>
          <w:rFonts w:asciiTheme="minorHAnsi" w:hAnsiTheme="minorHAnsi"/>
          <w:color w:val="auto"/>
          <w:szCs w:val="24"/>
        </w:rPr>
        <w:t>B</w:t>
      </w:r>
      <w:r w:rsidR="00817BC4" w:rsidRPr="00DC76F0">
        <w:rPr>
          <w:rFonts w:asciiTheme="minorHAnsi" w:hAnsiTheme="minorHAnsi"/>
          <w:color w:val="auto"/>
          <w:szCs w:val="24"/>
        </w:rPr>
        <w:t xml:space="preserve">oard unanimously agrees that it </w:t>
      </w:r>
      <w:r w:rsidR="00817BC4" w:rsidRPr="00DC76F0">
        <w:rPr>
          <w:rFonts w:asciiTheme="minorHAnsi" w:eastAsiaTheme="minorHAnsi" w:hAnsiTheme="minorHAnsi"/>
          <w:color w:val="auto"/>
          <w:szCs w:val="24"/>
        </w:rPr>
        <w:t xml:space="preserve">recommends no change in the </w:t>
      </w:r>
      <w:r w:rsidR="00952E1E">
        <w:rPr>
          <w:rFonts w:asciiTheme="minorHAnsi" w:eastAsiaTheme="minorHAnsi" w:hAnsiTheme="minorHAnsi"/>
          <w:color w:val="auto"/>
          <w:szCs w:val="24"/>
        </w:rPr>
        <w:t>PEB</w:t>
      </w:r>
      <w:r w:rsidR="00817BC4" w:rsidRPr="00DC76F0">
        <w:rPr>
          <w:rFonts w:asciiTheme="minorHAnsi" w:eastAsiaTheme="minorHAnsi" w:hAnsiTheme="minorHAnsi"/>
          <w:color w:val="auto"/>
          <w:szCs w:val="24"/>
        </w:rPr>
        <w:t xml:space="preserve"> </w:t>
      </w:r>
      <w:r w:rsidR="004E07C5" w:rsidRPr="00DC76F0">
        <w:rPr>
          <w:rFonts w:asciiTheme="minorHAnsi" w:eastAsiaTheme="minorHAnsi" w:hAnsiTheme="minorHAnsi"/>
          <w:color w:val="auto"/>
          <w:szCs w:val="24"/>
        </w:rPr>
        <w:t xml:space="preserve">adjudication.  In the matter of </w:t>
      </w:r>
      <w:r w:rsidR="00817BC4" w:rsidRPr="00DC76F0">
        <w:rPr>
          <w:rFonts w:asciiTheme="minorHAnsi" w:eastAsiaTheme="minorHAnsi" w:hAnsiTheme="minorHAnsi"/>
          <w:color w:val="auto"/>
          <w:szCs w:val="24"/>
        </w:rPr>
        <w:t xml:space="preserve">the </w:t>
      </w:r>
      <w:r w:rsidR="00817BC4" w:rsidRPr="00DC76F0">
        <w:rPr>
          <w:rFonts w:asciiTheme="minorHAnsi" w:hAnsiTheme="minorHAnsi"/>
          <w:color w:val="auto"/>
          <w:szCs w:val="24"/>
        </w:rPr>
        <w:t>pelvic f</w:t>
      </w:r>
      <w:r w:rsidR="00817BC4">
        <w:rPr>
          <w:rFonts w:asciiTheme="minorHAnsi" w:hAnsiTheme="minorHAnsi"/>
          <w:color w:val="auto"/>
          <w:szCs w:val="24"/>
        </w:rPr>
        <w:t xml:space="preserve">racture </w:t>
      </w:r>
      <w:r w:rsidR="00A8476B">
        <w:rPr>
          <w:rFonts w:asciiTheme="minorHAnsi" w:hAnsiTheme="minorHAnsi"/>
          <w:color w:val="auto"/>
          <w:szCs w:val="24"/>
        </w:rPr>
        <w:t xml:space="preserve">condition </w:t>
      </w:r>
      <w:r w:rsidR="004E07C5" w:rsidRPr="00DC76F0">
        <w:rPr>
          <w:rFonts w:asciiTheme="minorHAnsi" w:hAnsiTheme="minorHAnsi"/>
          <w:color w:val="auto"/>
          <w:szCs w:val="24"/>
        </w:rPr>
        <w:t xml:space="preserve">the Board </w:t>
      </w:r>
      <w:r w:rsidR="00DC76F0" w:rsidRPr="00DC76F0">
        <w:rPr>
          <w:rFonts w:asciiTheme="minorHAnsi" w:hAnsiTheme="minorHAnsi"/>
          <w:color w:val="auto"/>
          <w:szCs w:val="24"/>
        </w:rPr>
        <w:t xml:space="preserve">by a vote of 2:1 </w:t>
      </w:r>
      <w:r w:rsidR="004E07C5" w:rsidRPr="00DC76F0">
        <w:rPr>
          <w:rFonts w:asciiTheme="minorHAnsi" w:hAnsiTheme="minorHAnsi"/>
          <w:color w:val="auto"/>
          <w:szCs w:val="24"/>
        </w:rPr>
        <w:t xml:space="preserve">recommends rating of 5299-5236 at 20%. </w:t>
      </w:r>
      <w:r w:rsidR="00A8476B">
        <w:rPr>
          <w:rFonts w:asciiTheme="minorHAnsi" w:hAnsiTheme="minorHAnsi"/>
          <w:color w:val="auto"/>
          <w:szCs w:val="24"/>
        </w:rPr>
        <w:t xml:space="preserve"> </w:t>
      </w:r>
      <w:r w:rsidR="00DC76F0" w:rsidRPr="00DC76F0">
        <w:rPr>
          <w:rFonts w:asciiTheme="minorHAnsi" w:hAnsiTheme="minorHAnsi"/>
          <w:color w:val="auto"/>
          <w:szCs w:val="24"/>
        </w:rPr>
        <w:t xml:space="preserve">The single voter for dissent (who </w:t>
      </w:r>
      <w:r w:rsidR="00EF7DC3" w:rsidRPr="00DC76F0">
        <w:rPr>
          <w:rFonts w:asciiTheme="minorHAnsi" w:hAnsiTheme="minorHAnsi"/>
          <w:color w:val="auto"/>
          <w:szCs w:val="24"/>
        </w:rPr>
        <w:t xml:space="preserve">recommended 5299-5236 </w:t>
      </w:r>
      <w:r w:rsidR="00EF7DC3">
        <w:rPr>
          <w:rFonts w:asciiTheme="minorHAnsi" w:hAnsiTheme="minorHAnsi"/>
          <w:color w:val="auto"/>
          <w:szCs w:val="24"/>
        </w:rPr>
        <w:t xml:space="preserve">at </w:t>
      </w:r>
      <w:r w:rsidR="00EF7DC3" w:rsidRPr="00DC76F0">
        <w:rPr>
          <w:rFonts w:asciiTheme="minorHAnsi" w:hAnsiTheme="minorHAnsi"/>
          <w:color w:val="auto"/>
          <w:szCs w:val="24"/>
        </w:rPr>
        <w:t>10</w:t>
      </w:r>
      <w:r w:rsidR="00DC76F0" w:rsidRPr="00DC76F0">
        <w:rPr>
          <w:rFonts w:asciiTheme="minorHAnsi" w:hAnsiTheme="minorHAnsi"/>
          <w:color w:val="auto"/>
          <w:szCs w:val="24"/>
        </w:rPr>
        <w:t>%</w:t>
      </w:r>
      <w:r w:rsidR="00EF7DC3">
        <w:rPr>
          <w:rFonts w:asciiTheme="minorHAnsi" w:hAnsiTheme="minorHAnsi"/>
          <w:color w:val="auto"/>
          <w:szCs w:val="24"/>
        </w:rPr>
        <w:t xml:space="preserve"> [no recharacterization]</w:t>
      </w:r>
      <w:r w:rsidR="00DC76F0" w:rsidRPr="00DC76F0">
        <w:rPr>
          <w:rFonts w:asciiTheme="minorHAnsi" w:hAnsiTheme="minorHAnsi"/>
          <w:color w:val="auto"/>
          <w:szCs w:val="24"/>
        </w:rPr>
        <w:t xml:space="preserve">) submitted the </w:t>
      </w:r>
      <w:proofErr w:type="spellStart"/>
      <w:r w:rsidR="00DC76F0" w:rsidRPr="00DC76F0">
        <w:rPr>
          <w:rFonts w:asciiTheme="minorHAnsi" w:hAnsiTheme="minorHAnsi"/>
          <w:color w:val="auto"/>
          <w:szCs w:val="24"/>
        </w:rPr>
        <w:t>addended</w:t>
      </w:r>
      <w:proofErr w:type="spellEnd"/>
      <w:r w:rsidR="00DC76F0" w:rsidRPr="00DC76F0">
        <w:rPr>
          <w:rFonts w:asciiTheme="minorHAnsi" w:hAnsiTheme="minorHAnsi"/>
          <w:color w:val="auto"/>
          <w:szCs w:val="24"/>
        </w:rPr>
        <w:t xml:space="preserve"> minority opinion.</w:t>
      </w:r>
      <w:r w:rsidR="00A8476B">
        <w:rPr>
          <w:rFonts w:asciiTheme="minorHAnsi" w:hAnsiTheme="minorHAnsi"/>
          <w:color w:val="auto"/>
          <w:szCs w:val="24"/>
        </w:rPr>
        <w:t xml:space="preserve">  </w:t>
      </w:r>
      <w:r w:rsidR="004E07C5" w:rsidRPr="00DC76F0">
        <w:rPr>
          <w:rFonts w:asciiTheme="minorHAnsi" w:hAnsiTheme="minorHAnsi"/>
          <w:color w:val="auto"/>
          <w:szCs w:val="24"/>
        </w:rPr>
        <w:t xml:space="preserve">In the matter of </w:t>
      </w:r>
      <w:r w:rsidR="00817BC4" w:rsidRPr="00DC76F0">
        <w:rPr>
          <w:rFonts w:asciiTheme="minorHAnsi" w:hAnsiTheme="minorHAnsi"/>
          <w:color w:val="auto"/>
          <w:szCs w:val="24"/>
        </w:rPr>
        <w:t>traumatic urethral disruption resolved s/p endoscopic realignment with no sequelae and panic disorder without agoraphobia conditions</w:t>
      </w:r>
      <w:r w:rsidR="004E07C5" w:rsidRPr="00DC76F0">
        <w:rPr>
          <w:rFonts w:asciiTheme="minorHAnsi" w:hAnsiTheme="minorHAnsi"/>
          <w:color w:val="auto"/>
          <w:szCs w:val="24"/>
        </w:rPr>
        <w:t>, the Board unanimously recommends no recharacterization of the PEB adjudications as not unfitting (</w:t>
      </w:r>
      <w:r w:rsidR="00817BC4">
        <w:rPr>
          <w:rFonts w:asciiTheme="minorHAnsi" w:hAnsiTheme="minorHAnsi"/>
          <w:color w:val="auto"/>
          <w:szCs w:val="24"/>
        </w:rPr>
        <w:t>c</w:t>
      </w:r>
      <w:r w:rsidR="004E07C5" w:rsidRPr="00DC76F0">
        <w:rPr>
          <w:rFonts w:asciiTheme="minorHAnsi" w:hAnsiTheme="minorHAnsi"/>
          <w:color w:val="auto"/>
          <w:szCs w:val="24"/>
        </w:rPr>
        <w:t>ategory</w:t>
      </w:r>
      <w:r w:rsidR="00F51AFD" w:rsidRPr="00DC76F0">
        <w:rPr>
          <w:rFonts w:asciiTheme="minorHAnsi" w:hAnsiTheme="minorHAnsi"/>
          <w:color w:val="auto"/>
          <w:szCs w:val="24"/>
        </w:rPr>
        <w:t xml:space="preserve"> </w:t>
      </w:r>
      <w:r w:rsidR="004E07C5" w:rsidRPr="00DC76F0">
        <w:rPr>
          <w:rFonts w:asciiTheme="minorHAnsi" w:hAnsiTheme="minorHAnsi"/>
          <w:color w:val="auto"/>
          <w:szCs w:val="24"/>
        </w:rPr>
        <w:t>III).  In the matter of the GERD condition</w:t>
      </w:r>
      <w:r w:rsidR="00F51AFD" w:rsidRPr="00DC76F0">
        <w:rPr>
          <w:rFonts w:asciiTheme="minorHAnsi" w:hAnsiTheme="minorHAnsi"/>
          <w:color w:val="auto"/>
          <w:szCs w:val="24"/>
        </w:rPr>
        <w:t>,</w:t>
      </w:r>
      <w:r w:rsidR="004E07C5" w:rsidRPr="00DC76F0">
        <w:rPr>
          <w:rFonts w:asciiTheme="minorHAnsi" w:hAnsiTheme="minorHAnsi"/>
          <w:color w:val="auto"/>
          <w:szCs w:val="24"/>
        </w:rPr>
        <w:t xml:space="preserve"> or any other medical </w:t>
      </w:r>
      <w:r w:rsidR="00C52CC8" w:rsidRPr="00DC76F0">
        <w:rPr>
          <w:rFonts w:asciiTheme="minorHAnsi" w:hAnsiTheme="minorHAnsi"/>
          <w:color w:val="auto"/>
          <w:szCs w:val="24"/>
        </w:rPr>
        <w:t>conditions</w:t>
      </w:r>
      <w:r w:rsidR="004E07C5" w:rsidRPr="00DC76F0">
        <w:rPr>
          <w:rFonts w:asciiTheme="minorHAnsi" w:hAnsiTheme="minorHAnsi"/>
          <w:color w:val="auto"/>
          <w:szCs w:val="24"/>
        </w:rPr>
        <w:t xml:space="preserve"> eligible for Board consideration, the Board unanimously agrees that it cannot recommend any findings of unfit for additional rating at separation.</w:t>
      </w:r>
    </w:p>
    <w:p w:rsidR="00FB593A" w:rsidRPr="00DC76F0" w:rsidRDefault="008B5D31" w:rsidP="00F46D3F">
      <w:pPr>
        <w:tabs>
          <w:tab w:val="left" w:pos="288"/>
          <w:tab w:val="left" w:pos="4752"/>
        </w:tabs>
        <w:spacing w:line="240" w:lineRule="exact"/>
        <w:jc w:val="both"/>
        <w:rPr>
          <w:rFonts w:asciiTheme="minorHAnsi" w:hAnsiTheme="minorHAnsi"/>
          <w:color w:val="auto"/>
        </w:rPr>
      </w:pPr>
      <w:r w:rsidRPr="00DC76F0">
        <w:rPr>
          <w:rFonts w:asciiTheme="minorHAnsi" w:hAnsiTheme="minorHAnsi"/>
          <w:color w:val="auto"/>
          <w:u w:val="single"/>
        </w:rPr>
        <w:t>_______________________________________________________________</w:t>
      </w:r>
      <w:r w:rsidRPr="00DC76F0">
        <w:rPr>
          <w:rFonts w:asciiTheme="minorHAnsi" w:hAnsiTheme="minorHAnsi"/>
          <w:color w:val="auto"/>
        </w:rPr>
        <w:t>_</w:t>
      </w:r>
      <w:r w:rsidR="00AC713F" w:rsidRPr="00DC76F0">
        <w:rPr>
          <w:rFonts w:asciiTheme="minorHAnsi" w:hAnsiTheme="minorHAnsi"/>
          <w:color w:val="auto"/>
        </w:rPr>
        <w:t>_____________</w:t>
      </w:r>
      <w:r w:rsidR="00C853C5">
        <w:rPr>
          <w:rFonts w:asciiTheme="minorHAnsi" w:hAnsiTheme="minorHAnsi"/>
          <w:color w:val="auto"/>
        </w:rPr>
        <w:t>_</w:t>
      </w:r>
    </w:p>
    <w:p w:rsidR="00FB593A" w:rsidRPr="00DC76F0" w:rsidRDefault="00FB593A" w:rsidP="0023675C">
      <w:pPr>
        <w:tabs>
          <w:tab w:val="left" w:pos="288"/>
          <w:tab w:val="left" w:pos="4752"/>
        </w:tabs>
        <w:spacing w:line="240" w:lineRule="exact"/>
        <w:jc w:val="both"/>
        <w:rPr>
          <w:color w:val="auto"/>
        </w:rPr>
      </w:pPr>
    </w:p>
    <w:p w:rsidR="00C56FC8" w:rsidRPr="00DC76F0" w:rsidRDefault="00C56FC8" w:rsidP="0023675C">
      <w:pPr>
        <w:tabs>
          <w:tab w:val="left" w:pos="288"/>
          <w:tab w:val="left" w:pos="4752"/>
        </w:tabs>
        <w:spacing w:line="240" w:lineRule="exact"/>
        <w:jc w:val="both"/>
        <w:rPr>
          <w:rFonts w:asciiTheme="minorHAnsi" w:hAnsiTheme="minorHAnsi"/>
          <w:color w:val="auto"/>
          <w:szCs w:val="24"/>
        </w:rPr>
      </w:pPr>
      <w:r w:rsidRPr="00DC76F0">
        <w:rPr>
          <w:rFonts w:asciiTheme="minorHAnsi" w:hAnsiTheme="minorHAnsi"/>
          <w:color w:val="auto"/>
          <w:szCs w:val="24"/>
          <w:u w:val="single"/>
        </w:rPr>
        <w:t>RECOMMENDATION</w:t>
      </w:r>
      <w:r w:rsidRPr="00DC76F0">
        <w:rPr>
          <w:rFonts w:asciiTheme="minorHAnsi" w:hAnsiTheme="minorHAnsi"/>
          <w:color w:val="auto"/>
          <w:szCs w:val="24"/>
        </w:rPr>
        <w:t xml:space="preserve">: </w:t>
      </w:r>
      <w:r w:rsidR="00F51AFD" w:rsidRPr="00DC76F0">
        <w:rPr>
          <w:rFonts w:asciiTheme="minorHAnsi" w:hAnsiTheme="minorHAnsi"/>
          <w:color w:val="auto"/>
          <w:szCs w:val="24"/>
        </w:rPr>
        <w:t xml:space="preserve"> The Board recommends that the CI’s prior determination be modified as follows and that the discharge with severance pay be </w:t>
      </w:r>
      <w:proofErr w:type="spellStart"/>
      <w:r w:rsidR="00F51AFD" w:rsidRPr="00DC76F0">
        <w:rPr>
          <w:rFonts w:asciiTheme="minorHAnsi" w:hAnsiTheme="minorHAnsi"/>
          <w:color w:val="auto"/>
          <w:szCs w:val="24"/>
        </w:rPr>
        <w:t>recharacterized</w:t>
      </w:r>
      <w:proofErr w:type="spellEnd"/>
      <w:r w:rsidR="00F51AFD" w:rsidRPr="00DC76F0">
        <w:rPr>
          <w:rFonts w:asciiTheme="minorHAnsi" w:hAnsiTheme="minorHAnsi"/>
          <w:color w:val="auto"/>
          <w:szCs w:val="24"/>
        </w:rPr>
        <w:t xml:space="preserve"> to reflect permanent disability retirement, effective as of the date of his prior medical separation.</w:t>
      </w:r>
    </w:p>
    <w:p w:rsidR="00C56FC8" w:rsidRDefault="00C56FC8" w:rsidP="00AF1668">
      <w:pPr>
        <w:tabs>
          <w:tab w:val="left" w:pos="288"/>
          <w:tab w:val="left" w:pos="4752"/>
        </w:tabs>
        <w:spacing w:line="240" w:lineRule="exact"/>
        <w:rPr>
          <w:rFonts w:asciiTheme="minorHAnsi" w:hAnsiTheme="minorHAnsi"/>
          <w:color w:val="auto"/>
          <w:szCs w:val="24"/>
        </w:rPr>
      </w:pPr>
    </w:p>
    <w:p w:rsidR="00817BC4" w:rsidRDefault="00817BC4" w:rsidP="00AF1668">
      <w:pPr>
        <w:tabs>
          <w:tab w:val="left" w:pos="288"/>
          <w:tab w:val="left" w:pos="4752"/>
        </w:tabs>
        <w:spacing w:line="240" w:lineRule="exact"/>
        <w:rPr>
          <w:rFonts w:asciiTheme="minorHAnsi" w:hAnsiTheme="minorHAnsi"/>
          <w:color w:val="auto"/>
          <w:szCs w:val="24"/>
        </w:rPr>
      </w:pPr>
    </w:p>
    <w:p w:rsidR="00817BC4" w:rsidRDefault="00817BC4" w:rsidP="00AF1668">
      <w:pPr>
        <w:tabs>
          <w:tab w:val="left" w:pos="288"/>
          <w:tab w:val="left" w:pos="4752"/>
        </w:tabs>
        <w:spacing w:line="240" w:lineRule="exact"/>
        <w:rPr>
          <w:rFonts w:asciiTheme="minorHAnsi" w:hAnsiTheme="minorHAnsi"/>
          <w:color w:val="auto"/>
          <w:szCs w:val="24"/>
        </w:rPr>
      </w:pPr>
    </w:p>
    <w:p w:rsidR="00817BC4" w:rsidRPr="00DC76F0" w:rsidRDefault="00817BC4" w:rsidP="00AF1668">
      <w:pPr>
        <w:tabs>
          <w:tab w:val="left" w:pos="288"/>
          <w:tab w:val="left" w:pos="4752"/>
        </w:tabs>
        <w:spacing w:line="240" w:lineRule="exact"/>
        <w:rPr>
          <w:rFonts w:asciiTheme="minorHAnsi" w:hAnsiTheme="minorHAnsi"/>
          <w:color w:val="auto"/>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480"/>
        <w:gridCol w:w="1710"/>
        <w:gridCol w:w="1170"/>
      </w:tblGrid>
      <w:tr w:rsidR="00A95BBA" w:rsidRPr="00DC76F0" w:rsidTr="0085089F">
        <w:trPr>
          <w:trHeight w:val="287"/>
          <w:jc w:val="center"/>
        </w:trPr>
        <w:tc>
          <w:tcPr>
            <w:tcW w:w="6480" w:type="dxa"/>
            <w:shd w:val="clear" w:color="auto" w:fill="D9D9D9"/>
          </w:tcPr>
          <w:p w:rsidR="00A95BBA" w:rsidRPr="00DC76F0" w:rsidRDefault="00A95BBA" w:rsidP="00190E48">
            <w:pPr>
              <w:tabs>
                <w:tab w:val="left" w:pos="288"/>
                <w:tab w:val="left" w:pos="4752"/>
              </w:tabs>
              <w:spacing w:line="240" w:lineRule="exact"/>
              <w:jc w:val="both"/>
              <w:rPr>
                <w:rFonts w:asciiTheme="minorHAnsi" w:hAnsiTheme="minorHAnsi"/>
                <w:b/>
                <w:color w:val="auto"/>
                <w:szCs w:val="24"/>
              </w:rPr>
            </w:pPr>
            <w:r w:rsidRPr="00DC76F0">
              <w:rPr>
                <w:rFonts w:asciiTheme="minorHAnsi" w:hAnsiTheme="minorHAnsi"/>
                <w:b/>
                <w:color w:val="auto"/>
                <w:szCs w:val="24"/>
              </w:rPr>
              <w:lastRenderedPageBreak/>
              <w:t>UNFITTING CONDITION</w:t>
            </w:r>
          </w:p>
        </w:tc>
        <w:tc>
          <w:tcPr>
            <w:tcW w:w="1710" w:type="dxa"/>
            <w:shd w:val="clear" w:color="auto" w:fill="D9D9D9"/>
          </w:tcPr>
          <w:p w:rsidR="00A95BBA" w:rsidRPr="00DC76F0" w:rsidRDefault="00A95BBA" w:rsidP="007D6BFE">
            <w:pPr>
              <w:tabs>
                <w:tab w:val="left" w:pos="288"/>
                <w:tab w:val="left" w:pos="4752"/>
              </w:tabs>
              <w:spacing w:line="240" w:lineRule="exact"/>
              <w:jc w:val="center"/>
              <w:rPr>
                <w:rFonts w:asciiTheme="minorHAnsi" w:hAnsiTheme="minorHAnsi"/>
                <w:b/>
                <w:color w:val="auto"/>
                <w:szCs w:val="24"/>
              </w:rPr>
            </w:pPr>
            <w:r w:rsidRPr="00DC76F0">
              <w:rPr>
                <w:rFonts w:asciiTheme="minorHAnsi" w:hAnsiTheme="minorHAnsi"/>
                <w:b/>
                <w:color w:val="auto"/>
                <w:szCs w:val="24"/>
              </w:rPr>
              <w:t>VASRD CODE</w:t>
            </w:r>
          </w:p>
        </w:tc>
        <w:tc>
          <w:tcPr>
            <w:tcW w:w="1170" w:type="dxa"/>
            <w:shd w:val="clear" w:color="auto" w:fill="D9D9D9"/>
          </w:tcPr>
          <w:p w:rsidR="00A95BBA" w:rsidRPr="00DC76F0" w:rsidRDefault="00A95BBA" w:rsidP="007D6BFE">
            <w:pPr>
              <w:tabs>
                <w:tab w:val="left" w:pos="288"/>
                <w:tab w:val="left" w:pos="4752"/>
              </w:tabs>
              <w:spacing w:line="240" w:lineRule="exact"/>
              <w:jc w:val="center"/>
              <w:rPr>
                <w:rFonts w:asciiTheme="minorHAnsi" w:hAnsiTheme="minorHAnsi"/>
                <w:b/>
                <w:color w:val="auto"/>
                <w:szCs w:val="24"/>
              </w:rPr>
            </w:pPr>
            <w:r w:rsidRPr="00DC76F0">
              <w:rPr>
                <w:rFonts w:asciiTheme="minorHAnsi" w:hAnsiTheme="minorHAnsi"/>
                <w:b/>
                <w:color w:val="auto"/>
                <w:szCs w:val="24"/>
              </w:rPr>
              <w:t>RATING</w:t>
            </w:r>
          </w:p>
        </w:tc>
      </w:tr>
      <w:tr w:rsidR="00F51AFD" w:rsidRPr="00DC76F0" w:rsidTr="0085089F">
        <w:trPr>
          <w:jc w:val="center"/>
        </w:trPr>
        <w:tc>
          <w:tcPr>
            <w:tcW w:w="6480" w:type="dxa"/>
          </w:tcPr>
          <w:p w:rsidR="00F51AFD" w:rsidRPr="00DC76F0" w:rsidRDefault="00F51AFD" w:rsidP="00190E48">
            <w:pPr>
              <w:tabs>
                <w:tab w:val="left" w:pos="288"/>
                <w:tab w:val="left" w:pos="4752"/>
              </w:tabs>
              <w:spacing w:line="240" w:lineRule="exact"/>
              <w:jc w:val="both"/>
              <w:rPr>
                <w:rFonts w:asciiTheme="minorHAnsi" w:hAnsiTheme="minorHAnsi"/>
                <w:color w:val="auto"/>
                <w:szCs w:val="24"/>
              </w:rPr>
            </w:pPr>
            <w:r w:rsidRPr="00DC76F0">
              <w:rPr>
                <w:rFonts w:asciiTheme="minorHAnsi" w:hAnsiTheme="minorHAnsi"/>
                <w:color w:val="auto"/>
                <w:szCs w:val="24"/>
              </w:rPr>
              <w:t xml:space="preserve">Left Hip </w:t>
            </w:r>
            <w:proofErr w:type="spellStart"/>
            <w:r w:rsidRPr="00DC76F0">
              <w:rPr>
                <w:rFonts w:asciiTheme="minorHAnsi" w:hAnsiTheme="minorHAnsi"/>
                <w:color w:val="auto"/>
                <w:szCs w:val="24"/>
              </w:rPr>
              <w:t>Labral</w:t>
            </w:r>
            <w:proofErr w:type="spellEnd"/>
            <w:r w:rsidRPr="00DC76F0">
              <w:rPr>
                <w:rFonts w:asciiTheme="minorHAnsi" w:hAnsiTheme="minorHAnsi"/>
                <w:color w:val="auto"/>
                <w:szCs w:val="24"/>
              </w:rPr>
              <w:t xml:space="preserve"> Tear</w:t>
            </w:r>
          </w:p>
        </w:tc>
        <w:tc>
          <w:tcPr>
            <w:tcW w:w="1710" w:type="dxa"/>
          </w:tcPr>
          <w:p w:rsidR="00F51AFD" w:rsidRPr="00DC76F0" w:rsidRDefault="00F51AFD" w:rsidP="007D6BFE">
            <w:pPr>
              <w:tabs>
                <w:tab w:val="left" w:pos="288"/>
                <w:tab w:val="left" w:pos="4752"/>
              </w:tabs>
              <w:spacing w:line="240" w:lineRule="exact"/>
              <w:jc w:val="center"/>
              <w:rPr>
                <w:rFonts w:asciiTheme="minorHAnsi" w:hAnsiTheme="minorHAnsi"/>
                <w:color w:val="auto"/>
                <w:szCs w:val="24"/>
              </w:rPr>
            </w:pPr>
            <w:r w:rsidRPr="00DC76F0">
              <w:rPr>
                <w:rFonts w:asciiTheme="minorHAnsi" w:hAnsiTheme="minorHAnsi"/>
                <w:color w:val="auto"/>
                <w:szCs w:val="24"/>
              </w:rPr>
              <w:t>5299-5003</w:t>
            </w:r>
          </w:p>
        </w:tc>
        <w:tc>
          <w:tcPr>
            <w:tcW w:w="1170" w:type="dxa"/>
          </w:tcPr>
          <w:p w:rsidR="00F51AFD" w:rsidRPr="00DC76F0" w:rsidRDefault="00F51AFD" w:rsidP="007D6BFE">
            <w:pPr>
              <w:tabs>
                <w:tab w:val="left" w:pos="288"/>
                <w:tab w:val="left" w:pos="4752"/>
              </w:tabs>
              <w:spacing w:line="240" w:lineRule="exact"/>
              <w:jc w:val="center"/>
              <w:rPr>
                <w:rFonts w:asciiTheme="minorHAnsi" w:hAnsiTheme="minorHAnsi"/>
                <w:color w:val="auto"/>
                <w:szCs w:val="24"/>
              </w:rPr>
            </w:pPr>
            <w:r w:rsidRPr="00DC76F0">
              <w:rPr>
                <w:rFonts w:asciiTheme="minorHAnsi" w:hAnsiTheme="minorHAnsi"/>
                <w:color w:val="auto"/>
                <w:szCs w:val="24"/>
              </w:rPr>
              <w:t>10%</w:t>
            </w:r>
          </w:p>
        </w:tc>
      </w:tr>
      <w:tr w:rsidR="00A95BBA" w:rsidRPr="00DC76F0" w:rsidTr="0085089F">
        <w:trPr>
          <w:jc w:val="center"/>
        </w:trPr>
        <w:tc>
          <w:tcPr>
            <w:tcW w:w="6480" w:type="dxa"/>
          </w:tcPr>
          <w:p w:rsidR="00A95BBA" w:rsidRPr="00DC76F0" w:rsidRDefault="004E07C5" w:rsidP="00F51AFD">
            <w:pPr>
              <w:tabs>
                <w:tab w:val="left" w:pos="288"/>
                <w:tab w:val="left" w:pos="4752"/>
              </w:tabs>
              <w:spacing w:line="240" w:lineRule="exact"/>
              <w:jc w:val="both"/>
              <w:rPr>
                <w:rFonts w:asciiTheme="minorHAnsi" w:hAnsiTheme="minorHAnsi"/>
                <w:color w:val="auto"/>
                <w:szCs w:val="24"/>
              </w:rPr>
            </w:pPr>
            <w:r w:rsidRPr="00DC76F0">
              <w:rPr>
                <w:rFonts w:asciiTheme="minorHAnsi" w:hAnsiTheme="minorHAnsi"/>
                <w:color w:val="auto"/>
                <w:szCs w:val="24"/>
              </w:rPr>
              <w:t xml:space="preserve">Healed L Inferior Pubic </w:t>
            </w:r>
            <w:proofErr w:type="spellStart"/>
            <w:r w:rsidRPr="00DC76F0">
              <w:rPr>
                <w:rFonts w:asciiTheme="minorHAnsi" w:hAnsiTheme="minorHAnsi"/>
                <w:color w:val="auto"/>
                <w:szCs w:val="24"/>
              </w:rPr>
              <w:t>Ramus</w:t>
            </w:r>
            <w:proofErr w:type="spellEnd"/>
            <w:r w:rsidRPr="00DC76F0">
              <w:rPr>
                <w:rFonts w:asciiTheme="minorHAnsi" w:hAnsiTheme="minorHAnsi"/>
                <w:color w:val="auto"/>
                <w:szCs w:val="24"/>
              </w:rPr>
              <w:t xml:space="preserve"> and Superior Pubic </w:t>
            </w:r>
            <w:proofErr w:type="spellStart"/>
            <w:r w:rsidRPr="00DC76F0">
              <w:rPr>
                <w:rFonts w:asciiTheme="minorHAnsi" w:hAnsiTheme="minorHAnsi"/>
                <w:color w:val="auto"/>
                <w:szCs w:val="24"/>
              </w:rPr>
              <w:t>Ramus</w:t>
            </w:r>
            <w:proofErr w:type="spellEnd"/>
            <w:r w:rsidRPr="00DC76F0">
              <w:rPr>
                <w:rFonts w:asciiTheme="minorHAnsi" w:hAnsiTheme="minorHAnsi"/>
                <w:color w:val="auto"/>
                <w:szCs w:val="24"/>
              </w:rPr>
              <w:t xml:space="preserve"> Pelvic </w:t>
            </w:r>
            <w:proofErr w:type="spellStart"/>
            <w:r w:rsidRPr="00DC76F0">
              <w:rPr>
                <w:rFonts w:asciiTheme="minorHAnsi" w:hAnsiTheme="minorHAnsi"/>
                <w:color w:val="auto"/>
                <w:szCs w:val="24"/>
              </w:rPr>
              <w:t>Fx</w:t>
            </w:r>
            <w:proofErr w:type="spellEnd"/>
            <w:r w:rsidRPr="00DC76F0">
              <w:rPr>
                <w:rFonts w:asciiTheme="minorHAnsi" w:hAnsiTheme="minorHAnsi"/>
                <w:color w:val="auto"/>
                <w:szCs w:val="24"/>
              </w:rPr>
              <w:t xml:space="preserve"> After MVA in Iraq</w:t>
            </w:r>
          </w:p>
        </w:tc>
        <w:tc>
          <w:tcPr>
            <w:tcW w:w="1710" w:type="dxa"/>
          </w:tcPr>
          <w:p w:rsidR="00A95BBA" w:rsidRPr="00DC76F0" w:rsidRDefault="00C52CC8" w:rsidP="007D6BFE">
            <w:pPr>
              <w:tabs>
                <w:tab w:val="left" w:pos="288"/>
                <w:tab w:val="left" w:pos="4752"/>
              </w:tabs>
              <w:spacing w:line="240" w:lineRule="exact"/>
              <w:jc w:val="center"/>
              <w:rPr>
                <w:rFonts w:asciiTheme="minorHAnsi" w:hAnsiTheme="minorHAnsi"/>
                <w:color w:val="auto"/>
                <w:szCs w:val="24"/>
              </w:rPr>
            </w:pPr>
            <w:r w:rsidRPr="00DC76F0">
              <w:rPr>
                <w:rFonts w:asciiTheme="minorHAnsi" w:hAnsiTheme="minorHAnsi"/>
                <w:color w:val="auto"/>
                <w:szCs w:val="24"/>
              </w:rPr>
              <w:t>5299-5236</w:t>
            </w:r>
          </w:p>
        </w:tc>
        <w:tc>
          <w:tcPr>
            <w:tcW w:w="1170" w:type="dxa"/>
          </w:tcPr>
          <w:p w:rsidR="00A95BBA" w:rsidRPr="00DC76F0" w:rsidRDefault="00C52CC8" w:rsidP="007D6BFE">
            <w:pPr>
              <w:tabs>
                <w:tab w:val="left" w:pos="288"/>
                <w:tab w:val="left" w:pos="4752"/>
              </w:tabs>
              <w:spacing w:line="240" w:lineRule="exact"/>
              <w:jc w:val="center"/>
              <w:rPr>
                <w:rFonts w:asciiTheme="minorHAnsi" w:hAnsiTheme="minorHAnsi"/>
                <w:color w:val="auto"/>
                <w:szCs w:val="24"/>
              </w:rPr>
            </w:pPr>
            <w:r w:rsidRPr="00DC76F0">
              <w:rPr>
                <w:rFonts w:asciiTheme="minorHAnsi" w:hAnsiTheme="minorHAnsi"/>
                <w:color w:val="auto"/>
                <w:szCs w:val="24"/>
              </w:rPr>
              <w:t>2</w:t>
            </w:r>
            <w:r w:rsidR="00A95BBA" w:rsidRPr="00DC76F0">
              <w:rPr>
                <w:rFonts w:asciiTheme="minorHAnsi" w:hAnsiTheme="minorHAnsi"/>
                <w:color w:val="auto"/>
                <w:szCs w:val="24"/>
              </w:rPr>
              <w:t>0%</w:t>
            </w:r>
          </w:p>
        </w:tc>
      </w:tr>
      <w:tr w:rsidR="00A95BBA" w:rsidRPr="00DC76F0" w:rsidTr="0085089F">
        <w:tblPrEx>
          <w:tblLook w:val="0000"/>
        </w:tblPrEx>
        <w:trPr>
          <w:gridBefore w:val="1"/>
          <w:wBefore w:w="6480" w:type="dxa"/>
          <w:trHeight w:val="287"/>
          <w:jc w:val="center"/>
        </w:trPr>
        <w:tc>
          <w:tcPr>
            <w:tcW w:w="1710" w:type="dxa"/>
            <w:tcBorders>
              <w:left w:val="single" w:sz="4" w:space="0" w:color="auto"/>
              <w:bottom w:val="single" w:sz="4" w:space="0" w:color="000000"/>
            </w:tcBorders>
            <w:shd w:val="clear" w:color="auto" w:fill="D9D9D9" w:themeFill="background1" w:themeFillShade="D9"/>
          </w:tcPr>
          <w:p w:rsidR="00A95BBA" w:rsidRPr="00DC76F0" w:rsidRDefault="00A95BBA" w:rsidP="007D6BFE">
            <w:pPr>
              <w:tabs>
                <w:tab w:val="left" w:pos="288"/>
                <w:tab w:val="left" w:pos="4752"/>
              </w:tabs>
              <w:spacing w:line="240" w:lineRule="exact"/>
              <w:jc w:val="center"/>
              <w:rPr>
                <w:rFonts w:asciiTheme="minorHAnsi" w:hAnsiTheme="minorHAnsi"/>
                <w:b/>
                <w:color w:val="auto"/>
                <w:szCs w:val="24"/>
              </w:rPr>
            </w:pPr>
            <w:r w:rsidRPr="00DC76F0">
              <w:rPr>
                <w:rFonts w:asciiTheme="minorHAnsi" w:hAnsiTheme="minorHAnsi"/>
                <w:b/>
                <w:color w:val="auto"/>
                <w:szCs w:val="24"/>
              </w:rPr>
              <w:t>COMBINED</w:t>
            </w:r>
          </w:p>
        </w:tc>
        <w:tc>
          <w:tcPr>
            <w:tcW w:w="1170" w:type="dxa"/>
            <w:tcBorders>
              <w:bottom w:val="single" w:sz="4" w:space="0" w:color="000000"/>
            </w:tcBorders>
            <w:shd w:val="clear" w:color="auto" w:fill="D9D9D9" w:themeFill="background1" w:themeFillShade="D9"/>
          </w:tcPr>
          <w:p w:rsidR="00A95BBA" w:rsidRPr="00DC76F0" w:rsidRDefault="00F51AFD" w:rsidP="007D6BFE">
            <w:pPr>
              <w:tabs>
                <w:tab w:val="left" w:pos="288"/>
                <w:tab w:val="left" w:pos="4752"/>
              </w:tabs>
              <w:spacing w:line="240" w:lineRule="exact"/>
              <w:jc w:val="center"/>
              <w:rPr>
                <w:rFonts w:asciiTheme="minorHAnsi" w:hAnsiTheme="minorHAnsi"/>
                <w:b/>
                <w:color w:val="auto"/>
                <w:szCs w:val="24"/>
              </w:rPr>
            </w:pPr>
            <w:r w:rsidRPr="00DC76F0">
              <w:rPr>
                <w:rFonts w:asciiTheme="minorHAnsi" w:hAnsiTheme="minorHAnsi"/>
                <w:b/>
                <w:color w:val="auto"/>
                <w:szCs w:val="24"/>
              </w:rPr>
              <w:t>3</w:t>
            </w:r>
            <w:r w:rsidR="00A95BBA" w:rsidRPr="00DC76F0">
              <w:rPr>
                <w:rFonts w:asciiTheme="minorHAnsi" w:hAnsiTheme="minorHAnsi"/>
                <w:b/>
                <w:color w:val="auto"/>
                <w:szCs w:val="24"/>
              </w:rPr>
              <w:t>0%</w:t>
            </w:r>
          </w:p>
        </w:tc>
      </w:tr>
    </w:tbl>
    <w:p w:rsidR="00B522CD" w:rsidRPr="00DC76F0" w:rsidRDefault="008B5D31" w:rsidP="00190E48">
      <w:pPr>
        <w:tabs>
          <w:tab w:val="left" w:pos="288"/>
          <w:tab w:val="left" w:pos="4752"/>
        </w:tabs>
        <w:spacing w:line="240" w:lineRule="exact"/>
        <w:jc w:val="both"/>
        <w:rPr>
          <w:rFonts w:asciiTheme="minorHAnsi" w:hAnsiTheme="minorHAnsi"/>
          <w:color w:val="auto"/>
        </w:rPr>
      </w:pPr>
      <w:r w:rsidRPr="00DC76F0">
        <w:rPr>
          <w:rFonts w:asciiTheme="minorHAnsi" w:hAnsiTheme="minorHAnsi"/>
          <w:color w:val="auto"/>
          <w:u w:val="single"/>
        </w:rPr>
        <w:t>______________________________________________________________</w:t>
      </w:r>
      <w:r w:rsidRPr="00DC76F0">
        <w:rPr>
          <w:rFonts w:asciiTheme="minorHAnsi" w:hAnsiTheme="minorHAnsi"/>
          <w:color w:val="auto"/>
        </w:rPr>
        <w:t>_</w:t>
      </w:r>
      <w:r w:rsidR="00AC713F" w:rsidRPr="00DC76F0">
        <w:rPr>
          <w:rFonts w:asciiTheme="minorHAnsi" w:hAnsiTheme="minorHAnsi"/>
          <w:color w:val="auto"/>
        </w:rPr>
        <w:t>______________</w:t>
      </w:r>
      <w:r w:rsidR="00C853C5">
        <w:rPr>
          <w:rFonts w:asciiTheme="minorHAnsi" w:hAnsiTheme="minorHAnsi"/>
          <w:color w:val="auto"/>
        </w:rPr>
        <w:t>_</w:t>
      </w:r>
    </w:p>
    <w:p w:rsidR="00D91DA6" w:rsidRPr="00DC76F0" w:rsidRDefault="00D91DA6" w:rsidP="00190E48">
      <w:pPr>
        <w:tabs>
          <w:tab w:val="left" w:pos="288"/>
          <w:tab w:val="left" w:pos="4752"/>
        </w:tabs>
        <w:spacing w:line="240" w:lineRule="exact"/>
        <w:jc w:val="both"/>
        <w:rPr>
          <w:rFonts w:asciiTheme="minorHAnsi" w:hAnsiTheme="minorHAnsi"/>
          <w:color w:val="auto"/>
        </w:rPr>
      </w:pPr>
    </w:p>
    <w:p w:rsidR="00D91DA6" w:rsidRPr="00DC76F0" w:rsidRDefault="00114F20" w:rsidP="00190E48">
      <w:pPr>
        <w:tabs>
          <w:tab w:val="left" w:pos="288"/>
          <w:tab w:val="left" w:pos="4752"/>
        </w:tabs>
        <w:spacing w:line="240" w:lineRule="exact"/>
        <w:jc w:val="both"/>
        <w:rPr>
          <w:rFonts w:asciiTheme="minorHAnsi" w:hAnsiTheme="minorHAnsi"/>
          <w:color w:val="auto"/>
        </w:rPr>
      </w:pPr>
      <w:r w:rsidRPr="00DC76F0">
        <w:rPr>
          <w:rFonts w:asciiTheme="minorHAnsi" w:hAnsiTheme="minorHAnsi"/>
          <w:color w:val="auto"/>
        </w:rPr>
        <w:t>The following documentary evidence was considered:</w:t>
      </w:r>
    </w:p>
    <w:p w:rsidR="00EB5EFD" w:rsidRPr="00DC76F0" w:rsidRDefault="00EB5EFD" w:rsidP="00190E48">
      <w:pPr>
        <w:tabs>
          <w:tab w:val="left" w:pos="288"/>
          <w:tab w:val="left" w:pos="4752"/>
        </w:tabs>
        <w:spacing w:line="240" w:lineRule="exact"/>
        <w:jc w:val="both"/>
        <w:rPr>
          <w:rFonts w:asciiTheme="minorHAnsi" w:hAnsiTheme="minorHAnsi"/>
          <w:color w:val="auto"/>
        </w:rPr>
      </w:pPr>
    </w:p>
    <w:p w:rsidR="00114F20" w:rsidRPr="00DC76F0" w:rsidRDefault="0051146C" w:rsidP="00190E48">
      <w:pPr>
        <w:tabs>
          <w:tab w:val="left" w:pos="288"/>
          <w:tab w:val="left" w:pos="4752"/>
        </w:tabs>
        <w:spacing w:line="240" w:lineRule="exact"/>
        <w:jc w:val="both"/>
        <w:rPr>
          <w:rFonts w:asciiTheme="minorHAnsi" w:hAnsiTheme="minorHAnsi"/>
          <w:color w:val="auto"/>
        </w:rPr>
      </w:pPr>
      <w:r w:rsidRPr="00DC76F0">
        <w:rPr>
          <w:rFonts w:asciiTheme="minorHAnsi" w:hAnsiTheme="minorHAnsi"/>
          <w:color w:val="auto"/>
        </w:rPr>
        <w:t xml:space="preserve">Exhibit A.  DD Form </w:t>
      </w:r>
      <w:proofErr w:type="gramStart"/>
      <w:r w:rsidRPr="00DC76F0">
        <w:rPr>
          <w:rFonts w:asciiTheme="minorHAnsi" w:hAnsiTheme="minorHAnsi"/>
          <w:color w:val="auto"/>
        </w:rPr>
        <w:t>294,</w:t>
      </w:r>
      <w:proofErr w:type="gramEnd"/>
      <w:r w:rsidRPr="00DC76F0">
        <w:rPr>
          <w:rFonts w:asciiTheme="minorHAnsi" w:hAnsiTheme="minorHAnsi"/>
          <w:color w:val="auto"/>
        </w:rPr>
        <w:t xml:space="preserve"> dated </w:t>
      </w:r>
      <w:r w:rsidR="0019273F" w:rsidRPr="00DC76F0">
        <w:rPr>
          <w:rFonts w:asciiTheme="minorHAnsi" w:hAnsiTheme="minorHAnsi"/>
          <w:color w:val="auto"/>
        </w:rPr>
        <w:t>20</w:t>
      </w:r>
      <w:r w:rsidR="004E07C5" w:rsidRPr="00DC76F0">
        <w:rPr>
          <w:rFonts w:asciiTheme="minorHAnsi" w:hAnsiTheme="minorHAnsi"/>
          <w:color w:val="auto"/>
        </w:rPr>
        <w:t>091022</w:t>
      </w:r>
      <w:r w:rsidR="00114F20" w:rsidRPr="00DC76F0">
        <w:rPr>
          <w:rFonts w:asciiTheme="minorHAnsi" w:hAnsiTheme="minorHAnsi"/>
          <w:color w:val="auto"/>
        </w:rPr>
        <w:t>, w/</w:t>
      </w:r>
      <w:proofErr w:type="spellStart"/>
      <w:r w:rsidR="00114F20" w:rsidRPr="00DC76F0">
        <w:rPr>
          <w:rFonts w:asciiTheme="minorHAnsi" w:hAnsiTheme="minorHAnsi"/>
          <w:color w:val="auto"/>
        </w:rPr>
        <w:t>atchs</w:t>
      </w:r>
      <w:proofErr w:type="spellEnd"/>
      <w:r w:rsidR="00114F20" w:rsidRPr="00DC76F0">
        <w:rPr>
          <w:rFonts w:asciiTheme="minorHAnsi" w:hAnsiTheme="minorHAnsi"/>
          <w:color w:val="auto"/>
        </w:rPr>
        <w:t>.</w:t>
      </w:r>
    </w:p>
    <w:p w:rsidR="00114F20" w:rsidRPr="00DC76F0" w:rsidRDefault="00114F20" w:rsidP="00190E48">
      <w:pPr>
        <w:tabs>
          <w:tab w:val="left" w:pos="288"/>
          <w:tab w:val="left" w:pos="4752"/>
        </w:tabs>
        <w:spacing w:line="240" w:lineRule="exact"/>
        <w:jc w:val="both"/>
        <w:rPr>
          <w:rFonts w:asciiTheme="minorHAnsi" w:hAnsiTheme="minorHAnsi"/>
          <w:color w:val="auto"/>
        </w:rPr>
      </w:pPr>
      <w:r w:rsidRPr="00DC76F0">
        <w:rPr>
          <w:rFonts w:asciiTheme="minorHAnsi" w:hAnsiTheme="minorHAnsi"/>
          <w:color w:val="auto"/>
        </w:rPr>
        <w:t xml:space="preserve">Exhibit B.  </w:t>
      </w:r>
      <w:proofErr w:type="gramStart"/>
      <w:r w:rsidRPr="00DC76F0">
        <w:rPr>
          <w:rFonts w:asciiTheme="minorHAnsi" w:hAnsiTheme="minorHAnsi"/>
          <w:color w:val="auto"/>
        </w:rPr>
        <w:t>Service Treatment Record.</w:t>
      </w:r>
      <w:proofErr w:type="gramEnd"/>
    </w:p>
    <w:p w:rsidR="00114F20" w:rsidRPr="00DC76F0" w:rsidRDefault="00114F20" w:rsidP="00190E48">
      <w:pPr>
        <w:tabs>
          <w:tab w:val="left" w:pos="288"/>
          <w:tab w:val="left" w:pos="4752"/>
        </w:tabs>
        <w:spacing w:line="240" w:lineRule="exact"/>
        <w:jc w:val="both"/>
        <w:rPr>
          <w:rFonts w:asciiTheme="minorHAnsi" w:hAnsiTheme="minorHAnsi"/>
          <w:color w:val="auto"/>
        </w:rPr>
      </w:pPr>
      <w:r w:rsidRPr="00DC76F0">
        <w:rPr>
          <w:rFonts w:asciiTheme="minorHAnsi" w:hAnsiTheme="minorHAnsi"/>
          <w:color w:val="auto"/>
        </w:rPr>
        <w:t xml:space="preserve">Exhibit C.  </w:t>
      </w:r>
      <w:proofErr w:type="gramStart"/>
      <w:r w:rsidRPr="00DC76F0">
        <w:rPr>
          <w:rFonts w:asciiTheme="minorHAnsi" w:hAnsiTheme="minorHAnsi"/>
          <w:color w:val="auto"/>
        </w:rPr>
        <w:t>Department of Veterans</w:t>
      </w:r>
      <w:r w:rsidR="00385D6F" w:rsidRPr="00DC76F0">
        <w:rPr>
          <w:rFonts w:asciiTheme="minorHAnsi" w:hAnsiTheme="minorHAnsi"/>
          <w:color w:val="auto"/>
        </w:rPr>
        <w:t>'</w:t>
      </w:r>
      <w:r w:rsidRPr="00DC76F0">
        <w:rPr>
          <w:rFonts w:asciiTheme="minorHAnsi" w:hAnsiTheme="minorHAnsi"/>
          <w:color w:val="auto"/>
        </w:rPr>
        <w:t xml:space="preserve"> Affairs Treatment Record.</w:t>
      </w:r>
      <w:proofErr w:type="gramEnd"/>
    </w:p>
    <w:p w:rsidR="00114F20" w:rsidRDefault="00114F20" w:rsidP="00190E48">
      <w:pPr>
        <w:tabs>
          <w:tab w:val="left" w:pos="288"/>
          <w:tab w:val="left" w:pos="4752"/>
        </w:tabs>
        <w:spacing w:line="240" w:lineRule="exact"/>
        <w:jc w:val="both"/>
        <w:rPr>
          <w:rFonts w:asciiTheme="minorHAnsi" w:hAnsiTheme="minorHAnsi"/>
          <w:color w:val="auto"/>
        </w:rPr>
      </w:pPr>
    </w:p>
    <w:p w:rsidR="00A8476B" w:rsidRDefault="00A8476B" w:rsidP="00190E48">
      <w:pPr>
        <w:tabs>
          <w:tab w:val="left" w:pos="288"/>
          <w:tab w:val="left" w:pos="4752"/>
        </w:tabs>
        <w:spacing w:line="240" w:lineRule="exact"/>
        <w:jc w:val="both"/>
        <w:rPr>
          <w:rFonts w:asciiTheme="minorHAnsi" w:hAnsiTheme="minorHAnsi"/>
          <w:color w:val="auto"/>
        </w:rPr>
      </w:pPr>
    </w:p>
    <w:p w:rsidR="00A8476B" w:rsidRDefault="00A8476B" w:rsidP="00190E48">
      <w:pPr>
        <w:tabs>
          <w:tab w:val="left" w:pos="288"/>
          <w:tab w:val="left" w:pos="4752"/>
        </w:tabs>
        <w:spacing w:line="240" w:lineRule="exact"/>
        <w:jc w:val="both"/>
        <w:rPr>
          <w:rFonts w:asciiTheme="minorHAnsi" w:hAnsiTheme="minorHAnsi"/>
          <w:color w:val="auto"/>
        </w:rPr>
      </w:pPr>
    </w:p>
    <w:p w:rsidR="00A8476B" w:rsidRPr="00DC76F0" w:rsidRDefault="00A8476B" w:rsidP="00190E48">
      <w:pPr>
        <w:tabs>
          <w:tab w:val="left" w:pos="288"/>
          <w:tab w:val="left" w:pos="4752"/>
        </w:tabs>
        <w:spacing w:line="240" w:lineRule="exact"/>
        <w:jc w:val="both"/>
        <w:rPr>
          <w:rFonts w:asciiTheme="minorHAnsi" w:hAnsiTheme="minorHAnsi"/>
          <w:color w:val="auto"/>
        </w:rPr>
      </w:pPr>
    </w:p>
    <w:p w:rsidR="007F27F2" w:rsidRPr="00DC76F0" w:rsidRDefault="007F27F2" w:rsidP="007F27F2">
      <w:pPr>
        <w:tabs>
          <w:tab w:val="left" w:pos="0"/>
          <w:tab w:val="left" w:pos="4320"/>
        </w:tabs>
        <w:spacing w:line="240" w:lineRule="exact"/>
        <w:jc w:val="both"/>
        <w:rPr>
          <w:rFonts w:asciiTheme="minorHAnsi" w:hAnsiTheme="minorHAnsi"/>
          <w:color w:val="auto"/>
        </w:rPr>
      </w:pPr>
      <w:r w:rsidRPr="00DC76F0">
        <w:rPr>
          <w:rFonts w:asciiTheme="minorHAnsi" w:hAnsiTheme="minorHAnsi"/>
          <w:color w:val="auto"/>
        </w:rPr>
        <w:t xml:space="preserve">                                                                                  </w:t>
      </w:r>
      <w:r w:rsidR="00817BC4">
        <w:rPr>
          <w:rFonts w:asciiTheme="minorHAnsi" w:hAnsiTheme="minorHAnsi"/>
          <w:color w:val="auto"/>
        </w:rPr>
        <w:t xml:space="preserve">           </w:t>
      </w:r>
    </w:p>
    <w:p w:rsidR="007F27F2" w:rsidRPr="00006186" w:rsidRDefault="007F27F2" w:rsidP="007F27F2">
      <w:pPr>
        <w:tabs>
          <w:tab w:val="left" w:pos="0"/>
          <w:tab w:val="left" w:pos="4320"/>
        </w:tabs>
        <w:spacing w:line="240" w:lineRule="exact"/>
        <w:jc w:val="both"/>
        <w:rPr>
          <w:rFonts w:asciiTheme="minorHAnsi" w:hAnsiTheme="minorHAnsi"/>
          <w:color w:val="auto"/>
        </w:rPr>
      </w:pPr>
      <w:r w:rsidRPr="00DC76F0">
        <w:rPr>
          <w:rFonts w:asciiTheme="minorHAnsi" w:hAnsiTheme="minorHAnsi"/>
          <w:color w:val="auto"/>
        </w:rPr>
        <w:t xml:space="preserve">                             </w:t>
      </w:r>
      <w:r w:rsidRPr="00DC76F0">
        <w:rPr>
          <w:rFonts w:asciiTheme="minorHAnsi" w:hAnsiTheme="minorHAnsi"/>
          <w:color w:val="auto"/>
        </w:rPr>
        <w:tab/>
      </w:r>
      <w:r w:rsidRPr="00DC76F0">
        <w:rPr>
          <w:rFonts w:asciiTheme="minorHAnsi" w:hAnsiTheme="minorHAnsi"/>
          <w:color w:val="auto"/>
        </w:rPr>
        <w:tab/>
        <w:t>Deputy Director</w:t>
      </w:r>
    </w:p>
    <w:p w:rsidR="007F27F2" w:rsidRDefault="007F27F2" w:rsidP="007F27F2">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r>
        <w:rPr>
          <w:rFonts w:asciiTheme="minorHAnsi" w:hAnsiTheme="minorHAnsi"/>
          <w:color w:val="auto"/>
        </w:rPr>
        <w:tab/>
        <w:t xml:space="preserve">                           </w:t>
      </w:r>
      <w:r>
        <w:rPr>
          <w:rFonts w:asciiTheme="minorHAnsi" w:hAnsiTheme="minorHAnsi"/>
          <w:color w:val="auto"/>
        </w:rPr>
        <w:tab/>
      </w:r>
      <w:r>
        <w:rPr>
          <w:rFonts w:asciiTheme="minorHAnsi" w:hAnsiTheme="minorHAnsi"/>
          <w:color w:val="auto"/>
        </w:rPr>
        <w:tab/>
      </w:r>
      <w:r>
        <w:rPr>
          <w:rFonts w:asciiTheme="minorHAnsi" w:hAnsiTheme="minorHAnsi"/>
          <w:color w:val="auto"/>
        </w:rPr>
        <w:tab/>
      </w:r>
      <w:r>
        <w:rPr>
          <w:rFonts w:asciiTheme="minorHAnsi" w:hAnsiTheme="minorHAnsi"/>
          <w:color w:val="auto"/>
        </w:rPr>
        <w:tab/>
      </w:r>
      <w:r>
        <w:rPr>
          <w:rFonts w:asciiTheme="minorHAnsi" w:hAnsiTheme="minorHAnsi"/>
          <w:color w:val="auto"/>
        </w:rPr>
        <w:tab/>
        <w:t>Physical Disability Board of Review</w:t>
      </w:r>
    </w:p>
    <w:p w:rsidR="00EF5ECB" w:rsidRDefault="00EF5ECB" w:rsidP="007F27F2">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p>
    <w:p w:rsidR="00EF5ECB" w:rsidRDefault="00EF5ECB" w:rsidP="007F27F2">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p>
    <w:p w:rsidR="00EF5ECB" w:rsidRDefault="00EF5ECB" w:rsidP="007F27F2">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p>
    <w:p w:rsidR="00EF5ECB" w:rsidRDefault="00EF5ECB" w:rsidP="007F27F2">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p>
    <w:p w:rsidR="00EF5ECB" w:rsidRDefault="00EF5ECB" w:rsidP="007F27F2">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p>
    <w:p w:rsidR="00EF5ECB" w:rsidRDefault="00EF5ECB" w:rsidP="007F27F2">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p>
    <w:p w:rsidR="00EF5ECB" w:rsidRDefault="00EF5ECB" w:rsidP="007F27F2">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p>
    <w:p w:rsidR="00EF5ECB" w:rsidRDefault="00EF5ECB" w:rsidP="007F27F2">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p>
    <w:p w:rsidR="00EF5ECB" w:rsidRDefault="00EF5ECB" w:rsidP="007F27F2">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p>
    <w:p w:rsidR="00EF5ECB" w:rsidRDefault="00EF5ECB" w:rsidP="007F27F2">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p>
    <w:p w:rsidR="00817BC4" w:rsidRDefault="00817BC4" w:rsidP="007F27F2">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p>
    <w:p w:rsidR="00817BC4" w:rsidRDefault="00817BC4" w:rsidP="007F27F2">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p>
    <w:p w:rsidR="00817BC4" w:rsidRDefault="00817BC4" w:rsidP="007F27F2">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p>
    <w:p w:rsidR="00817BC4" w:rsidRDefault="00817BC4" w:rsidP="007F27F2">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p>
    <w:p w:rsidR="00817BC4" w:rsidRDefault="00817BC4" w:rsidP="007F27F2">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p>
    <w:p w:rsidR="00817BC4" w:rsidRDefault="00817BC4" w:rsidP="007F27F2">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p>
    <w:p w:rsidR="00817BC4" w:rsidRDefault="00817BC4" w:rsidP="007F27F2">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p>
    <w:p w:rsidR="00817BC4" w:rsidRDefault="00817BC4" w:rsidP="007F27F2">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p>
    <w:p w:rsidR="00817BC4" w:rsidRDefault="00817BC4" w:rsidP="007F27F2">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p>
    <w:p w:rsidR="00EF5ECB" w:rsidRDefault="00EF5ECB" w:rsidP="007F27F2">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p>
    <w:p w:rsidR="00EF5ECB" w:rsidRDefault="00EF5ECB" w:rsidP="007F27F2">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p>
    <w:p w:rsidR="00EF5ECB" w:rsidRDefault="00EF5ECB" w:rsidP="007F27F2">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p>
    <w:p w:rsidR="00EF5ECB" w:rsidRDefault="00EF5ECB" w:rsidP="007F27F2">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p>
    <w:p w:rsidR="00EF5ECB" w:rsidRDefault="00EF5ECB" w:rsidP="007F27F2">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p>
    <w:p w:rsidR="00817BC4" w:rsidRDefault="00817BC4" w:rsidP="007F27F2">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p>
    <w:p w:rsidR="00817BC4" w:rsidRDefault="00817BC4" w:rsidP="007F27F2">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p>
    <w:p w:rsidR="00817BC4" w:rsidRDefault="00817BC4" w:rsidP="007F27F2">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p>
    <w:p w:rsidR="00817BC4" w:rsidRDefault="00817BC4" w:rsidP="007F27F2">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p>
    <w:p w:rsidR="00817BC4" w:rsidRDefault="00817BC4" w:rsidP="007F27F2">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p>
    <w:p w:rsidR="00817BC4" w:rsidRDefault="00817BC4" w:rsidP="007F27F2">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p>
    <w:p w:rsidR="00817BC4" w:rsidRDefault="00817BC4" w:rsidP="007F27F2">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p>
    <w:p w:rsidR="00817BC4" w:rsidRDefault="00817BC4" w:rsidP="007F27F2">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p>
    <w:p w:rsidR="00EF5ECB" w:rsidRDefault="00EF5ECB" w:rsidP="007F27F2">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p>
    <w:p w:rsidR="00EF5ECB" w:rsidRDefault="00EF5ECB" w:rsidP="007F27F2">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p>
    <w:p w:rsidR="00EF5ECB" w:rsidRDefault="00EF5ECB" w:rsidP="00EF5ECB">
      <w:pPr>
        <w:tabs>
          <w:tab w:val="left" w:pos="288"/>
          <w:tab w:val="left" w:pos="4752"/>
        </w:tabs>
        <w:spacing w:line="240" w:lineRule="exact"/>
        <w:jc w:val="center"/>
        <w:rPr>
          <w:rFonts w:asciiTheme="minorHAnsi" w:hAnsiTheme="minorHAnsi"/>
          <w:color w:val="auto"/>
          <w:szCs w:val="24"/>
        </w:rPr>
      </w:pPr>
      <w:r>
        <w:rPr>
          <w:rFonts w:asciiTheme="minorHAnsi" w:hAnsiTheme="minorHAnsi"/>
          <w:color w:val="auto"/>
          <w:szCs w:val="24"/>
        </w:rPr>
        <w:lastRenderedPageBreak/>
        <w:t>Minority Opinion:</w:t>
      </w:r>
    </w:p>
    <w:p w:rsidR="00EF5ECB" w:rsidRDefault="00EF5ECB" w:rsidP="00EF5ECB">
      <w:pPr>
        <w:tabs>
          <w:tab w:val="left" w:pos="288"/>
          <w:tab w:val="left" w:pos="4752"/>
        </w:tabs>
        <w:spacing w:line="240" w:lineRule="exact"/>
        <w:jc w:val="center"/>
        <w:rPr>
          <w:rFonts w:asciiTheme="minorHAnsi" w:hAnsiTheme="minorHAnsi"/>
          <w:color w:val="auto"/>
          <w:szCs w:val="24"/>
        </w:rPr>
      </w:pPr>
    </w:p>
    <w:p w:rsidR="00EF5ECB" w:rsidRDefault="00EF5ECB" w:rsidP="00EF5ECB">
      <w:pPr>
        <w:tabs>
          <w:tab w:val="left" w:pos="288"/>
          <w:tab w:val="left" w:pos="4752"/>
        </w:tabs>
        <w:spacing w:line="240" w:lineRule="exact"/>
        <w:jc w:val="both"/>
        <w:rPr>
          <w:rFonts w:asciiTheme="minorHAnsi" w:hAnsiTheme="minorHAnsi"/>
          <w:color w:val="auto"/>
          <w:szCs w:val="24"/>
        </w:rPr>
      </w:pPr>
      <w:r>
        <w:rPr>
          <w:rFonts w:asciiTheme="minorHAnsi" w:hAnsiTheme="minorHAnsi"/>
          <w:color w:val="auto"/>
          <w:szCs w:val="24"/>
        </w:rPr>
        <w:t xml:space="preserve">In my opinion, the CI’s hip issue is appropriately rated at 10%, and </w:t>
      </w:r>
      <w:r w:rsidR="00817BC4">
        <w:rPr>
          <w:rFonts w:asciiTheme="minorHAnsi" w:hAnsiTheme="minorHAnsi"/>
          <w:color w:val="auto"/>
          <w:szCs w:val="24"/>
        </w:rPr>
        <w:t xml:space="preserve">the pubic </w:t>
      </w:r>
      <w:proofErr w:type="spellStart"/>
      <w:r w:rsidR="00817BC4">
        <w:rPr>
          <w:rFonts w:asciiTheme="minorHAnsi" w:hAnsiTheme="minorHAnsi"/>
          <w:color w:val="auto"/>
          <w:szCs w:val="24"/>
        </w:rPr>
        <w:t>ramus</w:t>
      </w:r>
      <w:proofErr w:type="spellEnd"/>
      <w:r w:rsidR="00817BC4">
        <w:rPr>
          <w:rFonts w:asciiTheme="minorHAnsi" w:hAnsiTheme="minorHAnsi"/>
          <w:color w:val="auto"/>
          <w:szCs w:val="24"/>
        </w:rPr>
        <w:t xml:space="preserve"> fracture is appropriately coded using an analogous 5236 code and rated according to the general rating formula for diseases and injuries of the spine.  </w:t>
      </w:r>
      <w:r>
        <w:rPr>
          <w:rFonts w:asciiTheme="minorHAnsi" w:hAnsiTheme="minorHAnsi"/>
          <w:color w:val="auto"/>
          <w:szCs w:val="24"/>
        </w:rPr>
        <w:t xml:space="preserve">Under this coding formula, the presence of “abnormal gait” is justification for increasing the rating to 20%.  However, the CI’s gait history is inconsistent (shown by chart below), and should not be used as a basis for increasing the rating.  It was mentioned once at the MEB, and once on a </w:t>
      </w:r>
      <w:r w:rsidR="00817BC4">
        <w:rPr>
          <w:rFonts w:asciiTheme="minorHAnsi" w:hAnsiTheme="minorHAnsi"/>
          <w:color w:val="auto"/>
          <w:szCs w:val="24"/>
        </w:rPr>
        <w:t xml:space="preserve">9 July </w:t>
      </w:r>
      <w:r>
        <w:rPr>
          <w:rFonts w:asciiTheme="minorHAnsi" w:hAnsiTheme="minorHAnsi"/>
          <w:color w:val="auto"/>
          <w:szCs w:val="24"/>
        </w:rPr>
        <w:t xml:space="preserve">2008 C&amp;P </w:t>
      </w:r>
      <w:r w:rsidR="00817BC4">
        <w:rPr>
          <w:rFonts w:asciiTheme="minorHAnsi" w:hAnsiTheme="minorHAnsi"/>
          <w:color w:val="auto"/>
          <w:szCs w:val="24"/>
        </w:rPr>
        <w:t>e</w:t>
      </w:r>
      <w:r>
        <w:rPr>
          <w:rFonts w:asciiTheme="minorHAnsi" w:hAnsiTheme="minorHAnsi"/>
          <w:color w:val="auto"/>
          <w:szCs w:val="24"/>
        </w:rPr>
        <w:t>xam which also contradicted itself later by saying “gait normal.”  All other exams or PT sessions called his gait normal or slow.  The other Board members felt that the MEB’s mentioning of “antalgic gait” was a basis for increasing the rating from 10% to 20%, but I do not agree that it fits the VASRD description of 20%</w:t>
      </w:r>
      <w:r w:rsidR="00817BC4">
        <w:rPr>
          <w:rFonts w:asciiTheme="minorHAnsi" w:hAnsiTheme="minorHAnsi"/>
          <w:color w:val="auto"/>
          <w:szCs w:val="24"/>
        </w:rPr>
        <w:t>,</w:t>
      </w:r>
      <w:r>
        <w:rPr>
          <w:rFonts w:asciiTheme="minorHAnsi" w:hAnsiTheme="minorHAnsi"/>
          <w:color w:val="auto"/>
          <w:szCs w:val="24"/>
        </w:rPr>
        <w:t xml:space="preserve"> based on “muscle spasm or guarding severe enough to result in an </w:t>
      </w:r>
      <w:r>
        <w:rPr>
          <w:rFonts w:asciiTheme="minorHAnsi" w:hAnsiTheme="minorHAnsi"/>
          <w:i/>
          <w:color w:val="auto"/>
          <w:szCs w:val="24"/>
        </w:rPr>
        <w:t>abnormal gait.</w:t>
      </w:r>
      <w:r>
        <w:rPr>
          <w:rFonts w:asciiTheme="minorHAnsi" w:hAnsiTheme="minorHAnsi"/>
          <w:color w:val="auto"/>
          <w:szCs w:val="24"/>
        </w:rPr>
        <w:t>”  To conclude that there was spasm severe enough to compromise gait requires speculation.  The standard for basing a rating on speculation should be the same one as that applied by the VA, i.e., “more likely than not</w:t>
      </w:r>
      <w:r w:rsidR="00817BC4">
        <w:rPr>
          <w:rFonts w:asciiTheme="minorHAnsi" w:hAnsiTheme="minorHAnsi"/>
          <w:color w:val="auto"/>
          <w:szCs w:val="24"/>
        </w:rPr>
        <w:t>.</w:t>
      </w:r>
      <w:r>
        <w:rPr>
          <w:rFonts w:asciiTheme="minorHAnsi" w:hAnsiTheme="minorHAnsi"/>
          <w:color w:val="auto"/>
          <w:szCs w:val="24"/>
        </w:rPr>
        <w:t xml:space="preserve">”  That standard was not met for ascribing antalgic gait to pelvic, rather than hip, impairment.  More likely than not, the finding of antalgic gait </w:t>
      </w:r>
      <w:r w:rsidR="000141AC">
        <w:rPr>
          <w:rFonts w:asciiTheme="minorHAnsi" w:hAnsiTheme="minorHAnsi"/>
          <w:color w:val="auto"/>
          <w:szCs w:val="24"/>
        </w:rPr>
        <w:t>o</w:t>
      </w:r>
      <w:r>
        <w:rPr>
          <w:rFonts w:asciiTheme="minorHAnsi" w:hAnsiTheme="minorHAnsi"/>
          <w:color w:val="auto"/>
          <w:szCs w:val="24"/>
        </w:rPr>
        <w:t xml:space="preserve">n an individual known to have a painful hip was </w:t>
      </w:r>
      <w:r>
        <w:rPr>
          <w:rFonts w:asciiTheme="minorHAnsi" w:hAnsiTheme="minorHAnsi"/>
          <w:i/>
          <w:color w:val="auto"/>
          <w:szCs w:val="24"/>
        </w:rPr>
        <w:t>not</w:t>
      </w:r>
      <w:r>
        <w:rPr>
          <w:rFonts w:asciiTheme="minorHAnsi" w:hAnsiTheme="minorHAnsi"/>
          <w:color w:val="auto"/>
          <w:szCs w:val="24"/>
        </w:rPr>
        <w:t xml:space="preserve"> a ratable consequence of the pelvic condition.</w:t>
      </w:r>
    </w:p>
    <w:p w:rsidR="00EF5ECB" w:rsidRDefault="00EF5ECB" w:rsidP="00EF5ECB">
      <w:pPr>
        <w:tabs>
          <w:tab w:val="left" w:pos="288"/>
          <w:tab w:val="left" w:pos="4752"/>
        </w:tabs>
        <w:spacing w:line="240" w:lineRule="exact"/>
        <w:jc w:val="both"/>
        <w:rPr>
          <w:rFonts w:asciiTheme="minorHAnsi" w:hAnsiTheme="minorHAnsi"/>
          <w:color w:val="auto"/>
          <w:szCs w:val="24"/>
        </w:rPr>
      </w:pPr>
    </w:p>
    <w:tbl>
      <w:tblPr>
        <w:tblStyle w:val="TableGrid"/>
        <w:tblW w:w="0" w:type="auto"/>
        <w:jc w:val="center"/>
        <w:tblLook w:val="04A0"/>
      </w:tblPr>
      <w:tblGrid>
        <w:gridCol w:w="3438"/>
        <w:gridCol w:w="4311"/>
      </w:tblGrid>
      <w:tr w:rsidR="00EF5ECB" w:rsidTr="00EF5ECB">
        <w:trPr>
          <w:jc w:val="center"/>
        </w:trPr>
        <w:tc>
          <w:tcPr>
            <w:tcW w:w="34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EF5ECB" w:rsidRDefault="00EF5ECB">
            <w:pPr>
              <w:tabs>
                <w:tab w:val="left" w:pos="288"/>
                <w:tab w:val="left" w:pos="4752"/>
              </w:tabs>
              <w:spacing w:line="200" w:lineRule="exact"/>
              <w:jc w:val="center"/>
              <w:rPr>
                <w:b/>
                <w:color w:val="auto"/>
                <w:sz w:val="20"/>
                <w:szCs w:val="20"/>
              </w:rPr>
            </w:pPr>
            <w:r>
              <w:rPr>
                <w:b/>
                <w:color w:val="auto"/>
                <w:sz w:val="20"/>
                <w:szCs w:val="20"/>
              </w:rPr>
              <w:t>Date/event</w:t>
            </w:r>
          </w:p>
        </w:tc>
        <w:tc>
          <w:tcPr>
            <w:tcW w:w="43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EF5ECB" w:rsidRDefault="00EF5ECB">
            <w:pPr>
              <w:tabs>
                <w:tab w:val="left" w:pos="288"/>
                <w:tab w:val="left" w:pos="4752"/>
              </w:tabs>
              <w:spacing w:line="200" w:lineRule="exact"/>
              <w:jc w:val="center"/>
              <w:rPr>
                <w:b/>
                <w:color w:val="auto"/>
                <w:sz w:val="20"/>
                <w:szCs w:val="20"/>
              </w:rPr>
            </w:pPr>
            <w:r>
              <w:rPr>
                <w:b/>
                <w:color w:val="auto"/>
                <w:sz w:val="20"/>
                <w:szCs w:val="20"/>
              </w:rPr>
              <w:t>Gait</w:t>
            </w:r>
          </w:p>
        </w:tc>
      </w:tr>
      <w:tr w:rsidR="00EF5ECB" w:rsidTr="00EF5ECB">
        <w:trPr>
          <w:jc w:val="center"/>
        </w:trPr>
        <w:tc>
          <w:tcPr>
            <w:tcW w:w="34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F5ECB" w:rsidRDefault="00EF5ECB">
            <w:pPr>
              <w:tabs>
                <w:tab w:val="left" w:pos="288"/>
                <w:tab w:val="left" w:pos="4752"/>
              </w:tabs>
              <w:spacing w:line="200" w:lineRule="exact"/>
              <w:rPr>
                <w:color w:val="auto"/>
                <w:sz w:val="18"/>
                <w:szCs w:val="18"/>
              </w:rPr>
            </w:pPr>
            <w:r>
              <w:rPr>
                <w:rFonts w:cs="Arial"/>
                <w:color w:val="auto"/>
                <w:sz w:val="18"/>
                <w:szCs w:val="18"/>
              </w:rPr>
              <w:t>20060531/ Physical Therapy</w:t>
            </w:r>
          </w:p>
        </w:tc>
        <w:tc>
          <w:tcPr>
            <w:tcW w:w="43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5ECB" w:rsidRDefault="00EF5ECB">
            <w:pPr>
              <w:tabs>
                <w:tab w:val="left" w:pos="288"/>
                <w:tab w:val="left" w:pos="4752"/>
              </w:tabs>
              <w:spacing w:line="200" w:lineRule="exact"/>
              <w:jc w:val="both"/>
              <w:rPr>
                <w:color w:val="auto"/>
                <w:sz w:val="18"/>
                <w:szCs w:val="18"/>
              </w:rPr>
            </w:pPr>
            <w:r>
              <w:rPr>
                <w:rFonts w:cs="Arial"/>
                <w:bCs/>
                <w:color w:val="auto"/>
                <w:sz w:val="18"/>
                <w:szCs w:val="18"/>
              </w:rPr>
              <w:t>normal gait</w:t>
            </w:r>
          </w:p>
        </w:tc>
      </w:tr>
      <w:tr w:rsidR="00EF5ECB" w:rsidTr="00EF5ECB">
        <w:trPr>
          <w:jc w:val="center"/>
        </w:trPr>
        <w:tc>
          <w:tcPr>
            <w:tcW w:w="34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F5ECB" w:rsidRDefault="00EF5ECB">
            <w:pPr>
              <w:tabs>
                <w:tab w:val="left" w:pos="288"/>
                <w:tab w:val="left" w:pos="4752"/>
              </w:tabs>
              <w:spacing w:line="200" w:lineRule="exact"/>
              <w:rPr>
                <w:color w:val="auto"/>
                <w:sz w:val="18"/>
                <w:szCs w:val="18"/>
              </w:rPr>
            </w:pPr>
            <w:r>
              <w:rPr>
                <w:rFonts w:cs="Arial"/>
                <w:color w:val="auto"/>
                <w:sz w:val="18"/>
                <w:szCs w:val="18"/>
              </w:rPr>
              <w:t>20060707/ Physical Therapy</w:t>
            </w:r>
          </w:p>
        </w:tc>
        <w:tc>
          <w:tcPr>
            <w:tcW w:w="43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5ECB" w:rsidRDefault="00EF5ECB">
            <w:pPr>
              <w:tabs>
                <w:tab w:val="left" w:pos="288"/>
                <w:tab w:val="left" w:pos="4752"/>
              </w:tabs>
              <w:spacing w:line="200" w:lineRule="exact"/>
              <w:jc w:val="both"/>
              <w:rPr>
                <w:color w:val="auto"/>
                <w:sz w:val="18"/>
                <w:szCs w:val="18"/>
              </w:rPr>
            </w:pPr>
            <w:r>
              <w:rPr>
                <w:rFonts w:cs="Arial"/>
                <w:bCs/>
                <w:color w:val="auto"/>
                <w:sz w:val="18"/>
                <w:szCs w:val="18"/>
              </w:rPr>
              <w:t>slow gait</w:t>
            </w:r>
          </w:p>
        </w:tc>
      </w:tr>
      <w:tr w:rsidR="00EF5ECB" w:rsidTr="00EF5ECB">
        <w:trPr>
          <w:jc w:val="center"/>
        </w:trPr>
        <w:tc>
          <w:tcPr>
            <w:tcW w:w="34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F5ECB" w:rsidRDefault="00EF5ECB">
            <w:pPr>
              <w:tabs>
                <w:tab w:val="left" w:pos="288"/>
                <w:tab w:val="left" w:pos="4752"/>
              </w:tabs>
              <w:spacing w:line="200" w:lineRule="exact"/>
              <w:rPr>
                <w:color w:val="auto"/>
                <w:sz w:val="18"/>
                <w:szCs w:val="18"/>
              </w:rPr>
            </w:pPr>
            <w:r>
              <w:rPr>
                <w:rFonts w:cs="Arial"/>
                <w:color w:val="auto"/>
                <w:sz w:val="18"/>
                <w:szCs w:val="18"/>
              </w:rPr>
              <w:t>20060721/Physical Therapy</w:t>
            </w:r>
          </w:p>
        </w:tc>
        <w:tc>
          <w:tcPr>
            <w:tcW w:w="43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5ECB" w:rsidRDefault="00EF5ECB">
            <w:pPr>
              <w:tabs>
                <w:tab w:val="left" w:pos="288"/>
                <w:tab w:val="left" w:pos="4752"/>
              </w:tabs>
              <w:spacing w:line="200" w:lineRule="exact"/>
              <w:jc w:val="both"/>
              <w:rPr>
                <w:color w:val="auto"/>
                <w:sz w:val="18"/>
                <w:szCs w:val="18"/>
              </w:rPr>
            </w:pPr>
            <w:r>
              <w:rPr>
                <w:rFonts w:cs="Arial"/>
                <w:bCs/>
                <w:color w:val="auto"/>
                <w:sz w:val="18"/>
                <w:szCs w:val="18"/>
              </w:rPr>
              <w:t>slow gait</w:t>
            </w:r>
          </w:p>
        </w:tc>
      </w:tr>
      <w:tr w:rsidR="00EF5ECB" w:rsidTr="00EF5ECB">
        <w:trPr>
          <w:jc w:val="center"/>
        </w:trPr>
        <w:tc>
          <w:tcPr>
            <w:tcW w:w="34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F5ECB" w:rsidRDefault="00EF5ECB">
            <w:pPr>
              <w:tabs>
                <w:tab w:val="left" w:pos="288"/>
                <w:tab w:val="left" w:pos="4752"/>
              </w:tabs>
              <w:spacing w:line="200" w:lineRule="exact"/>
              <w:rPr>
                <w:color w:val="auto"/>
                <w:sz w:val="18"/>
                <w:szCs w:val="18"/>
              </w:rPr>
            </w:pPr>
            <w:r>
              <w:rPr>
                <w:color w:val="auto"/>
                <w:sz w:val="18"/>
                <w:szCs w:val="18"/>
              </w:rPr>
              <w:t>20061018/MEB Exam</w:t>
            </w:r>
          </w:p>
        </w:tc>
        <w:tc>
          <w:tcPr>
            <w:tcW w:w="43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5ECB" w:rsidRDefault="00EF5ECB">
            <w:pPr>
              <w:tabs>
                <w:tab w:val="left" w:pos="288"/>
                <w:tab w:val="left" w:pos="4752"/>
              </w:tabs>
              <w:spacing w:line="200" w:lineRule="exact"/>
              <w:jc w:val="both"/>
              <w:rPr>
                <w:color w:val="auto"/>
                <w:sz w:val="18"/>
                <w:szCs w:val="18"/>
              </w:rPr>
            </w:pPr>
            <w:r>
              <w:rPr>
                <w:color w:val="auto"/>
                <w:sz w:val="18"/>
                <w:szCs w:val="18"/>
                <w:highlight w:val="yellow"/>
              </w:rPr>
              <w:t>antalgic</w:t>
            </w:r>
            <w:r>
              <w:rPr>
                <w:color w:val="auto"/>
                <w:sz w:val="18"/>
                <w:szCs w:val="18"/>
              </w:rPr>
              <w:t xml:space="preserve"> gait</w:t>
            </w:r>
          </w:p>
        </w:tc>
      </w:tr>
      <w:tr w:rsidR="00EF5ECB" w:rsidTr="00EF5ECB">
        <w:trPr>
          <w:jc w:val="center"/>
        </w:trPr>
        <w:tc>
          <w:tcPr>
            <w:tcW w:w="34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F5ECB" w:rsidRDefault="00EF5ECB">
            <w:pPr>
              <w:tabs>
                <w:tab w:val="left" w:pos="288"/>
                <w:tab w:val="left" w:pos="4752"/>
              </w:tabs>
              <w:spacing w:line="200" w:lineRule="exact"/>
              <w:rPr>
                <w:color w:val="auto"/>
                <w:sz w:val="18"/>
                <w:szCs w:val="18"/>
              </w:rPr>
            </w:pPr>
            <w:r>
              <w:rPr>
                <w:rFonts w:cs="Times New Roman"/>
                <w:bCs/>
                <w:color w:val="auto"/>
                <w:sz w:val="18"/>
                <w:szCs w:val="18"/>
              </w:rPr>
              <w:t>20061213/C&amp;P Exam</w:t>
            </w:r>
          </w:p>
        </w:tc>
        <w:tc>
          <w:tcPr>
            <w:tcW w:w="43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5ECB" w:rsidRDefault="00EF5ECB">
            <w:pPr>
              <w:tabs>
                <w:tab w:val="left" w:pos="288"/>
                <w:tab w:val="left" w:pos="4752"/>
              </w:tabs>
              <w:spacing w:line="200" w:lineRule="exact"/>
              <w:jc w:val="both"/>
              <w:rPr>
                <w:color w:val="auto"/>
                <w:sz w:val="18"/>
                <w:szCs w:val="18"/>
              </w:rPr>
            </w:pPr>
            <w:r>
              <w:rPr>
                <w:color w:val="auto"/>
                <w:sz w:val="18"/>
                <w:szCs w:val="18"/>
              </w:rPr>
              <w:t>gait normal</w:t>
            </w:r>
          </w:p>
        </w:tc>
      </w:tr>
      <w:tr w:rsidR="00EF5ECB" w:rsidTr="00EF5ECB">
        <w:trPr>
          <w:jc w:val="center"/>
        </w:trPr>
        <w:tc>
          <w:tcPr>
            <w:tcW w:w="343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F5ECB" w:rsidRDefault="00EF5ECB">
            <w:pPr>
              <w:tabs>
                <w:tab w:val="left" w:pos="288"/>
                <w:tab w:val="left" w:pos="4752"/>
              </w:tabs>
              <w:spacing w:line="200" w:lineRule="exact"/>
              <w:rPr>
                <w:color w:val="auto"/>
                <w:sz w:val="18"/>
                <w:szCs w:val="18"/>
              </w:rPr>
            </w:pPr>
            <w:r>
              <w:rPr>
                <w:color w:val="auto"/>
                <w:sz w:val="18"/>
                <w:szCs w:val="18"/>
              </w:rPr>
              <w:t>20080709/C&amp;P Exam</w:t>
            </w:r>
          </w:p>
        </w:tc>
        <w:tc>
          <w:tcPr>
            <w:tcW w:w="43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5ECB" w:rsidRDefault="00EF5ECB">
            <w:pPr>
              <w:tabs>
                <w:tab w:val="left" w:pos="288"/>
                <w:tab w:val="left" w:pos="4752"/>
              </w:tabs>
              <w:spacing w:line="200" w:lineRule="exact"/>
              <w:jc w:val="both"/>
              <w:rPr>
                <w:color w:val="auto"/>
                <w:sz w:val="18"/>
                <w:szCs w:val="18"/>
              </w:rPr>
            </w:pPr>
            <w:r>
              <w:rPr>
                <w:color w:val="auto"/>
                <w:sz w:val="18"/>
                <w:szCs w:val="18"/>
              </w:rPr>
              <w:t xml:space="preserve">gait </w:t>
            </w:r>
            <w:r>
              <w:rPr>
                <w:color w:val="auto"/>
                <w:sz w:val="18"/>
                <w:szCs w:val="18"/>
                <w:highlight w:val="yellow"/>
              </w:rPr>
              <w:t>antalgic</w:t>
            </w:r>
            <w:r>
              <w:rPr>
                <w:color w:val="auto"/>
                <w:sz w:val="18"/>
                <w:szCs w:val="18"/>
              </w:rPr>
              <w:t xml:space="preserve"> </w:t>
            </w:r>
          </w:p>
        </w:tc>
      </w:tr>
      <w:tr w:rsidR="00EF5ECB" w:rsidTr="00EF5ECB">
        <w:trPr>
          <w:jc w:val="center"/>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F5ECB" w:rsidRDefault="00EF5ECB">
            <w:pPr>
              <w:rPr>
                <w:color w:val="auto"/>
                <w:sz w:val="18"/>
                <w:szCs w:val="18"/>
              </w:rPr>
            </w:pPr>
          </w:p>
        </w:tc>
        <w:tc>
          <w:tcPr>
            <w:tcW w:w="43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5ECB" w:rsidRDefault="00EF5ECB">
            <w:pPr>
              <w:tabs>
                <w:tab w:val="left" w:pos="288"/>
                <w:tab w:val="left" w:pos="4752"/>
              </w:tabs>
              <w:spacing w:line="200" w:lineRule="exact"/>
              <w:jc w:val="both"/>
              <w:rPr>
                <w:color w:val="auto"/>
                <w:sz w:val="18"/>
                <w:szCs w:val="18"/>
              </w:rPr>
            </w:pPr>
            <w:r>
              <w:rPr>
                <w:color w:val="auto"/>
                <w:sz w:val="18"/>
                <w:szCs w:val="18"/>
              </w:rPr>
              <w:t>gait normal (contradicting above finding on same exam)</w:t>
            </w:r>
          </w:p>
        </w:tc>
      </w:tr>
      <w:tr w:rsidR="00EF5ECB" w:rsidTr="00EF5ECB">
        <w:trPr>
          <w:jc w:val="center"/>
        </w:trPr>
        <w:tc>
          <w:tcPr>
            <w:tcW w:w="34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F5ECB" w:rsidRDefault="00EF5ECB">
            <w:pPr>
              <w:tabs>
                <w:tab w:val="left" w:pos="288"/>
                <w:tab w:val="left" w:pos="4752"/>
              </w:tabs>
              <w:spacing w:line="200" w:lineRule="exact"/>
              <w:rPr>
                <w:color w:val="auto"/>
                <w:sz w:val="18"/>
                <w:szCs w:val="18"/>
              </w:rPr>
            </w:pPr>
            <w:r>
              <w:rPr>
                <w:color w:val="auto"/>
                <w:sz w:val="18"/>
                <w:szCs w:val="18"/>
              </w:rPr>
              <w:t xml:space="preserve">20080728/ </w:t>
            </w:r>
            <w:r>
              <w:rPr>
                <w:rFonts w:cs="Arial"/>
                <w:color w:val="auto"/>
                <w:sz w:val="18"/>
                <w:szCs w:val="18"/>
              </w:rPr>
              <w:t>Primary Care Nursing Note</w:t>
            </w:r>
          </w:p>
        </w:tc>
        <w:tc>
          <w:tcPr>
            <w:tcW w:w="43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5ECB" w:rsidRDefault="00EF5ECB">
            <w:pPr>
              <w:tabs>
                <w:tab w:val="left" w:pos="288"/>
                <w:tab w:val="left" w:pos="4752"/>
              </w:tabs>
              <w:spacing w:line="200" w:lineRule="exact"/>
              <w:jc w:val="both"/>
              <w:rPr>
                <w:color w:val="auto"/>
                <w:sz w:val="18"/>
                <w:szCs w:val="18"/>
              </w:rPr>
            </w:pPr>
            <w:r>
              <w:rPr>
                <w:color w:val="auto"/>
                <w:sz w:val="18"/>
                <w:szCs w:val="18"/>
              </w:rPr>
              <w:t>gait normal</w:t>
            </w:r>
          </w:p>
        </w:tc>
      </w:tr>
      <w:tr w:rsidR="00EF5ECB" w:rsidTr="00EF5ECB">
        <w:trPr>
          <w:jc w:val="center"/>
        </w:trPr>
        <w:tc>
          <w:tcPr>
            <w:tcW w:w="34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F5ECB" w:rsidRDefault="00EF5ECB">
            <w:pPr>
              <w:tabs>
                <w:tab w:val="left" w:pos="288"/>
                <w:tab w:val="left" w:pos="4752"/>
              </w:tabs>
              <w:spacing w:line="200" w:lineRule="exact"/>
              <w:rPr>
                <w:color w:val="auto"/>
                <w:sz w:val="18"/>
                <w:szCs w:val="18"/>
              </w:rPr>
            </w:pPr>
            <w:r>
              <w:rPr>
                <w:color w:val="auto"/>
                <w:sz w:val="18"/>
                <w:szCs w:val="18"/>
              </w:rPr>
              <w:t>20080910/</w:t>
            </w:r>
            <w:r>
              <w:rPr>
                <w:rFonts w:cs="Arial"/>
                <w:color w:val="auto"/>
                <w:sz w:val="18"/>
                <w:szCs w:val="18"/>
              </w:rPr>
              <w:t xml:space="preserve"> Primary Care Physician Note</w:t>
            </w:r>
          </w:p>
        </w:tc>
        <w:tc>
          <w:tcPr>
            <w:tcW w:w="43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5ECB" w:rsidRDefault="00EF5ECB">
            <w:pPr>
              <w:tabs>
                <w:tab w:val="left" w:pos="288"/>
                <w:tab w:val="left" w:pos="4752"/>
              </w:tabs>
              <w:spacing w:line="200" w:lineRule="exact"/>
              <w:jc w:val="both"/>
              <w:rPr>
                <w:color w:val="auto"/>
                <w:sz w:val="18"/>
                <w:szCs w:val="18"/>
              </w:rPr>
            </w:pPr>
            <w:r>
              <w:rPr>
                <w:color w:val="auto"/>
                <w:sz w:val="18"/>
                <w:szCs w:val="18"/>
              </w:rPr>
              <w:t>gait normal</w:t>
            </w:r>
          </w:p>
        </w:tc>
      </w:tr>
    </w:tbl>
    <w:p w:rsidR="00EF5ECB" w:rsidRDefault="00EF5ECB" w:rsidP="00EF5ECB">
      <w:pPr>
        <w:tabs>
          <w:tab w:val="left" w:pos="288"/>
          <w:tab w:val="left" w:pos="4752"/>
        </w:tabs>
        <w:spacing w:line="240" w:lineRule="exact"/>
        <w:jc w:val="both"/>
        <w:rPr>
          <w:rFonts w:asciiTheme="minorHAnsi" w:hAnsiTheme="minorHAnsi"/>
          <w:color w:val="auto"/>
          <w:szCs w:val="24"/>
        </w:rPr>
      </w:pPr>
    </w:p>
    <w:p w:rsidR="00EF5ECB" w:rsidRDefault="00EF5ECB" w:rsidP="00EF5ECB">
      <w:pPr>
        <w:tabs>
          <w:tab w:val="left" w:pos="288"/>
          <w:tab w:val="left" w:pos="4752"/>
        </w:tabs>
        <w:spacing w:line="240" w:lineRule="exact"/>
        <w:jc w:val="both"/>
        <w:rPr>
          <w:rFonts w:asciiTheme="minorHAnsi" w:hAnsiTheme="minorHAnsi"/>
          <w:color w:val="auto"/>
          <w:szCs w:val="24"/>
        </w:rPr>
      </w:pPr>
      <w:r>
        <w:rPr>
          <w:rFonts w:asciiTheme="minorHAnsi" w:eastAsiaTheme="minorHAnsi" w:hAnsiTheme="minorHAnsi"/>
          <w:color w:val="auto"/>
          <w:szCs w:val="24"/>
        </w:rPr>
        <w:t xml:space="preserve">In the matter of </w:t>
      </w:r>
      <w:r w:rsidR="00817BC4">
        <w:rPr>
          <w:rFonts w:asciiTheme="minorHAnsi" w:eastAsiaTheme="minorHAnsi" w:hAnsiTheme="minorHAnsi"/>
          <w:color w:val="auto"/>
          <w:szCs w:val="24"/>
        </w:rPr>
        <w:t xml:space="preserve">the </w:t>
      </w:r>
      <w:r w:rsidR="00817BC4">
        <w:rPr>
          <w:rFonts w:asciiTheme="minorHAnsi" w:hAnsiTheme="minorHAnsi"/>
          <w:color w:val="auto"/>
          <w:szCs w:val="24"/>
        </w:rPr>
        <w:t>left hip condition, I agree with</w:t>
      </w:r>
      <w:r w:rsidR="00817BC4">
        <w:rPr>
          <w:rFonts w:asciiTheme="minorHAnsi" w:eastAsiaTheme="minorHAnsi" w:hAnsiTheme="minorHAnsi"/>
          <w:color w:val="auto"/>
          <w:szCs w:val="24"/>
        </w:rPr>
        <w:t xml:space="preserve"> no change in the PEB adjudication.  In the matter of the </w:t>
      </w:r>
      <w:r w:rsidR="00817BC4">
        <w:rPr>
          <w:rFonts w:asciiTheme="minorHAnsi" w:hAnsiTheme="minorHAnsi"/>
          <w:color w:val="auto"/>
          <w:szCs w:val="24"/>
        </w:rPr>
        <w:t>pelvic fracture condition</w:t>
      </w:r>
      <w:r>
        <w:rPr>
          <w:rFonts w:asciiTheme="minorHAnsi" w:hAnsiTheme="minorHAnsi"/>
          <w:color w:val="auto"/>
          <w:szCs w:val="24"/>
        </w:rPr>
        <w:t xml:space="preserve">, </w:t>
      </w:r>
      <w:r>
        <w:rPr>
          <w:rFonts w:asciiTheme="minorHAnsi" w:hAnsiTheme="minorHAnsi"/>
          <w:color w:val="auto"/>
        </w:rPr>
        <w:t>I do not believe that the total disability of the CI’s pelvic fracture at the time of separation is accurately rated at 20%</w:t>
      </w:r>
      <w:r w:rsidR="00817BC4">
        <w:rPr>
          <w:rFonts w:asciiTheme="minorHAnsi" w:hAnsiTheme="minorHAnsi"/>
          <w:color w:val="auto"/>
        </w:rPr>
        <w:t>.  I</w:t>
      </w:r>
      <w:r>
        <w:rPr>
          <w:rFonts w:asciiTheme="minorHAnsi" w:hAnsiTheme="minorHAnsi"/>
          <w:color w:val="auto"/>
        </w:rPr>
        <w:t xml:space="preserve"> recommend no change in the characterization of the CI’s separation rating </w:t>
      </w:r>
      <w:r>
        <w:rPr>
          <w:rFonts w:asciiTheme="minorHAnsi" w:hAnsiTheme="minorHAnsi"/>
          <w:color w:val="auto"/>
          <w:szCs w:val="24"/>
        </w:rPr>
        <w:t>of 5299-5236 at 10%</w:t>
      </w:r>
      <w:r w:rsidR="00817BC4">
        <w:rPr>
          <w:rFonts w:asciiTheme="minorHAnsi" w:hAnsiTheme="minorHAnsi"/>
          <w:color w:val="auto"/>
          <w:szCs w:val="24"/>
        </w:rPr>
        <w:t>,</w:t>
      </w:r>
      <w:r>
        <w:rPr>
          <w:rFonts w:asciiTheme="minorHAnsi" w:hAnsiTheme="minorHAnsi"/>
          <w:color w:val="auto"/>
          <w:szCs w:val="24"/>
        </w:rPr>
        <w:t xml:space="preserve"> as shown on the chart below.</w:t>
      </w:r>
    </w:p>
    <w:p w:rsidR="00EF5ECB" w:rsidRDefault="00EF5ECB" w:rsidP="00EF5ECB">
      <w:pPr>
        <w:tabs>
          <w:tab w:val="left" w:pos="288"/>
          <w:tab w:val="left" w:pos="4752"/>
        </w:tabs>
        <w:spacing w:line="240" w:lineRule="exact"/>
        <w:jc w:val="both"/>
        <w:rPr>
          <w:rFonts w:asciiTheme="minorHAnsi" w:hAnsiTheme="minorHAnsi"/>
          <w:color w:val="auto"/>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480"/>
        <w:gridCol w:w="1710"/>
        <w:gridCol w:w="1170"/>
      </w:tblGrid>
      <w:tr w:rsidR="00EF5ECB" w:rsidTr="00EF5ECB">
        <w:trPr>
          <w:trHeight w:val="287"/>
          <w:jc w:val="center"/>
        </w:trPr>
        <w:tc>
          <w:tcPr>
            <w:tcW w:w="6480" w:type="dxa"/>
            <w:tcBorders>
              <w:top w:val="single" w:sz="4" w:space="0" w:color="000000"/>
              <w:left w:val="single" w:sz="4" w:space="0" w:color="000000"/>
              <w:bottom w:val="single" w:sz="4" w:space="0" w:color="000000"/>
              <w:right w:val="single" w:sz="4" w:space="0" w:color="000000"/>
            </w:tcBorders>
            <w:shd w:val="clear" w:color="auto" w:fill="D9D9D9"/>
            <w:hideMark/>
          </w:tcPr>
          <w:p w:rsidR="00EF5ECB" w:rsidRDefault="00EF5ECB">
            <w:pPr>
              <w:tabs>
                <w:tab w:val="left" w:pos="288"/>
                <w:tab w:val="left" w:pos="4752"/>
              </w:tabs>
              <w:spacing w:line="240" w:lineRule="exact"/>
              <w:jc w:val="both"/>
              <w:rPr>
                <w:rFonts w:asciiTheme="minorHAnsi" w:hAnsiTheme="minorHAnsi"/>
                <w:b/>
                <w:color w:val="auto"/>
                <w:szCs w:val="24"/>
              </w:rPr>
            </w:pPr>
            <w:r>
              <w:rPr>
                <w:rFonts w:asciiTheme="minorHAnsi" w:hAnsiTheme="minorHAnsi"/>
                <w:b/>
                <w:color w:val="auto"/>
                <w:szCs w:val="24"/>
              </w:rPr>
              <w:t>UNFITTING CONDITION</w:t>
            </w:r>
          </w:p>
        </w:tc>
        <w:tc>
          <w:tcPr>
            <w:tcW w:w="1710" w:type="dxa"/>
            <w:tcBorders>
              <w:top w:val="single" w:sz="4" w:space="0" w:color="000000"/>
              <w:left w:val="single" w:sz="4" w:space="0" w:color="000000"/>
              <w:bottom w:val="single" w:sz="4" w:space="0" w:color="000000"/>
              <w:right w:val="single" w:sz="4" w:space="0" w:color="000000"/>
            </w:tcBorders>
            <w:shd w:val="clear" w:color="auto" w:fill="D9D9D9"/>
            <w:hideMark/>
          </w:tcPr>
          <w:p w:rsidR="00EF5ECB" w:rsidRDefault="00EF5ECB">
            <w:pPr>
              <w:tabs>
                <w:tab w:val="left" w:pos="288"/>
                <w:tab w:val="left" w:pos="4752"/>
              </w:tabs>
              <w:spacing w:line="240" w:lineRule="exact"/>
              <w:jc w:val="center"/>
              <w:rPr>
                <w:rFonts w:asciiTheme="minorHAnsi" w:hAnsiTheme="minorHAnsi"/>
                <w:b/>
                <w:color w:val="auto"/>
                <w:szCs w:val="24"/>
              </w:rPr>
            </w:pPr>
            <w:r>
              <w:rPr>
                <w:rFonts w:asciiTheme="minorHAnsi" w:hAnsiTheme="minorHAnsi"/>
                <w:b/>
                <w:color w:val="auto"/>
                <w:szCs w:val="24"/>
              </w:rPr>
              <w:t>VASRD CODE</w:t>
            </w:r>
          </w:p>
        </w:tc>
        <w:tc>
          <w:tcPr>
            <w:tcW w:w="1170" w:type="dxa"/>
            <w:tcBorders>
              <w:top w:val="single" w:sz="4" w:space="0" w:color="000000"/>
              <w:left w:val="single" w:sz="4" w:space="0" w:color="000000"/>
              <w:bottom w:val="single" w:sz="4" w:space="0" w:color="000000"/>
              <w:right w:val="single" w:sz="4" w:space="0" w:color="000000"/>
            </w:tcBorders>
            <w:shd w:val="clear" w:color="auto" w:fill="D9D9D9"/>
            <w:hideMark/>
          </w:tcPr>
          <w:p w:rsidR="00EF5ECB" w:rsidRDefault="00EF5ECB">
            <w:pPr>
              <w:tabs>
                <w:tab w:val="left" w:pos="288"/>
                <w:tab w:val="left" w:pos="4752"/>
              </w:tabs>
              <w:spacing w:line="240" w:lineRule="exact"/>
              <w:jc w:val="center"/>
              <w:rPr>
                <w:rFonts w:asciiTheme="minorHAnsi" w:hAnsiTheme="minorHAnsi"/>
                <w:b/>
                <w:color w:val="auto"/>
                <w:szCs w:val="24"/>
              </w:rPr>
            </w:pPr>
            <w:r>
              <w:rPr>
                <w:rFonts w:asciiTheme="minorHAnsi" w:hAnsiTheme="minorHAnsi"/>
                <w:b/>
                <w:color w:val="auto"/>
                <w:szCs w:val="24"/>
              </w:rPr>
              <w:t>RATING</w:t>
            </w:r>
          </w:p>
        </w:tc>
      </w:tr>
      <w:tr w:rsidR="00EF5ECB" w:rsidTr="00EF5ECB">
        <w:trPr>
          <w:jc w:val="center"/>
        </w:trPr>
        <w:tc>
          <w:tcPr>
            <w:tcW w:w="6480" w:type="dxa"/>
            <w:tcBorders>
              <w:top w:val="single" w:sz="4" w:space="0" w:color="000000"/>
              <w:left w:val="single" w:sz="4" w:space="0" w:color="000000"/>
              <w:bottom w:val="single" w:sz="4" w:space="0" w:color="000000"/>
              <w:right w:val="single" w:sz="4" w:space="0" w:color="000000"/>
            </w:tcBorders>
            <w:hideMark/>
          </w:tcPr>
          <w:p w:rsidR="00EF5ECB" w:rsidRDefault="00EF5ECB">
            <w:pPr>
              <w:tabs>
                <w:tab w:val="left" w:pos="288"/>
                <w:tab w:val="left" w:pos="4752"/>
              </w:tabs>
              <w:spacing w:line="240" w:lineRule="exact"/>
              <w:jc w:val="both"/>
              <w:rPr>
                <w:rFonts w:asciiTheme="minorHAnsi" w:hAnsiTheme="minorHAnsi"/>
                <w:color w:val="auto"/>
                <w:szCs w:val="24"/>
              </w:rPr>
            </w:pPr>
            <w:r>
              <w:rPr>
                <w:rFonts w:asciiTheme="minorHAnsi" w:hAnsiTheme="minorHAnsi"/>
                <w:color w:val="auto"/>
                <w:szCs w:val="24"/>
              </w:rPr>
              <w:t xml:space="preserve">Left Hip </w:t>
            </w:r>
            <w:proofErr w:type="spellStart"/>
            <w:r>
              <w:rPr>
                <w:rFonts w:asciiTheme="minorHAnsi" w:hAnsiTheme="minorHAnsi"/>
                <w:color w:val="auto"/>
                <w:szCs w:val="24"/>
              </w:rPr>
              <w:t>Labral</w:t>
            </w:r>
            <w:proofErr w:type="spellEnd"/>
            <w:r>
              <w:rPr>
                <w:rFonts w:asciiTheme="minorHAnsi" w:hAnsiTheme="minorHAnsi"/>
                <w:color w:val="auto"/>
                <w:szCs w:val="24"/>
              </w:rPr>
              <w:t xml:space="preserve"> Tear</w:t>
            </w:r>
          </w:p>
        </w:tc>
        <w:tc>
          <w:tcPr>
            <w:tcW w:w="1710" w:type="dxa"/>
            <w:tcBorders>
              <w:top w:val="single" w:sz="4" w:space="0" w:color="000000"/>
              <w:left w:val="single" w:sz="4" w:space="0" w:color="000000"/>
              <w:bottom w:val="single" w:sz="4" w:space="0" w:color="000000"/>
              <w:right w:val="single" w:sz="4" w:space="0" w:color="000000"/>
            </w:tcBorders>
            <w:hideMark/>
          </w:tcPr>
          <w:p w:rsidR="00EF5ECB" w:rsidRDefault="00EF5ECB">
            <w:pPr>
              <w:tabs>
                <w:tab w:val="left" w:pos="288"/>
                <w:tab w:val="left" w:pos="4752"/>
              </w:tabs>
              <w:spacing w:line="240" w:lineRule="exact"/>
              <w:jc w:val="center"/>
              <w:rPr>
                <w:rFonts w:asciiTheme="minorHAnsi" w:hAnsiTheme="minorHAnsi"/>
                <w:color w:val="auto"/>
                <w:szCs w:val="24"/>
              </w:rPr>
            </w:pPr>
            <w:r>
              <w:rPr>
                <w:rFonts w:asciiTheme="minorHAnsi" w:hAnsiTheme="minorHAnsi"/>
                <w:color w:val="auto"/>
                <w:szCs w:val="24"/>
              </w:rPr>
              <w:t>5299-5003</w:t>
            </w:r>
          </w:p>
        </w:tc>
        <w:tc>
          <w:tcPr>
            <w:tcW w:w="1170" w:type="dxa"/>
            <w:tcBorders>
              <w:top w:val="single" w:sz="4" w:space="0" w:color="000000"/>
              <w:left w:val="single" w:sz="4" w:space="0" w:color="000000"/>
              <w:bottom w:val="single" w:sz="4" w:space="0" w:color="000000"/>
              <w:right w:val="single" w:sz="4" w:space="0" w:color="000000"/>
            </w:tcBorders>
            <w:hideMark/>
          </w:tcPr>
          <w:p w:rsidR="00EF5ECB" w:rsidRDefault="00EF5ECB">
            <w:pPr>
              <w:tabs>
                <w:tab w:val="left" w:pos="288"/>
                <w:tab w:val="left" w:pos="4752"/>
              </w:tabs>
              <w:spacing w:line="240" w:lineRule="exact"/>
              <w:jc w:val="center"/>
              <w:rPr>
                <w:rFonts w:asciiTheme="minorHAnsi" w:hAnsiTheme="minorHAnsi"/>
                <w:color w:val="auto"/>
                <w:szCs w:val="24"/>
              </w:rPr>
            </w:pPr>
            <w:r>
              <w:rPr>
                <w:rFonts w:asciiTheme="minorHAnsi" w:hAnsiTheme="minorHAnsi"/>
                <w:color w:val="auto"/>
                <w:szCs w:val="24"/>
              </w:rPr>
              <w:t>10%</w:t>
            </w:r>
          </w:p>
        </w:tc>
      </w:tr>
      <w:tr w:rsidR="00EF5ECB" w:rsidTr="00EF5ECB">
        <w:trPr>
          <w:jc w:val="center"/>
        </w:trPr>
        <w:tc>
          <w:tcPr>
            <w:tcW w:w="6480" w:type="dxa"/>
            <w:tcBorders>
              <w:top w:val="single" w:sz="4" w:space="0" w:color="000000"/>
              <w:left w:val="single" w:sz="4" w:space="0" w:color="000000"/>
              <w:bottom w:val="single" w:sz="4" w:space="0" w:color="000000"/>
              <w:right w:val="single" w:sz="4" w:space="0" w:color="000000"/>
            </w:tcBorders>
            <w:hideMark/>
          </w:tcPr>
          <w:p w:rsidR="00EF5ECB" w:rsidRDefault="00EF5ECB">
            <w:pPr>
              <w:tabs>
                <w:tab w:val="left" w:pos="288"/>
                <w:tab w:val="left" w:pos="4752"/>
              </w:tabs>
              <w:spacing w:line="240" w:lineRule="exact"/>
              <w:jc w:val="both"/>
              <w:rPr>
                <w:rFonts w:asciiTheme="minorHAnsi" w:hAnsiTheme="minorHAnsi"/>
                <w:color w:val="auto"/>
                <w:szCs w:val="24"/>
              </w:rPr>
            </w:pPr>
            <w:r>
              <w:rPr>
                <w:rFonts w:asciiTheme="minorHAnsi" w:hAnsiTheme="minorHAnsi"/>
                <w:color w:val="auto"/>
                <w:szCs w:val="24"/>
              </w:rPr>
              <w:t xml:space="preserve">Healed L Inferior Pubic </w:t>
            </w:r>
            <w:proofErr w:type="spellStart"/>
            <w:r>
              <w:rPr>
                <w:rFonts w:asciiTheme="minorHAnsi" w:hAnsiTheme="minorHAnsi"/>
                <w:color w:val="auto"/>
                <w:szCs w:val="24"/>
              </w:rPr>
              <w:t>Ramus</w:t>
            </w:r>
            <w:proofErr w:type="spellEnd"/>
            <w:r>
              <w:rPr>
                <w:rFonts w:asciiTheme="minorHAnsi" w:hAnsiTheme="minorHAnsi"/>
                <w:color w:val="auto"/>
                <w:szCs w:val="24"/>
              </w:rPr>
              <w:t xml:space="preserve"> and Superior Pubic </w:t>
            </w:r>
            <w:proofErr w:type="spellStart"/>
            <w:r>
              <w:rPr>
                <w:rFonts w:asciiTheme="minorHAnsi" w:hAnsiTheme="minorHAnsi"/>
                <w:color w:val="auto"/>
                <w:szCs w:val="24"/>
              </w:rPr>
              <w:t>Ramus</w:t>
            </w:r>
            <w:proofErr w:type="spellEnd"/>
            <w:r>
              <w:rPr>
                <w:rFonts w:asciiTheme="minorHAnsi" w:hAnsiTheme="minorHAnsi"/>
                <w:color w:val="auto"/>
                <w:szCs w:val="24"/>
              </w:rPr>
              <w:t xml:space="preserve"> Pelvic </w:t>
            </w:r>
            <w:proofErr w:type="spellStart"/>
            <w:r>
              <w:rPr>
                <w:rFonts w:asciiTheme="minorHAnsi" w:hAnsiTheme="minorHAnsi"/>
                <w:color w:val="auto"/>
                <w:szCs w:val="24"/>
              </w:rPr>
              <w:t>Fx</w:t>
            </w:r>
            <w:proofErr w:type="spellEnd"/>
            <w:r>
              <w:rPr>
                <w:rFonts w:asciiTheme="minorHAnsi" w:hAnsiTheme="minorHAnsi"/>
                <w:color w:val="auto"/>
                <w:szCs w:val="24"/>
              </w:rPr>
              <w:t xml:space="preserve"> After MVA in Iraq</w:t>
            </w:r>
          </w:p>
        </w:tc>
        <w:tc>
          <w:tcPr>
            <w:tcW w:w="1710" w:type="dxa"/>
            <w:tcBorders>
              <w:top w:val="single" w:sz="4" w:space="0" w:color="000000"/>
              <w:left w:val="single" w:sz="4" w:space="0" w:color="000000"/>
              <w:bottom w:val="single" w:sz="4" w:space="0" w:color="000000"/>
              <w:right w:val="single" w:sz="4" w:space="0" w:color="000000"/>
            </w:tcBorders>
            <w:hideMark/>
          </w:tcPr>
          <w:p w:rsidR="00EF5ECB" w:rsidRDefault="00EF5ECB">
            <w:pPr>
              <w:tabs>
                <w:tab w:val="left" w:pos="288"/>
                <w:tab w:val="left" w:pos="4752"/>
              </w:tabs>
              <w:spacing w:line="240" w:lineRule="exact"/>
              <w:jc w:val="center"/>
              <w:rPr>
                <w:rFonts w:asciiTheme="minorHAnsi" w:hAnsiTheme="minorHAnsi"/>
                <w:color w:val="auto"/>
                <w:szCs w:val="24"/>
              </w:rPr>
            </w:pPr>
            <w:r>
              <w:rPr>
                <w:rFonts w:asciiTheme="minorHAnsi" w:hAnsiTheme="minorHAnsi"/>
                <w:color w:val="auto"/>
                <w:szCs w:val="24"/>
              </w:rPr>
              <w:t>5299-5236</w:t>
            </w:r>
          </w:p>
        </w:tc>
        <w:tc>
          <w:tcPr>
            <w:tcW w:w="1170" w:type="dxa"/>
            <w:tcBorders>
              <w:top w:val="single" w:sz="4" w:space="0" w:color="000000"/>
              <w:left w:val="single" w:sz="4" w:space="0" w:color="000000"/>
              <w:bottom w:val="single" w:sz="4" w:space="0" w:color="000000"/>
              <w:right w:val="single" w:sz="4" w:space="0" w:color="000000"/>
            </w:tcBorders>
            <w:hideMark/>
          </w:tcPr>
          <w:p w:rsidR="00EF5ECB" w:rsidRDefault="00EF5ECB">
            <w:pPr>
              <w:tabs>
                <w:tab w:val="left" w:pos="288"/>
                <w:tab w:val="left" w:pos="4752"/>
              </w:tabs>
              <w:spacing w:line="240" w:lineRule="exact"/>
              <w:jc w:val="center"/>
              <w:rPr>
                <w:rFonts w:asciiTheme="minorHAnsi" w:hAnsiTheme="minorHAnsi"/>
                <w:color w:val="auto"/>
                <w:szCs w:val="24"/>
              </w:rPr>
            </w:pPr>
            <w:r>
              <w:rPr>
                <w:rFonts w:asciiTheme="minorHAnsi" w:hAnsiTheme="minorHAnsi"/>
                <w:color w:val="auto"/>
                <w:szCs w:val="24"/>
              </w:rPr>
              <w:t>10%</w:t>
            </w:r>
          </w:p>
        </w:tc>
      </w:tr>
      <w:tr w:rsidR="00EF5ECB" w:rsidTr="00EF5ECB">
        <w:trPr>
          <w:gridBefore w:val="1"/>
          <w:wBefore w:w="6480" w:type="dxa"/>
          <w:trHeight w:val="287"/>
          <w:jc w:val="center"/>
        </w:trPr>
        <w:tc>
          <w:tcPr>
            <w:tcW w:w="1710" w:type="dxa"/>
            <w:tcBorders>
              <w:top w:val="single" w:sz="4" w:space="0" w:color="000000"/>
              <w:left w:val="single" w:sz="4" w:space="0" w:color="auto"/>
              <w:bottom w:val="single" w:sz="4" w:space="0" w:color="000000"/>
              <w:right w:val="single" w:sz="4" w:space="0" w:color="000000"/>
            </w:tcBorders>
            <w:shd w:val="clear" w:color="auto" w:fill="D9D9D9" w:themeFill="background1" w:themeFillShade="D9"/>
            <w:hideMark/>
          </w:tcPr>
          <w:p w:rsidR="00EF5ECB" w:rsidRDefault="00EF5ECB">
            <w:pPr>
              <w:tabs>
                <w:tab w:val="left" w:pos="288"/>
                <w:tab w:val="left" w:pos="4752"/>
              </w:tabs>
              <w:spacing w:line="240" w:lineRule="exact"/>
              <w:jc w:val="center"/>
              <w:rPr>
                <w:rFonts w:asciiTheme="minorHAnsi" w:hAnsiTheme="minorHAnsi"/>
                <w:b/>
                <w:color w:val="auto"/>
                <w:szCs w:val="24"/>
              </w:rPr>
            </w:pPr>
            <w:r>
              <w:rPr>
                <w:rFonts w:asciiTheme="minorHAnsi" w:hAnsiTheme="minorHAnsi"/>
                <w:b/>
                <w:color w:val="auto"/>
                <w:szCs w:val="24"/>
              </w:rPr>
              <w:t>COMBINED</w:t>
            </w:r>
          </w:p>
        </w:tc>
        <w:tc>
          <w:tcPr>
            <w:tcW w:w="117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EF5ECB" w:rsidRDefault="00EF5ECB">
            <w:pPr>
              <w:tabs>
                <w:tab w:val="left" w:pos="288"/>
                <w:tab w:val="left" w:pos="4752"/>
              </w:tabs>
              <w:spacing w:line="240" w:lineRule="exact"/>
              <w:jc w:val="center"/>
              <w:rPr>
                <w:rFonts w:asciiTheme="minorHAnsi" w:hAnsiTheme="minorHAnsi"/>
                <w:b/>
                <w:color w:val="auto"/>
                <w:szCs w:val="24"/>
              </w:rPr>
            </w:pPr>
            <w:r>
              <w:rPr>
                <w:rFonts w:asciiTheme="minorHAnsi" w:hAnsiTheme="minorHAnsi"/>
                <w:b/>
                <w:color w:val="auto"/>
                <w:szCs w:val="24"/>
              </w:rPr>
              <w:t>20%</w:t>
            </w:r>
          </w:p>
        </w:tc>
      </w:tr>
    </w:tbl>
    <w:p w:rsidR="00EF5ECB" w:rsidRDefault="00EF5ECB" w:rsidP="007F27F2">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p>
    <w:p w:rsidR="00D91188" w:rsidRDefault="00D91188">
      <w:pPr>
        <w:rPr>
          <w:rFonts w:asciiTheme="minorHAnsi" w:hAnsiTheme="minorHAnsi"/>
          <w:color w:val="auto"/>
        </w:rPr>
      </w:pPr>
      <w:r>
        <w:rPr>
          <w:rFonts w:asciiTheme="minorHAnsi" w:hAnsiTheme="minorHAnsi"/>
          <w:color w:val="auto"/>
        </w:rPr>
        <w:br w:type="page"/>
      </w:r>
    </w:p>
    <w:p w:rsidR="00EF5ECB" w:rsidRDefault="00EF5ECB" w:rsidP="007F27F2">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p>
    <w:p w:rsidR="00D91188" w:rsidRPr="00D91188" w:rsidRDefault="00D91188" w:rsidP="00D91188">
      <w:pPr>
        <w:jc w:val="both"/>
        <w:rPr>
          <w:color w:val="auto"/>
        </w:rPr>
      </w:pPr>
      <w:r w:rsidRPr="00D91188">
        <w:rPr>
          <w:color w:val="auto"/>
        </w:rPr>
        <w:t xml:space="preserve">MEMORANDUM FOR DIRECTOR, SECRETARY OF THE NAVY COUNCIL OF REVIEW  </w:t>
      </w:r>
    </w:p>
    <w:p w:rsidR="00D91188" w:rsidRPr="00D91188" w:rsidRDefault="00D91188" w:rsidP="00D91188">
      <w:pPr>
        <w:tabs>
          <w:tab w:val="left" w:pos="2430"/>
        </w:tabs>
        <w:jc w:val="both"/>
        <w:rPr>
          <w:color w:val="auto"/>
        </w:rPr>
      </w:pPr>
      <w:r w:rsidRPr="00D91188">
        <w:rPr>
          <w:color w:val="auto"/>
        </w:rPr>
        <w:t xml:space="preserve">                                        </w:t>
      </w:r>
      <w:r w:rsidRPr="00D91188">
        <w:rPr>
          <w:color w:val="auto"/>
        </w:rPr>
        <w:tab/>
        <w:t xml:space="preserve">BOARDS </w:t>
      </w:r>
    </w:p>
    <w:p w:rsidR="00D91188" w:rsidRPr="00D91188" w:rsidRDefault="00D91188" w:rsidP="00D91188">
      <w:pPr>
        <w:jc w:val="both"/>
        <w:rPr>
          <w:color w:val="auto"/>
        </w:rPr>
      </w:pPr>
    </w:p>
    <w:p w:rsidR="00D91188" w:rsidRPr="00D91188" w:rsidRDefault="00D91188" w:rsidP="00D91188">
      <w:pPr>
        <w:jc w:val="both"/>
        <w:rPr>
          <w:color w:val="auto"/>
        </w:rPr>
      </w:pPr>
      <w:proofErr w:type="spellStart"/>
      <w:r w:rsidRPr="00D91188">
        <w:rPr>
          <w:color w:val="auto"/>
        </w:rPr>
        <w:t>Subj</w:t>
      </w:r>
      <w:proofErr w:type="spellEnd"/>
      <w:r w:rsidRPr="00D91188">
        <w:rPr>
          <w:color w:val="auto"/>
        </w:rPr>
        <w:t>:  PHYSICAL DISABILITY BOARD OF REVIEW (PDBR) RECOMMENDATION</w:t>
      </w:r>
    </w:p>
    <w:p w:rsidR="00D91188" w:rsidRPr="00D91188" w:rsidRDefault="00D91188" w:rsidP="00D91188">
      <w:pPr>
        <w:tabs>
          <w:tab w:val="left" w:pos="630"/>
        </w:tabs>
        <w:jc w:val="both"/>
        <w:rPr>
          <w:color w:val="auto"/>
        </w:rPr>
      </w:pPr>
      <w:r w:rsidRPr="00D91188">
        <w:rPr>
          <w:color w:val="auto"/>
        </w:rPr>
        <w:t xml:space="preserve">          </w:t>
      </w:r>
      <w:r w:rsidRPr="00D91188">
        <w:rPr>
          <w:color w:val="auto"/>
        </w:rPr>
        <w:tab/>
        <w:t xml:space="preserve">ICO </w:t>
      </w:r>
      <w:r>
        <w:rPr>
          <w:color w:val="auto"/>
        </w:rPr>
        <w:t>XXXXX</w:t>
      </w:r>
      <w:r w:rsidRPr="00D91188">
        <w:rPr>
          <w:color w:val="auto"/>
        </w:rPr>
        <w:t xml:space="preserve">, FORMER USMC, XXX XX </w:t>
      </w:r>
      <w:r>
        <w:rPr>
          <w:color w:val="auto"/>
        </w:rPr>
        <w:t>XXXX</w:t>
      </w:r>
    </w:p>
    <w:p w:rsidR="00D91188" w:rsidRPr="00D91188" w:rsidRDefault="00D91188" w:rsidP="00D91188">
      <w:pPr>
        <w:jc w:val="both"/>
        <w:rPr>
          <w:color w:val="auto"/>
        </w:rPr>
      </w:pPr>
    </w:p>
    <w:p w:rsidR="00D91188" w:rsidRPr="00D91188" w:rsidRDefault="00D91188" w:rsidP="00D91188">
      <w:pPr>
        <w:jc w:val="both"/>
        <w:rPr>
          <w:color w:val="auto"/>
        </w:rPr>
      </w:pPr>
      <w:r w:rsidRPr="00D91188">
        <w:rPr>
          <w:color w:val="auto"/>
        </w:rPr>
        <w:t>Ref:   (a) DoDI 6040.44</w:t>
      </w:r>
    </w:p>
    <w:p w:rsidR="00D91188" w:rsidRPr="00D91188" w:rsidRDefault="00D91188" w:rsidP="00D91188">
      <w:pPr>
        <w:jc w:val="both"/>
        <w:rPr>
          <w:color w:val="auto"/>
        </w:rPr>
      </w:pPr>
      <w:r w:rsidRPr="00D91188">
        <w:rPr>
          <w:color w:val="auto"/>
        </w:rPr>
        <w:t xml:space="preserve">          (b) PDBR </w:t>
      </w:r>
      <w:proofErr w:type="spellStart"/>
      <w:r w:rsidRPr="00D91188">
        <w:rPr>
          <w:color w:val="auto"/>
        </w:rPr>
        <w:t>ltr</w:t>
      </w:r>
      <w:proofErr w:type="spellEnd"/>
      <w:r w:rsidRPr="00D91188">
        <w:rPr>
          <w:color w:val="auto"/>
        </w:rPr>
        <w:t xml:space="preserve"> </w:t>
      </w:r>
      <w:proofErr w:type="spellStart"/>
      <w:r w:rsidRPr="00D91188">
        <w:rPr>
          <w:color w:val="auto"/>
        </w:rPr>
        <w:t>dtd</w:t>
      </w:r>
      <w:proofErr w:type="spellEnd"/>
      <w:r w:rsidRPr="00D91188">
        <w:rPr>
          <w:color w:val="auto"/>
        </w:rPr>
        <w:t xml:space="preserve"> 21 Jun 11</w:t>
      </w:r>
    </w:p>
    <w:p w:rsidR="00D91188" w:rsidRPr="00D91188" w:rsidRDefault="00D91188" w:rsidP="00D91188">
      <w:pPr>
        <w:jc w:val="both"/>
        <w:rPr>
          <w:color w:val="auto"/>
        </w:rPr>
      </w:pPr>
    </w:p>
    <w:p w:rsidR="00D91188" w:rsidRPr="00D91188" w:rsidRDefault="00D91188" w:rsidP="00D91188">
      <w:pPr>
        <w:jc w:val="both"/>
        <w:rPr>
          <w:color w:val="auto"/>
        </w:rPr>
      </w:pPr>
      <w:r w:rsidRPr="00D91188">
        <w:rPr>
          <w:color w:val="auto"/>
        </w:rPr>
        <w:t xml:space="preserve">      I have reviewed the subject case pursuant to reference (a) and non-concur with the recommendation of the PDBR as set forth in reference (b).  Therefore, Mr. </w:t>
      </w:r>
      <w:r>
        <w:rPr>
          <w:color w:val="auto"/>
        </w:rPr>
        <w:t>XXXXX</w:t>
      </w:r>
      <w:r w:rsidRPr="00D91188">
        <w:rPr>
          <w:color w:val="auto"/>
        </w:rPr>
        <w:t>’s records will not be corrected to reflect a change in either his characterization of separation or in the disability rating previously assigned by the Department of the Navy’s Physical Evaluation Board.</w:t>
      </w:r>
    </w:p>
    <w:p w:rsidR="00D91188" w:rsidRPr="00D91188" w:rsidRDefault="00D91188" w:rsidP="00D91188">
      <w:pPr>
        <w:jc w:val="both"/>
        <w:rPr>
          <w:color w:val="auto"/>
        </w:rPr>
      </w:pPr>
    </w:p>
    <w:p w:rsidR="00D91188" w:rsidRPr="00D91188" w:rsidRDefault="00D91188" w:rsidP="00D91188">
      <w:pPr>
        <w:jc w:val="both"/>
        <w:rPr>
          <w:color w:val="auto"/>
        </w:rPr>
      </w:pPr>
    </w:p>
    <w:p w:rsidR="00D91188" w:rsidRPr="00D91188" w:rsidRDefault="00D91188" w:rsidP="00D91188">
      <w:pPr>
        <w:jc w:val="both"/>
        <w:rPr>
          <w:color w:val="auto"/>
        </w:rPr>
      </w:pPr>
    </w:p>
    <w:p w:rsidR="00D91188" w:rsidRPr="00D91188" w:rsidRDefault="00D91188" w:rsidP="00D91188">
      <w:pPr>
        <w:tabs>
          <w:tab w:val="left" w:pos="4680"/>
        </w:tabs>
        <w:jc w:val="both"/>
        <w:rPr>
          <w:color w:val="auto"/>
        </w:rPr>
      </w:pPr>
      <w:r w:rsidRPr="00D91188">
        <w:rPr>
          <w:color w:val="auto"/>
        </w:rPr>
        <w:tab/>
      </w:r>
    </w:p>
    <w:p w:rsidR="00D91188" w:rsidRPr="00D91188" w:rsidRDefault="00D91188" w:rsidP="00D91188">
      <w:pPr>
        <w:jc w:val="both"/>
        <w:rPr>
          <w:color w:val="auto"/>
        </w:rPr>
      </w:pPr>
      <w:r w:rsidRPr="00D91188">
        <w:rPr>
          <w:color w:val="auto"/>
        </w:rPr>
        <w:tab/>
      </w:r>
      <w:r w:rsidRPr="00D91188">
        <w:rPr>
          <w:color w:val="auto"/>
        </w:rPr>
        <w:tab/>
      </w:r>
      <w:r w:rsidRPr="00D91188">
        <w:rPr>
          <w:color w:val="auto"/>
        </w:rPr>
        <w:tab/>
      </w:r>
      <w:r w:rsidRPr="00D91188">
        <w:rPr>
          <w:color w:val="auto"/>
        </w:rPr>
        <w:tab/>
      </w:r>
      <w:r w:rsidRPr="00D91188">
        <w:rPr>
          <w:color w:val="auto"/>
        </w:rPr>
        <w:tab/>
      </w:r>
      <w:r w:rsidRPr="00D91188">
        <w:rPr>
          <w:color w:val="auto"/>
        </w:rPr>
        <w:tab/>
        <w:t xml:space="preserve">      Principal Deputy</w:t>
      </w:r>
    </w:p>
    <w:p w:rsidR="00D91188" w:rsidRPr="00D91188" w:rsidRDefault="00D91188" w:rsidP="00D91188">
      <w:pPr>
        <w:jc w:val="both"/>
        <w:rPr>
          <w:color w:val="auto"/>
        </w:rPr>
      </w:pPr>
      <w:r w:rsidRPr="00D91188">
        <w:rPr>
          <w:color w:val="auto"/>
        </w:rPr>
        <w:tab/>
      </w:r>
      <w:r w:rsidRPr="00D91188">
        <w:rPr>
          <w:color w:val="auto"/>
        </w:rPr>
        <w:tab/>
      </w:r>
      <w:r w:rsidRPr="00D91188">
        <w:rPr>
          <w:color w:val="auto"/>
        </w:rPr>
        <w:tab/>
      </w:r>
      <w:r w:rsidRPr="00D91188">
        <w:rPr>
          <w:color w:val="auto"/>
        </w:rPr>
        <w:tab/>
      </w:r>
      <w:r w:rsidRPr="00D91188">
        <w:rPr>
          <w:color w:val="auto"/>
        </w:rPr>
        <w:tab/>
      </w:r>
      <w:r w:rsidRPr="00D91188">
        <w:rPr>
          <w:color w:val="auto"/>
        </w:rPr>
        <w:tab/>
        <w:t xml:space="preserve">      Assistant Secretary of the Navy </w:t>
      </w:r>
    </w:p>
    <w:p w:rsidR="00D91188" w:rsidRPr="00D91188" w:rsidRDefault="00D91188" w:rsidP="00D91188">
      <w:pPr>
        <w:jc w:val="both"/>
        <w:rPr>
          <w:color w:val="auto"/>
        </w:rPr>
      </w:pPr>
      <w:r w:rsidRPr="00D91188">
        <w:rPr>
          <w:color w:val="auto"/>
        </w:rPr>
        <w:tab/>
      </w:r>
      <w:r w:rsidRPr="00D91188">
        <w:rPr>
          <w:color w:val="auto"/>
        </w:rPr>
        <w:tab/>
      </w:r>
      <w:r w:rsidRPr="00D91188">
        <w:rPr>
          <w:color w:val="auto"/>
        </w:rPr>
        <w:tab/>
      </w:r>
      <w:r w:rsidRPr="00D91188">
        <w:rPr>
          <w:color w:val="auto"/>
        </w:rPr>
        <w:tab/>
      </w:r>
      <w:r w:rsidRPr="00D91188">
        <w:rPr>
          <w:color w:val="auto"/>
        </w:rPr>
        <w:tab/>
      </w:r>
      <w:r w:rsidRPr="00D91188">
        <w:rPr>
          <w:color w:val="auto"/>
        </w:rPr>
        <w:tab/>
        <w:t xml:space="preserve">        (Manpower &amp; Reserve Affairs)</w:t>
      </w:r>
    </w:p>
    <w:p w:rsidR="00D91188" w:rsidRPr="00D91188" w:rsidRDefault="00D91188" w:rsidP="00D91188">
      <w:pPr>
        <w:jc w:val="both"/>
        <w:rPr>
          <w:color w:val="auto"/>
        </w:rPr>
      </w:pPr>
      <w:r w:rsidRPr="00D91188">
        <w:rPr>
          <w:color w:val="auto"/>
        </w:rPr>
        <w:tab/>
      </w:r>
      <w:r w:rsidRPr="00D91188">
        <w:rPr>
          <w:color w:val="auto"/>
        </w:rPr>
        <w:tab/>
      </w:r>
      <w:r w:rsidRPr="00D91188">
        <w:rPr>
          <w:color w:val="auto"/>
        </w:rPr>
        <w:tab/>
      </w:r>
      <w:r w:rsidRPr="00D91188">
        <w:rPr>
          <w:color w:val="auto"/>
        </w:rPr>
        <w:tab/>
      </w:r>
      <w:r w:rsidRPr="00D91188">
        <w:rPr>
          <w:color w:val="auto"/>
        </w:rPr>
        <w:tab/>
      </w:r>
      <w:r w:rsidRPr="00D91188">
        <w:rPr>
          <w:color w:val="auto"/>
        </w:rPr>
        <w:tab/>
        <w:t xml:space="preserve">  </w:t>
      </w:r>
    </w:p>
    <w:p w:rsidR="00D91188" w:rsidRDefault="00D91188" w:rsidP="00D91188">
      <w:pPr>
        <w:jc w:val="both"/>
      </w:pPr>
    </w:p>
    <w:p w:rsidR="00EF5ECB" w:rsidRPr="00006186" w:rsidRDefault="00EF5ECB" w:rsidP="007F27F2">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p>
    <w:sectPr w:rsidR="00EF5ECB" w:rsidRPr="00006186" w:rsidSect="005000AB">
      <w:footerReference w:type="even" r:id="rId7"/>
      <w:footerReference w:type="default" r:id="rId8"/>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7CFD" w:rsidRDefault="008E7CFD">
      <w:r>
        <w:separator/>
      </w:r>
    </w:p>
  </w:endnote>
  <w:endnote w:type="continuationSeparator" w:id="0">
    <w:p w:rsidR="008E7CFD" w:rsidRDefault="008E7CFD">
      <w:r>
        <w:continuationSeparator/>
      </w:r>
    </w:p>
  </w:endnote>
</w:endnotes>
</file>

<file path=word/fontTable.xml><?xml version="1.0" encoding="utf-8"?>
<w:fonts xmlns:r="http://schemas.openxmlformats.org/officeDocument/2006/relationships" xmlns:w="http://schemas.openxmlformats.org/wordprocessingml/2006/main">
  <w:font w:name="Courier">
    <w:panose1 w:val="02070409020205020404"/>
    <w:charset w:val="00"/>
    <w:family w:val="modern"/>
    <w:notTrueType/>
    <w:pitch w:val="fixed"/>
    <w:sig w:usb0="00000003" w:usb1="00000000" w:usb2="00000000" w:usb3="00000000" w:csb0="00000001" w:csb1="00000000"/>
  </w:font>
  <w:font w:name="Times New Roman">
    <w:panose1 w:val="02020603050405020304"/>
    <w:charset w:val="00"/>
    <w:family w:val="roman"/>
    <w:pitch w:val="variable"/>
    <w:sig w:usb0="E0002AEF" w:usb1="C0007841" w:usb2="00000009" w:usb3="00000000" w:csb0="000001FF" w:csb1="00000000"/>
  </w:font>
  <w:font w:name="Consolas">
    <w:panose1 w:val="020B0609020204030204"/>
    <w:charset w:val="00"/>
    <w:family w:val="modern"/>
    <w:pitch w:val="fixed"/>
    <w:sig w:usb0="A00002EF" w:usb1="40002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HiddenHorzOCR">
    <w:altName w:val="MS Mincho"/>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239D" w:rsidRDefault="00226B16">
    <w:pPr>
      <w:pStyle w:val="Footer"/>
      <w:framePr w:wrap="around" w:vAnchor="text" w:hAnchor="margin" w:xAlign="center" w:y="1"/>
      <w:rPr>
        <w:rStyle w:val="PageNumber"/>
      </w:rPr>
    </w:pPr>
    <w:r>
      <w:rPr>
        <w:rStyle w:val="PageNumber"/>
      </w:rPr>
      <w:fldChar w:fldCharType="begin"/>
    </w:r>
    <w:r w:rsidR="0084239D">
      <w:rPr>
        <w:rStyle w:val="PageNumber"/>
      </w:rPr>
      <w:instrText xml:space="preserve">PAGE  </w:instrText>
    </w:r>
    <w:r>
      <w:rPr>
        <w:rStyle w:val="PageNumber"/>
      </w:rPr>
      <w:fldChar w:fldCharType="separate"/>
    </w:r>
    <w:r w:rsidR="0084239D">
      <w:rPr>
        <w:rStyle w:val="PageNumber"/>
        <w:noProof/>
      </w:rPr>
      <w:t>2</w:t>
    </w:r>
    <w:r>
      <w:rPr>
        <w:rStyle w:val="PageNumber"/>
      </w:rPr>
      <w:fldChar w:fldCharType="end"/>
    </w:r>
  </w:p>
  <w:p w:rsidR="0084239D" w:rsidRDefault="0084239D" w:rsidP="002B0749">
    <w:pPr>
      <w:pStyle w:val="Footer"/>
      <w:jc w:val="right"/>
    </w:pPr>
    <w:r>
      <w:tab/>
    </w:r>
    <w:r>
      <w:tab/>
    </w:r>
    <w:r w:rsidRPr="001D3186">
      <w:rPr>
        <w:caps/>
        <w:color w:val="000080"/>
      </w:rPr>
      <w:t>PD09</w:t>
    </w:r>
    <w:r>
      <w:rPr>
        <w:caps/>
        <w:color w:val="000080"/>
      </w:rPr>
      <w:t>00</w:t>
    </w:r>
    <w:r w:rsidRPr="001D3186">
      <w:rPr>
        <w:caps/>
        <w:color w:val="000080"/>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239D" w:rsidRPr="00AC713F" w:rsidRDefault="00226B16">
    <w:pPr>
      <w:pStyle w:val="Footer"/>
      <w:framePr w:wrap="around" w:vAnchor="text" w:hAnchor="margin" w:xAlign="center" w:y="1"/>
      <w:rPr>
        <w:rStyle w:val="PageNumber"/>
        <w:rFonts w:asciiTheme="minorHAnsi" w:hAnsiTheme="minorHAnsi"/>
        <w:color w:val="auto"/>
      </w:rPr>
    </w:pPr>
    <w:r w:rsidRPr="00AC713F">
      <w:rPr>
        <w:rStyle w:val="PageNumber"/>
        <w:rFonts w:asciiTheme="minorHAnsi" w:hAnsiTheme="minorHAnsi"/>
        <w:color w:val="auto"/>
      </w:rPr>
      <w:fldChar w:fldCharType="begin"/>
    </w:r>
    <w:r w:rsidR="0084239D" w:rsidRPr="00AC713F">
      <w:rPr>
        <w:rStyle w:val="PageNumber"/>
        <w:rFonts w:asciiTheme="minorHAnsi" w:hAnsiTheme="minorHAnsi"/>
        <w:color w:val="auto"/>
      </w:rPr>
      <w:instrText xml:space="preserve">PAGE  </w:instrText>
    </w:r>
    <w:r w:rsidRPr="00AC713F">
      <w:rPr>
        <w:rStyle w:val="PageNumber"/>
        <w:rFonts w:asciiTheme="minorHAnsi" w:hAnsiTheme="minorHAnsi"/>
        <w:color w:val="auto"/>
      </w:rPr>
      <w:fldChar w:fldCharType="separate"/>
    </w:r>
    <w:r w:rsidR="00D91188">
      <w:rPr>
        <w:rStyle w:val="PageNumber"/>
        <w:rFonts w:asciiTheme="minorHAnsi" w:hAnsiTheme="minorHAnsi"/>
        <w:noProof/>
        <w:color w:val="auto"/>
      </w:rPr>
      <w:t>2</w:t>
    </w:r>
    <w:r w:rsidRPr="00AC713F">
      <w:rPr>
        <w:rStyle w:val="PageNumber"/>
        <w:rFonts w:asciiTheme="minorHAnsi" w:hAnsiTheme="minorHAnsi"/>
        <w:color w:val="auto"/>
      </w:rPr>
      <w:fldChar w:fldCharType="end"/>
    </w:r>
  </w:p>
  <w:p w:rsidR="0084239D" w:rsidRPr="00DE2CF3" w:rsidRDefault="0084239D" w:rsidP="002B0749">
    <w:pPr>
      <w:pStyle w:val="Footer"/>
      <w:jc w:val="right"/>
      <w:rPr>
        <w:rFonts w:asciiTheme="minorHAnsi" w:hAnsiTheme="minorHAnsi"/>
        <w:color w:val="auto"/>
      </w:rPr>
    </w:pPr>
    <w:r>
      <w:tab/>
    </w:r>
    <w:r>
      <w:tab/>
    </w:r>
    <w:r w:rsidRPr="00DE2CF3">
      <w:rPr>
        <w:rFonts w:asciiTheme="minorHAnsi" w:hAnsiTheme="minorHAnsi"/>
        <w:caps/>
        <w:color w:val="auto"/>
      </w:rPr>
      <w:t>PD0900678</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7CFD" w:rsidRDefault="008E7CFD">
      <w:r>
        <w:separator/>
      </w:r>
    </w:p>
  </w:footnote>
  <w:footnote w:type="continuationSeparator" w:id="0">
    <w:p w:rsidR="008E7CFD" w:rsidRDefault="008E7CF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19"/>
  <w:printFractionalCharacterWidth/>
  <w:embedSystemFonts/>
  <w:activeWritingStyle w:appName="MSWord" w:lang="en-US" w:vendorID="8" w:dllVersion="513" w:checkStyle="1"/>
  <w:proofState w:spelling="clean" w:grammar="clean"/>
  <w:stylePaneFormatFilter w:val="3F01"/>
  <w:defaultTabStop w:val="720"/>
  <w:doNotHyphenateCaps/>
  <w:drawingGridHorizontalSpacing w:val="120"/>
  <w:displayHorizontalDrawingGridEvery w:val="0"/>
  <w:displayVerticalDrawingGridEvery w:val="0"/>
  <w:doNotShadeFormData/>
  <w:noPunctuationKerning/>
  <w:characterSpacingControl w:val="doNotCompress"/>
  <w:hdrShapeDefaults>
    <o:shapedefaults v:ext="edit" spidmax="657410"/>
  </w:hdrShapeDefaults>
  <w:footnotePr>
    <w:numRestart w:val="eachSect"/>
    <w:footnote w:id="-1"/>
    <w:footnote w:id="0"/>
  </w:footnotePr>
  <w:endnotePr>
    <w:endnote w:id="-1"/>
    <w:endnote w:id="0"/>
  </w:endnotePr>
  <w:compat/>
  <w:rsids>
    <w:rsidRoot w:val="001C28D1"/>
    <w:rsid w:val="000059FA"/>
    <w:rsid w:val="00006F87"/>
    <w:rsid w:val="00010ABA"/>
    <w:rsid w:val="00012428"/>
    <w:rsid w:val="00013417"/>
    <w:rsid w:val="000141AC"/>
    <w:rsid w:val="000145C2"/>
    <w:rsid w:val="0001473F"/>
    <w:rsid w:val="00014A9E"/>
    <w:rsid w:val="000172DF"/>
    <w:rsid w:val="00021361"/>
    <w:rsid w:val="00023913"/>
    <w:rsid w:val="00023D43"/>
    <w:rsid w:val="00024CAA"/>
    <w:rsid w:val="00032E07"/>
    <w:rsid w:val="000332CA"/>
    <w:rsid w:val="0003374E"/>
    <w:rsid w:val="000344E6"/>
    <w:rsid w:val="00035C3A"/>
    <w:rsid w:val="00036E4B"/>
    <w:rsid w:val="000379D0"/>
    <w:rsid w:val="00040FC4"/>
    <w:rsid w:val="000416F8"/>
    <w:rsid w:val="00042C26"/>
    <w:rsid w:val="00043382"/>
    <w:rsid w:val="000465CA"/>
    <w:rsid w:val="00046E30"/>
    <w:rsid w:val="00051622"/>
    <w:rsid w:val="00052234"/>
    <w:rsid w:val="00053D7C"/>
    <w:rsid w:val="000577C9"/>
    <w:rsid w:val="00063621"/>
    <w:rsid w:val="0006431E"/>
    <w:rsid w:val="00072433"/>
    <w:rsid w:val="0007510D"/>
    <w:rsid w:val="00075702"/>
    <w:rsid w:val="000775C2"/>
    <w:rsid w:val="000806AD"/>
    <w:rsid w:val="00082482"/>
    <w:rsid w:val="00085AF7"/>
    <w:rsid w:val="0008708B"/>
    <w:rsid w:val="00092619"/>
    <w:rsid w:val="00092C66"/>
    <w:rsid w:val="00094E4F"/>
    <w:rsid w:val="000A2BCE"/>
    <w:rsid w:val="000A41E3"/>
    <w:rsid w:val="000A4BBA"/>
    <w:rsid w:val="000A5071"/>
    <w:rsid w:val="000B3B31"/>
    <w:rsid w:val="000B47DF"/>
    <w:rsid w:val="000B4C99"/>
    <w:rsid w:val="000C06F6"/>
    <w:rsid w:val="000C1D34"/>
    <w:rsid w:val="000C2362"/>
    <w:rsid w:val="000C3C13"/>
    <w:rsid w:val="000C53F9"/>
    <w:rsid w:val="000C5813"/>
    <w:rsid w:val="000C75CF"/>
    <w:rsid w:val="000C7DE4"/>
    <w:rsid w:val="000D12D5"/>
    <w:rsid w:val="000D15E5"/>
    <w:rsid w:val="000D15E7"/>
    <w:rsid w:val="000D1A24"/>
    <w:rsid w:val="000D21C7"/>
    <w:rsid w:val="000D248A"/>
    <w:rsid w:val="000D35D8"/>
    <w:rsid w:val="000D43F9"/>
    <w:rsid w:val="000D4717"/>
    <w:rsid w:val="000D6457"/>
    <w:rsid w:val="000D7D55"/>
    <w:rsid w:val="000E0993"/>
    <w:rsid w:val="000E37E0"/>
    <w:rsid w:val="000F02BE"/>
    <w:rsid w:val="000F427B"/>
    <w:rsid w:val="000F5E06"/>
    <w:rsid w:val="000F7181"/>
    <w:rsid w:val="000F7945"/>
    <w:rsid w:val="001008C1"/>
    <w:rsid w:val="001023DB"/>
    <w:rsid w:val="00103CCF"/>
    <w:rsid w:val="0010417F"/>
    <w:rsid w:val="001042D2"/>
    <w:rsid w:val="0010530E"/>
    <w:rsid w:val="00105C07"/>
    <w:rsid w:val="00107EC5"/>
    <w:rsid w:val="001103CD"/>
    <w:rsid w:val="00114F20"/>
    <w:rsid w:val="00117857"/>
    <w:rsid w:val="001211AF"/>
    <w:rsid w:val="001219DF"/>
    <w:rsid w:val="001231DC"/>
    <w:rsid w:val="00125687"/>
    <w:rsid w:val="001272AE"/>
    <w:rsid w:val="001315DD"/>
    <w:rsid w:val="00132C77"/>
    <w:rsid w:val="00133BBD"/>
    <w:rsid w:val="00135385"/>
    <w:rsid w:val="00135F3F"/>
    <w:rsid w:val="00135F75"/>
    <w:rsid w:val="001364D1"/>
    <w:rsid w:val="00142EBA"/>
    <w:rsid w:val="00143B79"/>
    <w:rsid w:val="00144301"/>
    <w:rsid w:val="00150B8A"/>
    <w:rsid w:val="00150DCB"/>
    <w:rsid w:val="00151912"/>
    <w:rsid w:val="00153740"/>
    <w:rsid w:val="001541C5"/>
    <w:rsid w:val="0015623F"/>
    <w:rsid w:val="00156585"/>
    <w:rsid w:val="00156BA9"/>
    <w:rsid w:val="00161761"/>
    <w:rsid w:val="00166182"/>
    <w:rsid w:val="00171991"/>
    <w:rsid w:val="001745DD"/>
    <w:rsid w:val="00176C64"/>
    <w:rsid w:val="00177659"/>
    <w:rsid w:val="001779E5"/>
    <w:rsid w:val="00182A4C"/>
    <w:rsid w:val="00183F77"/>
    <w:rsid w:val="00185DA8"/>
    <w:rsid w:val="00185ECB"/>
    <w:rsid w:val="001865E0"/>
    <w:rsid w:val="001870F0"/>
    <w:rsid w:val="00190E48"/>
    <w:rsid w:val="0019273F"/>
    <w:rsid w:val="001937FF"/>
    <w:rsid w:val="00193814"/>
    <w:rsid w:val="00193AD5"/>
    <w:rsid w:val="00194930"/>
    <w:rsid w:val="00196D07"/>
    <w:rsid w:val="001A08CD"/>
    <w:rsid w:val="001A5320"/>
    <w:rsid w:val="001A5E62"/>
    <w:rsid w:val="001A6461"/>
    <w:rsid w:val="001A7538"/>
    <w:rsid w:val="001B0B1A"/>
    <w:rsid w:val="001B4EC2"/>
    <w:rsid w:val="001B5B59"/>
    <w:rsid w:val="001B60E0"/>
    <w:rsid w:val="001B7C8C"/>
    <w:rsid w:val="001C181A"/>
    <w:rsid w:val="001C1877"/>
    <w:rsid w:val="001C2053"/>
    <w:rsid w:val="001C252F"/>
    <w:rsid w:val="001C28D1"/>
    <w:rsid w:val="001C58F1"/>
    <w:rsid w:val="001C5CFC"/>
    <w:rsid w:val="001C7418"/>
    <w:rsid w:val="001D0051"/>
    <w:rsid w:val="001D2224"/>
    <w:rsid w:val="001D285B"/>
    <w:rsid w:val="001D4F88"/>
    <w:rsid w:val="001D68CF"/>
    <w:rsid w:val="001D6A8C"/>
    <w:rsid w:val="001D7A56"/>
    <w:rsid w:val="001E15C0"/>
    <w:rsid w:val="001E18E0"/>
    <w:rsid w:val="001E18E2"/>
    <w:rsid w:val="001E19D0"/>
    <w:rsid w:val="001E2A30"/>
    <w:rsid w:val="001E6489"/>
    <w:rsid w:val="001E6A81"/>
    <w:rsid w:val="001E75AF"/>
    <w:rsid w:val="00200AA0"/>
    <w:rsid w:val="00202325"/>
    <w:rsid w:val="00202736"/>
    <w:rsid w:val="00203421"/>
    <w:rsid w:val="00203652"/>
    <w:rsid w:val="002060B6"/>
    <w:rsid w:val="002066B5"/>
    <w:rsid w:val="00207330"/>
    <w:rsid w:val="00210392"/>
    <w:rsid w:val="00214D40"/>
    <w:rsid w:val="00215ED6"/>
    <w:rsid w:val="00216049"/>
    <w:rsid w:val="00217606"/>
    <w:rsid w:val="00217C09"/>
    <w:rsid w:val="00220F5C"/>
    <w:rsid w:val="00225196"/>
    <w:rsid w:val="00225CB4"/>
    <w:rsid w:val="00226B16"/>
    <w:rsid w:val="0023049F"/>
    <w:rsid w:val="00230EE4"/>
    <w:rsid w:val="002316F6"/>
    <w:rsid w:val="00232C9B"/>
    <w:rsid w:val="00232F09"/>
    <w:rsid w:val="002335D5"/>
    <w:rsid w:val="002337CD"/>
    <w:rsid w:val="002338CA"/>
    <w:rsid w:val="00233FE5"/>
    <w:rsid w:val="00234B3B"/>
    <w:rsid w:val="0023675C"/>
    <w:rsid w:val="0024174E"/>
    <w:rsid w:val="0024227D"/>
    <w:rsid w:val="00242D14"/>
    <w:rsid w:val="00246860"/>
    <w:rsid w:val="00246C11"/>
    <w:rsid w:val="00246DFF"/>
    <w:rsid w:val="00246E89"/>
    <w:rsid w:val="0025183C"/>
    <w:rsid w:val="00252762"/>
    <w:rsid w:val="002528EC"/>
    <w:rsid w:val="00255049"/>
    <w:rsid w:val="00257DE5"/>
    <w:rsid w:val="00260531"/>
    <w:rsid w:val="0026318D"/>
    <w:rsid w:val="00270864"/>
    <w:rsid w:val="002712F7"/>
    <w:rsid w:val="0027159C"/>
    <w:rsid w:val="00274549"/>
    <w:rsid w:val="00274E46"/>
    <w:rsid w:val="00276218"/>
    <w:rsid w:val="00276BFE"/>
    <w:rsid w:val="00276C86"/>
    <w:rsid w:val="002810A4"/>
    <w:rsid w:val="00284A26"/>
    <w:rsid w:val="00287006"/>
    <w:rsid w:val="00287DC4"/>
    <w:rsid w:val="00293710"/>
    <w:rsid w:val="00294437"/>
    <w:rsid w:val="002A3237"/>
    <w:rsid w:val="002A58B7"/>
    <w:rsid w:val="002A685E"/>
    <w:rsid w:val="002A72C7"/>
    <w:rsid w:val="002B03B2"/>
    <w:rsid w:val="002B0749"/>
    <w:rsid w:val="002B2645"/>
    <w:rsid w:val="002B4116"/>
    <w:rsid w:val="002B6FA0"/>
    <w:rsid w:val="002C5F10"/>
    <w:rsid w:val="002C6E5B"/>
    <w:rsid w:val="002D18B4"/>
    <w:rsid w:val="002D231A"/>
    <w:rsid w:val="002E1877"/>
    <w:rsid w:val="002E1C31"/>
    <w:rsid w:val="002E333A"/>
    <w:rsid w:val="002E3474"/>
    <w:rsid w:val="002E400C"/>
    <w:rsid w:val="002E49C3"/>
    <w:rsid w:val="002E4F1D"/>
    <w:rsid w:val="002E5114"/>
    <w:rsid w:val="002E7570"/>
    <w:rsid w:val="002E764B"/>
    <w:rsid w:val="002F0E28"/>
    <w:rsid w:val="002F287E"/>
    <w:rsid w:val="002F2D63"/>
    <w:rsid w:val="002F7F81"/>
    <w:rsid w:val="00300A36"/>
    <w:rsid w:val="0030678B"/>
    <w:rsid w:val="00310CD7"/>
    <w:rsid w:val="00317765"/>
    <w:rsid w:val="0032136A"/>
    <w:rsid w:val="00323E70"/>
    <w:rsid w:val="00325BA2"/>
    <w:rsid w:val="00326F7F"/>
    <w:rsid w:val="003320E8"/>
    <w:rsid w:val="00334616"/>
    <w:rsid w:val="0033555E"/>
    <w:rsid w:val="00335701"/>
    <w:rsid w:val="00336805"/>
    <w:rsid w:val="00337351"/>
    <w:rsid w:val="00341792"/>
    <w:rsid w:val="00341A54"/>
    <w:rsid w:val="00346188"/>
    <w:rsid w:val="0034669F"/>
    <w:rsid w:val="00351498"/>
    <w:rsid w:val="00352B22"/>
    <w:rsid w:val="00354547"/>
    <w:rsid w:val="003567DE"/>
    <w:rsid w:val="003574F3"/>
    <w:rsid w:val="0036174C"/>
    <w:rsid w:val="0036319E"/>
    <w:rsid w:val="003632A4"/>
    <w:rsid w:val="00363362"/>
    <w:rsid w:val="00367D4F"/>
    <w:rsid w:val="00370743"/>
    <w:rsid w:val="00370EF5"/>
    <w:rsid w:val="0037135B"/>
    <w:rsid w:val="00372251"/>
    <w:rsid w:val="0037520D"/>
    <w:rsid w:val="00375809"/>
    <w:rsid w:val="0037628C"/>
    <w:rsid w:val="00376B81"/>
    <w:rsid w:val="00377BD2"/>
    <w:rsid w:val="003821E1"/>
    <w:rsid w:val="00384866"/>
    <w:rsid w:val="003857D4"/>
    <w:rsid w:val="00385D6F"/>
    <w:rsid w:val="00387095"/>
    <w:rsid w:val="00390092"/>
    <w:rsid w:val="00390D15"/>
    <w:rsid w:val="00393651"/>
    <w:rsid w:val="00395E12"/>
    <w:rsid w:val="00397DB7"/>
    <w:rsid w:val="003A27B2"/>
    <w:rsid w:val="003A40B4"/>
    <w:rsid w:val="003A41BA"/>
    <w:rsid w:val="003A6A99"/>
    <w:rsid w:val="003A7FF8"/>
    <w:rsid w:val="003B17AC"/>
    <w:rsid w:val="003B227A"/>
    <w:rsid w:val="003B5854"/>
    <w:rsid w:val="003B6764"/>
    <w:rsid w:val="003C6068"/>
    <w:rsid w:val="003D0AD5"/>
    <w:rsid w:val="003D2BA3"/>
    <w:rsid w:val="003D3C22"/>
    <w:rsid w:val="003D4585"/>
    <w:rsid w:val="003D5257"/>
    <w:rsid w:val="003D7089"/>
    <w:rsid w:val="003D7839"/>
    <w:rsid w:val="003D7C6D"/>
    <w:rsid w:val="003D7DDB"/>
    <w:rsid w:val="003E02C7"/>
    <w:rsid w:val="003E0543"/>
    <w:rsid w:val="003E0B5A"/>
    <w:rsid w:val="003E31E3"/>
    <w:rsid w:val="003E46D1"/>
    <w:rsid w:val="003F0A1F"/>
    <w:rsid w:val="003F58B0"/>
    <w:rsid w:val="004007E9"/>
    <w:rsid w:val="00401825"/>
    <w:rsid w:val="00401BBC"/>
    <w:rsid w:val="00403BFB"/>
    <w:rsid w:val="00404B45"/>
    <w:rsid w:val="00406CC5"/>
    <w:rsid w:val="004074A4"/>
    <w:rsid w:val="00407F18"/>
    <w:rsid w:val="004101B2"/>
    <w:rsid w:val="0041095A"/>
    <w:rsid w:val="004123D7"/>
    <w:rsid w:val="00412658"/>
    <w:rsid w:val="004172DB"/>
    <w:rsid w:val="00421485"/>
    <w:rsid w:val="00422B75"/>
    <w:rsid w:val="0042453B"/>
    <w:rsid w:val="00433F36"/>
    <w:rsid w:val="0043503A"/>
    <w:rsid w:val="0044384F"/>
    <w:rsid w:val="00444789"/>
    <w:rsid w:val="00444F80"/>
    <w:rsid w:val="00446018"/>
    <w:rsid w:val="00452093"/>
    <w:rsid w:val="004543BC"/>
    <w:rsid w:val="0045645D"/>
    <w:rsid w:val="00456B31"/>
    <w:rsid w:val="0045716E"/>
    <w:rsid w:val="004574C6"/>
    <w:rsid w:val="00457BCF"/>
    <w:rsid w:val="00457DCE"/>
    <w:rsid w:val="00460E3F"/>
    <w:rsid w:val="00466CED"/>
    <w:rsid w:val="00467592"/>
    <w:rsid w:val="00467690"/>
    <w:rsid w:val="004718E7"/>
    <w:rsid w:val="00472535"/>
    <w:rsid w:val="004761CC"/>
    <w:rsid w:val="00480D4A"/>
    <w:rsid w:val="00481DA1"/>
    <w:rsid w:val="0049255F"/>
    <w:rsid w:val="0049445D"/>
    <w:rsid w:val="00495350"/>
    <w:rsid w:val="00497156"/>
    <w:rsid w:val="004A24D2"/>
    <w:rsid w:val="004A3214"/>
    <w:rsid w:val="004A4136"/>
    <w:rsid w:val="004A417B"/>
    <w:rsid w:val="004B03F3"/>
    <w:rsid w:val="004B2536"/>
    <w:rsid w:val="004B6AF3"/>
    <w:rsid w:val="004B715E"/>
    <w:rsid w:val="004B7169"/>
    <w:rsid w:val="004B79C9"/>
    <w:rsid w:val="004C5685"/>
    <w:rsid w:val="004C5E33"/>
    <w:rsid w:val="004C6CDA"/>
    <w:rsid w:val="004D10D4"/>
    <w:rsid w:val="004D16BD"/>
    <w:rsid w:val="004D2AAB"/>
    <w:rsid w:val="004D6F2B"/>
    <w:rsid w:val="004E0248"/>
    <w:rsid w:val="004E07C5"/>
    <w:rsid w:val="004E21A3"/>
    <w:rsid w:val="004E32EA"/>
    <w:rsid w:val="004E6866"/>
    <w:rsid w:val="004F3222"/>
    <w:rsid w:val="004F3BFA"/>
    <w:rsid w:val="005000AB"/>
    <w:rsid w:val="005014DE"/>
    <w:rsid w:val="005016EC"/>
    <w:rsid w:val="005025EE"/>
    <w:rsid w:val="00510588"/>
    <w:rsid w:val="0051146C"/>
    <w:rsid w:val="00514449"/>
    <w:rsid w:val="00514E59"/>
    <w:rsid w:val="005222E7"/>
    <w:rsid w:val="00523A8B"/>
    <w:rsid w:val="00523E04"/>
    <w:rsid w:val="0052590B"/>
    <w:rsid w:val="00526591"/>
    <w:rsid w:val="00527178"/>
    <w:rsid w:val="005278CB"/>
    <w:rsid w:val="00534D42"/>
    <w:rsid w:val="005350A5"/>
    <w:rsid w:val="00536379"/>
    <w:rsid w:val="00537238"/>
    <w:rsid w:val="005400C5"/>
    <w:rsid w:val="00540BEF"/>
    <w:rsid w:val="00542C9A"/>
    <w:rsid w:val="005436C2"/>
    <w:rsid w:val="005442D4"/>
    <w:rsid w:val="0054490E"/>
    <w:rsid w:val="005457ED"/>
    <w:rsid w:val="0054586A"/>
    <w:rsid w:val="0054631F"/>
    <w:rsid w:val="0055288D"/>
    <w:rsid w:val="00552CC2"/>
    <w:rsid w:val="0055420F"/>
    <w:rsid w:val="00555259"/>
    <w:rsid w:val="00560D57"/>
    <w:rsid w:val="00560DDC"/>
    <w:rsid w:val="00562A94"/>
    <w:rsid w:val="005709F7"/>
    <w:rsid w:val="005710A9"/>
    <w:rsid w:val="00571D1B"/>
    <w:rsid w:val="00584229"/>
    <w:rsid w:val="0058553D"/>
    <w:rsid w:val="00590284"/>
    <w:rsid w:val="00593043"/>
    <w:rsid w:val="00595BF0"/>
    <w:rsid w:val="005A1846"/>
    <w:rsid w:val="005A258C"/>
    <w:rsid w:val="005A3560"/>
    <w:rsid w:val="005A6C99"/>
    <w:rsid w:val="005A7D5D"/>
    <w:rsid w:val="005B011A"/>
    <w:rsid w:val="005B14FC"/>
    <w:rsid w:val="005B1D8F"/>
    <w:rsid w:val="005B1E94"/>
    <w:rsid w:val="005B5B3D"/>
    <w:rsid w:val="005B6643"/>
    <w:rsid w:val="005C16F3"/>
    <w:rsid w:val="005C3758"/>
    <w:rsid w:val="005D6187"/>
    <w:rsid w:val="005E0654"/>
    <w:rsid w:val="005E3064"/>
    <w:rsid w:val="005E72B2"/>
    <w:rsid w:val="005F1115"/>
    <w:rsid w:val="005F1AB6"/>
    <w:rsid w:val="005F27F2"/>
    <w:rsid w:val="005F3AFE"/>
    <w:rsid w:val="005F424D"/>
    <w:rsid w:val="005F6B6D"/>
    <w:rsid w:val="00605AAB"/>
    <w:rsid w:val="00606BEB"/>
    <w:rsid w:val="0061014A"/>
    <w:rsid w:val="0061054B"/>
    <w:rsid w:val="00613E26"/>
    <w:rsid w:val="00615641"/>
    <w:rsid w:val="00616959"/>
    <w:rsid w:val="0061759C"/>
    <w:rsid w:val="006211D0"/>
    <w:rsid w:val="00624D0C"/>
    <w:rsid w:val="006307BA"/>
    <w:rsid w:val="006315BA"/>
    <w:rsid w:val="00634C4A"/>
    <w:rsid w:val="0063532E"/>
    <w:rsid w:val="00637653"/>
    <w:rsid w:val="00637BDC"/>
    <w:rsid w:val="006418C9"/>
    <w:rsid w:val="00642BD6"/>
    <w:rsid w:val="00645046"/>
    <w:rsid w:val="0064527A"/>
    <w:rsid w:val="00645EA2"/>
    <w:rsid w:val="006573F2"/>
    <w:rsid w:val="00662F08"/>
    <w:rsid w:val="00663589"/>
    <w:rsid w:val="006708E3"/>
    <w:rsid w:val="00670DDC"/>
    <w:rsid w:val="00671EB4"/>
    <w:rsid w:val="0067443B"/>
    <w:rsid w:val="00684E2B"/>
    <w:rsid w:val="00690FDA"/>
    <w:rsid w:val="00691E61"/>
    <w:rsid w:val="00693C5E"/>
    <w:rsid w:val="00694EEA"/>
    <w:rsid w:val="006955B4"/>
    <w:rsid w:val="00696476"/>
    <w:rsid w:val="006A10FA"/>
    <w:rsid w:val="006A40E6"/>
    <w:rsid w:val="006A5C07"/>
    <w:rsid w:val="006A75FA"/>
    <w:rsid w:val="006B07D5"/>
    <w:rsid w:val="006B1309"/>
    <w:rsid w:val="006B3923"/>
    <w:rsid w:val="006B3F3E"/>
    <w:rsid w:val="006B5923"/>
    <w:rsid w:val="006B67D9"/>
    <w:rsid w:val="006B6C14"/>
    <w:rsid w:val="006B715E"/>
    <w:rsid w:val="006C1D6E"/>
    <w:rsid w:val="006C3A68"/>
    <w:rsid w:val="006C5998"/>
    <w:rsid w:val="006C6AB1"/>
    <w:rsid w:val="006D128A"/>
    <w:rsid w:val="006D2D39"/>
    <w:rsid w:val="006D4E0E"/>
    <w:rsid w:val="006D5CE2"/>
    <w:rsid w:val="006E06D1"/>
    <w:rsid w:val="006E1313"/>
    <w:rsid w:val="006E2DC8"/>
    <w:rsid w:val="006E7356"/>
    <w:rsid w:val="006E77C8"/>
    <w:rsid w:val="006F149D"/>
    <w:rsid w:val="006F1A46"/>
    <w:rsid w:val="006F5A4E"/>
    <w:rsid w:val="00703B6C"/>
    <w:rsid w:val="00705C40"/>
    <w:rsid w:val="00706482"/>
    <w:rsid w:val="00706BEF"/>
    <w:rsid w:val="00706DFD"/>
    <w:rsid w:val="007116BC"/>
    <w:rsid w:val="00711D20"/>
    <w:rsid w:val="007150EC"/>
    <w:rsid w:val="007165B6"/>
    <w:rsid w:val="007165CE"/>
    <w:rsid w:val="00720968"/>
    <w:rsid w:val="00721D12"/>
    <w:rsid w:val="00721F8B"/>
    <w:rsid w:val="007237CE"/>
    <w:rsid w:val="00724688"/>
    <w:rsid w:val="0073062D"/>
    <w:rsid w:val="0073254D"/>
    <w:rsid w:val="0073639D"/>
    <w:rsid w:val="00736A49"/>
    <w:rsid w:val="00743B71"/>
    <w:rsid w:val="00743C2D"/>
    <w:rsid w:val="00743E36"/>
    <w:rsid w:val="007446F7"/>
    <w:rsid w:val="00744EBB"/>
    <w:rsid w:val="00745B0A"/>
    <w:rsid w:val="007468AC"/>
    <w:rsid w:val="00746AE2"/>
    <w:rsid w:val="0075031E"/>
    <w:rsid w:val="00750C82"/>
    <w:rsid w:val="0076100C"/>
    <w:rsid w:val="007651ED"/>
    <w:rsid w:val="00766C87"/>
    <w:rsid w:val="00781BD4"/>
    <w:rsid w:val="00781E20"/>
    <w:rsid w:val="00784832"/>
    <w:rsid w:val="00784F01"/>
    <w:rsid w:val="00785D77"/>
    <w:rsid w:val="00786111"/>
    <w:rsid w:val="00791F1E"/>
    <w:rsid w:val="00794F3D"/>
    <w:rsid w:val="00796045"/>
    <w:rsid w:val="007968AC"/>
    <w:rsid w:val="007969AB"/>
    <w:rsid w:val="007A0B39"/>
    <w:rsid w:val="007A14A4"/>
    <w:rsid w:val="007A168F"/>
    <w:rsid w:val="007A1AF8"/>
    <w:rsid w:val="007A28E4"/>
    <w:rsid w:val="007A3BB3"/>
    <w:rsid w:val="007A5AD1"/>
    <w:rsid w:val="007A5B7B"/>
    <w:rsid w:val="007B0A06"/>
    <w:rsid w:val="007B5C5C"/>
    <w:rsid w:val="007B7B37"/>
    <w:rsid w:val="007B7C41"/>
    <w:rsid w:val="007C2898"/>
    <w:rsid w:val="007C433E"/>
    <w:rsid w:val="007C4452"/>
    <w:rsid w:val="007C45A2"/>
    <w:rsid w:val="007C4B3C"/>
    <w:rsid w:val="007C4DB1"/>
    <w:rsid w:val="007C6046"/>
    <w:rsid w:val="007D0292"/>
    <w:rsid w:val="007D21AC"/>
    <w:rsid w:val="007D2994"/>
    <w:rsid w:val="007D2AA1"/>
    <w:rsid w:val="007D3882"/>
    <w:rsid w:val="007D568A"/>
    <w:rsid w:val="007D574E"/>
    <w:rsid w:val="007D6BFE"/>
    <w:rsid w:val="007D7C41"/>
    <w:rsid w:val="007E2046"/>
    <w:rsid w:val="007E3883"/>
    <w:rsid w:val="007E4FBB"/>
    <w:rsid w:val="007E55BF"/>
    <w:rsid w:val="007E71B1"/>
    <w:rsid w:val="007E7B4E"/>
    <w:rsid w:val="007F053D"/>
    <w:rsid w:val="007F0CE2"/>
    <w:rsid w:val="007F0EFF"/>
    <w:rsid w:val="007F1375"/>
    <w:rsid w:val="007F1D94"/>
    <w:rsid w:val="007F27F2"/>
    <w:rsid w:val="00803850"/>
    <w:rsid w:val="00804385"/>
    <w:rsid w:val="00805AFD"/>
    <w:rsid w:val="008078D8"/>
    <w:rsid w:val="00811D5B"/>
    <w:rsid w:val="00816540"/>
    <w:rsid w:val="00817713"/>
    <w:rsid w:val="00817BC4"/>
    <w:rsid w:val="008220F1"/>
    <w:rsid w:val="0082340B"/>
    <w:rsid w:val="00827DB6"/>
    <w:rsid w:val="008304B2"/>
    <w:rsid w:val="00830999"/>
    <w:rsid w:val="00830D5E"/>
    <w:rsid w:val="00830F69"/>
    <w:rsid w:val="00833418"/>
    <w:rsid w:val="008343D0"/>
    <w:rsid w:val="00834458"/>
    <w:rsid w:val="00835841"/>
    <w:rsid w:val="00837465"/>
    <w:rsid w:val="00841243"/>
    <w:rsid w:val="00841457"/>
    <w:rsid w:val="0084239D"/>
    <w:rsid w:val="0084374E"/>
    <w:rsid w:val="00844842"/>
    <w:rsid w:val="00844DD0"/>
    <w:rsid w:val="0085089F"/>
    <w:rsid w:val="0085206E"/>
    <w:rsid w:val="00852AD4"/>
    <w:rsid w:val="00852BA8"/>
    <w:rsid w:val="00853718"/>
    <w:rsid w:val="008541EF"/>
    <w:rsid w:val="00854F10"/>
    <w:rsid w:val="00856AC7"/>
    <w:rsid w:val="00856FA4"/>
    <w:rsid w:val="0086162B"/>
    <w:rsid w:val="00861D5C"/>
    <w:rsid w:val="00865207"/>
    <w:rsid w:val="008656A7"/>
    <w:rsid w:val="00871262"/>
    <w:rsid w:val="00871D4E"/>
    <w:rsid w:val="00871E7B"/>
    <w:rsid w:val="00874F46"/>
    <w:rsid w:val="00875B51"/>
    <w:rsid w:val="00875F2D"/>
    <w:rsid w:val="008764D5"/>
    <w:rsid w:val="008764DC"/>
    <w:rsid w:val="00880807"/>
    <w:rsid w:val="00882CC2"/>
    <w:rsid w:val="00883930"/>
    <w:rsid w:val="00886CCC"/>
    <w:rsid w:val="00896535"/>
    <w:rsid w:val="00896683"/>
    <w:rsid w:val="00897589"/>
    <w:rsid w:val="008A63A9"/>
    <w:rsid w:val="008A7F7E"/>
    <w:rsid w:val="008B04DB"/>
    <w:rsid w:val="008B27FD"/>
    <w:rsid w:val="008B3AF2"/>
    <w:rsid w:val="008B4BF6"/>
    <w:rsid w:val="008B515D"/>
    <w:rsid w:val="008B5D31"/>
    <w:rsid w:val="008B6705"/>
    <w:rsid w:val="008C22F3"/>
    <w:rsid w:val="008C59A4"/>
    <w:rsid w:val="008D0A0C"/>
    <w:rsid w:val="008D795D"/>
    <w:rsid w:val="008D7B07"/>
    <w:rsid w:val="008E15E1"/>
    <w:rsid w:val="008E1E94"/>
    <w:rsid w:val="008E2D99"/>
    <w:rsid w:val="008E4A60"/>
    <w:rsid w:val="008E5102"/>
    <w:rsid w:val="008E744D"/>
    <w:rsid w:val="008E7CFD"/>
    <w:rsid w:val="008F1E08"/>
    <w:rsid w:val="00900D8F"/>
    <w:rsid w:val="009014E3"/>
    <w:rsid w:val="009026E8"/>
    <w:rsid w:val="00906EB7"/>
    <w:rsid w:val="009102BF"/>
    <w:rsid w:val="009115F2"/>
    <w:rsid w:val="00914ADB"/>
    <w:rsid w:val="009203F1"/>
    <w:rsid w:val="00922B5C"/>
    <w:rsid w:val="00923B25"/>
    <w:rsid w:val="0092402E"/>
    <w:rsid w:val="009259BA"/>
    <w:rsid w:val="00926FCB"/>
    <w:rsid w:val="0093018E"/>
    <w:rsid w:val="0093311A"/>
    <w:rsid w:val="00942645"/>
    <w:rsid w:val="0094325F"/>
    <w:rsid w:val="009468B9"/>
    <w:rsid w:val="00947CF6"/>
    <w:rsid w:val="00950A3A"/>
    <w:rsid w:val="00951E21"/>
    <w:rsid w:val="00952E1E"/>
    <w:rsid w:val="0095340A"/>
    <w:rsid w:val="00954581"/>
    <w:rsid w:val="0095466C"/>
    <w:rsid w:val="00954E5B"/>
    <w:rsid w:val="009570AE"/>
    <w:rsid w:val="009576BC"/>
    <w:rsid w:val="00960357"/>
    <w:rsid w:val="0096168C"/>
    <w:rsid w:val="00961840"/>
    <w:rsid w:val="00962F2D"/>
    <w:rsid w:val="009670AC"/>
    <w:rsid w:val="009672CD"/>
    <w:rsid w:val="00972996"/>
    <w:rsid w:val="009732B8"/>
    <w:rsid w:val="00975A14"/>
    <w:rsid w:val="00975C72"/>
    <w:rsid w:val="00976869"/>
    <w:rsid w:val="00977740"/>
    <w:rsid w:val="00977CB4"/>
    <w:rsid w:val="009809B8"/>
    <w:rsid w:val="0098222D"/>
    <w:rsid w:val="00985099"/>
    <w:rsid w:val="009850A4"/>
    <w:rsid w:val="009922CC"/>
    <w:rsid w:val="0099421F"/>
    <w:rsid w:val="009A03E3"/>
    <w:rsid w:val="009A0DE3"/>
    <w:rsid w:val="009A1643"/>
    <w:rsid w:val="009A215A"/>
    <w:rsid w:val="009A4F1B"/>
    <w:rsid w:val="009A66C5"/>
    <w:rsid w:val="009A79BA"/>
    <w:rsid w:val="009B04E4"/>
    <w:rsid w:val="009B14D1"/>
    <w:rsid w:val="009B1534"/>
    <w:rsid w:val="009B399A"/>
    <w:rsid w:val="009B4A3B"/>
    <w:rsid w:val="009B69D3"/>
    <w:rsid w:val="009B700C"/>
    <w:rsid w:val="009B7BA7"/>
    <w:rsid w:val="009C0938"/>
    <w:rsid w:val="009C22C8"/>
    <w:rsid w:val="009C3F82"/>
    <w:rsid w:val="009C72DD"/>
    <w:rsid w:val="009C78E4"/>
    <w:rsid w:val="009C7DF5"/>
    <w:rsid w:val="009D056C"/>
    <w:rsid w:val="009D060F"/>
    <w:rsid w:val="009D1ADE"/>
    <w:rsid w:val="009E09D0"/>
    <w:rsid w:val="009E1283"/>
    <w:rsid w:val="009E3A7F"/>
    <w:rsid w:val="009E57B1"/>
    <w:rsid w:val="009E6379"/>
    <w:rsid w:val="009F7809"/>
    <w:rsid w:val="009F7AF5"/>
    <w:rsid w:val="00A00D14"/>
    <w:rsid w:val="00A01408"/>
    <w:rsid w:val="00A02457"/>
    <w:rsid w:val="00A03190"/>
    <w:rsid w:val="00A0404B"/>
    <w:rsid w:val="00A0798C"/>
    <w:rsid w:val="00A07BDD"/>
    <w:rsid w:val="00A10524"/>
    <w:rsid w:val="00A1105B"/>
    <w:rsid w:val="00A15B6B"/>
    <w:rsid w:val="00A15EB4"/>
    <w:rsid w:val="00A16876"/>
    <w:rsid w:val="00A200AA"/>
    <w:rsid w:val="00A20558"/>
    <w:rsid w:val="00A2186F"/>
    <w:rsid w:val="00A2270B"/>
    <w:rsid w:val="00A23B89"/>
    <w:rsid w:val="00A23FE3"/>
    <w:rsid w:val="00A248C3"/>
    <w:rsid w:val="00A2496E"/>
    <w:rsid w:val="00A258B7"/>
    <w:rsid w:val="00A27BE6"/>
    <w:rsid w:val="00A3072F"/>
    <w:rsid w:val="00A32743"/>
    <w:rsid w:val="00A414A9"/>
    <w:rsid w:val="00A44CCA"/>
    <w:rsid w:val="00A44D75"/>
    <w:rsid w:val="00A47CF1"/>
    <w:rsid w:val="00A50418"/>
    <w:rsid w:val="00A51BF3"/>
    <w:rsid w:val="00A54A47"/>
    <w:rsid w:val="00A56D26"/>
    <w:rsid w:val="00A571A7"/>
    <w:rsid w:val="00A608FB"/>
    <w:rsid w:val="00A60D83"/>
    <w:rsid w:val="00A60F68"/>
    <w:rsid w:val="00A63DF3"/>
    <w:rsid w:val="00A6416E"/>
    <w:rsid w:val="00A65C78"/>
    <w:rsid w:val="00A660A8"/>
    <w:rsid w:val="00A67591"/>
    <w:rsid w:val="00A67CA6"/>
    <w:rsid w:val="00A70E7B"/>
    <w:rsid w:val="00A73B84"/>
    <w:rsid w:val="00A7411D"/>
    <w:rsid w:val="00A76094"/>
    <w:rsid w:val="00A766A0"/>
    <w:rsid w:val="00A768E2"/>
    <w:rsid w:val="00A82C52"/>
    <w:rsid w:val="00A8476B"/>
    <w:rsid w:val="00A86CB6"/>
    <w:rsid w:val="00A90D55"/>
    <w:rsid w:val="00A92B36"/>
    <w:rsid w:val="00A944D8"/>
    <w:rsid w:val="00A953D7"/>
    <w:rsid w:val="00A959E7"/>
    <w:rsid w:val="00A95BBA"/>
    <w:rsid w:val="00A961EE"/>
    <w:rsid w:val="00AA04B3"/>
    <w:rsid w:val="00AA1253"/>
    <w:rsid w:val="00AA28EF"/>
    <w:rsid w:val="00AA493E"/>
    <w:rsid w:val="00AA73AF"/>
    <w:rsid w:val="00AB1754"/>
    <w:rsid w:val="00AB27DD"/>
    <w:rsid w:val="00AB6018"/>
    <w:rsid w:val="00AC36EB"/>
    <w:rsid w:val="00AC439D"/>
    <w:rsid w:val="00AC713F"/>
    <w:rsid w:val="00AD067E"/>
    <w:rsid w:val="00AD185F"/>
    <w:rsid w:val="00AD2801"/>
    <w:rsid w:val="00AD6870"/>
    <w:rsid w:val="00AD68C5"/>
    <w:rsid w:val="00AE1273"/>
    <w:rsid w:val="00AE2D29"/>
    <w:rsid w:val="00AE4624"/>
    <w:rsid w:val="00AE5E14"/>
    <w:rsid w:val="00AE6115"/>
    <w:rsid w:val="00AE625B"/>
    <w:rsid w:val="00AF1668"/>
    <w:rsid w:val="00AF4FA5"/>
    <w:rsid w:val="00B0008F"/>
    <w:rsid w:val="00B0223F"/>
    <w:rsid w:val="00B064FB"/>
    <w:rsid w:val="00B07955"/>
    <w:rsid w:val="00B10B1F"/>
    <w:rsid w:val="00B11512"/>
    <w:rsid w:val="00B14FAA"/>
    <w:rsid w:val="00B15D30"/>
    <w:rsid w:val="00B20624"/>
    <w:rsid w:val="00B23436"/>
    <w:rsid w:val="00B26354"/>
    <w:rsid w:val="00B26CA0"/>
    <w:rsid w:val="00B32179"/>
    <w:rsid w:val="00B331A9"/>
    <w:rsid w:val="00B34E67"/>
    <w:rsid w:val="00B36569"/>
    <w:rsid w:val="00B3764F"/>
    <w:rsid w:val="00B40A05"/>
    <w:rsid w:val="00B40A3E"/>
    <w:rsid w:val="00B45A95"/>
    <w:rsid w:val="00B50227"/>
    <w:rsid w:val="00B50510"/>
    <w:rsid w:val="00B522CD"/>
    <w:rsid w:val="00B55143"/>
    <w:rsid w:val="00B55917"/>
    <w:rsid w:val="00B575E7"/>
    <w:rsid w:val="00B643A6"/>
    <w:rsid w:val="00B64DD6"/>
    <w:rsid w:val="00B6710C"/>
    <w:rsid w:val="00B67319"/>
    <w:rsid w:val="00B72076"/>
    <w:rsid w:val="00B72303"/>
    <w:rsid w:val="00B82277"/>
    <w:rsid w:val="00B91676"/>
    <w:rsid w:val="00B95833"/>
    <w:rsid w:val="00BA1824"/>
    <w:rsid w:val="00BA2D98"/>
    <w:rsid w:val="00BA30D1"/>
    <w:rsid w:val="00BA4609"/>
    <w:rsid w:val="00BA5BE2"/>
    <w:rsid w:val="00BA7B11"/>
    <w:rsid w:val="00BA7F46"/>
    <w:rsid w:val="00BB0474"/>
    <w:rsid w:val="00BB0A0A"/>
    <w:rsid w:val="00BB45B5"/>
    <w:rsid w:val="00BB6064"/>
    <w:rsid w:val="00BB6A4C"/>
    <w:rsid w:val="00BB7598"/>
    <w:rsid w:val="00BC09D1"/>
    <w:rsid w:val="00BC1CF3"/>
    <w:rsid w:val="00BC3DE1"/>
    <w:rsid w:val="00BC7F82"/>
    <w:rsid w:val="00BD40AB"/>
    <w:rsid w:val="00BD6297"/>
    <w:rsid w:val="00BD6806"/>
    <w:rsid w:val="00BD7433"/>
    <w:rsid w:val="00BD7831"/>
    <w:rsid w:val="00BD7C10"/>
    <w:rsid w:val="00BE046F"/>
    <w:rsid w:val="00BE0DEB"/>
    <w:rsid w:val="00BE2FC1"/>
    <w:rsid w:val="00BE48A5"/>
    <w:rsid w:val="00BE6365"/>
    <w:rsid w:val="00BF0B7F"/>
    <w:rsid w:val="00BF4720"/>
    <w:rsid w:val="00BF7B63"/>
    <w:rsid w:val="00C038EC"/>
    <w:rsid w:val="00C05C6D"/>
    <w:rsid w:val="00C1122B"/>
    <w:rsid w:val="00C13128"/>
    <w:rsid w:val="00C13B34"/>
    <w:rsid w:val="00C13F26"/>
    <w:rsid w:val="00C16E9F"/>
    <w:rsid w:val="00C1713D"/>
    <w:rsid w:val="00C177F1"/>
    <w:rsid w:val="00C22F3A"/>
    <w:rsid w:val="00C23378"/>
    <w:rsid w:val="00C25978"/>
    <w:rsid w:val="00C261C6"/>
    <w:rsid w:val="00C26E7C"/>
    <w:rsid w:val="00C30A97"/>
    <w:rsid w:val="00C31DDC"/>
    <w:rsid w:val="00C34326"/>
    <w:rsid w:val="00C36201"/>
    <w:rsid w:val="00C368E8"/>
    <w:rsid w:val="00C36BBF"/>
    <w:rsid w:val="00C36C3D"/>
    <w:rsid w:val="00C372C7"/>
    <w:rsid w:val="00C42443"/>
    <w:rsid w:val="00C4298C"/>
    <w:rsid w:val="00C42CBA"/>
    <w:rsid w:val="00C5019E"/>
    <w:rsid w:val="00C52CC8"/>
    <w:rsid w:val="00C5377C"/>
    <w:rsid w:val="00C53E8A"/>
    <w:rsid w:val="00C54DF3"/>
    <w:rsid w:val="00C558B9"/>
    <w:rsid w:val="00C560A7"/>
    <w:rsid w:val="00C56FC8"/>
    <w:rsid w:val="00C60F23"/>
    <w:rsid w:val="00C62EB2"/>
    <w:rsid w:val="00C71BEC"/>
    <w:rsid w:val="00C74D3A"/>
    <w:rsid w:val="00C80511"/>
    <w:rsid w:val="00C826F5"/>
    <w:rsid w:val="00C83740"/>
    <w:rsid w:val="00C84AD1"/>
    <w:rsid w:val="00C853C5"/>
    <w:rsid w:val="00C85579"/>
    <w:rsid w:val="00C863E5"/>
    <w:rsid w:val="00C931FC"/>
    <w:rsid w:val="00C932C5"/>
    <w:rsid w:val="00C9602D"/>
    <w:rsid w:val="00C9650E"/>
    <w:rsid w:val="00CA068D"/>
    <w:rsid w:val="00CA1228"/>
    <w:rsid w:val="00CA282D"/>
    <w:rsid w:val="00CA4670"/>
    <w:rsid w:val="00CA6B1A"/>
    <w:rsid w:val="00CB20DC"/>
    <w:rsid w:val="00CB23DC"/>
    <w:rsid w:val="00CB2487"/>
    <w:rsid w:val="00CB28E2"/>
    <w:rsid w:val="00CB7A3E"/>
    <w:rsid w:val="00CB7FF7"/>
    <w:rsid w:val="00CC0D0E"/>
    <w:rsid w:val="00CC19B3"/>
    <w:rsid w:val="00CC2044"/>
    <w:rsid w:val="00CC39D2"/>
    <w:rsid w:val="00CC4FDD"/>
    <w:rsid w:val="00CC4FDF"/>
    <w:rsid w:val="00CC69EC"/>
    <w:rsid w:val="00CD15BE"/>
    <w:rsid w:val="00CD1EF2"/>
    <w:rsid w:val="00CD32BD"/>
    <w:rsid w:val="00CD34C7"/>
    <w:rsid w:val="00CD4EE7"/>
    <w:rsid w:val="00CD5653"/>
    <w:rsid w:val="00CD5E6D"/>
    <w:rsid w:val="00CD63C8"/>
    <w:rsid w:val="00CE09D6"/>
    <w:rsid w:val="00CE227C"/>
    <w:rsid w:val="00CF158D"/>
    <w:rsid w:val="00CF4394"/>
    <w:rsid w:val="00D000A9"/>
    <w:rsid w:val="00D005DB"/>
    <w:rsid w:val="00D0064E"/>
    <w:rsid w:val="00D00981"/>
    <w:rsid w:val="00D0280D"/>
    <w:rsid w:val="00D07A72"/>
    <w:rsid w:val="00D10577"/>
    <w:rsid w:val="00D1323B"/>
    <w:rsid w:val="00D14BAE"/>
    <w:rsid w:val="00D1648B"/>
    <w:rsid w:val="00D16819"/>
    <w:rsid w:val="00D20AC0"/>
    <w:rsid w:val="00D221C6"/>
    <w:rsid w:val="00D2321B"/>
    <w:rsid w:val="00D23DE4"/>
    <w:rsid w:val="00D26873"/>
    <w:rsid w:val="00D31683"/>
    <w:rsid w:val="00D336C8"/>
    <w:rsid w:val="00D339E8"/>
    <w:rsid w:val="00D3662E"/>
    <w:rsid w:val="00D40B1F"/>
    <w:rsid w:val="00D40D75"/>
    <w:rsid w:val="00D449F0"/>
    <w:rsid w:val="00D451C0"/>
    <w:rsid w:val="00D47E38"/>
    <w:rsid w:val="00D50C8C"/>
    <w:rsid w:val="00D52393"/>
    <w:rsid w:val="00D523E4"/>
    <w:rsid w:val="00D5279D"/>
    <w:rsid w:val="00D52A1B"/>
    <w:rsid w:val="00D53F14"/>
    <w:rsid w:val="00D54BE4"/>
    <w:rsid w:val="00D60483"/>
    <w:rsid w:val="00D61ABB"/>
    <w:rsid w:val="00D63577"/>
    <w:rsid w:val="00D67FD7"/>
    <w:rsid w:val="00D7032D"/>
    <w:rsid w:val="00D706CA"/>
    <w:rsid w:val="00D71B86"/>
    <w:rsid w:val="00D74261"/>
    <w:rsid w:val="00D7441B"/>
    <w:rsid w:val="00D76AB2"/>
    <w:rsid w:val="00D80490"/>
    <w:rsid w:val="00D829AD"/>
    <w:rsid w:val="00D82B19"/>
    <w:rsid w:val="00D82EE2"/>
    <w:rsid w:val="00D8545C"/>
    <w:rsid w:val="00D87788"/>
    <w:rsid w:val="00D877C8"/>
    <w:rsid w:val="00D910C2"/>
    <w:rsid w:val="00D91188"/>
    <w:rsid w:val="00D9168C"/>
    <w:rsid w:val="00D9189B"/>
    <w:rsid w:val="00D91DA6"/>
    <w:rsid w:val="00D94F20"/>
    <w:rsid w:val="00D9706F"/>
    <w:rsid w:val="00D972D4"/>
    <w:rsid w:val="00DA195B"/>
    <w:rsid w:val="00DA1F8A"/>
    <w:rsid w:val="00DA6A04"/>
    <w:rsid w:val="00DA6B55"/>
    <w:rsid w:val="00DB0015"/>
    <w:rsid w:val="00DB19BF"/>
    <w:rsid w:val="00DB2AAD"/>
    <w:rsid w:val="00DB6119"/>
    <w:rsid w:val="00DB626D"/>
    <w:rsid w:val="00DB6365"/>
    <w:rsid w:val="00DC0BF1"/>
    <w:rsid w:val="00DC3F43"/>
    <w:rsid w:val="00DC41C3"/>
    <w:rsid w:val="00DC76F0"/>
    <w:rsid w:val="00DD3593"/>
    <w:rsid w:val="00DE0C67"/>
    <w:rsid w:val="00DE190B"/>
    <w:rsid w:val="00DE2CF3"/>
    <w:rsid w:val="00DE6952"/>
    <w:rsid w:val="00DE7E74"/>
    <w:rsid w:val="00DF1D6A"/>
    <w:rsid w:val="00DF6EF8"/>
    <w:rsid w:val="00E00A69"/>
    <w:rsid w:val="00E017F0"/>
    <w:rsid w:val="00E01A0E"/>
    <w:rsid w:val="00E041E4"/>
    <w:rsid w:val="00E1012B"/>
    <w:rsid w:val="00E103C8"/>
    <w:rsid w:val="00E1085B"/>
    <w:rsid w:val="00E1308B"/>
    <w:rsid w:val="00E14581"/>
    <w:rsid w:val="00E15539"/>
    <w:rsid w:val="00E16541"/>
    <w:rsid w:val="00E2536E"/>
    <w:rsid w:val="00E25B8A"/>
    <w:rsid w:val="00E2632B"/>
    <w:rsid w:val="00E322F7"/>
    <w:rsid w:val="00E3369B"/>
    <w:rsid w:val="00E36D76"/>
    <w:rsid w:val="00E378D8"/>
    <w:rsid w:val="00E405EA"/>
    <w:rsid w:val="00E408B7"/>
    <w:rsid w:val="00E41637"/>
    <w:rsid w:val="00E41955"/>
    <w:rsid w:val="00E42789"/>
    <w:rsid w:val="00E43F59"/>
    <w:rsid w:val="00E464F0"/>
    <w:rsid w:val="00E50BEB"/>
    <w:rsid w:val="00E548FA"/>
    <w:rsid w:val="00E56E67"/>
    <w:rsid w:val="00E57FE3"/>
    <w:rsid w:val="00E60720"/>
    <w:rsid w:val="00E6092F"/>
    <w:rsid w:val="00E62049"/>
    <w:rsid w:val="00E629DA"/>
    <w:rsid w:val="00E6469F"/>
    <w:rsid w:val="00E67FAC"/>
    <w:rsid w:val="00E7200B"/>
    <w:rsid w:val="00E738CB"/>
    <w:rsid w:val="00E73C88"/>
    <w:rsid w:val="00E74437"/>
    <w:rsid w:val="00E7443D"/>
    <w:rsid w:val="00E81C3E"/>
    <w:rsid w:val="00E825B5"/>
    <w:rsid w:val="00E82B6D"/>
    <w:rsid w:val="00EA1177"/>
    <w:rsid w:val="00EA118B"/>
    <w:rsid w:val="00EA11B6"/>
    <w:rsid w:val="00EA2181"/>
    <w:rsid w:val="00EA2DD8"/>
    <w:rsid w:val="00EA4475"/>
    <w:rsid w:val="00EA681F"/>
    <w:rsid w:val="00EB3823"/>
    <w:rsid w:val="00EB47D8"/>
    <w:rsid w:val="00EB57D3"/>
    <w:rsid w:val="00EB5EFD"/>
    <w:rsid w:val="00EB679F"/>
    <w:rsid w:val="00EB76E4"/>
    <w:rsid w:val="00EC0E65"/>
    <w:rsid w:val="00EC2938"/>
    <w:rsid w:val="00EC50C9"/>
    <w:rsid w:val="00EC58B4"/>
    <w:rsid w:val="00EC5BB2"/>
    <w:rsid w:val="00ED0148"/>
    <w:rsid w:val="00ED12F0"/>
    <w:rsid w:val="00ED2144"/>
    <w:rsid w:val="00ED4773"/>
    <w:rsid w:val="00ED664B"/>
    <w:rsid w:val="00ED6A61"/>
    <w:rsid w:val="00EE03BB"/>
    <w:rsid w:val="00EE0B44"/>
    <w:rsid w:val="00EE4F75"/>
    <w:rsid w:val="00EE6FE0"/>
    <w:rsid w:val="00EE704A"/>
    <w:rsid w:val="00EE7840"/>
    <w:rsid w:val="00EF4C74"/>
    <w:rsid w:val="00EF5268"/>
    <w:rsid w:val="00EF5ECB"/>
    <w:rsid w:val="00EF608E"/>
    <w:rsid w:val="00EF757B"/>
    <w:rsid w:val="00EF7DC3"/>
    <w:rsid w:val="00F0044B"/>
    <w:rsid w:val="00F04957"/>
    <w:rsid w:val="00F05807"/>
    <w:rsid w:val="00F07052"/>
    <w:rsid w:val="00F0706C"/>
    <w:rsid w:val="00F10CBA"/>
    <w:rsid w:val="00F11EBE"/>
    <w:rsid w:val="00F12BA8"/>
    <w:rsid w:val="00F130D0"/>
    <w:rsid w:val="00F133A9"/>
    <w:rsid w:val="00F14933"/>
    <w:rsid w:val="00F1516A"/>
    <w:rsid w:val="00F22A26"/>
    <w:rsid w:val="00F24072"/>
    <w:rsid w:val="00F26432"/>
    <w:rsid w:val="00F3197A"/>
    <w:rsid w:val="00F32139"/>
    <w:rsid w:val="00F3342B"/>
    <w:rsid w:val="00F33D56"/>
    <w:rsid w:val="00F34D53"/>
    <w:rsid w:val="00F34E08"/>
    <w:rsid w:val="00F41D91"/>
    <w:rsid w:val="00F42363"/>
    <w:rsid w:val="00F42405"/>
    <w:rsid w:val="00F4274C"/>
    <w:rsid w:val="00F451D1"/>
    <w:rsid w:val="00F46964"/>
    <w:rsid w:val="00F46D3F"/>
    <w:rsid w:val="00F46F9A"/>
    <w:rsid w:val="00F5126A"/>
    <w:rsid w:val="00F51AFD"/>
    <w:rsid w:val="00F6636A"/>
    <w:rsid w:val="00F667C5"/>
    <w:rsid w:val="00F67E31"/>
    <w:rsid w:val="00F718A8"/>
    <w:rsid w:val="00F72183"/>
    <w:rsid w:val="00F76D01"/>
    <w:rsid w:val="00F81C35"/>
    <w:rsid w:val="00F82981"/>
    <w:rsid w:val="00F8311F"/>
    <w:rsid w:val="00F83248"/>
    <w:rsid w:val="00F83376"/>
    <w:rsid w:val="00F853AE"/>
    <w:rsid w:val="00F92761"/>
    <w:rsid w:val="00F93C74"/>
    <w:rsid w:val="00F93DCC"/>
    <w:rsid w:val="00F9435D"/>
    <w:rsid w:val="00F97740"/>
    <w:rsid w:val="00FA2F7B"/>
    <w:rsid w:val="00FB09FE"/>
    <w:rsid w:val="00FB593A"/>
    <w:rsid w:val="00FB6410"/>
    <w:rsid w:val="00FB6E82"/>
    <w:rsid w:val="00FC0042"/>
    <w:rsid w:val="00FC1520"/>
    <w:rsid w:val="00FC2A13"/>
    <w:rsid w:val="00FC4284"/>
    <w:rsid w:val="00FC4576"/>
    <w:rsid w:val="00FC7DBC"/>
    <w:rsid w:val="00FD076A"/>
    <w:rsid w:val="00FD0AA0"/>
    <w:rsid w:val="00FD1D5A"/>
    <w:rsid w:val="00FD5059"/>
    <w:rsid w:val="00FD554D"/>
    <w:rsid w:val="00FE6469"/>
    <w:rsid w:val="00FF0FF7"/>
    <w:rsid w:val="00FF1438"/>
    <w:rsid w:val="00FF2BE6"/>
    <w:rsid w:val="00FF3A38"/>
    <w:rsid w:val="00FF3C25"/>
    <w:rsid w:val="00FF61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w:eastAsia="Times New Roman" w:hAnsi="Courier"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54547"/>
    <w:rPr>
      <w:color w:val="00808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styleId="PageNumber">
    <w:name w:val="page number"/>
    <w:basedOn w:val="DefaultParagraphFont"/>
    <w:rsid w:val="005436C2"/>
  </w:style>
  <w:style w:type="paragraph" w:styleId="Header">
    <w:name w:val="header"/>
    <w:basedOn w:val="Normal"/>
    <w:rsid w:val="005436C2"/>
    <w:pPr>
      <w:tabs>
        <w:tab w:val="center" w:pos="4320"/>
        <w:tab w:val="right" w:pos="8640"/>
      </w:tabs>
    </w:pPr>
  </w:style>
  <w:style w:type="paragraph" w:styleId="BodyText">
    <w:name w:val="Body Text"/>
    <w:basedOn w:val="Normal"/>
    <w:rsid w:val="005436C2"/>
    <w:pPr>
      <w:tabs>
        <w:tab w:val="left" w:pos="720"/>
      </w:tabs>
      <w:spacing w:line="240" w:lineRule="exact"/>
      <w:ind w:right="-360"/>
    </w:pPr>
    <w:rPr>
      <w:rFonts w:ascii="Times New Roman" w:hAnsi="Times New Roman"/>
      <w:color w:val="000080"/>
    </w:rPr>
  </w:style>
  <w:style w:type="paragraph" w:styleId="BodyText3">
    <w:name w:val="Body Text 3"/>
    <w:basedOn w:val="Normal"/>
    <w:rsid w:val="005436C2"/>
    <w:pPr>
      <w:tabs>
        <w:tab w:val="left" w:pos="288"/>
        <w:tab w:val="left" w:pos="4752"/>
      </w:tabs>
      <w:spacing w:line="240" w:lineRule="exact"/>
      <w:ind w:right="-360"/>
      <w:jc w:val="both"/>
    </w:pPr>
    <w:rPr>
      <w:color w:val="000080"/>
    </w:rPr>
  </w:style>
  <w:style w:type="paragraph" w:styleId="PlainText">
    <w:name w:val="Plain Text"/>
    <w:basedOn w:val="Normal"/>
    <w:link w:val="PlainTextChar"/>
    <w:uiPriority w:val="99"/>
    <w:unhideWhenUsed/>
    <w:rsid w:val="00D91DA6"/>
    <w:rPr>
      <w:rFonts w:ascii="Consolas" w:eastAsia="Calibri" w:hAnsi="Consolas"/>
      <w:color w:val="auto"/>
      <w:sz w:val="21"/>
      <w:szCs w:val="21"/>
    </w:rPr>
  </w:style>
  <w:style w:type="character" w:customStyle="1" w:styleId="PlainTextChar">
    <w:name w:val="Plain Text Char"/>
    <w:basedOn w:val="DefaultParagraphFont"/>
    <w:link w:val="PlainText"/>
    <w:uiPriority w:val="99"/>
    <w:rsid w:val="00D91DA6"/>
    <w:rPr>
      <w:rFonts w:ascii="Consolas" w:eastAsia="Calibri" w:hAnsi="Consolas" w:cs="Times New Roman"/>
      <w:sz w:val="21"/>
      <w:szCs w:val="21"/>
    </w:rPr>
  </w:style>
  <w:style w:type="character" w:customStyle="1" w:styleId="FooterChar">
    <w:name w:val="Footer Char"/>
    <w:basedOn w:val="DefaultParagraphFont"/>
    <w:link w:val="Footer"/>
    <w:uiPriority w:val="99"/>
    <w:rsid w:val="000379D0"/>
    <w:rPr>
      <w:color w:val="008080"/>
      <w:sz w:val="24"/>
    </w:rPr>
  </w:style>
  <w:style w:type="paragraph" w:styleId="BalloonText">
    <w:name w:val="Balloon Text"/>
    <w:basedOn w:val="Normal"/>
    <w:link w:val="BalloonTextChar"/>
    <w:rsid w:val="000379D0"/>
    <w:rPr>
      <w:rFonts w:ascii="Tahoma" w:hAnsi="Tahoma" w:cs="Tahoma"/>
      <w:sz w:val="16"/>
      <w:szCs w:val="16"/>
    </w:rPr>
  </w:style>
  <w:style w:type="character" w:customStyle="1" w:styleId="BalloonTextChar">
    <w:name w:val="Balloon Text Char"/>
    <w:basedOn w:val="DefaultParagraphFont"/>
    <w:link w:val="BalloonText"/>
    <w:rsid w:val="000379D0"/>
    <w:rPr>
      <w:rFonts w:ascii="Tahoma" w:hAnsi="Tahoma" w:cs="Tahoma"/>
      <w:color w:val="008080"/>
      <w:sz w:val="16"/>
      <w:szCs w:val="16"/>
    </w:rPr>
  </w:style>
  <w:style w:type="table" w:styleId="TableGrid">
    <w:name w:val="Table Grid"/>
    <w:basedOn w:val="TableNormal"/>
    <w:uiPriority w:val="59"/>
    <w:rsid w:val="006F1A46"/>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asciiTheme="minorHAnsi" w:eastAsiaTheme="minorHAnsi" w:hAnsiTheme="minorHAnsi" w:cstheme="minorBidi"/>
      <w:color w:val="auto"/>
      <w:sz w:val="22"/>
      <w:szCs w:val="22"/>
    </w:rPr>
  </w:style>
  <w:style w:type="character" w:customStyle="1" w:styleId="gi2">
    <w:name w:val="gi2"/>
    <w:basedOn w:val="DefaultParagraphFont"/>
    <w:rsid w:val="00BB7598"/>
  </w:style>
</w:styles>
</file>

<file path=word/webSettings.xml><?xml version="1.0" encoding="utf-8"?>
<w:webSettings xmlns:r="http://schemas.openxmlformats.org/officeDocument/2006/relationships" xmlns:w="http://schemas.openxmlformats.org/wordprocessingml/2006/main">
  <w:divs>
    <w:div w:id="539513790">
      <w:bodyDiv w:val="1"/>
      <w:marLeft w:val="0"/>
      <w:marRight w:val="0"/>
      <w:marTop w:val="0"/>
      <w:marBottom w:val="0"/>
      <w:divBdr>
        <w:top w:val="none" w:sz="0" w:space="0" w:color="auto"/>
        <w:left w:val="none" w:sz="0" w:space="0" w:color="auto"/>
        <w:bottom w:val="none" w:sz="0" w:space="0" w:color="auto"/>
        <w:right w:val="none" w:sz="0" w:space="0" w:color="auto"/>
      </w:divBdr>
    </w:div>
    <w:div w:id="1291279704">
      <w:bodyDiv w:val="1"/>
      <w:marLeft w:val="0"/>
      <w:marRight w:val="0"/>
      <w:marTop w:val="0"/>
      <w:marBottom w:val="0"/>
      <w:divBdr>
        <w:top w:val="none" w:sz="0" w:space="0" w:color="auto"/>
        <w:left w:val="none" w:sz="0" w:space="0" w:color="auto"/>
        <w:bottom w:val="none" w:sz="0" w:space="0" w:color="auto"/>
        <w:right w:val="none" w:sz="0" w:space="0" w:color="auto"/>
      </w:divBdr>
    </w:div>
    <w:div w:id="1408843176">
      <w:bodyDiv w:val="1"/>
      <w:marLeft w:val="0"/>
      <w:marRight w:val="0"/>
      <w:marTop w:val="0"/>
      <w:marBottom w:val="0"/>
      <w:divBdr>
        <w:top w:val="none" w:sz="0" w:space="0" w:color="auto"/>
        <w:left w:val="none" w:sz="0" w:space="0" w:color="auto"/>
        <w:bottom w:val="none" w:sz="0" w:space="0" w:color="auto"/>
        <w:right w:val="none" w:sz="0" w:space="0" w:color="auto"/>
      </w:divBdr>
    </w:div>
    <w:div w:id="1517843161">
      <w:bodyDiv w:val="1"/>
      <w:marLeft w:val="0"/>
      <w:marRight w:val="0"/>
      <w:marTop w:val="0"/>
      <w:marBottom w:val="0"/>
      <w:divBdr>
        <w:top w:val="none" w:sz="0" w:space="0" w:color="auto"/>
        <w:left w:val="none" w:sz="0" w:space="0" w:color="auto"/>
        <w:bottom w:val="none" w:sz="0" w:space="0" w:color="auto"/>
        <w:right w:val="none" w:sz="0" w:space="0" w:color="auto"/>
      </w:divBdr>
    </w:div>
    <w:div w:id="1551305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EBE7FE-F8A4-43CE-956D-AFB625399B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2799</Words>
  <Characters>15960</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18722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Colleen.Toussaint</cp:lastModifiedBy>
  <cp:revision>2</cp:revision>
  <cp:lastPrinted>2011-06-02T14:11:00Z</cp:lastPrinted>
  <dcterms:created xsi:type="dcterms:W3CDTF">2012-03-07T17:03:00Z</dcterms:created>
  <dcterms:modified xsi:type="dcterms:W3CDTF">2012-03-07T17:03:00Z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-1105890195</vt:i4>
  </property>
</Properties>
</file>