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672400" w:rsidRDefault="00540BEF" w:rsidP="00190E48">
      <w:pPr>
        <w:tabs>
          <w:tab w:val="left" w:pos="288"/>
          <w:tab w:val="left" w:pos="4752"/>
        </w:tabs>
        <w:spacing w:line="240" w:lineRule="exact"/>
        <w:jc w:val="center"/>
        <w:rPr>
          <w:rFonts w:asciiTheme="minorHAnsi" w:hAnsiTheme="minorHAnsi"/>
          <w:color w:val="auto"/>
        </w:rPr>
      </w:pPr>
      <w:r w:rsidRPr="00672400">
        <w:rPr>
          <w:rFonts w:asciiTheme="minorHAnsi" w:hAnsiTheme="minorHAnsi"/>
          <w:color w:val="auto"/>
        </w:rPr>
        <w:t>RECORD OF PROCEEDINGS</w:t>
      </w:r>
    </w:p>
    <w:p w:rsidR="00540BEF" w:rsidRPr="00672400" w:rsidRDefault="00540BEF" w:rsidP="00190E48">
      <w:pPr>
        <w:tabs>
          <w:tab w:val="left" w:pos="288"/>
          <w:tab w:val="left" w:pos="4752"/>
        </w:tabs>
        <w:spacing w:line="240" w:lineRule="exact"/>
        <w:jc w:val="center"/>
        <w:rPr>
          <w:rFonts w:asciiTheme="minorHAnsi" w:hAnsiTheme="minorHAnsi"/>
          <w:color w:val="auto"/>
        </w:rPr>
      </w:pPr>
      <w:r w:rsidRPr="00672400">
        <w:rPr>
          <w:rFonts w:asciiTheme="minorHAnsi" w:hAnsiTheme="minorHAnsi"/>
          <w:color w:val="auto"/>
        </w:rPr>
        <w:t>PHYSICAL DISABILITY BOARD OF REVIEW</w:t>
      </w:r>
    </w:p>
    <w:p w:rsidR="00540BEF" w:rsidRPr="00672400" w:rsidRDefault="00540BEF" w:rsidP="00190E48">
      <w:pPr>
        <w:tabs>
          <w:tab w:val="left" w:pos="288"/>
          <w:tab w:val="left" w:pos="4752"/>
        </w:tabs>
        <w:spacing w:line="240" w:lineRule="exact"/>
        <w:jc w:val="both"/>
        <w:rPr>
          <w:rFonts w:asciiTheme="minorHAnsi" w:hAnsiTheme="minorHAnsi"/>
          <w:caps/>
          <w:color w:val="auto"/>
        </w:rPr>
      </w:pPr>
    </w:p>
    <w:p w:rsidR="00540BEF" w:rsidRPr="00672400" w:rsidRDefault="00540BEF" w:rsidP="00E429B8">
      <w:pPr>
        <w:tabs>
          <w:tab w:val="left" w:pos="288"/>
          <w:tab w:val="left" w:pos="4752"/>
        </w:tabs>
        <w:spacing w:line="240" w:lineRule="exact"/>
        <w:jc w:val="both"/>
        <w:rPr>
          <w:rFonts w:asciiTheme="minorHAnsi" w:hAnsiTheme="minorHAnsi"/>
          <w:caps/>
          <w:color w:val="auto"/>
        </w:rPr>
      </w:pPr>
      <w:r w:rsidRPr="00672400">
        <w:rPr>
          <w:rFonts w:asciiTheme="minorHAnsi" w:hAnsiTheme="minorHAnsi"/>
          <w:caps/>
          <w:color w:val="auto"/>
        </w:rPr>
        <w:t>NAME:</w:t>
      </w:r>
      <w:r w:rsidR="00EF6BB7" w:rsidRPr="00672400">
        <w:rPr>
          <w:rFonts w:asciiTheme="minorHAnsi" w:hAnsiTheme="minorHAnsi"/>
          <w:caps/>
          <w:color w:val="auto"/>
        </w:rPr>
        <w:t xml:space="preserve">  </w:t>
      </w:r>
      <w:r w:rsidR="00402CA3">
        <w:rPr>
          <w:rFonts w:asciiTheme="minorHAnsi" w:hAnsiTheme="minorHAnsi"/>
          <w:caps/>
          <w:color w:val="auto"/>
        </w:rPr>
        <w:t>XXXXXXX</w:t>
      </w:r>
      <w:r w:rsidRPr="00672400">
        <w:rPr>
          <w:rFonts w:asciiTheme="minorHAnsi" w:hAnsiTheme="minorHAnsi"/>
          <w:caps/>
          <w:color w:val="auto"/>
        </w:rPr>
        <w:tab/>
      </w:r>
      <w:r w:rsidR="00E429B8">
        <w:rPr>
          <w:rFonts w:asciiTheme="minorHAnsi" w:hAnsiTheme="minorHAnsi"/>
          <w:caps/>
          <w:color w:val="auto"/>
        </w:rPr>
        <w:t xml:space="preserve">             </w:t>
      </w:r>
      <w:r w:rsidRPr="00672400">
        <w:rPr>
          <w:rFonts w:asciiTheme="minorHAnsi" w:hAnsiTheme="minorHAnsi"/>
          <w:caps/>
          <w:color w:val="auto"/>
        </w:rPr>
        <w:t xml:space="preserve">BRANCH OF SERVICE: </w:t>
      </w:r>
      <w:r w:rsidR="00E1012B" w:rsidRPr="00672400">
        <w:rPr>
          <w:rFonts w:asciiTheme="minorHAnsi" w:hAnsiTheme="minorHAnsi"/>
          <w:caps/>
          <w:color w:val="auto"/>
        </w:rPr>
        <w:t xml:space="preserve"> </w:t>
      </w:r>
      <w:r w:rsidR="00D00981" w:rsidRPr="00672400">
        <w:rPr>
          <w:rFonts w:asciiTheme="minorHAnsi" w:hAnsiTheme="minorHAnsi"/>
          <w:caps/>
          <w:color w:val="auto"/>
        </w:rPr>
        <w:t>marine corps</w:t>
      </w:r>
      <w:r w:rsidR="005014DE" w:rsidRPr="00672400">
        <w:rPr>
          <w:rFonts w:asciiTheme="minorHAnsi" w:hAnsiTheme="minorHAnsi"/>
          <w:caps/>
          <w:color w:val="auto"/>
        </w:rPr>
        <w:t xml:space="preserve"> </w:t>
      </w:r>
    </w:p>
    <w:p w:rsidR="00540BEF" w:rsidRPr="00672400" w:rsidRDefault="00540BEF" w:rsidP="00575E16">
      <w:pPr>
        <w:tabs>
          <w:tab w:val="left" w:pos="288"/>
          <w:tab w:val="left" w:pos="4752"/>
        </w:tabs>
        <w:spacing w:line="240" w:lineRule="exact"/>
        <w:ind w:right="-900"/>
        <w:jc w:val="both"/>
        <w:rPr>
          <w:rFonts w:asciiTheme="minorHAnsi" w:hAnsiTheme="minorHAnsi"/>
          <w:caps/>
          <w:color w:val="auto"/>
        </w:rPr>
      </w:pPr>
      <w:r w:rsidRPr="00672400">
        <w:rPr>
          <w:rFonts w:asciiTheme="minorHAnsi" w:hAnsiTheme="minorHAnsi"/>
          <w:caps/>
          <w:color w:val="auto"/>
        </w:rPr>
        <w:t>CASE NUMBER:  PD</w:t>
      </w:r>
      <w:r w:rsidR="003009C1" w:rsidRPr="00672400">
        <w:rPr>
          <w:rFonts w:asciiTheme="minorHAnsi" w:hAnsiTheme="minorHAnsi"/>
          <w:caps/>
          <w:color w:val="auto"/>
        </w:rPr>
        <w:t>09006</w:t>
      </w:r>
      <w:r w:rsidR="005014DE" w:rsidRPr="00672400">
        <w:rPr>
          <w:rFonts w:asciiTheme="minorHAnsi" w:hAnsiTheme="minorHAnsi"/>
          <w:caps/>
          <w:color w:val="auto"/>
        </w:rPr>
        <w:t>63</w:t>
      </w:r>
      <w:r w:rsidR="00CD69A0" w:rsidRPr="00672400">
        <w:rPr>
          <w:rFonts w:asciiTheme="minorHAnsi" w:hAnsiTheme="minorHAnsi"/>
          <w:caps/>
          <w:color w:val="auto"/>
        </w:rPr>
        <w:tab/>
      </w:r>
      <w:r w:rsidR="00E429B8">
        <w:rPr>
          <w:rFonts w:asciiTheme="minorHAnsi" w:hAnsiTheme="minorHAnsi"/>
          <w:caps/>
          <w:color w:val="auto"/>
        </w:rPr>
        <w:t xml:space="preserve">             </w:t>
      </w:r>
      <w:r w:rsidR="00C22F3A" w:rsidRPr="00672400">
        <w:rPr>
          <w:rFonts w:asciiTheme="minorHAnsi" w:hAnsiTheme="minorHAnsi"/>
          <w:caps/>
          <w:color w:val="auto"/>
        </w:rPr>
        <w:t xml:space="preserve">SEPARATION DATE: </w:t>
      </w:r>
      <w:r w:rsidR="00672400">
        <w:rPr>
          <w:rFonts w:asciiTheme="minorHAnsi" w:hAnsiTheme="minorHAnsi"/>
          <w:caps/>
          <w:color w:val="auto"/>
        </w:rPr>
        <w:t xml:space="preserve"> </w:t>
      </w:r>
      <w:r w:rsidR="00C22F3A" w:rsidRPr="00672400">
        <w:rPr>
          <w:rFonts w:asciiTheme="minorHAnsi" w:hAnsiTheme="minorHAnsi"/>
          <w:caps/>
          <w:color w:val="auto"/>
        </w:rPr>
        <w:t>200</w:t>
      </w:r>
      <w:r w:rsidR="006B44BB" w:rsidRPr="00672400">
        <w:rPr>
          <w:rFonts w:asciiTheme="minorHAnsi" w:hAnsiTheme="minorHAnsi"/>
          <w:caps/>
          <w:color w:val="auto"/>
        </w:rPr>
        <w:t>60430</w:t>
      </w:r>
    </w:p>
    <w:p w:rsidR="00540BEF" w:rsidRPr="00672400" w:rsidRDefault="00540BEF" w:rsidP="00190E48">
      <w:pPr>
        <w:tabs>
          <w:tab w:val="left" w:pos="288"/>
          <w:tab w:val="left" w:pos="4752"/>
        </w:tabs>
        <w:spacing w:line="240" w:lineRule="exact"/>
        <w:jc w:val="both"/>
        <w:rPr>
          <w:rFonts w:asciiTheme="minorHAnsi" w:hAnsiTheme="minorHAnsi"/>
          <w:caps/>
          <w:color w:val="auto"/>
        </w:rPr>
      </w:pPr>
      <w:r w:rsidRPr="00672400">
        <w:rPr>
          <w:rFonts w:asciiTheme="minorHAnsi" w:hAnsiTheme="minorHAnsi"/>
          <w:caps/>
          <w:color w:val="auto"/>
        </w:rPr>
        <w:t xml:space="preserve">BOARD DATE: </w:t>
      </w:r>
      <w:r w:rsidR="00672400">
        <w:rPr>
          <w:rFonts w:asciiTheme="minorHAnsi" w:hAnsiTheme="minorHAnsi"/>
          <w:caps/>
          <w:color w:val="auto"/>
        </w:rPr>
        <w:t xml:space="preserve"> </w:t>
      </w:r>
      <w:r w:rsidR="000F02BE" w:rsidRPr="00672400">
        <w:rPr>
          <w:rFonts w:asciiTheme="minorHAnsi" w:hAnsiTheme="minorHAnsi"/>
          <w:caps/>
          <w:color w:val="auto"/>
        </w:rPr>
        <w:t>201</w:t>
      </w:r>
      <w:r w:rsidR="00EF1FDC" w:rsidRPr="00672400">
        <w:rPr>
          <w:rFonts w:asciiTheme="minorHAnsi" w:hAnsiTheme="minorHAnsi"/>
          <w:caps/>
          <w:color w:val="auto"/>
        </w:rPr>
        <w:t>1</w:t>
      </w:r>
      <w:r w:rsidR="00147084" w:rsidRPr="00672400">
        <w:rPr>
          <w:rFonts w:asciiTheme="minorHAnsi" w:hAnsiTheme="minorHAnsi"/>
          <w:caps/>
          <w:color w:val="auto"/>
        </w:rPr>
        <w:t>0203</w:t>
      </w:r>
      <w:r w:rsidR="00672400">
        <w:rPr>
          <w:rFonts w:asciiTheme="minorHAnsi" w:hAnsiTheme="minorHAnsi"/>
          <w:caps/>
          <w:color w:val="auto"/>
        </w:rPr>
        <w:t xml:space="preserve">  </w:t>
      </w:r>
    </w:p>
    <w:p w:rsidR="00B522CD" w:rsidRPr="00672400" w:rsidRDefault="00342F61" w:rsidP="00681768">
      <w:pPr>
        <w:tabs>
          <w:tab w:val="left" w:pos="288"/>
          <w:tab w:val="left" w:pos="4752"/>
        </w:tabs>
        <w:spacing w:line="240" w:lineRule="exact"/>
        <w:rPr>
          <w:color w:val="auto"/>
        </w:rPr>
      </w:pPr>
      <w:r w:rsidRPr="00342F61">
        <w:rPr>
          <w:rFonts w:asciiTheme="minorHAnsi" w:hAnsiTheme="minorHAnsi"/>
          <w:color w:val="auto"/>
          <w:u w:val="single"/>
        </w:rPr>
        <w:t>______________________________________________________________________________</w:t>
      </w:r>
    </w:p>
    <w:p w:rsidR="00342F61" w:rsidRDefault="00342F61" w:rsidP="00147084">
      <w:pPr>
        <w:tabs>
          <w:tab w:val="left" w:pos="288"/>
          <w:tab w:val="left" w:pos="4752"/>
        </w:tabs>
        <w:spacing w:line="240" w:lineRule="exact"/>
        <w:jc w:val="both"/>
        <w:rPr>
          <w:rFonts w:asciiTheme="minorHAnsi" w:hAnsiTheme="minorHAnsi"/>
          <w:color w:val="auto"/>
          <w:u w:val="single"/>
        </w:rPr>
      </w:pPr>
    </w:p>
    <w:p w:rsidR="004B7C5B" w:rsidRPr="00672400" w:rsidRDefault="002C6E5B" w:rsidP="00147084">
      <w:pPr>
        <w:tabs>
          <w:tab w:val="left" w:pos="288"/>
          <w:tab w:val="left" w:pos="4752"/>
        </w:tabs>
        <w:spacing w:line="240" w:lineRule="exact"/>
        <w:jc w:val="both"/>
        <w:rPr>
          <w:rFonts w:asciiTheme="minorHAnsi" w:hAnsiTheme="minorHAnsi"/>
          <w:color w:val="auto"/>
          <w:szCs w:val="24"/>
        </w:rPr>
      </w:pPr>
      <w:r w:rsidRPr="00672400">
        <w:rPr>
          <w:rFonts w:asciiTheme="minorHAnsi" w:hAnsiTheme="minorHAnsi"/>
          <w:color w:val="auto"/>
          <w:u w:val="single"/>
        </w:rPr>
        <w:t>SUMMARY OF CASE</w:t>
      </w:r>
      <w:r w:rsidRPr="00672400">
        <w:rPr>
          <w:rFonts w:asciiTheme="minorHAnsi" w:hAnsiTheme="minorHAnsi"/>
          <w:color w:val="auto"/>
        </w:rPr>
        <w:t xml:space="preserve">:  </w:t>
      </w:r>
      <w:r w:rsidR="00EF1FDC" w:rsidRPr="00672400">
        <w:rPr>
          <w:rFonts w:asciiTheme="minorHAnsi" w:hAnsiTheme="minorHAnsi"/>
          <w:color w:val="auto"/>
          <w:szCs w:val="24"/>
        </w:rPr>
        <w:t xml:space="preserve">Data extracted from the available evidence of record reflects that this covered individual (CI) </w:t>
      </w:r>
      <w:r w:rsidR="003606F2" w:rsidRPr="00672400">
        <w:rPr>
          <w:rFonts w:asciiTheme="minorHAnsi" w:hAnsiTheme="minorHAnsi"/>
          <w:color w:val="auto"/>
          <w:szCs w:val="24"/>
        </w:rPr>
        <w:t xml:space="preserve">was an active duty Lance </w:t>
      </w:r>
      <w:r w:rsidR="00147084" w:rsidRPr="00672400">
        <w:rPr>
          <w:rFonts w:asciiTheme="minorHAnsi" w:hAnsiTheme="minorHAnsi"/>
          <w:color w:val="auto"/>
          <w:szCs w:val="24"/>
        </w:rPr>
        <w:t>Corporal (</w:t>
      </w:r>
      <w:r w:rsidR="004C7056" w:rsidRPr="00672400">
        <w:rPr>
          <w:rFonts w:asciiTheme="minorHAnsi" w:hAnsiTheme="minorHAnsi"/>
          <w:color w:val="auto"/>
          <w:szCs w:val="24"/>
        </w:rPr>
        <w:t xml:space="preserve">Air Traffic Controller [in Training] </w:t>
      </w:r>
      <w:r w:rsidR="00147084" w:rsidRPr="00672400">
        <w:rPr>
          <w:rFonts w:asciiTheme="minorHAnsi" w:hAnsiTheme="minorHAnsi"/>
          <w:color w:val="auto"/>
          <w:szCs w:val="24"/>
        </w:rPr>
        <w:t>MOS 7200</w:t>
      </w:r>
      <w:r w:rsidR="00FE2D7E" w:rsidRPr="00672400">
        <w:rPr>
          <w:rFonts w:asciiTheme="minorHAnsi" w:hAnsiTheme="minorHAnsi"/>
          <w:color w:val="auto"/>
          <w:szCs w:val="24"/>
        </w:rPr>
        <w:t>)</w:t>
      </w:r>
      <w:r w:rsidR="003606F2" w:rsidRPr="00672400">
        <w:rPr>
          <w:rFonts w:asciiTheme="minorHAnsi" w:hAnsiTheme="minorHAnsi"/>
          <w:color w:val="auto"/>
          <w:szCs w:val="24"/>
        </w:rPr>
        <w:t xml:space="preserve"> medically separated from the Marine Corps in 2006</w:t>
      </w:r>
      <w:r w:rsidR="0012415E">
        <w:rPr>
          <w:rFonts w:asciiTheme="minorHAnsi" w:hAnsiTheme="minorHAnsi"/>
          <w:color w:val="auto"/>
          <w:szCs w:val="24"/>
        </w:rPr>
        <w:t>.</w:t>
      </w:r>
      <w:r w:rsidR="003606F2" w:rsidRPr="00672400">
        <w:rPr>
          <w:rFonts w:asciiTheme="minorHAnsi" w:hAnsiTheme="minorHAnsi"/>
          <w:color w:val="auto"/>
          <w:szCs w:val="24"/>
        </w:rPr>
        <w:t xml:space="preserve">  The medical basis for the separation was </w:t>
      </w:r>
      <w:r w:rsidR="00E429B8">
        <w:rPr>
          <w:rFonts w:asciiTheme="minorHAnsi" w:hAnsiTheme="minorHAnsi"/>
          <w:color w:val="auto"/>
          <w:szCs w:val="24"/>
        </w:rPr>
        <w:t>l</w:t>
      </w:r>
      <w:r w:rsidR="003606F2" w:rsidRPr="00672400">
        <w:rPr>
          <w:rFonts w:asciiTheme="minorHAnsi" w:hAnsiTheme="minorHAnsi"/>
          <w:color w:val="auto"/>
          <w:szCs w:val="24"/>
        </w:rPr>
        <w:t xml:space="preserve">eft </w:t>
      </w:r>
      <w:r w:rsidR="00E429B8">
        <w:rPr>
          <w:rFonts w:asciiTheme="minorHAnsi" w:hAnsiTheme="minorHAnsi"/>
          <w:color w:val="auto"/>
          <w:szCs w:val="24"/>
        </w:rPr>
        <w:t>k</w:t>
      </w:r>
      <w:r w:rsidR="003606F2" w:rsidRPr="00672400">
        <w:rPr>
          <w:rFonts w:asciiTheme="minorHAnsi" w:hAnsiTheme="minorHAnsi"/>
          <w:color w:val="auto"/>
          <w:szCs w:val="24"/>
        </w:rPr>
        <w:t xml:space="preserve">nee </w:t>
      </w:r>
      <w:r w:rsidR="00E429B8">
        <w:rPr>
          <w:rFonts w:asciiTheme="minorHAnsi" w:hAnsiTheme="minorHAnsi"/>
          <w:color w:val="auto"/>
          <w:szCs w:val="24"/>
        </w:rPr>
        <w:t>i</w:t>
      </w:r>
      <w:r w:rsidR="003606F2" w:rsidRPr="00672400">
        <w:rPr>
          <w:rFonts w:asciiTheme="minorHAnsi" w:hAnsiTheme="minorHAnsi"/>
          <w:color w:val="auto"/>
          <w:szCs w:val="24"/>
        </w:rPr>
        <w:t xml:space="preserve">liotibial </w:t>
      </w:r>
      <w:r w:rsidR="00E429B8">
        <w:rPr>
          <w:rFonts w:asciiTheme="minorHAnsi" w:hAnsiTheme="minorHAnsi"/>
          <w:color w:val="auto"/>
          <w:szCs w:val="24"/>
        </w:rPr>
        <w:t>b</w:t>
      </w:r>
      <w:r w:rsidR="003606F2" w:rsidRPr="00672400">
        <w:rPr>
          <w:rFonts w:asciiTheme="minorHAnsi" w:hAnsiTheme="minorHAnsi"/>
          <w:color w:val="auto"/>
          <w:szCs w:val="24"/>
        </w:rPr>
        <w:t xml:space="preserve">and </w:t>
      </w:r>
      <w:r w:rsidR="00E429B8">
        <w:rPr>
          <w:rFonts w:asciiTheme="minorHAnsi" w:hAnsiTheme="minorHAnsi"/>
          <w:color w:val="auto"/>
          <w:szCs w:val="24"/>
        </w:rPr>
        <w:t>f</w:t>
      </w:r>
      <w:r w:rsidR="003606F2" w:rsidRPr="00672400">
        <w:rPr>
          <w:rFonts w:asciiTheme="minorHAnsi" w:hAnsiTheme="minorHAnsi"/>
          <w:color w:val="auto"/>
          <w:szCs w:val="24"/>
        </w:rPr>
        <w:t xml:space="preserve">riction </w:t>
      </w:r>
      <w:r w:rsidR="00B11F1A">
        <w:rPr>
          <w:rFonts w:asciiTheme="minorHAnsi" w:hAnsiTheme="minorHAnsi"/>
          <w:color w:val="auto"/>
          <w:szCs w:val="24"/>
        </w:rPr>
        <w:t xml:space="preserve">(IBF) </w:t>
      </w:r>
      <w:r w:rsidR="00E429B8">
        <w:rPr>
          <w:rFonts w:asciiTheme="minorHAnsi" w:hAnsiTheme="minorHAnsi"/>
          <w:color w:val="auto"/>
          <w:szCs w:val="24"/>
        </w:rPr>
        <w:t>s</w:t>
      </w:r>
      <w:r w:rsidR="003606F2" w:rsidRPr="00672400">
        <w:rPr>
          <w:rFonts w:asciiTheme="minorHAnsi" w:hAnsiTheme="minorHAnsi"/>
          <w:color w:val="auto"/>
          <w:szCs w:val="24"/>
        </w:rPr>
        <w:t xml:space="preserve">yndrome.  </w:t>
      </w:r>
      <w:r w:rsidR="004C7056" w:rsidRPr="00672400">
        <w:rPr>
          <w:rFonts w:asciiTheme="minorHAnsi" w:hAnsiTheme="minorHAnsi"/>
          <w:color w:val="auto"/>
          <w:szCs w:val="24"/>
        </w:rPr>
        <w:t xml:space="preserve">The CI </w:t>
      </w:r>
      <w:r w:rsidR="00610BD4" w:rsidRPr="00672400">
        <w:rPr>
          <w:rFonts w:asciiTheme="minorHAnsi" w:hAnsiTheme="minorHAnsi"/>
          <w:color w:val="auto"/>
          <w:szCs w:val="24"/>
        </w:rPr>
        <w:t>complained of left knee lateral-</w:t>
      </w:r>
      <w:r w:rsidR="004C7056" w:rsidRPr="00672400">
        <w:rPr>
          <w:rFonts w:asciiTheme="minorHAnsi" w:hAnsiTheme="minorHAnsi"/>
          <w:color w:val="auto"/>
          <w:szCs w:val="24"/>
        </w:rPr>
        <w:t xml:space="preserve">sided pain while running </w:t>
      </w:r>
      <w:r w:rsidR="005C0B7C" w:rsidRPr="00672400">
        <w:rPr>
          <w:rFonts w:asciiTheme="minorHAnsi" w:hAnsiTheme="minorHAnsi"/>
          <w:color w:val="auto"/>
          <w:szCs w:val="24"/>
        </w:rPr>
        <w:t xml:space="preserve">or prolonged standing, </w:t>
      </w:r>
      <w:r w:rsidR="00610BD4" w:rsidRPr="00672400">
        <w:rPr>
          <w:rFonts w:asciiTheme="minorHAnsi" w:hAnsiTheme="minorHAnsi"/>
          <w:color w:val="auto"/>
          <w:szCs w:val="24"/>
        </w:rPr>
        <w:t>without a history of trauma</w:t>
      </w:r>
      <w:r w:rsidR="004F596B" w:rsidRPr="00672400">
        <w:rPr>
          <w:rFonts w:asciiTheme="minorHAnsi" w:hAnsiTheme="minorHAnsi"/>
          <w:color w:val="auto"/>
          <w:szCs w:val="24"/>
        </w:rPr>
        <w:t xml:space="preserve">.  </w:t>
      </w:r>
      <w:r w:rsidR="00610BD4" w:rsidRPr="00672400">
        <w:rPr>
          <w:rFonts w:asciiTheme="minorHAnsi" w:hAnsiTheme="minorHAnsi"/>
          <w:color w:val="auto"/>
          <w:szCs w:val="24"/>
        </w:rPr>
        <w:t xml:space="preserve">The CI was placed on Limited Duty (LIMDU) twice with restrictions of no climbing, running, marching, drilling or stair climbing.  </w:t>
      </w:r>
      <w:r w:rsidR="004F596B" w:rsidRPr="00672400">
        <w:rPr>
          <w:rFonts w:asciiTheme="minorHAnsi" w:hAnsiTheme="minorHAnsi"/>
          <w:color w:val="auto"/>
          <w:szCs w:val="24"/>
        </w:rPr>
        <w:t xml:space="preserve">Despite extensive physical therapy including iontophoresis, </w:t>
      </w:r>
      <w:r w:rsidR="00EF6BB7" w:rsidRPr="00672400">
        <w:rPr>
          <w:rFonts w:asciiTheme="minorHAnsi" w:hAnsiTheme="minorHAnsi"/>
          <w:color w:val="auto"/>
          <w:szCs w:val="24"/>
        </w:rPr>
        <w:t>corticosteroid</w:t>
      </w:r>
      <w:r w:rsidR="004F596B" w:rsidRPr="00672400">
        <w:rPr>
          <w:rFonts w:asciiTheme="minorHAnsi" w:hAnsiTheme="minorHAnsi"/>
          <w:color w:val="auto"/>
          <w:szCs w:val="24"/>
        </w:rPr>
        <w:t xml:space="preserve"> injections, </w:t>
      </w:r>
      <w:r w:rsidR="007D10E6" w:rsidRPr="00672400">
        <w:rPr>
          <w:rFonts w:asciiTheme="minorHAnsi" w:hAnsiTheme="minorHAnsi"/>
          <w:color w:val="auto"/>
          <w:szCs w:val="24"/>
        </w:rPr>
        <w:t xml:space="preserve">orthotics, </w:t>
      </w:r>
      <w:r w:rsidR="00610BD4" w:rsidRPr="00672400">
        <w:rPr>
          <w:rFonts w:asciiTheme="minorHAnsi" w:hAnsiTheme="minorHAnsi"/>
          <w:color w:val="auto"/>
          <w:szCs w:val="24"/>
        </w:rPr>
        <w:t>non-</w:t>
      </w:r>
      <w:r w:rsidR="004F596B" w:rsidRPr="00672400">
        <w:rPr>
          <w:rFonts w:asciiTheme="minorHAnsi" w:hAnsiTheme="minorHAnsi"/>
          <w:color w:val="auto"/>
          <w:szCs w:val="24"/>
        </w:rPr>
        <w:t>steroidal anti-</w:t>
      </w:r>
      <w:r w:rsidR="00EF6BB7" w:rsidRPr="00672400">
        <w:rPr>
          <w:rFonts w:asciiTheme="minorHAnsi" w:hAnsiTheme="minorHAnsi"/>
          <w:color w:val="auto"/>
          <w:szCs w:val="24"/>
        </w:rPr>
        <w:t>inflammatory (</w:t>
      </w:r>
      <w:r w:rsidR="007D10E6" w:rsidRPr="00672400">
        <w:rPr>
          <w:rFonts w:asciiTheme="minorHAnsi" w:hAnsiTheme="minorHAnsi"/>
          <w:color w:val="auto"/>
          <w:szCs w:val="24"/>
        </w:rPr>
        <w:t>NSAID</w:t>
      </w:r>
      <w:r w:rsidR="00EF6BB7" w:rsidRPr="00672400">
        <w:rPr>
          <w:rFonts w:asciiTheme="minorHAnsi" w:hAnsiTheme="minorHAnsi"/>
          <w:color w:val="auto"/>
          <w:szCs w:val="24"/>
        </w:rPr>
        <w:t>) medications</w:t>
      </w:r>
      <w:r w:rsidR="004F596B" w:rsidRPr="00672400">
        <w:rPr>
          <w:rFonts w:asciiTheme="minorHAnsi" w:hAnsiTheme="minorHAnsi"/>
          <w:color w:val="auto"/>
          <w:szCs w:val="24"/>
        </w:rPr>
        <w:t xml:space="preserve">, </w:t>
      </w:r>
      <w:r w:rsidR="005A0321" w:rsidRPr="00672400">
        <w:rPr>
          <w:rFonts w:asciiTheme="minorHAnsi" w:hAnsiTheme="minorHAnsi"/>
          <w:color w:val="auto"/>
          <w:szCs w:val="24"/>
        </w:rPr>
        <w:t>stretching and icing modalities</w:t>
      </w:r>
      <w:r w:rsidR="003A2EB7" w:rsidRPr="00672400">
        <w:rPr>
          <w:rFonts w:asciiTheme="minorHAnsi" w:hAnsiTheme="minorHAnsi"/>
          <w:color w:val="auto"/>
          <w:szCs w:val="24"/>
        </w:rPr>
        <w:t xml:space="preserve">, the CI was unable to return to full duty and was referred to a Medical Evaluation Board (MEB). </w:t>
      </w:r>
      <w:r w:rsidR="00610BD4" w:rsidRPr="00672400">
        <w:rPr>
          <w:rFonts w:asciiTheme="minorHAnsi" w:hAnsiTheme="minorHAnsi"/>
          <w:color w:val="auto"/>
          <w:szCs w:val="24"/>
        </w:rPr>
        <w:t xml:space="preserve"> </w:t>
      </w:r>
      <w:r w:rsidR="006C4740" w:rsidRPr="00672400">
        <w:rPr>
          <w:rFonts w:asciiTheme="minorHAnsi" w:hAnsiTheme="minorHAnsi"/>
          <w:color w:val="auto"/>
          <w:szCs w:val="24"/>
        </w:rPr>
        <w:t xml:space="preserve">The </w:t>
      </w:r>
      <w:r w:rsidR="003606F2" w:rsidRPr="00672400">
        <w:rPr>
          <w:rFonts w:asciiTheme="minorHAnsi" w:hAnsiTheme="minorHAnsi"/>
          <w:color w:val="auto"/>
          <w:szCs w:val="24"/>
        </w:rPr>
        <w:t>MEB</w:t>
      </w:r>
      <w:r w:rsidR="006C4740" w:rsidRPr="00672400">
        <w:rPr>
          <w:rFonts w:asciiTheme="minorHAnsi" w:hAnsiTheme="minorHAnsi"/>
          <w:color w:val="auto"/>
          <w:szCs w:val="24"/>
        </w:rPr>
        <w:t xml:space="preserve"> forwarded “</w:t>
      </w:r>
      <w:r w:rsidR="00E429B8">
        <w:rPr>
          <w:rFonts w:asciiTheme="minorHAnsi" w:hAnsiTheme="minorHAnsi"/>
          <w:color w:val="auto"/>
          <w:szCs w:val="24"/>
        </w:rPr>
        <w:t>l</w:t>
      </w:r>
      <w:r w:rsidR="006C4740" w:rsidRPr="00672400">
        <w:rPr>
          <w:rFonts w:asciiTheme="minorHAnsi" w:hAnsiTheme="minorHAnsi"/>
          <w:color w:val="auto"/>
          <w:szCs w:val="24"/>
        </w:rPr>
        <w:t xml:space="preserve">eft </w:t>
      </w:r>
      <w:r w:rsidR="00E429B8">
        <w:rPr>
          <w:rFonts w:asciiTheme="minorHAnsi" w:hAnsiTheme="minorHAnsi"/>
          <w:color w:val="auto"/>
          <w:szCs w:val="24"/>
        </w:rPr>
        <w:t>k</w:t>
      </w:r>
      <w:r w:rsidR="006C4740" w:rsidRPr="00672400">
        <w:rPr>
          <w:rFonts w:asciiTheme="minorHAnsi" w:hAnsiTheme="minorHAnsi"/>
          <w:color w:val="auto"/>
          <w:szCs w:val="24"/>
        </w:rPr>
        <w:t xml:space="preserve">nee </w:t>
      </w:r>
      <w:r w:rsidR="00B11F1A">
        <w:rPr>
          <w:rFonts w:asciiTheme="minorHAnsi" w:hAnsiTheme="minorHAnsi"/>
          <w:color w:val="auto"/>
          <w:szCs w:val="24"/>
        </w:rPr>
        <w:t>IBF synd</w:t>
      </w:r>
      <w:r w:rsidR="006C4740" w:rsidRPr="00672400">
        <w:rPr>
          <w:rFonts w:asciiTheme="minorHAnsi" w:hAnsiTheme="minorHAnsi"/>
          <w:color w:val="auto"/>
          <w:szCs w:val="24"/>
        </w:rPr>
        <w:t xml:space="preserve">rome” to the </w:t>
      </w:r>
      <w:r w:rsidR="0012415E">
        <w:rPr>
          <w:rFonts w:asciiTheme="minorHAnsi" w:hAnsiTheme="minorHAnsi"/>
          <w:color w:val="auto"/>
          <w:szCs w:val="24"/>
        </w:rPr>
        <w:t xml:space="preserve">Informal </w:t>
      </w:r>
      <w:r w:rsidR="006C4740" w:rsidRPr="00672400">
        <w:rPr>
          <w:rFonts w:asciiTheme="minorHAnsi" w:hAnsiTheme="minorHAnsi"/>
          <w:color w:val="auto"/>
          <w:szCs w:val="24"/>
        </w:rPr>
        <w:t>Physical Evaluatio</w:t>
      </w:r>
      <w:r w:rsidR="00610BD4" w:rsidRPr="00672400">
        <w:rPr>
          <w:rFonts w:asciiTheme="minorHAnsi" w:hAnsiTheme="minorHAnsi"/>
          <w:color w:val="auto"/>
          <w:szCs w:val="24"/>
        </w:rPr>
        <w:t>n Board (</w:t>
      </w:r>
      <w:r w:rsidR="0012415E">
        <w:rPr>
          <w:rFonts w:asciiTheme="minorHAnsi" w:hAnsiTheme="minorHAnsi"/>
          <w:color w:val="auto"/>
          <w:szCs w:val="24"/>
        </w:rPr>
        <w:t>I</w:t>
      </w:r>
      <w:r w:rsidR="00610BD4" w:rsidRPr="00672400">
        <w:rPr>
          <w:rFonts w:asciiTheme="minorHAnsi" w:hAnsiTheme="minorHAnsi"/>
          <w:color w:val="auto"/>
          <w:szCs w:val="24"/>
        </w:rPr>
        <w:t>PEB).</w:t>
      </w:r>
      <w:r w:rsidR="004B7C5B" w:rsidRPr="00672400">
        <w:rPr>
          <w:rFonts w:asciiTheme="minorHAnsi" w:hAnsiTheme="minorHAnsi"/>
          <w:color w:val="auto"/>
          <w:szCs w:val="24"/>
        </w:rPr>
        <w:t xml:space="preserve">  The </w:t>
      </w:r>
      <w:r w:rsidR="0012415E">
        <w:rPr>
          <w:rFonts w:asciiTheme="minorHAnsi" w:hAnsiTheme="minorHAnsi"/>
          <w:color w:val="auto"/>
          <w:szCs w:val="24"/>
        </w:rPr>
        <w:t>IPEB</w:t>
      </w:r>
      <w:r w:rsidR="004B7C5B" w:rsidRPr="00672400">
        <w:rPr>
          <w:rFonts w:asciiTheme="minorHAnsi" w:hAnsiTheme="minorHAnsi"/>
          <w:color w:val="auto"/>
          <w:szCs w:val="24"/>
        </w:rPr>
        <w:t xml:space="preserve"> adjudicated “</w:t>
      </w:r>
      <w:r w:rsidR="008C3612">
        <w:rPr>
          <w:rFonts w:asciiTheme="minorHAnsi" w:hAnsiTheme="minorHAnsi"/>
          <w:color w:val="auto"/>
          <w:szCs w:val="24"/>
        </w:rPr>
        <w:t>l</w:t>
      </w:r>
      <w:r w:rsidR="004B7C5B" w:rsidRPr="00672400">
        <w:rPr>
          <w:rFonts w:asciiTheme="minorHAnsi" w:hAnsiTheme="minorHAnsi"/>
          <w:color w:val="auto"/>
          <w:szCs w:val="24"/>
        </w:rPr>
        <w:t xml:space="preserve">eft </w:t>
      </w:r>
      <w:r w:rsidR="008C3612">
        <w:rPr>
          <w:rFonts w:asciiTheme="minorHAnsi" w:hAnsiTheme="minorHAnsi"/>
          <w:color w:val="auto"/>
          <w:szCs w:val="24"/>
        </w:rPr>
        <w:t>k</w:t>
      </w:r>
      <w:r w:rsidR="004B7C5B" w:rsidRPr="00672400">
        <w:rPr>
          <w:rFonts w:asciiTheme="minorHAnsi" w:hAnsiTheme="minorHAnsi"/>
          <w:color w:val="auto"/>
          <w:szCs w:val="24"/>
        </w:rPr>
        <w:t xml:space="preserve">nee </w:t>
      </w:r>
      <w:r w:rsidR="00B11F1A">
        <w:rPr>
          <w:rFonts w:asciiTheme="minorHAnsi" w:hAnsiTheme="minorHAnsi"/>
          <w:color w:val="auto"/>
          <w:szCs w:val="24"/>
        </w:rPr>
        <w:t xml:space="preserve">IBF </w:t>
      </w:r>
      <w:r w:rsidR="008C3612">
        <w:rPr>
          <w:rFonts w:asciiTheme="minorHAnsi" w:hAnsiTheme="minorHAnsi"/>
          <w:color w:val="auto"/>
          <w:szCs w:val="24"/>
        </w:rPr>
        <w:t>s</w:t>
      </w:r>
      <w:r w:rsidR="004B7C5B" w:rsidRPr="00672400">
        <w:rPr>
          <w:rFonts w:asciiTheme="minorHAnsi" w:hAnsiTheme="minorHAnsi"/>
          <w:color w:val="auto"/>
          <w:szCs w:val="24"/>
        </w:rPr>
        <w:t xml:space="preserve">yndrome” as unfitting rated </w:t>
      </w:r>
      <w:r w:rsidR="005C0B7C" w:rsidRPr="00672400">
        <w:rPr>
          <w:rFonts w:asciiTheme="minorHAnsi" w:hAnsiTheme="minorHAnsi"/>
          <w:color w:val="auto"/>
          <w:szCs w:val="24"/>
        </w:rPr>
        <w:t xml:space="preserve">10% </w:t>
      </w:r>
      <w:r w:rsidR="004B7C5B" w:rsidRPr="00672400">
        <w:rPr>
          <w:rFonts w:asciiTheme="minorHAnsi" w:hAnsiTheme="minorHAnsi"/>
          <w:color w:val="auto"/>
          <w:szCs w:val="24"/>
        </w:rPr>
        <w:t>a</w:t>
      </w:r>
      <w:r w:rsidR="00CF1A48" w:rsidRPr="00672400">
        <w:rPr>
          <w:rFonts w:asciiTheme="minorHAnsi" w:hAnsiTheme="minorHAnsi"/>
          <w:color w:val="auto"/>
          <w:szCs w:val="24"/>
        </w:rPr>
        <w:t xml:space="preserve">nd </w:t>
      </w:r>
      <w:r w:rsidR="004B7C5B" w:rsidRPr="00672400">
        <w:rPr>
          <w:rFonts w:asciiTheme="minorHAnsi" w:hAnsiTheme="minorHAnsi"/>
          <w:color w:val="auto"/>
          <w:szCs w:val="24"/>
        </w:rPr>
        <w:t>coded analogously</w:t>
      </w:r>
      <w:r w:rsidR="00AD6582" w:rsidRPr="00672400">
        <w:rPr>
          <w:rFonts w:asciiTheme="minorHAnsi" w:hAnsiTheme="minorHAnsi"/>
          <w:color w:val="auto"/>
          <w:szCs w:val="24"/>
        </w:rPr>
        <w:t xml:space="preserve"> </w:t>
      </w:r>
      <w:r w:rsidR="00CF1A48" w:rsidRPr="00672400">
        <w:rPr>
          <w:rFonts w:asciiTheme="minorHAnsi" w:hAnsiTheme="minorHAnsi"/>
          <w:color w:val="auto"/>
          <w:szCs w:val="24"/>
        </w:rPr>
        <w:t>to arthritis (5299-5003)</w:t>
      </w:r>
      <w:r w:rsidR="005C0B7C" w:rsidRPr="00672400">
        <w:rPr>
          <w:rFonts w:asciiTheme="minorHAnsi" w:hAnsiTheme="minorHAnsi"/>
          <w:color w:val="auto"/>
          <w:szCs w:val="24"/>
        </w:rPr>
        <w:t>;</w:t>
      </w:r>
      <w:r w:rsidR="00CF1A48" w:rsidRPr="00672400">
        <w:rPr>
          <w:rFonts w:asciiTheme="minorHAnsi" w:hAnsiTheme="minorHAnsi"/>
          <w:color w:val="auto"/>
          <w:szCs w:val="24"/>
        </w:rPr>
        <w:t xml:space="preserve"> with </w:t>
      </w:r>
      <w:r w:rsidR="005C0B7C" w:rsidRPr="00672400">
        <w:rPr>
          <w:rFonts w:asciiTheme="minorHAnsi" w:hAnsiTheme="minorHAnsi"/>
          <w:color w:val="auto"/>
          <w:szCs w:val="24"/>
        </w:rPr>
        <w:t>possible</w:t>
      </w:r>
      <w:r w:rsidR="00CF1A48" w:rsidRPr="00672400">
        <w:rPr>
          <w:rFonts w:asciiTheme="minorHAnsi" w:hAnsiTheme="minorHAnsi"/>
          <w:color w:val="auto"/>
          <w:szCs w:val="24"/>
        </w:rPr>
        <w:t xml:space="preserve"> application of SECNAVINST 1850.4E</w:t>
      </w:r>
      <w:r w:rsidR="000960FE" w:rsidRPr="00672400">
        <w:rPr>
          <w:rFonts w:asciiTheme="minorHAnsi" w:hAnsiTheme="minorHAnsi"/>
          <w:color w:val="auto"/>
          <w:szCs w:val="24"/>
        </w:rPr>
        <w:t xml:space="preserve"> which was in effect at the time</w:t>
      </w:r>
      <w:r w:rsidR="00610BD4" w:rsidRPr="00672400">
        <w:rPr>
          <w:rFonts w:asciiTheme="minorHAnsi" w:hAnsiTheme="minorHAnsi"/>
          <w:color w:val="auto"/>
          <w:szCs w:val="24"/>
        </w:rPr>
        <w:t>.</w:t>
      </w:r>
      <w:r w:rsidR="00CF1A48" w:rsidRPr="00672400">
        <w:rPr>
          <w:rFonts w:asciiTheme="minorHAnsi" w:hAnsiTheme="minorHAnsi"/>
          <w:color w:val="auto"/>
          <w:szCs w:val="24"/>
        </w:rPr>
        <w:t xml:space="preserve"> </w:t>
      </w:r>
      <w:r w:rsidR="00610BD4" w:rsidRPr="00672400">
        <w:rPr>
          <w:rFonts w:asciiTheme="minorHAnsi" w:hAnsiTheme="minorHAnsi"/>
          <w:color w:val="auto"/>
          <w:szCs w:val="24"/>
        </w:rPr>
        <w:t xml:space="preserve"> </w:t>
      </w:r>
      <w:r w:rsidR="00CF1A48" w:rsidRPr="00672400">
        <w:rPr>
          <w:rFonts w:asciiTheme="minorHAnsi" w:hAnsiTheme="minorHAnsi"/>
          <w:color w:val="auto"/>
          <w:szCs w:val="24"/>
        </w:rPr>
        <w:t xml:space="preserve">The CI did not appeal and </w:t>
      </w:r>
      <w:r w:rsidR="008C3612">
        <w:rPr>
          <w:rFonts w:asciiTheme="minorHAnsi" w:hAnsiTheme="minorHAnsi"/>
          <w:color w:val="auto"/>
          <w:szCs w:val="24"/>
        </w:rPr>
        <w:t>was t</w:t>
      </w:r>
      <w:r w:rsidR="00CF1A48" w:rsidRPr="00672400">
        <w:rPr>
          <w:rFonts w:asciiTheme="minorHAnsi" w:hAnsiTheme="minorHAnsi"/>
          <w:color w:val="auto"/>
          <w:szCs w:val="24"/>
        </w:rPr>
        <w:t>h</w:t>
      </w:r>
      <w:r w:rsidR="008C3612">
        <w:rPr>
          <w:rFonts w:asciiTheme="minorHAnsi" w:hAnsiTheme="minorHAnsi"/>
          <w:color w:val="auto"/>
          <w:szCs w:val="24"/>
        </w:rPr>
        <w:t xml:space="preserve">en </w:t>
      </w:r>
      <w:r w:rsidR="00CF1A48" w:rsidRPr="00672400">
        <w:rPr>
          <w:rFonts w:asciiTheme="minorHAnsi" w:hAnsiTheme="minorHAnsi"/>
          <w:color w:val="auto"/>
          <w:szCs w:val="24"/>
        </w:rPr>
        <w:t>medically separated at 10% disability.</w:t>
      </w:r>
      <w:r w:rsidR="00EF1FDC" w:rsidRPr="00672400">
        <w:rPr>
          <w:rFonts w:asciiTheme="minorHAnsi" w:hAnsiTheme="minorHAnsi"/>
          <w:color w:val="auto"/>
          <w:szCs w:val="24"/>
        </w:rPr>
        <w:t xml:space="preserve">  </w:t>
      </w:r>
    </w:p>
    <w:p w:rsidR="0085089F" w:rsidRDefault="00342F61" w:rsidP="00147084">
      <w:pPr>
        <w:tabs>
          <w:tab w:val="left" w:pos="288"/>
          <w:tab w:val="left" w:pos="4752"/>
        </w:tabs>
        <w:spacing w:line="240" w:lineRule="exact"/>
        <w:jc w:val="both"/>
        <w:rPr>
          <w:rFonts w:asciiTheme="minorHAnsi" w:hAnsiTheme="minorHAnsi"/>
          <w:color w:val="auto"/>
          <w:u w:val="single"/>
        </w:rPr>
      </w:pPr>
      <w:r w:rsidRPr="00342F61">
        <w:rPr>
          <w:rFonts w:asciiTheme="minorHAnsi" w:hAnsiTheme="minorHAnsi"/>
          <w:color w:val="auto"/>
          <w:u w:val="single"/>
        </w:rPr>
        <w:t>______________________________________________________________________________</w:t>
      </w:r>
    </w:p>
    <w:p w:rsidR="00342F61" w:rsidRPr="00672400" w:rsidRDefault="00342F61" w:rsidP="00147084">
      <w:pPr>
        <w:tabs>
          <w:tab w:val="left" w:pos="288"/>
          <w:tab w:val="left" w:pos="4752"/>
        </w:tabs>
        <w:spacing w:line="240" w:lineRule="exact"/>
        <w:jc w:val="both"/>
        <w:rPr>
          <w:rFonts w:asciiTheme="minorHAnsi" w:hAnsiTheme="minorHAnsi"/>
          <w:color w:val="auto"/>
          <w:u w:val="single"/>
        </w:rPr>
      </w:pPr>
    </w:p>
    <w:p w:rsidR="00F03161" w:rsidRDefault="002C6E5B" w:rsidP="00147084">
      <w:pPr>
        <w:tabs>
          <w:tab w:val="left" w:pos="288"/>
          <w:tab w:val="left" w:pos="4752"/>
        </w:tabs>
        <w:spacing w:line="240" w:lineRule="exact"/>
        <w:jc w:val="both"/>
        <w:rPr>
          <w:rFonts w:asciiTheme="minorHAnsi" w:hAnsiTheme="minorHAnsi"/>
          <w:color w:val="auto"/>
          <w:szCs w:val="24"/>
        </w:rPr>
      </w:pPr>
      <w:r w:rsidRPr="00672400">
        <w:rPr>
          <w:rFonts w:asciiTheme="minorHAnsi" w:hAnsiTheme="minorHAnsi"/>
          <w:color w:val="auto"/>
          <w:u w:val="single"/>
        </w:rPr>
        <w:t>CI CONTENTION</w:t>
      </w:r>
      <w:r w:rsidR="003606F2" w:rsidRPr="00672400">
        <w:rPr>
          <w:rFonts w:asciiTheme="minorHAnsi" w:hAnsiTheme="minorHAnsi"/>
          <w:color w:val="auto"/>
        </w:rPr>
        <w:t xml:space="preserve">:  </w:t>
      </w:r>
      <w:r w:rsidR="003606F2" w:rsidRPr="00672400">
        <w:rPr>
          <w:rFonts w:asciiTheme="minorHAnsi" w:hAnsiTheme="minorHAnsi"/>
          <w:color w:val="auto"/>
          <w:szCs w:val="24"/>
        </w:rPr>
        <w:t>The CI states</w:t>
      </w:r>
      <w:r w:rsidR="00681768" w:rsidRPr="00672400">
        <w:rPr>
          <w:rFonts w:asciiTheme="minorHAnsi" w:hAnsiTheme="minorHAnsi"/>
          <w:color w:val="auto"/>
          <w:szCs w:val="24"/>
        </w:rPr>
        <w:t xml:space="preserve"> not all of his left knee disabilities were considered, that his leg “</w:t>
      </w:r>
      <w:r w:rsidR="00681768" w:rsidRPr="00672400">
        <w:rPr>
          <w:rFonts w:asciiTheme="minorHAnsi" w:hAnsiTheme="minorHAnsi" w:cs="Courier New"/>
          <w:color w:val="auto"/>
          <w:szCs w:val="24"/>
        </w:rPr>
        <w:t xml:space="preserve">randomly ‘gives way’, that the condition worsened, and that compensation and residuals from this injury led to lower back, right leg, </w:t>
      </w:r>
      <w:r w:rsidR="00F03161" w:rsidRPr="00672400">
        <w:rPr>
          <w:rFonts w:asciiTheme="minorHAnsi" w:hAnsiTheme="minorHAnsi" w:cs="Courier New"/>
          <w:color w:val="auto"/>
          <w:szCs w:val="24"/>
        </w:rPr>
        <w:t xml:space="preserve">bilateral ankles, </w:t>
      </w:r>
      <w:r w:rsidR="00681768" w:rsidRPr="00672400">
        <w:rPr>
          <w:rFonts w:asciiTheme="minorHAnsi" w:hAnsiTheme="minorHAnsi" w:cs="Courier New"/>
          <w:color w:val="auto"/>
          <w:szCs w:val="24"/>
        </w:rPr>
        <w:t xml:space="preserve">and mental health conditions.  He additionally contends issues with the VA care and post-separation knee surgery.  </w:t>
      </w:r>
      <w:r w:rsidR="00F03161" w:rsidRPr="00672400">
        <w:rPr>
          <w:rFonts w:asciiTheme="minorHAnsi" w:hAnsiTheme="minorHAnsi"/>
          <w:color w:val="auto"/>
          <w:szCs w:val="24"/>
        </w:rPr>
        <w:t>“</w:t>
      </w:r>
      <w:r w:rsidR="00F03161" w:rsidRPr="00672400">
        <w:rPr>
          <w:rFonts w:asciiTheme="minorHAnsi" w:hAnsiTheme="minorHAnsi" w:cs="Courier New"/>
          <w:color w:val="auto"/>
          <w:szCs w:val="24"/>
        </w:rPr>
        <w:t>Veteran's main concern is the treatment for disabilities.</w:t>
      </w:r>
      <w:r w:rsidR="00F03161" w:rsidRPr="00672400">
        <w:rPr>
          <w:rFonts w:asciiTheme="minorHAnsi" w:hAnsiTheme="minorHAnsi"/>
          <w:color w:val="auto"/>
          <w:szCs w:val="24"/>
        </w:rPr>
        <w:t xml:space="preserve">”  </w:t>
      </w:r>
    </w:p>
    <w:p w:rsidR="00E762C9" w:rsidRDefault="00E762C9" w:rsidP="00147084">
      <w:pPr>
        <w:tabs>
          <w:tab w:val="left" w:pos="288"/>
          <w:tab w:val="left" w:pos="4752"/>
        </w:tabs>
        <w:spacing w:line="240" w:lineRule="exact"/>
        <w:jc w:val="both"/>
        <w:rPr>
          <w:rFonts w:asciiTheme="minorHAnsi" w:hAnsiTheme="minorHAnsi"/>
          <w:color w:val="auto"/>
          <w:szCs w:val="24"/>
        </w:rPr>
      </w:pPr>
    </w:p>
    <w:p w:rsidR="00B11F1A" w:rsidRPr="00B11F1A" w:rsidRDefault="00B11F1A" w:rsidP="00B11F1A">
      <w:pPr>
        <w:tabs>
          <w:tab w:val="left" w:pos="288"/>
          <w:tab w:val="left" w:pos="4752"/>
        </w:tabs>
        <w:spacing w:line="240" w:lineRule="exact"/>
        <w:jc w:val="both"/>
        <w:rPr>
          <w:rFonts w:ascii="Calibri" w:eastAsiaTheme="minorHAnsi" w:hAnsi="Calibri" w:cstheme="minorBidi"/>
          <w:color w:val="auto"/>
          <w:szCs w:val="24"/>
        </w:rPr>
      </w:pPr>
      <w:r w:rsidRPr="00B11F1A">
        <w:rPr>
          <w:rFonts w:ascii="Calibri" w:eastAsiaTheme="minorHAnsi" w:hAnsi="Calibri" w:cstheme="minorBidi"/>
          <w:color w:val="auto"/>
          <w:szCs w:val="24"/>
        </w:rPr>
        <w:t>As a matter of policy, all service conditions are reviewed by the Board for their potential contribution to its rating recommendations.</w:t>
      </w:r>
    </w:p>
    <w:p w:rsidR="00342F61" w:rsidRDefault="00342F61" w:rsidP="00EF1FDC">
      <w:pPr>
        <w:spacing w:line="240" w:lineRule="exact"/>
        <w:rPr>
          <w:rFonts w:ascii="Calibri" w:hAnsi="Calibri"/>
          <w:color w:val="auto"/>
          <w:u w:val="single"/>
        </w:rPr>
      </w:pPr>
    </w:p>
    <w:p w:rsidR="00342F61" w:rsidRDefault="00342F61" w:rsidP="00EF1FDC">
      <w:pPr>
        <w:spacing w:line="240" w:lineRule="exact"/>
        <w:rPr>
          <w:rFonts w:ascii="Calibri" w:hAnsi="Calibri"/>
          <w:color w:val="auto"/>
          <w:u w:val="single"/>
        </w:rPr>
      </w:pPr>
      <w:r>
        <w:rPr>
          <w:rFonts w:asciiTheme="minorHAnsi" w:hAnsiTheme="minorHAnsi"/>
          <w:color w:val="auto"/>
          <w:u w:val="single"/>
        </w:rPr>
        <w:t>______________________________________________________________________________</w:t>
      </w:r>
    </w:p>
    <w:p w:rsidR="00342F61" w:rsidRDefault="00342F61" w:rsidP="00EF1FDC">
      <w:pPr>
        <w:spacing w:line="240" w:lineRule="exact"/>
        <w:rPr>
          <w:rFonts w:ascii="Calibri" w:hAnsi="Calibri"/>
          <w:color w:val="auto"/>
          <w:u w:val="single"/>
        </w:rPr>
      </w:pPr>
    </w:p>
    <w:p w:rsidR="002338CA" w:rsidRPr="00672400" w:rsidRDefault="002C6E5B" w:rsidP="00EF1FDC">
      <w:pPr>
        <w:spacing w:line="240" w:lineRule="exact"/>
        <w:rPr>
          <w:rFonts w:ascii="Calibri" w:hAnsi="Calibri"/>
          <w:color w:val="auto"/>
        </w:rPr>
      </w:pPr>
      <w:r w:rsidRPr="00672400">
        <w:rPr>
          <w:rFonts w:ascii="Calibri" w:hAnsi="Calibri"/>
          <w:color w:val="auto"/>
          <w:u w:val="single"/>
        </w:rPr>
        <w:t>RATING COMPARISON</w:t>
      </w:r>
      <w:r w:rsidR="00CF1A48" w:rsidRPr="00672400">
        <w:rPr>
          <w:rFonts w:ascii="Calibri" w:hAnsi="Calibri"/>
          <w:color w:val="auto"/>
        </w:rPr>
        <w:t>:</w:t>
      </w:r>
      <w:r w:rsidR="00681768" w:rsidRPr="00672400">
        <w:rPr>
          <w:rFonts w:ascii="Calibri" w:hAnsi="Calibri"/>
          <w:color w:val="auto"/>
        </w:rPr>
        <w:t xml:space="preserve">  </w:t>
      </w:r>
    </w:p>
    <w:p w:rsidR="00CF1A48" w:rsidRPr="00672400" w:rsidRDefault="00CF1A48" w:rsidP="00190E48">
      <w:pPr>
        <w:spacing w:line="240" w:lineRule="exact"/>
        <w:jc w:val="both"/>
        <w:rPr>
          <w:rFonts w:ascii="Calibri" w:hAnsi="Calibri"/>
          <w:color w:val="auto"/>
        </w:rPr>
      </w:pPr>
    </w:p>
    <w:tbl>
      <w:tblPr>
        <w:tblW w:w="91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98"/>
        <w:gridCol w:w="1080"/>
        <w:gridCol w:w="810"/>
        <w:gridCol w:w="2862"/>
        <w:gridCol w:w="648"/>
        <w:gridCol w:w="810"/>
        <w:gridCol w:w="990"/>
      </w:tblGrid>
      <w:tr w:rsidR="00330103" w:rsidRPr="00672400" w:rsidTr="00672400">
        <w:trPr>
          <w:trHeight w:val="233"/>
          <w:jc w:val="center"/>
        </w:trPr>
        <w:tc>
          <w:tcPr>
            <w:tcW w:w="3888" w:type="dxa"/>
            <w:gridSpan w:val="3"/>
            <w:tcBorders>
              <w:right w:val="thinThickThinSmallGap" w:sz="24" w:space="0" w:color="auto"/>
            </w:tcBorders>
            <w:shd w:val="clear" w:color="auto" w:fill="D9D9D9" w:themeFill="background1" w:themeFillShade="D9"/>
          </w:tcPr>
          <w:p w:rsidR="00330103" w:rsidRPr="00672400" w:rsidRDefault="00330103" w:rsidP="00F81EFB">
            <w:pPr>
              <w:pStyle w:val="ListParagraph"/>
              <w:spacing w:after="0" w:line="240" w:lineRule="auto"/>
              <w:ind w:left="0"/>
              <w:jc w:val="center"/>
              <w:rPr>
                <w:b/>
                <w:sz w:val="20"/>
                <w:szCs w:val="20"/>
              </w:rPr>
            </w:pPr>
            <w:r w:rsidRPr="00672400">
              <w:rPr>
                <w:b/>
                <w:sz w:val="20"/>
                <w:szCs w:val="20"/>
              </w:rPr>
              <w:t>Service IPEB – Dated 20060306</w:t>
            </w:r>
          </w:p>
        </w:tc>
        <w:tc>
          <w:tcPr>
            <w:tcW w:w="5310" w:type="dxa"/>
            <w:gridSpan w:val="4"/>
            <w:tcBorders>
              <w:left w:val="thinThickThinSmallGap" w:sz="24" w:space="0" w:color="auto"/>
            </w:tcBorders>
            <w:shd w:val="clear" w:color="auto" w:fill="D9D9D9" w:themeFill="background1" w:themeFillShade="D9"/>
          </w:tcPr>
          <w:p w:rsidR="00330103" w:rsidRPr="00672400" w:rsidRDefault="00330103" w:rsidP="00FE2D7E">
            <w:pPr>
              <w:pStyle w:val="ListParagraph"/>
              <w:spacing w:after="0" w:line="240" w:lineRule="auto"/>
              <w:ind w:left="0"/>
              <w:jc w:val="center"/>
              <w:rPr>
                <w:b/>
                <w:sz w:val="20"/>
                <w:szCs w:val="20"/>
              </w:rPr>
            </w:pPr>
            <w:r w:rsidRPr="00672400">
              <w:rPr>
                <w:b/>
                <w:sz w:val="20"/>
                <w:szCs w:val="20"/>
              </w:rPr>
              <w:t>VA (2</w:t>
            </w:r>
            <w:r w:rsidR="00FE2D7E" w:rsidRPr="00672400">
              <w:rPr>
                <w:b/>
                <w:sz w:val="20"/>
                <w:szCs w:val="20"/>
              </w:rPr>
              <w:t>.5</w:t>
            </w:r>
            <w:r w:rsidRPr="00672400">
              <w:rPr>
                <w:b/>
                <w:sz w:val="20"/>
                <w:szCs w:val="20"/>
              </w:rPr>
              <w:t xml:space="preserve"> Mo. P</w:t>
            </w:r>
            <w:r w:rsidR="00FE2D7E" w:rsidRPr="00672400">
              <w:rPr>
                <w:b/>
                <w:sz w:val="20"/>
                <w:szCs w:val="20"/>
              </w:rPr>
              <w:t>ost</w:t>
            </w:r>
            <w:r w:rsidRPr="00672400">
              <w:rPr>
                <w:b/>
                <w:sz w:val="20"/>
                <w:szCs w:val="20"/>
              </w:rPr>
              <w:t>-Separation) – All Effective 20060501</w:t>
            </w:r>
          </w:p>
        </w:tc>
      </w:tr>
      <w:tr w:rsidR="00330103" w:rsidRPr="00672400" w:rsidTr="00672400">
        <w:trPr>
          <w:trHeight w:val="233"/>
          <w:jc w:val="center"/>
        </w:trPr>
        <w:tc>
          <w:tcPr>
            <w:tcW w:w="1998" w:type="dxa"/>
            <w:tcBorders>
              <w:bottom w:val="single" w:sz="4" w:space="0" w:color="000000"/>
            </w:tcBorders>
            <w:shd w:val="clear" w:color="auto" w:fill="D9D9D9" w:themeFill="background1" w:themeFillShade="D9"/>
          </w:tcPr>
          <w:p w:rsidR="00330103" w:rsidRPr="00672400" w:rsidRDefault="00330103" w:rsidP="00F81EFB">
            <w:pPr>
              <w:pStyle w:val="ListParagraph"/>
              <w:spacing w:after="0" w:line="240" w:lineRule="auto"/>
              <w:ind w:left="0"/>
              <w:jc w:val="center"/>
              <w:rPr>
                <w:b/>
                <w:sz w:val="20"/>
                <w:szCs w:val="20"/>
              </w:rPr>
            </w:pPr>
            <w:r w:rsidRPr="00672400">
              <w:rPr>
                <w:b/>
                <w:sz w:val="20"/>
                <w:szCs w:val="20"/>
              </w:rPr>
              <w:t>Condition</w:t>
            </w:r>
          </w:p>
        </w:tc>
        <w:tc>
          <w:tcPr>
            <w:tcW w:w="1080" w:type="dxa"/>
            <w:tcBorders>
              <w:bottom w:val="single" w:sz="4" w:space="0" w:color="000000"/>
            </w:tcBorders>
            <w:shd w:val="clear" w:color="auto" w:fill="D9D9D9" w:themeFill="background1" w:themeFillShade="D9"/>
          </w:tcPr>
          <w:p w:rsidR="00330103" w:rsidRPr="00672400" w:rsidRDefault="00330103" w:rsidP="00F81EFB">
            <w:pPr>
              <w:pStyle w:val="ListParagraph"/>
              <w:spacing w:after="0" w:line="240" w:lineRule="auto"/>
              <w:ind w:left="0"/>
              <w:jc w:val="center"/>
              <w:rPr>
                <w:b/>
                <w:sz w:val="20"/>
                <w:szCs w:val="20"/>
              </w:rPr>
            </w:pPr>
            <w:r w:rsidRPr="00672400">
              <w:rPr>
                <w:b/>
                <w:sz w:val="20"/>
                <w:szCs w:val="20"/>
              </w:rPr>
              <w:t>Code</w:t>
            </w:r>
          </w:p>
        </w:tc>
        <w:tc>
          <w:tcPr>
            <w:tcW w:w="810" w:type="dxa"/>
            <w:tcBorders>
              <w:bottom w:val="single" w:sz="4" w:space="0" w:color="000000"/>
              <w:right w:val="thinThickThinSmallGap" w:sz="24" w:space="0" w:color="auto"/>
            </w:tcBorders>
            <w:shd w:val="clear" w:color="auto" w:fill="D9D9D9" w:themeFill="background1" w:themeFillShade="D9"/>
          </w:tcPr>
          <w:p w:rsidR="00330103" w:rsidRPr="00672400" w:rsidRDefault="00330103" w:rsidP="00F81EFB">
            <w:pPr>
              <w:pStyle w:val="ListParagraph"/>
              <w:spacing w:after="0" w:line="240" w:lineRule="auto"/>
              <w:ind w:left="0"/>
              <w:jc w:val="center"/>
              <w:rPr>
                <w:b/>
                <w:sz w:val="20"/>
                <w:szCs w:val="20"/>
              </w:rPr>
            </w:pPr>
            <w:r w:rsidRPr="00672400">
              <w:rPr>
                <w:b/>
                <w:sz w:val="20"/>
                <w:szCs w:val="20"/>
              </w:rPr>
              <w:t>Rating</w:t>
            </w:r>
          </w:p>
        </w:tc>
        <w:tc>
          <w:tcPr>
            <w:tcW w:w="2862" w:type="dxa"/>
            <w:tcBorders>
              <w:left w:val="thinThickThinSmallGap" w:sz="24" w:space="0" w:color="auto"/>
              <w:bottom w:val="single" w:sz="4" w:space="0" w:color="000000"/>
            </w:tcBorders>
            <w:shd w:val="clear" w:color="auto" w:fill="D9D9D9" w:themeFill="background1" w:themeFillShade="D9"/>
          </w:tcPr>
          <w:p w:rsidR="00330103" w:rsidRPr="00672400" w:rsidRDefault="00330103" w:rsidP="00F81EFB">
            <w:pPr>
              <w:pStyle w:val="ListParagraph"/>
              <w:spacing w:after="0" w:line="240" w:lineRule="auto"/>
              <w:ind w:left="0"/>
              <w:jc w:val="center"/>
              <w:rPr>
                <w:b/>
                <w:sz w:val="20"/>
                <w:szCs w:val="20"/>
              </w:rPr>
            </w:pPr>
            <w:r w:rsidRPr="00672400">
              <w:rPr>
                <w:b/>
                <w:sz w:val="20"/>
                <w:szCs w:val="20"/>
              </w:rPr>
              <w:t>Condition</w:t>
            </w:r>
          </w:p>
        </w:tc>
        <w:tc>
          <w:tcPr>
            <w:tcW w:w="648" w:type="dxa"/>
            <w:tcBorders>
              <w:bottom w:val="single" w:sz="4" w:space="0" w:color="000000"/>
            </w:tcBorders>
            <w:shd w:val="clear" w:color="auto" w:fill="D9D9D9" w:themeFill="background1" w:themeFillShade="D9"/>
          </w:tcPr>
          <w:p w:rsidR="00330103" w:rsidRPr="00672400" w:rsidRDefault="00330103" w:rsidP="00F81EFB">
            <w:pPr>
              <w:pStyle w:val="ListParagraph"/>
              <w:spacing w:after="0" w:line="240" w:lineRule="auto"/>
              <w:ind w:left="0"/>
              <w:jc w:val="center"/>
              <w:rPr>
                <w:b/>
                <w:sz w:val="20"/>
                <w:szCs w:val="20"/>
              </w:rPr>
            </w:pPr>
            <w:r w:rsidRPr="00672400">
              <w:rPr>
                <w:b/>
                <w:sz w:val="20"/>
                <w:szCs w:val="20"/>
              </w:rPr>
              <w:t>Code</w:t>
            </w:r>
          </w:p>
        </w:tc>
        <w:tc>
          <w:tcPr>
            <w:tcW w:w="810" w:type="dxa"/>
            <w:tcBorders>
              <w:bottom w:val="single" w:sz="4" w:space="0" w:color="000000"/>
            </w:tcBorders>
            <w:shd w:val="clear" w:color="auto" w:fill="D9D9D9" w:themeFill="background1" w:themeFillShade="D9"/>
          </w:tcPr>
          <w:p w:rsidR="00330103" w:rsidRPr="00672400" w:rsidRDefault="00330103" w:rsidP="00F81EFB">
            <w:pPr>
              <w:pStyle w:val="ListParagraph"/>
              <w:spacing w:after="0" w:line="240" w:lineRule="auto"/>
              <w:ind w:left="0"/>
              <w:jc w:val="center"/>
              <w:rPr>
                <w:b/>
                <w:sz w:val="20"/>
                <w:szCs w:val="20"/>
              </w:rPr>
            </w:pPr>
            <w:r w:rsidRPr="00672400">
              <w:rPr>
                <w:b/>
                <w:sz w:val="20"/>
                <w:szCs w:val="20"/>
              </w:rPr>
              <w:t>Rating</w:t>
            </w:r>
          </w:p>
        </w:tc>
        <w:tc>
          <w:tcPr>
            <w:tcW w:w="990" w:type="dxa"/>
            <w:tcBorders>
              <w:bottom w:val="single" w:sz="4" w:space="0" w:color="000000"/>
            </w:tcBorders>
            <w:shd w:val="clear" w:color="auto" w:fill="D9D9D9" w:themeFill="background1" w:themeFillShade="D9"/>
          </w:tcPr>
          <w:p w:rsidR="00330103" w:rsidRPr="00672400" w:rsidRDefault="00330103" w:rsidP="00F81EFB">
            <w:pPr>
              <w:pStyle w:val="ListParagraph"/>
              <w:spacing w:after="0" w:line="240" w:lineRule="auto"/>
              <w:ind w:left="0"/>
              <w:jc w:val="center"/>
              <w:rPr>
                <w:b/>
                <w:sz w:val="20"/>
                <w:szCs w:val="20"/>
              </w:rPr>
            </w:pPr>
            <w:r w:rsidRPr="00672400">
              <w:rPr>
                <w:b/>
                <w:sz w:val="20"/>
                <w:szCs w:val="20"/>
              </w:rPr>
              <w:t>Exam</w:t>
            </w:r>
          </w:p>
        </w:tc>
      </w:tr>
      <w:tr w:rsidR="00330103" w:rsidRPr="00672400" w:rsidTr="00672400">
        <w:trPr>
          <w:trHeight w:val="152"/>
          <w:jc w:val="center"/>
        </w:trPr>
        <w:tc>
          <w:tcPr>
            <w:tcW w:w="1998" w:type="dxa"/>
            <w:shd w:val="clear" w:color="auto" w:fill="FFFFFF"/>
          </w:tcPr>
          <w:p w:rsidR="00330103" w:rsidRPr="00672400" w:rsidRDefault="00330103" w:rsidP="00B11F1A">
            <w:pPr>
              <w:pStyle w:val="ListParagraph"/>
              <w:spacing w:after="0" w:line="240" w:lineRule="auto"/>
              <w:ind w:left="0"/>
              <w:rPr>
                <w:sz w:val="18"/>
                <w:szCs w:val="18"/>
              </w:rPr>
            </w:pPr>
            <w:r w:rsidRPr="00672400">
              <w:rPr>
                <w:sz w:val="18"/>
                <w:szCs w:val="18"/>
              </w:rPr>
              <w:t xml:space="preserve">Left Knee </w:t>
            </w:r>
            <w:r w:rsidR="00B11F1A">
              <w:rPr>
                <w:sz w:val="18"/>
                <w:szCs w:val="18"/>
              </w:rPr>
              <w:t xml:space="preserve">IBF </w:t>
            </w:r>
            <w:r w:rsidRPr="00672400">
              <w:rPr>
                <w:sz w:val="18"/>
                <w:szCs w:val="18"/>
              </w:rPr>
              <w:t>Syndrome</w:t>
            </w:r>
          </w:p>
        </w:tc>
        <w:tc>
          <w:tcPr>
            <w:tcW w:w="1080" w:type="dxa"/>
            <w:shd w:val="clear" w:color="auto" w:fill="FFFFFF"/>
          </w:tcPr>
          <w:p w:rsidR="00330103" w:rsidRPr="00672400" w:rsidRDefault="00330103" w:rsidP="00F81EFB">
            <w:pPr>
              <w:pStyle w:val="ListParagraph"/>
              <w:spacing w:after="0" w:line="240" w:lineRule="auto"/>
              <w:ind w:left="0"/>
              <w:jc w:val="center"/>
              <w:rPr>
                <w:sz w:val="18"/>
                <w:szCs w:val="18"/>
              </w:rPr>
            </w:pPr>
            <w:r w:rsidRPr="00672400">
              <w:rPr>
                <w:sz w:val="18"/>
                <w:szCs w:val="18"/>
              </w:rPr>
              <w:t>5299-5003</w:t>
            </w:r>
          </w:p>
        </w:tc>
        <w:tc>
          <w:tcPr>
            <w:tcW w:w="810" w:type="dxa"/>
            <w:tcBorders>
              <w:right w:val="thinThickThinSmallGap" w:sz="24" w:space="0" w:color="auto"/>
            </w:tcBorders>
            <w:shd w:val="clear" w:color="auto" w:fill="FFFFFF"/>
          </w:tcPr>
          <w:p w:rsidR="00330103" w:rsidRPr="00672400" w:rsidRDefault="00330103" w:rsidP="00F81EFB">
            <w:pPr>
              <w:pStyle w:val="ListParagraph"/>
              <w:spacing w:after="0" w:line="240" w:lineRule="auto"/>
              <w:ind w:left="0"/>
              <w:jc w:val="center"/>
              <w:rPr>
                <w:sz w:val="18"/>
                <w:szCs w:val="18"/>
              </w:rPr>
            </w:pPr>
            <w:r w:rsidRPr="00672400">
              <w:rPr>
                <w:sz w:val="18"/>
                <w:szCs w:val="18"/>
              </w:rPr>
              <w:t>10%</w:t>
            </w:r>
          </w:p>
        </w:tc>
        <w:tc>
          <w:tcPr>
            <w:tcW w:w="2862" w:type="dxa"/>
            <w:tcBorders>
              <w:left w:val="thinThickThinSmallGap" w:sz="24" w:space="0" w:color="auto"/>
            </w:tcBorders>
            <w:shd w:val="clear" w:color="auto" w:fill="FFFFFF"/>
          </w:tcPr>
          <w:p w:rsidR="00330103" w:rsidRPr="00672400" w:rsidRDefault="00672400" w:rsidP="00796674">
            <w:pPr>
              <w:pStyle w:val="ListParagraph"/>
              <w:spacing w:after="0" w:line="240" w:lineRule="auto"/>
              <w:ind w:left="0"/>
              <w:rPr>
                <w:sz w:val="18"/>
                <w:szCs w:val="18"/>
              </w:rPr>
            </w:pPr>
            <w:r w:rsidRPr="00672400">
              <w:rPr>
                <w:sz w:val="18"/>
                <w:szCs w:val="18"/>
              </w:rPr>
              <w:t xml:space="preserve">Left Knee, </w:t>
            </w:r>
            <w:r w:rsidR="001E456F">
              <w:rPr>
                <w:sz w:val="18"/>
                <w:szCs w:val="18"/>
              </w:rPr>
              <w:t xml:space="preserve">IFB </w:t>
            </w:r>
            <w:r w:rsidR="00330103" w:rsidRPr="00672400">
              <w:rPr>
                <w:sz w:val="18"/>
                <w:szCs w:val="18"/>
              </w:rPr>
              <w:t>Syndrome</w:t>
            </w:r>
          </w:p>
        </w:tc>
        <w:tc>
          <w:tcPr>
            <w:tcW w:w="648" w:type="dxa"/>
            <w:shd w:val="clear" w:color="auto" w:fill="FFFFFF"/>
          </w:tcPr>
          <w:p w:rsidR="00330103" w:rsidRPr="00672400" w:rsidRDefault="00330103" w:rsidP="00F81EFB">
            <w:pPr>
              <w:pStyle w:val="ListParagraph"/>
              <w:spacing w:after="0" w:line="240" w:lineRule="auto"/>
              <w:ind w:left="0"/>
              <w:jc w:val="center"/>
              <w:rPr>
                <w:sz w:val="18"/>
                <w:szCs w:val="18"/>
              </w:rPr>
            </w:pPr>
            <w:r w:rsidRPr="00672400">
              <w:rPr>
                <w:sz w:val="18"/>
                <w:szCs w:val="18"/>
              </w:rPr>
              <w:t>5261</w:t>
            </w:r>
          </w:p>
        </w:tc>
        <w:tc>
          <w:tcPr>
            <w:tcW w:w="810" w:type="dxa"/>
            <w:shd w:val="clear" w:color="auto" w:fill="FFFFFF"/>
          </w:tcPr>
          <w:p w:rsidR="00330103" w:rsidRPr="00672400" w:rsidRDefault="00330103" w:rsidP="00F81EFB">
            <w:pPr>
              <w:pStyle w:val="ListParagraph"/>
              <w:spacing w:after="0" w:line="240" w:lineRule="auto"/>
              <w:ind w:left="0"/>
              <w:jc w:val="center"/>
              <w:rPr>
                <w:sz w:val="18"/>
                <w:szCs w:val="18"/>
              </w:rPr>
            </w:pPr>
            <w:r w:rsidRPr="00672400">
              <w:rPr>
                <w:sz w:val="18"/>
                <w:szCs w:val="18"/>
              </w:rPr>
              <w:t>10%</w:t>
            </w:r>
          </w:p>
        </w:tc>
        <w:tc>
          <w:tcPr>
            <w:tcW w:w="990" w:type="dxa"/>
            <w:shd w:val="clear" w:color="auto" w:fill="FFFFFF"/>
          </w:tcPr>
          <w:p w:rsidR="00330103" w:rsidRPr="00672400" w:rsidRDefault="00330103" w:rsidP="00F81EFB">
            <w:pPr>
              <w:pStyle w:val="ListParagraph"/>
              <w:spacing w:after="0" w:line="240" w:lineRule="auto"/>
              <w:ind w:left="0"/>
              <w:jc w:val="center"/>
              <w:rPr>
                <w:sz w:val="18"/>
                <w:szCs w:val="18"/>
              </w:rPr>
            </w:pPr>
            <w:r w:rsidRPr="00672400">
              <w:rPr>
                <w:sz w:val="18"/>
                <w:szCs w:val="18"/>
              </w:rPr>
              <w:t>20060711</w:t>
            </w:r>
          </w:p>
        </w:tc>
      </w:tr>
      <w:tr w:rsidR="000960FE" w:rsidRPr="00672400" w:rsidTr="00672400">
        <w:trPr>
          <w:trHeight w:val="125"/>
          <w:jc w:val="center"/>
        </w:trPr>
        <w:tc>
          <w:tcPr>
            <w:tcW w:w="3888" w:type="dxa"/>
            <w:gridSpan w:val="3"/>
            <w:vMerge w:val="restart"/>
            <w:tcBorders>
              <w:right w:val="thinThickThinSmallGap" w:sz="24" w:space="0" w:color="auto"/>
            </w:tcBorders>
            <w:shd w:val="clear" w:color="auto" w:fill="FFFFFF"/>
          </w:tcPr>
          <w:p w:rsidR="000960FE" w:rsidRPr="00672400" w:rsidRDefault="000960FE" w:rsidP="00F81EFB">
            <w:pPr>
              <w:pStyle w:val="ListParagraph"/>
              <w:ind w:left="0"/>
              <w:jc w:val="center"/>
              <w:rPr>
                <w:sz w:val="18"/>
                <w:szCs w:val="18"/>
              </w:rPr>
            </w:pPr>
            <w:r w:rsidRPr="00672400">
              <w:rPr>
                <w:sz w:val="18"/>
                <w:szCs w:val="18"/>
              </w:rPr>
              <w:t>↓No Additional MEB/PEB Entries↓</w:t>
            </w:r>
          </w:p>
        </w:tc>
        <w:tc>
          <w:tcPr>
            <w:tcW w:w="2862" w:type="dxa"/>
            <w:tcBorders>
              <w:left w:val="thinThickThinSmallGap" w:sz="24" w:space="0" w:color="auto"/>
            </w:tcBorders>
            <w:shd w:val="clear" w:color="auto" w:fill="FFFFFF"/>
          </w:tcPr>
          <w:p w:rsidR="000960FE" w:rsidRPr="00672400" w:rsidRDefault="000960FE" w:rsidP="00796674">
            <w:pPr>
              <w:pStyle w:val="ListParagraph"/>
              <w:spacing w:after="0" w:line="240" w:lineRule="auto"/>
              <w:ind w:left="0"/>
              <w:rPr>
                <w:sz w:val="18"/>
                <w:szCs w:val="18"/>
              </w:rPr>
            </w:pPr>
            <w:r w:rsidRPr="00672400">
              <w:rPr>
                <w:sz w:val="18"/>
                <w:szCs w:val="18"/>
              </w:rPr>
              <w:t xml:space="preserve">Thoracolumbar </w:t>
            </w:r>
            <w:proofErr w:type="spellStart"/>
            <w:r w:rsidRPr="00672400">
              <w:rPr>
                <w:sz w:val="18"/>
                <w:szCs w:val="18"/>
              </w:rPr>
              <w:t>a/w</w:t>
            </w:r>
            <w:proofErr w:type="spellEnd"/>
            <w:r w:rsidRPr="00672400">
              <w:rPr>
                <w:sz w:val="18"/>
                <w:szCs w:val="18"/>
              </w:rPr>
              <w:t xml:space="preserve"> L. Knee</w:t>
            </w:r>
          </w:p>
        </w:tc>
        <w:tc>
          <w:tcPr>
            <w:tcW w:w="648" w:type="dxa"/>
            <w:shd w:val="clear" w:color="auto" w:fill="FFFFFF"/>
          </w:tcPr>
          <w:p w:rsidR="000960FE" w:rsidRPr="00672400" w:rsidRDefault="000960FE" w:rsidP="00F81EFB">
            <w:pPr>
              <w:pStyle w:val="ListParagraph"/>
              <w:spacing w:after="0" w:line="240" w:lineRule="auto"/>
              <w:ind w:left="0"/>
              <w:jc w:val="center"/>
              <w:rPr>
                <w:sz w:val="18"/>
                <w:szCs w:val="18"/>
              </w:rPr>
            </w:pPr>
            <w:r w:rsidRPr="00672400">
              <w:rPr>
                <w:sz w:val="18"/>
                <w:szCs w:val="18"/>
              </w:rPr>
              <w:t>5237</w:t>
            </w:r>
          </w:p>
        </w:tc>
        <w:tc>
          <w:tcPr>
            <w:tcW w:w="810" w:type="dxa"/>
            <w:shd w:val="clear" w:color="auto" w:fill="FFFFFF"/>
          </w:tcPr>
          <w:p w:rsidR="000960FE" w:rsidRPr="00672400" w:rsidRDefault="000960FE" w:rsidP="00F81EFB">
            <w:pPr>
              <w:pStyle w:val="ListParagraph"/>
              <w:spacing w:after="0" w:line="240" w:lineRule="auto"/>
              <w:ind w:left="0"/>
              <w:jc w:val="center"/>
              <w:rPr>
                <w:sz w:val="18"/>
                <w:szCs w:val="18"/>
              </w:rPr>
            </w:pPr>
            <w:r w:rsidRPr="00672400">
              <w:rPr>
                <w:sz w:val="18"/>
                <w:szCs w:val="18"/>
              </w:rPr>
              <w:t>20%</w:t>
            </w:r>
          </w:p>
        </w:tc>
        <w:tc>
          <w:tcPr>
            <w:tcW w:w="990" w:type="dxa"/>
            <w:shd w:val="clear" w:color="auto" w:fill="FFFFFF"/>
          </w:tcPr>
          <w:p w:rsidR="000960FE" w:rsidRPr="00672400" w:rsidRDefault="000960FE" w:rsidP="00F81EFB">
            <w:pPr>
              <w:pStyle w:val="ListParagraph"/>
              <w:spacing w:after="0" w:line="240" w:lineRule="auto"/>
              <w:ind w:left="0"/>
              <w:jc w:val="center"/>
              <w:rPr>
                <w:sz w:val="18"/>
                <w:szCs w:val="18"/>
              </w:rPr>
            </w:pPr>
            <w:r w:rsidRPr="00672400">
              <w:rPr>
                <w:sz w:val="18"/>
                <w:szCs w:val="18"/>
              </w:rPr>
              <w:t>20060711</w:t>
            </w:r>
          </w:p>
        </w:tc>
      </w:tr>
      <w:tr w:rsidR="000960FE" w:rsidRPr="00672400" w:rsidTr="00672400">
        <w:trPr>
          <w:trHeight w:val="125"/>
          <w:jc w:val="center"/>
        </w:trPr>
        <w:tc>
          <w:tcPr>
            <w:tcW w:w="3888" w:type="dxa"/>
            <w:gridSpan w:val="3"/>
            <w:vMerge/>
            <w:tcBorders>
              <w:right w:val="thinThickThinSmallGap" w:sz="24" w:space="0" w:color="auto"/>
            </w:tcBorders>
            <w:shd w:val="clear" w:color="auto" w:fill="FFFFFF"/>
          </w:tcPr>
          <w:p w:rsidR="000960FE" w:rsidRPr="00672400" w:rsidRDefault="000960FE" w:rsidP="00F81EFB">
            <w:pPr>
              <w:pStyle w:val="ListParagraph"/>
              <w:ind w:left="0"/>
              <w:jc w:val="center"/>
              <w:rPr>
                <w:sz w:val="18"/>
                <w:szCs w:val="18"/>
              </w:rPr>
            </w:pPr>
          </w:p>
        </w:tc>
        <w:tc>
          <w:tcPr>
            <w:tcW w:w="2862" w:type="dxa"/>
            <w:tcBorders>
              <w:left w:val="thinThickThinSmallGap" w:sz="24" w:space="0" w:color="auto"/>
            </w:tcBorders>
            <w:shd w:val="clear" w:color="auto" w:fill="FFFFFF"/>
          </w:tcPr>
          <w:p w:rsidR="000960FE" w:rsidRPr="00672400" w:rsidRDefault="000960FE" w:rsidP="00F03161">
            <w:pPr>
              <w:pStyle w:val="ListParagraph"/>
              <w:spacing w:after="0" w:line="240" w:lineRule="auto"/>
              <w:ind w:left="0"/>
              <w:rPr>
                <w:sz w:val="18"/>
                <w:szCs w:val="18"/>
              </w:rPr>
            </w:pPr>
            <w:r w:rsidRPr="00672400">
              <w:rPr>
                <w:sz w:val="18"/>
                <w:szCs w:val="18"/>
              </w:rPr>
              <w:t xml:space="preserve">Depression w/Insomnia </w:t>
            </w:r>
            <w:proofErr w:type="spellStart"/>
            <w:r w:rsidRPr="00672400">
              <w:rPr>
                <w:sz w:val="18"/>
                <w:szCs w:val="18"/>
              </w:rPr>
              <w:t>a/w</w:t>
            </w:r>
            <w:proofErr w:type="spellEnd"/>
            <w:r w:rsidRPr="00672400">
              <w:rPr>
                <w:sz w:val="18"/>
                <w:szCs w:val="18"/>
              </w:rPr>
              <w:t xml:space="preserve"> L. Knee</w:t>
            </w:r>
          </w:p>
        </w:tc>
        <w:tc>
          <w:tcPr>
            <w:tcW w:w="648" w:type="dxa"/>
            <w:shd w:val="clear" w:color="auto" w:fill="FFFFFF"/>
          </w:tcPr>
          <w:p w:rsidR="000960FE" w:rsidRPr="00672400" w:rsidRDefault="000960FE" w:rsidP="00F81EFB">
            <w:pPr>
              <w:pStyle w:val="ListParagraph"/>
              <w:spacing w:after="0" w:line="240" w:lineRule="auto"/>
              <w:ind w:left="0"/>
              <w:jc w:val="center"/>
              <w:rPr>
                <w:sz w:val="18"/>
                <w:szCs w:val="18"/>
              </w:rPr>
            </w:pPr>
            <w:r w:rsidRPr="00672400">
              <w:rPr>
                <w:sz w:val="18"/>
                <w:szCs w:val="18"/>
              </w:rPr>
              <w:t>9434</w:t>
            </w:r>
          </w:p>
        </w:tc>
        <w:tc>
          <w:tcPr>
            <w:tcW w:w="810" w:type="dxa"/>
            <w:shd w:val="clear" w:color="auto" w:fill="FFFFFF"/>
          </w:tcPr>
          <w:p w:rsidR="000960FE" w:rsidRPr="00672400" w:rsidRDefault="000960FE" w:rsidP="00F81EFB">
            <w:pPr>
              <w:pStyle w:val="ListParagraph"/>
              <w:spacing w:after="0" w:line="240" w:lineRule="auto"/>
              <w:ind w:left="0"/>
              <w:jc w:val="center"/>
              <w:rPr>
                <w:sz w:val="18"/>
                <w:szCs w:val="18"/>
              </w:rPr>
            </w:pPr>
            <w:r w:rsidRPr="00672400">
              <w:rPr>
                <w:sz w:val="18"/>
                <w:szCs w:val="18"/>
              </w:rPr>
              <w:t>10%</w:t>
            </w:r>
          </w:p>
        </w:tc>
        <w:tc>
          <w:tcPr>
            <w:tcW w:w="990" w:type="dxa"/>
            <w:shd w:val="clear" w:color="auto" w:fill="FFFFFF"/>
          </w:tcPr>
          <w:p w:rsidR="000960FE" w:rsidRPr="00672400" w:rsidRDefault="000960FE" w:rsidP="00F81EFB">
            <w:pPr>
              <w:pStyle w:val="ListParagraph"/>
              <w:spacing w:after="0" w:line="240" w:lineRule="auto"/>
              <w:ind w:left="0"/>
              <w:jc w:val="center"/>
              <w:rPr>
                <w:sz w:val="18"/>
                <w:szCs w:val="18"/>
              </w:rPr>
            </w:pPr>
            <w:r w:rsidRPr="00672400">
              <w:rPr>
                <w:sz w:val="18"/>
                <w:szCs w:val="18"/>
              </w:rPr>
              <w:t>20060711</w:t>
            </w:r>
          </w:p>
        </w:tc>
      </w:tr>
      <w:tr w:rsidR="000960FE" w:rsidRPr="00672400" w:rsidTr="00672400">
        <w:trPr>
          <w:trHeight w:val="125"/>
          <w:jc w:val="center"/>
        </w:trPr>
        <w:tc>
          <w:tcPr>
            <w:tcW w:w="3888" w:type="dxa"/>
            <w:gridSpan w:val="3"/>
            <w:vMerge/>
            <w:tcBorders>
              <w:right w:val="thinThickThinSmallGap" w:sz="24" w:space="0" w:color="auto"/>
            </w:tcBorders>
            <w:shd w:val="clear" w:color="auto" w:fill="FFFFFF"/>
          </w:tcPr>
          <w:p w:rsidR="000960FE" w:rsidRPr="00672400" w:rsidRDefault="000960FE" w:rsidP="00F81EFB">
            <w:pPr>
              <w:pStyle w:val="ListParagraph"/>
              <w:ind w:left="0"/>
              <w:jc w:val="center"/>
              <w:rPr>
                <w:sz w:val="18"/>
                <w:szCs w:val="18"/>
              </w:rPr>
            </w:pPr>
          </w:p>
        </w:tc>
        <w:tc>
          <w:tcPr>
            <w:tcW w:w="2862" w:type="dxa"/>
            <w:tcBorders>
              <w:left w:val="thinThickThinSmallGap" w:sz="24" w:space="0" w:color="auto"/>
            </w:tcBorders>
            <w:shd w:val="clear" w:color="auto" w:fill="FFFFFF"/>
          </w:tcPr>
          <w:p w:rsidR="000960FE" w:rsidRPr="00672400" w:rsidRDefault="000960FE" w:rsidP="00F81EFB">
            <w:pPr>
              <w:pStyle w:val="ListParagraph"/>
              <w:spacing w:after="0" w:line="240" w:lineRule="auto"/>
              <w:ind w:left="0"/>
              <w:rPr>
                <w:sz w:val="18"/>
                <w:szCs w:val="18"/>
              </w:rPr>
            </w:pPr>
            <w:r w:rsidRPr="00672400">
              <w:rPr>
                <w:sz w:val="18"/>
                <w:szCs w:val="18"/>
              </w:rPr>
              <w:t>Pilonidal Cyst Removal</w:t>
            </w:r>
          </w:p>
        </w:tc>
        <w:tc>
          <w:tcPr>
            <w:tcW w:w="648" w:type="dxa"/>
            <w:shd w:val="clear" w:color="auto" w:fill="FFFFFF"/>
          </w:tcPr>
          <w:p w:rsidR="000960FE" w:rsidRPr="00672400" w:rsidRDefault="000960FE" w:rsidP="00F81EFB">
            <w:pPr>
              <w:pStyle w:val="ListParagraph"/>
              <w:spacing w:after="0" w:line="240" w:lineRule="auto"/>
              <w:ind w:left="0"/>
              <w:jc w:val="center"/>
              <w:rPr>
                <w:sz w:val="18"/>
                <w:szCs w:val="18"/>
              </w:rPr>
            </w:pPr>
            <w:r w:rsidRPr="00672400">
              <w:rPr>
                <w:sz w:val="18"/>
                <w:szCs w:val="18"/>
              </w:rPr>
              <w:t>7804</w:t>
            </w:r>
          </w:p>
        </w:tc>
        <w:tc>
          <w:tcPr>
            <w:tcW w:w="810" w:type="dxa"/>
            <w:shd w:val="clear" w:color="auto" w:fill="FFFFFF"/>
          </w:tcPr>
          <w:p w:rsidR="000960FE" w:rsidRPr="00672400" w:rsidRDefault="000960FE" w:rsidP="00F81EFB">
            <w:pPr>
              <w:pStyle w:val="ListParagraph"/>
              <w:spacing w:after="0" w:line="240" w:lineRule="auto"/>
              <w:ind w:left="0"/>
              <w:jc w:val="center"/>
              <w:rPr>
                <w:sz w:val="18"/>
                <w:szCs w:val="18"/>
              </w:rPr>
            </w:pPr>
            <w:r w:rsidRPr="00672400">
              <w:rPr>
                <w:sz w:val="18"/>
                <w:szCs w:val="18"/>
              </w:rPr>
              <w:t>10%</w:t>
            </w:r>
          </w:p>
        </w:tc>
        <w:tc>
          <w:tcPr>
            <w:tcW w:w="990" w:type="dxa"/>
            <w:shd w:val="clear" w:color="auto" w:fill="FFFFFF"/>
          </w:tcPr>
          <w:p w:rsidR="000960FE" w:rsidRPr="00672400" w:rsidRDefault="000960FE" w:rsidP="00F81EFB">
            <w:pPr>
              <w:pStyle w:val="ListParagraph"/>
              <w:spacing w:after="0" w:line="240" w:lineRule="auto"/>
              <w:ind w:left="0"/>
              <w:jc w:val="center"/>
              <w:rPr>
                <w:sz w:val="18"/>
                <w:szCs w:val="18"/>
              </w:rPr>
            </w:pPr>
            <w:r w:rsidRPr="00672400">
              <w:rPr>
                <w:sz w:val="18"/>
                <w:szCs w:val="18"/>
              </w:rPr>
              <w:t>20060711</w:t>
            </w:r>
          </w:p>
        </w:tc>
      </w:tr>
      <w:tr w:rsidR="000960FE" w:rsidRPr="00672400" w:rsidTr="00672400">
        <w:trPr>
          <w:trHeight w:val="125"/>
          <w:jc w:val="center"/>
        </w:trPr>
        <w:tc>
          <w:tcPr>
            <w:tcW w:w="3888" w:type="dxa"/>
            <w:gridSpan w:val="3"/>
            <w:vMerge/>
            <w:tcBorders>
              <w:right w:val="thinThickThinSmallGap" w:sz="24" w:space="0" w:color="auto"/>
            </w:tcBorders>
            <w:shd w:val="clear" w:color="auto" w:fill="FFFFFF"/>
          </w:tcPr>
          <w:p w:rsidR="000960FE" w:rsidRPr="00672400" w:rsidRDefault="000960FE" w:rsidP="00F81EFB">
            <w:pPr>
              <w:pStyle w:val="ListParagraph"/>
              <w:ind w:left="0"/>
              <w:jc w:val="center"/>
              <w:rPr>
                <w:sz w:val="18"/>
                <w:szCs w:val="18"/>
              </w:rPr>
            </w:pPr>
          </w:p>
        </w:tc>
        <w:tc>
          <w:tcPr>
            <w:tcW w:w="2862" w:type="dxa"/>
            <w:tcBorders>
              <w:left w:val="thinThickThinSmallGap" w:sz="24" w:space="0" w:color="auto"/>
            </w:tcBorders>
            <w:shd w:val="clear" w:color="auto" w:fill="FFFFFF"/>
          </w:tcPr>
          <w:p w:rsidR="000960FE" w:rsidRPr="00672400" w:rsidRDefault="000960FE" w:rsidP="00F81EFB">
            <w:pPr>
              <w:pStyle w:val="ListParagraph"/>
              <w:spacing w:after="0" w:line="240" w:lineRule="auto"/>
              <w:ind w:left="0"/>
              <w:rPr>
                <w:sz w:val="18"/>
                <w:szCs w:val="18"/>
              </w:rPr>
            </w:pPr>
            <w:r w:rsidRPr="00672400">
              <w:rPr>
                <w:sz w:val="18"/>
                <w:szCs w:val="18"/>
              </w:rPr>
              <w:t>Tinnitus</w:t>
            </w:r>
          </w:p>
        </w:tc>
        <w:tc>
          <w:tcPr>
            <w:tcW w:w="648" w:type="dxa"/>
            <w:shd w:val="clear" w:color="auto" w:fill="FFFFFF"/>
          </w:tcPr>
          <w:p w:rsidR="000960FE" w:rsidRPr="00672400" w:rsidRDefault="000960FE" w:rsidP="00F81EFB">
            <w:pPr>
              <w:pStyle w:val="ListParagraph"/>
              <w:spacing w:after="0" w:line="240" w:lineRule="auto"/>
              <w:ind w:left="0"/>
              <w:jc w:val="center"/>
              <w:rPr>
                <w:sz w:val="18"/>
                <w:szCs w:val="18"/>
              </w:rPr>
            </w:pPr>
            <w:r w:rsidRPr="00672400">
              <w:rPr>
                <w:sz w:val="18"/>
                <w:szCs w:val="18"/>
              </w:rPr>
              <w:t>6260</w:t>
            </w:r>
          </w:p>
        </w:tc>
        <w:tc>
          <w:tcPr>
            <w:tcW w:w="810" w:type="dxa"/>
            <w:shd w:val="clear" w:color="auto" w:fill="FFFFFF"/>
          </w:tcPr>
          <w:p w:rsidR="000960FE" w:rsidRPr="00672400" w:rsidRDefault="000960FE" w:rsidP="00F81EFB">
            <w:pPr>
              <w:pStyle w:val="ListParagraph"/>
              <w:spacing w:after="0" w:line="240" w:lineRule="auto"/>
              <w:ind w:left="0"/>
              <w:jc w:val="center"/>
              <w:rPr>
                <w:sz w:val="18"/>
                <w:szCs w:val="18"/>
              </w:rPr>
            </w:pPr>
            <w:r w:rsidRPr="00672400">
              <w:rPr>
                <w:sz w:val="18"/>
                <w:szCs w:val="18"/>
              </w:rPr>
              <w:t>10%</w:t>
            </w:r>
          </w:p>
        </w:tc>
        <w:tc>
          <w:tcPr>
            <w:tcW w:w="990" w:type="dxa"/>
            <w:shd w:val="clear" w:color="auto" w:fill="FFFFFF"/>
          </w:tcPr>
          <w:p w:rsidR="000960FE" w:rsidRPr="00672400" w:rsidRDefault="000960FE" w:rsidP="00F81EFB">
            <w:pPr>
              <w:pStyle w:val="ListParagraph"/>
              <w:spacing w:after="0" w:line="240" w:lineRule="auto"/>
              <w:ind w:left="0"/>
              <w:jc w:val="center"/>
              <w:rPr>
                <w:sz w:val="18"/>
                <w:szCs w:val="18"/>
              </w:rPr>
            </w:pPr>
            <w:r w:rsidRPr="00672400">
              <w:rPr>
                <w:sz w:val="18"/>
                <w:szCs w:val="18"/>
              </w:rPr>
              <w:t>20060712</w:t>
            </w:r>
          </w:p>
        </w:tc>
      </w:tr>
      <w:tr w:rsidR="000960FE" w:rsidRPr="00672400" w:rsidTr="00672400">
        <w:trPr>
          <w:trHeight w:val="125"/>
          <w:jc w:val="center"/>
        </w:trPr>
        <w:tc>
          <w:tcPr>
            <w:tcW w:w="3888" w:type="dxa"/>
            <w:gridSpan w:val="3"/>
            <w:vMerge/>
            <w:tcBorders>
              <w:right w:val="thinThickThinSmallGap" w:sz="24" w:space="0" w:color="auto"/>
            </w:tcBorders>
            <w:shd w:val="clear" w:color="auto" w:fill="FFFFFF"/>
          </w:tcPr>
          <w:p w:rsidR="000960FE" w:rsidRPr="00672400" w:rsidRDefault="000960FE" w:rsidP="00F81EFB">
            <w:pPr>
              <w:pStyle w:val="ListParagraph"/>
              <w:spacing w:after="0" w:line="240" w:lineRule="auto"/>
              <w:ind w:left="0"/>
              <w:jc w:val="center"/>
              <w:rPr>
                <w:sz w:val="18"/>
                <w:szCs w:val="18"/>
              </w:rPr>
            </w:pPr>
          </w:p>
        </w:tc>
        <w:tc>
          <w:tcPr>
            <w:tcW w:w="5310" w:type="dxa"/>
            <w:gridSpan w:val="4"/>
            <w:tcBorders>
              <w:left w:val="thinThickThinSmallGap" w:sz="24" w:space="0" w:color="auto"/>
            </w:tcBorders>
            <w:shd w:val="clear" w:color="auto" w:fill="FFFFFF"/>
          </w:tcPr>
          <w:p w:rsidR="000960FE" w:rsidRPr="00672400" w:rsidRDefault="001E456F" w:rsidP="001E456F">
            <w:pPr>
              <w:pStyle w:val="ListParagraph"/>
              <w:spacing w:after="0" w:line="240" w:lineRule="auto"/>
              <w:ind w:left="0"/>
              <w:jc w:val="center"/>
              <w:rPr>
                <w:sz w:val="18"/>
                <w:szCs w:val="18"/>
              </w:rPr>
            </w:pPr>
            <w:r>
              <w:rPr>
                <w:sz w:val="18"/>
                <w:szCs w:val="18"/>
              </w:rPr>
              <w:t xml:space="preserve">0% </w:t>
            </w:r>
            <w:r w:rsidR="000960FE" w:rsidRPr="00672400">
              <w:rPr>
                <w:sz w:val="18"/>
                <w:szCs w:val="18"/>
              </w:rPr>
              <w:t xml:space="preserve">X </w:t>
            </w:r>
            <w:r>
              <w:rPr>
                <w:sz w:val="18"/>
                <w:szCs w:val="18"/>
              </w:rPr>
              <w:t>1 / Not Service Connected X 2</w:t>
            </w:r>
          </w:p>
        </w:tc>
      </w:tr>
      <w:tr w:rsidR="00330103" w:rsidRPr="00672400" w:rsidTr="00672400">
        <w:trPr>
          <w:trHeight w:val="242"/>
          <w:jc w:val="center"/>
        </w:trPr>
        <w:tc>
          <w:tcPr>
            <w:tcW w:w="3888" w:type="dxa"/>
            <w:gridSpan w:val="3"/>
            <w:tcBorders>
              <w:right w:val="thinThickThinSmallGap" w:sz="24" w:space="0" w:color="auto"/>
            </w:tcBorders>
            <w:shd w:val="clear" w:color="auto" w:fill="D9D9D9" w:themeFill="background1" w:themeFillShade="D9"/>
          </w:tcPr>
          <w:p w:rsidR="00330103" w:rsidRPr="00672400" w:rsidRDefault="00330103" w:rsidP="00F81EFB">
            <w:pPr>
              <w:pStyle w:val="ListParagraph"/>
              <w:spacing w:after="0" w:line="240" w:lineRule="auto"/>
              <w:ind w:left="0"/>
              <w:jc w:val="center"/>
              <w:rPr>
                <w:b/>
                <w:sz w:val="20"/>
                <w:szCs w:val="20"/>
              </w:rPr>
            </w:pPr>
            <w:r w:rsidRPr="00672400">
              <w:rPr>
                <w:b/>
                <w:sz w:val="20"/>
                <w:szCs w:val="20"/>
              </w:rPr>
              <w:t>TOTAL Combined:  10%</w:t>
            </w:r>
          </w:p>
        </w:tc>
        <w:tc>
          <w:tcPr>
            <w:tcW w:w="5310" w:type="dxa"/>
            <w:gridSpan w:val="4"/>
            <w:tcBorders>
              <w:left w:val="thinThickThinSmallGap" w:sz="24" w:space="0" w:color="auto"/>
            </w:tcBorders>
            <w:shd w:val="clear" w:color="auto" w:fill="D9D9D9" w:themeFill="background1" w:themeFillShade="D9"/>
          </w:tcPr>
          <w:p w:rsidR="00330103" w:rsidRPr="00672400" w:rsidRDefault="00330103" w:rsidP="001E456F">
            <w:pPr>
              <w:pStyle w:val="ListParagraph"/>
              <w:spacing w:after="0" w:line="240" w:lineRule="auto"/>
              <w:ind w:left="0"/>
              <w:jc w:val="center"/>
              <w:rPr>
                <w:b/>
                <w:sz w:val="20"/>
                <w:szCs w:val="20"/>
              </w:rPr>
            </w:pPr>
            <w:r w:rsidRPr="00672400">
              <w:rPr>
                <w:b/>
                <w:sz w:val="20"/>
                <w:szCs w:val="20"/>
              </w:rPr>
              <w:t xml:space="preserve">TOTAL Combined: </w:t>
            </w:r>
            <w:r w:rsidR="001E456F">
              <w:rPr>
                <w:b/>
                <w:sz w:val="20"/>
                <w:szCs w:val="20"/>
              </w:rPr>
              <w:t xml:space="preserve"> </w:t>
            </w:r>
            <w:r w:rsidRPr="00672400">
              <w:rPr>
                <w:b/>
                <w:sz w:val="20"/>
                <w:szCs w:val="20"/>
              </w:rPr>
              <w:t xml:space="preserve">50%                          </w:t>
            </w:r>
            <w:r w:rsidRPr="00672400">
              <w:rPr>
                <w:sz w:val="20"/>
                <w:szCs w:val="20"/>
              </w:rPr>
              <w:t xml:space="preserve"> </w:t>
            </w:r>
          </w:p>
        </w:tc>
      </w:tr>
    </w:tbl>
    <w:p w:rsidR="00672400" w:rsidRPr="00672400" w:rsidRDefault="00672400" w:rsidP="00672400">
      <w:pPr>
        <w:tabs>
          <w:tab w:val="left" w:pos="288"/>
          <w:tab w:val="left" w:pos="4752"/>
        </w:tabs>
        <w:spacing w:line="240" w:lineRule="exact"/>
        <w:jc w:val="both"/>
        <w:rPr>
          <w:rFonts w:asciiTheme="minorHAnsi" w:hAnsiTheme="minorHAnsi" w:cs="Courier New"/>
          <w:color w:val="auto"/>
          <w:szCs w:val="24"/>
        </w:rPr>
      </w:pPr>
    </w:p>
    <w:p w:rsidR="00330103" w:rsidRDefault="00342F61" w:rsidP="00330103">
      <w:pPr>
        <w:tabs>
          <w:tab w:val="left" w:pos="288"/>
          <w:tab w:val="left" w:pos="4752"/>
        </w:tabs>
        <w:spacing w:line="240" w:lineRule="exact"/>
        <w:jc w:val="both"/>
        <w:rPr>
          <w:rFonts w:asciiTheme="minorHAnsi" w:hAnsiTheme="minorHAnsi"/>
          <w:color w:val="auto"/>
          <w:u w:val="single"/>
        </w:rPr>
      </w:pPr>
      <w:r>
        <w:rPr>
          <w:rFonts w:asciiTheme="minorHAnsi" w:hAnsiTheme="minorHAnsi"/>
          <w:color w:val="auto"/>
          <w:u w:val="single"/>
        </w:rPr>
        <w:t>______________________________________________________________________________</w:t>
      </w:r>
    </w:p>
    <w:p w:rsidR="00342F61" w:rsidRPr="00672400" w:rsidRDefault="00342F61" w:rsidP="00330103">
      <w:pPr>
        <w:tabs>
          <w:tab w:val="left" w:pos="288"/>
          <w:tab w:val="left" w:pos="4752"/>
        </w:tabs>
        <w:spacing w:line="240" w:lineRule="exact"/>
        <w:jc w:val="both"/>
        <w:rPr>
          <w:color w:val="auto"/>
        </w:rPr>
      </w:pPr>
    </w:p>
    <w:p w:rsidR="0020730F" w:rsidRPr="00672400" w:rsidRDefault="002C6E5B" w:rsidP="00FE2D7E">
      <w:pPr>
        <w:tabs>
          <w:tab w:val="left" w:pos="288"/>
          <w:tab w:val="left" w:pos="4752"/>
        </w:tabs>
        <w:spacing w:line="240" w:lineRule="exact"/>
        <w:jc w:val="both"/>
        <w:rPr>
          <w:rFonts w:asciiTheme="minorHAnsi" w:hAnsiTheme="minorHAnsi"/>
          <w:color w:val="auto"/>
          <w:szCs w:val="24"/>
        </w:rPr>
      </w:pPr>
      <w:r w:rsidRPr="00672400">
        <w:rPr>
          <w:rFonts w:asciiTheme="minorHAnsi" w:hAnsiTheme="minorHAnsi"/>
          <w:color w:val="auto"/>
          <w:szCs w:val="24"/>
          <w:u w:val="single"/>
        </w:rPr>
        <w:t>ANALYSIS SUMMARY</w:t>
      </w:r>
      <w:r w:rsidRPr="00672400">
        <w:rPr>
          <w:rFonts w:asciiTheme="minorHAnsi" w:hAnsiTheme="minorHAnsi"/>
          <w:color w:val="auto"/>
          <w:szCs w:val="24"/>
        </w:rPr>
        <w:t>:</w:t>
      </w:r>
      <w:r w:rsidR="00681768" w:rsidRPr="00672400">
        <w:rPr>
          <w:rFonts w:asciiTheme="minorHAnsi" w:hAnsiTheme="minorHAnsi"/>
          <w:color w:val="auto"/>
          <w:szCs w:val="24"/>
        </w:rPr>
        <w:t xml:space="preserve">  </w:t>
      </w:r>
      <w:r w:rsidR="00F43668" w:rsidRPr="00672400">
        <w:rPr>
          <w:rFonts w:asciiTheme="minorHAnsi" w:hAnsiTheme="minorHAnsi"/>
          <w:color w:val="auto"/>
          <w:szCs w:val="24"/>
        </w:rPr>
        <w:t xml:space="preserve">The Board acknowledges the CI’s contentions regarding concerns over VA treatment and medical care.  However, the Board has neither the jurisdiction nor authority to scrutinize or render opinions in reference to the CI’s statements in the application regarding any VA improprieties in his VA treatment or VA medical coverage.  Those issues should be directed to the VA.  </w:t>
      </w:r>
      <w:r w:rsidR="0020730F" w:rsidRPr="00672400">
        <w:rPr>
          <w:rFonts w:asciiTheme="minorHAnsi" w:hAnsiTheme="minorHAnsi"/>
          <w:color w:val="auto"/>
          <w:szCs w:val="24"/>
        </w:rPr>
        <w:t xml:space="preserve">The Board acknowledges the sentiment expressed in the CI’s application </w:t>
      </w:r>
      <w:r w:rsidR="0020730F" w:rsidRPr="00672400">
        <w:rPr>
          <w:rFonts w:asciiTheme="minorHAnsi" w:hAnsiTheme="minorHAnsi"/>
          <w:color w:val="auto"/>
          <w:szCs w:val="24"/>
        </w:rPr>
        <w:lastRenderedPageBreak/>
        <w:t xml:space="preserve">regarding the significant impairment with which his service-incurred condition continues to burden him and the potential linkage of his knee condition to his contended </w:t>
      </w:r>
      <w:r w:rsidR="0020730F" w:rsidRPr="00672400">
        <w:rPr>
          <w:rFonts w:asciiTheme="minorHAnsi" w:hAnsiTheme="minorHAnsi" w:cs="Courier New"/>
          <w:color w:val="auto"/>
          <w:szCs w:val="24"/>
        </w:rPr>
        <w:t xml:space="preserve">lower back, right leg, bilateral ankles, and mental health conditions </w:t>
      </w:r>
      <w:r w:rsidR="0020730F" w:rsidRPr="00672400">
        <w:rPr>
          <w:rFonts w:asciiTheme="minorHAnsi" w:hAnsiTheme="minorHAnsi"/>
          <w:color w:val="auto"/>
          <w:szCs w:val="24"/>
        </w:rPr>
        <w:t xml:space="preserve">which merit consideration for a higher separation rating.  It is a fact, however, that the DES has neither the role nor the authority to compensate service members for anticipated future severity (worsening) or potential complications of conditions resulting in medical separation. </w:t>
      </w:r>
      <w:r w:rsidR="00672400">
        <w:rPr>
          <w:rFonts w:asciiTheme="minorHAnsi" w:hAnsiTheme="minorHAnsi"/>
          <w:color w:val="auto"/>
          <w:szCs w:val="24"/>
        </w:rPr>
        <w:t xml:space="preserve"> </w:t>
      </w:r>
      <w:r w:rsidR="0020730F" w:rsidRPr="00672400">
        <w:rPr>
          <w:rFonts w:asciiTheme="minorHAnsi" w:hAnsiTheme="minorHAnsi"/>
          <w:color w:val="auto"/>
          <w:szCs w:val="24"/>
        </w:rPr>
        <w:t xml:space="preserve">This role and authority is granted by Congress to the Veterans Administration.  </w:t>
      </w:r>
    </w:p>
    <w:p w:rsidR="0020730F" w:rsidRPr="00672400" w:rsidRDefault="0020730F" w:rsidP="00FE2D7E">
      <w:pPr>
        <w:tabs>
          <w:tab w:val="left" w:pos="288"/>
          <w:tab w:val="left" w:pos="4752"/>
        </w:tabs>
        <w:spacing w:line="240" w:lineRule="exact"/>
        <w:jc w:val="both"/>
        <w:rPr>
          <w:rFonts w:asciiTheme="minorHAnsi" w:hAnsiTheme="minorHAnsi"/>
          <w:color w:val="auto"/>
          <w:szCs w:val="24"/>
        </w:rPr>
      </w:pPr>
    </w:p>
    <w:p w:rsidR="00D9413B" w:rsidRPr="00672400" w:rsidRDefault="00F03161" w:rsidP="00FE2D7E">
      <w:pPr>
        <w:tabs>
          <w:tab w:val="left" w:pos="288"/>
          <w:tab w:val="left" w:pos="4752"/>
        </w:tabs>
        <w:spacing w:line="240" w:lineRule="exact"/>
        <w:jc w:val="both"/>
        <w:rPr>
          <w:rFonts w:asciiTheme="minorHAnsi" w:hAnsiTheme="minorHAnsi"/>
          <w:color w:val="auto"/>
          <w:szCs w:val="24"/>
        </w:rPr>
      </w:pPr>
      <w:proofErr w:type="gramStart"/>
      <w:r w:rsidRPr="00672400">
        <w:rPr>
          <w:rFonts w:asciiTheme="minorHAnsi" w:hAnsiTheme="minorHAnsi"/>
          <w:color w:val="auto"/>
          <w:szCs w:val="24"/>
          <w:u w:val="single"/>
        </w:rPr>
        <w:t>Left Knee Condition</w:t>
      </w:r>
      <w:r w:rsidRPr="00672400">
        <w:rPr>
          <w:rFonts w:asciiTheme="minorHAnsi" w:hAnsiTheme="minorHAnsi"/>
          <w:color w:val="auto"/>
          <w:szCs w:val="24"/>
        </w:rPr>
        <w:t>.</w:t>
      </w:r>
      <w:proofErr w:type="gramEnd"/>
      <w:r w:rsidRPr="00672400">
        <w:rPr>
          <w:rFonts w:asciiTheme="minorHAnsi" w:hAnsiTheme="minorHAnsi"/>
          <w:color w:val="auto"/>
          <w:szCs w:val="24"/>
        </w:rPr>
        <w:t xml:space="preserve">  </w:t>
      </w:r>
      <w:r w:rsidR="00D9413B" w:rsidRPr="00672400">
        <w:rPr>
          <w:rFonts w:asciiTheme="minorHAnsi" w:hAnsiTheme="minorHAnsi"/>
          <w:color w:val="auto"/>
          <w:szCs w:val="24"/>
        </w:rPr>
        <w:t xml:space="preserve">The CI had three </w:t>
      </w:r>
      <w:r w:rsidR="00EF6BB7" w:rsidRPr="00672400">
        <w:rPr>
          <w:rFonts w:asciiTheme="minorHAnsi" w:hAnsiTheme="minorHAnsi"/>
          <w:color w:val="auto"/>
          <w:szCs w:val="24"/>
        </w:rPr>
        <w:t>ranges</w:t>
      </w:r>
      <w:r w:rsidR="00D9413B" w:rsidRPr="00672400">
        <w:rPr>
          <w:rFonts w:asciiTheme="minorHAnsi" w:hAnsiTheme="minorHAnsi"/>
          <w:color w:val="auto"/>
          <w:szCs w:val="24"/>
        </w:rPr>
        <w:t xml:space="preserve"> of motion (ROM) evaluations in evidence which the Board weighed in arriving at its rating recommendations, summarized in the cha</w:t>
      </w:r>
      <w:r w:rsidR="0012415E">
        <w:rPr>
          <w:rFonts w:asciiTheme="minorHAnsi" w:hAnsiTheme="minorHAnsi"/>
          <w:color w:val="auto"/>
          <w:szCs w:val="24"/>
        </w:rPr>
        <w:t>r</w:t>
      </w:r>
      <w:r w:rsidR="00D9413B" w:rsidRPr="00672400">
        <w:rPr>
          <w:rFonts w:asciiTheme="minorHAnsi" w:hAnsiTheme="minorHAnsi"/>
          <w:color w:val="auto"/>
          <w:szCs w:val="24"/>
        </w:rPr>
        <w:t>t below.</w:t>
      </w:r>
      <w:r w:rsidR="00672400" w:rsidRPr="00672400">
        <w:rPr>
          <w:rFonts w:asciiTheme="minorHAnsi" w:hAnsiTheme="minorHAnsi"/>
          <w:color w:val="auto"/>
          <w:szCs w:val="24"/>
        </w:rPr>
        <w:t xml:space="preserve">  </w:t>
      </w:r>
    </w:p>
    <w:p w:rsidR="007D10B9" w:rsidRPr="00672400" w:rsidRDefault="007D10B9" w:rsidP="00EF1FDC">
      <w:pPr>
        <w:tabs>
          <w:tab w:val="left" w:pos="288"/>
          <w:tab w:val="left" w:pos="4752"/>
        </w:tabs>
        <w:spacing w:line="240" w:lineRule="exact"/>
        <w:jc w:val="both"/>
        <w:rPr>
          <w:rFonts w:asciiTheme="minorHAnsi" w:hAnsiTheme="minorHAnsi"/>
          <w:color w:val="auto"/>
          <w:szCs w:val="24"/>
        </w:rPr>
      </w:pPr>
    </w:p>
    <w:tbl>
      <w:tblPr>
        <w:tblW w:w="9149" w:type="dxa"/>
        <w:jc w:val="center"/>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8"/>
        <w:gridCol w:w="2747"/>
        <w:gridCol w:w="2880"/>
        <w:gridCol w:w="1424"/>
      </w:tblGrid>
      <w:tr w:rsidR="00672400" w:rsidRPr="00672400" w:rsidTr="00505D00">
        <w:trPr>
          <w:jc w:val="center"/>
        </w:trPr>
        <w:tc>
          <w:tcPr>
            <w:tcW w:w="2098" w:type="dxa"/>
            <w:shd w:val="clear" w:color="auto" w:fill="D9D9D9" w:themeFill="background1" w:themeFillShade="D9"/>
          </w:tcPr>
          <w:p w:rsidR="00672400" w:rsidRPr="00505D00" w:rsidRDefault="00672400" w:rsidP="00575E16">
            <w:pPr>
              <w:spacing w:line="240" w:lineRule="exact"/>
              <w:contextualSpacing/>
              <w:jc w:val="both"/>
              <w:rPr>
                <w:rFonts w:ascii="Calibri" w:eastAsia="Calibri" w:hAnsi="Calibri"/>
                <w:b/>
                <w:color w:val="auto"/>
                <w:sz w:val="20"/>
              </w:rPr>
            </w:pPr>
            <w:r w:rsidRPr="00505D00">
              <w:rPr>
                <w:rFonts w:ascii="Calibri" w:eastAsia="Calibri" w:hAnsi="Calibri"/>
                <w:b/>
                <w:color w:val="auto"/>
                <w:sz w:val="20"/>
              </w:rPr>
              <w:t>Left Knee</w:t>
            </w:r>
          </w:p>
        </w:tc>
        <w:tc>
          <w:tcPr>
            <w:tcW w:w="7051" w:type="dxa"/>
            <w:gridSpan w:val="3"/>
            <w:shd w:val="clear" w:color="auto" w:fill="D9D9D9" w:themeFill="background1" w:themeFillShade="D9"/>
          </w:tcPr>
          <w:p w:rsidR="00672400" w:rsidRPr="00505D00" w:rsidRDefault="00672400" w:rsidP="00672400">
            <w:pPr>
              <w:spacing w:line="240" w:lineRule="exact"/>
              <w:contextualSpacing/>
              <w:jc w:val="center"/>
              <w:rPr>
                <w:rFonts w:ascii="Calibri" w:eastAsia="Calibri" w:hAnsi="Calibri"/>
                <w:b/>
                <w:color w:val="auto"/>
                <w:sz w:val="20"/>
              </w:rPr>
            </w:pPr>
            <w:r w:rsidRPr="00505D00">
              <w:rPr>
                <w:rFonts w:ascii="Calibri" w:eastAsia="Calibri" w:hAnsi="Calibri"/>
                <w:b/>
                <w:color w:val="auto"/>
                <w:sz w:val="20"/>
              </w:rPr>
              <w:t>Separation Date:  20060530</w:t>
            </w:r>
          </w:p>
        </w:tc>
      </w:tr>
      <w:tr w:rsidR="00505D00" w:rsidRPr="00672400" w:rsidTr="00505D00">
        <w:trPr>
          <w:jc w:val="center"/>
        </w:trPr>
        <w:tc>
          <w:tcPr>
            <w:tcW w:w="2098" w:type="dxa"/>
            <w:shd w:val="clear" w:color="auto" w:fill="D9D9D9" w:themeFill="background1" w:themeFillShade="D9"/>
          </w:tcPr>
          <w:p w:rsidR="00147084" w:rsidRPr="00310880" w:rsidRDefault="00147084" w:rsidP="00885ADD">
            <w:pPr>
              <w:spacing w:line="240" w:lineRule="exact"/>
              <w:contextualSpacing/>
              <w:jc w:val="center"/>
              <w:rPr>
                <w:rFonts w:ascii="Calibri" w:eastAsia="Calibri" w:hAnsi="Calibri"/>
                <w:color w:val="auto"/>
                <w:sz w:val="20"/>
              </w:rPr>
            </w:pPr>
            <w:r w:rsidRPr="00310880">
              <w:rPr>
                <w:rFonts w:ascii="Calibri" w:eastAsia="Calibri" w:hAnsi="Calibri"/>
                <w:color w:val="auto"/>
                <w:sz w:val="20"/>
              </w:rPr>
              <w:t>ROM</w:t>
            </w:r>
          </w:p>
        </w:tc>
        <w:tc>
          <w:tcPr>
            <w:tcW w:w="2747" w:type="dxa"/>
            <w:shd w:val="clear" w:color="auto" w:fill="D9D9D9" w:themeFill="background1" w:themeFillShade="D9"/>
          </w:tcPr>
          <w:p w:rsidR="00147084" w:rsidRPr="00310880" w:rsidRDefault="00147084" w:rsidP="00126E3B">
            <w:pPr>
              <w:spacing w:line="240" w:lineRule="exact"/>
              <w:contextualSpacing/>
              <w:jc w:val="center"/>
              <w:rPr>
                <w:rFonts w:ascii="Calibri" w:eastAsia="Calibri" w:hAnsi="Calibri"/>
                <w:color w:val="auto"/>
                <w:sz w:val="20"/>
              </w:rPr>
            </w:pPr>
            <w:r w:rsidRPr="00310880">
              <w:rPr>
                <w:rFonts w:ascii="Calibri" w:eastAsia="Calibri" w:hAnsi="Calibri"/>
                <w:color w:val="auto"/>
                <w:sz w:val="20"/>
              </w:rPr>
              <w:t>MEB - 20060104</w:t>
            </w:r>
          </w:p>
        </w:tc>
        <w:tc>
          <w:tcPr>
            <w:tcW w:w="2880" w:type="dxa"/>
            <w:shd w:val="clear" w:color="auto" w:fill="D9D9D9" w:themeFill="background1" w:themeFillShade="D9"/>
          </w:tcPr>
          <w:p w:rsidR="00147084" w:rsidRPr="00310880" w:rsidRDefault="00147084" w:rsidP="00F43668">
            <w:pPr>
              <w:spacing w:line="240" w:lineRule="exact"/>
              <w:contextualSpacing/>
              <w:jc w:val="center"/>
              <w:rPr>
                <w:rFonts w:ascii="Calibri" w:eastAsia="Calibri" w:hAnsi="Calibri"/>
                <w:color w:val="auto"/>
                <w:sz w:val="20"/>
              </w:rPr>
            </w:pPr>
            <w:r w:rsidRPr="00310880">
              <w:rPr>
                <w:rFonts w:ascii="Calibri" w:eastAsia="Calibri" w:hAnsi="Calibri"/>
                <w:color w:val="auto"/>
                <w:sz w:val="20"/>
              </w:rPr>
              <w:t>C&amp;P - 20060711</w:t>
            </w:r>
          </w:p>
        </w:tc>
        <w:tc>
          <w:tcPr>
            <w:tcW w:w="1424" w:type="dxa"/>
            <w:shd w:val="clear" w:color="auto" w:fill="D9D9D9" w:themeFill="background1" w:themeFillShade="D9"/>
          </w:tcPr>
          <w:p w:rsidR="00147084" w:rsidRPr="00310880" w:rsidRDefault="00147084" w:rsidP="00F43668">
            <w:pPr>
              <w:spacing w:line="240" w:lineRule="exact"/>
              <w:contextualSpacing/>
              <w:jc w:val="center"/>
              <w:rPr>
                <w:rFonts w:ascii="Calibri" w:eastAsiaTheme="minorHAnsi" w:hAnsi="Calibri" w:cstheme="minorBidi"/>
                <w:color w:val="auto"/>
                <w:sz w:val="20"/>
              </w:rPr>
            </w:pPr>
            <w:r w:rsidRPr="00310880">
              <w:rPr>
                <w:rFonts w:ascii="Calibri" w:eastAsia="Calibri" w:hAnsi="Calibri"/>
                <w:color w:val="auto"/>
                <w:sz w:val="20"/>
              </w:rPr>
              <w:t>PT - 20060718</w:t>
            </w:r>
          </w:p>
        </w:tc>
      </w:tr>
      <w:tr w:rsidR="00505D00" w:rsidRPr="00672400" w:rsidTr="00505D00">
        <w:trPr>
          <w:jc w:val="center"/>
        </w:trPr>
        <w:tc>
          <w:tcPr>
            <w:tcW w:w="2098" w:type="dxa"/>
          </w:tcPr>
          <w:p w:rsidR="00147084" w:rsidRPr="00310880" w:rsidRDefault="00147084" w:rsidP="00F43668">
            <w:pPr>
              <w:spacing w:line="240" w:lineRule="exact"/>
              <w:contextualSpacing/>
              <w:rPr>
                <w:rFonts w:ascii="Calibri" w:eastAsia="Calibri" w:hAnsi="Calibri"/>
                <w:color w:val="auto"/>
                <w:sz w:val="20"/>
              </w:rPr>
            </w:pPr>
            <w:r w:rsidRPr="00310880">
              <w:rPr>
                <w:rFonts w:ascii="Calibri" w:eastAsia="Calibri" w:hAnsi="Calibri"/>
                <w:color w:val="auto"/>
                <w:sz w:val="20"/>
              </w:rPr>
              <w:t>Flexion 0-140⁰ normal</w:t>
            </w:r>
          </w:p>
        </w:tc>
        <w:tc>
          <w:tcPr>
            <w:tcW w:w="2747" w:type="dxa"/>
          </w:tcPr>
          <w:p w:rsidR="00147084" w:rsidRPr="00310880" w:rsidRDefault="00147084" w:rsidP="00162C2E">
            <w:pPr>
              <w:spacing w:line="240" w:lineRule="exact"/>
              <w:contextualSpacing/>
              <w:jc w:val="center"/>
              <w:rPr>
                <w:rFonts w:ascii="Calibri" w:eastAsia="Calibri" w:hAnsi="Calibri"/>
                <w:color w:val="auto"/>
                <w:sz w:val="20"/>
              </w:rPr>
            </w:pPr>
            <w:r w:rsidRPr="00310880">
              <w:rPr>
                <w:rFonts w:ascii="Calibri" w:eastAsia="Calibri" w:hAnsi="Calibri"/>
                <w:color w:val="auto"/>
                <w:sz w:val="20"/>
              </w:rPr>
              <w:t>Full ROM</w:t>
            </w:r>
          </w:p>
          <w:p w:rsidR="00147084" w:rsidRPr="00310880" w:rsidRDefault="00147084" w:rsidP="00162C2E">
            <w:pPr>
              <w:spacing w:line="240" w:lineRule="exact"/>
              <w:contextualSpacing/>
              <w:jc w:val="center"/>
              <w:rPr>
                <w:rFonts w:ascii="Calibri" w:eastAsia="Calibri" w:hAnsi="Calibri"/>
                <w:color w:val="auto"/>
                <w:sz w:val="20"/>
              </w:rPr>
            </w:pPr>
          </w:p>
        </w:tc>
        <w:tc>
          <w:tcPr>
            <w:tcW w:w="2880" w:type="dxa"/>
          </w:tcPr>
          <w:p w:rsidR="00147084" w:rsidRPr="00310880" w:rsidRDefault="00147084" w:rsidP="00F43668">
            <w:pPr>
              <w:spacing w:line="240" w:lineRule="exact"/>
              <w:contextualSpacing/>
              <w:jc w:val="center"/>
              <w:rPr>
                <w:rFonts w:ascii="Calibri" w:eastAsia="Calibri" w:hAnsi="Calibri"/>
                <w:color w:val="auto"/>
                <w:sz w:val="20"/>
              </w:rPr>
            </w:pPr>
            <w:r w:rsidRPr="00310880">
              <w:rPr>
                <w:rFonts w:ascii="Calibri" w:eastAsia="Calibri" w:hAnsi="Calibri"/>
                <w:color w:val="auto"/>
                <w:sz w:val="20"/>
              </w:rPr>
              <w:t>0⁰-100⁰</w:t>
            </w:r>
          </w:p>
        </w:tc>
        <w:tc>
          <w:tcPr>
            <w:tcW w:w="1424" w:type="dxa"/>
          </w:tcPr>
          <w:p w:rsidR="00147084" w:rsidRPr="00310880" w:rsidRDefault="00147084" w:rsidP="00885ADD">
            <w:pPr>
              <w:spacing w:line="240" w:lineRule="exact"/>
              <w:contextualSpacing/>
              <w:jc w:val="center"/>
              <w:rPr>
                <w:rFonts w:ascii="Calibri" w:eastAsia="Calibri" w:hAnsi="Calibri"/>
                <w:color w:val="auto"/>
                <w:sz w:val="20"/>
              </w:rPr>
            </w:pPr>
            <w:proofErr w:type="spellStart"/>
            <w:r w:rsidRPr="00310880">
              <w:rPr>
                <w:rFonts w:ascii="Calibri" w:eastAsia="Calibri" w:hAnsi="Calibri"/>
                <w:color w:val="auto"/>
                <w:sz w:val="20"/>
              </w:rPr>
              <w:t>wnl</w:t>
            </w:r>
            <w:proofErr w:type="spellEnd"/>
          </w:p>
        </w:tc>
      </w:tr>
      <w:tr w:rsidR="00505D00" w:rsidRPr="00672400" w:rsidTr="00505D00">
        <w:trPr>
          <w:jc w:val="center"/>
        </w:trPr>
        <w:tc>
          <w:tcPr>
            <w:tcW w:w="2098" w:type="dxa"/>
          </w:tcPr>
          <w:p w:rsidR="00147084" w:rsidRPr="00310880" w:rsidRDefault="00147084" w:rsidP="00F43668">
            <w:pPr>
              <w:spacing w:line="240" w:lineRule="exact"/>
              <w:contextualSpacing/>
              <w:rPr>
                <w:rFonts w:ascii="Calibri" w:eastAsia="Calibri" w:hAnsi="Calibri"/>
                <w:color w:val="auto"/>
                <w:sz w:val="20"/>
              </w:rPr>
            </w:pPr>
            <w:r w:rsidRPr="00310880">
              <w:rPr>
                <w:rFonts w:ascii="Calibri" w:eastAsia="Calibri" w:hAnsi="Calibri"/>
                <w:color w:val="auto"/>
                <w:sz w:val="20"/>
              </w:rPr>
              <w:t>Extension 0⁰ normal</w:t>
            </w:r>
          </w:p>
        </w:tc>
        <w:tc>
          <w:tcPr>
            <w:tcW w:w="2747" w:type="dxa"/>
          </w:tcPr>
          <w:p w:rsidR="00147084" w:rsidRPr="00310880" w:rsidRDefault="00147084" w:rsidP="00885ADD">
            <w:pPr>
              <w:spacing w:line="240" w:lineRule="exact"/>
              <w:contextualSpacing/>
              <w:jc w:val="center"/>
              <w:rPr>
                <w:rFonts w:ascii="Calibri" w:eastAsia="Calibri" w:hAnsi="Calibri"/>
                <w:color w:val="auto"/>
                <w:sz w:val="20"/>
              </w:rPr>
            </w:pPr>
          </w:p>
        </w:tc>
        <w:tc>
          <w:tcPr>
            <w:tcW w:w="2880" w:type="dxa"/>
            <w:shd w:val="clear" w:color="auto" w:fill="auto"/>
          </w:tcPr>
          <w:p w:rsidR="00147084" w:rsidRPr="00310880" w:rsidRDefault="00147084" w:rsidP="00885ADD">
            <w:pPr>
              <w:spacing w:line="240" w:lineRule="exact"/>
              <w:contextualSpacing/>
              <w:jc w:val="center"/>
              <w:rPr>
                <w:rFonts w:ascii="Calibri" w:eastAsia="Calibri" w:hAnsi="Calibri"/>
                <w:color w:val="auto"/>
                <w:sz w:val="20"/>
              </w:rPr>
            </w:pPr>
            <w:r w:rsidRPr="00310880">
              <w:rPr>
                <w:rFonts w:ascii="Calibri" w:eastAsia="Calibri" w:hAnsi="Calibri"/>
                <w:color w:val="auto"/>
                <w:sz w:val="20"/>
              </w:rPr>
              <w:t>10⁰</w:t>
            </w:r>
          </w:p>
        </w:tc>
        <w:tc>
          <w:tcPr>
            <w:tcW w:w="1424" w:type="dxa"/>
          </w:tcPr>
          <w:p w:rsidR="00147084" w:rsidRPr="00310880" w:rsidRDefault="00147084" w:rsidP="00885ADD">
            <w:pPr>
              <w:spacing w:line="240" w:lineRule="exact"/>
              <w:contextualSpacing/>
              <w:jc w:val="center"/>
              <w:rPr>
                <w:rFonts w:ascii="Calibri" w:eastAsia="Calibri" w:hAnsi="Calibri"/>
                <w:color w:val="auto"/>
                <w:sz w:val="20"/>
              </w:rPr>
            </w:pPr>
            <w:proofErr w:type="spellStart"/>
            <w:r w:rsidRPr="00310880">
              <w:rPr>
                <w:rFonts w:ascii="Calibri" w:eastAsia="Calibri" w:hAnsi="Calibri"/>
                <w:color w:val="auto"/>
                <w:sz w:val="20"/>
              </w:rPr>
              <w:t>wnl</w:t>
            </w:r>
            <w:proofErr w:type="spellEnd"/>
          </w:p>
        </w:tc>
      </w:tr>
      <w:tr w:rsidR="00505D00" w:rsidRPr="00672400" w:rsidTr="00505D00">
        <w:trPr>
          <w:jc w:val="center"/>
        </w:trPr>
        <w:tc>
          <w:tcPr>
            <w:tcW w:w="2098" w:type="dxa"/>
          </w:tcPr>
          <w:p w:rsidR="00147084" w:rsidRPr="00310880" w:rsidRDefault="00147084" w:rsidP="00F43668">
            <w:pPr>
              <w:tabs>
                <w:tab w:val="left" w:pos="288"/>
                <w:tab w:val="left" w:pos="4752"/>
              </w:tabs>
              <w:spacing w:line="240" w:lineRule="exact"/>
              <w:rPr>
                <w:rFonts w:asciiTheme="minorHAnsi" w:eastAsiaTheme="minorHAnsi" w:hAnsiTheme="minorHAnsi"/>
                <w:color w:val="auto"/>
                <w:sz w:val="20"/>
              </w:rPr>
            </w:pPr>
            <w:r w:rsidRPr="00310880">
              <w:rPr>
                <w:rFonts w:asciiTheme="minorHAnsi" w:eastAsiaTheme="minorHAnsi" w:hAnsiTheme="minorHAnsi"/>
                <w:color w:val="auto"/>
                <w:sz w:val="20"/>
              </w:rPr>
              <w:t>Comments</w:t>
            </w:r>
          </w:p>
          <w:p w:rsidR="00147084" w:rsidRPr="00310880" w:rsidRDefault="00147084" w:rsidP="00F43668">
            <w:pPr>
              <w:tabs>
                <w:tab w:val="left" w:pos="288"/>
                <w:tab w:val="left" w:pos="4752"/>
              </w:tabs>
              <w:spacing w:line="240" w:lineRule="exact"/>
              <w:rPr>
                <w:rFonts w:asciiTheme="minorHAnsi" w:eastAsiaTheme="minorHAnsi" w:hAnsiTheme="minorHAnsi"/>
                <w:color w:val="auto"/>
                <w:sz w:val="20"/>
              </w:rPr>
            </w:pPr>
          </w:p>
        </w:tc>
        <w:tc>
          <w:tcPr>
            <w:tcW w:w="2747" w:type="dxa"/>
          </w:tcPr>
          <w:p w:rsidR="00147084" w:rsidRPr="00310880" w:rsidRDefault="00147084" w:rsidP="00F43668">
            <w:pPr>
              <w:tabs>
                <w:tab w:val="left" w:pos="288"/>
                <w:tab w:val="left" w:pos="4752"/>
              </w:tabs>
              <w:spacing w:line="240" w:lineRule="exact"/>
              <w:rPr>
                <w:rFonts w:asciiTheme="minorHAnsi" w:eastAsiaTheme="minorHAnsi" w:hAnsiTheme="minorHAnsi"/>
                <w:color w:val="auto"/>
                <w:sz w:val="20"/>
              </w:rPr>
            </w:pPr>
            <w:r w:rsidRPr="00310880">
              <w:rPr>
                <w:rFonts w:asciiTheme="minorHAnsi" w:eastAsiaTheme="minorHAnsi" w:hAnsiTheme="minorHAnsi"/>
                <w:color w:val="auto"/>
                <w:sz w:val="20"/>
              </w:rPr>
              <w:t xml:space="preserve">No effusion; No instability; </w:t>
            </w:r>
          </w:p>
          <w:p w:rsidR="00147084" w:rsidRPr="00310880" w:rsidRDefault="00147084" w:rsidP="00F43668">
            <w:pPr>
              <w:tabs>
                <w:tab w:val="left" w:pos="288"/>
                <w:tab w:val="left" w:pos="4752"/>
              </w:tabs>
              <w:spacing w:line="240" w:lineRule="exact"/>
              <w:rPr>
                <w:rFonts w:asciiTheme="minorHAnsi" w:eastAsiaTheme="minorHAnsi" w:hAnsiTheme="minorHAnsi"/>
                <w:color w:val="auto"/>
                <w:sz w:val="20"/>
              </w:rPr>
            </w:pPr>
            <w:r w:rsidRPr="00310880">
              <w:rPr>
                <w:rFonts w:asciiTheme="minorHAnsi" w:eastAsiaTheme="minorHAnsi" w:hAnsiTheme="minorHAnsi"/>
                <w:color w:val="auto"/>
                <w:sz w:val="20"/>
              </w:rPr>
              <w:t>No patella femoral crepitus, apprehension or grind</w:t>
            </w:r>
          </w:p>
        </w:tc>
        <w:tc>
          <w:tcPr>
            <w:tcW w:w="2880" w:type="dxa"/>
          </w:tcPr>
          <w:p w:rsidR="00147084" w:rsidRPr="00310880" w:rsidRDefault="00147084" w:rsidP="00F43668">
            <w:pPr>
              <w:tabs>
                <w:tab w:val="left" w:pos="288"/>
                <w:tab w:val="left" w:pos="4752"/>
              </w:tabs>
              <w:spacing w:line="240" w:lineRule="exact"/>
              <w:rPr>
                <w:rFonts w:asciiTheme="minorHAnsi" w:eastAsiaTheme="minorHAnsi" w:hAnsiTheme="minorHAnsi"/>
                <w:color w:val="auto"/>
                <w:sz w:val="20"/>
              </w:rPr>
            </w:pPr>
            <w:r w:rsidRPr="00310880">
              <w:rPr>
                <w:rFonts w:asciiTheme="minorHAnsi" w:eastAsiaTheme="minorHAnsi" w:hAnsiTheme="minorHAnsi"/>
                <w:color w:val="auto"/>
                <w:sz w:val="20"/>
              </w:rPr>
              <w:t>Increased pain and fatigue ROM; Neg McMurray’s test; No evidence of instability; Discomfort with full extension and flexion</w:t>
            </w:r>
          </w:p>
        </w:tc>
        <w:tc>
          <w:tcPr>
            <w:tcW w:w="1424" w:type="dxa"/>
          </w:tcPr>
          <w:p w:rsidR="00147084" w:rsidRPr="00310880" w:rsidRDefault="00147084" w:rsidP="00F43668">
            <w:pPr>
              <w:tabs>
                <w:tab w:val="left" w:pos="288"/>
                <w:tab w:val="left" w:pos="4752"/>
              </w:tabs>
              <w:spacing w:line="240" w:lineRule="exact"/>
              <w:rPr>
                <w:rFonts w:asciiTheme="minorHAnsi" w:eastAsiaTheme="minorHAnsi" w:hAnsiTheme="minorHAnsi"/>
                <w:color w:val="auto"/>
                <w:sz w:val="20"/>
              </w:rPr>
            </w:pPr>
            <w:r w:rsidRPr="00310880">
              <w:rPr>
                <w:rFonts w:asciiTheme="minorHAnsi" w:eastAsiaTheme="minorHAnsi" w:hAnsiTheme="minorHAnsi"/>
                <w:color w:val="auto"/>
                <w:sz w:val="20"/>
              </w:rPr>
              <w:t xml:space="preserve">Left hamstring pain </w:t>
            </w:r>
          </w:p>
        </w:tc>
      </w:tr>
      <w:tr w:rsidR="00505D00" w:rsidRPr="00672400" w:rsidTr="00505D00">
        <w:trPr>
          <w:jc w:val="center"/>
        </w:trPr>
        <w:tc>
          <w:tcPr>
            <w:tcW w:w="2098" w:type="dxa"/>
          </w:tcPr>
          <w:p w:rsidR="00147084" w:rsidRPr="00310880" w:rsidRDefault="00147084" w:rsidP="00F43668">
            <w:pPr>
              <w:tabs>
                <w:tab w:val="left" w:pos="288"/>
                <w:tab w:val="left" w:pos="4752"/>
              </w:tabs>
              <w:spacing w:line="240" w:lineRule="exact"/>
              <w:rPr>
                <w:rFonts w:asciiTheme="minorHAnsi" w:eastAsiaTheme="minorHAnsi" w:hAnsiTheme="minorHAnsi"/>
                <w:color w:val="auto"/>
                <w:sz w:val="20"/>
              </w:rPr>
            </w:pPr>
            <w:r w:rsidRPr="00310880">
              <w:rPr>
                <w:rFonts w:asciiTheme="minorHAnsi" w:eastAsiaTheme="minorHAnsi" w:hAnsiTheme="minorHAnsi"/>
                <w:color w:val="auto"/>
                <w:sz w:val="20"/>
              </w:rPr>
              <w:t>§4.71a Rating</w:t>
            </w:r>
          </w:p>
        </w:tc>
        <w:tc>
          <w:tcPr>
            <w:tcW w:w="2747" w:type="dxa"/>
          </w:tcPr>
          <w:p w:rsidR="00147084" w:rsidRPr="00310880" w:rsidRDefault="00147084" w:rsidP="005C0B7C">
            <w:pPr>
              <w:tabs>
                <w:tab w:val="left" w:pos="288"/>
                <w:tab w:val="left" w:pos="4752"/>
              </w:tabs>
              <w:spacing w:line="240" w:lineRule="exact"/>
              <w:jc w:val="center"/>
              <w:rPr>
                <w:rFonts w:asciiTheme="minorHAnsi" w:eastAsiaTheme="minorHAnsi" w:hAnsiTheme="minorHAnsi"/>
                <w:color w:val="auto"/>
                <w:sz w:val="20"/>
              </w:rPr>
            </w:pPr>
            <w:r w:rsidRPr="00310880">
              <w:rPr>
                <w:rFonts w:asciiTheme="minorHAnsi" w:eastAsiaTheme="minorHAnsi" w:hAnsiTheme="minorHAnsi"/>
                <w:color w:val="auto"/>
                <w:sz w:val="20"/>
              </w:rPr>
              <w:t>0%</w:t>
            </w:r>
          </w:p>
        </w:tc>
        <w:tc>
          <w:tcPr>
            <w:tcW w:w="2880" w:type="dxa"/>
          </w:tcPr>
          <w:p w:rsidR="00147084" w:rsidRPr="00310880" w:rsidRDefault="00147084" w:rsidP="00E2197E">
            <w:pPr>
              <w:tabs>
                <w:tab w:val="left" w:pos="288"/>
                <w:tab w:val="left" w:pos="4752"/>
              </w:tabs>
              <w:spacing w:line="240" w:lineRule="exact"/>
              <w:jc w:val="center"/>
              <w:rPr>
                <w:rFonts w:asciiTheme="minorHAnsi" w:eastAsiaTheme="minorHAnsi" w:hAnsiTheme="minorHAnsi"/>
                <w:color w:val="auto"/>
                <w:sz w:val="20"/>
              </w:rPr>
            </w:pPr>
            <w:r w:rsidRPr="00310880">
              <w:rPr>
                <w:rFonts w:asciiTheme="minorHAnsi" w:eastAsiaTheme="minorHAnsi" w:hAnsiTheme="minorHAnsi"/>
                <w:color w:val="auto"/>
                <w:sz w:val="20"/>
              </w:rPr>
              <w:t>10%</w:t>
            </w:r>
          </w:p>
        </w:tc>
        <w:tc>
          <w:tcPr>
            <w:tcW w:w="1424" w:type="dxa"/>
          </w:tcPr>
          <w:p w:rsidR="00147084" w:rsidRPr="00310880" w:rsidRDefault="00147084" w:rsidP="00FE2D7E">
            <w:pPr>
              <w:tabs>
                <w:tab w:val="left" w:pos="288"/>
                <w:tab w:val="left" w:pos="4752"/>
              </w:tabs>
              <w:spacing w:line="240" w:lineRule="exact"/>
              <w:jc w:val="center"/>
              <w:rPr>
                <w:rFonts w:asciiTheme="minorHAnsi" w:eastAsiaTheme="minorHAnsi" w:hAnsiTheme="minorHAnsi"/>
                <w:color w:val="auto"/>
                <w:sz w:val="20"/>
              </w:rPr>
            </w:pPr>
            <w:r w:rsidRPr="00310880">
              <w:rPr>
                <w:rFonts w:asciiTheme="minorHAnsi" w:eastAsiaTheme="minorHAnsi" w:hAnsiTheme="minorHAnsi"/>
                <w:color w:val="auto"/>
                <w:sz w:val="20"/>
              </w:rPr>
              <w:t>10%</w:t>
            </w:r>
          </w:p>
        </w:tc>
      </w:tr>
    </w:tbl>
    <w:p w:rsidR="00EF1FDC" w:rsidRPr="00672400" w:rsidRDefault="00EF1FDC" w:rsidP="00575E16">
      <w:pPr>
        <w:pStyle w:val="ListParagraph"/>
        <w:spacing w:after="0" w:line="240" w:lineRule="auto"/>
        <w:ind w:left="0"/>
        <w:jc w:val="both"/>
        <w:rPr>
          <w:sz w:val="24"/>
          <w:szCs w:val="24"/>
        </w:rPr>
      </w:pPr>
    </w:p>
    <w:p w:rsidR="00FE2D7E" w:rsidRPr="00672400" w:rsidRDefault="00611EF6" w:rsidP="000960FE">
      <w:pPr>
        <w:pStyle w:val="ListParagraph"/>
        <w:spacing w:after="0" w:line="240" w:lineRule="exact"/>
        <w:ind w:left="0"/>
        <w:jc w:val="both"/>
        <w:rPr>
          <w:sz w:val="24"/>
          <w:szCs w:val="24"/>
        </w:rPr>
      </w:pPr>
      <w:r w:rsidRPr="00672400">
        <w:rPr>
          <w:sz w:val="24"/>
          <w:szCs w:val="24"/>
        </w:rPr>
        <w:t>There was no evidence of instability of the left knee</w:t>
      </w:r>
      <w:r w:rsidR="000960FE" w:rsidRPr="00672400">
        <w:rPr>
          <w:sz w:val="24"/>
          <w:szCs w:val="24"/>
        </w:rPr>
        <w:t xml:space="preserve"> on exam.  The</w:t>
      </w:r>
      <w:r w:rsidRPr="00672400">
        <w:rPr>
          <w:sz w:val="24"/>
          <w:szCs w:val="24"/>
        </w:rPr>
        <w:t xml:space="preserve"> CI had no pre-separation </w:t>
      </w:r>
      <w:r w:rsidR="000960FE" w:rsidRPr="00672400">
        <w:rPr>
          <w:sz w:val="24"/>
          <w:szCs w:val="24"/>
        </w:rPr>
        <w:t xml:space="preserve">knee </w:t>
      </w:r>
      <w:r w:rsidRPr="00672400">
        <w:rPr>
          <w:sz w:val="24"/>
          <w:szCs w:val="24"/>
        </w:rPr>
        <w:t xml:space="preserve">surgery.  Imaging on the left knee was abnormal with MRI evidence of </w:t>
      </w:r>
      <w:r w:rsidR="000960FE" w:rsidRPr="00672400">
        <w:rPr>
          <w:sz w:val="24"/>
          <w:szCs w:val="24"/>
        </w:rPr>
        <w:t>medial meniscal degenerative changes</w:t>
      </w:r>
      <w:r w:rsidRPr="00672400">
        <w:rPr>
          <w:sz w:val="24"/>
          <w:szCs w:val="24"/>
        </w:rPr>
        <w:t xml:space="preserve">.  The knee was tender and most exams demonstrated painful motion.  </w:t>
      </w:r>
      <w:r w:rsidR="005C0B7C" w:rsidRPr="00672400">
        <w:rPr>
          <w:sz w:val="24"/>
          <w:szCs w:val="24"/>
        </w:rPr>
        <w:t xml:space="preserve">Only the VA </w:t>
      </w:r>
      <w:r w:rsidRPr="00672400">
        <w:rPr>
          <w:sz w:val="24"/>
          <w:szCs w:val="24"/>
        </w:rPr>
        <w:t xml:space="preserve">ROMs were to the level of rating the knee at 10% or higher on limited motion absent application of </w:t>
      </w:r>
      <w:r w:rsidRPr="00672400">
        <w:rPr>
          <w:rFonts w:ascii="Calibri" w:eastAsia="Calibri" w:hAnsi="Calibri"/>
          <w:sz w:val="24"/>
          <w:szCs w:val="24"/>
        </w:rPr>
        <w:t>§</w:t>
      </w:r>
      <w:r w:rsidRPr="00672400">
        <w:rPr>
          <w:sz w:val="24"/>
          <w:szCs w:val="24"/>
        </w:rPr>
        <w:t xml:space="preserve">4.59 (painful motion).  </w:t>
      </w:r>
      <w:r w:rsidR="005C0B7C" w:rsidRPr="00672400">
        <w:rPr>
          <w:sz w:val="24"/>
          <w:szCs w:val="24"/>
        </w:rPr>
        <w:t>The MEB exam did not specify painful motion</w:t>
      </w:r>
      <w:r w:rsidR="001E44A8" w:rsidRPr="00672400">
        <w:rPr>
          <w:sz w:val="24"/>
          <w:szCs w:val="24"/>
        </w:rPr>
        <w:t>, but did demonstrate abnormal imaging</w:t>
      </w:r>
      <w:r w:rsidR="005C0B7C" w:rsidRPr="00672400">
        <w:rPr>
          <w:sz w:val="24"/>
          <w:szCs w:val="24"/>
        </w:rPr>
        <w:t xml:space="preserve">.  </w:t>
      </w:r>
      <w:r w:rsidR="00232DF1" w:rsidRPr="00672400">
        <w:rPr>
          <w:sz w:val="24"/>
          <w:szCs w:val="24"/>
        </w:rPr>
        <w:t xml:space="preserve">The PEB unfitting determination for the </w:t>
      </w:r>
      <w:r w:rsidR="00EF695A">
        <w:rPr>
          <w:sz w:val="24"/>
          <w:szCs w:val="24"/>
        </w:rPr>
        <w:t>l</w:t>
      </w:r>
      <w:r w:rsidR="00232DF1" w:rsidRPr="00672400">
        <w:rPr>
          <w:sz w:val="24"/>
          <w:szCs w:val="24"/>
        </w:rPr>
        <w:t xml:space="preserve">eft </w:t>
      </w:r>
      <w:r w:rsidR="00EF695A">
        <w:rPr>
          <w:sz w:val="24"/>
          <w:szCs w:val="24"/>
        </w:rPr>
        <w:t>k</w:t>
      </w:r>
      <w:r w:rsidR="00232DF1" w:rsidRPr="00672400">
        <w:rPr>
          <w:sz w:val="24"/>
          <w:szCs w:val="24"/>
        </w:rPr>
        <w:t xml:space="preserve">nee </w:t>
      </w:r>
      <w:r w:rsidR="00EF695A">
        <w:rPr>
          <w:sz w:val="24"/>
          <w:szCs w:val="24"/>
        </w:rPr>
        <w:t>i</w:t>
      </w:r>
      <w:r w:rsidR="00232DF1" w:rsidRPr="00672400">
        <w:rPr>
          <w:sz w:val="24"/>
          <w:szCs w:val="24"/>
        </w:rPr>
        <w:t xml:space="preserve">liotibial </w:t>
      </w:r>
      <w:r w:rsidR="00EF695A">
        <w:rPr>
          <w:sz w:val="24"/>
          <w:szCs w:val="24"/>
        </w:rPr>
        <w:t>b</w:t>
      </w:r>
      <w:r w:rsidR="00232DF1" w:rsidRPr="00672400">
        <w:rPr>
          <w:sz w:val="24"/>
          <w:szCs w:val="24"/>
        </w:rPr>
        <w:t xml:space="preserve">and </w:t>
      </w:r>
      <w:r w:rsidR="00EF695A">
        <w:rPr>
          <w:sz w:val="24"/>
          <w:szCs w:val="24"/>
        </w:rPr>
        <w:t>f</w:t>
      </w:r>
      <w:r w:rsidR="00232DF1" w:rsidRPr="00672400">
        <w:rPr>
          <w:sz w:val="24"/>
          <w:szCs w:val="24"/>
        </w:rPr>
        <w:t xml:space="preserve">riction </w:t>
      </w:r>
      <w:r w:rsidR="00EF695A">
        <w:rPr>
          <w:sz w:val="24"/>
          <w:szCs w:val="24"/>
        </w:rPr>
        <w:t>s</w:t>
      </w:r>
      <w:r w:rsidR="00232DF1" w:rsidRPr="00672400">
        <w:rPr>
          <w:sz w:val="24"/>
          <w:szCs w:val="24"/>
        </w:rPr>
        <w:t>yndrome was coded analogously t</w:t>
      </w:r>
      <w:r w:rsidRPr="00672400">
        <w:rPr>
          <w:sz w:val="24"/>
          <w:szCs w:val="24"/>
        </w:rPr>
        <w:t>o arthritis (5299-5003) at 10%.</w:t>
      </w:r>
      <w:r w:rsidR="00232DF1" w:rsidRPr="00672400">
        <w:rPr>
          <w:sz w:val="24"/>
          <w:szCs w:val="24"/>
        </w:rPr>
        <w:t xml:space="preserve">  </w:t>
      </w:r>
      <w:r w:rsidR="004B0C91" w:rsidRPr="00672400">
        <w:rPr>
          <w:sz w:val="24"/>
          <w:szCs w:val="24"/>
        </w:rPr>
        <w:t xml:space="preserve">The VA rated the </w:t>
      </w:r>
      <w:r w:rsidR="00EF695A">
        <w:rPr>
          <w:sz w:val="24"/>
          <w:szCs w:val="24"/>
        </w:rPr>
        <w:t>i</w:t>
      </w:r>
      <w:r w:rsidR="004B0C91" w:rsidRPr="00672400">
        <w:rPr>
          <w:sz w:val="24"/>
          <w:szCs w:val="24"/>
        </w:rPr>
        <w:t xml:space="preserve">liotibial </w:t>
      </w:r>
      <w:r w:rsidR="00EF695A">
        <w:rPr>
          <w:sz w:val="24"/>
          <w:szCs w:val="24"/>
        </w:rPr>
        <w:t>b</w:t>
      </w:r>
      <w:r w:rsidR="004B0C91" w:rsidRPr="00672400">
        <w:rPr>
          <w:sz w:val="24"/>
          <w:szCs w:val="24"/>
        </w:rPr>
        <w:t>and</w:t>
      </w:r>
      <w:r w:rsidR="00B8597E">
        <w:rPr>
          <w:sz w:val="24"/>
          <w:szCs w:val="24"/>
        </w:rPr>
        <w:t xml:space="preserve"> </w:t>
      </w:r>
      <w:r w:rsidR="00EF695A">
        <w:rPr>
          <w:sz w:val="24"/>
          <w:szCs w:val="24"/>
        </w:rPr>
        <w:t>f</w:t>
      </w:r>
      <w:r w:rsidR="00B8597E">
        <w:rPr>
          <w:sz w:val="24"/>
          <w:szCs w:val="24"/>
        </w:rPr>
        <w:t>raction</w:t>
      </w:r>
      <w:r w:rsidR="004B0C91" w:rsidRPr="00672400">
        <w:rPr>
          <w:sz w:val="24"/>
          <w:szCs w:val="24"/>
        </w:rPr>
        <w:t xml:space="preserve"> </w:t>
      </w:r>
      <w:r w:rsidR="00EF695A">
        <w:rPr>
          <w:sz w:val="24"/>
          <w:szCs w:val="24"/>
        </w:rPr>
        <w:t>syndrome, left k</w:t>
      </w:r>
      <w:r w:rsidR="004B0C91" w:rsidRPr="00672400">
        <w:rPr>
          <w:sz w:val="24"/>
          <w:szCs w:val="24"/>
        </w:rPr>
        <w:t>nee as 5261 (</w:t>
      </w:r>
      <w:r w:rsidR="00EF695A">
        <w:rPr>
          <w:sz w:val="24"/>
          <w:szCs w:val="24"/>
        </w:rPr>
        <w:t>l</w:t>
      </w:r>
      <w:r w:rsidR="004B0C91" w:rsidRPr="00672400">
        <w:rPr>
          <w:sz w:val="24"/>
          <w:szCs w:val="24"/>
        </w:rPr>
        <w:t>eg, limitation of extension of) at 10% (limited to 10</w:t>
      </w:r>
      <w:r w:rsidR="001E44A8" w:rsidRPr="00672400">
        <w:rPr>
          <w:sz w:val="24"/>
          <w:szCs w:val="24"/>
        </w:rPr>
        <w:t xml:space="preserve"> degrees</w:t>
      </w:r>
      <w:r w:rsidR="004B0C91" w:rsidRPr="00672400">
        <w:rPr>
          <w:rFonts w:ascii="Calibri" w:eastAsia="Calibri" w:hAnsi="Calibri"/>
          <w:sz w:val="24"/>
          <w:szCs w:val="24"/>
        </w:rPr>
        <w:t xml:space="preserve">).  </w:t>
      </w:r>
      <w:r w:rsidR="00C72725" w:rsidRPr="00672400">
        <w:rPr>
          <w:rFonts w:ascii="Calibri" w:eastAsia="Calibri" w:hAnsi="Calibri"/>
          <w:sz w:val="24"/>
          <w:szCs w:val="24"/>
        </w:rPr>
        <w:t xml:space="preserve">The CI </w:t>
      </w:r>
      <w:r w:rsidR="00E42199" w:rsidRPr="00672400">
        <w:rPr>
          <w:rFonts w:ascii="Calibri" w:eastAsia="Calibri" w:hAnsi="Calibri"/>
          <w:sz w:val="24"/>
          <w:szCs w:val="24"/>
        </w:rPr>
        <w:t xml:space="preserve">noted “the pain in his leg and the fact his leg tends to give-way without warning, causing him to fall” at a VA exam 3 months post separation.  </w:t>
      </w:r>
      <w:r w:rsidR="00E42199" w:rsidRPr="00672400">
        <w:rPr>
          <w:sz w:val="24"/>
          <w:szCs w:val="24"/>
        </w:rPr>
        <w:t>There was no pre-separation evidence of significant locking and only occasional give-way of the knee</w:t>
      </w:r>
      <w:r w:rsidR="008B7AB6" w:rsidRPr="00672400">
        <w:rPr>
          <w:sz w:val="24"/>
          <w:szCs w:val="24"/>
        </w:rPr>
        <w:t>.  A</w:t>
      </w:r>
      <w:r w:rsidR="00E42199" w:rsidRPr="00672400">
        <w:rPr>
          <w:sz w:val="24"/>
          <w:szCs w:val="24"/>
        </w:rPr>
        <w:t xml:space="preserve">ll objective testing indicated no instability of the knee.  </w:t>
      </w:r>
      <w:r w:rsidR="008B7AB6" w:rsidRPr="00672400">
        <w:rPr>
          <w:sz w:val="24"/>
          <w:szCs w:val="24"/>
        </w:rPr>
        <w:t xml:space="preserve">Any increased pain and disability noted at the remote VA exams in 2008 are </w:t>
      </w:r>
      <w:r w:rsidR="00C72725" w:rsidRPr="00672400">
        <w:rPr>
          <w:rFonts w:ascii="Calibri" w:eastAsia="Calibri" w:hAnsi="Calibri"/>
          <w:sz w:val="24"/>
          <w:szCs w:val="24"/>
        </w:rPr>
        <w:t xml:space="preserve">considered to be post-separation worsening of </w:t>
      </w:r>
      <w:r w:rsidR="008B7AB6" w:rsidRPr="00672400">
        <w:rPr>
          <w:rFonts w:ascii="Calibri" w:eastAsia="Calibri" w:hAnsi="Calibri"/>
          <w:sz w:val="24"/>
          <w:szCs w:val="24"/>
        </w:rPr>
        <w:t>the</w:t>
      </w:r>
      <w:r w:rsidR="00C72725" w:rsidRPr="00672400">
        <w:rPr>
          <w:rFonts w:ascii="Calibri" w:eastAsia="Calibri" w:hAnsi="Calibri"/>
          <w:sz w:val="24"/>
          <w:szCs w:val="24"/>
        </w:rPr>
        <w:t xml:space="preserve"> knee condition, and not ratable at separation.  </w:t>
      </w:r>
      <w:r w:rsidR="004B0C91" w:rsidRPr="00672400">
        <w:rPr>
          <w:rFonts w:ascii="Calibri" w:eastAsia="Calibri" w:hAnsi="Calibri"/>
          <w:sz w:val="24"/>
          <w:szCs w:val="24"/>
        </w:rPr>
        <w:t xml:space="preserve">The PEB and the VA chose different coding options, but this did not bear on rating.  </w:t>
      </w:r>
      <w:r w:rsidR="001E44A8" w:rsidRPr="00672400">
        <w:rPr>
          <w:rFonts w:ascii="Calibri" w:eastAsia="Calibri" w:hAnsi="Calibri"/>
          <w:sz w:val="24"/>
          <w:szCs w:val="24"/>
        </w:rPr>
        <w:t xml:space="preserve">The knee could not reasonably be rated higher than 10% using any exam </w:t>
      </w:r>
      <w:r w:rsidR="00C72725" w:rsidRPr="00672400">
        <w:rPr>
          <w:rFonts w:ascii="Calibri" w:eastAsia="Calibri" w:hAnsi="Calibri"/>
          <w:sz w:val="24"/>
          <w:szCs w:val="24"/>
        </w:rPr>
        <w:t xml:space="preserve">proximate to separation </w:t>
      </w:r>
      <w:r w:rsidR="001E44A8" w:rsidRPr="00672400">
        <w:rPr>
          <w:rFonts w:ascii="Calibri" w:eastAsia="Calibri" w:hAnsi="Calibri"/>
          <w:sz w:val="24"/>
          <w:szCs w:val="24"/>
        </w:rPr>
        <w:t xml:space="preserve">or </w:t>
      </w:r>
      <w:r w:rsidR="00C72725" w:rsidRPr="00672400">
        <w:rPr>
          <w:rFonts w:ascii="Calibri" w:eastAsia="Calibri" w:hAnsi="Calibri"/>
          <w:sz w:val="24"/>
          <w:szCs w:val="24"/>
        </w:rPr>
        <w:t xml:space="preserve">any alternate </w:t>
      </w:r>
      <w:r w:rsidR="001E44A8" w:rsidRPr="00672400">
        <w:rPr>
          <w:rFonts w:ascii="Calibri" w:eastAsia="Calibri" w:hAnsi="Calibri"/>
          <w:sz w:val="24"/>
          <w:szCs w:val="24"/>
        </w:rPr>
        <w:t xml:space="preserve">coding schema.  </w:t>
      </w:r>
      <w:r w:rsidR="004B0C91" w:rsidRPr="00672400">
        <w:rPr>
          <w:rFonts w:ascii="Calibri" w:eastAsia="Calibri" w:hAnsi="Calibri"/>
          <w:sz w:val="24"/>
          <w:szCs w:val="24"/>
        </w:rPr>
        <w:t xml:space="preserve">After due deliberation, there is not reasonable doubt in the CI’s favor, therefore to justify a Board recommendation for other than the 10% rating assigned by the PEB for </w:t>
      </w:r>
      <w:r w:rsidR="00EF695A">
        <w:rPr>
          <w:rFonts w:ascii="Calibri" w:eastAsia="Calibri" w:hAnsi="Calibri"/>
          <w:sz w:val="24"/>
          <w:szCs w:val="24"/>
        </w:rPr>
        <w:t>l</w:t>
      </w:r>
      <w:r w:rsidR="00E5667C" w:rsidRPr="00672400">
        <w:rPr>
          <w:sz w:val="24"/>
          <w:szCs w:val="24"/>
        </w:rPr>
        <w:t xml:space="preserve">eft </w:t>
      </w:r>
      <w:r w:rsidR="00EF695A">
        <w:rPr>
          <w:sz w:val="24"/>
          <w:szCs w:val="24"/>
        </w:rPr>
        <w:t>k</w:t>
      </w:r>
      <w:r w:rsidR="00E5667C" w:rsidRPr="00672400">
        <w:rPr>
          <w:sz w:val="24"/>
          <w:szCs w:val="24"/>
        </w:rPr>
        <w:t xml:space="preserve">nee </w:t>
      </w:r>
      <w:r w:rsidR="00EF695A">
        <w:rPr>
          <w:sz w:val="24"/>
          <w:szCs w:val="24"/>
        </w:rPr>
        <w:t>i</w:t>
      </w:r>
      <w:r w:rsidR="00E5667C" w:rsidRPr="00672400">
        <w:rPr>
          <w:sz w:val="24"/>
          <w:szCs w:val="24"/>
        </w:rPr>
        <w:t xml:space="preserve">liotibial </w:t>
      </w:r>
      <w:r w:rsidR="00EF695A">
        <w:rPr>
          <w:sz w:val="24"/>
          <w:szCs w:val="24"/>
        </w:rPr>
        <w:t>b</w:t>
      </w:r>
      <w:r w:rsidR="00E5667C" w:rsidRPr="00672400">
        <w:rPr>
          <w:sz w:val="24"/>
          <w:szCs w:val="24"/>
        </w:rPr>
        <w:t xml:space="preserve">and </w:t>
      </w:r>
      <w:r w:rsidR="00EF695A">
        <w:rPr>
          <w:sz w:val="24"/>
          <w:szCs w:val="24"/>
        </w:rPr>
        <w:t>f</w:t>
      </w:r>
      <w:r w:rsidR="00E5667C" w:rsidRPr="00672400">
        <w:rPr>
          <w:sz w:val="24"/>
          <w:szCs w:val="24"/>
        </w:rPr>
        <w:t xml:space="preserve">riction </w:t>
      </w:r>
      <w:r w:rsidR="00EF695A">
        <w:rPr>
          <w:sz w:val="24"/>
          <w:szCs w:val="24"/>
        </w:rPr>
        <w:t>s</w:t>
      </w:r>
      <w:r w:rsidR="00E5667C" w:rsidRPr="00672400">
        <w:rPr>
          <w:sz w:val="24"/>
          <w:szCs w:val="24"/>
        </w:rPr>
        <w:t>yndrome condition.</w:t>
      </w:r>
    </w:p>
    <w:p w:rsidR="00FE2D7E" w:rsidRPr="00672400" w:rsidRDefault="00FE2D7E" w:rsidP="00EF1FDC">
      <w:pPr>
        <w:tabs>
          <w:tab w:val="left" w:pos="288"/>
          <w:tab w:val="left" w:pos="4752"/>
        </w:tabs>
        <w:spacing w:line="240" w:lineRule="exact"/>
        <w:jc w:val="both"/>
        <w:rPr>
          <w:rFonts w:asciiTheme="minorHAnsi" w:hAnsiTheme="minorHAnsi"/>
          <w:color w:val="auto"/>
          <w:szCs w:val="24"/>
        </w:rPr>
      </w:pPr>
    </w:p>
    <w:p w:rsidR="00F93BEB" w:rsidRPr="00672400" w:rsidRDefault="00E5667C" w:rsidP="00EF1FDC">
      <w:pPr>
        <w:tabs>
          <w:tab w:val="left" w:pos="288"/>
          <w:tab w:val="left" w:pos="4752"/>
        </w:tabs>
        <w:spacing w:line="240" w:lineRule="exact"/>
        <w:jc w:val="both"/>
        <w:rPr>
          <w:rFonts w:asciiTheme="minorHAnsi" w:hAnsiTheme="minorHAnsi"/>
          <w:color w:val="auto"/>
          <w:szCs w:val="24"/>
        </w:rPr>
      </w:pPr>
      <w:r w:rsidRPr="00672400">
        <w:rPr>
          <w:rFonts w:asciiTheme="minorHAnsi" w:hAnsiTheme="minorHAnsi"/>
          <w:color w:val="auto"/>
          <w:szCs w:val="24"/>
          <w:u w:val="single"/>
        </w:rPr>
        <w:t>Pilonidal Cyst</w:t>
      </w:r>
      <w:r w:rsidRPr="00672400">
        <w:rPr>
          <w:rFonts w:asciiTheme="minorHAnsi" w:hAnsiTheme="minorHAnsi"/>
          <w:color w:val="auto"/>
          <w:szCs w:val="24"/>
        </w:rPr>
        <w:t xml:space="preserve">:  The </w:t>
      </w:r>
      <w:r w:rsidR="00F1276F">
        <w:rPr>
          <w:rFonts w:asciiTheme="minorHAnsi" w:hAnsiTheme="minorHAnsi"/>
          <w:color w:val="auto"/>
          <w:szCs w:val="24"/>
        </w:rPr>
        <w:t>p</w:t>
      </w:r>
      <w:r w:rsidRPr="00672400">
        <w:rPr>
          <w:rFonts w:asciiTheme="minorHAnsi" w:hAnsiTheme="minorHAnsi"/>
          <w:color w:val="auto"/>
          <w:szCs w:val="24"/>
        </w:rPr>
        <w:t xml:space="preserve">ilonidal </w:t>
      </w:r>
      <w:r w:rsidR="00F1276F">
        <w:rPr>
          <w:rFonts w:asciiTheme="minorHAnsi" w:hAnsiTheme="minorHAnsi"/>
          <w:color w:val="auto"/>
          <w:szCs w:val="24"/>
        </w:rPr>
        <w:t>c</w:t>
      </w:r>
      <w:r w:rsidRPr="00672400">
        <w:rPr>
          <w:rFonts w:asciiTheme="minorHAnsi" w:hAnsiTheme="minorHAnsi"/>
          <w:color w:val="auto"/>
          <w:szCs w:val="24"/>
        </w:rPr>
        <w:t xml:space="preserve">yst condition was </w:t>
      </w:r>
      <w:r w:rsidR="00F93BEB" w:rsidRPr="00672400">
        <w:rPr>
          <w:rFonts w:asciiTheme="minorHAnsi" w:hAnsiTheme="minorHAnsi"/>
          <w:color w:val="auto"/>
          <w:szCs w:val="24"/>
        </w:rPr>
        <w:t xml:space="preserve">rated by the VA at 10% within 12 months of separation.  It was </w:t>
      </w:r>
      <w:r w:rsidRPr="00672400">
        <w:rPr>
          <w:rFonts w:asciiTheme="minorHAnsi" w:hAnsiTheme="minorHAnsi"/>
          <w:color w:val="auto"/>
          <w:szCs w:val="24"/>
        </w:rPr>
        <w:t xml:space="preserve">noted on the MEB exam in the </w:t>
      </w:r>
      <w:r w:rsidR="00D060A9" w:rsidRPr="00672400">
        <w:rPr>
          <w:rFonts w:asciiTheme="minorHAnsi" w:hAnsiTheme="minorHAnsi"/>
          <w:color w:val="auto"/>
          <w:szCs w:val="24"/>
        </w:rPr>
        <w:t>Disability Evaluation System (</w:t>
      </w:r>
      <w:r w:rsidRPr="00672400">
        <w:rPr>
          <w:rFonts w:asciiTheme="minorHAnsi" w:hAnsiTheme="minorHAnsi"/>
          <w:color w:val="auto"/>
          <w:szCs w:val="24"/>
        </w:rPr>
        <w:t>DES</w:t>
      </w:r>
      <w:r w:rsidR="00D060A9" w:rsidRPr="00672400">
        <w:rPr>
          <w:rFonts w:asciiTheme="minorHAnsi" w:hAnsiTheme="minorHAnsi"/>
          <w:color w:val="auto"/>
          <w:szCs w:val="24"/>
        </w:rPr>
        <w:t>)</w:t>
      </w:r>
      <w:r w:rsidRPr="00672400">
        <w:rPr>
          <w:rFonts w:asciiTheme="minorHAnsi" w:hAnsiTheme="minorHAnsi"/>
          <w:color w:val="auto"/>
          <w:szCs w:val="24"/>
        </w:rPr>
        <w:t xml:space="preserve"> package.  The </w:t>
      </w:r>
      <w:r w:rsidR="00F1276F">
        <w:rPr>
          <w:rFonts w:asciiTheme="minorHAnsi" w:hAnsiTheme="minorHAnsi"/>
          <w:color w:val="auto"/>
          <w:szCs w:val="24"/>
        </w:rPr>
        <w:t>p</w:t>
      </w:r>
      <w:r w:rsidRPr="00672400">
        <w:rPr>
          <w:rFonts w:asciiTheme="minorHAnsi" w:hAnsiTheme="minorHAnsi"/>
          <w:color w:val="auto"/>
          <w:szCs w:val="24"/>
        </w:rPr>
        <w:t xml:space="preserve">ilonidal </w:t>
      </w:r>
      <w:r w:rsidR="00F1276F">
        <w:rPr>
          <w:rFonts w:asciiTheme="minorHAnsi" w:hAnsiTheme="minorHAnsi"/>
          <w:color w:val="auto"/>
          <w:szCs w:val="24"/>
        </w:rPr>
        <w:t>c</w:t>
      </w:r>
      <w:r w:rsidRPr="00672400">
        <w:rPr>
          <w:rFonts w:asciiTheme="minorHAnsi" w:hAnsiTheme="minorHAnsi"/>
          <w:color w:val="auto"/>
          <w:szCs w:val="24"/>
        </w:rPr>
        <w:t xml:space="preserve">yst was surgically repaired while the CI was on active duty.  </w:t>
      </w:r>
      <w:r w:rsidR="00F93BEB" w:rsidRPr="00672400">
        <w:rPr>
          <w:rFonts w:asciiTheme="minorHAnsi" w:hAnsiTheme="minorHAnsi"/>
          <w:color w:val="auto"/>
          <w:szCs w:val="24"/>
        </w:rPr>
        <w:t xml:space="preserve">There was no documentation that this condition interfered with the CI’s duties.  The Non-Medical Assessment (NMA) statement did not identify any conditions other than the left knee condition.  The only documented physical limitations were those attributed to the left knee condition.  No link to fitness can be drawn for the </w:t>
      </w:r>
      <w:r w:rsidR="00F1276F">
        <w:rPr>
          <w:rFonts w:asciiTheme="minorHAnsi" w:hAnsiTheme="minorHAnsi"/>
          <w:color w:val="auto"/>
          <w:szCs w:val="24"/>
        </w:rPr>
        <w:t>p</w:t>
      </w:r>
      <w:r w:rsidR="00F93BEB" w:rsidRPr="00672400">
        <w:rPr>
          <w:rFonts w:asciiTheme="minorHAnsi" w:hAnsiTheme="minorHAnsi"/>
          <w:color w:val="auto"/>
          <w:szCs w:val="24"/>
        </w:rPr>
        <w:t xml:space="preserve">ilonidal </w:t>
      </w:r>
      <w:r w:rsidR="00F1276F">
        <w:rPr>
          <w:rFonts w:asciiTheme="minorHAnsi" w:hAnsiTheme="minorHAnsi"/>
          <w:color w:val="auto"/>
          <w:szCs w:val="24"/>
        </w:rPr>
        <w:t>c</w:t>
      </w:r>
      <w:r w:rsidR="00F93BEB" w:rsidRPr="00672400">
        <w:rPr>
          <w:rFonts w:asciiTheme="minorHAnsi" w:hAnsiTheme="minorHAnsi"/>
          <w:color w:val="auto"/>
          <w:szCs w:val="24"/>
        </w:rPr>
        <w:t xml:space="preserve">yst condition.  </w:t>
      </w:r>
      <w:r w:rsidR="001E44A8" w:rsidRPr="00672400">
        <w:rPr>
          <w:rFonts w:asciiTheme="minorHAnsi" w:hAnsiTheme="minorHAnsi"/>
          <w:color w:val="auto"/>
          <w:szCs w:val="24"/>
        </w:rPr>
        <w:t>All evidence considered</w:t>
      </w:r>
      <w:proofErr w:type="gramStart"/>
      <w:r w:rsidR="001E44A8" w:rsidRPr="00672400">
        <w:rPr>
          <w:rFonts w:asciiTheme="minorHAnsi" w:hAnsiTheme="minorHAnsi"/>
          <w:color w:val="auto"/>
          <w:szCs w:val="24"/>
        </w:rPr>
        <w:t>,</w:t>
      </w:r>
      <w:proofErr w:type="gramEnd"/>
      <w:r w:rsidR="001E44A8" w:rsidRPr="00672400">
        <w:rPr>
          <w:rFonts w:asciiTheme="minorHAnsi" w:hAnsiTheme="minorHAnsi"/>
          <w:color w:val="auto"/>
          <w:szCs w:val="24"/>
        </w:rPr>
        <w:t xml:space="preserve"> there is not reasonable doubt in the CI’s favor supporting addition of </w:t>
      </w:r>
      <w:r w:rsidR="00F1276F">
        <w:rPr>
          <w:rFonts w:asciiTheme="minorHAnsi" w:hAnsiTheme="minorHAnsi"/>
          <w:color w:val="auto"/>
          <w:szCs w:val="24"/>
        </w:rPr>
        <w:t>p</w:t>
      </w:r>
      <w:r w:rsidR="001E44A8" w:rsidRPr="00672400">
        <w:rPr>
          <w:rFonts w:asciiTheme="minorHAnsi" w:hAnsiTheme="minorHAnsi"/>
          <w:color w:val="auto"/>
          <w:szCs w:val="24"/>
        </w:rPr>
        <w:t xml:space="preserve">ilonidal </w:t>
      </w:r>
      <w:r w:rsidR="00F1276F">
        <w:rPr>
          <w:rFonts w:asciiTheme="minorHAnsi" w:hAnsiTheme="minorHAnsi"/>
          <w:color w:val="auto"/>
          <w:szCs w:val="24"/>
        </w:rPr>
        <w:t>c</w:t>
      </w:r>
      <w:r w:rsidR="001E44A8" w:rsidRPr="00672400">
        <w:rPr>
          <w:rFonts w:asciiTheme="minorHAnsi" w:hAnsiTheme="minorHAnsi"/>
          <w:color w:val="auto"/>
          <w:szCs w:val="24"/>
        </w:rPr>
        <w:t xml:space="preserve">yst as an unfitting condition for separation rating.  </w:t>
      </w:r>
    </w:p>
    <w:p w:rsidR="00E5667C" w:rsidRPr="00672400" w:rsidRDefault="00EF6BB7" w:rsidP="00EF1FDC">
      <w:pPr>
        <w:tabs>
          <w:tab w:val="left" w:pos="288"/>
          <w:tab w:val="left" w:pos="4752"/>
        </w:tabs>
        <w:spacing w:line="240" w:lineRule="exact"/>
        <w:jc w:val="both"/>
        <w:rPr>
          <w:rFonts w:asciiTheme="minorHAnsi" w:hAnsiTheme="minorHAnsi"/>
          <w:color w:val="auto"/>
          <w:szCs w:val="24"/>
        </w:rPr>
      </w:pPr>
      <w:r w:rsidRPr="00672400">
        <w:rPr>
          <w:rFonts w:asciiTheme="minorHAnsi" w:hAnsiTheme="minorHAnsi"/>
          <w:color w:val="auto"/>
          <w:szCs w:val="24"/>
          <w:u w:val="single"/>
        </w:rPr>
        <w:lastRenderedPageBreak/>
        <w:t>Other Conditions</w:t>
      </w:r>
      <w:r w:rsidRPr="00672400">
        <w:rPr>
          <w:rFonts w:asciiTheme="minorHAnsi" w:hAnsiTheme="minorHAnsi"/>
          <w:color w:val="auto"/>
          <w:szCs w:val="24"/>
        </w:rPr>
        <w:t xml:space="preserve">:  </w:t>
      </w:r>
      <w:r w:rsidR="00F93BEB" w:rsidRPr="00672400">
        <w:rPr>
          <w:rFonts w:asciiTheme="minorHAnsi" w:hAnsiTheme="minorHAnsi"/>
          <w:color w:val="auto"/>
          <w:szCs w:val="24"/>
        </w:rPr>
        <w:t xml:space="preserve">The CI additionally contended for lower back, and </w:t>
      </w:r>
      <w:r w:rsidR="00F1276F">
        <w:rPr>
          <w:rFonts w:asciiTheme="minorHAnsi" w:hAnsiTheme="minorHAnsi"/>
          <w:color w:val="auto"/>
          <w:szCs w:val="24"/>
        </w:rPr>
        <w:t>d</w:t>
      </w:r>
      <w:r w:rsidR="00F93BEB" w:rsidRPr="00672400">
        <w:rPr>
          <w:rFonts w:asciiTheme="minorHAnsi" w:hAnsiTheme="minorHAnsi"/>
          <w:color w:val="auto"/>
          <w:szCs w:val="24"/>
        </w:rPr>
        <w:t>epression</w:t>
      </w:r>
      <w:r w:rsidRPr="00672400">
        <w:rPr>
          <w:rFonts w:asciiTheme="minorHAnsi" w:hAnsiTheme="minorHAnsi"/>
          <w:color w:val="auto"/>
          <w:szCs w:val="24"/>
        </w:rPr>
        <w:t xml:space="preserve"> </w:t>
      </w:r>
      <w:r w:rsidR="00F93BEB" w:rsidRPr="00672400">
        <w:rPr>
          <w:rFonts w:asciiTheme="minorHAnsi" w:hAnsiTheme="minorHAnsi"/>
          <w:color w:val="auto"/>
          <w:szCs w:val="24"/>
        </w:rPr>
        <w:t>with insomnia conditions which the VA rated and associated with the CI’s knee condition</w:t>
      </w:r>
      <w:r w:rsidR="00092148" w:rsidRPr="00672400">
        <w:rPr>
          <w:rFonts w:asciiTheme="minorHAnsi" w:hAnsiTheme="minorHAnsi"/>
          <w:color w:val="auto"/>
          <w:szCs w:val="24"/>
        </w:rPr>
        <w:t>;</w:t>
      </w:r>
      <w:r w:rsidR="00443CDE" w:rsidRPr="00672400">
        <w:rPr>
          <w:rFonts w:asciiTheme="minorHAnsi" w:hAnsiTheme="minorHAnsi"/>
          <w:color w:val="auto"/>
          <w:szCs w:val="24"/>
        </w:rPr>
        <w:t xml:space="preserve"> </w:t>
      </w:r>
      <w:r w:rsidR="00F1276F">
        <w:rPr>
          <w:rFonts w:asciiTheme="minorHAnsi" w:hAnsiTheme="minorHAnsi"/>
          <w:color w:val="auto"/>
          <w:szCs w:val="24"/>
        </w:rPr>
        <w:t>t</w:t>
      </w:r>
      <w:r w:rsidR="00443CDE" w:rsidRPr="00672400">
        <w:rPr>
          <w:rFonts w:asciiTheme="minorHAnsi" w:hAnsiTheme="minorHAnsi"/>
          <w:color w:val="auto"/>
          <w:szCs w:val="24"/>
        </w:rPr>
        <w:t>innitus</w:t>
      </w:r>
      <w:r w:rsidR="00092148" w:rsidRPr="00672400">
        <w:rPr>
          <w:rFonts w:asciiTheme="minorHAnsi" w:hAnsiTheme="minorHAnsi"/>
          <w:color w:val="auto"/>
          <w:szCs w:val="24"/>
        </w:rPr>
        <w:t xml:space="preserve"> which the VA rated at 10%;</w:t>
      </w:r>
      <w:r w:rsidR="00443CDE" w:rsidRPr="00672400">
        <w:rPr>
          <w:rFonts w:asciiTheme="minorHAnsi" w:hAnsiTheme="minorHAnsi"/>
          <w:color w:val="auto"/>
          <w:szCs w:val="24"/>
        </w:rPr>
        <w:t xml:space="preserve"> and </w:t>
      </w:r>
      <w:r w:rsidR="00092148" w:rsidRPr="00672400">
        <w:rPr>
          <w:rFonts w:asciiTheme="minorHAnsi" w:hAnsiTheme="minorHAnsi" w:cs="Courier New"/>
          <w:color w:val="auto"/>
          <w:szCs w:val="24"/>
        </w:rPr>
        <w:t xml:space="preserve">right leg and </w:t>
      </w:r>
      <w:r w:rsidR="00443CDE" w:rsidRPr="00672400">
        <w:rPr>
          <w:rFonts w:asciiTheme="minorHAnsi" w:hAnsiTheme="minorHAnsi" w:cs="Courier New"/>
          <w:color w:val="auto"/>
          <w:szCs w:val="24"/>
        </w:rPr>
        <w:t>bilateral ankles</w:t>
      </w:r>
      <w:r w:rsidR="00F93BEB" w:rsidRPr="00672400">
        <w:rPr>
          <w:rFonts w:asciiTheme="minorHAnsi" w:hAnsiTheme="minorHAnsi"/>
          <w:color w:val="auto"/>
          <w:szCs w:val="24"/>
        </w:rPr>
        <w:t xml:space="preserve">.  However, none of these </w:t>
      </w:r>
      <w:r w:rsidRPr="00672400">
        <w:rPr>
          <w:rFonts w:asciiTheme="minorHAnsi" w:hAnsiTheme="minorHAnsi"/>
          <w:color w:val="auto"/>
          <w:szCs w:val="24"/>
        </w:rPr>
        <w:t xml:space="preserve">conditions were mentioned in the DES package.  The Board does not have the authority under DoDI 60040.44 to render fitness or rating recommendations for any conditions not considered by the DES.  </w:t>
      </w:r>
      <w:r w:rsidR="00E5667C" w:rsidRPr="00672400">
        <w:rPr>
          <w:rFonts w:asciiTheme="minorHAnsi" w:hAnsiTheme="minorHAnsi"/>
          <w:color w:val="auto"/>
          <w:szCs w:val="24"/>
        </w:rPr>
        <w:t xml:space="preserve">The </w:t>
      </w:r>
      <w:r w:rsidR="00F1276F">
        <w:rPr>
          <w:rFonts w:asciiTheme="minorHAnsi" w:hAnsiTheme="minorHAnsi"/>
          <w:color w:val="auto"/>
          <w:szCs w:val="24"/>
        </w:rPr>
        <w:t>t</w:t>
      </w:r>
      <w:r w:rsidR="00F50CDC" w:rsidRPr="00672400">
        <w:rPr>
          <w:rFonts w:asciiTheme="minorHAnsi" w:hAnsiTheme="minorHAnsi"/>
          <w:color w:val="auto"/>
          <w:szCs w:val="24"/>
        </w:rPr>
        <w:t xml:space="preserve">innitus, </w:t>
      </w:r>
      <w:r w:rsidR="00F1276F">
        <w:rPr>
          <w:rFonts w:asciiTheme="minorHAnsi" w:hAnsiTheme="minorHAnsi"/>
          <w:color w:val="auto"/>
          <w:szCs w:val="24"/>
        </w:rPr>
        <w:t>back, and d</w:t>
      </w:r>
      <w:r w:rsidR="00F93BEB" w:rsidRPr="00672400">
        <w:rPr>
          <w:rFonts w:asciiTheme="minorHAnsi" w:hAnsiTheme="minorHAnsi"/>
          <w:color w:val="auto"/>
          <w:szCs w:val="24"/>
        </w:rPr>
        <w:t>epression with insomnia</w:t>
      </w:r>
      <w:r w:rsidR="00F50CDC" w:rsidRPr="00672400">
        <w:rPr>
          <w:rFonts w:asciiTheme="minorHAnsi" w:hAnsiTheme="minorHAnsi"/>
          <w:color w:val="auto"/>
          <w:szCs w:val="24"/>
        </w:rPr>
        <w:t xml:space="preserve"> condition</w:t>
      </w:r>
      <w:r w:rsidR="00F93BEB" w:rsidRPr="00672400">
        <w:rPr>
          <w:rFonts w:asciiTheme="minorHAnsi" w:hAnsiTheme="minorHAnsi"/>
          <w:color w:val="auto"/>
          <w:szCs w:val="24"/>
        </w:rPr>
        <w:t>s</w:t>
      </w:r>
      <w:r w:rsidR="00F50CDC" w:rsidRPr="00672400">
        <w:rPr>
          <w:rFonts w:asciiTheme="minorHAnsi" w:hAnsiTheme="minorHAnsi"/>
          <w:color w:val="auto"/>
          <w:szCs w:val="24"/>
        </w:rPr>
        <w:t xml:space="preserve">, and any </w:t>
      </w:r>
      <w:r w:rsidRPr="00672400">
        <w:rPr>
          <w:rFonts w:asciiTheme="minorHAnsi" w:hAnsiTheme="minorHAnsi"/>
          <w:color w:val="auto"/>
          <w:szCs w:val="24"/>
        </w:rPr>
        <w:t>contended</w:t>
      </w:r>
      <w:r w:rsidR="00F50CDC" w:rsidRPr="00672400">
        <w:rPr>
          <w:rFonts w:asciiTheme="minorHAnsi" w:hAnsiTheme="minorHAnsi"/>
          <w:color w:val="auto"/>
          <w:szCs w:val="24"/>
        </w:rPr>
        <w:t xml:space="preserve"> conditions not </w:t>
      </w:r>
      <w:r w:rsidRPr="00672400">
        <w:rPr>
          <w:rFonts w:asciiTheme="minorHAnsi" w:hAnsiTheme="minorHAnsi"/>
          <w:color w:val="auto"/>
          <w:szCs w:val="24"/>
        </w:rPr>
        <w:t>covered</w:t>
      </w:r>
      <w:r w:rsidR="00F50CDC" w:rsidRPr="00672400">
        <w:rPr>
          <w:rFonts w:asciiTheme="minorHAnsi" w:hAnsiTheme="minorHAnsi"/>
          <w:color w:val="auto"/>
          <w:szCs w:val="24"/>
        </w:rPr>
        <w:t xml:space="preserve"> above remain eligible for Board for Corrections of Naval Records (BCNR) consideration.  </w:t>
      </w:r>
      <w:r w:rsidR="00443CDE" w:rsidRPr="00672400">
        <w:rPr>
          <w:rFonts w:asciiTheme="minorHAnsi" w:hAnsiTheme="minorHAnsi"/>
          <w:color w:val="auto"/>
          <w:szCs w:val="24"/>
        </w:rPr>
        <w:t xml:space="preserve">No other conditions were </w:t>
      </w:r>
      <w:r w:rsidR="00672400">
        <w:rPr>
          <w:rFonts w:asciiTheme="minorHAnsi" w:hAnsiTheme="minorHAnsi"/>
          <w:color w:val="auto"/>
          <w:szCs w:val="24"/>
        </w:rPr>
        <w:t xml:space="preserve">rated </w:t>
      </w:r>
      <w:r w:rsidR="00443CDE" w:rsidRPr="00672400">
        <w:rPr>
          <w:rFonts w:asciiTheme="minorHAnsi" w:hAnsiTheme="minorHAnsi"/>
          <w:color w:val="auto"/>
          <w:szCs w:val="24"/>
        </w:rPr>
        <w:t xml:space="preserve">by the VA at 10% </w:t>
      </w:r>
      <w:r w:rsidR="00672400">
        <w:rPr>
          <w:rFonts w:asciiTheme="minorHAnsi" w:hAnsiTheme="minorHAnsi"/>
          <w:color w:val="auto"/>
          <w:szCs w:val="24"/>
        </w:rPr>
        <w:t xml:space="preserve">or higher </w:t>
      </w:r>
      <w:r w:rsidR="00443CDE" w:rsidRPr="00672400">
        <w:rPr>
          <w:rFonts w:asciiTheme="minorHAnsi" w:hAnsiTheme="minorHAnsi"/>
          <w:color w:val="auto"/>
          <w:szCs w:val="24"/>
        </w:rPr>
        <w:t xml:space="preserve">within 12 months of separation.  </w:t>
      </w:r>
      <w:r w:rsidR="00F50CDC" w:rsidRPr="00672400">
        <w:rPr>
          <w:rFonts w:asciiTheme="minorHAnsi" w:hAnsiTheme="minorHAnsi"/>
          <w:color w:val="auto"/>
          <w:szCs w:val="24"/>
        </w:rPr>
        <w:t>The Board, therefore, has no eligible basis for recommending any additional unfitting conditions for separation rating.</w:t>
      </w:r>
    </w:p>
    <w:p w:rsidR="007D10B9" w:rsidRPr="00672400" w:rsidRDefault="00342F61" w:rsidP="00EF1FDC">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u w:val="single"/>
        </w:rPr>
        <w:t>______________________________________________________________________________</w:t>
      </w:r>
    </w:p>
    <w:p w:rsidR="00342F61" w:rsidRDefault="00342F61" w:rsidP="00EF1FDC">
      <w:pPr>
        <w:spacing w:line="240" w:lineRule="exact"/>
        <w:jc w:val="both"/>
        <w:rPr>
          <w:rFonts w:asciiTheme="minorHAnsi" w:hAnsiTheme="minorHAnsi"/>
          <w:color w:val="auto"/>
          <w:szCs w:val="24"/>
          <w:u w:val="single"/>
        </w:rPr>
      </w:pPr>
    </w:p>
    <w:p w:rsidR="00443CDE" w:rsidRPr="00672400" w:rsidRDefault="00F50CDC" w:rsidP="00EF1FDC">
      <w:pPr>
        <w:spacing w:line="240" w:lineRule="exact"/>
        <w:jc w:val="both"/>
        <w:rPr>
          <w:rFonts w:asciiTheme="minorHAnsi" w:eastAsiaTheme="minorHAnsi" w:hAnsiTheme="minorHAnsi"/>
          <w:color w:val="auto"/>
          <w:szCs w:val="24"/>
        </w:rPr>
      </w:pPr>
      <w:r w:rsidRPr="00672400">
        <w:rPr>
          <w:rFonts w:asciiTheme="minorHAnsi" w:hAnsiTheme="minorHAnsi"/>
          <w:color w:val="auto"/>
          <w:szCs w:val="24"/>
          <w:u w:val="single"/>
        </w:rPr>
        <w:t>BOARD FINDINGS</w:t>
      </w:r>
      <w:r w:rsidRPr="00672400">
        <w:rPr>
          <w:rFonts w:asciiTheme="minorHAnsi" w:hAnsiTheme="minorHAnsi"/>
          <w:color w:val="auto"/>
          <w:szCs w:val="24"/>
        </w:rPr>
        <w:t>:</w:t>
      </w:r>
      <w:r w:rsidRPr="00672400">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443CDE" w:rsidRPr="00672400">
        <w:rPr>
          <w:rFonts w:asciiTheme="minorHAnsi" w:eastAsiaTheme="minorHAnsi" w:hAnsiTheme="minorHAnsi"/>
          <w:color w:val="auto"/>
          <w:szCs w:val="24"/>
        </w:rPr>
        <w:t xml:space="preserve">As discussed above, the PEB possible reliance on SECNAVINST 1850.4E for rating the knee may have been operant in this case and the condition was adjudicated independently of that regulation by the Board.  In the matter of the left knee condition and </w:t>
      </w:r>
      <w:r w:rsidR="00443CDE" w:rsidRPr="00672400">
        <w:rPr>
          <w:rFonts w:asciiTheme="minorHAnsi" w:hAnsiTheme="minorHAnsi"/>
          <w:color w:val="auto"/>
          <w:szCs w:val="24"/>
        </w:rPr>
        <w:t>IAW VASRD §4.71a</w:t>
      </w:r>
      <w:r w:rsidR="00443CDE" w:rsidRPr="00672400">
        <w:rPr>
          <w:rFonts w:asciiTheme="minorHAnsi" w:eastAsiaTheme="minorHAnsi" w:hAnsiTheme="minorHAnsi"/>
          <w:color w:val="auto"/>
          <w:szCs w:val="24"/>
        </w:rPr>
        <w:t xml:space="preserve">, the Board unanimously recommends no change in the PEB adjudication of 10% coded </w:t>
      </w:r>
      <w:r w:rsidR="00443CDE" w:rsidRPr="00672400">
        <w:rPr>
          <w:rFonts w:asciiTheme="minorHAnsi" w:hAnsiTheme="minorHAnsi"/>
          <w:color w:val="auto"/>
          <w:szCs w:val="24"/>
        </w:rPr>
        <w:t xml:space="preserve">5299-5003.  </w:t>
      </w:r>
      <w:r w:rsidR="00443CDE" w:rsidRPr="00672400">
        <w:rPr>
          <w:rFonts w:asciiTheme="minorHAnsi" w:eastAsiaTheme="minorHAnsi" w:hAnsiTheme="minorHAnsi"/>
          <w:color w:val="auto"/>
          <w:szCs w:val="24"/>
        </w:rPr>
        <w:t xml:space="preserve">In the matter of the </w:t>
      </w:r>
      <w:r w:rsidR="00EF695A">
        <w:rPr>
          <w:rFonts w:asciiTheme="minorHAnsi" w:eastAsiaTheme="minorHAnsi" w:hAnsiTheme="minorHAnsi"/>
          <w:color w:val="auto"/>
          <w:szCs w:val="24"/>
        </w:rPr>
        <w:t>p</w:t>
      </w:r>
      <w:r w:rsidR="00443CDE" w:rsidRPr="00672400">
        <w:rPr>
          <w:rFonts w:asciiTheme="minorHAnsi" w:eastAsiaTheme="minorHAnsi" w:hAnsiTheme="minorHAnsi"/>
          <w:color w:val="auto"/>
          <w:szCs w:val="24"/>
        </w:rPr>
        <w:t xml:space="preserve">ilonidal </w:t>
      </w:r>
      <w:r w:rsidR="00EF695A">
        <w:rPr>
          <w:rFonts w:asciiTheme="minorHAnsi" w:eastAsiaTheme="minorHAnsi" w:hAnsiTheme="minorHAnsi"/>
          <w:color w:val="auto"/>
          <w:szCs w:val="24"/>
        </w:rPr>
        <w:t>c</w:t>
      </w:r>
      <w:r w:rsidR="00443CDE" w:rsidRPr="00672400">
        <w:rPr>
          <w:rFonts w:asciiTheme="minorHAnsi" w:eastAsiaTheme="minorHAnsi" w:hAnsiTheme="minorHAnsi"/>
          <w:color w:val="auto"/>
          <w:szCs w:val="24"/>
        </w:rPr>
        <w:t xml:space="preserve">yst condition, or any other medical conditions eligible for Board consideration; the Board unanimously agrees that it cannot recommend any findings of unfit for additional rating at separation.  </w:t>
      </w:r>
    </w:p>
    <w:p w:rsidR="00A90D55" w:rsidRPr="00672400" w:rsidRDefault="00342F61" w:rsidP="00EF1FDC">
      <w:pPr>
        <w:tabs>
          <w:tab w:val="left" w:pos="288"/>
          <w:tab w:val="left" w:pos="4752"/>
        </w:tabs>
        <w:spacing w:line="240" w:lineRule="exact"/>
        <w:jc w:val="both"/>
        <w:rPr>
          <w:color w:val="auto"/>
          <w:szCs w:val="24"/>
        </w:rPr>
      </w:pPr>
      <w:r w:rsidRPr="00342F61">
        <w:rPr>
          <w:rFonts w:asciiTheme="minorHAnsi" w:hAnsiTheme="minorHAnsi"/>
          <w:color w:val="auto"/>
          <w:szCs w:val="24"/>
          <w:u w:val="single"/>
        </w:rPr>
        <w:t>______________________________________________________________________________</w:t>
      </w:r>
    </w:p>
    <w:p w:rsidR="001D0A86" w:rsidRDefault="001D0A86" w:rsidP="005C0B7C">
      <w:pPr>
        <w:tabs>
          <w:tab w:val="left" w:pos="288"/>
          <w:tab w:val="left" w:pos="4752"/>
        </w:tabs>
        <w:spacing w:line="240" w:lineRule="exact"/>
        <w:jc w:val="both"/>
        <w:rPr>
          <w:rFonts w:asciiTheme="minorHAnsi" w:hAnsiTheme="minorHAnsi"/>
          <w:color w:val="auto"/>
          <w:szCs w:val="24"/>
          <w:u w:val="single"/>
        </w:rPr>
      </w:pPr>
    </w:p>
    <w:p w:rsidR="00C56FC8" w:rsidRPr="00672400" w:rsidRDefault="00C56FC8" w:rsidP="005C0B7C">
      <w:pPr>
        <w:tabs>
          <w:tab w:val="left" w:pos="288"/>
          <w:tab w:val="left" w:pos="4752"/>
        </w:tabs>
        <w:spacing w:line="240" w:lineRule="exact"/>
        <w:jc w:val="both"/>
        <w:rPr>
          <w:rFonts w:asciiTheme="minorHAnsi" w:hAnsiTheme="minorHAnsi"/>
          <w:color w:val="auto"/>
          <w:szCs w:val="24"/>
        </w:rPr>
      </w:pPr>
      <w:r w:rsidRPr="00672400">
        <w:rPr>
          <w:rFonts w:asciiTheme="minorHAnsi" w:hAnsiTheme="minorHAnsi"/>
          <w:color w:val="auto"/>
          <w:szCs w:val="24"/>
          <w:u w:val="single"/>
        </w:rPr>
        <w:t>RECOMMENDATION</w:t>
      </w:r>
      <w:r w:rsidRPr="00672400">
        <w:rPr>
          <w:rFonts w:asciiTheme="minorHAnsi" w:hAnsiTheme="minorHAnsi"/>
          <w:color w:val="auto"/>
          <w:szCs w:val="24"/>
        </w:rPr>
        <w:t>:</w:t>
      </w:r>
      <w:r w:rsidR="005C0B7C" w:rsidRPr="00672400">
        <w:rPr>
          <w:rFonts w:asciiTheme="minorHAnsi" w:hAnsiTheme="minorHAnsi"/>
          <w:color w:val="auto"/>
          <w:szCs w:val="24"/>
        </w:rPr>
        <w:t xml:space="preserve">  </w:t>
      </w:r>
      <w:r w:rsidRPr="00672400">
        <w:rPr>
          <w:rFonts w:asciiTheme="minorHAnsi" w:hAnsiTheme="minorHAnsi"/>
          <w:color w:val="auto"/>
          <w:szCs w:val="24"/>
        </w:rPr>
        <w:t>The Board therefore recommends that there be no recharacterization of the CI’s disability and separation determination.</w:t>
      </w:r>
    </w:p>
    <w:p w:rsidR="00D91DA6" w:rsidRPr="00672400" w:rsidRDefault="001D0A86"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u w:val="single"/>
        </w:rPr>
        <w:t>______________________________________________________________________________</w:t>
      </w:r>
    </w:p>
    <w:p w:rsidR="001D0A86" w:rsidRDefault="001D0A86" w:rsidP="00190E48">
      <w:pPr>
        <w:tabs>
          <w:tab w:val="left" w:pos="288"/>
          <w:tab w:val="left" w:pos="4752"/>
        </w:tabs>
        <w:spacing w:line="240" w:lineRule="exact"/>
        <w:jc w:val="both"/>
        <w:rPr>
          <w:rFonts w:asciiTheme="minorHAnsi" w:hAnsiTheme="minorHAnsi"/>
          <w:color w:val="auto"/>
        </w:rPr>
      </w:pPr>
    </w:p>
    <w:p w:rsidR="00D91DA6" w:rsidRPr="00672400" w:rsidRDefault="00114F20" w:rsidP="00190E48">
      <w:pPr>
        <w:tabs>
          <w:tab w:val="left" w:pos="288"/>
          <w:tab w:val="left" w:pos="4752"/>
        </w:tabs>
        <w:spacing w:line="240" w:lineRule="exact"/>
        <w:jc w:val="both"/>
        <w:rPr>
          <w:rFonts w:asciiTheme="minorHAnsi" w:hAnsiTheme="minorHAnsi"/>
          <w:color w:val="auto"/>
        </w:rPr>
      </w:pPr>
      <w:r w:rsidRPr="00672400">
        <w:rPr>
          <w:rFonts w:asciiTheme="minorHAnsi" w:hAnsiTheme="minorHAnsi"/>
          <w:color w:val="auto"/>
        </w:rPr>
        <w:t>The following documentary evidence was considered:</w:t>
      </w:r>
    </w:p>
    <w:p w:rsidR="00EB5EFD" w:rsidRPr="00672400" w:rsidRDefault="00EB5EFD" w:rsidP="00190E48">
      <w:pPr>
        <w:tabs>
          <w:tab w:val="left" w:pos="288"/>
          <w:tab w:val="left" w:pos="4752"/>
        </w:tabs>
        <w:spacing w:line="240" w:lineRule="exact"/>
        <w:jc w:val="both"/>
        <w:rPr>
          <w:rFonts w:asciiTheme="minorHAnsi" w:hAnsiTheme="minorHAnsi"/>
          <w:color w:val="auto"/>
        </w:rPr>
      </w:pPr>
    </w:p>
    <w:p w:rsidR="00114F20" w:rsidRPr="00672400" w:rsidRDefault="0051146C" w:rsidP="00190E48">
      <w:pPr>
        <w:tabs>
          <w:tab w:val="left" w:pos="288"/>
          <w:tab w:val="left" w:pos="4752"/>
        </w:tabs>
        <w:spacing w:line="240" w:lineRule="exact"/>
        <w:jc w:val="both"/>
        <w:rPr>
          <w:rFonts w:asciiTheme="minorHAnsi" w:hAnsiTheme="minorHAnsi"/>
          <w:color w:val="auto"/>
        </w:rPr>
      </w:pPr>
      <w:r w:rsidRPr="00672400">
        <w:rPr>
          <w:rFonts w:asciiTheme="minorHAnsi" w:hAnsiTheme="minorHAnsi"/>
          <w:color w:val="auto"/>
        </w:rPr>
        <w:t xml:space="preserve">Exhibit A.  DD Form </w:t>
      </w:r>
      <w:r w:rsidR="00147084" w:rsidRPr="00672400">
        <w:rPr>
          <w:rFonts w:asciiTheme="minorHAnsi" w:hAnsiTheme="minorHAnsi"/>
          <w:color w:val="auto"/>
        </w:rPr>
        <w:t>294</w:t>
      </w:r>
      <w:r w:rsidRPr="00672400">
        <w:rPr>
          <w:rFonts w:asciiTheme="minorHAnsi" w:hAnsiTheme="minorHAnsi"/>
          <w:color w:val="auto"/>
        </w:rPr>
        <w:t xml:space="preserve"> dated </w:t>
      </w:r>
      <w:r w:rsidR="0019273F" w:rsidRPr="00672400">
        <w:rPr>
          <w:rFonts w:asciiTheme="minorHAnsi" w:hAnsiTheme="minorHAnsi"/>
          <w:color w:val="auto"/>
        </w:rPr>
        <w:t>20</w:t>
      </w:r>
      <w:r w:rsidR="00EF6BB7" w:rsidRPr="00672400">
        <w:rPr>
          <w:rFonts w:asciiTheme="minorHAnsi" w:hAnsiTheme="minorHAnsi"/>
          <w:color w:val="auto"/>
        </w:rPr>
        <w:t>091117</w:t>
      </w:r>
      <w:r w:rsidR="00114F20" w:rsidRPr="00672400">
        <w:rPr>
          <w:rFonts w:asciiTheme="minorHAnsi" w:hAnsiTheme="minorHAnsi"/>
          <w:color w:val="auto"/>
        </w:rPr>
        <w:t>, w/atchs.</w:t>
      </w:r>
    </w:p>
    <w:p w:rsidR="00114F20" w:rsidRPr="00672400" w:rsidRDefault="00114F20" w:rsidP="00190E48">
      <w:pPr>
        <w:tabs>
          <w:tab w:val="left" w:pos="288"/>
          <w:tab w:val="left" w:pos="4752"/>
        </w:tabs>
        <w:spacing w:line="240" w:lineRule="exact"/>
        <w:jc w:val="both"/>
        <w:rPr>
          <w:rFonts w:asciiTheme="minorHAnsi" w:hAnsiTheme="minorHAnsi"/>
          <w:color w:val="auto"/>
        </w:rPr>
      </w:pPr>
      <w:r w:rsidRPr="00672400">
        <w:rPr>
          <w:rFonts w:asciiTheme="minorHAnsi" w:hAnsiTheme="minorHAnsi"/>
          <w:color w:val="auto"/>
        </w:rPr>
        <w:t xml:space="preserve">Exhibit B.  </w:t>
      </w:r>
      <w:proofErr w:type="gramStart"/>
      <w:r w:rsidRPr="00672400">
        <w:rPr>
          <w:rFonts w:asciiTheme="minorHAnsi" w:hAnsiTheme="minorHAnsi"/>
          <w:color w:val="auto"/>
        </w:rPr>
        <w:t>Service Treatment Record.</w:t>
      </w:r>
      <w:proofErr w:type="gramEnd"/>
    </w:p>
    <w:p w:rsidR="00114F20" w:rsidRPr="00672400" w:rsidRDefault="00114F20" w:rsidP="00190E48">
      <w:pPr>
        <w:tabs>
          <w:tab w:val="left" w:pos="288"/>
          <w:tab w:val="left" w:pos="4752"/>
        </w:tabs>
        <w:spacing w:line="240" w:lineRule="exact"/>
        <w:jc w:val="both"/>
        <w:rPr>
          <w:rFonts w:asciiTheme="minorHAnsi" w:hAnsiTheme="minorHAnsi"/>
          <w:color w:val="auto"/>
        </w:rPr>
      </w:pPr>
      <w:r w:rsidRPr="00672400">
        <w:rPr>
          <w:rFonts w:asciiTheme="minorHAnsi" w:hAnsiTheme="minorHAnsi"/>
          <w:color w:val="auto"/>
        </w:rPr>
        <w:t xml:space="preserve">Exhibit C.  </w:t>
      </w:r>
      <w:proofErr w:type="gramStart"/>
      <w:r w:rsidRPr="00672400">
        <w:rPr>
          <w:rFonts w:asciiTheme="minorHAnsi" w:hAnsiTheme="minorHAnsi"/>
          <w:color w:val="auto"/>
        </w:rPr>
        <w:t>Department of Veterans</w:t>
      </w:r>
      <w:r w:rsidR="00385D6F" w:rsidRPr="00672400">
        <w:rPr>
          <w:rFonts w:asciiTheme="minorHAnsi" w:hAnsiTheme="minorHAnsi"/>
          <w:color w:val="auto"/>
        </w:rPr>
        <w:t>'</w:t>
      </w:r>
      <w:r w:rsidRPr="00672400">
        <w:rPr>
          <w:rFonts w:asciiTheme="minorHAnsi" w:hAnsiTheme="minorHAnsi"/>
          <w:color w:val="auto"/>
        </w:rPr>
        <w:t xml:space="preserve"> Affairs Treatment Record.</w:t>
      </w:r>
      <w:proofErr w:type="gramEnd"/>
    </w:p>
    <w:p w:rsidR="00D91DA6" w:rsidRPr="00672400" w:rsidRDefault="00D91DA6" w:rsidP="00190E48">
      <w:pPr>
        <w:tabs>
          <w:tab w:val="left" w:pos="288"/>
          <w:tab w:val="left" w:pos="4752"/>
        </w:tabs>
        <w:spacing w:line="240" w:lineRule="exact"/>
        <w:jc w:val="both"/>
        <w:rPr>
          <w:rFonts w:asciiTheme="minorHAnsi" w:hAnsiTheme="minorHAnsi"/>
          <w:color w:val="auto"/>
        </w:rPr>
      </w:pPr>
    </w:p>
    <w:p w:rsidR="00114F20" w:rsidRPr="00672400" w:rsidRDefault="00114F20" w:rsidP="00190E48">
      <w:pPr>
        <w:tabs>
          <w:tab w:val="left" w:pos="288"/>
          <w:tab w:val="left" w:pos="4752"/>
        </w:tabs>
        <w:spacing w:line="240" w:lineRule="exact"/>
        <w:jc w:val="both"/>
        <w:rPr>
          <w:rFonts w:asciiTheme="minorHAnsi" w:hAnsiTheme="minorHAnsi"/>
          <w:color w:val="auto"/>
        </w:rPr>
      </w:pPr>
    </w:p>
    <w:p w:rsidR="00114F20" w:rsidRPr="00672400" w:rsidRDefault="00114F20" w:rsidP="00190E48">
      <w:pPr>
        <w:tabs>
          <w:tab w:val="left" w:pos="288"/>
          <w:tab w:val="left" w:pos="4752"/>
        </w:tabs>
        <w:spacing w:line="240" w:lineRule="exact"/>
        <w:jc w:val="both"/>
        <w:rPr>
          <w:rFonts w:asciiTheme="minorHAnsi" w:hAnsiTheme="minorHAnsi"/>
          <w:color w:val="auto"/>
        </w:rPr>
      </w:pPr>
    </w:p>
    <w:p w:rsidR="00114F20" w:rsidRPr="00672400" w:rsidRDefault="00114F20" w:rsidP="00190E48">
      <w:pPr>
        <w:tabs>
          <w:tab w:val="left" w:pos="288"/>
          <w:tab w:val="left" w:pos="4752"/>
        </w:tabs>
        <w:spacing w:line="240" w:lineRule="exact"/>
        <w:jc w:val="both"/>
        <w:rPr>
          <w:rFonts w:asciiTheme="minorHAnsi" w:hAnsiTheme="minorHAnsi"/>
          <w:color w:val="auto"/>
        </w:rPr>
      </w:pPr>
    </w:p>
    <w:p w:rsidR="00EF1FDC" w:rsidRPr="00672400" w:rsidRDefault="00EF1FDC" w:rsidP="00EF1FD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672400">
        <w:rPr>
          <w:rFonts w:asciiTheme="minorHAnsi" w:hAnsiTheme="minorHAnsi"/>
          <w:color w:val="auto"/>
        </w:rPr>
        <w:t xml:space="preserve">                             </w:t>
      </w:r>
      <w:r w:rsidRPr="00672400">
        <w:rPr>
          <w:rFonts w:asciiTheme="minorHAnsi" w:hAnsiTheme="minorHAnsi"/>
          <w:color w:val="auto"/>
        </w:rPr>
        <w:tab/>
      </w:r>
      <w:r w:rsidRPr="00672400">
        <w:rPr>
          <w:rFonts w:asciiTheme="minorHAnsi" w:hAnsiTheme="minorHAnsi"/>
          <w:color w:val="auto"/>
        </w:rPr>
        <w:tab/>
      </w:r>
    </w:p>
    <w:p w:rsidR="00EF1FDC" w:rsidRPr="00672400" w:rsidRDefault="00EF1FDC" w:rsidP="00EF1FD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672400">
        <w:rPr>
          <w:rFonts w:asciiTheme="minorHAnsi" w:hAnsiTheme="minorHAnsi"/>
          <w:color w:val="auto"/>
        </w:rPr>
        <w:t xml:space="preserve">                             </w:t>
      </w:r>
      <w:r w:rsidRPr="00672400">
        <w:rPr>
          <w:rFonts w:asciiTheme="minorHAnsi" w:hAnsiTheme="minorHAnsi"/>
          <w:color w:val="auto"/>
        </w:rPr>
        <w:tab/>
      </w:r>
      <w:r w:rsidRPr="00672400">
        <w:rPr>
          <w:rFonts w:asciiTheme="minorHAnsi" w:hAnsiTheme="minorHAnsi"/>
          <w:color w:val="auto"/>
        </w:rPr>
        <w:tab/>
        <w:t>Deputy Director</w:t>
      </w:r>
    </w:p>
    <w:p w:rsidR="00AA04B3" w:rsidRDefault="00EF1FDC" w:rsidP="00EF1FD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672400">
        <w:rPr>
          <w:rFonts w:asciiTheme="minorHAnsi" w:hAnsiTheme="minorHAnsi"/>
          <w:color w:val="auto"/>
        </w:rPr>
        <w:tab/>
        <w:t xml:space="preserve">                           </w:t>
      </w:r>
      <w:r w:rsidRPr="00672400">
        <w:rPr>
          <w:rFonts w:asciiTheme="minorHAnsi" w:hAnsiTheme="minorHAnsi"/>
          <w:color w:val="auto"/>
        </w:rPr>
        <w:tab/>
      </w:r>
      <w:r w:rsidRPr="00672400">
        <w:rPr>
          <w:rFonts w:asciiTheme="minorHAnsi" w:hAnsiTheme="minorHAnsi"/>
          <w:color w:val="auto"/>
        </w:rPr>
        <w:tab/>
        <w:t>Physical Disability Board of Review</w:t>
      </w:r>
    </w:p>
    <w:p w:rsidR="00402CA3" w:rsidRDefault="00402CA3">
      <w:pPr>
        <w:rPr>
          <w:rFonts w:asciiTheme="minorHAnsi" w:hAnsiTheme="minorHAnsi"/>
          <w:color w:val="auto"/>
        </w:rPr>
      </w:pPr>
      <w:r>
        <w:rPr>
          <w:rFonts w:asciiTheme="minorHAnsi" w:hAnsiTheme="minorHAnsi"/>
          <w:color w:val="auto"/>
        </w:rPr>
        <w:br w:type="page"/>
      </w:r>
    </w:p>
    <w:p w:rsidR="00402CA3" w:rsidRDefault="00402CA3" w:rsidP="00EF1FD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402CA3" w:rsidRPr="00402CA3" w:rsidRDefault="00402CA3" w:rsidP="00402CA3">
      <w:pPr>
        <w:jc w:val="both"/>
        <w:rPr>
          <w:color w:val="auto"/>
        </w:rPr>
      </w:pPr>
      <w:r w:rsidRPr="00402CA3">
        <w:rPr>
          <w:color w:val="auto"/>
        </w:rPr>
        <w:t xml:space="preserve">MEMORANDUM FOR DIRECTOR, SECRETARY OF THE NAVY COUNCIL OF REVIEW   </w:t>
      </w:r>
    </w:p>
    <w:p w:rsidR="00402CA3" w:rsidRPr="00402CA3" w:rsidRDefault="00402CA3" w:rsidP="00402CA3">
      <w:pPr>
        <w:tabs>
          <w:tab w:val="left" w:pos="2430"/>
        </w:tabs>
        <w:ind w:left="-360"/>
        <w:jc w:val="both"/>
        <w:rPr>
          <w:color w:val="auto"/>
        </w:rPr>
      </w:pPr>
      <w:r w:rsidRPr="00402CA3">
        <w:rPr>
          <w:color w:val="auto"/>
        </w:rPr>
        <w:t xml:space="preserve">                                              BOARDS </w:t>
      </w:r>
    </w:p>
    <w:p w:rsidR="00402CA3" w:rsidRPr="00402CA3" w:rsidRDefault="00402CA3" w:rsidP="00402CA3">
      <w:pPr>
        <w:jc w:val="both"/>
        <w:rPr>
          <w:color w:val="auto"/>
        </w:rPr>
      </w:pPr>
    </w:p>
    <w:p w:rsidR="00402CA3" w:rsidRPr="00402CA3" w:rsidRDefault="00402CA3" w:rsidP="00402CA3">
      <w:pPr>
        <w:tabs>
          <w:tab w:val="left" w:pos="630"/>
        </w:tabs>
        <w:jc w:val="both"/>
        <w:rPr>
          <w:color w:val="auto"/>
        </w:rPr>
      </w:pPr>
      <w:proofErr w:type="spellStart"/>
      <w:r w:rsidRPr="00402CA3">
        <w:rPr>
          <w:color w:val="auto"/>
        </w:rPr>
        <w:t>Subj</w:t>
      </w:r>
      <w:proofErr w:type="spellEnd"/>
      <w:r w:rsidRPr="00402CA3">
        <w:rPr>
          <w:color w:val="auto"/>
        </w:rPr>
        <w:t xml:space="preserve">:  PHYSICAL DISABILITY BOARD OF REVIEW (PDBR) RECOMMENDATION ICO  </w:t>
      </w:r>
    </w:p>
    <w:p w:rsidR="00402CA3" w:rsidRPr="00402CA3" w:rsidRDefault="00402CA3" w:rsidP="00402CA3">
      <w:pPr>
        <w:tabs>
          <w:tab w:val="left" w:pos="630"/>
        </w:tabs>
        <w:jc w:val="both"/>
        <w:rPr>
          <w:color w:val="auto"/>
        </w:rPr>
      </w:pPr>
      <w:r w:rsidRPr="00402CA3">
        <w:rPr>
          <w:color w:val="auto"/>
        </w:rPr>
        <w:t xml:space="preserve">          </w:t>
      </w:r>
      <w:r>
        <w:rPr>
          <w:color w:val="auto"/>
        </w:rPr>
        <w:t>XXXXXX</w:t>
      </w:r>
      <w:r w:rsidRPr="00402CA3">
        <w:rPr>
          <w:color w:val="auto"/>
        </w:rPr>
        <w:t xml:space="preserve">, FORMER USMC, XXX XX </w:t>
      </w:r>
      <w:r>
        <w:rPr>
          <w:color w:val="auto"/>
        </w:rPr>
        <w:t>XXXX</w:t>
      </w:r>
    </w:p>
    <w:p w:rsidR="00402CA3" w:rsidRPr="00402CA3" w:rsidRDefault="00402CA3" w:rsidP="00402CA3">
      <w:pPr>
        <w:jc w:val="both"/>
        <w:rPr>
          <w:color w:val="auto"/>
        </w:rPr>
      </w:pPr>
    </w:p>
    <w:p w:rsidR="00402CA3" w:rsidRPr="00402CA3" w:rsidRDefault="00402CA3" w:rsidP="00402CA3">
      <w:pPr>
        <w:jc w:val="both"/>
        <w:rPr>
          <w:color w:val="auto"/>
        </w:rPr>
      </w:pPr>
      <w:r w:rsidRPr="00402CA3">
        <w:rPr>
          <w:color w:val="auto"/>
        </w:rPr>
        <w:t>Ref:   (a) DoDI 6040.44</w:t>
      </w:r>
    </w:p>
    <w:p w:rsidR="00402CA3" w:rsidRPr="00402CA3" w:rsidRDefault="00402CA3" w:rsidP="00402CA3">
      <w:pPr>
        <w:ind w:left="-540"/>
        <w:jc w:val="both"/>
        <w:rPr>
          <w:color w:val="auto"/>
        </w:rPr>
      </w:pPr>
      <w:r w:rsidRPr="00402CA3">
        <w:rPr>
          <w:color w:val="auto"/>
        </w:rPr>
        <w:t xml:space="preserve">                   (b) PDBR </w:t>
      </w:r>
      <w:proofErr w:type="spellStart"/>
      <w:r w:rsidRPr="00402CA3">
        <w:rPr>
          <w:color w:val="auto"/>
        </w:rPr>
        <w:t>ltr</w:t>
      </w:r>
      <w:proofErr w:type="spellEnd"/>
      <w:r w:rsidRPr="00402CA3">
        <w:rPr>
          <w:color w:val="auto"/>
        </w:rPr>
        <w:t xml:space="preserve"> </w:t>
      </w:r>
      <w:proofErr w:type="spellStart"/>
      <w:r w:rsidRPr="00402CA3">
        <w:rPr>
          <w:color w:val="auto"/>
        </w:rPr>
        <w:t>dtd</w:t>
      </w:r>
      <w:proofErr w:type="spellEnd"/>
      <w:r w:rsidRPr="00402CA3">
        <w:rPr>
          <w:color w:val="auto"/>
        </w:rPr>
        <w:t xml:space="preserve"> 14 Feb 11</w:t>
      </w:r>
    </w:p>
    <w:p w:rsidR="00402CA3" w:rsidRPr="00402CA3" w:rsidRDefault="00402CA3" w:rsidP="00402CA3">
      <w:pPr>
        <w:ind w:left="-540"/>
        <w:jc w:val="both"/>
        <w:rPr>
          <w:color w:val="auto"/>
        </w:rPr>
      </w:pPr>
    </w:p>
    <w:p w:rsidR="00402CA3" w:rsidRPr="00402CA3" w:rsidRDefault="00402CA3" w:rsidP="00402CA3">
      <w:pPr>
        <w:jc w:val="both"/>
        <w:rPr>
          <w:color w:val="auto"/>
        </w:rPr>
      </w:pPr>
      <w:r w:rsidRPr="00402CA3">
        <w:rPr>
          <w:color w:val="auto"/>
        </w:rPr>
        <w:t xml:space="preserve">      I have reviewed the subject case pursuant to reference (a) and, for the reasons set forth in reference (b), approve the recommendation of the Physical Disability Board of Review Mr. </w:t>
      </w:r>
      <w:r>
        <w:rPr>
          <w:color w:val="auto"/>
        </w:rPr>
        <w:t>XXXXX</w:t>
      </w:r>
      <w:r w:rsidRPr="00402CA3">
        <w:rPr>
          <w:color w:val="auto"/>
        </w:rPr>
        <w:t>’s records not be corrected to reflect a change in either his characterization of separation or in the disability rating previously assigned by the Department of the Navy’s Physical Evaluation Board.</w:t>
      </w:r>
    </w:p>
    <w:p w:rsidR="00402CA3" w:rsidRPr="00402CA3" w:rsidRDefault="00402CA3" w:rsidP="00402CA3">
      <w:pPr>
        <w:jc w:val="both"/>
        <w:rPr>
          <w:color w:val="auto"/>
        </w:rPr>
      </w:pPr>
    </w:p>
    <w:p w:rsidR="00402CA3" w:rsidRPr="00402CA3" w:rsidRDefault="00402CA3" w:rsidP="00402CA3">
      <w:pPr>
        <w:jc w:val="both"/>
        <w:rPr>
          <w:color w:val="auto"/>
        </w:rPr>
      </w:pPr>
    </w:p>
    <w:p w:rsidR="00402CA3" w:rsidRPr="00402CA3" w:rsidRDefault="00402CA3" w:rsidP="00402CA3">
      <w:pPr>
        <w:jc w:val="both"/>
        <w:rPr>
          <w:color w:val="auto"/>
        </w:rPr>
      </w:pPr>
    </w:p>
    <w:p w:rsidR="00402CA3" w:rsidRPr="00402CA3" w:rsidRDefault="00402CA3" w:rsidP="00402CA3">
      <w:pPr>
        <w:tabs>
          <w:tab w:val="left" w:pos="4680"/>
        </w:tabs>
        <w:jc w:val="both"/>
        <w:rPr>
          <w:color w:val="auto"/>
        </w:rPr>
      </w:pPr>
      <w:r w:rsidRPr="00402CA3">
        <w:rPr>
          <w:color w:val="auto"/>
        </w:rPr>
        <w:tab/>
      </w:r>
    </w:p>
    <w:p w:rsidR="00402CA3" w:rsidRPr="00402CA3" w:rsidRDefault="00402CA3" w:rsidP="00402CA3">
      <w:pPr>
        <w:jc w:val="both"/>
        <w:rPr>
          <w:color w:val="auto"/>
        </w:rPr>
      </w:pPr>
      <w:r w:rsidRPr="00402CA3">
        <w:rPr>
          <w:color w:val="auto"/>
        </w:rPr>
        <w:tab/>
      </w:r>
      <w:r w:rsidRPr="00402CA3">
        <w:rPr>
          <w:color w:val="auto"/>
        </w:rPr>
        <w:tab/>
      </w:r>
      <w:r w:rsidRPr="00402CA3">
        <w:rPr>
          <w:color w:val="auto"/>
        </w:rPr>
        <w:tab/>
      </w:r>
      <w:r w:rsidRPr="00402CA3">
        <w:rPr>
          <w:color w:val="auto"/>
        </w:rPr>
        <w:tab/>
      </w:r>
      <w:r w:rsidRPr="00402CA3">
        <w:rPr>
          <w:color w:val="auto"/>
        </w:rPr>
        <w:tab/>
      </w:r>
      <w:r w:rsidRPr="00402CA3">
        <w:rPr>
          <w:color w:val="auto"/>
        </w:rPr>
        <w:tab/>
        <w:t xml:space="preserve">      Principal Deputy</w:t>
      </w:r>
    </w:p>
    <w:p w:rsidR="00402CA3" w:rsidRPr="00402CA3" w:rsidRDefault="00402CA3" w:rsidP="00402CA3">
      <w:pPr>
        <w:jc w:val="both"/>
        <w:rPr>
          <w:color w:val="auto"/>
        </w:rPr>
      </w:pPr>
      <w:r w:rsidRPr="00402CA3">
        <w:rPr>
          <w:color w:val="auto"/>
        </w:rPr>
        <w:tab/>
      </w:r>
      <w:r w:rsidRPr="00402CA3">
        <w:rPr>
          <w:color w:val="auto"/>
        </w:rPr>
        <w:tab/>
      </w:r>
      <w:r w:rsidRPr="00402CA3">
        <w:rPr>
          <w:color w:val="auto"/>
        </w:rPr>
        <w:tab/>
      </w:r>
      <w:r w:rsidRPr="00402CA3">
        <w:rPr>
          <w:color w:val="auto"/>
        </w:rPr>
        <w:tab/>
      </w:r>
      <w:r w:rsidRPr="00402CA3">
        <w:rPr>
          <w:color w:val="auto"/>
        </w:rPr>
        <w:tab/>
      </w:r>
      <w:r w:rsidRPr="00402CA3">
        <w:rPr>
          <w:color w:val="auto"/>
        </w:rPr>
        <w:tab/>
        <w:t xml:space="preserve">      Assistant Secretary of the Navy </w:t>
      </w:r>
    </w:p>
    <w:p w:rsidR="00402CA3" w:rsidRPr="00402CA3" w:rsidRDefault="00402CA3" w:rsidP="00402CA3">
      <w:pPr>
        <w:jc w:val="both"/>
        <w:rPr>
          <w:color w:val="auto"/>
        </w:rPr>
      </w:pPr>
      <w:r w:rsidRPr="00402CA3">
        <w:rPr>
          <w:color w:val="auto"/>
        </w:rPr>
        <w:tab/>
      </w:r>
      <w:r w:rsidRPr="00402CA3">
        <w:rPr>
          <w:color w:val="auto"/>
        </w:rPr>
        <w:tab/>
      </w:r>
      <w:r w:rsidRPr="00402CA3">
        <w:rPr>
          <w:color w:val="auto"/>
        </w:rPr>
        <w:tab/>
      </w:r>
      <w:r w:rsidRPr="00402CA3">
        <w:rPr>
          <w:color w:val="auto"/>
        </w:rPr>
        <w:tab/>
      </w:r>
      <w:r w:rsidRPr="00402CA3">
        <w:rPr>
          <w:color w:val="auto"/>
        </w:rPr>
        <w:tab/>
      </w:r>
      <w:r w:rsidRPr="00402CA3">
        <w:rPr>
          <w:color w:val="auto"/>
        </w:rPr>
        <w:tab/>
        <w:t xml:space="preserve">        (Manpower &amp; Reserve Affairs)</w:t>
      </w:r>
    </w:p>
    <w:p w:rsidR="00402CA3" w:rsidRDefault="00402CA3" w:rsidP="00402CA3">
      <w:pPr>
        <w:jc w:val="both"/>
      </w:pPr>
      <w:r>
        <w:tab/>
      </w:r>
      <w:r>
        <w:tab/>
      </w:r>
      <w:r>
        <w:tab/>
      </w:r>
      <w:r>
        <w:tab/>
      </w:r>
      <w:r>
        <w:tab/>
      </w:r>
      <w:r>
        <w:tab/>
        <w:t xml:space="preserve">  </w:t>
      </w:r>
    </w:p>
    <w:p w:rsidR="00402CA3" w:rsidRDefault="00402CA3" w:rsidP="00402CA3">
      <w:pPr>
        <w:jc w:val="both"/>
      </w:pPr>
    </w:p>
    <w:p w:rsidR="00402CA3" w:rsidRPr="00672400" w:rsidRDefault="00402CA3" w:rsidP="00EF1FD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sectPr w:rsidR="00402CA3" w:rsidRPr="00672400" w:rsidSect="005000AB">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1F4" w:rsidRDefault="00B411F4">
      <w:r>
        <w:separator/>
      </w:r>
    </w:p>
  </w:endnote>
  <w:endnote w:type="continuationSeparator" w:id="0">
    <w:p w:rsidR="00B411F4" w:rsidRDefault="00B411F4">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FA4" w:rsidRDefault="003F2A2D">
    <w:pPr>
      <w:pStyle w:val="Footer"/>
      <w:framePr w:wrap="around" w:vAnchor="text" w:hAnchor="margin" w:xAlign="center" w:y="1"/>
      <w:rPr>
        <w:rStyle w:val="PageNumber"/>
      </w:rPr>
    </w:pPr>
    <w:r>
      <w:rPr>
        <w:rStyle w:val="PageNumber"/>
      </w:rPr>
      <w:fldChar w:fldCharType="begin"/>
    </w:r>
    <w:r w:rsidR="006F0FA4">
      <w:rPr>
        <w:rStyle w:val="PageNumber"/>
      </w:rPr>
      <w:instrText xml:space="preserve">PAGE  </w:instrText>
    </w:r>
    <w:r>
      <w:rPr>
        <w:rStyle w:val="PageNumber"/>
      </w:rPr>
      <w:fldChar w:fldCharType="separate"/>
    </w:r>
    <w:r w:rsidR="006F0FA4">
      <w:rPr>
        <w:rStyle w:val="PageNumber"/>
        <w:noProof/>
      </w:rPr>
      <w:t>2</w:t>
    </w:r>
    <w:r>
      <w:rPr>
        <w:rStyle w:val="PageNumber"/>
      </w:rPr>
      <w:fldChar w:fldCharType="end"/>
    </w:r>
  </w:p>
  <w:p w:rsidR="006F0FA4" w:rsidRDefault="006F0FA4"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FA4" w:rsidRPr="00AC713F" w:rsidRDefault="003F2A2D">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6F0FA4"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402CA3">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6F0FA4" w:rsidRPr="00F937B1" w:rsidRDefault="006F0FA4" w:rsidP="002B0749">
    <w:pPr>
      <w:pStyle w:val="Footer"/>
      <w:jc w:val="right"/>
      <w:rPr>
        <w:rFonts w:asciiTheme="minorHAnsi" w:hAnsiTheme="minorHAnsi"/>
        <w:color w:val="auto"/>
      </w:rPr>
    </w:pPr>
    <w:r>
      <w:tab/>
    </w:r>
    <w:r>
      <w:tab/>
    </w:r>
    <w:r w:rsidRPr="00F937B1">
      <w:rPr>
        <w:rFonts w:asciiTheme="minorHAnsi" w:hAnsiTheme="minorHAnsi"/>
        <w:caps/>
        <w:color w:val="auto"/>
      </w:rPr>
      <w:t>PD0900663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1F4" w:rsidRDefault="00B411F4">
      <w:r>
        <w:separator/>
      </w:r>
    </w:p>
  </w:footnote>
  <w:footnote w:type="continuationSeparator" w:id="0">
    <w:p w:rsidR="00B411F4" w:rsidRDefault="00B411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16450"/>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21361"/>
    <w:rsid w:val="00023913"/>
    <w:rsid w:val="00023D43"/>
    <w:rsid w:val="00032E07"/>
    <w:rsid w:val="000332CA"/>
    <w:rsid w:val="0003374E"/>
    <w:rsid w:val="000344E6"/>
    <w:rsid w:val="00035C3A"/>
    <w:rsid w:val="00036E4B"/>
    <w:rsid w:val="000379D0"/>
    <w:rsid w:val="00040FC4"/>
    <w:rsid w:val="000416F8"/>
    <w:rsid w:val="00042C26"/>
    <w:rsid w:val="00043382"/>
    <w:rsid w:val="00051622"/>
    <w:rsid w:val="00052234"/>
    <w:rsid w:val="00053D7C"/>
    <w:rsid w:val="000577C9"/>
    <w:rsid w:val="0006431E"/>
    <w:rsid w:val="00072433"/>
    <w:rsid w:val="00075702"/>
    <w:rsid w:val="000775C2"/>
    <w:rsid w:val="000806AD"/>
    <w:rsid w:val="00082482"/>
    <w:rsid w:val="0008708B"/>
    <w:rsid w:val="00092148"/>
    <w:rsid w:val="00092619"/>
    <w:rsid w:val="00092C66"/>
    <w:rsid w:val="00094E4F"/>
    <w:rsid w:val="000960FE"/>
    <w:rsid w:val="000A2BCE"/>
    <w:rsid w:val="000A41E3"/>
    <w:rsid w:val="000A4BBA"/>
    <w:rsid w:val="000A5071"/>
    <w:rsid w:val="000B4C99"/>
    <w:rsid w:val="000C06F6"/>
    <w:rsid w:val="000C1D34"/>
    <w:rsid w:val="000C2362"/>
    <w:rsid w:val="000C3C13"/>
    <w:rsid w:val="000C53F9"/>
    <w:rsid w:val="000C5813"/>
    <w:rsid w:val="000C75CF"/>
    <w:rsid w:val="000C7DE4"/>
    <w:rsid w:val="000D15E7"/>
    <w:rsid w:val="000D1A24"/>
    <w:rsid w:val="000D21C7"/>
    <w:rsid w:val="000D248A"/>
    <w:rsid w:val="000D35D8"/>
    <w:rsid w:val="000D43F9"/>
    <w:rsid w:val="000D4717"/>
    <w:rsid w:val="000D6457"/>
    <w:rsid w:val="000D7D55"/>
    <w:rsid w:val="000E0993"/>
    <w:rsid w:val="000E37E0"/>
    <w:rsid w:val="000F02BE"/>
    <w:rsid w:val="000F427B"/>
    <w:rsid w:val="000F5410"/>
    <w:rsid w:val="000F7181"/>
    <w:rsid w:val="001008C1"/>
    <w:rsid w:val="001023DB"/>
    <w:rsid w:val="00103CCF"/>
    <w:rsid w:val="0010417F"/>
    <w:rsid w:val="001042D2"/>
    <w:rsid w:val="0010530E"/>
    <w:rsid w:val="00105C07"/>
    <w:rsid w:val="00107EC5"/>
    <w:rsid w:val="001103CD"/>
    <w:rsid w:val="001128A9"/>
    <w:rsid w:val="00113BC1"/>
    <w:rsid w:val="00114F20"/>
    <w:rsid w:val="001211AF"/>
    <w:rsid w:val="001219DF"/>
    <w:rsid w:val="001231DC"/>
    <w:rsid w:val="0012415E"/>
    <w:rsid w:val="00126E3B"/>
    <w:rsid w:val="001272AE"/>
    <w:rsid w:val="001315DD"/>
    <w:rsid w:val="00135385"/>
    <w:rsid w:val="001364D1"/>
    <w:rsid w:val="00140395"/>
    <w:rsid w:val="00142EBA"/>
    <w:rsid w:val="00143B79"/>
    <w:rsid w:val="00147084"/>
    <w:rsid w:val="00150B8A"/>
    <w:rsid w:val="00150DCB"/>
    <w:rsid w:val="00151912"/>
    <w:rsid w:val="00153740"/>
    <w:rsid w:val="001541C5"/>
    <w:rsid w:val="0015623F"/>
    <w:rsid w:val="00156585"/>
    <w:rsid w:val="00156BA9"/>
    <w:rsid w:val="00161761"/>
    <w:rsid w:val="00162C2E"/>
    <w:rsid w:val="00166182"/>
    <w:rsid w:val="001745DD"/>
    <w:rsid w:val="00177659"/>
    <w:rsid w:val="001779E5"/>
    <w:rsid w:val="00182A4C"/>
    <w:rsid w:val="00183F77"/>
    <w:rsid w:val="00185DA8"/>
    <w:rsid w:val="00185ECB"/>
    <w:rsid w:val="001865E0"/>
    <w:rsid w:val="001870F0"/>
    <w:rsid w:val="00190E48"/>
    <w:rsid w:val="0019273F"/>
    <w:rsid w:val="00193814"/>
    <w:rsid w:val="00193AD5"/>
    <w:rsid w:val="00194930"/>
    <w:rsid w:val="001A08CD"/>
    <w:rsid w:val="001A0E72"/>
    <w:rsid w:val="001A5320"/>
    <w:rsid w:val="001A5E62"/>
    <w:rsid w:val="001A7538"/>
    <w:rsid w:val="001B0B1A"/>
    <w:rsid w:val="001B4EC2"/>
    <w:rsid w:val="001B5B59"/>
    <w:rsid w:val="001B60E0"/>
    <w:rsid w:val="001B7C8C"/>
    <w:rsid w:val="001C181A"/>
    <w:rsid w:val="001C1877"/>
    <w:rsid w:val="001C2053"/>
    <w:rsid w:val="001C252F"/>
    <w:rsid w:val="001C28D1"/>
    <w:rsid w:val="001C58F1"/>
    <w:rsid w:val="001C5CFC"/>
    <w:rsid w:val="001C7418"/>
    <w:rsid w:val="001D0051"/>
    <w:rsid w:val="001D0A86"/>
    <w:rsid w:val="001D2224"/>
    <w:rsid w:val="001D3564"/>
    <w:rsid w:val="001D4F88"/>
    <w:rsid w:val="001D68CF"/>
    <w:rsid w:val="001D6A8C"/>
    <w:rsid w:val="001D7A56"/>
    <w:rsid w:val="001E15C0"/>
    <w:rsid w:val="001E18E0"/>
    <w:rsid w:val="001E18E2"/>
    <w:rsid w:val="001E19D0"/>
    <w:rsid w:val="001E2A30"/>
    <w:rsid w:val="001E44A8"/>
    <w:rsid w:val="001E456F"/>
    <w:rsid w:val="001E6A81"/>
    <w:rsid w:val="00200AA0"/>
    <w:rsid w:val="00202325"/>
    <w:rsid w:val="00202736"/>
    <w:rsid w:val="00203652"/>
    <w:rsid w:val="002060B6"/>
    <w:rsid w:val="002066B5"/>
    <w:rsid w:val="0020730F"/>
    <w:rsid w:val="00215ED6"/>
    <w:rsid w:val="00216049"/>
    <w:rsid w:val="00217606"/>
    <w:rsid w:val="00217C09"/>
    <w:rsid w:val="00220F5C"/>
    <w:rsid w:val="00225196"/>
    <w:rsid w:val="00225CB4"/>
    <w:rsid w:val="0023049F"/>
    <w:rsid w:val="002316F6"/>
    <w:rsid w:val="00232C9B"/>
    <w:rsid w:val="00232DF1"/>
    <w:rsid w:val="00232F09"/>
    <w:rsid w:val="002335D5"/>
    <w:rsid w:val="002338CA"/>
    <w:rsid w:val="00233FE5"/>
    <w:rsid w:val="00234B3B"/>
    <w:rsid w:val="0024174E"/>
    <w:rsid w:val="0024227D"/>
    <w:rsid w:val="00242439"/>
    <w:rsid w:val="00242D14"/>
    <w:rsid w:val="00246860"/>
    <w:rsid w:val="00246DFF"/>
    <w:rsid w:val="00246E89"/>
    <w:rsid w:val="0025183C"/>
    <w:rsid w:val="002528EC"/>
    <w:rsid w:val="00255049"/>
    <w:rsid w:val="002555F1"/>
    <w:rsid w:val="00257DE5"/>
    <w:rsid w:val="00260531"/>
    <w:rsid w:val="0026318D"/>
    <w:rsid w:val="00270864"/>
    <w:rsid w:val="002712F7"/>
    <w:rsid w:val="0027159C"/>
    <w:rsid w:val="00274549"/>
    <w:rsid w:val="00274E46"/>
    <w:rsid w:val="00276C86"/>
    <w:rsid w:val="002810A4"/>
    <w:rsid w:val="00284A26"/>
    <w:rsid w:val="00287006"/>
    <w:rsid w:val="00294437"/>
    <w:rsid w:val="002A3237"/>
    <w:rsid w:val="002A58B7"/>
    <w:rsid w:val="002A685E"/>
    <w:rsid w:val="002A72C7"/>
    <w:rsid w:val="002B03B2"/>
    <w:rsid w:val="002B0749"/>
    <w:rsid w:val="002B2645"/>
    <w:rsid w:val="002B5882"/>
    <w:rsid w:val="002B6FA0"/>
    <w:rsid w:val="002C5F10"/>
    <w:rsid w:val="002C6E5B"/>
    <w:rsid w:val="002D18B4"/>
    <w:rsid w:val="002D231A"/>
    <w:rsid w:val="002E1877"/>
    <w:rsid w:val="002E1C31"/>
    <w:rsid w:val="002E333A"/>
    <w:rsid w:val="002E3474"/>
    <w:rsid w:val="002E400C"/>
    <w:rsid w:val="002E49C3"/>
    <w:rsid w:val="002E5114"/>
    <w:rsid w:val="002E7570"/>
    <w:rsid w:val="002E764B"/>
    <w:rsid w:val="002F0E28"/>
    <w:rsid w:val="002F287E"/>
    <w:rsid w:val="002F2D63"/>
    <w:rsid w:val="002F7F81"/>
    <w:rsid w:val="003009C1"/>
    <w:rsid w:val="00300A36"/>
    <w:rsid w:val="0030678B"/>
    <w:rsid w:val="00310880"/>
    <w:rsid w:val="00310CD7"/>
    <w:rsid w:val="0032136A"/>
    <w:rsid w:val="00323E70"/>
    <w:rsid w:val="00325BA2"/>
    <w:rsid w:val="00326F7F"/>
    <w:rsid w:val="00330103"/>
    <w:rsid w:val="003320E8"/>
    <w:rsid w:val="0033555E"/>
    <w:rsid w:val="00336805"/>
    <w:rsid w:val="00337351"/>
    <w:rsid w:val="00341A54"/>
    <w:rsid w:val="00342F61"/>
    <w:rsid w:val="0034669F"/>
    <w:rsid w:val="00351498"/>
    <w:rsid w:val="00352B22"/>
    <w:rsid w:val="00354547"/>
    <w:rsid w:val="003567DE"/>
    <w:rsid w:val="003574F3"/>
    <w:rsid w:val="003606F2"/>
    <w:rsid w:val="0036174C"/>
    <w:rsid w:val="0036319E"/>
    <w:rsid w:val="003632A4"/>
    <w:rsid w:val="00363362"/>
    <w:rsid w:val="00367D4F"/>
    <w:rsid w:val="00370743"/>
    <w:rsid w:val="00370EF5"/>
    <w:rsid w:val="0037135B"/>
    <w:rsid w:val="00372251"/>
    <w:rsid w:val="0037520D"/>
    <w:rsid w:val="00375809"/>
    <w:rsid w:val="0037628C"/>
    <w:rsid w:val="00376B81"/>
    <w:rsid w:val="00377BD2"/>
    <w:rsid w:val="003821E1"/>
    <w:rsid w:val="00384866"/>
    <w:rsid w:val="003857D4"/>
    <w:rsid w:val="00385D6F"/>
    <w:rsid w:val="00387095"/>
    <w:rsid w:val="00390092"/>
    <w:rsid w:val="00393651"/>
    <w:rsid w:val="00395E12"/>
    <w:rsid w:val="00397DB7"/>
    <w:rsid w:val="003A27B2"/>
    <w:rsid w:val="003A2EB7"/>
    <w:rsid w:val="003A40B4"/>
    <w:rsid w:val="003A41BA"/>
    <w:rsid w:val="003A6A99"/>
    <w:rsid w:val="003A7FF8"/>
    <w:rsid w:val="003B17AC"/>
    <w:rsid w:val="003B227A"/>
    <w:rsid w:val="003B5854"/>
    <w:rsid w:val="003B6764"/>
    <w:rsid w:val="003C6068"/>
    <w:rsid w:val="003D2BA3"/>
    <w:rsid w:val="003D3C22"/>
    <w:rsid w:val="003D7089"/>
    <w:rsid w:val="003D7DDB"/>
    <w:rsid w:val="003E02C7"/>
    <w:rsid w:val="003E0543"/>
    <w:rsid w:val="003E0B5A"/>
    <w:rsid w:val="003E31E3"/>
    <w:rsid w:val="003E46D1"/>
    <w:rsid w:val="003F2A2D"/>
    <w:rsid w:val="003F58B0"/>
    <w:rsid w:val="003F78ED"/>
    <w:rsid w:val="004007E9"/>
    <w:rsid w:val="00401825"/>
    <w:rsid w:val="00401BBC"/>
    <w:rsid w:val="00402CA3"/>
    <w:rsid w:val="00403BFB"/>
    <w:rsid w:val="00404B45"/>
    <w:rsid w:val="0040510E"/>
    <w:rsid w:val="00406CC5"/>
    <w:rsid w:val="004074A4"/>
    <w:rsid w:val="00407F18"/>
    <w:rsid w:val="004101B2"/>
    <w:rsid w:val="004123D7"/>
    <w:rsid w:val="00412658"/>
    <w:rsid w:val="004172DB"/>
    <w:rsid w:val="00421485"/>
    <w:rsid w:val="00422B75"/>
    <w:rsid w:val="004272F6"/>
    <w:rsid w:val="00433F36"/>
    <w:rsid w:val="0043503A"/>
    <w:rsid w:val="004437EC"/>
    <w:rsid w:val="0044384F"/>
    <w:rsid w:val="00443CDE"/>
    <w:rsid w:val="00444F80"/>
    <w:rsid w:val="00446018"/>
    <w:rsid w:val="004543BC"/>
    <w:rsid w:val="0045645D"/>
    <w:rsid w:val="004574C6"/>
    <w:rsid w:val="00457BCF"/>
    <w:rsid w:val="00457DCE"/>
    <w:rsid w:val="00460E3F"/>
    <w:rsid w:val="00466CED"/>
    <w:rsid w:val="00467592"/>
    <w:rsid w:val="00467690"/>
    <w:rsid w:val="004718E7"/>
    <w:rsid w:val="00472535"/>
    <w:rsid w:val="004739E3"/>
    <w:rsid w:val="004761CC"/>
    <w:rsid w:val="00480D4A"/>
    <w:rsid w:val="00481DA1"/>
    <w:rsid w:val="0049255F"/>
    <w:rsid w:val="0049445D"/>
    <w:rsid w:val="00495350"/>
    <w:rsid w:val="00497156"/>
    <w:rsid w:val="004A24D2"/>
    <w:rsid w:val="004A2E97"/>
    <w:rsid w:val="004A3214"/>
    <w:rsid w:val="004A4136"/>
    <w:rsid w:val="004A417B"/>
    <w:rsid w:val="004A6029"/>
    <w:rsid w:val="004A7474"/>
    <w:rsid w:val="004B03F3"/>
    <w:rsid w:val="004B0C91"/>
    <w:rsid w:val="004B2536"/>
    <w:rsid w:val="004B6AF3"/>
    <w:rsid w:val="004B715E"/>
    <w:rsid w:val="004B7169"/>
    <w:rsid w:val="004B79C9"/>
    <w:rsid w:val="004B7C5B"/>
    <w:rsid w:val="004C15C3"/>
    <w:rsid w:val="004C5E33"/>
    <w:rsid w:val="004C6CDA"/>
    <w:rsid w:val="004C7056"/>
    <w:rsid w:val="004D10D4"/>
    <w:rsid w:val="004D16BD"/>
    <w:rsid w:val="004D2AAB"/>
    <w:rsid w:val="004D6F2B"/>
    <w:rsid w:val="004E0248"/>
    <w:rsid w:val="004E21A3"/>
    <w:rsid w:val="004E32EA"/>
    <w:rsid w:val="004E53BC"/>
    <w:rsid w:val="004E6866"/>
    <w:rsid w:val="004F3222"/>
    <w:rsid w:val="004F3BFA"/>
    <w:rsid w:val="004F596B"/>
    <w:rsid w:val="005000AB"/>
    <w:rsid w:val="005014DE"/>
    <w:rsid w:val="005025EE"/>
    <w:rsid w:val="00505D00"/>
    <w:rsid w:val="00510588"/>
    <w:rsid w:val="0051146C"/>
    <w:rsid w:val="00514449"/>
    <w:rsid w:val="005222E7"/>
    <w:rsid w:val="00523A8B"/>
    <w:rsid w:val="00523E04"/>
    <w:rsid w:val="00524738"/>
    <w:rsid w:val="0052590B"/>
    <w:rsid w:val="00526591"/>
    <w:rsid w:val="00527178"/>
    <w:rsid w:val="005278CB"/>
    <w:rsid w:val="00534D42"/>
    <w:rsid w:val="005350A5"/>
    <w:rsid w:val="00536379"/>
    <w:rsid w:val="00537238"/>
    <w:rsid w:val="005400C5"/>
    <w:rsid w:val="00540BEF"/>
    <w:rsid w:val="00542C9A"/>
    <w:rsid w:val="005436C2"/>
    <w:rsid w:val="005442D4"/>
    <w:rsid w:val="0054586A"/>
    <w:rsid w:val="0054631F"/>
    <w:rsid w:val="0055288D"/>
    <w:rsid w:val="00555259"/>
    <w:rsid w:val="00560D57"/>
    <w:rsid w:val="00561CEB"/>
    <w:rsid w:val="00562A94"/>
    <w:rsid w:val="005709F7"/>
    <w:rsid w:val="005710A9"/>
    <w:rsid w:val="00571D1B"/>
    <w:rsid w:val="00575E16"/>
    <w:rsid w:val="00584229"/>
    <w:rsid w:val="00592E4B"/>
    <w:rsid w:val="00593043"/>
    <w:rsid w:val="00595BF0"/>
    <w:rsid w:val="005A0321"/>
    <w:rsid w:val="005A1846"/>
    <w:rsid w:val="005A258C"/>
    <w:rsid w:val="005A3560"/>
    <w:rsid w:val="005A6C99"/>
    <w:rsid w:val="005A7D5D"/>
    <w:rsid w:val="005B011A"/>
    <w:rsid w:val="005B14FC"/>
    <w:rsid w:val="005B1D8F"/>
    <w:rsid w:val="005B1E94"/>
    <w:rsid w:val="005B5B3D"/>
    <w:rsid w:val="005C0B7C"/>
    <w:rsid w:val="005C16F3"/>
    <w:rsid w:val="005C3758"/>
    <w:rsid w:val="005E3064"/>
    <w:rsid w:val="005E45CC"/>
    <w:rsid w:val="005E72B2"/>
    <w:rsid w:val="005F1115"/>
    <w:rsid w:val="005F1AB6"/>
    <w:rsid w:val="005F27F2"/>
    <w:rsid w:val="005F3AFE"/>
    <w:rsid w:val="005F424D"/>
    <w:rsid w:val="005F6B6D"/>
    <w:rsid w:val="00605AAB"/>
    <w:rsid w:val="00606BEB"/>
    <w:rsid w:val="00607F75"/>
    <w:rsid w:val="0061014A"/>
    <w:rsid w:val="0061054B"/>
    <w:rsid w:val="00610BD4"/>
    <w:rsid w:val="00611EF6"/>
    <w:rsid w:val="00613E26"/>
    <w:rsid w:val="00615641"/>
    <w:rsid w:val="00616959"/>
    <w:rsid w:val="006211D0"/>
    <w:rsid w:val="00623B20"/>
    <w:rsid w:val="00624D0C"/>
    <w:rsid w:val="006307BA"/>
    <w:rsid w:val="006315BA"/>
    <w:rsid w:val="00634C4A"/>
    <w:rsid w:val="0063532E"/>
    <w:rsid w:val="00637BDC"/>
    <w:rsid w:val="006418C9"/>
    <w:rsid w:val="00642BD6"/>
    <w:rsid w:val="00645046"/>
    <w:rsid w:val="0064527A"/>
    <w:rsid w:val="00645EA2"/>
    <w:rsid w:val="00651779"/>
    <w:rsid w:val="006573F2"/>
    <w:rsid w:val="00662F08"/>
    <w:rsid w:val="00663589"/>
    <w:rsid w:val="006708E3"/>
    <w:rsid w:val="00670DDC"/>
    <w:rsid w:val="00671EB4"/>
    <w:rsid w:val="00672400"/>
    <w:rsid w:val="0067443B"/>
    <w:rsid w:val="00681768"/>
    <w:rsid w:val="00684E2B"/>
    <w:rsid w:val="00690FDA"/>
    <w:rsid w:val="00691E61"/>
    <w:rsid w:val="00693C5E"/>
    <w:rsid w:val="00694EEA"/>
    <w:rsid w:val="006955B4"/>
    <w:rsid w:val="00696476"/>
    <w:rsid w:val="006A10FA"/>
    <w:rsid w:val="006A40E6"/>
    <w:rsid w:val="006A5C07"/>
    <w:rsid w:val="006A75FA"/>
    <w:rsid w:val="006B07D5"/>
    <w:rsid w:val="006B1309"/>
    <w:rsid w:val="006B3923"/>
    <w:rsid w:val="006B3F3E"/>
    <w:rsid w:val="006B44BB"/>
    <w:rsid w:val="006B5923"/>
    <w:rsid w:val="006B67D9"/>
    <w:rsid w:val="006B6C14"/>
    <w:rsid w:val="006B715E"/>
    <w:rsid w:val="006C1D6E"/>
    <w:rsid w:val="006C3A68"/>
    <w:rsid w:val="006C4740"/>
    <w:rsid w:val="006C6AB1"/>
    <w:rsid w:val="006D218B"/>
    <w:rsid w:val="006D2D39"/>
    <w:rsid w:val="006D4E0E"/>
    <w:rsid w:val="006D5CE2"/>
    <w:rsid w:val="006D6D57"/>
    <w:rsid w:val="006E06D1"/>
    <w:rsid w:val="006E1313"/>
    <w:rsid w:val="006E2DC8"/>
    <w:rsid w:val="006E7356"/>
    <w:rsid w:val="006E77C8"/>
    <w:rsid w:val="006F0FA4"/>
    <w:rsid w:val="006F149D"/>
    <w:rsid w:val="006F1A46"/>
    <w:rsid w:val="006F5A4E"/>
    <w:rsid w:val="00703B6C"/>
    <w:rsid w:val="00705C40"/>
    <w:rsid w:val="00706482"/>
    <w:rsid w:val="00706BEF"/>
    <w:rsid w:val="007116BC"/>
    <w:rsid w:val="007165CE"/>
    <w:rsid w:val="00720968"/>
    <w:rsid w:val="00721D12"/>
    <w:rsid w:val="00721F8B"/>
    <w:rsid w:val="007237CE"/>
    <w:rsid w:val="00724688"/>
    <w:rsid w:val="0073062D"/>
    <w:rsid w:val="0073254D"/>
    <w:rsid w:val="00736A49"/>
    <w:rsid w:val="00743B71"/>
    <w:rsid w:val="00743C2D"/>
    <w:rsid w:val="00743E36"/>
    <w:rsid w:val="007446F7"/>
    <w:rsid w:val="00744EBB"/>
    <w:rsid w:val="00745B0A"/>
    <w:rsid w:val="007468AC"/>
    <w:rsid w:val="00746AE2"/>
    <w:rsid w:val="00750C82"/>
    <w:rsid w:val="0076100C"/>
    <w:rsid w:val="00763755"/>
    <w:rsid w:val="007651ED"/>
    <w:rsid w:val="00766C87"/>
    <w:rsid w:val="00781BD4"/>
    <w:rsid w:val="00781E20"/>
    <w:rsid w:val="00784832"/>
    <w:rsid w:val="00785D77"/>
    <w:rsid w:val="00786111"/>
    <w:rsid w:val="00791F1E"/>
    <w:rsid w:val="00794F3D"/>
    <w:rsid w:val="00796045"/>
    <w:rsid w:val="00796674"/>
    <w:rsid w:val="007968AC"/>
    <w:rsid w:val="007969AB"/>
    <w:rsid w:val="007A0732"/>
    <w:rsid w:val="007A0B39"/>
    <w:rsid w:val="007A14A4"/>
    <w:rsid w:val="007A168F"/>
    <w:rsid w:val="007A28E4"/>
    <w:rsid w:val="007A3BB3"/>
    <w:rsid w:val="007A5AD1"/>
    <w:rsid w:val="007A5B7B"/>
    <w:rsid w:val="007B0A06"/>
    <w:rsid w:val="007B5C5C"/>
    <w:rsid w:val="007B7B37"/>
    <w:rsid w:val="007B7C41"/>
    <w:rsid w:val="007C433E"/>
    <w:rsid w:val="007C4452"/>
    <w:rsid w:val="007C4B3C"/>
    <w:rsid w:val="007C4DB1"/>
    <w:rsid w:val="007C6046"/>
    <w:rsid w:val="007D0292"/>
    <w:rsid w:val="007D10B9"/>
    <w:rsid w:val="007D10E6"/>
    <w:rsid w:val="007D21AC"/>
    <w:rsid w:val="007D3882"/>
    <w:rsid w:val="007D568A"/>
    <w:rsid w:val="007D574E"/>
    <w:rsid w:val="007D6BFE"/>
    <w:rsid w:val="007E2046"/>
    <w:rsid w:val="007E205B"/>
    <w:rsid w:val="007E3883"/>
    <w:rsid w:val="007E4FBB"/>
    <w:rsid w:val="007E55BF"/>
    <w:rsid w:val="007E71B1"/>
    <w:rsid w:val="007E7B4E"/>
    <w:rsid w:val="007F0CE2"/>
    <w:rsid w:val="007F0EFF"/>
    <w:rsid w:val="007F1375"/>
    <w:rsid w:val="007F1D94"/>
    <w:rsid w:val="00803850"/>
    <w:rsid w:val="00804385"/>
    <w:rsid w:val="00805AFD"/>
    <w:rsid w:val="008078D8"/>
    <w:rsid w:val="00811D5B"/>
    <w:rsid w:val="00817713"/>
    <w:rsid w:val="008220F1"/>
    <w:rsid w:val="0082340B"/>
    <w:rsid w:val="00827DB6"/>
    <w:rsid w:val="008304B2"/>
    <w:rsid w:val="00830999"/>
    <w:rsid w:val="00830D5E"/>
    <w:rsid w:val="00830F69"/>
    <w:rsid w:val="00833418"/>
    <w:rsid w:val="00834458"/>
    <w:rsid w:val="00835841"/>
    <w:rsid w:val="00836EAF"/>
    <w:rsid w:val="00837465"/>
    <w:rsid w:val="00841243"/>
    <w:rsid w:val="00841457"/>
    <w:rsid w:val="0084374E"/>
    <w:rsid w:val="00844842"/>
    <w:rsid w:val="00844DD0"/>
    <w:rsid w:val="0085089F"/>
    <w:rsid w:val="0085206E"/>
    <w:rsid w:val="00852AD4"/>
    <w:rsid w:val="00852BA8"/>
    <w:rsid w:val="00853718"/>
    <w:rsid w:val="008541EF"/>
    <w:rsid w:val="00856AC7"/>
    <w:rsid w:val="00856FA4"/>
    <w:rsid w:val="0086162B"/>
    <w:rsid w:val="00861D5C"/>
    <w:rsid w:val="00865207"/>
    <w:rsid w:val="008656A7"/>
    <w:rsid w:val="00871262"/>
    <w:rsid w:val="00871D4E"/>
    <w:rsid w:val="00871E7B"/>
    <w:rsid w:val="00875B51"/>
    <w:rsid w:val="00875F2D"/>
    <w:rsid w:val="008764DC"/>
    <w:rsid w:val="00882CC2"/>
    <w:rsid w:val="00883930"/>
    <w:rsid w:val="00896535"/>
    <w:rsid w:val="00896683"/>
    <w:rsid w:val="00897589"/>
    <w:rsid w:val="008A63A9"/>
    <w:rsid w:val="008A7F7E"/>
    <w:rsid w:val="008B04DB"/>
    <w:rsid w:val="008B27FD"/>
    <w:rsid w:val="008B3AF2"/>
    <w:rsid w:val="008B515D"/>
    <w:rsid w:val="008B5D31"/>
    <w:rsid w:val="008B6705"/>
    <w:rsid w:val="008B7AB6"/>
    <w:rsid w:val="008C22F3"/>
    <w:rsid w:val="008C3612"/>
    <w:rsid w:val="008D795D"/>
    <w:rsid w:val="008D7B07"/>
    <w:rsid w:val="008E1E94"/>
    <w:rsid w:val="008E2D99"/>
    <w:rsid w:val="008E4A60"/>
    <w:rsid w:val="008E5102"/>
    <w:rsid w:val="008E744D"/>
    <w:rsid w:val="008F1E08"/>
    <w:rsid w:val="00900D8F"/>
    <w:rsid w:val="009014E3"/>
    <w:rsid w:val="009026E8"/>
    <w:rsid w:val="00906EB7"/>
    <w:rsid w:val="009100F9"/>
    <w:rsid w:val="009102BF"/>
    <w:rsid w:val="009115F2"/>
    <w:rsid w:val="00914ADB"/>
    <w:rsid w:val="00923B25"/>
    <w:rsid w:val="0092402E"/>
    <w:rsid w:val="00924EAB"/>
    <w:rsid w:val="009259BA"/>
    <w:rsid w:val="00926FCB"/>
    <w:rsid w:val="0093311A"/>
    <w:rsid w:val="00933E5A"/>
    <w:rsid w:val="00942645"/>
    <w:rsid w:val="009438DF"/>
    <w:rsid w:val="00950A3A"/>
    <w:rsid w:val="0095340A"/>
    <w:rsid w:val="00954581"/>
    <w:rsid w:val="0095466C"/>
    <w:rsid w:val="00954E5B"/>
    <w:rsid w:val="009576BC"/>
    <w:rsid w:val="00960357"/>
    <w:rsid w:val="0096168C"/>
    <w:rsid w:val="00961840"/>
    <w:rsid w:val="00962F2D"/>
    <w:rsid w:val="009672CD"/>
    <w:rsid w:val="00972996"/>
    <w:rsid w:val="009732B8"/>
    <w:rsid w:val="00975C72"/>
    <w:rsid w:val="00976869"/>
    <w:rsid w:val="00977740"/>
    <w:rsid w:val="00977CB4"/>
    <w:rsid w:val="009809B8"/>
    <w:rsid w:val="0098222D"/>
    <w:rsid w:val="00985099"/>
    <w:rsid w:val="0099421F"/>
    <w:rsid w:val="00995D93"/>
    <w:rsid w:val="009A0DE3"/>
    <w:rsid w:val="009A1643"/>
    <w:rsid w:val="009A215A"/>
    <w:rsid w:val="009A4F1B"/>
    <w:rsid w:val="009A66C5"/>
    <w:rsid w:val="009A79BA"/>
    <w:rsid w:val="009B04E4"/>
    <w:rsid w:val="009B14D1"/>
    <w:rsid w:val="009B1534"/>
    <w:rsid w:val="009B4A3B"/>
    <w:rsid w:val="009B69D3"/>
    <w:rsid w:val="009B7BA7"/>
    <w:rsid w:val="009C0938"/>
    <w:rsid w:val="009C22C8"/>
    <w:rsid w:val="009C3F82"/>
    <w:rsid w:val="009C72DD"/>
    <w:rsid w:val="009C7DF5"/>
    <w:rsid w:val="009D056C"/>
    <w:rsid w:val="009D060F"/>
    <w:rsid w:val="009D1ADE"/>
    <w:rsid w:val="009E09D0"/>
    <w:rsid w:val="009E1283"/>
    <w:rsid w:val="009E3A7F"/>
    <w:rsid w:val="009E57B1"/>
    <w:rsid w:val="009E6379"/>
    <w:rsid w:val="009F7809"/>
    <w:rsid w:val="009F7AF5"/>
    <w:rsid w:val="00A00D14"/>
    <w:rsid w:val="00A01408"/>
    <w:rsid w:val="00A02457"/>
    <w:rsid w:val="00A03190"/>
    <w:rsid w:val="00A0404B"/>
    <w:rsid w:val="00A0798C"/>
    <w:rsid w:val="00A07BDD"/>
    <w:rsid w:val="00A1105B"/>
    <w:rsid w:val="00A15B6B"/>
    <w:rsid w:val="00A15EB4"/>
    <w:rsid w:val="00A16876"/>
    <w:rsid w:val="00A200AA"/>
    <w:rsid w:val="00A20558"/>
    <w:rsid w:val="00A2186F"/>
    <w:rsid w:val="00A2270B"/>
    <w:rsid w:val="00A23B89"/>
    <w:rsid w:val="00A23FE3"/>
    <w:rsid w:val="00A248C3"/>
    <w:rsid w:val="00A2496E"/>
    <w:rsid w:val="00A258B7"/>
    <w:rsid w:val="00A32743"/>
    <w:rsid w:val="00A374ED"/>
    <w:rsid w:val="00A414A9"/>
    <w:rsid w:val="00A44CCA"/>
    <w:rsid w:val="00A44D75"/>
    <w:rsid w:val="00A47CF1"/>
    <w:rsid w:val="00A50418"/>
    <w:rsid w:val="00A54A47"/>
    <w:rsid w:val="00A56D26"/>
    <w:rsid w:val="00A571A7"/>
    <w:rsid w:val="00A608FB"/>
    <w:rsid w:val="00A60D83"/>
    <w:rsid w:val="00A60F68"/>
    <w:rsid w:val="00A63DF3"/>
    <w:rsid w:val="00A65C78"/>
    <w:rsid w:val="00A660A8"/>
    <w:rsid w:val="00A67591"/>
    <w:rsid w:val="00A67CA6"/>
    <w:rsid w:val="00A70E7B"/>
    <w:rsid w:val="00A7190C"/>
    <w:rsid w:val="00A73B84"/>
    <w:rsid w:val="00A7411D"/>
    <w:rsid w:val="00A76094"/>
    <w:rsid w:val="00A768E2"/>
    <w:rsid w:val="00A82C52"/>
    <w:rsid w:val="00A86CB6"/>
    <w:rsid w:val="00A90D55"/>
    <w:rsid w:val="00A944D8"/>
    <w:rsid w:val="00A959E7"/>
    <w:rsid w:val="00A95BBA"/>
    <w:rsid w:val="00A961EE"/>
    <w:rsid w:val="00A975E1"/>
    <w:rsid w:val="00AA04B3"/>
    <w:rsid w:val="00AA1253"/>
    <w:rsid w:val="00AA28EF"/>
    <w:rsid w:val="00AA493E"/>
    <w:rsid w:val="00AA73AF"/>
    <w:rsid w:val="00AB1754"/>
    <w:rsid w:val="00AB27DD"/>
    <w:rsid w:val="00AC22F7"/>
    <w:rsid w:val="00AC36EB"/>
    <w:rsid w:val="00AC439D"/>
    <w:rsid w:val="00AC713F"/>
    <w:rsid w:val="00AD067E"/>
    <w:rsid w:val="00AD129D"/>
    <w:rsid w:val="00AD2801"/>
    <w:rsid w:val="00AD6582"/>
    <w:rsid w:val="00AD6870"/>
    <w:rsid w:val="00AD68C5"/>
    <w:rsid w:val="00AE1273"/>
    <w:rsid w:val="00AE2D29"/>
    <w:rsid w:val="00AE4624"/>
    <w:rsid w:val="00AE5E14"/>
    <w:rsid w:val="00AE6115"/>
    <w:rsid w:val="00AE625B"/>
    <w:rsid w:val="00AF1668"/>
    <w:rsid w:val="00AF4FA5"/>
    <w:rsid w:val="00B07955"/>
    <w:rsid w:val="00B11F1A"/>
    <w:rsid w:val="00B14FAA"/>
    <w:rsid w:val="00B15D30"/>
    <w:rsid w:val="00B20624"/>
    <w:rsid w:val="00B23436"/>
    <w:rsid w:val="00B26354"/>
    <w:rsid w:val="00B26CA0"/>
    <w:rsid w:val="00B279A0"/>
    <w:rsid w:val="00B32179"/>
    <w:rsid w:val="00B331A9"/>
    <w:rsid w:val="00B36569"/>
    <w:rsid w:val="00B40A05"/>
    <w:rsid w:val="00B40A3E"/>
    <w:rsid w:val="00B411F4"/>
    <w:rsid w:val="00B4704A"/>
    <w:rsid w:val="00B47BFD"/>
    <w:rsid w:val="00B50227"/>
    <w:rsid w:val="00B50510"/>
    <w:rsid w:val="00B522CD"/>
    <w:rsid w:val="00B55143"/>
    <w:rsid w:val="00B55917"/>
    <w:rsid w:val="00B643A6"/>
    <w:rsid w:val="00B64DD6"/>
    <w:rsid w:val="00B6710C"/>
    <w:rsid w:val="00B72076"/>
    <w:rsid w:val="00B72303"/>
    <w:rsid w:val="00B82277"/>
    <w:rsid w:val="00B8597E"/>
    <w:rsid w:val="00B91676"/>
    <w:rsid w:val="00B95833"/>
    <w:rsid w:val="00BA1824"/>
    <w:rsid w:val="00BA2D98"/>
    <w:rsid w:val="00BA30D1"/>
    <w:rsid w:val="00BA4609"/>
    <w:rsid w:val="00BA5BE2"/>
    <w:rsid w:val="00BA7F46"/>
    <w:rsid w:val="00BB0A0A"/>
    <w:rsid w:val="00BB45B5"/>
    <w:rsid w:val="00BB6064"/>
    <w:rsid w:val="00BC09D1"/>
    <w:rsid w:val="00BC1CF3"/>
    <w:rsid w:val="00BC7F82"/>
    <w:rsid w:val="00BD40AB"/>
    <w:rsid w:val="00BD6297"/>
    <w:rsid w:val="00BD6806"/>
    <w:rsid w:val="00BD7433"/>
    <w:rsid w:val="00BD7831"/>
    <w:rsid w:val="00BD7C10"/>
    <w:rsid w:val="00BE046F"/>
    <w:rsid w:val="00BE0DEB"/>
    <w:rsid w:val="00BE2FC1"/>
    <w:rsid w:val="00BE6365"/>
    <w:rsid w:val="00BF0B7F"/>
    <w:rsid w:val="00BF4720"/>
    <w:rsid w:val="00BF7B63"/>
    <w:rsid w:val="00C038EC"/>
    <w:rsid w:val="00C05C6D"/>
    <w:rsid w:val="00C1122B"/>
    <w:rsid w:val="00C13B34"/>
    <w:rsid w:val="00C13F26"/>
    <w:rsid w:val="00C1699A"/>
    <w:rsid w:val="00C16E9F"/>
    <w:rsid w:val="00C1713D"/>
    <w:rsid w:val="00C177F1"/>
    <w:rsid w:val="00C22F3A"/>
    <w:rsid w:val="00C25978"/>
    <w:rsid w:val="00C261C6"/>
    <w:rsid w:val="00C26E7C"/>
    <w:rsid w:val="00C30A97"/>
    <w:rsid w:val="00C31DDC"/>
    <w:rsid w:val="00C34326"/>
    <w:rsid w:val="00C36201"/>
    <w:rsid w:val="00C368E8"/>
    <w:rsid w:val="00C36C3D"/>
    <w:rsid w:val="00C372C7"/>
    <w:rsid w:val="00C42443"/>
    <w:rsid w:val="00C42CBA"/>
    <w:rsid w:val="00C44B05"/>
    <w:rsid w:val="00C47AFA"/>
    <w:rsid w:val="00C5019E"/>
    <w:rsid w:val="00C5377C"/>
    <w:rsid w:val="00C53E8A"/>
    <w:rsid w:val="00C54DF3"/>
    <w:rsid w:val="00C560A7"/>
    <w:rsid w:val="00C56BD6"/>
    <w:rsid w:val="00C56FC8"/>
    <w:rsid w:val="00C60F23"/>
    <w:rsid w:val="00C62EB2"/>
    <w:rsid w:val="00C67D39"/>
    <w:rsid w:val="00C71BEC"/>
    <w:rsid w:val="00C72725"/>
    <w:rsid w:val="00C74D3A"/>
    <w:rsid w:val="00C80511"/>
    <w:rsid w:val="00C826F5"/>
    <w:rsid w:val="00C83740"/>
    <w:rsid w:val="00C84AD1"/>
    <w:rsid w:val="00C85579"/>
    <w:rsid w:val="00C863E5"/>
    <w:rsid w:val="00C931FC"/>
    <w:rsid w:val="00C932C5"/>
    <w:rsid w:val="00C9650E"/>
    <w:rsid w:val="00CA068D"/>
    <w:rsid w:val="00CA1228"/>
    <w:rsid w:val="00CA282D"/>
    <w:rsid w:val="00CA4670"/>
    <w:rsid w:val="00CA6B1A"/>
    <w:rsid w:val="00CB20DC"/>
    <w:rsid w:val="00CB23DC"/>
    <w:rsid w:val="00CB2487"/>
    <w:rsid w:val="00CB28E2"/>
    <w:rsid w:val="00CB7A3E"/>
    <w:rsid w:val="00CB7FF7"/>
    <w:rsid w:val="00CC0D0E"/>
    <w:rsid w:val="00CC19B3"/>
    <w:rsid w:val="00CC2044"/>
    <w:rsid w:val="00CC39D2"/>
    <w:rsid w:val="00CC69EC"/>
    <w:rsid w:val="00CD15BE"/>
    <w:rsid w:val="00CD1629"/>
    <w:rsid w:val="00CD1EF2"/>
    <w:rsid w:val="00CD32BD"/>
    <w:rsid w:val="00CD34C7"/>
    <w:rsid w:val="00CD5653"/>
    <w:rsid w:val="00CD5E6D"/>
    <w:rsid w:val="00CD63C8"/>
    <w:rsid w:val="00CD69A0"/>
    <w:rsid w:val="00CF158D"/>
    <w:rsid w:val="00CF1A48"/>
    <w:rsid w:val="00CF4394"/>
    <w:rsid w:val="00D000A9"/>
    <w:rsid w:val="00D005DB"/>
    <w:rsid w:val="00D0064E"/>
    <w:rsid w:val="00D00981"/>
    <w:rsid w:val="00D0280D"/>
    <w:rsid w:val="00D03EB0"/>
    <w:rsid w:val="00D060A9"/>
    <w:rsid w:val="00D07A72"/>
    <w:rsid w:val="00D10577"/>
    <w:rsid w:val="00D1323B"/>
    <w:rsid w:val="00D14BAE"/>
    <w:rsid w:val="00D1648B"/>
    <w:rsid w:val="00D16819"/>
    <w:rsid w:val="00D20AC0"/>
    <w:rsid w:val="00D21E83"/>
    <w:rsid w:val="00D2321B"/>
    <w:rsid w:val="00D23DE4"/>
    <w:rsid w:val="00D26873"/>
    <w:rsid w:val="00D31683"/>
    <w:rsid w:val="00D31BEC"/>
    <w:rsid w:val="00D336C8"/>
    <w:rsid w:val="00D339E8"/>
    <w:rsid w:val="00D3662E"/>
    <w:rsid w:val="00D40B1F"/>
    <w:rsid w:val="00D40D75"/>
    <w:rsid w:val="00D449F0"/>
    <w:rsid w:val="00D451C0"/>
    <w:rsid w:val="00D50C8C"/>
    <w:rsid w:val="00D52393"/>
    <w:rsid w:val="00D523E4"/>
    <w:rsid w:val="00D5279D"/>
    <w:rsid w:val="00D52A1B"/>
    <w:rsid w:val="00D53F14"/>
    <w:rsid w:val="00D54BE4"/>
    <w:rsid w:val="00D60483"/>
    <w:rsid w:val="00D61ABB"/>
    <w:rsid w:val="00D63577"/>
    <w:rsid w:val="00D67FD7"/>
    <w:rsid w:val="00D74261"/>
    <w:rsid w:val="00D7441B"/>
    <w:rsid w:val="00D761D8"/>
    <w:rsid w:val="00D76AB2"/>
    <w:rsid w:val="00D80490"/>
    <w:rsid w:val="00D829AD"/>
    <w:rsid w:val="00D82EE2"/>
    <w:rsid w:val="00D8545C"/>
    <w:rsid w:val="00D87788"/>
    <w:rsid w:val="00D877C8"/>
    <w:rsid w:val="00D910C2"/>
    <w:rsid w:val="00D9168C"/>
    <w:rsid w:val="00D9189B"/>
    <w:rsid w:val="00D91DA6"/>
    <w:rsid w:val="00D9413B"/>
    <w:rsid w:val="00D9706F"/>
    <w:rsid w:val="00D972D4"/>
    <w:rsid w:val="00DA195B"/>
    <w:rsid w:val="00DA6B55"/>
    <w:rsid w:val="00DB0015"/>
    <w:rsid w:val="00DB0605"/>
    <w:rsid w:val="00DB2AAD"/>
    <w:rsid w:val="00DB5584"/>
    <w:rsid w:val="00DB6119"/>
    <w:rsid w:val="00DB626D"/>
    <w:rsid w:val="00DB6365"/>
    <w:rsid w:val="00DC0BF1"/>
    <w:rsid w:val="00DC41C3"/>
    <w:rsid w:val="00DD3593"/>
    <w:rsid w:val="00DE0C67"/>
    <w:rsid w:val="00DE6952"/>
    <w:rsid w:val="00DE7E74"/>
    <w:rsid w:val="00DF6EF8"/>
    <w:rsid w:val="00E00A69"/>
    <w:rsid w:val="00E017F0"/>
    <w:rsid w:val="00E01A0E"/>
    <w:rsid w:val="00E041E4"/>
    <w:rsid w:val="00E1012B"/>
    <w:rsid w:val="00E103C8"/>
    <w:rsid w:val="00E1085B"/>
    <w:rsid w:val="00E1308B"/>
    <w:rsid w:val="00E14581"/>
    <w:rsid w:val="00E15539"/>
    <w:rsid w:val="00E16541"/>
    <w:rsid w:val="00E2536E"/>
    <w:rsid w:val="00E25B8A"/>
    <w:rsid w:val="00E2632B"/>
    <w:rsid w:val="00E322F7"/>
    <w:rsid w:val="00E3369B"/>
    <w:rsid w:val="00E36D76"/>
    <w:rsid w:val="00E405EA"/>
    <w:rsid w:val="00E408B7"/>
    <w:rsid w:val="00E41637"/>
    <w:rsid w:val="00E42199"/>
    <w:rsid w:val="00E42789"/>
    <w:rsid w:val="00E429B8"/>
    <w:rsid w:val="00E43F59"/>
    <w:rsid w:val="00E464F0"/>
    <w:rsid w:val="00E50BEB"/>
    <w:rsid w:val="00E548FA"/>
    <w:rsid w:val="00E5667C"/>
    <w:rsid w:val="00E60185"/>
    <w:rsid w:val="00E6092F"/>
    <w:rsid w:val="00E62049"/>
    <w:rsid w:val="00E629DA"/>
    <w:rsid w:val="00E6469F"/>
    <w:rsid w:val="00E67FAC"/>
    <w:rsid w:val="00E7200B"/>
    <w:rsid w:val="00E738CB"/>
    <w:rsid w:val="00E73C88"/>
    <w:rsid w:val="00E74437"/>
    <w:rsid w:val="00E7443D"/>
    <w:rsid w:val="00E762C9"/>
    <w:rsid w:val="00E81C3E"/>
    <w:rsid w:val="00E82B6D"/>
    <w:rsid w:val="00EA1177"/>
    <w:rsid w:val="00EA118B"/>
    <w:rsid w:val="00EA11B6"/>
    <w:rsid w:val="00EA2181"/>
    <w:rsid w:val="00EA2DD8"/>
    <w:rsid w:val="00EA4475"/>
    <w:rsid w:val="00EA681F"/>
    <w:rsid w:val="00EB3823"/>
    <w:rsid w:val="00EB47D8"/>
    <w:rsid w:val="00EB57D3"/>
    <w:rsid w:val="00EB5EFD"/>
    <w:rsid w:val="00EB679F"/>
    <w:rsid w:val="00EB6D99"/>
    <w:rsid w:val="00EB76E4"/>
    <w:rsid w:val="00EC0E65"/>
    <w:rsid w:val="00EC219C"/>
    <w:rsid w:val="00EC2938"/>
    <w:rsid w:val="00EC50C9"/>
    <w:rsid w:val="00EC58B4"/>
    <w:rsid w:val="00EC5BB2"/>
    <w:rsid w:val="00ED12F0"/>
    <w:rsid w:val="00ED4773"/>
    <w:rsid w:val="00ED664B"/>
    <w:rsid w:val="00ED6A61"/>
    <w:rsid w:val="00EE03BB"/>
    <w:rsid w:val="00EE0B44"/>
    <w:rsid w:val="00EE6FE0"/>
    <w:rsid w:val="00EE704A"/>
    <w:rsid w:val="00EE7840"/>
    <w:rsid w:val="00EF1FDC"/>
    <w:rsid w:val="00EF4C74"/>
    <w:rsid w:val="00EF5268"/>
    <w:rsid w:val="00EF608E"/>
    <w:rsid w:val="00EF695A"/>
    <w:rsid w:val="00EF6BB7"/>
    <w:rsid w:val="00F0044B"/>
    <w:rsid w:val="00F03161"/>
    <w:rsid w:val="00F04957"/>
    <w:rsid w:val="00F05807"/>
    <w:rsid w:val="00F07052"/>
    <w:rsid w:val="00F0706C"/>
    <w:rsid w:val="00F11EBE"/>
    <w:rsid w:val="00F1276F"/>
    <w:rsid w:val="00F12BA8"/>
    <w:rsid w:val="00F130D0"/>
    <w:rsid w:val="00F1480E"/>
    <w:rsid w:val="00F14933"/>
    <w:rsid w:val="00F1516A"/>
    <w:rsid w:val="00F22A26"/>
    <w:rsid w:val="00F24072"/>
    <w:rsid w:val="00F26432"/>
    <w:rsid w:val="00F3197A"/>
    <w:rsid w:val="00F32139"/>
    <w:rsid w:val="00F3342B"/>
    <w:rsid w:val="00F33D56"/>
    <w:rsid w:val="00F34E08"/>
    <w:rsid w:val="00F41D91"/>
    <w:rsid w:val="00F42363"/>
    <w:rsid w:val="00F43668"/>
    <w:rsid w:val="00F46964"/>
    <w:rsid w:val="00F46F9A"/>
    <w:rsid w:val="00F50CDC"/>
    <w:rsid w:val="00F5126A"/>
    <w:rsid w:val="00F6636A"/>
    <w:rsid w:val="00F667C5"/>
    <w:rsid w:val="00F67E31"/>
    <w:rsid w:val="00F718A8"/>
    <w:rsid w:val="00F71AA8"/>
    <w:rsid w:val="00F72183"/>
    <w:rsid w:val="00F75249"/>
    <w:rsid w:val="00F76D01"/>
    <w:rsid w:val="00F81C35"/>
    <w:rsid w:val="00F81EFB"/>
    <w:rsid w:val="00F82981"/>
    <w:rsid w:val="00F8311F"/>
    <w:rsid w:val="00F83248"/>
    <w:rsid w:val="00F83376"/>
    <w:rsid w:val="00F853AE"/>
    <w:rsid w:val="00F85F77"/>
    <w:rsid w:val="00F92761"/>
    <w:rsid w:val="00F937B1"/>
    <w:rsid w:val="00F93BEB"/>
    <w:rsid w:val="00F93C74"/>
    <w:rsid w:val="00F93DCC"/>
    <w:rsid w:val="00F9435D"/>
    <w:rsid w:val="00F97740"/>
    <w:rsid w:val="00FA2F7B"/>
    <w:rsid w:val="00FB09FE"/>
    <w:rsid w:val="00FB593A"/>
    <w:rsid w:val="00FB6410"/>
    <w:rsid w:val="00FB6E82"/>
    <w:rsid w:val="00FC0042"/>
    <w:rsid w:val="00FC2A13"/>
    <w:rsid w:val="00FC4284"/>
    <w:rsid w:val="00FC4576"/>
    <w:rsid w:val="00FC7DBC"/>
    <w:rsid w:val="00FD076A"/>
    <w:rsid w:val="00FD0AA0"/>
    <w:rsid w:val="00FD1D5A"/>
    <w:rsid w:val="00FD28C9"/>
    <w:rsid w:val="00FD5059"/>
    <w:rsid w:val="00FD554D"/>
    <w:rsid w:val="00FE2D7E"/>
    <w:rsid w:val="00FE2EDD"/>
    <w:rsid w:val="00FE6469"/>
    <w:rsid w:val="00FF0FF7"/>
    <w:rsid w:val="00FF1438"/>
    <w:rsid w:val="00FF3A38"/>
    <w:rsid w:val="00FF3C25"/>
    <w:rsid w:val="00FF61BD"/>
    <w:rsid w:val="00FF6B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6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509877548">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933051923">
      <w:bodyDiv w:val="1"/>
      <w:marLeft w:val="0"/>
      <w:marRight w:val="0"/>
      <w:marTop w:val="0"/>
      <w:marBottom w:val="0"/>
      <w:divBdr>
        <w:top w:val="none" w:sz="0" w:space="0" w:color="auto"/>
        <w:left w:val="none" w:sz="0" w:space="0" w:color="auto"/>
        <w:bottom w:val="none" w:sz="0" w:space="0" w:color="auto"/>
        <w:right w:val="none" w:sz="0" w:space="0" w:color="auto"/>
      </w:divBdr>
    </w:div>
    <w:div w:id="974066448">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27320410">
      <w:bodyDiv w:val="1"/>
      <w:marLeft w:val="0"/>
      <w:marRight w:val="0"/>
      <w:marTop w:val="0"/>
      <w:marBottom w:val="0"/>
      <w:divBdr>
        <w:top w:val="none" w:sz="0" w:space="0" w:color="auto"/>
        <w:left w:val="none" w:sz="0" w:space="0" w:color="auto"/>
        <w:bottom w:val="none" w:sz="0" w:space="0" w:color="auto"/>
        <w:right w:val="none" w:sz="0" w:space="0" w:color="auto"/>
      </w:divBdr>
    </w:div>
    <w:div w:id="140155613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FC47F-8C51-47EC-9B05-1EB48505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2011-02-08T16:33:00Z</cp:lastPrinted>
  <dcterms:created xsi:type="dcterms:W3CDTF">2012-03-08T17:35:00Z</dcterms:created>
  <dcterms:modified xsi:type="dcterms:W3CDTF">2012-03-08T17:35:00Z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