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0" w:rsidRPr="00407AD4" w:rsidRDefault="00540A30" w:rsidP="00540BEF">
      <w:pPr>
        <w:tabs>
          <w:tab w:val="left" w:pos="288"/>
          <w:tab w:val="left" w:pos="4752"/>
        </w:tabs>
        <w:spacing w:line="240" w:lineRule="exact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RECORD OF PROCEEDINGS</w:t>
      </w:r>
    </w:p>
    <w:p w:rsidR="00540BEF" w:rsidRPr="00407AD4" w:rsidRDefault="00540BEF" w:rsidP="00540BEF">
      <w:pPr>
        <w:tabs>
          <w:tab w:val="left" w:pos="288"/>
          <w:tab w:val="left" w:pos="4752"/>
        </w:tabs>
        <w:spacing w:line="240" w:lineRule="exact"/>
        <w:jc w:val="center"/>
        <w:rPr>
          <w:rFonts w:ascii="Calibri" w:hAnsi="Calibri"/>
          <w:color w:val="auto"/>
        </w:rPr>
      </w:pPr>
      <w:r w:rsidRPr="00407AD4">
        <w:rPr>
          <w:rFonts w:ascii="Calibri" w:hAnsi="Calibri"/>
          <w:color w:val="auto"/>
        </w:rPr>
        <w:t>PHYSICAL DISABILITY BOARD OF REVIEW</w:t>
      </w:r>
    </w:p>
    <w:p w:rsidR="00540BEF" w:rsidRPr="00407AD4" w:rsidRDefault="00540BEF" w:rsidP="00540BEF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</w:p>
    <w:p w:rsidR="00540BEF" w:rsidRPr="00407AD4" w:rsidRDefault="00540BEF" w:rsidP="00540BEF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  <w:r w:rsidRPr="00407AD4">
        <w:rPr>
          <w:rFonts w:ascii="Calibri" w:hAnsi="Calibri"/>
          <w:color w:val="auto"/>
        </w:rPr>
        <w:t>NAME:</w:t>
      </w:r>
      <w:r w:rsidR="007E3883" w:rsidRPr="00407AD4">
        <w:rPr>
          <w:rFonts w:ascii="Calibri" w:hAnsi="Calibri"/>
          <w:color w:val="auto"/>
        </w:rPr>
        <w:t xml:space="preserve"> </w:t>
      </w:r>
      <w:r w:rsidR="00407AD4" w:rsidRPr="00407AD4">
        <w:rPr>
          <w:rFonts w:ascii="Calibri" w:hAnsi="Calibri"/>
          <w:color w:val="auto"/>
        </w:rPr>
        <w:t xml:space="preserve"> </w:t>
      </w:r>
      <w:r w:rsidR="00855061">
        <w:rPr>
          <w:rFonts w:ascii="Calibri" w:hAnsi="Calibri"/>
          <w:color w:val="auto"/>
        </w:rPr>
        <w:t>XXXXXX</w:t>
      </w:r>
      <w:r w:rsidRPr="00407AD4">
        <w:rPr>
          <w:rFonts w:ascii="Calibri" w:hAnsi="Calibri"/>
          <w:color w:val="auto"/>
        </w:rPr>
        <w:tab/>
      </w:r>
      <w:r w:rsidRPr="00407AD4">
        <w:rPr>
          <w:rFonts w:ascii="Calibri" w:hAnsi="Calibri"/>
          <w:color w:val="auto"/>
        </w:rPr>
        <w:tab/>
        <w:t xml:space="preserve">BRANCH OF SERVICE: </w:t>
      </w:r>
      <w:r w:rsidR="00407AD4" w:rsidRPr="00407AD4">
        <w:rPr>
          <w:rFonts w:ascii="Calibri" w:hAnsi="Calibri"/>
          <w:color w:val="auto"/>
        </w:rPr>
        <w:t xml:space="preserve"> </w:t>
      </w:r>
      <w:r w:rsidR="00C23B73">
        <w:rPr>
          <w:rFonts w:ascii="Calibri" w:hAnsi="Calibri"/>
          <w:caps/>
          <w:color w:val="auto"/>
        </w:rPr>
        <w:t>MARINE CORPS</w:t>
      </w:r>
      <w:r w:rsidR="00B26C70" w:rsidRPr="00407AD4">
        <w:rPr>
          <w:rFonts w:ascii="Calibri" w:hAnsi="Calibri"/>
          <w:caps/>
          <w:color w:val="auto"/>
        </w:rPr>
        <w:t xml:space="preserve"> </w:t>
      </w:r>
    </w:p>
    <w:p w:rsidR="005B52F7" w:rsidRDefault="00563439" w:rsidP="00540BEF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CASE NUMBER:  PD09</w:t>
      </w:r>
      <w:r w:rsidR="00B26C70" w:rsidRPr="00407AD4">
        <w:rPr>
          <w:rFonts w:ascii="Calibri" w:hAnsi="Calibri"/>
          <w:color w:val="auto"/>
        </w:rPr>
        <w:t>0</w:t>
      </w:r>
      <w:r w:rsidR="007B5111">
        <w:rPr>
          <w:rFonts w:ascii="Calibri" w:hAnsi="Calibri"/>
          <w:color w:val="auto"/>
        </w:rPr>
        <w:t>0</w:t>
      </w:r>
      <w:r w:rsidR="00B26C70" w:rsidRPr="00407AD4">
        <w:rPr>
          <w:rFonts w:ascii="Calibri" w:hAnsi="Calibri"/>
          <w:color w:val="auto"/>
        </w:rPr>
        <w:t>660</w:t>
      </w:r>
      <w:r w:rsidR="00540BEF" w:rsidRPr="00407AD4">
        <w:rPr>
          <w:rFonts w:ascii="Calibri" w:hAnsi="Calibri"/>
          <w:color w:val="auto"/>
        </w:rPr>
        <w:tab/>
      </w:r>
      <w:r w:rsidR="00540BEF" w:rsidRPr="00407AD4">
        <w:rPr>
          <w:rFonts w:ascii="Calibri" w:hAnsi="Calibri"/>
          <w:color w:val="auto"/>
        </w:rPr>
        <w:tab/>
        <w:t xml:space="preserve">BOARD DATE: </w:t>
      </w:r>
      <w:r w:rsidR="00407AD4" w:rsidRPr="00407AD4">
        <w:rPr>
          <w:rFonts w:ascii="Calibri" w:hAnsi="Calibri"/>
          <w:color w:val="auto"/>
        </w:rPr>
        <w:t xml:space="preserve"> </w:t>
      </w:r>
      <w:r w:rsidR="000F02BE" w:rsidRPr="00407AD4">
        <w:rPr>
          <w:rFonts w:ascii="Calibri" w:hAnsi="Calibri"/>
          <w:color w:val="auto"/>
        </w:rPr>
        <w:t>201</w:t>
      </w:r>
      <w:r w:rsidR="00407AD4" w:rsidRPr="00407AD4">
        <w:rPr>
          <w:rFonts w:ascii="Calibri" w:hAnsi="Calibri"/>
          <w:color w:val="auto"/>
        </w:rPr>
        <w:t>1</w:t>
      </w:r>
      <w:r w:rsidR="001D5A89">
        <w:rPr>
          <w:rFonts w:ascii="Calibri" w:hAnsi="Calibri"/>
          <w:color w:val="auto"/>
        </w:rPr>
        <w:t>0204</w:t>
      </w:r>
      <w:r w:rsidR="00540BEF" w:rsidRPr="00407AD4">
        <w:rPr>
          <w:rFonts w:ascii="Calibri" w:hAnsi="Calibri"/>
          <w:color w:val="auto"/>
        </w:rPr>
        <w:tab/>
      </w:r>
    </w:p>
    <w:p w:rsidR="00540BEF" w:rsidRPr="00407AD4" w:rsidRDefault="00540BEF" w:rsidP="00540BEF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  <w:r w:rsidRPr="00407AD4">
        <w:rPr>
          <w:rFonts w:ascii="Calibri" w:hAnsi="Calibri"/>
          <w:color w:val="auto"/>
        </w:rPr>
        <w:t xml:space="preserve">SEPARATION DATE: </w:t>
      </w:r>
      <w:r w:rsidR="00407AD4" w:rsidRPr="00407AD4">
        <w:rPr>
          <w:rFonts w:ascii="Calibri" w:hAnsi="Calibri"/>
          <w:color w:val="auto"/>
        </w:rPr>
        <w:t xml:space="preserve"> </w:t>
      </w:r>
      <w:r w:rsidR="000E0993" w:rsidRPr="00407AD4">
        <w:rPr>
          <w:rFonts w:ascii="Calibri" w:hAnsi="Calibri"/>
          <w:color w:val="auto"/>
        </w:rPr>
        <w:t>200</w:t>
      </w:r>
      <w:r w:rsidR="00B26C70" w:rsidRPr="00407AD4">
        <w:rPr>
          <w:rFonts w:ascii="Calibri" w:hAnsi="Calibri"/>
          <w:color w:val="auto"/>
        </w:rPr>
        <w:t>80630</w:t>
      </w:r>
    </w:p>
    <w:p w:rsidR="00B522CD" w:rsidRDefault="00540BEF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u w:val="single"/>
        </w:rPr>
      </w:pPr>
      <w:r w:rsidRPr="00407AD4">
        <w:rPr>
          <w:rFonts w:ascii="Calibri" w:hAnsi="Calibri"/>
          <w:color w:val="auto"/>
          <w:u w:val="single"/>
        </w:rPr>
        <w:t>__________________________________________________________</w:t>
      </w:r>
      <w:r w:rsidR="00407AD4" w:rsidRPr="00407AD4">
        <w:rPr>
          <w:rFonts w:ascii="Calibri" w:hAnsi="Calibri"/>
          <w:color w:val="auto"/>
          <w:u w:val="single"/>
        </w:rPr>
        <w:t>____________________</w:t>
      </w:r>
    </w:p>
    <w:p w:rsidR="00407AD4" w:rsidRPr="00407AD4" w:rsidRDefault="00407AD4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</w:p>
    <w:p w:rsidR="0065508C" w:rsidRPr="00407AD4" w:rsidRDefault="002C6E5B" w:rsidP="001F5158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</w:rPr>
      </w:pPr>
      <w:r w:rsidRPr="00407AD4">
        <w:rPr>
          <w:rFonts w:ascii="Calibri" w:hAnsi="Calibri" w:cs="Courier New"/>
          <w:color w:val="auto"/>
          <w:u w:val="single"/>
        </w:rPr>
        <w:t>SUMMARY OF CASE</w:t>
      </w:r>
      <w:r w:rsidRPr="00407AD4">
        <w:rPr>
          <w:rFonts w:ascii="Calibri" w:hAnsi="Calibri" w:cs="Courier New"/>
          <w:color w:val="auto"/>
        </w:rPr>
        <w:t>:</w:t>
      </w:r>
      <w:r w:rsidRPr="00407AD4">
        <w:rPr>
          <w:rFonts w:ascii="Calibri" w:hAnsi="Calibri"/>
          <w:color w:val="auto"/>
        </w:rPr>
        <w:t xml:space="preserve">  </w:t>
      </w:r>
      <w:r w:rsidR="00C23B73">
        <w:rPr>
          <w:rFonts w:ascii="Calibri" w:hAnsi="Calibri"/>
          <w:color w:val="auto"/>
          <w:szCs w:val="24"/>
        </w:rPr>
        <w:t>Data extracted from the available evidence of record reflects that this covered individual (CI)</w:t>
      </w:r>
      <w:r w:rsidR="00B26C70" w:rsidRPr="00407AD4">
        <w:rPr>
          <w:rFonts w:ascii="Calibri" w:hAnsi="Calibri" w:cs="Courier New"/>
          <w:color w:val="auto"/>
          <w:szCs w:val="24"/>
        </w:rPr>
        <w:t>, Corporal/E4 (MOS 5811 / Military Police</w:t>
      </w:r>
      <w:r w:rsidR="00E322F7" w:rsidRPr="00407AD4">
        <w:rPr>
          <w:rFonts w:ascii="Calibri" w:hAnsi="Calibri" w:cs="Courier New"/>
          <w:color w:val="auto"/>
          <w:szCs w:val="24"/>
        </w:rPr>
        <w:t>)</w:t>
      </w:r>
      <w:r w:rsidR="00535883" w:rsidRPr="00407AD4">
        <w:rPr>
          <w:rFonts w:ascii="Calibri" w:hAnsi="Calibri" w:cs="Courier New"/>
          <w:color w:val="auto"/>
          <w:szCs w:val="24"/>
        </w:rPr>
        <w:t>,</w:t>
      </w:r>
      <w:r w:rsidR="00B26C70" w:rsidRPr="00407AD4">
        <w:rPr>
          <w:rFonts w:ascii="Calibri" w:hAnsi="Calibri" w:cs="Courier New"/>
          <w:color w:val="auto"/>
          <w:szCs w:val="24"/>
        </w:rPr>
        <w:t xml:space="preserve"> was </w:t>
      </w:r>
      <w:r w:rsidRPr="00407AD4">
        <w:rPr>
          <w:rFonts w:ascii="Calibri" w:hAnsi="Calibri" w:cs="Courier New"/>
          <w:color w:val="auto"/>
          <w:szCs w:val="24"/>
        </w:rPr>
        <w:t xml:space="preserve">medically separated from the </w:t>
      </w:r>
      <w:r w:rsidR="00B26C70" w:rsidRPr="00407AD4">
        <w:rPr>
          <w:rFonts w:ascii="Calibri" w:hAnsi="Calibri" w:cs="Courier New"/>
          <w:color w:val="auto"/>
          <w:szCs w:val="24"/>
        </w:rPr>
        <w:t>Marine Corps on</w:t>
      </w:r>
      <w:r w:rsidRPr="00407AD4">
        <w:rPr>
          <w:rFonts w:ascii="Calibri" w:hAnsi="Calibri" w:cs="Courier New"/>
          <w:color w:val="auto"/>
          <w:szCs w:val="24"/>
        </w:rPr>
        <w:t xml:space="preserve"> </w:t>
      </w:r>
      <w:r w:rsidR="005B52F7">
        <w:rPr>
          <w:rFonts w:ascii="Calibri" w:hAnsi="Calibri" w:cs="Courier New"/>
          <w:color w:val="auto"/>
          <w:szCs w:val="24"/>
        </w:rPr>
        <w:t>30 Jun 08</w:t>
      </w:r>
      <w:r w:rsidR="00B26C70" w:rsidRPr="00407AD4">
        <w:rPr>
          <w:rFonts w:ascii="Calibri" w:hAnsi="Calibri" w:cs="Courier New"/>
          <w:color w:val="auto"/>
          <w:szCs w:val="24"/>
        </w:rPr>
        <w:t>.</w:t>
      </w:r>
      <w:r w:rsidRPr="00407AD4">
        <w:rPr>
          <w:rFonts w:ascii="Calibri" w:hAnsi="Calibri" w:cs="Courier New"/>
          <w:color w:val="auto"/>
          <w:szCs w:val="24"/>
        </w:rPr>
        <w:t xml:space="preserve"> </w:t>
      </w:r>
      <w:r w:rsidR="0065508C" w:rsidRPr="00407AD4">
        <w:rPr>
          <w:rFonts w:ascii="Calibri" w:hAnsi="Calibri" w:cs="Courier New"/>
          <w:color w:val="auto"/>
          <w:szCs w:val="24"/>
        </w:rPr>
        <w:t xml:space="preserve"> In March 2005 the CI injured her right knee while running on a treadmill.  She was diagnosed with a stress fracture and tendonitis and placed on </w:t>
      </w:r>
      <w:r w:rsidR="00695704" w:rsidRPr="00407AD4">
        <w:rPr>
          <w:rFonts w:ascii="Calibri" w:hAnsi="Calibri" w:cs="Courier New"/>
          <w:color w:val="auto"/>
          <w:szCs w:val="24"/>
        </w:rPr>
        <w:t>limited duty (LIMDU)</w:t>
      </w:r>
      <w:r w:rsidR="0065508C" w:rsidRPr="00407AD4">
        <w:rPr>
          <w:rFonts w:ascii="Calibri" w:hAnsi="Calibri" w:cs="Courier New"/>
          <w:color w:val="auto"/>
          <w:szCs w:val="24"/>
        </w:rPr>
        <w:t xml:space="preserve">.  </w:t>
      </w:r>
      <w:r w:rsidR="006C1F9C">
        <w:rPr>
          <w:rFonts w:ascii="Calibri" w:hAnsi="Calibri" w:cs="Courier New"/>
          <w:color w:val="auto"/>
          <w:szCs w:val="24"/>
        </w:rPr>
        <w:t xml:space="preserve">The CI was </w:t>
      </w:r>
      <w:r w:rsidR="00C07AAD" w:rsidRPr="00407AD4">
        <w:rPr>
          <w:rFonts w:ascii="Calibri" w:hAnsi="Calibri" w:cs="Courier New"/>
          <w:color w:val="auto"/>
          <w:szCs w:val="24"/>
        </w:rPr>
        <w:t xml:space="preserve">diagnosed with right medial </w:t>
      </w:r>
      <w:proofErr w:type="spellStart"/>
      <w:r w:rsidR="00C07AAD" w:rsidRPr="00407AD4">
        <w:rPr>
          <w:rFonts w:ascii="Calibri" w:hAnsi="Calibri" w:cs="Courier New"/>
          <w:color w:val="auto"/>
          <w:szCs w:val="24"/>
        </w:rPr>
        <w:t>meniscal</w:t>
      </w:r>
      <w:proofErr w:type="spellEnd"/>
      <w:r w:rsidR="00C07AAD" w:rsidRPr="00407AD4">
        <w:rPr>
          <w:rFonts w:ascii="Calibri" w:hAnsi="Calibri" w:cs="Courier New"/>
          <w:color w:val="auto"/>
          <w:szCs w:val="24"/>
        </w:rPr>
        <w:t xml:space="preserve"> tear and underwent </w:t>
      </w:r>
      <w:r w:rsidR="006C1F9C">
        <w:rPr>
          <w:rFonts w:ascii="Calibri" w:hAnsi="Calibri" w:cs="Courier New"/>
          <w:color w:val="auto"/>
          <w:szCs w:val="24"/>
        </w:rPr>
        <w:t xml:space="preserve">endoscopic </w:t>
      </w:r>
      <w:r w:rsidR="00C07AAD" w:rsidRPr="00407AD4">
        <w:rPr>
          <w:rFonts w:ascii="Calibri" w:hAnsi="Calibri" w:cs="Courier New"/>
          <w:color w:val="auto"/>
          <w:szCs w:val="24"/>
        </w:rPr>
        <w:t>repair</w:t>
      </w:r>
      <w:r w:rsidR="006C1F9C">
        <w:rPr>
          <w:rFonts w:ascii="Calibri" w:hAnsi="Calibri" w:cs="Courier New"/>
          <w:color w:val="auto"/>
          <w:szCs w:val="24"/>
        </w:rPr>
        <w:t>s</w:t>
      </w:r>
      <w:r w:rsidR="00C07AAD" w:rsidRPr="00407AD4">
        <w:rPr>
          <w:rFonts w:ascii="Calibri" w:hAnsi="Calibri" w:cs="Courier New"/>
          <w:color w:val="auto"/>
          <w:szCs w:val="24"/>
        </w:rPr>
        <w:t xml:space="preserve"> in May </w:t>
      </w:r>
      <w:r w:rsidR="005B52F7">
        <w:rPr>
          <w:rFonts w:ascii="Calibri" w:hAnsi="Calibri" w:cs="Courier New"/>
          <w:color w:val="auto"/>
          <w:szCs w:val="24"/>
        </w:rPr>
        <w:t>20</w:t>
      </w:r>
      <w:r w:rsidR="00C07AAD" w:rsidRPr="00407AD4">
        <w:rPr>
          <w:rFonts w:ascii="Calibri" w:hAnsi="Calibri" w:cs="Courier New"/>
          <w:color w:val="auto"/>
          <w:szCs w:val="24"/>
        </w:rPr>
        <w:t xml:space="preserve">06 </w:t>
      </w:r>
      <w:r w:rsidR="006C1F9C">
        <w:rPr>
          <w:rFonts w:ascii="Calibri" w:hAnsi="Calibri" w:cs="Courier New"/>
          <w:color w:val="auto"/>
          <w:szCs w:val="24"/>
        </w:rPr>
        <w:t>and</w:t>
      </w:r>
      <w:r w:rsidR="00C07AAD" w:rsidRPr="00407AD4">
        <w:rPr>
          <w:rFonts w:ascii="Calibri" w:hAnsi="Calibri" w:cs="Courier New"/>
          <w:color w:val="auto"/>
          <w:szCs w:val="24"/>
        </w:rPr>
        <w:t xml:space="preserve"> Jun</w:t>
      </w:r>
      <w:r w:rsidR="005B52F7">
        <w:rPr>
          <w:rFonts w:ascii="Calibri" w:hAnsi="Calibri" w:cs="Courier New"/>
          <w:color w:val="auto"/>
          <w:szCs w:val="24"/>
        </w:rPr>
        <w:t>e</w:t>
      </w:r>
      <w:r w:rsidR="00C07AAD" w:rsidRPr="00407AD4">
        <w:rPr>
          <w:rFonts w:ascii="Calibri" w:hAnsi="Calibri" w:cs="Courier New"/>
          <w:color w:val="auto"/>
          <w:szCs w:val="24"/>
        </w:rPr>
        <w:t xml:space="preserve"> 2007 </w:t>
      </w:r>
      <w:r w:rsidR="000223DC" w:rsidRPr="00407AD4">
        <w:rPr>
          <w:rFonts w:ascii="Calibri" w:hAnsi="Calibri" w:cs="Courier New"/>
          <w:color w:val="auto"/>
          <w:szCs w:val="24"/>
        </w:rPr>
        <w:t>with</w:t>
      </w:r>
      <w:r w:rsidR="00C07AAD" w:rsidRPr="00407AD4">
        <w:rPr>
          <w:rFonts w:ascii="Calibri" w:hAnsi="Calibri" w:cs="Courier New"/>
          <w:color w:val="auto"/>
          <w:szCs w:val="24"/>
        </w:rPr>
        <w:t xml:space="preserve"> </w:t>
      </w:r>
      <w:r w:rsidR="00544AE5" w:rsidRPr="00407AD4">
        <w:rPr>
          <w:rFonts w:ascii="Calibri" w:hAnsi="Calibri" w:cs="Courier New"/>
          <w:color w:val="auto"/>
          <w:szCs w:val="24"/>
        </w:rPr>
        <w:t>debridement</w:t>
      </w:r>
      <w:r w:rsidR="00C07AAD" w:rsidRPr="00407AD4">
        <w:rPr>
          <w:rFonts w:ascii="Calibri" w:hAnsi="Calibri" w:cs="Courier New"/>
          <w:color w:val="auto"/>
          <w:szCs w:val="24"/>
        </w:rPr>
        <w:t xml:space="preserve"> of painful </w:t>
      </w:r>
      <w:proofErr w:type="spellStart"/>
      <w:r w:rsidR="00C07AAD" w:rsidRPr="00407AD4">
        <w:rPr>
          <w:rFonts w:ascii="Calibri" w:hAnsi="Calibri" w:cs="Courier New"/>
          <w:color w:val="auto"/>
          <w:szCs w:val="24"/>
        </w:rPr>
        <w:t>plica</w:t>
      </w:r>
      <w:proofErr w:type="spellEnd"/>
      <w:r w:rsidR="00C07AAD" w:rsidRPr="00407AD4">
        <w:rPr>
          <w:rFonts w:ascii="Calibri" w:hAnsi="Calibri" w:cs="Courier New"/>
          <w:color w:val="auto"/>
          <w:szCs w:val="24"/>
        </w:rPr>
        <w:t xml:space="preserve"> with </w:t>
      </w:r>
      <w:proofErr w:type="spellStart"/>
      <w:r w:rsidR="00C07AAD" w:rsidRPr="00407AD4">
        <w:rPr>
          <w:rFonts w:ascii="Calibri" w:hAnsi="Calibri" w:cs="Courier New"/>
          <w:color w:val="auto"/>
          <w:szCs w:val="24"/>
        </w:rPr>
        <w:t>sinovitis</w:t>
      </w:r>
      <w:proofErr w:type="spellEnd"/>
      <w:r w:rsidR="00C07AAD" w:rsidRPr="00407AD4">
        <w:rPr>
          <w:rFonts w:ascii="Calibri" w:hAnsi="Calibri" w:cs="Courier New"/>
          <w:color w:val="auto"/>
          <w:szCs w:val="24"/>
        </w:rPr>
        <w:t xml:space="preserve">.  </w:t>
      </w:r>
      <w:r w:rsidR="00462120" w:rsidRPr="00407AD4">
        <w:rPr>
          <w:rFonts w:ascii="Calibri" w:hAnsi="Calibri" w:cs="Courier New"/>
          <w:color w:val="auto"/>
          <w:szCs w:val="24"/>
        </w:rPr>
        <w:t xml:space="preserve">In spite of </w:t>
      </w:r>
      <w:proofErr w:type="spellStart"/>
      <w:r w:rsidR="00462120" w:rsidRPr="00407AD4">
        <w:rPr>
          <w:rFonts w:ascii="Calibri" w:hAnsi="Calibri" w:cs="Courier New"/>
          <w:color w:val="auto"/>
          <w:szCs w:val="24"/>
        </w:rPr>
        <w:t>nonsteroidal</w:t>
      </w:r>
      <w:proofErr w:type="spellEnd"/>
      <w:r w:rsidR="00462120" w:rsidRPr="00407AD4">
        <w:rPr>
          <w:rFonts w:ascii="Calibri" w:hAnsi="Calibri" w:cs="Courier New"/>
          <w:color w:val="auto"/>
          <w:szCs w:val="24"/>
        </w:rPr>
        <w:t xml:space="preserve"> anti-inflammatory medications, physical therapy, and steroid injections, t</w:t>
      </w:r>
      <w:r w:rsidR="008B2265" w:rsidRPr="00407AD4">
        <w:rPr>
          <w:rFonts w:ascii="Calibri" w:hAnsi="Calibri" w:cs="Courier New"/>
          <w:color w:val="auto"/>
          <w:szCs w:val="24"/>
        </w:rPr>
        <w:t xml:space="preserve">he CI had </w:t>
      </w:r>
      <w:r w:rsidR="00B148FC" w:rsidRPr="00407AD4">
        <w:rPr>
          <w:rFonts w:ascii="Calibri" w:hAnsi="Calibri" w:cs="Courier New"/>
          <w:color w:val="auto"/>
          <w:szCs w:val="24"/>
        </w:rPr>
        <w:t xml:space="preserve">continuous </w:t>
      </w:r>
      <w:r w:rsidR="008B2265" w:rsidRPr="00407AD4">
        <w:rPr>
          <w:rFonts w:ascii="Calibri" w:hAnsi="Calibri" w:cs="Courier New"/>
          <w:color w:val="auto"/>
          <w:szCs w:val="24"/>
        </w:rPr>
        <w:t>periods of limited duty</w:t>
      </w:r>
      <w:r w:rsidR="004D0579">
        <w:rPr>
          <w:rFonts w:ascii="Calibri" w:hAnsi="Calibri" w:cs="Courier New"/>
          <w:color w:val="auto"/>
          <w:szCs w:val="24"/>
        </w:rPr>
        <w:t xml:space="preserve"> (LIMDU)</w:t>
      </w:r>
      <w:r w:rsidR="00695704" w:rsidRPr="00407AD4">
        <w:rPr>
          <w:rFonts w:ascii="Calibri" w:hAnsi="Calibri" w:cs="Courier New"/>
          <w:color w:val="auto"/>
          <w:szCs w:val="24"/>
        </w:rPr>
        <w:t>,</w:t>
      </w:r>
      <w:r w:rsidR="00B148FC" w:rsidRPr="00407AD4">
        <w:rPr>
          <w:rFonts w:ascii="Calibri" w:hAnsi="Calibri" w:cs="Courier New"/>
          <w:color w:val="auto"/>
          <w:szCs w:val="24"/>
        </w:rPr>
        <w:t xml:space="preserve"> and was then referred to the Medical Evaluation Board (MEB)</w:t>
      </w:r>
      <w:r w:rsidR="004D0579">
        <w:rPr>
          <w:rFonts w:ascii="Calibri" w:hAnsi="Calibri" w:cs="Courier New"/>
          <w:color w:val="auto"/>
          <w:szCs w:val="24"/>
        </w:rPr>
        <w:t xml:space="preserve">. </w:t>
      </w:r>
      <w:r w:rsidR="00C6011D">
        <w:rPr>
          <w:rFonts w:ascii="Calibri" w:hAnsi="Calibri" w:cs="Courier New"/>
          <w:color w:val="auto"/>
          <w:szCs w:val="24"/>
        </w:rPr>
        <w:t xml:space="preserve"> The right knee conditions were addressed in the </w:t>
      </w:r>
      <w:r w:rsidR="00C6011D" w:rsidRPr="00407AD4">
        <w:rPr>
          <w:rFonts w:ascii="Calibri" w:hAnsi="Calibri" w:cs="Courier New"/>
          <w:color w:val="auto"/>
          <w:szCs w:val="24"/>
        </w:rPr>
        <w:t>narrative summary (NARSUM)</w:t>
      </w:r>
      <w:r w:rsidR="00C6011D">
        <w:rPr>
          <w:rFonts w:ascii="Calibri" w:hAnsi="Calibri" w:cs="Courier New"/>
          <w:color w:val="auto"/>
          <w:szCs w:val="24"/>
        </w:rPr>
        <w:t xml:space="preserve"> and </w:t>
      </w:r>
      <w:r w:rsidR="006C1F9C">
        <w:rPr>
          <w:rFonts w:ascii="Calibri" w:hAnsi="Calibri" w:cs="Courier New"/>
          <w:color w:val="auto"/>
          <w:szCs w:val="24"/>
        </w:rPr>
        <w:t>the CI</w:t>
      </w:r>
      <w:r w:rsidR="00C6011D" w:rsidRPr="00407AD4">
        <w:rPr>
          <w:rFonts w:ascii="Calibri" w:hAnsi="Calibri" w:cs="Courier New"/>
          <w:color w:val="auto"/>
          <w:szCs w:val="24"/>
        </w:rPr>
        <w:t xml:space="preserve"> was referred to the Physical Evaluation Board (PEB)</w:t>
      </w:r>
      <w:r w:rsidR="00C6011D">
        <w:rPr>
          <w:rFonts w:ascii="Calibri" w:hAnsi="Calibri" w:cs="Courier New"/>
          <w:color w:val="auto"/>
          <w:szCs w:val="24"/>
        </w:rPr>
        <w:t xml:space="preserve"> with three right knee diagnoses on the </w:t>
      </w:r>
      <w:r w:rsidR="00C6011D" w:rsidRPr="00C6011D">
        <w:rPr>
          <w:rFonts w:ascii="Calibri" w:hAnsi="Calibri" w:cs="Courier New"/>
          <w:color w:val="auto"/>
          <w:szCs w:val="24"/>
        </w:rPr>
        <w:t>NAVMED 6100/1.</w:t>
      </w:r>
      <w:r w:rsidR="00C6011D">
        <w:rPr>
          <w:rFonts w:ascii="Calibri" w:hAnsi="Calibri" w:cs="Courier New"/>
          <w:color w:val="auto"/>
          <w:szCs w:val="24"/>
        </w:rPr>
        <w:t xml:space="preserve">  </w:t>
      </w:r>
      <w:r w:rsidR="00C6011D" w:rsidRPr="00C6011D">
        <w:rPr>
          <w:rFonts w:ascii="Calibri" w:hAnsi="Calibri" w:cs="Courier New"/>
          <w:color w:val="auto"/>
          <w:szCs w:val="24"/>
        </w:rPr>
        <w:t>Additional conditions supported in the Disability Evaluation System (DES) packet are discussed below, but were not forwarded for PEB adjudication</w:t>
      </w:r>
      <w:r w:rsidR="00C6011D">
        <w:rPr>
          <w:rFonts w:ascii="Calibri" w:hAnsi="Calibri" w:cs="Courier New"/>
          <w:color w:val="auto"/>
          <w:szCs w:val="24"/>
        </w:rPr>
        <w:t xml:space="preserve">. </w:t>
      </w:r>
      <w:r w:rsidR="00C6011D" w:rsidRPr="00C6011D">
        <w:rPr>
          <w:rFonts w:ascii="Calibri" w:hAnsi="Calibri" w:cs="Courier New"/>
          <w:color w:val="auto"/>
          <w:szCs w:val="24"/>
        </w:rPr>
        <w:t xml:space="preserve"> </w:t>
      </w:r>
      <w:r w:rsidR="00462120" w:rsidRPr="00407AD4">
        <w:rPr>
          <w:rFonts w:ascii="Calibri" w:hAnsi="Calibri" w:cs="Courier New"/>
          <w:color w:val="auto"/>
          <w:szCs w:val="24"/>
        </w:rPr>
        <w:t xml:space="preserve">The PEB </w:t>
      </w:r>
      <w:r w:rsidR="00C6011D">
        <w:rPr>
          <w:rFonts w:ascii="Calibri" w:hAnsi="Calibri" w:cs="Courier New"/>
          <w:color w:val="auto"/>
          <w:szCs w:val="24"/>
        </w:rPr>
        <w:t>adjudicated “</w:t>
      </w:r>
      <w:r w:rsidR="004D0579">
        <w:rPr>
          <w:rFonts w:ascii="Calibri" w:hAnsi="Calibri" w:cs="Courier New"/>
          <w:color w:val="auto"/>
          <w:szCs w:val="24"/>
        </w:rPr>
        <w:t>C</w:t>
      </w:r>
      <w:r w:rsidR="00462120" w:rsidRPr="00407AD4">
        <w:rPr>
          <w:rFonts w:ascii="Calibri" w:hAnsi="Calibri" w:cs="Courier New"/>
          <w:color w:val="auto"/>
          <w:szCs w:val="24"/>
        </w:rPr>
        <w:t>ategory I</w:t>
      </w:r>
      <w:r w:rsidR="00C6011D">
        <w:rPr>
          <w:rFonts w:ascii="Calibri" w:hAnsi="Calibri" w:cs="Courier New"/>
          <w:color w:val="auto"/>
          <w:szCs w:val="24"/>
        </w:rPr>
        <w:t>:  The overall effect of the following diagnoses contribute to the unfitting finding:</w:t>
      </w:r>
      <w:r w:rsidR="00462120" w:rsidRPr="00407AD4">
        <w:rPr>
          <w:rFonts w:ascii="Calibri" w:hAnsi="Calibri" w:cs="Courier New"/>
          <w:color w:val="auto"/>
          <w:szCs w:val="24"/>
        </w:rPr>
        <w:t xml:space="preserve"> </w:t>
      </w:r>
      <w:r w:rsidR="004D0579">
        <w:rPr>
          <w:rFonts w:ascii="Calibri" w:hAnsi="Calibri" w:cs="Courier New"/>
          <w:color w:val="auto"/>
          <w:szCs w:val="24"/>
        </w:rPr>
        <w:t xml:space="preserve"> 1. S</w:t>
      </w:r>
      <w:r w:rsidR="00462120" w:rsidRPr="00407AD4">
        <w:rPr>
          <w:rFonts w:ascii="Calibri" w:hAnsi="Calibri" w:cs="Courier New"/>
          <w:color w:val="auto"/>
          <w:szCs w:val="24"/>
        </w:rPr>
        <w:t xml:space="preserve">tatus post surgical resection and </w:t>
      </w:r>
      <w:r w:rsidR="00544AE5" w:rsidRPr="00407AD4">
        <w:rPr>
          <w:rFonts w:ascii="Calibri" w:hAnsi="Calibri" w:cs="Courier New"/>
          <w:color w:val="auto"/>
          <w:szCs w:val="24"/>
        </w:rPr>
        <w:t>debridement</w:t>
      </w:r>
      <w:r w:rsidR="00462120" w:rsidRPr="00407AD4">
        <w:rPr>
          <w:rFonts w:ascii="Calibri" w:hAnsi="Calibri" w:cs="Courier New"/>
          <w:color w:val="auto"/>
          <w:szCs w:val="24"/>
        </w:rPr>
        <w:t xml:space="preserve"> of right knee painful </w:t>
      </w:r>
      <w:proofErr w:type="spellStart"/>
      <w:r w:rsidR="00462120" w:rsidRPr="00407AD4">
        <w:rPr>
          <w:rFonts w:ascii="Calibri" w:hAnsi="Calibri" w:cs="Courier New"/>
          <w:color w:val="auto"/>
          <w:szCs w:val="24"/>
        </w:rPr>
        <w:t>plica</w:t>
      </w:r>
      <w:proofErr w:type="spellEnd"/>
      <w:r w:rsidR="004D0579">
        <w:rPr>
          <w:rFonts w:ascii="Calibri" w:hAnsi="Calibri" w:cs="Courier New"/>
          <w:color w:val="auto"/>
          <w:szCs w:val="24"/>
        </w:rPr>
        <w:t>; 2. P</w:t>
      </w:r>
      <w:r w:rsidR="00462120" w:rsidRPr="00407AD4">
        <w:rPr>
          <w:rFonts w:ascii="Calibri" w:hAnsi="Calibri" w:cs="Courier New"/>
          <w:color w:val="auto"/>
          <w:szCs w:val="24"/>
        </w:rPr>
        <w:t>ainful right knee</w:t>
      </w:r>
      <w:r w:rsidR="004D0579">
        <w:rPr>
          <w:rFonts w:ascii="Calibri" w:hAnsi="Calibri" w:cs="Courier New"/>
          <w:color w:val="auto"/>
          <w:szCs w:val="24"/>
        </w:rPr>
        <w:t>; and 3. S</w:t>
      </w:r>
      <w:r w:rsidR="00462120" w:rsidRPr="00407AD4">
        <w:rPr>
          <w:rFonts w:ascii="Calibri" w:hAnsi="Calibri" w:cs="Courier New"/>
          <w:color w:val="auto"/>
          <w:szCs w:val="24"/>
        </w:rPr>
        <w:t xml:space="preserve">tatus post surgical repair of right knee medial </w:t>
      </w:r>
      <w:proofErr w:type="spellStart"/>
      <w:r w:rsidR="00462120" w:rsidRPr="00407AD4">
        <w:rPr>
          <w:rFonts w:ascii="Calibri" w:hAnsi="Calibri" w:cs="Courier New"/>
          <w:color w:val="auto"/>
          <w:szCs w:val="24"/>
        </w:rPr>
        <w:t>meniscal</w:t>
      </w:r>
      <w:proofErr w:type="spellEnd"/>
      <w:r w:rsidR="00462120" w:rsidRPr="00407AD4">
        <w:rPr>
          <w:rFonts w:ascii="Calibri" w:hAnsi="Calibri" w:cs="Courier New"/>
          <w:color w:val="auto"/>
          <w:szCs w:val="24"/>
        </w:rPr>
        <w:t xml:space="preserve"> tear</w:t>
      </w:r>
      <w:r w:rsidR="004D0579">
        <w:rPr>
          <w:rFonts w:ascii="Calibri" w:hAnsi="Calibri" w:cs="Courier New"/>
          <w:color w:val="auto"/>
          <w:szCs w:val="24"/>
        </w:rPr>
        <w:t xml:space="preserve">,” without a </w:t>
      </w:r>
      <w:r w:rsidR="00C6011D">
        <w:rPr>
          <w:rFonts w:ascii="Calibri" w:hAnsi="Calibri" w:cs="Courier New"/>
          <w:color w:val="auto"/>
          <w:szCs w:val="24"/>
        </w:rPr>
        <w:t xml:space="preserve">VASRD </w:t>
      </w:r>
      <w:r w:rsidR="004D0579">
        <w:rPr>
          <w:rFonts w:ascii="Calibri" w:hAnsi="Calibri" w:cs="Courier New"/>
          <w:color w:val="auto"/>
          <w:szCs w:val="24"/>
        </w:rPr>
        <w:t>disability code</w:t>
      </w:r>
      <w:r w:rsidR="00C6011D">
        <w:rPr>
          <w:rFonts w:ascii="Calibri" w:hAnsi="Calibri" w:cs="Courier New"/>
          <w:color w:val="auto"/>
          <w:szCs w:val="24"/>
        </w:rPr>
        <w:t xml:space="preserve"> and with a single rating of 0%</w:t>
      </w:r>
      <w:r w:rsidR="004D0579">
        <w:rPr>
          <w:rFonts w:ascii="Calibri" w:hAnsi="Calibri" w:cs="Courier New"/>
          <w:color w:val="auto"/>
          <w:szCs w:val="24"/>
        </w:rPr>
        <w:t xml:space="preserve">.  </w:t>
      </w:r>
      <w:r w:rsidR="00540A30">
        <w:rPr>
          <w:rFonts w:ascii="Calibri" w:hAnsi="Calibri" w:cs="Courier New"/>
          <w:color w:val="auto"/>
          <w:szCs w:val="24"/>
        </w:rPr>
        <w:t xml:space="preserve">The CI made no appeals and was therefore </w:t>
      </w:r>
      <w:r w:rsidR="00462120" w:rsidRPr="00407AD4">
        <w:rPr>
          <w:rFonts w:ascii="Calibri" w:hAnsi="Calibri" w:cs="Courier New"/>
          <w:color w:val="auto"/>
          <w:szCs w:val="24"/>
        </w:rPr>
        <w:t>separated</w:t>
      </w:r>
      <w:r w:rsidR="00540A30">
        <w:rPr>
          <w:rFonts w:ascii="Calibri" w:hAnsi="Calibri" w:cs="Courier New"/>
          <w:color w:val="auto"/>
          <w:szCs w:val="24"/>
        </w:rPr>
        <w:t xml:space="preserve"> with a 0% disability rating</w:t>
      </w:r>
      <w:r w:rsidR="00462120" w:rsidRPr="00407AD4">
        <w:rPr>
          <w:rFonts w:ascii="Calibri" w:hAnsi="Calibri" w:cs="Courier New"/>
          <w:color w:val="auto"/>
          <w:szCs w:val="24"/>
        </w:rPr>
        <w:t xml:space="preserve">.  </w:t>
      </w:r>
    </w:p>
    <w:p w:rsidR="00407AD4" w:rsidRDefault="00407AD4" w:rsidP="00407AD4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u w:val="single"/>
        </w:rPr>
      </w:pPr>
      <w:r w:rsidRPr="00407AD4">
        <w:rPr>
          <w:rFonts w:ascii="Calibri" w:hAnsi="Calibri"/>
          <w:color w:val="auto"/>
          <w:u w:val="single"/>
        </w:rPr>
        <w:t>______________________________________________________________________________</w:t>
      </w:r>
    </w:p>
    <w:p w:rsidR="00923B25" w:rsidRPr="00407AD4" w:rsidRDefault="00BA322B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  <w:r w:rsidRPr="00407AD4">
        <w:rPr>
          <w:rFonts w:ascii="Calibri" w:hAnsi="Calibri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243" w:rsidRPr="00407AD4" w:rsidRDefault="002C6E5B" w:rsidP="00796685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</w:rPr>
      </w:pPr>
      <w:r w:rsidRPr="00407AD4">
        <w:rPr>
          <w:rFonts w:ascii="Calibri" w:hAnsi="Calibri"/>
          <w:color w:val="auto"/>
          <w:u w:val="single"/>
        </w:rPr>
        <w:t>CI CONTENTION</w:t>
      </w:r>
      <w:r w:rsidRPr="00407AD4">
        <w:rPr>
          <w:rFonts w:ascii="Calibri" w:hAnsi="Calibri"/>
          <w:color w:val="auto"/>
        </w:rPr>
        <w:t xml:space="preserve">:  </w:t>
      </w:r>
      <w:r w:rsidRPr="00407AD4">
        <w:rPr>
          <w:rFonts w:ascii="Calibri" w:hAnsi="Calibri" w:cs="Courier New"/>
          <w:color w:val="auto"/>
          <w:szCs w:val="24"/>
        </w:rPr>
        <w:t>The CI states:</w:t>
      </w:r>
      <w:r w:rsidR="00796685" w:rsidRPr="00407AD4">
        <w:rPr>
          <w:rFonts w:ascii="Calibri" w:hAnsi="Calibri" w:cs="Courier New"/>
          <w:color w:val="auto"/>
          <w:szCs w:val="24"/>
        </w:rPr>
        <w:t xml:space="preserve"> “There have been changes to the rating system and I feel I should be rated higher than what I have received</w:t>
      </w:r>
      <w:r w:rsidR="00C6011D">
        <w:rPr>
          <w:rFonts w:ascii="Calibri" w:hAnsi="Calibri" w:cs="Courier New"/>
          <w:color w:val="auto"/>
          <w:szCs w:val="24"/>
        </w:rPr>
        <w:t>.</w:t>
      </w:r>
      <w:r w:rsidR="00796685" w:rsidRPr="00407AD4">
        <w:rPr>
          <w:rFonts w:ascii="Calibri" w:hAnsi="Calibri" w:cs="Courier New"/>
          <w:color w:val="auto"/>
          <w:szCs w:val="24"/>
        </w:rPr>
        <w:t>”</w:t>
      </w:r>
      <w:r w:rsidR="00C6011D">
        <w:rPr>
          <w:rFonts w:ascii="Calibri" w:hAnsi="Calibri" w:cs="Courier New"/>
          <w:color w:val="auto"/>
          <w:szCs w:val="24"/>
        </w:rPr>
        <w:t xml:space="preserve">  </w:t>
      </w:r>
      <w:r w:rsidR="00841243" w:rsidRPr="00407AD4">
        <w:rPr>
          <w:rFonts w:ascii="Calibri" w:hAnsi="Calibri" w:cs="Courier New"/>
          <w:color w:val="auto"/>
          <w:szCs w:val="24"/>
        </w:rPr>
        <w:t xml:space="preserve"> </w:t>
      </w:r>
      <w:r w:rsidR="00407AD4" w:rsidRPr="00407AD4">
        <w:rPr>
          <w:rFonts w:ascii="Calibri" w:hAnsi="Calibri" w:cs="Courier New"/>
          <w:color w:val="auto"/>
          <w:szCs w:val="24"/>
        </w:rPr>
        <w:t xml:space="preserve"> </w:t>
      </w:r>
    </w:p>
    <w:p w:rsidR="00A90D55" w:rsidRPr="00407AD4" w:rsidRDefault="008B5D31" w:rsidP="00407AD4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  <w:r w:rsidRPr="00407AD4">
        <w:rPr>
          <w:rFonts w:ascii="Calibri" w:hAnsi="Calibri"/>
          <w:color w:val="auto"/>
          <w:u w:val="single"/>
        </w:rPr>
        <w:t>__</w:t>
      </w:r>
      <w:r w:rsidR="00407AD4" w:rsidRPr="00407AD4">
        <w:rPr>
          <w:rFonts w:ascii="Calibri" w:hAnsi="Calibri"/>
          <w:color w:val="auto"/>
          <w:u w:val="single"/>
        </w:rPr>
        <w:t>____________________________________________________________________________</w:t>
      </w:r>
    </w:p>
    <w:p w:rsidR="001C181A" w:rsidRPr="00407AD4" w:rsidRDefault="001C181A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</w:p>
    <w:p w:rsidR="002338CA" w:rsidRPr="00407AD4" w:rsidRDefault="002C6E5B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</w:rPr>
      </w:pPr>
      <w:r w:rsidRPr="00407AD4">
        <w:rPr>
          <w:rFonts w:ascii="Calibri" w:hAnsi="Calibri"/>
          <w:color w:val="auto"/>
          <w:u w:val="single"/>
        </w:rPr>
        <w:t>RATING COMPARISON</w:t>
      </w:r>
      <w:r w:rsidRPr="00407AD4">
        <w:rPr>
          <w:rFonts w:ascii="Calibri" w:hAnsi="Calibri"/>
          <w:color w:val="auto"/>
        </w:rPr>
        <w:t>:</w:t>
      </w:r>
      <w:r w:rsidR="00540A30">
        <w:rPr>
          <w:rFonts w:ascii="Calibri" w:hAnsi="Calibri"/>
          <w:color w:val="auto"/>
        </w:rPr>
        <w:t xml:space="preserve">  </w:t>
      </w:r>
    </w:p>
    <w:p w:rsidR="00F82981" w:rsidRPr="00407AD4" w:rsidRDefault="00F82981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tbl>
      <w:tblPr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8"/>
        <w:gridCol w:w="720"/>
        <w:gridCol w:w="792"/>
        <w:gridCol w:w="1998"/>
        <w:gridCol w:w="450"/>
        <w:gridCol w:w="720"/>
        <w:gridCol w:w="810"/>
        <w:gridCol w:w="1087"/>
      </w:tblGrid>
      <w:tr w:rsidR="00684E2B" w:rsidRPr="00407AD4" w:rsidTr="007B5111">
        <w:trPr>
          <w:trHeight w:val="234"/>
          <w:jc w:val="center"/>
        </w:trPr>
        <w:tc>
          <w:tcPr>
            <w:tcW w:w="4130" w:type="dxa"/>
            <w:gridSpan w:val="3"/>
            <w:shd w:val="clear" w:color="auto" w:fill="D9D9D9" w:themeFill="background1" w:themeFillShade="D9"/>
          </w:tcPr>
          <w:p w:rsidR="00684E2B" w:rsidRPr="007B5111" w:rsidRDefault="00684E2B" w:rsidP="00701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 xml:space="preserve">Service </w:t>
            </w:r>
            <w:r w:rsidR="00C23B73">
              <w:rPr>
                <w:rFonts w:asciiTheme="minorHAnsi" w:hAnsiTheme="minorHAnsi"/>
                <w:b/>
                <w:sz w:val="20"/>
                <w:szCs w:val="16"/>
              </w:rPr>
              <w:t>I</w:t>
            </w: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>PEB</w:t>
            </w:r>
            <w:r w:rsidR="002B2645" w:rsidRPr="007B5111">
              <w:rPr>
                <w:rFonts w:asciiTheme="minorHAnsi" w:hAnsiTheme="minorHAnsi"/>
                <w:b/>
                <w:sz w:val="20"/>
                <w:szCs w:val="16"/>
              </w:rPr>
              <w:t xml:space="preserve"> – Dated </w:t>
            </w:r>
            <w:r w:rsidR="00796685" w:rsidRPr="007B5111">
              <w:rPr>
                <w:rFonts w:asciiTheme="minorHAnsi" w:hAnsiTheme="minorHAnsi"/>
                <w:b/>
                <w:sz w:val="20"/>
                <w:szCs w:val="16"/>
              </w:rPr>
              <w:t>20080401</w:t>
            </w:r>
          </w:p>
        </w:tc>
        <w:tc>
          <w:tcPr>
            <w:tcW w:w="5065" w:type="dxa"/>
            <w:gridSpan w:val="5"/>
            <w:shd w:val="clear" w:color="auto" w:fill="D9D9D9" w:themeFill="background1" w:themeFillShade="D9"/>
          </w:tcPr>
          <w:p w:rsidR="00684E2B" w:rsidRPr="007B5111" w:rsidRDefault="00684E2B" w:rsidP="00A0037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>VA (</w:t>
            </w:r>
            <w:r w:rsidR="00240FC7" w:rsidRPr="007B5111">
              <w:rPr>
                <w:rFonts w:asciiTheme="minorHAnsi" w:hAnsiTheme="minorHAnsi"/>
                <w:b/>
                <w:sz w:val="20"/>
                <w:szCs w:val="16"/>
              </w:rPr>
              <w:t xml:space="preserve">3 </w:t>
            </w: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 xml:space="preserve">Mo. </w:t>
            </w:r>
            <w:r w:rsidR="00A0037A">
              <w:rPr>
                <w:rFonts w:asciiTheme="minorHAnsi" w:hAnsiTheme="minorHAnsi"/>
                <w:b/>
                <w:sz w:val="20"/>
                <w:szCs w:val="16"/>
              </w:rPr>
              <w:t>A</w:t>
            </w: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>fter Separation)</w:t>
            </w:r>
            <w:r w:rsidR="000C3C13" w:rsidRPr="007B5111">
              <w:rPr>
                <w:rFonts w:asciiTheme="minorHAnsi" w:hAnsiTheme="minorHAnsi"/>
                <w:b/>
                <w:sz w:val="20"/>
                <w:szCs w:val="16"/>
              </w:rPr>
              <w:t xml:space="preserve"> – All Effective </w:t>
            </w:r>
            <w:r w:rsidR="00240FC7" w:rsidRPr="007B5111">
              <w:rPr>
                <w:rFonts w:asciiTheme="minorHAnsi" w:hAnsiTheme="minorHAnsi"/>
                <w:b/>
                <w:sz w:val="20"/>
                <w:szCs w:val="16"/>
              </w:rPr>
              <w:t>20080701</w:t>
            </w:r>
          </w:p>
        </w:tc>
      </w:tr>
      <w:tr w:rsidR="00FB62AA" w:rsidRPr="00407AD4" w:rsidTr="00C23B73">
        <w:trPr>
          <w:trHeight w:val="234"/>
          <w:jc w:val="center"/>
        </w:trPr>
        <w:tc>
          <w:tcPr>
            <w:tcW w:w="2618" w:type="dxa"/>
            <w:shd w:val="clear" w:color="auto" w:fill="D9D9D9" w:themeFill="background1" w:themeFillShade="D9"/>
          </w:tcPr>
          <w:p w:rsidR="002B2645" w:rsidRPr="007B5111" w:rsidRDefault="002B2645" w:rsidP="00701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>Condition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B2645" w:rsidRPr="007B5111" w:rsidRDefault="002B2645" w:rsidP="00701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>Code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2B2645" w:rsidRPr="007B5111" w:rsidRDefault="002B2645" w:rsidP="00701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>Rating</w:t>
            </w:r>
          </w:p>
        </w:tc>
        <w:tc>
          <w:tcPr>
            <w:tcW w:w="2448" w:type="dxa"/>
            <w:gridSpan w:val="2"/>
            <w:shd w:val="clear" w:color="auto" w:fill="D9D9D9" w:themeFill="background1" w:themeFillShade="D9"/>
          </w:tcPr>
          <w:p w:rsidR="002B2645" w:rsidRPr="007B5111" w:rsidRDefault="002B2645" w:rsidP="00701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>Condition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B2645" w:rsidRPr="007B5111" w:rsidRDefault="002B2645" w:rsidP="00701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B2645" w:rsidRPr="007B5111" w:rsidRDefault="002B2645" w:rsidP="00701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>Rating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2B2645" w:rsidRPr="007B5111" w:rsidRDefault="002B2645" w:rsidP="00701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7B5111">
              <w:rPr>
                <w:rFonts w:asciiTheme="minorHAnsi" w:hAnsiTheme="minorHAnsi"/>
                <w:b/>
                <w:sz w:val="20"/>
                <w:szCs w:val="16"/>
              </w:rPr>
              <w:t>Exam</w:t>
            </w:r>
          </w:p>
        </w:tc>
      </w:tr>
      <w:tr w:rsidR="00FB62AA" w:rsidRPr="00407AD4" w:rsidTr="00C23B73">
        <w:trPr>
          <w:trHeight w:val="245"/>
          <w:jc w:val="center"/>
        </w:trPr>
        <w:tc>
          <w:tcPr>
            <w:tcW w:w="2618" w:type="dxa"/>
            <w:shd w:val="clear" w:color="auto" w:fill="FFFFFF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 xml:space="preserve">Surgical Resection &amp; </w:t>
            </w:r>
            <w:r w:rsidR="00C23B7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3B73">
              <w:rPr>
                <w:rFonts w:asciiTheme="minorHAnsi" w:hAnsiTheme="minorHAnsi"/>
                <w:sz w:val="18"/>
                <w:szCs w:val="18"/>
              </w:rPr>
              <w:t>Debride</w:t>
            </w:r>
            <w:r w:rsidR="00C23B73">
              <w:rPr>
                <w:rFonts w:asciiTheme="minorHAnsi" w:hAnsiTheme="minorHAnsi"/>
                <w:sz w:val="18"/>
                <w:szCs w:val="18"/>
              </w:rPr>
              <w:t>-</w:t>
            </w:r>
            <w:r w:rsidRPr="00C23B73">
              <w:rPr>
                <w:rFonts w:asciiTheme="minorHAnsi" w:hAnsiTheme="minorHAnsi"/>
                <w:sz w:val="18"/>
                <w:szCs w:val="18"/>
              </w:rPr>
              <w:t>ment</w:t>
            </w:r>
            <w:proofErr w:type="spellEnd"/>
            <w:r w:rsidRPr="00C23B73">
              <w:rPr>
                <w:rFonts w:asciiTheme="minorHAnsi" w:hAnsiTheme="minorHAnsi"/>
                <w:sz w:val="18"/>
                <w:szCs w:val="18"/>
              </w:rPr>
              <w:t xml:space="preserve"> of R. Knee Painful </w:t>
            </w:r>
            <w:proofErr w:type="spellStart"/>
            <w:r w:rsidRPr="00C23B73">
              <w:rPr>
                <w:rFonts w:asciiTheme="minorHAnsi" w:hAnsiTheme="minorHAnsi"/>
                <w:sz w:val="18"/>
                <w:szCs w:val="18"/>
              </w:rPr>
              <w:t>Plica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2448" w:type="dxa"/>
            <w:gridSpan w:val="2"/>
            <w:vMerge w:val="restart"/>
            <w:shd w:val="clear" w:color="auto" w:fill="FFFFFF"/>
            <w:vAlign w:val="center"/>
          </w:tcPr>
          <w:p w:rsidR="00FB62AA" w:rsidRPr="00C23B73" w:rsidRDefault="00FB62AA" w:rsidP="00C23B73">
            <w:pPr>
              <w:spacing w:line="220" w:lineRule="exact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00C23B73">
              <w:rPr>
                <w:rFonts w:asciiTheme="minorHAnsi" w:eastAsia="Calibri" w:hAnsiTheme="minorHAnsi"/>
                <w:color w:val="auto"/>
                <w:sz w:val="18"/>
                <w:szCs w:val="18"/>
              </w:rPr>
              <w:t xml:space="preserve">R. Knee Medial Meniscus Tear </w:t>
            </w:r>
            <w:r w:rsidR="00C23B73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a</w:t>
            </w:r>
            <w:r w:rsidRPr="00C23B73">
              <w:rPr>
                <w:rFonts w:asciiTheme="minorHAnsi" w:eastAsia="Calibri" w:hAnsiTheme="minorHAnsi"/>
                <w:color w:val="auto"/>
                <w:sz w:val="18"/>
                <w:szCs w:val="18"/>
              </w:rPr>
              <w:t xml:space="preserve">nd Patellofemoral </w:t>
            </w:r>
            <w:proofErr w:type="spellStart"/>
            <w:r w:rsidRPr="00C23B73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Plica</w:t>
            </w:r>
            <w:proofErr w:type="spellEnd"/>
            <w:r w:rsidRPr="00C23B73">
              <w:rPr>
                <w:rFonts w:asciiTheme="minorHAnsi" w:eastAsia="Calibri" w:hAnsiTheme="minorHAnsi"/>
                <w:color w:val="auto"/>
                <w:sz w:val="18"/>
                <w:szCs w:val="18"/>
              </w:rPr>
              <w:t xml:space="preserve"> Syndrome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FB62AA" w:rsidRPr="00C23B73" w:rsidRDefault="00FB62AA" w:rsidP="006C1F9C">
            <w:pPr>
              <w:spacing w:line="220" w:lineRule="exact"/>
              <w:jc w:val="center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00C23B73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5257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87" w:type="dxa"/>
            <w:vMerge w:val="restart"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20080915</w:t>
            </w:r>
          </w:p>
        </w:tc>
      </w:tr>
      <w:tr w:rsidR="00FB62AA" w:rsidRPr="00407AD4" w:rsidTr="00C23B73">
        <w:trPr>
          <w:trHeight w:val="243"/>
          <w:jc w:val="center"/>
        </w:trPr>
        <w:tc>
          <w:tcPr>
            <w:tcW w:w="2618" w:type="dxa"/>
            <w:shd w:val="clear" w:color="auto" w:fill="FFFFFF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Painful R. Knee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792" w:type="dxa"/>
            <w:vMerge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vMerge/>
            <w:shd w:val="clear" w:color="auto" w:fill="FFFFFF"/>
            <w:vAlign w:val="center"/>
          </w:tcPr>
          <w:p w:rsidR="00FB62AA" w:rsidRPr="00C23B73" w:rsidRDefault="00FB62AA" w:rsidP="006C1F9C">
            <w:pPr>
              <w:spacing w:line="220" w:lineRule="exact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FB62AA" w:rsidRPr="00C23B73" w:rsidRDefault="00FB62AA" w:rsidP="006C1F9C">
            <w:pPr>
              <w:spacing w:line="220" w:lineRule="exact"/>
              <w:jc w:val="center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62AA" w:rsidRPr="00407AD4" w:rsidTr="00C23B73">
        <w:trPr>
          <w:trHeight w:val="243"/>
          <w:jc w:val="center"/>
        </w:trPr>
        <w:tc>
          <w:tcPr>
            <w:tcW w:w="2618" w:type="dxa"/>
            <w:shd w:val="clear" w:color="auto" w:fill="FFFFFF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 xml:space="preserve">S/P Surgical Repair of R. Knee Medial </w:t>
            </w:r>
            <w:proofErr w:type="spellStart"/>
            <w:r w:rsidRPr="00C23B73">
              <w:rPr>
                <w:rFonts w:asciiTheme="minorHAnsi" w:hAnsiTheme="minorHAnsi"/>
                <w:sz w:val="18"/>
                <w:szCs w:val="18"/>
              </w:rPr>
              <w:t>Meniscal</w:t>
            </w:r>
            <w:proofErr w:type="spellEnd"/>
            <w:r w:rsidRPr="00C23B73">
              <w:rPr>
                <w:rFonts w:asciiTheme="minorHAnsi" w:hAnsiTheme="minorHAnsi"/>
                <w:sz w:val="18"/>
                <w:szCs w:val="18"/>
              </w:rPr>
              <w:t xml:space="preserve"> Tear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792" w:type="dxa"/>
            <w:vMerge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vMerge/>
            <w:shd w:val="clear" w:color="auto" w:fill="FFFFFF"/>
            <w:vAlign w:val="center"/>
          </w:tcPr>
          <w:p w:rsidR="00FB62AA" w:rsidRPr="00C23B73" w:rsidRDefault="00FB62AA" w:rsidP="006C1F9C">
            <w:pPr>
              <w:spacing w:line="220" w:lineRule="exact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FB62AA" w:rsidRPr="00C23B73" w:rsidRDefault="00FB62AA" w:rsidP="006C1F9C">
            <w:pPr>
              <w:spacing w:line="220" w:lineRule="exact"/>
              <w:jc w:val="center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FFFFFF"/>
            <w:vAlign w:val="center"/>
          </w:tcPr>
          <w:p w:rsidR="00FB62AA" w:rsidRPr="00C23B73" w:rsidRDefault="00FB62AA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5A89" w:rsidRPr="00407AD4" w:rsidTr="005C36C4">
        <w:trPr>
          <w:trHeight w:val="126"/>
          <w:jc w:val="center"/>
        </w:trPr>
        <w:tc>
          <w:tcPr>
            <w:tcW w:w="4130" w:type="dxa"/>
            <w:gridSpan w:val="3"/>
            <w:vMerge w:val="restart"/>
            <w:shd w:val="clear" w:color="auto" w:fill="FFFFFF"/>
          </w:tcPr>
          <w:p w:rsidR="001D5A89" w:rsidRPr="00C23B73" w:rsidRDefault="001D5A89" w:rsidP="001D5A89">
            <w:pPr>
              <w:pStyle w:val="ListParagraph"/>
              <w:spacing w:after="0" w:line="220" w:lineRule="exact"/>
              <w:ind w:left="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 xml:space="preserve">↓No Additional MEB Entries↓ 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Irritable Bowel Syndrome</w:t>
            </w:r>
          </w:p>
        </w:tc>
        <w:tc>
          <w:tcPr>
            <w:tcW w:w="720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7319</w:t>
            </w:r>
          </w:p>
        </w:tc>
        <w:tc>
          <w:tcPr>
            <w:tcW w:w="810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30%</w:t>
            </w:r>
          </w:p>
        </w:tc>
        <w:tc>
          <w:tcPr>
            <w:tcW w:w="1087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20080915</w:t>
            </w:r>
          </w:p>
        </w:tc>
      </w:tr>
      <w:tr w:rsidR="001D5A89" w:rsidRPr="00407AD4" w:rsidTr="005C36C4">
        <w:trPr>
          <w:trHeight w:val="126"/>
          <w:jc w:val="center"/>
        </w:trPr>
        <w:tc>
          <w:tcPr>
            <w:tcW w:w="4130" w:type="dxa"/>
            <w:gridSpan w:val="3"/>
            <w:vMerge/>
            <w:shd w:val="clear" w:color="auto" w:fill="FFFFFF"/>
          </w:tcPr>
          <w:p w:rsidR="001D5A89" w:rsidRPr="00C23B73" w:rsidRDefault="001D5A89" w:rsidP="006C1F9C">
            <w:pPr>
              <w:spacing w:line="220" w:lineRule="exact"/>
              <w:rPr>
                <w:rFonts w:asciiTheme="minorHAnsi" w:hAnsiTheme="minorHAnsi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98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3B73">
              <w:rPr>
                <w:rFonts w:asciiTheme="minorHAnsi" w:hAnsiTheme="minorHAnsi"/>
                <w:sz w:val="18"/>
                <w:szCs w:val="18"/>
              </w:rPr>
              <w:t>Sternal</w:t>
            </w:r>
            <w:proofErr w:type="spellEnd"/>
            <w:r w:rsidRPr="00C23B73">
              <w:rPr>
                <w:rFonts w:asciiTheme="minorHAnsi" w:hAnsiTheme="minorHAnsi"/>
                <w:sz w:val="18"/>
                <w:szCs w:val="18"/>
              </w:rPr>
              <w:t xml:space="preserve"> Pain s/p </w:t>
            </w:r>
            <w:proofErr w:type="spellStart"/>
            <w:r w:rsidRPr="00C23B73">
              <w:rPr>
                <w:rFonts w:asciiTheme="minorHAnsi" w:hAnsiTheme="minorHAnsi"/>
                <w:sz w:val="18"/>
                <w:szCs w:val="18"/>
              </w:rPr>
              <w:t>Fx</w:t>
            </w:r>
            <w:proofErr w:type="spellEnd"/>
            <w:r w:rsidRPr="00C23B73">
              <w:rPr>
                <w:rFonts w:asciiTheme="minorHAnsi" w:hAnsiTheme="minorHAnsi"/>
                <w:sz w:val="18"/>
                <w:szCs w:val="18"/>
              </w:rPr>
              <w:t xml:space="preserve"> … 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5299-5297</w:t>
            </w:r>
          </w:p>
        </w:tc>
        <w:tc>
          <w:tcPr>
            <w:tcW w:w="810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NSC</w:t>
            </w:r>
          </w:p>
        </w:tc>
        <w:tc>
          <w:tcPr>
            <w:tcW w:w="1087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5A89" w:rsidRPr="00407AD4" w:rsidTr="00C23B73">
        <w:trPr>
          <w:trHeight w:val="179"/>
          <w:jc w:val="center"/>
        </w:trPr>
        <w:tc>
          <w:tcPr>
            <w:tcW w:w="4130" w:type="dxa"/>
            <w:gridSpan w:val="3"/>
            <w:vMerge/>
            <w:shd w:val="clear" w:color="auto" w:fill="FFFFFF"/>
            <w:vAlign w:val="center"/>
          </w:tcPr>
          <w:p w:rsidR="001D5A89" w:rsidRPr="00C23B73" w:rsidRDefault="001D5A89" w:rsidP="006C1F9C">
            <w:pPr>
              <w:spacing w:line="220" w:lineRule="exact"/>
              <w:rPr>
                <w:rFonts w:asciiTheme="minorHAnsi" w:hAnsiTheme="minorHAnsi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98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 xml:space="preserve">Thoracolumbar … 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5237-5010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20080915</w:t>
            </w:r>
          </w:p>
        </w:tc>
      </w:tr>
      <w:tr w:rsidR="001D5A89" w:rsidRPr="00407AD4" w:rsidTr="00C6011D">
        <w:trPr>
          <w:trHeight w:val="126"/>
          <w:jc w:val="center"/>
        </w:trPr>
        <w:tc>
          <w:tcPr>
            <w:tcW w:w="4130" w:type="dxa"/>
            <w:gridSpan w:val="3"/>
            <w:vMerge/>
            <w:shd w:val="clear" w:color="auto" w:fill="FFFFFF"/>
            <w:vAlign w:val="center"/>
          </w:tcPr>
          <w:p w:rsidR="001D5A89" w:rsidRPr="00C23B73" w:rsidRDefault="001D5A89" w:rsidP="006C1F9C">
            <w:pPr>
              <w:spacing w:line="220" w:lineRule="exact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Herpes Simplex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7899-7800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20080915</w:t>
            </w:r>
          </w:p>
        </w:tc>
      </w:tr>
      <w:tr w:rsidR="001D5A89" w:rsidRPr="00A0037A" w:rsidTr="00FB62AA">
        <w:trPr>
          <w:trHeight w:val="144"/>
          <w:jc w:val="center"/>
        </w:trPr>
        <w:tc>
          <w:tcPr>
            <w:tcW w:w="4130" w:type="dxa"/>
            <w:gridSpan w:val="3"/>
            <w:vMerge/>
            <w:shd w:val="clear" w:color="auto" w:fill="FFFFFF"/>
          </w:tcPr>
          <w:p w:rsidR="001D5A89" w:rsidRPr="00C23B73" w:rsidRDefault="001D5A89" w:rsidP="006C1F9C">
            <w:pPr>
              <w:spacing w:line="220" w:lineRule="exact"/>
              <w:rPr>
                <w:rFonts w:asciiTheme="minorHAnsi" w:hAnsiTheme="minorHAnsi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 xml:space="preserve">Allergic </w:t>
            </w:r>
            <w:proofErr w:type="spellStart"/>
            <w:r w:rsidRPr="00C23B73">
              <w:rPr>
                <w:rFonts w:asciiTheme="minorHAnsi" w:hAnsiTheme="minorHAnsi"/>
                <w:sz w:val="18"/>
                <w:szCs w:val="18"/>
              </w:rPr>
              <w:t>Urticaria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7825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87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20080915</w:t>
            </w:r>
          </w:p>
        </w:tc>
      </w:tr>
      <w:tr w:rsidR="001D5A89" w:rsidRPr="00A0037A" w:rsidTr="00263690">
        <w:trPr>
          <w:trHeight w:val="144"/>
          <w:jc w:val="center"/>
        </w:trPr>
        <w:tc>
          <w:tcPr>
            <w:tcW w:w="4130" w:type="dxa"/>
            <w:gridSpan w:val="3"/>
            <w:vMerge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3B73">
              <w:rPr>
                <w:rFonts w:asciiTheme="minorHAnsi" w:hAnsiTheme="minorHAnsi"/>
                <w:sz w:val="18"/>
                <w:szCs w:val="18"/>
              </w:rPr>
              <w:t>Lipomas</w:t>
            </w:r>
            <w:proofErr w:type="spellEnd"/>
            <w:r w:rsidRPr="00C23B73">
              <w:rPr>
                <w:rFonts w:asciiTheme="minorHAnsi" w:hAnsiTheme="minorHAnsi"/>
                <w:sz w:val="18"/>
                <w:szCs w:val="18"/>
              </w:rPr>
              <w:t xml:space="preserve"> … legs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7899-7819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20080915</w:t>
            </w:r>
          </w:p>
        </w:tc>
      </w:tr>
      <w:tr w:rsidR="001D5A89" w:rsidRPr="00A0037A" w:rsidTr="00FB62AA">
        <w:trPr>
          <w:trHeight w:val="144"/>
          <w:jc w:val="center"/>
        </w:trPr>
        <w:tc>
          <w:tcPr>
            <w:tcW w:w="4130" w:type="dxa"/>
            <w:gridSpan w:val="3"/>
            <w:vMerge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Chronic Right Ankle Sprain</w:t>
            </w:r>
          </w:p>
        </w:tc>
        <w:tc>
          <w:tcPr>
            <w:tcW w:w="720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5271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087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20080915</w:t>
            </w:r>
          </w:p>
        </w:tc>
      </w:tr>
      <w:tr w:rsidR="001D5A89" w:rsidRPr="00A0037A" w:rsidTr="00FB62AA">
        <w:trPr>
          <w:trHeight w:val="144"/>
          <w:jc w:val="center"/>
        </w:trPr>
        <w:tc>
          <w:tcPr>
            <w:tcW w:w="4130" w:type="dxa"/>
            <w:gridSpan w:val="3"/>
            <w:vMerge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Myofascial pain w/</w:t>
            </w:r>
            <w:proofErr w:type="spellStart"/>
            <w:r w:rsidRPr="00C23B73">
              <w:rPr>
                <w:rFonts w:asciiTheme="minorHAnsi" w:hAnsiTheme="minorHAnsi"/>
                <w:sz w:val="18"/>
                <w:szCs w:val="18"/>
              </w:rPr>
              <w:t>dysfn</w:t>
            </w:r>
            <w:proofErr w:type="spellEnd"/>
            <w:r w:rsidRPr="00C23B73">
              <w:rPr>
                <w:rFonts w:asciiTheme="minorHAnsi" w:hAnsiTheme="minorHAnsi"/>
                <w:sz w:val="18"/>
                <w:szCs w:val="18"/>
              </w:rPr>
              <w:t xml:space="preserve"> …</w:t>
            </w:r>
          </w:p>
        </w:tc>
        <w:tc>
          <w:tcPr>
            <w:tcW w:w="720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5021</w:t>
            </w:r>
          </w:p>
        </w:tc>
        <w:tc>
          <w:tcPr>
            <w:tcW w:w="810" w:type="dxa"/>
            <w:shd w:val="clear" w:color="auto" w:fill="FFFFFF"/>
          </w:tcPr>
          <w:p w:rsidR="001D5A89" w:rsidRPr="00C23B73" w:rsidRDefault="001D5A89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87" w:type="dxa"/>
            <w:shd w:val="clear" w:color="auto" w:fill="FFFFFF"/>
          </w:tcPr>
          <w:p w:rsidR="001D5A89" w:rsidRPr="00C23B73" w:rsidRDefault="00CB1268" w:rsidP="006C1F9C">
            <w:pPr>
              <w:pStyle w:val="ListParagraph"/>
              <w:spacing w:after="0" w:line="22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3B73">
              <w:rPr>
                <w:rFonts w:asciiTheme="minorHAnsi" w:hAnsiTheme="minorHAnsi"/>
                <w:sz w:val="18"/>
                <w:szCs w:val="18"/>
              </w:rPr>
              <w:t>2009</w:t>
            </w:r>
            <w:r w:rsidR="00092FD2" w:rsidRPr="00C23B73">
              <w:rPr>
                <w:rFonts w:asciiTheme="minorHAnsi" w:hAnsiTheme="minorHAnsi"/>
                <w:sz w:val="18"/>
                <w:szCs w:val="18"/>
              </w:rPr>
              <w:t>0218</w:t>
            </w:r>
          </w:p>
        </w:tc>
      </w:tr>
      <w:tr w:rsidR="00695704" w:rsidRPr="00A0037A" w:rsidTr="007B5111">
        <w:trPr>
          <w:trHeight w:val="243"/>
          <w:jc w:val="center"/>
        </w:trPr>
        <w:tc>
          <w:tcPr>
            <w:tcW w:w="4130" w:type="dxa"/>
            <w:gridSpan w:val="3"/>
            <w:shd w:val="clear" w:color="auto" w:fill="D9D9D9" w:themeFill="background1" w:themeFillShade="D9"/>
          </w:tcPr>
          <w:p w:rsidR="00695704" w:rsidRPr="007B5111" w:rsidRDefault="00695704" w:rsidP="00701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7B5111">
              <w:rPr>
                <w:rFonts w:asciiTheme="minorHAnsi" w:hAnsiTheme="minorHAnsi"/>
                <w:b/>
                <w:sz w:val="20"/>
              </w:rPr>
              <w:t>TOTAL Combined:  0%</w:t>
            </w:r>
          </w:p>
        </w:tc>
        <w:tc>
          <w:tcPr>
            <w:tcW w:w="5065" w:type="dxa"/>
            <w:gridSpan w:val="5"/>
            <w:shd w:val="clear" w:color="auto" w:fill="D9D9D9" w:themeFill="background1" w:themeFillShade="D9"/>
          </w:tcPr>
          <w:p w:rsidR="00695704" w:rsidRPr="00A0037A" w:rsidRDefault="00695704" w:rsidP="007B51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A0037A">
              <w:rPr>
                <w:rFonts w:asciiTheme="minorHAnsi" w:hAnsiTheme="minorHAnsi"/>
                <w:b/>
                <w:sz w:val="20"/>
              </w:rPr>
              <w:t>TOTAL Combined (</w:t>
            </w:r>
            <w:r w:rsidRPr="00A0037A">
              <w:rPr>
                <w:rFonts w:asciiTheme="minorHAnsi" w:hAnsiTheme="minorHAnsi"/>
                <w:b/>
                <w:i/>
                <w:sz w:val="20"/>
              </w:rPr>
              <w:t>Includes Non-PEB Conditions</w:t>
            </w:r>
            <w:r w:rsidRPr="00A0037A">
              <w:rPr>
                <w:rFonts w:asciiTheme="minorHAnsi" w:hAnsiTheme="minorHAnsi"/>
                <w:b/>
                <w:sz w:val="20"/>
              </w:rPr>
              <w:t xml:space="preserve">): </w:t>
            </w:r>
            <w:r w:rsidR="007B5111" w:rsidRPr="00A0037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037A">
              <w:rPr>
                <w:rFonts w:asciiTheme="minorHAnsi" w:hAnsiTheme="minorHAnsi"/>
                <w:b/>
                <w:sz w:val="20"/>
              </w:rPr>
              <w:t>60%</w:t>
            </w:r>
          </w:p>
        </w:tc>
      </w:tr>
    </w:tbl>
    <w:p w:rsidR="00A90D55" w:rsidRDefault="00A90D55" w:rsidP="00875F2D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color w:val="auto"/>
          <w:u w:val="single"/>
        </w:rPr>
      </w:pPr>
    </w:p>
    <w:p w:rsidR="001D5A89" w:rsidRPr="00407AD4" w:rsidRDefault="001D5A89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5B52F7" w:rsidRDefault="005B52F7" w:rsidP="002C6E5B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  <w:u w:val="single"/>
        </w:rPr>
      </w:pPr>
    </w:p>
    <w:p w:rsidR="005B52F7" w:rsidRDefault="005B52F7" w:rsidP="002C6E5B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  <w:u w:val="single"/>
        </w:rPr>
      </w:pPr>
    </w:p>
    <w:p w:rsidR="005B52F7" w:rsidRDefault="005B52F7" w:rsidP="002C6E5B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  <w:u w:val="single"/>
        </w:rPr>
      </w:pPr>
    </w:p>
    <w:p w:rsidR="002C6E5B" w:rsidRPr="00407AD4" w:rsidRDefault="002C6E5B" w:rsidP="002C6E5B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</w:rPr>
      </w:pPr>
      <w:r w:rsidRPr="00407AD4">
        <w:rPr>
          <w:rFonts w:ascii="Calibri" w:hAnsi="Calibri" w:cs="Courier New"/>
          <w:color w:val="auto"/>
          <w:szCs w:val="24"/>
          <w:u w:val="single"/>
        </w:rPr>
        <w:lastRenderedPageBreak/>
        <w:t>ANALYSIS SUMMARY</w:t>
      </w:r>
      <w:r w:rsidRPr="00407AD4">
        <w:rPr>
          <w:rFonts w:ascii="Calibri" w:hAnsi="Calibri" w:cs="Courier New"/>
          <w:color w:val="auto"/>
          <w:szCs w:val="24"/>
        </w:rPr>
        <w:t>:</w:t>
      </w:r>
      <w:r w:rsidR="000C284D">
        <w:rPr>
          <w:rFonts w:ascii="Calibri" w:hAnsi="Calibri" w:cs="Courier New"/>
          <w:color w:val="auto"/>
          <w:szCs w:val="24"/>
        </w:rPr>
        <w:t xml:space="preserve">  </w:t>
      </w:r>
    </w:p>
    <w:p w:rsidR="002C6E5B" w:rsidRPr="00112C08" w:rsidRDefault="002C6E5B" w:rsidP="002C6E5B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736B72" w:rsidRPr="00EA1BD9" w:rsidRDefault="00EA1BD9" w:rsidP="00F46461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</w:rPr>
      </w:pPr>
      <w:r>
        <w:rPr>
          <w:rFonts w:ascii="Calibri" w:hAnsi="Calibri" w:cs="Courier New"/>
          <w:color w:val="auto"/>
          <w:szCs w:val="24"/>
          <w:u w:val="single"/>
        </w:rPr>
        <w:t xml:space="preserve">Right </w:t>
      </w:r>
      <w:r w:rsidR="006F21EF" w:rsidRPr="000C284D">
        <w:rPr>
          <w:rFonts w:ascii="Calibri" w:hAnsi="Calibri" w:cs="Courier New"/>
          <w:color w:val="auto"/>
          <w:szCs w:val="24"/>
          <w:u w:val="single"/>
        </w:rPr>
        <w:t xml:space="preserve">Lower </w:t>
      </w:r>
      <w:r w:rsidR="006F21EF" w:rsidRPr="00EA1BD9">
        <w:rPr>
          <w:rFonts w:ascii="Calibri" w:hAnsi="Calibri" w:cs="Courier New"/>
          <w:color w:val="auto"/>
          <w:szCs w:val="24"/>
          <w:u w:val="single"/>
        </w:rPr>
        <w:t>Extremity</w:t>
      </w:r>
      <w:r w:rsidR="000C284D" w:rsidRPr="00EA1BD9">
        <w:rPr>
          <w:rFonts w:ascii="Calibri" w:hAnsi="Calibri" w:cs="Courier New"/>
          <w:color w:val="auto"/>
          <w:szCs w:val="24"/>
        </w:rPr>
        <w:t xml:space="preserve">:  </w:t>
      </w:r>
      <w:r w:rsidR="003D173B" w:rsidRPr="00EA1BD9">
        <w:rPr>
          <w:rFonts w:ascii="Calibri" w:hAnsi="Calibri" w:cs="Courier New"/>
          <w:color w:val="auto"/>
          <w:szCs w:val="24"/>
        </w:rPr>
        <w:t xml:space="preserve">The </w:t>
      </w:r>
      <w:r w:rsidR="0099225F" w:rsidRPr="00EA1BD9">
        <w:rPr>
          <w:rFonts w:ascii="Calibri" w:hAnsi="Calibri" w:cs="Courier New"/>
          <w:color w:val="auto"/>
          <w:szCs w:val="24"/>
        </w:rPr>
        <w:t xml:space="preserve">CI </w:t>
      </w:r>
      <w:r w:rsidR="003D173B" w:rsidRPr="00EA1BD9">
        <w:rPr>
          <w:rFonts w:ascii="Calibri" w:hAnsi="Calibri" w:cs="Courier New"/>
          <w:color w:val="auto"/>
          <w:szCs w:val="24"/>
        </w:rPr>
        <w:t>injured</w:t>
      </w:r>
      <w:r w:rsidR="001F5158" w:rsidRPr="00EA1BD9">
        <w:rPr>
          <w:rFonts w:ascii="Calibri" w:hAnsi="Calibri" w:cs="Courier New"/>
          <w:color w:val="auto"/>
          <w:szCs w:val="24"/>
        </w:rPr>
        <w:t xml:space="preserve"> her </w:t>
      </w:r>
      <w:r w:rsidR="0099225F" w:rsidRPr="00EA1BD9">
        <w:rPr>
          <w:rFonts w:ascii="Calibri" w:hAnsi="Calibri" w:cs="Courier New"/>
          <w:color w:val="auto"/>
          <w:szCs w:val="24"/>
        </w:rPr>
        <w:t xml:space="preserve">right </w:t>
      </w:r>
      <w:r w:rsidR="001F5158" w:rsidRPr="00EA1BD9">
        <w:rPr>
          <w:rFonts w:ascii="Calibri" w:hAnsi="Calibri" w:cs="Courier New"/>
          <w:color w:val="auto"/>
          <w:szCs w:val="24"/>
        </w:rPr>
        <w:t>knee</w:t>
      </w:r>
      <w:r w:rsidR="006F21EF" w:rsidRPr="00EA1BD9">
        <w:rPr>
          <w:rFonts w:ascii="Calibri" w:hAnsi="Calibri" w:cs="Courier New"/>
          <w:color w:val="auto"/>
          <w:szCs w:val="24"/>
        </w:rPr>
        <w:t xml:space="preserve"> in </w:t>
      </w:r>
      <w:r w:rsidR="00D16B9C" w:rsidRPr="00EA1BD9">
        <w:rPr>
          <w:rFonts w:ascii="Calibri" w:hAnsi="Calibri" w:cs="Courier New"/>
          <w:color w:val="auto"/>
          <w:szCs w:val="24"/>
        </w:rPr>
        <w:t>March 2005</w:t>
      </w:r>
      <w:r w:rsidR="005B52F7">
        <w:rPr>
          <w:rFonts w:ascii="Calibri" w:hAnsi="Calibri" w:cs="Courier New"/>
          <w:color w:val="auto"/>
          <w:szCs w:val="24"/>
        </w:rPr>
        <w:t xml:space="preserve"> and</w:t>
      </w:r>
      <w:r w:rsidR="0099225F" w:rsidRPr="00EA1BD9">
        <w:rPr>
          <w:rFonts w:ascii="Calibri" w:hAnsi="Calibri" w:cs="Courier New"/>
          <w:color w:val="auto"/>
          <w:szCs w:val="24"/>
        </w:rPr>
        <w:t xml:space="preserve"> was </w:t>
      </w:r>
      <w:r w:rsidR="001F5158" w:rsidRPr="00EA1BD9">
        <w:rPr>
          <w:rFonts w:ascii="Calibri" w:hAnsi="Calibri" w:cs="Courier New"/>
          <w:color w:val="auto"/>
          <w:szCs w:val="24"/>
        </w:rPr>
        <w:t>initial</w:t>
      </w:r>
      <w:r w:rsidR="006F21EF" w:rsidRPr="00EA1BD9">
        <w:rPr>
          <w:rFonts w:ascii="Calibri" w:hAnsi="Calibri" w:cs="Courier New"/>
          <w:color w:val="auto"/>
          <w:szCs w:val="24"/>
        </w:rPr>
        <w:t>ly</w:t>
      </w:r>
      <w:r w:rsidR="001F5158" w:rsidRPr="00EA1BD9">
        <w:rPr>
          <w:rFonts w:ascii="Calibri" w:hAnsi="Calibri" w:cs="Courier New"/>
          <w:color w:val="auto"/>
          <w:szCs w:val="24"/>
        </w:rPr>
        <w:t xml:space="preserve"> diagnosed </w:t>
      </w:r>
      <w:r w:rsidR="006F21EF" w:rsidRPr="00EA1BD9">
        <w:rPr>
          <w:rFonts w:ascii="Calibri" w:hAnsi="Calibri" w:cs="Courier New"/>
          <w:color w:val="auto"/>
          <w:szCs w:val="24"/>
        </w:rPr>
        <w:t>with</w:t>
      </w:r>
      <w:r w:rsidR="00F63157" w:rsidRPr="00EA1BD9">
        <w:rPr>
          <w:rFonts w:ascii="Calibri" w:hAnsi="Calibri" w:cs="Courier New"/>
          <w:color w:val="auto"/>
          <w:szCs w:val="24"/>
        </w:rPr>
        <w:t xml:space="preserve"> </w:t>
      </w:r>
      <w:r w:rsidR="001F5158" w:rsidRPr="00EA1BD9">
        <w:rPr>
          <w:rFonts w:ascii="Calibri" w:hAnsi="Calibri" w:cs="Courier New"/>
          <w:color w:val="auto"/>
          <w:szCs w:val="24"/>
        </w:rPr>
        <w:t xml:space="preserve">stress </w:t>
      </w:r>
      <w:r w:rsidR="00F63157" w:rsidRPr="00EA1BD9">
        <w:rPr>
          <w:rFonts w:ascii="Calibri" w:hAnsi="Calibri" w:cs="Courier New"/>
          <w:color w:val="auto"/>
          <w:szCs w:val="24"/>
        </w:rPr>
        <w:t xml:space="preserve">fracture and </w:t>
      </w:r>
      <w:r w:rsidR="006F21EF" w:rsidRPr="00EA1BD9">
        <w:rPr>
          <w:rFonts w:ascii="Calibri" w:hAnsi="Calibri" w:cs="Courier New"/>
          <w:color w:val="auto"/>
          <w:szCs w:val="24"/>
        </w:rPr>
        <w:t>tendonitis</w:t>
      </w:r>
      <w:r w:rsidR="0076246B" w:rsidRPr="00EA1BD9">
        <w:rPr>
          <w:rFonts w:ascii="Calibri" w:hAnsi="Calibri" w:cs="Courier New"/>
          <w:color w:val="auto"/>
          <w:szCs w:val="24"/>
        </w:rPr>
        <w:t>.</w:t>
      </w:r>
      <w:r w:rsidR="0099225F" w:rsidRPr="00EA1BD9">
        <w:rPr>
          <w:rFonts w:ascii="Calibri" w:hAnsi="Calibri" w:cs="Courier New"/>
          <w:color w:val="auto"/>
          <w:szCs w:val="24"/>
        </w:rPr>
        <w:t xml:space="preserve"> </w:t>
      </w:r>
      <w:r w:rsidR="00060F94" w:rsidRPr="00EA1BD9">
        <w:rPr>
          <w:rFonts w:ascii="Calibri" w:hAnsi="Calibri" w:cs="Courier New"/>
          <w:color w:val="auto"/>
          <w:szCs w:val="24"/>
        </w:rPr>
        <w:t xml:space="preserve"> P</w:t>
      </w:r>
      <w:r w:rsidR="0099225F" w:rsidRPr="00EA1BD9">
        <w:rPr>
          <w:rFonts w:ascii="Calibri" w:hAnsi="Calibri" w:cs="Courier New"/>
          <w:color w:val="auto"/>
          <w:szCs w:val="24"/>
        </w:rPr>
        <w:t>ain</w:t>
      </w:r>
      <w:r w:rsidR="00060F94" w:rsidRPr="00EA1BD9">
        <w:rPr>
          <w:rFonts w:ascii="Calibri" w:hAnsi="Calibri" w:cs="Courier New"/>
          <w:color w:val="auto"/>
          <w:szCs w:val="24"/>
        </w:rPr>
        <w:t xml:space="preserve"> was </w:t>
      </w:r>
      <w:r w:rsidR="00454543" w:rsidRPr="00EA1BD9">
        <w:rPr>
          <w:rFonts w:ascii="Calibri" w:hAnsi="Calibri" w:cs="Courier New"/>
          <w:color w:val="auto"/>
          <w:szCs w:val="24"/>
        </w:rPr>
        <w:t xml:space="preserve">located </w:t>
      </w:r>
      <w:r w:rsidR="0076246B" w:rsidRPr="00EA1BD9">
        <w:rPr>
          <w:rFonts w:ascii="Calibri" w:hAnsi="Calibri" w:cs="Courier New"/>
          <w:color w:val="auto"/>
          <w:szCs w:val="24"/>
        </w:rPr>
        <w:t xml:space="preserve">in </w:t>
      </w:r>
      <w:r w:rsidR="0099225F" w:rsidRPr="00EA1BD9">
        <w:rPr>
          <w:rFonts w:ascii="Calibri" w:hAnsi="Calibri" w:cs="Courier New"/>
          <w:color w:val="auto"/>
          <w:szCs w:val="24"/>
        </w:rPr>
        <w:t xml:space="preserve">the </w:t>
      </w:r>
      <w:r w:rsidR="005D7F96" w:rsidRPr="00EA1BD9">
        <w:rPr>
          <w:rFonts w:ascii="Calibri" w:hAnsi="Calibri" w:cs="Courier New"/>
          <w:color w:val="auto"/>
          <w:szCs w:val="24"/>
        </w:rPr>
        <w:t xml:space="preserve">medial </w:t>
      </w:r>
      <w:r w:rsidR="0099225F" w:rsidRPr="00EA1BD9">
        <w:rPr>
          <w:rFonts w:ascii="Calibri" w:hAnsi="Calibri" w:cs="Courier New"/>
          <w:color w:val="auto"/>
          <w:szCs w:val="24"/>
        </w:rPr>
        <w:t xml:space="preserve">aspect of the right </w:t>
      </w:r>
      <w:r w:rsidR="005D7F96" w:rsidRPr="00EA1BD9">
        <w:rPr>
          <w:rFonts w:ascii="Calibri" w:hAnsi="Calibri" w:cs="Courier New"/>
          <w:color w:val="auto"/>
          <w:szCs w:val="24"/>
        </w:rPr>
        <w:t>knee</w:t>
      </w:r>
      <w:r w:rsidR="0076246B" w:rsidRPr="00EA1BD9">
        <w:rPr>
          <w:rFonts w:ascii="Calibri" w:hAnsi="Calibri" w:cs="Courier New"/>
          <w:color w:val="auto"/>
          <w:szCs w:val="24"/>
        </w:rPr>
        <w:t xml:space="preserve">, </w:t>
      </w:r>
      <w:r w:rsidR="00060F94" w:rsidRPr="00EA1BD9">
        <w:rPr>
          <w:rFonts w:ascii="Calibri" w:hAnsi="Calibri" w:cs="Courier New"/>
          <w:color w:val="auto"/>
          <w:szCs w:val="24"/>
        </w:rPr>
        <w:t xml:space="preserve">described as </w:t>
      </w:r>
      <w:r w:rsidR="005D7F96" w:rsidRPr="00EA1BD9">
        <w:rPr>
          <w:rFonts w:ascii="Calibri" w:hAnsi="Calibri" w:cs="Courier New"/>
          <w:color w:val="auto"/>
          <w:szCs w:val="24"/>
        </w:rPr>
        <w:t xml:space="preserve">worse with sitting, driving, </w:t>
      </w:r>
      <w:r w:rsidR="00A40942" w:rsidRPr="00EA1BD9">
        <w:rPr>
          <w:rFonts w:ascii="Calibri" w:hAnsi="Calibri" w:cs="Courier New"/>
          <w:color w:val="auto"/>
          <w:szCs w:val="24"/>
        </w:rPr>
        <w:t xml:space="preserve">and </w:t>
      </w:r>
      <w:r w:rsidR="005D7F96" w:rsidRPr="00EA1BD9">
        <w:rPr>
          <w:rFonts w:ascii="Calibri" w:hAnsi="Calibri" w:cs="Courier New"/>
          <w:color w:val="auto"/>
          <w:szCs w:val="24"/>
        </w:rPr>
        <w:t xml:space="preserve">standing. </w:t>
      </w:r>
      <w:r w:rsidR="005B52F7">
        <w:rPr>
          <w:rFonts w:ascii="Calibri" w:hAnsi="Calibri" w:cs="Courier New"/>
          <w:color w:val="auto"/>
          <w:szCs w:val="24"/>
        </w:rPr>
        <w:t xml:space="preserve"> </w:t>
      </w:r>
      <w:r w:rsidR="00060F94" w:rsidRPr="00EA1BD9">
        <w:rPr>
          <w:rFonts w:ascii="Calibri" w:hAnsi="Calibri" w:cs="Courier New"/>
          <w:color w:val="auto"/>
          <w:szCs w:val="24"/>
        </w:rPr>
        <w:t>There were</w:t>
      </w:r>
      <w:r w:rsidR="0076246B" w:rsidRPr="00EA1BD9">
        <w:rPr>
          <w:rFonts w:ascii="Calibri" w:hAnsi="Calibri" w:cs="Courier New"/>
          <w:color w:val="auto"/>
          <w:szCs w:val="24"/>
        </w:rPr>
        <w:t xml:space="preserve"> </w:t>
      </w:r>
      <w:r w:rsidR="00D4036E" w:rsidRPr="00EA1BD9">
        <w:rPr>
          <w:rFonts w:ascii="Calibri" w:hAnsi="Calibri" w:cs="Courier New"/>
          <w:color w:val="auto"/>
          <w:szCs w:val="24"/>
        </w:rPr>
        <w:t xml:space="preserve">subjective </w:t>
      </w:r>
      <w:r w:rsidR="00060F94" w:rsidRPr="00EA1BD9">
        <w:rPr>
          <w:rFonts w:ascii="Calibri" w:hAnsi="Calibri" w:cs="Courier New"/>
          <w:color w:val="auto"/>
          <w:szCs w:val="24"/>
        </w:rPr>
        <w:t xml:space="preserve">reports of </w:t>
      </w:r>
      <w:r w:rsidR="0076246B" w:rsidRPr="00EA1BD9">
        <w:rPr>
          <w:rFonts w:ascii="Calibri" w:hAnsi="Calibri" w:cs="Courier New"/>
          <w:color w:val="auto"/>
          <w:szCs w:val="24"/>
        </w:rPr>
        <w:t>episodic swelling, m</w:t>
      </w:r>
      <w:r w:rsidR="005D7F96" w:rsidRPr="00EA1BD9">
        <w:rPr>
          <w:rFonts w:ascii="Calibri" w:hAnsi="Calibri" w:cs="Courier New"/>
          <w:color w:val="auto"/>
          <w:szCs w:val="24"/>
        </w:rPr>
        <w:t>inimal painful clicking</w:t>
      </w:r>
      <w:r w:rsidR="00060F94" w:rsidRPr="00EA1BD9">
        <w:rPr>
          <w:rFonts w:ascii="Calibri" w:hAnsi="Calibri" w:cs="Courier New"/>
          <w:color w:val="auto"/>
          <w:szCs w:val="24"/>
        </w:rPr>
        <w:t>, locking</w:t>
      </w:r>
      <w:r w:rsidR="005D7F96" w:rsidRPr="00EA1BD9">
        <w:rPr>
          <w:rFonts w:ascii="Calibri" w:hAnsi="Calibri" w:cs="Courier New"/>
          <w:color w:val="auto"/>
          <w:szCs w:val="24"/>
        </w:rPr>
        <w:t xml:space="preserve"> in extension. </w:t>
      </w:r>
      <w:r w:rsidR="00D4036E" w:rsidRPr="00EA1BD9">
        <w:rPr>
          <w:rFonts w:ascii="Calibri" w:hAnsi="Calibri" w:cs="Courier New"/>
          <w:color w:val="auto"/>
          <w:szCs w:val="24"/>
        </w:rPr>
        <w:t xml:space="preserve"> Objective examina</w:t>
      </w:r>
      <w:r w:rsidR="00454543" w:rsidRPr="00EA1BD9">
        <w:rPr>
          <w:rFonts w:ascii="Calibri" w:hAnsi="Calibri" w:cs="Courier New"/>
          <w:color w:val="auto"/>
          <w:szCs w:val="24"/>
        </w:rPr>
        <w:t xml:space="preserve">tions did not show effusions, instability, </w:t>
      </w:r>
      <w:proofErr w:type="gramStart"/>
      <w:r w:rsidR="00D4036E" w:rsidRPr="00EA1BD9">
        <w:rPr>
          <w:rFonts w:ascii="Calibri" w:hAnsi="Calibri" w:cs="Courier New"/>
          <w:color w:val="auto"/>
          <w:szCs w:val="24"/>
        </w:rPr>
        <w:t>limitation</w:t>
      </w:r>
      <w:proofErr w:type="gramEnd"/>
      <w:r w:rsidR="00D4036E" w:rsidRPr="00EA1BD9">
        <w:rPr>
          <w:rFonts w:ascii="Calibri" w:hAnsi="Calibri" w:cs="Courier New"/>
          <w:color w:val="auto"/>
          <w:szCs w:val="24"/>
        </w:rPr>
        <w:t xml:space="preserve"> of motion.  </w:t>
      </w:r>
      <w:r w:rsidR="0076246B" w:rsidRPr="00EA1BD9">
        <w:rPr>
          <w:rFonts w:ascii="Calibri" w:hAnsi="Calibri" w:cs="Courier New"/>
          <w:color w:val="auto"/>
          <w:szCs w:val="24"/>
        </w:rPr>
        <w:t xml:space="preserve">She was treated </w:t>
      </w:r>
      <w:r w:rsidR="00060F94" w:rsidRPr="00EA1BD9">
        <w:rPr>
          <w:rFonts w:ascii="Calibri" w:hAnsi="Calibri" w:cs="Courier New"/>
          <w:color w:val="auto"/>
          <w:szCs w:val="24"/>
        </w:rPr>
        <w:t xml:space="preserve">with </w:t>
      </w:r>
      <w:r w:rsidR="00A40942" w:rsidRPr="00EA1BD9">
        <w:rPr>
          <w:rFonts w:ascii="Calibri" w:hAnsi="Calibri" w:cs="Courier New"/>
          <w:color w:val="auto"/>
          <w:szCs w:val="24"/>
        </w:rPr>
        <w:t>LIMDU</w:t>
      </w:r>
      <w:r w:rsidR="0076246B" w:rsidRPr="00EA1BD9">
        <w:rPr>
          <w:rFonts w:ascii="Calibri" w:hAnsi="Calibri" w:cs="Courier New"/>
          <w:color w:val="auto"/>
          <w:szCs w:val="24"/>
        </w:rPr>
        <w:t xml:space="preserve">, </w:t>
      </w:r>
      <w:proofErr w:type="spellStart"/>
      <w:r w:rsidR="00A40942" w:rsidRPr="00EA1BD9">
        <w:rPr>
          <w:rFonts w:ascii="Calibri" w:hAnsi="Calibri" w:cs="Courier New"/>
          <w:color w:val="auto"/>
          <w:szCs w:val="24"/>
        </w:rPr>
        <w:t>nonsteroidal</w:t>
      </w:r>
      <w:proofErr w:type="spellEnd"/>
      <w:r w:rsidR="00A40942" w:rsidRPr="00EA1BD9">
        <w:rPr>
          <w:rFonts w:ascii="Calibri" w:hAnsi="Calibri" w:cs="Courier New"/>
          <w:color w:val="auto"/>
          <w:szCs w:val="24"/>
        </w:rPr>
        <w:t xml:space="preserve"> anti-inflammatory medications, </w:t>
      </w:r>
      <w:r w:rsidR="0076246B" w:rsidRPr="00EA1BD9">
        <w:rPr>
          <w:rFonts w:ascii="Calibri" w:hAnsi="Calibri" w:cs="Courier New"/>
          <w:color w:val="auto"/>
          <w:szCs w:val="24"/>
        </w:rPr>
        <w:t xml:space="preserve">and physical therapy </w:t>
      </w:r>
      <w:r w:rsidR="0099225F" w:rsidRPr="00EA1BD9">
        <w:rPr>
          <w:rFonts w:ascii="Calibri" w:hAnsi="Calibri" w:cs="Courier New"/>
          <w:color w:val="auto"/>
          <w:szCs w:val="24"/>
        </w:rPr>
        <w:t xml:space="preserve">(PT) </w:t>
      </w:r>
      <w:r w:rsidR="00060F94" w:rsidRPr="00EA1BD9">
        <w:rPr>
          <w:rFonts w:ascii="Calibri" w:hAnsi="Calibri" w:cs="Courier New"/>
          <w:color w:val="auto"/>
          <w:szCs w:val="24"/>
        </w:rPr>
        <w:t>without improvement (April – August 2005).</w:t>
      </w:r>
      <w:r w:rsidR="00A03580" w:rsidRPr="00EA1BD9">
        <w:rPr>
          <w:rFonts w:ascii="Calibri" w:hAnsi="Calibri" w:cs="Courier New"/>
          <w:color w:val="auto"/>
          <w:szCs w:val="24"/>
        </w:rPr>
        <w:t xml:space="preserve">  </w:t>
      </w:r>
      <w:r w:rsidR="006F21EF" w:rsidRPr="00EA1BD9">
        <w:rPr>
          <w:rFonts w:ascii="Calibri" w:hAnsi="Calibri" w:cs="Courier New"/>
          <w:color w:val="auto"/>
          <w:szCs w:val="24"/>
        </w:rPr>
        <w:t xml:space="preserve">Right Knee </w:t>
      </w:r>
      <w:r w:rsidR="001F5158" w:rsidRPr="00EA1BD9">
        <w:rPr>
          <w:rFonts w:ascii="Calibri" w:hAnsi="Calibri" w:cs="Courier New"/>
          <w:color w:val="auto"/>
          <w:szCs w:val="24"/>
        </w:rPr>
        <w:t xml:space="preserve">Medial </w:t>
      </w:r>
      <w:proofErr w:type="spellStart"/>
      <w:r w:rsidR="001F5158" w:rsidRPr="00EA1BD9">
        <w:rPr>
          <w:rFonts w:ascii="Calibri" w:hAnsi="Calibri" w:cs="Courier New"/>
          <w:color w:val="auto"/>
          <w:szCs w:val="24"/>
        </w:rPr>
        <w:t>Meniscal</w:t>
      </w:r>
      <w:proofErr w:type="spellEnd"/>
      <w:r w:rsidR="001F5158" w:rsidRPr="00EA1BD9">
        <w:rPr>
          <w:rFonts w:ascii="Calibri" w:hAnsi="Calibri" w:cs="Courier New"/>
          <w:color w:val="auto"/>
          <w:szCs w:val="24"/>
        </w:rPr>
        <w:t xml:space="preserve"> Tear</w:t>
      </w:r>
      <w:r w:rsidR="00060F94" w:rsidRPr="00EA1BD9">
        <w:rPr>
          <w:rFonts w:ascii="Calibri" w:hAnsi="Calibri" w:cs="Courier New"/>
          <w:color w:val="auto"/>
          <w:szCs w:val="24"/>
        </w:rPr>
        <w:t xml:space="preserve"> was diagnosed in Dec</w:t>
      </w:r>
      <w:r w:rsidR="005B52F7">
        <w:rPr>
          <w:rFonts w:ascii="Calibri" w:hAnsi="Calibri" w:cs="Courier New"/>
          <w:color w:val="auto"/>
          <w:szCs w:val="24"/>
        </w:rPr>
        <w:t>ember</w:t>
      </w:r>
      <w:r w:rsidR="00060F94" w:rsidRPr="00EA1BD9">
        <w:rPr>
          <w:rFonts w:ascii="Calibri" w:hAnsi="Calibri" w:cs="Courier New"/>
          <w:color w:val="auto"/>
          <w:szCs w:val="24"/>
        </w:rPr>
        <w:t xml:space="preserve"> 2005</w:t>
      </w:r>
      <w:r w:rsidR="00AC09D9" w:rsidRPr="00EA1BD9">
        <w:rPr>
          <w:rFonts w:ascii="Calibri" w:hAnsi="Calibri" w:cs="Courier New"/>
          <w:color w:val="auto"/>
          <w:szCs w:val="24"/>
        </w:rPr>
        <w:t>,</w:t>
      </w:r>
      <w:r w:rsidR="001F5158" w:rsidRPr="00EA1BD9">
        <w:rPr>
          <w:rFonts w:ascii="Calibri" w:hAnsi="Calibri" w:cs="Courier New"/>
          <w:color w:val="auto"/>
          <w:szCs w:val="24"/>
        </w:rPr>
        <w:t xml:space="preserve"> </w:t>
      </w:r>
      <w:r w:rsidR="00544AE5" w:rsidRPr="00EA1BD9">
        <w:rPr>
          <w:rFonts w:ascii="Calibri" w:hAnsi="Calibri" w:cs="Courier New"/>
          <w:color w:val="auto"/>
          <w:szCs w:val="24"/>
        </w:rPr>
        <w:t>and in</w:t>
      </w:r>
      <w:r w:rsidR="00060F94" w:rsidRPr="00EA1BD9">
        <w:rPr>
          <w:rFonts w:ascii="Calibri" w:hAnsi="Calibri" w:cs="Courier New"/>
          <w:color w:val="auto"/>
          <w:szCs w:val="24"/>
        </w:rPr>
        <w:t xml:space="preserve"> </w:t>
      </w:r>
      <w:r w:rsidR="001F5158" w:rsidRPr="00EA1BD9">
        <w:rPr>
          <w:rFonts w:ascii="Calibri" w:hAnsi="Calibri" w:cs="Courier New"/>
          <w:color w:val="auto"/>
          <w:szCs w:val="24"/>
        </w:rPr>
        <w:t>May 2006,</w:t>
      </w:r>
      <w:r w:rsidR="0076246B" w:rsidRPr="00EA1BD9">
        <w:rPr>
          <w:rFonts w:ascii="Calibri" w:hAnsi="Calibri" w:cs="Courier New"/>
          <w:color w:val="auto"/>
          <w:szCs w:val="24"/>
        </w:rPr>
        <w:t xml:space="preserve"> </w:t>
      </w:r>
      <w:r w:rsidR="00544AE5" w:rsidRPr="00EA1BD9">
        <w:rPr>
          <w:rFonts w:ascii="Calibri" w:hAnsi="Calibri" w:cs="Courier New"/>
          <w:color w:val="auto"/>
          <w:szCs w:val="24"/>
        </w:rPr>
        <w:t>arthroscopic</w:t>
      </w:r>
      <w:r w:rsidR="00060F94" w:rsidRPr="00EA1BD9">
        <w:rPr>
          <w:rFonts w:ascii="Calibri" w:hAnsi="Calibri" w:cs="Courier New"/>
          <w:color w:val="auto"/>
          <w:szCs w:val="24"/>
        </w:rPr>
        <w:t xml:space="preserve"> surgery to remove the meniscus was performed with resolution of the </w:t>
      </w:r>
      <w:r w:rsidR="001F5158" w:rsidRPr="00EA1BD9">
        <w:rPr>
          <w:rFonts w:ascii="Calibri" w:hAnsi="Calibri" w:cs="Courier New"/>
          <w:color w:val="auto"/>
          <w:szCs w:val="24"/>
        </w:rPr>
        <w:t xml:space="preserve">medial knee pain. </w:t>
      </w:r>
      <w:r w:rsidR="005B52F7">
        <w:rPr>
          <w:rFonts w:ascii="Calibri" w:hAnsi="Calibri" w:cs="Courier New"/>
          <w:color w:val="auto"/>
          <w:szCs w:val="24"/>
        </w:rPr>
        <w:t xml:space="preserve"> </w:t>
      </w:r>
      <w:r w:rsidR="001F5158" w:rsidRPr="00EA1BD9">
        <w:rPr>
          <w:rFonts w:ascii="Calibri" w:hAnsi="Calibri" w:cs="Courier New"/>
          <w:color w:val="auto"/>
          <w:szCs w:val="24"/>
        </w:rPr>
        <w:t xml:space="preserve">However, </w:t>
      </w:r>
      <w:r w:rsidR="00A40942" w:rsidRPr="00EA1BD9">
        <w:rPr>
          <w:rFonts w:ascii="Calibri" w:hAnsi="Calibri" w:cs="Courier New"/>
          <w:color w:val="auto"/>
          <w:szCs w:val="24"/>
        </w:rPr>
        <w:t xml:space="preserve">the </w:t>
      </w:r>
      <w:r w:rsidR="008F4190" w:rsidRPr="00EA1BD9">
        <w:rPr>
          <w:rFonts w:ascii="Calibri" w:hAnsi="Calibri" w:cs="Courier New"/>
          <w:color w:val="auto"/>
          <w:szCs w:val="24"/>
        </w:rPr>
        <w:t xml:space="preserve">CI developed anterior </w:t>
      </w:r>
      <w:r w:rsidR="001F5158" w:rsidRPr="00EA1BD9">
        <w:rPr>
          <w:rFonts w:ascii="Calibri" w:hAnsi="Calibri" w:cs="Courier New"/>
          <w:color w:val="auto"/>
          <w:szCs w:val="24"/>
        </w:rPr>
        <w:t xml:space="preserve">knee </w:t>
      </w:r>
      <w:r w:rsidR="008F4190" w:rsidRPr="00EA1BD9">
        <w:rPr>
          <w:rFonts w:ascii="Calibri" w:hAnsi="Calibri" w:cs="Courier New"/>
          <w:color w:val="auto"/>
          <w:szCs w:val="24"/>
        </w:rPr>
        <w:t>pain</w:t>
      </w:r>
      <w:r w:rsidR="001F5158" w:rsidRPr="00EA1BD9">
        <w:rPr>
          <w:rFonts w:ascii="Calibri" w:hAnsi="Calibri" w:cs="Courier New"/>
          <w:color w:val="auto"/>
          <w:szCs w:val="24"/>
        </w:rPr>
        <w:t xml:space="preserve">, leading to the diagnosis of both </w:t>
      </w:r>
      <w:r w:rsidR="00454543" w:rsidRPr="00EA1BD9">
        <w:rPr>
          <w:rFonts w:ascii="Calibri" w:hAnsi="Calibri" w:cs="Courier New"/>
          <w:color w:val="auto"/>
          <w:szCs w:val="24"/>
        </w:rPr>
        <w:t>bursitis</w:t>
      </w:r>
      <w:r w:rsidR="00983737" w:rsidRPr="00EA1BD9">
        <w:rPr>
          <w:rFonts w:ascii="Calibri" w:hAnsi="Calibri" w:cs="Courier New"/>
          <w:color w:val="auto"/>
          <w:szCs w:val="24"/>
        </w:rPr>
        <w:t xml:space="preserve"> </w:t>
      </w:r>
      <w:r w:rsidR="001F5158" w:rsidRPr="00EA1BD9">
        <w:rPr>
          <w:rFonts w:ascii="Calibri" w:hAnsi="Calibri" w:cs="Courier New"/>
          <w:color w:val="auto"/>
          <w:szCs w:val="24"/>
        </w:rPr>
        <w:t>and</w:t>
      </w:r>
      <w:r w:rsidR="0099225F" w:rsidRPr="00EA1BD9">
        <w:rPr>
          <w:rFonts w:ascii="Calibri" w:hAnsi="Calibri" w:cs="Courier New"/>
          <w:color w:val="auto"/>
          <w:szCs w:val="24"/>
        </w:rPr>
        <w:t xml:space="preserve"> </w:t>
      </w:r>
      <w:proofErr w:type="spellStart"/>
      <w:r w:rsidR="00454543" w:rsidRPr="00EA1BD9">
        <w:rPr>
          <w:rFonts w:ascii="Calibri" w:hAnsi="Calibri" w:cs="Courier New"/>
          <w:color w:val="auto"/>
          <w:szCs w:val="24"/>
        </w:rPr>
        <w:t>chondromalatia</w:t>
      </w:r>
      <w:proofErr w:type="spellEnd"/>
      <w:r w:rsidR="00454543" w:rsidRPr="00EA1BD9">
        <w:rPr>
          <w:rFonts w:ascii="Calibri" w:hAnsi="Calibri" w:cs="Courier New"/>
          <w:color w:val="auto"/>
          <w:szCs w:val="24"/>
        </w:rPr>
        <w:t xml:space="preserve"> of the patella.  Corticosteroid</w:t>
      </w:r>
      <w:r w:rsidR="0076246B" w:rsidRPr="00EA1BD9">
        <w:rPr>
          <w:rFonts w:ascii="Calibri" w:hAnsi="Calibri" w:cs="Courier New"/>
          <w:color w:val="auto"/>
          <w:szCs w:val="24"/>
        </w:rPr>
        <w:t xml:space="preserve"> injection</w:t>
      </w:r>
      <w:r w:rsidR="00A03580" w:rsidRPr="00EA1BD9">
        <w:rPr>
          <w:rFonts w:ascii="Calibri" w:hAnsi="Calibri" w:cs="Courier New"/>
          <w:color w:val="auto"/>
          <w:szCs w:val="24"/>
        </w:rPr>
        <w:t>s,</w:t>
      </w:r>
      <w:r w:rsidR="0076246B" w:rsidRPr="00EA1BD9">
        <w:rPr>
          <w:rFonts w:ascii="Calibri" w:hAnsi="Calibri" w:cs="Courier New"/>
          <w:color w:val="auto"/>
          <w:szCs w:val="24"/>
        </w:rPr>
        <w:t xml:space="preserve"> </w:t>
      </w:r>
      <w:r w:rsidR="00454543" w:rsidRPr="00EA1BD9">
        <w:rPr>
          <w:rFonts w:ascii="Calibri" w:hAnsi="Calibri" w:cs="Courier New"/>
          <w:color w:val="auto"/>
          <w:szCs w:val="24"/>
        </w:rPr>
        <w:t>LIMDU</w:t>
      </w:r>
      <w:r w:rsidR="00A03580" w:rsidRPr="00EA1BD9">
        <w:rPr>
          <w:rFonts w:ascii="Calibri" w:hAnsi="Calibri" w:cs="Courier New"/>
          <w:color w:val="auto"/>
          <w:szCs w:val="24"/>
        </w:rPr>
        <w:t>,</w:t>
      </w:r>
      <w:r w:rsidR="00454543" w:rsidRPr="00EA1BD9">
        <w:rPr>
          <w:rFonts w:ascii="Calibri" w:hAnsi="Calibri" w:cs="Courier New"/>
          <w:color w:val="auto"/>
          <w:szCs w:val="24"/>
        </w:rPr>
        <w:t xml:space="preserve"> and </w:t>
      </w:r>
      <w:r w:rsidR="00AC09D9" w:rsidRPr="00EA1BD9">
        <w:rPr>
          <w:rFonts w:ascii="Calibri" w:hAnsi="Calibri" w:cs="Courier New"/>
          <w:color w:val="auto"/>
          <w:szCs w:val="24"/>
        </w:rPr>
        <w:t xml:space="preserve">PT </w:t>
      </w:r>
      <w:r w:rsidR="00A03580" w:rsidRPr="00EA1BD9">
        <w:rPr>
          <w:rFonts w:ascii="Calibri" w:hAnsi="Calibri" w:cs="Courier New"/>
          <w:color w:val="auto"/>
          <w:szCs w:val="24"/>
        </w:rPr>
        <w:t xml:space="preserve">were prescribed </w:t>
      </w:r>
      <w:r w:rsidR="00AC09D9" w:rsidRPr="00EA1BD9">
        <w:rPr>
          <w:rFonts w:ascii="Calibri" w:hAnsi="Calibri" w:cs="Courier New"/>
          <w:color w:val="auto"/>
          <w:szCs w:val="24"/>
        </w:rPr>
        <w:t>throughout 2006</w:t>
      </w:r>
      <w:r w:rsidR="00454543" w:rsidRPr="00EA1BD9">
        <w:rPr>
          <w:rFonts w:ascii="Calibri" w:hAnsi="Calibri" w:cs="Courier New"/>
          <w:color w:val="auto"/>
          <w:szCs w:val="24"/>
        </w:rPr>
        <w:t xml:space="preserve">.  </w:t>
      </w:r>
      <w:r w:rsidR="006F21EF" w:rsidRPr="00EA1BD9">
        <w:rPr>
          <w:rFonts w:ascii="Calibri" w:hAnsi="Calibri" w:cs="Courier New"/>
          <w:color w:val="auto"/>
          <w:szCs w:val="24"/>
        </w:rPr>
        <w:t xml:space="preserve">In April 2007, an additional arthroscopy was </w:t>
      </w:r>
      <w:r w:rsidR="00544AE5" w:rsidRPr="00EA1BD9">
        <w:rPr>
          <w:rFonts w:ascii="Calibri" w:hAnsi="Calibri" w:cs="Courier New"/>
          <w:color w:val="auto"/>
          <w:szCs w:val="24"/>
        </w:rPr>
        <w:t>performed for</w:t>
      </w:r>
      <w:r w:rsidR="00A03580" w:rsidRPr="00EA1BD9">
        <w:rPr>
          <w:rFonts w:ascii="Calibri" w:hAnsi="Calibri" w:cs="Courier New"/>
          <w:color w:val="auto"/>
          <w:szCs w:val="24"/>
        </w:rPr>
        <w:t xml:space="preserve"> debridement of a</w:t>
      </w:r>
      <w:r w:rsidR="00461648" w:rsidRPr="00EA1BD9">
        <w:rPr>
          <w:rFonts w:ascii="Calibri" w:hAnsi="Calibri" w:cs="Courier New"/>
          <w:color w:val="auto"/>
          <w:szCs w:val="24"/>
        </w:rPr>
        <w:t xml:space="preserve"> </w:t>
      </w:r>
      <w:r w:rsidR="00A03580" w:rsidRPr="00EA1BD9">
        <w:rPr>
          <w:rFonts w:ascii="Calibri" w:hAnsi="Calibri" w:cs="Courier New"/>
          <w:color w:val="auto"/>
          <w:szCs w:val="24"/>
        </w:rPr>
        <w:t xml:space="preserve">medial patellofemoral </w:t>
      </w:r>
      <w:proofErr w:type="spellStart"/>
      <w:r w:rsidR="00A03580" w:rsidRPr="00EA1BD9">
        <w:rPr>
          <w:rFonts w:ascii="Calibri" w:hAnsi="Calibri" w:cs="Courier New"/>
          <w:color w:val="auto"/>
          <w:szCs w:val="24"/>
        </w:rPr>
        <w:t>plica</w:t>
      </w:r>
      <w:proofErr w:type="spellEnd"/>
      <w:r w:rsidR="00A03580" w:rsidRPr="00EA1BD9">
        <w:rPr>
          <w:rFonts w:ascii="Calibri" w:hAnsi="Calibri" w:cs="Courier New"/>
          <w:color w:val="auto"/>
          <w:szCs w:val="24"/>
        </w:rPr>
        <w:t xml:space="preserve"> associated with </w:t>
      </w:r>
      <w:proofErr w:type="spellStart"/>
      <w:r w:rsidR="00A03580" w:rsidRPr="00EA1BD9">
        <w:rPr>
          <w:rFonts w:ascii="Calibri" w:hAnsi="Calibri" w:cs="Courier New"/>
          <w:color w:val="auto"/>
          <w:szCs w:val="24"/>
        </w:rPr>
        <w:t>synovitis</w:t>
      </w:r>
      <w:proofErr w:type="spellEnd"/>
      <w:r w:rsidR="006F21EF" w:rsidRPr="00EA1BD9">
        <w:rPr>
          <w:rFonts w:ascii="Calibri" w:hAnsi="Calibri" w:cs="Courier New"/>
          <w:color w:val="auto"/>
          <w:szCs w:val="24"/>
        </w:rPr>
        <w:t xml:space="preserve">, which did not relieve her symptoms. </w:t>
      </w:r>
      <w:r w:rsidR="004A5537" w:rsidRPr="00EA1BD9">
        <w:rPr>
          <w:rFonts w:ascii="Calibri" w:hAnsi="Calibri" w:cs="Courier New"/>
          <w:color w:val="auto"/>
          <w:szCs w:val="24"/>
        </w:rPr>
        <w:t xml:space="preserve"> </w:t>
      </w:r>
      <w:r w:rsidR="00461648" w:rsidRPr="00EA1BD9">
        <w:rPr>
          <w:rFonts w:ascii="Calibri" w:hAnsi="Calibri" w:cs="Courier New"/>
          <w:color w:val="auto"/>
          <w:szCs w:val="24"/>
        </w:rPr>
        <w:t xml:space="preserve">In </w:t>
      </w:r>
      <w:r w:rsidR="00A03580" w:rsidRPr="00EA1BD9">
        <w:rPr>
          <w:rFonts w:ascii="Calibri" w:hAnsi="Calibri" w:cs="Courier New"/>
          <w:color w:val="auto"/>
          <w:szCs w:val="24"/>
        </w:rPr>
        <w:t xml:space="preserve">2008 </w:t>
      </w:r>
      <w:proofErr w:type="spellStart"/>
      <w:r w:rsidR="00A03580" w:rsidRPr="00EA1BD9">
        <w:rPr>
          <w:rFonts w:ascii="Calibri" w:hAnsi="Calibri" w:cs="Courier New"/>
          <w:color w:val="auto"/>
          <w:szCs w:val="24"/>
        </w:rPr>
        <w:t>Hyalgan</w:t>
      </w:r>
      <w:proofErr w:type="spellEnd"/>
      <w:r w:rsidR="00461648" w:rsidRPr="00EA1BD9">
        <w:rPr>
          <w:rFonts w:ascii="Calibri" w:hAnsi="Calibri" w:cs="Courier New"/>
          <w:color w:val="auto"/>
          <w:szCs w:val="24"/>
        </w:rPr>
        <w:t xml:space="preserve"> injections were given</w:t>
      </w:r>
      <w:r w:rsidR="004A5537" w:rsidRPr="00EA1BD9">
        <w:rPr>
          <w:rFonts w:ascii="Calibri" w:hAnsi="Calibri" w:cs="Courier New"/>
          <w:color w:val="auto"/>
          <w:szCs w:val="24"/>
        </w:rPr>
        <w:t xml:space="preserve"> without restoration of the CI to military exercise performance standards.  </w:t>
      </w:r>
      <w:r w:rsidR="00D14AF8" w:rsidRPr="00EA1BD9">
        <w:rPr>
          <w:rFonts w:ascii="Calibri" w:hAnsi="Calibri" w:cs="Courier New"/>
          <w:color w:val="auto"/>
          <w:szCs w:val="24"/>
        </w:rPr>
        <w:t>Because of her knee injury</w:t>
      </w:r>
      <w:r w:rsidR="006F21EF" w:rsidRPr="00EA1BD9">
        <w:rPr>
          <w:rFonts w:ascii="Calibri" w:hAnsi="Calibri" w:cs="Courier New"/>
          <w:color w:val="auto"/>
          <w:szCs w:val="24"/>
        </w:rPr>
        <w:t xml:space="preserve"> the</w:t>
      </w:r>
      <w:r w:rsidR="00804091" w:rsidRPr="00EA1BD9">
        <w:rPr>
          <w:rFonts w:ascii="Calibri" w:hAnsi="Calibri" w:cs="Courier New"/>
          <w:color w:val="auto"/>
          <w:szCs w:val="24"/>
        </w:rPr>
        <w:t xml:space="preserve"> CI </w:t>
      </w:r>
      <w:r w:rsidR="006F21EF" w:rsidRPr="00EA1BD9">
        <w:rPr>
          <w:rFonts w:ascii="Calibri" w:hAnsi="Calibri" w:cs="Courier New"/>
          <w:color w:val="auto"/>
          <w:szCs w:val="24"/>
        </w:rPr>
        <w:t>did not work</w:t>
      </w:r>
      <w:r w:rsidR="00804091" w:rsidRPr="00EA1BD9">
        <w:rPr>
          <w:rFonts w:ascii="Calibri" w:hAnsi="Calibri" w:cs="Courier New"/>
          <w:color w:val="auto"/>
          <w:szCs w:val="24"/>
        </w:rPr>
        <w:t xml:space="preserve"> in her selected MOS 5811/Military Police </w:t>
      </w:r>
      <w:r w:rsidR="00D14AF8" w:rsidRPr="00EA1BD9">
        <w:rPr>
          <w:rFonts w:ascii="Calibri" w:hAnsi="Calibri" w:cs="Courier New"/>
          <w:color w:val="auto"/>
          <w:szCs w:val="24"/>
        </w:rPr>
        <w:t>after</w:t>
      </w:r>
      <w:r w:rsidR="00804091" w:rsidRPr="00EA1BD9">
        <w:rPr>
          <w:rFonts w:ascii="Calibri" w:hAnsi="Calibri" w:cs="Courier New"/>
          <w:color w:val="auto"/>
          <w:szCs w:val="24"/>
        </w:rPr>
        <w:t xml:space="preserve"> completion of her initial</w:t>
      </w:r>
      <w:r w:rsidR="00AA5F00" w:rsidRPr="00EA1BD9">
        <w:rPr>
          <w:rFonts w:ascii="Calibri" w:hAnsi="Calibri" w:cs="Courier New"/>
          <w:color w:val="auto"/>
          <w:szCs w:val="24"/>
        </w:rPr>
        <w:t xml:space="preserve"> entry training (IET)</w:t>
      </w:r>
      <w:r w:rsidR="006F21EF" w:rsidRPr="00EA1BD9">
        <w:rPr>
          <w:rFonts w:ascii="Calibri" w:hAnsi="Calibri" w:cs="Courier New"/>
          <w:color w:val="auto"/>
          <w:szCs w:val="24"/>
        </w:rPr>
        <w:t xml:space="preserve">. </w:t>
      </w:r>
      <w:r w:rsidR="004A5537" w:rsidRPr="00EA1BD9">
        <w:rPr>
          <w:rFonts w:ascii="Calibri" w:hAnsi="Calibri" w:cs="Courier New"/>
          <w:color w:val="auto"/>
          <w:szCs w:val="24"/>
        </w:rPr>
        <w:t xml:space="preserve"> S</w:t>
      </w:r>
      <w:r w:rsidR="006F21EF" w:rsidRPr="00EA1BD9">
        <w:rPr>
          <w:rFonts w:ascii="Calibri" w:hAnsi="Calibri" w:cs="Courier New"/>
          <w:color w:val="auto"/>
          <w:szCs w:val="24"/>
        </w:rPr>
        <w:t>he was reassign</w:t>
      </w:r>
      <w:r w:rsidR="00AA5F00" w:rsidRPr="00EA1BD9">
        <w:rPr>
          <w:rFonts w:ascii="Calibri" w:hAnsi="Calibri" w:cs="Courier New"/>
          <w:color w:val="auto"/>
          <w:szCs w:val="24"/>
        </w:rPr>
        <w:t xml:space="preserve">ed </w:t>
      </w:r>
      <w:r w:rsidR="006F21EF" w:rsidRPr="00EA1BD9">
        <w:rPr>
          <w:rFonts w:ascii="Calibri" w:hAnsi="Calibri" w:cs="Courier New"/>
          <w:color w:val="auto"/>
          <w:szCs w:val="24"/>
        </w:rPr>
        <w:t xml:space="preserve">to the </w:t>
      </w:r>
      <w:r w:rsidR="00AA5F00" w:rsidRPr="00EA1BD9">
        <w:rPr>
          <w:rFonts w:ascii="Calibri" w:hAnsi="Calibri" w:cs="Courier New"/>
          <w:color w:val="auto"/>
          <w:szCs w:val="24"/>
        </w:rPr>
        <w:t>position</w:t>
      </w:r>
      <w:r w:rsidR="006F21EF" w:rsidRPr="00EA1BD9">
        <w:rPr>
          <w:rFonts w:ascii="Calibri" w:hAnsi="Calibri" w:cs="Courier New"/>
          <w:color w:val="auto"/>
          <w:szCs w:val="24"/>
        </w:rPr>
        <w:t xml:space="preserve"> of Traffic Clerk. </w:t>
      </w:r>
      <w:r w:rsidR="005B52F7">
        <w:rPr>
          <w:rFonts w:ascii="Calibri" w:hAnsi="Calibri" w:cs="Courier New"/>
          <w:color w:val="auto"/>
          <w:szCs w:val="24"/>
        </w:rPr>
        <w:t xml:space="preserve"> </w:t>
      </w:r>
      <w:r w:rsidR="006F21EF" w:rsidRPr="00EA1BD9">
        <w:rPr>
          <w:rFonts w:ascii="Calibri" w:hAnsi="Calibri" w:cs="Courier New"/>
          <w:color w:val="auto"/>
          <w:szCs w:val="24"/>
        </w:rPr>
        <w:t>Her medical appointments required</w:t>
      </w:r>
      <w:r w:rsidR="00AA5F00" w:rsidRPr="00EA1BD9">
        <w:rPr>
          <w:rFonts w:ascii="Calibri" w:hAnsi="Calibri" w:cs="Courier New"/>
          <w:color w:val="auto"/>
          <w:szCs w:val="24"/>
        </w:rPr>
        <w:t xml:space="preserve"> 5 hours per week</w:t>
      </w:r>
      <w:r w:rsidR="00841492" w:rsidRPr="00EA1BD9">
        <w:rPr>
          <w:rFonts w:ascii="Calibri" w:hAnsi="Calibri" w:cs="Courier New"/>
          <w:color w:val="auto"/>
          <w:szCs w:val="24"/>
        </w:rPr>
        <w:t xml:space="preserve"> of duty absence</w:t>
      </w:r>
      <w:r w:rsidR="00AA5F00" w:rsidRPr="00EA1BD9">
        <w:rPr>
          <w:rFonts w:ascii="Calibri" w:hAnsi="Calibri" w:cs="Courier New"/>
          <w:color w:val="auto"/>
          <w:szCs w:val="24"/>
        </w:rPr>
        <w:t xml:space="preserve">. </w:t>
      </w:r>
      <w:r w:rsidR="005B52F7">
        <w:rPr>
          <w:rFonts w:ascii="Calibri" w:hAnsi="Calibri" w:cs="Courier New"/>
          <w:color w:val="auto"/>
          <w:szCs w:val="24"/>
        </w:rPr>
        <w:t xml:space="preserve"> </w:t>
      </w:r>
      <w:r w:rsidR="004A5537" w:rsidRPr="00EA1BD9">
        <w:rPr>
          <w:rFonts w:ascii="Calibri" w:hAnsi="Calibri" w:cs="Courier New"/>
          <w:color w:val="auto"/>
          <w:szCs w:val="24"/>
        </w:rPr>
        <w:t xml:space="preserve">The </w:t>
      </w:r>
      <w:r w:rsidR="00AA5F00" w:rsidRPr="00EA1BD9">
        <w:rPr>
          <w:rFonts w:ascii="Calibri" w:hAnsi="Calibri" w:cs="Courier New"/>
          <w:color w:val="auto"/>
          <w:szCs w:val="24"/>
        </w:rPr>
        <w:t>CI had a total of 9</w:t>
      </w:r>
      <w:r w:rsidR="00804091" w:rsidRPr="00EA1BD9">
        <w:rPr>
          <w:rFonts w:ascii="Calibri" w:hAnsi="Calibri" w:cs="Courier New"/>
          <w:color w:val="auto"/>
          <w:szCs w:val="24"/>
        </w:rPr>
        <w:t xml:space="preserve"> </w:t>
      </w:r>
      <w:r w:rsidR="00841492" w:rsidRPr="00EA1BD9">
        <w:rPr>
          <w:rFonts w:ascii="Calibri" w:hAnsi="Calibri" w:cs="Courier New"/>
          <w:color w:val="auto"/>
          <w:szCs w:val="24"/>
        </w:rPr>
        <w:t>LIMDUs</w:t>
      </w:r>
      <w:r w:rsidR="006F21EF" w:rsidRPr="00EA1BD9">
        <w:rPr>
          <w:rFonts w:ascii="Calibri" w:hAnsi="Calibri" w:cs="Courier New"/>
          <w:color w:val="auto"/>
          <w:szCs w:val="24"/>
        </w:rPr>
        <w:t xml:space="preserve"> for her right</w:t>
      </w:r>
      <w:r w:rsidR="00897996" w:rsidRPr="00EA1BD9">
        <w:rPr>
          <w:rFonts w:ascii="Calibri" w:hAnsi="Calibri" w:cs="Courier New"/>
          <w:color w:val="auto"/>
          <w:szCs w:val="24"/>
        </w:rPr>
        <w:t xml:space="preserve"> knee</w:t>
      </w:r>
      <w:r w:rsidR="004A5537" w:rsidRPr="00EA1BD9">
        <w:rPr>
          <w:rFonts w:ascii="Calibri" w:hAnsi="Calibri" w:cs="Courier New"/>
          <w:color w:val="auto"/>
          <w:szCs w:val="24"/>
        </w:rPr>
        <w:t xml:space="preserve">.  The Commander stated, </w:t>
      </w:r>
      <w:r w:rsidR="004A5537" w:rsidRPr="00EA1BD9">
        <w:rPr>
          <w:rFonts w:asciiTheme="minorHAnsi" w:hAnsiTheme="minorHAnsi"/>
          <w:color w:val="auto"/>
          <w:szCs w:val="24"/>
        </w:rPr>
        <w:t xml:space="preserve">“Corporal E has been a stellar performer and truly is an outstanding Marine. </w:t>
      </w:r>
      <w:r w:rsidR="005B52F7">
        <w:rPr>
          <w:rFonts w:asciiTheme="minorHAnsi" w:hAnsiTheme="minorHAnsi"/>
          <w:color w:val="auto"/>
          <w:szCs w:val="24"/>
        </w:rPr>
        <w:t xml:space="preserve"> </w:t>
      </w:r>
      <w:r w:rsidR="004A5537" w:rsidRPr="00EA1BD9">
        <w:rPr>
          <w:rFonts w:asciiTheme="minorHAnsi" w:hAnsiTheme="minorHAnsi"/>
          <w:color w:val="auto"/>
          <w:szCs w:val="24"/>
        </w:rPr>
        <w:t xml:space="preserve">However, due to her current medical situation, she is unable to perform certain requirements in the 5811 MOS. </w:t>
      </w:r>
      <w:r w:rsidR="005B52F7">
        <w:rPr>
          <w:rFonts w:asciiTheme="minorHAnsi" w:hAnsiTheme="minorHAnsi"/>
          <w:color w:val="auto"/>
          <w:szCs w:val="24"/>
        </w:rPr>
        <w:t xml:space="preserve"> </w:t>
      </w:r>
      <w:r w:rsidR="004A5537" w:rsidRPr="00EA1BD9">
        <w:rPr>
          <w:rFonts w:asciiTheme="minorHAnsi" w:hAnsiTheme="minorHAnsi"/>
          <w:color w:val="auto"/>
          <w:szCs w:val="24"/>
        </w:rPr>
        <w:t>Unfortunately, I recommend that she be medically discharged.”</w:t>
      </w:r>
      <w:r w:rsidR="004A5537" w:rsidRPr="00EA1BD9">
        <w:rPr>
          <w:rFonts w:ascii="Calibri" w:hAnsi="Calibri" w:cs="Courier New"/>
          <w:color w:val="auto"/>
          <w:szCs w:val="24"/>
        </w:rPr>
        <w:t xml:space="preserve">  The PEB determined that </w:t>
      </w:r>
      <w:r w:rsidR="00F46461" w:rsidRPr="00EA1BD9">
        <w:rPr>
          <w:rFonts w:ascii="Calibri" w:hAnsi="Calibri" w:cs="Courier New"/>
          <w:color w:val="auto"/>
          <w:szCs w:val="24"/>
        </w:rPr>
        <w:t xml:space="preserve">the CI </w:t>
      </w:r>
      <w:r w:rsidR="004A5537" w:rsidRPr="00EA1BD9">
        <w:rPr>
          <w:rFonts w:ascii="Calibri" w:hAnsi="Calibri" w:cs="Courier New"/>
          <w:color w:val="auto"/>
          <w:szCs w:val="24"/>
        </w:rPr>
        <w:t>was unable to maintain her physical readiness requirements consistent with being an active duty Marine Corps Military Police (MP).</w:t>
      </w:r>
      <w:r w:rsidR="000C284D" w:rsidRPr="00EA1BD9">
        <w:rPr>
          <w:rFonts w:ascii="Calibri" w:hAnsi="Calibri" w:cs="Courier New"/>
          <w:color w:val="auto"/>
          <w:szCs w:val="24"/>
        </w:rPr>
        <w:t xml:space="preserve">  </w:t>
      </w:r>
    </w:p>
    <w:p w:rsidR="00736B72" w:rsidRPr="00A0037A" w:rsidRDefault="008F4190" w:rsidP="000828E5">
      <w:pPr>
        <w:tabs>
          <w:tab w:val="left" w:pos="288"/>
          <w:tab w:val="left" w:pos="4752"/>
        </w:tabs>
        <w:spacing w:before="100" w:beforeAutospacing="1" w:after="100" w:afterAutospacing="1"/>
        <w:jc w:val="both"/>
        <w:rPr>
          <w:rFonts w:asciiTheme="minorHAnsi" w:hAnsiTheme="minorHAnsi"/>
          <w:color w:val="auto"/>
          <w:szCs w:val="24"/>
        </w:rPr>
      </w:pPr>
      <w:r w:rsidRPr="00EA1BD9">
        <w:rPr>
          <w:rFonts w:asciiTheme="minorHAnsi" w:hAnsiTheme="minorHAnsi"/>
          <w:color w:val="auto"/>
          <w:szCs w:val="24"/>
        </w:rPr>
        <w:t xml:space="preserve">There are </w:t>
      </w:r>
      <w:r w:rsidR="000C284D" w:rsidRPr="00EA1BD9">
        <w:rPr>
          <w:rFonts w:asciiTheme="minorHAnsi" w:hAnsiTheme="minorHAnsi"/>
          <w:color w:val="auto"/>
          <w:szCs w:val="24"/>
        </w:rPr>
        <w:t>two</w:t>
      </w:r>
      <w:r w:rsidRPr="00EA1BD9">
        <w:rPr>
          <w:rFonts w:asciiTheme="minorHAnsi" w:hAnsiTheme="minorHAnsi"/>
          <w:color w:val="auto"/>
          <w:szCs w:val="24"/>
        </w:rPr>
        <w:t xml:space="preserve"> knee exams proximate to military disc</w:t>
      </w:r>
      <w:r w:rsidR="00060F94" w:rsidRPr="00EA1BD9">
        <w:rPr>
          <w:rFonts w:asciiTheme="minorHAnsi" w:hAnsiTheme="minorHAnsi"/>
          <w:color w:val="auto"/>
          <w:szCs w:val="24"/>
        </w:rPr>
        <w:t>harge (see table)</w:t>
      </w:r>
      <w:r w:rsidR="00F46461" w:rsidRPr="00EA1BD9">
        <w:rPr>
          <w:rFonts w:asciiTheme="minorHAnsi" w:hAnsiTheme="minorHAnsi"/>
          <w:color w:val="auto"/>
          <w:szCs w:val="24"/>
        </w:rPr>
        <w:t>.</w:t>
      </w:r>
    </w:p>
    <w:tbl>
      <w:tblPr>
        <w:tblW w:w="8835" w:type="dxa"/>
        <w:jc w:val="center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5"/>
        <w:gridCol w:w="2610"/>
        <w:gridCol w:w="3870"/>
      </w:tblGrid>
      <w:tr w:rsidR="00811BE0" w:rsidRPr="00A0037A" w:rsidTr="000C284D">
        <w:trPr>
          <w:trHeight w:val="140"/>
          <w:jc w:val="center"/>
        </w:trPr>
        <w:tc>
          <w:tcPr>
            <w:tcW w:w="2355" w:type="dxa"/>
            <w:shd w:val="clear" w:color="auto" w:fill="D9D9D9" w:themeFill="background1" w:themeFillShade="D9"/>
          </w:tcPr>
          <w:p w:rsidR="00811BE0" w:rsidRPr="00A0037A" w:rsidRDefault="00811BE0" w:rsidP="008E19F8">
            <w:pPr>
              <w:spacing w:line="240" w:lineRule="exact"/>
              <w:contextualSpacing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Right Knee</w:t>
            </w:r>
          </w:p>
        </w:tc>
        <w:tc>
          <w:tcPr>
            <w:tcW w:w="6480" w:type="dxa"/>
            <w:gridSpan w:val="2"/>
            <w:shd w:val="clear" w:color="auto" w:fill="D9D9D9" w:themeFill="background1" w:themeFillShade="D9"/>
          </w:tcPr>
          <w:p w:rsidR="00811BE0" w:rsidRPr="00A0037A" w:rsidRDefault="00811BE0" w:rsidP="00407AD4">
            <w:pPr>
              <w:spacing w:line="240" w:lineRule="exact"/>
              <w:contextualSpacing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 xml:space="preserve">Separation Date:  </w:t>
            </w:r>
            <w:r w:rsidRPr="00A0037A">
              <w:rPr>
                <w:rFonts w:ascii="Calibri" w:hAnsi="Calibri"/>
                <w:color w:val="auto"/>
                <w:sz w:val="22"/>
                <w:szCs w:val="16"/>
              </w:rPr>
              <w:t>20080630</w:t>
            </w:r>
          </w:p>
        </w:tc>
      </w:tr>
      <w:tr w:rsidR="00811BE0" w:rsidRPr="00A0037A" w:rsidTr="000C284D">
        <w:trPr>
          <w:trHeight w:val="272"/>
          <w:jc w:val="center"/>
        </w:trPr>
        <w:tc>
          <w:tcPr>
            <w:tcW w:w="2355" w:type="dxa"/>
            <w:shd w:val="clear" w:color="auto" w:fill="D9D9D9" w:themeFill="background1" w:themeFillShade="D9"/>
          </w:tcPr>
          <w:p w:rsidR="00811BE0" w:rsidRPr="00A0037A" w:rsidRDefault="00811BE0" w:rsidP="008E19F8">
            <w:pPr>
              <w:spacing w:line="240" w:lineRule="exact"/>
              <w:contextualSpacing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Goniometric ROM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11BE0" w:rsidRPr="00A0037A" w:rsidRDefault="00811BE0" w:rsidP="008E19F8">
            <w:pPr>
              <w:spacing w:line="240" w:lineRule="exact"/>
              <w:contextualSpacing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MEB NARSUM- 20080212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11BE0" w:rsidRPr="00A0037A" w:rsidRDefault="00811BE0" w:rsidP="000843E4">
            <w:pPr>
              <w:spacing w:line="240" w:lineRule="exact"/>
              <w:contextualSpacing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VA C&amp;P - 20080915</w:t>
            </w:r>
          </w:p>
        </w:tc>
      </w:tr>
      <w:tr w:rsidR="00811BE0" w:rsidRPr="00A0037A" w:rsidTr="000C284D">
        <w:trPr>
          <w:trHeight w:val="140"/>
          <w:jc w:val="center"/>
        </w:trPr>
        <w:tc>
          <w:tcPr>
            <w:tcW w:w="2355" w:type="dxa"/>
          </w:tcPr>
          <w:p w:rsidR="00811BE0" w:rsidRPr="00A0037A" w:rsidRDefault="00811BE0" w:rsidP="008E19F8">
            <w:pPr>
              <w:spacing w:line="240" w:lineRule="exact"/>
              <w:contextualSpacing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Flexion 0-140⁰ normal</w:t>
            </w:r>
          </w:p>
        </w:tc>
        <w:tc>
          <w:tcPr>
            <w:tcW w:w="2610" w:type="dxa"/>
          </w:tcPr>
          <w:p w:rsidR="00811BE0" w:rsidRPr="00A0037A" w:rsidRDefault="00811BE0" w:rsidP="008E19F8">
            <w:pPr>
              <w:spacing w:line="240" w:lineRule="exact"/>
              <w:contextualSpacing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0⁰-130⁰</w:t>
            </w:r>
          </w:p>
        </w:tc>
        <w:tc>
          <w:tcPr>
            <w:tcW w:w="3870" w:type="dxa"/>
          </w:tcPr>
          <w:p w:rsidR="00811BE0" w:rsidRPr="00A0037A" w:rsidRDefault="00811BE0" w:rsidP="008E19F8">
            <w:pPr>
              <w:spacing w:line="240" w:lineRule="exact"/>
              <w:contextualSpacing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0⁰-130⁰</w:t>
            </w:r>
          </w:p>
        </w:tc>
      </w:tr>
      <w:tr w:rsidR="00811BE0" w:rsidRPr="00A0037A" w:rsidTr="000C284D">
        <w:trPr>
          <w:trHeight w:val="140"/>
          <w:jc w:val="center"/>
        </w:trPr>
        <w:tc>
          <w:tcPr>
            <w:tcW w:w="2355" w:type="dxa"/>
          </w:tcPr>
          <w:p w:rsidR="00811BE0" w:rsidRPr="00A0037A" w:rsidRDefault="00811BE0" w:rsidP="008E19F8">
            <w:pPr>
              <w:spacing w:line="240" w:lineRule="exact"/>
              <w:contextualSpacing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Extension 0⁰ normal</w:t>
            </w:r>
          </w:p>
        </w:tc>
        <w:tc>
          <w:tcPr>
            <w:tcW w:w="2610" w:type="dxa"/>
          </w:tcPr>
          <w:p w:rsidR="00811BE0" w:rsidRPr="00A0037A" w:rsidRDefault="00811BE0" w:rsidP="008E19F8">
            <w:pPr>
              <w:spacing w:line="240" w:lineRule="exact"/>
              <w:contextualSpacing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0⁰</w:t>
            </w:r>
          </w:p>
        </w:tc>
        <w:tc>
          <w:tcPr>
            <w:tcW w:w="3870" w:type="dxa"/>
          </w:tcPr>
          <w:p w:rsidR="00811BE0" w:rsidRPr="00A0037A" w:rsidRDefault="00811BE0" w:rsidP="008E19F8">
            <w:pPr>
              <w:spacing w:line="240" w:lineRule="exact"/>
              <w:contextualSpacing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N/A</w:t>
            </w:r>
          </w:p>
        </w:tc>
      </w:tr>
      <w:tr w:rsidR="000C284D" w:rsidRPr="00A0037A" w:rsidTr="000C284D">
        <w:trPr>
          <w:trHeight w:val="140"/>
          <w:jc w:val="center"/>
        </w:trPr>
        <w:tc>
          <w:tcPr>
            <w:tcW w:w="2355" w:type="dxa"/>
          </w:tcPr>
          <w:p w:rsidR="000C284D" w:rsidRPr="00A0037A" w:rsidRDefault="000C284D" w:rsidP="000C284D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Comments</w:t>
            </w:r>
          </w:p>
        </w:tc>
        <w:tc>
          <w:tcPr>
            <w:tcW w:w="2610" w:type="dxa"/>
          </w:tcPr>
          <w:p w:rsidR="000C284D" w:rsidRPr="00A0037A" w:rsidRDefault="00EA1BD9" w:rsidP="00EA1BD9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Tender (painful motion not addressed)</w:t>
            </w:r>
          </w:p>
        </w:tc>
        <w:tc>
          <w:tcPr>
            <w:tcW w:w="3870" w:type="dxa"/>
          </w:tcPr>
          <w:p w:rsidR="000C284D" w:rsidRPr="00A0037A" w:rsidRDefault="000C284D" w:rsidP="000C284D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Minimal crepitus; Patellar apprehension test is positive</w:t>
            </w:r>
            <w:proofErr w:type="gramStart"/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;  ROM</w:t>
            </w:r>
            <w:proofErr w:type="gramEnd"/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 xml:space="preserve"> not painful;  Repetitive movements are normal.  </w:t>
            </w:r>
          </w:p>
        </w:tc>
      </w:tr>
      <w:tr w:rsidR="00811BE0" w:rsidRPr="00A0037A" w:rsidTr="000C284D">
        <w:trPr>
          <w:trHeight w:val="140"/>
          <w:jc w:val="center"/>
        </w:trPr>
        <w:tc>
          <w:tcPr>
            <w:tcW w:w="2355" w:type="dxa"/>
          </w:tcPr>
          <w:p w:rsidR="00811BE0" w:rsidRPr="00A0037A" w:rsidRDefault="00811BE0" w:rsidP="008E19F8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§4.71a Rating</w:t>
            </w:r>
          </w:p>
        </w:tc>
        <w:tc>
          <w:tcPr>
            <w:tcW w:w="2610" w:type="dxa"/>
          </w:tcPr>
          <w:p w:rsidR="00811BE0" w:rsidRPr="00A0037A" w:rsidRDefault="00811BE0" w:rsidP="008E19F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0%</w:t>
            </w:r>
            <w:r w:rsidR="00A0037A">
              <w:rPr>
                <w:rFonts w:ascii="Calibri" w:eastAsia="Calibri" w:hAnsi="Calibri"/>
                <w:color w:val="auto"/>
                <w:sz w:val="22"/>
                <w:szCs w:val="16"/>
              </w:rPr>
              <w:t>-10%</w:t>
            </w:r>
            <w:r w:rsidR="004F5B25"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 xml:space="preserve"> </w:t>
            </w:r>
          </w:p>
        </w:tc>
        <w:tc>
          <w:tcPr>
            <w:tcW w:w="3870" w:type="dxa"/>
          </w:tcPr>
          <w:p w:rsidR="00811BE0" w:rsidRPr="00A0037A" w:rsidRDefault="00811BE0" w:rsidP="008E19F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eastAsia="Calibri" w:hAnsi="Calibri"/>
                <w:color w:val="auto"/>
                <w:sz w:val="22"/>
                <w:szCs w:val="16"/>
              </w:rPr>
            </w:pPr>
            <w:r w:rsidRPr="00A0037A">
              <w:rPr>
                <w:rFonts w:ascii="Calibri" w:eastAsia="Calibri" w:hAnsi="Calibri"/>
                <w:color w:val="auto"/>
                <w:sz w:val="22"/>
                <w:szCs w:val="16"/>
              </w:rPr>
              <w:t>10%</w:t>
            </w:r>
          </w:p>
        </w:tc>
      </w:tr>
    </w:tbl>
    <w:p w:rsidR="00736B72" w:rsidRPr="00A0037A" w:rsidRDefault="00736B72" w:rsidP="00897996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 w:cs="Courier New"/>
          <w:b/>
          <w:color w:val="auto"/>
          <w:szCs w:val="24"/>
          <w:u w:val="single"/>
        </w:rPr>
      </w:pPr>
    </w:p>
    <w:p w:rsidR="007D70BF" w:rsidRDefault="00461648" w:rsidP="007D70BF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  <w:u w:val="single"/>
        </w:rPr>
      </w:pPr>
      <w:r w:rsidRPr="00A0037A">
        <w:rPr>
          <w:rFonts w:asciiTheme="minorHAnsi" w:hAnsiTheme="minorHAnsi" w:cs="Courier New"/>
          <w:color w:val="auto"/>
          <w:szCs w:val="24"/>
        </w:rPr>
        <w:t>On</w:t>
      </w:r>
      <w:r w:rsidRPr="004369CB">
        <w:rPr>
          <w:rFonts w:ascii="Calibri" w:hAnsi="Calibri" w:cs="Courier New"/>
          <w:color w:val="auto"/>
          <w:szCs w:val="24"/>
        </w:rPr>
        <w:t xml:space="preserve"> the NARSUM it was noted that </w:t>
      </w:r>
      <w:r w:rsidR="002D3A82" w:rsidRPr="004369CB">
        <w:rPr>
          <w:rFonts w:ascii="Calibri" w:hAnsi="Calibri" w:cs="Courier New"/>
          <w:color w:val="auto"/>
          <w:szCs w:val="24"/>
        </w:rPr>
        <w:t xml:space="preserve">the CI </w:t>
      </w:r>
      <w:r w:rsidRPr="004369CB">
        <w:rPr>
          <w:rFonts w:ascii="Calibri" w:hAnsi="Calibri" w:cs="Courier New"/>
          <w:color w:val="auto"/>
          <w:szCs w:val="24"/>
        </w:rPr>
        <w:t xml:space="preserve">had a </w:t>
      </w:r>
      <w:r w:rsidR="001D5A89">
        <w:rPr>
          <w:rFonts w:ascii="Calibri" w:hAnsi="Calibri" w:cs="Courier New"/>
          <w:color w:val="auto"/>
          <w:szCs w:val="24"/>
        </w:rPr>
        <w:t xml:space="preserve">limited </w:t>
      </w:r>
      <w:r w:rsidRPr="004369CB">
        <w:rPr>
          <w:rFonts w:ascii="Calibri" w:hAnsi="Calibri" w:cs="Courier New"/>
          <w:color w:val="auto"/>
          <w:szCs w:val="24"/>
        </w:rPr>
        <w:t xml:space="preserve">right knee range of motion of </w:t>
      </w:r>
      <w:r w:rsidR="001D5A89" w:rsidRPr="00DF7CD8">
        <w:rPr>
          <w:rFonts w:ascii="Calibri" w:hAnsi="Calibri" w:cs="Courier New"/>
          <w:color w:val="auto"/>
          <w:szCs w:val="24"/>
        </w:rPr>
        <w:t xml:space="preserve">0⁰-130⁰ </w:t>
      </w:r>
      <w:r w:rsidRPr="004369CB">
        <w:rPr>
          <w:rFonts w:ascii="Calibri" w:hAnsi="Calibri" w:cs="Courier New"/>
          <w:color w:val="auto"/>
          <w:szCs w:val="24"/>
        </w:rPr>
        <w:t xml:space="preserve">with tenderness to palpation along the medial patellofemoral </w:t>
      </w:r>
      <w:proofErr w:type="spellStart"/>
      <w:r w:rsidRPr="004369CB">
        <w:rPr>
          <w:rFonts w:ascii="Calibri" w:hAnsi="Calibri" w:cs="Courier New"/>
          <w:color w:val="auto"/>
          <w:szCs w:val="24"/>
        </w:rPr>
        <w:t>retinaculum</w:t>
      </w:r>
      <w:proofErr w:type="spellEnd"/>
      <w:r w:rsidRPr="004369CB">
        <w:rPr>
          <w:rFonts w:ascii="Calibri" w:hAnsi="Calibri" w:cs="Courier New"/>
          <w:color w:val="auto"/>
          <w:szCs w:val="24"/>
        </w:rPr>
        <w:t xml:space="preserve">.  The knee was otherwise stable without effusion or infection.  Painful motion was not </w:t>
      </w:r>
      <w:r w:rsidR="00EA1BD9">
        <w:rPr>
          <w:rFonts w:ascii="Calibri" w:hAnsi="Calibri" w:cs="Courier New"/>
          <w:color w:val="auto"/>
          <w:szCs w:val="24"/>
        </w:rPr>
        <w:t>mentioned for or against</w:t>
      </w:r>
      <w:r w:rsidRPr="004369CB">
        <w:rPr>
          <w:rFonts w:ascii="Calibri" w:hAnsi="Calibri" w:cs="Courier New"/>
          <w:color w:val="auto"/>
          <w:szCs w:val="24"/>
        </w:rPr>
        <w:t xml:space="preserve">.  </w:t>
      </w:r>
      <w:r w:rsidR="001D5A89">
        <w:rPr>
          <w:rFonts w:ascii="Calibri" w:hAnsi="Calibri" w:cs="Courier New"/>
          <w:color w:val="auto"/>
          <w:szCs w:val="24"/>
        </w:rPr>
        <w:t>T</w:t>
      </w:r>
      <w:r w:rsidR="009C2CB7">
        <w:rPr>
          <w:rFonts w:ascii="Calibri" w:hAnsi="Calibri" w:cs="Courier New"/>
          <w:color w:val="auto"/>
          <w:szCs w:val="24"/>
        </w:rPr>
        <w:t xml:space="preserve">he </w:t>
      </w:r>
      <w:r w:rsidR="008F4190">
        <w:rPr>
          <w:rFonts w:ascii="Calibri" w:hAnsi="Calibri" w:cs="Courier New"/>
          <w:color w:val="auto"/>
          <w:szCs w:val="24"/>
        </w:rPr>
        <w:t xml:space="preserve">VA Exam of </w:t>
      </w:r>
      <w:r w:rsidR="005B52F7">
        <w:rPr>
          <w:rFonts w:ascii="Calibri" w:hAnsi="Calibri" w:cs="Courier New"/>
          <w:color w:val="auto"/>
          <w:szCs w:val="24"/>
        </w:rPr>
        <w:t>15 Sep 08,</w:t>
      </w:r>
      <w:r w:rsidR="008F4190">
        <w:rPr>
          <w:rFonts w:ascii="Calibri" w:hAnsi="Calibri" w:cs="Courier New"/>
          <w:color w:val="auto"/>
          <w:szCs w:val="24"/>
        </w:rPr>
        <w:t xml:space="preserve"> </w:t>
      </w:r>
      <w:r w:rsidR="001D5A89">
        <w:rPr>
          <w:rFonts w:ascii="Calibri" w:hAnsi="Calibri" w:cs="Courier New"/>
          <w:color w:val="auto"/>
          <w:szCs w:val="24"/>
        </w:rPr>
        <w:t>showed</w:t>
      </w:r>
      <w:r w:rsidR="00A74C98">
        <w:rPr>
          <w:rFonts w:ascii="Calibri" w:hAnsi="Calibri" w:cs="Courier New"/>
          <w:color w:val="auto"/>
          <w:szCs w:val="24"/>
        </w:rPr>
        <w:t xml:space="preserve"> </w:t>
      </w:r>
      <w:proofErr w:type="spellStart"/>
      <w:r w:rsidR="00A74C98" w:rsidRPr="001D5A89">
        <w:rPr>
          <w:rFonts w:ascii="Calibri" w:hAnsi="Calibri" w:cs="Courier New"/>
          <w:color w:val="auto"/>
          <w:szCs w:val="24"/>
        </w:rPr>
        <w:t>crepitus</w:t>
      </w:r>
      <w:proofErr w:type="spellEnd"/>
      <w:r w:rsidR="008F4190">
        <w:rPr>
          <w:rFonts w:ascii="Calibri" w:hAnsi="Calibri" w:cs="Courier New"/>
          <w:color w:val="auto"/>
          <w:szCs w:val="24"/>
        </w:rPr>
        <w:t xml:space="preserve"> and positive </w:t>
      </w:r>
      <w:r w:rsidR="00544AE5">
        <w:rPr>
          <w:rFonts w:ascii="Calibri" w:hAnsi="Calibri" w:cs="Courier New"/>
          <w:color w:val="auto"/>
          <w:szCs w:val="24"/>
        </w:rPr>
        <w:t>patellar</w:t>
      </w:r>
      <w:r w:rsidR="008F4190">
        <w:rPr>
          <w:rFonts w:ascii="Calibri" w:hAnsi="Calibri" w:cs="Courier New"/>
          <w:color w:val="auto"/>
          <w:szCs w:val="24"/>
        </w:rPr>
        <w:t xml:space="preserve"> apprehension test</w:t>
      </w:r>
      <w:r w:rsidR="001D5A89">
        <w:rPr>
          <w:rFonts w:ascii="Calibri" w:hAnsi="Calibri" w:cs="Courier New"/>
          <w:color w:val="auto"/>
          <w:szCs w:val="24"/>
        </w:rPr>
        <w:t xml:space="preserve">. </w:t>
      </w:r>
      <w:r w:rsidR="00A74C98">
        <w:rPr>
          <w:rFonts w:ascii="Calibri" w:hAnsi="Calibri" w:cs="Courier New"/>
          <w:color w:val="auto"/>
          <w:szCs w:val="24"/>
        </w:rPr>
        <w:t xml:space="preserve"> </w:t>
      </w:r>
      <w:proofErr w:type="gramStart"/>
      <w:r w:rsidR="001D5A89">
        <w:rPr>
          <w:rFonts w:ascii="Calibri" w:hAnsi="Calibri" w:cs="Courier New"/>
          <w:color w:val="auto"/>
          <w:szCs w:val="24"/>
        </w:rPr>
        <w:t>T</w:t>
      </w:r>
      <w:r w:rsidR="009C2CB7">
        <w:rPr>
          <w:rFonts w:ascii="Calibri" w:hAnsi="Calibri" w:cs="Courier New"/>
          <w:color w:val="auto"/>
          <w:szCs w:val="24"/>
        </w:rPr>
        <w:t>he diagnosis of chondromalacia of the patella in the treatment record</w:t>
      </w:r>
      <w:r w:rsidR="001D5A89">
        <w:rPr>
          <w:rFonts w:ascii="Calibri" w:hAnsi="Calibri" w:cs="Courier New"/>
          <w:color w:val="auto"/>
          <w:szCs w:val="24"/>
        </w:rPr>
        <w:t>.</w:t>
      </w:r>
      <w:proofErr w:type="gramEnd"/>
      <w:r w:rsidR="001D5A89">
        <w:rPr>
          <w:rFonts w:ascii="Calibri" w:hAnsi="Calibri" w:cs="Courier New"/>
          <w:color w:val="auto"/>
          <w:szCs w:val="24"/>
        </w:rPr>
        <w:t xml:space="preserve">  </w:t>
      </w:r>
      <w:r w:rsidR="00DF7CD8">
        <w:rPr>
          <w:rFonts w:ascii="Calibri" w:hAnsi="Calibri" w:cs="Courier New"/>
          <w:color w:val="auto"/>
          <w:szCs w:val="24"/>
        </w:rPr>
        <w:t xml:space="preserve">The CI had documented surgery of her meniscus and symptoms of tenderness and medial joint pain.  The </w:t>
      </w:r>
      <w:r w:rsidR="007D70BF">
        <w:rPr>
          <w:rFonts w:ascii="Calibri" w:hAnsi="Calibri" w:cs="Courier New"/>
          <w:color w:val="auto"/>
          <w:szCs w:val="24"/>
        </w:rPr>
        <w:t xml:space="preserve">right knee </w:t>
      </w:r>
      <w:r w:rsidR="00DF7CD8">
        <w:rPr>
          <w:rFonts w:ascii="Calibri" w:hAnsi="Calibri" w:cs="Courier New"/>
          <w:color w:val="auto"/>
          <w:szCs w:val="24"/>
        </w:rPr>
        <w:t xml:space="preserve">therefore </w:t>
      </w:r>
      <w:r w:rsidR="007D70BF">
        <w:rPr>
          <w:rFonts w:ascii="Calibri" w:hAnsi="Calibri" w:cs="Courier New"/>
          <w:color w:val="auto"/>
          <w:szCs w:val="24"/>
        </w:rPr>
        <w:t xml:space="preserve">meets the 10% </w:t>
      </w:r>
      <w:r w:rsidR="00DF7CD8">
        <w:rPr>
          <w:rFonts w:ascii="Calibri" w:hAnsi="Calibri" w:cs="Courier New"/>
          <w:color w:val="auto"/>
          <w:szCs w:val="24"/>
        </w:rPr>
        <w:t xml:space="preserve">rating </w:t>
      </w:r>
      <w:r w:rsidR="007D70BF">
        <w:rPr>
          <w:rFonts w:ascii="Calibri" w:hAnsi="Calibri" w:cs="Courier New"/>
          <w:color w:val="auto"/>
          <w:szCs w:val="24"/>
        </w:rPr>
        <w:t xml:space="preserve">criteria for </w:t>
      </w:r>
      <w:r w:rsidR="00DF7CD8">
        <w:rPr>
          <w:rFonts w:ascii="Calibri" w:hAnsi="Calibri" w:cs="Courier New"/>
          <w:color w:val="auto"/>
          <w:szCs w:val="24"/>
        </w:rPr>
        <w:t>5259 Cartilage, semilunar, removal of symptomatic.</w:t>
      </w:r>
      <w:r w:rsidR="007D70BF">
        <w:rPr>
          <w:rFonts w:ascii="Calibri" w:hAnsi="Calibri" w:cs="Courier New"/>
          <w:color w:val="auto"/>
          <w:szCs w:val="24"/>
        </w:rPr>
        <w:t xml:space="preserve">  The Board deliberated if the knee crepitus and patellar apprehension met the </w:t>
      </w:r>
      <w:r w:rsidR="007D70BF" w:rsidRPr="00CB1268">
        <w:rPr>
          <w:rFonts w:asciiTheme="minorHAnsi" w:hAnsiTheme="minorHAnsi"/>
          <w:color w:val="auto"/>
          <w:szCs w:val="24"/>
        </w:rPr>
        <w:t>§</w:t>
      </w:r>
      <w:r w:rsidR="007D70BF">
        <w:rPr>
          <w:rFonts w:ascii="Calibri" w:hAnsi="Calibri" w:cs="Courier New"/>
          <w:color w:val="auto"/>
          <w:szCs w:val="24"/>
        </w:rPr>
        <w:t xml:space="preserve">4.59 </w:t>
      </w:r>
      <w:proofErr w:type="spellStart"/>
      <w:r w:rsidR="007D70BF">
        <w:rPr>
          <w:rFonts w:ascii="Calibri" w:hAnsi="Calibri" w:cs="Courier New"/>
          <w:color w:val="auto"/>
          <w:szCs w:val="24"/>
        </w:rPr>
        <w:t>citeria</w:t>
      </w:r>
      <w:proofErr w:type="spellEnd"/>
      <w:r w:rsidR="007D70BF">
        <w:rPr>
          <w:rFonts w:ascii="Calibri" w:hAnsi="Calibri" w:cs="Courier New"/>
          <w:color w:val="auto"/>
          <w:szCs w:val="24"/>
        </w:rPr>
        <w:t xml:space="preserve"> for a minimum 10% rating in addition to the 5259 </w:t>
      </w:r>
      <w:r w:rsidR="007D70BF" w:rsidRPr="00A0037A">
        <w:rPr>
          <w:rFonts w:ascii="Calibri" w:hAnsi="Calibri" w:cs="Courier New"/>
          <w:color w:val="auto"/>
          <w:szCs w:val="24"/>
        </w:rPr>
        <w:t>rating.  The VA combined 10% rating using</w:t>
      </w:r>
      <w:r w:rsidR="00DF7CD8" w:rsidRPr="00A0037A">
        <w:rPr>
          <w:rFonts w:ascii="Calibri" w:hAnsi="Calibri" w:cs="Courier New"/>
          <w:color w:val="auto"/>
          <w:szCs w:val="24"/>
        </w:rPr>
        <w:t xml:space="preserve"> </w:t>
      </w:r>
      <w:r w:rsidR="007D70BF" w:rsidRPr="00A0037A">
        <w:rPr>
          <w:rFonts w:ascii="Calibri" w:hAnsi="Calibri" w:cs="Courier New"/>
          <w:color w:val="auto"/>
          <w:szCs w:val="24"/>
        </w:rPr>
        <w:t>5257</w:t>
      </w:r>
      <w:r w:rsidR="00DF7CD8" w:rsidRPr="00A0037A">
        <w:rPr>
          <w:rFonts w:ascii="Calibri" w:hAnsi="Calibri" w:cs="Courier New"/>
          <w:color w:val="auto"/>
          <w:szCs w:val="24"/>
        </w:rPr>
        <w:t xml:space="preserve"> </w:t>
      </w:r>
      <w:r w:rsidR="007D70BF" w:rsidRPr="00A0037A">
        <w:rPr>
          <w:rFonts w:ascii="Calibri" w:hAnsi="Calibri" w:cs="Courier New"/>
          <w:color w:val="auto"/>
          <w:szCs w:val="24"/>
        </w:rPr>
        <w:t xml:space="preserve">for the knee, and the provisions of </w:t>
      </w:r>
      <w:r w:rsidR="007D70BF" w:rsidRPr="00A0037A">
        <w:rPr>
          <w:rFonts w:asciiTheme="minorHAnsi" w:hAnsiTheme="minorHAnsi"/>
          <w:color w:val="auto"/>
          <w:szCs w:val="24"/>
        </w:rPr>
        <w:t>§</w:t>
      </w:r>
      <w:r w:rsidR="007D70BF" w:rsidRPr="00A0037A">
        <w:rPr>
          <w:rFonts w:ascii="Calibri" w:hAnsi="Calibri" w:cs="Courier New"/>
          <w:color w:val="auto"/>
          <w:szCs w:val="24"/>
        </w:rPr>
        <w:t xml:space="preserve">4.14 (Avoidance of pyramiding) were discussed in depth.  </w:t>
      </w:r>
      <w:r w:rsidR="007D70BF" w:rsidRPr="00A0037A">
        <w:rPr>
          <w:rFonts w:asciiTheme="minorHAnsi" w:hAnsiTheme="minorHAnsi"/>
          <w:color w:val="auto"/>
          <w:szCs w:val="24"/>
        </w:rPr>
        <w:t>After due deliberation, considering all of the evidence and mindful of VASRD §4.3 (reasonable doubt) and §</w:t>
      </w:r>
      <w:r w:rsidR="007D70BF" w:rsidRPr="00A0037A">
        <w:rPr>
          <w:rFonts w:ascii="Calibri" w:hAnsi="Calibri" w:cs="Courier New"/>
          <w:color w:val="auto"/>
          <w:szCs w:val="24"/>
        </w:rPr>
        <w:t xml:space="preserve">4.59, </w:t>
      </w:r>
      <w:r w:rsidR="007D70BF" w:rsidRPr="00A0037A">
        <w:rPr>
          <w:rFonts w:asciiTheme="minorHAnsi" w:hAnsiTheme="minorHAnsi"/>
          <w:color w:val="auto"/>
          <w:szCs w:val="24"/>
        </w:rPr>
        <w:t xml:space="preserve">the Board recommends an additional separation rating of 10% under </w:t>
      </w:r>
      <w:r w:rsidR="007D70BF" w:rsidRPr="00A0037A">
        <w:rPr>
          <w:rFonts w:ascii="Calibri" w:hAnsi="Calibri"/>
          <w:color w:val="auto"/>
          <w:szCs w:val="24"/>
        </w:rPr>
        <w:t xml:space="preserve">5099-5003 </w:t>
      </w:r>
      <w:r w:rsidR="007D70BF" w:rsidRPr="00A0037A">
        <w:rPr>
          <w:rFonts w:asciiTheme="minorHAnsi" w:hAnsiTheme="minorHAnsi"/>
          <w:color w:val="auto"/>
          <w:szCs w:val="24"/>
        </w:rPr>
        <w:t>for the knee co</w:t>
      </w:r>
      <w:r w:rsidR="007D70BF" w:rsidRPr="00B427BB">
        <w:rPr>
          <w:rFonts w:asciiTheme="minorHAnsi" w:hAnsiTheme="minorHAnsi"/>
          <w:color w:val="auto"/>
          <w:szCs w:val="24"/>
        </w:rPr>
        <w:t>ndition</w:t>
      </w:r>
      <w:r w:rsidR="007D70BF">
        <w:rPr>
          <w:rFonts w:asciiTheme="minorHAnsi" w:hAnsiTheme="minorHAnsi"/>
          <w:color w:val="auto"/>
          <w:szCs w:val="24"/>
        </w:rPr>
        <w:t xml:space="preserve">, along with 10% under </w:t>
      </w:r>
      <w:r w:rsidR="007D70BF">
        <w:rPr>
          <w:rFonts w:ascii="Calibri" w:hAnsi="Calibri" w:cs="Courier New"/>
          <w:color w:val="auto"/>
          <w:szCs w:val="24"/>
        </w:rPr>
        <w:t>5259</w:t>
      </w:r>
      <w:r w:rsidR="00A0037A">
        <w:rPr>
          <w:rFonts w:ascii="Calibri" w:hAnsi="Calibri" w:cs="Courier New"/>
          <w:color w:val="auto"/>
          <w:szCs w:val="24"/>
        </w:rPr>
        <w:t xml:space="preserve"> for a combined 20% rating of the knee</w:t>
      </w:r>
      <w:r w:rsidR="007D70BF" w:rsidRPr="00B427BB">
        <w:rPr>
          <w:rFonts w:asciiTheme="minorHAnsi" w:hAnsiTheme="minorHAnsi"/>
          <w:color w:val="auto"/>
          <w:szCs w:val="24"/>
        </w:rPr>
        <w:t>.</w:t>
      </w:r>
      <w:r w:rsidR="007D70BF">
        <w:rPr>
          <w:rFonts w:asciiTheme="minorHAnsi" w:hAnsiTheme="minorHAnsi"/>
          <w:color w:val="auto"/>
          <w:szCs w:val="24"/>
        </w:rPr>
        <w:t xml:space="preserve">  </w:t>
      </w:r>
    </w:p>
    <w:p w:rsidR="00DF7CD8" w:rsidRDefault="00DF7CD8" w:rsidP="00112C08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  <w:u w:val="single"/>
        </w:rPr>
      </w:pPr>
    </w:p>
    <w:p w:rsidR="006F3A17" w:rsidRDefault="00F46461" w:rsidP="00D6769C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</w:rPr>
      </w:pPr>
      <w:r>
        <w:rPr>
          <w:rFonts w:ascii="Calibri" w:hAnsi="Calibri" w:cs="Courier New"/>
          <w:color w:val="auto"/>
          <w:szCs w:val="24"/>
          <w:u w:val="single"/>
        </w:rPr>
        <w:t xml:space="preserve">Other conditions in the </w:t>
      </w:r>
      <w:r w:rsidR="004369CB">
        <w:rPr>
          <w:rFonts w:ascii="Calibri" w:hAnsi="Calibri" w:cs="Courier New"/>
          <w:color w:val="auto"/>
          <w:szCs w:val="24"/>
          <w:u w:val="single"/>
        </w:rPr>
        <w:t>Disability Evaluation System (</w:t>
      </w:r>
      <w:r w:rsidRPr="006F3A17">
        <w:rPr>
          <w:rFonts w:ascii="Calibri" w:hAnsi="Calibri" w:cs="Courier New"/>
          <w:color w:val="auto"/>
          <w:szCs w:val="24"/>
          <w:u w:val="single"/>
        </w:rPr>
        <w:t>DES</w:t>
      </w:r>
      <w:r w:rsidR="006F3A17" w:rsidRPr="006F3A17">
        <w:rPr>
          <w:rFonts w:ascii="Calibri" w:hAnsi="Calibri" w:cs="Courier New"/>
          <w:color w:val="auto"/>
          <w:szCs w:val="24"/>
          <w:u w:val="single"/>
        </w:rPr>
        <w:t>- IBS/constipation, Fractured Sternum, and Back Pain</w:t>
      </w:r>
      <w:r w:rsidR="004369CB" w:rsidRPr="006F3A17">
        <w:rPr>
          <w:rFonts w:ascii="Calibri" w:hAnsi="Calibri" w:cs="Courier New"/>
          <w:color w:val="auto"/>
          <w:szCs w:val="24"/>
          <w:u w:val="single"/>
        </w:rPr>
        <w:t>)</w:t>
      </w:r>
      <w:r w:rsidR="000C284D" w:rsidRPr="006F3A17">
        <w:rPr>
          <w:rFonts w:ascii="Calibri" w:hAnsi="Calibri" w:cs="Courier New"/>
          <w:color w:val="auto"/>
          <w:szCs w:val="24"/>
        </w:rPr>
        <w:t xml:space="preserve">:  </w:t>
      </w:r>
      <w:r w:rsidR="00AB5FE6" w:rsidRPr="000C284D">
        <w:rPr>
          <w:rFonts w:ascii="Calibri" w:hAnsi="Calibri" w:cs="Courier New"/>
          <w:color w:val="auto"/>
          <w:szCs w:val="24"/>
        </w:rPr>
        <w:t>I</w:t>
      </w:r>
      <w:r w:rsidR="006F3A17">
        <w:rPr>
          <w:rFonts w:ascii="Calibri" w:hAnsi="Calibri" w:cs="Courier New"/>
          <w:color w:val="auto"/>
          <w:szCs w:val="24"/>
        </w:rPr>
        <w:t>rritable Bowel Syndrome [IBS]</w:t>
      </w:r>
      <w:r w:rsidR="00AB5FE6" w:rsidRPr="00D270A4">
        <w:rPr>
          <w:rFonts w:ascii="Calibri" w:hAnsi="Calibri" w:cs="Courier New"/>
          <w:color w:val="auto"/>
          <w:szCs w:val="24"/>
        </w:rPr>
        <w:t>/</w:t>
      </w:r>
      <w:r w:rsidR="006F3A17">
        <w:rPr>
          <w:rFonts w:ascii="Calibri" w:hAnsi="Calibri" w:cs="Courier New"/>
          <w:color w:val="auto"/>
          <w:szCs w:val="24"/>
        </w:rPr>
        <w:t>C</w:t>
      </w:r>
      <w:r w:rsidR="00AB5FE6" w:rsidRPr="00D270A4">
        <w:rPr>
          <w:rFonts w:ascii="Calibri" w:hAnsi="Calibri" w:cs="Courier New"/>
          <w:color w:val="auto"/>
          <w:szCs w:val="24"/>
        </w:rPr>
        <w:t>onstipation</w:t>
      </w:r>
      <w:r w:rsidR="006F3A17">
        <w:rPr>
          <w:rFonts w:ascii="Calibri" w:hAnsi="Calibri" w:cs="Courier New"/>
          <w:color w:val="auto"/>
          <w:szCs w:val="24"/>
        </w:rPr>
        <w:t xml:space="preserve"> is mentioned in the NARSUM and </w:t>
      </w:r>
      <w:r w:rsidR="006F3A17">
        <w:rPr>
          <w:rFonts w:ascii="Calibri" w:hAnsi="Calibri" w:cs="Courier New"/>
          <w:color w:val="auto"/>
          <w:szCs w:val="24"/>
        </w:rPr>
        <w:lastRenderedPageBreak/>
        <w:t xml:space="preserve">the CI was on medication for control.  </w:t>
      </w:r>
      <w:r w:rsidR="00082D7B" w:rsidRPr="00112C08">
        <w:rPr>
          <w:rFonts w:ascii="Calibri" w:hAnsi="Calibri" w:cs="Courier New"/>
          <w:color w:val="auto"/>
          <w:szCs w:val="24"/>
        </w:rPr>
        <w:t xml:space="preserve">The CI </w:t>
      </w:r>
      <w:r w:rsidR="00A43474">
        <w:rPr>
          <w:rFonts w:ascii="Calibri" w:hAnsi="Calibri" w:cs="Courier New"/>
          <w:color w:val="auto"/>
          <w:szCs w:val="24"/>
        </w:rPr>
        <w:t>fractured her</w:t>
      </w:r>
      <w:r w:rsidR="00082D7B" w:rsidRPr="00112C08">
        <w:rPr>
          <w:rFonts w:ascii="Calibri" w:hAnsi="Calibri" w:cs="Courier New"/>
          <w:color w:val="auto"/>
          <w:szCs w:val="24"/>
        </w:rPr>
        <w:t xml:space="preserve"> sternum in December 2005 </w:t>
      </w:r>
      <w:r w:rsidR="00A43474">
        <w:rPr>
          <w:rFonts w:ascii="Calibri" w:hAnsi="Calibri" w:cs="Courier New"/>
          <w:color w:val="auto"/>
          <w:szCs w:val="24"/>
        </w:rPr>
        <w:t xml:space="preserve">in </w:t>
      </w:r>
      <w:r w:rsidR="00082D7B" w:rsidRPr="00112C08">
        <w:rPr>
          <w:rFonts w:ascii="Calibri" w:hAnsi="Calibri" w:cs="Courier New"/>
          <w:color w:val="auto"/>
          <w:szCs w:val="24"/>
        </w:rPr>
        <w:t>a motor vehicle accident</w:t>
      </w:r>
      <w:r w:rsidR="006F3A17">
        <w:rPr>
          <w:rFonts w:ascii="Calibri" w:hAnsi="Calibri" w:cs="Courier New"/>
          <w:color w:val="auto"/>
          <w:szCs w:val="24"/>
        </w:rPr>
        <w:t xml:space="preserve"> with an initial 30 day LIMDU period</w:t>
      </w:r>
      <w:r w:rsidR="00082D7B" w:rsidRPr="00112C08">
        <w:rPr>
          <w:rFonts w:ascii="Calibri" w:hAnsi="Calibri" w:cs="Courier New"/>
          <w:color w:val="auto"/>
          <w:szCs w:val="24"/>
        </w:rPr>
        <w:t xml:space="preserve">.  While this was noted on her MEB physical, there are no entries in the medical record complaining of symptoms after </w:t>
      </w:r>
      <w:r w:rsidR="00CE05DA" w:rsidRPr="00112C08">
        <w:rPr>
          <w:rFonts w:ascii="Calibri" w:hAnsi="Calibri" w:cs="Courier New"/>
          <w:color w:val="auto"/>
          <w:szCs w:val="24"/>
        </w:rPr>
        <w:t>April</w:t>
      </w:r>
      <w:r w:rsidR="00082D7B" w:rsidRPr="00112C08">
        <w:rPr>
          <w:rFonts w:ascii="Calibri" w:hAnsi="Calibri" w:cs="Courier New"/>
          <w:color w:val="auto"/>
          <w:szCs w:val="24"/>
        </w:rPr>
        <w:t xml:space="preserve"> 2006</w:t>
      </w:r>
      <w:r w:rsidR="006F3A17">
        <w:rPr>
          <w:rFonts w:ascii="Calibri" w:hAnsi="Calibri" w:cs="Courier New"/>
          <w:color w:val="auto"/>
          <w:szCs w:val="24"/>
        </w:rPr>
        <w:t xml:space="preserve"> (</w:t>
      </w:r>
      <w:r w:rsidR="00082D7B" w:rsidRPr="00112C08">
        <w:rPr>
          <w:rFonts w:ascii="Calibri" w:hAnsi="Calibri" w:cs="Courier New"/>
          <w:color w:val="auto"/>
          <w:szCs w:val="24"/>
        </w:rPr>
        <w:t xml:space="preserve">2 years prior to </w:t>
      </w:r>
      <w:r w:rsidR="00A43474">
        <w:rPr>
          <w:rFonts w:ascii="Calibri" w:hAnsi="Calibri" w:cs="Courier New"/>
          <w:color w:val="auto"/>
          <w:szCs w:val="24"/>
        </w:rPr>
        <w:t>s</w:t>
      </w:r>
      <w:r w:rsidR="00082D7B" w:rsidRPr="00112C08">
        <w:rPr>
          <w:rFonts w:ascii="Calibri" w:hAnsi="Calibri" w:cs="Courier New"/>
          <w:color w:val="auto"/>
          <w:szCs w:val="24"/>
        </w:rPr>
        <w:t>eparation</w:t>
      </w:r>
      <w:r w:rsidR="006F3A17">
        <w:rPr>
          <w:rFonts w:ascii="Calibri" w:hAnsi="Calibri" w:cs="Courier New"/>
          <w:color w:val="auto"/>
          <w:szCs w:val="24"/>
        </w:rPr>
        <w:t xml:space="preserve">) and a bone scan in May 2006 was </w:t>
      </w:r>
      <w:r w:rsidR="006F3A17" w:rsidRPr="00112C08">
        <w:rPr>
          <w:rFonts w:ascii="Calibri" w:hAnsi="Calibri"/>
          <w:color w:val="auto"/>
          <w:szCs w:val="24"/>
        </w:rPr>
        <w:t xml:space="preserve">essentially normal including </w:t>
      </w:r>
      <w:r w:rsidR="006F3A17">
        <w:rPr>
          <w:rFonts w:ascii="Calibri" w:hAnsi="Calibri"/>
          <w:color w:val="auto"/>
          <w:szCs w:val="24"/>
        </w:rPr>
        <w:t xml:space="preserve">the </w:t>
      </w:r>
      <w:r w:rsidR="006F3A17" w:rsidRPr="00112C08">
        <w:rPr>
          <w:rFonts w:ascii="Calibri" w:hAnsi="Calibri"/>
          <w:color w:val="auto"/>
          <w:szCs w:val="24"/>
        </w:rPr>
        <w:t>sternum.</w:t>
      </w:r>
      <w:r w:rsidR="006F3A17">
        <w:rPr>
          <w:rFonts w:ascii="Calibri" w:hAnsi="Calibri"/>
          <w:color w:val="auto"/>
          <w:szCs w:val="24"/>
        </w:rPr>
        <w:t xml:space="preserve">  </w:t>
      </w:r>
      <w:r w:rsidR="006F3A17">
        <w:rPr>
          <w:rFonts w:ascii="Calibri" w:hAnsi="Calibri" w:cs="Courier New"/>
          <w:color w:val="auto"/>
          <w:szCs w:val="24"/>
        </w:rPr>
        <w:t xml:space="preserve">Back pain was </w:t>
      </w:r>
      <w:r w:rsidR="00EA1BD9">
        <w:rPr>
          <w:rFonts w:ascii="Calibri" w:hAnsi="Calibri" w:cs="Courier New"/>
          <w:color w:val="auto"/>
          <w:szCs w:val="24"/>
        </w:rPr>
        <w:t xml:space="preserve">noted as episodic and mild.  </w:t>
      </w:r>
      <w:r w:rsidR="00A43474">
        <w:rPr>
          <w:rFonts w:ascii="Calibri" w:hAnsi="Calibri" w:cs="Courier New"/>
          <w:color w:val="auto"/>
          <w:szCs w:val="24"/>
        </w:rPr>
        <w:t xml:space="preserve">There was no evidence of </w:t>
      </w:r>
      <w:r w:rsidR="006F3A17">
        <w:rPr>
          <w:rFonts w:ascii="Calibri" w:hAnsi="Calibri" w:cs="Courier New"/>
          <w:color w:val="auto"/>
          <w:szCs w:val="24"/>
        </w:rPr>
        <w:t xml:space="preserve">any of these </w:t>
      </w:r>
      <w:r w:rsidR="00A43474">
        <w:rPr>
          <w:rFonts w:ascii="Calibri" w:hAnsi="Calibri" w:cs="Courier New"/>
          <w:color w:val="auto"/>
          <w:szCs w:val="24"/>
        </w:rPr>
        <w:t>condition</w:t>
      </w:r>
      <w:r w:rsidR="006F3A17">
        <w:rPr>
          <w:rFonts w:ascii="Calibri" w:hAnsi="Calibri" w:cs="Courier New"/>
          <w:color w:val="auto"/>
          <w:szCs w:val="24"/>
        </w:rPr>
        <w:t>s in the NMA</w:t>
      </w:r>
      <w:r w:rsidR="00EA1BD9">
        <w:rPr>
          <w:rFonts w:ascii="Calibri" w:hAnsi="Calibri" w:cs="Courier New"/>
          <w:color w:val="auto"/>
          <w:szCs w:val="24"/>
        </w:rPr>
        <w:t xml:space="preserve"> statement</w:t>
      </w:r>
      <w:r w:rsidR="00A43474">
        <w:rPr>
          <w:rFonts w:ascii="Calibri" w:hAnsi="Calibri" w:cs="Courier New"/>
          <w:color w:val="auto"/>
          <w:szCs w:val="24"/>
        </w:rPr>
        <w:t>,</w:t>
      </w:r>
      <w:r w:rsidR="004B0D89">
        <w:rPr>
          <w:rFonts w:ascii="Calibri" w:hAnsi="Calibri" w:cs="Courier New"/>
          <w:color w:val="auto"/>
          <w:szCs w:val="24"/>
        </w:rPr>
        <w:t xml:space="preserve"> or any </w:t>
      </w:r>
      <w:r w:rsidR="00EA1BD9">
        <w:rPr>
          <w:rFonts w:ascii="Calibri" w:hAnsi="Calibri" w:cs="Courier New"/>
          <w:color w:val="auto"/>
          <w:szCs w:val="24"/>
        </w:rPr>
        <w:t xml:space="preserve">noted </w:t>
      </w:r>
      <w:r w:rsidR="004B0D89">
        <w:rPr>
          <w:rFonts w:ascii="Calibri" w:hAnsi="Calibri" w:cs="Courier New"/>
          <w:color w:val="auto"/>
          <w:szCs w:val="24"/>
        </w:rPr>
        <w:t xml:space="preserve">interference with duty proximate to military discharge. </w:t>
      </w:r>
      <w:r w:rsidR="00A43474">
        <w:rPr>
          <w:rFonts w:ascii="Calibri" w:hAnsi="Calibri"/>
          <w:color w:val="auto"/>
          <w:szCs w:val="24"/>
        </w:rPr>
        <w:t xml:space="preserve"> </w:t>
      </w:r>
      <w:r w:rsidR="006F3A17" w:rsidRPr="006F3A17">
        <w:rPr>
          <w:rFonts w:ascii="Calibri" w:hAnsi="Calibri" w:cs="Courier New"/>
          <w:color w:val="auto"/>
          <w:szCs w:val="24"/>
        </w:rPr>
        <w:t>All evidence considered</w:t>
      </w:r>
      <w:proofErr w:type="gramStart"/>
      <w:r w:rsidR="006F3A17" w:rsidRPr="006F3A17">
        <w:rPr>
          <w:rFonts w:ascii="Calibri" w:hAnsi="Calibri" w:cs="Courier New"/>
          <w:color w:val="auto"/>
          <w:szCs w:val="24"/>
        </w:rPr>
        <w:t>,</w:t>
      </w:r>
      <w:proofErr w:type="gramEnd"/>
      <w:r w:rsidR="006F3A17" w:rsidRPr="006F3A17">
        <w:rPr>
          <w:rFonts w:ascii="Calibri" w:hAnsi="Calibri" w:cs="Courier New"/>
          <w:color w:val="auto"/>
          <w:szCs w:val="24"/>
        </w:rPr>
        <w:t xml:space="preserve"> there is not reasonable doubt in the CI’s favor supporting addition of </w:t>
      </w:r>
      <w:r w:rsidR="004B0D89" w:rsidRPr="004B0D89">
        <w:rPr>
          <w:rFonts w:ascii="Calibri" w:hAnsi="Calibri" w:cs="Courier New"/>
          <w:color w:val="auto"/>
          <w:szCs w:val="24"/>
        </w:rPr>
        <w:t>IBS/constipation, Fractured Sternum, or Back Pain</w:t>
      </w:r>
      <w:r w:rsidR="006F3A17" w:rsidRPr="006F3A17">
        <w:rPr>
          <w:rFonts w:ascii="Calibri" w:hAnsi="Calibri" w:cs="Courier New"/>
          <w:color w:val="auto"/>
          <w:szCs w:val="24"/>
        </w:rPr>
        <w:t xml:space="preserve"> as </w:t>
      </w:r>
      <w:r w:rsidR="006F3A17" w:rsidRPr="004B0D89">
        <w:rPr>
          <w:rFonts w:ascii="Calibri" w:hAnsi="Calibri" w:cs="Courier New"/>
          <w:color w:val="auto"/>
          <w:szCs w:val="24"/>
        </w:rPr>
        <w:t>unfitting conditions for</w:t>
      </w:r>
      <w:r w:rsidR="006F3A17" w:rsidRPr="006F3A17">
        <w:rPr>
          <w:rFonts w:ascii="Calibri" w:hAnsi="Calibri" w:cs="Courier New"/>
          <w:color w:val="auto"/>
          <w:szCs w:val="24"/>
        </w:rPr>
        <w:t xml:space="preserve"> separation rating.  </w:t>
      </w:r>
    </w:p>
    <w:p w:rsidR="006F3A17" w:rsidRDefault="006F3A17" w:rsidP="00D6769C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  <w:szCs w:val="24"/>
          <w:highlight w:val="yellow"/>
        </w:rPr>
      </w:pPr>
    </w:p>
    <w:p w:rsidR="006F3A17" w:rsidRPr="00A0037A" w:rsidRDefault="003D71B7" w:rsidP="004B0D89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0C284D">
        <w:rPr>
          <w:rFonts w:ascii="Calibri" w:hAnsi="Calibri" w:cs="Courier New"/>
          <w:color w:val="auto"/>
          <w:szCs w:val="24"/>
          <w:u w:val="single"/>
        </w:rPr>
        <w:t>Other Conditions</w:t>
      </w:r>
      <w:r w:rsidRPr="003D71B7">
        <w:rPr>
          <w:rFonts w:ascii="Calibri" w:hAnsi="Calibri" w:cs="Courier New"/>
          <w:color w:val="auto"/>
          <w:szCs w:val="24"/>
        </w:rPr>
        <w:t>:</w:t>
      </w:r>
      <w:r w:rsidR="000C284D">
        <w:rPr>
          <w:rFonts w:ascii="Calibri" w:hAnsi="Calibri" w:cs="Courier New"/>
          <w:color w:val="auto"/>
          <w:szCs w:val="24"/>
        </w:rPr>
        <w:t xml:space="preserve">  </w:t>
      </w:r>
      <w:r w:rsidR="00741458" w:rsidRPr="003D71B7">
        <w:rPr>
          <w:rFonts w:ascii="Calibri" w:hAnsi="Calibri" w:cs="Courier New"/>
          <w:color w:val="auto"/>
          <w:szCs w:val="24"/>
        </w:rPr>
        <w:t xml:space="preserve">The VA identified </w:t>
      </w:r>
      <w:r w:rsidR="00AB5FE6">
        <w:rPr>
          <w:rFonts w:ascii="Calibri" w:hAnsi="Calibri" w:cs="Courier New"/>
          <w:color w:val="auto"/>
          <w:szCs w:val="24"/>
        </w:rPr>
        <w:t xml:space="preserve">Herpes simplex, allergic </w:t>
      </w:r>
      <w:proofErr w:type="spellStart"/>
      <w:r w:rsidR="00AB5FE6">
        <w:rPr>
          <w:rFonts w:ascii="Calibri" w:hAnsi="Calibri" w:cs="Courier New"/>
          <w:color w:val="auto"/>
          <w:szCs w:val="24"/>
        </w:rPr>
        <w:t>urticaria</w:t>
      </w:r>
      <w:proofErr w:type="spellEnd"/>
      <w:r w:rsidR="00AB5FE6">
        <w:rPr>
          <w:rFonts w:ascii="Calibri" w:hAnsi="Calibri" w:cs="Courier New"/>
          <w:color w:val="auto"/>
          <w:szCs w:val="24"/>
        </w:rPr>
        <w:t>, chronic right ankle s</w:t>
      </w:r>
      <w:r w:rsidR="002F0A60" w:rsidRPr="003D71B7">
        <w:rPr>
          <w:rFonts w:ascii="Calibri" w:hAnsi="Calibri" w:cs="Courier New"/>
          <w:color w:val="auto"/>
          <w:szCs w:val="24"/>
        </w:rPr>
        <w:t>prain</w:t>
      </w:r>
      <w:r w:rsidR="00DD36B4" w:rsidRPr="003D71B7">
        <w:rPr>
          <w:rFonts w:ascii="Calibri" w:hAnsi="Calibri" w:cs="Courier New"/>
          <w:color w:val="auto"/>
          <w:szCs w:val="24"/>
        </w:rPr>
        <w:t xml:space="preserve">, </w:t>
      </w:r>
      <w:r w:rsidR="00AB5FE6">
        <w:rPr>
          <w:rFonts w:ascii="Calibri" w:hAnsi="Calibri" w:cs="Courier New"/>
          <w:color w:val="auto"/>
          <w:szCs w:val="24"/>
        </w:rPr>
        <w:t xml:space="preserve">subcutaneous </w:t>
      </w:r>
      <w:proofErr w:type="spellStart"/>
      <w:r w:rsidR="00AB5FE6">
        <w:rPr>
          <w:rFonts w:ascii="Calibri" w:hAnsi="Calibri" w:cs="Courier New"/>
          <w:color w:val="auto"/>
          <w:szCs w:val="24"/>
        </w:rPr>
        <w:t>lipomas</w:t>
      </w:r>
      <w:proofErr w:type="spellEnd"/>
      <w:r w:rsidR="00AB5FE6">
        <w:rPr>
          <w:rFonts w:ascii="Calibri" w:hAnsi="Calibri" w:cs="Courier New"/>
          <w:color w:val="auto"/>
          <w:szCs w:val="24"/>
        </w:rPr>
        <w:t xml:space="preserve"> in the lower e</w:t>
      </w:r>
      <w:r w:rsidR="002F0A60" w:rsidRPr="003D71B7">
        <w:rPr>
          <w:rFonts w:ascii="Calibri" w:hAnsi="Calibri" w:cs="Courier New"/>
          <w:color w:val="auto"/>
          <w:szCs w:val="24"/>
        </w:rPr>
        <w:t>xtremities</w:t>
      </w:r>
      <w:r w:rsidR="00AB5FE6">
        <w:rPr>
          <w:rFonts w:ascii="Calibri" w:hAnsi="Calibri" w:cs="Courier New"/>
          <w:color w:val="auto"/>
          <w:szCs w:val="24"/>
        </w:rPr>
        <w:t>,</w:t>
      </w:r>
      <w:r w:rsidR="002F0A60" w:rsidRPr="003D71B7">
        <w:rPr>
          <w:rFonts w:ascii="Calibri" w:hAnsi="Calibri" w:cs="Courier New"/>
          <w:color w:val="auto"/>
          <w:szCs w:val="24"/>
        </w:rPr>
        <w:t xml:space="preserve"> </w:t>
      </w:r>
      <w:r w:rsidR="00AB5FE6">
        <w:rPr>
          <w:rFonts w:ascii="Calibri" w:hAnsi="Calibri" w:cs="Courier New"/>
          <w:color w:val="auto"/>
          <w:szCs w:val="24"/>
        </w:rPr>
        <w:t>and myofascial pain with dysfunction claimed as teeth grinding with bone l</w:t>
      </w:r>
      <w:r w:rsidR="00DD36B4" w:rsidRPr="003D71B7">
        <w:rPr>
          <w:rFonts w:ascii="Calibri" w:hAnsi="Calibri" w:cs="Courier New"/>
          <w:color w:val="auto"/>
          <w:szCs w:val="24"/>
        </w:rPr>
        <w:t xml:space="preserve">oss </w:t>
      </w:r>
      <w:r w:rsidR="002F0A60" w:rsidRPr="003D71B7">
        <w:rPr>
          <w:rFonts w:ascii="Calibri" w:hAnsi="Calibri" w:cs="Courier New"/>
          <w:color w:val="auto"/>
          <w:szCs w:val="24"/>
        </w:rPr>
        <w:t xml:space="preserve">as </w:t>
      </w:r>
      <w:r w:rsidR="004369CB">
        <w:rPr>
          <w:rFonts w:ascii="Calibri" w:hAnsi="Calibri" w:cs="Courier New"/>
          <w:color w:val="auto"/>
          <w:szCs w:val="24"/>
        </w:rPr>
        <w:t>service connected</w:t>
      </w:r>
      <w:r w:rsidR="002F0A60" w:rsidRPr="003D71B7">
        <w:rPr>
          <w:rFonts w:ascii="Calibri" w:hAnsi="Calibri" w:cs="Courier New"/>
          <w:color w:val="auto"/>
          <w:szCs w:val="24"/>
        </w:rPr>
        <w:t>.</w:t>
      </w:r>
      <w:r w:rsidR="00EE788B" w:rsidRPr="003D71B7">
        <w:rPr>
          <w:rFonts w:ascii="Calibri" w:hAnsi="Calibri" w:cs="Courier New"/>
          <w:color w:val="auto"/>
          <w:szCs w:val="24"/>
        </w:rPr>
        <w:t xml:space="preserve"> </w:t>
      </w:r>
      <w:r w:rsidR="002F0A60" w:rsidRPr="003D71B7">
        <w:rPr>
          <w:rFonts w:ascii="Calibri" w:hAnsi="Calibri" w:cs="Courier New"/>
          <w:color w:val="auto"/>
          <w:szCs w:val="24"/>
        </w:rPr>
        <w:t xml:space="preserve">The Board does not have the authority under DoDI 6040.44 to render fitness or rating recommendations for </w:t>
      </w:r>
      <w:r w:rsidR="00A43474">
        <w:rPr>
          <w:rFonts w:ascii="Calibri" w:hAnsi="Calibri" w:cs="Courier New"/>
          <w:color w:val="auto"/>
          <w:szCs w:val="24"/>
        </w:rPr>
        <w:t>any conditions not considered in</w:t>
      </w:r>
      <w:r w:rsidR="002F0A60" w:rsidRPr="003D71B7">
        <w:rPr>
          <w:rFonts w:ascii="Calibri" w:hAnsi="Calibri" w:cs="Courier New"/>
          <w:color w:val="auto"/>
          <w:szCs w:val="24"/>
        </w:rPr>
        <w:t xml:space="preserve"> the DES.</w:t>
      </w:r>
      <w:r w:rsidR="002F0A60" w:rsidRPr="00112C08">
        <w:rPr>
          <w:rFonts w:ascii="Calibri" w:hAnsi="Calibri" w:cs="Courier New"/>
          <w:color w:val="auto"/>
          <w:szCs w:val="24"/>
        </w:rPr>
        <w:t xml:space="preserve">  </w:t>
      </w:r>
      <w:r w:rsidR="006F3A17" w:rsidRPr="004B0D89">
        <w:rPr>
          <w:rFonts w:ascii="Calibri" w:hAnsi="Calibri" w:cs="Courier New"/>
          <w:color w:val="auto"/>
          <w:szCs w:val="24"/>
        </w:rPr>
        <w:t xml:space="preserve">These conditions, and any other contended conditions not associated with the recommendations already rendered by the Board, remain eligible </w:t>
      </w:r>
      <w:r w:rsidR="006F3A17" w:rsidRPr="00A0037A">
        <w:rPr>
          <w:rFonts w:ascii="Calibri" w:hAnsi="Calibri" w:cs="Courier New"/>
          <w:color w:val="auto"/>
          <w:szCs w:val="24"/>
        </w:rPr>
        <w:t xml:space="preserve">for consideration by the Board for </w:t>
      </w:r>
      <w:proofErr w:type="gramStart"/>
      <w:r w:rsidR="006F3A17" w:rsidRPr="00A0037A">
        <w:rPr>
          <w:rFonts w:ascii="Calibri" w:hAnsi="Calibri" w:cs="Courier New"/>
          <w:color w:val="auto"/>
          <w:szCs w:val="24"/>
        </w:rPr>
        <w:t>Corrections  of</w:t>
      </w:r>
      <w:proofErr w:type="gramEnd"/>
      <w:r w:rsidR="006F3A17" w:rsidRPr="00A0037A">
        <w:rPr>
          <w:rFonts w:ascii="Calibri" w:hAnsi="Calibri" w:cs="Courier New"/>
          <w:color w:val="auto"/>
          <w:szCs w:val="24"/>
        </w:rPr>
        <w:t xml:space="preserve"> Naval Records (BCNR).  The Board, therefore, has no reasonable basis for recommending any additional unfitting conditions for separation rating.</w:t>
      </w:r>
      <w:r w:rsidR="00A0037A">
        <w:rPr>
          <w:rFonts w:ascii="Calibri" w:hAnsi="Calibri" w:cs="Courier New"/>
          <w:color w:val="auto"/>
          <w:szCs w:val="24"/>
        </w:rPr>
        <w:t xml:space="preserve">  </w:t>
      </w:r>
    </w:p>
    <w:p w:rsidR="00407AD4" w:rsidRPr="00A0037A" w:rsidRDefault="00407AD4" w:rsidP="00407AD4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u w:val="single"/>
        </w:rPr>
      </w:pPr>
      <w:r w:rsidRPr="00A0037A">
        <w:rPr>
          <w:rFonts w:ascii="Calibri" w:hAnsi="Calibri"/>
          <w:color w:val="auto"/>
          <w:u w:val="single"/>
        </w:rPr>
        <w:t>______________________________________________________________________________</w:t>
      </w:r>
    </w:p>
    <w:p w:rsidR="00A90D55" w:rsidRPr="00A0037A" w:rsidRDefault="00A90D55" w:rsidP="00112C08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</w:rPr>
      </w:pPr>
    </w:p>
    <w:p w:rsidR="004F5B25" w:rsidRPr="00CB1268" w:rsidRDefault="00C56FC8" w:rsidP="004F5B25">
      <w:pPr>
        <w:spacing w:line="240" w:lineRule="exact"/>
        <w:jc w:val="both"/>
        <w:rPr>
          <w:rFonts w:ascii="Calibri" w:hAnsi="Calibri" w:cs="Courier New"/>
          <w:color w:val="auto"/>
          <w:szCs w:val="24"/>
        </w:rPr>
      </w:pPr>
      <w:r w:rsidRPr="00A0037A">
        <w:rPr>
          <w:rFonts w:ascii="Calibri" w:hAnsi="Calibri" w:cs="Courier New"/>
          <w:color w:val="auto"/>
          <w:szCs w:val="24"/>
          <w:u w:val="single"/>
        </w:rPr>
        <w:t>BOARD FINDINGS</w:t>
      </w:r>
      <w:r w:rsidRPr="00A0037A">
        <w:rPr>
          <w:rFonts w:ascii="Calibri" w:hAnsi="Calibri" w:cs="Courier New"/>
          <w:color w:val="auto"/>
          <w:szCs w:val="24"/>
        </w:rPr>
        <w:t>:</w:t>
      </w:r>
      <w:r w:rsidRPr="00A0037A">
        <w:rPr>
          <w:rFonts w:ascii="Calibri" w:eastAsia="Calibri" w:hAnsi="Calibri" w:cs="Courier New"/>
          <w:color w:val="auto"/>
          <w:szCs w:val="24"/>
        </w:rPr>
        <w:t xml:space="preserve">  IAW DoDI 6040.44, provisions of DoD or Military Department regulations or guidelines relied upon by the PEB will not be considered by the Board to the extent they wer</w:t>
      </w:r>
      <w:r w:rsidRPr="004369CB">
        <w:rPr>
          <w:rFonts w:ascii="Calibri" w:eastAsia="Calibri" w:hAnsi="Calibri" w:cs="Courier New"/>
          <w:color w:val="auto"/>
          <w:szCs w:val="24"/>
        </w:rPr>
        <w:t xml:space="preserve">e inconsistent with the VASRD in effect at the time of the adjudication. </w:t>
      </w:r>
      <w:r w:rsidR="001D68CF" w:rsidRPr="004369CB">
        <w:rPr>
          <w:rFonts w:ascii="Calibri" w:eastAsia="Calibri" w:hAnsi="Calibri" w:cs="Courier New"/>
          <w:color w:val="auto"/>
          <w:szCs w:val="24"/>
        </w:rPr>
        <w:t xml:space="preserve"> </w:t>
      </w:r>
      <w:r w:rsidR="004B0D89" w:rsidRPr="00396779">
        <w:rPr>
          <w:rFonts w:asciiTheme="minorHAnsi" w:eastAsiaTheme="minorHAnsi" w:hAnsiTheme="minorHAnsi"/>
          <w:color w:val="auto"/>
          <w:szCs w:val="24"/>
        </w:rPr>
        <w:t xml:space="preserve">In the matter of </w:t>
      </w:r>
      <w:r w:rsidR="004B0D89" w:rsidRPr="004B0D89">
        <w:rPr>
          <w:rFonts w:asciiTheme="minorHAnsi" w:eastAsiaTheme="minorHAnsi" w:hAnsiTheme="minorHAnsi"/>
          <w:color w:val="auto"/>
          <w:szCs w:val="24"/>
        </w:rPr>
        <w:t xml:space="preserve">the </w:t>
      </w:r>
      <w:r w:rsidR="006C1F9C">
        <w:rPr>
          <w:rFonts w:asciiTheme="minorHAnsi" w:eastAsiaTheme="minorHAnsi" w:hAnsiTheme="minorHAnsi"/>
          <w:color w:val="auto"/>
          <w:szCs w:val="24"/>
        </w:rPr>
        <w:t xml:space="preserve">right </w:t>
      </w:r>
      <w:r w:rsidR="004B0D89" w:rsidRPr="004B0D89">
        <w:rPr>
          <w:rFonts w:ascii="Calibri" w:eastAsia="Calibri" w:hAnsi="Calibri" w:cs="Courier New"/>
          <w:color w:val="auto"/>
          <w:szCs w:val="24"/>
        </w:rPr>
        <w:t>knee</w:t>
      </w:r>
      <w:r w:rsidR="004B0D89" w:rsidRPr="004B0D89">
        <w:rPr>
          <w:rFonts w:asciiTheme="minorHAnsi" w:eastAsiaTheme="minorHAnsi" w:hAnsiTheme="minorHAnsi"/>
          <w:color w:val="auto"/>
          <w:szCs w:val="24"/>
        </w:rPr>
        <w:t xml:space="preserve"> conditions</w:t>
      </w:r>
      <w:r w:rsidR="004B0D89" w:rsidRPr="00396779">
        <w:rPr>
          <w:rFonts w:asciiTheme="minorHAnsi" w:eastAsiaTheme="minorHAnsi" w:hAnsiTheme="minorHAnsi"/>
          <w:color w:val="auto"/>
          <w:szCs w:val="24"/>
        </w:rPr>
        <w:t xml:space="preserve">, the Board </w:t>
      </w:r>
      <w:r w:rsidR="00DF7CD8" w:rsidRPr="00DF7CD8">
        <w:rPr>
          <w:rFonts w:asciiTheme="minorHAnsi" w:eastAsiaTheme="minorHAnsi" w:hAnsiTheme="minorHAnsi"/>
          <w:color w:val="auto"/>
          <w:szCs w:val="24"/>
        </w:rPr>
        <w:t xml:space="preserve">unanimously </w:t>
      </w:r>
      <w:r w:rsidR="004B0D89" w:rsidRPr="00092FD2">
        <w:rPr>
          <w:rFonts w:asciiTheme="minorHAnsi" w:eastAsiaTheme="minorHAnsi" w:hAnsiTheme="minorHAnsi"/>
          <w:color w:val="auto"/>
          <w:szCs w:val="24"/>
        </w:rPr>
        <w:t>recommends</w:t>
      </w:r>
      <w:r w:rsidR="00CB1268" w:rsidRPr="00092FD2">
        <w:rPr>
          <w:rFonts w:asciiTheme="minorHAnsi" w:eastAsiaTheme="minorHAnsi" w:hAnsiTheme="minorHAnsi"/>
          <w:color w:val="auto"/>
          <w:szCs w:val="24"/>
        </w:rPr>
        <w:t xml:space="preserve"> </w:t>
      </w:r>
      <w:r w:rsidR="004B0D89" w:rsidRPr="00092FD2">
        <w:rPr>
          <w:rFonts w:asciiTheme="minorHAnsi" w:eastAsiaTheme="minorHAnsi" w:hAnsiTheme="minorHAnsi"/>
          <w:color w:val="auto"/>
          <w:szCs w:val="24"/>
        </w:rPr>
        <w:t>that</w:t>
      </w:r>
      <w:r w:rsidR="004B0D89" w:rsidRPr="00396779">
        <w:rPr>
          <w:rFonts w:asciiTheme="minorHAnsi" w:eastAsiaTheme="minorHAnsi" w:hAnsiTheme="minorHAnsi"/>
          <w:color w:val="auto"/>
          <w:szCs w:val="24"/>
        </w:rPr>
        <w:t xml:space="preserve"> </w:t>
      </w:r>
      <w:r w:rsidR="00CB1268">
        <w:rPr>
          <w:rFonts w:asciiTheme="minorHAnsi" w:eastAsiaTheme="minorHAnsi" w:hAnsiTheme="minorHAnsi"/>
          <w:color w:val="auto"/>
          <w:szCs w:val="24"/>
        </w:rPr>
        <w:t>the knee</w:t>
      </w:r>
      <w:r w:rsidR="004B0D89" w:rsidRPr="00396779">
        <w:rPr>
          <w:rFonts w:asciiTheme="minorHAnsi" w:eastAsiaTheme="minorHAnsi" w:hAnsiTheme="minorHAnsi"/>
          <w:color w:val="auto"/>
          <w:szCs w:val="24"/>
        </w:rPr>
        <w:t xml:space="preserve"> be rated for two separate unfitting conditions: </w:t>
      </w:r>
      <w:r w:rsidR="00DF7CD8" w:rsidRPr="00396779">
        <w:rPr>
          <w:rFonts w:asciiTheme="minorHAnsi" w:eastAsiaTheme="minorHAnsi" w:hAnsiTheme="minorHAnsi"/>
          <w:color w:val="auto"/>
          <w:szCs w:val="24"/>
        </w:rPr>
        <w:t xml:space="preserve">the Board </w:t>
      </w:r>
      <w:r w:rsidR="00DF7CD8" w:rsidRPr="00DF7CD8">
        <w:rPr>
          <w:rFonts w:asciiTheme="minorHAnsi" w:eastAsiaTheme="minorHAnsi" w:hAnsiTheme="minorHAnsi"/>
          <w:color w:val="auto"/>
          <w:szCs w:val="24"/>
        </w:rPr>
        <w:t xml:space="preserve">unanimously </w:t>
      </w:r>
      <w:r w:rsidR="00DF7CD8" w:rsidRPr="00092FD2">
        <w:rPr>
          <w:rFonts w:asciiTheme="minorHAnsi" w:eastAsiaTheme="minorHAnsi" w:hAnsiTheme="minorHAnsi"/>
          <w:color w:val="auto"/>
          <w:szCs w:val="24"/>
        </w:rPr>
        <w:t xml:space="preserve">recommends </w:t>
      </w:r>
      <w:r w:rsidR="004F5B25" w:rsidRPr="00CB1268">
        <w:rPr>
          <w:rFonts w:asciiTheme="minorHAnsi" w:eastAsiaTheme="minorHAnsi" w:hAnsiTheme="minorHAnsi"/>
          <w:color w:val="auto"/>
          <w:szCs w:val="24"/>
        </w:rPr>
        <w:t>Status post r</w:t>
      </w:r>
      <w:r w:rsidR="004B0D89" w:rsidRPr="00CB1268">
        <w:rPr>
          <w:rFonts w:asciiTheme="minorHAnsi" w:eastAsiaTheme="minorHAnsi" w:hAnsiTheme="minorHAnsi"/>
          <w:color w:val="auto"/>
          <w:szCs w:val="24"/>
        </w:rPr>
        <w:t xml:space="preserve">ight Knee Medial </w:t>
      </w:r>
      <w:proofErr w:type="spellStart"/>
      <w:r w:rsidR="004B0D89" w:rsidRPr="00CB1268">
        <w:rPr>
          <w:rFonts w:asciiTheme="minorHAnsi" w:eastAsiaTheme="minorHAnsi" w:hAnsiTheme="minorHAnsi"/>
          <w:color w:val="auto"/>
          <w:szCs w:val="24"/>
        </w:rPr>
        <w:t>Meniscal</w:t>
      </w:r>
      <w:proofErr w:type="spellEnd"/>
      <w:r w:rsidR="004B0D89" w:rsidRPr="00CB1268">
        <w:rPr>
          <w:rFonts w:asciiTheme="minorHAnsi" w:eastAsiaTheme="minorHAnsi" w:hAnsiTheme="minorHAnsi"/>
          <w:color w:val="auto"/>
          <w:szCs w:val="24"/>
        </w:rPr>
        <w:t xml:space="preserve"> Tear,</w:t>
      </w:r>
      <w:r w:rsidR="004F5B25" w:rsidRPr="00CB1268">
        <w:rPr>
          <w:rFonts w:asciiTheme="minorHAnsi" w:eastAsiaTheme="minorHAnsi" w:hAnsiTheme="minorHAnsi"/>
          <w:color w:val="auto"/>
          <w:szCs w:val="24"/>
        </w:rPr>
        <w:t xml:space="preserve"> surgically repaired</w:t>
      </w:r>
      <w:r w:rsidR="004B0D89" w:rsidRPr="00CB1268">
        <w:rPr>
          <w:rFonts w:asciiTheme="minorHAnsi" w:eastAsiaTheme="minorHAnsi" w:hAnsiTheme="minorHAnsi"/>
          <w:color w:val="auto"/>
          <w:szCs w:val="24"/>
        </w:rPr>
        <w:t xml:space="preserve"> coded 5259 and rated 10%; and, </w:t>
      </w:r>
      <w:r w:rsidR="00DF7CD8" w:rsidRPr="00DF7CD8">
        <w:rPr>
          <w:rFonts w:asciiTheme="minorHAnsi" w:eastAsiaTheme="minorHAnsi" w:hAnsiTheme="minorHAnsi"/>
          <w:color w:val="auto"/>
          <w:szCs w:val="24"/>
        </w:rPr>
        <w:t xml:space="preserve">the Board </w:t>
      </w:r>
      <w:r w:rsidR="00DF7CD8">
        <w:rPr>
          <w:rFonts w:asciiTheme="minorHAnsi" w:eastAsiaTheme="minorHAnsi" w:hAnsiTheme="minorHAnsi"/>
          <w:color w:val="auto"/>
          <w:szCs w:val="24"/>
        </w:rPr>
        <w:t xml:space="preserve">recommends, by a 2:1 vote, </w:t>
      </w:r>
      <w:r w:rsidR="00DF7CD8" w:rsidRPr="00DF7CD8">
        <w:rPr>
          <w:rFonts w:asciiTheme="minorHAnsi" w:eastAsiaTheme="minorHAnsi" w:hAnsiTheme="minorHAnsi"/>
          <w:color w:val="auto"/>
          <w:szCs w:val="24"/>
        </w:rPr>
        <w:t xml:space="preserve">that </w:t>
      </w:r>
      <w:proofErr w:type="spellStart"/>
      <w:r w:rsidR="004F5B25" w:rsidRPr="00CB1268">
        <w:rPr>
          <w:rFonts w:asciiTheme="minorHAnsi" w:eastAsiaTheme="minorHAnsi" w:hAnsiTheme="minorHAnsi"/>
          <w:color w:val="auto"/>
          <w:szCs w:val="24"/>
        </w:rPr>
        <w:t>Condromalacia</w:t>
      </w:r>
      <w:proofErr w:type="spellEnd"/>
      <w:r w:rsidR="004B0D89" w:rsidRPr="00CB1268">
        <w:rPr>
          <w:rFonts w:asciiTheme="minorHAnsi" w:eastAsiaTheme="minorHAnsi" w:hAnsiTheme="minorHAnsi"/>
          <w:color w:val="auto"/>
          <w:szCs w:val="24"/>
        </w:rPr>
        <w:t xml:space="preserve"> </w:t>
      </w:r>
      <w:r w:rsidR="00CB1268" w:rsidRPr="00CB1268">
        <w:rPr>
          <w:rFonts w:asciiTheme="minorHAnsi" w:eastAsiaTheme="minorHAnsi" w:hAnsiTheme="minorHAnsi"/>
          <w:color w:val="auto"/>
          <w:szCs w:val="24"/>
        </w:rPr>
        <w:t xml:space="preserve">of The Patella </w:t>
      </w:r>
      <w:r w:rsidR="004B0D89" w:rsidRPr="00CB1268">
        <w:rPr>
          <w:rFonts w:asciiTheme="minorHAnsi" w:eastAsiaTheme="minorHAnsi" w:hAnsiTheme="minorHAnsi"/>
          <w:color w:val="auto"/>
          <w:szCs w:val="24"/>
        </w:rPr>
        <w:t xml:space="preserve">Right Knee </w:t>
      </w:r>
      <w:r w:rsidR="00DF7CD8">
        <w:rPr>
          <w:rFonts w:asciiTheme="minorHAnsi" w:eastAsiaTheme="minorHAnsi" w:hAnsiTheme="minorHAnsi"/>
          <w:color w:val="auto"/>
          <w:szCs w:val="24"/>
        </w:rPr>
        <w:t xml:space="preserve">be </w:t>
      </w:r>
      <w:r w:rsidR="004B0D89" w:rsidRPr="00CB1268">
        <w:rPr>
          <w:rFonts w:asciiTheme="minorHAnsi" w:eastAsiaTheme="minorHAnsi" w:hAnsiTheme="minorHAnsi"/>
          <w:color w:val="auto"/>
          <w:szCs w:val="24"/>
        </w:rPr>
        <w:t xml:space="preserve">coded 5099-5003 and rated 10%; both </w:t>
      </w:r>
      <w:r w:rsidR="004B0D89" w:rsidRPr="00CB1268">
        <w:rPr>
          <w:rFonts w:asciiTheme="minorHAnsi" w:hAnsiTheme="minorHAnsi"/>
          <w:color w:val="auto"/>
          <w:szCs w:val="24"/>
        </w:rPr>
        <w:t xml:space="preserve">IAW VASRD §4.71a. </w:t>
      </w:r>
      <w:r w:rsidR="00DF7CD8">
        <w:rPr>
          <w:rFonts w:asciiTheme="minorHAnsi" w:hAnsiTheme="minorHAnsi"/>
          <w:color w:val="auto"/>
          <w:szCs w:val="24"/>
        </w:rPr>
        <w:t xml:space="preserve"> The single voter for dissent (who recommended 5099-5003 at 0%) </w:t>
      </w:r>
      <w:r w:rsidR="00A0037A">
        <w:rPr>
          <w:rFonts w:asciiTheme="minorHAnsi" w:hAnsiTheme="minorHAnsi"/>
          <w:color w:val="auto"/>
          <w:szCs w:val="24"/>
        </w:rPr>
        <w:t xml:space="preserve">did not </w:t>
      </w:r>
      <w:proofErr w:type="gramStart"/>
      <w:r w:rsidR="00DF7CD8">
        <w:rPr>
          <w:rFonts w:asciiTheme="minorHAnsi" w:hAnsiTheme="minorHAnsi"/>
          <w:color w:val="auto"/>
          <w:szCs w:val="24"/>
        </w:rPr>
        <w:t>elected</w:t>
      </w:r>
      <w:proofErr w:type="gramEnd"/>
      <w:r w:rsidR="00DF7CD8">
        <w:rPr>
          <w:rFonts w:asciiTheme="minorHAnsi" w:hAnsiTheme="minorHAnsi"/>
          <w:color w:val="auto"/>
          <w:szCs w:val="24"/>
        </w:rPr>
        <w:t xml:space="preserve"> to </w:t>
      </w:r>
      <w:r w:rsidR="00A0037A">
        <w:rPr>
          <w:rFonts w:asciiTheme="minorHAnsi" w:hAnsiTheme="minorHAnsi"/>
          <w:color w:val="auto"/>
          <w:szCs w:val="24"/>
        </w:rPr>
        <w:t>submit</w:t>
      </w:r>
      <w:r w:rsidR="0088590D">
        <w:rPr>
          <w:rFonts w:asciiTheme="minorHAnsi" w:hAnsiTheme="minorHAnsi"/>
          <w:color w:val="auto"/>
          <w:szCs w:val="24"/>
        </w:rPr>
        <w:t xml:space="preserve"> </w:t>
      </w:r>
      <w:r w:rsidR="00DF7CD8">
        <w:rPr>
          <w:rFonts w:asciiTheme="minorHAnsi" w:hAnsiTheme="minorHAnsi"/>
          <w:color w:val="auto"/>
          <w:szCs w:val="24"/>
        </w:rPr>
        <w:t xml:space="preserve">a </w:t>
      </w:r>
      <w:proofErr w:type="spellStart"/>
      <w:r w:rsidR="00DF7CD8">
        <w:rPr>
          <w:rFonts w:asciiTheme="minorHAnsi" w:hAnsiTheme="minorHAnsi"/>
          <w:color w:val="auto"/>
          <w:szCs w:val="24"/>
        </w:rPr>
        <w:t>minotity</w:t>
      </w:r>
      <w:proofErr w:type="spellEnd"/>
      <w:r w:rsidR="00DF7CD8">
        <w:rPr>
          <w:rFonts w:asciiTheme="minorHAnsi" w:hAnsiTheme="minorHAnsi"/>
          <w:color w:val="auto"/>
          <w:szCs w:val="24"/>
        </w:rPr>
        <w:t xml:space="preserve"> opinion. </w:t>
      </w:r>
      <w:r w:rsidR="004B0D89" w:rsidRPr="00CB1268">
        <w:rPr>
          <w:rFonts w:asciiTheme="minorHAnsi" w:hAnsiTheme="minorHAnsi"/>
          <w:color w:val="auto"/>
          <w:szCs w:val="24"/>
        </w:rPr>
        <w:t xml:space="preserve"> </w:t>
      </w:r>
      <w:r w:rsidR="007B6B88" w:rsidRPr="00CB1268">
        <w:rPr>
          <w:rFonts w:ascii="Calibri" w:hAnsi="Calibri" w:cs="Courier New"/>
          <w:color w:val="auto"/>
          <w:szCs w:val="24"/>
        </w:rPr>
        <w:t xml:space="preserve">With respect to the Irritable Bowel Syndrome, history of </w:t>
      </w:r>
      <w:proofErr w:type="spellStart"/>
      <w:r w:rsidR="007B6B88" w:rsidRPr="00CB1268">
        <w:rPr>
          <w:rFonts w:ascii="Calibri" w:hAnsi="Calibri" w:cs="Courier New"/>
          <w:color w:val="auto"/>
          <w:szCs w:val="24"/>
        </w:rPr>
        <w:t>sternal</w:t>
      </w:r>
      <w:proofErr w:type="spellEnd"/>
      <w:r w:rsidR="007B6B88" w:rsidRPr="00CB1268">
        <w:rPr>
          <w:rFonts w:ascii="Calibri" w:hAnsi="Calibri" w:cs="Courier New"/>
          <w:color w:val="auto"/>
          <w:szCs w:val="24"/>
        </w:rPr>
        <w:t xml:space="preserve"> fracture, and lumbar pain</w:t>
      </w:r>
      <w:r w:rsidR="004F5B25" w:rsidRPr="00CB1268">
        <w:rPr>
          <w:rFonts w:ascii="Calibri" w:hAnsi="Calibri" w:cs="Courier New"/>
          <w:color w:val="auto"/>
          <w:szCs w:val="24"/>
        </w:rPr>
        <w:t xml:space="preserve"> or any other medical conditions eligible for Board consideration; the Board unanimously agrees that it cannot recommend any findings of unfit for additional rating at separation.</w:t>
      </w:r>
      <w:r w:rsidR="00A0037A">
        <w:rPr>
          <w:rFonts w:ascii="Calibri" w:hAnsi="Calibri" w:cs="Courier New"/>
          <w:color w:val="auto"/>
          <w:szCs w:val="24"/>
        </w:rPr>
        <w:t xml:space="preserve">  </w:t>
      </w:r>
    </w:p>
    <w:p w:rsidR="000C284D" w:rsidRDefault="000C284D" w:rsidP="00112C0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u w:val="single"/>
        </w:rPr>
      </w:pPr>
      <w:r w:rsidRPr="00407AD4">
        <w:rPr>
          <w:rFonts w:asciiTheme="minorHAnsi" w:hAnsiTheme="minorHAnsi"/>
          <w:color w:val="auto"/>
          <w:u w:val="single"/>
        </w:rPr>
        <w:t>______________________________________________________________________________</w:t>
      </w:r>
    </w:p>
    <w:p w:rsidR="000C284D" w:rsidRPr="00112C08" w:rsidRDefault="000C284D" w:rsidP="00112C08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 w:cs="Courier New"/>
          <w:color w:val="auto"/>
        </w:rPr>
      </w:pPr>
    </w:p>
    <w:p w:rsidR="00C56FC8" w:rsidRPr="00407AD4" w:rsidRDefault="00C56FC8" w:rsidP="00112C08">
      <w:pPr>
        <w:spacing w:line="240" w:lineRule="exact"/>
        <w:jc w:val="both"/>
        <w:rPr>
          <w:rFonts w:ascii="Calibri" w:hAnsi="Calibri" w:cs="Courier New"/>
          <w:color w:val="auto"/>
          <w:szCs w:val="24"/>
        </w:rPr>
      </w:pPr>
      <w:r w:rsidRPr="00112C08">
        <w:rPr>
          <w:rFonts w:ascii="Calibri" w:hAnsi="Calibri" w:cs="Courier New"/>
          <w:color w:val="auto"/>
          <w:szCs w:val="24"/>
          <w:u w:val="single"/>
        </w:rPr>
        <w:t>RECOMMENDATION</w:t>
      </w:r>
      <w:r w:rsidRPr="00112C08">
        <w:rPr>
          <w:rFonts w:ascii="Calibri" w:hAnsi="Calibri" w:cs="Courier New"/>
          <w:color w:val="auto"/>
          <w:szCs w:val="24"/>
        </w:rPr>
        <w:t xml:space="preserve">: </w:t>
      </w:r>
      <w:r w:rsidR="000C284D">
        <w:rPr>
          <w:rFonts w:ascii="Calibri" w:hAnsi="Calibri" w:cs="Courier New"/>
          <w:color w:val="auto"/>
          <w:szCs w:val="24"/>
        </w:rPr>
        <w:t xml:space="preserve"> </w:t>
      </w:r>
      <w:r w:rsidRPr="00407AD4">
        <w:rPr>
          <w:rFonts w:ascii="Calibri" w:hAnsi="Calibri" w:cs="Courier New"/>
          <w:color w:val="auto"/>
          <w:szCs w:val="24"/>
        </w:rPr>
        <w:t>The Board recommends that the CI’s prior determination be modified as follows,</w:t>
      </w:r>
      <w:r w:rsidR="00CE05DA" w:rsidRPr="00407AD4">
        <w:rPr>
          <w:rFonts w:ascii="Calibri" w:hAnsi="Calibri" w:cs="Courier New"/>
          <w:color w:val="auto"/>
          <w:szCs w:val="24"/>
        </w:rPr>
        <w:t xml:space="preserve"> effective as of the date of </w:t>
      </w:r>
      <w:r w:rsidR="00270B4E" w:rsidRPr="00407AD4">
        <w:rPr>
          <w:rFonts w:ascii="Calibri" w:hAnsi="Calibri" w:cs="Courier New"/>
          <w:color w:val="auto"/>
          <w:szCs w:val="24"/>
        </w:rPr>
        <w:t>her</w:t>
      </w:r>
      <w:r w:rsidRPr="00407AD4">
        <w:rPr>
          <w:rFonts w:ascii="Calibri" w:hAnsi="Calibri" w:cs="Courier New"/>
          <w:color w:val="auto"/>
          <w:szCs w:val="24"/>
        </w:rPr>
        <w:t xml:space="preserve"> medical separation.</w:t>
      </w:r>
      <w:r w:rsidR="00407AD4">
        <w:rPr>
          <w:rFonts w:ascii="Calibri" w:hAnsi="Calibri" w:cs="Courier New"/>
          <w:color w:val="auto"/>
          <w:szCs w:val="24"/>
        </w:rPr>
        <w:t xml:space="preserve">  </w:t>
      </w:r>
    </w:p>
    <w:p w:rsidR="00C56FC8" w:rsidRPr="00407AD4" w:rsidRDefault="00C56FC8" w:rsidP="00C56FC8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i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0"/>
        <w:gridCol w:w="2156"/>
        <w:gridCol w:w="1091"/>
      </w:tblGrid>
      <w:tr w:rsidR="004F3364" w:rsidRPr="00407AD4" w:rsidTr="00407AD4">
        <w:trPr>
          <w:trHeight w:val="287"/>
        </w:trPr>
        <w:tc>
          <w:tcPr>
            <w:tcW w:w="6210" w:type="dxa"/>
            <w:shd w:val="clear" w:color="auto" w:fill="D9D9D9"/>
          </w:tcPr>
          <w:p w:rsidR="004F3364" w:rsidRPr="00407AD4" w:rsidRDefault="004F3364" w:rsidP="008E19F8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alibri" w:hAnsi="Calibri"/>
                <w:b/>
                <w:color w:val="auto"/>
                <w:szCs w:val="24"/>
              </w:rPr>
            </w:pPr>
            <w:r w:rsidRPr="00407AD4">
              <w:rPr>
                <w:rFonts w:ascii="Calibri" w:hAnsi="Calibri"/>
                <w:b/>
                <w:color w:val="auto"/>
                <w:szCs w:val="24"/>
              </w:rPr>
              <w:t>UNFITTING CONDITION</w:t>
            </w:r>
          </w:p>
        </w:tc>
        <w:tc>
          <w:tcPr>
            <w:tcW w:w="2156" w:type="dxa"/>
            <w:shd w:val="clear" w:color="auto" w:fill="D9D9D9"/>
            <w:vAlign w:val="center"/>
          </w:tcPr>
          <w:p w:rsidR="004F3364" w:rsidRPr="00407AD4" w:rsidRDefault="004F3364" w:rsidP="008E19F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 w:rsidRPr="00407AD4">
              <w:rPr>
                <w:rFonts w:ascii="Calibri" w:hAnsi="Calibri"/>
                <w:b/>
                <w:color w:val="auto"/>
                <w:szCs w:val="24"/>
              </w:rPr>
              <w:t>VASRD CODE</w:t>
            </w:r>
          </w:p>
        </w:tc>
        <w:tc>
          <w:tcPr>
            <w:tcW w:w="1091" w:type="dxa"/>
            <w:shd w:val="clear" w:color="auto" w:fill="D9D9D9"/>
            <w:vAlign w:val="center"/>
          </w:tcPr>
          <w:p w:rsidR="004F3364" w:rsidRPr="00407AD4" w:rsidRDefault="004F3364" w:rsidP="008E19F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 w:rsidRPr="00407AD4">
              <w:rPr>
                <w:rFonts w:ascii="Calibri" w:hAnsi="Calibri"/>
                <w:b/>
                <w:color w:val="auto"/>
                <w:szCs w:val="24"/>
              </w:rPr>
              <w:t>RATING</w:t>
            </w:r>
          </w:p>
        </w:tc>
      </w:tr>
      <w:tr w:rsidR="004F3364" w:rsidRPr="00AC6DB1" w:rsidTr="00407AD4">
        <w:tc>
          <w:tcPr>
            <w:tcW w:w="6210" w:type="dxa"/>
          </w:tcPr>
          <w:p w:rsidR="009C2CB7" w:rsidRPr="00CB1268" w:rsidRDefault="004F5B25" w:rsidP="004F3364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alibri" w:hAnsi="Calibri"/>
                <w:color w:val="auto"/>
                <w:szCs w:val="24"/>
              </w:rPr>
            </w:pPr>
            <w:r w:rsidRPr="00CB1268">
              <w:rPr>
                <w:rFonts w:ascii="Calibri" w:hAnsi="Calibri"/>
                <w:color w:val="auto"/>
                <w:szCs w:val="24"/>
              </w:rPr>
              <w:t xml:space="preserve">Right Knee </w:t>
            </w:r>
            <w:r w:rsidR="004E1065" w:rsidRPr="00CB1268">
              <w:rPr>
                <w:rFonts w:ascii="Calibri" w:hAnsi="Calibri"/>
                <w:color w:val="auto"/>
                <w:szCs w:val="24"/>
              </w:rPr>
              <w:t>Cartilage, Semilunar, removal of, Symptomatic</w:t>
            </w:r>
          </w:p>
        </w:tc>
        <w:tc>
          <w:tcPr>
            <w:tcW w:w="2156" w:type="dxa"/>
            <w:vAlign w:val="center"/>
          </w:tcPr>
          <w:p w:rsidR="00D4036E" w:rsidRPr="00CB1268" w:rsidRDefault="004E1065" w:rsidP="009C2CB7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color w:val="auto"/>
                <w:szCs w:val="24"/>
              </w:rPr>
            </w:pPr>
            <w:r w:rsidRPr="00CB1268">
              <w:rPr>
                <w:rFonts w:ascii="Calibri" w:hAnsi="Calibri"/>
                <w:color w:val="auto"/>
                <w:szCs w:val="24"/>
              </w:rPr>
              <w:t>5259</w:t>
            </w:r>
          </w:p>
        </w:tc>
        <w:tc>
          <w:tcPr>
            <w:tcW w:w="1091" w:type="dxa"/>
            <w:vAlign w:val="center"/>
          </w:tcPr>
          <w:p w:rsidR="009C2CB7" w:rsidRPr="00CB1268" w:rsidRDefault="009C2CB7" w:rsidP="00407AD4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color w:val="auto"/>
                <w:szCs w:val="24"/>
              </w:rPr>
            </w:pPr>
            <w:r w:rsidRPr="00CB1268">
              <w:rPr>
                <w:rFonts w:ascii="Calibri" w:hAnsi="Calibri"/>
                <w:color w:val="auto"/>
                <w:szCs w:val="24"/>
              </w:rPr>
              <w:t>10%</w:t>
            </w:r>
          </w:p>
        </w:tc>
      </w:tr>
      <w:tr w:rsidR="009C2CB7" w:rsidRPr="00AC6DB1" w:rsidTr="00407AD4">
        <w:tc>
          <w:tcPr>
            <w:tcW w:w="6210" w:type="dxa"/>
          </w:tcPr>
          <w:p w:rsidR="009C2CB7" w:rsidRPr="00CB1268" w:rsidRDefault="004F5B25" w:rsidP="007B6B88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alibri" w:hAnsi="Calibri"/>
                <w:color w:val="auto"/>
                <w:szCs w:val="24"/>
              </w:rPr>
            </w:pPr>
            <w:r w:rsidRPr="00CB1268">
              <w:rPr>
                <w:rFonts w:ascii="Calibri" w:hAnsi="Calibri"/>
                <w:color w:val="auto"/>
                <w:szCs w:val="24"/>
              </w:rPr>
              <w:t xml:space="preserve">Right Knee </w:t>
            </w:r>
            <w:r w:rsidR="002D3A82" w:rsidRPr="00CB1268">
              <w:rPr>
                <w:rFonts w:ascii="Calibri" w:hAnsi="Calibri"/>
                <w:color w:val="auto"/>
                <w:szCs w:val="24"/>
              </w:rPr>
              <w:t>Chondromalacia P</w:t>
            </w:r>
            <w:r w:rsidR="009C2CB7" w:rsidRPr="00CB1268">
              <w:rPr>
                <w:rFonts w:ascii="Calibri" w:hAnsi="Calibri"/>
                <w:color w:val="auto"/>
                <w:szCs w:val="24"/>
              </w:rPr>
              <w:t>atella</w:t>
            </w:r>
            <w:r w:rsidR="00A40942" w:rsidRPr="00CB1268">
              <w:rPr>
                <w:rFonts w:ascii="Calibri" w:hAnsi="Calibri"/>
                <w:color w:val="auto"/>
                <w:szCs w:val="24"/>
              </w:rPr>
              <w:t xml:space="preserve"> </w:t>
            </w:r>
            <w:r w:rsidR="002D3A82" w:rsidRPr="00CB1268">
              <w:rPr>
                <w:rFonts w:ascii="Calibri" w:hAnsi="Calibri"/>
                <w:color w:val="auto"/>
                <w:szCs w:val="24"/>
              </w:rPr>
              <w:t>with B</w:t>
            </w:r>
            <w:r w:rsidR="00454543" w:rsidRPr="00CB1268">
              <w:rPr>
                <w:rFonts w:ascii="Calibri" w:hAnsi="Calibri"/>
                <w:color w:val="auto"/>
                <w:szCs w:val="24"/>
              </w:rPr>
              <w:t>ursitis</w:t>
            </w:r>
          </w:p>
        </w:tc>
        <w:tc>
          <w:tcPr>
            <w:tcW w:w="2156" w:type="dxa"/>
            <w:vAlign w:val="center"/>
          </w:tcPr>
          <w:p w:rsidR="009C2CB7" w:rsidRPr="00CB1268" w:rsidRDefault="004B0D89" w:rsidP="004B0D89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color w:val="auto"/>
                <w:szCs w:val="24"/>
              </w:rPr>
            </w:pPr>
            <w:r w:rsidRPr="00CB1268">
              <w:rPr>
                <w:rFonts w:ascii="Calibri" w:hAnsi="Calibri"/>
                <w:color w:val="auto"/>
                <w:szCs w:val="24"/>
              </w:rPr>
              <w:t>5099-</w:t>
            </w:r>
            <w:r w:rsidR="009C2CB7" w:rsidRPr="00CB1268">
              <w:rPr>
                <w:rFonts w:ascii="Calibri" w:hAnsi="Calibri"/>
                <w:color w:val="auto"/>
                <w:szCs w:val="24"/>
              </w:rPr>
              <w:t>5003</w:t>
            </w:r>
          </w:p>
        </w:tc>
        <w:tc>
          <w:tcPr>
            <w:tcW w:w="1091" w:type="dxa"/>
            <w:vAlign w:val="center"/>
          </w:tcPr>
          <w:p w:rsidR="009C2CB7" w:rsidRPr="00CB1268" w:rsidRDefault="009C2CB7" w:rsidP="00407AD4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color w:val="auto"/>
                <w:szCs w:val="24"/>
              </w:rPr>
            </w:pPr>
            <w:r w:rsidRPr="00CB1268">
              <w:rPr>
                <w:rFonts w:ascii="Calibri" w:hAnsi="Calibri"/>
                <w:color w:val="auto"/>
                <w:szCs w:val="24"/>
              </w:rPr>
              <w:t>10%</w:t>
            </w:r>
          </w:p>
        </w:tc>
      </w:tr>
      <w:tr w:rsidR="004F3364" w:rsidRPr="00AC6DB1" w:rsidTr="00407AD4">
        <w:tblPrEx>
          <w:tblLook w:val="0000"/>
        </w:tblPrEx>
        <w:trPr>
          <w:gridBefore w:val="1"/>
          <w:wBefore w:w="6210" w:type="dxa"/>
          <w:trHeight w:val="287"/>
        </w:trPr>
        <w:tc>
          <w:tcPr>
            <w:tcW w:w="21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F3364" w:rsidRPr="00CB1268" w:rsidRDefault="004F3364" w:rsidP="008E19F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 w:rsidRPr="00CB1268">
              <w:rPr>
                <w:rFonts w:ascii="Calibri" w:hAnsi="Calibri"/>
                <w:b/>
                <w:color w:val="auto"/>
                <w:szCs w:val="24"/>
              </w:rPr>
              <w:t>COMBINED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3364" w:rsidRPr="00CB1268" w:rsidRDefault="00343CA3" w:rsidP="008E19F8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 w:rsidRPr="00CB1268">
              <w:rPr>
                <w:rFonts w:ascii="Calibri" w:hAnsi="Calibri"/>
                <w:b/>
                <w:color w:val="auto"/>
                <w:szCs w:val="24"/>
              </w:rPr>
              <w:t>20%</w:t>
            </w:r>
          </w:p>
        </w:tc>
      </w:tr>
    </w:tbl>
    <w:p w:rsidR="00270B4E" w:rsidRPr="00407AD4" w:rsidRDefault="00270B4E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="Times New Roman" w:hAnsi="Times New Roman"/>
          <w:color w:val="auto"/>
          <w:szCs w:val="24"/>
        </w:rPr>
      </w:pPr>
    </w:p>
    <w:p w:rsidR="00407AD4" w:rsidRPr="00407AD4" w:rsidRDefault="00407AD4" w:rsidP="00407AD4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u w:val="single"/>
        </w:rPr>
      </w:pPr>
      <w:r w:rsidRPr="00407AD4">
        <w:rPr>
          <w:rFonts w:asciiTheme="minorHAnsi" w:hAnsiTheme="minorHAnsi"/>
          <w:color w:val="auto"/>
          <w:u w:val="single"/>
        </w:rPr>
        <w:t>______________________________________________________________________________</w:t>
      </w:r>
    </w:p>
    <w:p w:rsidR="00D91DA6" w:rsidRPr="00407AD4" w:rsidRDefault="00D91DA6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5B52F7" w:rsidRDefault="005B52F7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br w:type="page"/>
      </w:r>
    </w:p>
    <w:p w:rsidR="00D91DA6" w:rsidRPr="00407AD4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407AD4">
        <w:rPr>
          <w:rFonts w:asciiTheme="minorHAnsi" w:hAnsiTheme="minorHAnsi"/>
          <w:color w:val="auto"/>
        </w:rPr>
        <w:lastRenderedPageBreak/>
        <w:t>The following documentary evidence was considered:</w:t>
      </w:r>
    </w:p>
    <w:p w:rsidR="00114F20" w:rsidRPr="00407AD4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114F20" w:rsidRPr="00407AD4" w:rsidRDefault="0051146C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407AD4">
        <w:rPr>
          <w:rFonts w:asciiTheme="minorHAnsi" w:hAnsiTheme="minorHAnsi"/>
          <w:color w:val="auto"/>
        </w:rPr>
        <w:t xml:space="preserve">Exhibit A.  DD Form </w:t>
      </w:r>
      <w:proofErr w:type="gramStart"/>
      <w:r w:rsidRPr="00407AD4">
        <w:rPr>
          <w:rFonts w:asciiTheme="minorHAnsi" w:hAnsiTheme="minorHAnsi"/>
          <w:color w:val="auto"/>
        </w:rPr>
        <w:t>294,</w:t>
      </w:r>
      <w:proofErr w:type="gramEnd"/>
      <w:r w:rsidRPr="00407AD4">
        <w:rPr>
          <w:rFonts w:asciiTheme="minorHAnsi" w:hAnsiTheme="minorHAnsi"/>
          <w:color w:val="auto"/>
        </w:rPr>
        <w:t xml:space="preserve"> dated </w:t>
      </w:r>
      <w:r w:rsidR="0019273F" w:rsidRPr="00407AD4">
        <w:rPr>
          <w:rFonts w:asciiTheme="minorHAnsi" w:hAnsiTheme="minorHAnsi"/>
          <w:color w:val="auto"/>
        </w:rPr>
        <w:t>2009</w:t>
      </w:r>
      <w:r w:rsidR="00270B4E" w:rsidRPr="00407AD4">
        <w:rPr>
          <w:rFonts w:asciiTheme="minorHAnsi" w:hAnsiTheme="minorHAnsi"/>
          <w:color w:val="auto"/>
        </w:rPr>
        <w:t>1109</w:t>
      </w:r>
      <w:r w:rsidR="00114F20" w:rsidRPr="00407AD4">
        <w:rPr>
          <w:rFonts w:asciiTheme="minorHAnsi" w:hAnsiTheme="minorHAnsi"/>
          <w:color w:val="auto"/>
        </w:rPr>
        <w:t>, w/</w:t>
      </w:r>
      <w:proofErr w:type="spellStart"/>
      <w:r w:rsidR="00114F20" w:rsidRPr="00407AD4">
        <w:rPr>
          <w:rFonts w:asciiTheme="minorHAnsi" w:hAnsiTheme="minorHAnsi"/>
          <w:color w:val="auto"/>
        </w:rPr>
        <w:t>atchs</w:t>
      </w:r>
      <w:proofErr w:type="spellEnd"/>
      <w:r w:rsidR="00114F20" w:rsidRPr="00407AD4">
        <w:rPr>
          <w:rFonts w:asciiTheme="minorHAnsi" w:hAnsiTheme="minorHAnsi"/>
          <w:color w:val="auto"/>
        </w:rPr>
        <w:t>.</w:t>
      </w:r>
    </w:p>
    <w:p w:rsidR="00114F20" w:rsidRPr="00407AD4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407AD4">
        <w:rPr>
          <w:rFonts w:asciiTheme="minorHAnsi" w:hAnsiTheme="minorHAnsi"/>
          <w:color w:val="auto"/>
        </w:rPr>
        <w:t xml:space="preserve">Exhibit B.  </w:t>
      </w:r>
      <w:proofErr w:type="gramStart"/>
      <w:r w:rsidRPr="00407AD4">
        <w:rPr>
          <w:rFonts w:asciiTheme="minorHAnsi" w:hAnsiTheme="minorHAnsi"/>
          <w:color w:val="auto"/>
        </w:rPr>
        <w:t>Service Treatment Record.</w:t>
      </w:r>
      <w:proofErr w:type="gramEnd"/>
    </w:p>
    <w:p w:rsidR="00114F20" w:rsidRPr="00407AD4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407AD4">
        <w:rPr>
          <w:rFonts w:asciiTheme="minorHAnsi" w:hAnsiTheme="minorHAnsi"/>
          <w:color w:val="auto"/>
        </w:rPr>
        <w:t xml:space="preserve">Exhibit C.  </w:t>
      </w:r>
      <w:proofErr w:type="gramStart"/>
      <w:r w:rsidRPr="00407AD4">
        <w:rPr>
          <w:rFonts w:asciiTheme="minorHAnsi" w:hAnsiTheme="minorHAnsi"/>
          <w:color w:val="auto"/>
        </w:rPr>
        <w:t>Department of Veterans</w:t>
      </w:r>
      <w:r w:rsidR="00385D6F" w:rsidRPr="00407AD4">
        <w:rPr>
          <w:rFonts w:asciiTheme="minorHAnsi" w:hAnsiTheme="minorHAnsi"/>
          <w:color w:val="auto"/>
        </w:rPr>
        <w:t>'</w:t>
      </w:r>
      <w:r w:rsidRPr="00407AD4">
        <w:rPr>
          <w:rFonts w:asciiTheme="minorHAnsi" w:hAnsiTheme="minorHAnsi"/>
          <w:color w:val="auto"/>
        </w:rPr>
        <w:t xml:space="preserve"> Affairs Treatment Record.</w:t>
      </w:r>
      <w:proofErr w:type="gramEnd"/>
    </w:p>
    <w:p w:rsidR="00D91DA6" w:rsidRPr="00407AD4" w:rsidRDefault="00D91DA6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407AD4" w:rsidRPr="00407AD4" w:rsidRDefault="00407AD4" w:rsidP="00407AD4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407AD4" w:rsidRPr="00407AD4" w:rsidRDefault="00407AD4" w:rsidP="00407AD4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407AD4" w:rsidRPr="00407AD4" w:rsidRDefault="00407AD4" w:rsidP="00407AD4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407AD4">
        <w:rPr>
          <w:rFonts w:asciiTheme="minorHAnsi" w:hAnsiTheme="minorHAnsi"/>
          <w:color w:val="auto"/>
        </w:rPr>
        <w:t xml:space="preserve">                             </w:t>
      </w:r>
      <w:r w:rsidRPr="00407AD4">
        <w:rPr>
          <w:rFonts w:asciiTheme="minorHAnsi" w:hAnsiTheme="minorHAnsi"/>
          <w:color w:val="auto"/>
        </w:rPr>
        <w:tab/>
      </w:r>
      <w:r w:rsidRPr="00407AD4">
        <w:rPr>
          <w:rFonts w:asciiTheme="minorHAnsi" w:hAnsiTheme="minorHAnsi"/>
          <w:color w:val="auto"/>
        </w:rPr>
        <w:tab/>
        <w:t>Deputy Director</w:t>
      </w:r>
    </w:p>
    <w:p w:rsidR="00D23BAD" w:rsidRPr="00407AD4" w:rsidRDefault="00407AD4" w:rsidP="00407AD4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407AD4">
        <w:rPr>
          <w:rFonts w:asciiTheme="minorHAnsi" w:hAnsiTheme="minorHAnsi"/>
          <w:color w:val="auto"/>
        </w:rPr>
        <w:tab/>
        <w:t xml:space="preserve">                           </w:t>
      </w:r>
      <w:r w:rsidRPr="00407AD4">
        <w:rPr>
          <w:rFonts w:asciiTheme="minorHAnsi" w:hAnsiTheme="minorHAnsi"/>
          <w:color w:val="auto"/>
        </w:rPr>
        <w:tab/>
      </w:r>
      <w:r w:rsidRPr="00407AD4">
        <w:rPr>
          <w:rFonts w:asciiTheme="minorHAnsi" w:hAnsiTheme="minorHAnsi"/>
          <w:color w:val="auto"/>
        </w:rPr>
        <w:tab/>
        <w:t>Physical Disability Board of Review</w:t>
      </w:r>
      <w:r>
        <w:rPr>
          <w:rFonts w:asciiTheme="minorHAnsi" w:hAnsiTheme="minorHAnsi"/>
          <w:color w:val="auto"/>
        </w:rPr>
        <w:t xml:space="preserve">  </w:t>
      </w:r>
    </w:p>
    <w:p w:rsidR="00855061" w:rsidRDefault="00855061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br w:type="page"/>
      </w:r>
    </w:p>
    <w:p w:rsidR="00D23BAD" w:rsidRPr="00855061" w:rsidRDefault="00D23BAD" w:rsidP="00875F2D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855061" w:rsidRPr="00855061" w:rsidRDefault="00855061" w:rsidP="00855061">
      <w:pPr>
        <w:rPr>
          <w:color w:val="auto"/>
        </w:rPr>
      </w:pPr>
      <w:r w:rsidRPr="00855061">
        <w:rPr>
          <w:color w:val="auto"/>
        </w:rPr>
        <w:t>MEMORANDUM FOR DEPUTY COMMANDANT, MANPOWER &amp; RESERVE AFFAIRS</w:t>
      </w:r>
    </w:p>
    <w:p w:rsidR="00855061" w:rsidRPr="00855061" w:rsidRDefault="00855061" w:rsidP="00855061">
      <w:pPr>
        <w:rPr>
          <w:color w:val="auto"/>
        </w:rPr>
      </w:pPr>
    </w:p>
    <w:p w:rsidR="00855061" w:rsidRPr="00855061" w:rsidRDefault="00855061" w:rsidP="00855061">
      <w:pPr>
        <w:rPr>
          <w:color w:val="auto"/>
        </w:rPr>
      </w:pPr>
      <w:proofErr w:type="spellStart"/>
      <w:r w:rsidRPr="00855061">
        <w:rPr>
          <w:color w:val="auto"/>
        </w:rPr>
        <w:t>Subj</w:t>
      </w:r>
      <w:proofErr w:type="spellEnd"/>
      <w:r w:rsidRPr="00855061">
        <w:rPr>
          <w:color w:val="auto"/>
        </w:rPr>
        <w:t>:  PHYSICAL DISABILITY BOARD OF REVIEW (PDBR) RECOMMENDATION</w:t>
      </w:r>
    </w:p>
    <w:p w:rsidR="00855061" w:rsidRPr="00855061" w:rsidRDefault="00855061" w:rsidP="00855061">
      <w:pPr>
        <w:tabs>
          <w:tab w:val="left" w:pos="630"/>
        </w:tabs>
        <w:rPr>
          <w:color w:val="auto"/>
        </w:rPr>
      </w:pPr>
      <w:r w:rsidRPr="00855061">
        <w:rPr>
          <w:color w:val="auto"/>
        </w:rPr>
        <w:t xml:space="preserve">          </w:t>
      </w:r>
      <w:r w:rsidRPr="00855061">
        <w:rPr>
          <w:color w:val="auto"/>
        </w:rPr>
        <w:tab/>
        <w:t xml:space="preserve">ICO </w:t>
      </w:r>
      <w:r>
        <w:rPr>
          <w:color w:val="auto"/>
        </w:rPr>
        <w:t>XXXXX</w:t>
      </w:r>
      <w:r w:rsidRPr="00855061">
        <w:rPr>
          <w:color w:val="auto"/>
        </w:rPr>
        <w:t xml:space="preserve">, FORMER USMC, XXX XX </w:t>
      </w:r>
      <w:r>
        <w:rPr>
          <w:color w:val="auto"/>
        </w:rPr>
        <w:t>XXXX</w:t>
      </w:r>
    </w:p>
    <w:p w:rsidR="00855061" w:rsidRPr="00855061" w:rsidRDefault="00855061" w:rsidP="00855061">
      <w:pPr>
        <w:rPr>
          <w:color w:val="auto"/>
        </w:rPr>
      </w:pPr>
    </w:p>
    <w:p w:rsidR="00855061" w:rsidRPr="00855061" w:rsidRDefault="00855061" w:rsidP="00855061">
      <w:pPr>
        <w:tabs>
          <w:tab w:val="left" w:pos="630"/>
        </w:tabs>
        <w:rPr>
          <w:color w:val="auto"/>
        </w:rPr>
      </w:pPr>
      <w:r w:rsidRPr="00855061">
        <w:rPr>
          <w:color w:val="auto"/>
        </w:rPr>
        <w:t xml:space="preserve">Ref:   </w:t>
      </w:r>
      <w:r w:rsidRPr="00855061">
        <w:rPr>
          <w:color w:val="auto"/>
        </w:rPr>
        <w:tab/>
        <w:t>(a) DoDI 6040.44</w:t>
      </w:r>
    </w:p>
    <w:p w:rsidR="00855061" w:rsidRPr="00855061" w:rsidRDefault="00855061" w:rsidP="00855061">
      <w:pPr>
        <w:rPr>
          <w:color w:val="auto"/>
        </w:rPr>
      </w:pPr>
      <w:r w:rsidRPr="00855061">
        <w:rPr>
          <w:color w:val="auto"/>
        </w:rPr>
        <w:t xml:space="preserve">           (b) PDBR </w:t>
      </w:r>
      <w:proofErr w:type="spellStart"/>
      <w:r w:rsidRPr="00855061">
        <w:rPr>
          <w:color w:val="auto"/>
        </w:rPr>
        <w:t>ltr</w:t>
      </w:r>
      <w:proofErr w:type="spellEnd"/>
      <w:r w:rsidRPr="00855061">
        <w:rPr>
          <w:color w:val="auto"/>
        </w:rPr>
        <w:t xml:space="preserve"> </w:t>
      </w:r>
      <w:proofErr w:type="spellStart"/>
      <w:r w:rsidRPr="00855061">
        <w:rPr>
          <w:color w:val="auto"/>
        </w:rPr>
        <w:t>dtd</w:t>
      </w:r>
      <w:proofErr w:type="spellEnd"/>
      <w:r w:rsidRPr="00855061">
        <w:rPr>
          <w:color w:val="auto"/>
        </w:rPr>
        <w:t xml:space="preserve"> 14 Feb 11</w:t>
      </w:r>
    </w:p>
    <w:p w:rsidR="00855061" w:rsidRPr="00855061" w:rsidRDefault="00855061" w:rsidP="00855061">
      <w:pPr>
        <w:rPr>
          <w:color w:val="auto"/>
        </w:rPr>
      </w:pPr>
    </w:p>
    <w:p w:rsidR="00855061" w:rsidRPr="00855061" w:rsidRDefault="00855061" w:rsidP="00855061">
      <w:pPr>
        <w:rPr>
          <w:color w:val="auto"/>
        </w:rPr>
      </w:pPr>
      <w:r w:rsidRPr="00855061">
        <w:rPr>
          <w:color w:val="auto"/>
        </w:rPr>
        <w:t>1.  I have reviewed the subject case pursuant to reference (a) and approve the recommendation of the PDBR (reference (b)).</w:t>
      </w:r>
    </w:p>
    <w:p w:rsidR="00855061" w:rsidRPr="00855061" w:rsidRDefault="00855061" w:rsidP="00855061">
      <w:pPr>
        <w:rPr>
          <w:color w:val="auto"/>
        </w:rPr>
      </w:pPr>
    </w:p>
    <w:p w:rsidR="00855061" w:rsidRPr="00855061" w:rsidRDefault="00855061" w:rsidP="00855061">
      <w:pPr>
        <w:rPr>
          <w:color w:val="auto"/>
        </w:rPr>
      </w:pPr>
      <w:r w:rsidRPr="00855061">
        <w:rPr>
          <w:color w:val="auto"/>
        </w:rPr>
        <w:t>2.  The subject member’s official records are to be corrected to reflect the following disposition:</w:t>
      </w:r>
    </w:p>
    <w:p w:rsidR="00855061" w:rsidRPr="00855061" w:rsidRDefault="00855061" w:rsidP="00855061">
      <w:pPr>
        <w:rPr>
          <w:color w:val="auto"/>
        </w:rPr>
      </w:pPr>
    </w:p>
    <w:p w:rsidR="00855061" w:rsidRPr="00855061" w:rsidRDefault="00855061" w:rsidP="00855061">
      <w:pPr>
        <w:rPr>
          <w:color w:val="auto"/>
        </w:rPr>
      </w:pPr>
      <w:r w:rsidRPr="00855061">
        <w:rPr>
          <w:color w:val="auto"/>
        </w:rPr>
        <w:tab/>
        <w:t xml:space="preserve">a. Separation from the naval service due to physical disability rated at 20 percent (increased from 0 percent) </w:t>
      </w:r>
      <w:proofErr w:type="gramStart"/>
      <w:r w:rsidRPr="00855061">
        <w:rPr>
          <w:color w:val="auto"/>
        </w:rPr>
        <w:t>effective  June</w:t>
      </w:r>
      <w:proofErr w:type="gramEnd"/>
      <w:r w:rsidRPr="00855061">
        <w:rPr>
          <w:color w:val="auto"/>
        </w:rPr>
        <w:t xml:space="preserve"> 30, 2008.</w:t>
      </w:r>
    </w:p>
    <w:p w:rsidR="00855061" w:rsidRPr="00855061" w:rsidRDefault="00855061" w:rsidP="00855061">
      <w:pPr>
        <w:rPr>
          <w:color w:val="auto"/>
        </w:rPr>
      </w:pPr>
    </w:p>
    <w:p w:rsidR="00855061" w:rsidRPr="00855061" w:rsidRDefault="00855061" w:rsidP="00855061">
      <w:pPr>
        <w:rPr>
          <w:color w:val="auto"/>
        </w:rPr>
      </w:pPr>
      <w:r w:rsidRPr="00855061">
        <w:rPr>
          <w:color w:val="auto"/>
        </w:rPr>
        <w:t>3.  Please ensure all necessary actions are taken to implement this decision and the subject member is notified once those actions are completed.</w:t>
      </w:r>
    </w:p>
    <w:p w:rsidR="00855061" w:rsidRPr="00855061" w:rsidRDefault="00855061" w:rsidP="00855061">
      <w:pPr>
        <w:rPr>
          <w:color w:val="auto"/>
        </w:rPr>
      </w:pPr>
    </w:p>
    <w:p w:rsidR="00855061" w:rsidRPr="00855061" w:rsidRDefault="00855061" w:rsidP="00855061">
      <w:pPr>
        <w:rPr>
          <w:color w:val="auto"/>
        </w:rPr>
      </w:pPr>
    </w:p>
    <w:p w:rsidR="00855061" w:rsidRPr="00855061" w:rsidRDefault="00855061" w:rsidP="00855061">
      <w:pPr>
        <w:tabs>
          <w:tab w:val="left" w:pos="4680"/>
        </w:tabs>
        <w:rPr>
          <w:color w:val="auto"/>
        </w:rPr>
      </w:pPr>
    </w:p>
    <w:p w:rsidR="00855061" w:rsidRPr="00855061" w:rsidRDefault="00855061" w:rsidP="00855061">
      <w:pPr>
        <w:tabs>
          <w:tab w:val="left" w:pos="4680"/>
        </w:tabs>
        <w:rPr>
          <w:color w:val="auto"/>
        </w:rPr>
      </w:pPr>
      <w:r w:rsidRPr="00855061">
        <w:rPr>
          <w:color w:val="auto"/>
        </w:rPr>
        <w:tab/>
      </w:r>
      <w:r w:rsidRPr="00855061">
        <w:rPr>
          <w:color w:val="auto"/>
        </w:rPr>
        <w:tab/>
        <w:t>Principal Deputy</w:t>
      </w:r>
    </w:p>
    <w:p w:rsidR="00855061" w:rsidRPr="00855061" w:rsidRDefault="00855061" w:rsidP="00855061">
      <w:pPr>
        <w:tabs>
          <w:tab w:val="left" w:pos="4680"/>
        </w:tabs>
        <w:rPr>
          <w:color w:val="auto"/>
        </w:rPr>
      </w:pPr>
      <w:r w:rsidRPr="00855061">
        <w:rPr>
          <w:color w:val="auto"/>
        </w:rPr>
        <w:tab/>
        <w:t>Assistant Secretary of the Navy</w:t>
      </w:r>
    </w:p>
    <w:p w:rsidR="00855061" w:rsidRPr="00855061" w:rsidRDefault="00855061" w:rsidP="00855061">
      <w:pPr>
        <w:tabs>
          <w:tab w:val="left" w:pos="4680"/>
        </w:tabs>
        <w:rPr>
          <w:color w:val="auto"/>
        </w:rPr>
      </w:pPr>
      <w:r w:rsidRPr="00855061">
        <w:rPr>
          <w:color w:val="auto"/>
        </w:rPr>
        <w:tab/>
        <w:t xml:space="preserve">  (Manpower &amp; Reserve Affairs)</w:t>
      </w:r>
    </w:p>
    <w:p w:rsidR="00855061" w:rsidRDefault="00855061" w:rsidP="00855061"/>
    <w:p w:rsidR="00343CA3" w:rsidRDefault="00343CA3" w:rsidP="00343CA3"/>
    <w:sectPr w:rsidR="00343CA3" w:rsidSect="007D3B5C">
      <w:footerReference w:type="even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A1" w:rsidRDefault="005F03A1">
      <w:r>
        <w:separator/>
      </w:r>
    </w:p>
  </w:endnote>
  <w:endnote w:type="continuationSeparator" w:id="0">
    <w:p w:rsidR="005F03A1" w:rsidRDefault="005F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14" w:rsidRDefault="00BD52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9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914">
      <w:rPr>
        <w:rStyle w:val="PageNumber"/>
        <w:noProof/>
      </w:rPr>
      <w:t>2</w:t>
    </w:r>
    <w:r>
      <w:rPr>
        <w:rStyle w:val="PageNumber"/>
      </w:rPr>
      <w:fldChar w:fldCharType="end"/>
    </w:r>
  </w:p>
  <w:p w:rsidR="00FE5914" w:rsidRDefault="00FE5914" w:rsidP="002B0749">
    <w:pPr>
      <w:pStyle w:val="Footer"/>
      <w:jc w:val="right"/>
    </w:pPr>
    <w:r>
      <w:tab/>
    </w:r>
    <w:r>
      <w:tab/>
    </w:r>
    <w:r w:rsidRPr="001D3186">
      <w:rPr>
        <w:caps/>
        <w:color w:val="000080"/>
      </w:rPr>
      <w:t>PD09</w:t>
    </w:r>
    <w:r>
      <w:rPr>
        <w:caps/>
        <w:color w:val="000080"/>
      </w:rPr>
      <w:t>00</w:t>
    </w:r>
    <w:r w:rsidRPr="001D3186">
      <w:rPr>
        <w:caps/>
        <w:color w:val="000080"/>
      </w:rPr>
      <w:t>###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14" w:rsidRPr="00EA1BD9" w:rsidRDefault="00BD5207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color w:val="auto"/>
      </w:rPr>
    </w:pPr>
    <w:r w:rsidRPr="00EA1BD9">
      <w:rPr>
        <w:rStyle w:val="PageNumber"/>
        <w:rFonts w:asciiTheme="minorHAnsi" w:hAnsiTheme="minorHAnsi"/>
        <w:color w:val="auto"/>
      </w:rPr>
      <w:fldChar w:fldCharType="begin"/>
    </w:r>
    <w:r w:rsidR="00FE5914" w:rsidRPr="00EA1BD9">
      <w:rPr>
        <w:rStyle w:val="PageNumber"/>
        <w:rFonts w:asciiTheme="minorHAnsi" w:hAnsiTheme="minorHAnsi"/>
        <w:color w:val="auto"/>
      </w:rPr>
      <w:instrText xml:space="preserve">PAGE  </w:instrText>
    </w:r>
    <w:r w:rsidRPr="00EA1BD9">
      <w:rPr>
        <w:rStyle w:val="PageNumber"/>
        <w:rFonts w:asciiTheme="minorHAnsi" w:hAnsiTheme="minorHAnsi"/>
        <w:color w:val="auto"/>
      </w:rPr>
      <w:fldChar w:fldCharType="separate"/>
    </w:r>
    <w:r w:rsidR="00855061">
      <w:rPr>
        <w:rStyle w:val="PageNumber"/>
        <w:rFonts w:asciiTheme="minorHAnsi" w:hAnsiTheme="minorHAnsi"/>
        <w:noProof/>
        <w:color w:val="auto"/>
      </w:rPr>
      <w:t>2</w:t>
    </w:r>
    <w:r w:rsidRPr="00EA1BD9">
      <w:rPr>
        <w:rStyle w:val="PageNumber"/>
        <w:rFonts w:asciiTheme="minorHAnsi" w:hAnsiTheme="minorHAnsi"/>
        <w:color w:val="auto"/>
      </w:rPr>
      <w:fldChar w:fldCharType="end"/>
    </w:r>
  </w:p>
  <w:p w:rsidR="00FE5914" w:rsidRPr="00407AD4" w:rsidRDefault="00FE5914" w:rsidP="002B0749">
    <w:pPr>
      <w:pStyle w:val="Footer"/>
      <w:jc w:val="right"/>
      <w:rPr>
        <w:caps/>
        <w:color w:val="auto"/>
        <w:szCs w:val="24"/>
      </w:rPr>
    </w:pPr>
    <w:r w:rsidRPr="00407AD4">
      <w:rPr>
        <w:color w:val="auto"/>
        <w:szCs w:val="24"/>
      </w:rPr>
      <w:tab/>
    </w:r>
    <w:r w:rsidRPr="00407AD4">
      <w:rPr>
        <w:color w:val="auto"/>
        <w:szCs w:val="24"/>
      </w:rPr>
      <w:tab/>
    </w:r>
    <w:r w:rsidRPr="00407AD4">
      <w:rPr>
        <w:rFonts w:asciiTheme="minorHAnsi" w:hAnsiTheme="minorHAnsi"/>
        <w:caps/>
        <w:color w:val="auto"/>
        <w:szCs w:val="24"/>
      </w:rPr>
      <w:t>PD</w:t>
    </w:r>
    <w:r w:rsidR="00563439">
      <w:rPr>
        <w:rFonts w:asciiTheme="minorHAnsi" w:hAnsiTheme="minorHAnsi"/>
        <w:caps/>
        <w:color w:val="auto"/>
        <w:szCs w:val="24"/>
      </w:rPr>
      <w:t>09</w:t>
    </w:r>
    <w:r w:rsidRPr="00407AD4">
      <w:rPr>
        <w:rFonts w:asciiTheme="minorHAnsi" w:hAnsiTheme="minorHAnsi"/>
        <w:caps/>
        <w:color w:val="auto"/>
        <w:szCs w:val="24"/>
      </w:rPr>
      <w:t>0</w:t>
    </w:r>
    <w:r w:rsidR="00407AD4">
      <w:rPr>
        <w:rFonts w:asciiTheme="minorHAnsi" w:hAnsiTheme="minorHAnsi"/>
        <w:caps/>
        <w:color w:val="auto"/>
        <w:szCs w:val="24"/>
      </w:rPr>
      <w:t>0</w:t>
    </w:r>
    <w:r w:rsidRPr="00407AD4">
      <w:rPr>
        <w:rFonts w:asciiTheme="minorHAnsi" w:hAnsiTheme="minorHAnsi"/>
        <w:caps/>
        <w:color w:val="auto"/>
        <w:szCs w:val="24"/>
      </w:rPr>
      <w:t>660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A1" w:rsidRDefault="005F03A1">
      <w:r>
        <w:separator/>
      </w:r>
    </w:p>
  </w:footnote>
  <w:footnote w:type="continuationSeparator" w:id="0">
    <w:p w:rsidR="005F03A1" w:rsidRDefault="005F0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27A"/>
    <w:multiLevelType w:val="hybridMultilevel"/>
    <w:tmpl w:val="4014A914"/>
    <w:lvl w:ilvl="0" w:tplc="D7EAE91E">
      <w:start w:val="1"/>
      <w:numFmt w:val="low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701653"/>
    <w:multiLevelType w:val="hybridMultilevel"/>
    <w:tmpl w:val="9476E65C"/>
    <w:lvl w:ilvl="0" w:tplc="D7EAE91E">
      <w:start w:val="1"/>
      <w:numFmt w:val="low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22B3CE1"/>
    <w:multiLevelType w:val="hybridMultilevel"/>
    <w:tmpl w:val="9476E65C"/>
    <w:lvl w:ilvl="0" w:tplc="D7EAE91E">
      <w:start w:val="1"/>
      <w:numFmt w:val="low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B0010B8"/>
    <w:multiLevelType w:val="hybridMultilevel"/>
    <w:tmpl w:val="EB78FAB6"/>
    <w:lvl w:ilvl="0" w:tplc="5E5C64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C1745BF"/>
    <w:multiLevelType w:val="hybridMultilevel"/>
    <w:tmpl w:val="4014A914"/>
    <w:lvl w:ilvl="0" w:tplc="D7EAE91E">
      <w:start w:val="1"/>
      <w:numFmt w:val="low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C8603A6"/>
    <w:multiLevelType w:val="hybridMultilevel"/>
    <w:tmpl w:val="7756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69E"/>
    <w:multiLevelType w:val="hybridMultilevel"/>
    <w:tmpl w:val="9476E65C"/>
    <w:lvl w:ilvl="0" w:tplc="D7EAE91E">
      <w:start w:val="1"/>
      <w:numFmt w:val="low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ACE4AD9"/>
    <w:multiLevelType w:val="hybridMultilevel"/>
    <w:tmpl w:val="9476E65C"/>
    <w:lvl w:ilvl="0" w:tplc="D7EAE91E">
      <w:start w:val="1"/>
      <w:numFmt w:val="low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DD16543"/>
    <w:multiLevelType w:val="hybridMultilevel"/>
    <w:tmpl w:val="EAC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734EA"/>
    <w:multiLevelType w:val="hybridMultilevel"/>
    <w:tmpl w:val="9476E65C"/>
    <w:lvl w:ilvl="0" w:tplc="D7EAE91E">
      <w:start w:val="1"/>
      <w:numFmt w:val="low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4A7391B"/>
    <w:multiLevelType w:val="hybridMultilevel"/>
    <w:tmpl w:val="7756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0726"/>
    <w:multiLevelType w:val="hybridMultilevel"/>
    <w:tmpl w:val="4014A914"/>
    <w:lvl w:ilvl="0" w:tplc="D7EAE91E">
      <w:start w:val="1"/>
      <w:numFmt w:val="low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6B85341"/>
    <w:multiLevelType w:val="hybridMultilevel"/>
    <w:tmpl w:val="9476E65C"/>
    <w:lvl w:ilvl="0" w:tplc="D7EAE91E">
      <w:start w:val="1"/>
      <w:numFmt w:val="low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87B4BB6"/>
    <w:multiLevelType w:val="hybridMultilevel"/>
    <w:tmpl w:val="DF4CF7F4"/>
    <w:lvl w:ilvl="0" w:tplc="D7EAE91E">
      <w:start w:val="1"/>
      <w:numFmt w:val="lowerLetter"/>
      <w:lvlText w:val="%1.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C3C4A8E"/>
    <w:multiLevelType w:val="hybridMultilevel"/>
    <w:tmpl w:val="11E4A2EA"/>
    <w:lvl w:ilvl="0" w:tplc="B1C6AFC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F53BB"/>
    <w:multiLevelType w:val="hybridMultilevel"/>
    <w:tmpl w:val="4208A958"/>
    <w:lvl w:ilvl="0" w:tplc="CA2C6D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intFractionalCharacterWidth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2FA8"/>
    <w:rsid w:val="000059FA"/>
    <w:rsid w:val="00006F87"/>
    <w:rsid w:val="00010ABA"/>
    <w:rsid w:val="00012428"/>
    <w:rsid w:val="00013417"/>
    <w:rsid w:val="000145C2"/>
    <w:rsid w:val="0001473F"/>
    <w:rsid w:val="000223DC"/>
    <w:rsid w:val="00023D43"/>
    <w:rsid w:val="00023DE8"/>
    <w:rsid w:val="000248B1"/>
    <w:rsid w:val="00032E07"/>
    <w:rsid w:val="000332CA"/>
    <w:rsid w:val="0003374E"/>
    <w:rsid w:val="000344E6"/>
    <w:rsid w:val="00035C3A"/>
    <w:rsid w:val="00036E4B"/>
    <w:rsid w:val="000379D0"/>
    <w:rsid w:val="00040FC4"/>
    <w:rsid w:val="000416F8"/>
    <w:rsid w:val="00045A92"/>
    <w:rsid w:val="00051622"/>
    <w:rsid w:val="00052234"/>
    <w:rsid w:val="00053D7C"/>
    <w:rsid w:val="000577C9"/>
    <w:rsid w:val="00060F94"/>
    <w:rsid w:val="0006431E"/>
    <w:rsid w:val="00065183"/>
    <w:rsid w:val="00072433"/>
    <w:rsid w:val="0007540F"/>
    <w:rsid w:val="00075702"/>
    <w:rsid w:val="000775C2"/>
    <w:rsid w:val="000806AD"/>
    <w:rsid w:val="00082482"/>
    <w:rsid w:val="000828E5"/>
    <w:rsid w:val="00082D7B"/>
    <w:rsid w:val="000843E4"/>
    <w:rsid w:val="0008708B"/>
    <w:rsid w:val="00092248"/>
    <w:rsid w:val="00092FD2"/>
    <w:rsid w:val="00094E4F"/>
    <w:rsid w:val="000A2BCE"/>
    <w:rsid w:val="000A41E3"/>
    <w:rsid w:val="000A4BBA"/>
    <w:rsid w:val="000A5071"/>
    <w:rsid w:val="000B0D7E"/>
    <w:rsid w:val="000C06F6"/>
    <w:rsid w:val="000C284D"/>
    <w:rsid w:val="000C35B4"/>
    <w:rsid w:val="000C3C13"/>
    <w:rsid w:val="000C5813"/>
    <w:rsid w:val="000C7DE4"/>
    <w:rsid w:val="000D15E7"/>
    <w:rsid w:val="000D1A24"/>
    <w:rsid w:val="000D21C7"/>
    <w:rsid w:val="000D248A"/>
    <w:rsid w:val="000D43F9"/>
    <w:rsid w:val="000D4717"/>
    <w:rsid w:val="000D6457"/>
    <w:rsid w:val="000D7D55"/>
    <w:rsid w:val="000E0993"/>
    <w:rsid w:val="000E2260"/>
    <w:rsid w:val="000E37E0"/>
    <w:rsid w:val="000F02BE"/>
    <w:rsid w:val="000F08D3"/>
    <w:rsid w:val="000F4145"/>
    <w:rsid w:val="000F427B"/>
    <w:rsid w:val="001008C1"/>
    <w:rsid w:val="001023DB"/>
    <w:rsid w:val="001033F3"/>
    <w:rsid w:val="00103CCF"/>
    <w:rsid w:val="0010417F"/>
    <w:rsid w:val="001042D2"/>
    <w:rsid w:val="0010530E"/>
    <w:rsid w:val="001103CD"/>
    <w:rsid w:val="00112C08"/>
    <w:rsid w:val="00114F20"/>
    <w:rsid w:val="00121889"/>
    <w:rsid w:val="001219DF"/>
    <w:rsid w:val="001231DC"/>
    <w:rsid w:val="00123E50"/>
    <w:rsid w:val="001272AE"/>
    <w:rsid w:val="001315DD"/>
    <w:rsid w:val="00135385"/>
    <w:rsid w:val="00135DBD"/>
    <w:rsid w:val="001364D1"/>
    <w:rsid w:val="00142EBA"/>
    <w:rsid w:val="00145D0B"/>
    <w:rsid w:val="00150DCB"/>
    <w:rsid w:val="00153740"/>
    <w:rsid w:val="001541C5"/>
    <w:rsid w:val="0015623F"/>
    <w:rsid w:val="00156BA9"/>
    <w:rsid w:val="00165043"/>
    <w:rsid w:val="00166182"/>
    <w:rsid w:val="00167500"/>
    <w:rsid w:val="00177659"/>
    <w:rsid w:val="001779E5"/>
    <w:rsid w:val="00182A4C"/>
    <w:rsid w:val="00183F77"/>
    <w:rsid w:val="00185DA8"/>
    <w:rsid w:val="00185ECB"/>
    <w:rsid w:val="001870F0"/>
    <w:rsid w:val="00191263"/>
    <w:rsid w:val="0019273F"/>
    <w:rsid w:val="00193AD5"/>
    <w:rsid w:val="00193BCB"/>
    <w:rsid w:val="00194930"/>
    <w:rsid w:val="0019706C"/>
    <w:rsid w:val="001A08CD"/>
    <w:rsid w:val="001A5320"/>
    <w:rsid w:val="001A5E62"/>
    <w:rsid w:val="001A7538"/>
    <w:rsid w:val="001B0ACB"/>
    <w:rsid w:val="001B0B1A"/>
    <w:rsid w:val="001B4EC2"/>
    <w:rsid w:val="001B5B59"/>
    <w:rsid w:val="001B6232"/>
    <w:rsid w:val="001B7C8C"/>
    <w:rsid w:val="001C181A"/>
    <w:rsid w:val="001C2053"/>
    <w:rsid w:val="001C28D1"/>
    <w:rsid w:val="001C380A"/>
    <w:rsid w:val="001C4150"/>
    <w:rsid w:val="001C5CFC"/>
    <w:rsid w:val="001C6794"/>
    <w:rsid w:val="001C7418"/>
    <w:rsid w:val="001D0051"/>
    <w:rsid w:val="001D2224"/>
    <w:rsid w:val="001D5A89"/>
    <w:rsid w:val="001D68CF"/>
    <w:rsid w:val="001D6A8C"/>
    <w:rsid w:val="001D7A56"/>
    <w:rsid w:val="001E15C0"/>
    <w:rsid w:val="001E18E0"/>
    <w:rsid w:val="001E18E2"/>
    <w:rsid w:val="001E1BBE"/>
    <w:rsid w:val="001E2A30"/>
    <w:rsid w:val="001F5158"/>
    <w:rsid w:val="00200AA0"/>
    <w:rsid w:val="00202736"/>
    <w:rsid w:val="00203652"/>
    <w:rsid w:val="002060B6"/>
    <w:rsid w:val="00216049"/>
    <w:rsid w:val="00217C09"/>
    <w:rsid w:val="00220F5C"/>
    <w:rsid w:val="00225196"/>
    <w:rsid w:val="00225CB4"/>
    <w:rsid w:val="0023049F"/>
    <w:rsid w:val="002316F6"/>
    <w:rsid w:val="00232C9B"/>
    <w:rsid w:val="00232F09"/>
    <w:rsid w:val="002335D5"/>
    <w:rsid w:val="002338CA"/>
    <w:rsid w:val="00233FE5"/>
    <w:rsid w:val="0023539C"/>
    <w:rsid w:val="00237EAC"/>
    <w:rsid w:val="00240FC7"/>
    <w:rsid w:val="0024174E"/>
    <w:rsid w:val="0024227D"/>
    <w:rsid w:val="00246860"/>
    <w:rsid w:val="002468DB"/>
    <w:rsid w:val="00246DFF"/>
    <w:rsid w:val="00246E89"/>
    <w:rsid w:val="0025183C"/>
    <w:rsid w:val="002528EC"/>
    <w:rsid w:val="00255049"/>
    <w:rsid w:val="00257337"/>
    <w:rsid w:val="00257DE5"/>
    <w:rsid w:val="00260531"/>
    <w:rsid w:val="0026318D"/>
    <w:rsid w:val="00270864"/>
    <w:rsid w:val="00270B4E"/>
    <w:rsid w:val="002712F7"/>
    <w:rsid w:val="0027159C"/>
    <w:rsid w:val="00274549"/>
    <w:rsid w:val="00274E46"/>
    <w:rsid w:val="00276C86"/>
    <w:rsid w:val="002810A4"/>
    <w:rsid w:val="0028388C"/>
    <w:rsid w:val="00284A26"/>
    <w:rsid w:val="00284CFC"/>
    <w:rsid w:val="002A3237"/>
    <w:rsid w:val="002A685E"/>
    <w:rsid w:val="002A72C7"/>
    <w:rsid w:val="002B03B2"/>
    <w:rsid w:val="002B0749"/>
    <w:rsid w:val="002B2645"/>
    <w:rsid w:val="002C0306"/>
    <w:rsid w:val="002C16A1"/>
    <w:rsid w:val="002C5F10"/>
    <w:rsid w:val="002C6E5B"/>
    <w:rsid w:val="002C6EB8"/>
    <w:rsid w:val="002D18B4"/>
    <w:rsid w:val="002D231A"/>
    <w:rsid w:val="002D3A82"/>
    <w:rsid w:val="002D7652"/>
    <w:rsid w:val="002E1877"/>
    <w:rsid w:val="002E1C31"/>
    <w:rsid w:val="002E333A"/>
    <w:rsid w:val="002E3474"/>
    <w:rsid w:val="002E400C"/>
    <w:rsid w:val="002E49C3"/>
    <w:rsid w:val="002E7570"/>
    <w:rsid w:val="002E764B"/>
    <w:rsid w:val="002F0A60"/>
    <w:rsid w:val="002F0C07"/>
    <w:rsid w:val="002F0E28"/>
    <w:rsid w:val="002F287E"/>
    <w:rsid w:val="002F2D63"/>
    <w:rsid w:val="002F7F81"/>
    <w:rsid w:val="00300A36"/>
    <w:rsid w:val="00302AC7"/>
    <w:rsid w:val="0030678B"/>
    <w:rsid w:val="00310CD7"/>
    <w:rsid w:val="0032136A"/>
    <w:rsid w:val="0032163C"/>
    <w:rsid w:val="00323E70"/>
    <w:rsid w:val="00325BA2"/>
    <w:rsid w:val="00325CEA"/>
    <w:rsid w:val="00326C6C"/>
    <w:rsid w:val="00326F7F"/>
    <w:rsid w:val="00327932"/>
    <w:rsid w:val="003320E8"/>
    <w:rsid w:val="0033410C"/>
    <w:rsid w:val="0033555E"/>
    <w:rsid w:val="00336805"/>
    <w:rsid w:val="00337351"/>
    <w:rsid w:val="00341A54"/>
    <w:rsid w:val="00343CA3"/>
    <w:rsid w:val="0034669F"/>
    <w:rsid w:val="00351498"/>
    <w:rsid w:val="00352B22"/>
    <w:rsid w:val="003567DE"/>
    <w:rsid w:val="0036319E"/>
    <w:rsid w:val="003632A4"/>
    <w:rsid w:val="00363362"/>
    <w:rsid w:val="00370743"/>
    <w:rsid w:val="00370EF5"/>
    <w:rsid w:val="00372251"/>
    <w:rsid w:val="003751C3"/>
    <w:rsid w:val="0037520D"/>
    <w:rsid w:val="0037628C"/>
    <w:rsid w:val="00376B81"/>
    <w:rsid w:val="00377BD2"/>
    <w:rsid w:val="003821E1"/>
    <w:rsid w:val="00384866"/>
    <w:rsid w:val="003857D4"/>
    <w:rsid w:val="00385D6F"/>
    <w:rsid w:val="00387095"/>
    <w:rsid w:val="00390092"/>
    <w:rsid w:val="00392C3F"/>
    <w:rsid w:val="00393651"/>
    <w:rsid w:val="003A41BA"/>
    <w:rsid w:val="003A5596"/>
    <w:rsid w:val="003A6A99"/>
    <w:rsid w:val="003A7FF8"/>
    <w:rsid w:val="003B09BF"/>
    <w:rsid w:val="003B227A"/>
    <w:rsid w:val="003B4EC9"/>
    <w:rsid w:val="003B5053"/>
    <w:rsid w:val="003B5854"/>
    <w:rsid w:val="003B6764"/>
    <w:rsid w:val="003C5C60"/>
    <w:rsid w:val="003D173B"/>
    <w:rsid w:val="003D2BA3"/>
    <w:rsid w:val="003D3C22"/>
    <w:rsid w:val="003D7089"/>
    <w:rsid w:val="003D71B7"/>
    <w:rsid w:val="003D7DDB"/>
    <w:rsid w:val="003E02C7"/>
    <w:rsid w:val="003E0543"/>
    <w:rsid w:val="003E0B5A"/>
    <w:rsid w:val="003E31E3"/>
    <w:rsid w:val="003E46D1"/>
    <w:rsid w:val="003E645C"/>
    <w:rsid w:val="003F0EB9"/>
    <w:rsid w:val="003F55A3"/>
    <w:rsid w:val="003F58B0"/>
    <w:rsid w:val="004007E9"/>
    <w:rsid w:val="00401825"/>
    <w:rsid w:val="00401BBC"/>
    <w:rsid w:val="00403BFB"/>
    <w:rsid w:val="00404B45"/>
    <w:rsid w:val="00406CC5"/>
    <w:rsid w:val="004074A4"/>
    <w:rsid w:val="00407AD4"/>
    <w:rsid w:val="004101B2"/>
    <w:rsid w:val="004123D7"/>
    <w:rsid w:val="00415918"/>
    <w:rsid w:val="004172DB"/>
    <w:rsid w:val="00421485"/>
    <w:rsid w:val="00422B75"/>
    <w:rsid w:val="00433F36"/>
    <w:rsid w:val="0043503A"/>
    <w:rsid w:val="004369CB"/>
    <w:rsid w:val="0044384F"/>
    <w:rsid w:val="00445FB6"/>
    <w:rsid w:val="00446018"/>
    <w:rsid w:val="004543BC"/>
    <w:rsid w:val="00454543"/>
    <w:rsid w:val="0045645D"/>
    <w:rsid w:val="004574C6"/>
    <w:rsid w:val="00457BCF"/>
    <w:rsid w:val="00457DCE"/>
    <w:rsid w:val="00460E3F"/>
    <w:rsid w:val="00461648"/>
    <w:rsid w:val="00462120"/>
    <w:rsid w:val="00467592"/>
    <w:rsid w:val="004718E7"/>
    <w:rsid w:val="004761CC"/>
    <w:rsid w:val="004770F6"/>
    <w:rsid w:val="00480D4A"/>
    <w:rsid w:val="00481DA1"/>
    <w:rsid w:val="0049445D"/>
    <w:rsid w:val="00495350"/>
    <w:rsid w:val="00497156"/>
    <w:rsid w:val="004A24D2"/>
    <w:rsid w:val="004A4136"/>
    <w:rsid w:val="004A417B"/>
    <w:rsid w:val="004A5537"/>
    <w:rsid w:val="004B03F3"/>
    <w:rsid w:val="004B0D89"/>
    <w:rsid w:val="004B2536"/>
    <w:rsid w:val="004B6AF3"/>
    <w:rsid w:val="004B715E"/>
    <w:rsid w:val="004B7169"/>
    <w:rsid w:val="004B79C9"/>
    <w:rsid w:val="004C5E33"/>
    <w:rsid w:val="004C6CDA"/>
    <w:rsid w:val="004D0579"/>
    <w:rsid w:val="004D10D4"/>
    <w:rsid w:val="004D16BD"/>
    <w:rsid w:val="004D6F2B"/>
    <w:rsid w:val="004E0248"/>
    <w:rsid w:val="004E1065"/>
    <w:rsid w:val="004E21A3"/>
    <w:rsid w:val="004E32EA"/>
    <w:rsid w:val="004E6866"/>
    <w:rsid w:val="004F3222"/>
    <w:rsid w:val="004F3364"/>
    <w:rsid w:val="004F3BFA"/>
    <w:rsid w:val="004F5B25"/>
    <w:rsid w:val="00503DA1"/>
    <w:rsid w:val="00510588"/>
    <w:rsid w:val="0051111F"/>
    <w:rsid w:val="0051146C"/>
    <w:rsid w:val="00517590"/>
    <w:rsid w:val="00520A5D"/>
    <w:rsid w:val="005222E7"/>
    <w:rsid w:val="00523E04"/>
    <w:rsid w:val="0052590B"/>
    <w:rsid w:val="00526591"/>
    <w:rsid w:val="00527178"/>
    <w:rsid w:val="0053197D"/>
    <w:rsid w:val="00534205"/>
    <w:rsid w:val="005350A5"/>
    <w:rsid w:val="00535883"/>
    <w:rsid w:val="00536379"/>
    <w:rsid w:val="00537238"/>
    <w:rsid w:val="005400C5"/>
    <w:rsid w:val="00540A30"/>
    <w:rsid w:val="00540BEF"/>
    <w:rsid w:val="00542C9A"/>
    <w:rsid w:val="005436C2"/>
    <w:rsid w:val="00543CA8"/>
    <w:rsid w:val="00544AE5"/>
    <w:rsid w:val="0054586A"/>
    <w:rsid w:val="0054631F"/>
    <w:rsid w:val="0055288D"/>
    <w:rsid w:val="00555259"/>
    <w:rsid w:val="00560D57"/>
    <w:rsid w:val="00562A94"/>
    <w:rsid w:val="00563439"/>
    <w:rsid w:val="00567197"/>
    <w:rsid w:val="005710A9"/>
    <w:rsid w:val="0057500D"/>
    <w:rsid w:val="00593043"/>
    <w:rsid w:val="00595BF0"/>
    <w:rsid w:val="005A258C"/>
    <w:rsid w:val="005A3560"/>
    <w:rsid w:val="005A66F1"/>
    <w:rsid w:val="005A6C99"/>
    <w:rsid w:val="005B011A"/>
    <w:rsid w:val="005B02D4"/>
    <w:rsid w:val="005B1D8F"/>
    <w:rsid w:val="005B1E94"/>
    <w:rsid w:val="005B52F7"/>
    <w:rsid w:val="005B5B3D"/>
    <w:rsid w:val="005C3758"/>
    <w:rsid w:val="005C7377"/>
    <w:rsid w:val="005D7F96"/>
    <w:rsid w:val="005E2474"/>
    <w:rsid w:val="005E3064"/>
    <w:rsid w:val="005F03A1"/>
    <w:rsid w:val="005F1115"/>
    <w:rsid w:val="005F27F2"/>
    <w:rsid w:val="005F424D"/>
    <w:rsid w:val="00603EE9"/>
    <w:rsid w:val="00605AAB"/>
    <w:rsid w:val="00606BEB"/>
    <w:rsid w:val="0061014A"/>
    <w:rsid w:val="00613E26"/>
    <w:rsid w:val="00615641"/>
    <w:rsid w:val="006211D0"/>
    <w:rsid w:val="00624D0C"/>
    <w:rsid w:val="006307BA"/>
    <w:rsid w:val="006315BA"/>
    <w:rsid w:val="006327F2"/>
    <w:rsid w:val="00634C4A"/>
    <w:rsid w:val="0063532E"/>
    <w:rsid w:val="00637BDC"/>
    <w:rsid w:val="006418C9"/>
    <w:rsid w:val="00642BD6"/>
    <w:rsid w:val="00645046"/>
    <w:rsid w:val="00645EA2"/>
    <w:rsid w:val="0065508C"/>
    <w:rsid w:val="006573F2"/>
    <w:rsid w:val="00662F08"/>
    <w:rsid w:val="00663589"/>
    <w:rsid w:val="00670DDC"/>
    <w:rsid w:val="00671EB4"/>
    <w:rsid w:val="006743C1"/>
    <w:rsid w:val="0067443B"/>
    <w:rsid w:val="00684E2B"/>
    <w:rsid w:val="006859D7"/>
    <w:rsid w:val="00690FDA"/>
    <w:rsid w:val="00691AC0"/>
    <w:rsid w:val="00694EEA"/>
    <w:rsid w:val="006955B4"/>
    <w:rsid w:val="00695704"/>
    <w:rsid w:val="00696476"/>
    <w:rsid w:val="006A10FA"/>
    <w:rsid w:val="006A40E6"/>
    <w:rsid w:val="006A5C07"/>
    <w:rsid w:val="006A75FA"/>
    <w:rsid w:val="006A7AF5"/>
    <w:rsid w:val="006B07D5"/>
    <w:rsid w:val="006B1309"/>
    <w:rsid w:val="006B5923"/>
    <w:rsid w:val="006B67D9"/>
    <w:rsid w:val="006B6C14"/>
    <w:rsid w:val="006C1D6E"/>
    <w:rsid w:val="006C1F9C"/>
    <w:rsid w:val="006C3A68"/>
    <w:rsid w:val="006C6AB1"/>
    <w:rsid w:val="006D2D39"/>
    <w:rsid w:val="006D5CE2"/>
    <w:rsid w:val="006E06D1"/>
    <w:rsid w:val="006E1313"/>
    <w:rsid w:val="006E2DC8"/>
    <w:rsid w:val="006E7356"/>
    <w:rsid w:val="006E77C8"/>
    <w:rsid w:val="006F149D"/>
    <w:rsid w:val="006F1A46"/>
    <w:rsid w:val="006F21EF"/>
    <w:rsid w:val="006F3A17"/>
    <w:rsid w:val="006F5A4E"/>
    <w:rsid w:val="0070109B"/>
    <w:rsid w:val="00703B6C"/>
    <w:rsid w:val="00705C40"/>
    <w:rsid w:val="00706482"/>
    <w:rsid w:val="00706BEF"/>
    <w:rsid w:val="007116BC"/>
    <w:rsid w:val="007165CE"/>
    <w:rsid w:val="00720968"/>
    <w:rsid w:val="00721D12"/>
    <w:rsid w:val="00721F8B"/>
    <w:rsid w:val="0073254D"/>
    <w:rsid w:val="00736A49"/>
    <w:rsid w:val="00736B72"/>
    <w:rsid w:val="00741458"/>
    <w:rsid w:val="00743B71"/>
    <w:rsid w:val="00743C2D"/>
    <w:rsid w:val="00743E36"/>
    <w:rsid w:val="007446F7"/>
    <w:rsid w:val="00744EBB"/>
    <w:rsid w:val="00745B0A"/>
    <w:rsid w:val="007468AC"/>
    <w:rsid w:val="00746AE2"/>
    <w:rsid w:val="00750C82"/>
    <w:rsid w:val="0076100C"/>
    <w:rsid w:val="0076246B"/>
    <w:rsid w:val="007651ED"/>
    <w:rsid w:val="0076534A"/>
    <w:rsid w:val="00766A10"/>
    <w:rsid w:val="00766C87"/>
    <w:rsid w:val="00781BD4"/>
    <w:rsid w:val="00784832"/>
    <w:rsid w:val="00785D77"/>
    <w:rsid w:val="00786111"/>
    <w:rsid w:val="00791F1E"/>
    <w:rsid w:val="00794F3D"/>
    <w:rsid w:val="00796685"/>
    <w:rsid w:val="007968AC"/>
    <w:rsid w:val="007969AB"/>
    <w:rsid w:val="007A0B39"/>
    <w:rsid w:val="007A0F87"/>
    <w:rsid w:val="007A14A4"/>
    <w:rsid w:val="007A168F"/>
    <w:rsid w:val="007A28E4"/>
    <w:rsid w:val="007A3BB3"/>
    <w:rsid w:val="007A5AD1"/>
    <w:rsid w:val="007A5B7B"/>
    <w:rsid w:val="007B0A06"/>
    <w:rsid w:val="007B4524"/>
    <w:rsid w:val="007B5111"/>
    <w:rsid w:val="007B5C5C"/>
    <w:rsid w:val="007B6B88"/>
    <w:rsid w:val="007B7B37"/>
    <w:rsid w:val="007B7C41"/>
    <w:rsid w:val="007C433E"/>
    <w:rsid w:val="007C4DB1"/>
    <w:rsid w:val="007C6046"/>
    <w:rsid w:val="007D0292"/>
    <w:rsid w:val="007D21AC"/>
    <w:rsid w:val="007D3B5C"/>
    <w:rsid w:val="007D568A"/>
    <w:rsid w:val="007D574E"/>
    <w:rsid w:val="007D70BF"/>
    <w:rsid w:val="007E1C59"/>
    <w:rsid w:val="007E2046"/>
    <w:rsid w:val="007E3883"/>
    <w:rsid w:val="007E4FBB"/>
    <w:rsid w:val="007E55BF"/>
    <w:rsid w:val="007E71B1"/>
    <w:rsid w:val="007E7B4E"/>
    <w:rsid w:val="007F0CE2"/>
    <w:rsid w:val="007F0EFF"/>
    <w:rsid w:val="007F1375"/>
    <w:rsid w:val="007F5268"/>
    <w:rsid w:val="007F6723"/>
    <w:rsid w:val="00800CC2"/>
    <w:rsid w:val="00803850"/>
    <w:rsid w:val="00804091"/>
    <w:rsid w:val="008056C8"/>
    <w:rsid w:val="00805AFD"/>
    <w:rsid w:val="00811171"/>
    <w:rsid w:val="00811BE0"/>
    <w:rsid w:val="00811D5B"/>
    <w:rsid w:val="008123C8"/>
    <w:rsid w:val="00815557"/>
    <w:rsid w:val="00817713"/>
    <w:rsid w:val="008220F1"/>
    <w:rsid w:val="00827DB6"/>
    <w:rsid w:val="00830999"/>
    <w:rsid w:val="00830D5E"/>
    <w:rsid w:val="00830F69"/>
    <w:rsid w:val="00833418"/>
    <w:rsid w:val="00834458"/>
    <w:rsid w:val="0083551D"/>
    <w:rsid w:val="00835841"/>
    <w:rsid w:val="00837465"/>
    <w:rsid w:val="00841243"/>
    <w:rsid w:val="00841457"/>
    <w:rsid w:val="00841492"/>
    <w:rsid w:val="00841D26"/>
    <w:rsid w:val="0084374E"/>
    <w:rsid w:val="00844842"/>
    <w:rsid w:val="00844DD0"/>
    <w:rsid w:val="008454E7"/>
    <w:rsid w:val="0085206E"/>
    <w:rsid w:val="00852AD4"/>
    <w:rsid w:val="00852BA8"/>
    <w:rsid w:val="00852BCB"/>
    <w:rsid w:val="00853718"/>
    <w:rsid w:val="008541EF"/>
    <w:rsid w:val="00855061"/>
    <w:rsid w:val="00856FA4"/>
    <w:rsid w:val="0086162B"/>
    <w:rsid w:val="00865207"/>
    <w:rsid w:val="008656A7"/>
    <w:rsid w:val="00871262"/>
    <w:rsid w:val="00871D4E"/>
    <w:rsid w:val="00871E7B"/>
    <w:rsid w:val="00874341"/>
    <w:rsid w:val="00875B51"/>
    <w:rsid w:val="00875F2D"/>
    <w:rsid w:val="008764DC"/>
    <w:rsid w:val="00882CC2"/>
    <w:rsid w:val="00883930"/>
    <w:rsid w:val="0088590D"/>
    <w:rsid w:val="00896535"/>
    <w:rsid w:val="00896683"/>
    <w:rsid w:val="00897726"/>
    <w:rsid w:val="00897996"/>
    <w:rsid w:val="008A1B2A"/>
    <w:rsid w:val="008A63A9"/>
    <w:rsid w:val="008B04DB"/>
    <w:rsid w:val="008B2265"/>
    <w:rsid w:val="008B27FD"/>
    <w:rsid w:val="008B3AF2"/>
    <w:rsid w:val="008B515D"/>
    <w:rsid w:val="008B5D31"/>
    <w:rsid w:val="008B6705"/>
    <w:rsid w:val="008C6453"/>
    <w:rsid w:val="008D066C"/>
    <w:rsid w:val="008D795D"/>
    <w:rsid w:val="008D7B07"/>
    <w:rsid w:val="008E19F8"/>
    <w:rsid w:val="008E2D99"/>
    <w:rsid w:val="008E4A60"/>
    <w:rsid w:val="008F1E08"/>
    <w:rsid w:val="008F2C47"/>
    <w:rsid w:val="008F4190"/>
    <w:rsid w:val="00900D8F"/>
    <w:rsid w:val="009014E3"/>
    <w:rsid w:val="009026E8"/>
    <w:rsid w:val="009037D0"/>
    <w:rsid w:val="00906EB7"/>
    <w:rsid w:val="009102BF"/>
    <w:rsid w:val="009115F2"/>
    <w:rsid w:val="00913C6F"/>
    <w:rsid w:val="00914ADB"/>
    <w:rsid w:val="00915F4F"/>
    <w:rsid w:val="00923B25"/>
    <w:rsid w:val="0092402E"/>
    <w:rsid w:val="00926FCB"/>
    <w:rsid w:val="00942645"/>
    <w:rsid w:val="00944877"/>
    <w:rsid w:val="00950A3A"/>
    <w:rsid w:val="0095146E"/>
    <w:rsid w:val="0095340A"/>
    <w:rsid w:val="00954271"/>
    <w:rsid w:val="00954581"/>
    <w:rsid w:val="0095466C"/>
    <w:rsid w:val="00954E5B"/>
    <w:rsid w:val="009576BC"/>
    <w:rsid w:val="00960357"/>
    <w:rsid w:val="0096168C"/>
    <w:rsid w:val="00961840"/>
    <w:rsid w:val="00962444"/>
    <w:rsid w:val="00962F2D"/>
    <w:rsid w:val="009672CD"/>
    <w:rsid w:val="00972996"/>
    <w:rsid w:val="009732B8"/>
    <w:rsid w:val="00975C72"/>
    <w:rsid w:val="00976869"/>
    <w:rsid w:val="00977740"/>
    <w:rsid w:val="00977CB4"/>
    <w:rsid w:val="009809B8"/>
    <w:rsid w:val="0098335E"/>
    <w:rsid w:val="00983737"/>
    <w:rsid w:val="00984F28"/>
    <w:rsid w:val="00985099"/>
    <w:rsid w:val="0099225F"/>
    <w:rsid w:val="0099421F"/>
    <w:rsid w:val="00995B42"/>
    <w:rsid w:val="0099702F"/>
    <w:rsid w:val="009A0DE3"/>
    <w:rsid w:val="009A1643"/>
    <w:rsid w:val="009A215A"/>
    <w:rsid w:val="009A4F1B"/>
    <w:rsid w:val="009A66C5"/>
    <w:rsid w:val="009A79BA"/>
    <w:rsid w:val="009B1534"/>
    <w:rsid w:val="009B4A3B"/>
    <w:rsid w:val="009B69D3"/>
    <w:rsid w:val="009B7BA7"/>
    <w:rsid w:val="009C0938"/>
    <w:rsid w:val="009C22C8"/>
    <w:rsid w:val="009C2CB7"/>
    <w:rsid w:val="009C3F82"/>
    <w:rsid w:val="009C4DC4"/>
    <w:rsid w:val="009C72DD"/>
    <w:rsid w:val="009C7DF5"/>
    <w:rsid w:val="009D056C"/>
    <w:rsid w:val="009D060F"/>
    <w:rsid w:val="009D1ADE"/>
    <w:rsid w:val="009E09D0"/>
    <w:rsid w:val="009E1283"/>
    <w:rsid w:val="009E3A7F"/>
    <w:rsid w:val="009E3DB3"/>
    <w:rsid w:val="009E4DCC"/>
    <w:rsid w:val="009E57B1"/>
    <w:rsid w:val="009F7809"/>
    <w:rsid w:val="009F7AF5"/>
    <w:rsid w:val="00A0037A"/>
    <w:rsid w:val="00A00D14"/>
    <w:rsid w:val="00A01408"/>
    <w:rsid w:val="00A02457"/>
    <w:rsid w:val="00A03190"/>
    <w:rsid w:val="00A03580"/>
    <w:rsid w:val="00A0404B"/>
    <w:rsid w:val="00A07BDD"/>
    <w:rsid w:val="00A1105B"/>
    <w:rsid w:val="00A15B6B"/>
    <w:rsid w:val="00A15EB4"/>
    <w:rsid w:val="00A16876"/>
    <w:rsid w:val="00A200AA"/>
    <w:rsid w:val="00A2186F"/>
    <w:rsid w:val="00A2270B"/>
    <w:rsid w:val="00A23B89"/>
    <w:rsid w:val="00A2496E"/>
    <w:rsid w:val="00A258B7"/>
    <w:rsid w:val="00A32743"/>
    <w:rsid w:val="00A36198"/>
    <w:rsid w:val="00A40942"/>
    <w:rsid w:val="00A414A9"/>
    <w:rsid w:val="00A43474"/>
    <w:rsid w:val="00A44D75"/>
    <w:rsid w:val="00A47CF1"/>
    <w:rsid w:val="00A50418"/>
    <w:rsid w:val="00A54A47"/>
    <w:rsid w:val="00A54B6E"/>
    <w:rsid w:val="00A56D26"/>
    <w:rsid w:val="00A608FB"/>
    <w:rsid w:val="00A60D83"/>
    <w:rsid w:val="00A60F68"/>
    <w:rsid w:val="00A65C78"/>
    <w:rsid w:val="00A67CA6"/>
    <w:rsid w:val="00A70E7B"/>
    <w:rsid w:val="00A73B84"/>
    <w:rsid w:val="00A7411D"/>
    <w:rsid w:val="00A74C98"/>
    <w:rsid w:val="00A76094"/>
    <w:rsid w:val="00A768E2"/>
    <w:rsid w:val="00A82C52"/>
    <w:rsid w:val="00A866BA"/>
    <w:rsid w:val="00A86CB6"/>
    <w:rsid w:val="00A90D55"/>
    <w:rsid w:val="00A959E7"/>
    <w:rsid w:val="00A95BBA"/>
    <w:rsid w:val="00A961EE"/>
    <w:rsid w:val="00AA04B3"/>
    <w:rsid w:val="00AA1C23"/>
    <w:rsid w:val="00AA493E"/>
    <w:rsid w:val="00AA5F00"/>
    <w:rsid w:val="00AA73AF"/>
    <w:rsid w:val="00AB1754"/>
    <w:rsid w:val="00AB27DD"/>
    <w:rsid w:val="00AB4FBA"/>
    <w:rsid w:val="00AB5FE6"/>
    <w:rsid w:val="00AC09D9"/>
    <w:rsid w:val="00AC24DA"/>
    <w:rsid w:val="00AC439D"/>
    <w:rsid w:val="00AC6DBF"/>
    <w:rsid w:val="00AD067E"/>
    <w:rsid w:val="00AD68C5"/>
    <w:rsid w:val="00AD7376"/>
    <w:rsid w:val="00AE0E50"/>
    <w:rsid w:val="00AE1273"/>
    <w:rsid w:val="00AE2D29"/>
    <w:rsid w:val="00AE4624"/>
    <w:rsid w:val="00AE5E14"/>
    <w:rsid w:val="00AE6115"/>
    <w:rsid w:val="00AF2230"/>
    <w:rsid w:val="00AF4FA5"/>
    <w:rsid w:val="00AF5AF0"/>
    <w:rsid w:val="00AF6797"/>
    <w:rsid w:val="00AF75A5"/>
    <w:rsid w:val="00B03BF7"/>
    <w:rsid w:val="00B0793C"/>
    <w:rsid w:val="00B108FD"/>
    <w:rsid w:val="00B11B78"/>
    <w:rsid w:val="00B13A93"/>
    <w:rsid w:val="00B148FC"/>
    <w:rsid w:val="00B14FAA"/>
    <w:rsid w:val="00B15D30"/>
    <w:rsid w:val="00B202A8"/>
    <w:rsid w:val="00B23436"/>
    <w:rsid w:val="00B26C70"/>
    <w:rsid w:val="00B32179"/>
    <w:rsid w:val="00B331A9"/>
    <w:rsid w:val="00B40A3E"/>
    <w:rsid w:val="00B50227"/>
    <w:rsid w:val="00B522CD"/>
    <w:rsid w:val="00B525CF"/>
    <w:rsid w:val="00B53270"/>
    <w:rsid w:val="00B55917"/>
    <w:rsid w:val="00B62005"/>
    <w:rsid w:val="00B64DD6"/>
    <w:rsid w:val="00B71C87"/>
    <w:rsid w:val="00B72303"/>
    <w:rsid w:val="00B82277"/>
    <w:rsid w:val="00B822F1"/>
    <w:rsid w:val="00B91676"/>
    <w:rsid w:val="00B933FB"/>
    <w:rsid w:val="00B95833"/>
    <w:rsid w:val="00BA2D98"/>
    <w:rsid w:val="00BA30D1"/>
    <w:rsid w:val="00BA322B"/>
    <w:rsid w:val="00BA4609"/>
    <w:rsid w:val="00BA5BE2"/>
    <w:rsid w:val="00BA7B4B"/>
    <w:rsid w:val="00BA7F46"/>
    <w:rsid w:val="00BB0A0A"/>
    <w:rsid w:val="00BB10A0"/>
    <w:rsid w:val="00BB45B5"/>
    <w:rsid w:val="00BB6064"/>
    <w:rsid w:val="00BC064F"/>
    <w:rsid w:val="00BC09D1"/>
    <w:rsid w:val="00BC6A23"/>
    <w:rsid w:val="00BD40AB"/>
    <w:rsid w:val="00BD5207"/>
    <w:rsid w:val="00BD6806"/>
    <w:rsid w:val="00BD7433"/>
    <w:rsid w:val="00BD7831"/>
    <w:rsid w:val="00BD7B7F"/>
    <w:rsid w:val="00BD7C10"/>
    <w:rsid w:val="00BE046F"/>
    <w:rsid w:val="00BE0DEB"/>
    <w:rsid w:val="00BE2FC1"/>
    <w:rsid w:val="00BE6365"/>
    <w:rsid w:val="00BF0B7F"/>
    <w:rsid w:val="00BF3E84"/>
    <w:rsid w:val="00BF4720"/>
    <w:rsid w:val="00C038EC"/>
    <w:rsid w:val="00C04EF7"/>
    <w:rsid w:val="00C059AD"/>
    <w:rsid w:val="00C07AAD"/>
    <w:rsid w:val="00C1122B"/>
    <w:rsid w:val="00C13B34"/>
    <w:rsid w:val="00C13F26"/>
    <w:rsid w:val="00C167F0"/>
    <w:rsid w:val="00C16E9F"/>
    <w:rsid w:val="00C1713D"/>
    <w:rsid w:val="00C177F1"/>
    <w:rsid w:val="00C23B73"/>
    <w:rsid w:val="00C25978"/>
    <w:rsid w:val="00C261C6"/>
    <w:rsid w:val="00C30A97"/>
    <w:rsid w:val="00C31DDC"/>
    <w:rsid w:val="00C34326"/>
    <w:rsid w:val="00C36201"/>
    <w:rsid w:val="00C3662A"/>
    <w:rsid w:val="00C368E8"/>
    <w:rsid w:val="00C36C3D"/>
    <w:rsid w:val="00C372C7"/>
    <w:rsid w:val="00C42443"/>
    <w:rsid w:val="00C42CBA"/>
    <w:rsid w:val="00C5019E"/>
    <w:rsid w:val="00C5229D"/>
    <w:rsid w:val="00C53E8A"/>
    <w:rsid w:val="00C54DF3"/>
    <w:rsid w:val="00C5594F"/>
    <w:rsid w:val="00C560A7"/>
    <w:rsid w:val="00C56463"/>
    <w:rsid w:val="00C56FC8"/>
    <w:rsid w:val="00C6011D"/>
    <w:rsid w:val="00C60F23"/>
    <w:rsid w:val="00C62EB2"/>
    <w:rsid w:val="00C71BEC"/>
    <w:rsid w:val="00C74D3A"/>
    <w:rsid w:val="00C80511"/>
    <w:rsid w:val="00C826F5"/>
    <w:rsid w:val="00C83740"/>
    <w:rsid w:val="00C84AD1"/>
    <w:rsid w:val="00C85579"/>
    <w:rsid w:val="00C863E5"/>
    <w:rsid w:val="00C86823"/>
    <w:rsid w:val="00C931FC"/>
    <w:rsid w:val="00C932C5"/>
    <w:rsid w:val="00C940BD"/>
    <w:rsid w:val="00C9650E"/>
    <w:rsid w:val="00C97BE6"/>
    <w:rsid w:val="00CA068D"/>
    <w:rsid w:val="00CA282D"/>
    <w:rsid w:val="00CA4670"/>
    <w:rsid w:val="00CA6B1A"/>
    <w:rsid w:val="00CB1268"/>
    <w:rsid w:val="00CB20DC"/>
    <w:rsid w:val="00CB23DC"/>
    <w:rsid w:val="00CB2487"/>
    <w:rsid w:val="00CB28E2"/>
    <w:rsid w:val="00CB7A3E"/>
    <w:rsid w:val="00CB7FF7"/>
    <w:rsid w:val="00CC093A"/>
    <w:rsid w:val="00CC0D0E"/>
    <w:rsid w:val="00CC19B3"/>
    <w:rsid w:val="00CC2044"/>
    <w:rsid w:val="00CC39D2"/>
    <w:rsid w:val="00CC69EC"/>
    <w:rsid w:val="00CC7B42"/>
    <w:rsid w:val="00CD15BE"/>
    <w:rsid w:val="00CD32BD"/>
    <w:rsid w:val="00CD34C7"/>
    <w:rsid w:val="00CD440F"/>
    <w:rsid w:val="00CD5E6D"/>
    <w:rsid w:val="00CD63C8"/>
    <w:rsid w:val="00CD7182"/>
    <w:rsid w:val="00CE05DA"/>
    <w:rsid w:val="00CE1BF4"/>
    <w:rsid w:val="00CE7E7F"/>
    <w:rsid w:val="00CF158D"/>
    <w:rsid w:val="00CF4394"/>
    <w:rsid w:val="00D10577"/>
    <w:rsid w:val="00D1323B"/>
    <w:rsid w:val="00D14AF8"/>
    <w:rsid w:val="00D14BAE"/>
    <w:rsid w:val="00D1648B"/>
    <w:rsid w:val="00D16819"/>
    <w:rsid w:val="00D16B9C"/>
    <w:rsid w:val="00D208C8"/>
    <w:rsid w:val="00D20AC0"/>
    <w:rsid w:val="00D23BAD"/>
    <w:rsid w:val="00D26873"/>
    <w:rsid w:val="00D270A4"/>
    <w:rsid w:val="00D336C8"/>
    <w:rsid w:val="00D339E8"/>
    <w:rsid w:val="00D4036E"/>
    <w:rsid w:val="00D40B1F"/>
    <w:rsid w:val="00D40D75"/>
    <w:rsid w:val="00D50C8C"/>
    <w:rsid w:val="00D52393"/>
    <w:rsid w:val="00D523E4"/>
    <w:rsid w:val="00D53F14"/>
    <w:rsid w:val="00D54BE4"/>
    <w:rsid w:val="00D60483"/>
    <w:rsid w:val="00D61ABB"/>
    <w:rsid w:val="00D63577"/>
    <w:rsid w:val="00D64128"/>
    <w:rsid w:val="00D650E3"/>
    <w:rsid w:val="00D6769C"/>
    <w:rsid w:val="00D67FD7"/>
    <w:rsid w:val="00D729C0"/>
    <w:rsid w:val="00D74261"/>
    <w:rsid w:val="00D7441B"/>
    <w:rsid w:val="00D76AB2"/>
    <w:rsid w:val="00D80490"/>
    <w:rsid w:val="00D810E0"/>
    <w:rsid w:val="00D829AD"/>
    <w:rsid w:val="00D82EE2"/>
    <w:rsid w:val="00D8545C"/>
    <w:rsid w:val="00D87788"/>
    <w:rsid w:val="00D877C8"/>
    <w:rsid w:val="00D910C2"/>
    <w:rsid w:val="00D9168C"/>
    <w:rsid w:val="00D9189B"/>
    <w:rsid w:val="00D91DA6"/>
    <w:rsid w:val="00D9706F"/>
    <w:rsid w:val="00D972D4"/>
    <w:rsid w:val="00DA195B"/>
    <w:rsid w:val="00DA3F83"/>
    <w:rsid w:val="00DA6938"/>
    <w:rsid w:val="00DB0015"/>
    <w:rsid w:val="00DB2AAD"/>
    <w:rsid w:val="00DB626D"/>
    <w:rsid w:val="00DB6365"/>
    <w:rsid w:val="00DC0BF1"/>
    <w:rsid w:val="00DC41C3"/>
    <w:rsid w:val="00DC44A2"/>
    <w:rsid w:val="00DD3593"/>
    <w:rsid w:val="00DD36B4"/>
    <w:rsid w:val="00DD4F8B"/>
    <w:rsid w:val="00DD51A4"/>
    <w:rsid w:val="00DE0C67"/>
    <w:rsid w:val="00DE2F74"/>
    <w:rsid w:val="00DE6952"/>
    <w:rsid w:val="00DE7E74"/>
    <w:rsid w:val="00DF6E82"/>
    <w:rsid w:val="00DF7CD8"/>
    <w:rsid w:val="00E00A69"/>
    <w:rsid w:val="00E017F0"/>
    <w:rsid w:val="00E01A0E"/>
    <w:rsid w:val="00E041E4"/>
    <w:rsid w:val="00E075D5"/>
    <w:rsid w:val="00E103C8"/>
    <w:rsid w:val="00E1085B"/>
    <w:rsid w:val="00E14581"/>
    <w:rsid w:val="00E15539"/>
    <w:rsid w:val="00E16541"/>
    <w:rsid w:val="00E17F13"/>
    <w:rsid w:val="00E231B4"/>
    <w:rsid w:val="00E2536E"/>
    <w:rsid w:val="00E25B8A"/>
    <w:rsid w:val="00E2632B"/>
    <w:rsid w:val="00E322F7"/>
    <w:rsid w:val="00E3369B"/>
    <w:rsid w:val="00E36D76"/>
    <w:rsid w:val="00E40443"/>
    <w:rsid w:val="00E405EA"/>
    <w:rsid w:val="00E408B7"/>
    <w:rsid w:val="00E42789"/>
    <w:rsid w:val="00E43F59"/>
    <w:rsid w:val="00E464F0"/>
    <w:rsid w:val="00E50BEB"/>
    <w:rsid w:val="00E6092F"/>
    <w:rsid w:val="00E629DA"/>
    <w:rsid w:val="00E6710D"/>
    <w:rsid w:val="00E67FAC"/>
    <w:rsid w:val="00E7200B"/>
    <w:rsid w:val="00E738CB"/>
    <w:rsid w:val="00E73C88"/>
    <w:rsid w:val="00E74437"/>
    <w:rsid w:val="00E81C3E"/>
    <w:rsid w:val="00E82B6D"/>
    <w:rsid w:val="00E8607B"/>
    <w:rsid w:val="00EA1177"/>
    <w:rsid w:val="00EA118B"/>
    <w:rsid w:val="00EA11B6"/>
    <w:rsid w:val="00EA1BD9"/>
    <w:rsid w:val="00EA2181"/>
    <w:rsid w:val="00EA2DD8"/>
    <w:rsid w:val="00EA4475"/>
    <w:rsid w:val="00EA681F"/>
    <w:rsid w:val="00EB3823"/>
    <w:rsid w:val="00EB47D8"/>
    <w:rsid w:val="00EB57D3"/>
    <w:rsid w:val="00EB679F"/>
    <w:rsid w:val="00EB76E4"/>
    <w:rsid w:val="00EC0BB4"/>
    <w:rsid w:val="00EC0E65"/>
    <w:rsid w:val="00EC2938"/>
    <w:rsid w:val="00EC50C9"/>
    <w:rsid w:val="00EC5BB2"/>
    <w:rsid w:val="00ED4773"/>
    <w:rsid w:val="00ED5BC5"/>
    <w:rsid w:val="00ED664B"/>
    <w:rsid w:val="00ED7CE3"/>
    <w:rsid w:val="00EE0B44"/>
    <w:rsid w:val="00EE4445"/>
    <w:rsid w:val="00EE4FEF"/>
    <w:rsid w:val="00EE6B2F"/>
    <w:rsid w:val="00EE6ECF"/>
    <w:rsid w:val="00EE6FE0"/>
    <w:rsid w:val="00EE704A"/>
    <w:rsid w:val="00EE788B"/>
    <w:rsid w:val="00EF4C74"/>
    <w:rsid w:val="00EF5268"/>
    <w:rsid w:val="00EF608E"/>
    <w:rsid w:val="00F0044B"/>
    <w:rsid w:val="00F04957"/>
    <w:rsid w:val="00F05807"/>
    <w:rsid w:val="00F07052"/>
    <w:rsid w:val="00F0706C"/>
    <w:rsid w:val="00F11EBE"/>
    <w:rsid w:val="00F130D0"/>
    <w:rsid w:val="00F14933"/>
    <w:rsid w:val="00F1516A"/>
    <w:rsid w:val="00F17C12"/>
    <w:rsid w:val="00F2217E"/>
    <w:rsid w:val="00F22A26"/>
    <w:rsid w:val="00F24072"/>
    <w:rsid w:val="00F26432"/>
    <w:rsid w:val="00F26B65"/>
    <w:rsid w:val="00F3197A"/>
    <w:rsid w:val="00F32139"/>
    <w:rsid w:val="00F33D56"/>
    <w:rsid w:val="00F34E08"/>
    <w:rsid w:val="00F41D91"/>
    <w:rsid w:val="00F42363"/>
    <w:rsid w:val="00F46461"/>
    <w:rsid w:val="00F46964"/>
    <w:rsid w:val="00F46F9A"/>
    <w:rsid w:val="00F5126A"/>
    <w:rsid w:val="00F63157"/>
    <w:rsid w:val="00F6636A"/>
    <w:rsid w:val="00F67E31"/>
    <w:rsid w:val="00F718A8"/>
    <w:rsid w:val="00F72183"/>
    <w:rsid w:val="00F76D01"/>
    <w:rsid w:val="00F81C35"/>
    <w:rsid w:val="00F82981"/>
    <w:rsid w:val="00F8311F"/>
    <w:rsid w:val="00F83248"/>
    <w:rsid w:val="00F83376"/>
    <w:rsid w:val="00F853AE"/>
    <w:rsid w:val="00F87C0D"/>
    <w:rsid w:val="00F93DCC"/>
    <w:rsid w:val="00F93EB2"/>
    <w:rsid w:val="00F9435D"/>
    <w:rsid w:val="00F97188"/>
    <w:rsid w:val="00FA17F5"/>
    <w:rsid w:val="00FA22FB"/>
    <w:rsid w:val="00FB593A"/>
    <w:rsid w:val="00FB62AA"/>
    <w:rsid w:val="00FB6410"/>
    <w:rsid w:val="00FB6E82"/>
    <w:rsid w:val="00FC2A13"/>
    <w:rsid w:val="00FC4284"/>
    <w:rsid w:val="00FC4576"/>
    <w:rsid w:val="00FC522B"/>
    <w:rsid w:val="00FC7DBC"/>
    <w:rsid w:val="00FD076A"/>
    <w:rsid w:val="00FD0AA0"/>
    <w:rsid w:val="00FD1D5A"/>
    <w:rsid w:val="00FD5059"/>
    <w:rsid w:val="00FD554D"/>
    <w:rsid w:val="00FE4457"/>
    <w:rsid w:val="00FE5914"/>
    <w:rsid w:val="00FF0FF7"/>
    <w:rsid w:val="00FF1438"/>
    <w:rsid w:val="00FF3A38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6C2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FE4457"/>
    <w:pPr>
      <w:jc w:val="center"/>
    </w:pPr>
    <w:rPr>
      <w:rFonts w:ascii="Verdana" w:hAnsi="Verdana"/>
      <w:b/>
      <w:bCs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FE4457"/>
    <w:rPr>
      <w:rFonts w:ascii="Verdana" w:hAnsi="Verdana"/>
      <w:b/>
      <w:bCs/>
      <w:color w:val="800000"/>
      <w:sz w:val="24"/>
      <w:szCs w:val="24"/>
    </w:rPr>
  </w:style>
  <w:style w:type="character" w:styleId="CommentReference">
    <w:name w:val="annotation reference"/>
    <w:basedOn w:val="DefaultParagraphFont"/>
    <w:rsid w:val="00C52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2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229D"/>
    <w:rPr>
      <w:color w:val="008080"/>
    </w:rPr>
  </w:style>
  <w:style w:type="paragraph" w:styleId="CommentSubject">
    <w:name w:val="annotation subject"/>
    <w:basedOn w:val="CommentText"/>
    <w:next w:val="CommentText"/>
    <w:link w:val="CommentSubjectChar"/>
    <w:rsid w:val="00C52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8B4B-6F12-4C12-8D95-19B54B5D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Colleen.Toussaint</cp:lastModifiedBy>
  <cp:revision>2</cp:revision>
  <cp:lastPrinted>2011-02-08T14:07:00Z</cp:lastPrinted>
  <dcterms:created xsi:type="dcterms:W3CDTF">2012-03-07T16:57:00Z</dcterms:created>
  <dcterms:modified xsi:type="dcterms:W3CDTF">2012-03-07T16:57:00Z</dcterms:modified>
</cp:coreProperties>
</file>