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D5" w:rsidRPr="0064589E" w:rsidRDefault="00997BD5" w:rsidP="000E4CF8">
      <w:pPr>
        <w:tabs>
          <w:tab w:val="left" w:pos="288"/>
          <w:tab w:val="left" w:pos="4752"/>
        </w:tabs>
        <w:spacing w:line="240" w:lineRule="exact"/>
        <w:jc w:val="center"/>
        <w:rPr>
          <w:rFonts w:ascii="Calibri" w:hAnsi="Calibri"/>
          <w:color w:val="auto"/>
        </w:rPr>
      </w:pPr>
      <w:r w:rsidRPr="0064589E">
        <w:rPr>
          <w:rFonts w:ascii="Calibri" w:hAnsi="Calibri"/>
          <w:color w:val="auto"/>
        </w:rPr>
        <w:t>RECORD OF PROCEEDINGS</w:t>
      </w:r>
    </w:p>
    <w:p w:rsidR="00997BD5" w:rsidRPr="0064589E" w:rsidRDefault="00997BD5" w:rsidP="000E4CF8">
      <w:pPr>
        <w:tabs>
          <w:tab w:val="left" w:pos="288"/>
          <w:tab w:val="left" w:pos="4752"/>
        </w:tabs>
        <w:spacing w:line="240" w:lineRule="exact"/>
        <w:jc w:val="center"/>
        <w:rPr>
          <w:rFonts w:ascii="Calibri" w:hAnsi="Calibri"/>
          <w:color w:val="auto"/>
        </w:rPr>
      </w:pPr>
      <w:r w:rsidRPr="0064589E">
        <w:rPr>
          <w:rFonts w:ascii="Calibri" w:hAnsi="Calibri"/>
          <w:color w:val="auto"/>
        </w:rPr>
        <w:t>PHYSICAL DISABILITY BOARD OF REVIEW</w:t>
      </w:r>
    </w:p>
    <w:p w:rsidR="00997BD5" w:rsidRPr="0064589E" w:rsidRDefault="00997BD5" w:rsidP="000E4CF8">
      <w:pPr>
        <w:tabs>
          <w:tab w:val="left" w:pos="288"/>
          <w:tab w:val="left" w:pos="4752"/>
        </w:tabs>
        <w:spacing w:line="240" w:lineRule="exact"/>
        <w:jc w:val="both"/>
        <w:rPr>
          <w:rFonts w:ascii="Calibri" w:hAnsi="Calibri"/>
          <w:color w:val="auto"/>
        </w:rPr>
      </w:pPr>
    </w:p>
    <w:p w:rsidR="00997BD5" w:rsidRPr="0064589E" w:rsidRDefault="00997BD5" w:rsidP="000E4CF8">
      <w:pPr>
        <w:tabs>
          <w:tab w:val="left" w:pos="288"/>
          <w:tab w:val="left" w:pos="4752"/>
        </w:tabs>
        <w:spacing w:line="240" w:lineRule="exact"/>
        <w:jc w:val="both"/>
        <w:rPr>
          <w:rFonts w:ascii="Calibri" w:hAnsi="Calibri"/>
          <w:color w:val="auto"/>
        </w:rPr>
      </w:pPr>
      <w:r w:rsidRPr="0064589E">
        <w:rPr>
          <w:rFonts w:ascii="Calibri" w:hAnsi="Calibri"/>
          <w:color w:val="auto"/>
        </w:rPr>
        <w:t xml:space="preserve">NAME: </w:t>
      </w:r>
      <w:r w:rsidR="00F04141">
        <w:rPr>
          <w:rFonts w:ascii="Calibri" w:hAnsi="Calibri"/>
          <w:color w:val="auto"/>
        </w:rPr>
        <w:t>XXXXXX</w:t>
      </w:r>
      <w:r w:rsidRPr="0064589E">
        <w:rPr>
          <w:rFonts w:ascii="Calibri" w:hAnsi="Calibri"/>
          <w:color w:val="auto"/>
        </w:rPr>
        <w:tab/>
      </w:r>
      <w:r w:rsidRPr="0064589E">
        <w:rPr>
          <w:rFonts w:ascii="Calibri" w:hAnsi="Calibri"/>
          <w:color w:val="auto"/>
        </w:rPr>
        <w:tab/>
      </w:r>
      <w:r w:rsidR="00AF361F">
        <w:rPr>
          <w:rFonts w:ascii="Calibri" w:hAnsi="Calibri"/>
          <w:color w:val="auto"/>
        </w:rPr>
        <w:t xml:space="preserve">           </w:t>
      </w:r>
      <w:r w:rsidRPr="0064589E">
        <w:rPr>
          <w:rFonts w:ascii="Calibri" w:hAnsi="Calibri"/>
          <w:color w:val="auto"/>
        </w:rPr>
        <w:t xml:space="preserve">BRANCH OF SERVICE: </w:t>
      </w:r>
      <w:r w:rsidR="00814D26">
        <w:rPr>
          <w:rFonts w:ascii="Calibri" w:hAnsi="Calibri"/>
          <w:color w:val="auto"/>
        </w:rPr>
        <w:t xml:space="preserve"> </w:t>
      </w:r>
      <w:r w:rsidRPr="0064589E">
        <w:rPr>
          <w:rFonts w:ascii="Calibri" w:hAnsi="Calibri"/>
          <w:color w:val="auto"/>
        </w:rPr>
        <w:t>MARINE CORPS</w:t>
      </w:r>
    </w:p>
    <w:p w:rsidR="00997BD5" w:rsidRPr="0064589E" w:rsidRDefault="00997BD5" w:rsidP="000E4CF8">
      <w:pPr>
        <w:tabs>
          <w:tab w:val="left" w:pos="288"/>
          <w:tab w:val="left" w:pos="4752"/>
        </w:tabs>
        <w:spacing w:line="240" w:lineRule="exact"/>
        <w:jc w:val="both"/>
        <w:rPr>
          <w:rFonts w:ascii="Calibri" w:hAnsi="Calibri"/>
          <w:color w:val="auto"/>
        </w:rPr>
      </w:pPr>
      <w:r w:rsidRPr="0064589E">
        <w:rPr>
          <w:rFonts w:ascii="Calibri" w:hAnsi="Calibri"/>
          <w:color w:val="auto"/>
        </w:rPr>
        <w:t>CASE NUMBER:  PD0900653</w:t>
      </w:r>
      <w:r w:rsidR="004D612A" w:rsidRPr="0064589E">
        <w:rPr>
          <w:rFonts w:ascii="Calibri" w:hAnsi="Calibri"/>
          <w:color w:val="auto"/>
        </w:rPr>
        <w:tab/>
      </w:r>
      <w:r w:rsidR="004D612A" w:rsidRPr="0064589E">
        <w:rPr>
          <w:rFonts w:ascii="Calibri" w:hAnsi="Calibri"/>
          <w:color w:val="auto"/>
        </w:rPr>
        <w:tab/>
      </w:r>
      <w:r w:rsidR="003E1546">
        <w:rPr>
          <w:rFonts w:ascii="Calibri" w:hAnsi="Calibri"/>
          <w:color w:val="auto"/>
        </w:rPr>
        <w:t xml:space="preserve">          </w:t>
      </w:r>
      <w:r w:rsidR="00925B5C">
        <w:rPr>
          <w:rFonts w:ascii="Calibri" w:hAnsi="Calibri"/>
          <w:color w:val="auto"/>
        </w:rPr>
        <w:t xml:space="preserve"> </w:t>
      </w:r>
      <w:r w:rsidR="004D612A" w:rsidRPr="0064589E">
        <w:rPr>
          <w:rFonts w:ascii="Calibri" w:hAnsi="Calibri"/>
          <w:color w:val="auto"/>
        </w:rPr>
        <w:t xml:space="preserve">SEPARATION DATE: </w:t>
      </w:r>
      <w:r w:rsidR="001326B6">
        <w:rPr>
          <w:rFonts w:ascii="Calibri" w:hAnsi="Calibri"/>
          <w:color w:val="auto"/>
        </w:rPr>
        <w:t xml:space="preserve"> </w:t>
      </w:r>
      <w:r w:rsidR="004D612A" w:rsidRPr="0064589E">
        <w:rPr>
          <w:rFonts w:ascii="Calibri" w:hAnsi="Calibri"/>
          <w:color w:val="auto"/>
        </w:rPr>
        <w:t>20040630</w:t>
      </w:r>
    </w:p>
    <w:p w:rsidR="002566A2" w:rsidRDefault="00997BD5" w:rsidP="000E4CF8">
      <w:pPr>
        <w:tabs>
          <w:tab w:val="left" w:pos="288"/>
          <w:tab w:val="left" w:pos="4752"/>
        </w:tabs>
        <w:spacing w:line="240" w:lineRule="exact"/>
        <w:jc w:val="both"/>
        <w:rPr>
          <w:rFonts w:ascii="Calibri" w:hAnsi="Calibri"/>
          <w:color w:val="auto"/>
        </w:rPr>
      </w:pPr>
      <w:r w:rsidRPr="0064589E">
        <w:rPr>
          <w:rFonts w:ascii="Calibri" w:hAnsi="Calibri"/>
          <w:color w:val="auto"/>
        </w:rPr>
        <w:t xml:space="preserve">BOARD DATE: </w:t>
      </w:r>
      <w:r w:rsidR="00814D26">
        <w:rPr>
          <w:rFonts w:ascii="Calibri" w:hAnsi="Calibri"/>
          <w:color w:val="auto"/>
        </w:rPr>
        <w:t xml:space="preserve"> </w:t>
      </w:r>
      <w:r w:rsidRPr="0064589E">
        <w:rPr>
          <w:rFonts w:ascii="Calibri" w:hAnsi="Calibri"/>
          <w:color w:val="auto"/>
        </w:rPr>
        <w:t>201</w:t>
      </w:r>
      <w:r w:rsidR="00AF361F">
        <w:rPr>
          <w:rFonts w:ascii="Calibri" w:hAnsi="Calibri"/>
          <w:color w:val="auto"/>
        </w:rPr>
        <w:t>1</w:t>
      </w:r>
      <w:r w:rsidR="00AF361F" w:rsidRPr="00A753D4">
        <w:rPr>
          <w:rFonts w:ascii="Calibri" w:hAnsi="Calibri"/>
          <w:color w:val="auto"/>
        </w:rPr>
        <w:t>0330</w:t>
      </w:r>
    </w:p>
    <w:p w:rsidR="006E5BB5" w:rsidRPr="006E5BB5" w:rsidRDefault="006E5BB5" w:rsidP="006E5BB5">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E5BB5" w:rsidRPr="006E5BB5" w:rsidRDefault="006E5BB5" w:rsidP="006E5BB5">
      <w:pPr>
        <w:spacing w:line="240" w:lineRule="exact"/>
        <w:rPr>
          <w:rFonts w:asciiTheme="minorHAnsi" w:hAnsiTheme="minorHAnsi"/>
          <w:b/>
          <w:color w:val="auto"/>
          <w:szCs w:val="24"/>
          <w:u w:val="single"/>
        </w:rPr>
      </w:pPr>
    </w:p>
    <w:p w:rsidR="00725660" w:rsidRPr="00725660" w:rsidRDefault="00811D5B" w:rsidP="00725660">
      <w:pPr>
        <w:tabs>
          <w:tab w:val="left" w:pos="288"/>
          <w:tab w:val="left" w:pos="4752"/>
        </w:tabs>
        <w:spacing w:line="240" w:lineRule="exact"/>
        <w:jc w:val="both"/>
        <w:rPr>
          <w:rFonts w:ascii="Calibri" w:hAnsi="Calibri"/>
          <w:color w:val="auto"/>
          <w:szCs w:val="24"/>
        </w:rPr>
      </w:pPr>
      <w:r w:rsidRPr="003E1546">
        <w:rPr>
          <w:rFonts w:ascii="Calibri" w:hAnsi="Calibri"/>
          <w:color w:val="auto"/>
          <w:u w:val="single"/>
        </w:rPr>
        <w:t>SUMMARY</w:t>
      </w:r>
      <w:r w:rsidR="003D7DDB" w:rsidRPr="003E1546">
        <w:rPr>
          <w:rFonts w:ascii="Calibri" w:hAnsi="Calibri"/>
          <w:color w:val="auto"/>
          <w:u w:val="single"/>
        </w:rPr>
        <w:t xml:space="preserve"> OF CASE</w:t>
      </w:r>
      <w:r w:rsidR="00B522CD" w:rsidRPr="003E1546">
        <w:rPr>
          <w:rFonts w:ascii="Calibri" w:hAnsi="Calibri"/>
          <w:color w:val="auto"/>
        </w:rPr>
        <w:t>:</w:t>
      </w:r>
      <w:r w:rsidR="00BA30D1" w:rsidRPr="003E1546">
        <w:rPr>
          <w:rFonts w:ascii="Calibri" w:hAnsi="Calibri"/>
          <w:color w:val="auto"/>
        </w:rPr>
        <w:t xml:space="preserve"> </w:t>
      </w:r>
      <w:r w:rsidR="00FB6E82" w:rsidRPr="003E1546">
        <w:rPr>
          <w:rFonts w:ascii="Calibri" w:hAnsi="Calibri"/>
          <w:color w:val="auto"/>
        </w:rPr>
        <w:t xml:space="preserve"> </w:t>
      </w:r>
      <w:r w:rsidR="00C22F3C" w:rsidRPr="003E1546">
        <w:rPr>
          <w:rFonts w:ascii="Calibri" w:hAnsi="Calibri"/>
          <w:color w:val="auto"/>
        </w:rPr>
        <w:t>Data extracted from the available evidence of record reflects that this covered individual (CI)</w:t>
      </w:r>
      <w:r w:rsidR="00684E2B" w:rsidRPr="003E1546">
        <w:rPr>
          <w:rFonts w:ascii="Calibri" w:hAnsi="Calibri"/>
          <w:color w:val="auto"/>
          <w:szCs w:val="24"/>
        </w:rPr>
        <w:t xml:space="preserve"> was</w:t>
      </w:r>
      <w:r w:rsidR="00F94A5D" w:rsidRPr="003E1546">
        <w:rPr>
          <w:rFonts w:ascii="Calibri" w:hAnsi="Calibri"/>
          <w:color w:val="auto"/>
          <w:szCs w:val="24"/>
        </w:rPr>
        <w:t xml:space="preserve"> a</w:t>
      </w:r>
      <w:r w:rsidR="001E3315" w:rsidRPr="003E1546">
        <w:rPr>
          <w:rFonts w:ascii="Calibri" w:hAnsi="Calibri"/>
          <w:color w:val="auto"/>
          <w:szCs w:val="24"/>
        </w:rPr>
        <w:t xml:space="preserve">n active duty </w:t>
      </w:r>
      <w:proofErr w:type="spellStart"/>
      <w:r w:rsidR="00AE62C3" w:rsidRPr="003E1546">
        <w:rPr>
          <w:rFonts w:ascii="Calibri" w:hAnsi="Calibri"/>
          <w:color w:val="auto"/>
          <w:szCs w:val="24"/>
        </w:rPr>
        <w:t>P</w:t>
      </w:r>
      <w:r w:rsidR="000E7108">
        <w:rPr>
          <w:rFonts w:ascii="Calibri" w:hAnsi="Calibri"/>
          <w:color w:val="auto"/>
          <w:szCs w:val="24"/>
        </w:rPr>
        <w:t>vt</w:t>
      </w:r>
      <w:proofErr w:type="spellEnd"/>
      <w:r w:rsidR="000E7108">
        <w:rPr>
          <w:rFonts w:ascii="Calibri" w:hAnsi="Calibri"/>
          <w:color w:val="auto"/>
          <w:szCs w:val="24"/>
        </w:rPr>
        <w:t xml:space="preserve"> </w:t>
      </w:r>
      <w:r w:rsidR="00A360F5">
        <w:rPr>
          <w:rFonts w:ascii="Calibri" w:hAnsi="Calibri"/>
          <w:color w:val="auto"/>
          <w:szCs w:val="24"/>
        </w:rPr>
        <w:t>(</w:t>
      </w:r>
      <w:r w:rsidR="00AE62C3" w:rsidRPr="003E1546">
        <w:rPr>
          <w:rFonts w:ascii="Calibri" w:hAnsi="Calibri"/>
          <w:color w:val="auto"/>
          <w:szCs w:val="24"/>
        </w:rPr>
        <w:t>Recruit</w:t>
      </w:r>
      <w:r w:rsidR="00A360F5">
        <w:rPr>
          <w:rFonts w:ascii="Calibri" w:hAnsi="Calibri"/>
          <w:color w:val="auto"/>
          <w:szCs w:val="24"/>
        </w:rPr>
        <w:t>)</w:t>
      </w:r>
      <w:r w:rsidR="00AE62C3" w:rsidRPr="003E1546">
        <w:rPr>
          <w:rFonts w:ascii="Calibri" w:hAnsi="Calibri"/>
          <w:color w:val="auto"/>
          <w:szCs w:val="24"/>
        </w:rPr>
        <w:t xml:space="preserve"> </w:t>
      </w:r>
      <w:r w:rsidR="00684E2B" w:rsidRPr="003E1546">
        <w:rPr>
          <w:rFonts w:ascii="Calibri" w:hAnsi="Calibri"/>
          <w:color w:val="auto"/>
          <w:szCs w:val="24"/>
        </w:rPr>
        <w:t>medically separated</w:t>
      </w:r>
      <w:r w:rsidR="00DE2149" w:rsidRPr="003E1546">
        <w:rPr>
          <w:rFonts w:ascii="Calibri" w:hAnsi="Calibri"/>
          <w:color w:val="auto"/>
          <w:szCs w:val="24"/>
        </w:rPr>
        <w:t xml:space="preserve"> </w:t>
      </w:r>
      <w:r w:rsidR="008C6785">
        <w:rPr>
          <w:rFonts w:ascii="Calibri" w:hAnsi="Calibri"/>
          <w:color w:val="auto"/>
          <w:szCs w:val="24"/>
        </w:rPr>
        <w:t xml:space="preserve">from the Marine Corps </w:t>
      </w:r>
      <w:r w:rsidR="00DE2149" w:rsidRPr="003E1546">
        <w:rPr>
          <w:rFonts w:ascii="Calibri" w:hAnsi="Calibri"/>
          <w:color w:val="auto"/>
          <w:szCs w:val="24"/>
        </w:rPr>
        <w:t>for a</w:t>
      </w:r>
      <w:r w:rsidR="00AE62C3" w:rsidRPr="003E1546">
        <w:rPr>
          <w:rFonts w:ascii="Calibri" w:hAnsi="Calibri"/>
          <w:color w:val="auto"/>
          <w:szCs w:val="24"/>
        </w:rPr>
        <w:t xml:space="preserve">nterior </w:t>
      </w:r>
      <w:r w:rsidR="00DE2149" w:rsidRPr="003E1546">
        <w:rPr>
          <w:rFonts w:ascii="Calibri" w:hAnsi="Calibri"/>
          <w:color w:val="auto"/>
          <w:szCs w:val="24"/>
        </w:rPr>
        <w:t>c</w:t>
      </w:r>
      <w:r w:rsidR="00AE62C3" w:rsidRPr="003E1546">
        <w:rPr>
          <w:rFonts w:ascii="Calibri" w:hAnsi="Calibri"/>
          <w:color w:val="auto"/>
          <w:szCs w:val="24"/>
        </w:rPr>
        <w:t xml:space="preserve">ruciate </w:t>
      </w:r>
      <w:r w:rsidR="00DE2149" w:rsidRPr="003E1546">
        <w:rPr>
          <w:rFonts w:ascii="Calibri" w:hAnsi="Calibri"/>
          <w:color w:val="auto"/>
          <w:szCs w:val="24"/>
        </w:rPr>
        <w:t>l</w:t>
      </w:r>
      <w:r w:rsidR="00AE62C3" w:rsidRPr="003E1546">
        <w:rPr>
          <w:rFonts w:ascii="Calibri" w:hAnsi="Calibri"/>
          <w:color w:val="auto"/>
          <w:szCs w:val="24"/>
        </w:rPr>
        <w:t xml:space="preserve">igament </w:t>
      </w:r>
      <w:r w:rsidR="0077796F" w:rsidRPr="003E1546">
        <w:rPr>
          <w:rFonts w:ascii="Calibri" w:hAnsi="Calibri"/>
          <w:color w:val="auto"/>
          <w:szCs w:val="24"/>
        </w:rPr>
        <w:t xml:space="preserve">(ACL) </w:t>
      </w:r>
      <w:r w:rsidR="00DE2149" w:rsidRPr="003E1546">
        <w:rPr>
          <w:rFonts w:ascii="Calibri" w:hAnsi="Calibri"/>
          <w:color w:val="auto"/>
          <w:szCs w:val="24"/>
        </w:rPr>
        <w:t>d</w:t>
      </w:r>
      <w:r w:rsidR="00AE62C3" w:rsidRPr="003E1546">
        <w:rPr>
          <w:rFonts w:ascii="Calibri" w:hAnsi="Calibri"/>
          <w:color w:val="auto"/>
          <w:szCs w:val="24"/>
        </w:rPr>
        <w:t>eficien</w:t>
      </w:r>
      <w:r w:rsidR="00AA1743">
        <w:rPr>
          <w:rFonts w:ascii="Calibri" w:hAnsi="Calibri"/>
          <w:color w:val="auto"/>
          <w:szCs w:val="24"/>
        </w:rPr>
        <w:t>cy of the</w:t>
      </w:r>
      <w:r w:rsidR="0077796F" w:rsidRPr="003E1546">
        <w:rPr>
          <w:rFonts w:ascii="Calibri" w:hAnsi="Calibri"/>
          <w:color w:val="auto"/>
          <w:szCs w:val="24"/>
        </w:rPr>
        <w:t xml:space="preserve"> </w:t>
      </w:r>
      <w:r w:rsidR="00DE2149" w:rsidRPr="003E1546">
        <w:rPr>
          <w:rFonts w:ascii="Calibri" w:hAnsi="Calibri"/>
          <w:color w:val="auto"/>
          <w:szCs w:val="24"/>
        </w:rPr>
        <w:t>r</w:t>
      </w:r>
      <w:r w:rsidR="0077796F" w:rsidRPr="003E1546">
        <w:rPr>
          <w:rFonts w:ascii="Calibri" w:hAnsi="Calibri"/>
          <w:color w:val="auto"/>
          <w:szCs w:val="24"/>
        </w:rPr>
        <w:t xml:space="preserve">ight </w:t>
      </w:r>
      <w:r w:rsidR="00DE2149" w:rsidRPr="003E1546">
        <w:rPr>
          <w:rFonts w:ascii="Calibri" w:hAnsi="Calibri"/>
          <w:color w:val="auto"/>
          <w:szCs w:val="24"/>
        </w:rPr>
        <w:t>knee</w:t>
      </w:r>
      <w:r w:rsidR="00725660">
        <w:rPr>
          <w:rFonts w:ascii="Calibri" w:hAnsi="Calibri"/>
          <w:color w:val="auto"/>
          <w:szCs w:val="24"/>
        </w:rPr>
        <w:t xml:space="preserve">.  </w:t>
      </w:r>
      <w:r w:rsidR="002F6C40" w:rsidRPr="003E1546">
        <w:rPr>
          <w:rFonts w:ascii="Calibri" w:hAnsi="Calibri"/>
          <w:color w:val="auto"/>
          <w:szCs w:val="24"/>
        </w:rPr>
        <w:t>He did not respond adequately to treatment</w:t>
      </w:r>
      <w:r w:rsidR="007A789A">
        <w:rPr>
          <w:rFonts w:ascii="Calibri" w:hAnsi="Calibri"/>
          <w:color w:val="auto"/>
          <w:szCs w:val="24"/>
        </w:rPr>
        <w:t xml:space="preserve"> </w:t>
      </w:r>
      <w:r w:rsidR="00AA1743">
        <w:rPr>
          <w:rFonts w:ascii="Calibri" w:hAnsi="Calibri"/>
          <w:color w:val="auto"/>
          <w:szCs w:val="24"/>
        </w:rPr>
        <w:t>(</w:t>
      </w:r>
      <w:r w:rsidR="007A789A">
        <w:rPr>
          <w:rFonts w:ascii="Calibri" w:hAnsi="Calibri"/>
          <w:color w:val="auto"/>
          <w:szCs w:val="24"/>
        </w:rPr>
        <w:t>which included surg</w:t>
      </w:r>
      <w:r w:rsidR="00301BF7">
        <w:rPr>
          <w:rFonts w:ascii="Calibri" w:hAnsi="Calibri"/>
          <w:color w:val="auto"/>
          <w:szCs w:val="24"/>
        </w:rPr>
        <w:t>ery</w:t>
      </w:r>
      <w:r w:rsidR="00AA1743">
        <w:rPr>
          <w:rFonts w:ascii="Calibri" w:hAnsi="Calibri"/>
          <w:color w:val="auto"/>
          <w:szCs w:val="24"/>
        </w:rPr>
        <w:t>)</w:t>
      </w:r>
      <w:r w:rsidR="002F6C40" w:rsidRPr="003E1546">
        <w:rPr>
          <w:rFonts w:ascii="Calibri" w:hAnsi="Calibri"/>
          <w:color w:val="auto"/>
          <w:szCs w:val="24"/>
        </w:rPr>
        <w:t xml:space="preserve"> and was unable </w:t>
      </w:r>
      <w:r w:rsidR="00301BF7">
        <w:rPr>
          <w:rFonts w:ascii="Calibri" w:hAnsi="Calibri"/>
          <w:color w:val="auto"/>
          <w:szCs w:val="24"/>
        </w:rPr>
        <w:t xml:space="preserve">to </w:t>
      </w:r>
      <w:r w:rsidR="00725660">
        <w:rPr>
          <w:rFonts w:ascii="Calibri" w:hAnsi="Calibri"/>
          <w:color w:val="auto"/>
          <w:szCs w:val="24"/>
        </w:rPr>
        <w:t xml:space="preserve">return to training </w:t>
      </w:r>
      <w:r w:rsidR="004B25C0" w:rsidRPr="003E1546">
        <w:rPr>
          <w:rFonts w:ascii="Calibri" w:hAnsi="Calibri"/>
          <w:color w:val="auto"/>
          <w:szCs w:val="24"/>
        </w:rPr>
        <w:t>or meet physical fitness standards</w:t>
      </w:r>
      <w:r w:rsidR="007A789A">
        <w:rPr>
          <w:rFonts w:ascii="Calibri" w:hAnsi="Calibri"/>
          <w:color w:val="auto"/>
          <w:szCs w:val="24"/>
        </w:rPr>
        <w:t xml:space="preserve">.  </w:t>
      </w:r>
      <w:r w:rsidR="00C936F9">
        <w:rPr>
          <w:rFonts w:ascii="Calibri" w:hAnsi="Calibri"/>
          <w:color w:val="auto"/>
          <w:szCs w:val="24"/>
        </w:rPr>
        <w:t>The CI</w:t>
      </w:r>
      <w:r w:rsidR="002F6C40" w:rsidRPr="003E1546">
        <w:rPr>
          <w:rFonts w:ascii="Calibri" w:hAnsi="Calibri"/>
          <w:color w:val="auto"/>
          <w:szCs w:val="24"/>
        </w:rPr>
        <w:t xml:space="preserve"> underwent a Medical Evaluation Board (MEB).</w:t>
      </w:r>
      <w:r w:rsidR="00FE21EB" w:rsidRPr="003E1546">
        <w:rPr>
          <w:rFonts w:ascii="Calibri" w:hAnsi="Calibri"/>
          <w:color w:val="auto"/>
          <w:szCs w:val="24"/>
        </w:rPr>
        <w:t xml:space="preserve">  </w:t>
      </w:r>
      <w:r w:rsidR="00301BF7">
        <w:rPr>
          <w:rFonts w:ascii="Calibri" w:hAnsi="Calibri"/>
          <w:color w:val="auto"/>
          <w:szCs w:val="24"/>
        </w:rPr>
        <w:t xml:space="preserve">His </w:t>
      </w:r>
      <w:r w:rsidR="00426714" w:rsidRPr="003E1546">
        <w:rPr>
          <w:rFonts w:ascii="Calibri" w:hAnsi="Calibri"/>
          <w:color w:val="auto"/>
          <w:szCs w:val="24"/>
        </w:rPr>
        <w:t xml:space="preserve">right knee </w:t>
      </w:r>
      <w:r w:rsidR="00C936F9">
        <w:rPr>
          <w:rFonts w:ascii="Calibri" w:hAnsi="Calibri"/>
          <w:color w:val="auto"/>
          <w:szCs w:val="24"/>
        </w:rPr>
        <w:t>was found to be</w:t>
      </w:r>
      <w:r w:rsidR="0046497F" w:rsidRPr="003E1546">
        <w:rPr>
          <w:rFonts w:ascii="Calibri" w:hAnsi="Calibri"/>
          <w:color w:val="auto"/>
          <w:szCs w:val="24"/>
        </w:rPr>
        <w:t xml:space="preserve"> medically unacceptable IAW SECNAVINST 1850.4E</w:t>
      </w:r>
      <w:r w:rsidR="004B25C0" w:rsidRPr="003E1546">
        <w:rPr>
          <w:rFonts w:ascii="Calibri" w:hAnsi="Calibri"/>
          <w:color w:val="auto"/>
          <w:szCs w:val="24"/>
        </w:rPr>
        <w:t>.</w:t>
      </w:r>
      <w:r w:rsidR="00C936F9">
        <w:rPr>
          <w:rFonts w:ascii="Calibri" w:hAnsi="Calibri"/>
          <w:color w:val="auto"/>
          <w:szCs w:val="24"/>
        </w:rPr>
        <w:t xml:space="preserve">  He was referred to the </w:t>
      </w:r>
      <w:r w:rsidR="00C936F9" w:rsidRPr="003E1546">
        <w:rPr>
          <w:rFonts w:ascii="Calibri" w:hAnsi="Calibri"/>
          <w:color w:val="auto"/>
          <w:szCs w:val="24"/>
        </w:rPr>
        <w:t>Physical Evaluation Board (PEB)</w:t>
      </w:r>
      <w:r w:rsidR="00C936F9">
        <w:rPr>
          <w:rFonts w:ascii="Calibri" w:hAnsi="Calibri"/>
          <w:color w:val="auto"/>
          <w:szCs w:val="24"/>
        </w:rPr>
        <w:t>.</w:t>
      </w:r>
      <w:r w:rsidR="00426714" w:rsidRPr="003E1546">
        <w:rPr>
          <w:rFonts w:ascii="Calibri" w:hAnsi="Calibri"/>
          <w:color w:val="auto"/>
          <w:szCs w:val="24"/>
        </w:rPr>
        <w:t xml:space="preserve">  </w:t>
      </w:r>
      <w:r w:rsidR="0055415C" w:rsidRPr="003E1546">
        <w:rPr>
          <w:rFonts w:ascii="Calibri" w:hAnsi="Calibri"/>
          <w:color w:val="auto"/>
          <w:szCs w:val="24"/>
        </w:rPr>
        <w:t xml:space="preserve">The PEB adjudicated the </w:t>
      </w:r>
      <w:r w:rsidR="00C936F9">
        <w:rPr>
          <w:rFonts w:ascii="Calibri" w:hAnsi="Calibri"/>
          <w:color w:val="auto"/>
          <w:szCs w:val="24"/>
        </w:rPr>
        <w:t>ACL</w:t>
      </w:r>
      <w:r w:rsidR="0055415C" w:rsidRPr="003E1546">
        <w:rPr>
          <w:rFonts w:ascii="Calibri" w:hAnsi="Calibri"/>
          <w:color w:val="auto"/>
          <w:szCs w:val="24"/>
        </w:rPr>
        <w:t xml:space="preserve"> deficient right knee condition as unfitting, </w:t>
      </w:r>
      <w:r w:rsidR="00C936F9">
        <w:rPr>
          <w:rFonts w:ascii="Calibri" w:hAnsi="Calibri"/>
          <w:color w:val="auto"/>
          <w:szCs w:val="24"/>
        </w:rPr>
        <w:t xml:space="preserve">and assigned a disability rating of </w:t>
      </w:r>
      <w:r w:rsidR="0055415C" w:rsidRPr="003E1546">
        <w:rPr>
          <w:rFonts w:ascii="Calibri" w:hAnsi="Calibri"/>
          <w:color w:val="auto"/>
          <w:szCs w:val="24"/>
        </w:rPr>
        <w:t>10%</w:t>
      </w:r>
      <w:r w:rsidR="00C936F9">
        <w:rPr>
          <w:rFonts w:ascii="Calibri" w:hAnsi="Calibri"/>
          <w:color w:val="auto"/>
          <w:szCs w:val="24"/>
        </w:rPr>
        <w:t>.  Four other right knee conditions</w:t>
      </w:r>
      <w:r w:rsidR="00945D4E">
        <w:rPr>
          <w:rFonts w:ascii="Calibri" w:hAnsi="Calibri"/>
          <w:color w:val="auto"/>
          <w:szCs w:val="24"/>
        </w:rPr>
        <w:t xml:space="preserve"> were found to be Category II (related to the unfitting </w:t>
      </w:r>
      <w:r w:rsidR="00AA1743">
        <w:rPr>
          <w:rFonts w:ascii="Calibri" w:hAnsi="Calibri"/>
          <w:color w:val="auto"/>
          <w:szCs w:val="24"/>
        </w:rPr>
        <w:t xml:space="preserve">right knee </w:t>
      </w:r>
      <w:r w:rsidR="00945D4E">
        <w:rPr>
          <w:rFonts w:ascii="Calibri" w:hAnsi="Calibri"/>
          <w:color w:val="auto"/>
          <w:szCs w:val="24"/>
        </w:rPr>
        <w:t xml:space="preserve">condition).  </w:t>
      </w:r>
      <w:r w:rsidR="00710104" w:rsidRPr="00710104">
        <w:rPr>
          <w:rFonts w:ascii="Calibri" w:hAnsi="Calibri"/>
          <w:color w:val="auto"/>
          <w:szCs w:val="24"/>
        </w:rPr>
        <w:t xml:space="preserve">The CI made no appeals, and was medically separated with a </w:t>
      </w:r>
      <w:r w:rsidR="00710104">
        <w:rPr>
          <w:rFonts w:ascii="Calibri" w:hAnsi="Calibri"/>
          <w:color w:val="auto"/>
          <w:szCs w:val="24"/>
        </w:rPr>
        <w:t>10</w:t>
      </w:r>
      <w:r w:rsidR="00710104" w:rsidRPr="00710104">
        <w:rPr>
          <w:rFonts w:ascii="Calibri" w:hAnsi="Calibri"/>
          <w:color w:val="auto"/>
          <w:szCs w:val="24"/>
        </w:rPr>
        <w:t>% combined disability rating.</w:t>
      </w:r>
    </w:p>
    <w:p w:rsidR="00945D4E" w:rsidRPr="006E5BB5" w:rsidRDefault="00945D4E" w:rsidP="00945D4E">
      <w:pPr>
        <w:pBdr>
          <w:bottom w:val="single" w:sz="12" w:space="1" w:color="auto"/>
        </w:pBdr>
        <w:tabs>
          <w:tab w:val="left" w:pos="288"/>
          <w:tab w:val="left" w:pos="4752"/>
        </w:tabs>
        <w:spacing w:line="240" w:lineRule="exact"/>
        <w:jc w:val="both"/>
        <w:rPr>
          <w:rFonts w:asciiTheme="minorHAnsi" w:hAnsiTheme="minorHAnsi"/>
          <w:b/>
          <w:color w:val="auto"/>
          <w:u w:val="single"/>
        </w:rPr>
      </w:pPr>
    </w:p>
    <w:p w:rsidR="00945D4E" w:rsidRPr="006E5BB5" w:rsidRDefault="00945D4E" w:rsidP="00945D4E">
      <w:pPr>
        <w:spacing w:line="240" w:lineRule="exact"/>
        <w:rPr>
          <w:rFonts w:asciiTheme="minorHAnsi" w:hAnsiTheme="minorHAnsi"/>
          <w:b/>
          <w:color w:val="auto"/>
          <w:szCs w:val="24"/>
          <w:u w:val="single"/>
        </w:rPr>
      </w:pPr>
    </w:p>
    <w:p w:rsidR="00945D4E" w:rsidRPr="00945D4E" w:rsidRDefault="001C181A" w:rsidP="000E4CF8">
      <w:pPr>
        <w:tabs>
          <w:tab w:val="left" w:pos="288"/>
          <w:tab w:val="left" w:pos="4752"/>
        </w:tabs>
        <w:spacing w:line="240" w:lineRule="exact"/>
        <w:jc w:val="both"/>
        <w:rPr>
          <w:rFonts w:ascii="Calibri" w:hAnsi="Calibri"/>
          <w:color w:val="auto"/>
          <w:szCs w:val="24"/>
        </w:rPr>
      </w:pPr>
      <w:r w:rsidRPr="0064589E">
        <w:rPr>
          <w:rFonts w:ascii="Calibri" w:hAnsi="Calibri"/>
          <w:color w:val="auto"/>
          <w:szCs w:val="24"/>
          <w:u w:val="single"/>
        </w:rPr>
        <w:t>CI</w:t>
      </w:r>
      <w:r w:rsidR="0064589E">
        <w:rPr>
          <w:rFonts w:ascii="Calibri" w:hAnsi="Calibri"/>
          <w:color w:val="auto"/>
          <w:szCs w:val="24"/>
          <w:u w:val="single"/>
        </w:rPr>
        <w:t>’s</w:t>
      </w:r>
      <w:r w:rsidRPr="0064589E">
        <w:rPr>
          <w:rFonts w:ascii="Calibri" w:hAnsi="Calibri"/>
          <w:color w:val="auto"/>
          <w:szCs w:val="24"/>
          <w:u w:val="single"/>
        </w:rPr>
        <w:t xml:space="preserve"> CONTENTION</w:t>
      </w:r>
      <w:r w:rsidRPr="0064589E">
        <w:rPr>
          <w:rFonts w:ascii="Calibri" w:hAnsi="Calibri"/>
          <w:color w:val="auto"/>
          <w:szCs w:val="24"/>
        </w:rPr>
        <w:t>:</w:t>
      </w:r>
      <w:r w:rsidR="00FB6E82" w:rsidRPr="0064589E">
        <w:rPr>
          <w:rFonts w:ascii="Calibri" w:hAnsi="Calibri"/>
          <w:color w:val="auto"/>
          <w:szCs w:val="24"/>
        </w:rPr>
        <w:t xml:space="preserve">  </w:t>
      </w:r>
      <w:r w:rsidR="00046176">
        <w:rPr>
          <w:rFonts w:ascii="Calibri" w:hAnsi="Calibri"/>
          <w:color w:val="auto"/>
          <w:szCs w:val="24"/>
        </w:rPr>
        <w:t>The CI</w:t>
      </w:r>
      <w:r w:rsidR="00022057" w:rsidRPr="003E1546">
        <w:rPr>
          <w:rFonts w:ascii="Calibri" w:hAnsi="Calibri"/>
          <w:color w:val="auto"/>
          <w:szCs w:val="24"/>
        </w:rPr>
        <w:t xml:space="preserve"> elaborates no specific contentions regarding rating or coding</w:t>
      </w:r>
      <w:r w:rsidR="008C6785">
        <w:rPr>
          <w:rFonts w:ascii="Calibri" w:hAnsi="Calibri"/>
          <w:color w:val="auto"/>
          <w:szCs w:val="24"/>
        </w:rPr>
        <w:t>,</w:t>
      </w:r>
      <w:r w:rsidR="00022057" w:rsidRPr="003E1546">
        <w:rPr>
          <w:rFonts w:ascii="Calibri" w:hAnsi="Calibri"/>
          <w:color w:val="auto"/>
          <w:szCs w:val="24"/>
        </w:rPr>
        <w:t xml:space="preserve"> and mentions no additionally contended conditions.</w:t>
      </w:r>
    </w:p>
    <w:p w:rsidR="00945D4E" w:rsidRPr="006E5BB5" w:rsidRDefault="00945D4E" w:rsidP="00945D4E">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90D55" w:rsidRPr="0064589E" w:rsidRDefault="00A90D55" w:rsidP="000E4CF8">
      <w:pPr>
        <w:tabs>
          <w:tab w:val="left" w:pos="288"/>
          <w:tab w:val="left" w:pos="4752"/>
        </w:tabs>
        <w:spacing w:line="240" w:lineRule="exact"/>
        <w:jc w:val="both"/>
        <w:rPr>
          <w:rFonts w:ascii="Calibri" w:hAnsi="Calibri"/>
          <w:b/>
          <w:color w:val="auto"/>
          <w:szCs w:val="24"/>
        </w:rPr>
      </w:pPr>
    </w:p>
    <w:p w:rsidR="002338CA" w:rsidRPr="00925B5C" w:rsidRDefault="00A90D55" w:rsidP="00925B5C">
      <w:pPr>
        <w:rPr>
          <w:rFonts w:ascii="Calibri" w:hAnsi="Calibri"/>
          <w:color w:val="auto"/>
          <w:szCs w:val="24"/>
          <w:u w:val="single"/>
        </w:rPr>
      </w:pPr>
      <w:r w:rsidRPr="00041156">
        <w:rPr>
          <w:rFonts w:ascii="Calibri" w:hAnsi="Calibri"/>
          <w:color w:val="auto"/>
          <w:szCs w:val="24"/>
          <w:u w:val="single"/>
        </w:rPr>
        <w:t>RATING COMPARISON</w:t>
      </w:r>
      <w:r w:rsidRPr="00041156">
        <w:rPr>
          <w:rFonts w:ascii="Calibri" w:hAnsi="Calibri"/>
          <w:color w:val="auto"/>
          <w:szCs w:val="24"/>
        </w:rPr>
        <w:t>:</w:t>
      </w:r>
    </w:p>
    <w:p w:rsidR="00DA3ED0" w:rsidRPr="00041156" w:rsidRDefault="00DA3ED0" w:rsidP="000E4CF8">
      <w:pPr>
        <w:tabs>
          <w:tab w:val="left" w:pos="288"/>
          <w:tab w:val="left" w:pos="4752"/>
        </w:tabs>
        <w:spacing w:line="240" w:lineRule="exact"/>
        <w:jc w:val="both"/>
        <w:rPr>
          <w:rFonts w:ascii="Calibri" w:hAnsi="Calibri"/>
          <w:color w:val="auto"/>
          <w:szCs w:val="24"/>
        </w:rPr>
      </w:pPr>
    </w:p>
    <w:tbl>
      <w:tblPr>
        <w:tblStyle w:val="TableGrid"/>
        <w:tblW w:w="9630" w:type="dxa"/>
        <w:jc w:val="center"/>
        <w:tblInd w:w="270" w:type="dxa"/>
        <w:tblLayout w:type="fixed"/>
        <w:tblLook w:val="04A0"/>
      </w:tblPr>
      <w:tblGrid>
        <w:gridCol w:w="2205"/>
        <w:gridCol w:w="810"/>
        <w:gridCol w:w="810"/>
        <w:gridCol w:w="990"/>
        <w:gridCol w:w="1845"/>
        <w:gridCol w:w="990"/>
        <w:gridCol w:w="810"/>
        <w:gridCol w:w="1170"/>
      </w:tblGrid>
      <w:tr w:rsidR="00F13683" w:rsidTr="00A908C5">
        <w:trPr>
          <w:trHeight w:val="233"/>
          <w:jc w:val="center"/>
        </w:trPr>
        <w:tc>
          <w:tcPr>
            <w:tcW w:w="4815"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F13683" w:rsidRPr="004E1D7D" w:rsidRDefault="008C6785" w:rsidP="008C6785">
            <w:pPr>
              <w:pStyle w:val="ListParagraph"/>
              <w:spacing w:after="0" w:line="240" w:lineRule="exact"/>
              <w:ind w:left="0"/>
              <w:jc w:val="center"/>
              <w:rPr>
                <w:rFonts w:cs="Times New Roman"/>
                <w:b/>
                <w:sz w:val="20"/>
                <w:szCs w:val="20"/>
              </w:rPr>
            </w:pPr>
            <w:r>
              <w:rPr>
                <w:rFonts w:cs="Times New Roman"/>
                <w:b/>
                <w:sz w:val="20"/>
                <w:szCs w:val="20"/>
              </w:rPr>
              <w:t>Navy</w:t>
            </w:r>
            <w:r w:rsidR="00F13683" w:rsidRPr="004E1D7D">
              <w:rPr>
                <w:rFonts w:cs="Times New Roman"/>
                <w:b/>
                <w:sz w:val="20"/>
                <w:szCs w:val="20"/>
              </w:rPr>
              <w:t xml:space="preserve"> PEB</w:t>
            </w:r>
            <w:r>
              <w:rPr>
                <w:rFonts w:cs="Times New Roman"/>
                <w:b/>
                <w:sz w:val="20"/>
                <w:szCs w:val="20"/>
              </w:rPr>
              <w:t xml:space="preserve"> – dated </w:t>
            </w:r>
            <w:r w:rsidR="00F13683" w:rsidRPr="004E1D7D">
              <w:rPr>
                <w:rFonts w:cs="Times New Roman"/>
                <w:b/>
                <w:sz w:val="20"/>
                <w:szCs w:val="20"/>
              </w:rPr>
              <w:t>20040519</w:t>
            </w:r>
          </w:p>
        </w:tc>
        <w:tc>
          <w:tcPr>
            <w:tcW w:w="4815"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13683" w:rsidRPr="004E1D7D" w:rsidRDefault="00F13683" w:rsidP="00A940BE">
            <w:pPr>
              <w:pStyle w:val="ListParagraph"/>
              <w:spacing w:after="0" w:line="240" w:lineRule="exact"/>
              <w:ind w:left="0"/>
              <w:jc w:val="center"/>
              <w:rPr>
                <w:rFonts w:cs="Times New Roman"/>
                <w:b/>
                <w:sz w:val="20"/>
                <w:szCs w:val="20"/>
              </w:rPr>
            </w:pPr>
            <w:r w:rsidRPr="004E1D7D">
              <w:rPr>
                <w:rFonts w:cs="Times New Roman"/>
                <w:b/>
                <w:sz w:val="20"/>
                <w:szCs w:val="20"/>
              </w:rPr>
              <w:t xml:space="preserve">VA (1 </w:t>
            </w:r>
            <w:r w:rsidR="00A940BE">
              <w:rPr>
                <w:rFonts w:cs="Times New Roman"/>
                <w:b/>
                <w:sz w:val="20"/>
                <w:szCs w:val="20"/>
              </w:rPr>
              <w:t>m</w:t>
            </w:r>
            <w:r w:rsidRPr="004E1D7D">
              <w:rPr>
                <w:rFonts w:cs="Times New Roman"/>
                <w:b/>
                <w:sz w:val="20"/>
                <w:szCs w:val="20"/>
              </w:rPr>
              <w:t>o. after Separation)</w:t>
            </w:r>
            <w:r w:rsidR="004E1D7D" w:rsidRPr="004E1D7D">
              <w:rPr>
                <w:rFonts w:cs="Times New Roman"/>
                <w:b/>
                <w:sz w:val="20"/>
                <w:szCs w:val="20"/>
              </w:rPr>
              <w:t xml:space="preserve"> – Effective Date 200</w:t>
            </w:r>
            <w:r w:rsidR="004E1D7D">
              <w:rPr>
                <w:rFonts w:cs="Times New Roman"/>
                <w:b/>
                <w:sz w:val="20"/>
                <w:szCs w:val="20"/>
              </w:rPr>
              <w:t>40701</w:t>
            </w:r>
          </w:p>
        </w:tc>
      </w:tr>
      <w:tr w:rsidR="00F13683" w:rsidTr="00A908C5">
        <w:trPr>
          <w:trHeight w:val="233"/>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13683" w:rsidRDefault="00F13683" w:rsidP="007714C1">
            <w:pPr>
              <w:pStyle w:val="ListParagraph"/>
              <w:spacing w:after="0" w:line="240" w:lineRule="exact"/>
              <w:ind w:left="0"/>
              <w:jc w:val="center"/>
              <w:rPr>
                <w:rFonts w:cs="Times New Roman"/>
                <w:b/>
                <w:sz w:val="20"/>
                <w:szCs w:val="20"/>
              </w:rPr>
            </w:pPr>
            <w:r>
              <w:rPr>
                <w:rFonts w:cs="Times New Roman"/>
                <w:b/>
                <w:sz w:val="20"/>
                <w:szCs w:val="20"/>
              </w:rPr>
              <w:t>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13683" w:rsidRDefault="00F13683" w:rsidP="00177FC0">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13683" w:rsidRPr="004E1D7D" w:rsidRDefault="00F13683" w:rsidP="00177FC0">
            <w:pPr>
              <w:pStyle w:val="ListParagraph"/>
              <w:spacing w:after="0" w:line="240" w:lineRule="exact"/>
              <w:ind w:left="0"/>
              <w:jc w:val="center"/>
              <w:rPr>
                <w:rFonts w:cs="Times New Roman"/>
                <w:b/>
                <w:sz w:val="20"/>
                <w:szCs w:val="20"/>
              </w:rPr>
            </w:pPr>
            <w:r w:rsidRPr="004E1D7D">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F13683" w:rsidRPr="004E1D7D" w:rsidRDefault="00F13683" w:rsidP="00177FC0">
            <w:pPr>
              <w:pStyle w:val="ListParagraph"/>
              <w:spacing w:after="0" w:line="240" w:lineRule="exact"/>
              <w:ind w:left="0"/>
              <w:jc w:val="center"/>
              <w:rPr>
                <w:rFonts w:cs="Times New Roman"/>
                <w:b/>
                <w:sz w:val="20"/>
                <w:szCs w:val="20"/>
              </w:rPr>
            </w:pPr>
            <w:r w:rsidRPr="004E1D7D">
              <w:rPr>
                <w:rFonts w:cs="Times New Roman"/>
                <w:b/>
                <w:sz w:val="20"/>
                <w:szCs w:val="20"/>
              </w:rPr>
              <w:t>Date</w:t>
            </w:r>
          </w:p>
        </w:tc>
        <w:tc>
          <w:tcPr>
            <w:tcW w:w="184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13683" w:rsidRPr="004E1D7D" w:rsidRDefault="00F13683" w:rsidP="00177FC0">
            <w:pPr>
              <w:pStyle w:val="ListParagraph"/>
              <w:spacing w:after="0" w:line="240" w:lineRule="exact"/>
              <w:ind w:left="0"/>
              <w:jc w:val="center"/>
              <w:rPr>
                <w:rFonts w:cs="Times New Roman"/>
                <w:b/>
                <w:sz w:val="20"/>
                <w:szCs w:val="20"/>
              </w:rPr>
            </w:pPr>
            <w:r w:rsidRPr="004E1D7D">
              <w:rPr>
                <w:rFonts w:cs="Times New Roman"/>
                <w:b/>
                <w:sz w:val="20"/>
                <w:szCs w:val="20"/>
              </w:rPr>
              <w:t>Condition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13683" w:rsidRPr="004E1D7D" w:rsidRDefault="00F13683" w:rsidP="00177FC0">
            <w:pPr>
              <w:pStyle w:val="ListParagraph"/>
              <w:spacing w:after="0" w:line="240" w:lineRule="exact"/>
              <w:ind w:left="0"/>
              <w:jc w:val="center"/>
              <w:rPr>
                <w:rFonts w:cs="Times New Roman"/>
                <w:b/>
                <w:sz w:val="20"/>
                <w:szCs w:val="20"/>
              </w:rPr>
            </w:pPr>
            <w:r w:rsidRPr="004E1D7D">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13683" w:rsidRPr="004E1D7D" w:rsidRDefault="00F13683" w:rsidP="00177FC0">
            <w:pPr>
              <w:pStyle w:val="ListParagraph"/>
              <w:spacing w:after="0" w:line="240" w:lineRule="exact"/>
              <w:ind w:left="0"/>
              <w:jc w:val="center"/>
              <w:rPr>
                <w:rFonts w:cs="Times New Roman"/>
                <w:b/>
                <w:sz w:val="20"/>
                <w:szCs w:val="20"/>
              </w:rPr>
            </w:pPr>
            <w:r w:rsidRPr="004E1D7D">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13683" w:rsidRPr="004E1D7D" w:rsidRDefault="00F13683" w:rsidP="00177FC0">
            <w:pPr>
              <w:pStyle w:val="ListParagraph"/>
              <w:spacing w:after="0" w:line="240" w:lineRule="exact"/>
              <w:ind w:left="0"/>
              <w:jc w:val="center"/>
              <w:rPr>
                <w:rFonts w:cs="Times New Roman"/>
                <w:b/>
                <w:sz w:val="20"/>
                <w:szCs w:val="20"/>
              </w:rPr>
            </w:pPr>
            <w:r w:rsidRPr="004E1D7D">
              <w:rPr>
                <w:rFonts w:cs="Times New Roman"/>
                <w:b/>
                <w:sz w:val="20"/>
                <w:szCs w:val="20"/>
              </w:rPr>
              <w:t>Exam</w:t>
            </w:r>
          </w:p>
        </w:tc>
      </w:tr>
      <w:tr w:rsidR="00F13683" w:rsidTr="00A908C5">
        <w:trPr>
          <w:trHeight w:val="197"/>
          <w:jc w:val="center"/>
        </w:trPr>
        <w:tc>
          <w:tcPr>
            <w:tcW w:w="2205" w:type="dxa"/>
            <w:tcBorders>
              <w:top w:val="single" w:sz="4" w:space="0" w:color="000000" w:themeColor="text1"/>
              <w:left w:val="single" w:sz="4" w:space="0" w:color="000000" w:themeColor="text1"/>
              <w:right w:val="single" w:sz="4" w:space="0" w:color="000000" w:themeColor="text1"/>
            </w:tcBorders>
            <w:vAlign w:val="center"/>
            <w:hideMark/>
          </w:tcPr>
          <w:p w:rsidR="00F13683" w:rsidRPr="00D820A5" w:rsidRDefault="00F13683" w:rsidP="00A940BE">
            <w:pPr>
              <w:pStyle w:val="ListParagraph"/>
              <w:spacing w:after="0" w:line="240" w:lineRule="exact"/>
              <w:ind w:left="0"/>
              <w:rPr>
                <w:rFonts w:cs="Times New Roman"/>
                <w:sz w:val="18"/>
                <w:szCs w:val="18"/>
                <w:highlight w:val="yellow"/>
              </w:rPr>
            </w:pPr>
            <w:r>
              <w:rPr>
                <w:sz w:val="18"/>
                <w:szCs w:val="18"/>
              </w:rPr>
              <w:t xml:space="preserve">Chronic ACL </w:t>
            </w:r>
            <w:r w:rsidR="00A940BE">
              <w:rPr>
                <w:sz w:val="18"/>
                <w:szCs w:val="18"/>
              </w:rPr>
              <w:t xml:space="preserve">Deficiency, </w:t>
            </w:r>
            <w:r>
              <w:rPr>
                <w:sz w:val="18"/>
                <w:szCs w:val="18"/>
              </w:rPr>
              <w:t>Right Knee</w:t>
            </w:r>
          </w:p>
        </w:tc>
        <w:tc>
          <w:tcPr>
            <w:tcW w:w="810" w:type="dxa"/>
            <w:tcBorders>
              <w:top w:val="single" w:sz="4" w:space="0" w:color="000000" w:themeColor="text1"/>
              <w:left w:val="single" w:sz="4" w:space="0" w:color="000000" w:themeColor="text1"/>
              <w:right w:val="single" w:sz="4" w:space="0" w:color="000000" w:themeColor="text1"/>
            </w:tcBorders>
            <w:vAlign w:val="center"/>
            <w:hideMark/>
          </w:tcPr>
          <w:p w:rsidR="00F13683" w:rsidRPr="00D820A5" w:rsidRDefault="00F13683" w:rsidP="006E0253">
            <w:pPr>
              <w:pStyle w:val="ListParagraph"/>
              <w:spacing w:after="0" w:line="240" w:lineRule="exact"/>
              <w:ind w:left="0"/>
              <w:jc w:val="center"/>
              <w:rPr>
                <w:rFonts w:cs="Times New Roman"/>
                <w:sz w:val="18"/>
                <w:szCs w:val="18"/>
                <w:highlight w:val="yellow"/>
              </w:rPr>
            </w:pPr>
            <w:r w:rsidRPr="003B7A56">
              <w:rPr>
                <w:rFonts w:cs="Times New Roman"/>
                <w:sz w:val="18"/>
                <w:szCs w:val="18"/>
              </w:rPr>
              <w:t>5299-5003</w:t>
            </w:r>
          </w:p>
        </w:tc>
        <w:tc>
          <w:tcPr>
            <w:tcW w:w="810" w:type="dxa"/>
            <w:tcBorders>
              <w:top w:val="single" w:sz="4" w:space="0" w:color="000000" w:themeColor="text1"/>
              <w:left w:val="single" w:sz="4" w:space="0" w:color="000000" w:themeColor="text1"/>
              <w:right w:val="single" w:sz="4" w:space="0" w:color="000000" w:themeColor="text1"/>
            </w:tcBorders>
            <w:vAlign w:val="center"/>
            <w:hideMark/>
          </w:tcPr>
          <w:p w:rsidR="00F13683" w:rsidRPr="00D820A5" w:rsidRDefault="00F13683" w:rsidP="006E0253">
            <w:pPr>
              <w:pStyle w:val="ListParagraph"/>
              <w:spacing w:after="0" w:line="240" w:lineRule="exact"/>
              <w:ind w:left="0"/>
              <w:jc w:val="center"/>
              <w:rPr>
                <w:rFonts w:cs="Times New Roman"/>
                <w:sz w:val="18"/>
                <w:szCs w:val="18"/>
                <w:highlight w:val="yellow"/>
              </w:rPr>
            </w:pPr>
            <w:r w:rsidRPr="003B7A56">
              <w:rPr>
                <w:rFonts w:cs="Times New Roman"/>
                <w:sz w:val="18"/>
                <w:szCs w:val="18"/>
              </w:rPr>
              <w:t>10%</w:t>
            </w:r>
          </w:p>
        </w:tc>
        <w:tc>
          <w:tcPr>
            <w:tcW w:w="990" w:type="dxa"/>
            <w:tcBorders>
              <w:top w:val="single" w:sz="4" w:space="0" w:color="000000" w:themeColor="text1"/>
              <w:left w:val="single" w:sz="4" w:space="0" w:color="000000" w:themeColor="text1"/>
              <w:right w:val="thinThickThinSmallGap" w:sz="24" w:space="0" w:color="000000" w:themeColor="text1"/>
            </w:tcBorders>
            <w:vAlign w:val="center"/>
            <w:hideMark/>
          </w:tcPr>
          <w:p w:rsidR="00F13683" w:rsidRPr="00D820A5" w:rsidRDefault="00F13683" w:rsidP="006E0253">
            <w:pPr>
              <w:pStyle w:val="ListParagraph"/>
              <w:tabs>
                <w:tab w:val="left" w:pos="451"/>
              </w:tabs>
              <w:spacing w:after="0" w:line="240" w:lineRule="exact"/>
              <w:ind w:left="0"/>
              <w:jc w:val="center"/>
              <w:rPr>
                <w:rFonts w:cs="Times New Roman"/>
                <w:sz w:val="18"/>
                <w:szCs w:val="18"/>
                <w:highlight w:val="yellow"/>
              </w:rPr>
            </w:pPr>
            <w:r w:rsidRPr="003B7A56">
              <w:rPr>
                <w:rFonts w:cs="Times New Roman"/>
                <w:sz w:val="18"/>
                <w:szCs w:val="18"/>
              </w:rPr>
              <w:t>20040519</w:t>
            </w:r>
          </w:p>
        </w:tc>
        <w:tc>
          <w:tcPr>
            <w:tcW w:w="1845" w:type="dxa"/>
            <w:vMerge w:val="restart"/>
            <w:tcBorders>
              <w:top w:val="single" w:sz="4" w:space="0" w:color="000000" w:themeColor="text1"/>
              <w:left w:val="thinThickThinSmallGap" w:sz="24" w:space="0" w:color="000000" w:themeColor="text1"/>
              <w:right w:val="single" w:sz="4" w:space="0" w:color="000000" w:themeColor="text1"/>
            </w:tcBorders>
            <w:hideMark/>
          </w:tcPr>
          <w:p w:rsidR="00F13683" w:rsidRPr="00B508B6" w:rsidRDefault="00F13683" w:rsidP="00A940BE">
            <w:pPr>
              <w:pStyle w:val="ListParagraph"/>
              <w:spacing w:after="0" w:line="240" w:lineRule="exact"/>
              <w:ind w:left="0"/>
              <w:rPr>
                <w:rFonts w:cs="Times New Roman"/>
                <w:sz w:val="18"/>
                <w:szCs w:val="18"/>
              </w:rPr>
            </w:pPr>
            <w:r w:rsidRPr="00B508B6">
              <w:rPr>
                <w:rFonts w:cs="Times New Roman"/>
                <w:sz w:val="18"/>
                <w:szCs w:val="18"/>
              </w:rPr>
              <w:t>Chondromalacia of the Right Knee</w:t>
            </w:r>
            <w:r w:rsidR="00A940BE">
              <w:rPr>
                <w:rFonts w:cs="Times New Roman"/>
                <w:sz w:val="18"/>
                <w:szCs w:val="18"/>
              </w:rPr>
              <w:t>, with</w:t>
            </w:r>
            <w:r w:rsidRPr="00B508B6">
              <w:rPr>
                <w:rFonts w:cs="Times New Roman"/>
                <w:sz w:val="18"/>
                <w:szCs w:val="18"/>
              </w:rPr>
              <w:t xml:space="preserve"> Postoperative ACL Deficiency and S/P Meniscectomies </w:t>
            </w: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F13683" w:rsidRPr="00B508B6" w:rsidRDefault="00F13683" w:rsidP="00F13683">
            <w:pPr>
              <w:spacing w:line="240" w:lineRule="exact"/>
              <w:jc w:val="center"/>
              <w:rPr>
                <w:rFonts w:eastAsiaTheme="minorEastAsia"/>
                <w:color w:val="auto"/>
                <w:sz w:val="18"/>
                <w:szCs w:val="18"/>
              </w:rPr>
            </w:pPr>
            <w:r w:rsidRPr="00B508B6">
              <w:rPr>
                <w:rFonts w:eastAsiaTheme="minorEastAsia"/>
                <w:color w:val="auto"/>
                <w:sz w:val="18"/>
                <w:szCs w:val="18"/>
              </w:rPr>
              <w:t>5259</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F13683" w:rsidRPr="00C1184E" w:rsidRDefault="00F13683" w:rsidP="00F13683">
            <w:pPr>
              <w:spacing w:line="240" w:lineRule="exact"/>
              <w:jc w:val="center"/>
              <w:rPr>
                <w:rFonts w:eastAsiaTheme="minorEastAsia"/>
                <w:color w:val="auto"/>
                <w:sz w:val="18"/>
                <w:szCs w:val="18"/>
              </w:rPr>
            </w:pPr>
            <w:r w:rsidRPr="00C1184E">
              <w:rPr>
                <w:rFonts w:eastAsiaTheme="minorEastAsia"/>
                <w:color w:val="auto"/>
                <w:sz w:val="18"/>
                <w:szCs w:val="18"/>
              </w:rPr>
              <w:t>10%</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F13683" w:rsidRPr="00F13683" w:rsidRDefault="00F13683" w:rsidP="00F13683">
            <w:pPr>
              <w:spacing w:line="240" w:lineRule="exact"/>
              <w:jc w:val="center"/>
              <w:rPr>
                <w:rFonts w:eastAsiaTheme="minorEastAsia"/>
                <w:color w:val="auto"/>
                <w:sz w:val="18"/>
                <w:szCs w:val="18"/>
              </w:rPr>
            </w:pPr>
            <w:r w:rsidRPr="00F13683">
              <w:rPr>
                <w:rFonts w:eastAsiaTheme="minorEastAsia"/>
                <w:color w:val="auto"/>
                <w:sz w:val="18"/>
                <w:szCs w:val="18"/>
              </w:rPr>
              <w:t>20040802</w:t>
            </w:r>
          </w:p>
        </w:tc>
      </w:tr>
      <w:tr w:rsidR="00F13683" w:rsidTr="00A908C5">
        <w:trPr>
          <w:trHeight w:val="197"/>
          <w:jc w:val="center"/>
        </w:trPr>
        <w:tc>
          <w:tcPr>
            <w:tcW w:w="2205" w:type="dxa"/>
            <w:tcBorders>
              <w:top w:val="single" w:sz="4" w:space="0" w:color="000000" w:themeColor="text1"/>
              <w:left w:val="single" w:sz="4" w:space="0" w:color="000000" w:themeColor="text1"/>
              <w:right w:val="single" w:sz="4" w:space="0" w:color="000000" w:themeColor="text1"/>
            </w:tcBorders>
            <w:hideMark/>
          </w:tcPr>
          <w:p w:rsidR="00F13683" w:rsidRPr="00AB18E5" w:rsidRDefault="00F13683" w:rsidP="00A940BE">
            <w:pPr>
              <w:pStyle w:val="ListParagraph"/>
              <w:spacing w:after="0" w:line="240" w:lineRule="exact"/>
              <w:ind w:left="0"/>
              <w:rPr>
                <w:rFonts w:cs="Times New Roman"/>
                <w:sz w:val="18"/>
                <w:szCs w:val="18"/>
              </w:rPr>
            </w:pPr>
            <w:r w:rsidRPr="00AB18E5">
              <w:rPr>
                <w:sz w:val="18"/>
                <w:szCs w:val="18"/>
              </w:rPr>
              <w:t>Chondromalacia</w:t>
            </w:r>
            <w:r w:rsidR="00A940BE">
              <w:rPr>
                <w:sz w:val="18"/>
                <w:szCs w:val="18"/>
              </w:rPr>
              <w:t xml:space="preserve">, </w:t>
            </w:r>
            <w:r w:rsidRPr="00AB18E5">
              <w:rPr>
                <w:sz w:val="18"/>
                <w:szCs w:val="18"/>
              </w:rPr>
              <w:t xml:space="preserve"> Lateral </w:t>
            </w:r>
          </w:p>
        </w:tc>
        <w:tc>
          <w:tcPr>
            <w:tcW w:w="2610" w:type="dxa"/>
            <w:gridSpan w:val="3"/>
            <w:tcBorders>
              <w:top w:val="single" w:sz="4" w:space="0" w:color="000000" w:themeColor="text1"/>
              <w:left w:val="single" w:sz="4" w:space="0" w:color="000000" w:themeColor="text1"/>
              <w:right w:val="thinThickThinSmallGap" w:sz="24" w:space="0" w:color="000000" w:themeColor="text1"/>
            </w:tcBorders>
            <w:vAlign w:val="center"/>
            <w:hideMark/>
          </w:tcPr>
          <w:p w:rsidR="00F13683" w:rsidRPr="00AB18E5" w:rsidRDefault="00F13683" w:rsidP="006E0253">
            <w:pPr>
              <w:pStyle w:val="ListParagraph"/>
              <w:tabs>
                <w:tab w:val="left" w:pos="451"/>
              </w:tabs>
              <w:spacing w:after="0" w:line="240" w:lineRule="exact"/>
              <w:ind w:left="0"/>
              <w:jc w:val="center"/>
              <w:rPr>
                <w:rFonts w:cs="Times New Roman"/>
                <w:sz w:val="18"/>
                <w:szCs w:val="18"/>
              </w:rPr>
            </w:pPr>
            <w:r w:rsidRPr="00AB18E5">
              <w:rPr>
                <w:rFonts w:cs="Times New Roman"/>
                <w:sz w:val="18"/>
                <w:szCs w:val="18"/>
              </w:rPr>
              <w:t>C</w:t>
            </w:r>
            <w:r>
              <w:rPr>
                <w:rFonts w:cs="Times New Roman"/>
                <w:sz w:val="18"/>
                <w:szCs w:val="18"/>
              </w:rPr>
              <w:t>at</w:t>
            </w:r>
            <w:r w:rsidR="00A940BE">
              <w:rPr>
                <w:rFonts w:cs="Times New Roman"/>
                <w:sz w:val="18"/>
                <w:szCs w:val="18"/>
              </w:rPr>
              <w:t>egory</w:t>
            </w:r>
            <w:r>
              <w:rPr>
                <w:rFonts w:cs="Times New Roman"/>
                <w:sz w:val="18"/>
                <w:szCs w:val="18"/>
              </w:rPr>
              <w:t xml:space="preserve"> II</w:t>
            </w:r>
          </w:p>
        </w:tc>
        <w:tc>
          <w:tcPr>
            <w:tcW w:w="1845" w:type="dxa"/>
            <w:vMerge/>
            <w:tcBorders>
              <w:left w:val="thinThickThinSmallGap" w:sz="24" w:space="0" w:color="000000" w:themeColor="text1"/>
              <w:right w:val="single" w:sz="4" w:space="0" w:color="000000" w:themeColor="text1"/>
            </w:tcBorders>
            <w:hideMark/>
          </w:tcPr>
          <w:p w:rsidR="00F13683" w:rsidRPr="00B508B6" w:rsidRDefault="00F13683" w:rsidP="000E4CF8">
            <w:pPr>
              <w:pStyle w:val="ListParagraph"/>
              <w:spacing w:after="0" w:line="240" w:lineRule="exact"/>
              <w:ind w:left="0"/>
              <w:rPr>
                <w:rFonts w:cs="Times New Roman"/>
                <w:sz w:val="18"/>
                <w:szCs w:val="18"/>
              </w:rPr>
            </w:pPr>
          </w:p>
        </w:tc>
        <w:tc>
          <w:tcPr>
            <w:tcW w:w="990" w:type="dxa"/>
            <w:vMerge/>
            <w:tcBorders>
              <w:left w:val="single" w:sz="4" w:space="0" w:color="000000" w:themeColor="text1"/>
              <w:right w:val="single" w:sz="4" w:space="0" w:color="000000" w:themeColor="text1"/>
            </w:tcBorders>
            <w:hideMark/>
          </w:tcPr>
          <w:p w:rsidR="00F13683" w:rsidRPr="00B508B6" w:rsidRDefault="00F13683" w:rsidP="000E4CF8">
            <w:pPr>
              <w:spacing w:line="240" w:lineRule="exact"/>
              <w:jc w:val="center"/>
              <w:rPr>
                <w:rFonts w:eastAsiaTheme="minorEastAsia"/>
                <w:color w:val="auto"/>
                <w:sz w:val="18"/>
                <w:szCs w:val="18"/>
              </w:rPr>
            </w:pPr>
          </w:p>
        </w:tc>
        <w:tc>
          <w:tcPr>
            <w:tcW w:w="810" w:type="dxa"/>
            <w:vMerge/>
            <w:tcBorders>
              <w:left w:val="single" w:sz="4" w:space="0" w:color="000000" w:themeColor="text1"/>
              <w:right w:val="single" w:sz="4" w:space="0" w:color="000000" w:themeColor="text1"/>
            </w:tcBorders>
            <w:hideMark/>
          </w:tcPr>
          <w:p w:rsidR="00F13683" w:rsidRPr="00C1184E" w:rsidRDefault="00F13683" w:rsidP="000E4CF8">
            <w:pPr>
              <w:spacing w:line="240" w:lineRule="exact"/>
              <w:jc w:val="center"/>
              <w:rPr>
                <w:rFonts w:eastAsiaTheme="minorEastAsia"/>
                <w:color w:val="auto"/>
                <w:sz w:val="18"/>
                <w:szCs w:val="18"/>
              </w:rPr>
            </w:pPr>
          </w:p>
        </w:tc>
        <w:tc>
          <w:tcPr>
            <w:tcW w:w="1170" w:type="dxa"/>
            <w:vMerge/>
            <w:tcBorders>
              <w:left w:val="single" w:sz="4" w:space="0" w:color="000000" w:themeColor="text1"/>
              <w:right w:val="single" w:sz="4" w:space="0" w:color="000000" w:themeColor="text1"/>
            </w:tcBorders>
            <w:hideMark/>
          </w:tcPr>
          <w:p w:rsidR="00F13683" w:rsidRDefault="00F13683" w:rsidP="000E4CF8">
            <w:pPr>
              <w:spacing w:line="240" w:lineRule="exact"/>
              <w:jc w:val="center"/>
              <w:rPr>
                <w:rFonts w:eastAsiaTheme="minorEastAsia"/>
                <w:b/>
                <w:color w:val="auto"/>
                <w:sz w:val="18"/>
                <w:szCs w:val="18"/>
              </w:rPr>
            </w:pPr>
          </w:p>
        </w:tc>
      </w:tr>
      <w:tr w:rsidR="00F13683" w:rsidTr="00A908C5">
        <w:trPr>
          <w:trHeight w:val="197"/>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683" w:rsidRPr="00AB18E5" w:rsidRDefault="00F13683" w:rsidP="00A940BE">
            <w:pPr>
              <w:pStyle w:val="ListParagraph"/>
              <w:spacing w:after="0" w:line="240" w:lineRule="exact"/>
              <w:ind w:left="0"/>
              <w:rPr>
                <w:sz w:val="18"/>
                <w:szCs w:val="18"/>
              </w:rPr>
            </w:pPr>
            <w:r>
              <w:rPr>
                <w:sz w:val="18"/>
                <w:szCs w:val="18"/>
              </w:rPr>
              <w:t xml:space="preserve">Tear </w:t>
            </w:r>
            <w:r w:rsidR="00A940BE">
              <w:rPr>
                <w:sz w:val="18"/>
                <w:szCs w:val="18"/>
              </w:rPr>
              <w:t xml:space="preserve">of </w:t>
            </w:r>
            <w:r>
              <w:rPr>
                <w:sz w:val="18"/>
                <w:szCs w:val="18"/>
              </w:rPr>
              <w:t xml:space="preserve">Medial Meniscus </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F13683" w:rsidRPr="00AB18E5" w:rsidRDefault="00A16670" w:rsidP="00425064">
            <w:pPr>
              <w:pStyle w:val="ListParagraph"/>
              <w:tabs>
                <w:tab w:val="left" w:pos="451"/>
              </w:tabs>
              <w:spacing w:after="0" w:line="240" w:lineRule="exact"/>
              <w:ind w:left="0"/>
              <w:jc w:val="center"/>
              <w:rPr>
                <w:rFonts w:cs="Times New Roman"/>
                <w:sz w:val="18"/>
                <w:szCs w:val="18"/>
              </w:rPr>
            </w:pPr>
            <w:r>
              <w:rPr>
                <w:rFonts w:cs="Times New Roman"/>
                <w:sz w:val="18"/>
                <w:szCs w:val="18"/>
              </w:rPr>
              <w:t>Cat</w:t>
            </w:r>
            <w:r w:rsidR="00A940BE">
              <w:rPr>
                <w:rFonts w:cs="Times New Roman"/>
                <w:sz w:val="18"/>
                <w:szCs w:val="18"/>
              </w:rPr>
              <w:t>egory</w:t>
            </w:r>
            <w:r w:rsidR="00F13683">
              <w:rPr>
                <w:rFonts w:cs="Times New Roman"/>
                <w:sz w:val="18"/>
                <w:szCs w:val="18"/>
              </w:rPr>
              <w:t xml:space="preserve"> II</w:t>
            </w:r>
          </w:p>
        </w:tc>
        <w:tc>
          <w:tcPr>
            <w:tcW w:w="1845" w:type="dxa"/>
            <w:vMerge/>
            <w:tcBorders>
              <w:left w:val="thinThickThinSmallGap" w:sz="24" w:space="0" w:color="000000" w:themeColor="text1"/>
              <w:right w:val="single" w:sz="4" w:space="0" w:color="000000" w:themeColor="text1"/>
            </w:tcBorders>
            <w:hideMark/>
          </w:tcPr>
          <w:p w:rsidR="00F13683" w:rsidRPr="00B508B6" w:rsidRDefault="00F13683" w:rsidP="000E4CF8">
            <w:pPr>
              <w:pStyle w:val="ListParagraph"/>
              <w:spacing w:after="0" w:line="240" w:lineRule="exact"/>
              <w:ind w:left="0"/>
              <w:rPr>
                <w:rFonts w:cs="Times New Roman"/>
                <w:sz w:val="18"/>
                <w:szCs w:val="18"/>
                <w:highlight w:val="yellow"/>
              </w:rPr>
            </w:pPr>
          </w:p>
        </w:tc>
        <w:tc>
          <w:tcPr>
            <w:tcW w:w="990" w:type="dxa"/>
            <w:vMerge/>
            <w:tcBorders>
              <w:left w:val="single" w:sz="4" w:space="0" w:color="000000" w:themeColor="text1"/>
              <w:right w:val="single" w:sz="4" w:space="0" w:color="000000" w:themeColor="text1"/>
            </w:tcBorders>
            <w:hideMark/>
          </w:tcPr>
          <w:p w:rsidR="00F13683" w:rsidRPr="00B508B6" w:rsidRDefault="00F13683" w:rsidP="000E4CF8">
            <w:pPr>
              <w:spacing w:line="240" w:lineRule="exact"/>
              <w:jc w:val="center"/>
              <w:rPr>
                <w:color w:val="auto"/>
                <w:sz w:val="18"/>
                <w:szCs w:val="18"/>
                <w:highlight w:val="yellow"/>
              </w:rPr>
            </w:pPr>
          </w:p>
        </w:tc>
        <w:tc>
          <w:tcPr>
            <w:tcW w:w="810" w:type="dxa"/>
            <w:vMerge/>
            <w:tcBorders>
              <w:left w:val="single" w:sz="4" w:space="0" w:color="000000" w:themeColor="text1"/>
              <w:right w:val="single" w:sz="4" w:space="0" w:color="000000" w:themeColor="text1"/>
            </w:tcBorders>
            <w:hideMark/>
          </w:tcPr>
          <w:p w:rsidR="00F13683" w:rsidRDefault="00F13683" w:rsidP="000E4CF8">
            <w:pPr>
              <w:spacing w:line="240" w:lineRule="exact"/>
              <w:jc w:val="center"/>
              <w:rPr>
                <w:color w:val="auto"/>
                <w:sz w:val="18"/>
                <w:szCs w:val="18"/>
                <w:highlight w:val="yellow"/>
              </w:rPr>
            </w:pPr>
          </w:p>
        </w:tc>
        <w:tc>
          <w:tcPr>
            <w:tcW w:w="1170" w:type="dxa"/>
            <w:vMerge/>
            <w:tcBorders>
              <w:left w:val="single" w:sz="4" w:space="0" w:color="000000" w:themeColor="text1"/>
              <w:right w:val="single" w:sz="4" w:space="0" w:color="000000" w:themeColor="text1"/>
            </w:tcBorders>
            <w:hideMark/>
          </w:tcPr>
          <w:p w:rsidR="00F13683" w:rsidRDefault="00F13683" w:rsidP="000E4CF8">
            <w:pPr>
              <w:spacing w:line="240" w:lineRule="exact"/>
              <w:jc w:val="center"/>
              <w:rPr>
                <w:rFonts w:eastAsiaTheme="minorEastAsia"/>
                <w:b/>
                <w:color w:val="auto"/>
                <w:sz w:val="18"/>
                <w:szCs w:val="18"/>
                <w:highlight w:val="yellow"/>
              </w:rPr>
            </w:pPr>
          </w:p>
        </w:tc>
      </w:tr>
      <w:tr w:rsidR="00F13683" w:rsidTr="00A908C5">
        <w:trPr>
          <w:trHeight w:val="197"/>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683" w:rsidRPr="00AB18E5" w:rsidRDefault="00F13683" w:rsidP="00A940BE">
            <w:pPr>
              <w:pStyle w:val="ListParagraph"/>
              <w:spacing w:after="0" w:line="240" w:lineRule="exact"/>
              <w:ind w:left="0"/>
              <w:rPr>
                <w:sz w:val="18"/>
                <w:szCs w:val="18"/>
              </w:rPr>
            </w:pPr>
            <w:r>
              <w:rPr>
                <w:sz w:val="18"/>
                <w:szCs w:val="18"/>
              </w:rPr>
              <w:t>Tear of Lateral Meniscus</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F13683" w:rsidRPr="00AB18E5" w:rsidRDefault="00A16670" w:rsidP="00CB6DBB">
            <w:pPr>
              <w:pStyle w:val="ListParagraph"/>
              <w:tabs>
                <w:tab w:val="left" w:pos="451"/>
              </w:tabs>
              <w:spacing w:after="0" w:line="240" w:lineRule="exact"/>
              <w:ind w:left="0"/>
              <w:jc w:val="center"/>
              <w:rPr>
                <w:rFonts w:cs="Times New Roman"/>
                <w:sz w:val="18"/>
                <w:szCs w:val="18"/>
              </w:rPr>
            </w:pPr>
            <w:r>
              <w:rPr>
                <w:rFonts w:cs="Times New Roman"/>
                <w:sz w:val="18"/>
                <w:szCs w:val="18"/>
              </w:rPr>
              <w:t>Cat</w:t>
            </w:r>
            <w:r w:rsidR="00A940BE">
              <w:rPr>
                <w:rFonts w:cs="Times New Roman"/>
                <w:sz w:val="18"/>
                <w:szCs w:val="18"/>
              </w:rPr>
              <w:t>egory</w:t>
            </w:r>
            <w:r w:rsidR="00F13683">
              <w:rPr>
                <w:rFonts w:cs="Times New Roman"/>
                <w:sz w:val="18"/>
                <w:szCs w:val="18"/>
              </w:rPr>
              <w:t xml:space="preserve"> II</w:t>
            </w:r>
          </w:p>
        </w:tc>
        <w:tc>
          <w:tcPr>
            <w:tcW w:w="1845" w:type="dxa"/>
            <w:vMerge/>
            <w:tcBorders>
              <w:left w:val="thinThickThinSmallGap" w:sz="24" w:space="0" w:color="000000" w:themeColor="text1"/>
              <w:right w:val="single" w:sz="4" w:space="0" w:color="000000" w:themeColor="text1"/>
            </w:tcBorders>
            <w:hideMark/>
          </w:tcPr>
          <w:p w:rsidR="00F13683" w:rsidRPr="00B508B6" w:rsidRDefault="00F13683" w:rsidP="000E4CF8">
            <w:pPr>
              <w:pStyle w:val="ListParagraph"/>
              <w:spacing w:after="0" w:line="240" w:lineRule="exact"/>
              <w:ind w:left="0"/>
              <w:rPr>
                <w:rFonts w:cs="Times New Roman"/>
                <w:sz w:val="18"/>
                <w:szCs w:val="18"/>
              </w:rPr>
            </w:pPr>
          </w:p>
        </w:tc>
        <w:tc>
          <w:tcPr>
            <w:tcW w:w="990" w:type="dxa"/>
            <w:vMerge/>
            <w:tcBorders>
              <w:left w:val="single" w:sz="4" w:space="0" w:color="000000" w:themeColor="text1"/>
              <w:right w:val="single" w:sz="4" w:space="0" w:color="000000" w:themeColor="text1"/>
            </w:tcBorders>
            <w:hideMark/>
          </w:tcPr>
          <w:p w:rsidR="00F13683" w:rsidRPr="00B508B6" w:rsidRDefault="00F13683" w:rsidP="000E4CF8">
            <w:pPr>
              <w:spacing w:line="240" w:lineRule="exact"/>
              <w:jc w:val="center"/>
              <w:rPr>
                <w:rFonts w:eastAsiaTheme="minorEastAsia"/>
                <w:color w:val="auto"/>
                <w:sz w:val="18"/>
                <w:szCs w:val="18"/>
              </w:rPr>
            </w:pPr>
          </w:p>
        </w:tc>
        <w:tc>
          <w:tcPr>
            <w:tcW w:w="810" w:type="dxa"/>
            <w:vMerge/>
            <w:tcBorders>
              <w:left w:val="single" w:sz="4" w:space="0" w:color="000000" w:themeColor="text1"/>
              <w:right w:val="single" w:sz="4" w:space="0" w:color="000000" w:themeColor="text1"/>
            </w:tcBorders>
            <w:hideMark/>
          </w:tcPr>
          <w:p w:rsidR="00F13683" w:rsidRPr="00671727" w:rsidRDefault="00F13683" w:rsidP="000E4CF8">
            <w:pPr>
              <w:spacing w:line="240" w:lineRule="exact"/>
              <w:jc w:val="center"/>
              <w:rPr>
                <w:rFonts w:eastAsiaTheme="minorEastAsia"/>
                <w:color w:val="auto"/>
                <w:sz w:val="18"/>
                <w:szCs w:val="18"/>
              </w:rPr>
            </w:pPr>
          </w:p>
        </w:tc>
        <w:tc>
          <w:tcPr>
            <w:tcW w:w="1170" w:type="dxa"/>
            <w:vMerge/>
            <w:tcBorders>
              <w:left w:val="single" w:sz="4" w:space="0" w:color="000000" w:themeColor="text1"/>
              <w:right w:val="single" w:sz="4" w:space="0" w:color="000000" w:themeColor="text1"/>
            </w:tcBorders>
            <w:hideMark/>
          </w:tcPr>
          <w:p w:rsidR="00F13683" w:rsidRPr="00C1550B" w:rsidRDefault="00F13683" w:rsidP="000E4CF8">
            <w:pPr>
              <w:spacing w:line="240" w:lineRule="exact"/>
              <w:jc w:val="center"/>
              <w:rPr>
                <w:b/>
                <w:color w:val="auto"/>
                <w:sz w:val="18"/>
                <w:szCs w:val="18"/>
              </w:rPr>
            </w:pPr>
          </w:p>
        </w:tc>
      </w:tr>
      <w:tr w:rsidR="00F13683" w:rsidTr="00A908C5">
        <w:trPr>
          <w:trHeight w:val="197"/>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683" w:rsidRPr="00AB18E5" w:rsidRDefault="00F13683" w:rsidP="00A940BE">
            <w:pPr>
              <w:pStyle w:val="ListParagraph"/>
              <w:spacing w:after="0" w:line="240" w:lineRule="exact"/>
              <w:ind w:left="0"/>
              <w:rPr>
                <w:sz w:val="18"/>
                <w:szCs w:val="18"/>
              </w:rPr>
            </w:pPr>
            <w:r>
              <w:rPr>
                <w:sz w:val="18"/>
                <w:szCs w:val="18"/>
              </w:rPr>
              <w:t>Chondromalacia</w:t>
            </w:r>
            <w:r w:rsidR="00A940BE">
              <w:rPr>
                <w:sz w:val="18"/>
                <w:szCs w:val="18"/>
              </w:rPr>
              <w:t xml:space="preserve">, </w:t>
            </w:r>
            <w:r>
              <w:rPr>
                <w:sz w:val="18"/>
                <w:szCs w:val="18"/>
              </w:rPr>
              <w:t xml:space="preserve">Medial </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F13683" w:rsidRPr="00AB18E5" w:rsidRDefault="00A16670" w:rsidP="009455EF">
            <w:pPr>
              <w:pStyle w:val="ListParagraph"/>
              <w:tabs>
                <w:tab w:val="left" w:pos="451"/>
              </w:tabs>
              <w:spacing w:after="0" w:line="240" w:lineRule="exact"/>
              <w:ind w:left="0"/>
              <w:jc w:val="center"/>
              <w:rPr>
                <w:rFonts w:cs="Times New Roman"/>
                <w:sz w:val="18"/>
                <w:szCs w:val="18"/>
              </w:rPr>
            </w:pPr>
            <w:r>
              <w:rPr>
                <w:rFonts w:cs="Times New Roman"/>
                <w:sz w:val="18"/>
                <w:szCs w:val="18"/>
              </w:rPr>
              <w:t>Cat</w:t>
            </w:r>
            <w:r w:rsidR="00A940BE">
              <w:rPr>
                <w:rFonts w:cs="Times New Roman"/>
                <w:sz w:val="18"/>
                <w:szCs w:val="18"/>
              </w:rPr>
              <w:t>egory</w:t>
            </w:r>
            <w:r w:rsidR="00F13683">
              <w:rPr>
                <w:rFonts w:cs="Times New Roman"/>
                <w:sz w:val="18"/>
                <w:szCs w:val="18"/>
              </w:rPr>
              <w:t xml:space="preserve"> II</w:t>
            </w:r>
          </w:p>
        </w:tc>
        <w:tc>
          <w:tcPr>
            <w:tcW w:w="1845" w:type="dxa"/>
            <w:vMerge/>
            <w:tcBorders>
              <w:left w:val="thinThickThinSmallGap" w:sz="24" w:space="0" w:color="000000" w:themeColor="text1"/>
              <w:bottom w:val="single" w:sz="4" w:space="0" w:color="000000" w:themeColor="text1"/>
              <w:right w:val="single" w:sz="4" w:space="0" w:color="000000" w:themeColor="text1"/>
            </w:tcBorders>
            <w:hideMark/>
          </w:tcPr>
          <w:p w:rsidR="00F13683" w:rsidRPr="00B508B6" w:rsidRDefault="00F13683" w:rsidP="000E4CF8">
            <w:pPr>
              <w:pStyle w:val="ListParagraph"/>
              <w:spacing w:after="0" w:line="240" w:lineRule="exact"/>
              <w:ind w:left="0"/>
              <w:rPr>
                <w:rFonts w:cs="Times New Roman"/>
                <w:sz w:val="18"/>
                <w:szCs w:val="18"/>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F13683" w:rsidRPr="00B508B6" w:rsidRDefault="00F13683" w:rsidP="000E4CF8">
            <w:pPr>
              <w:spacing w:line="240" w:lineRule="exact"/>
              <w:jc w:val="center"/>
              <w:rPr>
                <w:rFonts w:eastAsiaTheme="minorEastAsia"/>
                <w:color w:val="auto"/>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F13683" w:rsidRPr="00671727" w:rsidRDefault="00F13683" w:rsidP="000E4CF8">
            <w:pPr>
              <w:spacing w:line="240" w:lineRule="exact"/>
              <w:jc w:val="center"/>
              <w:rPr>
                <w:rFonts w:eastAsiaTheme="minorEastAsia"/>
                <w:color w:val="auto"/>
                <w:sz w:val="18"/>
                <w:szCs w:val="18"/>
              </w:rPr>
            </w:pPr>
          </w:p>
        </w:tc>
        <w:tc>
          <w:tcPr>
            <w:tcW w:w="1170" w:type="dxa"/>
            <w:vMerge/>
            <w:tcBorders>
              <w:left w:val="single" w:sz="4" w:space="0" w:color="000000" w:themeColor="text1"/>
              <w:bottom w:val="single" w:sz="4" w:space="0" w:color="000000" w:themeColor="text1"/>
              <w:right w:val="single" w:sz="4" w:space="0" w:color="000000" w:themeColor="text1"/>
            </w:tcBorders>
            <w:hideMark/>
          </w:tcPr>
          <w:p w:rsidR="00F13683" w:rsidRPr="00B93213" w:rsidRDefault="00F13683" w:rsidP="000E4CF8">
            <w:pPr>
              <w:spacing w:line="240" w:lineRule="exact"/>
              <w:jc w:val="center"/>
              <w:rPr>
                <w:rFonts w:eastAsiaTheme="minorEastAsia"/>
                <w:b/>
                <w:color w:val="auto"/>
                <w:sz w:val="18"/>
                <w:szCs w:val="18"/>
              </w:rPr>
            </w:pPr>
          </w:p>
        </w:tc>
      </w:tr>
      <w:tr w:rsidR="00F13683" w:rsidTr="00A908C5">
        <w:trPr>
          <w:trHeight w:val="197"/>
          <w:jc w:val="center"/>
        </w:trPr>
        <w:tc>
          <w:tcPr>
            <w:tcW w:w="4815" w:type="dxa"/>
            <w:gridSpan w:val="4"/>
            <w:tcBorders>
              <w:top w:val="single" w:sz="4" w:space="0" w:color="000000" w:themeColor="text1"/>
              <w:left w:val="single" w:sz="4" w:space="0" w:color="000000" w:themeColor="text1"/>
              <w:right w:val="thinThickThinSmallGap" w:sz="24" w:space="0" w:color="000000" w:themeColor="text1"/>
            </w:tcBorders>
            <w:vAlign w:val="center"/>
            <w:hideMark/>
          </w:tcPr>
          <w:p w:rsidR="00F13683" w:rsidRDefault="00F13683" w:rsidP="00FC481B">
            <w:pPr>
              <w:pStyle w:val="ListParagraph"/>
              <w:tabs>
                <w:tab w:val="left" w:pos="451"/>
              </w:tabs>
              <w:spacing w:after="0" w:line="240" w:lineRule="exact"/>
              <w:ind w:left="0"/>
              <w:jc w:val="center"/>
              <w:rPr>
                <w:rFonts w:cs="Times New Roman"/>
                <w:sz w:val="18"/>
                <w:szCs w:val="18"/>
              </w:rPr>
            </w:pPr>
            <w:r w:rsidRPr="0008647B">
              <w:rPr>
                <w:rFonts w:cs="Times New Roman"/>
                <w:sz w:val="18"/>
                <w:szCs w:val="18"/>
              </w:rPr>
              <w:t>↓No Additional MEB</w:t>
            </w:r>
            <w:r w:rsidR="007144B2">
              <w:rPr>
                <w:rFonts w:cs="Times New Roman"/>
                <w:sz w:val="18"/>
                <w:szCs w:val="18"/>
              </w:rPr>
              <w:t>/PEB</w:t>
            </w:r>
            <w:r w:rsidRPr="0008647B">
              <w:rPr>
                <w:rFonts w:cs="Times New Roman"/>
                <w:sz w:val="18"/>
                <w:szCs w:val="18"/>
              </w:rPr>
              <w:t xml:space="preserve"> Entries↓</w:t>
            </w:r>
          </w:p>
        </w:tc>
        <w:tc>
          <w:tcPr>
            <w:tcW w:w="4815" w:type="dxa"/>
            <w:gridSpan w:val="4"/>
            <w:tcBorders>
              <w:left w:val="thinThickThinSmallGap" w:sz="24" w:space="0" w:color="000000" w:themeColor="text1"/>
              <w:bottom w:val="single" w:sz="4" w:space="0" w:color="000000" w:themeColor="text1"/>
              <w:right w:val="single" w:sz="4" w:space="0" w:color="000000" w:themeColor="text1"/>
            </w:tcBorders>
            <w:vAlign w:val="center"/>
            <w:hideMark/>
          </w:tcPr>
          <w:p w:rsidR="00F13683" w:rsidRPr="00B508B6" w:rsidRDefault="00F13683" w:rsidP="007144B2">
            <w:pPr>
              <w:spacing w:line="240" w:lineRule="exact"/>
              <w:jc w:val="center"/>
              <w:rPr>
                <w:color w:val="auto"/>
                <w:sz w:val="18"/>
                <w:szCs w:val="18"/>
              </w:rPr>
            </w:pPr>
            <w:r w:rsidRPr="00B508B6">
              <w:rPr>
                <w:color w:val="auto"/>
                <w:sz w:val="18"/>
                <w:szCs w:val="18"/>
              </w:rPr>
              <w:t xml:space="preserve">0% x </w:t>
            </w:r>
            <w:r>
              <w:rPr>
                <w:color w:val="auto"/>
                <w:sz w:val="18"/>
                <w:szCs w:val="18"/>
              </w:rPr>
              <w:t>1</w:t>
            </w:r>
            <w:r w:rsidR="007144B2">
              <w:rPr>
                <w:color w:val="auto"/>
                <w:sz w:val="18"/>
                <w:szCs w:val="18"/>
              </w:rPr>
              <w:t>/</w:t>
            </w:r>
            <w:r w:rsidRPr="00B508B6">
              <w:rPr>
                <w:color w:val="auto"/>
                <w:sz w:val="18"/>
                <w:szCs w:val="18"/>
              </w:rPr>
              <w:t xml:space="preserve">Not Service Connected x </w:t>
            </w:r>
            <w:r>
              <w:rPr>
                <w:color w:val="auto"/>
                <w:sz w:val="18"/>
                <w:szCs w:val="18"/>
              </w:rPr>
              <w:t>0</w:t>
            </w:r>
          </w:p>
        </w:tc>
      </w:tr>
      <w:tr w:rsidR="002A53FD" w:rsidTr="00A908C5">
        <w:trPr>
          <w:trHeight w:val="197"/>
          <w:jc w:val="center"/>
        </w:trPr>
        <w:tc>
          <w:tcPr>
            <w:tcW w:w="4815" w:type="dxa"/>
            <w:gridSpan w:val="4"/>
            <w:tcBorders>
              <w:top w:val="single" w:sz="4" w:space="0" w:color="000000" w:themeColor="text1"/>
              <w:left w:val="single" w:sz="4" w:space="0" w:color="000000" w:themeColor="text1"/>
              <w:right w:val="thinThickThinSmallGap" w:sz="24" w:space="0" w:color="000000" w:themeColor="text1"/>
            </w:tcBorders>
            <w:shd w:val="clear" w:color="auto" w:fill="D9D9D9" w:themeFill="background1" w:themeFillShade="D9"/>
            <w:vAlign w:val="center"/>
            <w:hideMark/>
          </w:tcPr>
          <w:p w:rsidR="002A53FD" w:rsidRPr="002A53FD" w:rsidRDefault="002A53FD" w:rsidP="002A53FD">
            <w:pPr>
              <w:pStyle w:val="ListParagraph"/>
              <w:tabs>
                <w:tab w:val="left" w:pos="451"/>
              </w:tabs>
              <w:spacing w:after="0" w:line="240" w:lineRule="exact"/>
              <w:ind w:left="0"/>
              <w:jc w:val="center"/>
              <w:rPr>
                <w:rFonts w:cs="Times New Roman"/>
                <w:sz w:val="20"/>
                <w:szCs w:val="20"/>
              </w:rPr>
            </w:pPr>
            <w:r w:rsidRPr="002A53FD">
              <w:rPr>
                <w:rFonts w:cs="Times New Roman"/>
                <w:b/>
                <w:sz w:val="20"/>
                <w:szCs w:val="20"/>
              </w:rPr>
              <w:t>Combined:  10%</w:t>
            </w:r>
          </w:p>
        </w:tc>
        <w:tc>
          <w:tcPr>
            <w:tcW w:w="4815" w:type="dxa"/>
            <w:gridSpan w:val="4"/>
            <w:tcBorders>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2A53FD" w:rsidRPr="002A53FD" w:rsidRDefault="002A53FD" w:rsidP="002A53FD">
            <w:pPr>
              <w:spacing w:line="240" w:lineRule="exact"/>
              <w:jc w:val="center"/>
              <w:rPr>
                <w:b/>
                <w:color w:val="auto"/>
                <w:sz w:val="20"/>
                <w:szCs w:val="20"/>
              </w:rPr>
            </w:pPr>
            <w:r w:rsidRPr="002A53FD">
              <w:rPr>
                <w:b/>
                <w:color w:val="auto"/>
                <w:sz w:val="20"/>
                <w:szCs w:val="20"/>
              </w:rPr>
              <w:t>Combined:  10%</w:t>
            </w:r>
          </w:p>
        </w:tc>
      </w:tr>
    </w:tbl>
    <w:p w:rsidR="00313844" w:rsidRPr="00313844" w:rsidRDefault="00313844" w:rsidP="00313844">
      <w:pPr>
        <w:pBdr>
          <w:bottom w:val="single" w:sz="12" w:space="1" w:color="auto"/>
        </w:pBdr>
        <w:spacing w:line="240" w:lineRule="exact"/>
        <w:rPr>
          <w:rFonts w:asciiTheme="minorHAnsi" w:hAnsiTheme="minorHAnsi"/>
          <w:color w:val="auto"/>
          <w:u w:val="single"/>
        </w:rPr>
      </w:pPr>
    </w:p>
    <w:p w:rsidR="00313844" w:rsidRPr="00313844" w:rsidRDefault="00313844" w:rsidP="00313844">
      <w:pPr>
        <w:spacing w:line="240" w:lineRule="exact"/>
        <w:rPr>
          <w:rFonts w:asciiTheme="minorHAnsi" w:hAnsiTheme="minorHAnsi"/>
          <w:color w:val="auto"/>
          <w:u w:val="single"/>
        </w:rPr>
      </w:pPr>
    </w:p>
    <w:p w:rsidR="009002F2" w:rsidRPr="0064589E" w:rsidRDefault="009002F2" w:rsidP="00FE2055">
      <w:pPr>
        <w:spacing w:line="240" w:lineRule="exact"/>
        <w:jc w:val="both"/>
        <w:rPr>
          <w:rFonts w:asciiTheme="minorHAnsi" w:hAnsiTheme="minorHAnsi"/>
          <w:color w:val="auto"/>
          <w:szCs w:val="24"/>
        </w:rPr>
      </w:pPr>
      <w:r w:rsidRPr="0064589E">
        <w:rPr>
          <w:rFonts w:asciiTheme="minorHAnsi" w:hAnsiTheme="minorHAnsi"/>
          <w:color w:val="auto"/>
          <w:szCs w:val="24"/>
          <w:u w:val="single"/>
        </w:rPr>
        <w:t>ANALYSIS SUMMARY</w:t>
      </w:r>
      <w:r w:rsidRPr="0064589E">
        <w:rPr>
          <w:rFonts w:asciiTheme="minorHAnsi" w:hAnsiTheme="minorHAnsi"/>
          <w:color w:val="auto"/>
          <w:szCs w:val="24"/>
        </w:rPr>
        <w:t>:</w:t>
      </w:r>
    </w:p>
    <w:p w:rsidR="00AF361F" w:rsidRDefault="00AF361F" w:rsidP="00FE2055">
      <w:pPr>
        <w:autoSpaceDE w:val="0"/>
        <w:autoSpaceDN w:val="0"/>
        <w:adjustRightInd w:val="0"/>
        <w:spacing w:line="240" w:lineRule="exact"/>
        <w:jc w:val="both"/>
        <w:rPr>
          <w:rFonts w:asciiTheme="minorHAnsi" w:hAnsiTheme="minorHAnsi"/>
          <w:color w:val="auto"/>
          <w:szCs w:val="24"/>
        </w:rPr>
      </w:pPr>
    </w:p>
    <w:p w:rsidR="000D6CDF" w:rsidRPr="00AA19CE" w:rsidRDefault="00A6057F" w:rsidP="00FE2055">
      <w:pPr>
        <w:autoSpaceDE w:val="0"/>
        <w:autoSpaceDN w:val="0"/>
        <w:adjustRightInd w:val="0"/>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Right </w:t>
      </w:r>
      <w:r w:rsidR="00A908C5">
        <w:rPr>
          <w:rFonts w:asciiTheme="minorHAnsi" w:hAnsiTheme="minorHAnsi"/>
          <w:color w:val="auto"/>
          <w:szCs w:val="24"/>
          <w:u w:val="single"/>
        </w:rPr>
        <w:t>K</w:t>
      </w:r>
      <w:r w:rsidR="00AF361F" w:rsidRPr="00AF361F">
        <w:rPr>
          <w:rFonts w:asciiTheme="minorHAnsi" w:hAnsiTheme="minorHAnsi"/>
          <w:color w:val="auto"/>
          <w:szCs w:val="24"/>
          <w:u w:val="single"/>
        </w:rPr>
        <w:t>nee</w:t>
      </w:r>
      <w:r>
        <w:rPr>
          <w:rFonts w:asciiTheme="minorHAnsi" w:hAnsiTheme="minorHAnsi"/>
          <w:color w:val="auto"/>
          <w:szCs w:val="24"/>
          <w:u w:val="single"/>
        </w:rPr>
        <w:t xml:space="preserve"> Condition</w:t>
      </w:r>
      <w:r w:rsidR="00AF361F">
        <w:rPr>
          <w:rFonts w:asciiTheme="minorHAnsi" w:hAnsiTheme="minorHAnsi"/>
          <w:color w:val="auto"/>
          <w:szCs w:val="24"/>
        </w:rPr>
        <w:t>.</w:t>
      </w:r>
      <w:proofErr w:type="gramEnd"/>
      <w:r w:rsidR="00AF361F">
        <w:rPr>
          <w:rFonts w:asciiTheme="minorHAnsi" w:hAnsiTheme="minorHAnsi"/>
          <w:color w:val="auto"/>
          <w:szCs w:val="24"/>
        </w:rPr>
        <w:t xml:space="preserve">  </w:t>
      </w:r>
      <w:r w:rsidR="00954E83" w:rsidRPr="0064589E">
        <w:rPr>
          <w:rFonts w:asciiTheme="minorHAnsi" w:hAnsiTheme="minorHAnsi"/>
          <w:color w:val="auto"/>
          <w:szCs w:val="24"/>
        </w:rPr>
        <w:t>T</w:t>
      </w:r>
      <w:r w:rsidR="00C22F3C" w:rsidRPr="0064589E">
        <w:rPr>
          <w:rFonts w:asciiTheme="minorHAnsi" w:hAnsiTheme="minorHAnsi"/>
          <w:color w:val="auto"/>
          <w:szCs w:val="24"/>
        </w:rPr>
        <w:t>h</w:t>
      </w:r>
      <w:r w:rsidR="003E1546">
        <w:rPr>
          <w:rFonts w:asciiTheme="minorHAnsi" w:hAnsiTheme="minorHAnsi"/>
          <w:color w:val="auto"/>
          <w:szCs w:val="24"/>
        </w:rPr>
        <w:t xml:space="preserve">e CI </w:t>
      </w:r>
      <w:r w:rsidR="00C06E9F">
        <w:rPr>
          <w:rFonts w:asciiTheme="minorHAnsi" w:hAnsiTheme="minorHAnsi"/>
          <w:color w:val="auto"/>
          <w:szCs w:val="24"/>
        </w:rPr>
        <w:t xml:space="preserve">was </w:t>
      </w:r>
      <w:r w:rsidR="00C22F3C" w:rsidRPr="0064589E">
        <w:rPr>
          <w:rFonts w:asciiTheme="minorHAnsi" w:hAnsiTheme="minorHAnsi"/>
          <w:color w:val="auto"/>
          <w:szCs w:val="24"/>
        </w:rPr>
        <w:t>going down a ladder when anothe</w:t>
      </w:r>
      <w:r w:rsidR="000D6CDF" w:rsidRPr="0064589E">
        <w:rPr>
          <w:rFonts w:asciiTheme="minorHAnsi" w:hAnsiTheme="minorHAnsi"/>
          <w:color w:val="auto"/>
          <w:szCs w:val="24"/>
        </w:rPr>
        <w:t xml:space="preserve">r recruit stepped on his heel.  </w:t>
      </w:r>
      <w:r w:rsidR="00396351">
        <w:rPr>
          <w:rFonts w:asciiTheme="minorHAnsi" w:hAnsiTheme="minorHAnsi"/>
          <w:color w:val="auto"/>
          <w:szCs w:val="24"/>
        </w:rPr>
        <w:t>He</w:t>
      </w:r>
      <w:r w:rsidR="00825BE0">
        <w:rPr>
          <w:rFonts w:asciiTheme="minorHAnsi" w:hAnsiTheme="minorHAnsi"/>
          <w:color w:val="auto"/>
          <w:szCs w:val="24"/>
        </w:rPr>
        <w:t xml:space="preserve"> </w:t>
      </w:r>
      <w:r w:rsidR="00E223CF">
        <w:rPr>
          <w:rFonts w:asciiTheme="minorHAnsi" w:hAnsiTheme="minorHAnsi"/>
          <w:color w:val="auto"/>
          <w:szCs w:val="24"/>
        </w:rPr>
        <w:t>report</w:t>
      </w:r>
      <w:r w:rsidR="00046176">
        <w:rPr>
          <w:rFonts w:asciiTheme="minorHAnsi" w:hAnsiTheme="minorHAnsi"/>
          <w:color w:val="auto"/>
          <w:szCs w:val="24"/>
        </w:rPr>
        <w:t>ed</w:t>
      </w:r>
      <w:r w:rsidR="00C22F3C" w:rsidRPr="0064589E">
        <w:rPr>
          <w:rFonts w:asciiTheme="minorHAnsi" w:hAnsiTheme="minorHAnsi"/>
          <w:color w:val="auto"/>
          <w:szCs w:val="24"/>
        </w:rPr>
        <w:t xml:space="preserve"> a buckling injury to his right knee</w:t>
      </w:r>
      <w:r w:rsidR="00C06E9F">
        <w:rPr>
          <w:rFonts w:asciiTheme="minorHAnsi" w:hAnsiTheme="minorHAnsi"/>
          <w:color w:val="auto"/>
          <w:szCs w:val="24"/>
        </w:rPr>
        <w:t>,</w:t>
      </w:r>
      <w:r w:rsidR="00C22F3C" w:rsidRPr="0064589E">
        <w:rPr>
          <w:rFonts w:asciiTheme="minorHAnsi" w:hAnsiTheme="minorHAnsi"/>
          <w:color w:val="auto"/>
          <w:szCs w:val="24"/>
        </w:rPr>
        <w:t xml:space="preserve"> stating</w:t>
      </w:r>
      <w:r w:rsidR="00C06E9F">
        <w:rPr>
          <w:rFonts w:asciiTheme="minorHAnsi" w:hAnsiTheme="minorHAnsi"/>
          <w:color w:val="auto"/>
          <w:szCs w:val="24"/>
        </w:rPr>
        <w:t xml:space="preserve"> that</w:t>
      </w:r>
      <w:r w:rsidR="00C22F3C" w:rsidRPr="0064589E">
        <w:rPr>
          <w:rFonts w:asciiTheme="minorHAnsi" w:hAnsiTheme="minorHAnsi"/>
          <w:color w:val="auto"/>
          <w:szCs w:val="24"/>
        </w:rPr>
        <w:t xml:space="preserve"> he heard an</w:t>
      </w:r>
      <w:r w:rsidR="00396351">
        <w:rPr>
          <w:rFonts w:asciiTheme="minorHAnsi" w:hAnsiTheme="minorHAnsi"/>
          <w:color w:val="auto"/>
          <w:szCs w:val="24"/>
        </w:rPr>
        <w:t>d felt a loud pop</w:t>
      </w:r>
      <w:r w:rsidR="000D6CDF" w:rsidRPr="0064589E">
        <w:rPr>
          <w:rFonts w:asciiTheme="minorHAnsi" w:hAnsiTheme="minorHAnsi"/>
          <w:color w:val="auto"/>
          <w:szCs w:val="24"/>
        </w:rPr>
        <w:t xml:space="preserve">.  </w:t>
      </w:r>
      <w:r w:rsidR="00E223CF">
        <w:rPr>
          <w:rFonts w:asciiTheme="minorHAnsi" w:hAnsiTheme="minorHAnsi"/>
          <w:color w:val="auto"/>
          <w:szCs w:val="24"/>
        </w:rPr>
        <w:t>The CI</w:t>
      </w:r>
      <w:r w:rsidR="00C22F3C" w:rsidRPr="0064589E">
        <w:rPr>
          <w:rFonts w:asciiTheme="minorHAnsi" w:hAnsiTheme="minorHAnsi"/>
          <w:color w:val="auto"/>
          <w:szCs w:val="24"/>
        </w:rPr>
        <w:t xml:space="preserve"> </w:t>
      </w:r>
      <w:r w:rsidR="00825BE0">
        <w:rPr>
          <w:rFonts w:asciiTheme="minorHAnsi" w:hAnsiTheme="minorHAnsi"/>
          <w:color w:val="auto"/>
          <w:szCs w:val="24"/>
        </w:rPr>
        <w:t>was evaluated</w:t>
      </w:r>
      <w:r w:rsidR="00954E83" w:rsidRPr="0064589E">
        <w:rPr>
          <w:rFonts w:asciiTheme="minorHAnsi" w:hAnsiTheme="minorHAnsi"/>
          <w:color w:val="auto"/>
          <w:szCs w:val="24"/>
        </w:rPr>
        <w:t xml:space="preserve"> </w:t>
      </w:r>
      <w:r w:rsidR="001C31AC">
        <w:rPr>
          <w:rFonts w:asciiTheme="minorHAnsi" w:hAnsiTheme="minorHAnsi"/>
          <w:color w:val="auto"/>
          <w:szCs w:val="24"/>
        </w:rPr>
        <w:t>and</w:t>
      </w:r>
      <w:r w:rsidR="00954E83" w:rsidRPr="0064589E">
        <w:rPr>
          <w:rFonts w:asciiTheme="minorHAnsi" w:hAnsiTheme="minorHAnsi"/>
          <w:color w:val="auto"/>
          <w:szCs w:val="24"/>
        </w:rPr>
        <w:t xml:space="preserve"> </w:t>
      </w:r>
      <w:r w:rsidR="00A908C5">
        <w:rPr>
          <w:rFonts w:asciiTheme="minorHAnsi" w:hAnsiTheme="minorHAnsi"/>
          <w:color w:val="auto"/>
          <w:szCs w:val="24"/>
        </w:rPr>
        <w:t>X</w:t>
      </w:r>
      <w:r w:rsidR="00954E83" w:rsidRPr="0064589E">
        <w:rPr>
          <w:rFonts w:asciiTheme="minorHAnsi" w:hAnsiTheme="minorHAnsi"/>
          <w:color w:val="auto"/>
          <w:szCs w:val="24"/>
        </w:rPr>
        <w:t xml:space="preserve">-rays </w:t>
      </w:r>
      <w:r w:rsidR="001C31AC">
        <w:rPr>
          <w:rFonts w:asciiTheme="minorHAnsi" w:hAnsiTheme="minorHAnsi"/>
          <w:color w:val="auto"/>
          <w:szCs w:val="24"/>
        </w:rPr>
        <w:t>showed</w:t>
      </w:r>
      <w:r w:rsidR="00AA1743">
        <w:rPr>
          <w:rFonts w:asciiTheme="minorHAnsi" w:hAnsiTheme="minorHAnsi"/>
          <w:color w:val="auto"/>
          <w:szCs w:val="24"/>
        </w:rPr>
        <w:t xml:space="preserve"> an </w:t>
      </w:r>
      <w:r w:rsidR="003C632A">
        <w:rPr>
          <w:rFonts w:asciiTheme="minorHAnsi" w:hAnsiTheme="minorHAnsi"/>
          <w:color w:val="auto"/>
          <w:szCs w:val="24"/>
        </w:rPr>
        <w:t xml:space="preserve">old </w:t>
      </w:r>
      <w:r w:rsidR="00954E83" w:rsidRPr="0064589E">
        <w:rPr>
          <w:rFonts w:asciiTheme="minorHAnsi" w:hAnsiTheme="minorHAnsi"/>
          <w:color w:val="auto"/>
          <w:szCs w:val="24"/>
        </w:rPr>
        <w:t>avulsion fracture from the medial tibial spine.</w:t>
      </w:r>
      <w:r w:rsidR="000D6CDF" w:rsidRPr="0064589E">
        <w:rPr>
          <w:rFonts w:asciiTheme="minorHAnsi" w:hAnsiTheme="minorHAnsi"/>
          <w:color w:val="auto"/>
          <w:szCs w:val="24"/>
        </w:rPr>
        <w:t xml:space="preserve">  </w:t>
      </w:r>
      <w:r w:rsidR="00954E83" w:rsidRPr="0064589E">
        <w:rPr>
          <w:rFonts w:asciiTheme="minorHAnsi" w:hAnsiTheme="minorHAnsi"/>
          <w:color w:val="auto"/>
          <w:szCs w:val="24"/>
        </w:rPr>
        <w:t xml:space="preserve">On </w:t>
      </w:r>
      <w:r w:rsidR="00AA1743">
        <w:rPr>
          <w:rFonts w:asciiTheme="minorHAnsi" w:hAnsiTheme="minorHAnsi"/>
          <w:color w:val="auto"/>
          <w:szCs w:val="24"/>
        </w:rPr>
        <w:t>training day</w:t>
      </w:r>
      <w:r w:rsidR="00A908C5">
        <w:rPr>
          <w:rFonts w:asciiTheme="minorHAnsi" w:hAnsiTheme="minorHAnsi"/>
          <w:color w:val="auto"/>
          <w:szCs w:val="24"/>
        </w:rPr>
        <w:t xml:space="preserve"> </w:t>
      </w:r>
      <w:r w:rsidR="00AA1743">
        <w:rPr>
          <w:rFonts w:asciiTheme="minorHAnsi" w:hAnsiTheme="minorHAnsi"/>
          <w:color w:val="auto"/>
          <w:szCs w:val="24"/>
        </w:rPr>
        <w:t>14 (</w:t>
      </w:r>
      <w:r w:rsidR="00C9287A" w:rsidRPr="0064589E">
        <w:rPr>
          <w:rFonts w:asciiTheme="minorHAnsi" w:hAnsiTheme="minorHAnsi"/>
          <w:color w:val="auto"/>
          <w:szCs w:val="24"/>
        </w:rPr>
        <w:t>5 March</w:t>
      </w:r>
      <w:r w:rsidR="00954E83" w:rsidRPr="0064589E">
        <w:rPr>
          <w:rFonts w:asciiTheme="minorHAnsi" w:hAnsiTheme="minorHAnsi"/>
          <w:color w:val="auto"/>
          <w:szCs w:val="24"/>
        </w:rPr>
        <w:t xml:space="preserve"> 2004</w:t>
      </w:r>
      <w:r w:rsidR="000D6CDF" w:rsidRPr="0064589E">
        <w:rPr>
          <w:rFonts w:asciiTheme="minorHAnsi" w:hAnsiTheme="minorHAnsi"/>
          <w:color w:val="auto"/>
          <w:szCs w:val="24"/>
        </w:rPr>
        <w:t>) h</w:t>
      </w:r>
      <w:r w:rsidR="003C632A">
        <w:rPr>
          <w:rFonts w:asciiTheme="minorHAnsi" w:hAnsiTheme="minorHAnsi"/>
          <w:color w:val="auto"/>
          <w:szCs w:val="24"/>
        </w:rPr>
        <w:t xml:space="preserve">is knee was examined </w:t>
      </w:r>
      <w:r w:rsidR="001C31AC">
        <w:rPr>
          <w:rFonts w:asciiTheme="minorHAnsi" w:hAnsiTheme="minorHAnsi"/>
          <w:color w:val="auto"/>
          <w:szCs w:val="24"/>
        </w:rPr>
        <w:t>by</w:t>
      </w:r>
      <w:r w:rsidR="000D6CDF" w:rsidRPr="0064589E">
        <w:rPr>
          <w:rFonts w:asciiTheme="minorHAnsi" w:hAnsiTheme="minorHAnsi"/>
          <w:color w:val="auto"/>
          <w:szCs w:val="24"/>
        </w:rPr>
        <w:t xml:space="preserve"> </w:t>
      </w:r>
      <w:r w:rsidR="00A908C5">
        <w:rPr>
          <w:rFonts w:asciiTheme="minorHAnsi" w:hAnsiTheme="minorHAnsi"/>
          <w:color w:val="auto"/>
          <w:szCs w:val="24"/>
        </w:rPr>
        <w:t>o</w:t>
      </w:r>
      <w:r w:rsidR="000D6CDF" w:rsidRPr="0064589E">
        <w:rPr>
          <w:rFonts w:asciiTheme="minorHAnsi" w:hAnsiTheme="minorHAnsi"/>
          <w:color w:val="auto"/>
          <w:szCs w:val="24"/>
        </w:rPr>
        <w:t>rthop</w:t>
      </w:r>
      <w:r w:rsidR="00954E83" w:rsidRPr="0064589E">
        <w:rPr>
          <w:rFonts w:asciiTheme="minorHAnsi" w:hAnsiTheme="minorHAnsi"/>
          <w:color w:val="auto"/>
          <w:szCs w:val="24"/>
        </w:rPr>
        <w:t>edic</w:t>
      </w:r>
      <w:r w:rsidR="001C31AC">
        <w:rPr>
          <w:rFonts w:asciiTheme="minorHAnsi" w:hAnsiTheme="minorHAnsi"/>
          <w:color w:val="auto"/>
          <w:szCs w:val="24"/>
        </w:rPr>
        <w:t xml:space="preserve">s and </w:t>
      </w:r>
      <w:r w:rsidR="00C22F3C" w:rsidRPr="0064589E">
        <w:rPr>
          <w:rFonts w:asciiTheme="minorHAnsi" w:hAnsiTheme="minorHAnsi"/>
          <w:color w:val="auto"/>
          <w:szCs w:val="24"/>
        </w:rPr>
        <w:t>ACL insuf</w:t>
      </w:r>
      <w:r w:rsidR="000D6CDF" w:rsidRPr="0064589E">
        <w:rPr>
          <w:rFonts w:asciiTheme="minorHAnsi" w:hAnsiTheme="minorHAnsi"/>
          <w:color w:val="auto"/>
          <w:szCs w:val="24"/>
        </w:rPr>
        <w:t>ficiency was diagnosed.  M</w:t>
      </w:r>
      <w:r w:rsidR="00E223CF">
        <w:rPr>
          <w:rFonts w:asciiTheme="minorHAnsi" w:hAnsiTheme="minorHAnsi"/>
          <w:color w:val="auto"/>
          <w:szCs w:val="24"/>
        </w:rPr>
        <w:t xml:space="preserve">agnetic </w:t>
      </w:r>
      <w:r w:rsidR="00A908C5">
        <w:rPr>
          <w:rFonts w:asciiTheme="minorHAnsi" w:hAnsiTheme="minorHAnsi"/>
          <w:color w:val="auto"/>
          <w:szCs w:val="24"/>
        </w:rPr>
        <w:t>r</w:t>
      </w:r>
      <w:r w:rsidR="00E223CF">
        <w:rPr>
          <w:rFonts w:asciiTheme="minorHAnsi" w:hAnsiTheme="minorHAnsi"/>
          <w:color w:val="auto"/>
          <w:szCs w:val="24"/>
        </w:rPr>
        <w:t xml:space="preserve">esonance </w:t>
      </w:r>
      <w:r w:rsidR="00A908C5">
        <w:rPr>
          <w:rFonts w:asciiTheme="minorHAnsi" w:hAnsiTheme="minorHAnsi"/>
          <w:color w:val="auto"/>
          <w:szCs w:val="24"/>
        </w:rPr>
        <w:t>i</w:t>
      </w:r>
      <w:r w:rsidR="00E223CF">
        <w:rPr>
          <w:rFonts w:asciiTheme="minorHAnsi" w:hAnsiTheme="minorHAnsi"/>
          <w:color w:val="auto"/>
          <w:szCs w:val="24"/>
        </w:rPr>
        <w:t>maging (M</w:t>
      </w:r>
      <w:r w:rsidR="000D6CDF" w:rsidRPr="0064589E">
        <w:rPr>
          <w:rFonts w:asciiTheme="minorHAnsi" w:hAnsiTheme="minorHAnsi"/>
          <w:color w:val="auto"/>
          <w:szCs w:val="24"/>
        </w:rPr>
        <w:t>RI</w:t>
      </w:r>
      <w:r w:rsidR="00E223CF">
        <w:rPr>
          <w:rFonts w:asciiTheme="minorHAnsi" w:hAnsiTheme="minorHAnsi"/>
          <w:color w:val="auto"/>
          <w:szCs w:val="24"/>
        </w:rPr>
        <w:t xml:space="preserve">) of the right knee </w:t>
      </w:r>
      <w:r w:rsidR="000D6CDF" w:rsidRPr="0064589E">
        <w:rPr>
          <w:rFonts w:asciiTheme="minorHAnsi" w:hAnsiTheme="minorHAnsi"/>
          <w:color w:val="auto"/>
          <w:szCs w:val="24"/>
        </w:rPr>
        <w:t>demonstrat</w:t>
      </w:r>
      <w:r w:rsidR="00E223CF">
        <w:rPr>
          <w:rFonts w:asciiTheme="minorHAnsi" w:hAnsiTheme="minorHAnsi"/>
          <w:color w:val="auto"/>
          <w:szCs w:val="24"/>
        </w:rPr>
        <w:t>ed</w:t>
      </w:r>
      <w:r w:rsidR="000D6CDF" w:rsidRPr="0064589E">
        <w:rPr>
          <w:rFonts w:asciiTheme="minorHAnsi" w:hAnsiTheme="minorHAnsi"/>
          <w:color w:val="auto"/>
          <w:szCs w:val="24"/>
        </w:rPr>
        <w:t xml:space="preserve"> a chronic ACL deficien</w:t>
      </w:r>
      <w:r w:rsidR="00E223CF">
        <w:rPr>
          <w:rFonts w:asciiTheme="minorHAnsi" w:hAnsiTheme="minorHAnsi"/>
          <w:color w:val="auto"/>
          <w:szCs w:val="24"/>
        </w:rPr>
        <w:t xml:space="preserve">cy, </w:t>
      </w:r>
      <w:r w:rsidR="000D6CDF" w:rsidRPr="0064589E">
        <w:rPr>
          <w:rFonts w:asciiTheme="minorHAnsi" w:hAnsiTheme="minorHAnsi"/>
          <w:color w:val="auto"/>
          <w:szCs w:val="24"/>
        </w:rPr>
        <w:t xml:space="preserve">osteochondral injuries to the medial and lateral femoral condyles, and </w:t>
      </w:r>
      <w:r w:rsidR="00E223CF">
        <w:rPr>
          <w:rFonts w:asciiTheme="minorHAnsi" w:hAnsiTheme="minorHAnsi"/>
          <w:color w:val="auto"/>
          <w:szCs w:val="24"/>
        </w:rPr>
        <w:t>bilateral (</w:t>
      </w:r>
      <w:r w:rsidR="000D6CDF" w:rsidRPr="0064589E">
        <w:rPr>
          <w:rFonts w:asciiTheme="minorHAnsi" w:hAnsiTheme="minorHAnsi"/>
          <w:color w:val="auto"/>
          <w:szCs w:val="24"/>
        </w:rPr>
        <w:t>medial and lateral</w:t>
      </w:r>
      <w:r w:rsidR="00E223CF">
        <w:rPr>
          <w:rFonts w:asciiTheme="minorHAnsi" w:hAnsiTheme="minorHAnsi"/>
          <w:color w:val="auto"/>
          <w:szCs w:val="24"/>
        </w:rPr>
        <w:t>)</w:t>
      </w:r>
      <w:r w:rsidR="000D6CDF" w:rsidRPr="0064589E">
        <w:rPr>
          <w:rFonts w:asciiTheme="minorHAnsi" w:hAnsiTheme="minorHAnsi"/>
          <w:color w:val="auto"/>
          <w:szCs w:val="24"/>
        </w:rPr>
        <w:t xml:space="preserve"> meniscal tears.</w:t>
      </w:r>
      <w:r w:rsidR="007E7783" w:rsidRPr="0064589E">
        <w:rPr>
          <w:rFonts w:asciiTheme="minorHAnsi" w:hAnsiTheme="minorHAnsi"/>
          <w:color w:val="auto"/>
          <w:szCs w:val="24"/>
        </w:rPr>
        <w:t xml:space="preserve">  </w:t>
      </w:r>
      <w:r w:rsidR="00AA1743">
        <w:rPr>
          <w:rFonts w:asciiTheme="minorHAnsi" w:hAnsiTheme="minorHAnsi"/>
          <w:color w:val="auto"/>
          <w:szCs w:val="24"/>
        </w:rPr>
        <w:t>I</w:t>
      </w:r>
      <w:r w:rsidR="000D6CDF" w:rsidRPr="0064589E">
        <w:rPr>
          <w:rFonts w:asciiTheme="minorHAnsi" w:hAnsiTheme="minorHAnsi"/>
          <w:color w:val="auto"/>
          <w:szCs w:val="24"/>
        </w:rPr>
        <w:t xml:space="preserve">t was </w:t>
      </w:r>
      <w:r w:rsidR="003C632A">
        <w:rPr>
          <w:rFonts w:asciiTheme="minorHAnsi" w:hAnsiTheme="minorHAnsi"/>
          <w:color w:val="auto"/>
          <w:szCs w:val="24"/>
        </w:rPr>
        <w:t>felt</w:t>
      </w:r>
      <w:r w:rsidR="000D6CDF" w:rsidRPr="0064589E">
        <w:rPr>
          <w:rFonts w:asciiTheme="minorHAnsi" w:hAnsiTheme="minorHAnsi"/>
          <w:color w:val="auto"/>
          <w:szCs w:val="24"/>
        </w:rPr>
        <w:t xml:space="preserve"> that he </w:t>
      </w:r>
      <w:r w:rsidR="00AA1743">
        <w:rPr>
          <w:rFonts w:asciiTheme="minorHAnsi" w:hAnsiTheme="minorHAnsi"/>
          <w:color w:val="auto"/>
          <w:szCs w:val="24"/>
        </w:rPr>
        <w:t xml:space="preserve">probably </w:t>
      </w:r>
      <w:r w:rsidR="000D6CDF" w:rsidRPr="0064589E">
        <w:rPr>
          <w:rFonts w:asciiTheme="minorHAnsi" w:hAnsiTheme="minorHAnsi"/>
          <w:color w:val="auto"/>
          <w:szCs w:val="24"/>
        </w:rPr>
        <w:t>had a previous partial ACL tear</w:t>
      </w:r>
      <w:r w:rsidR="00AA1743">
        <w:rPr>
          <w:rFonts w:asciiTheme="minorHAnsi" w:hAnsiTheme="minorHAnsi"/>
          <w:color w:val="auto"/>
          <w:szCs w:val="24"/>
        </w:rPr>
        <w:t xml:space="preserve">, </w:t>
      </w:r>
      <w:r w:rsidR="000D6CDF" w:rsidRPr="0064589E">
        <w:rPr>
          <w:rFonts w:asciiTheme="minorHAnsi" w:hAnsiTheme="minorHAnsi"/>
          <w:color w:val="auto"/>
          <w:szCs w:val="24"/>
        </w:rPr>
        <w:t xml:space="preserve">which </w:t>
      </w:r>
      <w:r w:rsidR="00AA1743">
        <w:rPr>
          <w:rFonts w:asciiTheme="minorHAnsi" w:hAnsiTheme="minorHAnsi"/>
          <w:color w:val="auto"/>
          <w:szCs w:val="24"/>
        </w:rPr>
        <w:t>was exacerbated</w:t>
      </w:r>
      <w:r w:rsidR="000D6CDF" w:rsidRPr="0064589E">
        <w:rPr>
          <w:rFonts w:asciiTheme="minorHAnsi" w:hAnsiTheme="minorHAnsi"/>
          <w:color w:val="auto"/>
          <w:szCs w:val="24"/>
        </w:rPr>
        <w:t xml:space="preserve"> when he suffered the </w:t>
      </w:r>
      <w:r w:rsidR="00AA1743">
        <w:rPr>
          <w:rFonts w:asciiTheme="minorHAnsi" w:hAnsiTheme="minorHAnsi"/>
          <w:color w:val="auto"/>
          <w:szCs w:val="24"/>
        </w:rPr>
        <w:t>buckling knee</w:t>
      </w:r>
      <w:r w:rsidR="000D6CDF" w:rsidRPr="0064589E">
        <w:rPr>
          <w:rFonts w:asciiTheme="minorHAnsi" w:hAnsiTheme="minorHAnsi"/>
          <w:color w:val="auto"/>
          <w:szCs w:val="24"/>
        </w:rPr>
        <w:t xml:space="preserve"> </w:t>
      </w:r>
      <w:r w:rsidR="00825BE0">
        <w:rPr>
          <w:rFonts w:asciiTheme="minorHAnsi" w:hAnsiTheme="minorHAnsi"/>
          <w:color w:val="auto"/>
          <w:szCs w:val="24"/>
        </w:rPr>
        <w:t xml:space="preserve">injury in the squad bay.  </w:t>
      </w:r>
      <w:r w:rsidR="008679ED" w:rsidRPr="0064589E">
        <w:rPr>
          <w:rFonts w:asciiTheme="minorHAnsi" w:hAnsiTheme="minorHAnsi"/>
          <w:color w:val="auto"/>
          <w:szCs w:val="24"/>
        </w:rPr>
        <w:t>Considering the MRI findings, i</w:t>
      </w:r>
      <w:r w:rsidR="000D6CDF" w:rsidRPr="0064589E">
        <w:rPr>
          <w:rFonts w:asciiTheme="minorHAnsi" w:hAnsiTheme="minorHAnsi"/>
          <w:color w:val="auto"/>
          <w:szCs w:val="24"/>
        </w:rPr>
        <w:t xml:space="preserve">t was difficult to tell whether </w:t>
      </w:r>
      <w:r w:rsidR="000D6CDF" w:rsidRPr="00AA19CE">
        <w:rPr>
          <w:rFonts w:asciiTheme="minorHAnsi" w:hAnsiTheme="minorHAnsi"/>
          <w:color w:val="auto"/>
          <w:szCs w:val="24"/>
        </w:rPr>
        <w:t xml:space="preserve">his </w:t>
      </w:r>
      <w:r w:rsidR="00AA1743">
        <w:rPr>
          <w:rFonts w:asciiTheme="minorHAnsi" w:hAnsiTheme="minorHAnsi"/>
          <w:color w:val="auto"/>
          <w:szCs w:val="24"/>
        </w:rPr>
        <w:t>knee damage (</w:t>
      </w:r>
      <w:r w:rsidR="008679ED">
        <w:rPr>
          <w:rFonts w:asciiTheme="minorHAnsi" w:hAnsiTheme="minorHAnsi"/>
          <w:color w:val="auto"/>
          <w:szCs w:val="24"/>
        </w:rPr>
        <w:t>ACL deficiency</w:t>
      </w:r>
      <w:r w:rsidR="00AA1743">
        <w:rPr>
          <w:rFonts w:asciiTheme="minorHAnsi" w:hAnsiTheme="minorHAnsi"/>
          <w:color w:val="auto"/>
          <w:szCs w:val="24"/>
        </w:rPr>
        <w:t>, and</w:t>
      </w:r>
      <w:r w:rsidR="008679ED">
        <w:rPr>
          <w:rFonts w:asciiTheme="minorHAnsi" w:hAnsiTheme="minorHAnsi"/>
          <w:color w:val="auto"/>
          <w:szCs w:val="24"/>
        </w:rPr>
        <w:t xml:space="preserve"> </w:t>
      </w:r>
      <w:r w:rsidR="000D6CDF" w:rsidRPr="00AA19CE">
        <w:rPr>
          <w:rFonts w:asciiTheme="minorHAnsi" w:hAnsiTheme="minorHAnsi"/>
          <w:color w:val="auto"/>
          <w:szCs w:val="24"/>
        </w:rPr>
        <w:t>meniscal tears</w:t>
      </w:r>
      <w:r w:rsidR="00AA1743">
        <w:rPr>
          <w:rFonts w:asciiTheme="minorHAnsi" w:hAnsiTheme="minorHAnsi"/>
          <w:color w:val="auto"/>
          <w:szCs w:val="24"/>
        </w:rPr>
        <w:t>)</w:t>
      </w:r>
      <w:r w:rsidR="000D6CDF" w:rsidRPr="00AA19CE">
        <w:rPr>
          <w:rFonts w:asciiTheme="minorHAnsi" w:hAnsiTheme="minorHAnsi"/>
          <w:color w:val="auto"/>
          <w:szCs w:val="24"/>
        </w:rPr>
        <w:t xml:space="preserve"> </w:t>
      </w:r>
      <w:r w:rsidR="008679ED">
        <w:rPr>
          <w:rFonts w:asciiTheme="minorHAnsi" w:hAnsiTheme="minorHAnsi"/>
          <w:color w:val="auto"/>
          <w:szCs w:val="24"/>
        </w:rPr>
        <w:t>w</w:t>
      </w:r>
      <w:r w:rsidR="003C632A">
        <w:rPr>
          <w:rFonts w:asciiTheme="minorHAnsi" w:hAnsiTheme="minorHAnsi"/>
          <w:color w:val="auto"/>
          <w:szCs w:val="24"/>
        </w:rPr>
        <w:t>as</w:t>
      </w:r>
      <w:r w:rsidR="000D6CDF" w:rsidRPr="00AA19CE">
        <w:rPr>
          <w:rFonts w:asciiTheme="minorHAnsi" w:hAnsiTheme="minorHAnsi"/>
          <w:color w:val="auto"/>
          <w:szCs w:val="24"/>
        </w:rPr>
        <w:t xml:space="preserve"> acute or chronic.</w:t>
      </w:r>
      <w:r w:rsidR="003C632A">
        <w:rPr>
          <w:rFonts w:asciiTheme="minorHAnsi" w:hAnsiTheme="minorHAnsi"/>
          <w:color w:val="auto"/>
          <w:szCs w:val="24"/>
        </w:rPr>
        <w:t xml:space="preserve">  </w:t>
      </w:r>
      <w:r w:rsidR="003D2DA1">
        <w:rPr>
          <w:rFonts w:asciiTheme="minorHAnsi" w:hAnsiTheme="minorHAnsi"/>
          <w:color w:val="auto"/>
          <w:szCs w:val="24"/>
        </w:rPr>
        <w:t>O</w:t>
      </w:r>
      <w:r w:rsidR="007E7783" w:rsidRPr="00AA19CE">
        <w:rPr>
          <w:rFonts w:asciiTheme="minorHAnsi" w:hAnsiTheme="minorHAnsi"/>
          <w:color w:val="auto"/>
          <w:szCs w:val="24"/>
        </w:rPr>
        <w:t xml:space="preserve">n </w:t>
      </w:r>
      <w:r w:rsidR="00C9287A">
        <w:rPr>
          <w:rFonts w:asciiTheme="minorHAnsi" w:hAnsiTheme="minorHAnsi"/>
          <w:color w:val="auto"/>
          <w:szCs w:val="24"/>
        </w:rPr>
        <w:t>26 March</w:t>
      </w:r>
      <w:r w:rsidR="003D2DA1">
        <w:rPr>
          <w:rFonts w:asciiTheme="minorHAnsi" w:hAnsiTheme="minorHAnsi"/>
          <w:color w:val="auto"/>
          <w:szCs w:val="24"/>
        </w:rPr>
        <w:t xml:space="preserve"> 2004</w:t>
      </w:r>
      <w:r w:rsidR="00A908C5">
        <w:rPr>
          <w:rFonts w:asciiTheme="minorHAnsi" w:hAnsiTheme="minorHAnsi"/>
          <w:color w:val="auto"/>
          <w:szCs w:val="24"/>
        </w:rPr>
        <w:t>,</w:t>
      </w:r>
      <w:r w:rsidR="007E7783" w:rsidRPr="00AA19CE">
        <w:rPr>
          <w:rFonts w:asciiTheme="minorHAnsi" w:hAnsiTheme="minorHAnsi"/>
          <w:color w:val="auto"/>
          <w:szCs w:val="24"/>
        </w:rPr>
        <w:t xml:space="preserve"> he underwent right knee arthroscopy, partial medial meniscectomy, partial lateral meniscectomy, partial chondroplasty of the lateral femoral </w:t>
      </w:r>
      <w:proofErr w:type="spellStart"/>
      <w:r w:rsidR="007E7783" w:rsidRPr="00AA19CE">
        <w:rPr>
          <w:rFonts w:asciiTheme="minorHAnsi" w:hAnsiTheme="minorHAnsi"/>
          <w:color w:val="auto"/>
          <w:szCs w:val="24"/>
        </w:rPr>
        <w:t>condyle</w:t>
      </w:r>
      <w:proofErr w:type="spellEnd"/>
      <w:r w:rsidR="00A908C5">
        <w:rPr>
          <w:rFonts w:asciiTheme="minorHAnsi" w:hAnsiTheme="minorHAnsi"/>
          <w:color w:val="auto"/>
          <w:szCs w:val="24"/>
        </w:rPr>
        <w:t>,</w:t>
      </w:r>
      <w:r w:rsidR="007E7783" w:rsidRPr="00AA19CE">
        <w:rPr>
          <w:rFonts w:asciiTheme="minorHAnsi" w:hAnsiTheme="minorHAnsi"/>
          <w:color w:val="auto"/>
          <w:szCs w:val="24"/>
        </w:rPr>
        <w:t xml:space="preserve"> and partial </w:t>
      </w:r>
      <w:proofErr w:type="spellStart"/>
      <w:r w:rsidR="007E7783" w:rsidRPr="00AA19CE">
        <w:rPr>
          <w:rFonts w:asciiTheme="minorHAnsi" w:hAnsiTheme="minorHAnsi"/>
          <w:color w:val="auto"/>
          <w:szCs w:val="24"/>
        </w:rPr>
        <w:t>chondroplasty</w:t>
      </w:r>
      <w:proofErr w:type="spellEnd"/>
      <w:r w:rsidR="007E7783" w:rsidRPr="00AA19CE">
        <w:rPr>
          <w:rFonts w:asciiTheme="minorHAnsi" w:hAnsiTheme="minorHAnsi"/>
          <w:color w:val="auto"/>
          <w:szCs w:val="24"/>
        </w:rPr>
        <w:t xml:space="preserve"> of the medial femoral </w:t>
      </w:r>
      <w:r w:rsidR="00AA19CE">
        <w:rPr>
          <w:rFonts w:asciiTheme="minorHAnsi" w:hAnsiTheme="minorHAnsi"/>
          <w:color w:val="auto"/>
          <w:szCs w:val="24"/>
        </w:rPr>
        <w:t xml:space="preserve">condyle.  </w:t>
      </w:r>
      <w:r w:rsidR="007E7783" w:rsidRPr="00AA19CE">
        <w:rPr>
          <w:rFonts w:asciiTheme="minorHAnsi" w:hAnsiTheme="minorHAnsi"/>
          <w:color w:val="auto"/>
          <w:szCs w:val="24"/>
        </w:rPr>
        <w:t>He</w:t>
      </w:r>
      <w:r w:rsidR="003D2DA1">
        <w:rPr>
          <w:rFonts w:asciiTheme="minorHAnsi" w:hAnsiTheme="minorHAnsi"/>
          <w:color w:val="auto"/>
          <w:szCs w:val="24"/>
        </w:rPr>
        <w:t xml:space="preserve"> </w:t>
      </w:r>
      <w:r w:rsidR="003D2DA1">
        <w:rPr>
          <w:rFonts w:asciiTheme="minorHAnsi" w:hAnsiTheme="minorHAnsi"/>
          <w:color w:val="auto"/>
          <w:szCs w:val="24"/>
        </w:rPr>
        <w:lastRenderedPageBreak/>
        <w:t xml:space="preserve">also had </w:t>
      </w:r>
      <w:r w:rsidR="007E7783" w:rsidRPr="00AA19CE">
        <w:rPr>
          <w:rFonts w:asciiTheme="minorHAnsi" w:hAnsiTheme="minorHAnsi"/>
          <w:color w:val="auto"/>
          <w:szCs w:val="24"/>
        </w:rPr>
        <w:t>ACL reconstruction</w:t>
      </w:r>
      <w:r w:rsidR="00A908C5">
        <w:rPr>
          <w:rFonts w:asciiTheme="minorHAnsi" w:hAnsiTheme="minorHAnsi"/>
          <w:color w:val="auto"/>
          <w:szCs w:val="24"/>
        </w:rPr>
        <w:t>,</w:t>
      </w:r>
      <w:r w:rsidR="007E7783" w:rsidRPr="00AA19CE">
        <w:rPr>
          <w:rFonts w:asciiTheme="minorHAnsi" w:hAnsiTheme="minorHAnsi"/>
          <w:color w:val="auto"/>
          <w:szCs w:val="24"/>
        </w:rPr>
        <w:t xml:space="preserve"> using a double</w:t>
      </w:r>
      <w:r w:rsidR="00046176">
        <w:rPr>
          <w:rFonts w:asciiTheme="minorHAnsi" w:hAnsiTheme="minorHAnsi"/>
          <w:color w:val="auto"/>
          <w:szCs w:val="24"/>
        </w:rPr>
        <w:t>-</w:t>
      </w:r>
      <w:r w:rsidR="007E7783" w:rsidRPr="00AA19CE">
        <w:rPr>
          <w:rFonts w:asciiTheme="minorHAnsi" w:hAnsiTheme="minorHAnsi"/>
          <w:color w:val="auto"/>
          <w:szCs w:val="24"/>
        </w:rPr>
        <w:t>looped sem</w:t>
      </w:r>
      <w:r w:rsidR="00C9287A">
        <w:rPr>
          <w:rFonts w:asciiTheme="minorHAnsi" w:hAnsiTheme="minorHAnsi"/>
          <w:color w:val="auto"/>
          <w:szCs w:val="24"/>
        </w:rPr>
        <w:t>i</w:t>
      </w:r>
      <w:r w:rsidR="003D2DA1">
        <w:rPr>
          <w:rFonts w:asciiTheme="minorHAnsi" w:hAnsiTheme="minorHAnsi"/>
          <w:color w:val="auto"/>
          <w:szCs w:val="24"/>
        </w:rPr>
        <w:t>tendinosus and gracilis graft.  It was</w:t>
      </w:r>
      <w:r w:rsidR="003D2DA1" w:rsidRPr="00AA19CE">
        <w:rPr>
          <w:rFonts w:asciiTheme="minorHAnsi" w:hAnsiTheme="minorHAnsi"/>
          <w:color w:val="auto"/>
          <w:szCs w:val="24"/>
        </w:rPr>
        <w:t xml:space="preserve"> apparent intraoperativ</w:t>
      </w:r>
      <w:r w:rsidR="003C632A">
        <w:rPr>
          <w:rFonts w:asciiTheme="minorHAnsi" w:hAnsiTheme="minorHAnsi"/>
          <w:color w:val="auto"/>
          <w:szCs w:val="24"/>
        </w:rPr>
        <w:t xml:space="preserve">ely, that his injuries were </w:t>
      </w:r>
      <w:r w:rsidR="003D2DA1" w:rsidRPr="00AA19CE">
        <w:rPr>
          <w:rFonts w:asciiTheme="minorHAnsi" w:hAnsiTheme="minorHAnsi"/>
          <w:color w:val="auto"/>
          <w:szCs w:val="24"/>
        </w:rPr>
        <w:t>chronic in nature, including the meniscal tears, as well as the ACL tear.</w:t>
      </w:r>
      <w:r w:rsidR="000C6DDB">
        <w:rPr>
          <w:rFonts w:asciiTheme="minorHAnsi" w:hAnsiTheme="minorHAnsi"/>
          <w:color w:val="auto"/>
          <w:szCs w:val="24"/>
        </w:rPr>
        <w:t xml:space="preserve">  </w:t>
      </w:r>
      <w:r w:rsidR="000C6DDB" w:rsidRPr="00AA19CE">
        <w:rPr>
          <w:rFonts w:asciiTheme="minorHAnsi" w:hAnsiTheme="minorHAnsi"/>
          <w:color w:val="auto"/>
          <w:szCs w:val="24"/>
        </w:rPr>
        <w:t>The</w:t>
      </w:r>
      <w:r w:rsidR="000C6DDB">
        <w:rPr>
          <w:rFonts w:asciiTheme="minorHAnsi" w:hAnsiTheme="minorHAnsi"/>
          <w:color w:val="auto"/>
          <w:szCs w:val="24"/>
        </w:rPr>
        <w:t xml:space="preserve"> acute</w:t>
      </w:r>
      <w:r w:rsidR="000C6DDB" w:rsidRPr="00AA19CE">
        <w:rPr>
          <w:rFonts w:asciiTheme="minorHAnsi" w:hAnsiTheme="minorHAnsi"/>
          <w:color w:val="auto"/>
          <w:szCs w:val="24"/>
        </w:rPr>
        <w:t xml:space="preserve"> </w:t>
      </w:r>
      <w:r w:rsidR="003C632A">
        <w:rPr>
          <w:rFonts w:asciiTheme="minorHAnsi" w:hAnsiTheme="minorHAnsi"/>
          <w:color w:val="auto"/>
          <w:szCs w:val="24"/>
        </w:rPr>
        <w:t>buckling</w:t>
      </w:r>
      <w:r w:rsidR="000C6DDB">
        <w:rPr>
          <w:rFonts w:asciiTheme="minorHAnsi" w:hAnsiTheme="minorHAnsi"/>
          <w:color w:val="auto"/>
          <w:szCs w:val="24"/>
        </w:rPr>
        <w:t xml:space="preserve"> injury he suffered</w:t>
      </w:r>
      <w:r w:rsidR="000C6DDB" w:rsidRPr="00AA19CE">
        <w:rPr>
          <w:rFonts w:asciiTheme="minorHAnsi" w:hAnsiTheme="minorHAnsi"/>
          <w:color w:val="auto"/>
          <w:szCs w:val="24"/>
        </w:rPr>
        <w:t xml:space="preserve"> in t</w:t>
      </w:r>
      <w:r w:rsidR="000C6DDB">
        <w:rPr>
          <w:rFonts w:asciiTheme="minorHAnsi" w:hAnsiTheme="minorHAnsi"/>
          <w:color w:val="auto"/>
          <w:szCs w:val="24"/>
        </w:rPr>
        <w:t xml:space="preserve">he squad bay </w:t>
      </w:r>
      <w:r w:rsidR="003C632A">
        <w:rPr>
          <w:rFonts w:asciiTheme="minorHAnsi" w:hAnsiTheme="minorHAnsi"/>
          <w:color w:val="auto"/>
          <w:szCs w:val="24"/>
        </w:rPr>
        <w:t xml:space="preserve">may have been </w:t>
      </w:r>
      <w:r w:rsidR="000C6DDB" w:rsidRPr="00AA19CE">
        <w:rPr>
          <w:rFonts w:asciiTheme="minorHAnsi" w:hAnsiTheme="minorHAnsi"/>
          <w:color w:val="auto"/>
          <w:szCs w:val="24"/>
        </w:rPr>
        <w:t>a pivot shifting of the tibia</w:t>
      </w:r>
      <w:r w:rsidR="003C632A">
        <w:rPr>
          <w:rFonts w:asciiTheme="minorHAnsi" w:hAnsiTheme="minorHAnsi"/>
          <w:color w:val="auto"/>
          <w:szCs w:val="24"/>
        </w:rPr>
        <w:t>,</w:t>
      </w:r>
      <w:r w:rsidR="000C6DDB" w:rsidRPr="00AA19CE">
        <w:rPr>
          <w:rFonts w:asciiTheme="minorHAnsi" w:hAnsiTheme="minorHAnsi"/>
          <w:color w:val="auto"/>
          <w:szCs w:val="24"/>
        </w:rPr>
        <w:t xml:space="preserve"> secondary to its chronic ACL deficiency.</w:t>
      </w:r>
    </w:p>
    <w:p w:rsidR="00C22F3C" w:rsidRPr="00AA19CE" w:rsidRDefault="00C22F3C" w:rsidP="00FE2055">
      <w:pPr>
        <w:tabs>
          <w:tab w:val="left" w:pos="288"/>
          <w:tab w:val="left" w:pos="4752"/>
        </w:tabs>
        <w:spacing w:line="240" w:lineRule="exact"/>
        <w:jc w:val="both"/>
        <w:rPr>
          <w:rFonts w:asciiTheme="minorHAnsi" w:hAnsiTheme="minorHAnsi"/>
          <w:color w:val="auto"/>
          <w:szCs w:val="24"/>
        </w:rPr>
      </w:pPr>
    </w:p>
    <w:p w:rsidR="00B05966" w:rsidRPr="00FE2055" w:rsidRDefault="007E7783" w:rsidP="00FE2055">
      <w:pPr>
        <w:autoSpaceDE w:val="0"/>
        <w:autoSpaceDN w:val="0"/>
        <w:adjustRightInd w:val="0"/>
        <w:spacing w:line="240" w:lineRule="exact"/>
        <w:jc w:val="both"/>
        <w:rPr>
          <w:rFonts w:asciiTheme="minorHAnsi" w:hAnsiTheme="minorHAnsi"/>
          <w:color w:val="auto"/>
          <w:szCs w:val="24"/>
        </w:rPr>
      </w:pPr>
      <w:r w:rsidRPr="00AA19CE">
        <w:rPr>
          <w:rFonts w:asciiTheme="minorHAnsi" w:hAnsiTheme="minorHAnsi"/>
          <w:color w:val="auto"/>
          <w:szCs w:val="24"/>
        </w:rPr>
        <w:t xml:space="preserve">Given the extent of the damage in his </w:t>
      </w:r>
      <w:r w:rsidR="003C632A">
        <w:rPr>
          <w:rFonts w:asciiTheme="minorHAnsi" w:hAnsiTheme="minorHAnsi"/>
          <w:color w:val="auto"/>
          <w:szCs w:val="24"/>
        </w:rPr>
        <w:t>right knee</w:t>
      </w:r>
      <w:r w:rsidRPr="00AA19CE">
        <w:rPr>
          <w:rFonts w:asciiTheme="minorHAnsi" w:hAnsiTheme="minorHAnsi"/>
          <w:color w:val="auto"/>
          <w:szCs w:val="24"/>
        </w:rPr>
        <w:t xml:space="preserve">, as well as the likelihood that he would never be able to </w:t>
      </w:r>
      <w:r w:rsidR="00AA19CE">
        <w:rPr>
          <w:rFonts w:asciiTheme="minorHAnsi" w:hAnsiTheme="minorHAnsi"/>
          <w:color w:val="auto"/>
          <w:szCs w:val="24"/>
        </w:rPr>
        <w:t xml:space="preserve">meet </w:t>
      </w:r>
      <w:r w:rsidRPr="00AA19CE">
        <w:rPr>
          <w:rFonts w:asciiTheme="minorHAnsi" w:hAnsiTheme="minorHAnsi"/>
          <w:color w:val="auto"/>
          <w:szCs w:val="24"/>
        </w:rPr>
        <w:t xml:space="preserve">the physical requirements of an active duty Marine, he was referred </w:t>
      </w:r>
      <w:r w:rsidR="003C632A">
        <w:rPr>
          <w:rFonts w:asciiTheme="minorHAnsi" w:hAnsiTheme="minorHAnsi"/>
          <w:color w:val="auto"/>
          <w:szCs w:val="24"/>
        </w:rPr>
        <w:t>for MEB/</w:t>
      </w:r>
      <w:r w:rsidRPr="00AA19CE">
        <w:rPr>
          <w:rFonts w:asciiTheme="minorHAnsi" w:hAnsiTheme="minorHAnsi"/>
          <w:color w:val="auto"/>
          <w:szCs w:val="24"/>
        </w:rPr>
        <w:t>PEB disposition.</w:t>
      </w:r>
      <w:r w:rsidR="00AA19CE">
        <w:rPr>
          <w:rFonts w:asciiTheme="minorHAnsi" w:hAnsiTheme="minorHAnsi"/>
          <w:color w:val="auto"/>
          <w:szCs w:val="24"/>
        </w:rPr>
        <w:t xml:space="preserve">  </w:t>
      </w:r>
      <w:r w:rsidR="00C77628">
        <w:rPr>
          <w:rFonts w:asciiTheme="minorHAnsi" w:hAnsiTheme="minorHAnsi"/>
          <w:color w:val="auto"/>
          <w:szCs w:val="24"/>
        </w:rPr>
        <w:t xml:space="preserve">His five right knee </w:t>
      </w:r>
      <w:r w:rsidR="00AA19CE" w:rsidRPr="00AA19CE">
        <w:rPr>
          <w:rFonts w:asciiTheme="minorHAnsi" w:hAnsiTheme="minorHAnsi"/>
          <w:bCs/>
          <w:color w:val="auto"/>
          <w:szCs w:val="24"/>
        </w:rPr>
        <w:t>diagnoses were</w:t>
      </w:r>
      <w:r w:rsidR="00A908C5">
        <w:rPr>
          <w:rFonts w:asciiTheme="minorHAnsi" w:hAnsiTheme="minorHAnsi"/>
          <w:bCs/>
          <w:color w:val="auto"/>
          <w:szCs w:val="24"/>
        </w:rPr>
        <w:t>:</w:t>
      </w:r>
      <w:r w:rsidR="00AA19CE" w:rsidRPr="00AA19CE">
        <w:rPr>
          <w:rFonts w:asciiTheme="minorHAnsi" w:hAnsiTheme="minorHAnsi"/>
          <w:bCs/>
          <w:color w:val="auto"/>
          <w:szCs w:val="24"/>
        </w:rPr>
        <w:t xml:space="preserve"> </w:t>
      </w:r>
      <w:r w:rsidR="000F1639">
        <w:rPr>
          <w:rFonts w:asciiTheme="minorHAnsi" w:hAnsiTheme="minorHAnsi"/>
          <w:bCs/>
          <w:color w:val="auto"/>
          <w:szCs w:val="24"/>
        </w:rPr>
        <w:t>c</w:t>
      </w:r>
      <w:r w:rsidR="00C22F3C" w:rsidRPr="00AA19CE">
        <w:rPr>
          <w:rFonts w:asciiTheme="minorHAnsi" w:hAnsiTheme="minorHAnsi"/>
          <w:color w:val="auto"/>
          <w:szCs w:val="24"/>
        </w:rPr>
        <w:t>h</w:t>
      </w:r>
      <w:r w:rsidR="00C77628">
        <w:rPr>
          <w:rFonts w:asciiTheme="minorHAnsi" w:hAnsiTheme="minorHAnsi"/>
          <w:color w:val="auto"/>
          <w:szCs w:val="24"/>
        </w:rPr>
        <w:t>ronic ACL deficiency,</w:t>
      </w:r>
      <w:r w:rsidR="00C22F3C" w:rsidRPr="00AA19CE">
        <w:rPr>
          <w:rFonts w:asciiTheme="minorHAnsi" w:hAnsiTheme="minorHAnsi"/>
          <w:color w:val="auto"/>
          <w:szCs w:val="24"/>
        </w:rPr>
        <w:t xml:space="preserve"> chondromalacia of articular surface medial femoral condyle, chondromalacia of articular surface lateral femoral condyle, complex tear posterior horn medial meniscus, and complete tear </w:t>
      </w:r>
      <w:r w:rsidR="000F1639">
        <w:rPr>
          <w:rFonts w:asciiTheme="minorHAnsi" w:hAnsiTheme="minorHAnsi"/>
          <w:color w:val="auto"/>
          <w:szCs w:val="24"/>
        </w:rPr>
        <w:t>(</w:t>
      </w:r>
      <w:r w:rsidR="00C22F3C" w:rsidRPr="00AA19CE">
        <w:rPr>
          <w:rFonts w:asciiTheme="minorHAnsi" w:hAnsiTheme="minorHAnsi"/>
          <w:color w:val="auto"/>
          <w:szCs w:val="24"/>
        </w:rPr>
        <w:t>and absence</w:t>
      </w:r>
      <w:r w:rsidR="000F1639">
        <w:rPr>
          <w:rFonts w:asciiTheme="minorHAnsi" w:hAnsiTheme="minorHAnsi"/>
          <w:color w:val="auto"/>
          <w:szCs w:val="24"/>
        </w:rPr>
        <w:t>)</w:t>
      </w:r>
      <w:r w:rsidR="00C22F3C" w:rsidRPr="00AA19CE">
        <w:rPr>
          <w:rFonts w:asciiTheme="minorHAnsi" w:hAnsiTheme="minorHAnsi"/>
          <w:color w:val="auto"/>
          <w:szCs w:val="24"/>
        </w:rPr>
        <w:t xml:space="preserve"> of the posterior horn lateral meniscus</w:t>
      </w:r>
      <w:r w:rsidR="00AA19CE" w:rsidRPr="00AA19CE">
        <w:rPr>
          <w:rFonts w:asciiTheme="minorHAnsi" w:hAnsiTheme="minorHAnsi"/>
          <w:color w:val="auto"/>
          <w:szCs w:val="24"/>
        </w:rPr>
        <w:t xml:space="preserve">.  All </w:t>
      </w:r>
      <w:r w:rsidR="003D377E">
        <w:rPr>
          <w:rFonts w:asciiTheme="minorHAnsi" w:hAnsiTheme="minorHAnsi"/>
          <w:color w:val="auto"/>
          <w:szCs w:val="24"/>
        </w:rPr>
        <w:t>five</w:t>
      </w:r>
      <w:r w:rsidR="000C6DDB">
        <w:rPr>
          <w:rFonts w:asciiTheme="minorHAnsi" w:hAnsiTheme="minorHAnsi"/>
          <w:color w:val="auto"/>
          <w:szCs w:val="24"/>
        </w:rPr>
        <w:t xml:space="preserve"> </w:t>
      </w:r>
      <w:r w:rsidR="00C77628">
        <w:rPr>
          <w:rFonts w:asciiTheme="minorHAnsi" w:hAnsiTheme="minorHAnsi"/>
          <w:color w:val="auto"/>
          <w:szCs w:val="24"/>
        </w:rPr>
        <w:t xml:space="preserve">right knee </w:t>
      </w:r>
      <w:r w:rsidR="00AA19CE" w:rsidRPr="00AA19CE">
        <w:rPr>
          <w:rFonts w:asciiTheme="minorHAnsi" w:hAnsiTheme="minorHAnsi"/>
          <w:color w:val="auto"/>
          <w:szCs w:val="24"/>
        </w:rPr>
        <w:t>diagnoses</w:t>
      </w:r>
      <w:r w:rsidR="00C22F3C" w:rsidRPr="00AA19CE">
        <w:rPr>
          <w:rFonts w:asciiTheme="minorHAnsi" w:hAnsiTheme="minorHAnsi"/>
          <w:color w:val="auto"/>
          <w:szCs w:val="24"/>
        </w:rPr>
        <w:t xml:space="preserve"> were addressed in the MEB exam and forwarded to the PEB as medically unacceptable</w:t>
      </w:r>
      <w:r w:rsidR="00AA19CE" w:rsidRPr="00AA19CE">
        <w:rPr>
          <w:rFonts w:asciiTheme="minorHAnsi" w:hAnsiTheme="minorHAnsi"/>
          <w:color w:val="auto"/>
          <w:szCs w:val="24"/>
        </w:rPr>
        <w:t>.</w:t>
      </w:r>
      <w:r w:rsidR="00C22F3C" w:rsidRPr="00AA19CE">
        <w:rPr>
          <w:rFonts w:asciiTheme="minorHAnsi" w:hAnsiTheme="minorHAnsi"/>
          <w:color w:val="auto"/>
          <w:szCs w:val="24"/>
        </w:rPr>
        <w:t xml:space="preserve"> </w:t>
      </w:r>
      <w:r w:rsidR="00FE2055">
        <w:rPr>
          <w:rFonts w:asciiTheme="minorHAnsi" w:hAnsiTheme="minorHAnsi"/>
          <w:color w:val="auto"/>
          <w:szCs w:val="24"/>
        </w:rPr>
        <w:t xml:space="preserve"> </w:t>
      </w:r>
      <w:r w:rsidR="00FD18ED">
        <w:rPr>
          <w:rFonts w:asciiTheme="minorHAnsi" w:hAnsiTheme="minorHAnsi"/>
          <w:color w:val="auto"/>
          <w:szCs w:val="24"/>
        </w:rPr>
        <w:t>T</w:t>
      </w:r>
      <w:r w:rsidR="00B05966" w:rsidRPr="00FE2055">
        <w:rPr>
          <w:rFonts w:asciiTheme="minorHAnsi" w:hAnsiTheme="minorHAnsi"/>
          <w:color w:val="auto"/>
          <w:szCs w:val="24"/>
        </w:rPr>
        <w:t xml:space="preserve">he </w:t>
      </w:r>
      <w:r w:rsidR="00FD18ED">
        <w:rPr>
          <w:rFonts w:asciiTheme="minorHAnsi" w:hAnsiTheme="minorHAnsi"/>
          <w:color w:val="auto"/>
          <w:szCs w:val="24"/>
        </w:rPr>
        <w:t xml:space="preserve">Navy </w:t>
      </w:r>
      <w:r w:rsidR="00B05966" w:rsidRPr="00FE2055">
        <w:rPr>
          <w:rFonts w:asciiTheme="minorHAnsi" w:hAnsiTheme="minorHAnsi"/>
          <w:color w:val="auto"/>
          <w:szCs w:val="24"/>
        </w:rPr>
        <w:t xml:space="preserve">PEB adjudicated the </w:t>
      </w:r>
      <w:r w:rsidR="00A908C5">
        <w:rPr>
          <w:rFonts w:asciiTheme="minorHAnsi" w:hAnsiTheme="minorHAnsi"/>
          <w:color w:val="auto"/>
          <w:szCs w:val="24"/>
        </w:rPr>
        <w:t>c</w:t>
      </w:r>
      <w:r w:rsidR="00F358D9" w:rsidRPr="00FE2055">
        <w:rPr>
          <w:rFonts w:asciiTheme="minorHAnsi" w:hAnsiTheme="minorHAnsi"/>
          <w:color w:val="auto"/>
          <w:szCs w:val="24"/>
        </w:rPr>
        <w:t xml:space="preserve">hronic </w:t>
      </w:r>
      <w:r w:rsidR="00FD18ED">
        <w:rPr>
          <w:rFonts w:asciiTheme="minorHAnsi" w:hAnsiTheme="minorHAnsi"/>
          <w:color w:val="auto"/>
          <w:szCs w:val="24"/>
        </w:rPr>
        <w:t>ACL</w:t>
      </w:r>
      <w:r w:rsidR="00F358D9" w:rsidRPr="00FE2055">
        <w:rPr>
          <w:rFonts w:asciiTheme="minorHAnsi" w:hAnsiTheme="minorHAnsi"/>
          <w:color w:val="auto"/>
          <w:szCs w:val="24"/>
        </w:rPr>
        <w:t xml:space="preserve"> deficient right knee</w:t>
      </w:r>
      <w:r w:rsidR="00FD18ED">
        <w:rPr>
          <w:rFonts w:asciiTheme="minorHAnsi" w:hAnsiTheme="minorHAnsi"/>
          <w:color w:val="auto"/>
          <w:szCs w:val="24"/>
        </w:rPr>
        <w:t xml:space="preserve"> </w:t>
      </w:r>
      <w:r w:rsidR="00B05966" w:rsidRPr="00FE2055">
        <w:rPr>
          <w:rFonts w:asciiTheme="minorHAnsi" w:hAnsiTheme="minorHAnsi"/>
          <w:color w:val="auto"/>
          <w:szCs w:val="24"/>
        </w:rPr>
        <w:t>as unfitting</w:t>
      </w:r>
      <w:r w:rsidR="00FD18ED">
        <w:rPr>
          <w:rFonts w:asciiTheme="minorHAnsi" w:hAnsiTheme="minorHAnsi"/>
          <w:color w:val="auto"/>
          <w:szCs w:val="24"/>
        </w:rPr>
        <w:t xml:space="preserve"> and assigned a </w:t>
      </w:r>
      <w:r w:rsidR="00B05966" w:rsidRPr="00FE2055">
        <w:rPr>
          <w:rFonts w:asciiTheme="minorHAnsi" w:hAnsiTheme="minorHAnsi"/>
          <w:color w:val="auto"/>
          <w:szCs w:val="24"/>
        </w:rPr>
        <w:t xml:space="preserve">10% </w:t>
      </w:r>
      <w:r w:rsidR="00FD18ED">
        <w:rPr>
          <w:rFonts w:asciiTheme="minorHAnsi" w:hAnsiTheme="minorHAnsi"/>
          <w:color w:val="auto"/>
          <w:szCs w:val="24"/>
        </w:rPr>
        <w:t xml:space="preserve">disability </w:t>
      </w:r>
      <w:r w:rsidR="00B05966" w:rsidRPr="00FE2055">
        <w:rPr>
          <w:rFonts w:asciiTheme="minorHAnsi" w:hAnsiTheme="minorHAnsi"/>
          <w:color w:val="auto"/>
          <w:szCs w:val="24"/>
        </w:rPr>
        <w:t>rating.</w:t>
      </w:r>
      <w:r w:rsidR="00FD18ED">
        <w:rPr>
          <w:rFonts w:asciiTheme="minorHAnsi" w:hAnsiTheme="minorHAnsi"/>
          <w:color w:val="auto"/>
          <w:szCs w:val="24"/>
        </w:rPr>
        <w:t xml:space="preserve">  The other four right knee conditions were all found to be Category II</w:t>
      </w:r>
      <w:r w:rsidR="00B05966" w:rsidRPr="00FE2055">
        <w:rPr>
          <w:rFonts w:asciiTheme="minorHAnsi" w:hAnsiTheme="minorHAnsi"/>
          <w:color w:val="auto"/>
          <w:szCs w:val="24"/>
        </w:rPr>
        <w:t xml:space="preserve"> </w:t>
      </w:r>
      <w:r w:rsidR="00FD18ED">
        <w:rPr>
          <w:rFonts w:asciiTheme="minorHAnsi" w:hAnsiTheme="minorHAnsi"/>
          <w:color w:val="auto"/>
          <w:szCs w:val="24"/>
        </w:rPr>
        <w:t>(</w:t>
      </w:r>
      <w:r w:rsidR="00B05966" w:rsidRPr="00FE2055">
        <w:rPr>
          <w:rFonts w:asciiTheme="minorHAnsi" w:hAnsiTheme="minorHAnsi"/>
          <w:color w:val="auto"/>
          <w:szCs w:val="24"/>
        </w:rPr>
        <w:t xml:space="preserve">related </w:t>
      </w:r>
      <w:r w:rsidR="00FD18ED">
        <w:rPr>
          <w:rFonts w:asciiTheme="minorHAnsi" w:hAnsiTheme="minorHAnsi"/>
          <w:color w:val="auto"/>
          <w:szCs w:val="24"/>
        </w:rPr>
        <w:t>to the unfitting C</w:t>
      </w:r>
      <w:r w:rsidR="00B05966" w:rsidRPr="00FE2055">
        <w:rPr>
          <w:rFonts w:asciiTheme="minorHAnsi" w:hAnsiTheme="minorHAnsi"/>
          <w:color w:val="auto"/>
          <w:szCs w:val="24"/>
        </w:rPr>
        <w:t>ategory I condition</w:t>
      </w:r>
      <w:r w:rsidR="00FD18ED">
        <w:rPr>
          <w:rFonts w:asciiTheme="minorHAnsi" w:hAnsiTheme="minorHAnsi"/>
          <w:color w:val="auto"/>
          <w:szCs w:val="24"/>
        </w:rPr>
        <w:t>)</w:t>
      </w:r>
      <w:r w:rsidR="00B05966" w:rsidRPr="00FE2055">
        <w:rPr>
          <w:rFonts w:asciiTheme="minorHAnsi" w:hAnsiTheme="minorHAnsi"/>
          <w:color w:val="auto"/>
          <w:szCs w:val="24"/>
        </w:rPr>
        <w:t xml:space="preserve">.  </w:t>
      </w:r>
      <w:r w:rsidR="00FE2055" w:rsidRPr="00FE2055">
        <w:rPr>
          <w:rFonts w:asciiTheme="minorHAnsi" w:hAnsiTheme="minorHAnsi"/>
          <w:color w:val="auto"/>
          <w:szCs w:val="24"/>
        </w:rPr>
        <w:t xml:space="preserve">Although all </w:t>
      </w:r>
      <w:r w:rsidR="00FD18ED">
        <w:rPr>
          <w:rFonts w:asciiTheme="minorHAnsi" w:hAnsiTheme="minorHAnsi"/>
          <w:color w:val="auto"/>
          <w:szCs w:val="24"/>
        </w:rPr>
        <w:t xml:space="preserve">of </w:t>
      </w:r>
      <w:r w:rsidR="00FE2055" w:rsidRPr="00FE2055">
        <w:rPr>
          <w:rFonts w:asciiTheme="minorHAnsi" w:hAnsiTheme="minorHAnsi"/>
          <w:color w:val="auto"/>
          <w:szCs w:val="24"/>
        </w:rPr>
        <w:t xml:space="preserve">the </w:t>
      </w:r>
      <w:r w:rsidR="00FD18ED">
        <w:rPr>
          <w:rFonts w:asciiTheme="minorHAnsi" w:hAnsiTheme="minorHAnsi"/>
          <w:color w:val="auto"/>
          <w:szCs w:val="24"/>
        </w:rPr>
        <w:t xml:space="preserve">right knee conditions </w:t>
      </w:r>
      <w:r w:rsidR="00B05966" w:rsidRPr="00FE2055">
        <w:rPr>
          <w:rFonts w:asciiTheme="minorHAnsi" w:hAnsiTheme="minorHAnsi"/>
          <w:color w:val="auto"/>
          <w:szCs w:val="24"/>
        </w:rPr>
        <w:t xml:space="preserve">were </w:t>
      </w:r>
      <w:r w:rsidR="00FD18ED">
        <w:rPr>
          <w:rFonts w:asciiTheme="minorHAnsi" w:hAnsiTheme="minorHAnsi"/>
          <w:color w:val="auto"/>
          <w:szCs w:val="24"/>
        </w:rPr>
        <w:t>felt</w:t>
      </w:r>
      <w:r w:rsidR="00B05966" w:rsidRPr="00FE2055">
        <w:rPr>
          <w:rFonts w:asciiTheme="minorHAnsi" w:hAnsiTheme="minorHAnsi"/>
          <w:color w:val="auto"/>
          <w:szCs w:val="24"/>
        </w:rPr>
        <w:t xml:space="preserve"> to</w:t>
      </w:r>
      <w:r w:rsidR="00A908C5">
        <w:rPr>
          <w:rFonts w:asciiTheme="minorHAnsi" w:hAnsiTheme="minorHAnsi"/>
          <w:color w:val="auto"/>
          <w:szCs w:val="24"/>
        </w:rPr>
        <w:t xml:space="preserve"> have</w:t>
      </w:r>
      <w:r w:rsidR="00FE2055" w:rsidRPr="00FE2055">
        <w:rPr>
          <w:rFonts w:asciiTheme="minorHAnsi" w:hAnsiTheme="minorHAnsi"/>
          <w:color w:val="auto"/>
          <w:szCs w:val="24"/>
        </w:rPr>
        <w:t xml:space="preserve"> </w:t>
      </w:r>
      <w:r w:rsidR="00A908C5">
        <w:rPr>
          <w:rFonts w:asciiTheme="minorHAnsi" w:hAnsiTheme="minorHAnsi"/>
          <w:color w:val="auto"/>
          <w:szCs w:val="24"/>
        </w:rPr>
        <w:t>existed prior to service (</w:t>
      </w:r>
      <w:r w:rsidR="00B05966" w:rsidRPr="00FE2055">
        <w:rPr>
          <w:rFonts w:asciiTheme="minorHAnsi" w:hAnsiTheme="minorHAnsi"/>
          <w:color w:val="auto"/>
          <w:szCs w:val="24"/>
        </w:rPr>
        <w:t>EPTS</w:t>
      </w:r>
      <w:r w:rsidR="00A908C5">
        <w:rPr>
          <w:rFonts w:asciiTheme="minorHAnsi" w:hAnsiTheme="minorHAnsi"/>
          <w:color w:val="auto"/>
          <w:szCs w:val="24"/>
        </w:rPr>
        <w:t>)</w:t>
      </w:r>
      <w:r w:rsidR="00FD18ED">
        <w:rPr>
          <w:rFonts w:asciiTheme="minorHAnsi" w:hAnsiTheme="minorHAnsi"/>
          <w:color w:val="auto"/>
          <w:szCs w:val="24"/>
        </w:rPr>
        <w:t xml:space="preserve">, </w:t>
      </w:r>
      <w:r w:rsidR="00B05966" w:rsidRPr="00FE2055">
        <w:rPr>
          <w:rFonts w:asciiTheme="minorHAnsi" w:hAnsiTheme="minorHAnsi"/>
          <w:color w:val="auto"/>
          <w:szCs w:val="24"/>
        </w:rPr>
        <w:t>the PEB recommended no reduction of the rating percentage.</w:t>
      </w:r>
    </w:p>
    <w:p w:rsidR="00C22F3C" w:rsidRPr="00B05966" w:rsidRDefault="00C22F3C" w:rsidP="00FE2055">
      <w:pPr>
        <w:tabs>
          <w:tab w:val="left" w:pos="288"/>
          <w:tab w:val="left" w:pos="4752"/>
        </w:tabs>
        <w:spacing w:line="240" w:lineRule="exact"/>
        <w:jc w:val="both"/>
        <w:rPr>
          <w:rFonts w:asciiTheme="minorHAnsi" w:hAnsiTheme="minorHAnsi"/>
          <w:color w:val="auto"/>
          <w:szCs w:val="24"/>
        </w:rPr>
      </w:pPr>
    </w:p>
    <w:p w:rsidR="00AA2289" w:rsidRDefault="00BB75EA" w:rsidP="000F163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w:t>
      </w:r>
      <w:r w:rsidR="00891EBA">
        <w:rPr>
          <w:rFonts w:asciiTheme="minorHAnsi" w:hAnsiTheme="minorHAnsi"/>
          <w:color w:val="auto"/>
          <w:szCs w:val="24"/>
        </w:rPr>
        <w:t xml:space="preserve">e </w:t>
      </w:r>
      <w:r w:rsidR="00FD18ED">
        <w:rPr>
          <w:rFonts w:asciiTheme="minorHAnsi" w:hAnsiTheme="minorHAnsi"/>
          <w:color w:val="auto"/>
          <w:szCs w:val="24"/>
        </w:rPr>
        <w:t xml:space="preserve">CI had a </w:t>
      </w:r>
      <w:r w:rsidR="00A908C5">
        <w:rPr>
          <w:rFonts w:asciiTheme="minorHAnsi" w:hAnsiTheme="minorHAnsi"/>
          <w:color w:val="auto"/>
          <w:szCs w:val="24"/>
        </w:rPr>
        <w:t>c</w:t>
      </w:r>
      <w:r w:rsidR="00FD18ED">
        <w:rPr>
          <w:rFonts w:asciiTheme="minorHAnsi" w:hAnsiTheme="minorHAnsi"/>
          <w:color w:val="auto"/>
          <w:szCs w:val="24"/>
        </w:rPr>
        <w:t xml:space="preserve">ompensation and </w:t>
      </w:r>
      <w:r w:rsidR="00A908C5">
        <w:rPr>
          <w:rFonts w:asciiTheme="minorHAnsi" w:hAnsiTheme="minorHAnsi"/>
          <w:color w:val="auto"/>
          <w:szCs w:val="24"/>
        </w:rPr>
        <w:t>p</w:t>
      </w:r>
      <w:r w:rsidR="00FD18ED">
        <w:rPr>
          <w:rFonts w:asciiTheme="minorHAnsi" w:hAnsiTheme="minorHAnsi"/>
          <w:color w:val="auto"/>
          <w:szCs w:val="24"/>
        </w:rPr>
        <w:t>ension (</w:t>
      </w:r>
      <w:r w:rsidR="00891EBA">
        <w:rPr>
          <w:rFonts w:asciiTheme="minorHAnsi" w:hAnsiTheme="minorHAnsi"/>
          <w:color w:val="auto"/>
          <w:szCs w:val="24"/>
        </w:rPr>
        <w:t>C&amp;P</w:t>
      </w:r>
      <w:r w:rsidR="00FD18ED">
        <w:rPr>
          <w:rFonts w:asciiTheme="minorHAnsi" w:hAnsiTheme="minorHAnsi"/>
          <w:color w:val="auto"/>
          <w:szCs w:val="24"/>
        </w:rPr>
        <w:t>)</w:t>
      </w:r>
      <w:r w:rsidR="00891EBA">
        <w:rPr>
          <w:rFonts w:asciiTheme="minorHAnsi" w:hAnsiTheme="minorHAnsi"/>
          <w:color w:val="auto"/>
          <w:szCs w:val="24"/>
        </w:rPr>
        <w:t xml:space="preserve"> </w:t>
      </w:r>
      <w:r w:rsidR="00FD18ED">
        <w:rPr>
          <w:rFonts w:asciiTheme="minorHAnsi" w:hAnsiTheme="minorHAnsi"/>
          <w:color w:val="auto"/>
          <w:szCs w:val="24"/>
        </w:rPr>
        <w:t>e</w:t>
      </w:r>
      <w:r w:rsidR="00891EBA">
        <w:rPr>
          <w:rFonts w:asciiTheme="minorHAnsi" w:hAnsiTheme="minorHAnsi"/>
          <w:color w:val="auto"/>
          <w:szCs w:val="24"/>
        </w:rPr>
        <w:t>xam</w:t>
      </w:r>
      <w:r>
        <w:rPr>
          <w:rFonts w:asciiTheme="minorHAnsi" w:hAnsiTheme="minorHAnsi"/>
          <w:color w:val="auto"/>
          <w:szCs w:val="24"/>
        </w:rPr>
        <w:t xml:space="preserve"> on </w:t>
      </w:r>
      <w:r w:rsidR="0034104E">
        <w:rPr>
          <w:rFonts w:asciiTheme="minorHAnsi" w:hAnsiTheme="minorHAnsi"/>
          <w:color w:val="auto"/>
          <w:szCs w:val="24"/>
        </w:rPr>
        <w:t>2 August</w:t>
      </w:r>
      <w:r>
        <w:rPr>
          <w:rFonts w:asciiTheme="minorHAnsi" w:hAnsiTheme="minorHAnsi"/>
          <w:color w:val="auto"/>
          <w:szCs w:val="24"/>
        </w:rPr>
        <w:t xml:space="preserve"> </w:t>
      </w:r>
      <w:r w:rsidR="00920482">
        <w:rPr>
          <w:rFonts w:asciiTheme="minorHAnsi" w:hAnsiTheme="minorHAnsi"/>
          <w:color w:val="auto"/>
          <w:szCs w:val="24"/>
        </w:rPr>
        <w:t>2004</w:t>
      </w:r>
      <w:r>
        <w:rPr>
          <w:rFonts w:asciiTheme="minorHAnsi" w:hAnsiTheme="minorHAnsi"/>
          <w:color w:val="auto"/>
          <w:szCs w:val="24"/>
        </w:rPr>
        <w:t xml:space="preserve"> </w:t>
      </w:r>
      <w:r w:rsidR="00920482">
        <w:rPr>
          <w:rFonts w:asciiTheme="minorHAnsi" w:hAnsiTheme="minorHAnsi"/>
          <w:color w:val="auto"/>
          <w:szCs w:val="24"/>
        </w:rPr>
        <w:t>(</w:t>
      </w:r>
      <w:r w:rsidR="00A908C5">
        <w:rPr>
          <w:rFonts w:asciiTheme="minorHAnsi" w:hAnsiTheme="minorHAnsi"/>
          <w:color w:val="auto"/>
          <w:szCs w:val="24"/>
        </w:rPr>
        <w:t>one month</w:t>
      </w:r>
      <w:r>
        <w:rPr>
          <w:rFonts w:asciiTheme="minorHAnsi" w:hAnsiTheme="minorHAnsi"/>
          <w:color w:val="auto"/>
          <w:szCs w:val="24"/>
        </w:rPr>
        <w:t xml:space="preserve"> </w:t>
      </w:r>
      <w:r w:rsidR="00FD18ED">
        <w:rPr>
          <w:rFonts w:asciiTheme="minorHAnsi" w:hAnsiTheme="minorHAnsi"/>
          <w:color w:val="auto"/>
          <w:szCs w:val="24"/>
        </w:rPr>
        <w:t>after</w:t>
      </w:r>
      <w:r w:rsidR="00891EBA">
        <w:rPr>
          <w:rFonts w:asciiTheme="minorHAnsi" w:hAnsiTheme="minorHAnsi"/>
          <w:color w:val="auto"/>
          <w:szCs w:val="24"/>
        </w:rPr>
        <w:t xml:space="preserve"> separatio</w:t>
      </w:r>
      <w:r w:rsidR="00920482">
        <w:rPr>
          <w:rFonts w:asciiTheme="minorHAnsi" w:hAnsiTheme="minorHAnsi"/>
          <w:color w:val="auto"/>
          <w:szCs w:val="24"/>
        </w:rPr>
        <w:t>n)</w:t>
      </w:r>
      <w:r w:rsidR="00FD18ED">
        <w:rPr>
          <w:rFonts w:asciiTheme="minorHAnsi" w:hAnsiTheme="minorHAnsi"/>
          <w:color w:val="auto"/>
          <w:szCs w:val="24"/>
        </w:rPr>
        <w:t xml:space="preserve">. </w:t>
      </w:r>
      <w:r w:rsidR="00AA2289">
        <w:rPr>
          <w:rFonts w:asciiTheme="minorHAnsi" w:hAnsiTheme="minorHAnsi"/>
          <w:color w:val="auto"/>
          <w:szCs w:val="24"/>
        </w:rPr>
        <w:t>At that exam, t</w:t>
      </w:r>
      <w:r w:rsidR="00B34DCF">
        <w:rPr>
          <w:rFonts w:asciiTheme="minorHAnsi" w:hAnsiTheme="minorHAnsi"/>
          <w:color w:val="auto"/>
          <w:szCs w:val="24"/>
        </w:rPr>
        <w:t>here was no instability and no pain with range</w:t>
      </w:r>
      <w:r w:rsidR="00A908C5">
        <w:rPr>
          <w:rFonts w:asciiTheme="minorHAnsi" w:hAnsiTheme="minorHAnsi"/>
          <w:color w:val="auto"/>
          <w:szCs w:val="24"/>
        </w:rPr>
        <w:t xml:space="preserve"> </w:t>
      </w:r>
      <w:r w:rsidR="00B34DCF">
        <w:rPr>
          <w:rFonts w:asciiTheme="minorHAnsi" w:hAnsiTheme="minorHAnsi"/>
          <w:color w:val="auto"/>
          <w:szCs w:val="24"/>
        </w:rPr>
        <w:t>of</w:t>
      </w:r>
      <w:r w:rsidR="00A908C5">
        <w:rPr>
          <w:rFonts w:asciiTheme="minorHAnsi" w:hAnsiTheme="minorHAnsi"/>
          <w:color w:val="auto"/>
          <w:szCs w:val="24"/>
        </w:rPr>
        <w:t xml:space="preserve"> </w:t>
      </w:r>
      <w:r w:rsidR="00B34DCF">
        <w:rPr>
          <w:rFonts w:asciiTheme="minorHAnsi" w:hAnsiTheme="minorHAnsi"/>
          <w:color w:val="auto"/>
          <w:szCs w:val="24"/>
        </w:rPr>
        <w:t xml:space="preserve">motion </w:t>
      </w:r>
      <w:r w:rsidR="00AA2289">
        <w:rPr>
          <w:rFonts w:asciiTheme="minorHAnsi" w:hAnsiTheme="minorHAnsi"/>
          <w:color w:val="auto"/>
          <w:szCs w:val="24"/>
        </w:rPr>
        <w:t xml:space="preserve">(ROM) </w:t>
      </w:r>
      <w:r w:rsidR="00B34DCF">
        <w:rPr>
          <w:rFonts w:asciiTheme="minorHAnsi" w:hAnsiTheme="minorHAnsi"/>
          <w:color w:val="auto"/>
          <w:szCs w:val="24"/>
        </w:rPr>
        <w:t xml:space="preserve">testing.  Scars from </w:t>
      </w:r>
      <w:r w:rsidR="00AA2289">
        <w:rPr>
          <w:rFonts w:asciiTheme="minorHAnsi" w:hAnsiTheme="minorHAnsi"/>
          <w:color w:val="auto"/>
          <w:szCs w:val="24"/>
        </w:rPr>
        <w:t>previous surgery</w:t>
      </w:r>
      <w:r w:rsidR="00B34DCF">
        <w:rPr>
          <w:rFonts w:asciiTheme="minorHAnsi" w:hAnsiTheme="minorHAnsi"/>
          <w:color w:val="auto"/>
          <w:szCs w:val="24"/>
        </w:rPr>
        <w:t xml:space="preserve"> were noted to be well</w:t>
      </w:r>
      <w:r w:rsidR="00A908C5">
        <w:rPr>
          <w:rFonts w:asciiTheme="minorHAnsi" w:hAnsiTheme="minorHAnsi"/>
          <w:color w:val="auto"/>
          <w:szCs w:val="24"/>
        </w:rPr>
        <w:t>-</w:t>
      </w:r>
      <w:r w:rsidR="00B34DCF">
        <w:rPr>
          <w:rFonts w:asciiTheme="minorHAnsi" w:hAnsiTheme="minorHAnsi"/>
          <w:color w:val="auto"/>
          <w:szCs w:val="24"/>
        </w:rPr>
        <w:t xml:space="preserve">healed.  He </w:t>
      </w:r>
      <w:r w:rsidR="00AA2289">
        <w:rPr>
          <w:rFonts w:asciiTheme="minorHAnsi" w:hAnsiTheme="minorHAnsi"/>
          <w:color w:val="auto"/>
          <w:szCs w:val="24"/>
        </w:rPr>
        <w:t>was using</w:t>
      </w:r>
      <w:r w:rsidR="00B34DCF">
        <w:rPr>
          <w:rFonts w:asciiTheme="minorHAnsi" w:hAnsiTheme="minorHAnsi"/>
          <w:color w:val="auto"/>
          <w:szCs w:val="24"/>
        </w:rPr>
        <w:t xml:space="preserve"> a knee brace and was able to walk </w:t>
      </w:r>
      <w:r w:rsidR="00A908C5">
        <w:rPr>
          <w:rFonts w:asciiTheme="minorHAnsi" w:hAnsiTheme="minorHAnsi"/>
          <w:color w:val="auto"/>
          <w:szCs w:val="24"/>
        </w:rPr>
        <w:t>one</w:t>
      </w:r>
      <w:r w:rsidR="00B34DCF">
        <w:rPr>
          <w:rFonts w:asciiTheme="minorHAnsi" w:hAnsiTheme="minorHAnsi"/>
          <w:color w:val="auto"/>
          <w:szCs w:val="24"/>
        </w:rPr>
        <w:t xml:space="preserve"> mi</w:t>
      </w:r>
      <w:r w:rsidR="00442252">
        <w:rPr>
          <w:rFonts w:asciiTheme="minorHAnsi" w:hAnsiTheme="minorHAnsi"/>
          <w:color w:val="auto"/>
          <w:szCs w:val="24"/>
        </w:rPr>
        <w:t>le</w:t>
      </w:r>
      <w:r w:rsidR="00AA2289">
        <w:rPr>
          <w:rFonts w:asciiTheme="minorHAnsi" w:hAnsiTheme="minorHAnsi"/>
          <w:color w:val="auto"/>
          <w:szCs w:val="24"/>
        </w:rPr>
        <w:t>,</w:t>
      </w:r>
      <w:r w:rsidR="00442252">
        <w:rPr>
          <w:rFonts w:asciiTheme="minorHAnsi" w:hAnsiTheme="minorHAnsi"/>
          <w:color w:val="auto"/>
          <w:szCs w:val="24"/>
        </w:rPr>
        <w:t xml:space="preserve"> but had difficulty running.</w:t>
      </w:r>
      <w:r w:rsidR="00AA2289">
        <w:rPr>
          <w:rFonts w:asciiTheme="minorHAnsi" w:hAnsiTheme="minorHAnsi"/>
          <w:color w:val="auto"/>
          <w:szCs w:val="24"/>
        </w:rPr>
        <w:t xml:space="preserve">  The CI had another VA C&amp;P exam two years later.  The </w:t>
      </w:r>
      <w:r w:rsidR="000F1639">
        <w:rPr>
          <w:rFonts w:asciiTheme="minorHAnsi" w:hAnsiTheme="minorHAnsi"/>
          <w:color w:val="auto"/>
          <w:szCs w:val="24"/>
        </w:rPr>
        <w:t xml:space="preserve">goniometric </w:t>
      </w:r>
      <w:r w:rsidR="00AA2289">
        <w:rPr>
          <w:rFonts w:asciiTheme="minorHAnsi" w:hAnsiTheme="minorHAnsi"/>
          <w:color w:val="auto"/>
          <w:szCs w:val="24"/>
        </w:rPr>
        <w:t>ROM from both VA exams is summarized in the table below</w:t>
      </w:r>
      <w:r w:rsidR="00A908C5">
        <w:rPr>
          <w:rFonts w:asciiTheme="minorHAnsi" w:hAnsiTheme="minorHAnsi"/>
          <w:color w:val="auto"/>
          <w:szCs w:val="24"/>
        </w:rPr>
        <w:t>:</w:t>
      </w:r>
      <w:r w:rsidR="00442252">
        <w:rPr>
          <w:rFonts w:asciiTheme="minorHAnsi" w:hAnsiTheme="minorHAnsi"/>
          <w:color w:val="auto"/>
          <w:szCs w:val="24"/>
        </w:rPr>
        <w:t xml:space="preserve">  </w:t>
      </w:r>
    </w:p>
    <w:p w:rsidR="00AA2289" w:rsidRDefault="00AA2289" w:rsidP="00AA2289">
      <w:pPr>
        <w:autoSpaceDE w:val="0"/>
        <w:autoSpaceDN w:val="0"/>
        <w:adjustRightInd w:val="0"/>
        <w:spacing w:line="240" w:lineRule="exact"/>
        <w:jc w:val="both"/>
        <w:rPr>
          <w:rFonts w:asciiTheme="minorHAnsi" w:hAnsiTheme="minorHAnsi"/>
          <w:color w:val="auto"/>
          <w:szCs w:val="24"/>
        </w:rPr>
      </w:pPr>
    </w:p>
    <w:tbl>
      <w:tblPr>
        <w:tblW w:w="8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1"/>
        <w:gridCol w:w="2970"/>
        <w:gridCol w:w="2910"/>
      </w:tblGrid>
      <w:tr w:rsidR="00AA2289" w:rsidRPr="00EC612F" w:rsidTr="00A908C5">
        <w:trPr>
          <w:jc w:val="center"/>
        </w:trPr>
        <w:tc>
          <w:tcPr>
            <w:tcW w:w="2641" w:type="dxa"/>
            <w:shd w:val="clear" w:color="auto" w:fill="D9D9D9" w:themeFill="background1" w:themeFillShade="D9"/>
          </w:tcPr>
          <w:p w:rsidR="00AA2289" w:rsidRPr="00F4481A" w:rsidRDefault="00AA2289" w:rsidP="00186D32">
            <w:pPr>
              <w:spacing w:line="200" w:lineRule="exact"/>
              <w:contextualSpacing/>
              <w:jc w:val="center"/>
              <w:rPr>
                <w:rFonts w:ascii="Calibri" w:eastAsia="Calibri" w:hAnsi="Calibri"/>
                <w:color w:val="auto"/>
                <w:sz w:val="20"/>
              </w:rPr>
            </w:pPr>
            <w:r w:rsidRPr="00F4481A">
              <w:rPr>
                <w:rFonts w:ascii="Calibri" w:eastAsia="Calibri" w:hAnsi="Calibri"/>
                <w:color w:val="auto"/>
                <w:sz w:val="20"/>
              </w:rPr>
              <w:t>Right Knee</w:t>
            </w:r>
          </w:p>
        </w:tc>
        <w:tc>
          <w:tcPr>
            <w:tcW w:w="5880" w:type="dxa"/>
            <w:gridSpan w:val="2"/>
            <w:shd w:val="clear" w:color="auto" w:fill="D9D9D9" w:themeFill="background1" w:themeFillShade="D9"/>
          </w:tcPr>
          <w:p w:rsidR="00AA2289" w:rsidRPr="00B56B23" w:rsidRDefault="00AA2289" w:rsidP="00186D32">
            <w:pPr>
              <w:spacing w:line="200" w:lineRule="exact"/>
              <w:contextualSpacing/>
              <w:jc w:val="center"/>
              <w:rPr>
                <w:rFonts w:ascii="Calibri" w:eastAsia="Calibri" w:hAnsi="Calibri"/>
                <w:color w:val="auto"/>
                <w:sz w:val="20"/>
              </w:rPr>
            </w:pPr>
            <w:r w:rsidRPr="00B56B23">
              <w:rPr>
                <w:rFonts w:ascii="Calibri" w:eastAsia="Calibri" w:hAnsi="Calibri"/>
                <w:color w:val="auto"/>
                <w:sz w:val="20"/>
              </w:rPr>
              <w:t>Separation Date: 20040630</w:t>
            </w:r>
          </w:p>
        </w:tc>
      </w:tr>
      <w:tr w:rsidR="003D377E" w:rsidRPr="00EC612F" w:rsidTr="00A908C5">
        <w:trPr>
          <w:jc w:val="center"/>
        </w:trPr>
        <w:tc>
          <w:tcPr>
            <w:tcW w:w="2641" w:type="dxa"/>
            <w:shd w:val="clear" w:color="auto" w:fill="D9D9D9" w:themeFill="background1" w:themeFillShade="D9"/>
            <w:vAlign w:val="center"/>
          </w:tcPr>
          <w:p w:rsidR="003D377E" w:rsidRPr="00B56B23" w:rsidRDefault="003D377E" w:rsidP="00186D32">
            <w:pPr>
              <w:spacing w:line="200" w:lineRule="exact"/>
              <w:contextualSpacing/>
              <w:jc w:val="center"/>
              <w:rPr>
                <w:rFonts w:ascii="Calibri" w:eastAsia="Calibri" w:hAnsi="Calibri"/>
                <w:color w:val="auto"/>
                <w:sz w:val="20"/>
              </w:rPr>
            </w:pPr>
            <w:r w:rsidRPr="00B56B23">
              <w:rPr>
                <w:rFonts w:ascii="Calibri" w:eastAsia="Calibri" w:hAnsi="Calibri"/>
                <w:color w:val="auto"/>
                <w:sz w:val="20"/>
              </w:rPr>
              <w:t>Goniometric ROM</w:t>
            </w:r>
          </w:p>
        </w:tc>
        <w:tc>
          <w:tcPr>
            <w:tcW w:w="2970" w:type="dxa"/>
            <w:shd w:val="clear" w:color="auto" w:fill="D9D9D9" w:themeFill="background1" w:themeFillShade="D9"/>
            <w:vAlign w:val="center"/>
          </w:tcPr>
          <w:p w:rsidR="003D377E" w:rsidRPr="00B56B23" w:rsidRDefault="003D377E" w:rsidP="00186D32">
            <w:pPr>
              <w:spacing w:line="200" w:lineRule="exact"/>
              <w:contextualSpacing/>
              <w:jc w:val="center"/>
              <w:rPr>
                <w:rFonts w:ascii="Calibri" w:eastAsia="Calibri" w:hAnsi="Calibri"/>
                <w:color w:val="auto"/>
                <w:sz w:val="20"/>
              </w:rPr>
            </w:pPr>
            <w:r w:rsidRPr="00B56B23">
              <w:rPr>
                <w:rFonts w:ascii="Calibri" w:eastAsia="Calibri" w:hAnsi="Calibri"/>
                <w:color w:val="auto"/>
                <w:sz w:val="20"/>
              </w:rPr>
              <w:t>VA C&amp;P – 200</w:t>
            </w:r>
            <w:r>
              <w:rPr>
                <w:rFonts w:ascii="Calibri" w:eastAsia="Calibri" w:hAnsi="Calibri"/>
                <w:color w:val="auto"/>
                <w:sz w:val="20"/>
              </w:rPr>
              <w:t>40802</w:t>
            </w:r>
          </w:p>
          <w:p w:rsidR="003D377E" w:rsidRPr="00B56B23" w:rsidRDefault="003D377E" w:rsidP="00186D32">
            <w:pPr>
              <w:spacing w:line="200" w:lineRule="exact"/>
              <w:contextualSpacing/>
              <w:jc w:val="center"/>
              <w:rPr>
                <w:rFonts w:ascii="Calibri" w:eastAsia="Calibri" w:hAnsi="Calibri"/>
                <w:color w:val="auto"/>
                <w:sz w:val="20"/>
              </w:rPr>
            </w:pPr>
            <w:r w:rsidRPr="00B56B23">
              <w:rPr>
                <w:rFonts w:ascii="Calibri" w:eastAsia="Calibri" w:hAnsi="Calibri"/>
                <w:color w:val="auto"/>
                <w:sz w:val="20"/>
              </w:rPr>
              <w:t>1 mo</w:t>
            </w:r>
            <w:r>
              <w:rPr>
                <w:rFonts w:ascii="Calibri" w:eastAsia="Calibri" w:hAnsi="Calibri"/>
                <w:color w:val="auto"/>
                <w:sz w:val="20"/>
              </w:rPr>
              <w:t>nth</w:t>
            </w:r>
            <w:r w:rsidRPr="00B56B23">
              <w:rPr>
                <w:rFonts w:ascii="Calibri" w:eastAsia="Calibri" w:hAnsi="Calibri"/>
                <w:color w:val="auto"/>
                <w:sz w:val="20"/>
              </w:rPr>
              <w:t xml:space="preserve"> post-separation</w:t>
            </w:r>
          </w:p>
        </w:tc>
        <w:tc>
          <w:tcPr>
            <w:tcW w:w="2910" w:type="dxa"/>
            <w:shd w:val="clear" w:color="auto" w:fill="D9D9D9" w:themeFill="background1" w:themeFillShade="D9"/>
            <w:vAlign w:val="center"/>
          </w:tcPr>
          <w:p w:rsidR="003D377E" w:rsidRPr="00B56B23" w:rsidRDefault="003D377E" w:rsidP="00186D32">
            <w:pPr>
              <w:spacing w:line="200" w:lineRule="exact"/>
              <w:contextualSpacing/>
              <w:jc w:val="center"/>
              <w:rPr>
                <w:rFonts w:ascii="Calibri" w:eastAsia="Calibri" w:hAnsi="Calibri"/>
                <w:color w:val="auto"/>
                <w:sz w:val="20"/>
              </w:rPr>
            </w:pPr>
            <w:r w:rsidRPr="00B56B23">
              <w:rPr>
                <w:rFonts w:ascii="Calibri" w:eastAsia="Calibri" w:hAnsi="Calibri"/>
                <w:color w:val="auto"/>
                <w:sz w:val="20"/>
              </w:rPr>
              <w:t>VA</w:t>
            </w:r>
            <w:r w:rsidRPr="00B56B23">
              <w:rPr>
                <w:rFonts w:ascii="Calibri" w:eastAsiaTheme="minorHAnsi" w:hAnsi="Calibri" w:cstheme="minorBidi"/>
                <w:color w:val="auto"/>
                <w:sz w:val="20"/>
              </w:rPr>
              <w:t xml:space="preserve"> C&amp;P – </w:t>
            </w:r>
            <w:r w:rsidRPr="00B56B23">
              <w:rPr>
                <w:rFonts w:ascii="Calibri" w:eastAsia="Calibri" w:hAnsi="Calibri"/>
                <w:color w:val="auto"/>
                <w:sz w:val="20"/>
              </w:rPr>
              <w:t>200</w:t>
            </w:r>
            <w:r>
              <w:rPr>
                <w:rFonts w:ascii="Calibri" w:eastAsia="Calibri" w:hAnsi="Calibri"/>
                <w:color w:val="auto"/>
                <w:sz w:val="20"/>
              </w:rPr>
              <w:t>60614</w:t>
            </w:r>
          </w:p>
          <w:p w:rsidR="003D377E" w:rsidRPr="00B56B23" w:rsidRDefault="003D377E" w:rsidP="00AA2289">
            <w:pPr>
              <w:spacing w:line="200" w:lineRule="exact"/>
              <w:contextualSpacing/>
              <w:jc w:val="center"/>
              <w:rPr>
                <w:rFonts w:ascii="Calibri" w:eastAsiaTheme="minorHAnsi" w:hAnsi="Calibri" w:cstheme="minorBidi"/>
                <w:color w:val="auto"/>
                <w:sz w:val="20"/>
              </w:rPr>
            </w:pPr>
            <w:r w:rsidRPr="00B56B23">
              <w:rPr>
                <w:rFonts w:ascii="Calibri" w:eastAsia="Calibri" w:hAnsi="Calibri"/>
                <w:color w:val="auto"/>
                <w:sz w:val="20"/>
              </w:rPr>
              <w:t>2</w:t>
            </w:r>
            <w:r>
              <w:rPr>
                <w:rFonts w:ascii="Calibri" w:eastAsia="Calibri" w:hAnsi="Calibri"/>
                <w:color w:val="auto"/>
                <w:sz w:val="20"/>
              </w:rPr>
              <w:t>4 months</w:t>
            </w:r>
            <w:r w:rsidRPr="00B56B23">
              <w:rPr>
                <w:rFonts w:ascii="Calibri" w:eastAsia="Calibri" w:hAnsi="Calibri"/>
                <w:color w:val="auto"/>
                <w:sz w:val="20"/>
              </w:rPr>
              <w:t xml:space="preserve"> post-separation</w:t>
            </w:r>
          </w:p>
        </w:tc>
      </w:tr>
      <w:tr w:rsidR="003D377E" w:rsidRPr="00EC612F" w:rsidTr="00A908C5">
        <w:trPr>
          <w:jc w:val="center"/>
        </w:trPr>
        <w:tc>
          <w:tcPr>
            <w:tcW w:w="2641" w:type="dxa"/>
          </w:tcPr>
          <w:p w:rsidR="003D377E" w:rsidRPr="00B56B23" w:rsidRDefault="003D377E" w:rsidP="00A908C5">
            <w:pPr>
              <w:spacing w:line="180" w:lineRule="exact"/>
              <w:contextualSpacing/>
              <w:rPr>
                <w:rFonts w:ascii="Calibri" w:eastAsia="Calibri" w:hAnsi="Calibri"/>
                <w:color w:val="auto"/>
                <w:sz w:val="18"/>
                <w:szCs w:val="18"/>
              </w:rPr>
            </w:pPr>
            <w:r w:rsidRPr="00B56B23">
              <w:rPr>
                <w:rFonts w:ascii="Calibri" w:eastAsia="Calibri" w:hAnsi="Calibri"/>
                <w:color w:val="auto"/>
                <w:sz w:val="18"/>
                <w:szCs w:val="18"/>
              </w:rPr>
              <w:t>Flexion (140⁰ is normal)</w:t>
            </w:r>
          </w:p>
        </w:tc>
        <w:tc>
          <w:tcPr>
            <w:tcW w:w="2970" w:type="dxa"/>
          </w:tcPr>
          <w:p w:rsidR="003D377E" w:rsidRPr="00B56B23" w:rsidRDefault="003D377E" w:rsidP="00186D32">
            <w:pPr>
              <w:spacing w:line="180" w:lineRule="exact"/>
              <w:contextualSpacing/>
              <w:jc w:val="center"/>
              <w:rPr>
                <w:rFonts w:ascii="Calibri" w:eastAsia="Calibri" w:hAnsi="Calibri"/>
                <w:color w:val="auto"/>
                <w:sz w:val="18"/>
                <w:szCs w:val="18"/>
              </w:rPr>
            </w:pPr>
            <w:r w:rsidRPr="00B56B23">
              <w:rPr>
                <w:rFonts w:ascii="Calibri" w:eastAsia="Calibri" w:hAnsi="Calibri"/>
                <w:color w:val="auto"/>
                <w:sz w:val="18"/>
                <w:szCs w:val="18"/>
              </w:rPr>
              <w:t>105⁰</w:t>
            </w:r>
          </w:p>
        </w:tc>
        <w:tc>
          <w:tcPr>
            <w:tcW w:w="2910" w:type="dxa"/>
          </w:tcPr>
          <w:p w:rsidR="003D377E" w:rsidRPr="00B56B23" w:rsidRDefault="003D377E" w:rsidP="00186D32">
            <w:pPr>
              <w:spacing w:line="180" w:lineRule="exact"/>
              <w:contextualSpacing/>
              <w:jc w:val="center"/>
              <w:rPr>
                <w:rFonts w:ascii="Calibri" w:eastAsia="Calibri" w:hAnsi="Calibri"/>
                <w:color w:val="auto"/>
                <w:sz w:val="18"/>
                <w:szCs w:val="18"/>
              </w:rPr>
            </w:pPr>
            <w:r w:rsidRPr="00B56B23">
              <w:rPr>
                <w:rFonts w:ascii="Calibri" w:eastAsia="Calibri" w:hAnsi="Calibri"/>
                <w:color w:val="auto"/>
                <w:sz w:val="18"/>
                <w:szCs w:val="18"/>
              </w:rPr>
              <w:t xml:space="preserve">120⁰ </w:t>
            </w:r>
          </w:p>
        </w:tc>
      </w:tr>
      <w:tr w:rsidR="003D377E" w:rsidRPr="00EC612F" w:rsidTr="00A908C5">
        <w:trPr>
          <w:jc w:val="center"/>
        </w:trPr>
        <w:tc>
          <w:tcPr>
            <w:tcW w:w="2641" w:type="dxa"/>
          </w:tcPr>
          <w:p w:rsidR="003D377E" w:rsidRPr="00B56B23" w:rsidRDefault="003D377E" w:rsidP="00A908C5">
            <w:pPr>
              <w:spacing w:line="180" w:lineRule="exact"/>
              <w:contextualSpacing/>
              <w:rPr>
                <w:rFonts w:ascii="Calibri" w:eastAsia="Calibri" w:hAnsi="Calibri"/>
                <w:color w:val="auto"/>
                <w:sz w:val="18"/>
                <w:szCs w:val="18"/>
              </w:rPr>
            </w:pPr>
            <w:r w:rsidRPr="00B56B23">
              <w:rPr>
                <w:rFonts w:ascii="Calibri" w:eastAsia="Calibri" w:hAnsi="Calibri"/>
                <w:color w:val="auto"/>
                <w:sz w:val="18"/>
                <w:szCs w:val="18"/>
              </w:rPr>
              <w:t>Extension (0⁰ is normal)</w:t>
            </w:r>
          </w:p>
        </w:tc>
        <w:tc>
          <w:tcPr>
            <w:tcW w:w="2970" w:type="dxa"/>
          </w:tcPr>
          <w:p w:rsidR="003D377E" w:rsidRPr="00B56B23" w:rsidRDefault="003D377E" w:rsidP="00186D32">
            <w:pPr>
              <w:spacing w:line="180" w:lineRule="exact"/>
              <w:contextualSpacing/>
              <w:jc w:val="center"/>
              <w:rPr>
                <w:rFonts w:ascii="Calibri" w:eastAsia="Calibri" w:hAnsi="Calibri"/>
                <w:color w:val="auto"/>
                <w:sz w:val="18"/>
                <w:szCs w:val="18"/>
              </w:rPr>
            </w:pPr>
            <w:r w:rsidRPr="00B56B23">
              <w:rPr>
                <w:rFonts w:ascii="Calibri" w:eastAsia="Calibri" w:hAnsi="Calibri"/>
                <w:color w:val="auto"/>
                <w:sz w:val="18"/>
                <w:szCs w:val="18"/>
              </w:rPr>
              <w:t>0⁰</w:t>
            </w:r>
          </w:p>
        </w:tc>
        <w:tc>
          <w:tcPr>
            <w:tcW w:w="2910" w:type="dxa"/>
          </w:tcPr>
          <w:p w:rsidR="003D377E" w:rsidRPr="00B56B23" w:rsidRDefault="003D377E" w:rsidP="00186D32">
            <w:pPr>
              <w:spacing w:line="180" w:lineRule="exact"/>
              <w:contextualSpacing/>
              <w:jc w:val="center"/>
              <w:rPr>
                <w:rFonts w:ascii="Calibri" w:eastAsia="Calibri" w:hAnsi="Calibri"/>
                <w:color w:val="auto"/>
                <w:sz w:val="18"/>
                <w:szCs w:val="18"/>
              </w:rPr>
            </w:pPr>
            <w:r w:rsidRPr="00B56B23">
              <w:rPr>
                <w:rFonts w:ascii="Calibri" w:eastAsia="Calibri" w:hAnsi="Calibri"/>
                <w:color w:val="auto"/>
                <w:sz w:val="18"/>
                <w:szCs w:val="18"/>
              </w:rPr>
              <w:t>0⁰</w:t>
            </w:r>
          </w:p>
        </w:tc>
      </w:tr>
      <w:tr w:rsidR="003D377E" w:rsidRPr="00EC612F" w:rsidTr="00A908C5">
        <w:trPr>
          <w:jc w:val="center"/>
        </w:trPr>
        <w:tc>
          <w:tcPr>
            <w:tcW w:w="2641" w:type="dxa"/>
          </w:tcPr>
          <w:p w:rsidR="003D377E" w:rsidRPr="00B56B23" w:rsidRDefault="003D377E" w:rsidP="00A908C5">
            <w:pPr>
              <w:tabs>
                <w:tab w:val="left" w:pos="288"/>
                <w:tab w:val="left" w:pos="4752"/>
              </w:tabs>
              <w:spacing w:line="180" w:lineRule="exact"/>
              <w:rPr>
                <w:rFonts w:asciiTheme="minorHAnsi" w:eastAsiaTheme="minorHAnsi" w:hAnsiTheme="minorHAnsi"/>
                <w:color w:val="auto"/>
                <w:sz w:val="18"/>
                <w:szCs w:val="18"/>
              </w:rPr>
            </w:pPr>
            <w:r w:rsidRPr="00B56B23">
              <w:rPr>
                <w:rFonts w:asciiTheme="minorHAnsi" w:eastAsiaTheme="minorHAnsi" w:hAnsiTheme="minorHAnsi"/>
                <w:color w:val="auto"/>
                <w:sz w:val="18"/>
                <w:szCs w:val="18"/>
              </w:rPr>
              <w:t>§4.71a Rating</w:t>
            </w:r>
          </w:p>
        </w:tc>
        <w:tc>
          <w:tcPr>
            <w:tcW w:w="2970" w:type="dxa"/>
          </w:tcPr>
          <w:p w:rsidR="003D377E" w:rsidRPr="00B56B23" w:rsidRDefault="003D377E" w:rsidP="00186D32">
            <w:pPr>
              <w:tabs>
                <w:tab w:val="left" w:pos="288"/>
                <w:tab w:val="left" w:pos="4752"/>
              </w:tabs>
              <w:spacing w:line="180" w:lineRule="exact"/>
              <w:jc w:val="center"/>
              <w:rPr>
                <w:rFonts w:asciiTheme="minorHAnsi" w:eastAsiaTheme="minorHAnsi" w:hAnsiTheme="minorHAnsi"/>
                <w:color w:val="auto"/>
                <w:sz w:val="18"/>
                <w:szCs w:val="18"/>
              </w:rPr>
            </w:pPr>
            <w:r w:rsidRPr="00B56B23">
              <w:rPr>
                <w:rFonts w:asciiTheme="minorHAnsi" w:eastAsiaTheme="minorHAnsi" w:hAnsiTheme="minorHAnsi"/>
                <w:color w:val="auto"/>
                <w:sz w:val="18"/>
                <w:szCs w:val="18"/>
              </w:rPr>
              <w:t>0%</w:t>
            </w:r>
          </w:p>
        </w:tc>
        <w:tc>
          <w:tcPr>
            <w:tcW w:w="2910" w:type="dxa"/>
          </w:tcPr>
          <w:p w:rsidR="003D377E" w:rsidRPr="00B56B23" w:rsidRDefault="003D377E" w:rsidP="00186D32">
            <w:pPr>
              <w:tabs>
                <w:tab w:val="left" w:pos="288"/>
                <w:tab w:val="left" w:pos="4752"/>
              </w:tabs>
              <w:spacing w:line="180" w:lineRule="exact"/>
              <w:jc w:val="center"/>
              <w:rPr>
                <w:rFonts w:asciiTheme="minorHAnsi" w:eastAsiaTheme="minorHAnsi" w:hAnsiTheme="minorHAnsi"/>
                <w:color w:val="auto"/>
                <w:sz w:val="18"/>
                <w:szCs w:val="18"/>
              </w:rPr>
            </w:pPr>
            <w:r w:rsidRPr="00B56B23">
              <w:rPr>
                <w:rFonts w:asciiTheme="minorHAnsi" w:eastAsiaTheme="minorHAnsi" w:hAnsiTheme="minorHAnsi"/>
                <w:color w:val="auto"/>
                <w:sz w:val="18"/>
                <w:szCs w:val="18"/>
              </w:rPr>
              <w:t>10%</w:t>
            </w:r>
          </w:p>
        </w:tc>
      </w:tr>
      <w:tr w:rsidR="003D377E" w:rsidRPr="00EC612F" w:rsidTr="00A908C5">
        <w:trPr>
          <w:jc w:val="center"/>
        </w:trPr>
        <w:tc>
          <w:tcPr>
            <w:tcW w:w="2641" w:type="dxa"/>
            <w:vAlign w:val="center"/>
          </w:tcPr>
          <w:p w:rsidR="003D377E" w:rsidRPr="00B56B23" w:rsidRDefault="003D377E" w:rsidP="00A908C5">
            <w:pPr>
              <w:tabs>
                <w:tab w:val="left" w:pos="288"/>
                <w:tab w:val="left" w:pos="4752"/>
              </w:tabs>
              <w:spacing w:line="180" w:lineRule="exact"/>
              <w:rPr>
                <w:rFonts w:asciiTheme="minorHAnsi" w:eastAsiaTheme="minorHAnsi" w:hAnsiTheme="minorHAnsi"/>
                <w:color w:val="auto"/>
                <w:sz w:val="18"/>
                <w:szCs w:val="18"/>
              </w:rPr>
            </w:pPr>
            <w:r w:rsidRPr="00B56B23">
              <w:rPr>
                <w:rFonts w:asciiTheme="minorHAnsi" w:eastAsiaTheme="minorHAnsi" w:hAnsiTheme="minorHAnsi"/>
                <w:color w:val="auto"/>
                <w:sz w:val="18"/>
                <w:szCs w:val="18"/>
              </w:rPr>
              <w:t>Comments</w:t>
            </w:r>
          </w:p>
        </w:tc>
        <w:tc>
          <w:tcPr>
            <w:tcW w:w="2970" w:type="dxa"/>
            <w:vAlign w:val="center"/>
          </w:tcPr>
          <w:p w:rsidR="003D377E" w:rsidRPr="00B56B23" w:rsidRDefault="003D377E" w:rsidP="003E0DFA">
            <w:pPr>
              <w:tabs>
                <w:tab w:val="left" w:pos="288"/>
                <w:tab w:val="left" w:pos="4752"/>
              </w:tabs>
              <w:spacing w:line="180" w:lineRule="exact"/>
              <w:jc w:val="center"/>
              <w:rPr>
                <w:rFonts w:asciiTheme="minorHAnsi" w:eastAsiaTheme="minorHAnsi" w:hAnsiTheme="minorHAnsi"/>
                <w:color w:val="auto"/>
                <w:sz w:val="18"/>
                <w:szCs w:val="18"/>
              </w:rPr>
            </w:pPr>
            <w:r w:rsidRPr="00B56B23">
              <w:rPr>
                <w:rFonts w:asciiTheme="minorHAnsi" w:eastAsiaTheme="minorHAnsi" w:hAnsiTheme="minorHAnsi"/>
                <w:color w:val="auto"/>
                <w:sz w:val="18"/>
                <w:szCs w:val="18"/>
              </w:rPr>
              <w:t>No pain</w:t>
            </w:r>
            <w:r>
              <w:rPr>
                <w:rFonts w:asciiTheme="minorHAnsi" w:eastAsiaTheme="minorHAnsi" w:hAnsiTheme="minorHAnsi"/>
                <w:color w:val="auto"/>
                <w:sz w:val="18"/>
                <w:szCs w:val="18"/>
              </w:rPr>
              <w:t xml:space="preserve"> with</w:t>
            </w:r>
            <w:r w:rsidRPr="00B56B23">
              <w:rPr>
                <w:rFonts w:asciiTheme="minorHAnsi" w:eastAsiaTheme="minorHAnsi" w:hAnsiTheme="minorHAnsi"/>
                <w:color w:val="auto"/>
                <w:sz w:val="18"/>
                <w:szCs w:val="18"/>
              </w:rPr>
              <w:t xml:space="preserve"> motion</w:t>
            </w:r>
          </w:p>
        </w:tc>
        <w:tc>
          <w:tcPr>
            <w:tcW w:w="2910" w:type="dxa"/>
            <w:vAlign w:val="center"/>
          </w:tcPr>
          <w:p w:rsidR="003D377E" w:rsidRPr="00B56B23" w:rsidRDefault="003D377E" w:rsidP="00186D32">
            <w:pPr>
              <w:tabs>
                <w:tab w:val="left" w:pos="288"/>
                <w:tab w:val="left" w:pos="4752"/>
              </w:tabs>
              <w:spacing w:line="180" w:lineRule="exact"/>
              <w:jc w:val="center"/>
              <w:rPr>
                <w:rFonts w:asciiTheme="minorHAnsi" w:eastAsiaTheme="minorHAnsi" w:hAnsiTheme="minorHAnsi"/>
                <w:color w:val="auto"/>
                <w:sz w:val="18"/>
                <w:szCs w:val="18"/>
              </w:rPr>
            </w:pPr>
            <w:r w:rsidRPr="00B56B23">
              <w:rPr>
                <w:rFonts w:asciiTheme="minorHAnsi" w:eastAsiaTheme="minorHAnsi" w:hAnsiTheme="minorHAnsi"/>
                <w:color w:val="auto"/>
                <w:sz w:val="18"/>
                <w:szCs w:val="18"/>
              </w:rPr>
              <w:t>Pain &gt; 100</w:t>
            </w:r>
            <w:r w:rsidRPr="00B56B23">
              <w:rPr>
                <w:rFonts w:ascii="Calibri" w:eastAsia="Calibri" w:hAnsi="Calibri"/>
                <w:color w:val="auto"/>
                <w:sz w:val="18"/>
                <w:szCs w:val="18"/>
              </w:rPr>
              <w:t>⁰</w:t>
            </w:r>
          </w:p>
        </w:tc>
      </w:tr>
    </w:tbl>
    <w:p w:rsidR="00AA2289" w:rsidRDefault="00AA2289" w:rsidP="00AA2289">
      <w:pPr>
        <w:autoSpaceDE w:val="0"/>
        <w:autoSpaceDN w:val="0"/>
        <w:adjustRightInd w:val="0"/>
        <w:spacing w:line="240" w:lineRule="exact"/>
        <w:jc w:val="both"/>
        <w:rPr>
          <w:rFonts w:asciiTheme="minorHAnsi" w:hAnsiTheme="minorHAnsi"/>
          <w:color w:val="auto"/>
          <w:szCs w:val="24"/>
        </w:rPr>
      </w:pPr>
    </w:p>
    <w:p w:rsidR="000F1639" w:rsidRPr="00FA345A" w:rsidRDefault="00C161E3" w:rsidP="000F1639">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 xml:space="preserve">The Board examined all of the evidentiary information available.  </w:t>
      </w:r>
      <w:r w:rsidR="003E0DFA">
        <w:rPr>
          <w:rFonts w:asciiTheme="minorHAnsi" w:hAnsiTheme="minorHAnsi"/>
          <w:color w:val="auto"/>
          <w:szCs w:val="24"/>
        </w:rPr>
        <w:t>The Board notes that the PEB and the VA chose different coding options for the right knee condition</w:t>
      </w:r>
      <w:r w:rsidR="00A908C5">
        <w:rPr>
          <w:rFonts w:asciiTheme="minorHAnsi" w:hAnsiTheme="minorHAnsi"/>
          <w:color w:val="auto"/>
          <w:szCs w:val="24"/>
        </w:rPr>
        <w:t>,</w:t>
      </w:r>
      <w:r w:rsidR="004C4E0F">
        <w:rPr>
          <w:rFonts w:asciiTheme="minorHAnsi" w:hAnsiTheme="minorHAnsi"/>
          <w:color w:val="auto"/>
          <w:szCs w:val="24"/>
        </w:rPr>
        <w:t xml:space="preserve"> but both arrived at a 10% rating.</w:t>
      </w:r>
      <w:r w:rsidR="003E0DFA">
        <w:rPr>
          <w:rFonts w:asciiTheme="minorHAnsi" w:hAnsiTheme="minorHAnsi"/>
          <w:color w:val="auto"/>
          <w:szCs w:val="24"/>
        </w:rPr>
        <w:t xml:space="preserve">  </w:t>
      </w:r>
      <w:r w:rsidR="000F1639" w:rsidRPr="00FA345A">
        <w:rPr>
          <w:rFonts w:asciiTheme="minorHAnsi" w:hAnsiTheme="minorHAnsi"/>
          <w:color w:val="auto"/>
          <w:szCs w:val="24"/>
        </w:rPr>
        <w:t xml:space="preserve">On both of the VA goniometric </w:t>
      </w:r>
      <w:r w:rsidR="00A908C5">
        <w:rPr>
          <w:rFonts w:asciiTheme="minorHAnsi" w:hAnsiTheme="minorHAnsi"/>
          <w:color w:val="auto"/>
          <w:szCs w:val="24"/>
        </w:rPr>
        <w:t xml:space="preserve">ROM </w:t>
      </w:r>
      <w:r w:rsidR="000F1639" w:rsidRPr="00FA345A">
        <w:rPr>
          <w:rFonts w:asciiTheme="minorHAnsi" w:hAnsiTheme="minorHAnsi"/>
          <w:color w:val="auto"/>
          <w:szCs w:val="24"/>
        </w:rPr>
        <w:t>examinations</w:t>
      </w:r>
      <w:r w:rsidR="005469F2">
        <w:rPr>
          <w:rFonts w:asciiTheme="minorHAnsi" w:hAnsiTheme="minorHAnsi"/>
          <w:color w:val="auto"/>
          <w:szCs w:val="24"/>
        </w:rPr>
        <w:t xml:space="preserve"> described above</w:t>
      </w:r>
      <w:r w:rsidR="000F1639" w:rsidRPr="00FA345A">
        <w:rPr>
          <w:rFonts w:asciiTheme="minorHAnsi" w:hAnsiTheme="minorHAnsi"/>
          <w:color w:val="auto"/>
          <w:szCs w:val="24"/>
        </w:rPr>
        <w:t>, there was some limitation of motion, but it was essentially non</w:t>
      </w:r>
      <w:r w:rsidR="003E0DFA">
        <w:rPr>
          <w:rFonts w:asciiTheme="minorHAnsi" w:hAnsiTheme="minorHAnsi"/>
          <w:color w:val="auto"/>
          <w:szCs w:val="24"/>
        </w:rPr>
        <w:t>-</w:t>
      </w:r>
      <w:r w:rsidR="000F1639" w:rsidRPr="00FA345A">
        <w:rPr>
          <w:rFonts w:asciiTheme="minorHAnsi" w:hAnsiTheme="minorHAnsi"/>
          <w:color w:val="auto"/>
          <w:szCs w:val="24"/>
        </w:rPr>
        <w:t xml:space="preserve">compensable IAW </w:t>
      </w:r>
      <w:r w:rsidR="00D92A3C">
        <w:rPr>
          <w:rFonts w:asciiTheme="minorHAnsi" w:hAnsiTheme="minorHAnsi"/>
          <w:color w:val="auto"/>
          <w:szCs w:val="24"/>
        </w:rPr>
        <w:t>the VA Schedule for Rating Disabilities (</w:t>
      </w:r>
      <w:r w:rsidR="000F1639" w:rsidRPr="00FA345A">
        <w:rPr>
          <w:rFonts w:asciiTheme="minorHAnsi" w:hAnsiTheme="minorHAnsi"/>
          <w:color w:val="auto"/>
          <w:szCs w:val="24"/>
        </w:rPr>
        <w:t>VASRD</w:t>
      </w:r>
      <w:r w:rsidR="00D92A3C">
        <w:rPr>
          <w:rFonts w:asciiTheme="minorHAnsi" w:hAnsiTheme="minorHAnsi"/>
          <w:color w:val="auto"/>
          <w:szCs w:val="24"/>
        </w:rPr>
        <w:t>)</w:t>
      </w:r>
      <w:r w:rsidR="00FA345A" w:rsidRPr="00FA345A">
        <w:rPr>
          <w:rFonts w:asciiTheme="minorHAnsi" w:hAnsiTheme="minorHAnsi"/>
          <w:color w:val="auto"/>
          <w:szCs w:val="24"/>
        </w:rPr>
        <w:t xml:space="preserve"> </w:t>
      </w:r>
      <w:r w:rsidR="000F1639" w:rsidRPr="00FA345A">
        <w:rPr>
          <w:rFonts w:asciiTheme="minorHAnsi" w:eastAsiaTheme="minorHAnsi" w:hAnsiTheme="minorHAnsi"/>
          <w:color w:val="auto"/>
          <w:szCs w:val="24"/>
        </w:rPr>
        <w:t>§4.71a</w:t>
      </w:r>
      <w:r w:rsidR="000F1639" w:rsidRPr="00FA345A">
        <w:rPr>
          <w:rFonts w:asciiTheme="minorHAnsi" w:hAnsiTheme="minorHAnsi"/>
          <w:color w:val="auto"/>
          <w:szCs w:val="24"/>
        </w:rPr>
        <w:t xml:space="preserve"> based on </w:t>
      </w:r>
      <w:r w:rsidR="00A908C5">
        <w:rPr>
          <w:rFonts w:asciiTheme="minorHAnsi" w:hAnsiTheme="minorHAnsi"/>
          <w:color w:val="auto"/>
          <w:szCs w:val="24"/>
        </w:rPr>
        <w:t>k</w:t>
      </w:r>
      <w:r w:rsidR="00FA345A" w:rsidRPr="00FA345A">
        <w:rPr>
          <w:rFonts w:asciiTheme="minorHAnsi" w:hAnsiTheme="minorHAnsi"/>
          <w:color w:val="auto"/>
          <w:szCs w:val="24"/>
        </w:rPr>
        <w:t xml:space="preserve">nee and </w:t>
      </w:r>
      <w:r w:rsidR="00A908C5">
        <w:rPr>
          <w:rFonts w:asciiTheme="minorHAnsi" w:hAnsiTheme="minorHAnsi"/>
          <w:color w:val="auto"/>
          <w:szCs w:val="24"/>
        </w:rPr>
        <w:t>l</w:t>
      </w:r>
      <w:r w:rsidR="00FA345A" w:rsidRPr="00FA345A">
        <w:rPr>
          <w:rFonts w:asciiTheme="minorHAnsi" w:hAnsiTheme="minorHAnsi"/>
          <w:color w:val="auto"/>
          <w:szCs w:val="24"/>
        </w:rPr>
        <w:t>eg codes</w:t>
      </w:r>
      <w:r w:rsidR="00D92A3C">
        <w:rPr>
          <w:rFonts w:asciiTheme="minorHAnsi" w:hAnsiTheme="minorHAnsi"/>
          <w:color w:val="auto"/>
          <w:szCs w:val="24"/>
        </w:rPr>
        <w:t xml:space="preserve">, </w:t>
      </w:r>
      <w:r w:rsidR="00FA345A" w:rsidRPr="00FA345A">
        <w:rPr>
          <w:rFonts w:asciiTheme="minorHAnsi" w:hAnsiTheme="minorHAnsi"/>
          <w:color w:val="auto"/>
          <w:szCs w:val="24"/>
        </w:rPr>
        <w:t>5260-5261.</w:t>
      </w:r>
      <w:r w:rsidR="00E37C4F">
        <w:rPr>
          <w:rFonts w:asciiTheme="minorHAnsi" w:hAnsiTheme="minorHAnsi"/>
          <w:color w:val="auto"/>
          <w:szCs w:val="24"/>
        </w:rPr>
        <w:t xml:space="preserve">  </w:t>
      </w:r>
      <w:r>
        <w:rPr>
          <w:rFonts w:asciiTheme="minorHAnsi" w:hAnsiTheme="minorHAnsi"/>
          <w:color w:val="auto"/>
          <w:szCs w:val="24"/>
        </w:rPr>
        <w:t xml:space="preserve">However, code 5259 </w:t>
      </w:r>
      <w:r w:rsidR="005469F2">
        <w:rPr>
          <w:rFonts w:asciiTheme="minorHAnsi" w:hAnsiTheme="minorHAnsi"/>
          <w:color w:val="auto"/>
          <w:szCs w:val="24"/>
        </w:rPr>
        <w:t xml:space="preserve">at 10% </w:t>
      </w:r>
      <w:r>
        <w:rPr>
          <w:rFonts w:asciiTheme="minorHAnsi" w:hAnsiTheme="minorHAnsi"/>
          <w:color w:val="auto"/>
          <w:szCs w:val="24"/>
        </w:rPr>
        <w:t>is applicable in this case, since the right knee was symptomatic following removal of meniscal (semilunar) cartilage.</w:t>
      </w:r>
      <w:r w:rsidR="005469F2">
        <w:rPr>
          <w:rFonts w:asciiTheme="minorHAnsi" w:hAnsiTheme="minorHAnsi"/>
          <w:color w:val="auto"/>
          <w:szCs w:val="24"/>
        </w:rPr>
        <w:t xml:space="preserve">  Of all the various coding options, it is clear that none offers any particular advantage to the CI, since all of the options lead to a 10% disability rating.  </w:t>
      </w:r>
    </w:p>
    <w:p w:rsidR="000F1639" w:rsidRDefault="000F1639" w:rsidP="000F1639">
      <w:pPr>
        <w:autoSpaceDE w:val="0"/>
        <w:autoSpaceDN w:val="0"/>
        <w:adjustRightInd w:val="0"/>
        <w:spacing w:line="240" w:lineRule="exact"/>
        <w:jc w:val="both"/>
        <w:rPr>
          <w:rFonts w:asciiTheme="minorHAnsi" w:hAnsiTheme="minorHAnsi"/>
          <w:color w:val="auto"/>
          <w:szCs w:val="24"/>
        </w:rPr>
      </w:pPr>
    </w:p>
    <w:p w:rsidR="00AA6987" w:rsidRPr="00AA6987" w:rsidRDefault="000F1639" w:rsidP="00DC0B7F">
      <w:pPr>
        <w:tabs>
          <w:tab w:val="left" w:pos="288"/>
          <w:tab w:val="left" w:pos="4752"/>
        </w:tabs>
        <w:spacing w:line="240" w:lineRule="exact"/>
        <w:jc w:val="both"/>
        <w:rPr>
          <w:rFonts w:asciiTheme="minorHAnsi" w:hAnsiTheme="minorHAnsi"/>
          <w:color w:val="auto"/>
          <w:szCs w:val="24"/>
        </w:rPr>
      </w:pPr>
      <w:r w:rsidRPr="000F1639">
        <w:rPr>
          <w:rFonts w:asciiTheme="minorHAnsi" w:hAnsiTheme="minorHAnsi"/>
          <w:color w:val="auto"/>
          <w:szCs w:val="24"/>
        </w:rPr>
        <w:t xml:space="preserve">The </w:t>
      </w:r>
      <w:r w:rsidR="005469F2">
        <w:rPr>
          <w:rFonts w:asciiTheme="minorHAnsi" w:hAnsiTheme="minorHAnsi"/>
          <w:color w:val="auto"/>
          <w:szCs w:val="24"/>
        </w:rPr>
        <w:t xml:space="preserve">Board then directed its attention to joint instability.  </w:t>
      </w:r>
      <w:r w:rsidR="00AF6F39" w:rsidRPr="000C6DDB">
        <w:rPr>
          <w:rFonts w:asciiTheme="minorHAnsi" w:hAnsiTheme="minorHAnsi"/>
          <w:color w:val="auto"/>
          <w:szCs w:val="24"/>
        </w:rPr>
        <w:t>Review of the treatment record</w:t>
      </w:r>
      <w:r w:rsidR="000C6DDB" w:rsidRPr="000C6DDB">
        <w:rPr>
          <w:rFonts w:asciiTheme="minorHAnsi" w:hAnsiTheme="minorHAnsi"/>
          <w:color w:val="auto"/>
          <w:szCs w:val="24"/>
        </w:rPr>
        <w:t xml:space="preserve"> show</w:t>
      </w:r>
      <w:r w:rsidR="00DC0B7F">
        <w:rPr>
          <w:rFonts w:asciiTheme="minorHAnsi" w:hAnsiTheme="minorHAnsi"/>
          <w:color w:val="auto"/>
          <w:szCs w:val="24"/>
        </w:rPr>
        <w:t>s</w:t>
      </w:r>
      <w:r w:rsidR="00AF6F39" w:rsidRPr="000C6DDB">
        <w:rPr>
          <w:rFonts w:asciiTheme="minorHAnsi" w:hAnsiTheme="minorHAnsi"/>
          <w:color w:val="auto"/>
          <w:szCs w:val="24"/>
        </w:rPr>
        <w:t xml:space="preserve"> that the CI was examined on 7 April 2004 (</w:t>
      </w:r>
      <w:r w:rsidR="00A908C5">
        <w:rPr>
          <w:rFonts w:asciiTheme="minorHAnsi" w:hAnsiTheme="minorHAnsi"/>
          <w:color w:val="auto"/>
          <w:szCs w:val="24"/>
        </w:rPr>
        <w:t>three month</w:t>
      </w:r>
      <w:r w:rsidR="00AF6F39" w:rsidRPr="000C6DDB">
        <w:rPr>
          <w:rFonts w:asciiTheme="minorHAnsi" w:hAnsiTheme="minorHAnsi"/>
          <w:color w:val="auto"/>
          <w:szCs w:val="24"/>
        </w:rPr>
        <w:t xml:space="preserve"> prior to separation) and </w:t>
      </w:r>
      <w:r w:rsidR="00A908C5">
        <w:rPr>
          <w:rFonts w:asciiTheme="minorHAnsi" w:hAnsiTheme="minorHAnsi"/>
          <w:color w:val="auto"/>
          <w:szCs w:val="24"/>
        </w:rPr>
        <w:t>2</w:t>
      </w:r>
      <w:r w:rsidR="00AF6F39" w:rsidRPr="000C6DDB">
        <w:rPr>
          <w:rFonts w:asciiTheme="minorHAnsi" w:hAnsiTheme="minorHAnsi"/>
          <w:color w:val="auto"/>
          <w:szCs w:val="24"/>
        </w:rPr>
        <w:t xml:space="preserve"> August 2004 (</w:t>
      </w:r>
      <w:r w:rsidR="00A908C5">
        <w:rPr>
          <w:rFonts w:asciiTheme="minorHAnsi" w:hAnsiTheme="minorHAnsi"/>
          <w:color w:val="auto"/>
          <w:szCs w:val="24"/>
        </w:rPr>
        <w:t>one month</w:t>
      </w:r>
      <w:r w:rsidR="00AF6F39" w:rsidRPr="000C6DDB">
        <w:rPr>
          <w:rFonts w:asciiTheme="minorHAnsi" w:hAnsiTheme="minorHAnsi"/>
          <w:color w:val="auto"/>
          <w:szCs w:val="24"/>
        </w:rPr>
        <w:t xml:space="preserve"> </w:t>
      </w:r>
      <w:r w:rsidR="00DC0B7F">
        <w:rPr>
          <w:rFonts w:asciiTheme="minorHAnsi" w:hAnsiTheme="minorHAnsi"/>
          <w:color w:val="auto"/>
          <w:szCs w:val="24"/>
        </w:rPr>
        <w:t>post-</w:t>
      </w:r>
      <w:r w:rsidR="00AF6F39" w:rsidRPr="000C6DDB">
        <w:rPr>
          <w:rFonts w:asciiTheme="minorHAnsi" w:hAnsiTheme="minorHAnsi"/>
          <w:color w:val="auto"/>
          <w:szCs w:val="24"/>
        </w:rPr>
        <w:t>separation).  At both of these exams, there was no evidence of right knee instability</w:t>
      </w:r>
      <w:r w:rsidR="00DB6946">
        <w:rPr>
          <w:rFonts w:asciiTheme="minorHAnsi" w:hAnsiTheme="minorHAnsi"/>
          <w:color w:val="auto"/>
          <w:szCs w:val="24"/>
        </w:rPr>
        <w:t>.</w:t>
      </w:r>
      <w:r w:rsidR="00DC0B7F">
        <w:rPr>
          <w:rFonts w:asciiTheme="minorHAnsi" w:hAnsiTheme="minorHAnsi"/>
          <w:color w:val="auto"/>
          <w:szCs w:val="24"/>
        </w:rPr>
        <w:t xml:space="preserve"> </w:t>
      </w:r>
      <w:r w:rsidR="00AF6F39" w:rsidRPr="000C6DDB">
        <w:rPr>
          <w:rFonts w:asciiTheme="minorHAnsi" w:hAnsiTheme="minorHAnsi"/>
          <w:color w:val="auto"/>
          <w:szCs w:val="24"/>
        </w:rPr>
        <w:t xml:space="preserve"> The CI was examined again on 14 June 2006 (</w:t>
      </w:r>
      <w:r w:rsidR="00A908C5">
        <w:rPr>
          <w:rFonts w:asciiTheme="minorHAnsi" w:hAnsiTheme="minorHAnsi"/>
          <w:color w:val="auto"/>
          <w:szCs w:val="24"/>
        </w:rPr>
        <w:t>two years</w:t>
      </w:r>
      <w:r w:rsidR="00AF6F39" w:rsidRPr="000C6DDB">
        <w:rPr>
          <w:rFonts w:asciiTheme="minorHAnsi" w:hAnsiTheme="minorHAnsi"/>
          <w:color w:val="auto"/>
          <w:szCs w:val="24"/>
        </w:rPr>
        <w:t xml:space="preserve"> </w:t>
      </w:r>
      <w:r w:rsidR="00E37C4F">
        <w:rPr>
          <w:rFonts w:asciiTheme="minorHAnsi" w:hAnsiTheme="minorHAnsi"/>
          <w:color w:val="auto"/>
          <w:szCs w:val="24"/>
        </w:rPr>
        <w:t>post-</w:t>
      </w:r>
      <w:r w:rsidR="00AF6F39" w:rsidRPr="000C6DDB">
        <w:rPr>
          <w:rFonts w:asciiTheme="minorHAnsi" w:hAnsiTheme="minorHAnsi"/>
          <w:color w:val="auto"/>
          <w:szCs w:val="24"/>
        </w:rPr>
        <w:t xml:space="preserve">separation).  At that </w:t>
      </w:r>
      <w:r w:rsidR="00DC0B7F">
        <w:rPr>
          <w:rFonts w:asciiTheme="minorHAnsi" w:hAnsiTheme="minorHAnsi"/>
          <w:color w:val="auto"/>
          <w:szCs w:val="24"/>
        </w:rPr>
        <w:t xml:space="preserve">2006 </w:t>
      </w:r>
      <w:r w:rsidR="00AF6F39" w:rsidRPr="000C6DDB">
        <w:rPr>
          <w:rFonts w:asciiTheme="minorHAnsi" w:hAnsiTheme="minorHAnsi"/>
          <w:color w:val="auto"/>
          <w:szCs w:val="24"/>
        </w:rPr>
        <w:t>evaluation, the right knee had moderate anterior/posterior instability.  After lengthy discussion of these clinical findings, the Board does not</w:t>
      </w:r>
      <w:r w:rsidR="000C6DDB" w:rsidRPr="000C6DDB">
        <w:rPr>
          <w:rFonts w:asciiTheme="minorHAnsi" w:hAnsiTheme="minorHAnsi"/>
          <w:color w:val="auto"/>
          <w:szCs w:val="24"/>
        </w:rPr>
        <w:t xml:space="preserve"> find</w:t>
      </w:r>
      <w:r w:rsidR="00AF6F39" w:rsidRPr="000C6DDB">
        <w:rPr>
          <w:rFonts w:asciiTheme="minorHAnsi" w:hAnsiTheme="minorHAnsi"/>
          <w:color w:val="auto"/>
          <w:szCs w:val="24"/>
        </w:rPr>
        <w:t xml:space="preserve"> evidence to support an additional disability rating for </w:t>
      </w:r>
      <w:r w:rsidR="00E37C4F">
        <w:rPr>
          <w:rFonts w:asciiTheme="minorHAnsi" w:hAnsiTheme="minorHAnsi"/>
          <w:color w:val="auto"/>
          <w:szCs w:val="24"/>
        </w:rPr>
        <w:t>joint</w:t>
      </w:r>
      <w:r w:rsidR="00AF6F39" w:rsidRPr="000C6DDB">
        <w:rPr>
          <w:rFonts w:asciiTheme="minorHAnsi" w:hAnsiTheme="minorHAnsi"/>
          <w:color w:val="auto"/>
          <w:szCs w:val="24"/>
        </w:rPr>
        <w:t xml:space="preserve"> instability</w:t>
      </w:r>
      <w:r w:rsidR="006C1EA7">
        <w:rPr>
          <w:rFonts w:asciiTheme="minorHAnsi" w:hAnsiTheme="minorHAnsi"/>
          <w:color w:val="auto"/>
          <w:szCs w:val="24"/>
        </w:rPr>
        <w:t xml:space="preserve">.  </w:t>
      </w:r>
      <w:r w:rsidR="006C1EA7" w:rsidRPr="00510C69">
        <w:rPr>
          <w:rFonts w:asciiTheme="minorHAnsi" w:hAnsiTheme="minorHAnsi"/>
          <w:color w:val="auto"/>
          <w:szCs w:val="24"/>
        </w:rPr>
        <w:t>The Board also</w:t>
      </w:r>
      <w:r w:rsidR="0070303D">
        <w:rPr>
          <w:rFonts w:asciiTheme="minorHAnsi" w:hAnsiTheme="minorHAnsi"/>
          <w:color w:val="auto"/>
          <w:szCs w:val="24"/>
        </w:rPr>
        <w:t xml:space="preserve"> finds no evidence for the </w:t>
      </w:r>
      <w:r w:rsidR="00DC0B7F">
        <w:rPr>
          <w:rFonts w:asciiTheme="minorHAnsi" w:hAnsiTheme="minorHAnsi"/>
          <w:color w:val="auto"/>
          <w:szCs w:val="24"/>
        </w:rPr>
        <w:t xml:space="preserve">knee </w:t>
      </w:r>
      <w:r w:rsidR="0070303D">
        <w:rPr>
          <w:rFonts w:asciiTheme="minorHAnsi" w:hAnsiTheme="minorHAnsi"/>
          <w:color w:val="auto"/>
          <w:szCs w:val="24"/>
        </w:rPr>
        <w:t>scar</w:t>
      </w:r>
      <w:r w:rsidR="006C1EA7" w:rsidRPr="00510C69">
        <w:rPr>
          <w:rFonts w:asciiTheme="minorHAnsi" w:hAnsiTheme="minorHAnsi"/>
          <w:color w:val="auto"/>
          <w:szCs w:val="24"/>
        </w:rPr>
        <w:t xml:space="preserve"> as unfitting at separation.</w:t>
      </w:r>
      <w:r w:rsidR="006F6390">
        <w:rPr>
          <w:rFonts w:asciiTheme="minorHAnsi" w:hAnsiTheme="minorHAnsi"/>
          <w:color w:val="auto"/>
          <w:szCs w:val="24"/>
        </w:rPr>
        <w:t xml:space="preserve">  </w:t>
      </w:r>
      <w:r w:rsidR="006F444C" w:rsidRPr="00510C69">
        <w:rPr>
          <w:rFonts w:asciiTheme="minorHAnsi" w:hAnsiTheme="minorHAnsi"/>
          <w:color w:val="auto"/>
          <w:szCs w:val="24"/>
        </w:rPr>
        <w:t xml:space="preserve">After careful consideration of all </w:t>
      </w:r>
      <w:r w:rsidR="00DC0B7F">
        <w:rPr>
          <w:rFonts w:asciiTheme="minorHAnsi" w:hAnsiTheme="minorHAnsi"/>
          <w:color w:val="auto"/>
          <w:szCs w:val="24"/>
        </w:rPr>
        <w:t xml:space="preserve">the </w:t>
      </w:r>
      <w:r w:rsidR="006F444C" w:rsidRPr="00510C69">
        <w:rPr>
          <w:rFonts w:asciiTheme="minorHAnsi" w:hAnsiTheme="minorHAnsi"/>
          <w:color w:val="auto"/>
          <w:szCs w:val="24"/>
        </w:rPr>
        <w:t xml:space="preserve">evidence provided, the Board recommends </w:t>
      </w:r>
      <w:r w:rsidR="00DC0B7F">
        <w:rPr>
          <w:rFonts w:asciiTheme="minorHAnsi" w:hAnsiTheme="minorHAnsi"/>
          <w:color w:val="auto"/>
          <w:szCs w:val="24"/>
        </w:rPr>
        <w:t>a 10% disability rating for the right knee condition.  It is coded 5299-5003 and meets criteria for the 10% rating.</w:t>
      </w:r>
      <w:r w:rsidR="00F45AC7" w:rsidRPr="00510C69">
        <w:rPr>
          <w:rFonts w:asciiTheme="minorHAnsi" w:hAnsiTheme="minorHAnsi"/>
          <w:color w:val="auto"/>
          <w:szCs w:val="24"/>
        </w:rPr>
        <w:t xml:space="preserve">  </w:t>
      </w:r>
      <w:r w:rsidR="00AA6987" w:rsidRPr="00AA6987">
        <w:rPr>
          <w:rFonts w:asciiTheme="minorHAnsi" w:hAnsiTheme="minorHAnsi"/>
          <w:color w:val="auto"/>
          <w:szCs w:val="24"/>
        </w:rPr>
        <w:t xml:space="preserve">This determination </w:t>
      </w:r>
      <w:r w:rsidR="00E37C4F">
        <w:rPr>
          <w:rFonts w:asciiTheme="minorHAnsi" w:hAnsiTheme="minorHAnsi"/>
          <w:color w:val="auto"/>
          <w:szCs w:val="24"/>
        </w:rPr>
        <w:t xml:space="preserve">is IAW VASRD §4.3, </w:t>
      </w:r>
      <w:r w:rsidR="00AA6987" w:rsidRPr="00AA6987">
        <w:rPr>
          <w:rFonts w:asciiTheme="minorHAnsi" w:hAnsiTheme="minorHAnsi"/>
          <w:color w:val="auto"/>
          <w:szCs w:val="24"/>
        </w:rPr>
        <w:t xml:space="preserve">§4.59, and §4.71a. </w:t>
      </w:r>
    </w:p>
    <w:p w:rsidR="006F6390" w:rsidRDefault="006F6390" w:rsidP="006F444C">
      <w:pPr>
        <w:autoSpaceDE w:val="0"/>
        <w:autoSpaceDN w:val="0"/>
        <w:adjustRightInd w:val="0"/>
        <w:spacing w:line="240" w:lineRule="exact"/>
        <w:jc w:val="both"/>
        <w:rPr>
          <w:rFonts w:asciiTheme="minorHAnsi" w:hAnsiTheme="minorHAnsi"/>
          <w:color w:val="auto"/>
          <w:szCs w:val="24"/>
        </w:rPr>
      </w:pPr>
    </w:p>
    <w:p w:rsidR="00DA5875" w:rsidRDefault="003E66D7" w:rsidP="00FB3663">
      <w:pPr>
        <w:spacing w:line="240" w:lineRule="exact"/>
        <w:jc w:val="both"/>
        <w:rPr>
          <w:rFonts w:asciiTheme="minorHAnsi" w:hAnsiTheme="minorHAnsi"/>
          <w:color w:val="auto"/>
          <w:szCs w:val="24"/>
        </w:rPr>
      </w:pPr>
      <w:proofErr w:type="gramStart"/>
      <w:r w:rsidRPr="00E8221E">
        <w:rPr>
          <w:rFonts w:asciiTheme="minorHAnsi" w:eastAsiaTheme="minorHAnsi" w:hAnsiTheme="minorHAnsi"/>
          <w:color w:val="auto"/>
          <w:szCs w:val="24"/>
          <w:u w:val="single"/>
        </w:rPr>
        <w:t xml:space="preserve">Other </w:t>
      </w:r>
      <w:r w:rsidR="00E37C4F">
        <w:rPr>
          <w:rFonts w:asciiTheme="minorHAnsi" w:eastAsiaTheme="minorHAnsi" w:hAnsiTheme="minorHAnsi"/>
          <w:color w:val="auto"/>
          <w:szCs w:val="24"/>
          <w:u w:val="single"/>
        </w:rPr>
        <w:t>PEB</w:t>
      </w:r>
      <w:r w:rsidRPr="00E8221E">
        <w:rPr>
          <w:rFonts w:asciiTheme="minorHAnsi" w:eastAsiaTheme="minorHAnsi" w:hAnsiTheme="minorHAnsi"/>
          <w:color w:val="auto"/>
          <w:szCs w:val="24"/>
          <w:u w:val="single"/>
        </w:rPr>
        <w:t xml:space="preserve"> </w:t>
      </w:r>
      <w:r w:rsidR="007C1EE7" w:rsidRPr="00E8221E">
        <w:rPr>
          <w:rFonts w:asciiTheme="minorHAnsi" w:eastAsiaTheme="minorHAnsi" w:hAnsiTheme="minorHAnsi"/>
          <w:color w:val="auto"/>
          <w:szCs w:val="24"/>
          <w:u w:val="single"/>
        </w:rPr>
        <w:t>Conditions</w:t>
      </w:r>
      <w:r w:rsidR="007C1EE7">
        <w:rPr>
          <w:rFonts w:asciiTheme="minorHAnsi" w:eastAsiaTheme="minorHAnsi" w:hAnsiTheme="minorHAnsi"/>
          <w:color w:val="auto"/>
          <w:szCs w:val="24"/>
        </w:rPr>
        <w:t>.</w:t>
      </w:r>
      <w:proofErr w:type="gramEnd"/>
      <w:r w:rsidR="007C1EE7">
        <w:rPr>
          <w:rFonts w:asciiTheme="minorHAnsi" w:eastAsiaTheme="minorHAnsi" w:hAnsiTheme="minorHAnsi"/>
          <w:color w:val="auto"/>
          <w:szCs w:val="24"/>
        </w:rPr>
        <w:t xml:space="preserve">  </w:t>
      </w:r>
      <w:r w:rsidR="00E37C4F">
        <w:rPr>
          <w:rFonts w:asciiTheme="minorHAnsi" w:eastAsiaTheme="minorHAnsi" w:hAnsiTheme="minorHAnsi"/>
          <w:color w:val="auto"/>
          <w:szCs w:val="24"/>
        </w:rPr>
        <w:t>The Board then considered the four additional right knee conditions which were found to be Category II</w:t>
      </w:r>
      <w:r w:rsidR="00D92A3C">
        <w:rPr>
          <w:rFonts w:asciiTheme="minorHAnsi" w:eastAsiaTheme="minorHAnsi" w:hAnsiTheme="minorHAnsi"/>
          <w:color w:val="auto"/>
          <w:szCs w:val="24"/>
        </w:rPr>
        <w:t xml:space="preserve"> by the PEB</w:t>
      </w:r>
      <w:r w:rsidR="00E37C4F">
        <w:rPr>
          <w:rFonts w:asciiTheme="minorHAnsi" w:eastAsiaTheme="minorHAnsi" w:hAnsiTheme="minorHAnsi"/>
          <w:color w:val="auto"/>
          <w:szCs w:val="24"/>
        </w:rPr>
        <w:t xml:space="preserve">.  The Board unanimously agrees that these four right knee conditions are not separately unfitting and are all related to the </w:t>
      </w:r>
      <w:r w:rsidR="00801A50">
        <w:rPr>
          <w:rFonts w:asciiTheme="minorHAnsi" w:eastAsiaTheme="minorHAnsi" w:hAnsiTheme="minorHAnsi"/>
          <w:color w:val="auto"/>
          <w:szCs w:val="24"/>
        </w:rPr>
        <w:t xml:space="preserve">unfitting knee </w:t>
      </w:r>
      <w:r w:rsidR="00801A50">
        <w:rPr>
          <w:rFonts w:asciiTheme="minorHAnsi" w:eastAsiaTheme="minorHAnsi" w:hAnsiTheme="minorHAnsi"/>
          <w:color w:val="auto"/>
          <w:szCs w:val="24"/>
        </w:rPr>
        <w:lastRenderedPageBreak/>
        <w:t xml:space="preserve">condition.  </w:t>
      </w:r>
      <w:r w:rsidR="000F19FC" w:rsidRPr="000F19FC">
        <w:rPr>
          <w:rFonts w:asciiTheme="minorHAnsi" w:hAnsiTheme="minorHAnsi"/>
          <w:color w:val="auto"/>
          <w:szCs w:val="24"/>
        </w:rPr>
        <w:t>All evidence considered</w:t>
      </w:r>
      <w:proofErr w:type="gramStart"/>
      <w:r w:rsidR="000F19FC" w:rsidRPr="000F19FC">
        <w:rPr>
          <w:rFonts w:asciiTheme="minorHAnsi" w:hAnsiTheme="minorHAnsi"/>
          <w:color w:val="auto"/>
          <w:szCs w:val="24"/>
        </w:rPr>
        <w:t>,</w:t>
      </w:r>
      <w:proofErr w:type="gramEnd"/>
      <w:r w:rsidR="000F19FC" w:rsidRPr="000F19FC">
        <w:rPr>
          <w:rFonts w:asciiTheme="minorHAnsi" w:hAnsiTheme="minorHAnsi"/>
          <w:color w:val="auto"/>
          <w:szCs w:val="24"/>
        </w:rPr>
        <w:t xml:space="preserve"> there is not reasonable doubt in the CI’s favor supporting re</w:t>
      </w:r>
      <w:r w:rsidR="00801A50">
        <w:rPr>
          <w:rFonts w:asciiTheme="minorHAnsi" w:hAnsiTheme="minorHAnsi"/>
          <w:color w:val="auto"/>
          <w:szCs w:val="24"/>
        </w:rPr>
        <w:t>versal</w:t>
      </w:r>
      <w:r w:rsidR="000F19FC" w:rsidRPr="000F19FC">
        <w:rPr>
          <w:rFonts w:asciiTheme="minorHAnsi" w:hAnsiTheme="minorHAnsi"/>
          <w:color w:val="auto"/>
          <w:szCs w:val="24"/>
        </w:rPr>
        <w:t xml:space="preserve"> of the PEB fitness adjudication for any of the</w:t>
      </w:r>
      <w:r w:rsidR="00801A50">
        <w:rPr>
          <w:rFonts w:asciiTheme="minorHAnsi" w:hAnsiTheme="minorHAnsi"/>
          <w:color w:val="auto"/>
          <w:szCs w:val="24"/>
        </w:rPr>
        <w:t>se four knee</w:t>
      </w:r>
      <w:r w:rsidR="000F19FC" w:rsidRPr="000F19FC">
        <w:rPr>
          <w:rFonts w:asciiTheme="minorHAnsi" w:hAnsiTheme="minorHAnsi"/>
          <w:color w:val="auto"/>
          <w:szCs w:val="24"/>
        </w:rPr>
        <w:t xml:space="preserve"> conditions.</w:t>
      </w:r>
    </w:p>
    <w:p w:rsidR="005E6D67" w:rsidRDefault="00945B9F" w:rsidP="00FB3663">
      <w:pPr>
        <w:spacing w:line="240" w:lineRule="exact"/>
        <w:jc w:val="both"/>
        <w:rPr>
          <w:rFonts w:asciiTheme="minorHAnsi" w:eastAsiaTheme="minorHAnsi" w:hAnsiTheme="minorHAnsi"/>
          <w:color w:val="auto"/>
          <w:szCs w:val="24"/>
        </w:rPr>
      </w:pPr>
      <w:r>
        <w:rPr>
          <w:rFonts w:asciiTheme="minorHAnsi" w:eastAsiaTheme="minorHAnsi" w:hAnsiTheme="minorHAnsi"/>
          <w:color w:val="auto"/>
          <w:szCs w:val="24"/>
        </w:rPr>
        <w:t xml:space="preserve"> </w:t>
      </w:r>
    </w:p>
    <w:p w:rsidR="00DD24DD" w:rsidRDefault="007C1EE7" w:rsidP="00060C01">
      <w:pPr>
        <w:tabs>
          <w:tab w:val="left" w:pos="288"/>
          <w:tab w:val="left" w:pos="4752"/>
        </w:tabs>
        <w:spacing w:line="240" w:lineRule="exact"/>
        <w:jc w:val="both"/>
        <w:rPr>
          <w:rFonts w:asciiTheme="minorHAnsi" w:eastAsiaTheme="minorHAnsi" w:hAnsiTheme="minorHAnsi"/>
          <w:color w:val="auto"/>
          <w:szCs w:val="24"/>
        </w:rPr>
      </w:pPr>
      <w:proofErr w:type="gramStart"/>
      <w:r w:rsidRPr="00060C01">
        <w:rPr>
          <w:rFonts w:asciiTheme="minorHAnsi" w:eastAsiaTheme="minorHAnsi" w:hAnsiTheme="minorHAnsi"/>
          <w:color w:val="auto"/>
          <w:szCs w:val="24"/>
          <w:u w:val="single"/>
        </w:rPr>
        <w:t>Remaining Conditions</w:t>
      </w:r>
      <w:r w:rsidRPr="00060C01">
        <w:rPr>
          <w:rFonts w:asciiTheme="minorHAnsi" w:eastAsiaTheme="minorHAnsi" w:hAnsiTheme="minorHAnsi"/>
          <w:color w:val="auto"/>
          <w:szCs w:val="24"/>
        </w:rPr>
        <w:t>.</w:t>
      </w:r>
      <w:proofErr w:type="gramEnd"/>
      <w:r w:rsidRPr="00060C01">
        <w:rPr>
          <w:rFonts w:asciiTheme="minorHAnsi" w:eastAsiaTheme="minorHAnsi" w:hAnsiTheme="minorHAnsi"/>
          <w:color w:val="auto"/>
          <w:szCs w:val="24"/>
        </w:rPr>
        <w:t xml:space="preserve">  </w:t>
      </w:r>
      <w:r w:rsidR="00DD24DD" w:rsidRPr="00060C01">
        <w:rPr>
          <w:rFonts w:asciiTheme="minorHAnsi" w:hAnsiTheme="minorHAnsi"/>
          <w:color w:val="auto"/>
          <w:szCs w:val="24"/>
        </w:rPr>
        <w:t>Other conditions identified in the D</w:t>
      </w:r>
      <w:r w:rsidR="00046176">
        <w:rPr>
          <w:rFonts w:asciiTheme="minorHAnsi" w:hAnsiTheme="minorHAnsi"/>
          <w:color w:val="auto"/>
          <w:szCs w:val="24"/>
        </w:rPr>
        <w:t xml:space="preserve">isability </w:t>
      </w:r>
      <w:r w:rsidR="00DD24DD" w:rsidRPr="00060C01">
        <w:rPr>
          <w:rFonts w:asciiTheme="minorHAnsi" w:hAnsiTheme="minorHAnsi"/>
          <w:color w:val="auto"/>
          <w:szCs w:val="24"/>
        </w:rPr>
        <w:t>E</w:t>
      </w:r>
      <w:r w:rsidR="00046176">
        <w:rPr>
          <w:rFonts w:asciiTheme="minorHAnsi" w:hAnsiTheme="minorHAnsi"/>
          <w:color w:val="auto"/>
          <w:szCs w:val="24"/>
        </w:rPr>
        <w:t xml:space="preserve">valuation </w:t>
      </w:r>
      <w:r w:rsidR="00DD24DD" w:rsidRPr="00060C01">
        <w:rPr>
          <w:rFonts w:asciiTheme="minorHAnsi" w:hAnsiTheme="minorHAnsi"/>
          <w:color w:val="auto"/>
          <w:szCs w:val="24"/>
        </w:rPr>
        <w:t>S</w:t>
      </w:r>
      <w:r w:rsidR="00046176">
        <w:rPr>
          <w:rFonts w:asciiTheme="minorHAnsi" w:hAnsiTheme="minorHAnsi"/>
          <w:color w:val="auto"/>
          <w:szCs w:val="24"/>
        </w:rPr>
        <w:t xml:space="preserve">ystem </w:t>
      </w:r>
      <w:r w:rsidR="00DD24DD" w:rsidRPr="00060C01">
        <w:rPr>
          <w:rFonts w:asciiTheme="minorHAnsi" w:hAnsiTheme="minorHAnsi"/>
          <w:color w:val="auto"/>
          <w:szCs w:val="24"/>
        </w:rPr>
        <w:t>file</w:t>
      </w:r>
      <w:r w:rsidR="00046176">
        <w:rPr>
          <w:rFonts w:asciiTheme="minorHAnsi" w:hAnsiTheme="minorHAnsi"/>
          <w:color w:val="auto"/>
          <w:szCs w:val="24"/>
        </w:rPr>
        <w:t xml:space="preserve"> include</w:t>
      </w:r>
      <w:r w:rsidR="00DD24DD" w:rsidRPr="00060C01">
        <w:rPr>
          <w:rFonts w:asciiTheme="minorHAnsi" w:hAnsiTheme="minorHAnsi"/>
          <w:color w:val="auto"/>
          <w:szCs w:val="24"/>
        </w:rPr>
        <w:t xml:space="preserve"> </w:t>
      </w:r>
      <w:r w:rsidR="00941092" w:rsidRPr="00060C01">
        <w:rPr>
          <w:rFonts w:asciiTheme="minorHAnsi" w:hAnsiTheme="minorHAnsi"/>
          <w:color w:val="auto"/>
          <w:szCs w:val="24"/>
        </w:rPr>
        <w:t>l</w:t>
      </w:r>
      <w:r w:rsidR="00DD24DD" w:rsidRPr="00060C01">
        <w:rPr>
          <w:rFonts w:asciiTheme="minorHAnsi" w:hAnsiTheme="minorHAnsi"/>
          <w:color w:val="auto"/>
          <w:szCs w:val="24"/>
        </w:rPr>
        <w:t>eft thumb graft</w:t>
      </w:r>
      <w:r w:rsidR="009A752E" w:rsidRPr="00060C01">
        <w:rPr>
          <w:rFonts w:asciiTheme="minorHAnsi" w:hAnsiTheme="minorHAnsi"/>
          <w:color w:val="auto"/>
          <w:szCs w:val="24"/>
        </w:rPr>
        <w:t>,</w:t>
      </w:r>
      <w:r w:rsidR="00DD24DD" w:rsidRPr="00060C01">
        <w:rPr>
          <w:rFonts w:asciiTheme="minorHAnsi" w:hAnsiTheme="minorHAnsi"/>
          <w:color w:val="auto"/>
          <w:szCs w:val="24"/>
        </w:rPr>
        <w:t xml:space="preserve"> left inguinal hernia</w:t>
      </w:r>
      <w:r w:rsidR="009A752E" w:rsidRPr="00060C01">
        <w:rPr>
          <w:rFonts w:asciiTheme="minorHAnsi" w:hAnsiTheme="minorHAnsi"/>
          <w:color w:val="auto"/>
          <w:szCs w:val="24"/>
        </w:rPr>
        <w:t xml:space="preserve"> and inhaler use</w:t>
      </w:r>
      <w:r w:rsidR="005E1713" w:rsidRPr="00060C01">
        <w:rPr>
          <w:rFonts w:asciiTheme="minorHAnsi" w:hAnsiTheme="minorHAnsi"/>
          <w:color w:val="auto"/>
          <w:szCs w:val="24"/>
        </w:rPr>
        <w:t xml:space="preserve">.  </w:t>
      </w:r>
      <w:r w:rsidR="00DD24DD" w:rsidRPr="00060C01">
        <w:rPr>
          <w:rFonts w:asciiTheme="minorHAnsi" w:hAnsiTheme="minorHAnsi"/>
          <w:color w:val="auto"/>
          <w:szCs w:val="24"/>
        </w:rPr>
        <w:t xml:space="preserve">None of these conditions were clinically </w:t>
      </w:r>
      <w:r w:rsidR="00046176">
        <w:rPr>
          <w:rFonts w:asciiTheme="minorHAnsi" w:hAnsiTheme="minorHAnsi"/>
          <w:color w:val="auto"/>
          <w:szCs w:val="24"/>
        </w:rPr>
        <w:t>significant</w:t>
      </w:r>
      <w:r w:rsidR="00DD24DD" w:rsidRPr="00060C01">
        <w:rPr>
          <w:rFonts w:asciiTheme="minorHAnsi" w:hAnsiTheme="minorHAnsi"/>
          <w:color w:val="auto"/>
          <w:szCs w:val="24"/>
        </w:rPr>
        <w:t xml:space="preserve"> during th</w:t>
      </w:r>
      <w:r w:rsidR="00060C01">
        <w:rPr>
          <w:rFonts w:asciiTheme="minorHAnsi" w:hAnsiTheme="minorHAnsi"/>
          <w:color w:val="auto"/>
          <w:szCs w:val="24"/>
        </w:rPr>
        <w:t>e MEB</w:t>
      </w:r>
      <w:r w:rsidR="00046176">
        <w:rPr>
          <w:rFonts w:asciiTheme="minorHAnsi" w:hAnsiTheme="minorHAnsi"/>
          <w:color w:val="auto"/>
          <w:szCs w:val="24"/>
        </w:rPr>
        <w:t>/PEB</w:t>
      </w:r>
      <w:r w:rsidR="00060C01">
        <w:rPr>
          <w:rFonts w:asciiTheme="minorHAnsi" w:hAnsiTheme="minorHAnsi"/>
          <w:color w:val="auto"/>
          <w:szCs w:val="24"/>
        </w:rPr>
        <w:t xml:space="preserve"> period, were the basi</w:t>
      </w:r>
      <w:r w:rsidR="00DD24DD" w:rsidRPr="00060C01">
        <w:rPr>
          <w:rFonts w:asciiTheme="minorHAnsi" w:hAnsiTheme="minorHAnsi"/>
          <w:color w:val="auto"/>
          <w:szCs w:val="24"/>
        </w:rPr>
        <w:t xml:space="preserve">s </w:t>
      </w:r>
      <w:r w:rsidR="00060C01">
        <w:rPr>
          <w:rFonts w:asciiTheme="minorHAnsi" w:hAnsiTheme="minorHAnsi"/>
          <w:color w:val="auto"/>
          <w:szCs w:val="24"/>
        </w:rPr>
        <w:t xml:space="preserve">for </w:t>
      </w:r>
      <w:r w:rsidR="00DD24DD" w:rsidRPr="00060C01">
        <w:rPr>
          <w:rFonts w:asciiTheme="minorHAnsi" w:hAnsiTheme="minorHAnsi"/>
          <w:color w:val="auto"/>
          <w:szCs w:val="24"/>
        </w:rPr>
        <w:t>limited duty</w:t>
      </w:r>
      <w:r w:rsidR="00A908C5">
        <w:rPr>
          <w:rFonts w:asciiTheme="minorHAnsi" w:hAnsiTheme="minorHAnsi"/>
          <w:color w:val="auto"/>
          <w:szCs w:val="24"/>
        </w:rPr>
        <w:t xml:space="preserve"> or</w:t>
      </w:r>
      <w:r w:rsidR="00DD24DD" w:rsidRPr="00060C01">
        <w:rPr>
          <w:rFonts w:asciiTheme="minorHAnsi" w:hAnsiTheme="minorHAnsi"/>
          <w:color w:val="auto"/>
          <w:szCs w:val="24"/>
        </w:rPr>
        <w:t xml:space="preserve"> were implicated in the </w:t>
      </w:r>
      <w:r w:rsidR="005E1713" w:rsidRPr="00060C01">
        <w:rPr>
          <w:rFonts w:asciiTheme="minorHAnsi" w:hAnsiTheme="minorHAnsi"/>
          <w:color w:val="auto"/>
          <w:szCs w:val="24"/>
        </w:rPr>
        <w:t>non-medical assessment</w:t>
      </w:r>
      <w:r w:rsidR="00DD24DD" w:rsidRPr="00060C01">
        <w:rPr>
          <w:rFonts w:asciiTheme="minorHAnsi" w:hAnsiTheme="minorHAnsi"/>
          <w:color w:val="auto"/>
          <w:szCs w:val="24"/>
        </w:rPr>
        <w:t xml:space="preserve">.  These conditions were </w:t>
      </w:r>
      <w:r w:rsidR="003B0DD0">
        <w:rPr>
          <w:rFonts w:asciiTheme="minorHAnsi" w:hAnsiTheme="minorHAnsi"/>
          <w:color w:val="auto"/>
          <w:szCs w:val="24"/>
        </w:rPr>
        <w:t xml:space="preserve">all </w:t>
      </w:r>
      <w:r w:rsidR="00DD24DD" w:rsidRPr="00060C01">
        <w:rPr>
          <w:rFonts w:asciiTheme="minorHAnsi" w:hAnsiTheme="minorHAnsi"/>
          <w:color w:val="auto"/>
          <w:szCs w:val="24"/>
        </w:rPr>
        <w:t xml:space="preserve">reviewed by the </w:t>
      </w:r>
      <w:r w:rsidR="00A908C5">
        <w:rPr>
          <w:rFonts w:asciiTheme="minorHAnsi" w:hAnsiTheme="minorHAnsi"/>
          <w:color w:val="auto"/>
          <w:szCs w:val="24"/>
        </w:rPr>
        <w:t>a</w:t>
      </w:r>
      <w:r w:rsidR="00DD24DD" w:rsidRPr="00060C01">
        <w:rPr>
          <w:rFonts w:asciiTheme="minorHAnsi" w:hAnsiTheme="minorHAnsi"/>
          <w:color w:val="auto"/>
          <w:szCs w:val="24"/>
        </w:rPr>
        <w:t xml:space="preserve">ction </w:t>
      </w:r>
      <w:r w:rsidR="00A908C5">
        <w:rPr>
          <w:rFonts w:asciiTheme="minorHAnsi" w:hAnsiTheme="minorHAnsi"/>
          <w:color w:val="auto"/>
          <w:szCs w:val="24"/>
        </w:rPr>
        <w:t>o</w:t>
      </w:r>
      <w:r w:rsidR="00DD24DD" w:rsidRPr="00060C01">
        <w:rPr>
          <w:rFonts w:asciiTheme="minorHAnsi" w:hAnsiTheme="minorHAnsi"/>
          <w:color w:val="auto"/>
          <w:szCs w:val="24"/>
        </w:rPr>
        <w:t>ffice</w:t>
      </w:r>
      <w:r w:rsidR="006F6390">
        <w:rPr>
          <w:rFonts w:asciiTheme="minorHAnsi" w:hAnsiTheme="minorHAnsi"/>
          <w:color w:val="auto"/>
          <w:szCs w:val="24"/>
        </w:rPr>
        <w:t xml:space="preserve">r and considered by the Board.  </w:t>
      </w:r>
      <w:r w:rsidR="00DD24DD" w:rsidRPr="00060C01">
        <w:rPr>
          <w:rFonts w:asciiTheme="minorHAnsi" w:hAnsiTheme="minorHAnsi"/>
          <w:color w:val="auto"/>
          <w:szCs w:val="24"/>
        </w:rPr>
        <w:t>It was determined that none could be argued as unfitting and</w:t>
      </w:r>
      <w:r w:rsidR="006F6390">
        <w:rPr>
          <w:rFonts w:asciiTheme="minorHAnsi" w:hAnsiTheme="minorHAnsi"/>
          <w:color w:val="auto"/>
          <w:szCs w:val="24"/>
        </w:rPr>
        <w:t xml:space="preserve"> subject to separation rating.</w:t>
      </w:r>
    </w:p>
    <w:p w:rsidR="00F7191E" w:rsidRPr="00313844" w:rsidRDefault="00F7191E" w:rsidP="00F7191E">
      <w:pPr>
        <w:pBdr>
          <w:bottom w:val="single" w:sz="12" w:space="1" w:color="auto"/>
        </w:pBdr>
        <w:spacing w:line="240" w:lineRule="exact"/>
        <w:rPr>
          <w:rFonts w:asciiTheme="minorHAnsi" w:hAnsiTheme="minorHAnsi"/>
          <w:color w:val="auto"/>
          <w:u w:val="single"/>
        </w:rPr>
      </w:pPr>
    </w:p>
    <w:p w:rsidR="00F7191E" w:rsidRPr="00313844" w:rsidRDefault="00F7191E" w:rsidP="00F7191E">
      <w:pPr>
        <w:spacing w:line="240" w:lineRule="exact"/>
        <w:rPr>
          <w:rFonts w:asciiTheme="minorHAnsi" w:hAnsiTheme="minorHAnsi"/>
          <w:color w:val="auto"/>
          <w:u w:val="single"/>
        </w:rPr>
      </w:pPr>
    </w:p>
    <w:p w:rsidR="007F38F3" w:rsidRPr="003B0DD0" w:rsidRDefault="002A0343" w:rsidP="007F38F3">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00A8357B">
        <w:rPr>
          <w:rFonts w:asciiTheme="minorHAnsi" w:eastAsiaTheme="minorHAnsi" w:hAnsiTheme="minorHAnsi"/>
          <w:color w:val="auto"/>
          <w:szCs w:val="24"/>
        </w:rPr>
        <w:t xml:space="preserve"> </w:t>
      </w:r>
      <w:r>
        <w:rPr>
          <w:rFonts w:asciiTheme="minorHAnsi" w:eastAsiaTheme="minorHAnsi" w:hAnsiTheme="minorHAnsi"/>
          <w:color w:val="auto"/>
          <w:szCs w:val="24"/>
        </w:rPr>
        <w:t xml:space="preserve"> </w:t>
      </w:r>
      <w:r w:rsidRPr="00AE3316">
        <w:rPr>
          <w:rFonts w:asciiTheme="minorHAnsi" w:eastAsiaTheme="minorHAnsi" w:hAnsiTheme="minorHAnsi"/>
          <w:color w:val="auto"/>
          <w:szCs w:val="24"/>
        </w:rPr>
        <w:t>The Board did not surmise from the record or PEB ruling in this case that any prerogatives outside the VASRD were exercised.</w:t>
      </w:r>
      <w:r w:rsidR="00A908C5">
        <w:rPr>
          <w:rFonts w:asciiTheme="minorHAnsi" w:eastAsiaTheme="minorHAnsi" w:hAnsiTheme="minorHAnsi"/>
          <w:color w:val="auto"/>
          <w:szCs w:val="24"/>
        </w:rPr>
        <w:t xml:space="preserve">  </w:t>
      </w:r>
      <w:r w:rsidR="00A8357B" w:rsidRPr="00510C69">
        <w:rPr>
          <w:rFonts w:asciiTheme="minorHAnsi" w:eastAsiaTheme="minorHAnsi" w:hAnsiTheme="minorHAnsi"/>
          <w:color w:val="auto"/>
          <w:szCs w:val="24"/>
        </w:rPr>
        <w:t xml:space="preserve">In the matter of the </w:t>
      </w:r>
      <w:r w:rsidR="003B0DD0">
        <w:rPr>
          <w:rFonts w:asciiTheme="minorHAnsi" w:eastAsiaTheme="minorHAnsi" w:hAnsiTheme="minorHAnsi"/>
          <w:color w:val="auto"/>
          <w:szCs w:val="24"/>
        </w:rPr>
        <w:t>ACL</w:t>
      </w:r>
      <w:r w:rsidR="0089605A" w:rsidRPr="00510C69">
        <w:rPr>
          <w:rFonts w:asciiTheme="minorHAnsi" w:eastAsiaTheme="minorHAnsi" w:hAnsiTheme="minorHAnsi"/>
          <w:color w:val="auto"/>
          <w:szCs w:val="24"/>
        </w:rPr>
        <w:t xml:space="preserve"> deficient right knee, </w:t>
      </w:r>
      <w:r w:rsidR="00A8357B" w:rsidRPr="00510C69">
        <w:rPr>
          <w:rFonts w:asciiTheme="minorHAnsi" w:eastAsiaTheme="minorHAnsi" w:hAnsiTheme="minorHAnsi"/>
          <w:color w:val="auto"/>
          <w:szCs w:val="24"/>
        </w:rPr>
        <w:t xml:space="preserve">the Board unanimously recommends </w:t>
      </w:r>
      <w:r w:rsidR="003B0DD0">
        <w:rPr>
          <w:rFonts w:asciiTheme="minorHAnsi" w:eastAsiaTheme="minorHAnsi" w:hAnsiTheme="minorHAnsi"/>
          <w:color w:val="auto"/>
          <w:szCs w:val="24"/>
        </w:rPr>
        <w:t>a disability rating of</w:t>
      </w:r>
      <w:r w:rsidR="00A8357B" w:rsidRPr="00510C69">
        <w:rPr>
          <w:rFonts w:asciiTheme="minorHAnsi" w:eastAsiaTheme="minorHAnsi" w:hAnsiTheme="minorHAnsi"/>
          <w:color w:val="auto"/>
          <w:szCs w:val="24"/>
        </w:rPr>
        <w:t xml:space="preserve"> 10%</w:t>
      </w:r>
      <w:r w:rsidR="00D92A3C">
        <w:rPr>
          <w:rFonts w:asciiTheme="minorHAnsi" w:eastAsiaTheme="minorHAnsi" w:hAnsiTheme="minorHAnsi"/>
          <w:color w:val="auto"/>
          <w:szCs w:val="24"/>
        </w:rPr>
        <w:t xml:space="preserve">, </w:t>
      </w:r>
      <w:r w:rsidR="00A8357B" w:rsidRPr="00510C69">
        <w:rPr>
          <w:rFonts w:asciiTheme="minorHAnsi" w:eastAsiaTheme="minorHAnsi" w:hAnsiTheme="minorHAnsi"/>
          <w:color w:val="auto"/>
          <w:szCs w:val="24"/>
        </w:rPr>
        <w:t xml:space="preserve">coded 5299-5003 </w:t>
      </w:r>
      <w:r w:rsidR="00A8357B" w:rsidRPr="00510C69">
        <w:rPr>
          <w:rFonts w:asciiTheme="minorHAnsi" w:hAnsiTheme="minorHAnsi"/>
          <w:color w:val="auto"/>
          <w:szCs w:val="24"/>
        </w:rPr>
        <w:t>IAW VASRD §4.71a.</w:t>
      </w:r>
      <w:r w:rsidR="00A8357B" w:rsidRPr="00AE3316">
        <w:rPr>
          <w:rFonts w:asciiTheme="minorHAnsi" w:hAnsiTheme="minorHAnsi"/>
          <w:color w:val="auto"/>
          <w:szCs w:val="24"/>
        </w:rPr>
        <w:t xml:space="preserve"> </w:t>
      </w:r>
      <w:r w:rsidR="00D92A3C">
        <w:rPr>
          <w:rFonts w:asciiTheme="minorHAnsi" w:hAnsiTheme="minorHAnsi"/>
          <w:color w:val="auto"/>
          <w:szCs w:val="24"/>
        </w:rPr>
        <w:t xml:space="preserve"> </w:t>
      </w:r>
      <w:r w:rsidR="00DC5A03" w:rsidRPr="00AE3316">
        <w:rPr>
          <w:rFonts w:asciiTheme="minorHAnsi" w:eastAsiaTheme="minorHAnsi" w:hAnsiTheme="minorHAnsi"/>
          <w:color w:val="auto"/>
          <w:szCs w:val="24"/>
        </w:rPr>
        <w:t xml:space="preserve">In the matter of the </w:t>
      </w:r>
      <w:r w:rsidR="0089605A">
        <w:rPr>
          <w:rFonts w:asciiTheme="minorHAnsi" w:hAnsiTheme="minorHAnsi"/>
          <w:color w:val="auto"/>
          <w:szCs w:val="24"/>
        </w:rPr>
        <w:t xml:space="preserve">chondromalacia of medial femoral condyle, chondromalacia </w:t>
      </w:r>
      <w:r w:rsidR="003B0DD0">
        <w:rPr>
          <w:rFonts w:asciiTheme="minorHAnsi" w:hAnsiTheme="minorHAnsi"/>
          <w:color w:val="auto"/>
          <w:szCs w:val="24"/>
        </w:rPr>
        <w:t xml:space="preserve">of </w:t>
      </w:r>
      <w:r w:rsidR="0089605A">
        <w:rPr>
          <w:rFonts w:asciiTheme="minorHAnsi" w:hAnsiTheme="minorHAnsi"/>
          <w:color w:val="auto"/>
          <w:szCs w:val="24"/>
        </w:rPr>
        <w:t>lateral femoral condyle, tear</w:t>
      </w:r>
      <w:r w:rsidR="003B0DD0">
        <w:rPr>
          <w:rFonts w:asciiTheme="minorHAnsi" w:hAnsiTheme="minorHAnsi"/>
          <w:color w:val="auto"/>
          <w:szCs w:val="24"/>
        </w:rPr>
        <w:t xml:space="preserve"> of</w:t>
      </w:r>
      <w:r w:rsidR="0089605A">
        <w:rPr>
          <w:rFonts w:asciiTheme="minorHAnsi" w:hAnsiTheme="minorHAnsi"/>
          <w:color w:val="auto"/>
          <w:szCs w:val="24"/>
        </w:rPr>
        <w:t xml:space="preserve"> medial meniscus, tear of </w:t>
      </w:r>
      <w:r w:rsidR="003B0DD0">
        <w:rPr>
          <w:rFonts w:asciiTheme="minorHAnsi" w:hAnsiTheme="minorHAnsi"/>
          <w:color w:val="auto"/>
          <w:szCs w:val="24"/>
        </w:rPr>
        <w:t xml:space="preserve">lateral meniscus, </w:t>
      </w:r>
      <w:r w:rsidR="007F38F3" w:rsidRPr="00060C01">
        <w:rPr>
          <w:rFonts w:asciiTheme="minorHAnsi" w:hAnsiTheme="minorHAnsi"/>
          <w:color w:val="auto"/>
          <w:szCs w:val="24"/>
        </w:rPr>
        <w:t>left thumb graft, left inguinal hernia</w:t>
      </w:r>
      <w:r w:rsidR="007F38F3">
        <w:rPr>
          <w:rFonts w:asciiTheme="minorHAnsi" w:hAnsiTheme="minorHAnsi"/>
          <w:color w:val="auto"/>
          <w:szCs w:val="24"/>
        </w:rPr>
        <w:t>,</w:t>
      </w:r>
      <w:r w:rsidR="007F38F3" w:rsidRPr="00060C01">
        <w:rPr>
          <w:rFonts w:asciiTheme="minorHAnsi" w:hAnsiTheme="minorHAnsi"/>
          <w:color w:val="auto"/>
          <w:szCs w:val="24"/>
        </w:rPr>
        <w:t xml:space="preserve"> inhaler use</w:t>
      </w:r>
      <w:r w:rsidR="007F38F3">
        <w:rPr>
          <w:rFonts w:asciiTheme="minorHAnsi" w:hAnsiTheme="minorHAnsi"/>
          <w:color w:val="auto"/>
          <w:szCs w:val="24"/>
        </w:rPr>
        <w:t>,</w:t>
      </w:r>
      <w:r w:rsidR="007F38F3" w:rsidRPr="007F38F3">
        <w:rPr>
          <w:rFonts w:asciiTheme="minorHAnsi" w:hAnsiTheme="minorHAnsi"/>
          <w:color w:val="auto"/>
          <w:szCs w:val="24"/>
        </w:rPr>
        <w:t xml:space="preserve"> and any other conditions eligible for Board consideration, the Board unanimously agrees that it cannot recommend any findings of unfit for additional rating at separation.</w:t>
      </w:r>
    </w:p>
    <w:p w:rsidR="00F7191E" w:rsidRPr="00313844" w:rsidRDefault="00F7191E" w:rsidP="00F7191E">
      <w:pPr>
        <w:pBdr>
          <w:bottom w:val="single" w:sz="12" w:space="1" w:color="auto"/>
        </w:pBdr>
        <w:spacing w:line="240" w:lineRule="exact"/>
        <w:rPr>
          <w:rFonts w:asciiTheme="minorHAnsi" w:hAnsiTheme="minorHAnsi"/>
          <w:color w:val="auto"/>
          <w:u w:val="single"/>
        </w:rPr>
      </w:pPr>
    </w:p>
    <w:p w:rsidR="00F7191E" w:rsidRPr="00313844" w:rsidRDefault="00F7191E" w:rsidP="00F7191E">
      <w:pPr>
        <w:spacing w:line="240" w:lineRule="exact"/>
        <w:rPr>
          <w:rFonts w:asciiTheme="minorHAnsi" w:hAnsiTheme="minorHAnsi"/>
          <w:color w:val="auto"/>
          <w:u w:val="single"/>
        </w:rPr>
      </w:pPr>
    </w:p>
    <w:p w:rsidR="00D337BB" w:rsidRDefault="002A0343" w:rsidP="00D92A3C">
      <w:pPr>
        <w:tabs>
          <w:tab w:val="left" w:pos="288"/>
          <w:tab w:val="left" w:pos="4752"/>
        </w:tabs>
        <w:spacing w:line="240" w:lineRule="exact"/>
        <w:rPr>
          <w:rFonts w:asciiTheme="minorHAnsi" w:hAnsiTheme="minorHAnsi"/>
          <w:color w:val="auto"/>
          <w:szCs w:val="24"/>
        </w:rPr>
      </w:pPr>
      <w:r w:rsidRPr="00542C9A">
        <w:rPr>
          <w:rFonts w:asciiTheme="minorHAnsi" w:hAnsiTheme="minorHAnsi"/>
          <w:color w:val="auto"/>
          <w:szCs w:val="24"/>
          <w:u w:val="single"/>
        </w:rPr>
        <w:t>RECOMMENDATION</w:t>
      </w:r>
      <w:r w:rsidRPr="00F7191E">
        <w:rPr>
          <w:rFonts w:asciiTheme="minorHAnsi" w:hAnsiTheme="minorHAnsi"/>
          <w:color w:val="auto"/>
          <w:szCs w:val="24"/>
        </w:rPr>
        <w:t xml:space="preserve">: </w:t>
      </w:r>
      <w:r w:rsidR="00D92A3C">
        <w:rPr>
          <w:rFonts w:asciiTheme="minorHAnsi" w:hAnsiTheme="minorHAnsi"/>
          <w:color w:val="auto"/>
          <w:szCs w:val="24"/>
        </w:rPr>
        <w:t xml:space="preserve"> </w:t>
      </w:r>
      <w:r w:rsidR="00505BB3" w:rsidRPr="00505BB3">
        <w:rPr>
          <w:rFonts w:asciiTheme="minorHAnsi" w:hAnsiTheme="minorHAnsi"/>
          <w:color w:val="auto"/>
          <w:szCs w:val="24"/>
        </w:rPr>
        <w:t>The Board therefore</w:t>
      </w:r>
      <w:r w:rsidR="00D92A3C">
        <w:rPr>
          <w:rFonts w:asciiTheme="minorHAnsi" w:hAnsiTheme="minorHAnsi"/>
          <w:color w:val="auto"/>
          <w:szCs w:val="24"/>
        </w:rPr>
        <w:t xml:space="preserve"> </w:t>
      </w:r>
      <w:r w:rsidR="00505BB3" w:rsidRPr="00505BB3">
        <w:rPr>
          <w:rFonts w:asciiTheme="minorHAnsi" w:hAnsiTheme="minorHAnsi"/>
          <w:color w:val="auto"/>
          <w:szCs w:val="24"/>
        </w:rPr>
        <w:t>recommends that there be no re</w:t>
      </w:r>
      <w:r w:rsidR="00C77628">
        <w:rPr>
          <w:rFonts w:asciiTheme="minorHAnsi" w:hAnsiTheme="minorHAnsi"/>
          <w:color w:val="auto"/>
          <w:szCs w:val="24"/>
        </w:rPr>
        <w:t>-</w:t>
      </w:r>
      <w:r w:rsidR="00505BB3" w:rsidRPr="00505BB3">
        <w:rPr>
          <w:rFonts w:asciiTheme="minorHAnsi" w:hAnsiTheme="minorHAnsi"/>
          <w:color w:val="auto"/>
          <w:szCs w:val="24"/>
        </w:rPr>
        <w:t>characterization of the CI’s disability and separation determination, as follows:</w:t>
      </w:r>
    </w:p>
    <w:p w:rsidR="00510C69" w:rsidRPr="00AC713F" w:rsidRDefault="00510C69" w:rsidP="00D337BB">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1854"/>
        <w:gridCol w:w="2480"/>
        <w:gridCol w:w="1084"/>
      </w:tblGrid>
      <w:tr w:rsidR="00D337BB" w:rsidRPr="00AC713F" w:rsidTr="00505BB3">
        <w:trPr>
          <w:trHeight w:val="287"/>
          <w:jc w:val="center"/>
        </w:trPr>
        <w:tc>
          <w:tcPr>
            <w:tcW w:w="5904" w:type="dxa"/>
            <w:gridSpan w:val="2"/>
            <w:tcBorders>
              <w:right w:val="single" w:sz="4" w:space="0" w:color="auto"/>
            </w:tcBorders>
            <w:shd w:val="clear" w:color="auto" w:fill="D9D9D9"/>
            <w:vAlign w:val="center"/>
          </w:tcPr>
          <w:p w:rsidR="00D337BB" w:rsidRPr="00AC713F" w:rsidRDefault="00D337BB" w:rsidP="00505BB3">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UNFITTING CONDITION</w:t>
            </w:r>
          </w:p>
        </w:tc>
        <w:tc>
          <w:tcPr>
            <w:tcW w:w="2480" w:type="dxa"/>
            <w:tcBorders>
              <w:left w:val="single" w:sz="4" w:space="0" w:color="auto"/>
            </w:tcBorders>
            <w:shd w:val="clear" w:color="auto" w:fill="D9D9D9"/>
            <w:vAlign w:val="center"/>
          </w:tcPr>
          <w:p w:rsidR="00D337BB" w:rsidRPr="00AC713F" w:rsidRDefault="00D337BB" w:rsidP="00505BB3">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084" w:type="dxa"/>
            <w:shd w:val="clear" w:color="auto" w:fill="D9D9D9"/>
            <w:vAlign w:val="center"/>
          </w:tcPr>
          <w:p w:rsidR="00D337BB" w:rsidRPr="00AC713F" w:rsidRDefault="00D337BB" w:rsidP="00505BB3">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D337BB" w:rsidRPr="00AC713F" w:rsidTr="00505BB3">
        <w:trPr>
          <w:jc w:val="center"/>
        </w:trPr>
        <w:tc>
          <w:tcPr>
            <w:tcW w:w="5904" w:type="dxa"/>
            <w:gridSpan w:val="2"/>
            <w:tcBorders>
              <w:right w:val="single" w:sz="4" w:space="0" w:color="auto"/>
            </w:tcBorders>
            <w:vAlign w:val="center"/>
          </w:tcPr>
          <w:p w:rsidR="00D337BB" w:rsidRPr="00AC713F" w:rsidRDefault="00D337BB" w:rsidP="003B0DD0">
            <w:pPr>
              <w:tabs>
                <w:tab w:val="left" w:pos="288"/>
                <w:tab w:val="left" w:pos="4752"/>
              </w:tabs>
              <w:spacing w:line="240" w:lineRule="exact"/>
              <w:rPr>
                <w:rFonts w:asciiTheme="minorHAnsi" w:hAnsiTheme="minorHAnsi"/>
                <w:color w:val="auto"/>
                <w:szCs w:val="24"/>
              </w:rPr>
            </w:pPr>
            <w:r w:rsidRPr="00367E0F">
              <w:rPr>
                <w:rFonts w:asciiTheme="minorHAnsi" w:hAnsiTheme="minorHAnsi"/>
                <w:color w:val="auto"/>
                <w:szCs w:val="24"/>
              </w:rPr>
              <w:t>Chronic Right Knee</w:t>
            </w:r>
            <w:r w:rsidR="003B0DD0">
              <w:rPr>
                <w:rFonts w:asciiTheme="minorHAnsi" w:hAnsiTheme="minorHAnsi"/>
                <w:color w:val="auto"/>
                <w:szCs w:val="24"/>
              </w:rPr>
              <w:t xml:space="preserve"> Condition</w:t>
            </w:r>
            <w:r w:rsidR="00C77628">
              <w:rPr>
                <w:rFonts w:asciiTheme="minorHAnsi" w:hAnsiTheme="minorHAnsi"/>
                <w:color w:val="auto"/>
                <w:szCs w:val="24"/>
              </w:rPr>
              <w:t xml:space="preserve"> (Surg</w:t>
            </w:r>
            <w:r w:rsidRPr="00367E0F">
              <w:rPr>
                <w:rFonts w:asciiTheme="minorHAnsi" w:hAnsiTheme="minorHAnsi"/>
                <w:color w:val="auto"/>
                <w:szCs w:val="24"/>
              </w:rPr>
              <w:t>ically Treated</w:t>
            </w:r>
            <w:r w:rsidR="00C77628">
              <w:rPr>
                <w:rFonts w:asciiTheme="minorHAnsi" w:hAnsiTheme="minorHAnsi"/>
                <w:color w:val="auto"/>
                <w:szCs w:val="24"/>
              </w:rPr>
              <w:t>)</w:t>
            </w:r>
          </w:p>
        </w:tc>
        <w:tc>
          <w:tcPr>
            <w:tcW w:w="2480" w:type="dxa"/>
            <w:tcBorders>
              <w:left w:val="single" w:sz="4" w:space="0" w:color="auto"/>
            </w:tcBorders>
            <w:vAlign w:val="center"/>
          </w:tcPr>
          <w:p w:rsidR="00D337BB" w:rsidRPr="00AC713F" w:rsidRDefault="00D337BB" w:rsidP="00505BB3">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5299-5003</w:t>
            </w:r>
          </w:p>
        </w:tc>
        <w:tc>
          <w:tcPr>
            <w:tcW w:w="1084" w:type="dxa"/>
            <w:vAlign w:val="center"/>
          </w:tcPr>
          <w:p w:rsidR="00D337BB" w:rsidRPr="00AC713F" w:rsidRDefault="00D337BB" w:rsidP="00505BB3">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D337BB" w:rsidRPr="00AC713F" w:rsidTr="00505BB3">
        <w:tblPrEx>
          <w:tblLook w:val="0000"/>
        </w:tblPrEx>
        <w:trPr>
          <w:gridBefore w:val="1"/>
          <w:wBefore w:w="4050" w:type="dxa"/>
          <w:trHeight w:val="287"/>
          <w:jc w:val="center"/>
        </w:trPr>
        <w:tc>
          <w:tcPr>
            <w:tcW w:w="4334" w:type="dxa"/>
            <w:gridSpan w:val="2"/>
            <w:tcBorders>
              <w:left w:val="single" w:sz="4" w:space="0" w:color="auto"/>
              <w:bottom w:val="single" w:sz="4" w:space="0" w:color="auto"/>
            </w:tcBorders>
            <w:shd w:val="clear" w:color="auto" w:fill="D9D9D9" w:themeFill="background1" w:themeFillShade="D9"/>
            <w:vAlign w:val="center"/>
          </w:tcPr>
          <w:p w:rsidR="00D337BB" w:rsidRPr="00AC713F" w:rsidRDefault="00D337BB" w:rsidP="00505BB3">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COMBINED</w:t>
            </w:r>
          </w:p>
        </w:tc>
        <w:tc>
          <w:tcPr>
            <w:tcW w:w="1084" w:type="dxa"/>
            <w:tcBorders>
              <w:bottom w:val="single" w:sz="4" w:space="0" w:color="000000"/>
            </w:tcBorders>
            <w:shd w:val="clear" w:color="auto" w:fill="D9D9D9" w:themeFill="background1" w:themeFillShade="D9"/>
            <w:vAlign w:val="center"/>
          </w:tcPr>
          <w:p w:rsidR="00D337BB" w:rsidRPr="00AC713F" w:rsidRDefault="00D337BB" w:rsidP="00505BB3">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Pr="00AC713F">
              <w:rPr>
                <w:rFonts w:asciiTheme="minorHAnsi" w:hAnsiTheme="minorHAnsi"/>
                <w:b/>
                <w:color w:val="auto"/>
                <w:szCs w:val="24"/>
              </w:rPr>
              <w:t>0%</w:t>
            </w:r>
          </w:p>
        </w:tc>
      </w:tr>
    </w:tbl>
    <w:p w:rsidR="005E6838" w:rsidRDefault="005E6838" w:rsidP="000E4CF8">
      <w:pPr>
        <w:tabs>
          <w:tab w:val="left" w:pos="288"/>
          <w:tab w:val="left" w:pos="4752"/>
        </w:tabs>
        <w:spacing w:line="240" w:lineRule="exact"/>
        <w:jc w:val="both"/>
        <w:rPr>
          <w:rFonts w:asciiTheme="minorHAnsi" w:hAnsiTheme="minorHAnsi"/>
          <w:b/>
          <w:color w:val="auto"/>
          <w:u w:val="single"/>
        </w:rPr>
      </w:pPr>
    </w:p>
    <w:p w:rsidR="005E6838" w:rsidRPr="00313844" w:rsidRDefault="005E6838" w:rsidP="005E6838">
      <w:pPr>
        <w:pBdr>
          <w:bottom w:val="single" w:sz="12" w:space="1" w:color="auto"/>
        </w:pBdr>
        <w:spacing w:line="240" w:lineRule="exact"/>
        <w:rPr>
          <w:rFonts w:asciiTheme="minorHAnsi" w:hAnsiTheme="minorHAnsi"/>
          <w:color w:val="auto"/>
          <w:u w:val="single"/>
        </w:rPr>
      </w:pPr>
    </w:p>
    <w:p w:rsidR="002A0343" w:rsidRPr="00725A68" w:rsidRDefault="002A0343" w:rsidP="000E4CF8">
      <w:pPr>
        <w:tabs>
          <w:tab w:val="left" w:pos="288"/>
          <w:tab w:val="left" w:pos="4752"/>
        </w:tabs>
        <w:spacing w:line="240" w:lineRule="exact"/>
        <w:jc w:val="both"/>
        <w:rPr>
          <w:rFonts w:asciiTheme="minorHAnsi" w:hAnsiTheme="minorHAnsi"/>
          <w:b/>
          <w:color w:val="auto"/>
        </w:rPr>
      </w:pPr>
    </w:p>
    <w:p w:rsidR="002A0343" w:rsidRPr="0085089F" w:rsidRDefault="002A0343" w:rsidP="000E4CF8">
      <w:pPr>
        <w:tabs>
          <w:tab w:val="left" w:pos="288"/>
          <w:tab w:val="left" w:pos="4752"/>
        </w:tabs>
        <w:spacing w:line="240" w:lineRule="exact"/>
        <w:jc w:val="both"/>
        <w:rPr>
          <w:rFonts w:asciiTheme="minorHAnsi" w:hAnsiTheme="minorHAnsi"/>
          <w:color w:val="auto"/>
        </w:rPr>
      </w:pPr>
    </w:p>
    <w:p w:rsidR="002A0343" w:rsidRPr="0085089F" w:rsidRDefault="002A0343" w:rsidP="000E4CF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2A0343" w:rsidRPr="0085089F" w:rsidRDefault="002A0343" w:rsidP="000E4CF8">
      <w:pPr>
        <w:tabs>
          <w:tab w:val="left" w:pos="288"/>
          <w:tab w:val="left" w:pos="4752"/>
        </w:tabs>
        <w:spacing w:line="240" w:lineRule="exact"/>
        <w:jc w:val="both"/>
        <w:rPr>
          <w:rFonts w:asciiTheme="minorHAnsi" w:hAnsiTheme="minorHAnsi"/>
          <w:color w:val="auto"/>
        </w:rPr>
      </w:pPr>
    </w:p>
    <w:p w:rsidR="002A0343" w:rsidRPr="0085089F" w:rsidRDefault="002A0343" w:rsidP="000E4CF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20</w:t>
      </w:r>
      <w:r w:rsidR="005B144E">
        <w:rPr>
          <w:rFonts w:asciiTheme="minorHAnsi" w:hAnsiTheme="minorHAnsi"/>
          <w:color w:val="auto"/>
        </w:rPr>
        <w:t>091006</w:t>
      </w:r>
      <w:r w:rsidRPr="0085089F">
        <w:rPr>
          <w:rFonts w:asciiTheme="minorHAnsi" w:hAnsiTheme="minorHAnsi"/>
          <w:color w:val="auto"/>
        </w:rPr>
        <w:t>, w/atchs.</w:t>
      </w:r>
    </w:p>
    <w:p w:rsidR="002A0343" w:rsidRPr="0085089F" w:rsidRDefault="002A0343" w:rsidP="000E4CF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2A0343" w:rsidRPr="0085089F" w:rsidRDefault="002A0343" w:rsidP="000E4CF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 Affairs Treatment Record.</w:t>
      </w:r>
      <w:proofErr w:type="gramEnd"/>
    </w:p>
    <w:p w:rsidR="002A0343" w:rsidRPr="0085089F" w:rsidRDefault="002A0343" w:rsidP="000E4CF8">
      <w:pPr>
        <w:tabs>
          <w:tab w:val="left" w:pos="288"/>
          <w:tab w:val="left" w:pos="4752"/>
        </w:tabs>
        <w:spacing w:line="240" w:lineRule="exact"/>
        <w:jc w:val="both"/>
        <w:rPr>
          <w:rFonts w:asciiTheme="minorHAnsi" w:hAnsiTheme="minorHAnsi"/>
          <w:color w:val="auto"/>
        </w:rPr>
      </w:pPr>
    </w:p>
    <w:p w:rsidR="002A0343" w:rsidRPr="0085089F" w:rsidRDefault="002A0343" w:rsidP="000E4CF8">
      <w:pPr>
        <w:tabs>
          <w:tab w:val="left" w:pos="288"/>
          <w:tab w:val="left" w:pos="4752"/>
        </w:tabs>
        <w:spacing w:line="240" w:lineRule="exact"/>
        <w:jc w:val="both"/>
        <w:rPr>
          <w:rFonts w:asciiTheme="minorHAnsi" w:hAnsiTheme="minorHAnsi"/>
          <w:color w:val="auto"/>
        </w:rPr>
      </w:pPr>
    </w:p>
    <w:p w:rsidR="002A0343" w:rsidRPr="0085089F" w:rsidRDefault="002A0343" w:rsidP="000E4CF8">
      <w:pPr>
        <w:tabs>
          <w:tab w:val="left" w:pos="288"/>
          <w:tab w:val="left" w:pos="4752"/>
        </w:tabs>
        <w:spacing w:line="240" w:lineRule="exact"/>
        <w:jc w:val="both"/>
        <w:rPr>
          <w:rFonts w:asciiTheme="minorHAnsi" w:hAnsiTheme="minorHAnsi"/>
          <w:color w:val="auto"/>
        </w:rPr>
      </w:pPr>
    </w:p>
    <w:p w:rsidR="002A0343" w:rsidRPr="0085089F" w:rsidRDefault="002A0343" w:rsidP="000E4CF8">
      <w:pPr>
        <w:tabs>
          <w:tab w:val="left" w:pos="288"/>
          <w:tab w:val="left" w:pos="4752"/>
        </w:tabs>
        <w:spacing w:line="240" w:lineRule="exact"/>
        <w:jc w:val="both"/>
        <w:rPr>
          <w:rFonts w:asciiTheme="minorHAnsi" w:hAnsiTheme="minorHAnsi"/>
          <w:color w:val="auto"/>
        </w:rPr>
      </w:pPr>
    </w:p>
    <w:p w:rsidR="002A0343" w:rsidRPr="0085089F" w:rsidRDefault="002A0343" w:rsidP="000E4CF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2A0343" w:rsidRPr="0085089F" w:rsidRDefault="002A0343" w:rsidP="000E4CF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2A0343" w:rsidRDefault="002A0343" w:rsidP="000E4CF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85089F">
        <w:rPr>
          <w:rFonts w:asciiTheme="minorHAnsi" w:hAnsiTheme="minorHAnsi"/>
          <w:color w:val="auto"/>
        </w:rPr>
        <w:t>Physical Disability Board of Review</w:t>
      </w:r>
    </w:p>
    <w:p w:rsidR="00F04141" w:rsidRDefault="00F04141" w:rsidP="000E4CF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04141" w:rsidRDefault="00F04141">
      <w:pPr>
        <w:rPr>
          <w:rFonts w:asciiTheme="minorHAnsi" w:hAnsiTheme="minorHAnsi"/>
          <w:color w:val="auto"/>
        </w:rPr>
      </w:pPr>
      <w:r>
        <w:rPr>
          <w:rFonts w:asciiTheme="minorHAnsi" w:hAnsiTheme="minorHAnsi"/>
          <w:color w:val="auto"/>
        </w:rPr>
        <w:br w:type="page"/>
      </w:r>
    </w:p>
    <w:p w:rsidR="00F04141" w:rsidRPr="00F04141" w:rsidRDefault="00F04141" w:rsidP="000E4CF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04141" w:rsidRPr="00F04141" w:rsidRDefault="00F04141" w:rsidP="00F04141">
      <w:pPr>
        <w:ind w:left="-360"/>
        <w:jc w:val="both"/>
        <w:rPr>
          <w:color w:val="auto"/>
        </w:rPr>
      </w:pPr>
      <w:r w:rsidRPr="00F04141">
        <w:rPr>
          <w:color w:val="auto"/>
        </w:rPr>
        <w:t xml:space="preserve">MEMORANDUM FOR DIRECTOR, SECRETARY OF THE NAVY COUNCIL OF REVIEW              </w:t>
      </w:r>
    </w:p>
    <w:p w:rsidR="00F04141" w:rsidRPr="00F04141" w:rsidRDefault="00F04141" w:rsidP="00F04141">
      <w:pPr>
        <w:tabs>
          <w:tab w:val="left" w:pos="2070"/>
        </w:tabs>
        <w:ind w:left="-360"/>
        <w:jc w:val="both"/>
        <w:rPr>
          <w:color w:val="auto"/>
        </w:rPr>
      </w:pPr>
      <w:r w:rsidRPr="00F04141">
        <w:rPr>
          <w:color w:val="auto"/>
        </w:rPr>
        <w:t xml:space="preserve">                                       </w:t>
      </w:r>
      <w:r w:rsidRPr="00F04141">
        <w:rPr>
          <w:color w:val="auto"/>
        </w:rPr>
        <w:tab/>
        <w:t xml:space="preserve">BOARDS </w:t>
      </w:r>
    </w:p>
    <w:p w:rsidR="00F04141" w:rsidRPr="00F04141" w:rsidRDefault="00F04141" w:rsidP="00F04141">
      <w:pPr>
        <w:jc w:val="both"/>
        <w:rPr>
          <w:color w:val="auto"/>
        </w:rPr>
      </w:pPr>
    </w:p>
    <w:p w:rsidR="00F04141" w:rsidRPr="00F04141" w:rsidRDefault="00F04141" w:rsidP="00F04141">
      <w:pPr>
        <w:ind w:left="-360"/>
        <w:jc w:val="both"/>
        <w:rPr>
          <w:color w:val="auto"/>
        </w:rPr>
      </w:pPr>
      <w:proofErr w:type="spellStart"/>
      <w:r w:rsidRPr="00F04141">
        <w:rPr>
          <w:color w:val="auto"/>
        </w:rPr>
        <w:t>Subj</w:t>
      </w:r>
      <w:proofErr w:type="spellEnd"/>
      <w:r w:rsidRPr="00F04141">
        <w:rPr>
          <w:color w:val="auto"/>
        </w:rPr>
        <w:t>:  PHYSICAL DISABILITY BOARD OF REVIEW (PDBR) RECOMMENDATION</w:t>
      </w:r>
    </w:p>
    <w:p w:rsidR="00F04141" w:rsidRPr="00F04141" w:rsidRDefault="00F04141" w:rsidP="00F04141">
      <w:pPr>
        <w:tabs>
          <w:tab w:val="left" w:pos="270"/>
        </w:tabs>
        <w:jc w:val="both"/>
        <w:rPr>
          <w:color w:val="auto"/>
        </w:rPr>
      </w:pPr>
      <w:r w:rsidRPr="00F04141">
        <w:rPr>
          <w:color w:val="auto"/>
        </w:rPr>
        <w:t xml:space="preserve">    </w:t>
      </w:r>
      <w:r w:rsidRPr="00F04141">
        <w:rPr>
          <w:color w:val="auto"/>
        </w:rPr>
        <w:tab/>
        <w:t xml:space="preserve">ICO </w:t>
      </w:r>
      <w:r>
        <w:rPr>
          <w:color w:val="auto"/>
        </w:rPr>
        <w:t>XXXXXX</w:t>
      </w:r>
      <w:r w:rsidRPr="00F04141">
        <w:rPr>
          <w:color w:val="auto"/>
        </w:rPr>
        <w:t xml:space="preserve">, FORMER USMC, XXX XX </w:t>
      </w:r>
      <w:r>
        <w:rPr>
          <w:color w:val="auto"/>
        </w:rPr>
        <w:t>XXXX</w:t>
      </w:r>
    </w:p>
    <w:p w:rsidR="00F04141" w:rsidRPr="00F04141" w:rsidRDefault="00F04141" w:rsidP="00F04141">
      <w:pPr>
        <w:jc w:val="both"/>
        <w:rPr>
          <w:color w:val="auto"/>
        </w:rPr>
      </w:pPr>
    </w:p>
    <w:p w:rsidR="00F04141" w:rsidRPr="00F04141" w:rsidRDefault="00F04141" w:rsidP="00F04141">
      <w:pPr>
        <w:ind w:left="-360"/>
        <w:jc w:val="both"/>
        <w:rPr>
          <w:color w:val="auto"/>
        </w:rPr>
      </w:pPr>
      <w:r w:rsidRPr="00F04141">
        <w:rPr>
          <w:color w:val="auto"/>
        </w:rPr>
        <w:t>Ref:   (a) DoDI 6040.44</w:t>
      </w:r>
    </w:p>
    <w:p w:rsidR="00F04141" w:rsidRPr="00F04141" w:rsidRDefault="00F04141" w:rsidP="00F04141">
      <w:pPr>
        <w:ind w:left="-540"/>
        <w:jc w:val="both"/>
        <w:rPr>
          <w:color w:val="auto"/>
        </w:rPr>
      </w:pPr>
      <w:r w:rsidRPr="00F04141">
        <w:rPr>
          <w:color w:val="auto"/>
        </w:rPr>
        <w:t xml:space="preserve">             (b) PDBR </w:t>
      </w:r>
      <w:proofErr w:type="spellStart"/>
      <w:r w:rsidRPr="00F04141">
        <w:rPr>
          <w:color w:val="auto"/>
        </w:rPr>
        <w:t>ltr</w:t>
      </w:r>
      <w:proofErr w:type="spellEnd"/>
      <w:r w:rsidRPr="00F04141">
        <w:rPr>
          <w:color w:val="auto"/>
        </w:rPr>
        <w:t xml:space="preserve"> </w:t>
      </w:r>
      <w:proofErr w:type="spellStart"/>
      <w:r w:rsidRPr="00F04141">
        <w:rPr>
          <w:color w:val="auto"/>
        </w:rPr>
        <w:t>dtd</w:t>
      </w:r>
      <w:proofErr w:type="spellEnd"/>
      <w:r w:rsidRPr="00F04141">
        <w:rPr>
          <w:color w:val="auto"/>
        </w:rPr>
        <w:t xml:space="preserve"> 16 Apr 11</w:t>
      </w:r>
    </w:p>
    <w:p w:rsidR="00F04141" w:rsidRPr="00F04141" w:rsidRDefault="00F04141" w:rsidP="00F04141">
      <w:pPr>
        <w:ind w:left="-540"/>
        <w:jc w:val="both"/>
        <w:rPr>
          <w:color w:val="auto"/>
        </w:rPr>
      </w:pPr>
    </w:p>
    <w:p w:rsidR="00F04141" w:rsidRPr="00F04141" w:rsidRDefault="00F04141" w:rsidP="00F04141">
      <w:pPr>
        <w:ind w:left="-360"/>
        <w:jc w:val="both"/>
        <w:rPr>
          <w:color w:val="auto"/>
        </w:rPr>
      </w:pPr>
      <w:r w:rsidRPr="00F04141">
        <w:rPr>
          <w:color w:val="auto"/>
        </w:rPr>
        <w:t xml:space="preserve">      I have reviewed the subject case pursuant to reference (a) and, for the reasons set forth in reference (b), approve the recommendation of the Physical Disability Board of Review Mr. </w:t>
      </w:r>
      <w:r>
        <w:rPr>
          <w:color w:val="auto"/>
        </w:rPr>
        <w:t>XXXXX</w:t>
      </w:r>
      <w:r w:rsidRPr="00F04141">
        <w:rPr>
          <w:color w:val="auto"/>
        </w:rPr>
        <w:t>’s records not be corrected to reflect a change in either his characterization of separation or in the disability rating previously assigned by the Department of the Navy’s Physical Evaluation Board.</w:t>
      </w:r>
    </w:p>
    <w:p w:rsidR="00F04141" w:rsidRPr="00F04141" w:rsidRDefault="00F04141" w:rsidP="00F04141">
      <w:pPr>
        <w:jc w:val="both"/>
        <w:rPr>
          <w:color w:val="auto"/>
        </w:rPr>
      </w:pPr>
    </w:p>
    <w:p w:rsidR="00F04141" w:rsidRPr="00F04141" w:rsidRDefault="00F04141" w:rsidP="00F04141">
      <w:pPr>
        <w:jc w:val="both"/>
        <w:rPr>
          <w:color w:val="auto"/>
        </w:rPr>
      </w:pPr>
    </w:p>
    <w:p w:rsidR="00F04141" w:rsidRPr="00F04141" w:rsidRDefault="00F04141" w:rsidP="00F04141">
      <w:pPr>
        <w:jc w:val="both"/>
        <w:rPr>
          <w:color w:val="auto"/>
        </w:rPr>
      </w:pPr>
    </w:p>
    <w:p w:rsidR="00F04141" w:rsidRPr="00F04141" w:rsidRDefault="00F04141" w:rsidP="00F04141">
      <w:pPr>
        <w:tabs>
          <w:tab w:val="left" w:pos="4680"/>
        </w:tabs>
        <w:jc w:val="both"/>
        <w:rPr>
          <w:color w:val="auto"/>
        </w:rPr>
      </w:pPr>
      <w:r w:rsidRPr="00F04141">
        <w:rPr>
          <w:color w:val="auto"/>
        </w:rPr>
        <w:tab/>
      </w:r>
    </w:p>
    <w:p w:rsidR="00F04141" w:rsidRPr="00F04141" w:rsidRDefault="00F04141" w:rsidP="00F04141">
      <w:pPr>
        <w:jc w:val="both"/>
        <w:rPr>
          <w:color w:val="auto"/>
        </w:rPr>
      </w:pPr>
      <w:r w:rsidRPr="00F04141">
        <w:rPr>
          <w:color w:val="auto"/>
        </w:rPr>
        <w:tab/>
        <w:t xml:space="preserve">     </w:t>
      </w:r>
      <w:r w:rsidRPr="00F04141">
        <w:rPr>
          <w:color w:val="auto"/>
        </w:rPr>
        <w:tab/>
      </w:r>
      <w:r w:rsidRPr="00F04141">
        <w:rPr>
          <w:color w:val="auto"/>
        </w:rPr>
        <w:tab/>
      </w:r>
      <w:r w:rsidRPr="00F04141">
        <w:rPr>
          <w:color w:val="auto"/>
        </w:rPr>
        <w:tab/>
      </w:r>
      <w:r w:rsidRPr="00F04141">
        <w:rPr>
          <w:color w:val="auto"/>
        </w:rPr>
        <w:tab/>
        <w:t xml:space="preserve">      Assistant General Counsel</w:t>
      </w:r>
    </w:p>
    <w:p w:rsidR="00F04141" w:rsidRPr="00F04141" w:rsidRDefault="00F04141" w:rsidP="00F04141">
      <w:pPr>
        <w:jc w:val="both"/>
        <w:rPr>
          <w:color w:val="auto"/>
        </w:rPr>
      </w:pPr>
      <w:r w:rsidRPr="00F04141">
        <w:rPr>
          <w:color w:val="auto"/>
        </w:rPr>
        <w:tab/>
      </w:r>
      <w:r w:rsidRPr="00F04141">
        <w:rPr>
          <w:color w:val="auto"/>
        </w:rPr>
        <w:tab/>
      </w:r>
      <w:r w:rsidRPr="00F04141">
        <w:rPr>
          <w:color w:val="auto"/>
        </w:rPr>
        <w:tab/>
      </w:r>
      <w:r w:rsidRPr="00F04141">
        <w:rPr>
          <w:color w:val="auto"/>
        </w:rPr>
        <w:tab/>
      </w:r>
      <w:r w:rsidRPr="00F04141">
        <w:rPr>
          <w:color w:val="auto"/>
        </w:rPr>
        <w:tab/>
        <w:t xml:space="preserve">        (Manpower &amp; Reserve Affairs)</w:t>
      </w:r>
    </w:p>
    <w:p w:rsidR="00F04141" w:rsidRDefault="00F04141" w:rsidP="00F04141">
      <w:pPr>
        <w:jc w:val="both"/>
      </w:pPr>
      <w:r w:rsidRPr="00F04141">
        <w:rPr>
          <w:color w:val="auto"/>
        </w:rPr>
        <w:tab/>
      </w:r>
      <w:r w:rsidRPr="00F04141">
        <w:rPr>
          <w:color w:val="auto"/>
        </w:rPr>
        <w:tab/>
      </w:r>
      <w:r>
        <w:tab/>
      </w:r>
      <w:r>
        <w:tab/>
      </w:r>
      <w:r>
        <w:tab/>
      </w:r>
      <w:r>
        <w:tab/>
        <w:t xml:space="preserve">  </w:t>
      </w:r>
    </w:p>
    <w:p w:rsidR="002A0343" w:rsidRDefault="002A0343" w:rsidP="000E4CF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C6C2A" w:rsidRDefault="00CC6C2A" w:rsidP="000E4CF8">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sectPr w:rsidR="00CC6C2A"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596" w:rsidRDefault="007E6596">
      <w:r>
        <w:separator/>
      </w:r>
    </w:p>
  </w:endnote>
  <w:endnote w:type="continuationSeparator" w:id="0">
    <w:p w:rsidR="007E6596" w:rsidRDefault="007E6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7B" w:rsidRDefault="00A4612E">
    <w:pPr>
      <w:pStyle w:val="Footer"/>
      <w:framePr w:wrap="around" w:vAnchor="text" w:hAnchor="margin" w:xAlign="center" w:y="1"/>
      <w:rPr>
        <w:rStyle w:val="PageNumber"/>
      </w:rPr>
    </w:pPr>
    <w:r>
      <w:rPr>
        <w:rStyle w:val="PageNumber"/>
      </w:rPr>
      <w:fldChar w:fldCharType="begin"/>
    </w:r>
    <w:r w:rsidR="00A8357B">
      <w:rPr>
        <w:rStyle w:val="PageNumber"/>
      </w:rPr>
      <w:instrText xml:space="preserve">PAGE  </w:instrText>
    </w:r>
    <w:r>
      <w:rPr>
        <w:rStyle w:val="PageNumber"/>
      </w:rPr>
      <w:fldChar w:fldCharType="separate"/>
    </w:r>
    <w:r w:rsidR="00A8357B">
      <w:rPr>
        <w:rStyle w:val="PageNumber"/>
        <w:noProof/>
      </w:rPr>
      <w:t>2</w:t>
    </w:r>
    <w:r>
      <w:rPr>
        <w:rStyle w:val="PageNumber"/>
      </w:rPr>
      <w:fldChar w:fldCharType="end"/>
    </w:r>
  </w:p>
  <w:p w:rsidR="00A8357B" w:rsidRDefault="00A8357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7B" w:rsidRPr="008656F0" w:rsidRDefault="00A4612E">
    <w:pPr>
      <w:pStyle w:val="Footer"/>
      <w:framePr w:wrap="around" w:vAnchor="text" w:hAnchor="margin" w:xAlign="center" w:y="1"/>
      <w:rPr>
        <w:rStyle w:val="PageNumber"/>
        <w:rFonts w:asciiTheme="minorHAnsi" w:hAnsiTheme="minorHAnsi"/>
        <w:color w:val="auto"/>
      </w:rPr>
    </w:pPr>
    <w:r w:rsidRPr="008656F0">
      <w:rPr>
        <w:rStyle w:val="PageNumber"/>
        <w:rFonts w:asciiTheme="minorHAnsi" w:hAnsiTheme="minorHAnsi"/>
        <w:color w:val="auto"/>
      </w:rPr>
      <w:fldChar w:fldCharType="begin"/>
    </w:r>
    <w:r w:rsidR="00A8357B" w:rsidRPr="008656F0">
      <w:rPr>
        <w:rStyle w:val="PageNumber"/>
        <w:rFonts w:asciiTheme="minorHAnsi" w:hAnsiTheme="minorHAnsi"/>
        <w:color w:val="auto"/>
      </w:rPr>
      <w:instrText xml:space="preserve">PAGE  </w:instrText>
    </w:r>
    <w:r w:rsidRPr="008656F0">
      <w:rPr>
        <w:rStyle w:val="PageNumber"/>
        <w:rFonts w:asciiTheme="minorHAnsi" w:hAnsiTheme="minorHAnsi"/>
        <w:color w:val="auto"/>
      </w:rPr>
      <w:fldChar w:fldCharType="separate"/>
    </w:r>
    <w:r w:rsidR="00FD5A60">
      <w:rPr>
        <w:rStyle w:val="PageNumber"/>
        <w:rFonts w:asciiTheme="minorHAnsi" w:hAnsiTheme="minorHAnsi"/>
        <w:noProof/>
        <w:color w:val="auto"/>
      </w:rPr>
      <w:t>4</w:t>
    </w:r>
    <w:r w:rsidRPr="008656F0">
      <w:rPr>
        <w:rStyle w:val="PageNumber"/>
        <w:rFonts w:asciiTheme="minorHAnsi" w:hAnsiTheme="minorHAnsi"/>
        <w:color w:val="auto"/>
      </w:rPr>
      <w:fldChar w:fldCharType="end"/>
    </w:r>
  </w:p>
  <w:p w:rsidR="00A8357B" w:rsidRPr="008656F0" w:rsidRDefault="00A8357B" w:rsidP="002B0749">
    <w:pPr>
      <w:pStyle w:val="Footer"/>
      <w:jc w:val="right"/>
      <w:rPr>
        <w:rFonts w:asciiTheme="minorHAnsi" w:hAnsiTheme="minorHAnsi"/>
        <w:color w:val="auto"/>
      </w:rPr>
    </w:pPr>
    <w:r>
      <w:tab/>
    </w:r>
    <w:r w:rsidRPr="008656F0">
      <w:rPr>
        <w:color w:val="auto"/>
      </w:rPr>
      <w:tab/>
    </w:r>
    <w:r w:rsidRPr="008656F0">
      <w:rPr>
        <w:rFonts w:asciiTheme="minorHAnsi" w:hAnsiTheme="minorHAnsi"/>
        <w:caps/>
        <w:color w:val="auto"/>
      </w:rPr>
      <w:t>PD0900653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596" w:rsidRDefault="007E6596">
      <w:r>
        <w:separator/>
      </w:r>
    </w:p>
  </w:footnote>
  <w:footnote w:type="continuationSeparator" w:id="0">
    <w:p w:rsidR="007E6596" w:rsidRDefault="007E6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96962"/>
    <w:multiLevelType w:val="hybridMultilevel"/>
    <w:tmpl w:val="5A18C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6D0"/>
    <w:rsid w:val="000059FA"/>
    <w:rsid w:val="000061A5"/>
    <w:rsid w:val="0000622F"/>
    <w:rsid w:val="000101C7"/>
    <w:rsid w:val="00010ABA"/>
    <w:rsid w:val="000145C2"/>
    <w:rsid w:val="00015CBD"/>
    <w:rsid w:val="000172BD"/>
    <w:rsid w:val="00022057"/>
    <w:rsid w:val="00023D43"/>
    <w:rsid w:val="000246FD"/>
    <w:rsid w:val="00031739"/>
    <w:rsid w:val="0003324F"/>
    <w:rsid w:val="000356E3"/>
    <w:rsid w:val="00035C3A"/>
    <w:rsid w:val="000379D0"/>
    <w:rsid w:val="00041156"/>
    <w:rsid w:val="000416F8"/>
    <w:rsid w:val="000433C5"/>
    <w:rsid w:val="00046176"/>
    <w:rsid w:val="00050463"/>
    <w:rsid w:val="00051622"/>
    <w:rsid w:val="00051D3F"/>
    <w:rsid w:val="00052736"/>
    <w:rsid w:val="00052C4E"/>
    <w:rsid w:val="0005672E"/>
    <w:rsid w:val="00056F52"/>
    <w:rsid w:val="00060261"/>
    <w:rsid w:val="000602AD"/>
    <w:rsid w:val="00060C01"/>
    <w:rsid w:val="00063CA1"/>
    <w:rsid w:val="0006741E"/>
    <w:rsid w:val="00067981"/>
    <w:rsid w:val="00072433"/>
    <w:rsid w:val="000738BE"/>
    <w:rsid w:val="0007500A"/>
    <w:rsid w:val="000811CE"/>
    <w:rsid w:val="0008376F"/>
    <w:rsid w:val="0008647B"/>
    <w:rsid w:val="00087A49"/>
    <w:rsid w:val="000915E1"/>
    <w:rsid w:val="000919F7"/>
    <w:rsid w:val="00095857"/>
    <w:rsid w:val="0009762A"/>
    <w:rsid w:val="000A2BCE"/>
    <w:rsid w:val="000A3307"/>
    <w:rsid w:val="000A3B8F"/>
    <w:rsid w:val="000A3E5F"/>
    <w:rsid w:val="000A4BBA"/>
    <w:rsid w:val="000A68E4"/>
    <w:rsid w:val="000B1EA4"/>
    <w:rsid w:val="000C527B"/>
    <w:rsid w:val="000C6DDB"/>
    <w:rsid w:val="000C7DE4"/>
    <w:rsid w:val="000D15E7"/>
    <w:rsid w:val="000D43F9"/>
    <w:rsid w:val="000D4717"/>
    <w:rsid w:val="000D6CDF"/>
    <w:rsid w:val="000D7D55"/>
    <w:rsid w:val="000E186E"/>
    <w:rsid w:val="000E3D59"/>
    <w:rsid w:val="000E4CF8"/>
    <w:rsid w:val="000E7108"/>
    <w:rsid w:val="000F0488"/>
    <w:rsid w:val="000F1639"/>
    <w:rsid w:val="000F1754"/>
    <w:rsid w:val="000F19FC"/>
    <w:rsid w:val="000F427B"/>
    <w:rsid w:val="00101163"/>
    <w:rsid w:val="0010417F"/>
    <w:rsid w:val="0010530E"/>
    <w:rsid w:val="0010580D"/>
    <w:rsid w:val="001063A5"/>
    <w:rsid w:val="00111239"/>
    <w:rsid w:val="00114C34"/>
    <w:rsid w:val="00114EF9"/>
    <w:rsid w:val="00114F20"/>
    <w:rsid w:val="00116804"/>
    <w:rsid w:val="0011759E"/>
    <w:rsid w:val="001231DC"/>
    <w:rsid w:val="00124778"/>
    <w:rsid w:val="00130889"/>
    <w:rsid w:val="001315DD"/>
    <w:rsid w:val="001326B6"/>
    <w:rsid w:val="00133D5A"/>
    <w:rsid w:val="00135385"/>
    <w:rsid w:val="00135E83"/>
    <w:rsid w:val="001364D1"/>
    <w:rsid w:val="00143FF9"/>
    <w:rsid w:val="00144BF9"/>
    <w:rsid w:val="001453CE"/>
    <w:rsid w:val="00146191"/>
    <w:rsid w:val="00151E3B"/>
    <w:rsid w:val="00151EFC"/>
    <w:rsid w:val="001541C5"/>
    <w:rsid w:val="00154ACB"/>
    <w:rsid w:val="0016028B"/>
    <w:rsid w:val="00161F5B"/>
    <w:rsid w:val="00177659"/>
    <w:rsid w:val="00177FC0"/>
    <w:rsid w:val="00180FE8"/>
    <w:rsid w:val="0018219A"/>
    <w:rsid w:val="00185ECB"/>
    <w:rsid w:val="0019273F"/>
    <w:rsid w:val="001946F4"/>
    <w:rsid w:val="001A7538"/>
    <w:rsid w:val="001B0D87"/>
    <w:rsid w:val="001B1831"/>
    <w:rsid w:val="001B24D1"/>
    <w:rsid w:val="001B5B59"/>
    <w:rsid w:val="001C00CE"/>
    <w:rsid w:val="001C181A"/>
    <w:rsid w:val="001C2053"/>
    <w:rsid w:val="001C28D1"/>
    <w:rsid w:val="001C31AC"/>
    <w:rsid w:val="001C404B"/>
    <w:rsid w:val="001C5B1C"/>
    <w:rsid w:val="001C5FA3"/>
    <w:rsid w:val="001C73A8"/>
    <w:rsid w:val="001C7418"/>
    <w:rsid w:val="001D0051"/>
    <w:rsid w:val="001D0BF5"/>
    <w:rsid w:val="001D2224"/>
    <w:rsid w:val="001D407D"/>
    <w:rsid w:val="001D43EE"/>
    <w:rsid w:val="001D4B77"/>
    <w:rsid w:val="001D4DB5"/>
    <w:rsid w:val="001D5842"/>
    <w:rsid w:val="001D6A8C"/>
    <w:rsid w:val="001D7A56"/>
    <w:rsid w:val="001E1778"/>
    <w:rsid w:val="001E3315"/>
    <w:rsid w:val="001E5815"/>
    <w:rsid w:val="001F5919"/>
    <w:rsid w:val="0020237E"/>
    <w:rsid w:val="002039BC"/>
    <w:rsid w:val="00210AEE"/>
    <w:rsid w:val="00211094"/>
    <w:rsid w:val="002172DA"/>
    <w:rsid w:val="00217C09"/>
    <w:rsid w:val="00223BB0"/>
    <w:rsid w:val="00225196"/>
    <w:rsid w:val="00225CB4"/>
    <w:rsid w:val="002276EA"/>
    <w:rsid w:val="002338CA"/>
    <w:rsid w:val="0023586C"/>
    <w:rsid w:val="0024227D"/>
    <w:rsid w:val="00246860"/>
    <w:rsid w:val="00247BD0"/>
    <w:rsid w:val="0025183C"/>
    <w:rsid w:val="0025251E"/>
    <w:rsid w:val="00252A66"/>
    <w:rsid w:val="0025317E"/>
    <w:rsid w:val="002566A2"/>
    <w:rsid w:val="00260157"/>
    <w:rsid w:val="00260A17"/>
    <w:rsid w:val="00261B60"/>
    <w:rsid w:val="0026318D"/>
    <w:rsid w:val="0026768E"/>
    <w:rsid w:val="002712F2"/>
    <w:rsid w:val="0027159C"/>
    <w:rsid w:val="00271827"/>
    <w:rsid w:val="00274549"/>
    <w:rsid w:val="00274C4D"/>
    <w:rsid w:val="00274E46"/>
    <w:rsid w:val="00276C86"/>
    <w:rsid w:val="00282B38"/>
    <w:rsid w:val="002905AD"/>
    <w:rsid w:val="00292660"/>
    <w:rsid w:val="002928E8"/>
    <w:rsid w:val="00292EB4"/>
    <w:rsid w:val="00292F4C"/>
    <w:rsid w:val="00296F27"/>
    <w:rsid w:val="002A0343"/>
    <w:rsid w:val="002A23ED"/>
    <w:rsid w:val="002A53FD"/>
    <w:rsid w:val="002A6469"/>
    <w:rsid w:val="002A722A"/>
    <w:rsid w:val="002B03B2"/>
    <w:rsid w:val="002B0749"/>
    <w:rsid w:val="002B28BF"/>
    <w:rsid w:val="002C0001"/>
    <w:rsid w:val="002C4380"/>
    <w:rsid w:val="002C4EE5"/>
    <w:rsid w:val="002D18B4"/>
    <w:rsid w:val="002D1C7E"/>
    <w:rsid w:val="002D3A10"/>
    <w:rsid w:val="002D45C5"/>
    <w:rsid w:val="002D7EC3"/>
    <w:rsid w:val="002E1292"/>
    <w:rsid w:val="002E1C31"/>
    <w:rsid w:val="002E3474"/>
    <w:rsid w:val="002E5CF3"/>
    <w:rsid w:val="002E5DAE"/>
    <w:rsid w:val="002E709D"/>
    <w:rsid w:val="002E764B"/>
    <w:rsid w:val="002F37A0"/>
    <w:rsid w:val="002F481F"/>
    <w:rsid w:val="002F537E"/>
    <w:rsid w:val="002F6C40"/>
    <w:rsid w:val="002F7CBE"/>
    <w:rsid w:val="002F7F81"/>
    <w:rsid w:val="003000B4"/>
    <w:rsid w:val="00301BF7"/>
    <w:rsid w:val="0030493A"/>
    <w:rsid w:val="003050DD"/>
    <w:rsid w:val="00305261"/>
    <w:rsid w:val="0030716C"/>
    <w:rsid w:val="0030748E"/>
    <w:rsid w:val="003105D3"/>
    <w:rsid w:val="00313844"/>
    <w:rsid w:val="00314B0C"/>
    <w:rsid w:val="00321CB5"/>
    <w:rsid w:val="00322CA7"/>
    <w:rsid w:val="00323E70"/>
    <w:rsid w:val="00325F0A"/>
    <w:rsid w:val="00325F8D"/>
    <w:rsid w:val="00330DC6"/>
    <w:rsid w:val="00331CD6"/>
    <w:rsid w:val="003325EA"/>
    <w:rsid w:val="0033768B"/>
    <w:rsid w:val="0034104E"/>
    <w:rsid w:val="00342C93"/>
    <w:rsid w:val="003443C8"/>
    <w:rsid w:val="00345868"/>
    <w:rsid w:val="00346AF8"/>
    <w:rsid w:val="00347795"/>
    <w:rsid w:val="00351428"/>
    <w:rsid w:val="00351FC3"/>
    <w:rsid w:val="00363362"/>
    <w:rsid w:val="00367304"/>
    <w:rsid w:val="00367E0F"/>
    <w:rsid w:val="00367F85"/>
    <w:rsid w:val="003709FF"/>
    <w:rsid w:val="003749A8"/>
    <w:rsid w:val="0037520D"/>
    <w:rsid w:val="00376639"/>
    <w:rsid w:val="00377BD2"/>
    <w:rsid w:val="00383766"/>
    <w:rsid w:val="00385D6F"/>
    <w:rsid w:val="00386591"/>
    <w:rsid w:val="00392738"/>
    <w:rsid w:val="00393651"/>
    <w:rsid w:val="00394895"/>
    <w:rsid w:val="00394E70"/>
    <w:rsid w:val="00394FBA"/>
    <w:rsid w:val="00395D83"/>
    <w:rsid w:val="00396351"/>
    <w:rsid w:val="00397BF7"/>
    <w:rsid w:val="003A41BA"/>
    <w:rsid w:val="003A6A99"/>
    <w:rsid w:val="003B0DD0"/>
    <w:rsid w:val="003B227A"/>
    <w:rsid w:val="003B7A56"/>
    <w:rsid w:val="003C632A"/>
    <w:rsid w:val="003C69DA"/>
    <w:rsid w:val="003D2BA3"/>
    <w:rsid w:val="003D2DA1"/>
    <w:rsid w:val="003D377E"/>
    <w:rsid w:val="003D4AF6"/>
    <w:rsid w:val="003D7DDB"/>
    <w:rsid w:val="003E0543"/>
    <w:rsid w:val="003E0DFA"/>
    <w:rsid w:val="003E1546"/>
    <w:rsid w:val="003E3848"/>
    <w:rsid w:val="003E43EE"/>
    <w:rsid w:val="003E66D7"/>
    <w:rsid w:val="003E7CD1"/>
    <w:rsid w:val="003F58B0"/>
    <w:rsid w:val="003F607E"/>
    <w:rsid w:val="003F6CF3"/>
    <w:rsid w:val="004007E9"/>
    <w:rsid w:val="00401BBC"/>
    <w:rsid w:val="00404B45"/>
    <w:rsid w:val="00404CBA"/>
    <w:rsid w:val="00406407"/>
    <w:rsid w:val="00406CC5"/>
    <w:rsid w:val="00406E43"/>
    <w:rsid w:val="004074A4"/>
    <w:rsid w:val="00412BE0"/>
    <w:rsid w:val="00415E8F"/>
    <w:rsid w:val="00416543"/>
    <w:rsid w:val="004172DB"/>
    <w:rsid w:val="00417FFA"/>
    <w:rsid w:val="00422B75"/>
    <w:rsid w:val="0042339A"/>
    <w:rsid w:val="00425064"/>
    <w:rsid w:val="00426714"/>
    <w:rsid w:val="00426D31"/>
    <w:rsid w:val="0043464E"/>
    <w:rsid w:val="0043503A"/>
    <w:rsid w:val="00437A8F"/>
    <w:rsid w:val="00442252"/>
    <w:rsid w:val="004436FB"/>
    <w:rsid w:val="0044384F"/>
    <w:rsid w:val="00446D6A"/>
    <w:rsid w:val="004543BC"/>
    <w:rsid w:val="00454FB0"/>
    <w:rsid w:val="004555B2"/>
    <w:rsid w:val="00455A55"/>
    <w:rsid w:val="004574C6"/>
    <w:rsid w:val="00457BCF"/>
    <w:rsid w:val="00460BC2"/>
    <w:rsid w:val="00462CFC"/>
    <w:rsid w:val="0046497F"/>
    <w:rsid w:val="00466107"/>
    <w:rsid w:val="00466C1B"/>
    <w:rsid w:val="004713F1"/>
    <w:rsid w:val="00471618"/>
    <w:rsid w:val="004718E7"/>
    <w:rsid w:val="004761CC"/>
    <w:rsid w:val="00481E1A"/>
    <w:rsid w:val="00483BD6"/>
    <w:rsid w:val="00487425"/>
    <w:rsid w:val="004906B0"/>
    <w:rsid w:val="00491EC9"/>
    <w:rsid w:val="00492966"/>
    <w:rsid w:val="004954AF"/>
    <w:rsid w:val="004A24D2"/>
    <w:rsid w:val="004A33D3"/>
    <w:rsid w:val="004A34FC"/>
    <w:rsid w:val="004A4136"/>
    <w:rsid w:val="004A5DF3"/>
    <w:rsid w:val="004A7D5F"/>
    <w:rsid w:val="004A7DAD"/>
    <w:rsid w:val="004B03F3"/>
    <w:rsid w:val="004B07E2"/>
    <w:rsid w:val="004B25C0"/>
    <w:rsid w:val="004B61C4"/>
    <w:rsid w:val="004B7169"/>
    <w:rsid w:val="004B7B1F"/>
    <w:rsid w:val="004C4E0F"/>
    <w:rsid w:val="004C74F8"/>
    <w:rsid w:val="004D612A"/>
    <w:rsid w:val="004D7305"/>
    <w:rsid w:val="004E1D7D"/>
    <w:rsid w:val="004E32EA"/>
    <w:rsid w:val="004E567A"/>
    <w:rsid w:val="004F0D4F"/>
    <w:rsid w:val="0050177B"/>
    <w:rsid w:val="0050363F"/>
    <w:rsid w:val="00505BB3"/>
    <w:rsid w:val="00510588"/>
    <w:rsid w:val="00510C69"/>
    <w:rsid w:val="0051146C"/>
    <w:rsid w:val="005152F1"/>
    <w:rsid w:val="00517C29"/>
    <w:rsid w:val="0052279C"/>
    <w:rsid w:val="0052590B"/>
    <w:rsid w:val="00526591"/>
    <w:rsid w:val="00527997"/>
    <w:rsid w:val="005304DD"/>
    <w:rsid w:val="00533E28"/>
    <w:rsid w:val="005350A5"/>
    <w:rsid w:val="00536379"/>
    <w:rsid w:val="00540BEF"/>
    <w:rsid w:val="00540D3E"/>
    <w:rsid w:val="005436C2"/>
    <w:rsid w:val="005469F2"/>
    <w:rsid w:val="00553390"/>
    <w:rsid w:val="0055415C"/>
    <w:rsid w:val="00560759"/>
    <w:rsid w:val="00561D62"/>
    <w:rsid w:val="00566684"/>
    <w:rsid w:val="00573B97"/>
    <w:rsid w:val="00574A76"/>
    <w:rsid w:val="00575573"/>
    <w:rsid w:val="00580810"/>
    <w:rsid w:val="005816EF"/>
    <w:rsid w:val="00581AC3"/>
    <w:rsid w:val="00582F3F"/>
    <w:rsid w:val="00583DB5"/>
    <w:rsid w:val="0058789E"/>
    <w:rsid w:val="00587DCE"/>
    <w:rsid w:val="00593444"/>
    <w:rsid w:val="005956D6"/>
    <w:rsid w:val="00595AB8"/>
    <w:rsid w:val="005964D5"/>
    <w:rsid w:val="00596EDA"/>
    <w:rsid w:val="005A1EF9"/>
    <w:rsid w:val="005A258C"/>
    <w:rsid w:val="005A3560"/>
    <w:rsid w:val="005A4049"/>
    <w:rsid w:val="005A7082"/>
    <w:rsid w:val="005B011A"/>
    <w:rsid w:val="005B144E"/>
    <w:rsid w:val="005B223E"/>
    <w:rsid w:val="005B4E62"/>
    <w:rsid w:val="005B6F05"/>
    <w:rsid w:val="005C43D5"/>
    <w:rsid w:val="005C4546"/>
    <w:rsid w:val="005C5687"/>
    <w:rsid w:val="005D2848"/>
    <w:rsid w:val="005D3523"/>
    <w:rsid w:val="005E07BB"/>
    <w:rsid w:val="005E1713"/>
    <w:rsid w:val="005E5F0C"/>
    <w:rsid w:val="005E6838"/>
    <w:rsid w:val="005E6AAE"/>
    <w:rsid w:val="005E6D67"/>
    <w:rsid w:val="005E7CC5"/>
    <w:rsid w:val="005F1115"/>
    <w:rsid w:val="005F27F2"/>
    <w:rsid w:val="005F424D"/>
    <w:rsid w:val="005F531E"/>
    <w:rsid w:val="005F6DEC"/>
    <w:rsid w:val="006075D9"/>
    <w:rsid w:val="00612DA9"/>
    <w:rsid w:val="00615641"/>
    <w:rsid w:val="00615ADF"/>
    <w:rsid w:val="00620F4E"/>
    <w:rsid w:val="00624E39"/>
    <w:rsid w:val="00625E9B"/>
    <w:rsid w:val="00630156"/>
    <w:rsid w:val="00634C4A"/>
    <w:rsid w:val="00635369"/>
    <w:rsid w:val="006353CB"/>
    <w:rsid w:val="006357C6"/>
    <w:rsid w:val="0063665C"/>
    <w:rsid w:val="00636977"/>
    <w:rsid w:val="0063791E"/>
    <w:rsid w:val="006418C9"/>
    <w:rsid w:val="006446EE"/>
    <w:rsid w:val="00644B5C"/>
    <w:rsid w:val="00645046"/>
    <w:rsid w:val="0064589E"/>
    <w:rsid w:val="006458AC"/>
    <w:rsid w:val="00647187"/>
    <w:rsid w:val="0065254A"/>
    <w:rsid w:val="0065451D"/>
    <w:rsid w:val="00661F98"/>
    <w:rsid w:val="00662AEF"/>
    <w:rsid w:val="00662F08"/>
    <w:rsid w:val="00663589"/>
    <w:rsid w:val="00665C11"/>
    <w:rsid w:val="006662F7"/>
    <w:rsid w:val="00666365"/>
    <w:rsid w:val="00671727"/>
    <w:rsid w:val="0067443B"/>
    <w:rsid w:val="006769CA"/>
    <w:rsid w:val="006810A9"/>
    <w:rsid w:val="00684E2B"/>
    <w:rsid w:val="00690FDA"/>
    <w:rsid w:val="00696476"/>
    <w:rsid w:val="00696851"/>
    <w:rsid w:val="00696F0E"/>
    <w:rsid w:val="006977CF"/>
    <w:rsid w:val="006A10E2"/>
    <w:rsid w:val="006A376D"/>
    <w:rsid w:val="006A3774"/>
    <w:rsid w:val="006A40E6"/>
    <w:rsid w:val="006A447D"/>
    <w:rsid w:val="006A51C5"/>
    <w:rsid w:val="006A5B59"/>
    <w:rsid w:val="006A75FA"/>
    <w:rsid w:val="006B250D"/>
    <w:rsid w:val="006B31D0"/>
    <w:rsid w:val="006B5923"/>
    <w:rsid w:val="006B6B48"/>
    <w:rsid w:val="006C1EA7"/>
    <w:rsid w:val="006C2A4F"/>
    <w:rsid w:val="006C52BB"/>
    <w:rsid w:val="006C6917"/>
    <w:rsid w:val="006C6DB4"/>
    <w:rsid w:val="006D2D39"/>
    <w:rsid w:val="006E0253"/>
    <w:rsid w:val="006E06D1"/>
    <w:rsid w:val="006E220A"/>
    <w:rsid w:val="006E5BB5"/>
    <w:rsid w:val="006E7356"/>
    <w:rsid w:val="006F1761"/>
    <w:rsid w:val="006F1A46"/>
    <w:rsid w:val="006F444C"/>
    <w:rsid w:val="006F5214"/>
    <w:rsid w:val="006F6390"/>
    <w:rsid w:val="006F65F6"/>
    <w:rsid w:val="00700FB3"/>
    <w:rsid w:val="007018E8"/>
    <w:rsid w:val="00702D9A"/>
    <w:rsid w:val="0070303D"/>
    <w:rsid w:val="0070456F"/>
    <w:rsid w:val="00710104"/>
    <w:rsid w:val="00710F30"/>
    <w:rsid w:val="00713737"/>
    <w:rsid w:val="007144B2"/>
    <w:rsid w:val="007165CE"/>
    <w:rsid w:val="00716F71"/>
    <w:rsid w:val="00721D12"/>
    <w:rsid w:val="00721F8B"/>
    <w:rsid w:val="00722C6D"/>
    <w:rsid w:val="00725109"/>
    <w:rsid w:val="00725660"/>
    <w:rsid w:val="00725A68"/>
    <w:rsid w:val="00735157"/>
    <w:rsid w:val="00735D2B"/>
    <w:rsid w:val="00736A49"/>
    <w:rsid w:val="00744EBB"/>
    <w:rsid w:val="007452BD"/>
    <w:rsid w:val="00746AE2"/>
    <w:rsid w:val="00752A29"/>
    <w:rsid w:val="007561F7"/>
    <w:rsid w:val="0076100C"/>
    <w:rsid w:val="0076459C"/>
    <w:rsid w:val="0076498F"/>
    <w:rsid w:val="00767EA3"/>
    <w:rsid w:val="007714C1"/>
    <w:rsid w:val="007722C3"/>
    <w:rsid w:val="00775293"/>
    <w:rsid w:val="0077796F"/>
    <w:rsid w:val="00781BD4"/>
    <w:rsid w:val="00784832"/>
    <w:rsid w:val="007874F9"/>
    <w:rsid w:val="00787D06"/>
    <w:rsid w:val="00791F1E"/>
    <w:rsid w:val="00797A6D"/>
    <w:rsid w:val="007A0B39"/>
    <w:rsid w:val="007A168F"/>
    <w:rsid w:val="007A28E4"/>
    <w:rsid w:val="007A4FF9"/>
    <w:rsid w:val="007A5AD1"/>
    <w:rsid w:val="007A789A"/>
    <w:rsid w:val="007B0A06"/>
    <w:rsid w:val="007B0AA6"/>
    <w:rsid w:val="007B47C2"/>
    <w:rsid w:val="007B7300"/>
    <w:rsid w:val="007B7C41"/>
    <w:rsid w:val="007C0729"/>
    <w:rsid w:val="007C1EE7"/>
    <w:rsid w:val="007C30D0"/>
    <w:rsid w:val="007C433E"/>
    <w:rsid w:val="007C59A0"/>
    <w:rsid w:val="007D0292"/>
    <w:rsid w:val="007D0D22"/>
    <w:rsid w:val="007D36FD"/>
    <w:rsid w:val="007E13B6"/>
    <w:rsid w:val="007E2046"/>
    <w:rsid w:val="007E37ED"/>
    <w:rsid w:val="007E4FBB"/>
    <w:rsid w:val="007E6596"/>
    <w:rsid w:val="007E6986"/>
    <w:rsid w:val="007E7783"/>
    <w:rsid w:val="007F38F3"/>
    <w:rsid w:val="007F4DDD"/>
    <w:rsid w:val="007F5244"/>
    <w:rsid w:val="007F6278"/>
    <w:rsid w:val="0080147C"/>
    <w:rsid w:val="00801A50"/>
    <w:rsid w:val="00802D35"/>
    <w:rsid w:val="00804F18"/>
    <w:rsid w:val="00811B88"/>
    <w:rsid w:val="00811D5B"/>
    <w:rsid w:val="00814C67"/>
    <w:rsid w:val="00814D26"/>
    <w:rsid w:val="00817713"/>
    <w:rsid w:val="008226B4"/>
    <w:rsid w:val="008248B4"/>
    <w:rsid w:val="00824B89"/>
    <w:rsid w:val="00825BE0"/>
    <w:rsid w:val="00830999"/>
    <w:rsid w:val="00830D5E"/>
    <w:rsid w:val="00830F69"/>
    <w:rsid w:val="00834458"/>
    <w:rsid w:val="00837465"/>
    <w:rsid w:val="008402D5"/>
    <w:rsid w:val="00841457"/>
    <w:rsid w:val="0084374E"/>
    <w:rsid w:val="008513BB"/>
    <w:rsid w:val="0085206E"/>
    <w:rsid w:val="00853718"/>
    <w:rsid w:val="008541EF"/>
    <w:rsid w:val="00855696"/>
    <w:rsid w:val="008570E4"/>
    <w:rsid w:val="00857C9A"/>
    <w:rsid w:val="00860C41"/>
    <w:rsid w:val="0086162B"/>
    <w:rsid w:val="00863677"/>
    <w:rsid w:val="00863796"/>
    <w:rsid w:val="00865207"/>
    <w:rsid w:val="008654A3"/>
    <w:rsid w:val="008656F0"/>
    <w:rsid w:val="00865D77"/>
    <w:rsid w:val="008679ED"/>
    <w:rsid w:val="00871262"/>
    <w:rsid w:val="00875B51"/>
    <w:rsid w:val="00875F2D"/>
    <w:rsid w:val="00884257"/>
    <w:rsid w:val="00885CBF"/>
    <w:rsid w:val="00890E4B"/>
    <w:rsid w:val="00891DB7"/>
    <w:rsid w:val="00891EBA"/>
    <w:rsid w:val="0089605A"/>
    <w:rsid w:val="008A326A"/>
    <w:rsid w:val="008A510E"/>
    <w:rsid w:val="008A63A9"/>
    <w:rsid w:val="008B5D31"/>
    <w:rsid w:val="008B7BDE"/>
    <w:rsid w:val="008C4F87"/>
    <w:rsid w:val="008C6785"/>
    <w:rsid w:val="008D0422"/>
    <w:rsid w:val="008D1F33"/>
    <w:rsid w:val="008E2D99"/>
    <w:rsid w:val="008E34B6"/>
    <w:rsid w:val="008E3658"/>
    <w:rsid w:val="008E3FD4"/>
    <w:rsid w:val="008E4A60"/>
    <w:rsid w:val="008E740A"/>
    <w:rsid w:val="008F2153"/>
    <w:rsid w:val="008F6EEA"/>
    <w:rsid w:val="009002F2"/>
    <w:rsid w:val="00901E73"/>
    <w:rsid w:val="00902407"/>
    <w:rsid w:val="009026E8"/>
    <w:rsid w:val="00905642"/>
    <w:rsid w:val="00907771"/>
    <w:rsid w:val="00914874"/>
    <w:rsid w:val="00914ADB"/>
    <w:rsid w:val="00917943"/>
    <w:rsid w:val="00920482"/>
    <w:rsid w:val="00921D29"/>
    <w:rsid w:val="00923B25"/>
    <w:rsid w:val="009243C0"/>
    <w:rsid w:val="00925B5C"/>
    <w:rsid w:val="0093416A"/>
    <w:rsid w:val="009343C9"/>
    <w:rsid w:val="00940223"/>
    <w:rsid w:val="00941092"/>
    <w:rsid w:val="00942645"/>
    <w:rsid w:val="00944AD5"/>
    <w:rsid w:val="009455EF"/>
    <w:rsid w:val="00945B9F"/>
    <w:rsid w:val="00945D4E"/>
    <w:rsid w:val="0095340A"/>
    <w:rsid w:val="00954581"/>
    <w:rsid w:val="0095466C"/>
    <w:rsid w:val="00954E83"/>
    <w:rsid w:val="00955AB1"/>
    <w:rsid w:val="0096168C"/>
    <w:rsid w:val="00961F62"/>
    <w:rsid w:val="00964848"/>
    <w:rsid w:val="00964F53"/>
    <w:rsid w:val="00966F5E"/>
    <w:rsid w:val="009670DB"/>
    <w:rsid w:val="009705A7"/>
    <w:rsid w:val="00972CC9"/>
    <w:rsid w:val="009732B8"/>
    <w:rsid w:val="00977CB4"/>
    <w:rsid w:val="00983173"/>
    <w:rsid w:val="00985099"/>
    <w:rsid w:val="0098761A"/>
    <w:rsid w:val="00987B82"/>
    <w:rsid w:val="0099093C"/>
    <w:rsid w:val="00993C7E"/>
    <w:rsid w:val="00997BD5"/>
    <w:rsid w:val="009A085C"/>
    <w:rsid w:val="009A0DE3"/>
    <w:rsid w:val="009A4C40"/>
    <w:rsid w:val="009A4CE3"/>
    <w:rsid w:val="009A5AF2"/>
    <w:rsid w:val="009A752E"/>
    <w:rsid w:val="009B1534"/>
    <w:rsid w:val="009B5C0A"/>
    <w:rsid w:val="009B5E3E"/>
    <w:rsid w:val="009B61FC"/>
    <w:rsid w:val="009B68DA"/>
    <w:rsid w:val="009B69D3"/>
    <w:rsid w:val="009B7BA7"/>
    <w:rsid w:val="009C0938"/>
    <w:rsid w:val="009C0EFD"/>
    <w:rsid w:val="009C321C"/>
    <w:rsid w:val="009C3D79"/>
    <w:rsid w:val="009C3F82"/>
    <w:rsid w:val="009C78BC"/>
    <w:rsid w:val="009C7D6D"/>
    <w:rsid w:val="009C7DF5"/>
    <w:rsid w:val="009D1ADE"/>
    <w:rsid w:val="009D2441"/>
    <w:rsid w:val="009D2892"/>
    <w:rsid w:val="009D3176"/>
    <w:rsid w:val="009D526B"/>
    <w:rsid w:val="009D5EE4"/>
    <w:rsid w:val="009D6487"/>
    <w:rsid w:val="009D6B61"/>
    <w:rsid w:val="009E0007"/>
    <w:rsid w:val="009E1283"/>
    <w:rsid w:val="009E550D"/>
    <w:rsid w:val="009E78E9"/>
    <w:rsid w:val="009F29CB"/>
    <w:rsid w:val="009F38E7"/>
    <w:rsid w:val="009F53FD"/>
    <w:rsid w:val="00A01FDE"/>
    <w:rsid w:val="00A05826"/>
    <w:rsid w:val="00A07305"/>
    <w:rsid w:val="00A07BFF"/>
    <w:rsid w:val="00A1105B"/>
    <w:rsid w:val="00A12AA4"/>
    <w:rsid w:val="00A15020"/>
    <w:rsid w:val="00A15CAD"/>
    <w:rsid w:val="00A16670"/>
    <w:rsid w:val="00A16876"/>
    <w:rsid w:val="00A16D26"/>
    <w:rsid w:val="00A17110"/>
    <w:rsid w:val="00A17D0A"/>
    <w:rsid w:val="00A200AA"/>
    <w:rsid w:val="00A2186F"/>
    <w:rsid w:val="00A2270B"/>
    <w:rsid w:val="00A2496E"/>
    <w:rsid w:val="00A258B7"/>
    <w:rsid w:val="00A35A1F"/>
    <w:rsid w:val="00A35F04"/>
    <w:rsid w:val="00A360F5"/>
    <w:rsid w:val="00A370D7"/>
    <w:rsid w:val="00A4164A"/>
    <w:rsid w:val="00A443E3"/>
    <w:rsid w:val="00A4612E"/>
    <w:rsid w:val="00A47AA2"/>
    <w:rsid w:val="00A47CF1"/>
    <w:rsid w:val="00A50418"/>
    <w:rsid w:val="00A50C5A"/>
    <w:rsid w:val="00A6057F"/>
    <w:rsid w:val="00A608FB"/>
    <w:rsid w:val="00A62C31"/>
    <w:rsid w:val="00A650BB"/>
    <w:rsid w:val="00A70E7B"/>
    <w:rsid w:val="00A72EE9"/>
    <w:rsid w:val="00A753D4"/>
    <w:rsid w:val="00A76094"/>
    <w:rsid w:val="00A81AAE"/>
    <w:rsid w:val="00A82C61"/>
    <w:rsid w:val="00A82DD8"/>
    <w:rsid w:val="00A8357B"/>
    <w:rsid w:val="00A86123"/>
    <w:rsid w:val="00A86CB6"/>
    <w:rsid w:val="00A908C5"/>
    <w:rsid w:val="00A90D55"/>
    <w:rsid w:val="00A940BE"/>
    <w:rsid w:val="00A94A67"/>
    <w:rsid w:val="00A95DAC"/>
    <w:rsid w:val="00AA04B3"/>
    <w:rsid w:val="00AA1743"/>
    <w:rsid w:val="00AA19CE"/>
    <w:rsid w:val="00AA2289"/>
    <w:rsid w:val="00AA6987"/>
    <w:rsid w:val="00AA7CD7"/>
    <w:rsid w:val="00AB0380"/>
    <w:rsid w:val="00AB18E5"/>
    <w:rsid w:val="00AB47B6"/>
    <w:rsid w:val="00AB68F6"/>
    <w:rsid w:val="00AB6934"/>
    <w:rsid w:val="00AC439D"/>
    <w:rsid w:val="00AC4C54"/>
    <w:rsid w:val="00AC64B8"/>
    <w:rsid w:val="00AD1B80"/>
    <w:rsid w:val="00AD340A"/>
    <w:rsid w:val="00AD360C"/>
    <w:rsid w:val="00AD39C0"/>
    <w:rsid w:val="00AD6043"/>
    <w:rsid w:val="00AD7CB9"/>
    <w:rsid w:val="00AE2D29"/>
    <w:rsid w:val="00AE3316"/>
    <w:rsid w:val="00AE62C3"/>
    <w:rsid w:val="00AE62FD"/>
    <w:rsid w:val="00AE733D"/>
    <w:rsid w:val="00AF361F"/>
    <w:rsid w:val="00AF653F"/>
    <w:rsid w:val="00AF699F"/>
    <w:rsid w:val="00AF6F39"/>
    <w:rsid w:val="00B03A90"/>
    <w:rsid w:val="00B05966"/>
    <w:rsid w:val="00B063F5"/>
    <w:rsid w:val="00B06761"/>
    <w:rsid w:val="00B11A7D"/>
    <w:rsid w:val="00B2066F"/>
    <w:rsid w:val="00B20AFC"/>
    <w:rsid w:val="00B227D6"/>
    <w:rsid w:val="00B24F31"/>
    <w:rsid w:val="00B2572B"/>
    <w:rsid w:val="00B25E6D"/>
    <w:rsid w:val="00B32179"/>
    <w:rsid w:val="00B32A13"/>
    <w:rsid w:val="00B34DCF"/>
    <w:rsid w:val="00B3560F"/>
    <w:rsid w:val="00B40A3E"/>
    <w:rsid w:val="00B40C5C"/>
    <w:rsid w:val="00B46899"/>
    <w:rsid w:val="00B508B6"/>
    <w:rsid w:val="00B51EEA"/>
    <w:rsid w:val="00B522CD"/>
    <w:rsid w:val="00B52406"/>
    <w:rsid w:val="00B52D88"/>
    <w:rsid w:val="00B55917"/>
    <w:rsid w:val="00B56B23"/>
    <w:rsid w:val="00B609C0"/>
    <w:rsid w:val="00B6259D"/>
    <w:rsid w:val="00B65A87"/>
    <w:rsid w:val="00B65C2B"/>
    <w:rsid w:val="00B72303"/>
    <w:rsid w:val="00B724A0"/>
    <w:rsid w:val="00B73A54"/>
    <w:rsid w:val="00B75477"/>
    <w:rsid w:val="00B81B56"/>
    <w:rsid w:val="00B82277"/>
    <w:rsid w:val="00B865F6"/>
    <w:rsid w:val="00B866B7"/>
    <w:rsid w:val="00B87636"/>
    <w:rsid w:val="00B911D2"/>
    <w:rsid w:val="00B914E9"/>
    <w:rsid w:val="00B91A6E"/>
    <w:rsid w:val="00B92872"/>
    <w:rsid w:val="00B93213"/>
    <w:rsid w:val="00B96058"/>
    <w:rsid w:val="00B96530"/>
    <w:rsid w:val="00B97F31"/>
    <w:rsid w:val="00BA09F2"/>
    <w:rsid w:val="00BA271D"/>
    <w:rsid w:val="00BA2D98"/>
    <w:rsid w:val="00BA30D1"/>
    <w:rsid w:val="00BA507F"/>
    <w:rsid w:val="00BA5BE2"/>
    <w:rsid w:val="00BA6500"/>
    <w:rsid w:val="00BA6C95"/>
    <w:rsid w:val="00BA7F46"/>
    <w:rsid w:val="00BB0A0A"/>
    <w:rsid w:val="00BB2566"/>
    <w:rsid w:val="00BB297A"/>
    <w:rsid w:val="00BB5313"/>
    <w:rsid w:val="00BB75EA"/>
    <w:rsid w:val="00BB7CF4"/>
    <w:rsid w:val="00BC0B43"/>
    <w:rsid w:val="00BC1C3A"/>
    <w:rsid w:val="00BC4A68"/>
    <w:rsid w:val="00BD3F5C"/>
    <w:rsid w:val="00BD405A"/>
    <w:rsid w:val="00BD59ED"/>
    <w:rsid w:val="00BD6120"/>
    <w:rsid w:val="00BD6806"/>
    <w:rsid w:val="00BD7831"/>
    <w:rsid w:val="00BD7C10"/>
    <w:rsid w:val="00BE05CB"/>
    <w:rsid w:val="00BE0DEB"/>
    <w:rsid w:val="00BE3DCB"/>
    <w:rsid w:val="00BE4596"/>
    <w:rsid w:val="00BF2D01"/>
    <w:rsid w:val="00BF445F"/>
    <w:rsid w:val="00BF70CD"/>
    <w:rsid w:val="00BF7B4A"/>
    <w:rsid w:val="00C06E9F"/>
    <w:rsid w:val="00C113CB"/>
    <w:rsid w:val="00C1184E"/>
    <w:rsid w:val="00C12D9F"/>
    <w:rsid w:val="00C1319E"/>
    <w:rsid w:val="00C13B34"/>
    <w:rsid w:val="00C1550B"/>
    <w:rsid w:val="00C161E3"/>
    <w:rsid w:val="00C20C48"/>
    <w:rsid w:val="00C22F3C"/>
    <w:rsid w:val="00C261C6"/>
    <w:rsid w:val="00C30A97"/>
    <w:rsid w:val="00C31DDC"/>
    <w:rsid w:val="00C34326"/>
    <w:rsid w:val="00C36E6B"/>
    <w:rsid w:val="00C43320"/>
    <w:rsid w:val="00C44674"/>
    <w:rsid w:val="00C459F0"/>
    <w:rsid w:val="00C52C59"/>
    <w:rsid w:val="00C54DF3"/>
    <w:rsid w:val="00C61510"/>
    <w:rsid w:val="00C65C9E"/>
    <w:rsid w:val="00C66BF6"/>
    <w:rsid w:val="00C67B2C"/>
    <w:rsid w:val="00C71BEC"/>
    <w:rsid w:val="00C77628"/>
    <w:rsid w:val="00C81FAB"/>
    <w:rsid w:val="00C846EA"/>
    <w:rsid w:val="00C84AD1"/>
    <w:rsid w:val="00C85579"/>
    <w:rsid w:val="00C85BFA"/>
    <w:rsid w:val="00C85D98"/>
    <w:rsid w:val="00C87D61"/>
    <w:rsid w:val="00C90D7D"/>
    <w:rsid w:val="00C915C9"/>
    <w:rsid w:val="00C9287A"/>
    <w:rsid w:val="00C93194"/>
    <w:rsid w:val="00C936F9"/>
    <w:rsid w:val="00C960EF"/>
    <w:rsid w:val="00CA068D"/>
    <w:rsid w:val="00CA282D"/>
    <w:rsid w:val="00CA6B93"/>
    <w:rsid w:val="00CB23DC"/>
    <w:rsid w:val="00CB28E2"/>
    <w:rsid w:val="00CB4813"/>
    <w:rsid w:val="00CB6DBB"/>
    <w:rsid w:val="00CB7FF7"/>
    <w:rsid w:val="00CC2044"/>
    <w:rsid w:val="00CC542E"/>
    <w:rsid w:val="00CC69EC"/>
    <w:rsid w:val="00CC6C2A"/>
    <w:rsid w:val="00CD34C7"/>
    <w:rsid w:val="00CE04E7"/>
    <w:rsid w:val="00CE1AA2"/>
    <w:rsid w:val="00CE3C0C"/>
    <w:rsid w:val="00CE640A"/>
    <w:rsid w:val="00CE64FA"/>
    <w:rsid w:val="00CE7412"/>
    <w:rsid w:val="00CF0D21"/>
    <w:rsid w:val="00CF4394"/>
    <w:rsid w:val="00CF6631"/>
    <w:rsid w:val="00CF7847"/>
    <w:rsid w:val="00D01509"/>
    <w:rsid w:val="00D01541"/>
    <w:rsid w:val="00D01690"/>
    <w:rsid w:val="00D01F63"/>
    <w:rsid w:val="00D02C79"/>
    <w:rsid w:val="00D055D5"/>
    <w:rsid w:val="00D06EE6"/>
    <w:rsid w:val="00D106D2"/>
    <w:rsid w:val="00D1110A"/>
    <w:rsid w:val="00D133A4"/>
    <w:rsid w:val="00D1648B"/>
    <w:rsid w:val="00D20AC0"/>
    <w:rsid w:val="00D254FE"/>
    <w:rsid w:val="00D33052"/>
    <w:rsid w:val="00D336C8"/>
    <w:rsid w:val="00D337BB"/>
    <w:rsid w:val="00D339E8"/>
    <w:rsid w:val="00D34952"/>
    <w:rsid w:val="00D357AC"/>
    <w:rsid w:val="00D40B1F"/>
    <w:rsid w:val="00D43EA4"/>
    <w:rsid w:val="00D45AB0"/>
    <w:rsid w:val="00D45BE4"/>
    <w:rsid w:val="00D50705"/>
    <w:rsid w:val="00D50C8C"/>
    <w:rsid w:val="00D52393"/>
    <w:rsid w:val="00D56F48"/>
    <w:rsid w:val="00D60DBC"/>
    <w:rsid w:val="00D70153"/>
    <w:rsid w:val="00D734D6"/>
    <w:rsid w:val="00D76AB2"/>
    <w:rsid w:val="00D820A5"/>
    <w:rsid w:val="00D829AD"/>
    <w:rsid w:val="00D83A56"/>
    <w:rsid w:val="00D87788"/>
    <w:rsid w:val="00D90E02"/>
    <w:rsid w:val="00D910C2"/>
    <w:rsid w:val="00D9189B"/>
    <w:rsid w:val="00D91DA6"/>
    <w:rsid w:val="00D92A3C"/>
    <w:rsid w:val="00D9509F"/>
    <w:rsid w:val="00D972D4"/>
    <w:rsid w:val="00D97EFE"/>
    <w:rsid w:val="00DA015E"/>
    <w:rsid w:val="00DA195B"/>
    <w:rsid w:val="00DA2185"/>
    <w:rsid w:val="00DA3ED0"/>
    <w:rsid w:val="00DA4E39"/>
    <w:rsid w:val="00DA5875"/>
    <w:rsid w:val="00DA68CD"/>
    <w:rsid w:val="00DB64DB"/>
    <w:rsid w:val="00DB6946"/>
    <w:rsid w:val="00DB6D90"/>
    <w:rsid w:val="00DB6FBE"/>
    <w:rsid w:val="00DC0B7F"/>
    <w:rsid w:val="00DC1655"/>
    <w:rsid w:val="00DC233D"/>
    <w:rsid w:val="00DC2F0A"/>
    <w:rsid w:val="00DC5A03"/>
    <w:rsid w:val="00DD13FE"/>
    <w:rsid w:val="00DD19E7"/>
    <w:rsid w:val="00DD24DD"/>
    <w:rsid w:val="00DD3593"/>
    <w:rsid w:val="00DD5B8C"/>
    <w:rsid w:val="00DE2149"/>
    <w:rsid w:val="00DE38F0"/>
    <w:rsid w:val="00DE7E74"/>
    <w:rsid w:val="00E00810"/>
    <w:rsid w:val="00E017F0"/>
    <w:rsid w:val="00E03E14"/>
    <w:rsid w:val="00E041E4"/>
    <w:rsid w:val="00E10FB4"/>
    <w:rsid w:val="00E11812"/>
    <w:rsid w:val="00E14581"/>
    <w:rsid w:val="00E14A45"/>
    <w:rsid w:val="00E15539"/>
    <w:rsid w:val="00E16541"/>
    <w:rsid w:val="00E223CF"/>
    <w:rsid w:val="00E239F6"/>
    <w:rsid w:val="00E2632B"/>
    <w:rsid w:val="00E264B4"/>
    <w:rsid w:val="00E272C0"/>
    <w:rsid w:val="00E30E4A"/>
    <w:rsid w:val="00E30E7E"/>
    <w:rsid w:val="00E32289"/>
    <w:rsid w:val="00E33837"/>
    <w:rsid w:val="00E33CC6"/>
    <w:rsid w:val="00E351D8"/>
    <w:rsid w:val="00E369B3"/>
    <w:rsid w:val="00E37C4F"/>
    <w:rsid w:val="00E405EA"/>
    <w:rsid w:val="00E40F19"/>
    <w:rsid w:val="00E41669"/>
    <w:rsid w:val="00E42789"/>
    <w:rsid w:val="00E47031"/>
    <w:rsid w:val="00E475C0"/>
    <w:rsid w:val="00E50BEB"/>
    <w:rsid w:val="00E5153B"/>
    <w:rsid w:val="00E5432F"/>
    <w:rsid w:val="00E55F25"/>
    <w:rsid w:val="00E60ADE"/>
    <w:rsid w:val="00E64129"/>
    <w:rsid w:val="00E66A29"/>
    <w:rsid w:val="00E67234"/>
    <w:rsid w:val="00E720AA"/>
    <w:rsid w:val="00E72B89"/>
    <w:rsid w:val="00E73B7C"/>
    <w:rsid w:val="00E779A3"/>
    <w:rsid w:val="00E8221E"/>
    <w:rsid w:val="00E82B6D"/>
    <w:rsid w:val="00E83F78"/>
    <w:rsid w:val="00E866F8"/>
    <w:rsid w:val="00E9232C"/>
    <w:rsid w:val="00E93458"/>
    <w:rsid w:val="00E95EEC"/>
    <w:rsid w:val="00E96B79"/>
    <w:rsid w:val="00EA11B6"/>
    <w:rsid w:val="00EA154A"/>
    <w:rsid w:val="00EA213D"/>
    <w:rsid w:val="00EA2DD8"/>
    <w:rsid w:val="00EA681F"/>
    <w:rsid w:val="00EB1B36"/>
    <w:rsid w:val="00EB2BAB"/>
    <w:rsid w:val="00EB3E32"/>
    <w:rsid w:val="00EB41CA"/>
    <w:rsid w:val="00EB76E4"/>
    <w:rsid w:val="00EC0E65"/>
    <w:rsid w:val="00EC2004"/>
    <w:rsid w:val="00EC3AA3"/>
    <w:rsid w:val="00EC764B"/>
    <w:rsid w:val="00EC797E"/>
    <w:rsid w:val="00ED36AC"/>
    <w:rsid w:val="00ED3C1A"/>
    <w:rsid w:val="00EE0B44"/>
    <w:rsid w:val="00EE3DA7"/>
    <w:rsid w:val="00EE7840"/>
    <w:rsid w:val="00EE7F48"/>
    <w:rsid w:val="00EF40CA"/>
    <w:rsid w:val="00EF5F66"/>
    <w:rsid w:val="00EF608E"/>
    <w:rsid w:val="00EF697E"/>
    <w:rsid w:val="00EF71FC"/>
    <w:rsid w:val="00F01B39"/>
    <w:rsid w:val="00F03B8B"/>
    <w:rsid w:val="00F04141"/>
    <w:rsid w:val="00F0706C"/>
    <w:rsid w:val="00F120D4"/>
    <w:rsid w:val="00F13683"/>
    <w:rsid w:val="00F1516A"/>
    <w:rsid w:val="00F22A26"/>
    <w:rsid w:val="00F30325"/>
    <w:rsid w:val="00F32139"/>
    <w:rsid w:val="00F33354"/>
    <w:rsid w:val="00F33DD2"/>
    <w:rsid w:val="00F34698"/>
    <w:rsid w:val="00F34E08"/>
    <w:rsid w:val="00F358D9"/>
    <w:rsid w:val="00F41BD4"/>
    <w:rsid w:val="00F41D91"/>
    <w:rsid w:val="00F41E61"/>
    <w:rsid w:val="00F425F5"/>
    <w:rsid w:val="00F4481A"/>
    <w:rsid w:val="00F455BD"/>
    <w:rsid w:val="00F45AC7"/>
    <w:rsid w:val="00F46964"/>
    <w:rsid w:val="00F5126A"/>
    <w:rsid w:val="00F52FD0"/>
    <w:rsid w:val="00F64512"/>
    <w:rsid w:val="00F663BC"/>
    <w:rsid w:val="00F70262"/>
    <w:rsid w:val="00F70CB8"/>
    <w:rsid w:val="00F718A8"/>
    <w:rsid w:val="00F7191E"/>
    <w:rsid w:val="00F72183"/>
    <w:rsid w:val="00F72D7B"/>
    <w:rsid w:val="00F73368"/>
    <w:rsid w:val="00F7606A"/>
    <w:rsid w:val="00F77130"/>
    <w:rsid w:val="00F82981"/>
    <w:rsid w:val="00F82CE5"/>
    <w:rsid w:val="00F8311F"/>
    <w:rsid w:val="00F83248"/>
    <w:rsid w:val="00F853AE"/>
    <w:rsid w:val="00F93DCC"/>
    <w:rsid w:val="00F9435D"/>
    <w:rsid w:val="00F94A5D"/>
    <w:rsid w:val="00F94CDD"/>
    <w:rsid w:val="00F951F8"/>
    <w:rsid w:val="00FA345A"/>
    <w:rsid w:val="00FA74F6"/>
    <w:rsid w:val="00FB3663"/>
    <w:rsid w:val="00FB593A"/>
    <w:rsid w:val="00FB6E82"/>
    <w:rsid w:val="00FC3C26"/>
    <w:rsid w:val="00FC4576"/>
    <w:rsid w:val="00FC481B"/>
    <w:rsid w:val="00FC4D7A"/>
    <w:rsid w:val="00FC6808"/>
    <w:rsid w:val="00FC7DBC"/>
    <w:rsid w:val="00FD010E"/>
    <w:rsid w:val="00FD0372"/>
    <w:rsid w:val="00FD18ED"/>
    <w:rsid w:val="00FD1D5A"/>
    <w:rsid w:val="00FD3DDE"/>
    <w:rsid w:val="00FD5A60"/>
    <w:rsid w:val="00FD5F96"/>
    <w:rsid w:val="00FE2055"/>
    <w:rsid w:val="00FE21EB"/>
    <w:rsid w:val="00FE238B"/>
    <w:rsid w:val="00FE3349"/>
    <w:rsid w:val="00FE3AB2"/>
    <w:rsid w:val="00FE518F"/>
    <w:rsid w:val="00FE7817"/>
    <w:rsid w:val="00FF3C25"/>
    <w:rsid w:val="00FF5428"/>
    <w:rsid w:val="00FF610E"/>
    <w:rsid w:val="00FF6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91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8442240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3368-BB37-4A25-8DE1-15E3DAF6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2011-03-31T16:26:00Z</cp:lastPrinted>
  <dcterms:created xsi:type="dcterms:W3CDTF">2012-03-08T16:03:00Z</dcterms:created>
  <dcterms:modified xsi:type="dcterms:W3CDTF">2012-03-12T17:25:00Z</dcterms:modified>
</cp:coreProperties>
</file>