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0582F" w:rsidRDefault="003B57DE" w:rsidP="00593D06">
      <w:pPr>
        <w:tabs>
          <w:tab w:val="left" w:pos="288"/>
          <w:tab w:val="left" w:pos="4752"/>
        </w:tabs>
        <w:spacing w:line="220" w:lineRule="exact"/>
        <w:jc w:val="center"/>
        <w:rPr>
          <w:rFonts w:asciiTheme="minorHAnsi" w:hAnsiTheme="minorHAnsi"/>
          <w:color w:val="auto"/>
          <w:szCs w:val="24"/>
        </w:rPr>
      </w:pPr>
      <w:r>
        <w:rPr>
          <w:rFonts w:asciiTheme="minorHAnsi" w:hAnsiTheme="minorHAnsi"/>
          <w:color w:val="auto"/>
        </w:rPr>
        <w:t xml:space="preserve"> </w:t>
      </w:r>
      <w:r w:rsidR="00540BEF" w:rsidRPr="0010582F">
        <w:rPr>
          <w:rFonts w:asciiTheme="minorHAnsi" w:hAnsiTheme="minorHAnsi"/>
          <w:color w:val="auto"/>
          <w:szCs w:val="24"/>
        </w:rPr>
        <w:t>RECORD OF PROCEEDINGS</w:t>
      </w:r>
    </w:p>
    <w:p w:rsidR="00540BEF" w:rsidRPr="0010582F" w:rsidRDefault="00540BEF" w:rsidP="00593D06">
      <w:pPr>
        <w:tabs>
          <w:tab w:val="left" w:pos="288"/>
          <w:tab w:val="left" w:pos="4752"/>
        </w:tabs>
        <w:spacing w:line="220" w:lineRule="exact"/>
        <w:jc w:val="center"/>
        <w:rPr>
          <w:rFonts w:asciiTheme="minorHAnsi" w:hAnsiTheme="minorHAnsi"/>
          <w:color w:val="auto"/>
          <w:szCs w:val="24"/>
        </w:rPr>
      </w:pPr>
      <w:r w:rsidRPr="0010582F">
        <w:rPr>
          <w:rFonts w:asciiTheme="minorHAnsi" w:hAnsiTheme="minorHAnsi"/>
          <w:color w:val="auto"/>
          <w:szCs w:val="24"/>
        </w:rPr>
        <w:t>PHYSICAL DISABILITY BOARD OF REVIEW</w:t>
      </w:r>
    </w:p>
    <w:p w:rsidR="00540BEF" w:rsidRPr="0010582F" w:rsidRDefault="00540BEF" w:rsidP="00593D06">
      <w:pPr>
        <w:tabs>
          <w:tab w:val="left" w:pos="288"/>
          <w:tab w:val="left" w:pos="4752"/>
        </w:tabs>
        <w:spacing w:line="220" w:lineRule="exact"/>
        <w:jc w:val="both"/>
        <w:rPr>
          <w:rFonts w:asciiTheme="minorHAnsi" w:hAnsiTheme="minorHAnsi"/>
          <w:caps/>
          <w:color w:val="auto"/>
          <w:szCs w:val="24"/>
        </w:rPr>
      </w:pPr>
    </w:p>
    <w:p w:rsidR="00540BEF" w:rsidRPr="0010582F" w:rsidRDefault="00540BEF" w:rsidP="00593D06">
      <w:pPr>
        <w:tabs>
          <w:tab w:val="left" w:pos="288"/>
          <w:tab w:val="left" w:pos="4752"/>
        </w:tabs>
        <w:spacing w:line="220" w:lineRule="exact"/>
        <w:ind w:right="-1260"/>
        <w:jc w:val="both"/>
        <w:rPr>
          <w:rFonts w:asciiTheme="minorHAnsi" w:hAnsiTheme="minorHAnsi"/>
          <w:caps/>
          <w:color w:val="auto"/>
          <w:szCs w:val="24"/>
        </w:rPr>
      </w:pPr>
      <w:r w:rsidRPr="0010582F">
        <w:rPr>
          <w:rFonts w:asciiTheme="minorHAnsi" w:hAnsiTheme="minorHAnsi"/>
          <w:caps/>
          <w:color w:val="auto"/>
          <w:szCs w:val="24"/>
        </w:rPr>
        <w:t>NAME:</w:t>
      </w:r>
      <w:r w:rsidR="006470CD" w:rsidRPr="0010582F">
        <w:rPr>
          <w:rFonts w:asciiTheme="minorHAnsi" w:hAnsiTheme="minorHAnsi"/>
          <w:caps/>
          <w:color w:val="auto"/>
          <w:szCs w:val="24"/>
        </w:rPr>
        <w:t xml:space="preserve"> </w:t>
      </w:r>
      <w:r w:rsidR="00475619" w:rsidRPr="0010582F">
        <w:rPr>
          <w:rFonts w:asciiTheme="minorHAnsi" w:hAnsiTheme="minorHAnsi"/>
          <w:caps/>
          <w:color w:val="auto"/>
          <w:szCs w:val="24"/>
        </w:rPr>
        <w:t xml:space="preserve"> </w:t>
      </w:r>
      <w:r w:rsidR="00886E14">
        <w:rPr>
          <w:rFonts w:asciiTheme="minorHAnsi" w:hAnsiTheme="minorHAnsi"/>
          <w:caps/>
          <w:color w:val="auto"/>
          <w:szCs w:val="24"/>
        </w:rPr>
        <w:t>XXXXXXX</w:t>
      </w:r>
      <w:r w:rsidRPr="0010582F">
        <w:rPr>
          <w:rFonts w:asciiTheme="minorHAnsi" w:hAnsiTheme="minorHAnsi"/>
          <w:caps/>
          <w:color w:val="auto"/>
          <w:szCs w:val="24"/>
        </w:rPr>
        <w:tab/>
      </w:r>
      <w:r w:rsidR="00475619" w:rsidRPr="0010582F">
        <w:rPr>
          <w:rFonts w:asciiTheme="minorHAnsi" w:hAnsiTheme="minorHAnsi"/>
          <w:caps/>
          <w:color w:val="auto"/>
          <w:szCs w:val="24"/>
        </w:rPr>
        <w:tab/>
      </w:r>
      <w:r w:rsidRPr="0010582F">
        <w:rPr>
          <w:rFonts w:asciiTheme="minorHAnsi" w:hAnsiTheme="minorHAnsi"/>
          <w:caps/>
          <w:color w:val="auto"/>
          <w:szCs w:val="24"/>
        </w:rPr>
        <w:t xml:space="preserve">BRANCH OF SERVICE: </w:t>
      </w:r>
      <w:r w:rsidR="00E1012B" w:rsidRPr="0010582F">
        <w:rPr>
          <w:rFonts w:asciiTheme="minorHAnsi" w:hAnsiTheme="minorHAnsi"/>
          <w:caps/>
          <w:color w:val="auto"/>
          <w:szCs w:val="24"/>
        </w:rPr>
        <w:t xml:space="preserve"> </w:t>
      </w:r>
      <w:r w:rsidR="00D00981" w:rsidRPr="0010582F">
        <w:rPr>
          <w:rFonts w:asciiTheme="minorHAnsi" w:hAnsiTheme="minorHAnsi"/>
          <w:caps/>
          <w:color w:val="auto"/>
          <w:szCs w:val="24"/>
        </w:rPr>
        <w:t>marine corps</w:t>
      </w:r>
    </w:p>
    <w:p w:rsidR="00540BEF" w:rsidRPr="0010582F" w:rsidRDefault="00540BEF" w:rsidP="00593D06">
      <w:pPr>
        <w:tabs>
          <w:tab w:val="left" w:pos="288"/>
          <w:tab w:val="left" w:pos="4752"/>
        </w:tabs>
        <w:spacing w:line="220" w:lineRule="exact"/>
        <w:ind w:right="-900"/>
        <w:jc w:val="both"/>
        <w:rPr>
          <w:rFonts w:asciiTheme="minorHAnsi" w:hAnsiTheme="minorHAnsi"/>
          <w:caps/>
          <w:color w:val="auto"/>
          <w:szCs w:val="24"/>
        </w:rPr>
      </w:pPr>
      <w:r w:rsidRPr="0010582F">
        <w:rPr>
          <w:rFonts w:asciiTheme="minorHAnsi" w:hAnsiTheme="minorHAnsi"/>
          <w:caps/>
          <w:color w:val="auto"/>
          <w:szCs w:val="24"/>
        </w:rPr>
        <w:t>CASE NUMBER:  PD</w:t>
      </w:r>
      <w:r w:rsidR="004B3A0B" w:rsidRPr="0010582F">
        <w:rPr>
          <w:rFonts w:asciiTheme="minorHAnsi" w:hAnsiTheme="minorHAnsi"/>
          <w:caps/>
          <w:color w:val="auto"/>
          <w:szCs w:val="24"/>
        </w:rPr>
        <w:t>09</w:t>
      </w:r>
      <w:r w:rsidR="005014DE" w:rsidRPr="0010582F">
        <w:rPr>
          <w:rFonts w:asciiTheme="minorHAnsi" w:hAnsiTheme="minorHAnsi"/>
          <w:caps/>
          <w:color w:val="auto"/>
          <w:szCs w:val="24"/>
        </w:rPr>
        <w:t>00</w:t>
      </w:r>
      <w:r w:rsidR="004B3A0B" w:rsidRPr="0010582F">
        <w:rPr>
          <w:rFonts w:asciiTheme="minorHAnsi" w:hAnsiTheme="minorHAnsi"/>
          <w:caps/>
          <w:color w:val="auto"/>
          <w:szCs w:val="24"/>
        </w:rPr>
        <w:t>647</w:t>
      </w:r>
      <w:r w:rsidRPr="0010582F">
        <w:rPr>
          <w:rFonts w:asciiTheme="minorHAnsi" w:hAnsiTheme="minorHAnsi"/>
          <w:caps/>
          <w:color w:val="auto"/>
          <w:szCs w:val="24"/>
        </w:rPr>
        <w:tab/>
      </w:r>
      <w:r w:rsidRPr="0010582F">
        <w:rPr>
          <w:rFonts w:asciiTheme="minorHAnsi" w:hAnsiTheme="minorHAnsi"/>
          <w:caps/>
          <w:color w:val="auto"/>
          <w:szCs w:val="24"/>
        </w:rPr>
        <w:tab/>
      </w:r>
      <w:r w:rsidR="00C22F3A" w:rsidRPr="0010582F">
        <w:rPr>
          <w:rFonts w:asciiTheme="minorHAnsi" w:hAnsiTheme="minorHAnsi"/>
          <w:caps/>
          <w:color w:val="auto"/>
          <w:szCs w:val="24"/>
        </w:rPr>
        <w:t xml:space="preserve">SEPARATION DATE: </w:t>
      </w:r>
      <w:r w:rsidR="00475619" w:rsidRPr="0010582F">
        <w:rPr>
          <w:rFonts w:asciiTheme="minorHAnsi" w:hAnsiTheme="minorHAnsi"/>
          <w:caps/>
          <w:color w:val="auto"/>
          <w:szCs w:val="24"/>
        </w:rPr>
        <w:t xml:space="preserve"> </w:t>
      </w:r>
      <w:r w:rsidR="006470CD" w:rsidRPr="0010582F">
        <w:rPr>
          <w:rFonts w:asciiTheme="minorHAnsi" w:hAnsiTheme="minorHAnsi"/>
          <w:caps/>
          <w:color w:val="auto"/>
          <w:szCs w:val="24"/>
        </w:rPr>
        <w:t>20011001</w:t>
      </w:r>
    </w:p>
    <w:p w:rsidR="00540BEF" w:rsidRPr="0010582F" w:rsidRDefault="00540BEF" w:rsidP="00593D06">
      <w:pPr>
        <w:tabs>
          <w:tab w:val="left" w:pos="288"/>
          <w:tab w:val="left" w:pos="4752"/>
        </w:tabs>
        <w:spacing w:line="220" w:lineRule="exact"/>
        <w:jc w:val="both"/>
        <w:rPr>
          <w:rFonts w:asciiTheme="minorHAnsi" w:hAnsiTheme="minorHAnsi"/>
          <w:caps/>
          <w:color w:val="auto"/>
          <w:szCs w:val="24"/>
        </w:rPr>
      </w:pPr>
      <w:r w:rsidRPr="0010582F">
        <w:rPr>
          <w:rFonts w:asciiTheme="minorHAnsi" w:hAnsiTheme="minorHAnsi"/>
          <w:caps/>
          <w:color w:val="auto"/>
          <w:szCs w:val="24"/>
        </w:rPr>
        <w:t xml:space="preserve">BOARD DATE: </w:t>
      </w:r>
      <w:r w:rsidR="00475619" w:rsidRPr="0010582F">
        <w:rPr>
          <w:rFonts w:asciiTheme="minorHAnsi" w:hAnsiTheme="minorHAnsi"/>
          <w:caps/>
          <w:color w:val="auto"/>
          <w:szCs w:val="24"/>
        </w:rPr>
        <w:t xml:space="preserve"> </w:t>
      </w:r>
      <w:r w:rsidR="000F02BE" w:rsidRPr="0010582F">
        <w:rPr>
          <w:rFonts w:asciiTheme="minorHAnsi" w:hAnsiTheme="minorHAnsi"/>
          <w:caps/>
          <w:color w:val="auto"/>
          <w:szCs w:val="24"/>
        </w:rPr>
        <w:t>201</w:t>
      </w:r>
      <w:r w:rsidR="00475619" w:rsidRPr="0010582F">
        <w:rPr>
          <w:rFonts w:asciiTheme="minorHAnsi" w:hAnsiTheme="minorHAnsi"/>
          <w:caps/>
          <w:color w:val="auto"/>
          <w:szCs w:val="24"/>
        </w:rPr>
        <w:t>1</w:t>
      </w:r>
      <w:r w:rsidR="00BE3E72" w:rsidRPr="0010582F">
        <w:rPr>
          <w:rFonts w:asciiTheme="minorHAnsi" w:hAnsiTheme="minorHAnsi"/>
          <w:caps/>
          <w:color w:val="auto"/>
          <w:szCs w:val="24"/>
        </w:rPr>
        <w:t>0114</w:t>
      </w:r>
      <w:r w:rsidRPr="0010582F">
        <w:rPr>
          <w:rFonts w:asciiTheme="minorHAnsi" w:hAnsiTheme="minorHAnsi"/>
          <w:caps/>
          <w:color w:val="auto"/>
          <w:szCs w:val="24"/>
        </w:rPr>
        <w:tab/>
      </w:r>
      <w:r w:rsidRPr="0010582F">
        <w:rPr>
          <w:rFonts w:asciiTheme="minorHAnsi" w:hAnsiTheme="minorHAnsi"/>
          <w:caps/>
          <w:color w:val="auto"/>
          <w:szCs w:val="24"/>
        </w:rPr>
        <w:tab/>
      </w:r>
      <w:r w:rsidR="00C22F3A" w:rsidRPr="0010582F">
        <w:rPr>
          <w:rFonts w:asciiTheme="minorHAnsi" w:hAnsiTheme="minorHAnsi"/>
          <w:color w:val="auto"/>
          <w:szCs w:val="24"/>
        </w:rPr>
        <w:t>TDRL DATE:</w:t>
      </w:r>
      <w:r w:rsidR="006470CD" w:rsidRPr="0010582F">
        <w:rPr>
          <w:rFonts w:asciiTheme="minorHAnsi" w:hAnsiTheme="minorHAnsi"/>
          <w:color w:val="auto"/>
          <w:szCs w:val="24"/>
        </w:rPr>
        <w:t xml:space="preserve">  19961031</w:t>
      </w:r>
    </w:p>
    <w:p w:rsidR="00540BEF" w:rsidRPr="0010582F" w:rsidRDefault="00540BEF" w:rsidP="00593D06">
      <w:pPr>
        <w:tabs>
          <w:tab w:val="left" w:pos="288"/>
          <w:tab w:val="left" w:pos="4752"/>
        </w:tabs>
        <w:spacing w:line="220" w:lineRule="exact"/>
        <w:rPr>
          <w:rFonts w:asciiTheme="minorHAnsi" w:hAnsiTheme="minorHAnsi"/>
          <w:caps/>
          <w:color w:val="auto"/>
          <w:szCs w:val="24"/>
        </w:rPr>
      </w:pPr>
      <w:r w:rsidRPr="0010582F">
        <w:rPr>
          <w:rFonts w:asciiTheme="minorHAnsi" w:hAnsiTheme="minorHAnsi"/>
          <w:color w:val="auto"/>
          <w:szCs w:val="24"/>
          <w:u w:val="single"/>
        </w:rPr>
        <w:t>_______________________________________________________________</w:t>
      </w:r>
      <w:r w:rsidRPr="0010582F">
        <w:rPr>
          <w:rFonts w:asciiTheme="minorHAnsi" w:hAnsiTheme="minorHAnsi"/>
          <w:color w:val="auto"/>
          <w:szCs w:val="24"/>
        </w:rPr>
        <w:t>_</w:t>
      </w:r>
      <w:r w:rsidR="00AC713F" w:rsidRPr="0010582F">
        <w:rPr>
          <w:rFonts w:asciiTheme="minorHAnsi" w:hAnsiTheme="minorHAnsi"/>
          <w:color w:val="auto"/>
          <w:szCs w:val="24"/>
        </w:rPr>
        <w:t>___________</w:t>
      </w:r>
    </w:p>
    <w:p w:rsidR="00B522CD" w:rsidRPr="0010582F" w:rsidRDefault="00B522CD" w:rsidP="00593D06">
      <w:pPr>
        <w:tabs>
          <w:tab w:val="left" w:pos="288"/>
          <w:tab w:val="left" w:pos="4752"/>
        </w:tabs>
        <w:spacing w:line="220" w:lineRule="exact"/>
        <w:rPr>
          <w:color w:val="000080"/>
          <w:szCs w:val="24"/>
        </w:rPr>
      </w:pPr>
    </w:p>
    <w:p w:rsidR="002C6E5B" w:rsidRPr="0010582F" w:rsidRDefault="002C6E5B" w:rsidP="0010582F">
      <w:pPr>
        <w:tabs>
          <w:tab w:val="left" w:pos="288"/>
          <w:tab w:val="left" w:pos="4752"/>
        </w:tabs>
        <w:spacing w:line="240" w:lineRule="exact"/>
        <w:jc w:val="both"/>
        <w:rPr>
          <w:rFonts w:ascii="Calibri" w:hAnsi="Calibri"/>
          <w:color w:val="auto"/>
          <w:szCs w:val="24"/>
        </w:rPr>
      </w:pPr>
      <w:r w:rsidRPr="0010582F">
        <w:rPr>
          <w:rFonts w:ascii="Calibri" w:hAnsi="Calibri"/>
          <w:color w:val="auto"/>
          <w:szCs w:val="24"/>
          <w:u w:val="single"/>
        </w:rPr>
        <w:t>SUMMARY OF CASE</w:t>
      </w:r>
      <w:r w:rsidRPr="0010582F">
        <w:rPr>
          <w:rFonts w:ascii="Calibri" w:hAnsi="Calibri"/>
          <w:color w:val="auto"/>
          <w:szCs w:val="24"/>
        </w:rPr>
        <w:t xml:space="preserve">:  </w:t>
      </w:r>
      <w:r w:rsidR="00593D06" w:rsidRPr="0010582F">
        <w:rPr>
          <w:rFonts w:ascii="Calibri" w:hAnsi="Calibri"/>
          <w:color w:val="auto"/>
          <w:szCs w:val="24"/>
        </w:rPr>
        <w:t xml:space="preserve">Data extracted from </w:t>
      </w:r>
      <w:r w:rsidR="0065313A">
        <w:rPr>
          <w:rFonts w:ascii="Calibri" w:hAnsi="Calibri"/>
          <w:color w:val="auto"/>
          <w:szCs w:val="24"/>
        </w:rPr>
        <w:t xml:space="preserve">the </w:t>
      </w:r>
      <w:r w:rsidR="00593D06" w:rsidRPr="0010582F">
        <w:rPr>
          <w:rFonts w:ascii="Calibri" w:hAnsi="Calibri"/>
          <w:color w:val="auto"/>
          <w:szCs w:val="24"/>
        </w:rPr>
        <w:t xml:space="preserve">available </w:t>
      </w:r>
      <w:r w:rsidR="0065313A">
        <w:rPr>
          <w:rFonts w:ascii="Calibri" w:hAnsi="Calibri"/>
          <w:color w:val="auto"/>
          <w:szCs w:val="24"/>
        </w:rPr>
        <w:t>evidence of record</w:t>
      </w:r>
      <w:r w:rsidR="00593D06" w:rsidRPr="0010582F">
        <w:rPr>
          <w:rFonts w:ascii="Calibri" w:hAnsi="Calibri"/>
          <w:color w:val="auto"/>
          <w:szCs w:val="24"/>
        </w:rPr>
        <w:t xml:space="preserve"> reflects that this </w:t>
      </w:r>
      <w:r w:rsidRPr="0010582F">
        <w:rPr>
          <w:rFonts w:ascii="Calibri" w:hAnsi="Calibri"/>
          <w:color w:val="auto"/>
          <w:szCs w:val="24"/>
        </w:rPr>
        <w:t xml:space="preserve">covered individual (CI) was </w:t>
      </w:r>
      <w:r w:rsidR="00E322F7" w:rsidRPr="0010582F">
        <w:rPr>
          <w:rFonts w:ascii="Calibri" w:hAnsi="Calibri"/>
          <w:color w:val="auto"/>
          <w:szCs w:val="24"/>
        </w:rPr>
        <w:t>an active duty</w:t>
      </w:r>
      <w:r w:rsidR="006D4E0E" w:rsidRPr="0010582F">
        <w:rPr>
          <w:rFonts w:ascii="Calibri" w:hAnsi="Calibri"/>
          <w:color w:val="auto"/>
          <w:szCs w:val="24"/>
        </w:rPr>
        <w:t xml:space="preserve"> </w:t>
      </w:r>
      <w:r w:rsidR="006470CD" w:rsidRPr="0010582F">
        <w:rPr>
          <w:rFonts w:ascii="Calibri" w:hAnsi="Calibri"/>
          <w:color w:val="auto"/>
          <w:szCs w:val="24"/>
        </w:rPr>
        <w:t xml:space="preserve">Corporal (2542, Communication Center Operator) </w:t>
      </w:r>
      <w:r w:rsidR="004B3A0B" w:rsidRPr="0010582F">
        <w:rPr>
          <w:rFonts w:ascii="Calibri" w:hAnsi="Calibri"/>
          <w:color w:val="auto"/>
          <w:szCs w:val="24"/>
        </w:rPr>
        <w:t xml:space="preserve">medically separated from the Marine Corps after over </w:t>
      </w:r>
      <w:r w:rsidR="00D0119A" w:rsidRPr="0010582F">
        <w:rPr>
          <w:rFonts w:ascii="Calibri" w:hAnsi="Calibri"/>
          <w:color w:val="auto"/>
          <w:szCs w:val="24"/>
        </w:rPr>
        <w:t>four</w:t>
      </w:r>
      <w:r w:rsidR="004B3A0B" w:rsidRPr="0010582F">
        <w:rPr>
          <w:rFonts w:ascii="Calibri" w:hAnsi="Calibri"/>
          <w:color w:val="auto"/>
          <w:szCs w:val="24"/>
        </w:rPr>
        <w:t xml:space="preserve"> years of service.  The medical basis for the separation was </w:t>
      </w:r>
      <w:proofErr w:type="spellStart"/>
      <w:r w:rsidR="00593D06" w:rsidRPr="0010582F">
        <w:rPr>
          <w:rFonts w:ascii="Calibri" w:hAnsi="Calibri"/>
          <w:color w:val="auto"/>
          <w:szCs w:val="24"/>
        </w:rPr>
        <w:t>S</w:t>
      </w:r>
      <w:r w:rsidR="004B3A0B" w:rsidRPr="0010582F">
        <w:rPr>
          <w:rFonts w:ascii="Calibri" w:hAnsi="Calibri"/>
          <w:color w:val="auto"/>
          <w:szCs w:val="24"/>
        </w:rPr>
        <w:t>eronegative</w:t>
      </w:r>
      <w:proofErr w:type="spellEnd"/>
      <w:r w:rsidR="004B3A0B" w:rsidRPr="0010582F">
        <w:rPr>
          <w:rFonts w:ascii="Calibri" w:hAnsi="Calibri"/>
          <w:color w:val="auto"/>
          <w:szCs w:val="24"/>
        </w:rPr>
        <w:t xml:space="preserve"> </w:t>
      </w:r>
      <w:r w:rsidR="00593D06" w:rsidRPr="0010582F">
        <w:rPr>
          <w:rFonts w:ascii="Calibri" w:hAnsi="Calibri"/>
          <w:color w:val="auto"/>
          <w:szCs w:val="24"/>
        </w:rPr>
        <w:t>A</w:t>
      </w:r>
      <w:r w:rsidR="004B3A0B" w:rsidRPr="0010582F">
        <w:rPr>
          <w:rFonts w:ascii="Calibri" w:hAnsi="Calibri"/>
          <w:color w:val="auto"/>
          <w:szCs w:val="24"/>
        </w:rPr>
        <w:t>rthritis</w:t>
      </w:r>
      <w:r w:rsidR="0010582F">
        <w:rPr>
          <w:rFonts w:ascii="Calibri" w:hAnsi="Calibri"/>
          <w:color w:val="auto"/>
          <w:szCs w:val="24"/>
        </w:rPr>
        <w:t>,</w:t>
      </w:r>
      <w:r w:rsidR="004B3A0B" w:rsidRPr="0010582F">
        <w:rPr>
          <w:rFonts w:ascii="Calibri" w:hAnsi="Calibri"/>
          <w:color w:val="auto"/>
          <w:szCs w:val="24"/>
        </w:rPr>
        <w:t xml:space="preserve"> Most Likely a Reiter's Like Syndrome</w:t>
      </w:r>
      <w:r w:rsidR="00FF1A99" w:rsidRPr="0010582F">
        <w:rPr>
          <w:rFonts w:ascii="Calibri" w:hAnsi="Calibri"/>
          <w:color w:val="auto"/>
          <w:szCs w:val="24"/>
        </w:rPr>
        <w:t>.</w:t>
      </w:r>
      <w:r w:rsidR="004B3A0B" w:rsidRPr="0010582F">
        <w:rPr>
          <w:rFonts w:ascii="Calibri" w:hAnsi="Calibri"/>
          <w:color w:val="auto"/>
          <w:szCs w:val="24"/>
        </w:rPr>
        <w:t xml:space="preserve">  </w:t>
      </w:r>
      <w:r w:rsidR="00FF1A99" w:rsidRPr="0010582F">
        <w:rPr>
          <w:rFonts w:ascii="Calibri" w:hAnsi="Calibri"/>
          <w:color w:val="auto"/>
          <w:szCs w:val="24"/>
        </w:rPr>
        <w:t xml:space="preserve">The CI’s multiple joint complaints </w:t>
      </w:r>
      <w:r w:rsidR="003749D0" w:rsidRPr="0010582F">
        <w:rPr>
          <w:rFonts w:ascii="Calibri" w:hAnsi="Calibri"/>
          <w:color w:val="auto"/>
          <w:szCs w:val="24"/>
        </w:rPr>
        <w:t xml:space="preserve">(right knee [with effusion], wrists, jaw [TMJ], lower back, and ankles) </w:t>
      </w:r>
      <w:r w:rsidR="00FF1A99" w:rsidRPr="0010582F">
        <w:rPr>
          <w:rFonts w:ascii="Calibri" w:hAnsi="Calibri"/>
          <w:color w:val="auto"/>
          <w:szCs w:val="24"/>
        </w:rPr>
        <w:t xml:space="preserve">and abdominal pain led to a diagnosis of </w:t>
      </w:r>
      <w:proofErr w:type="spellStart"/>
      <w:r w:rsidR="00FF1A99" w:rsidRPr="0010582F">
        <w:rPr>
          <w:rFonts w:ascii="Calibri" w:hAnsi="Calibri"/>
          <w:color w:val="auto"/>
          <w:szCs w:val="24"/>
        </w:rPr>
        <w:t>Seronegative</w:t>
      </w:r>
      <w:proofErr w:type="spellEnd"/>
      <w:r w:rsidR="00FF1A99" w:rsidRPr="0010582F">
        <w:rPr>
          <w:rFonts w:ascii="Calibri" w:hAnsi="Calibri"/>
          <w:color w:val="auto"/>
          <w:szCs w:val="24"/>
        </w:rPr>
        <w:t xml:space="preserve"> Arthritis.  </w:t>
      </w:r>
      <w:r w:rsidR="003749D0" w:rsidRPr="0010582F">
        <w:rPr>
          <w:rFonts w:ascii="Calibri" w:hAnsi="Calibri"/>
          <w:color w:val="auto"/>
          <w:szCs w:val="24"/>
        </w:rPr>
        <w:t xml:space="preserve">X-ray imaging was normal aside from the right knee effusion and a non-related lumbar vertebrae finding.  Lab tests were positive for </w:t>
      </w:r>
      <w:r w:rsidR="003749D0" w:rsidRPr="0010582F">
        <w:rPr>
          <w:rFonts w:asciiTheme="minorHAnsi" w:hAnsiTheme="minorHAnsi"/>
          <w:color w:val="auto"/>
          <w:szCs w:val="24"/>
        </w:rPr>
        <w:t>HLA-B27 antigen and negative for all other arthritis markers.</w:t>
      </w:r>
      <w:r w:rsidR="0036129E" w:rsidRPr="0010582F">
        <w:rPr>
          <w:rFonts w:asciiTheme="minorHAnsi" w:hAnsiTheme="minorHAnsi"/>
          <w:color w:val="auto"/>
          <w:szCs w:val="24"/>
        </w:rPr>
        <w:t xml:space="preserve">  </w:t>
      </w:r>
      <w:r w:rsidR="004B3A0B" w:rsidRPr="0010582F">
        <w:rPr>
          <w:rFonts w:ascii="Calibri" w:hAnsi="Calibri"/>
          <w:color w:val="auto"/>
          <w:szCs w:val="24"/>
        </w:rPr>
        <w:t>The CI was placed on Limited Duty (LIMDU)</w:t>
      </w:r>
      <w:r w:rsidR="00E34D30" w:rsidRPr="0010582F">
        <w:rPr>
          <w:rFonts w:ascii="Calibri" w:hAnsi="Calibri"/>
          <w:color w:val="auto"/>
          <w:szCs w:val="24"/>
        </w:rPr>
        <w:t xml:space="preserve"> multiple</w:t>
      </w:r>
      <w:r w:rsidR="004B3A0B" w:rsidRPr="0010582F">
        <w:rPr>
          <w:rFonts w:ascii="Calibri" w:hAnsi="Calibri"/>
          <w:color w:val="auto"/>
          <w:szCs w:val="24"/>
        </w:rPr>
        <w:t xml:space="preserve"> times for predominately right knee arthritis pain</w:t>
      </w:r>
      <w:r w:rsidR="00475619" w:rsidRPr="0010582F">
        <w:rPr>
          <w:rFonts w:ascii="Calibri" w:hAnsi="Calibri"/>
          <w:color w:val="auto"/>
          <w:szCs w:val="24"/>
        </w:rPr>
        <w:t>,</w:t>
      </w:r>
      <w:r w:rsidR="00FF1A99" w:rsidRPr="0010582F">
        <w:rPr>
          <w:rFonts w:ascii="Calibri" w:hAnsi="Calibri"/>
          <w:color w:val="auto"/>
          <w:szCs w:val="24"/>
        </w:rPr>
        <w:t xml:space="preserve"> and despite therapy was unable to return to full duty</w:t>
      </w:r>
      <w:r w:rsidR="004B3A0B" w:rsidRPr="0010582F">
        <w:rPr>
          <w:rFonts w:ascii="Calibri" w:hAnsi="Calibri"/>
          <w:color w:val="auto"/>
          <w:szCs w:val="24"/>
        </w:rPr>
        <w:t>.</w:t>
      </w:r>
      <w:r w:rsidR="00FF1A99" w:rsidRPr="0010582F">
        <w:rPr>
          <w:rFonts w:ascii="Calibri" w:hAnsi="Calibri"/>
          <w:color w:val="auto"/>
          <w:szCs w:val="24"/>
        </w:rPr>
        <w:t xml:space="preserve">  </w:t>
      </w:r>
      <w:r w:rsidR="004B3A0B" w:rsidRPr="0010582F">
        <w:rPr>
          <w:rFonts w:ascii="Calibri" w:hAnsi="Calibri"/>
          <w:color w:val="auto"/>
          <w:szCs w:val="24"/>
        </w:rPr>
        <w:t xml:space="preserve">The CI </w:t>
      </w:r>
      <w:r w:rsidR="00475619" w:rsidRPr="0010582F">
        <w:rPr>
          <w:rFonts w:ascii="Calibri" w:hAnsi="Calibri"/>
          <w:color w:val="auto"/>
          <w:szCs w:val="24"/>
        </w:rPr>
        <w:t>underwent</w:t>
      </w:r>
      <w:r w:rsidR="004B3A0B" w:rsidRPr="0010582F">
        <w:rPr>
          <w:rFonts w:ascii="Calibri" w:hAnsi="Calibri"/>
          <w:color w:val="auto"/>
          <w:szCs w:val="24"/>
        </w:rPr>
        <w:t xml:space="preserve"> </w:t>
      </w:r>
      <w:r w:rsidR="00475619" w:rsidRPr="0010582F">
        <w:rPr>
          <w:rFonts w:ascii="Calibri" w:hAnsi="Calibri"/>
          <w:color w:val="auto"/>
          <w:szCs w:val="24"/>
        </w:rPr>
        <w:t xml:space="preserve">a </w:t>
      </w:r>
      <w:r w:rsidR="004B3A0B" w:rsidRPr="0010582F">
        <w:rPr>
          <w:rFonts w:ascii="Calibri" w:hAnsi="Calibri"/>
          <w:color w:val="auto"/>
          <w:szCs w:val="24"/>
        </w:rPr>
        <w:t>Medical Evaluation Board (MEB) in 1995</w:t>
      </w:r>
      <w:r w:rsidR="00FF1A99" w:rsidRPr="0010582F">
        <w:rPr>
          <w:rFonts w:ascii="Calibri" w:hAnsi="Calibri"/>
          <w:color w:val="auto"/>
          <w:szCs w:val="24"/>
        </w:rPr>
        <w:t xml:space="preserve">.  </w:t>
      </w:r>
      <w:r w:rsidR="002A7A38" w:rsidRPr="0010582F">
        <w:rPr>
          <w:rFonts w:ascii="Calibri" w:hAnsi="Calibri"/>
          <w:color w:val="auto"/>
          <w:szCs w:val="24"/>
        </w:rPr>
        <w:t>“</w:t>
      </w:r>
      <w:proofErr w:type="spellStart"/>
      <w:r w:rsidR="002A7A38" w:rsidRPr="0010582F">
        <w:rPr>
          <w:rFonts w:ascii="Calibri" w:hAnsi="Calibri"/>
          <w:color w:val="auto"/>
          <w:szCs w:val="24"/>
        </w:rPr>
        <w:t>Seronegative</w:t>
      </w:r>
      <w:proofErr w:type="spellEnd"/>
      <w:r w:rsidR="002A7A38" w:rsidRPr="0010582F">
        <w:rPr>
          <w:rFonts w:ascii="Calibri" w:hAnsi="Calibri"/>
          <w:color w:val="auto"/>
          <w:szCs w:val="24"/>
        </w:rPr>
        <w:t xml:space="preserve"> Arthritis Most Likely a Reiter’s Like Syndrome”</w:t>
      </w:r>
      <w:r w:rsidR="00FF1A99" w:rsidRPr="0010582F">
        <w:rPr>
          <w:rFonts w:ascii="Calibri" w:hAnsi="Calibri"/>
          <w:color w:val="auto"/>
          <w:szCs w:val="24"/>
        </w:rPr>
        <w:t xml:space="preserve"> </w:t>
      </w:r>
      <w:r w:rsidR="002A7A38" w:rsidRPr="0010582F">
        <w:rPr>
          <w:rFonts w:ascii="Calibri" w:hAnsi="Calibri"/>
          <w:color w:val="auto"/>
          <w:szCs w:val="24"/>
        </w:rPr>
        <w:t xml:space="preserve">and “Probable </w:t>
      </w:r>
      <w:proofErr w:type="spellStart"/>
      <w:r w:rsidR="002A7A38" w:rsidRPr="0010582F">
        <w:rPr>
          <w:rFonts w:ascii="Calibri" w:hAnsi="Calibri"/>
          <w:color w:val="auto"/>
          <w:szCs w:val="24"/>
        </w:rPr>
        <w:t>Appendolith</w:t>
      </w:r>
      <w:proofErr w:type="spellEnd"/>
      <w:r w:rsidR="002A7A38" w:rsidRPr="0010582F">
        <w:rPr>
          <w:rFonts w:ascii="Calibri" w:hAnsi="Calibri"/>
          <w:color w:val="auto"/>
          <w:szCs w:val="24"/>
        </w:rPr>
        <w:t xml:space="preserve">, Pending Appendectomy” </w:t>
      </w:r>
      <w:r w:rsidR="00FF1A99" w:rsidRPr="0010582F">
        <w:rPr>
          <w:rFonts w:ascii="Calibri" w:hAnsi="Calibri"/>
          <w:color w:val="auto"/>
          <w:szCs w:val="24"/>
        </w:rPr>
        <w:t>condition</w:t>
      </w:r>
      <w:r w:rsidR="002A7A38" w:rsidRPr="0010582F">
        <w:rPr>
          <w:rFonts w:ascii="Calibri" w:hAnsi="Calibri"/>
          <w:color w:val="auto"/>
          <w:szCs w:val="24"/>
        </w:rPr>
        <w:t>s</w:t>
      </w:r>
      <w:r w:rsidR="00FF1A99" w:rsidRPr="0010582F">
        <w:rPr>
          <w:rFonts w:ascii="Calibri" w:hAnsi="Calibri"/>
          <w:color w:val="auto"/>
          <w:szCs w:val="24"/>
        </w:rPr>
        <w:t xml:space="preserve"> w</w:t>
      </w:r>
      <w:r w:rsidR="002A7A38" w:rsidRPr="0010582F">
        <w:rPr>
          <w:rFonts w:ascii="Calibri" w:hAnsi="Calibri"/>
          <w:color w:val="auto"/>
          <w:szCs w:val="24"/>
        </w:rPr>
        <w:t>ere</w:t>
      </w:r>
      <w:r w:rsidR="00FF1A99" w:rsidRPr="0010582F">
        <w:rPr>
          <w:rFonts w:ascii="Calibri" w:hAnsi="Calibri"/>
          <w:color w:val="auto"/>
          <w:szCs w:val="24"/>
        </w:rPr>
        <w:t xml:space="preserve"> listed on the NAVMED 6100/1 as interfering with duty and forwarded to the </w:t>
      </w:r>
      <w:r w:rsidR="0065313A">
        <w:rPr>
          <w:rFonts w:ascii="Calibri" w:hAnsi="Calibri"/>
          <w:color w:val="auto"/>
          <w:szCs w:val="24"/>
        </w:rPr>
        <w:t xml:space="preserve">Informal </w:t>
      </w:r>
      <w:r w:rsidR="00FF1A99" w:rsidRPr="0010582F">
        <w:rPr>
          <w:rFonts w:ascii="Calibri" w:hAnsi="Calibri"/>
          <w:color w:val="auto"/>
          <w:szCs w:val="24"/>
        </w:rPr>
        <w:t>Physical Evaluation Board (</w:t>
      </w:r>
      <w:r w:rsidR="0065313A">
        <w:rPr>
          <w:rFonts w:ascii="Calibri" w:hAnsi="Calibri"/>
          <w:color w:val="auto"/>
          <w:szCs w:val="24"/>
        </w:rPr>
        <w:t>I</w:t>
      </w:r>
      <w:r w:rsidR="00FF1A99" w:rsidRPr="0010582F">
        <w:rPr>
          <w:rFonts w:ascii="Calibri" w:hAnsi="Calibri"/>
          <w:color w:val="auto"/>
          <w:szCs w:val="24"/>
        </w:rPr>
        <w:t xml:space="preserve">PEB).  </w:t>
      </w:r>
      <w:r w:rsidR="002A7A38" w:rsidRPr="0010582F">
        <w:rPr>
          <w:rFonts w:ascii="Calibri" w:hAnsi="Calibri"/>
          <w:color w:val="auto"/>
          <w:szCs w:val="24"/>
        </w:rPr>
        <w:t xml:space="preserve">The </w:t>
      </w:r>
      <w:r w:rsidR="0065313A">
        <w:rPr>
          <w:rFonts w:ascii="Calibri" w:hAnsi="Calibri"/>
          <w:color w:val="auto"/>
          <w:szCs w:val="24"/>
        </w:rPr>
        <w:t>I</w:t>
      </w:r>
      <w:r w:rsidR="002A7A38" w:rsidRPr="0010582F">
        <w:rPr>
          <w:rFonts w:ascii="Calibri" w:hAnsi="Calibri"/>
          <w:color w:val="auto"/>
          <w:szCs w:val="24"/>
        </w:rPr>
        <w:t xml:space="preserve">PEB </w:t>
      </w:r>
      <w:r w:rsidR="00FF1A99" w:rsidRPr="0010582F">
        <w:rPr>
          <w:rFonts w:ascii="Calibri" w:hAnsi="Calibri"/>
          <w:color w:val="auto"/>
          <w:szCs w:val="24"/>
        </w:rPr>
        <w:t xml:space="preserve">found the CI unfit </w:t>
      </w:r>
      <w:r w:rsidR="00475619" w:rsidRPr="0010582F">
        <w:rPr>
          <w:rFonts w:ascii="Calibri" w:hAnsi="Calibri"/>
          <w:color w:val="auto"/>
          <w:szCs w:val="24"/>
        </w:rPr>
        <w:t xml:space="preserve">for </w:t>
      </w:r>
      <w:r w:rsidR="002A7A38" w:rsidRPr="0010582F">
        <w:rPr>
          <w:rFonts w:ascii="Calibri" w:hAnsi="Calibri"/>
          <w:color w:val="auto"/>
          <w:szCs w:val="24"/>
        </w:rPr>
        <w:t>“</w:t>
      </w:r>
      <w:proofErr w:type="spellStart"/>
      <w:r w:rsidR="002A7A38" w:rsidRPr="0010582F">
        <w:rPr>
          <w:rFonts w:ascii="Calibri" w:hAnsi="Calibri"/>
          <w:color w:val="auto"/>
          <w:szCs w:val="24"/>
        </w:rPr>
        <w:t>Seronegative</w:t>
      </w:r>
      <w:proofErr w:type="spellEnd"/>
      <w:r w:rsidR="002A7A38" w:rsidRPr="0010582F">
        <w:rPr>
          <w:rFonts w:ascii="Calibri" w:hAnsi="Calibri"/>
          <w:color w:val="auto"/>
          <w:szCs w:val="24"/>
        </w:rPr>
        <w:t xml:space="preserve"> Arthritis Most Likely a Reiter’s Like Syndrome” </w:t>
      </w:r>
      <w:r w:rsidR="00CC042D" w:rsidRPr="0010582F">
        <w:rPr>
          <w:rFonts w:ascii="Calibri" w:hAnsi="Calibri"/>
          <w:color w:val="auto"/>
          <w:szCs w:val="24"/>
        </w:rPr>
        <w:t xml:space="preserve">at 40% </w:t>
      </w:r>
      <w:r w:rsidR="002A7A38" w:rsidRPr="0010582F">
        <w:rPr>
          <w:rFonts w:ascii="Calibri" w:hAnsi="Calibri"/>
          <w:color w:val="auto"/>
          <w:szCs w:val="24"/>
        </w:rPr>
        <w:t xml:space="preserve">with “Abdominal Pain Resolved after Appendectomy” as a Category III condition.  The CI was entered onto the Temporary Disability Retired </w:t>
      </w:r>
      <w:r w:rsidR="0065313A">
        <w:rPr>
          <w:rFonts w:ascii="Calibri" w:hAnsi="Calibri"/>
          <w:color w:val="auto"/>
          <w:szCs w:val="24"/>
        </w:rPr>
        <w:t xml:space="preserve">List </w:t>
      </w:r>
      <w:r w:rsidR="002A7A38" w:rsidRPr="0010582F">
        <w:rPr>
          <w:rFonts w:ascii="Calibri" w:hAnsi="Calibri"/>
          <w:color w:val="auto"/>
          <w:szCs w:val="24"/>
        </w:rPr>
        <w:t>(TDRL) at 40% effective Jan</w:t>
      </w:r>
      <w:r w:rsidR="0065313A">
        <w:rPr>
          <w:rFonts w:ascii="Calibri" w:hAnsi="Calibri"/>
          <w:color w:val="auto"/>
          <w:szCs w:val="24"/>
        </w:rPr>
        <w:t>uary</w:t>
      </w:r>
      <w:r w:rsidR="002A7A38" w:rsidRPr="0010582F">
        <w:rPr>
          <w:rFonts w:ascii="Calibri" w:hAnsi="Calibri"/>
          <w:color w:val="auto"/>
          <w:szCs w:val="24"/>
        </w:rPr>
        <w:t xml:space="preserve"> 1996.  </w:t>
      </w:r>
      <w:r w:rsidR="004B3A0B" w:rsidRPr="0010582F">
        <w:rPr>
          <w:rFonts w:ascii="Calibri" w:hAnsi="Calibri"/>
          <w:color w:val="auto"/>
          <w:szCs w:val="24"/>
        </w:rPr>
        <w:t xml:space="preserve">The CI </w:t>
      </w:r>
      <w:r w:rsidR="00FF1A99" w:rsidRPr="0010582F">
        <w:rPr>
          <w:rFonts w:ascii="Calibri" w:hAnsi="Calibri"/>
          <w:color w:val="auto"/>
          <w:szCs w:val="24"/>
        </w:rPr>
        <w:t xml:space="preserve">underwent </w:t>
      </w:r>
      <w:r w:rsidR="002A7A38" w:rsidRPr="0010582F">
        <w:rPr>
          <w:rFonts w:ascii="Calibri" w:hAnsi="Calibri"/>
          <w:color w:val="auto"/>
          <w:szCs w:val="24"/>
        </w:rPr>
        <w:t xml:space="preserve">continued treatment and </w:t>
      </w:r>
      <w:r w:rsidR="00FF1A99" w:rsidRPr="0010582F">
        <w:rPr>
          <w:rFonts w:ascii="Calibri" w:hAnsi="Calibri"/>
          <w:color w:val="auto"/>
          <w:szCs w:val="24"/>
        </w:rPr>
        <w:t>periodic TDRL re-evaluations</w:t>
      </w:r>
      <w:r w:rsidR="002A7A38" w:rsidRPr="0010582F">
        <w:rPr>
          <w:rFonts w:ascii="Calibri" w:hAnsi="Calibri"/>
          <w:color w:val="auto"/>
          <w:szCs w:val="24"/>
        </w:rPr>
        <w:t xml:space="preserve"> for five years.  The MEB diagnosis in </w:t>
      </w:r>
      <w:r w:rsidR="00CC042D" w:rsidRPr="0010582F">
        <w:rPr>
          <w:rFonts w:ascii="Calibri" w:hAnsi="Calibri"/>
          <w:color w:val="auto"/>
          <w:szCs w:val="24"/>
        </w:rPr>
        <w:t>Dec</w:t>
      </w:r>
      <w:r w:rsidR="00593D06" w:rsidRPr="0010582F">
        <w:rPr>
          <w:rFonts w:ascii="Calibri" w:hAnsi="Calibri"/>
          <w:color w:val="auto"/>
          <w:szCs w:val="24"/>
        </w:rPr>
        <w:t>ember</w:t>
      </w:r>
      <w:r w:rsidR="00CC042D" w:rsidRPr="0010582F">
        <w:rPr>
          <w:rFonts w:ascii="Calibri" w:hAnsi="Calibri"/>
          <w:color w:val="auto"/>
          <w:szCs w:val="24"/>
        </w:rPr>
        <w:t xml:space="preserve"> 2000 </w:t>
      </w:r>
      <w:r w:rsidR="002A7A38" w:rsidRPr="0010582F">
        <w:rPr>
          <w:rFonts w:ascii="Calibri" w:hAnsi="Calibri"/>
          <w:color w:val="auto"/>
          <w:szCs w:val="24"/>
        </w:rPr>
        <w:t xml:space="preserve">was </w:t>
      </w:r>
      <w:proofErr w:type="spellStart"/>
      <w:r w:rsidR="002A7A38" w:rsidRPr="0010582F">
        <w:rPr>
          <w:rFonts w:ascii="Calibri" w:hAnsi="Calibri"/>
          <w:color w:val="auto"/>
          <w:szCs w:val="24"/>
        </w:rPr>
        <w:t>Seronegative</w:t>
      </w:r>
      <w:proofErr w:type="spellEnd"/>
      <w:r w:rsidR="002A7A38" w:rsidRPr="0010582F">
        <w:rPr>
          <w:rFonts w:ascii="Calibri" w:hAnsi="Calibri"/>
          <w:color w:val="auto"/>
          <w:szCs w:val="24"/>
        </w:rPr>
        <w:t xml:space="preserve"> </w:t>
      </w:r>
      <w:proofErr w:type="spellStart"/>
      <w:r w:rsidR="002A7A38" w:rsidRPr="0010582F">
        <w:rPr>
          <w:rFonts w:ascii="Calibri" w:hAnsi="Calibri"/>
          <w:color w:val="auto"/>
          <w:szCs w:val="24"/>
        </w:rPr>
        <w:t>Polyarthritis</w:t>
      </w:r>
      <w:proofErr w:type="spellEnd"/>
      <w:r w:rsidR="002A7A38" w:rsidRPr="0010582F">
        <w:rPr>
          <w:rFonts w:ascii="Calibri" w:hAnsi="Calibri"/>
          <w:color w:val="auto"/>
          <w:szCs w:val="24"/>
        </w:rPr>
        <w:t xml:space="preserve">, and the </w:t>
      </w:r>
      <w:r w:rsidR="0065313A">
        <w:rPr>
          <w:rFonts w:ascii="Calibri" w:hAnsi="Calibri"/>
          <w:color w:val="auto"/>
          <w:szCs w:val="24"/>
        </w:rPr>
        <w:t>I</w:t>
      </w:r>
      <w:r w:rsidR="002A7A38" w:rsidRPr="0010582F">
        <w:rPr>
          <w:rFonts w:ascii="Calibri" w:hAnsi="Calibri"/>
          <w:color w:val="auto"/>
          <w:szCs w:val="24"/>
        </w:rPr>
        <w:t>PE</w:t>
      </w:r>
      <w:r w:rsidR="00CC042D" w:rsidRPr="0010582F">
        <w:rPr>
          <w:rFonts w:ascii="Calibri" w:hAnsi="Calibri"/>
          <w:color w:val="auto"/>
          <w:szCs w:val="24"/>
        </w:rPr>
        <w:t>B found the CI unfit for “</w:t>
      </w:r>
      <w:proofErr w:type="spellStart"/>
      <w:r w:rsidR="00CC042D" w:rsidRPr="0010582F">
        <w:rPr>
          <w:rFonts w:ascii="Calibri" w:hAnsi="Calibri"/>
          <w:color w:val="auto"/>
          <w:szCs w:val="24"/>
        </w:rPr>
        <w:t>Seronegative</w:t>
      </w:r>
      <w:proofErr w:type="spellEnd"/>
      <w:r w:rsidR="00CC042D" w:rsidRPr="0010582F">
        <w:rPr>
          <w:rFonts w:ascii="Calibri" w:hAnsi="Calibri"/>
          <w:color w:val="auto"/>
          <w:szCs w:val="24"/>
        </w:rPr>
        <w:t xml:space="preserve"> Arthritis Most Likely a Reiter’s Like Syndrome” at 20% with “Abdominal Pain Resolved after Appendectomy” as a Category III condition.  The CI appealed the </w:t>
      </w:r>
      <w:r w:rsidR="00862148" w:rsidRPr="0010582F">
        <w:rPr>
          <w:rFonts w:ascii="Calibri" w:hAnsi="Calibri"/>
          <w:color w:val="auto"/>
          <w:szCs w:val="24"/>
        </w:rPr>
        <w:t>determination</w:t>
      </w:r>
      <w:r w:rsidR="00CC042D" w:rsidRPr="0010582F">
        <w:rPr>
          <w:rFonts w:ascii="Calibri" w:hAnsi="Calibri"/>
          <w:color w:val="auto"/>
          <w:szCs w:val="24"/>
        </w:rPr>
        <w:t xml:space="preserve"> to a </w:t>
      </w:r>
      <w:r w:rsidR="0065313A">
        <w:rPr>
          <w:rFonts w:ascii="Calibri" w:hAnsi="Calibri"/>
          <w:color w:val="auto"/>
          <w:szCs w:val="24"/>
        </w:rPr>
        <w:t>F</w:t>
      </w:r>
      <w:r w:rsidR="00CC042D" w:rsidRPr="0010582F">
        <w:rPr>
          <w:rFonts w:ascii="Calibri" w:hAnsi="Calibri"/>
          <w:color w:val="auto"/>
          <w:szCs w:val="24"/>
        </w:rPr>
        <w:t xml:space="preserve">ormal PEB </w:t>
      </w:r>
      <w:r w:rsidR="0065313A">
        <w:rPr>
          <w:rFonts w:ascii="Calibri" w:hAnsi="Calibri"/>
          <w:color w:val="auto"/>
          <w:szCs w:val="24"/>
        </w:rPr>
        <w:t xml:space="preserve">(FPEB) </w:t>
      </w:r>
      <w:r w:rsidR="00862148" w:rsidRPr="0010582F">
        <w:rPr>
          <w:rFonts w:ascii="Calibri" w:hAnsi="Calibri"/>
          <w:color w:val="auto"/>
          <w:szCs w:val="24"/>
        </w:rPr>
        <w:t xml:space="preserve">where the same decision was rendered.  A subsequent Petition for Relief was denied.  The CI was then separated with a 20% disability rating.  </w:t>
      </w:r>
    </w:p>
    <w:p w:rsidR="00923B25" w:rsidRPr="0010582F" w:rsidRDefault="008B5D31" w:rsidP="0010582F">
      <w:pPr>
        <w:tabs>
          <w:tab w:val="left" w:pos="288"/>
          <w:tab w:val="left" w:pos="4752"/>
        </w:tabs>
        <w:spacing w:line="240" w:lineRule="exact"/>
        <w:jc w:val="both"/>
        <w:rPr>
          <w:rFonts w:asciiTheme="minorHAnsi" w:hAnsiTheme="minorHAnsi"/>
          <w:color w:val="auto"/>
          <w:szCs w:val="24"/>
        </w:rPr>
      </w:pPr>
      <w:r w:rsidRPr="0010582F">
        <w:rPr>
          <w:rFonts w:asciiTheme="minorHAnsi" w:hAnsiTheme="minorHAnsi"/>
          <w:color w:val="auto"/>
          <w:szCs w:val="24"/>
          <w:u w:val="single"/>
        </w:rPr>
        <w:t>______________________________________________________________</w:t>
      </w:r>
      <w:r w:rsidRPr="0010582F">
        <w:rPr>
          <w:rFonts w:asciiTheme="minorHAnsi" w:hAnsiTheme="minorHAnsi"/>
          <w:color w:val="auto"/>
          <w:szCs w:val="24"/>
        </w:rPr>
        <w:t>_</w:t>
      </w:r>
      <w:r w:rsidR="00AC713F" w:rsidRPr="0010582F">
        <w:rPr>
          <w:rFonts w:asciiTheme="minorHAnsi" w:hAnsiTheme="minorHAnsi"/>
          <w:color w:val="auto"/>
          <w:szCs w:val="24"/>
        </w:rPr>
        <w:t>___________</w:t>
      </w:r>
    </w:p>
    <w:p w:rsidR="0085089F" w:rsidRPr="0010582F" w:rsidRDefault="0085089F" w:rsidP="0010582F">
      <w:pPr>
        <w:tabs>
          <w:tab w:val="left" w:pos="288"/>
          <w:tab w:val="left" w:pos="4752"/>
        </w:tabs>
        <w:spacing w:line="240" w:lineRule="exact"/>
        <w:jc w:val="both"/>
        <w:rPr>
          <w:rFonts w:asciiTheme="minorHAnsi" w:hAnsiTheme="minorHAnsi"/>
          <w:color w:val="auto"/>
          <w:szCs w:val="24"/>
          <w:u w:val="single"/>
        </w:rPr>
      </w:pPr>
    </w:p>
    <w:p w:rsidR="00DA1DB4" w:rsidRPr="0010582F" w:rsidRDefault="002C6E5B" w:rsidP="0010582F">
      <w:pPr>
        <w:tabs>
          <w:tab w:val="left" w:pos="288"/>
          <w:tab w:val="left" w:pos="4752"/>
        </w:tabs>
        <w:spacing w:line="240" w:lineRule="exact"/>
        <w:jc w:val="both"/>
        <w:rPr>
          <w:rFonts w:ascii="Calibri" w:hAnsi="Calibri"/>
          <w:color w:val="auto"/>
          <w:szCs w:val="24"/>
        </w:rPr>
      </w:pPr>
      <w:r w:rsidRPr="0010582F">
        <w:rPr>
          <w:rFonts w:ascii="Calibri" w:hAnsi="Calibri"/>
          <w:color w:val="auto"/>
          <w:szCs w:val="24"/>
          <w:u w:val="single"/>
        </w:rPr>
        <w:t>CI CONTENTION</w:t>
      </w:r>
      <w:r w:rsidRPr="0010582F">
        <w:rPr>
          <w:rFonts w:ascii="Calibri" w:hAnsi="Calibri"/>
          <w:color w:val="auto"/>
          <w:szCs w:val="24"/>
        </w:rPr>
        <w:t xml:space="preserve">:  </w:t>
      </w:r>
      <w:r w:rsidR="00DA1DB4" w:rsidRPr="0010582F">
        <w:rPr>
          <w:rFonts w:ascii="Calibri" w:hAnsi="Calibri"/>
          <w:color w:val="auto"/>
          <w:szCs w:val="24"/>
        </w:rPr>
        <w:t xml:space="preserve">In summary, the CI contends that his “condition had worsened and spread” during the TDRL period and he should be retired at 40%.  He additionally contends post-separation worsening of his condition and irregularities and/or shortcomings in his DES process.  </w:t>
      </w:r>
    </w:p>
    <w:p w:rsidR="00DA1DB4" w:rsidRPr="0010582F" w:rsidRDefault="00DA1DB4" w:rsidP="0010582F">
      <w:pPr>
        <w:tabs>
          <w:tab w:val="left" w:pos="288"/>
          <w:tab w:val="left" w:pos="4752"/>
        </w:tabs>
        <w:spacing w:line="240" w:lineRule="exact"/>
        <w:jc w:val="both"/>
        <w:rPr>
          <w:rFonts w:ascii="Calibri" w:hAnsi="Calibri"/>
          <w:color w:val="auto"/>
          <w:szCs w:val="24"/>
        </w:rPr>
      </w:pPr>
    </w:p>
    <w:p w:rsidR="00AF0D1A" w:rsidRPr="0010582F" w:rsidRDefault="00AF0D1A" w:rsidP="0010582F">
      <w:pPr>
        <w:tabs>
          <w:tab w:val="left" w:pos="288"/>
          <w:tab w:val="left" w:pos="4752"/>
        </w:tabs>
        <w:spacing w:line="240" w:lineRule="exact"/>
        <w:jc w:val="both"/>
        <w:rPr>
          <w:rFonts w:ascii="Calibri" w:hAnsi="Calibri"/>
          <w:color w:val="auto"/>
          <w:szCs w:val="24"/>
        </w:rPr>
      </w:pPr>
      <w:r w:rsidRPr="0010582F">
        <w:rPr>
          <w:rFonts w:ascii="Calibri" w:hAnsi="Calibri"/>
          <w:color w:val="auto"/>
          <w:szCs w:val="24"/>
        </w:rPr>
        <w:t>The CI states: ‘’My Original Rating from CMC was 40% for all my medical disabilities.  I was put on TDRL.  I then continuously sought medical treatments and</w:t>
      </w:r>
      <w:r w:rsidR="00862148" w:rsidRPr="0010582F">
        <w:rPr>
          <w:rFonts w:ascii="Calibri" w:hAnsi="Calibri"/>
          <w:color w:val="auto"/>
          <w:szCs w:val="24"/>
        </w:rPr>
        <w:t xml:space="preserve"> </w:t>
      </w:r>
      <w:r w:rsidRPr="0010582F">
        <w:rPr>
          <w:rFonts w:ascii="Calibri" w:hAnsi="Calibri"/>
          <w:color w:val="auto"/>
          <w:szCs w:val="24"/>
        </w:rPr>
        <w:t>checkups for approximately the next 18 months until my first Periodic Physical Exam (PPE) at which time my disabilities had deteriorate</w:t>
      </w:r>
      <w:r w:rsidR="00593D06" w:rsidRPr="0010582F">
        <w:rPr>
          <w:rFonts w:ascii="Calibri" w:hAnsi="Calibri"/>
          <w:color w:val="auto"/>
          <w:szCs w:val="24"/>
        </w:rPr>
        <w:t>d</w:t>
      </w:r>
      <w:r w:rsidRPr="0010582F">
        <w:rPr>
          <w:rFonts w:ascii="Calibri" w:hAnsi="Calibri"/>
          <w:color w:val="auto"/>
          <w:szCs w:val="24"/>
        </w:rPr>
        <w:t>.  After my first PPE was finalized on 29 October 1997 I was retained on TDRL with the same rating of</w:t>
      </w:r>
      <w:r w:rsidR="00862148" w:rsidRPr="0010582F">
        <w:rPr>
          <w:rFonts w:ascii="Calibri" w:hAnsi="Calibri"/>
          <w:color w:val="auto"/>
          <w:szCs w:val="24"/>
        </w:rPr>
        <w:t xml:space="preserve"> </w:t>
      </w:r>
      <w:r w:rsidRPr="0010582F">
        <w:rPr>
          <w:rFonts w:ascii="Calibri" w:hAnsi="Calibri"/>
          <w:color w:val="auto"/>
          <w:szCs w:val="24"/>
        </w:rPr>
        <w:t xml:space="preserve">40%.   After this, I again </w:t>
      </w:r>
      <w:r w:rsidR="007A4586" w:rsidRPr="0010582F">
        <w:rPr>
          <w:rFonts w:ascii="Calibri" w:hAnsi="Calibri"/>
          <w:color w:val="auto"/>
          <w:szCs w:val="24"/>
        </w:rPr>
        <w:t>continuously</w:t>
      </w:r>
      <w:r w:rsidRPr="0010582F">
        <w:rPr>
          <w:rFonts w:ascii="Calibri" w:hAnsi="Calibri"/>
          <w:color w:val="auto"/>
          <w:szCs w:val="24"/>
        </w:rPr>
        <w:t xml:space="preserve"> [sic] sought medical treatments and checkups for approximately the next 18 months with my conditions (arthritis) worsening and spreading to other parts of my body until my 2nd PPE.  After this PPE was finalized on 30 Jul 1999 I was retained on TDRL with the same rating of</w:t>
      </w:r>
      <w:r w:rsidR="00E926F0" w:rsidRPr="0010582F">
        <w:rPr>
          <w:rFonts w:ascii="Calibri" w:hAnsi="Calibri"/>
          <w:color w:val="auto"/>
          <w:szCs w:val="24"/>
        </w:rPr>
        <w:t xml:space="preserve"> </w:t>
      </w:r>
      <w:r w:rsidRPr="0010582F">
        <w:rPr>
          <w:rFonts w:ascii="Calibri" w:hAnsi="Calibri"/>
          <w:color w:val="auto"/>
          <w:szCs w:val="24"/>
        </w:rPr>
        <w:t>40%.  After this</w:t>
      </w:r>
      <w:r w:rsidR="00862148" w:rsidRPr="0010582F">
        <w:rPr>
          <w:rFonts w:ascii="Calibri" w:hAnsi="Calibri"/>
          <w:color w:val="auto"/>
          <w:szCs w:val="24"/>
        </w:rPr>
        <w:t xml:space="preserve"> </w:t>
      </w:r>
      <w:r w:rsidRPr="0010582F">
        <w:rPr>
          <w:rFonts w:ascii="Calibri" w:hAnsi="Calibri"/>
          <w:color w:val="auto"/>
          <w:szCs w:val="24"/>
        </w:rPr>
        <w:t xml:space="preserve">PPE I continued the medical treatments and checkups all the way to my final PPE. </w:t>
      </w:r>
      <w:r w:rsidR="00862148" w:rsidRPr="0010582F">
        <w:rPr>
          <w:rFonts w:ascii="Calibri" w:hAnsi="Calibri"/>
          <w:color w:val="auto"/>
          <w:szCs w:val="24"/>
        </w:rPr>
        <w:t xml:space="preserve"> </w:t>
      </w:r>
      <w:r w:rsidRPr="0010582F">
        <w:rPr>
          <w:rFonts w:ascii="Calibri" w:hAnsi="Calibri"/>
          <w:color w:val="auto"/>
          <w:szCs w:val="24"/>
        </w:rPr>
        <w:t>During this time, my arthritis had spread even more through my body to almost all my joints and my lower back pain had increased. My final PPE was in San Diego. Before I went to this final PPE, I was</w:t>
      </w:r>
      <w:r w:rsidR="00862148" w:rsidRPr="0010582F">
        <w:rPr>
          <w:rFonts w:ascii="Calibri" w:hAnsi="Calibri"/>
          <w:color w:val="auto"/>
          <w:szCs w:val="24"/>
        </w:rPr>
        <w:t xml:space="preserve"> </w:t>
      </w:r>
      <w:r w:rsidRPr="0010582F">
        <w:rPr>
          <w:rFonts w:ascii="Calibri" w:hAnsi="Calibri"/>
          <w:color w:val="auto"/>
          <w:szCs w:val="24"/>
        </w:rPr>
        <w:t xml:space="preserve">contacted by the council that they had given me for this hearing. The council warned me that the current board had been reducing all the medical cases to at least half if not more of what they are currently receiving. My council suggested I not come to the hearing and let them drop my rating in half.  I disagreed and went to the hearing. When I met with my council in San Diego whom was a Navy 0-1 that worked directly with the board, she stated that there was not much she could do for me.  I went to the board which was a USN-Capt, USMC-Col, and a USMC Lt-Col, At the board, I plead my case and explained that my condition had worsened and spread. The board lasted 15 </w:t>
      </w:r>
      <w:r w:rsidRPr="0010582F">
        <w:rPr>
          <w:rFonts w:ascii="Calibri" w:hAnsi="Calibri"/>
          <w:color w:val="auto"/>
          <w:szCs w:val="24"/>
        </w:rPr>
        <w:lastRenderedPageBreak/>
        <w:t xml:space="preserve">minutes top. They stated that my living in Okinawa was part of the reason I had these medical conditions due to the humidity and that it was my choice to live there.  </w:t>
      </w:r>
      <w:r w:rsidR="007A4586" w:rsidRPr="0010582F">
        <w:rPr>
          <w:rFonts w:ascii="Calibri" w:hAnsi="Calibri"/>
          <w:color w:val="auto"/>
          <w:szCs w:val="24"/>
        </w:rPr>
        <w:t>I was</w:t>
      </w:r>
      <w:r w:rsidRPr="0010582F">
        <w:rPr>
          <w:rFonts w:ascii="Calibri" w:hAnsi="Calibri"/>
          <w:color w:val="auto"/>
          <w:szCs w:val="24"/>
        </w:rPr>
        <w:t xml:space="preserve"> dropped to 20% and discharged on 1 October 2001.  My current condition is: The arthritis is in all the joints in my body and my lower back pain is a lot worse.   I have to take Motrin 2 to 3 times a day for the pain and inflammation.  I even have a hard time writing now.  My stomach has heart burn all the time now from the Motrin and I have to eat Rolaids to treat the heart burn.  I seek medical attention at local Japanese hospitals now since I lost my retirement from the Marine Corps and can no longer use the </w:t>
      </w:r>
      <w:proofErr w:type="gramStart"/>
      <w:r w:rsidRPr="0010582F">
        <w:rPr>
          <w:rFonts w:ascii="Calibri" w:hAnsi="Calibri"/>
          <w:color w:val="auto"/>
          <w:szCs w:val="24"/>
        </w:rPr>
        <w:t>Naval</w:t>
      </w:r>
      <w:proofErr w:type="gramEnd"/>
      <w:r w:rsidRPr="0010582F">
        <w:rPr>
          <w:rFonts w:ascii="Calibri" w:hAnsi="Calibri"/>
          <w:color w:val="auto"/>
          <w:szCs w:val="24"/>
        </w:rPr>
        <w:t xml:space="preserve"> hospital here. When my arthritis acts up real bad, there are days that I can't even get out of bed due to the pain and loss of movement in my joints.  Final Note: 5 Years plus of Medical and Doctor </w:t>
      </w:r>
      <w:proofErr w:type="gramStart"/>
      <w:r w:rsidRPr="0010582F">
        <w:rPr>
          <w:rFonts w:ascii="Calibri" w:hAnsi="Calibri"/>
          <w:color w:val="auto"/>
          <w:szCs w:val="24"/>
        </w:rPr>
        <w:t>visits</w:t>
      </w:r>
      <w:proofErr w:type="gramEnd"/>
      <w:r w:rsidRPr="0010582F">
        <w:rPr>
          <w:rFonts w:ascii="Calibri" w:hAnsi="Calibri"/>
          <w:color w:val="auto"/>
          <w:szCs w:val="24"/>
        </w:rPr>
        <w:t xml:space="preserve"> for a medical ailment all down played and changed in 20 minutes.”</w:t>
      </w:r>
      <w:r w:rsidR="00862148" w:rsidRPr="0010582F">
        <w:rPr>
          <w:rFonts w:ascii="Calibri" w:hAnsi="Calibri"/>
          <w:color w:val="auto"/>
          <w:szCs w:val="24"/>
        </w:rPr>
        <w:t xml:space="preserve">  </w:t>
      </w:r>
    </w:p>
    <w:p w:rsidR="00A90D55" w:rsidRPr="0010582F" w:rsidRDefault="008B5D31" w:rsidP="0010582F">
      <w:pPr>
        <w:tabs>
          <w:tab w:val="left" w:pos="288"/>
          <w:tab w:val="left" w:pos="4752"/>
        </w:tabs>
        <w:spacing w:line="240" w:lineRule="exact"/>
        <w:jc w:val="both"/>
        <w:rPr>
          <w:rFonts w:ascii="Calibri" w:hAnsi="Calibri"/>
          <w:color w:val="auto"/>
          <w:szCs w:val="24"/>
        </w:rPr>
      </w:pPr>
      <w:r w:rsidRPr="0010582F">
        <w:rPr>
          <w:rFonts w:asciiTheme="minorHAnsi" w:hAnsiTheme="minorHAnsi"/>
          <w:color w:val="auto"/>
          <w:szCs w:val="24"/>
          <w:u w:val="single"/>
        </w:rPr>
        <w:t>_______________________________________________________________</w:t>
      </w:r>
      <w:r w:rsidRPr="0010582F">
        <w:rPr>
          <w:rFonts w:asciiTheme="minorHAnsi" w:hAnsiTheme="minorHAnsi"/>
          <w:color w:val="auto"/>
          <w:szCs w:val="24"/>
        </w:rPr>
        <w:t>_</w:t>
      </w:r>
      <w:r w:rsidR="00AC713F" w:rsidRPr="0010582F">
        <w:rPr>
          <w:rFonts w:asciiTheme="minorHAnsi" w:hAnsiTheme="minorHAnsi"/>
          <w:color w:val="auto"/>
          <w:szCs w:val="24"/>
        </w:rPr>
        <w:t>______________</w:t>
      </w:r>
    </w:p>
    <w:p w:rsidR="00BD6297" w:rsidRPr="0010582F" w:rsidRDefault="00BD6297" w:rsidP="00593D06">
      <w:pPr>
        <w:spacing w:line="220" w:lineRule="exact"/>
        <w:jc w:val="both"/>
        <w:rPr>
          <w:rFonts w:ascii="Calibri" w:hAnsi="Calibri"/>
          <w:color w:val="auto"/>
          <w:szCs w:val="24"/>
          <w:u w:val="single"/>
        </w:rPr>
      </w:pPr>
    </w:p>
    <w:p w:rsidR="002338CA" w:rsidRPr="0010582F" w:rsidRDefault="002C6E5B" w:rsidP="00593D06">
      <w:pPr>
        <w:spacing w:line="220" w:lineRule="exact"/>
        <w:jc w:val="both"/>
        <w:rPr>
          <w:rFonts w:ascii="Calibri" w:hAnsi="Calibri"/>
          <w:color w:val="auto"/>
          <w:szCs w:val="24"/>
        </w:rPr>
      </w:pPr>
      <w:r w:rsidRPr="0010582F">
        <w:rPr>
          <w:rFonts w:ascii="Calibri" w:hAnsi="Calibri"/>
          <w:color w:val="auto"/>
          <w:szCs w:val="24"/>
          <w:u w:val="single"/>
        </w:rPr>
        <w:t>RATING COMPARISON</w:t>
      </w:r>
      <w:r w:rsidRPr="0010582F">
        <w:rPr>
          <w:rFonts w:ascii="Calibri" w:hAnsi="Calibri"/>
          <w:color w:val="auto"/>
          <w:szCs w:val="24"/>
        </w:rPr>
        <w:t>:</w:t>
      </w:r>
      <w:r w:rsidR="00862148" w:rsidRPr="0010582F">
        <w:rPr>
          <w:rFonts w:ascii="Calibri" w:hAnsi="Calibri"/>
          <w:color w:val="auto"/>
          <w:szCs w:val="24"/>
        </w:rPr>
        <w:t xml:space="preserve">  </w:t>
      </w:r>
    </w:p>
    <w:p w:rsidR="00AF0D1A" w:rsidRPr="0010582F" w:rsidRDefault="00AF0D1A" w:rsidP="00593D06">
      <w:pPr>
        <w:spacing w:line="220" w:lineRule="exact"/>
        <w:jc w:val="both"/>
        <w:rPr>
          <w:rFonts w:ascii="Calibri" w:hAnsi="Calibri"/>
          <w:color w:val="auto"/>
          <w:szCs w:val="24"/>
        </w:rPr>
      </w:pPr>
    </w:p>
    <w:tbl>
      <w:tblPr>
        <w:tblStyle w:val="TableGrid"/>
        <w:tblW w:w="9270" w:type="dxa"/>
        <w:tblInd w:w="108" w:type="dxa"/>
        <w:tblLayout w:type="fixed"/>
        <w:tblLook w:val="04A0"/>
      </w:tblPr>
      <w:tblGrid>
        <w:gridCol w:w="2160"/>
        <w:gridCol w:w="1080"/>
        <w:gridCol w:w="270"/>
        <w:gridCol w:w="450"/>
        <w:gridCol w:w="630"/>
        <w:gridCol w:w="2340"/>
        <w:gridCol w:w="630"/>
        <w:gridCol w:w="720"/>
        <w:gridCol w:w="990"/>
      </w:tblGrid>
      <w:tr w:rsidR="00AF0D1A" w:rsidRPr="00023AA5" w:rsidTr="00CA4EBE">
        <w:trPr>
          <w:trHeight w:val="233"/>
        </w:trPr>
        <w:tc>
          <w:tcPr>
            <w:tcW w:w="4590" w:type="dxa"/>
            <w:gridSpan w:val="5"/>
            <w:tcBorders>
              <w:right w:val="thinThickThinSmallGap" w:sz="24" w:space="0" w:color="auto"/>
            </w:tcBorders>
            <w:shd w:val="clear" w:color="auto" w:fill="DDD9C3" w:themeFill="background2" w:themeFillShade="E6"/>
          </w:tcPr>
          <w:p w:rsidR="00AF0D1A" w:rsidRPr="00023AA5" w:rsidRDefault="00D52658" w:rsidP="00023AA5">
            <w:pPr>
              <w:pStyle w:val="ListParagraph"/>
              <w:spacing w:after="0" w:line="240" w:lineRule="auto"/>
              <w:ind w:left="0"/>
              <w:jc w:val="center"/>
              <w:rPr>
                <w:rFonts w:cs="Times New Roman"/>
                <w:b/>
                <w:sz w:val="18"/>
                <w:szCs w:val="18"/>
              </w:rPr>
            </w:pPr>
            <w:r w:rsidRPr="00023AA5">
              <w:rPr>
                <w:rFonts w:cs="Times New Roman"/>
                <w:b/>
                <w:sz w:val="18"/>
                <w:szCs w:val="18"/>
              </w:rPr>
              <w:t xml:space="preserve"> Service </w:t>
            </w:r>
            <w:r w:rsidR="00AF0D1A" w:rsidRPr="00023AA5">
              <w:rPr>
                <w:rFonts w:cs="Times New Roman"/>
                <w:b/>
                <w:sz w:val="18"/>
                <w:szCs w:val="18"/>
              </w:rPr>
              <w:t>FPEB - 20010803</w:t>
            </w:r>
          </w:p>
        </w:tc>
        <w:tc>
          <w:tcPr>
            <w:tcW w:w="4680" w:type="dxa"/>
            <w:gridSpan w:val="4"/>
            <w:tcBorders>
              <w:left w:val="thinThickThinSmallGap" w:sz="24" w:space="0" w:color="auto"/>
            </w:tcBorders>
            <w:shd w:val="clear" w:color="auto" w:fill="DDD9C3" w:themeFill="background2" w:themeFillShade="E6"/>
          </w:tcPr>
          <w:p w:rsidR="00AF0D1A" w:rsidRPr="00023AA5" w:rsidRDefault="00AF0D1A" w:rsidP="00023AA5">
            <w:pPr>
              <w:pStyle w:val="ListParagraph"/>
              <w:spacing w:after="0" w:line="240" w:lineRule="auto"/>
              <w:ind w:left="0"/>
              <w:jc w:val="center"/>
              <w:rPr>
                <w:rFonts w:cs="Times New Roman"/>
                <w:b/>
                <w:sz w:val="18"/>
                <w:szCs w:val="18"/>
              </w:rPr>
            </w:pPr>
            <w:r w:rsidRPr="00023AA5">
              <w:rPr>
                <w:rFonts w:cs="Times New Roman"/>
                <w:b/>
                <w:sz w:val="18"/>
                <w:szCs w:val="18"/>
              </w:rPr>
              <w:t>VA (5 years Prior to Separation) – All Effective 19960201</w:t>
            </w:r>
          </w:p>
        </w:tc>
      </w:tr>
      <w:tr w:rsidR="002C4359" w:rsidRPr="00023AA5" w:rsidTr="00CA4EBE">
        <w:trPr>
          <w:trHeight w:val="233"/>
        </w:trPr>
        <w:tc>
          <w:tcPr>
            <w:tcW w:w="2160" w:type="dxa"/>
            <w:tcBorders>
              <w:bottom w:val="single" w:sz="4" w:space="0" w:color="000000" w:themeColor="text1"/>
            </w:tcBorders>
            <w:shd w:val="clear" w:color="auto" w:fill="DDD9C3" w:themeFill="background2" w:themeFillShade="E6"/>
          </w:tcPr>
          <w:p w:rsidR="00AF0D1A" w:rsidRPr="00023AA5" w:rsidRDefault="00AF0D1A" w:rsidP="00902B52">
            <w:pPr>
              <w:pStyle w:val="ListParagraph"/>
              <w:spacing w:after="0" w:line="240" w:lineRule="auto"/>
              <w:ind w:left="0"/>
              <w:jc w:val="center"/>
              <w:rPr>
                <w:rFonts w:cs="Times New Roman"/>
                <w:b/>
                <w:sz w:val="18"/>
                <w:szCs w:val="18"/>
              </w:rPr>
            </w:pPr>
            <w:r w:rsidRPr="00023AA5">
              <w:rPr>
                <w:rFonts w:cs="Times New Roman"/>
                <w:b/>
                <w:sz w:val="18"/>
                <w:szCs w:val="18"/>
              </w:rPr>
              <w:t>Condition</w:t>
            </w:r>
          </w:p>
        </w:tc>
        <w:tc>
          <w:tcPr>
            <w:tcW w:w="1080" w:type="dxa"/>
            <w:vMerge w:val="restart"/>
            <w:shd w:val="clear" w:color="auto" w:fill="DDD9C3" w:themeFill="background2" w:themeFillShade="E6"/>
          </w:tcPr>
          <w:p w:rsidR="00AF0D1A" w:rsidRPr="00023AA5" w:rsidRDefault="00AF0D1A" w:rsidP="00902B52">
            <w:pPr>
              <w:pStyle w:val="ListParagraph"/>
              <w:spacing w:after="0" w:line="240" w:lineRule="auto"/>
              <w:ind w:left="0"/>
              <w:jc w:val="center"/>
              <w:rPr>
                <w:rFonts w:cs="Times New Roman"/>
                <w:b/>
                <w:sz w:val="18"/>
                <w:szCs w:val="18"/>
              </w:rPr>
            </w:pPr>
            <w:r w:rsidRPr="00023AA5">
              <w:rPr>
                <w:rFonts w:cs="Times New Roman"/>
                <w:b/>
                <w:sz w:val="18"/>
                <w:szCs w:val="18"/>
              </w:rPr>
              <w:t>Code</w:t>
            </w:r>
          </w:p>
        </w:tc>
        <w:tc>
          <w:tcPr>
            <w:tcW w:w="1350" w:type="dxa"/>
            <w:gridSpan w:val="3"/>
            <w:tcBorders>
              <w:bottom w:val="single" w:sz="4" w:space="0" w:color="000000" w:themeColor="text1"/>
              <w:right w:val="thinThickThinSmallGap" w:sz="24" w:space="0" w:color="auto"/>
            </w:tcBorders>
            <w:shd w:val="clear" w:color="auto" w:fill="DDD9C3" w:themeFill="background2" w:themeFillShade="E6"/>
          </w:tcPr>
          <w:p w:rsidR="00AF0D1A" w:rsidRPr="00023AA5" w:rsidRDefault="00AF0D1A" w:rsidP="00902B52">
            <w:pPr>
              <w:pStyle w:val="ListParagraph"/>
              <w:spacing w:after="0" w:line="240" w:lineRule="auto"/>
              <w:ind w:left="0"/>
              <w:jc w:val="center"/>
              <w:rPr>
                <w:rFonts w:cs="Times New Roman"/>
                <w:b/>
                <w:sz w:val="18"/>
                <w:szCs w:val="18"/>
              </w:rPr>
            </w:pPr>
            <w:r w:rsidRPr="00023AA5">
              <w:rPr>
                <w:rFonts w:cs="Times New Roman"/>
                <w:b/>
                <w:sz w:val="18"/>
                <w:szCs w:val="18"/>
              </w:rPr>
              <w:t>Rating</w:t>
            </w:r>
          </w:p>
        </w:tc>
        <w:tc>
          <w:tcPr>
            <w:tcW w:w="2340" w:type="dxa"/>
            <w:tcBorders>
              <w:left w:val="thinThickThinSmallGap" w:sz="24" w:space="0" w:color="auto"/>
              <w:bottom w:val="single" w:sz="4" w:space="0" w:color="000000" w:themeColor="text1"/>
            </w:tcBorders>
            <w:shd w:val="clear" w:color="auto" w:fill="DDD9C3" w:themeFill="background2" w:themeFillShade="E6"/>
          </w:tcPr>
          <w:p w:rsidR="00AF0D1A" w:rsidRPr="00023AA5" w:rsidRDefault="00AF0D1A" w:rsidP="00902B52">
            <w:pPr>
              <w:pStyle w:val="ListParagraph"/>
              <w:spacing w:after="0" w:line="240" w:lineRule="auto"/>
              <w:ind w:left="0"/>
              <w:jc w:val="center"/>
              <w:rPr>
                <w:rFonts w:cs="Times New Roman"/>
                <w:b/>
                <w:sz w:val="18"/>
                <w:szCs w:val="18"/>
              </w:rPr>
            </w:pPr>
            <w:r w:rsidRPr="00023AA5">
              <w:rPr>
                <w:rFonts w:cs="Times New Roman"/>
                <w:b/>
                <w:sz w:val="18"/>
                <w:szCs w:val="18"/>
              </w:rPr>
              <w:t>Condition</w:t>
            </w:r>
          </w:p>
        </w:tc>
        <w:tc>
          <w:tcPr>
            <w:tcW w:w="630" w:type="dxa"/>
            <w:vMerge w:val="restart"/>
            <w:shd w:val="clear" w:color="auto" w:fill="DDD9C3" w:themeFill="background2" w:themeFillShade="E6"/>
          </w:tcPr>
          <w:p w:rsidR="00AF0D1A" w:rsidRPr="00023AA5" w:rsidRDefault="00AF0D1A" w:rsidP="00902B52">
            <w:pPr>
              <w:pStyle w:val="ListParagraph"/>
              <w:spacing w:after="0" w:line="240" w:lineRule="auto"/>
              <w:ind w:left="0"/>
              <w:jc w:val="center"/>
              <w:rPr>
                <w:rFonts w:cs="Times New Roman"/>
                <w:b/>
                <w:sz w:val="18"/>
                <w:szCs w:val="18"/>
              </w:rPr>
            </w:pPr>
            <w:r w:rsidRPr="00023AA5">
              <w:rPr>
                <w:rFonts w:cs="Times New Roman"/>
                <w:b/>
                <w:sz w:val="18"/>
                <w:szCs w:val="18"/>
              </w:rPr>
              <w:t>Code</w:t>
            </w:r>
          </w:p>
        </w:tc>
        <w:tc>
          <w:tcPr>
            <w:tcW w:w="720" w:type="dxa"/>
            <w:vMerge w:val="restart"/>
            <w:shd w:val="clear" w:color="auto" w:fill="DDD9C3" w:themeFill="background2" w:themeFillShade="E6"/>
          </w:tcPr>
          <w:p w:rsidR="00AF0D1A" w:rsidRPr="00023AA5" w:rsidRDefault="00AF0D1A" w:rsidP="00902B52">
            <w:pPr>
              <w:pStyle w:val="ListParagraph"/>
              <w:spacing w:after="0" w:line="240" w:lineRule="auto"/>
              <w:ind w:left="0"/>
              <w:jc w:val="center"/>
              <w:rPr>
                <w:rFonts w:cs="Times New Roman"/>
                <w:b/>
                <w:sz w:val="18"/>
                <w:szCs w:val="18"/>
              </w:rPr>
            </w:pPr>
            <w:r w:rsidRPr="00023AA5">
              <w:rPr>
                <w:rFonts w:cs="Times New Roman"/>
                <w:b/>
                <w:sz w:val="18"/>
                <w:szCs w:val="18"/>
              </w:rPr>
              <w:t>Rating</w:t>
            </w:r>
          </w:p>
        </w:tc>
        <w:tc>
          <w:tcPr>
            <w:tcW w:w="990" w:type="dxa"/>
            <w:vMerge w:val="restart"/>
            <w:shd w:val="clear" w:color="auto" w:fill="DDD9C3" w:themeFill="background2" w:themeFillShade="E6"/>
          </w:tcPr>
          <w:p w:rsidR="00AF0D1A" w:rsidRPr="00023AA5" w:rsidRDefault="00AF0D1A" w:rsidP="00902B52">
            <w:pPr>
              <w:pStyle w:val="ListParagraph"/>
              <w:spacing w:after="0" w:line="240" w:lineRule="auto"/>
              <w:ind w:left="0"/>
              <w:jc w:val="center"/>
              <w:rPr>
                <w:rFonts w:cs="Times New Roman"/>
                <w:b/>
                <w:sz w:val="18"/>
                <w:szCs w:val="18"/>
              </w:rPr>
            </w:pPr>
            <w:r w:rsidRPr="00023AA5">
              <w:rPr>
                <w:rFonts w:cs="Times New Roman"/>
                <w:b/>
                <w:sz w:val="18"/>
                <w:szCs w:val="18"/>
              </w:rPr>
              <w:t>Exam</w:t>
            </w:r>
          </w:p>
        </w:tc>
      </w:tr>
      <w:tr w:rsidR="002C4359" w:rsidRPr="00023AA5" w:rsidTr="00CA4EBE">
        <w:trPr>
          <w:trHeight w:val="152"/>
        </w:trPr>
        <w:tc>
          <w:tcPr>
            <w:tcW w:w="2160" w:type="dxa"/>
            <w:shd w:val="clear" w:color="auto" w:fill="DDD9C3" w:themeFill="background2" w:themeFillShade="E6"/>
          </w:tcPr>
          <w:p w:rsidR="00AF0D1A" w:rsidRPr="00023AA5" w:rsidRDefault="00AF0D1A" w:rsidP="00FF1A99">
            <w:pPr>
              <w:pStyle w:val="ListParagraph"/>
              <w:spacing w:after="0" w:line="240" w:lineRule="auto"/>
              <w:ind w:left="0"/>
              <w:rPr>
                <w:rFonts w:cs="Times New Roman"/>
                <w:b/>
                <w:sz w:val="18"/>
                <w:szCs w:val="18"/>
              </w:rPr>
            </w:pPr>
            <w:r w:rsidRPr="00023AA5">
              <w:rPr>
                <w:rFonts w:cs="Times New Roman"/>
                <w:b/>
                <w:sz w:val="18"/>
                <w:szCs w:val="18"/>
              </w:rPr>
              <w:t xml:space="preserve">On TDRL - </w:t>
            </w:r>
            <w:r w:rsidR="00FF1A99" w:rsidRPr="00023AA5">
              <w:rPr>
                <w:rFonts w:cs="Times New Roman"/>
                <w:b/>
                <w:sz w:val="18"/>
                <w:szCs w:val="18"/>
              </w:rPr>
              <w:t>19960131</w:t>
            </w:r>
          </w:p>
        </w:tc>
        <w:tc>
          <w:tcPr>
            <w:tcW w:w="1080" w:type="dxa"/>
            <w:vMerge/>
            <w:shd w:val="clear" w:color="auto" w:fill="C6D9F1" w:themeFill="text2" w:themeFillTint="33"/>
          </w:tcPr>
          <w:p w:rsidR="00AF0D1A" w:rsidRPr="00023AA5" w:rsidRDefault="00AF0D1A" w:rsidP="00902B52">
            <w:pPr>
              <w:pStyle w:val="ListParagraph"/>
              <w:spacing w:after="0" w:line="240" w:lineRule="auto"/>
              <w:ind w:left="0"/>
              <w:jc w:val="center"/>
              <w:rPr>
                <w:rFonts w:cs="Times New Roman"/>
                <w:sz w:val="18"/>
                <w:szCs w:val="18"/>
              </w:rPr>
            </w:pPr>
          </w:p>
        </w:tc>
        <w:tc>
          <w:tcPr>
            <w:tcW w:w="720" w:type="dxa"/>
            <w:gridSpan w:val="2"/>
            <w:tcBorders>
              <w:right w:val="single" w:sz="4" w:space="0" w:color="auto"/>
            </w:tcBorders>
            <w:shd w:val="clear" w:color="auto" w:fill="DDD9C3" w:themeFill="background2" w:themeFillShade="E6"/>
          </w:tcPr>
          <w:p w:rsidR="00AF0D1A" w:rsidRPr="00023AA5" w:rsidRDefault="00AF0D1A" w:rsidP="00902B52">
            <w:pPr>
              <w:pStyle w:val="ListParagraph"/>
              <w:spacing w:after="0" w:line="240" w:lineRule="auto"/>
              <w:ind w:left="0"/>
              <w:jc w:val="center"/>
              <w:rPr>
                <w:rFonts w:cs="Times New Roman"/>
                <w:b/>
                <w:sz w:val="18"/>
                <w:szCs w:val="18"/>
              </w:rPr>
            </w:pPr>
            <w:r w:rsidRPr="00023AA5">
              <w:rPr>
                <w:rFonts w:cs="Times New Roman"/>
                <w:b/>
                <w:sz w:val="18"/>
                <w:szCs w:val="18"/>
              </w:rPr>
              <w:t>TDRL</w:t>
            </w:r>
          </w:p>
        </w:tc>
        <w:tc>
          <w:tcPr>
            <w:tcW w:w="630" w:type="dxa"/>
            <w:tcBorders>
              <w:left w:val="single" w:sz="4" w:space="0" w:color="auto"/>
              <w:right w:val="thinThickThinSmallGap" w:sz="24" w:space="0" w:color="auto"/>
            </w:tcBorders>
            <w:shd w:val="clear" w:color="auto" w:fill="DDD9C3" w:themeFill="background2" w:themeFillShade="E6"/>
          </w:tcPr>
          <w:p w:rsidR="00AF0D1A" w:rsidRPr="00023AA5" w:rsidRDefault="00AF0D1A" w:rsidP="00902B52">
            <w:pPr>
              <w:pStyle w:val="ListParagraph"/>
              <w:spacing w:after="0" w:line="240" w:lineRule="auto"/>
              <w:ind w:left="0"/>
              <w:jc w:val="center"/>
              <w:rPr>
                <w:rFonts w:cs="Times New Roman"/>
                <w:b/>
                <w:sz w:val="18"/>
                <w:szCs w:val="18"/>
              </w:rPr>
            </w:pPr>
            <w:r w:rsidRPr="00023AA5">
              <w:rPr>
                <w:rFonts w:cs="Times New Roman"/>
                <w:b/>
                <w:sz w:val="18"/>
                <w:szCs w:val="18"/>
              </w:rPr>
              <w:t>Sep.</w:t>
            </w:r>
          </w:p>
        </w:tc>
        <w:tc>
          <w:tcPr>
            <w:tcW w:w="2340" w:type="dxa"/>
            <w:tcBorders>
              <w:left w:val="thinThickThinSmallGap" w:sz="24" w:space="0" w:color="auto"/>
            </w:tcBorders>
            <w:shd w:val="clear" w:color="auto" w:fill="DDD9C3" w:themeFill="background2" w:themeFillShade="E6"/>
          </w:tcPr>
          <w:p w:rsidR="00AF0D1A" w:rsidRPr="00023AA5" w:rsidRDefault="00AF0D1A" w:rsidP="002C4359">
            <w:pPr>
              <w:pStyle w:val="ListParagraph"/>
              <w:spacing w:after="0" w:line="240" w:lineRule="auto"/>
              <w:ind w:left="0"/>
              <w:rPr>
                <w:rFonts w:cs="Times New Roman"/>
                <w:b/>
                <w:sz w:val="18"/>
                <w:szCs w:val="18"/>
              </w:rPr>
            </w:pPr>
            <w:r w:rsidRPr="00023AA5">
              <w:rPr>
                <w:rFonts w:cs="Times New Roman"/>
                <w:b/>
                <w:sz w:val="18"/>
                <w:szCs w:val="18"/>
              </w:rPr>
              <w:t xml:space="preserve">No VA Rating at time of </w:t>
            </w:r>
            <w:r w:rsidR="002C4359" w:rsidRPr="00023AA5">
              <w:rPr>
                <w:rFonts w:cs="Times New Roman"/>
                <w:b/>
                <w:sz w:val="18"/>
                <w:szCs w:val="18"/>
              </w:rPr>
              <w:t>Sep.</w:t>
            </w:r>
          </w:p>
        </w:tc>
        <w:tc>
          <w:tcPr>
            <w:tcW w:w="630" w:type="dxa"/>
            <w:vMerge/>
            <w:shd w:val="clear" w:color="auto" w:fill="C6D9F1" w:themeFill="text2" w:themeFillTint="33"/>
          </w:tcPr>
          <w:p w:rsidR="00AF0D1A" w:rsidRPr="00023AA5" w:rsidRDefault="00AF0D1A" w:rsidP="00902B52">
            <w:pPr>
              <w:pStyle w:val="ListParagraph"/>
              <w:spacing w:after="0" w:line="240" w:lineRule="auto"/>
              <w:ind w:left="0"/>
              <w:jc w:val="center"/>
              <w:rPr>
                <w:rFonts w:cs="Times New Roman"/>
                <w:sz w:val="18"/>
                <w:szCs w:val="18"/>
              </w:rPr>
            </w:pPr>
          </w:p>
        </w:tc>
        <w:tc>
          <w:tcPr>
            <w:tcW w:w="720" w:type="dxa"/>
            <w:vMerge/>
            <w:shd w:val="clear" w:color="auto" w:fill="C6D9F1" w:themeFill="text2" w:themeFillTint="33"/>
          </w:tcPr>
          <w:p w:rsidR="00AF0D1A" w:rsidRPr="00023AA5" w:rsidRDefault="00AF0D1A" w:rsidP="00902B52">
            <w:pPr>
              <w:pStyle w:val="ListParagraph"/>
              <w:spacing w:after="0" w:line="240" w:lineRule="auto"/>
              <w:ind w:left="0"/>
              <w:jc w:val="center"/>
              <w:rPr>
                <w:rFonts w:cs="Times New Roman"/>
                <w:sz w:val="18"/>
                <w:szCs w:val="18"/>
              </w:rPr>
            </w:pPr>
          </w:p>
        </w:tc>
        <w:tc>
          <w:tcPr>
            <w:tcW w:w="990" w:type="dxa"/>
            <w:vMerge/>
            <w:shd w:val="clear" w:color="auto" w:fill="C6D9F1" w:themeFill="text2" w:themeFillTint="33"/>
          </w:tcPr>
          <w:p w:rsidR="00AF0D1A" w:rsidRPr="00023AA5" w:rsidRDefault="00AF0D1A" w:rsidP="00902B52">
            <w:pPr>
              <w:pStyle w:val="ListParagraph"/>
              <w:spacing w:after="0" w:line="240" w:lineRule="auto"/>
              <w:ind w:left="0"/>
              <w:jc w:val="center"/>
              <w:rPr>
                <w:rFonts w:cs="Times New Roman"/>
                <w:sz w:val="18"/>
                <w:szCs w:val="18"/>
              </w:rPr>
            </w:pPr>
          </w:p>
        </w:tc>
      </w:tr>
      <w:tr w:rsidR="00AF0D1A" w:rsidRPr="00023AA5" w:rsidTr="00CA4EBE">
        <w:trPr>
          <w:trHeight w:val="125"/>
        </w:trPr>
        <w:tc>
          <w:tcPr>
            <w:tcW w:w="2160" w:type="dxa"/>
            <w:tcBorders>
              <w:right w:val="single" w:sz="4" w:space="0" w:color="auto"/>
            </w:tcBorders>
            <w:shd w:val="clear" w:color="auto" w:fill="FFFFFF" w:themeFill="background1"/>
          </w:tcPr>
          <w:p w:rsidR="00AF0D1A" w:rsidRPr="00023AA5" w:rsidRDefault="00AF0D1A" w:rsidP="002C4359">
            <w:pPr>
              <w:pStyle w:val="ListParagraph"/>
              <w:spacing w:after="0" w:line="200" w:lineRule="exact"/>
              <w:ind w:left="0"/>
              <w:rPr>
                <w:rFonts w:cs="Times New Roman"/>
                <w:sz w:val="18"/>
                <w:szCs w:val="18"/>
              </w:rPr>
            </w:pPr>
            <w:proofErr w:type="spellStart"/>
            <w:r w:rsidRPr="00023AA5">
              <w:rPr>
                <w:rFonts w:cs="Times New Roman"/>
                <w:sz w:val="18"/>
                <w:szCs w:val="18"/>
              </w:rPr>
              <w:t>Seronegative</w:t>
            </w:r>
            <w:proofErr w:type="spellEnd"/>
            <w:r w:rsidRPr="00023AA5">
              <w:rPr>
                <w:rFonts w:cs="Times New Roman"/>
                <w:sz w:val="18"/>
                <w:szCs w:val="18"/>
              </w:rPr>
              <w:t xml:space="preserve"> Arthritis </w:t>
            </w:r>
          </w:p>
        </w:tc>
        <w:tc>
          <w:tcPr>
            <w:tcW w:w="1080" w:type="dxa"/>
            <w:tcBorders>
              <w:left w:val="single" w:sz="4" w:space="0" w:color="auto"/>
            </w:tcBorders>
            <w:shd w:val="clear" w:color="auto" w:fill="FFFFFF" w:themeFill="background1"/>
          </w:tcPr>
          <w:p w:rsidR="00AF0D1A" w:rsidRPr="00023AA5" w:rsidRDefault="00AF0D1A" w:rsidP="00862148">
            <w:pPr>
              <w:pStyle w:val="ListParagraph"/>
              <w:spacing w:after="0" w:line="200" w:lineRule="exact"/>
              <w:ind w:left="0"/>
              <w:jc w:val="center"/>
              <w:rPr>
                <w:rFonts w:cs="Times New Roman"/>
                <w:sz w:val="18"/>
                <w:szCs w:val="18"/>
              </w:rPr>
            </w:pPr>
            <w:r w:rsidRPr="00023AA5">
              <w:rPr>
                <w:rFonts w:cs="Times New Roman"/>
                <w:sz w:val="18"/>
                <w:szCs w:val="18"/>
              </w:rPr>
              <w:t>50</w:t>
            </w:r>
            <w:r w:rsidR="000D2494" w:rsidRPr="00023AA5">
              <w:rPr>
                <w:rFonts w:cs="Times New Roman"/>
                <w:sz w:val="18"/>
                <w:szCs w:val="18"/>
              </w:rPr>
              <w:t>9</w:t>
            </w:r>
            <w:r w:rsidRPr="00023AA5">
              <w:rPr>
                <w:rFonts w:cs="Times New Roman"/>
                <w:sz w:val="18"/>
                <w:szCs w:val="18"/>
              </w:rPr>
              <w:t>9-5002</w:t>
            </w:r>
          </w:p>
        </w:tc>
        <w:tc>
          <w:tcPr>
            <w:tcW w:w="720" w:type="dxa"/>
            <w:gridSpan w:val="2"/>
            <w:tcBorders>
              <w:right w:val="single" w:sz="4" w:space="0" w:color="auto"/>
            </w:tcBorders>
            <w:shd w:val="clear" w:color="auto" w:fill="FFFFFF" w:themeFill="background1"/>
          </w:tcPr>
          <w:p w:rsidR="00AF0D1A" w:rsidRPr="00023AA5" w:rsidRDefault="00AF0D1A" w:rsidP="00862148">
            <w:pPr>
              <w:pStyle w:val="ListParagraph"/>
              <w:spacing w:after="0" w:line="200" w:lineRule="exact"/>
              <w:ind w:left="0"/>
              <w:jc w:val="center"/>
              <w:rPr>
                <w:rFonts w:cs="Times New Roman"/>
                <w:sz w:val="18"/>
                <w:szCs w:val="18"/>
              </w:rPr>
            </w:pPr>
            <w:r w:rsidRPr="00023AA5">
              <w:rPr>
                <w:rFonts w:cs="Times New Roman"/>
                <w:sz w:val="18"/>
                <w:szCs w:val="18"/>
              </w:rPr>
              <w:t>40%</w:t>
            </w:r>
          </w:p>
        </w:tc>
        <w:tc>
          <w:tcPr>
            <w:tcW w:w="630" w:type="dxa"/>
            <w:tcBorders>
              <w:left w:val="single" w:sz="4" w:space="0" w:color="auto"/>
              <w:right w:val="thinThickThinSmallGap" w:sz="24" w:space="0" w:color="auto"/>
            </w:tcBorders>
            <w:shd w:val="clear" w:color="auto" w:fill="FFFFFF" w:themeFill="background1"/>
          </w:tcPr>
          <w:p w:rsidR="00AF0D1A" w:rsidRPr="00023AA5" w:rsidRDefault="00AF0D1A" w:rsidP="00862148">
            <w:pPr>
              <w:pStyle w:val="ListParagraph"/>
              <w:spacing w:after="0" w:line="200" w:lineRule="exact"/>
              <w:ind w:left="0"/>
              <w:jc w:val="center"/>
              <w:rPr>
                <w:rFonts w:cs="Times New Roman"/>
                <w:sz w:val="18"/>
                <w:szCs w:val="18"/>
              </w:rPr>
            </w:pPr>
            <w:r w:rsidRPr="00023AA5">
              <w:rPr>
                <w:rFonts w:cs="Times New Roman"/>
                <w:sz w:val="18"/>
                <w:szCs w:val="18"/>
              </w:rPr>
              <w:t>20%</w:t>
            </w:r>
          </w:p>
        </w:tc>
        <w:tc>
          <w:tcPr>
            <w:tcW w:w="2340" w:type="dxa"/>
            <w:tcBorders>
              <w:left w:val="thinThickThinSmallGap" w:sz="24" w:space="0" w:color="auto"/>
            </w:tcBorders>
            <w:shd w:val="clear" w:color="auto" w:fill="FFFFFF" w:themeFill="background1"/>
          </w:tcPr>
          <w:p w:rsidR="00AF0D1A" w:rsidRPr="00023AA5" w:rsidRDefault="00AF0D1A" w:rsidP="00862148">
            <w:pPr>
              <w:pStyle w:val="ListParagraph"/>
              <w:spacing w:after="0" w:line="200" w:lineRule="exact"/>
              <w:ind w:left="0"/>
            </w:pPr>
            <w:proofErr w:type="spellStart"/>
            <w:r w:rsidRPr="00023AA5">
              <w:rPr>
                <w:rFonts w:cs="Times New Roman"/>
                <w:sz w:val="18"/>
                <w:szCs w:val="18"/>
              </w:rPr>
              <w:t>Seronegative</w:t>
            </w:r>
            <w:proofErr w:type="spellEnd"/>
            <w:r w:rsidRPr="00023AA5">
              <w:rPr>
                <w:rFonts w:cs="Times New Roman"/>
                <w:sz w:val="18"/>
                <w:szCs w:val="18"/>
              </w:rPr>
              <w:t xml:space="preserve"> </w:t>
            </w:r>
            <w:proofErr w:type="spellStart"/>
            <w:r w:rsidR="007A4586" w:rsidRPr="00023AA5">
              <w:rPr>
                <w:rFonts w:cs="Times New Roman"/>
                <w:sz w:val="18"/>
                <w:szCs w:val="18"/>
              </w:rPr>
              <w:t>Polyarthritis</w:t>
            </w:r>
            <w:proofErr w:type="spellEnd"/>
          </w:p>
        </w:tc>
        <w:tc>
          <w:tcPr>
            <w:tcW w:w="630" w:type="dxa"/>
            <w:shd w:val="clear" w:color="auto" w:fill="FFFFFF" w:themeFill="background1"/>
          </w:tcPr>
          <w:p w:rsidR="00AF0D1A" w:rsidRPr="00023AA5" w:rsidRDefault="00AF0D1A" w:rsidP="00862148">
            <w:pPr>
              <w:pStyle w:val="ListParagraph"/>
              <w:spacing w:after="0" w:line="200" w:lineRule="exact"/>
              <w:ind w:left="0"/>
              <w:jc w:val="center"/>
              <w:rPr>
                <w:rFonts w:cs="Times New Roman"/>
                <w:sz w:val="18"/>
                <w:szCs w:val="18"/>
              </w:rPr>
            </w:pPr>
            <w:r w:rsidRPr="00023AA5">
              <w:rPr>
                <w:rFonts w:cs="Times New Roman"/>
                <w:sz w:val="18"/>
                <w:szCs w:val="18"/>
              </w:rPr>
              <w:t>5009</w:t>
            </w:r>
          </w:p>
        </w:tc>
        <w:tc>
          <w:tcPr>
            <w:tcW w:w="720" w:type="dxa"/>
            <w:shd w:val="clear" w:color="auto" w:fill="FFFFFF" w:themeFill="background1"/>
          </w:tcPr>
          <w:p w:rsidR="00AF0D1A" w:rsidRPr="00023AA5" w:rsidRDefault="00AF0D1A" w:rsidP="00862148">
            <w:pPr>
              <w:pStyle w:val="ListParagraph"/>
              <w:spacing w:after="0" w:line="200" w:lineRule="exact"/>
              <w:ind w:left="0"/>
              <w:jc w:val="center"/>
              <w:rPr>
                <w:rFonts w:cs="Times New Roman"/>
                <w:sz w:val="18"/>
                <w:szCs w:val="18"/>
              </w:rPr>
            </w:pPr>
            <w:r w:rsidRPr="00023AA5">
              <w:rPr>
                <w:sz w:val="18"/>
                <w:szCs w:val="18"/>
              </w:rPr>
              <w:t>40%</w:t>
            </w:r>
          </w:p>
        </w:tc>
        <w:tc>
          <w:tcPr>
            <w:tcW w:w="990" w:type="dxa"/>
            <w:shd w:val="clear" w:color="auto" w:fill="FFFFFF" w:themeFill="background1"/>
          </w:tcPr>
          <w:p w:rsidR="00AF0D1A" w:rsidRPr="00023AA5" w:rsidRDefault="00AF0D1A" w:rsidP="00862148">
            <w:pPr>
              <w:pStyle w:val="ListParagraph"/>
              <w:spacing w:after="0" w:line="200" w:lineRule="exact"/>
              <w:ind w:left="0"/>
              <w:jc w:val="center"/>
              <w:rPr>
                <w:rFonts w:cs="Times New Roman"/>
                <w:sz w:val="18"/>
                <w:szCs w:val="18"/>
              </w:rPr>
            </w:pPr>
            <w:r w:rsidRPr="00023AA5">
              <w:rPr>
                <w:rFonts w:cs="Times New Roman"/>
                <w:sz w:val="18"/>
                <w:szCs w:val="18"/>
              </w:rPr>
              <w:t>19960719</w:t>
            </w:r>
          </w:p>
        </w:tc>
      </w:tr>
      <w:tr w:rsidR="00AF0D1A" w:rsidRPr="00023AA5" w:rsidTr="00CA4EBE">
        <w:trPr>
          <w:trHeight w:val="188"/>
        </w:trPr>
        <w:tc>
          <w:tcPr>
            <w:tcW w:w="3510" w:type="dxa"/>
            <w:gridSpan w:val="3"/>
            <w:shd w:val="clear" w:color="auto" w:fill="FFFFFF" w:themeFill="background1"/>
          </w:tcPr>
          <w:p w:rsidR="00AF0D1A" w:rsidRPr="00023AA5" w:rsidRDefault="00902B52" w:rsidP="002C4359">
            <w:pPr>
              <w:pStyle w:val="ListParagraph"/>
              <w:spacing w:after="0" w:line="200" w:lineRule="exact"/>
              <w:ind w:left="0"/>
              <w:rPr>
                <w:rFonts w:cs="Times New Roman"/>
                <w:sz w:val="18"/>
                <w:szCs w:val="18"/>
              </w:rPr>
            </w:pPr>
            <w:r w:rsidRPr="00023AA5">
              <w:rPr>
                <w:rFonts w:cs="Times New Roman"/>
                <w:sz w:val="18"/>
                <w:szCs w:val="18"/>
              </w:rPr>
              <w:t xml:space="preserve">Abdominal Pain </w:t>
            </w:r>
            <w:r w:rsidR="002C4359" w:rsidRPr="00023AA5">
              <w:rPr>
                <w:rFonts w:cs="Times New Roman"/>
                <w:sz w:val="18"/>
                <w:szCs w:val="18"/>
              </w:rPr>
              <w:t>R</w:t>
            </w:r>
            <w:r w:rsidRPr="00023AA5">
              <w:rPr>
                <w:rFonts w:cs="Times New Roman"/>
                <w:sz w:val="18"/>
                <w:szCs w:val="18"/>
              </w:rPr>
              <w:t>esolved after Appendectomy</w:t>
            </w:r>
          </w:p>
        </w:tc>
        <w:tc>
          <w:tcPr>
            <w:tcW w:w="1080" w:type="dxa"/>
            <w:gridSpan w:val="2"/>
            <w:tcBorders>
              <w:right w:val="thinThickThinSmallGap" w:sz="24" w:space="0" w:color="auto"/>
            </w:tcBorders>
            <w:shd w:val="clear" w:color="auto" w:fill="FFFFFF" w:themeFill="background1"/>
          </w:tcPr>
          <w:p w:rsidR="00AF0D1A" w:rsidRPr="00023AA5" w:rsidRDefault="00902B52" w:rsidP="00862148">
            <w:pPr>
              <w:pStyle w:val="ListParagraph"/>
              <w:spacing w:after="0" w:line="200" w:lineRule="exact"/>
              <w:ind w:left="0"/>
              <w:rPr>
                <w:rFonts w:cs="Times New Roman"/>
                <w:sz w:val="18"/>
                <w:szCs w:val="18"/>
              </w:rPr>
            </w:pPr>
            <w:r w:rsidRPr="00023AA5">
              <w:rPr>
                <w:rFonts w:cs="Times New Roman"/>
                <w:sz w:val="18"/>
                <w:szCs w:val="18"/>
              </w:rPr>
              <w:t>Category III</w:t>
            </w:r>
          </w:p>
        </w:tc>
        <w:tc>
          <w:tcPr>
            <w:tcW w:w="2340" w:type="dxa"/>
            <w:tcBorders>
              <w:left w:val="thinThickThinSmallGap" w:sz="24" w:space="0" w:color="auto"/>
            </w:tcBorders>
            <w:shd w:val="clear" w:color="auto" w:fill="FFFFFF" w:themeFill="background1"/>
          </w:tcPr>
          <w:p w:rsidR="00AF0D1A" w:rsidRPr="00023AA5" w:rsidRDefault="00AF0D1A" w:rsidP="00862148">
            <w:pPr>
              <w:pStyle w:val="ListParagraph"/>
              <w:spacing w:after="0" w:line="200" w:lineRule="exact"/>
              <w:ind w:left="0"/>
              <w:rPr>
                <w:rFonts w:cs="Times New Roman"/>
                <w:sz w:val="18"/>
                <w:szCs w:val="18"/>
              </w:rPr>
            </w:pPr>
            <w:r w:rsidRPr="00023AA5">
              <w:rPr>
                <w:rFonts w:cs="Times New Roman"/>
                <w:sz w:val="18"/>
                <w:szCs w:val="18"/>
              </w:rPr>
              <w:t>Residuals, Scar From Laparoscopic Appendectomy</w:t>
            </w:r>
          </w:p>
        </w:tc>
        <w:tc>
          <w:tcPr>
            <w:tcW w:w="630" w:type="dxa"/>
            <w:shd w:val="clear" w:color="auto" w:fill="FFFFFF" w:themeFill="background1"/>
          </w:tcPr>
          <w:p w:rsidR="00AF0D1A" w:rsidRPr="00023AA5" w:rsidRDefault="00AF0D1A" w:rsidP="00862148">
            <w:pPr>
              <w:pStyle w:val="ListParagraph"/>
              <w:spacing w:after="0" w:line="200" w:lineRule="exact"/>
              <w:ind w:left="0"/>
              <w:jc w:val="center"/>
              <w:rPr>
                <w:rFonts w:cs="Times New Roman"/>
                <w:sz w:val="18"/>
                <w:szCs w:val="18"/>
              </w:rPr>
            </w:pPr>
            <w:r w:rsidRPr="00023AA5">
              <w:rPr>
                <w:rFonts w:cs="Times New Roman"/>
                <w:sz w:val="18"/>
                <w:szCs w:val="18"/>
              </w:rPr>
              <w:t>7805</w:t>
            </w:r>
          </w:p>
        </w:tc>
        <w:tc>
          <w:tcPr>
            <w:tcW w:w="720" w:type="dxa"/>
            <w:shd w:val="clear" w:color="auto" w:fill="FFFFFF" w:themeFill="background1"/>
          </w:tcPr>
          <w:p w:rsidR="00AF0D1A" w:rsidRPr="00023AA5" w:rsidRDefault="00AF0D1A" w:rsidP="00862148">
            <w:pPr>
              <w:pStyle w:val="ListParagraph"/>
              <w:spacing w:after="0" w:line="200" w:lineRule="exact"/>
              <w:ind w:left="0"/>
              <w:jc w:val="center"/>
              <w:rPr>
                <w:rFonts w:cs="Times New Roman"/>
                <w:sz w:val="18"/>
                <w:szCs w:val="18"/>
              </w:rPr>
            </w:pPr>
            <w:r w:rsidRPr="00023AA5">
              <w:rPr>
                <w:rFonts w:cs="Times New Roman"/>
                <w:sz w:val="18"/>
                <w:szCs w:val="18"/>
              </w:rPr>
              <w:t>0%</w:t>
            </w:r>
          </w:p>
        </w:tc>
        <w:tc>
          <w:tcPr>
            <w:tcW w:w="990" w:type="dxa"/>
            <w:shd w:val="clear" w:color="auto" w:fill="FFFFFF" w:themeFill="background1"/>
          </w:tcPr>
          <w:p w:rsidR="00AF0D1A" w:rsidRPr="00023AA5" w:rsidRDefault="00AF0D1A" w:rsidP="00862148">
            <w:pPr>
              <w:pStyle w:val="ListParagraph"/>
              <w:spacing w:after="0" w:line="200" w:lineRule="exact"/>
              <w:ind w:left="0"/>
              <w:jc w:val="center"/>
              <w:rPr>
                <w:rFonts w:cs="Times New Roman"/>
                <w:sz w:val="18"/>
                <w:szCs w:val="18"/>
              </w:rPr>
            </w:pPr>
            <w:r w:rsidRPr="00023AA5">
              <w:rPr>
                <w:rFonts w:cs="Times New Roman"/>
                <w:sz w:val="18"/>
                <w:szCs w:val="18"/>
              </w:rPr>
              <w:t>19960719</w:t>
            </w:r>
          </w:p>
        </w:tc>
      </w:tr>
      <w:tr w:rsidR="002C4359" w:rsidRPr="00023AA5" w:rsidTr="00CA4EBE">
        <w:trPr>
          <w:trHeight w:val="188"/>
        </w:trPr>
        <w:tc>
          <w:tcPr>
            <w:tcW w:w="4590" w:type="dxa"/>
            <w:gridSpan w:val="5"/>
            <w:vMerge w:val="restart"/>
            <w:tcBorders>
              <w:right w:val="thinThickThinSmallGap" w:sz="24" w:space="0" w:color="auto"/>
            </w:tcBorders>
            <w:shd w:val="clear" w:color="auto" w:fill="FFFFFF" w:themeFill="background1"/>
          </w:tcPr>
          <w:p w:rsidR="002C4359" w:rsidRPr="00023AA5" w:rsidRDefault="002C4359" w:rsidP="002C4359">
            <w:pPr>
              <w:pStyle w:val="ListParagraph"/>
              <w:spacing w:after="0" w:line="200" w:lineRule="exact"/>
              <w:ind w:left="0"/>
              <w:jc w:val="center"/>
              <w:rPr>
                <w:rFonts w:cs="Times New Roman"/>
                <w:sz w:val="18"/>
                <w:szCs w:val="18"/>
              </w:rPr>
            </w:pPr>
            <w:r w:rsidRPr="00023AA5">
              <w:rPr>
                <w:rFonts w:cs="Times New Roman"/>
                <w:sz w:val="18"/>
                <w:szCs w:val="18"/>
              </w:rPr>
              <w:t>↓No Additional MEB Entries↓</w:t>
            </w:r>
          </w:p>
        </w:tc>
        <w:tc>
          <w:tcPr>
            <w:tcW w:w="2340" w:type="dxa"/>
            <w:tcBorders>
              <w:left w:val="thinThickThinSmallGap" w:sz="24" w:space="0" w:color="auto"/>
            </w:tcBorders>
            <w:shd w:val="clear" w:color="auto" w:fill="FFFFFF" w:themeFill="background1"/>
          </w:tcPr>
          <w:p w:rsidR="002C4359" w:rsidRPr="00023AA5" w:rsidRDefault="002C4359" w:rsidP="002C4359">
            <w:pPr>
              <w:pStyle w:val="ListParagraph"/>
              <w:spacing w:after="0" w:line="200" w:lineRule="exact"/>
              <w:ind w:left="0"/>
              <w:rPr>
                <w:rFonts w:cs="Times New Roman"/>
                <w:sz w:val="18"/>
                <w:szCs w:val="18"/>
              </w:rPr>
            </w:pPr>
            <w:r w:rsidRPr="00023AA5">
              <w:rPr>
                <w:rFonts w:cs="Times New Roman"/>
                <w:sz w:val="18"/>
                <w:szCs w:val="18"/>
              </w:rPr>
              <w:t>Nasal Bridge Fracture …</w:t>
            </w:r>
          </w:p>
        </w:tc>
        <w:tc>
          <w:tcPr>
            <w:tcW w:w="630" w:type="dxa"/>
            <w:shd w:val="clear" w:color="auto" w:fill="FFFFFF" w:themeFill="background1"/>
          </w:tcPr>
          <w:p w:rsidR="002C4359" w:rsidRPr="00023AA5" w:rsidRDefault="002C4359" w:rsidP="00862148">
            <w:pPr>
              <w:pStyle w:val="ListParagraph"/>
              <w:spacing w:after="0" w:line="200" w:lineRule="exact"/>
              <w:ind w:left="0"/>
              <w:jc w:val="center"/>
              <w:rPr>
                <w:rFonts w:cs="Times New Roman"/>
                <w:sz w:val="18"/>
                <w:szCs w:val="18"/>
              </w:rPr>
            </w:pPr>
            <w:r w:rsidRPr="00023AA5">
              <w:rPr>
                <w:rFonts w:cs="Times New Roman"/>
                <w:sz w:val="18"/>
                <w:szCs w:val="18"/>
              </w:rPr>
              <w:t>6502</w:t>
            </w:r>
          </w:p>
        </w:tc>
        <w:tc>
          <w:tcPr>
            <w:tcW w:w="720" w:type="dxa"/>
            <w:shd w:val="clear" w:color="auto" w:fill="FFFFFF" w:themeFill="background1"/>
          </w:tcPr>
          <w:p w:rsidR="002C4359" w:rsidRPr="00023AA5" w:rsidRDefault="002C4359" w:rsidP="00862148">
            <w:pPr>
              <w:pStyle w:val="ListParagraph"/>
              <w:spacing w:after="0" w:line="200" w:lineRule="exact"/>
              <w:ind w:left="0"/>
              <w:jc w:val="center"/>
              <w:rPr>
                <w:rFonts w:cs="Times New Roman"/>
                <w:sz w:val="18"/>
                <w:szCs w:val="18"/>
              </w:rPr>
            </w:pPr>
            <w:r w:rsidRPr="00023AA5">
              <w:rPr>
                <w:rFonts w:cs="Times New Roman"/>
                <w:sz w:val="18"/>
                <w:szCs w:val="18"/>
              </w:rPr>
              <w:t>0%</w:t>
            </w:r>
          </w:p>
        </w:tc>
        <w:tc>
          <w:tcPr>
            <w:tcW w:w="990" w:type="dxa"/>
            <w:shd w:val="clear" w:color="auto" w:fill="FFFFFF" w:themeFill="background1"/>
          </w:tcPr>
          <w:p w:rsidR="002C4359" w:rsidRPr="00023AA5" w:rsidRDefault="002C4359" w:rsidP="00862148">
            <w:pPr>
              <w:pStyle w:val="ListParagraph"/>
              <w:spacing w:after="0" w:line="200" w:lineRule="exact"/>
              <w:ind w:left="0"/>
              <w:jc w:val="center"/>
              <w:rPr>
                <w:rFonts w:cs="Times New Roman"/>
                <w:sz w:val="18"/>
                <w:szCs w:val="18"/>
              </w:rPr>
            </w:pPr>
            <w:r w:rsidRPr="00023AA5">
              <w:rPr>
                <w:rFonts w:cs="Times New Roman"/>
                <w:sz w:val="18"/>
                <w:szCs w:val="18"/>
              </w:rPr>
              <w:t>19960719</w:t>
            </w:r>
          </w:p>
        </w:tc>
      </w:tr>
      <w:tr w:rsidR="002C4359" w:rsidRPr="00023AA5" w:rsidTr="00CA4EBE">
        <w:trPr>
          <w:trHeight w:val="188"/>
        </w:trPr>
        <w:tc>
          <w:tcPr>
            <w:tcW w:w="4590" w:type="dxa"/>
            <w:gridSpan w:val="5"/>
            <w:vMerge/>
            <w:tcBorders>
              <w:right w:val="thinThickThinSmallGap" w:sz="24" w:space="0" w:color="auto"/>
            </w:tcBorders>
            <w:shd w:val="clear" w:color="auto" w:fill="FFFFFF" w:themeFill="background1"/>
          </w:tcPr>
          <w:p w:rsidR="002C4359" w:rsidRPr="00023AA5" w:rsidRDefault="002C4359" w:rsidP="00862148">
            <w:pPr>
              <w:pStyle w:val="ListParagraph"/>
              <w:spacing w:after="0" w:line="200" w:lineRule="exact"/>
              <w:ind w:left="0"/>
              <w:rPr>
                <w:rFonts w:cs="Times New Roman"/>
                <w:sz w:val="18"/>
                <w:szCs w:val="18"/>
              </w:rPr>
            </w:pPr>
          </w:p>
        </w:tc>
        <w:tc>
          <w:tcPr>
            <w:tcW w:w="2340" w:type="dxa"/>
            <w:tcBorders>
              <w:left w:val="thinThickThinSmallGap" w:sz="24" w:space="0" w:color="auto"/>
            </w:tcBorders>
            <w:shd w:val="clear" w:color="auto" w:fill="FFFFFF" w:themeFill="background1"/>
          </w:tcPr>
          <w:p w:rsidR="002C4359" w:rsidRPr="00023AA5" w:rsidRDefault="002C4359" w:rsidP="00862148">
            <w:pPr>
              <w:pStyle w:val="ListParagraph"/>
              <w:spacing w:after="0" w:line="200" w:lineRule="exact"/>
              <w:ind w:left="0"/>
              <w:rPr>
                <w:rFonts w:cs="Times New Roman"/>
                <w:sz w:val="18"/>
                <w:szCs w:val="18"/>
              </w:rPr>
            </w:pPr>
            <w:proofErr w:type="spellStart"/>
            <w:r w:rsidRPr="00023AA5">
              <w:rPr>
                <w:rFonts w:cs="Times New Roman"/>
                <w:sz w:val="18"/>
                <w:szCs w:val="18"/>
              </w:rPr>
              <w:t>Pterygium</w:t>
            </w:r>
            <w:proofErr w:type="spellEnd"/>
            <w:r w:rsidRPr="00023AA5">
              <w:rPr>
                <w:rFonts w:cs="Times New Roman"/>
                <w:sz w:val="18"/>
                <w:szCs w:val="18"/>
              </w:rPr>
              <w:t>, Left Eye</w:t>
            </w:r>
          </w:p>
        </w:tc>
        <w:tc>
          <w:tcPr>
            <w:tcW w:w="630" w:type="dxa"/>
            <w:shd w:val="clear" w:color="auto" w:fill="FFFFFF" w:themeFill="background1"/>
          </w:tcPr>
          <w:p w:rsidR="002C4359" w:rsidRPr="00023AA5" w:rsidRDefault="002C4359" w:rsidP="00862148">
            <w:pPr>
              <w:pStyle w:val="ListParagraph"/>
              <w:spacing w:after="0" w:line="200" w:lineRule="exact"/>
              <w:ind w:left="0"/>
              <w:jc w:val="center"/>
              <w:rPr>
                <w:rFonts w:cs="Times New Roman"/>
                <w:sz w:val="18"/>
                <w:szCs w:val="18"/>
              </w:rPr>
            </w:pPr>
            <w:r w:rsidRPr="00023AA5">
              <w:rPr>
                <w:rFonts w:cs="Times New Roman"/>
                <w:sz w:val="18"/>
                <w:szCs w:val="18"/>
              </w:rPr>
              <w:t>6034</w:t>
            </w:r>
          </w:p>
        </w:tc>
        <w:tc>
          <w:tcPr>
            <w:tcW w:w="720" w:type="dxa"/>
            <w:shd w:val="clear" w:color="auto" w:fill="FFFFFF" w:themeFill="background1"/>
          </w:tcPr>
          <w:p w:rsidR="002C4359" w:rsidRPr="00023AA5" w:rsidRDefault="002C4359" w:rsidP="00862148">
            <w:pPr>
              <w:pStyle w:val="ListParagraph"/>
              <w:spacing w:after="0" w:line="200" w:lineRule="exact"/>
              <w:ind w:left="0"/>
              <w:jc w:val="center"/>
              <w:rPr>
                <w:rFonts w:cs="Times New Roman"/>
                <w:sz w:val="18"/>
                <w:szCs w:val="18"/>
              </w:rPr>
            </w:pPr>
            <w:r w:rsidRPr="00023AA5">
              <w:rPr>
                <w:rFonts w:cs="Times New Roman"/>
                <w:sz w:val="18"/>
                <w:szCs w:val="18"/>
              </w:rPr>
              <w:t>0%</w:t>
            </w:r>
          </w:p>
        </w:tc>
        <w:tc>
          <w:tcPr>
            <w:tcW w:w="990" w:type="dxa"/>
            <w:shd w:val="clear" w:color="auto" w:fill="FFFFFF" w:themeFill="background1"/>
          </w:tcPr>
          <w:p w:rsidR="002C4359" w:rsidRPr="00023AA5" w:rsidRDefault="002C4359" w:rsidP="00862148">
            <w:pPr>
              <w:pStyle w:val="ListParagraph"/>
              <w:spacing w:after="0" w:line="200" w:lineRule="exact"/>
              <w:ind w:left="0"/>
              <w:jc w:val="center"/>
              <w:rPr>
                <w:rFonts w:cs="Times New Roman"/>
                <w:sz w:val="18"/>
                <w:szCs w:val="18"/>
              </w:rPr>
            </w:pPr>
            <w:r w:rsidRPr="00023AA5">
              <w:rPr>
                <w:rFonts w:cs="Times New Roman"/>
                <w:sz w:val="18"/>
                <w:szCs w:val="18"/>
              </w:rPr>
              <w:t>19960719</w:t>
            </w:r>
          </w:p>
        </w:tc>
      </w:tr>
      <w:tr w:rsidR="00AF0D1A" w:rsidRPr="00023AA5" w:rsidTr="00CA4EBE">
        <w:trPr>
          <w:trHeight w:val="242"/>
        </w:trPr>
        <w:tc>
          <w:tcPr>
            <w:tcW w:w="4590" w:type="dxa"/>
            <w:gridSpan w:val="5"/>
            <w:tcBorders>
              <w:right w:val="thinThickThinSmallGap" w:sz="24" w:space="0" w:color="auto"/>
            </w:tcBorders>
            <w:shd w:val="clear" w:color="auto" w:fill="DDD9C3" w:themeFill="background2" w:themeFillShade="E6"/>
          </w:tcPr>
          <w:p w:rsidR="00AF0D1A" w:rsidRPr="00023AA5" w:rsidRDefault="00AF0D1A" w:rsidP="00902B52">
            <w:pPr>
              <w:pStyle w:val="ListParagraph"/>
              <w:spacing w:after="0" w:line="240" w:lineRule="auto"/>
              <w:ind w:left="0"/>
              <w:jc w:val="center"/>
              <w:rPr>
                <w:rFonts w:cs="Times New Roman"/>
                <w:b/>
                <w:sz w:val="20"/>
                <w:szCs w:val="20"/>
              </w:rPr>
            </w:pPr>
            <w:r w:rsidRPr="00023AA5">
              <w:rPr>
                <w:rFonts w:cs="Times New Roman"/>
                <w:b/>
                <w:sz w:val="20"/>
                <w:szCs w:val="20"/>
              </w:rPr>
              <w:t>TOTAL Combined:  20%</w:t>
            </w:r>
          </w:p>
        </w:tc>
        <w:tc>
          <w:tcPr>
            <w:tcW w:w="4680" w:type="dxa"/>
            <w:gridSpan w:val="4"/>
            <w:tcBorders>
              <w:left w:val="thinThickThinSmallGap" w:sz="24" w:space="0" w:color="auto"/>
            </w:tcBorders>
            <w:shd w:val="clear" w:color="auto" w:fill="DDD9C3" w:themeFill="background2" w:themeFillShade="E6"/>
          </w:tcPr>
          <w:p w:rsidR="00AF0D1A" w:rsidRPr="00023AA5" w:rsidRDefault="00AF0D1A" w:rsidP="008F0284">
            <w:pPr>
              <w:pStyle w:val="ListParagraph"/>
              <w:spacing w:after="0" w:line="240" w:lineRule="auto"/>
              <w:ind w:left="0"/>
              <w:jc w:val="center"/>
              <w:rPr>
                <w:rFonts w:cs="Times New Roman"/>
                <w:b/>
                <w:sz w:val="20"/>
                <w:szCs w:val="20"/>
              </w:rPr>
            </w:pPr>
            <w:r w:rsidRPr="00023AA5">
              <w:rPr>
                <w:rFonts w:cs="Times New Roman"/>
                <w:b/>
                <w:sz w:val="20"/>
                <w:szCs w:val="20"/>
              </w:rPr>
              <w:t>TOTAL Combined (</w:t>
            </w:r>
            <w:r w:rsidRPr="00023AA5">
              <w:rPr>
                <w:rFonts w:cs="Times New Roman"/>
                <w:b/>
                <w:i/>
                <w:sz w:val="20"/>
                <w:szCs w:val="20"/>
              </w:rPr>
              <w:t>Includes Non-PEB Conditions</w:t>
            </w:r>
            <w:r w:rsidR="008F0284" w:rsidRPr="00023AA5">
              <w:rPr>
                <w:rFonts w:cs="Times New Roman"/>
                <w:b/>
                <w:sz w:val="20"/>
                <w:szCs w:val="20"/>
              </w:rPr>
              <w:t>):  40%</w:t>
            </w:r>
          </w:p>
        </w:tc>
      </w:tr>
    </w:tbl>
    <w:p w:rsidR="00AF0D1A" w:rsidRPr="00023AA5" w:rsidRDefault="00AF0D1A" w:rsidP="00AF0D1A">
      <w:pPr>
        <w:tabs>
          <w:tab w:val="left" w:pos="288"/>
          <w:tab w:val="left" w:pos="4752"/>
        </w:tabs>
        <w:spacing w:line="240" w:lineRule="exact"/>
        <w:jc w:val="both"/>
        <w:rPr>
          <w:color w:val="auto"/>
        </w:rPr>
      </w:pPr>
      <w:r w:rsidRPr="00023AA5">
        <w:rPr>
          <w:color w:val="auto"/>
          <w:u w:val="single"/>
        </w:rPr>
        <w:t>_______________________________________________________________</w:t>
      </w:r>
      <w:r w:rsidRPr="00023AA5">
        <w:rPr>
          <w:color w:val="auto"/>
        </w:rPr>
        <w:t>_</w:t>
      </w:r>
    </w:p>
    <w:p w:rsidR="00AF0D1A" w:rsidRPr="00023AA5" w:rsidRDefault="00AF0D1A" w:rsidP="00CA4EBE">
      <w:pPr>
        <w:spacing w:line="240" w:lineRule="exact"/>
        <w:jc w:val="both"/>
        <w:rPr>
          <w:rFonts w:ascii="Calibri" w:hAnsi="Calibri"/>
          <w:color w:val="auto"/>
        </w:rPr>
      </w:pPr>
    </w:p>
    <w:p w:rsidR="00DA1DB4" w:rsidRPr="0010582F" w:rsidRDefault="002C6E5B" w:rsidP="00593D06">
      <w:pPr>
        <w:tabs>
          <w:tab w:val="left" w:pos="288"/>
          <w:tab w:val="left" w:pos="4752"/>
        </w:tabs>
        <w:spacing w:line="220" w:lineRule="exact"/>
        <w:jc w:val="both"/>
        <w:rPr>
          <w:rFonts w:ascii="Calibri" w:hAnsi="Calibri"/>
          <w:color w:val="auto"/>
          <w:szCs w:val="24"/>
        </w:rPr>
      </w:pPr>
      <w:r w:rsidRPr="0010582F">
        <w:rPr>
          <w:rFonts w:asciiTheme="minorHAnsi" w:hAnsiTheme="minorHAnsi"/>
          <w:color w:val="auto"/>
          <w:szCs w:val="24"/>
          <w:u w:val="single"/>
        </w:rPr>
        <w:t>ANALYSIS SUMMARY</w:t>
      </w:r>
      <w:r w:rsidRPr="0010582F">
        <w:rPr>
          <w:rFonts w:asciiTheme="minorHAnsi" w:hAnsiTheme="minorHAnsi"/>
          <w:color w:val="auto"/>
          <w:szCs w:val="24"/>
        </w:rPr>
        <w:t>:</w:t>
      </w:r>
      <w:r w:rsidR="00475619" w:rsidRPr="0010582F">
        <w:rPr>
          <w:rFonts w:asciiTheme="minorHAnsi" w:hAnsiTheme="minorHAnsi"/>
          <w:color w:val="auto"/>
          <w:szCs w:val="24"/>
        </w:rPr>
        <w:t xml:space="preserve">  </w:t>
      </w:r>
      <w:r w:rsidR="0036129E" w:rsidRPr="0010582F">
        <w:rPr>
          <w:rFonts w:asciiTheme="minorHAnsi" w:hAnsiTheme="minorHAnsi"/>
          <w:color w:val="auto"/>
          <w:szCs w:val="24"/>
        </w:rPr>
        <w:t xml:space="preserve">The CI’s opinion that he had not improved and/or worsened over the course of his TDRL period can be both supported and questioned by various notes.  The Board takes the position that subjective improvement or worsening should not influence its coding and rating recommendation at the time of final separation.  It is recognized, in fact, that PEB’s across the services sometimes apply an overly generous initial rating in order to meet the requirement of 30% disability for placement on TDRL.  This is in the member’s best interest at the time and does not mean that a final lower rating is unfair, even if the applicant does not perceive any improvement.  The sole basis for the Board’s recommendation is the optimal VASRD rating for disability at separation.  </w:t>
      </w:r>
      <w:r w:rsidR="00DA1DB4" w:rsidRPr="0010582F">
        <w:rPr>
          <w:rFonts w:ascii="Calibri" w:hAnsi="Calibri"/>
          <w:color w:val="auto"/>
          <w:szCs w:val="24"/>
        </w:rPr>
        <w:t xml:space="preserve">The CI’s contentions on </w:t>
      </w:r>
      <w:r w:rsidR="0036129E" w:rsidRPr="0010582F">
        <w:rPr>
          <w:rFonts w:ascii="Calibri" w:hAnsi="Calibri"/>
          <w:color w:val="auto"/>
          <w:szCs w:val="24"/>
        </w:rPr>
        <w:t xml:space="preserve">potential </w:t>
      </w:r>
      <w:r w:rsidR="00DA1DB4" w:rsidRPr="0010582F">
        <w:rPr>
          <w:rFonts w:ascii="Calibri" w:hAnsi="Calibri"/>
          <w:color w:val="auto"/>
          <w:szCs w:val="24"/>
        </w:rPr>
        <w:t xml:space="preserve">irregularities and/or shortcomings in his </w:t>
      </w:r>
      <w:r w:rsidR="00334236">
        <w:rPr>
          <w:rFonts w:ascii="Calibri" w:hAnsi="Calibri"/>
          <w:color w:val="auto"/>
          <w:szCs w:val="24"/>
        </w:rPr>
        <w:t>Disability Evaluation System (</w:t>
      </w:r>
      <w:r w:rsidR="00DA1DB4" w:rsidRPr="0010582F">
        <w:rPr>
          <w:rFonts w:ascii="Calibri" w:hAnsi="Calibri"/>
          <w:color w:val="auto"/>
          <w:szCs w:val="24"/>
        </w:rPr>
        <w:t>DES</w:t>
      </w:r>
      <w:r w:rsidR="00334236">
        <w:rPr>
          <w:rFonts w:ascii="Calibri" w:hAnsi="Calibri"/>
          <w:color w:val="auto"/>
          <w:szCs w:val="24"/>
        </w:rPr>
        <w:t>)</w:t>
      </w:r>
      <w:r w:rsidR="00DA1DB4" w:rsidRPr="0010582F">
        <w:rPr>
          <w:rFonts w:ascii="Calibri" w:hAnsi="Calibri"/>
          <w:color w:val="auto"/>
          <w:szCs w:val="24"/>
        </w:rPr>
        <w:t xml:space="preserve"> process </w:t>
      </w:r>
      <w:r w:rsidR="0036129E" w:rsidRPr="0010582F">
        <w:rPr>
          <w:rFonts w:ascii="Calibri" w:hAnsi="Calibri"/>
          <w:color w:val="auto"/>
          <w:szCs w:val="24"/>
        </w:rPr>
        <w:t xml:space="preserve">were similar to those provided to the Petition </w:t>
      </w:r>
      <w:r w:rsidR="00D0119A" w:rsidRPr="0010582F">
        <w:rPr>
          <w:rFonts w:ascii="Calibri" w:hAnsi="Calibri"/>
          <w:color w:val="auto"/>
          <w:szCs w:val="24"/>
        </w:rPr>
        <w:t>f</w:t>
      </w:r>
      <w:r w:rsidR="0036129E" w:rsidRPr="0010582F">
        <w:rPr>
          <w:rFonts w:ascii="Calibri" w:hAnsi="Calibri"/>
          <w:color w:val="auto"/>
          <w:szCs w:val="24"/>
        </w:rPr>
        <w:t xml:space="preserve">or Relief and </w:t>
      </w:r>
      <w:r w:rsidR="00DA1DB4" w:rsidRPr="0010582F">
        <w:rPr>
          <w:rFonts w:ascii="Calibri" w:hAnsi="Calibri"/>
          <w:color w:val="auto"/>
          <w:szCs w:val="24"/>
        </w:rPr>
        <w:t xml:space="preserve">are outside the scope of this Board.  By law the Board authority is limited to making recommendation on correcting disability determinations. </w:t>
      </w:r>
      <w:r w:rsidR="00E265B1" w:rsidRPr="0010582F">
        <w:rPr>
          <w:rFonts w:ascii="Calibri" w:hAnsi="Calibri"/>
          <w:color w:val="auto"/>
          <w:szCs w:val="24"/>
        </w:rPr>
        <w:t xml:space="preserve"> </w:t>
      </w:r>
      <w:r w:rsidR="00DA1DB4" w:rsidRPr="0010582F">
        <w:rPr>
          <w:rFonts w:ascii="Calibri" w:hAnsi="Calibri"/>
          <w:color w:val="auto"/>
          <w:szCs w:val="24"/>
        </w:rPr>
        <w:t xml:space="preserve">The applicant's </w:t>
      </w:r>
      <w:r w:rsidR="00E265B1" w:rsidRPr="0010582F">
        <w:rPr>
          <w:rFonts w:ascii="Calibri" w:hAnsi="Calibri"/>
          <w:color w:val="auto"/>
          <w:szCs w:val="24"/>
        </w:rPr>
        <w:t>contentions</w:t>
      </w:r>
      <w:r w:rsidR="00DA1DB4" w:rsidRPr="0010582F">
        <w:rPr>
          <w:rFonts w:ascii="Calibri" w:hAnsi="Calibri"/>
          <w:color w:val="auto"/>
          <w:szCs w:val="24"/>
        </w:rPr>
        <w:t xml:space="preserve"> will of course remain with the application as it is processed.</w:t>
      </w:r>
      <w:r w:rsidR="0036129E" w:rsidRPr="0010582F">
        <w:rPr>
          <w:rFonts w:ascii="Calibri" w:hAnsi="Calibri"/>
          <w:color w:val="auto"/>
          <w:szCs w:val="24"/>
        </w:rPr>
        <w:t xml:space="preserve">  </w:t>
      </w:r>
    </w:p>
    <w:p w:rsidR="002C6E5B" w:rsidRPr="0010582F" w:rsidRDefault="002C6E5B" w:rsidP="00593D06">
      <w:pPr>
        <w:tabs>
          <w:tab w:val="left" w:pos="288"/>
          <w:tab w:val="left" w:pos="4752"/>
        </w:tabs>
        <w:spacing w:line="220" w:lineRule="exact"/>
        <w:jc w:val="both"/>
        <w:rPr>
          <w:rFonts w:asciiTheme="minorHAnsi" w:hAnsiTheme="minorHAnsi"/>
          <w:color w:val="auto"/>
          <w:szCs w:val="24"/>
        </w:rPr>
      </w:pPr>
    </w:p>
    <w:p w:rsidR="00086D67" w:rsidRPr="0010582F" w:rsidRDefault="00AD59BA" w:rsidP="00593D06">
      <w:pPr>
        <w:tabs>
          <w:tab w:val="left" w:pos="288"/>
          <w:tab w:val="left" w:pos="4752"/>
        </w:tabs>
        <w:spacing w:line="220" w:lineRule="exact"/>
        <w:jc w:val="both"/>
        <w:rPr>
          <w:rFonts w:asciiTheme="minorHAnsi" w:hAnsiTheme="minorHAnsi"/>
          <w:color w:val="auto"/>
          <w:szCs w:val="24"/>
        </w:rPr>
      </w:pPr>
      <w:proofErr w:type="spellStart"/>
      <w:r w:rsidRPr="0010582F">
        <w:rPr>
          <w:rFonts w:asciiTheme="minorHAnsi" w:hAnsiTheme="minorHAnsi"/>
          <w:color w:val="auto"/>
          <w:szCs w:val="24"/>
          <w:u w:val="single"/>
        </w:rPr>
        <w:t>Seronegative</w:t>
      </w:r>
      <w:proofErr w:type="spellEnd"/>
      <w:r w:rsidRPr="0010582F">
        <w:rPr>
          <w:rFonts w:asciiTheme="minorHAnsi" w:hAnsiTheme="minorHAnsi"/>
          <w:color w:val="auto"/>
          <w:szCs w:val="24"/>
          <w:u w:val="single"/>
        </w:rPr>
        <w:t xml:space="preserve"> Arthritis</w:t>
      </w:r>
      <w:r w:rsidRPr="0010582F">
        <w:rPr>
          <w:rFonts w:asciiTheme="minorHAnsi" w:hAnsiTheme="minorHAnsi"/>
          <w:color w:val="auto"/>
          <w:szCs w:val="24"/>
        </w:rPr>
        <w:t xml:space="preserve">:  </w:t>
      </w:r>
      <w:r w:rsidR="003749D0" w:rsidRPr="0010582F">
        <w:rPr>
          <w:rFonts w:asciiTheme="minorHAnsi" w:hAnsiTheme="minorHAnsi"/>
          <w:color w:val="auto"/>
          <w:szCs w:val="24"/>
        </w:rPr>
        <w:t>The Board focused on the final rating for this condition at the time of removal from TDRL</w:t>
      </w:r>
      <w:r w:rsidR="0036129E" w:rsidRPr="0010582F">
        <w:rPr>
          <w:rFonts w:asciiTheme="minorHAnsi" w:hAnsiTheme="minorHAnsi"/>
          <w:color w:val="auto"/>
          <w:szCs w:val="24"/>
        </w:rPr>
        <w:t xml:space="preserve"> and final separation</w:t>
      </w:r>
      <w:r w:rsidR="003749D0" w:rsidRPr="0010582F">
        <w:rPr>
          <w:rFonts w:asciiTheme="minorHAnsi" w:hAnsiTheme="minorHAnsi"/>
          <w:color w:val="auto"/>
          <w:szCs w:val="24"/>
        </w:rPr>
        <w:t xml:space="preserve">.  </w:t>
      </w:r>
      <w:r w:rsidR="0036129E" w:rsidRPr="0010582F">
        <w:rPr>
          <w:rFonts w:asciiTheme="minorHAnsi" w:hAnsiTheme="minorHAnsi"/>
          <w:color w:val="auto"/>
          <w:szCs w:val="24"/>
        </w:rPr>
        <w:t xml:space="preserve">The Board </w:t>
      </w:r>
      <w:r w:rsidR="00DA3271" w:rsidRPr="0010582F">
        <w:rPr>
          <w:rFonts w:asciiTheme="minorHAnsi" w:hAnsiTheme="minorHAnsi"/>
          <w:color w:val="auto"/>
          <w:szCs w:val="24"/>
        </w:rPr>
        <w:t>requested</w:t>
      </w:r>
      <w:r w:rsidR="0036129E" w:rsidRPr="0010582F">
        <w:rPr>
          <w:rFonts w:asciiTheme="minorHAnsi" w:hAnsiTheme="minorHAnsi"/>
          <w:color w:val="auto"/>
          <w:szCs w:val="24"/>
        </w:rPr>
        <w:t xml:space="preserve"> additional materials </w:t>
      </w:r>
      <w:r w:rsidR="00DA3271" w:rsidRPr="0010582F">
        <w:rPr>
          <w:rFonts w:asciiTheme="minorHAnsi" w:hAnsiTheme="minorHAnsi"/>
          <w:color w:val="auto"/>
          <w:szCs w:val="24"/>
        </w:rPr>
        <w:t xml:space="preserve">from the CI </w:t>
      </w:r>
      <w:r w:rsidR="0036129E" w:rsidRPr="0010582F">
        <w:rPr>
          <w:rFonts w:asciiTheme="minorHAnsi" w:hAnsiTheme="minorHAnsi"/>
          <w:color w:val="auto"/>
          <w:szCs w:val="24"/>
        </w:rPr>
        <w:t xml:space="preserve">regarding missed work, hospital and emergency visits and treatment notes </w:t>
      </w:r>
      <w:r w:rsidR="00DA3271" w:rsidRPr="0010582F">
        <w:rPr>
          <w:rFonts w:asciiTheme="minorHAnsi" w:hAnsiTheme="minorHAnsi"/>
          <w:color w:val="auto"/>
          <w:szCs w:val="24"/>
        </w:rPr>
        <w:t xml:space="preserve">in Japan, and the Board considered those documents in the rating determination.  </w:t>
      </w:r>
      <w:r w:rsidR="00F96D78" w:rsidRPr="0010582F">
        <w:rPr>
          <w:rFonts w:asciiTheme="minorHAnsi" w:hAnsiTheme="minorHAnsi"/>
          <w:color w:val="auto"/>
          <w:szCs w:val="24"/>
        </w:rPr>
        <w:t>The CI</w:t>
      </w:r>
      <w:r w:rsidR="00E265B1" w:rsidRPr="0010582F">
        <w:rPr>
          <w:rFonts w:asciiTheme="minorHAnsi" w:hAnsiTheme="minorHAnsi"/>
          <w:color w:val="auto"/>
          <w:szCs w:val="24"/>
        </w:rPr>
        <w:t xml:space="preserve">’s final </w:t>
      </w:r>
      <w:r w:rsidR="00F96D78" w:rsidRPr="0010582F">
        <w:rPr>
          <w:rFonts w:asciiTheme="minorHAnsi" w:hAnsiTheme="minorHAnsi"/>
          <w:color w:val="auto"/>
          <w:szCs w:val="24"/>
        </w:rPr>
        <w:t xml:space="preserve">TDRL </w:t>
      </w:r>
      <w:r w:rsidR="00E265B1" w:rsidRPr="0010582F">
        <w:rPr>
          <w:rFonts w:asciiTheme="minorHAnsi" w:hAnsiTheme="minorHAnsi"/>
          <w:color w:val="auto"/>
          <w:szCs w:val="24"/>
        </w:rPr>
        <w:t xml:space="preserve">reevaluation </w:t>
      </w:r>
      <w:r w:rsidR="00F96D78" w:rsidRPr="0010582F">
        <w:rPr>
          <w:rFonts w:asciiTheme="minorHAnsi" w:hAnsiTheme="minorHAnsi"/>
          <w:color w:val="auto"/>
          <w:szCs w:val="24"/>
        </w:rPr>
        <w:t>a</w:t>
      </w:r>
      <w:r w:rsidR="00E265B1" w:rsidRPr="0010582F">
        <w:rPr>
          <w:rFonts w:asciiTheme="minorHAnsi" w:hAnsiTheme="minorHAnsi"/>
          <w:color w:val="auto"/>
          <w:szCs w:val="24"/>
        </w:rPr>
        <w:t>nd</w:t>
      </w:r>
      <w:r w:rsidR="00060222" w:rsidRPr="0010582F">
        <w:rPr>
          <w:rFonts w:asciiTheme="minorHAnsi" w:hAnsiTheme="minorHAnsi"/>
          <w:color w:val="auto"/>
          <w:szCs w:val="24"/>
        </w:rPr>
        <w:t xml:space="preserve"> MEB stated the CI </w:t>
      </w:r>
      <w:r w:rsidR="00F96D78" w:rsidRPr="0010582F">
        <w:rPr>
          <w:rFonts w:asciiTheme="minorHAnsi" w:hAnsiTheme="minorHAnsi"/>
          <w:color w:val="auto"/>
          <w:szCs w:val="24"/>
        </w:rPr>
        <w:t>was found to “have not much pain” and his flare “has regressed</w:t>
      </w:r>
      <w:r w:rsidR="00E265B1" w:rsidRPr="0010582F">
        <w:rPr>
          <w:rFonts w:asciiTheme="minorHAnsi" w:hAnsiTheme="minorHAnsi"/>
          <w:color w:val="auto"/>
          <w:szCs w:val="24"/>
        </w:rPr>
        <w:t>.</w:t>
      </w:r>
      <w:r w:rsidR="00486858" w:rsidRPr="0010582F">
        <w:rPr>
          <w:rFonts w:asciiTheme="minorHAnsi" w:hAnsiTheme="minorHAnsi"/>
          <w:color w:val="auto"/>
          <w:szCs w:val="24"/>
        </w:rPr>
        <w:t>”</w:t>
      </w:r>
      <w:r w:rsidR="00F96D78" w:rsidRPr="0010582F">
        <w:rPr>
          <w:rFonts w:asciiTheme="minorHAnsi" w:hAnsiTheme="minorHAnsi"/>
          <w:color w:val="auto"/>
          <w:szCs w:val="24"/>
        </w:rPr>
        <w:t xml:space="preserve">  The examiner documented that the CI’s joints “are doing alright”, there was no joint warmth or tenderness and knees had full range of motion (ROM) without pain.  </w:t>
      </w:r>
      <w:r w:rsidR="00E265B1" w:rsidRPr="0010582F">
        <w:rPr>
          <w:rFonts w:asciiTheme="minorHAnsi" w:hAnsiTheme="minorHAnsi"/>
          <w:color w:val="auto"/>
          <w:szCs w:val="24"/>
        </w:rPr>
        <w:t>During this period, the CI took NSAID</w:t>
      </w:r>
      <w:r w:rsidR="00DA3271" w:rsidRPr="0010582F">
        <w:rPr>
          <w:rFonts w:asciiTheme="minorHAnsi" w:hAnsiTheme="minorHAnsi"/>
          <w:color w:val="auto"/>
          <w:szCs w:val="24"/>
        </w:rPr>
        <w:t>s</w:t>
      </w:r>
      <w:r w:rsidR="00E265B1" w:rsidRPr="0010582F">
        <w:rPr>
          <w:rFonts w:asciiTheme="minorHAnsi" w:hAnsiTheme="minorHAnsi"/>
          <w:color w:val="auto"/>
          <w:szCs w:val="24"/>
        </w:rPr>
        <w:t xml:space="preserve"> and </w:t>
      </w:r>
      <w:proofErr w:type="spellStart"/>
      <w:r w:rsidR="00E265B1" w:rsidRPr="0010582F">
        <w:rPr>
          <w:rFonts w:asciiTheme="minorHAnsi" w:hAnsiTheme="minorHAnsi"/>
          <w:color w:val="auto"/>
          <w:szCs w:val="24"/>
        </w:rPr>
        <w:t>Sulfasalazine</w:t>
      </w:r>
      <w:proofErr w:type="spellEnd"/>
      <w:r w:rsidR="00E265B1" w:rsidRPr="0010582F">
        <w:rPr>
          <w:rFonts w:asciiTheme="minorHAnsi" w:hAnsiTheme="minorHAnsi"/>
          <w:color w:val="auto"/>
          <w:szCs w:val="24"/>
        </w:rPr>
        <w:t xml:space="preserve">, but was not taking any narcotic pain medication.  </w:t>
      </w:r>
      <w:r w:rsidR="00DA3271" w:rsidRPr="0010582F">
        <w:rPr>
          <w:rFonts w:asciiTheme="minorHAnsi" w:hAnsiTheme="minorHAnsi"/>
          <w:color w:val="auto"/>
          <w:szCs w:val="24"/>
        </w:rPr>
        <w:t>The CI’s r</w:t>
      </w:r>
      <w:r w:rsidR="00060222" w:rsidRPr="0010582F">
        <w:rPr>
          <w:rFonts w:asciiTheme="minorHAnsi" w:hAnsiTheme="minorHAnsi"/>
          <w:color w:val="auto"/>
          <w:szCs w:val="24"/>
        </w:rPr>
        <w:t>ebuttal claim</w:t>
      </w:r>
      <w:r w:rsidR="00DA3271" w:rsidRPr="0010582F">
        <w:rPr>
          <w:rFonts w:asciiTheme="minorHAnsi" w:hAnsiTheme="minorHAnsi"/>
          <w:color w:val="auto"/>
          <w:szCs w:val="24"/>
        </w:rPr>
        <w:t>ed</w:t>
      </w:r>
      <w:r w:rsidR="00060222" w:rsidRPr="0010582F">
        <w:rPr>
          <w:rFonts w:asciiTheme="minorHAnsi" w:hAnsiTheme="minorHAnsi"/>
          <w:color w:val="auto"/>
          <w:szCs w:val="24"/>
        </w:rPr>
        <w:t xml:space="preserve"> he had constant pain in his jaw, right elbow, wrists, right knee</w:t>
      </w:r>
      <w:r w:rsidR="007A4586" w:rsidRPr="0010582F">
        <w:rPr>
          <w:rFonts w:asciiTheme="minorHAnsi" w:hAnsiTheme="minorHAnsi"/>
          <w:color w:val="auto"/>
          <w:szCs w:val="24"/>
        </w:rPr>
        <w:t>, ankles</w:t>
      </w:r>
      <w:r w:rsidR="00DA3271" w:rsidRPr="0010582F">
        <w:rPr>
          <w:rFonts w:asciiTheme="minorHAnsi" w:hAnsiTheme="minorHAnsi"/>
          <w:color w:val="auto"/>
          <w:szCs w:val="24"/>
        </w:rPr>
        <w:t xml:space="preserve">, fingers, toes and back and that </w:t>
      </w:r>
      <w:r w:rsidR="00486858" w:rsidRPr="0010582F">
        <w:rPr>
          <w:rFonts w:asciiTheme="minorHAnsi" w:hAnsiTheme="minorHAnsi"/>
          <w:color w:val="auto"/>
          <w:szCs w:val="24"/>
        </w:rPr>
        <w:t>he somet</w:t>
      </w:r>
      <w:r w:rsidR="00060222" w:rsidRPr="0010582F">
        <w:rPr>
          <w:rFonts w:asciiTheme="minorHAnsi" w:hAnsiTheme="minorHAnsi"/>
          <w:color w:val="auto"/>
          <w:szCs w:val="24"/>
        </w:rPr>
        <w:t>imes had a limp</w:t>
      </w:r>
      <w:r w:rsidR="00DA3271" w:rsidRPr="0010582F">
        <w:rPr>
          <w:rFonts w:asciiTheme="minorHAnsi" w:hAnsiTheme="minorHAnsi"/>
          <w:color w:val="auto"/>
          <w:szCs w:val="24"/>
        </w:rPr>
        <w:t>;</w:t>
      </w:r>
      <w:r w:rsidR="00060222" w:rsidRPr="0010582F">
        <w:rPr>
          <w:rFonts w:asciiTheme="minorHAnsi" w:hAnsiTheme="minorHAnsi"/>
          <w:color w:val="auto"/>
          <w:szCs w:val="24"/>
        </w:rPr>
        <w:t xml:space="preserve"> however</w:t>
      </w:r>
      <w:r w:rsidR="00DA3271" w:rsidRPr="0010582F">
        <w:rPr>
          <w:rFonts w:asciiTheme="minorHAnsi" w:hAnsiTheme="minorHAnsi"/>
          <w:color w:val="auto"/>
          <w:szCs w:val="24"/>
        </w:rPr>
        <w:t>,</w:t>
      </w:r>
      <w:r w:rsidR="00060222" w:rsidRPr="0010582F">
        <w:rPr>
          <w:rFonts w:asciiTheme="minorHAnsi" w:hAnsiTheme="minorHAnsi"/>
          <w:color w:val="auto"/>
          <w:szCs w:val="24"/>
        </w:rPr>
        <w:t xml:space="preserve"> he was never prescribed a cane for ambulation.  </w:t>
      </w:r>
      <w:r w:rsidR="00D9591E" w:rsidRPr="0010582F">
        <w:rPr>
          <w:rFonts w:asciiTheme="minorHAnsi" w:hAnsiTheme="minorHAnsi"/>
          <w:color w:val="auto"/>
          <w:szCs w:val="24"/>
        </w:rPr>
        <w:t xml:space="preserve">The CI appeared in person to the FPEB Formal Hearing Panel.  The Panel noted that the testimony that the CI gave was “quite dramatic, crawling on the floor like a baby because of his back pain, and feeling paralyzed.”  The Board further documented that the CI stated that he lost 3-5 days per month from work; however, the CI also testified that he had only gone to the Emergency Room (ER) once and didn’t go back because it was a “waste of time.”  The first ER visit (1993) was for lower abdominal </w:t>
      </w:r>
      <w:r w:rsidR="002C4359" w:rsidRPr="0010582F">
        <w:rPr>
          <w:rFonts w:asciiTheme="minorHAnsi" w:hAnsiTheme="minorHAnsi"/>
          <w:color w:val="auto"/>
          <w:szCs w:val="24"/>
        </w:rPr>
        <w:t>‘</w:t>
      </w:r>
      <w:proofErr w:type="spellStart"/>
      <w:r w:rsidR="00D9591E" w:rsidRPr="0010582F">
        <w:rPr>
          <w:rFonts w:asciiTheme="minorHAnsi" w:hAnsiTheme="minorHAnsi"/>
          <w:color w:val="auto"/>
          <w:szCs w:val="24"/>
        </w:rPr>
        <w:t>crampy</w:t>
      </w:r>
      <w:proofErr w:type="spellEnd"/>
      <w:r w:rsidR="002C4359" w:rsidRPr="0010582F">
        <w:rPr>
          <w:rFonts w:asciiTheme="minorHAnsi" w:hAnsiTheme="minorHAnsi"/>
          <w:color w:val="auto"/>
          <w:szCs w:val="24"/>
        </w:rPr>
        <w:t>’</w:t>
      </w:r>
      <w:r w:rsidR="00D9591E" w:rsidRPr="0010582F">
        <w:rPr>
          <w:rFonts w:asciiTheme="minorHAnsi" w:hAnsiTheme="minorHAnsi"/>
          <w:color w:val="auto"/>
          <w:szCs w:val="24"/>
        </w:rPr>
        <w:t xml:space="preserve"> intermittent pain. The second ER visit (19990629) was for abdominal pain, diarrhea and high fever after travel to an exotic </w:t>
      </w:r>
      <w:r w:rsidR="00D9591E" w:rsidRPr="0010582F">
        <w:rPr>
          <w:rFonts w:asciiTheme="minorHAnsi" w:hAnsiTheme="minorHAnsi"/>
          <w:color w:val="auto"/>
          <w:szCs w:val="24"/>
        </w:rPr>
        <w:lastRenderedPageBreak/>
        <w:t>location after eating local fruits and vegetables.</w:t>
      </w:r>
      <w:r w:rsidR="0048447E" w:rsidRPr="0010582F">
        <w:rPr>
          <w:rFonts w:asciiTheme="minorHAnsi" w:hAnsiTheme="minorHAnsi"/>
          <w:color w:val="auto"/>
          <w:szCs w:val="24"/>
        </w:rPr>
        <w:t xml:space="preserve">  </w:t>
      </w:r>
      <w:r w:rsidR="00FF6C91" w:rsidRPr="0010582F">
        <w:rPr>
          <w:rFonts w:asciiTheme="minorHAnsi" w:hAnsiTheme="minorHAnsi"/>
          <w:color w:val="auto"/>
          <w:szCs w:val="24"/>
        </w:rPr>
        <w:t xml:space="preserve">Regarding the CI’s work performance, submitted </w:t>
      </w:r>
      <w:r w:rsidR="0048447E" w:rsidRPr="0010582F">
        <w:rPr>
          <w:rFonts w:asciiTheme="minorHAnsi" w:hAnsiTheme="minorHAnsi"/>
          <w:color w:val="auto"/>
          <w:szCs w:val="24"/>
        </w:rPr>
        <w:t>fr</w:t>
      </w:r>
      <w:r w:rsidR="00FF6C91" w:rsidRPr="0010582F">
        <w:rPr>
          <w:rFonts w:asciiTheme="minorHAnsi" w:hAnsiTheme="minorHAnsi"/>
          <w:color w:val="auto"/>
          <w:szCs w:val="24"/>
        </w:rPr>
        <w:t>o</w:t>
      </w:r>
      <w:r w:rsidR="0048447E" w:rsidRPr="0010582F">
        <w:rPr>
          <w:rFonts w:asciiTheme="minorHAnsi" w:hAnsiTheme="minorHAnsi"/>
          <w:color w:val="auto"/>
          <w:szCs w:val="24"/>
        </w:rPr>
        <w:t>m</w:t>
      </w:r>
      <w:r w:rsidR="00FF6C91" w:rsidRPr="0010582F">
        <w:rPr>
          <w:rFonts w:asciiTheme="minorHAnsi" w:hAnsiTheme="minorHAnsi"/>
          <w:color w:val="auto"/>
          <w:szCs w:val="24"/>
        </w:rPr>
        <w:t xml:space="preserve"> his current employer’s memo</w:t>
      </w:r>
      <w:r w:rsidR="0048447E" w:rsidRPr="0010582F">
        <w:rPr>
          <w:rFonts w:asciiTheme="minorHAnsi" w:hAnsiTheme="minorHAnsi"/>
          <w:color w:val="auto"/>
          <w:szCs w:val="24"/>
        </w:rPr>
        <w:t xml:space="preserve"> </w:t>
      </w:r>
      <w:r w:rsidR="00FF6C91" w:rsidRPr="0010582F">
        <w:rPr>
          <w:rFonts w:asciiTheme="minorHAnsi" w:hAnsiTheme="minorHAnsi"/>
          <w:color w:val="auto"/>
          <w:szCs w:val="24"/>
        </w:rPr>
        <w:t>(20101210) state</w:t>
      </w:r>
      <w:r w:rsidR="0048447E" w:rsidRPr="0010582F">
        <w:rPr>
          <w:rFonts w:asciiTheme="minorHAnsi" w:hAnsiTheme="minorHAnsi"/>
          <w:color w:val="auto"/>
          <w:szCs w:val="24"/>
        </w:rPr>
        <w:t>d</w:t>
      </w:r>
      <w:r w:rsidR="00FF6C91" w:rsidRPr="0010582F">
        <w:rPr>
          <w:rFonts w:asciiTheme="minorHAnsi" w:hAnsiTheme="minorHAnsi"/>
          <w:color w:val="auto"/>
          <w:szCs w:val="24"/>
        </w:rPr>
        <w:t xml:space="preserve"> that since his employment (July 1999), the CI has not been able to lift heavy items, and perform physical workloads, nor is he able to travel as his position dictates due to his condition.</w:t>
      </w:r>
      <w:r w:rsidR="0048447E" w:rsidRPr="0010582F">
        <w:rPr>
          <w:rFonts w:asciiTheme="minorHAnsi" w:hAnsiTheme="minorHAnsi"/>
          <w:color w:val="auto"/>
          <w:szCs w:val="24"/>
        </w:rPr>
        <w:t xml:space="preserve">  It did indicate episodes (unspecified number or dates) when the CI was unable to meet with clients</w:t>
      </w:r>
      <w:r w:rsidR="00244DEB" w:rsidRPr="0010582F">
        <w:rPr>
          <w:rFonts w:asciiTheme="minorHAnsi" w:hAnsiTheme="minorHAnsi"/>
          <w:color w:val="auto"/>
          <w:szCs w:val="24"/>
        </w:rPr>
        <w:t xml:space="preserve">:  “we are aware that he has been limited to when he can actually be on a site at times due to his condition…”  </w:t>
      </w:r>
      <w:r w:rsidR="00B46AAA" w:rsidRPr="0010582F">
        <w:rPr>
          <w:rFonts w:asciiTheme="minorHAnsi" w:hAnsiTheme="minorHAnsi"/>
          <w:color w:val="auto"/>
          <w:szCs w:val="24"/>
        </w:rPr>
        <w:t xml:space="preserve">The </w:t>
      </w:r>
      <w:r w:rsidR="00D9591E" w:rsidRPr="0010582F">
        <w:rPr>
          <w:rFonts w:asciiTheme="minorHAnsi" w:hAnsiTheme="minorHAnsi"/>
          <w:color w:val="auto"/>
          <w:szCs w:val="24"/>
        </w:rPr>
        <w:t xml:space="preserve">VA </w:t>
      </w:r>
      <w:r w:rsidR="00486858" w:rsidRPr="0010582F">
        <w:rPr>
          <w:rFonts w:asciiTheme="minorHAnsi" w:hAnsiTheme="minorHAnsi"/>
          <w:color w:val="auto"/>
          <w:szCs w:val="24"/>
        </w:rPr>
        <w:t>Compensation</w:t>
      </w:r>
      <w:r w:rsidR="00B46AAA" w:rsidRPr="0010582F">
        <w:rPr>
          <w:rFonts w:asciiTheme="minorHAnsi" w:hAnsiTheme="minorHAnsi"/>
          <w:color w:val="auto"/>
          <w:szCs w:val="24"/>
        </w:rPr>
        <w:t xml:space="preserve"> and Pension (C&amp;P</w:t>
      </w:r>
      <w:r w:rsidR="00486858" w:rsidRPr="0010582F">
        <w:rPr>
          <w:rFonts w:asciiTheme="minorHAnsi" w:hAnsiTheme="minorHAnsi"/>
          <w:color w:val="auto"/>
          <w:szCs w:val="24"/>
        </w:rPr>
        <w:t>)</w:t>
      </w:r>
      <w:r w:rsidR="00B46AAA" w:rsidRPr="0010582F">
        <w:rPr>
          <w:rFonts w:asciiTheme="minorHAnsi" w:hAnsiTheme="minorHAnsi"/>
          <w:color w:val="auto"/>
          <w:szCs w:val="24"/>
        </w:rPr>
        <w:t xml:space="preserve"> exam was performed </w:t>
      </w:r>
      <w:r w:rsidR="00B92B30" w:rsidRPr="0010582F">
        <w:rPr>
          <w:rFonts w:asciiTheme="minorHAnsi" w:hAnsiTheme="minorHAnsi"/>
          <w:color w:val="auto"/>
          <w:szCs w:val="24"/>
        </w:rPr>
        <w:t>over</w:t>
      </w:r>
      <w:r w:rsidR="00B46AAA" w:rsidRPr="0010582F">
        <w:rPr>
          <w:rFonts w:asciiTheme="minorHAnsi" w:hAnsiTheme="minorHAnsi"/>
          <w:color w:val="auto"/>
          <w:szCs w:val="24"/>
        </w:rPr>
        <w:t xml:space="preserve"> </w:t>
      </w:r>
      <w:r w:rsidR="00D0119A" w:rsidRPr="0010582F">
        <w:rPr>
          <w:rFonts w:asciiTheme="minorHAnsi" w:hAnsiTheme="minorHAnsi"/>
          <w:color w:val="auto"/>
          <w:szCs w:val="24"/>
        </w:rPr>
        <w:t>four</w:t>
      </w:r>
      <w:r w:rsidR="00B46AAA" w:rsidRPr="0010582F">
        <w:rPr>
          <w:rFonts w:asciiTheme="minorHAnsi" w:hAnsiTheme="minorHAnsi"/>
          <w:color w:val="auto"/>
          <w:szCs w:val="24"/>
        </w:rPr>
        <w:t xml:space="preserve"> years</w:t>
      </w:r>
      <w:r w:rsidR="00B92B30" w:rsidRPr="0010582F">
        <w:rPr>
          <w:rFonts w:asciiTheme="minorHAnsi" w:hAnsiTheme="minorHAnsi"/>
          <w:color w:val="auto"/>
          <w:szCs w:val="24"/>
        </w:rPr>
        <w:t xml:space="preserve"> </w:t>
      </w:r>
      <w:r w:rsidR="00B46AAA" w:rsidRPr="0010582F">
        <w:rPr>
          <w:rFonts w:asciiTheme="minorHAnsi" w:hAnsiTheme="minorHAnsi"/>
          <w:color w:val="auto"/>
          <w:szCs w:val="24"/>
        </w:rPr>
        <w:t xml:space="preserve">prior to the CI’s separation </w:t>
      </w:r>
      <w:r w:rsidR="00B92B30" w:rsidRPr="0010582F">
        <w:rPr>
          <w:rFonts w:asciiTheme="minorHAnsi" w:hAnsiTheme="minorHAnsi"/>
          <w:color w:val="auto"/>
          <w:szCs w:val="24"/>
        </w:rPr>
        <w:t xml:space="preserve">from TDRL.  There </w:t>
      </w:r>
      <w:r w:rsidR="00486858" w:rsidRPr="0010582F">
        <w:rPr>
          <w:rFonts w:asciiTheme="minorHAnsi" w:hAnsiTheme="minorHAnsi"/>
          <w:color w:val="auto"/>
          <w:szCs w:val="24"/>
        </w:rPr>
        <w:t>were</w:t>
      </w:r>
      <w:r w:rsidR="00B46AAA" w:rsidRPr="0010582F">
        <w:rPr>
          <w:rFonts w:asciiTheme="minorHAnsi" w:hAnsiTheme="minorHAnsi"/>
          <w:color w:val="auto"/>
          <w:szCs w:val="24"/>
        </w:rPr>
        <w:t xml:space="preserve"> no further </w:t>
      </w:r>
      <w:r w:rsidR="00B92B30" w:rsidRPr="0010582F">
        <w:rPr>
          <w:rFonts w:asciiTheme="minorHAnsi" w:hAnsiTheme="minorHAnsi"/>
          <w:color w:val="auto"/>
          <w:szCs w:val="24"/>
        </w:rPr>
        <w:t xml:space="preserve">VA </w:t>
      </w:r>
      <w:r w:rsidR="00B46AAA" w:rsidRPr="0010582F">
        <w:rPr>
          <w:rFonts w:asciiTheme="minorHAnsi" w:hAnsiTheme="minorHAnsi"/>
          <w:color w:val="auto"/>
          <w:szCs w:val="24"/>
        </w:rPr>
        <w:t xml:space="preserve">exams </w:t>
      </w:r>
      <w:r w:rsidR="00B92B30" w:rsidRPr="0010582F">
        <w:rPr>
          <w:rFonts w:asciiTheme="minorHAnsi" w:hAnsiTheme="minorHAnsi"/>
          <w:color w:val="auto"/>
          <w:szCs w:val="24"/>
        </w:rPr>
        <w:t>or treatment notes in the record</w:t>
      </w:r>
      <w:r w:rsidR="00B46AAA" w:rsidRPr="0010582F">
        <w:rPr>
          <w:rFonts w:asciiTheme="minorHAnsi" w:hAnsiTheme="minorHAnsi"/>
          <w:color w:val="auto"/>
          <w:szCs w:val="24"/>
        </w:rPr>
        <w:t xml:space="preserve">.  </w:t>
      </w:r>
      <w:r w:rsidR="00B92B30" w:rsidRPr="0010582F">
        <w:rPr>
          <w:rFonts w:asciiTheme="minorHAnsi" w:hAnsiTheme="minorHAnsi"/>
          <w:color w:val="auto"/>
          <w:szCs w:val="24"/>
        </w:rPr>
        <w:t xml:space="preserve">The VA exam has minimal probative value for the final rating determination due to the remoteness from the rating timeframe.  </w:t>
      </w:r>
      <w:r w:rsidR="00244DEB" w:rsidRPr="0010582F">
        <w:rPr>
          <w:rFonts w:asciiTheme="minorHAnsi" w:hAnsiTheme="minorHAnsi"/>
          <w:color w:val="auto"/>
          <w:szCs w:val="24"/>
        </w:rPr>
        <w:t xml:space="preserve">The VA 40% rating was for “significant, objective, painful symptoms in three separate areas of his body which are all related to this </w:t>
      </w:r>
      <w:proofErr w:type="spellStart"/>
      <w:r w:rsidR="00244DEB" w:rsidRPr="0010582F">
        <w:rPr>
          <w:rFonts w:asciiTheme="minorHAnsi" w:hAnsiTheme="minorHAnsi"/>
          <w:color w:val="auto"/>
          <w:szCs w:val="24"/>
        </w:rPr>
        <w:t>seronegative</w:t>
      </w:r>
      <w:proofErr w:type="spellEnd"/>
      <w:r w:rsidR="00244DEB" w:rsidRPr="0010582F">
        <w:rPr>
          <w:rFonts w:asciiTheme="minorHAnsi" w:hAnsiTheme="minorHAnsi"/>
          <w:color w:val="auto"/>
          <w:szCs w:val="24"/>
        </w:rPr>
        <w:t xml:space="preserve"> </w:t>
      </w:r>
      <w:proofErr w:type="spellStart"/>
      <w:r w:rsidR="00244DEB" w:rsidRPr="0010582F">
        <w:rPr>
          <w:rFonts w:asciiTheme="minorHAnsi" w:hAnsiTheme="minorHAnsi"/>
          <w:color w:val="auto"/>
          <w:szCs w:val="24"/>
        </w:rPr>
        <w:t>polyarthritis</w:t>
      </w:r>
      <w:proofErr w:type="spellEnd"/>
      <w:r w:rsidR="00244DEB" w:rsidRPr="0010582F">
        <w:rPr>
          <w:rFonts w:asciiTheme="minorHAnsi" w:hAnsiTheme="minorHAnsi"/>
          <w:color w:val="auto"/>
          <w:szCs w:val="24"/>
        </w:rPr>
        <w:t xml:space="preserve">.”  </w:t>
      </w:r>
      <w:r w:rsidR="00086D67" w:rsidRPr="0010582F">
        <w:rPr>
          <w:rFonts w:asciiTheme="minorHAnsi" w:hAnsiTheme="minorHAnsi"/>
          <w:color w:val="auto"/>
          <w:szCs w:val="24"/>
        </w:rPr>
        <w:t xml:space="preserve">The PEB </w:t>
      </w:r>
      <w:r w:rsidR="00264B7B" w:rsidRPr="0010582F">
        <w:rPr>
          <w:rFonts w:asciiTheme="minorHAnsi" w:hAnsiTheme="minorHAnsi"/>
          <w:color w:val="auto"/>
          <w:szCs w:val="24"/>
        </w:rPr>
        <w:t xml:space="preserve">(5099-5002) </w:t>
      </w:r>
      <w:r w:rsidR="00086D67" w:rsidRPr="0010582F">
        <w:rPr>
          <w:rFonts w:asciiTheme="minorHAnsi" w:hAnsiTheme="minorHAnsi"/>
          <w:color w:val="auto"/>
          <w:szCs w:val="24"/>
        </w:rPr>
        <w:t xml:space="preserve">and VA </w:t>
      </w:r>
      <w:r w:rsidR="00264B7B" w:rsidRPr="0010582F">
        <w:rPr>
          <w:rFonts w:asciiTheme="minorHAnsi" w:hAnsiTheme="minorHAnsi"/>
          <w:color w:val="auto"/>
          <w:szCs w:val="24"/>
        </w:rPr>
        <w:t xml:space="preserve">(5009) </w:t>
      </w:r>
      <w:r w:rsidR="00086D67" w:rsidRPr="0010582F">
        <w:rPr>
          <w:rFonts w:asciiTheme="minorHAnsi" w:hAnsiTheme="minorHAnsi"/>
          <w:color w:val="auto"/>
          <w:szCs w:val="24"/>
        </w:rPr>
        <w:t xml:space="preserve">chose different coding options for </w:t>
      </w:r>
      <w:r w:rsidR="00264B7B" w:rsidRPr="0010582F">
        <w:rPr>
          <w:rFonts w:asciiTheme="minorHAnsi" w:hAnsiTheme="minorHAnsi"/>
          <w:color w:val="auto"/>
          <w:szCs w:val="24"/>
        </w:rPr>
        <w:t xml:space="preserve">rating </w:t>
      </w:r>
      <w:r w:rsidR="00086D67" w:rsidRPr="0010582F">
        <w:rPr>
          <w:rFonts w:asciiTheme="minorHAnsi" w:hAnsiTheme="minorHAnsi"/>
          <w:color w:val="auto"/>
          <w:szCs w:val="24"/>
        </w:rPr>
        <w:t>the condition</w:t>
      </w:r>
      <w:r w:rsidR="00B92B30" w:rsidRPr="0010582F">
        <w:rPr>
          <w:rFonts w:asciiTheme="minorHAnsi" w:hAnsiTheme="minorHAnsi"/>
          <w:color w:val="auto"/>
          <w:szCs w:val="24"/>
        </w:rPr>
        <w:t>; however, they are both rated under the same criteria</w:t>
      </w:r>
      <w:r w:rsidR="00264B7B" w:rsidRPr="0010582F">
        <w:rPr>
          <w:rFonts w:asciiTheme="minorHAnsi" w:hAnsiTheme="minorHAnsi"/>
          <w:color w:val="auto"/>
          <w:szCs w:val="24"/>
        </w:rPr>
        <w:t xml:space="preserve"> (VASRD 5002)</w:t>
      </w:r>
      <w:r w:rsidR="00086D67" w:rsidRPr="0010582F">
        <w:rPr>
          <w:rFonts w:asciiTheme="minorHAnsi" w:hAnsiTheme="minorHAnsi"/>
          <w:color w:val="auto"/>
          <w:szCs w:val="24"/>
        </w:rPr>
        <w:t xml:space="preserve">. </w:t>
      </w:r>
      <w:r w:rsidR="00B92B30" w:rsidRPr="0010582F">
        <w:rPr>
          <w:rFonts w:asciiTheme="minorHAnsi" w:hAnsiTheme="minorHAnsi"/>
          <w:color w:val="auto"/>
          <w:szCs w:val="24"/>
        </w:rPr>
        <w:t xml:space="preserve"> </w:t>
      </w:r>
      <w:r w:rsidR="00E34D30" w:rsidRPr="0010582F">
        <w:rPr>
          <w:rFonts w:asciiTheme="minorHAnsi" w:hAnsiTheme="minorHAnsi"/>
          <w:color w:val="auto"/>
          <w:szCs w:val="24"/>
        </w:rPr>
        <w:t xml:space="preserve">There was no indication in the record that any joint other than the knee may have been alternatively coded as unfitting; however, at no greater than 10% for §4.59, painful motion.  Therefore the arthritis coding (5002) is </w:t>
      </w:r>
      <w:proofErr w:type="gramStart"/>
      <w:r w:rsidR="00E34D30" w:rsidRPr="0010582F">
        <w:rPr>
          <w:rFonts w:asciiTheme="minorHAnsi" w:hAnsiTheme="minorHAnsi"/>
          <w:color w:val="auto"/>
          <w:szCs w:val="24"/>
        </w:rPr>
        <w:t>predominate</w:t>
      </w:r>
      <w:proofErr w:type="gramEnd"/>
      <w:r w:rsidR="00E34D30" w:rsidRPr="0010582F">
        <w:rPr>
          <w:rFonts w:asciiTheme="minorHAnsi" w:hAnsiTheme="minorHAnsi"/>
          <w:color w:val="auto"/>
          <w:szCs w:val="24"/>
        </w:rPr>
        <w:t xml:space="preserve">.  </w:t>
      </w:r>
      <w:r w:rsidR="0048447E" w:rsidRPr="0010582F">
        <w:rPr>
          <w:rFonts w:asciiTheme="minorHAnsi" w:hAnsiTheme="minorHAnsi"/>
          <w:color w:val="auto"/>
          <w:szCs w:val="24"/>
        </w:rPr>
        <w:t xml:space="preserve">The “well-established diagnosis” portion of the </w:t>
      </w:r>
      <w:r w:rsidR="00264B7B" w:rsidRPr="0010582F">
        <w:rPr>
          <w:rFonts w:asciiTheme="minorHAnsi" w:hAnsiTheme="minorHAnsi"/>
          <w:color w:val="auto"/>
          <w:szCs w:val="24"/>
        </w:rPr>
        <w:t xml:space="preserve">5002 </w:t>
      </w:r>
      <w:r w:rsidR="0048447E" w:rsidRPr="0010582F">
        <w:rPr>
          <w:rFonts w:asciiTheme="minorHAnsi" w:hAnsiTheme="minorHAnsi"/>
          <w:color w:val="auto"/>
          <w:szCs w:val="24"/>
        </w:rPr>
        <w:t xml:space="preserve">rating criteria was considered administratively final from the FPEB determination and final separation.  </w:t>
      </w:r>
      <w:r w:rsidR="00503954" w:rsidRPr="0010582F">
        <w:rPr>
          <w:rFonts w:asciiTheme="minorHAnsi" w:hAnsiTheme="minorHAnsi"/>
          <w:color w:val="auto"/>
          <w:szCs w:val="24"/>
        </w:rPr>
        <w:t xml:space="preserve">The </w:t>
      </w:r>
      <w:proofErr w:type="spellStart"/>
      <w:r w:rsidR="00503954" w:rsidRPr="0010582F">
        <w:rPr>
          <w:rFonts w:asciiTheme="minorHAnsi" w:hAnsiTheme="minorHAnsi"/>
          <w:color w:val="auto"/>
          <w:szCs w:val="24"/>
        </w:rPr>
        <w:t>seronegative</w:t>
      </w:r>
      <w:proofErr w:type="spellEnd"/>
      <w:r w:rsidR="00503954" w:rsidRPr="0010582F">
        <w:rPr>
          <w:rFonts w:asciiTheme="minorHAnsi" w:hAnsiTheme="minorHAnsi"/>
          <w:color w:val="auto"/>
          <w:szCs w:val="24"/>
        </w:rPr>
        <w:t xml:space="preserve"> arthritis as an </w:t>
      </w:r>
      <w:r w:rsidR="00244DEB" w:rsidRPr="0010582F">
        <w:rPr>
          <w:rFonts w:asciiTheme="minorHAnsi" w:hAnsiTheme="minorHAnsi"/>
          <w:color w:val="auto"/>
          <w:szCs w:val="24"/>
        </w:rPr>
        <w:t>“</w:t>
      </w:r>
      <w:r w:rsidR="00503954" w:rsidRPr="0010582F">
        <w:rPr>
          <w:rFonts w:asciiTheme="minorHAnsi" w:hAnsiTheme="minorHAnsi"/>
          <w:color w:val="auto"/>
          <w:szCs w:val="24"/>
        </w:rPr>
        <w:t>ongoing active process</w:t>
      </w:r>
      <w:r w:rsidR="00244DEB" w:rsidRPr="0010582F">
        <w:rPr>
          <w:rFonts w:asciiTheme="minorHAnsi" w:hAnsiTheme="minorHAnsi"/>
          <w:color w:val="auto"/>
          <w:szCs w:val="24"/>
        </w:rPr>
        <w:t>”</w:t>
      </w:r>
      <w:r w:rsidR="00503954" w:rsidRPr="0010582F">
        <w:rPr>
          <w:rFonts w:asciiTheme="minorHAnsi" w:hAnsiTheme="minorHAnsi"/>
          <w:color w:val="auto"/>
          <w:szCs w:val="24"/>
        </w:rPr>
        <w:t xml:space="preserve"> was also considered as being met.  </w:t>
      </w:r>
      <w:r w:rsidR="0048447E" w:rsidRPr="0010582F">
        <w:rPr>
          <w:rFonts w:asciiTheme="minorHAnsi" w:hAnsiTheme="minorHAnsi"/>
          <w:color w:val="auto"/>
          <w:szCs w:val="24"/>
        </w:rPr>
        <w:t>There was no indication that the CI was totally incapacitated (100%)</w:t>
      </w:r>
      <w:r w:rsidR="00264B7B" w:rsidRPr="0010582F">
        <w:rPr>
          <w:rFonts w:asciiTheme="minorHAnsi" w:hAnsiTheme="minorHAnsi"/>
          <w:color w:val="auto"/>
          <w:szCs w:val="24"/>
        </w:rPr>
        <w:t>;</w:t>
      </w:r>
      <w:r w:rsidR="0048447E" w:rsidRPr="0010582F">
        <w:rPr>
          <w:rFonts w:asciiTheme="minorHAnsi" w:hAnsiTheme="minorHAnsi"/>
          <w:color w:val="auto"/>
          <w:szCs w:val="24"/>
        </w:rPr>
        <w:t xml:space="preserve"> or had weight loss, anemia, or severe impairment of health (60%)</w:t>
      </w:r>
      <w:r w:rsidR="00264B7B" w:rsidRPr="0010582F">
        <w:rPr>
          <w:rFonts w:asciiTheme="minorHAnsi" w:hAnsiTheme="minorHAnsi"/>
          <w:color w:val="auto"/>
          <w:szCs w:val="24"/>
        </w:rPr>
        <w:t>;</w:t>
      </w:r>
      <w:r w:rsidR="0048447E" w:rsidRPr="0010582F">
        <w:rPr>
          <w:rFonts w:asciiTheme="minorHAnsi" w:hAnsiTheme="minorHAnsi"/>
          <w:color w:val="auto"/>
          <w:szCs w:val="24"/>
        </w:rPr>
        <w:t xml:space="preserve"> or definite impairment of health objectively supported by examination findings (40%)</w:t>
      </w:r>
      <w:r w:rsidR="00E34D30" w:rsidRPr="0010582F">
        <w:rPr>
          <w:rFonts w:asciiTheme="minorHAnsi" w:hAnsiTheme="minorHAnsi"/>
          <w:color w:val="auto"/>
          <w:szCs w:val="24"/>
        </w:rPr>
        <w:t>.</w:t>
      </w:r>
      <w:r w:rsidR="0048447E" w:rsidRPr="0010582F">
        <w:rPr>
          <w:rFonts w:asciiTheme="minorHAnsi" w:hAnsiTheme="minorHAnsi"/>
          <w:color w:val="auto"/>
          <w:szCs w:val="24"/>
        </w:rPr>
        <w:t xml:space="preserve">  </w:t>
      </w:r>
      <w:r w:rsidR="00264B7B" w:rsidRPr="0010582F">
        <w:rPr>
          <w:rFonts w:asciiTheme="minorHAnsi" w:hAnsiTheme="minorHAnsi"/>
          <w:color w:val="auto"/>
          <w:szCs w:val="24"/>
        </w:rPr>
        <w:t xml:space="preserve">There was no evidence of “severely incapacitating exacerbations” in the record.  </w:t>
      </w:r>
      <w:r w:rsidR="0048447E" w:rsidRPr="0010582F">
        <w:rPr>
          <w:rFonts w:asciiTheme="minorHAnsi" w:hAnsiTheme="minorHAnsi"/>
          <w:color w:val="auto"/>
          <w:szCs w:val="24"/>
        </w:rPr>
        <w:t>The rating focused</w:t>
      </w:r>
      <w:r w:rsidR="0010582F">
        <w:rPr>
          <w:rFonts w:asciiTheme="minorHAnsi" w:hAnsiTheme="minorHAnsi"/>
          <w:color w:val="auto"/>
          <w:szCs w:val="24"/>
        </w:rPr>
        <w:t>,</w:t>
      </w:r>
      <w:r w:rsidR="0048447E" w:rsidRPr="0010582F">
        <w:rPr>
          <w:rFonts w:asciiTheme="minorHAnsi" w:hAnsiTheme="minorHAnsi"/>
          <w:color w:val="auto"/>
          <w:szCs w:val="24"/>
        </w:rPr>
        <w:t xml:space="preserve"> therefore</w:t>
      </w:r>
      <w:r w:rsidR="0010582F">
        <w:rPr>
          <w:rFonts w:asciiTheme="minorHAnsi" w:hAnsiTheme="minorHAnsi"/>
          <w:color w:val="auto"/>
          <w:szCs w:val="24"/>
        </w:rPr>
        <w:t>,</w:t>
      </w:r>
      <w:r w:rsidR="0048447E" w:rsidRPr="0010582F">
        <w:rPr>
          <w:rFonts w:asciiTheme="minorHAnsi" w:hAnsiTheme="minorHAnsi"/>
          <w:color w:val="auto"/>
          <w:szCs w:val="24"/>
        </w:rPr>
        <w:t xml:space="preserve"> on the frequency of “incapacitating exacerbations” as delineated in the </w:t>
      </w:r>
      <w:r w:rsidR="00264B7B" w:rsidRPr="0010582F">
        <w:rPr>
          <w:rFonts w:asciiTheme="minorHAnsi" w:hAnsiTheme="minorHAnsi"/>
          <w:color w:val="auto"/>
          <w:szCs w:val="24"/>
        </w:rPr>
        <w:t xml:space="preserve">rating </w:t>
      </w:r>
      <w:r w:rsidR="0048447E" w:rsidRPr="0010582F">
        <w:rPr>
          <w:rFonts w:asciiTheme="minorHAnsi" w:hAnsiTheme="minorHAnsi"/>
          <w:color w:val="auto"/>
          <w:szCs w:val="24"/>
        </w:rPr>
        <w:t>criteria</w:t>
      </w:r>
      <w:r w:rsidR="00264B7B" w:rsidRPr="0010582F">
        <w:rPr>
          <w:rFonts w:asciiTheme="minorHAnsi" w:hAnsiTheme="minorHAnsi"/>
          <w:color w:val="auto"/>
          <w:szCs w:val="24"/>
        </w:rPr>
        <w:t xml:space="preserve"> (</w:t>
      </w:r>
      <w:r w:rsidR="00D0119A" w:rsidRPr="0010582F">
        <w:rPr>
          <w:rFonts w:asciiTheme="minorHAnsi" w:hAnsiTheme="minorHAnsi"/>
          <w:color w:val="auto"/>
          <w:szCs w:val="24"/>
        </w:rPr>
        <w:t>three</w:t>
      </w:r>
      <w:r w:rsidR="00264B7B" w:rsidRPr="0010582F">
        <w:rPr>
          <w:rFonts w:asciiTheme="minorHAnsi" w:hAnsiTheme="minorHAnsi"/>
          <w:color w:val="auto"/>
          <w:szCs w:val="24"/>
        </w:rPr>
        <w:t xml:space="preserve"> or more times a year-40%; </w:t>
      </w:r>
      <w:r w:rsidR="00D0119A" w:rsidRPr="0010582F">
        <w:rPr>
          <w:rFonts w:asciiTheme="minorHAnsi" w:hAnsiTheme="minorHAnsi"/>
          <w:color w:val="auto"/>
          <w:szCs w:val="24"/>
        </w:rPr>
        <w:t>o</w:t>
      </w:r>
      <w:r w:rsidR="00264B7B" w:rsidRPr="0010582F">
        <w:rPr>
          <w:rFonts w:asciiTheme="minorHAnsi" w:hAnsiTheme="minorHAnsi"/>
          <w:color w:val="auto"/>
          <w:szCs w:val="24"/>
        </w:rPr>
        <w:t>ne or two exacerbations a year-20%)</w:t>
      </w:r>
      <w:r w:rsidR="0048447E" w:rsidRPr="0010582F">
        <w:rPr>
          <w:rFonts w:asciiTheme="minorHAnsi" w:hAnsiTheme="minorHAnsi"/>
          <w:color w:val="auto"/>
          <w:szCs w:val="24"/>
        </w:rPr>
        <w:t>.</w:t>
      </w:r>
      <w:r w:rsidR="00264B7B" w:rsidRPr="0010582F">
        <w:rPr>
          <w:rFonts w:asciiTheme="minorHAnsi" w:hAnsiTheme="minorHAnsi"/>
          <w:color w:val="auto"/>
          <w:szCs w:val="24"/>
        </w:rPr>
        <w:t xml:space="preserve">  </w:t>
      </w:r>
      <w:r w:rsidR="00503954" w:rsidRPr="0010582F">
        <w:rPr>
          <w:rFonts w:asciiTheme="minorHAnsi" w:hAnsiTheme="minorHAnsi"/>
          <w:color w:val="auto"/>
          <w:szCs w:val="24"/>
        </w:rPr>
        <w:t>Aside from the CI’s statements of lost work days and the non-specific history from the CI’s employer, there were no hospitalizations, ER visits, or provider entries indicating incapacitation in the record</w:t>
      </w:r>
      <w:r w:rsidR="00E34D30" w:rsidRPr="0010582F">
        <w:rPr>
          <w:rFonts w:asciiTheme="minorHAnsi" w:hAnsiTheme="minorHAnsi"/>
          <w:color w:val="auto"/>
          <w:szCs w:val="24"/>
        </w:rPr>
        <w:t xml:space="preserve"> after 1999</w:t>
      </w:r>
      <w:r w:rsidR="00503954" w:rsidRPr="0010582F">
        <w:rPr>
          <w:rFonts w:asciiTheme="minorHAnsi" w:hAnsiTheme="minorHAnsi"/>
          <w:color w:val="auto"/>
          <w:szCs w:val="24"/>
        </w:rPr>
        <w:t xml:space="preserve">.  </w:t>
      </w:r>
      <w:r w:rsidR="00264B7B" w:rsidRPr="0010582F">
        <w:rPr>
          <w:rFonts w:asciiTheme="minorHAnsi" w:hAnsiTheme="minorHAnsi"/>
          <w:color w:val="auto"/>
          <w:szCs w:val="24"/>
        </w:rPr>
        <w:t xml:space="preserve">There was </w:t>
      </w:r>
      <w:r w:rsidR="00503954" w:rsidRPr="0010582F">
        <w:rPr>
          <w:rFonts w:asciiTheme="minorHAnsi" w:hAnsiTheme="minorHAnsi"/>
          <w:color w:val="auto"/>
          <w:szCs w:val="24"/>
        </w:rPr>
        <w:t xml:space="preserve">insufficient </w:t>
      </w:r>
      <w:r w:rsidR="00264B7B" w:rsidRPr="0010582F">
        <w:rPr>
          <w:rFonts w:asciiTheme="minorHAnsi" w:hAnsiTheme="minorHAnsi"/>
          <w:color w:val="auto"/>
          <w:szCs w:val="24"/>
        </w:rPr>
        <w:t xml:space="preserve">objective evidence in the record to substantiate the CI’s claim of greater than one or two incapacitating episodes </w:t>
      </w:r>
      <w:r w:rsidR="00503954" w:rsidRPr="0010582F">
        <w:rPr>
          <w:rFonts w:asciiTheme="minorHAnsi" w:hAnsiTheme="minorHAnsi"/>
          <w:color w:val="auto"/>
          <w:szCs w:val="24"/>
        </w:rPr>
        <w:t xml:space="preserve">per year </w:t>
      </w:r>
      <w:r w:rsidR="00264B7B" w:rsidRPr="0010582F">
        <w:rPr>
          <w:rFonts w:asciiTheme="minorHAnsi" w:hAnsiTheme="minorHAnsi"/>
          <w:color w:val="auto"/>
          <w:szCs w:val="24"/>
        </w:rPr>
        <w:t xml:space="preserve">proximate to his separation from TDRL.  </w:t>
      </w:r>
      <w:r w:rsidR="00086D67" w:rsidRPr="0010582F">
        <w:rPr>
          <w:rFonts w:asciiTheme="minorHAnsi" w:hAnsiTheme="minorHAnsi"/>
          <w:color w:val="auto"/>
          <w:szCs w:val="24"/>
        </w:rPr>
        <w:t>After due deliberation</w:t>
      </w:r>
      <w:r w:rsidR="00EE5DD6" w:rsidRPr="0010582F">
        <w:rPr>
          <w:rFonts w:asciiTheme="minorHAnsi" w:hAnsiTheme="minorHAnsi"/>
          <w:color w:val="auto"/>
          <w:szCs w:val="24"/>
        </w:rPr>
        <w:t xml:space="preserve">, </w:t>
      </w:r>
      <w:r w:rsidR="00ED6A8E" w:rsidRPr="0010582F">
        <w:rPr>
          <w:rFonts w:asciiTheme="minorHAnsi" w:hAnsiTheme="minorHAnsi"/>
          <w:color w:val="auto"/>
          <w:szCs w:val="24"/>
        </w:rPr>
        <w:t xml:space="preserve">and consideration of all evidence, </w:t>
      </w:r>
      <w:r w:rsidR="00EE5DD6" w:rsidRPr="0010582F">
        <w:rPr>
          <w:rFonts w:asciiTheme="minorHAnsi" w:hAnsiTheme="minorHAnsi"/>
          <w:color w:val="auto"/>
          <w:szCs w:val="24"/>
        </w:rPr>
        <w:t>t</w:t>
      </w:r>
      <w:r w:rsidR="00086D67" w:rsidRPr="0010582F">
        <w:rPr>
          <w:rFonts w:asciiTheme="minorHAnsi" w:hAnsiTheme="minorHAnsi"/>
          <w:color w:val="auto"/>
          <w:szCs w:val="24"/>
        </w:rPr>
        <w:t xml:space="preserve">here is not reasonable doubt in the CI’s favor, therefore, to justify a Board recommendation for other than the 20% rating assigned by the PEB for the </w:t>
      </w:r>
      <w:proofErr w:type="spellStart"/>
      <w:r w:rsidR="00086D67" w:rsidRPr="0010582F">
        <w:rPr>
          <w:rFonts w:asciiTheme="minorHAnsi" w:hAnsiTheme="minorHAnsi"/>
          <w:color w:val="auto"/>
          <w:szCs w:val="24"/>
        </w:rPr>
        <w:t>Seronegative</w:t>
      </w:r>
      <w:proofErr w:type="spellEnd"/>
      <w:r w:rsidR="00086D67" w:rsidRPr="0010582F">
        <w:rPr>
          <w:rFonts w:asciiTheme="minorHAnsi" w:hAnsiTheme="minorHAnsi"/>
          <w:color w:val="auto"/>
          <w:szCs w:val="24"/>
        </w:rPr>
        <w:t xml:space="preserve"> </w:t>
      </w:r>
      <w:r w:rsidR="007A4586" w:rsidRPr="0010582F">
        <w:rPr>
          <w:rFonts w:asciiTheme="minorHAnsi" w:hAnsiTheme="minorHAnsi"/>
          <w:color w:val="auto"/>
          <w:szCs w:val="24"/>
        </w:rPr>
        <w:t>Arthritis</w:t>
      </w:r>
      <w:r w:rsidR="00086D67" w:rsidRPr="0010582F">
        <w:rPr>
          <w:rFonts w:asciiTheme="minorHAnsi" w:hAnsiTheme="minorHAnsi"/>
          <w:color w:val="auto"/>
          <w:szCs w:val="24"/>
        </w:rPr>
        <w:t xml:space="preserve"> condition</w:t>
      </w:r>
      <w:r w:rsidR="00B92B30" w:rsidRPr="0010582F">
        <w:rPr>
          <w:rFonts w:asciiTheme="minorHAnsi" w:hAnsiTheme="minorHAnsi"/>
          <w:color w:val="auto"/>
          <w:szCs w:val="24"/>
        </w:rPr>
        <w:t xml:space="preserve"> coded as 5099-5002</w:t>
      </w:r>
      <w:r w:rsidR="00086D67" w:rsidRPr="0010582F">
        <w:rPr>
          <w:rFonts w:asciiTheme="minorHAnsi" w:hAnsiTheme="minorHAnsi"/>
          <w:color w:val="auto"/>
          <w:szCs w:val="24"/>
        </w:rPr>
        <w:t xml:space="preserve">.  </w:t>
      </w:r>
    </w:p>
    <w:p w:rsidR="00B92B30" w:rsidRPr="0010582F" w:rsidRDefault="00B92B30" w:rsidP="00593D06">
      <w:pPr>
        <w:tabs>
          <w:tab w:val="left" w:pos="288"/>
          <w:tab w:val="left" w:pos="4752"/>
        </w:tabs>
        <w:spacing w:line="220" w:lineRule="exact"/>
        <w:jc w:val="both"/>
        <w:rPr>
          <w:rFonts w:asciiTheme="minorHAnsi" w:hAnsiTheme="minorHAnsi"/>
          <w:color w:val="auto"/>
          <w:szCs w:val="24"/>
        </w:rPr>
      </w:pPr>
    </w:p>
    <w:p w:rsidR="00616165" w:rsidRPr="0010582F" w:rsidRDefault="003F5360" w:rsidP="00593D06">
      <w:pPr>
        <w:tabs>
          <w:tab w:val="left" w:pos="288"/>
          <w:tab w:val="left" w:pos="4752"/>
        </w:tabs>
        <w:spacing w:line="220" w:lineRule="exact"/>
        <w:jc w:val="both"/>
        <w:rPr>
          <w:rFonts w:asciiTheme="minorHAnsi" w:hAnsiTheme="minorHAnsi"/>
          <w:color w:val="auto"/>
          <w:szCs w:val="24"/>
        </w:rPr>
      </w:pPr>
      <w:r w:rsidRPr="0010582F">
        <w:rPr>
          <w:rFonts w:asciiTheme="minorHAnsi" w:hAnsiTheme="minorHAnsi"/>
          <w:color w:val="auto"/>
          <w:szCs w:val="24"/>
          <w:u w:val="single"/>
        </w:rPr>
        <w:t>Abdominal Pain resolved after Appendectomy</w:t>
      </w:r>
      <w:r w:rsidRPr="0010582F">
        <w:rPr>
          <w:rFonts w:asciiTheme="minorHAnsi" w:hAnsiTheme="minorHAnsi"/>
          <w:color w:val="auto"/>
          <w:szCs w:val="24"/>
        </w:rPr>
        <w:t xml:space="preserve">:  </w:t>
      </w:r>
      <w:r w:rsidR="00616165" w:rsidRPr="0010582F">
        <w:rPr>
          <w:rFonts w:asciiTheme="minorHAnsi" w:hAnsiTheme="minorHAnsi"/>
          <w:color w:val="auto"/>
          <w:szCs w:val="24"/>
        </w:rPr>
        <w:t xml:space="preserve">The CI noted his continuing stomach heartburn on his contention.  </w:t>
      </w:r>
      <w:r w:rsidR="00E926F0" w:rsidRPr="0010582F">
        <w:rPr>
          <w:rFonts w:asciiTheme="minorHAnsi" w:hAnsiTheme="minorHAnsi"/>
          <w:color w:val="auto"/>
          <w:szCs w:val="24"/>
        </w:rPr>
        <w:t xml:space="preserve">This condition was </w:t>
      </w:r>
      <w:r w:rsidR="00862148" w:rsidRPr="0010582F">
        <w:rPr>
          <w:rFonts w:asciiTheme="minorHAnsi" w:hAnsiTheme="minorHAnsi"/>
          <w:color w:val="auto"/>
          <w:szCs w:val="24"/>
        </w:rPr>
        <w:t>adjudicated as</w:t>
      </w:r>
      <w:r w:rsidR="00E926F0" w:rsidRPr="0010582F">
        <w:rPr>
          <w:rFonts w:asciiTheme="minorHAnsi" w:hAnsiTheme="minorHAnsi"/>
          <w:color w:val="auto"/>
          <w:szCs w:val="24"/>
        </w:rPr>
        <w:t xml:space="preserve"> resolved as the CI had the appendectomy on 19951023.  </w:t>
      </w:r>
      <w:r w:rsidR="008C26CC" w:rsidRPr="0010582F">
        <w:rPr>
          <w:rFonts w:asciiTheme="minorHAnsi" w:hAnsiTheme="minorHAnsi"/>
          <w:color w:val="auto"/>
          <w:szCs w:val="24"/>
        </w:rPr>
        <w:t>Postoperatively</w:t>
      </w:r>
      <w:r w:rsidR="00616165" w:rsidRPr="0010582F">
        <w:rPr>
          <w:rFonts w:asciiTheme="minorHAnsi" w:hAnsiTheme="minorHAnsi"/>
          <w:color w:val="auto"/>
          <w:szCs w:val="24"/>
        </w:rPr>
        <w:t>,</w:t>
      </w:r>
      <w:r w:rsidR="008C26CC" w:rsidRPr="0010582F">
        <w:rPr>
          <w:rFonts w:asciiTheme="minorHAnsi" w:hAnsiTheme="minorHAnsi"/>
          <w:color w:val="auto"/>
          <w:szCs w:val="24"/>
        </w:rPr>
        <w:t xml:space="preserve"> all subsequent exams document the abdomen to be </w:t>
      </w:r>
      <w:r w:rsidR="00616165" w:rsidRPr="0010582F">
        <w:rPr>
          <w:rFonts w:asciiTheme="minorHAnsi" w:hAnsiTheme="minorHAnsi"/>
          <w:color w:val="auto"/>
          <w:szCs w:val="24"/>
        </w:rPr>
        <w:t>non-tender.  The CI continued with complaints of abdominal upset without nausea, vomiting, change in bowel habits, or weight loss.  All evidence considered</w:t>
      </w:r>
      <w:proofErr w:type="gramStart"/>
      <w:r w:rsidR="00616165" w:rsidRPr="0010582F">
        <w:rPr>
          <w:rFonts w:asciiTheme="minorHAnsi" w:hAnsiTheme="minorHAnsi"/>
          <w:color w:val="auto"/>
          <w:szCs w:val="24"/>
        </w:rPr>
        <w:t>,</w:t>
      </w:r>
      <w:proofErr w:type="gramEnd"/>
      <w:r w:rsidR="00616165" w:rsidRPr="0010582F">
        <w:rPr>
          <w:rFonts w:asciiTheme="minorHAnsi" w:hAnsiTheme="minorHAnsi"/>
          <w:color w:val="auto"/>
          <w:szCs w:val="24"/>
        </w:rPr>
        <w:t xml:space="preserve"> there is not reasonable doubt in the CI’s favor supporting re</w:t>
      </w:r>
      <w:r w:rsidR="0010582F">
        <w:rPr>
          <w:rFonts w:asciiTheme="minorHAnsi" w:hAnsiTheme="minorHAnsi"/>
          <w:color w:val="auto"/>
          <w:szCs w:val="24"/>
        </w:rPr>
        <w:t>-</w:t>
      </w:r>
      <w:r w:rsidR="00616165" w:rsidRPr="0010582F">
        <w:rPr>
          <w:rFonts w:asciiTheme="minorHAnsi" w:hAnsiTheme="minorHAnsi"/>
          <w:color w:val="auto"/>
          <w:szCs w:val="24"/>
        </w:rPr>
        <w:t xml:space="preserve">characterization of the PEB fitness adjudication for the </w:t>
      </w:r>
      <w:r w:rsidR="00D0119A" w:rsidRPr="0010582F">
        <w:rPr>
          <w:rFonts w:asciiTheme="minorHAnsi" w:hAnsiTheme="minorHAnsi"/>
          <w:color w:val="auto"/>
          <w:szCs w:val="24"/>
        </w:rPr>
        <w:t>a</w:t>
      </w:r>
      <w:r w:rsidR="00616165" w:rsidRPr="0010582F">
        <w:rPr>
          <w:rFonts w:asciiTheme="minorHAnsi" w:hAnsiTheme="minorHAnsi"/>
          <w:color w:val="auto"/>
          <w:szCs w:val="24"/>
        </w:rPr>
        <w:t xml:space="preserve">bdominal condition.  </w:t>
      </w:r>
    </w:p>
    <w:p w:rsidR="00B645D3" w:rsidRPr="0010582F" w:rsidRDefault="00B645D3" w:rsidP="00593D06">
      <w:pPr>
        <w:tabs>
          <w:tab w:val="left" w:pos="288"/>
          <w:tab w:val="left" w:pos="4752"/>
        </w:tabs>
        <w:spacing w:line="220" w:lineRule="exact"/>
        <w:jc w:val="both"/>
        <w:rPr>
          <w:rFonts w:asciiTheme="minorHAnsi" w:hAnsiTheme="minorHAnsi"/>
          <w:color w:val="auto"/>
          <w:szCs w:val="24"/>
        </w:rPr>
      </w:pPr>
    </w:p>
    <w:p w:rsidR="00B645D3" w:rsidRPr="0010582F" w:rsidRDefault="00B645D3" w:rsidP="00593D06">
      <w:pPr>
        <w:tabs>
          <w:tab w:val="left" w:pos="288"/>
          <w:tab w:val="left" w:pos="4752"/>
        </w:tabs>
        <w:spacing w:line="220" w:lineRule="exact"/>
        <w:jc w:val="both"/>
        <w:rPr>
          <w:rFonts w:asciiTheme="minorHAnsi" w:hAnsiTheme="minorHAnsi"/>
          <w:color w:val="auto"/>
          <w:szCs w:val="24"/>
        </w:rPr>
      </w:pPr>
      <w:proofErr w:type="gramStart"/>
      <w:r w:rsidRPr="0010582F">
        <w:rPr>
          <w:rFonts w:asciiTheme="minorHAnsi" w:hAnsiTheme="minorHAnsi"/>
          <w:color w:val="auto"/>
          <w:szCs w:val="24"/>
          <w:u w:val="single"/>
        </w:rPr>
        <w:t>Other Conditions</w:t>
      </w:r>
      <w:r w:rsidRPr="0010582F">
        <w:rPr>
          <w:rFonts w:asciiTheme="minorHAnsi" w:hAnsiTheme="minorHAnsi"/>
          <w:color w:val="auto"/>
          <w:szCs w:val="24"/>
        </w:rPr>
        <w:t>.</w:t>
      </w:r>
      <w:proofErr w:type="gramEnd"/>
      <w:r w:rsidRPr="0010582F">
        <w:rPr>
          <w:rFonts w:asciiTheme="minorHAnsi" w:hAnsiTheme="minorHAnsi"/>
          <w:color w:val="auto"/>
          <w:szCs w:val="24"/>
        </w:rPr>
        <w:t xml:space="preserve">  </w:t>
      </w:r>
      <w:r w:rsidR="002C09A9" w:rsidRPr="0010582F">
        <w:rPr>
          <w:rFonts w:asciiTheme="minorHAnsi" w:hAnsiTheme="minorHAnsi"/>
          <w:color w:val="auto"/>
          <w:szCs w:val="24"/>
        </w:rPr>
        <w:t xml:space="preserve">Several relatively minor medical conditions were identified in the NARSUM and MEB physical.  These were reviewed by the </w:t>
      </w:r>
      <w:r w:rsidR="0010582F">
        <w:rPr>
          <w:rFonts w:asciiTheme="minorHAnsi" w:hAnsiTheme="minorHAnsi"/>
          <w:color w:val="auto"/>
          <w:szCs w:val="24"/>
        </w:rPr>
        <w:t>a</w:t>
      </w:r>
      <w:r w:rsidR="002C09A9" w:rsidRPr="0010582F">
        <w:rPr>
          <w:rFonts w:asciiTheme="minorHAnsi" w:hAnsiTheme="minorHAnsi"/>
          <w:color w:val="auto"/>
          <w:szCs w:val="24"/>
        </w:rPr>
        <w:t xml:space="preserve">ction </w:t>
      </w:r>
      <w:r w:rsidR="0010582F">
        <w:rPr>
          <w:rFonts w:asciiTheme="minorHAnsi" w:hAnsiTheme="minorHAnsi"/>
          <w:color w:val="auto"/>
          <w:szCs w:val="24"/>
        </w:rPr>
        <w:t>o</w:t>
      </w:r>
      <w:r w:rsidR="002C09A9" w:rsidRPr="0010582F">
        <w:rPr>
          <w:rFonts w:asciiTheme="minorHAnsi" w:hAnsiTheme="minorHAnsi"/>
          <w:color w:val="auto"/>
          <w:szCs w:val="24"/>
        </w:rPr>
        <w:t xml:space="preserve">fficer and considered by the Board.  It was determined that none could be argued as unfitting and subject to separation rating.  </w:t>
      </w:r>
      <w:r w:rsidRPr="0010582F">
        <w:rPr>
          <w:rFonts w:asciiTheme="minorHAnsi" w:hAnsiTheme="minorHAnsi"/>
          <w:color w:val="auto"/>
          <w:szCs w:val="24"/>
        </w:rPr>
        <w:t xml:space="preserve">No other conditions were service connected with a compensable rating by the VA within twelve months of separation.  The Board, therefore, has no reasonable basis for recommending any additional unfitting conditions for separation rating.  </w:t>
      </w:r>
    </w:p>
    <w:p w:rsidR="008C26CC" w:rsidRPr="0010582F" w:rsidRDefault="008C26CC" w:rsidP="00593D06">
      <w:pPr>
        <w:tabs>
          <w:tab w:val="left" w:pos="288"/>
          <w:tab w:val="left" w:pos="4752"/>
        </w:tabs>
        <w:spacing w:line="220" w:lineRule="exact"/>
        <w:jc w:val="both"/>
        <w:rPr>
          <w:rFonts w:asciiTheme="minorHAnsi" w:hAnsiTheme="minorHAnsi"/>
          <w:color w:val="auto"/>
          <w:szCs w:val="24"/>
        </w:rPr>
      </w:pPr>
      <w:r w:rsidRPr="0010582F">
        <w:rPr>
          <w:rFonts w:asciiTheme="minorHAnsi" w:hAnsiTheme="minorHAnsi"/>
          <w:color w:val="auto"/>
          <w:szCs w:val="24"/>
          <w:u w:val="single"/>
        </w:rPr>
        <w:t>_______________________________________________________________</w:t>
      </w:r>
      <w:r w:rsidRPr="0010582F">
        <w:rPr>
          <w:rFonts w:asciiTheme="minorHAnsi" w:hAnsiTheme="minorHAnsi"/>
          <w:color w:val="auto"/>
          <w:szCs w:val="24"/>
        </w:rPr>
        <w:t>______________</w:t>
      </w:r>
    </w:p>
    <w:p w:rsidR="008C26CC" w:rsidRPr="0010582F" w:rsidRDefault="008C26CC" w:rsidP="00593D06">
      <w:pPr>
        <w:tabs>
          <w:tab w:val="left" w:pos="288"/>
          <w:tab w:val="left" w:pos="4752"/>
        </w:tabs>
        <w:spacing w:line="220" w:lineRule="exact"/>
        <w:jc w:val="both"/>
        <w:rPr>
          <w:color w:val="auto"/>
          <w:szCs w:val="24"/>
        </w:rPr>
      </w:pPr>
    </w:p>
    <w:p w:rsidR="008C26CC" w:rsidRPr="0010582F" w:rsidRDefault="008C26CC" w:rsidP="00593D06">
      <w:pPr>
        <w:spacing w:line="220" w:lineRule="exact"/>
        <w:jc w:val="both"/>
        <w:rPr>
          <w:rFonts w:asciiTheme="minorHAnsi" w:eastAsiaTheme="minorHAnsi" w:hAnsiTheme="minorHAnsi"/>
          <w:color w:val="auto"/>
          <w:szCs w:val="24"/>
        </w:rPr>
      </w:pPr>
      <w:r w:rsidRPr="0010582F">
        <w:rPr>
          <w:rFonts w:asciiTheme="minorHAnsi" w:hAnsiTheme="minorHAnsi"/>
          <w:color w:val="auto"/>
          <w:szCs w:val="24"/>
          <w:u w:val="single"/>
        </w:rPr>
        <w:t>BOARD FINDINGS</w:t>
      </w:r>
      <w:r w:rsidRPr="0010582F">
        <w:rPr>
          <w:rFonts w:asciiTheme="minorHAnsi" w:hAnsiTheme="minorHAnsi"/>
          <w:color w:val="auto"/>
          <w:szCs w:val="24"/>
        </w:rPr>
        <w:t>:</w:t>
      </w:r>
      <w:r w:rsidRPr="0010582F">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AE70AB" w:rsidRPr="0010582F">
        <w:rPr>
          <w:rFonts w:asciiTheme="minorHAnsi" w:eastAsiaTheme="minorHAnsi" w:hAnsiTheme="minorHAnsi"/>
          <w:color w:val="auto"/>
          <w:szCs w:val="24"/>
        </w:rPr>
        <w:t xml:space="preserve">The Board did not surmise from the record or PEB ruling in this case that any </w:t>
      </w:r>
      <w:r w:rsidR="0088222C" w:rsidRPr="0010582F">
        <w:rPr>
          <w:rFonts w:asciiTheme="minorHAnsi" w:eastAsiaTheme="minorHAnsi" w:hAnsiTheme="minorHAnsi"/>
          <w:color w:val="auto"/>
          <w:szCs w:val="24"/>
        </w:rPr>
        <w:t xml:space="preserve">prerogatives outside the VASRD were exercised.  In the matter of the </w:t>
      </w:r>
      <w:proofErr w:type="spellStart"/>
      <w:r w:rsidR="0088222C" w:rsidRPr="0010582F">
        <w:rPr>
          <w:rFonts w:asciiTheme="minorHAnsi" w:eastAsiaTheme="minorHAnsi" w:hAnsiTheme="minorHAnsi"/>
          <w:color w:val="auto"/>
          <w:szCs w:val="24"/>
        </w:rPr>
        <w:t>Seronegative</w:t>
      </w:r>
      <w:proofErr w:type="spellEnd"/>
      <w:r w:rsidR="0088222C" w:rsidRPr="0010582F">
        <w:rPr>
          <w:rFonts w:asciiTheme="minorHAnsi" w:eastAsiaTheme="minorHAnsi" w:hAnsiTheme="minorHAnsi"/>
          <w:color w:val="auto"/>
          <w:szCs w:val="24"/>
        </w:rPr>
        <w:t xml:space="preserve"> Arthritis condition and IAW VASRD §4.71a, the Board unanimously recommends no </w:t>
      </w:r>
      <w:r w:rsidR="007A4586" w:rsidRPr="0010582F">
        <w:rPr>
          <w:rFonts w:asciiTheme="minorHAnsi" w:eastAsiaTheme="minorHAnsi" w:hAnsiTheme="minorHAnsi"/>
          <w:color w:val="auto"/>
          <w:szCs w:val="24"/>
        </w:rPr>
        <w:t>change in</w:t>
      </w:r>
      <w:r w:rsidR="0088222C" w:rsidRPr="0010582F">
        <w:rPr>
          <w:rFonts w:asciiTheme="minorHAnsi" w:eastAsiaTheme="minorHAnsi" w:hAnsiTheme="minorHAnsi"/>
          <w:color w:val="auto"/>
          <w:szCs w:val="24"/>
        </w:rPr>
        <w:t xml:space="preserve"> the PEB adjudication.  In the matter of the </w:t>
      </w:r>
      <w:r w:rsidR="0010582F">
        <w:rPr>
          <w:rFonts w:asciiTheme="minorHAnsi" w:eastAsiaTheme="minorHAnsi" w:hAnsiTheme="minorHAnsi"/>
          <w:color w:val="auto"/>
          <w:szCs w:val="24"/>
        </w:rPr>
        <w:t>a</w:t>
      </w:r>
      <w:r w:rsidR="0088222C" w:rsidRPr="0010582F">
        <w:rPr>
          <w:rFonts w:asciiTheme="minorHAnsi" w:eastAsiaTheme="minorHAnsi" w:hAnsiTheme="minorHAnsi"/>
          <w:color w:val="auto"/>
          <w:szCs w:val="24"/>
        </w:rPr>
        <w:t xml:space="preserve">bdominal </w:t>
      </w:r>
      <w:r w:rsidR="0010582F">
        <w:rPr>
          <w:rFonts w:asciiTheme="minorHAnsi" w:eastAsiaTheme="minorHAnsi" w:hAnsiTheme="minorHAnsi"/>
          <w:color w:val="auto"/>
          <w:szCs w:val="24"/>
        </w:rPr>
        <w:t>p</w:t>
      </w:r>
      <w:r w:rsidR="0088222C" w:rsidRPr="0010582F">
        <w:rPr>
          <w:rFonts w:asciiTheme="minorHAnsi" w:eastAsiaTheme="minorHAnsi" w:hAnsiTheme="minorHAnsi"/>
          <w:color w:val="auto"/>
          <w:szCs w:val="24"/>
        </w:rPr>
        <w:t xml:space="preserve">ain, the Board unanimously recommends no </w:t>
      </w:r>
      <w:r w:rsidR="007A4586" w:rsidRPr="0010582F">
        <w:rPr>
          <w:rFonts w:asciiTheme="minorHAnsi" w:eastAsiaTheme="minorHAnsi" w:hAnsiTheme="minorHAnsi"/>
          <w:color w:val="auto"/>
          <w:szCs w:val="24"/>
        </w:rPr>
        <w:t>re</w:t>
      </w:r>
      <w:r w:rsidR="0010582F">
        <w:rPr>
          <w:rFonts w:asciiTheme="minorHAnsi" w:eastAsiaTheme="minorHAnsi" w:hAnsiTheme="minorHAnsi"/>
          <w:color w:val="auto"/>
          <w:szCs w:val="24"/>
        </w:rPr>
        <w:t>-</w:t>
      </w:r>
      <w:r w:rsidR="007A4586" w:rsidRPr="0010582F">
        <w:rPr>
          <w:rFonts w:asciiTheme="minorHAnsi" w:eastAsiaTheme="minorHAnsi" w:hAnsiTheme="minorHAnsi"/>
          <w:color w:val="auto"/>
          <w:szCs w:val="24"/>
        </w:rPr>
        <w:t>characterization</w:t>
      </w:r>
      <w:r w:rsidR="0088222C" w:rsidRPr="0010582F">
        <w:rPr>
          <w:rFonts w:asciiTheme="minorHAnsi" w:eastAsiaTheme="minorHAnsi" w:hAnsiTheme="minorHAnsi"/>
          <w:color w:val="auto"/>
          <w:szCs w:val="24"/>
        </w:rPr>
        <w:t xml:space="preserve"> of the PEB adjudications as not unfitting.</w:t>
      </w:r>
      <w:r w:rsidR="00475619" w:rsidRPr="0010582F">
        <w:rPr>
          <w:rFonts w:asciiTheme="minorHAnsi" w:eastAsiaTheme="minorHAnsi" w:hAnsiTheme="minorHAnsi"/>
          <w:color w:val="auto"/>
          <w:szCs w:val="24"/>
        </w:rPr>
        <w:t xml:space="preserve">  </w:t>
      </w:r>
      <w:r w:rsidR="00B645D3" w:rsidRPr="0010582F">
        <w:rPr>
          <w:rFonts w:asciiTheme="minorHAnsi" w:eastAsiaTheme="minorHAnsi" w:hAnsiTheme="minorHAnsi"/>
          <w:color w:val="auto"/>
          <w:szCs w:val="24"/>
        </w:rPr>
        <w:t xml:space="preserve">The Board unanimously agrees that there were no other conditions eligible for Board consideration which could be recommended as additionally unfitting for rating at separation.  </w:t>
      </w:r>
    </w:p>
    <w:p w:rsidR="00AF0D1A" w:rsidRPr="0010582F" w:rsidRDefault="00AF0D1A" w:rsidP="00593D06">
      <w:pPr>
        <w:tabs>
          <w:tab w:val="left" w:pos="288"/>
          <w:tab w:val="left" w:pos="4752"/>
        </w:tabs>
        <w:spacing w:line="220" w:lineRule="exact"/>
        <w:jc w:val="both"/>
        <w:rPr>
          <w:color w:val="000080"/>
          <w:szCs w:val="24"/>
        </w:rPr>
      </w:pPr>
      <w:r w:rsidRPr="0010582F">
        <w:rPr>
          <w:rFonts w:asciiTheme="minorHAnsi" w:hAnsiTheme="minorHAnsi"/>
          <w:color w:val="auto"/>
          <w:szCs w:val="24"/>
          <w:u w:val="single"/>
        </w:rPr>
        <w:lastRenderedPageBreak/>
        <w:t>RECOMMENDATION</w:t>
      </w:r>
      <w:r w:rsidRPr="0010582F">
        <w:rPr>
          <w:rFonts w:asciiTheme="minorHAnsi" w:hAnsiTheme="minorHAnsi"/>
          <w:color w:val="auto"/>
          <w:szCs w:val="24"/>
        </w:rPr>
        <w:t>:</w:t>
      </w:r>
      <w:r w:rsidRPr="0010582F">
        <w:rPr>
          <w:rFonts w:asciiTheme="minorHAnsi" w:hAnsiTheme="minorHAnsi"/>
          <w:color w:val="000080"/>
          <w:szCs w:val="24"/>
        </w:rPr>
        <w:t xml:space="preserve"> </w:t>
      </w:r>
      <w:r w:rsidRPr="0010582F">
        <w:rPr>
          <w:rFonts w:asciiTheme="minorHAnsi" w:hAnsiTheme="minorHAnsi"/>
          <w:color w:val="auto"/>
          <w:szCs w:val="24"/>
        </w:rPr>
        <w:t>The Board therefore recommends that there be no re</w:t>
      </w:r>
      <w:r w:rsidR="0010582F">
        <w:rPr>
          <w:rFonts w:asciiTheme="minorHAnsi" w:hAnsiTheme="minorHAnsi"/>
          <w:color w:val="auto"/>
          <w:szCs w:val="24"/>
        </w:rPr>
        <w:t>-</w:t>
      </w:r>
      <w:r w:rsidRPr="0010582F">
        <w:rPr>
          <w:rFonts w:asciiTheme="minorHAnsi" w:hAnsiTheme="minorHAnsi"/>
          <w:color w:val="auto"/>
          <w:szCs w:val="24"/>
        </w:rPr>
        <w:t xml:space="preserve">characterization of the CI’s </w:t>
      </w:r>
      <w:r w:rsidR="00D0119A" w:rsidRPr="0010582F">
        <w:rPr>
          <w:rFonts w:asciiTheme="minorHAnsi" w:hAnsiTheme="minorHAnsi"/>
          <w:color w:val="auto"/>
          <w:szCs w:val="24"/>
        </w:rPr>
        <w:t xml:space="preserve">original TDRL </w:t>
      </w:r>
      <w:r w:rsidRPr="0010582F">
        <w:rPr>
          <w:rFonts w:asciiTheme="minorHAnsi" w:hAnsiTheme="minorHAnsi"/>
          <w:color w:val="auto"/>
          <w:szCs w:val="24"/>
        </w:rPr>
        <w:t xml:space="preserve">disability and </w:t>
      </w:r>
      <w:r w:rsidR="00D0119A" w:rsidRPr="0010582F">
        <w:rPr>
          <w:rFonts w:asciiTheme="minorHAnsi" w:hAnsiTheme="minorHAnsi"/>
          <w:color w:val="auto"/>
          <w:szCs w:val="24"/>
        </w:rPr>
        <w:t xml:space="preserve">permanent </w:t>
      </w:r>
      <w:r w:rsidRPr="0010582F">
        <w:rPr>
          <w:rFonts w:asciiTheme="minorHAnsi" w:hAnsiTheme="minorHAnsi"/>
          <w:color w:val="auto"/>
          <w:szCs w:val="24"/>
        </w:rPr>
        <w:t>separation determination.</w:t>
      </w:r>
    </w:p>
    <w:p w:rsidR="00AF0D1A" w:rsidRPr="0010582F" w:rsidRDefault="00AF0D1A" w:rsidP="00CA4EBE">
      <w:pPr>
        <w:tabs>
          <w:tab w:val="left" w:pos="288"/>
          <w:tab w:val="left" w:pos="4752"/>
        </w:tabs>
        <w:spacing w:line="240" w:lineRule="exact"/>
        <w:jc w:val="both"/>
        <w:rPr>
          <w:color w:val="000080"/>
          <w:szCs w:val="24"/>
        </w:rPr>
      </w:pPr>
    </w:p>
    <w:tbl>
      <w:tblPr>
        <w:tblpPr w:leftFromText="180" w:rightFromText="180" w:vertAnchor="text" w:horzAnchor="margin"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0D2494" w:rsidRPr="00023AA5" w:rsidTr="002C4359">
        <w:tc>
          <w:tcPr>
            <w:tcW w:w="4950" w:type="dxa"/>
            <w:shd w:val="clear" w:color="auto" w:fill="DDD9C3" w:themeFill="background2" w:themeFillShade="E6"/>
          </w:tcPr>
          <w:p w:rsidR="000D2494" w:rsidRPr="00023AA5" w:rsidRDefault="000D2494" w:rsidP="006276C3">
            <w:pPr>
              <w:tabs>
                <w:tab w:val="left" w:pos="288"/>
                <w:tab w:val="left" w:pos="4752"/>
              </w:tabs>
              <w:spacing w:line="240" w:lineRule="exact"/>
              <w:jc w:val="both"/>
              <w:rPr>
                <w:rFonts w:asciiTheme="minorHAnsi" w:hAnsiTheme="minorHAnsi"/>
                <w:b/>
                <w:color w:val="auto"/>
                <w:szCs w:val="24"/>
              </w:rPr>
            </w:pPr>
            <w:r w:rsidRPr="00023AA5">
              <w:rPr>
                <w:rFonts w:asciiTheme="minorHAnsi" w:hAnsiTheme="minorHAnsi"/>
                <w:b/>
                <w:color w:val="auto"/>
                <w:szCs w:val="24"/>
              </w:rPr>
              <w:t>UNFITTING CONDITION</w:t>
            </w:r>
          </w:p>
        </w:tc>
        <w:tc>
          <w:tcPr>
            <w:tcW w:w="1710" w:type="dxa"/>
            <w:shd w:val="clear" w:color="auto" w:fill="DDD9C3" w:themeFill="background2" w:themeFillShade="E6"/>
          </w:tcPr>
          <w:p w:rsidR="000D2494" w:rsidRPr="00023AA5" w:rsidRDefault="000D2494" w:rsidP="006276C3">
            <w:pPr>
              <w:tabs>
                <w:tab w:val="left" w:pos="288"/>
                <w:tab w:val="left" w:pos="4752"/>
              </w:tabs>
              <w:spacing w:line="240" w:lineRule="exact"/>
              <w:jc w:val="center"/>
              <w:rPr>
                <w:rFonts w:asciiTheme="minorHAnsi" w:hAnsiTheme="minorHAnsi"/>
                <w:b/>
                <w:color w:val="auto"/>
                <w:szCs w:val="24"/>
              </w:rPr>
            </w:pPr>
            <w:r w:rsidRPr="00023AA5">
              <w:rPr>
                <w:rFonts w:asciiTheme="minorHAnsi" w:hAnsiTheme="minorHAnsi"/>
                <w:b/>
                <w:color w:val="auto"/>
                <w:szCs w:val="24"/>
              </w:rPr>
              <w:t>VASRD CODE</w:t>
            </w:r>
          </w:p>
        </w:tc>
        <w:tc>
          <w:tcPr>
            <w:tcW w:w="1170" w:type="dxa"/>
            <w:shd w:val="clear" w:color="auto" w:fill="DDD9C3" w:themeFill="background2" w:themeFillShade="E6"/>
          </w:tcPr>
          <w:p w:rsidR="000D2494" w:rsidRPr="00023AA5" w:rsidRDefault="000D2494" w:rsidP="006276C3">
            <w:pPr>
              <w:tabs>
                <w:tab w:val="left" w:pos="288"/>
                <w:tab w:val="left" w:pos="4752"/>
              </w:tabs>
              <w:spacing w:line="240" w:lineRule="exact"/>
              <w:jc w:val="center"/>
              <w:rPr>
                <w:rFonts w:asciiTheme="minorHAnsi" w:hAnsiTheme="minorHAnsi"/>
                <w:b/>
                <w:color w:val="auto"/>
                <w:szCs w:val="24"/>
              </w:rPr>
            </w:pPr>
            <w:r w:rsidRPr="00023AA5">
              <w:rPr>
                <w:rFonts w:asciiTheme="minorHAnsi" w:hAnsiTheme="minorHAnsi"/>
                <w:b/>
                <w:color w:val="auto"/>
                <w:szCs w:val="24"/>
              </w:rPr>
              <w:t>TDRL RATING</w:t>
            </w:r>
          </w:p>
        </w:tc>
        <w:tc>
          <w:tcPr>
            <w:tcW w:w="1530" w:type="dxa"/>
            <w:shd w:val="clear" w:color="auto" w:fill="DDD9C3" w:themeFill="background2" w:themeFillShade="E6"/>
          </w:tcPr>
          <w:p w:rsidR="000D2494" w:rsidRPr="00023AA5" w:rsidRDefault="000D2494" w:rsidP="006276C3">
            <w:pPr>
              <w:tabs>
                <w:tab w:val="left" w:pos="288"/>
                <w:tab w:val="left" w:pos="4752"/>
              </w:tabs>
              <w:spacing w:line="240" w:lineRule="exact"/>
              <w:jc w:val="center"/>
              <w:rPr>
                <w:rFonts w:asciiTheme="minorHAnsi" w:hAnsiTheme="minorHAnsi"/>
                <w:b/>
                <w:color w:val="auto"/>
                <w:szCs w:val="24"/>
              </w:rPr>
            </w:pPr>
            <w:r w:rsidRPr="00023AA5">
              <w:rPr>
                <w:rFonts w:asciiTheme="minorHAnsi" w:hAnsiTheme="minorHAnsi"/>
                <w:b/>
                <w:color w:val="auto"/>
                <w:szCs w:val="24"/>
              </w:rPr>
              <w:t>PERMANENT</w:t>
            </w:r>
          </w:p>
          <w:p w:rsidR="000D2494" w:rsidRPr="00023AA5" w:rsidRDefault="000D2494" w:rsidP="006276C3">
            <w:pPr>
              <w:tabs>
                <w:tab w:val="left" w:pos="288"/>
                <w:tab w:val="left" w:pos="4752"/>
              </w:tabs>
              <w:spacing w:line="240" w:lineRule="exact"/>
              <w:jc w:val="center"/>
              <w:rPr>
                <w:rFonts w:asciiTheme="minorHAnsi" w:hAnsiTheme="minorHAnsi"/>
                <w:b/>
                <w:color w:val="auto"/>
                <w:szCs w:val="24"/>
              </w:rPr>
            </w:pPr>
            <w:r w:rsidRPr="00023AA5">
              <w:rPr>
                <w:rFonts w:asciiTheme="minorHAnsi" w:hAnsiTheme="minorHAnsi"/>
                <w:b/>
                <w:color w:val="auto"/>
                <w:szCs w:val="24"/>
              </w:rPr>
              <w:t>RATING</w:t>
            </w:r>
          </w:p>
        </w:tc>
      </w:tr>
      <w:tr w:rsidR="000D2494" w:rsidRPr="00023AA5" w:rsidTr="006276C3">
        <w:trPr>
          <w:trHeight w:val="305"/>
        </w:trPr>
        <w:tc>
          <w:tcPr>
            <w:tcW w:w="4950" w:type="dxa"/>
          </w:tcPr>
          <w:p w:rsidR="000D2494" w:rsidRPr="00023AA5" w:rsidRDefault="000D2494" w:rsidP="006276C3">
            <w:pPr>
              <w:tabs>
                <w:tab w:val="left" w:pos="288"/>
                <w:tab w:val="left" w:pos="4752"/>
              </w:tabs>
              <w:spacing w:line="240" w:lineRule="exact"/>
              <w:jc w:val="both"/>
              <w:rPr>
                <w:rFonts w:asciiTheme="minorHAnsi" w:hAnsiTheme="minorHAnsi"/>
                <w:color w:val="auto"/>
                <w:szCs w:val="24"/>
              </w:rPr>
            </w:pPr>
            <w:proofErr w:type="spellStart"/>
            <w:r w:rsidRPr="00023AA5">
              <w:rPr>
                <w:rFonts w:asciiTheme="minorHAnsi" w:hAnsiTheme="minorHAnsi"/>
                <w:color w:val="auto"/>
                <w:szCs w:val="24"/>
              </w:rPr>
              <w:t>Seronegative</w:t>
            </w:r>
            <w:proofErr w:type="spellEnd"/>
            <w:r w:rsidRPr="00023AA5">
              <w:rPr>
                <w:rFonts w:asciiTheme="minorHAnsi" w:hAnsiTheme="minorHAnsi"/>
                <w:color w:val="auto"/>
                <w:szCs w:val="24"/>
              </w:rPr>
              <w:t xml:space="preserve"> </w:t>
            </w:r>
            <w:proofErr w:type="spellStart"/>
            <w:r w:rsidRPr="00023AA5">
              <w:rPr>
                <w:rFonts w:asciiTheme="minorHAnsi" w:hAnsiTheme="minorHAnsi"/>
                <w:color w:val="auto"/>
                <w:szCs w:val="24"/>
              </w:rPr>
              <w:t>Polyarthritis</w:t>
            </w:r>
            <w:proofErr w:type="spellEnd"/>
          </w:p>
        </w:tc>
        <w:tc>
          <w:tcPr>
            <w:tcW w:w="1710" w:type="dxa"/>
            <w:tcBorders>
              <w:bottom w:val="single" w:sz="4" w:space="0" w:color="000000"/>
            </w:tcBorders>
          </w:tcPr>
          <w:p w:rsidR="000D2494" w:rsidRPr="00023AA5" w:rsidRDefault="000D2494" w:rsidP="006276C3">
            <w:pPr>
              <w:tabs>
                <w:tab w:val="left" w:pos="288"/>
                <w:tab w:val="left" w:pos="4752"/>
              </w:tabs>
              <w:spacing w:line="240" w:lineRule="exact"/>
              <w:jc w:val="center"/>
              <w:rPr>
                <w:rFonts w:asciiTheme="minorHAnsi" w:hAnsiTheme="minorHAnsi"/>
                <w:color w:val="auto"/>
                <w:szCs w:val="24"/>
              </w:rPr>
            </w:pPr>
            <w:r w:rsidRPr="00023AA5">
              <w:rPr>
                <w:rFonts w:asciiTheme="minorHAnsi" w:hAnsiTheme="minorHAnsi"/>
                <w:color w:val="auto"/>
                <w:szCs w:val="24"/>
              </w:rPr>
              <w:t>5099-5002</w:t>
            </w:r>
          </w:p>
        </w:tc>
        <w:tc>
          <w:tcPr>
            <w:tcW w:w="1170" w:type="dxa"/>
            <w:tcBorders>
              <w:bottom w:val="single" w:sz="4" w:space="0" w:color="000000"/>
            </w:tcBorders>
          </w:tcPr>
          <w:p w:rsidR="000D2494" w:rsidRPr="00023AA5" w:rsidRDefault="000D2494" w:rsidP="006276C3">
            <w:pPr>
              <w:tabs>
                <w:tab w:val="left" w:pos="288"/>
                <w:tab w:val="left" w:pos="4752"/>
              </w:tabs>
              <w:spacing w:line="240" w:lineRule="exact"/>
              <w:jc w:val="center"/>
              <w:rPr>
                <w:rFonts w:asciiTheme="minorHAnsi" w:hAnsiTheme="minorHAnsi"/>
                <w:color w:val="auto"/>
                <w:szCs w:val="24"/>
              </w:rPr>
            </w:pPr>
            <w:r w:rsidRPr="00023AA5">
              <w:rPr>
                <w:rFonts w:asciiTheme="minorHAnsi" w:hAnsiTheme="minorHAnsi"/>
                <w:color w:val="auto"/>
                <w:szCs w:val="24"/>
              </w:rPr>
              <w:t>40%</w:t>
            </w:r>
          </w:p>
        </w:tc>
        <w:tc>
          <w:tcPr>
            <w:tcW w:w="1530" w:type="dxa"/>
            <w:tcBorders>
              <w:bottom w:val="single" w:sz="4" w:space="0" w:color="000000"/>
            </w:tcBorders>
          </w:tcPr>
          <w:p w:rsidR="000D2494" w:rsidRPr="00023AA5" w:rsidRDefault="000D2494" w:rsidP="006276C3">
            <w:pPr>
              <w:tabs>
                <w:tab w:val="left" w:pos="288"/>
                <w:tab w:val="left" w:pos="4752"/>
              </w:tabs>
              <w:spacing w:line="240" w:lineRule="exact"/>
              <w:jc w:val="center"/>
              <w:rPr>
                <w:rFonts w:asciiTheme="minorHAnsi" w:hAnsiTheme="minorHAnsi"/>
                <w:color w:val="auto"/>
                <w:szCs w:val="24"/>
              </w:rPr>
            </w:pPr>
            <w:r w:rsidRPr="00023AA5">
              <w:rPr>
                <w:rFonts w:asciiTheme="minorHAnsi" w:hAnsiTheme="minorHAnsi"/>
                <w:color w:val="auto"/>
                <w:szCs w:val="24"/>
              </w:rPr>
              <w:t>20%</w:t>
            </w:r>
          </w:p>
        </w:tc>
      </w:tr>
      <w:tr w:rsidR="000D2494" w:rsidRPr="00023AA5" w:rsidTr="002C4359">
        <w:tblPrEx>
          <w:tblLook w:val="0000"/>
        </w:tblPrEx>
        <w:trPr>
          <w:gridBefore w:val="1"/>
          <w:wBefore w:w="4950" w:type="dxa"/>
          <w:trHeight w:val="276"/>
        </w:trPr>
        <w:tc>
          <w:tcPr>
            <w:tcW w:w="1710" w:type="dxa"/>
            <w:tcBorders>
              <w:left w:val="single" w:sz="4" w:space="0" w:color="auto"/>
            </w:tcBorders>
            <w:shd w:val="clear" w:color="auto" w:fill="DDD9C3" w:themeFill="background2" w:themeFillShade="E6"/>
          </w:tcPr>
          <w:p w:rsidR="000D2494" w:rsidRPr="00023AA5" w:rsidRDefault="000D2494" w:rsidP="006276C3">
            <w:pPr>
              <w:tabs>
                <w:tab w:val="left" w:pos="288"/>
                <w:tab w:val="left" w:pos="4752"/>
              </w:tabs>
              <w:spacing w:line="240" w:lineRule="exact"/>
              <w:jc w:val="center"/>
              <w:rPr>
                <w:rFonts w:asciiTheme="minorHAnsi" w:hAnsiTheme="minorHAnsi"/>
                <w:b/>
                <w:color w:val="auto"/>
                <w:szCs w:val="24"/>
              </w:rPr>
            </w:pPr>
            <w:r w:rsidRPr="00023AA5">
              <w:rPr>
                <w:rFonts w:asciiTheme="minorHAnsi" w:hAnsiTheme="minorHAnsi"/>
                <w:b/>
                <w:color w:val="auto"/>
                <w:szCs w:val="24"/>
              </w:rPr>
              <w:t>COMBINED</w:t>
            </w:r>
          </w:p>
        </w:tc>
        <w:tc>
          <w:tcPr>
            <w:tcW w:w="1170" w:type="dxa"/>
            <w:tcBorders>
              <w:left w:val="single" w:sz="4" w:space="0" w:color="auto"/>
            </w:tcBorders>
            <w:shd w:val="clear" w:color="auto" w:fill="DDD9C3" w:themeFill="background2" w:themeFillShade="E6"/>
          </w:tcPr>
          <w:p w:rsidR="000D2494" w:rsidRPr="00023AA5" w:rsidRDefault="005609E3" w:rsidP="006276C3">
            <w:pPr>
              <w:tabs>
                <w:tab w:val="left" w:pos="288"/>
                <w:tab w:val="left" w:pos="4752"/>
              </w:tabs>
              <w:spacing w:line="240" w:lineRule="exact"/>
              <w:jc w:val="center"/>
              <w:rPr>
                <w:rFonts w:asciiTheme="minorHAnsi" w:hAnsiTheme="minorHAnsi"/>
                <w:b/>
                <w:color w:val="auto"/>
                <w:szCs w:val="24"/>
              </w:rPr>
            </w:pPr>
            <w:r w:rsidRPr="00023AA5">
              <w:rPr>
                <w:rFonts w:asciiTheme="minorHAnsi" w:hAnsiTheme="minorHAnsi"/>
                <w:b/>
                <w:color w:val="auto"/>
                <w:szCs w:val="24"/>
              </w:rPr>
              <w:t>4</w:t>
            </w:r>
            <w:r w:rsidR="000D2494" w:rsidRPr="00023AA5">
              <w:rPr>
                <w:rFonts w:asciiTheme="minorHAnsi" w:hAnsiTheme="minorHAnsi"/>
                <w:b/>
                <w:color w:val="auto"/>
                <w:szCs w:val="24"/>
              </w:rPr>
              <w:t>0%</w:t>
            </w:r>
          </w:p>
        </w:tc>
        <w:tc>
          <w:tcPr>
            <w:tcW w:w="1530" w:type="dxa"/>
            <w:shd w:val="clear" w:color="auto" w:fill="DDD9C3" w:themeFill="background2" w:themeFillShade="E6"/>
          </w:tcPr>
          <w:p w:rsidR="000D2494" w:rsidRPr="00023AA5" w:rsidRDefault="005609E3" w:rsidP="006276C3">
            <w:pPr>
              <w:tabs>
                <w:tab w:val="left" w:pos="288"/>
                <w:tab w:val="left" w:pos="4752"/>
              </w:tabs>
              <w:spacing w:line="240" w:lineRule="exact"/>
              <w:jc w:val="center"/>
              <w:rPr>
                <w:rFonts w:asciiTheme="minorHAnsi" w:hAnsiTheme="minorHAnsi"/>
                <w:b/>
                <w:color w:val="auto"/>
                <w:szCs w:val="24"/>
              </w:rPr>
            </w:pPr>
            <w:r w:rsidRPr="00023AA5">
              <w:rPr>
                <w:rFonts w:asciiTheme="minorHAnsi" w:hAnsiTheme="minorHAnsi"/>
                <w:b/>
                <w:color w:val="auto"/>
                <w:szCs w:val="24"/>
              </w:rPr>
              <w:t>2</w:t>
            </w:r>
            <w:r w:rsidR="000D2494" w:rsidRPr="00023AA5">
              <w:rPr>
                <w:rFonts w:asciiTheme="minorHAnsi" w:hAnsiTheme="minorHAnsi"/>
                <w:b/>
                <w:color w:val="auto"/>
                <w:szCs w:val="24"/>
              </w:rPr>
              <w:t>0%</w:t>
            </w:r>
          </w:p>
        </w:tc>
      </w:tr>
    </w:tbl>
    <w:p w:rsidR="00AF0D1A" w:rsidRPr="00023AA5" w:rsidRDefault="00AF0D1A" w:rsidP="00CA4EBE">
      <w:pPr>
        <w:spacing w:line="240" w:lineRule="exact"/>
        <w:jc w:val="both"/>
        <w:rPr>
          <w:rFonts w:asciiTheme="minorHAnsi" w:hAnsiTheme="minorHAnsi"/>
          <w:color w:val="auto"/>
          <w:szCs w:val="24"/>
        </w:rPr>
      </w:pPr>
    </w:p>
    <w:p w:rsidR="00B522CD" w:rsidRPr="00023AA5" w:rsidRDefault="008B5D31" w:rsidP="00CA4EBE">
      <w:pPr>
        <w:tabs>
          <w:tab w:val="left" w:pos="288"/>
          <w:tab w:val="left" w:pos="4752"/>
        </w:tabs>
        <w:spacing w:line="240" w:lineRule="exact"/>
        <w:jc w:val="both"/>
        <w:rPr>
          <w:rFonts w:asciiTheme="minorHAnsi" w:hAnsiTheme="minorHAnsi"/>
          <w:color w:val="auto"/>
        </w:rPr>
      </w:pPr>
      <w:r w:rsidRPr="00023AA5">
        <w:rPr>
          <w:rFonts w:asciiTheme="minorHAnsi" w:hAnsiTheme="minorHAnsi"/>
          <w:color w:val="auto"/>
          <w:u w:val="single"/>
        </w:rPr>
        <w:t>______________________________________________________________</w:t>
      </w:r>
      <w:r w:rsidRPr="00023AA5">
        <w:rPr>
          <w:rFonts w:asciiTheme="minorHAnsi" w:hAnsiTheme="minorHAnsi"/>
          <w:color w:val="auto"/>
        </w:rPr>
        <w:t>_</w:t>
      </w:r>
      <w:r w:rsidR="00AC713F" w:rsidRPr="00023AA5">
        <w:rPr>
          <w:rFonts w:asciiTheme="minorHAnsi" w:hAnsiTheme="minorHAnsi"/>
          <w:color w:val="auto"/>
        </w:rPr>
        <w:t>______________</w:t>
      </w:r>
    </w:p>
    <w:p w:rsidR="00D91DA6" w:rsidRPr="00023AA5" w:rsidRDefault="00D91DA6" w:rsidP="00CA4EBE">
      <w:pPr>
        <w:tabs>
          <w:tab w:val="left" w:pos="288"/>
          <w:tab w:val="left" w:pos="4752"/>
        </w:tabs>
        <w:spacing w:line="240" w:lineRule="exact"/>
        <w:jc w:val="both"/>
        <w:rPr>
          <w:rFonts w:asciiTheme="minorHAnsi" w:hAnsiTheme="minorHAnsi"/>
          <w:color w:val="auto"/>
        </w:rPr>
      </w:pPr>
    </w:p>
    <w:p w:rsidR="00D91DA6" w:rsidRPr="00023AA5" w:rsidRDefault="00114F20" w:rsidP="00CA4EBE">
      <w:pPr>
        <w:tabs>
          <w:tab w:val="left" w:pos="288"/>
          <w:tab w:val="left" w:pos="4752"/>
        </w:tabs>
        <w:spacing w:line="240" w:lineRule="exact"/>
        <w:jc w:val="both"/>
        <w:rPr>
          <w:rFonts w:asciiTheme="minorHAnsi" w:hAnsiTheme="minorHAnsi"/>
          <w:color w:val="auto"/>
        </w:rPr>
      </w:pPr>
      <w:r w:rsidRPr="00023AA5">
        <w:rPr>
          <w:rFonts w:asciiTheme="minorHAnsi" w:hAnsiTheme="minorHAnsi"/>
          <w:color w:val="auto"/>
        </w:rPr>
        <w:t>The following documentary evidence was considered:</w:t>
      </w:r>
    </w:p>
    <w:p w:rsidR="00EB5EFD" w:rsidRPr="00023AA5" w:rsidRDefault="00EB5EFD" w:rsidP="00CA4EBE">
      <w:pPr>
        <w:tabs>
          <w:tab w:val="left" w:pos="288"/>
          <w:tab w:val="left" w:pos="4752"/>
        </w:tabs>
        <w:spacing w:line="240" w:lineRule="exact"/>
        <w:jc w:val="both"/>
        <w:rPr>
          <w:rFonts w:asciiTheme="minorHAnsi" w:hAnsiTheme="minorHAnsi"/>
          <w:color w:val="auto"/>
        </w:rPr>
      </w:pPr>
    </w:p>
    <w:p w:rsidR="00114F20" w:rsidRPr="00023AA5" w:rsidRDefault="0051146C" w:rsidP="00CA4EBE">
      <w:pPr>
        <w:tabs>
          <w:tab w:val="left" w:pos="288"/>
          <w:tab w:val="left" w:pos="4752"/>
        </w:tabs>
        <w:spacing w:line="240" w:lineRule="exact"/>
        <w:jc w:val="both"/>
        <w:rPr>
          <w:rFonts w:asciiTheme="minorHAnsi" w:hAnsiTheme="minorHAnsi"/>
          <w:color w:val="auto"/>
        </w:rPr>
      </w:pPr>
      <w:r w:rsidRPr="00023AA5">
        <w:rPr>
          <w:rFonts w:asciiTheme="minorHAnsi" w:hAnsiTheme="minorHAnsi"/>
          <w:color w:val="auto"/>
        </w:rPr>
        <w:t xml:space="preserve">Exhibit A.  DD Form </w:t>
      </w:r>
      <w:r w:rsidR="007A4586" w:rsidRPr="00023AA5">
        <w:rPr>
          <w:rFonts w:asciiTheme="minorHAnsi" w:hAnsiTheme="minorHAnsi"/>
          <w:color w:val="auto"/>
        </w:rPr>
        <w:t>294</w:t>
      </w:r>
      <w:r w:rsidRPr="00023AA5">
        <w:rPr>
          <w:rFonts w:asciiTheme="minorHAnsi" w:hAnsiTheme="minorHAnsi"/>
          <w:color w:val="auto"/>
        </w:rPr>
        <w:t xml:space="preserve"> dated </w:t>
      </w:r>
      <w:r w:rsidR="0019273F" w:rsidRPr="00023AA5">
        <w:rPr>
          <w:rFonts w:asciiTheme="minorHAnsi" w:hAnsiTheme="minorHAnsi"/>
          <w:color w:val="auto"/>
        </w:rPr>
        <w:t>20</w:t>
      </w:r>
      <w:r w:rsidR="001423C8" w:rsidRPr="00023AA5">
        <w:rPr>
          <w:rFonts w:asciiTheme="minorHAnsi" w:hAnsiTheme="minorHAnsi"/>
          <w:color w:val="auto"/>
        </w:rPr>
        <w:t>091027</w:t>
      </w:r>
      <w:r w:rsidR="00114F20" w:rsidRPr="00023AA5">
        <w:rPr>
          <w:rFonts w:asciiTheme="minorHAnsi" w:hAnsiTheme="minorHAnsi"/>
          <w:color w:val="auto"/>
        </w:rPr>
        <w:t>, w/</w:t>
      </w:r>
      <w:proofErr w:type="spellStart"/>
      <w:r w:rsidR="00114F20" w:rsidRPr="00023AA5">
        <w:rPr>
          <w:rFonts w:asciiTheme="minorHAnsi" w:hAnsiTheme="minorHAnsi"/>
          <w:color w:val="auto"/>
        </w:rPr>
        <w:t>atchs</w:t>
      </w:r>
      <w:proofErr w:type="spellEnd"/>
      <w:r w:rsidR="00114F20" w:rsidRPr="00023AA5">
        <w:rPr>
          <w:rFonts w:asciiTheme="minorHAnsi" w:hAnsiTheme="minorHAnsi"/>
          <w:color w:val="auto"/>
        </w:rPr>
        <w:t>.</w:t>
      </w:r>
    </w:p>
    <w:p w:rsidR="00114F20" w:rsidRPr="00023AA5" w:rsidRDefault="00114F20" w:rsidP="00CA4EBE">
      <w:pPr>
        <w:tabs>
          <w:tab w:val="left" w:pos="288"/>
          <w:tab w:val="left" w:pos="4752"/>
        </w:tabs>
        <w:spacing w:line="240" w:lineRule="exact"/>
        <w:jc w:val="both"/>
        <w:rPr>
          <w:rFonts w:asciiTheme="minorHAnsi" w:hAnsiTheme="minorHAnsi"/>
          <w:color w:val="auto"/>
        </w:rPr>
      </w:pPr>
      <w:r w:rsidRPr="00023AA5">
        <w:rPr>
          <w:rFonts w:asciiTheme="minorHAnsi" w:hAnsiTheme="minorHAnsi"/>
          <w:color w:val="auto"/>
        </w:rPr>
        <w:t xml:space="preserve">Exhibit B.  </w:t>
      </w:r>
      <w:proofErr w:type="gramStart"/>
      <w:r w:rsidRPr="00023AA5">
        <w:rPr>
          <w:rFonts w:asciiTheme="minorHAnsi" w:hAnsiTheme="minorHAnsi"/>
          <w:color w:val="auto"/>
        </w:rPr>
        <w:t>Service Treatment Record.</w:t>
      </w:r>
      <w:proofErr w:type="gramEnd"/>
    </w:p>
    <w:p w:rsidR="00114F20" w:rsidRPr="0085089F" w:rsidRDefault="00114F20" w:rsidP="00CA4EBE">
      <w:pPr>
        <w:tabs>
          <w:tab w:val="left" w:pos="288"/>
          <w:tab w:val="left" w:pos="4752"/>
        </w:tabs>
        <w:spacing w:line="240" w:lineRule="exact"/>
        <w:jc w:val="both"/>
        <w:rPr>
          <w:rFonts w:asciiTheme="minorHAnsi" w:hAnsiTheme="minorHAnsi"/>
          <w:color w:val="auto"/>
        </w:rPr>
      </w:pPr>
      <w:r w:rsidRPr="00023AA5">
        <w:rPr>
          <w:rFonts w:asciiTheme="minorHAnsi" w:hAnsiTheme="minorHAnsi"/>
          <w:color w:val="auto"/>
        </w:rPr>
        <w:t xml:space="preserve">Exhibit C.  </w:t>
      </w:r>
      <w:proofErr w:type="gramStart"/>
      <w:r w:rsidRPr="00023AA5">
        <w:rPr>
          <w:rFonts w:asciiTheme="minorHAnsi" w:hAnsiTheme="minorHAnsi"/>
          <w:color w:val="auto"/>
        </w:rPr>
        <w:t>Department of Veterans</w:t>
      </w:r>
      <w:r w:rsidR="00385D6F" w:rsidRPr="00023AA5">
        <w:rPr>
          <w:rFonts w:asciiTheme="minorHAnsi" w:hAnsiTheme="minorHAnsi"/>
          <w:color w:val="auto"/>
        </w:rPr>
        <w:t>'</w:t>
      </w:r>
      <w:r w:rsidRPr="00023AA5">
        <w:rPr>
          <w:rFonts w:asciiTheme="minorHAnsi" w:hAnsiTheme="minorHAnsi"/>
          <w:color w:val="auto"/>
        </w:rPr>
        <w:t xml:space="preserve"> Affairs Treatment Record.</w:t>
      </w:r>
      <w:proofErr w:type="gramEnd"/>
    </w:p>
    <w:p w:rsidR="00D91DA6" w:rsidRPr="0085089F" w:rsidRDefault="00D91DA6" w:rsidP="00CA4EBE">
      <w:pPr>
        <w:tabs>
          <w:tab w:val="left" w:pos="288"/>
          <w:tab w:val="left" w:pos="4752"/>
        </w:tabs>
        <w:spacing w:line="240" w:lineRule="exact"/>
        <w:jc w:val="both"/>
        <w:rPr>
          <w:rFonts w:asciiTheme="minorHAnsi" w:hAnsiTheme="minorHAnsi"/>
          <w:color w:val="auto"/>
        </w:rPr>
      </w:pPr>
    </w:p>
    <w:p w:rsidR="00114F20" w:rsidRPr="0085089F" w:rsidRDefault="00114F20" w:rsidP="00CA4EBE">
      <w:pPr>
        <w:tabs>
          <w:tab w:val="left" w:pos="288"/>
          <w:tab w:val="left" w:pos="4752"/>
        </w:tabs>
        <w:spacing w:line="240" w:lineRule="exact"/>
        <w:jc w:val="both"/>
        <w:rPr>
          <w:rFonts w:asciiTheme="minorHAnsi" w:hAnsiTheme="minorHAnsi"/>
          <w:color w:val="auto"/>
        </w:rPr>
      </w:pPr>
    </w:p>
    <w:p w:rsidR="00114F20" w:rsidRPr="0085089F" w:rsidRDefault="00114F20" w:rsidP="00CA4EBE">
      <w:pPr>
        <w:tabs>
          <w:tab w:val="left" w:pos="288"/>
          <w:tab w:val="left" w:pos="4752"/>
        </w:tabs>
        <w:spacing w:line="240" w:lineRule="exact"/>
        <w:jc w:val="both"/>
        <w:rPr>
          <w:rFonts w:asciiTheme="minorHAnsi" w:hAnsiTheme="minorHAnsi"/>
          <w:color w:val="auto"/>
        </w:rPr>
      </w:pPr>
    </w:p>
    <w:p w:rsidR="00114F20" w:rsidRPr="0085089F" w:rsidRDefault="00114F20" w:rsidP="00CA4EBE">
      <w:pPr>
        <w:tabs>
          <w:tab w:val="left" w:pos="288"/>
          <w:tab w:val="left" w:pos="4752"/>
        </w:tabs>
        <w:spacing w:line="240" w:lineRule="exact"/>
        <w:jc w:val="both"/>
        <w:rPr>
          <w:rFonts w:asciiTheme="minorHAnsi" w:hAnsiTheme="minorHAnsi"/>
          <w:color w:val="auto"/>
        </w:rPr>
      </w:pPr>
    </w:p>
    <w:p w:rsidR="00D91DA6" w:rsidRPr="0085089F" w:rsidRDefault="00C30A97" w:rsidP="00CA4EBE">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CA4EBE">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503954" w:rsidRDefault="00C30A97" w:rsidP="00CA4EB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r w:rsidR="00CA4EBE">
        <w:rPr>
          <w:rFonts w:asciiTheme="minorHAnsi" w:hAnsiTheme="minorHAnsi"/>
          <w:color w:val="auto"/>
        </w:rPr>
        <w:t xml:space="preserve">  </w:t>
      </w:r>
    </w:p>
    <w:p w:rsidR="00886E14" w:rsidRDefault="00886E14">
      <w:pPr>
        <w:rPr>
          <w:rFonts w:asciiTheme="minorHAnsi" w:hAnsiTheme="minorHAnsi"/>
          <w:color w:val="auto"/>
        </w:rPr>
      </w:pPr>
      <w:r>
        <w:rPr>
          <w:rFonts w:asciiTheme="minorHAnsi" w:hAnsiTheme="minorHAnsi"/>
          <w:color w:val="auto"/>
        </w:rPr>
        <w:br w:type="page"/>
      </w:r>
    </w:p>
    <w:p w:rsidR="00886E14" w:rsidRDefault="00886E14" w:rsidP="00CA4EB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86E14" w:rsidRPr="00886E14" w:rsidRDefault="00886E14" w:rsidP="00886E14">
      <w:pPr>
        <w:tabs>
          <w:tab w:val="left" w:pos="2430"/>
        </w:tabs>
        <w:jc w:val="both"/>
        <w:rPr>
          <w:color w:val="auto"/>
        </w:rPr>
      </w:pPr>
      <w:r w:rsidRPr="00886E14">
        <w:rPr>
          <w:color w:val="auto"/>
        </w:rPr>
        <w:t xml:space="preserve">MEMORANDUM FOR DIRECTOR, SECRETARY OF THE NAVY COUNCIL OF </w:t>
      </w:r>
    </w:p>
    <w:p w:rsidR="00886E14" w:rsidRPr="00886E14" w:rsidRDefault="00886E14" w:rsidP="00886E14">
      <w:pPr>
        <w:tabs>
          <w:tab w:val="left" w:pos="2430"/>
        </w:tabs>
        <w:jc w:val="both"/>
        <w:rPr>
          <w:color w:val="auto"/>
        </w:rPr>
      </w:pPr>
      <w:r w:rsidRPr="00886E14">
        <w:rPr>
          <w:color w:val="auto"/>
        </w:rPr>
        <w:t xml:space="preserve">                                        </w:t>
      </w:r>
      <w:r w:rsidRPr="00886E14">
        <w:rPr>
          <w:color w:val="auto"/>
        </w:rPr>
        <w:tab/>
        <w:t xml:space="preserve">REVIEW BOARDS </w:t>
      </w:r>
    </w:p>
    <w:p w:rsidR="00886E14" w:rsidRPr="00886E14" w:rsidRDefault="00886E14" w:rsidP="00886E14">
      <w:pPr>
        <w:jc w:val="both"/>
        <w:rPr>
          <w:color w:val="auto"/>
        </w:rPr>
      </w:pPr>
    </w:p>
    <w:p w:rsidR="00886E14" w:rsidRPr="00886E14" w:rsidRDefault="00886E14" w:rsidP="00886E14">
      <w:pPr>
        <w:rPr>
          <w:color w:val="auto"/>
        </w:rPr>
      </w:pPr>
      <w:proofErr w:type="spellStart"/>
      <w:r w:rsidRPr="00886E14">
        <w:rPr>
          <w:color w:val="auto"/>
        </w:rPr>
        <w:t>Subj</w:t>
      </w:r>
      <w:proofErr w:type="spellEnd"/>
      <w:r w:rsidRPr="00886E14">
        <w:rPr>
          <w:color w:val="auto"/>
        </w:rPr>
        <w:t xml:space="preserve">:  PHYSICAL DISABILITY BOARD OF REVIEW (PDBR)     </w:t>
      </w:r>
    </w:p>
    <w:p w:rsidR="00886E14" w:rsidRPr="00886E14" w:rsidRDefault="00886E14" w:rsidP="00886E14">
      <w:pPr>
        <w:rPr>
          <w:color w:val="auto"/>
        </w:rPr>
      </w:pPr>
      <w:r w:rsidRPr="00886E14">
        <w:rPr>
          <w:color w:val="auto"/>
        </w:rPr>
        <w:t xml:space="preserve">          RECOMMENDATION ICO </w:t>
      </w:r>
      <w:r>
        <w:rPr>
          <w:color w:val="auto"/>
        </w:rPr>
        <w:t>XXXXXX</w:t>
      </w:r>
      <w:r w:rsidRPr="00886E14">
        <w:rPr>
          <w:color w:val="auto"/>
        </w:rPr>
        <w:t xml:space="preserve">, FORMER USMC, </w:t>
      </w:r>
    </w:p>
    <w:p w:rsidR="00886E14" w:rsidRPr="00886E14" w:rsidRDefault="00886E14" w:rsidP="00886E14">
      <w:pPr>
        <w:rPr>
          <w:color w:val="auto"/>
        </w:rPr>
      </w:pPr>
      <w:r w:rsidRPr="00886E14">
        <w:rPr>
          <w:color w:val="auto"/>
        </w:rPr>
        <w:t xml:space="preserve">          XXX XX </w:t>
      </w:r>
      <w:r>
        <w:rPr>
          <w:color w:val="auto"/>
        </w:rPr>
        <w:t>XXXX</w:t>
      </w:r>
      <w:r w:rsidRPr="00886E14">
        <w:rPr>
          <w:color w:val="auto"/>
        </w:rPr>
        <w:t xml:space="preserve">  </w:t>
      </w:r>
    </w:p>
    <w:p w:rsidR="00886E14" w:rsidRPr="00886E14" w:rsidRDefault="00886E14" w:rsidP="00886E14">
      <w:pPr>
        <w:jc w:val="both"/>
        <w:rPr>
          <w:color w:val="auto"/>
        </w:rPr>
      </w:pPr>
    </w:p>
    <w:p w:rsidR="00886E14" w:rsidRPr="00886E14" w:rsidRDefault="00886E14" w:rsidP="00886E14">
      <w:pPr>
        <w:jc w:val="both"/>
        <w:rPr>
          <w:color w:val="auto"/>
        </w:rPr>
      </w:pPr>
      <w:r w:rsidRPr="00886E14">
        <w:rPr>
          <w:color w:val="auto"/>
        </w:rPr>
        <w:t>Ref:   (a) DoDI 6040.44</w:t>
      </w:r>
    </w:p>
    <w:p w:rsidR="00886E14" w:rsidRPr="00886E14" w:rsidRDefault="00886E14" w:rsidP="00886E14">
      <w:pPr>
        <w:ind w:left="-540"/>
        <w:jc w:val="both"/>
        <w:rPr>
          <w:color w:val="auto"/>
        </w:rPr>
      </w:pPr>
      <w:r w:rsidRPr="00886E14">
        <w:rPr>
          <w:color w:val="auto"/>
        </w:rPr>
        <w:t xml:space="preserve">                   (b) PDBR </w:t>
      </w:r>
      <w:proofErr w:type="spellStart"/>
      <w:r w:rsidRPr="00886E14">
        <w:rPr>
          <w:color w:val="auto"/>
        </w:rPr>
        <w:t>ltr</w:t>
      </w:r>
      <w:proofErr w:type="spellEnd"/>
      <w:r w:rsidRPr="00886E14">
        <w:rPr>
          <w:color w:val="auto"/>
        </w:rPr>
        <w:t xml:space="preserve"> </w:t>
      </w:r>
      <w:proofErr w:type="spellStart"/>
      <w:r w:rsidRPr="00886E14">
        <w:rPr>
          <w:color w:val="auto"/>
        </w:rPr>
        <w:t>dtd</w:t>
      </w:r>
      <w:proofErr w:type="spellEnd"/>
      <w:r w:rsidRPr="00886E14">
        <w:rPr>
          <w:color w:val="auto"/>
        </w:rPr>
        <w:t xml:space="preserve"> 2 Feb 11</w:t>
      </w:r>
    </w:p>
    <w:p w:rsidR="00886E14" w:rsidRPr="00886E14" w:rsidRDefault="00886E14" w:rsidP="00886E14">
      <w:pPr>
        <w:ind w:left="-540"/>
        <w:jc w:val="both"/>
        <w:rPr>
          <w:color w:val="auto"/>
        </w:rPr>
      </w:pPr>
    </w:p>
    <w:p w:rsidR="00886E14" w:rsidRPr="00886E14" w:rsidRDefault="00886E14" w:rsidP="00886E14">
      <w:pPr>
        <w:jc w:val="both"/>
        <w:rPr>
          <w:color w:val="auto"/>
        </w:rPr>
      </w:pPr>
      <w:r w:rsidRPr="00886E14">
        <w:rPr>
          <w:color w:val="auto"/>
        </w:rPr>
        <w:t xml:space="preserve">      I have reviewed the subject case pursuant to reference (a) and, for the reasons set forth in reference (b), approve the recommendation of the Physical Disability Board of Review that Mr. </w:t>
      </w:r>
      <w:r>
        <w:rPr>
          <w:color w:val="auto"/>
        </w:rPr>
        <w:t>XXXXX</w:t>
      </w:r>
      <w:r w:rsidRPr="00886E14">
        <w:rPr>
          <w:color w:val="auto"/>
        </w:rPr>
        <w:t>’s records not be corrected to reflect a change in either his characterization of separation or in the disability rating previously assigned by the Department of the Navy’s Physical Evaluation Board.</w:t>
      </w:r>
    </w:p>
    <w:p w:rsidR="00886E14" w:rsidRPr="00886E14" w:rsidRDefault="00886E14" w:rsidP="00886E14">
      <w:pPr>
        <w:jc w:val="both"/>
        <w:rPr>
          <w:color w:val="auto"/>
        </w:rPr>
      </w:pPr>
    </w:p>
    <w:p w:rsidR="00886E14" w:rsidRPr="00886E14" w:rsidRDefault="00886E14" w:rsidP="00886E14">
      <w:pPr>
        <w:jc w:val="both"/>
        <w:rPr>
          <w:color w:val="auto"/>
        </w:rPr>
      </w:pPr>
    </w:p>
    <w:p w:rsidR="00886E14" w:rsidRPr="00886E14" w:rsidRDefault="00886E14" w:rsidP="00886E14">
      <w:pPr>
        <w:jc w:val="both"/>
        <w:rPr>
          <w:color w:val="auto"/>
        </w:rPr>
      </w:pPr>
    </w:p>
    <w:p w:rsidR="00886E14" w:rsidRPr="00886E14" w:rsidRDefault="00886E14" w:rsidP="00886E14">
      <w:pPr>
        <w:tabs>
          <w:tab w:val="left" w:pos="4680"/>
        </w:tabs>
        <w:jc w:val="both"/>
        <w:rPr>
          <w:color w:val="auto"/>
        </w:rPr>
      </w:pPr>
      <w:r w:rsidRPr="00886E14">
        <w:rPr>
          <w:color w:val="auto"/>
        </w:rPr>
        <w:tab/>
      </w:r>
    </w:p>
    <w:p w:rsidR="00886E14" w:rsidRPr="00886E14" w:rsidRDefault="00886E14" w:rsidP="00886E14">
      <w:pPr>
        <w:tabs>
          <w:tab w:val="left" w:pos="4680"/>
        </w:tabs>
        <w:jc w:val="both"/>
        <w:rPr>
          <w:color w:val="auto"/>
        </w:rPr>
      </w:pPr>
      <w:r w:rsidRPr="00886E14">
        <w:rPr>
          <w:color w:val="auto"/>
        </w:rPr>
        <w:tab/>
        <w:t>Principal Deputy</w:t>
      </w:r>
    </w:p>
    <w:p w:rsidR="00886E14" w:rsidRPr="00886E14" w:rsidRDefault="00886E14" w:rsidP="00886E14">
      <w:pPr>
        <w:tabs>
          <w:tab w:val="left" w:pos="4680"/>
        </w:tabs>
        <w:jc w:val="both"/>
        <w:rPr>
          <w:color w:val="auto"/>
        </w:rPr>
      </w:pPr>
      <w:r w:rsidRPr="00886E14">
        <w:rPr>
          <w:color w:val="auto"/>
        </w:rPr>
        <w:tab/>
        <w:t xml:space="preserve">Assistant Secretary of the Navy </w:t>
      </w:r>
    </w:p>
    <w:p w:rsidR="00886E14" w:rsidRPr="00886E14" w:rsidRDefault="00886E14" w:rsidP="00886E14">
      <w:pPr>
        <w:tabs>
          <w:tab w:val="left" w:pos="4680"/>
        </w:tabs>
        <w:jc w:val="both"/>
        <w:rPr>
          <w:color w:val="auto"/>
        </w:rPr>
      </w:pPr>
      <w:r w:rsidRPr="00886E14">
        <w:rPr>
          <w:color w:val="auto"/>
        </w:rPr>
        <w:tab/>
        <w:t xml:space="preserve">  (Manpower &amp; Reserve Affairs)</w:t>
      </w:r>
    </w:p>
    <w:p w:rsidR="00886E14" w:rsidRDefault="00886E14" w:rsidP="00886E14">
      <w:pPr>
        <w:jc w:val="both"/>
      </w:pPr>
      <w:r>
        <w:tab/>
      </w:r>
      <w:r>
        <w:tab/>
      </w:r>
      <w:r>
        <w:tab/>
      </w:r>
      <w:r>
        <w:tab/>
      </w:r>
      <w:r>
        <w:tab/>
      </w:r>
      <w:r>
        <w:tab/>
        <w:t xml:space="preserve">  </w:t>
      </w:r>
    </w:p>
    <w:p w:rsidR="00886E14" w:rsidRDefault="00886E14" w:rsidP="00886E14">
      <w:pPr>
        <w:jc w:val="both"/>
      </w:pPr>
    </w:p>
    <w:p w:rsidR="00886E14" w:rsidRPr="00CA4EBE" w:rsidRDefault="00886E14" w:rsidP="00CA4EB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886E14" w:rsidRPr="00CA4EBE"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26" w:rsidRDefault="00412826">
      <w:r>
        <w:separator/>
      </w:r>
    </w:p>
  </w:endnote>
  <w:endnote w:type="continuationSeparator" w:id="0">
    <w:p w:rsidR="00412826" w:rsidRDefault="00412826">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AB" w:rsidRDefault="00966C4E">
    <w:pPr>
      <w:pStyle w:val="Footer"/>
      <w:framePr w:wrap="around" w:vAnchor="text" w:hAnchor="margin" w:xAlign="center" w:y="1"/>
      <w:rPr>
        <w:rStyle w:val="PageNumber"/>
      </w:rPr>
    </w:pPr>
    <w:r>
      <w:rPr>
        <w:rStyle w:val="PageNumber"/>
      </w:rPr>
      <w:fldChar w:fldCharType="begin"/>
    </w:r>
    <w:r w:rsidR="00AE70AB">
      <w:rPr>
        <w:rStyle w:val="PageNumber"/>
      </w:rPr>
      <w:instrText xml:space="preserve">PAGE  </w:instrText>
    </w:r>
    <w:r>
      <w:rPr>
        <w:rStyle w:val="PageNumber"/>
      </w:rPr>
      <w:fldChar w:fldCharType="separate"/>
    </w:r>
    <w:r w:rsidR="00AE70AB">
      <w:rPr>
        <w:rStyle w:val="PageNumber"/>
        <w:noProof/>
      </w:rPr>
      <w:t>2</w:t>
    </w:r>
    <w:r>
      <w:rPr>
        <w:rStyle w:val="PageNumber"/>
      </w:rPr>
      <w:fldChar w:fldCharType="end"/>
    </w:r>
  </w:p>
  <w:p w:rsidR="00AE70AB" w:rsidRDefault="00AE70A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AB" w:rsidRPr="00AC713F" w:rsidRDefault="00966C4E">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AE70A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886E14">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AE70AB" w:rsidRPr="00AF0D1A" w:rsidRDefault="00AE70AB" w:rsidP="002B0749">
    <w:pPr>
      <w:pStyle w:val="Footer"/>
      <w:jc w:val="right"/>
      <w:rPr>
        <w:rFonts w:asciiTheme="minorHAnsi" w:hAnsiTheme="minorHAnsi"/>
        <w:color w:val="auto"/>
      </w:rPr>
    </w:pPr>
    <w:r>
      <w:tab/>
    </w:r>
    <w:r>
      <w:tab/>
    </w:r>
    <w:r w:rsidRPr="00AF0D1A">
      <w:rPr>
        <w:rFonts w:asciiTheme="minorHAnsi" w:hAnsiTheme="minorHAnsi"/>
        <w:caps/>
        <w:color w:val="auto"/>
      </w:rPr>
      <w:t>PD0900647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26" w:rsidRDefault="00412826">
      <w:r>
        <w:separator/>
      </w:r>
    </w:p>
  </w:footnote>
  <w:footnote w:type="continuationSeparator" w:id="0">
    <w:p w:rsidR="00412826" w:rsidRDefault="004128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1090"/>
  </w:hdrShapeDefaults>
  <w:footnotePr>
    <w:numRestart w:val="eachSect"/>
    <w:footnote w:id="-1"/>
    <w:footnote w:id="0"/>
  </w:footnotePr>
  <w:endnotePr>
    <w:endnote w:id="-1"/>
    <w:endnote w:id="0"/>
  </w:endnotePr>
  <w:compat/>
  <w:rsids>
    <w:rsidRoot w:val="001C28D1"/>
    <w:rsid w:val="000059FA"/>
    <w:rsid w:val="00006F87"/>
    <w:rsid w:val="00010ABA"/>
    <w:rsid w:val="000111D5"/>
    <w:rsid w:val="00012428"/>
    <w:rsid w:val="00013417"/>
    <w:rsid w:val="000145C2"/>
    <w:rsid w:val="0001473F"/>
    <w:rsid w:val="00014A9E"/>
    <w:rsid w:val="00017D14"/>
    <w:rsid w:val="00020202"/>
    <w:rsid w:val="00021361"/>
    <w:rsid w:val="00023913"/>
    <w:rsid w:val="00023AA5"/>
    <w:rsid w:val="00023D43"/>
    <w:rsid w:val="000248B9"/>
    <w:rsid w:val="00032E07"/>
    <w:rsid w:val="000332CA"/>
    <w:rsid w:val="0003374E"/>
    <w:rsid w:val="000344E6"/>
    <w:rsid w:val="00035C3A"/>
    <w:rsid w:val="00036E4B"/>
    <w:rsid w:val="000379D0"/>
    <w:rsid w:val="00040FC4"/>
    <w:rsid w:val="000416F8"/>
    <w:rsid w:val="00042C26"/>
    <w:rsid w:val="00043382"/>
    <w:rsid w:val="0004680F"/>
    <w:rsid w:val="00051622"/>
    <w:rsid w:val="00052234"/>
    <w:rsid w:val="00053D7C"/>
    <w:rsid w:val="0005667A"/>
    <w:rsid w:val="000577C9"/>
    <w:rsid w:val="00060222"/>
    <w:rsid w:val="0006431E"/>
    <w:rsid w:val="00072433"/>
    <w:rsid w:val="00075702"/>
    <w:rsid w:val="000775C2"/>
    <w:rsid w:val="000806AD"/>
    <w:rsid w:val="00082482"/>
    <w:rsid w:val="00083884"/>
    <w:rsid w:val="00086D67"/>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21C7"/>
    <w:rsid w:val="000D248A"/>
    <w:rsid w:val="000D2494"/>
    <w:rsid w:val="000D35D8"/>
    <w:rsid w:val="000D43F9"/>
    <w:rsid w:val="000D4717"/>
    <w:rsid w:val="000D6457"/>
    <w:rsid w:val="000D7D55"/>
    <w:rsid w:val="000E0993"/>
    <w:rsid w:val="000E37E0"/>
    <w:rsid w:val="000F02BE"/>
    <w:rsid w:val="000F427B"/>
    <w:rsid w:val="000F7181"/>
    <w:rsid w:val="001008C1"/>
    <w:rsid w:val="001023DB"/>
    <w:rsid w:val="00102DF1"/>
    <w:rsid w:val="00103CCF"/>
    <w:rsid w:val="0010417F"/>
    <w:rsid w:val="001042D2"/>
    <w:rsid w:val="0010530E"/>
    <w:rsid w:val="0010582F"/>
    <w:rsid w:val="00105C07"/>
    <w:rsid w:val="00107EC5"/>
    <w:rsid w:val="001103CD"/>
    <w:rsid w:val="00114F20"/>
    <w:rsid w:val="001211AF"/>
    <w:rsid w:val="001219DF"/>
    <w:rsid w:val="001231DC"/>
    <w:rsid w:val="001272AE"/>
    <w:rsid w:val="001315DD"/>
    <w:rsid w:val="00135385"/>
    <w:rsid w:val="001364D1"/>
    <w:rsid w:val="001423C8"/>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6709"/>
    <w:rsid w:val="001870F0"/>
    <w:rsid w:val="00190E48"/>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4DEB"/>
    <w:rsid w:val="00246860"/>
    <w:rsid w:val="00246DFF"/>
    <w:rsid w:val="00246E89"/>
    <w:rsid w:val="0025183C"/>
    <w:rsid w:val="002528EC"/>
    <w:rsid w:val="00255049"/>
    <w:rsid w:val="00257DE5"/>
    <w:rsid w:val="00260531"/>
    <w:rsid w:val="0026318D"/>
    <w:rsid w:val="00264B7B"/>
    <w:rsid w:val="00270864"/>
    <w:rsid w:val="002712F7"/>
    <w:rsid w:val="0027159C"/>
    <w:rsid w:val="00274549"/>
    <w:rsid w:val="00274E46"/>
    <w:rsid w:val="00276C86"/>
    <w:rsid w:val="002810A4"/>
    <w:rsid w:val="00284A26"/>
    <w:rsid w:val="00287006"/>
    <w:rsid w:val="00294437"/>
    <w:rsid w:val="002A3237"/>
    <w:rsid w:val="002A58B7"/>
    <w:rsid w:val="002A685E"/>
    <w:rsid w:val="002A72C7"/>
    <w:rsid w:val="002A7A38"/>
    <w:rsid w:val="002B03B2"/>
    <w:rsid w:val="002B0749"/>
    <w:rsid w:val="002B2645"/>
    <w:rsid w:val="002B6FA0"/>
    <w:rsid w:val="002C09A9"/>
    <w:rsid w:val="002C4359"/>
    <w:rsid w:val="002C5F10"/>
    <w:rsid w:val="002C6E5B"/>
    <w:rsid w:val="002C7F2A"/>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F7F"/>
    <w:rsid w:val="003320E8"/>
    <w:rsid w:val="00334236"/>
    <w:rsid w:val="0033555E"/>
    <w:rsid w:val="00336805"/>
    <w:rsid w:val="00337351"/>
    <w:rsid w:val="00341A54"/>
    <w:rsid w:val="0034669F"/>
    <w:rsid w:val="00351498"/>
    <w:rsid w:val="00352B22"/>
    <w:rsid w:val="00354547"/>
    <w:rsid w:val="003567DE"/>
    <w:rsid w:val="003574F3"/>
    <w:rsid w:val="0036129E"/>
    <w:rsid w:val="0036174C"/>
    <w:rsid w:val="0036319E"/>
    <w:rsid w:val="003632A4"/>
    <w:rsid w:val="00363362"/>
    <w:rsid w:val="00367D4F"/>
    <w:rsid w:val="00370743"/>
    <w:rsid w:val="00370EF5"/>
    <w:rsid w:val="0037135B"/>
    <w:rsid w:val="00372251"/>
    <w:rsid w:val="003749D0"/>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0479"/>
    <w:rsid w:val="003B17AC"/>
    <w:rsid w:val="003B227A"/>
    <w:rsid w:val="003B57DE"/>
    <w:rsid w:val="003B5854"/>
    <w:rsid w:val="003B6764"/>
    <w:rsid w:val="003C6068"/>
    <w:rsid w:val="003D2BA3"/>
    <w:rsid w:val="003D3C22"/>
    <w:rsid w:val="003D7089"/>
    <w:rsid w:val="003D7DDB"/>
    <w:rsid w:val="003E02C7"/>
    <w:rsid w:val="003E0543"/>
    <w:rsid w:val="003E0B5A"/>
    <w:rsid w:val="003E31E3"/>
    <w:rsid w:val="003E46D1"/>
    <w:rsid w:val="003F5360"/>
    <w:rsid w:val="003F58B0"/>
    <w:rsid w:val="004007E9"/>
    <w:rsid w:val="00401825"/>
    <w:rsid w:val="00401BBC"/>
    <w:rsid w:val="00403BFB"/>
    <w:rsid w:val="00404B45"/>
    <w:rsid w:val="00406CC5"/>
    <w:rsid w:val="004074A4"/>
    <w:rsid w:val="00407F18"/>
    <w:rsid w:val="004101B2"/>
    <w:rsid w:val="004123D7"/>
    <w:rsid w:val="00412658"/>
    <w:rsid w:val="00412826"/>
    <w:rsid w:val="004166D6"/>
    <w:rsid w:val="004172DB"/>
    <w:rsid w:val="00421485"/>
    <w:rsid w:val="00422B75"/>
    <w:rsid w:val="00433F36"/>
    <w:rsid w:val="0043503A"/>
    <w:rsid w:val="00443275"/>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5619"/>
    <w:rsid w:val="004761CC"/>
    <w:rsid w:val="00480D4A"/>
    <w:rsid w:val="004819F6"/>
    <w:rsid w:val="00481DA1"/>
    <w:rsid w:val="0048447E"/>
    <w:rsid w:val="00486858"/>
    <w:rsid w:val="0049255F"/>
    <w:rsid w:val="0049445D"/>
    <w:rsid w:val="00495350"/>
    <w:rsid w:val="00497156"/>
    <w:rsid w:val="004A24D2"/>
    <w:rsid w:val="004A3214"/>
    <w:rsid w:val="004A4136"/>
    <w:rsid w:val="004A417B"/>
    <w:rsid w:val="004B03F3"/>
    <w:rsid w:val="004B2536"/>
    <w:rsid w:val="004B3A0B"/>
    <w:rsid w:val="004B6AF3"/>
    <w:rsid w:val="004B715E"/>
    <w:rsid w:val="004B7169"/>
    <w:rsid w:val="004B73E4"/>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14DE"/>
    <w:rsid w:val="005025EE"/>
    <w:rsid w:val="00503389"/>
    <w:rsid w:val="00503954"/>
    <w:rsid w:val="00510588"/>
    <w:rsid w:val="0051146C"/>
    <w:rsid w:val="00514449"/>
    <w:rsid w:val="005154A7"/>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1F8"/>
    <w:rsid w:val="005609E3"/>
    <w:rsid w:val="00560D57"/>
    <w:rsid w:val="00562A94"/>
    <w:rsid w:val="005709F7"/>
    <w:rsid w:val="005710A9"/>
    <w:rsid w:val="00571D1B"/>
    <w:rsid w:val="00593043"/>
    <w:rsid w:val="00593D06"/>
    <w:rsid w:val="00595BF0"/>
    <w:rsid w:val="005A1846"/>
    <w:rsid w:val="005A258C"/>
    <w:rsid w:val="005A3560"/>
    <w:rsid w:val="005A6C99"/>
    <w:rsid w:val="005A7D5D"/>
    <w:rsid w:val="005B011A"/>
    <w:rsid w:val="005B1C36"/>
    <w:rsid w:val="005B1D8F"/>
    <w:rsid w:val="005B1E94"/>
    <w:rsid w:val="005B5B3D"/>
    <w:rsid w:val="005C16F3"/>
    <w:rsid w:val="005C1D17"/>
    <w:rsid w:val="005C3758"/>
    <w:rsid w:val="005C45B9"/>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165"/>
    <w:rsid w:val="00616959"/>
    <w:rsid w:val="006211D0"/>
    <w:rsid w:val="00624D0C"/>
    <w:rsid w:val="006307BA"/>
    <w:rsid w:val="006313E4"/>
    <w:rsid w:val="006315BA"/>
    <w:rsid w:val="00634C4A"/>
    <w:rsid w:val="0063532E"/>
    <w:rsid w:val="00637BDC"/>
    <w:rsid w:val="006418C9"/>
    <w:rsid w:val="00642BD6"/>
    <w:rsid w:val="00645046"/>
    <w:rsid w:val="0064527A"/>
    <w:rsid w:val="00645EA2"/>
    <w:rsid w:val="006470CD"/>
    <w:rsid w:val="0065313A"/>
    <w:rsid w:val="006573F2"/>
    <w:rsid w:val="00661AF8"/>
    <w:rsid w:val="00662F08"/>
    <w:rsid w:val="00663589"/>
    <w:rsid w:val="00663B8D"/>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214"/>
    <w:rsid w:val="006B5923"/>
    <w:rsid w:val="006B67D9"/>
    <w:rsid w:val="006B6C14"/>
    <w:rsid w:val="006B715E"/>
    <w:rsid w:val="006C1D6E"/>
    <w:rsid w:val="006C3A68"/>
    <w:rsid w:val="006C687E"/>
    <w:rsid w:val="006C6AB1"/>
    <w:rsid w:val="006D2D39"/>
    <w:rsid w:val="006D4E0E"/>
    <w:rsid w:val="006D5CE2"/>
    <w:rsid w:val="006E06D1"/>
    <w:rsid w:val="006E1313"/>
    <w:rsid w:val="006E2DC8"/>
    <w:rsid w:val="006E7356"/>
    <w:rsid w:val="006E77C8"/>
    <w:rsid w:val="006F149D"/>
    <w:rsid w:val="006F1A46"/>
    <w:rsid w:val="006F31E3"/>
    <w:rsid w:val="006F5A4E"/>
    <w:rsid w:val="00703B6C"/>
    <w:rsid w:val="00704802"/>
    <w:rsid w:val="00705C40"/>
    <w:rsid w:val="00706482"/>
    <w:rsid w:val="00706BEF"/>
    <w:rsid w:val="007116BC"/>
    <w:rsid w:val="007165CE"/>
    <w:rsid w:val="00720968"/>
    <w:rsid w:val="00721D12"/>
    <w:rsid w:val="00721F8B"/>
    <w:rsid w:val="007237CE"/>
    <w:rsid w:val="00724688"/>
    <w:rsid w:val="00725F3B"/>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81BD4"/>
    <w:rsid w:val="00781E20"/>
    <w:rsid w:val="00784832"/>
    <w:rsid w:val="00785D77"/>
    <w:rsid w:val="00786111"/>
    <w:rsid w:val="00791F1E"/>
    <w:rsid w:val="00794F3D"/>
    <w:rsid w:val="00796045"/>
    <w:rsid w:val="007963B4"/>
    <w:rsid w:val="007968AC"/>
    <w:rsid w:val="007969AB"/>
    <w:rsid w:val="007A0B39"/>
    <w:rsid w:val="007A14A4"/>
    <w:rsid w:val="007A168F"/>
    <w:rsid w:val="007A28E4"/>
    <w:rsid w:val="007A3BB3"/>
    <w:rsid w:val="007A4586"/>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2148"/>
    <w:rsid w:val="00865207"/>
    <w:rsid w:val="008656A7"/>
    <w:rsid w:val="00871262"/>
    <w:rsid w:val="00871D4E"/>
    <w:rsid w:val="00871E7B"/>
    <w:rsid w:val="00875B51"/>
    <w:rsid w:val="00875F2D"/>
    <w:rsid w:val="008764DC"/>
    <w:rsid w:val="0088222C"/>
    <w:rsid w:val="00882CC2"/>
    <w:rsid w:val="00883930"/>
    <w:rsid w:val="00886E14"/>
    <w:rsid w:val="00890B73"/>
    <w:rsid w:val="00896535"/>
    <w:rsid w:val="00896683"/>
    <w:rsid w:val="00897589"/>
    <w:rsid w:val="008A63A9"/>
    <w:rsid w:val="008A7F7E"/>
    <w:rsid w:val="008B04DB"/>
    <w:rsid w:val="008B13A7"/>
    <w:rsid w:val="008B27FD"/>
    <w:rsid w:val="008B3AF2"/>
    <w:rsid w:val="008B515D"/>
    <w:rsid w:val="008B5D31"/>
    <w:rsid w:val="008B6705"/>
    <w:rsid w:val="008B79B6"/>
    <w:rsid w:val="008C22F3"/>
    <w:rsid w:val="008C26CC"/>
    <w:rsid w:val="008D795D"/>
    <w:rsid w:val="008D7B07"/>
    <w:rsid w:val="008E1E94"/>
    <w:rsid w:val="008E2D99"/>
    <w:rsid w:val="008E4A60"/>
    <w:rsid w:val="008E5102"/>
    <w:rsid w:val="008E744D"/>
    <w:rsid w:val="008F0284"/>
    <w:rsid w:val="008F1E08"/>
    <w:rsid w:val="00900D8F"/>
    <w:rsid w:val="009014E3"/>
    <w:rsid w:val="009026E8"/>
    <w:rsid w:val="00902B52"/>
    <w:rsid w:val="00906EB7"/>
    <w:rsid w:val="009102BF"/>
    <w:rsid w:val="009115F2"/>
    <w:rsid w:val="00914ADB"/>
    <w:rsid w:val="00923B25"/>
    <w:rsid w:val="0092402E"/>
    <w:rsid w:val="009259BA"/>
    <w:rsid w:val="00926FCB"/>
    <w:rsid w:val="00931BB7"/>
    <w:rsid w:val="0093311A"/>
    <w:rsid w:val="00942645"/>
    <w:rsid w:val="00950A3A"/>
    <w:rsid w:val="0095340A"/>
    <w:rsid w:val="00954581"/>
    <w:rsid w:val="0095466C"/>
    <w:rsid w:val="00954E5B"/>
    <w:rsid w:val="009576BC"/>
    <w:rsid w:val="00960357"/>
    <w:rsid w:val="0096168C"/>
    <w:rsid w:val="00961840"/>
    <w:rsid w:val="00962F2D"/>
    <w:rsid w:val="00966C4E"/>
    <w:rsid w:val="009672CD"/>
    <w:rsid w:val="00972996"/>
    <w:rsid w:val="009732B8"/>
    <w:rsid w:val="00975C72"/>
    <w:rsid w:val="00976869"/>
    <w:rsid w:val="00977740"/>
    <w:rsid w:val="00977CB4"/>
    <w:rsid w:val="009809B8"/>
    <w:rsid w:val="009814B5"/>
    <w:rsid w:val="0098222D"/>
    <w:rsid w:val="00985099"/>
    <w:rsid w:val="0099421F"/>
    <w:rsid w:val="009A0DE3"/>
    <w:rsid w:val="009A1643"/>
    <w:rsid w:val="009A215A"/>
    <w:rsid w:val="009A4F1B"/>
    <w:rsid w:val="009A66C5"/>
    <w:rsid w:val="009A79BA"/>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3FC2"/>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1C85"/>
    <w:rsid w:val="00A2205B"/>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C36EB"/>
    <w:rsid w:val="00AC439D"/>
    <w:rsid w:val="00AC713F"/>
    <w:rsid w:val="00AD067E"/>
    <w:rsid w:val="00AD2801"/>
    <w:rsid w:val="00AD59BA"/>
    <w:rsid w:val="00AD6870"/>
    <w:rsid w:val="00AD68C5"/>
    <w:rsid w:val="00AE1273"/>
    <w:rsid w:val="00AE2D29"/>
    <w:rsid w:val="00AE4624"/>
    <w:rsid w:val="00AE4E1E"/>
    <w:rsid w:val="00AE5E14"/>
    <w:rsid w:val="00AE6115"/>
    <w:rsid w:val="00AE625B"/>
    <w:rsid w:val="00AE70AB"/>
    <w:rsid w:val="00AF0588"/>
    <w:rsid w:val="00AF0D1A"/>
    <w:rsid w:val="00AF1668"/>
    <w:rsid w:val="00AF4FA5"/>
    <w:rsid w:val="00B07955"/>
    <w:rsid w:val="00B14FAA"/>
    <w:rsid w:val="00B15D30"/>
    <w:rsid w:val="00B20624"/>
    <w:rsid w:val="00B221F1"/>
    <w:rsid w:val="00B23436"/>
    <w:rsid w:val="00B26354"/>
    <w:rsid w:val="00B26CA0"/>
    <w:rsid w:val="00B32179"/>
    <w:rsid w:val="00B331A9"/>
    <w:rsid w:val="00B36569"/>
    <w:rsid w:val="00B40A05"/>
    <w:rsid w:val="00B40A3E"/>
    <w:rsid w:val="00B46AAA"/>
    <w:rsid w:val="00B50227"/>
    <w:rsid w:val="00B50510"/>
    <w:rsid w:val="00B522CD"/>
    <w:rsid w:val="00B55143"/>
    <w:rsid w:val="00B55917"/>
    <w:rsid w:val="00B643A6"/>
    <w:rsid w:val="00B645D3"/>
    <w:rsid w:val="00B64DD6"/>
    <w:rsid w:val="00B6710C"/>
    <w:rsid w:val="00B72076"/>
    <w:rsid w:val="00B72303"/>
    <w:rsid w:val="00B82277"/>
    <w:rsid w:val="00B91676"/>
    <w:rsid w:val="00B92218"/>
    <w:rsid w:val="00B92B30"/>
    <w:rsid w:val="00B95833"/>
    <w:rsid w:val="00BA1824"/>
    <w:rsid w:val="00BA2D98"/>
    <w:rsid w:val="00BA30D1"/>
    <w:rsid w:val="00BA4609"/>
    <w:rsid w:val="00BA5BE2"/>
    <w:rsid w:val="00BA7F46"/>
    <w:rsid w:val="00BB0A0A"/>
    <w:rsid w:val="00BB45B5"/>
    <w:rsid w:val="00BB6064"/>
    <w:rsid w:val="00BC09D1"/>
    <w:rsid w:val="00BC1CF3"/>
    <w:rsid w:val="00BC7F82"/>
    <w:rsid w:val="00BD18A5"/>
    <w:rsid w:val="00BD40AB"/>
    <w:rsid w:val="00BD43C3"/>
    <w:rsid w:val="00BD6297"/>
    <w:rsid w:val="00BD6806"/>
    <w:rsid w:val="00BD7433"/>
    <w:rsid w:val="00BD7831"/>
    <w:rsid w:val="00BD7C10"/>
    <w:rsid w:val="00BE0261"/>
    <w:rsid w:val="00BE046F"/>
    <w:rsid w:val="00BE0DEB"/>
    <w:rsid w:val="00BE2FC1"/>
    <w:rsid w:val="00BE3E72"/>
    <w:rsid w:val="00BE6365"/>
    <w:rsid w:val="00BF0B7F"/>
    <w:rsid w:val="00BF4720"/>
    <w:rsid w:val="00BF7B63"/>
    <w:rsid w:val="00C038EC"/>
    <w:rsid w:val="00C05C6D"/>
    <w:rsid w:val="00C1122B"/>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0EF4"/>
    <w:rsid w:val="00C42443"/>
    <w:rsid w:val="00C42CBA"/>
    <w:rsid w:val="00C5019E"/>
    <w:rsid w:val="00C5377C"/>
    <w:rsid w:val="00C53E8A"/>
    <w:rsid w:val="00C54DF3"/>
    <w:rsid w:val="00C560A7"/>
    <w:rsid w:val="00C56FC8"/>
    <w:rsid w:val="00C60F23"/>
    <w:rsid w:val="00C61DF5"/>
    <w:rsid w:val="00C62EB2"/>
    <w:rsid w:val="00C71BEC"/>
    <w:rsid w:val="00C74D3A"/>
    <w:rsid w:val="00C80511"/>
    <w:rsid w:val="00C81A38"/>
    <w:rsid w:val="00C826F5"/>
    <w:rsid w:val="00C83740"/>
    <w:rsid w:val="00C84AD1"/>
    <w:rsid w:val="00C85579"/>
    <w:rsid w:val="00C863E5"/>
    <w:rsid w:val="00C931FC"/>
    <w:rsid w:val="00C932C5"/>
    <w:rsid w:val="00C9650E"/>
    <w:rsid w:val="00CA068D"/>
    <w:rsid w:val="00CA1228"/>
    <w:rsid w:val="00CA282D"/>
    <w:rsid w:val="00CA4670"/>
    <w:rsid w:val="00CA4EBE"/>
    <w:rsid w:val="00CA6B1A"/>
    <w:rsid w:val="00CB20DC"/>
    <w:rsid w:val="00CB23DC"/>
    <w:rsid w:val="00CB2487"/>
    <w:rsid w:val="00CB28E2"/>
    <w:rsid w:val="00CB7A3E"/>
    <w:rsid w:val="00CB7FF7"/>
    <w:rsid w:val="00CC042D"/>
    <w:rsid w:val="00CC0D0E"/>
    <w:rsid w:val="00CC19B3"/>
    <w:rsid w:val="00CC2044"/>
    <w:rsid w:val="00CC39D2"/>
    <w:rsid w:val="00CC69EC"/>
    <w:rsid w:val="00CD15BE"/>
    <w:rsid w:val="00CD1EF2"/>
    <w:rsid w:val="00CD32BD"/>
    <w:rsid w:val="00CD34C7"/>
    <w:rsid w:val="00CD5653"/>
    <w:rsid w:val="00CD5E6D"/>
    <w:rsid w:val="00CD63C8"/>
    <w:rsid w:val="00CE6446"/>
    <w:rsid w:val="00CF158D"/>
    <w:rsid w:val="00CF4117"/>
    <w:rsid w:val="00CF4394"/>
    <w:rsid w:val="00D000A9"/>
    <w:rsid w:val="00D005DB"/>
    <w:rsid w:val="00D0064E"/>
    <w:rsid w:val="00D00981"/>
    <w:rsid w:val="00D0119A"/>
    <w:rsid w:val="00D0280D"/>
    <w:rsid w:val="00D02A2C"/>
    <w:rsid w:val="00D07A72"/>
    <w:rsid w:val="00D10577"/>
    <w:rsid w:val="00D1323B"/>
    <w:rsid w:val="00D14BAE"/>
    <w:rsid w:val="00D1589D"/>
    <w:rsid w:val="00D1648B"/>
    <w:rsid w:val="00D16819"/>
    <w:rsid w:val="00D20AC0"/>
    <w:rsid w:val="00D2321B"/>
    <w:rsid w:val="00D23DE4"/>
    <w:rsid w:val="00D26873"/>
    <w:rsid w:val="00D31683"/>
    <w:rsid w:val="00D336C8"/>
    <w:rsid w:val="00D339E8"/>
    <w:rsid w:val="00D3662E"/>
    <w:rsid w:val="00D40B1F"/>
    <w:rsid w:val="00D40D75"/>
    <w:rsid w:val="00D449F0"/>
    <w:rsid w:val="00D451C0"/>
    <w:rsid w:val="00D50C8C"/>
    <w:rsid w:val="00D52393"/>
    <w:rsid w:val="00D523E4"/>
    <w:rsid w:val="00D52658"/>
    <w:rsid w:val="00D5279D"/>
    <w:rsid w:val="00D52A1B"/>
    <w:rsid w:val="00D53F14"/>
    <w:rsid w:val="00D54BE4"/>
    <w:rsid w:val="00D60483"/>
    <w:rsid w:val="00D61ABB"/>
    <w:rsid w:val="00D63577"/>
    <w:rsid w:val="00D6520E"/>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591E"/>
    <w:rsid w:val="00D9706F"/>
    <w:rsid w:val="00D972D4"/>
    <w:rsid w:val="00DA195B"/>
    <w:rsid w:val="00DA1DB4"/>
    <w:rsid w:val="00DA241F"/>
    <w:rsid w:val="00DA3271"/>
    <w:rsid w:val="00DA5762"/>
    <w:rsid w:val="00DA6B55"/>
    <w:rsid w:val="00DB0015"/>
    <w:rsid w:val="00DB2AAD"/>
    <w:rsid w:val="00DB626D"/>
    <w:rsid w:val="00DB6365"/>
    <w:rsid w:val="00DC0BF1"/>
    <w:rsid w:val="00DC41C3"/>
    <w:rsid w:val="00DD3593"/>
    <w:rsid w:val="00DE0C67"/>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265B1"/>
    <w:rsid w:val="00E322F7"/>
    <w:rsid w:val="00E3369B"/>
    <w:rsid w:val="00E34D30"/>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926F0"/>
    <w:rsid w:val="00EA1177"/>
    <w:rsid w:val="00EA118B"/>
    <w:rsid w:val="00EA11B6"/>
    <w:rsid w:val="00EA2181"/>
    <w:rsid w:val="00EA2DD8"/>
    <w:rsid w:val="00EA4475"/>
    <w:rsid w:val="00EA681F"/>
    <w:rsid w:val="00EB3823"/>
    <w:rsid w:val="00EB47D8"/>
    <w:rsid w:val="00EB57D3"/>
    <w:rsid w:val="00EB5AB1"/>
    <w:rsid w:val="00EB5EFD"/>
    <w:rsid w:val="00EB679F"/>
    <w:rsid w:val="00EB76E4"/>
    <w:rsid w:val="00EC0E65"/>
    <w:rsid w:val="00EC2938"/>
    <w:rsid w:val="00EC50C9"/>
    <w:rsid w:val="00EC58B4"/>
    <w:rsid w:val="00EC5BB2"/>
    <w:rsid w:val="00ED12F0"/>
    <w:rsid w:val="00ED36C7"/>
    <w:rsid w:val="00ED4773"/>
    <w:rsid w:val="00ED664B"/>
    <w:rsid w:val="00ED6A61"/>
    <w:rsid w:val="00ED6A8E"/>
    <w:rsid w:val="00EE03BB"/>
    <w:rsid w:val="00EE0B44"/>
    <w:rsid w:val="00EE5DD6"/>
    <w:rsid w:val="00EE6FE0"/>
    <w:rsid w:val="00EE704A"/>
    <w:rsid w:val="00EE7840"/>
    <w:rsid w:val="00EF4C74"/>
    <w:rsid w:val="00EF5268"/>
    <w:rsid w:val="00EF608E"/>
    <w:rsid w:val="00F0044B"/>
    <w:rsid w:val="00F04957"/>
    <w:rsid w:val="00F05807"/>
    <w:rsid w:val="00F06A0C"/>
    <w:rsid w:val="00F07052"/>
    <w:rsid w:val="00F0706C"/>
    <w:rsid w:val="00F11EBE"/>
    <w:rsid w:val="00F12BA8"/>
    <w:rsid w:val="00F130D0"/>
    <w:rsid w:val="00F14933"/>
    <w:rsid w:val="00F1516A"/>
    <w:rsid w:val="00F22A26"/>
    <w:rsid w:val="00F24072"/>
    <w:rsid w:val="00F247A7"/>
    <w:rsid w:val="00F26432"/>
    <w:rsid w:val="00F3197A"/>
    <w:rsid w:val="00F32139"/>
    <w:rsid w:val="00F3342B"/>
    <w:rsid w:val="00F33D56"/>
    <w:rsid w:val="00F34E08"/>
    <w:rsid w:val="00F41D91"/>
    <w:rsid w:val="00F42363"/>
    <w:rsid w:val="00F46964"/>
    <w:rsid w:val="00F46F9A"/>
    <w:rsid w:val="00F47331"/>
    <w:rsid w:val="00F5126A"/>
    <w:rsid w:val="00F6636A"/>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6D78"/>
    <w:rsid w:val="00F97740"/>
    <w:rsid w:val="00FA2F7B"/>
    <w:rsid w:val="00FB0521"/>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1A99"/>
    <w:rsid w:val="00FF3A38"/>
    <w:rsid w:val="00FF3C25"/>
    <w:rsid w:val="00FF61BD"/>
    <w:rsid w:val="00FF6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20664713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76E0-D8BE-4FF6-8A16-91168A79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2011-01-31T13:25:00Z</cp:lastPrinted>
  <dcterms:created xsi:type="dcterms:W3CDTF">2012-03-10T18:21:00Z</dcterms:created>
  <dcterms:modified xsi:type="dcterms:W3CDTF">2012-03-10T18:21:00Z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