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26" w:rsidRPr="00396779" w:rsidRDefault="00863C26" w:rsidP="00863C26">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863C26" w:rsidRPr="00396779" w:rsidRDefault="00863C26" w:rsidP="00863C26">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863C26" w:rsidRPr="00396779" w:rsidRDefault="00863C26" w:rsidP="00863C26">
      <w:pPr>
        <w:tabs>
          <w:tab w:val="left" w:pos="288"/>
          <w:tab w:val="left" w:pos="4752"/>
        </w:tabs>
        <w:spacing w:line="240" w:lineRule="exact"/>
        <w:jc w:val="both"/>
        <w:rPr>
          <w:rFonts w:asciiTheme="minorHAnsi" w:hAnsiTheme="minorHAnsi"/>
          <w:caps/>
          <w:color w:val="auto"/>
        </w:rPr>
      </w:pPr>
    </w:p>
    <w:p w:rsidR="00863C26" w:rsidRDefault="00D4161A" w:rsidP="00863C26">
      <w:pPr>
        <w:tabs>
          <w:tab w:val="left" w:pos="288"/>
          <w:tab w:val="left" w:pos="4752"/>
          <w:tab w:val="left" w:pos="5670"/>
          <w:tab w:val="left" w:pos="9270"/>
        </w:tabs>
        <w:spacing w:line="240" w:lineRule="exact"/>
        <w:jc w:val="both"/>
        <w:rPr>
          <w:rFonts w:asciiTheme="minorHAnsi" w:hAnsiTheme="minorHAnsi"/>
          <w:caps/>
          <w:color w:val="auto"/>
        </w:rPr>
      </w:pPr>
      <w:r>
        <w:rPr>
          <w:rFonts w:asciiTheme="minorHAnsi" w:hAnsiTheme="minorHAnsi"/>
          <w:caps/>
          <w:color w:val="auto"/>
        </w:rPr>
        <w:t xml:space="preserve">NAME:  </w:t>
      </w:r>
      <w:r w:rsidR="000E479B">
        <w:rPr>
          <w:rFonts w:asciiTheme="minorHAnsi" w:hAnsiTheme="minorHAnsi"/>
          <w:caps/>
          <w:color w:val="auto"/>
        </w:rPr>
        <w:t>XXXXXXX</w:t>
      </w:r>
      <w:r w:rsidR="00863C26">
        <w:rPr>
          <w:rFonts w:asciiTheme="minorHAnsi" w:hAnsiTheme="minorHAnsi"/>
          <w:caps/>
          <w:color w:val="auto"/>
        </w:rPr>
        <w:tab/>
      </w:r>
      <w:r w:rsidR="00863C26">
        <w:rPr>
          <w:rFonts w:asciiTheme="minorHAnsi" w:hAnsiTheme="minorHAnsi"/>
          <w:caps/>
          <w:color w:val="auto"/>
        </w:rPr>
        <w:tab/>
        <w:t>BRANCH OF SERVICE:</w:t>
      </w:r>
      <w:r>
        <w:rPr>
          <w:rFonts w:asciiTheme="minorHAnsi" w:hAnsiTheme="minorHAnsi"/>
          <w:caps/>
          <w:color w:val="auto"/>
        </w:rPr>
        <w:t xml:space="preserve"> Marine Corps</w:t>
      </w:r>
    </w:p>
    <w:p w:rsidR="00863C26" w:rsidRDefault="00863C26" w:rsidP="00863C26">
      <w:pPr>
        <w:tabs>
          <w:tab w:val="left" w:pos="288"/>
          <w:tab w:val="left" w:pos="4752"/>
          <w:tab w:val="left" w:pos="5670"/>
        </w:tabs>
        <w:spacing w:line="240" w:lineRule="exact"/>
        <w:ind w:right="-900"/>
        <w:jc w:val="both"/>
        <w:rPr>
          <w:rFonts w:asciiTheme="minorHAnsi" w:hAnsiTheme="minorHAnsi"/>
          <w:caps/>
          <w:color w:val="auto"/>
        </w:rPr>
      </w:pPr>
      <w:r>
        <w:rPr>
          <w:rFonts w:asciiTheme="minorHAnsi" w:hAnsiTheme="minorHAnsi"/>
          <w:caps/>
          <w:color w:val="auto"/>
        </w:rPr>
        <w:t>CASE NUMBER:  PD</w:t>
      </w:r>
      <w:r w:rsidR="00D4161A">
        <w:rPr>
          <w:rFonts w:asciiTheme="minorHAnsi" w:hAnsiTheme="minorHAnsi"/>
          <w:caps/>
          <w:color w:val="auto"/>
        </w:rPr>
        <w:t>0900638</w:t>
      </w:r>
      <w:r>
        <w:rPr>
          <w:rFonts w:asciiTheme="minorHAnsi" w:hAnsiTheme="minorHAnsi"/>
          <w:caps/>
          <w:color w:val="auto"/>
        </w:rPr>
        <w:tab/>
      </w:r>
      <w:r>
        <w:rPr>
          <w:rFonts w:asciiTheme="minorHAnsi" w:hAnsiTheme="minorHAnsi"/>
          <w:caps/>
          <w:color w:val="auto"/>
        </w:rPr>
        <w:tab/>
        <w:t>SEPARATION DATE:  200</w:t>
      </w:r>
      <w:r w:rsidR="00D4161A">
        <w:rPr>
          <w:rFonts w:asciiTheme="minorHAnsi" w:hAnsiTheme="minorHAnsi"/>
          <w:caps/>
          <w:color w:val="auto"/>
        </w:rPr>
        <w:t>40815</w:t>
      </w:r>
    </w:p>
    <w:p w:rsidR="00E26AA8" w:rsidRPr="00E26AA8" w:rsidRDefault="00863C26" w:rsidP="00863C26">
      <w:pPr>
        <w:tabs>
          <w:tab w:val="left" w:pos="288"/>
          <w:tab w:val="left" w:pos="5670"/>
        </w:tabs>
        <w:spacing w:line="240" w:lineRule="exact"/>
        <w:jc w:val="both"/>
        <w:rPr>
          <w:rFonts w:asciiTheme="minorHAnsi" w:hAnsiTheme="minorHAnsi"/>
          <w:caps/>
          <w:color w:val="auto"/>
        </w:rPr>
      </w:pPr>
      <w:r>
        <w:rPr>
          <w:rFonts w:asciiTheme="minorHAnsi" w:hAnsiTheme="minorHAnsi"/>
          <w:caps/>
          <w:color w:val="auto"/>
        </w:rPr>
        <w:t>BOARD DATE:  2011</w:t>
      </w:r>
      <w:r w:rsidR="00F856C6">
        <w:rPr>
          <w:rFonts w:asciiTheme="minorHAnsi" w:hAnsiTheme="minorHAnsi"/>
          <w:caps/>
          <w:color w:val="auto"/>
        </w:rPr>
        <w:t>0429</w:t>
      </w:r>
      <w:r>
        <w:rPr>
          <w:rFonts w:asciiTheme="minorHAnsi" w:hAnsiTheme="minorHAnsi"/>
          <w:caps/>
          <w:color w:val="auto"/>
        </w:rPr>
        <w:tab/>
      </w:r>
    </w:p>
    <w:p w:rsidR="00863C26" w:rsidRPr="00D560DC" w:rsidRDefault="00863C26" w:rsidP="00863C26">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E26AA8" w:rsidRDefault="00E26AA8" w:rsidP="00F15723">
      <w:pPr>
        <w:tabs>
          <w:tab w:val="left" w:pos="288"/>
          <w:tab w:val="left" w:pos="4752"/>
        </w:tabs>
        <w:spacing w:line="240" w:lineRule="exact"/>
        <w:jc w:val="both"/>
        <w:rPr>
          <w:rFonts w:asciiTheme="minorHAnsi" w:hAnsiTheme="minorHAnsi"/>
          <w:color w:val="auto"/>
          <w:u w:val="single"/>
        </w:rPr>
      </w:pPr>
    </w:p>
    <w:p w:rsidR="00F15723" w:rsidRPr="00A75387" w:rsidRDefault="00863C26" w:rsidP="00D02543">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u w:val="single"/>
        </w:rPr>
        <w:t>SUMMARY OF CASE</w:t>
      </w:r>
      <w:r w:rsidRPr="00EC337D">
        <w:rPr>
          <w:rFonts w:asciiTheme="minorHAnsi" w:hAnsiTheme="minorHAnsi"/>
          <w:color w:val="auto"/>
        </w:rPr>
        <w:t xml:space="preserve">:  </w:t>
      </w:r>
      <w:r w:rsidR="00F15723" w:rsidRPr="00EC337D">
        <w:rPr>
          <w:rFonts w:asciiTheme="minorHAnsi" w:hAnsiTheme="minorHAnsi"/>
          <w:color w:val="auto"/>
        </w:rPr>
        <w:t xml:space="preserve">Data extracted from the available evidence of record reflects that this covered individual (CI) </w:t>
      </w:r>
      <w:r w:rsidR="00D4161A">
        <w:rPr>
          <w:rFonts w:asciiTheme="minorHAnsi" w:hAnsiTheme="minorHAnsi"/>
          <w:color w:val="auto"/>
          <w:szCs w:val="24"/>
        </w:rPr>
        <w:t>was an active duty Sgt/E-5</w:t>
      </w:r>
      <w:r w:rsidR="00F15723" w:rsidRPr="00AD7F8F">
        <w:rPr>
          <w:rFonts w:asciiTheme="minorHAnsi" w:hAnsiTheme="minorHAnsi"/>
          <w:color w:val="auto"/>
          <w:szCs w:val="24"/>
        </w:rPr>
        <w:t xml:space="preserve"> (</w:t>
      </w:r>
      <w:r w:rsidR="00D4161A">
        <w:rPr>
          <w:rFonts w:asciiTheme="minorHAnsi" w:hAnsiTheme="minorHAnsi"/>
          <w:color w:val="auto"/>
          <w:szCs w:val="24"/>
        </w:rPr>
        <w:t>0844, Fire Direction Control</w:t>
      </w:r>
      <w:r w:rsidR="00F15723" w:rsidRPr="00AD7F8F">
        <w:rPr>
          <w:rFonts w:asciiTheme="minorHAnsi" w:hAnsiTheme="minorHAnsi"/>
          <w:color w:val="auto"/>
          <w:szCs w:val="24"/>
        </w:rPr>
        <w:t>)</w:t>
      </w:r>
      <w:r w:rsidR="008A0ED5">
        <w:rPr>
          <w:rFonts w:asciiTheme="minorHAnsi" w:hAnsiTheme="minorHAnsi"/>
          <w:color w:val="auto"/>
          <w:szCs w:val="24"/>
        </w:rPr>
        <w:t>,</w:t>
      </w:r>
      <w:r w:rsidR="00D4161A">
        <w:rPr>
          <w:rFonts w:asciiTheme="minorHAnsi" w:hAnsiTheme="minorHAnsi"/>
          <w:color w:val="auto"/>
          <w:szCs w:val="24"/>
        </w:rPr>
        <w:t xml:space="preserve"> medically separated from the Marine Corps in </w:t>
      </w:r>
      <w:r w:rsidR="00D02543">
        <w:rPr>
          <w:rFonts w:asciiTheme="minorHAnsi" w:hAnsiTheme="minorHAnsi"/>
          <w:color w:val="auto"/>
          <w:szCs w:val="24"/>
        </w:rPr>
        <w:t xml:space="preserve">August </w:t>
      </w:r>
      <w:r w:rsidR="00F856C6">
        <w:rPr>
          <w:rFonts w:asciiTheme="minorHAnsi" w:hAnsiTheme="minorHAnsi"/>
          <w:color w:val="auto"/>
          <w:szCs w:val="24"/>
        </w:rPr>
        <w:t>2004</w:t>
      </w:r>
      <w:r w:rsidR="00F15723">
        <w:rPr>
          <w:rFonts w:asciiTheme="minorHAnsi" w:hAnsiTheme="minorHAnsi"/>
          <w:color w:val="auto"/>
          <w:szCs w:val="24"/>
        </w:rPr>
        <w:t>.</w:t>
      </w:r>
      <w:r w:rsidR="00455AAE">
        <w:rPr>
          <w:rFonts w:asciiTheme="minorHAnsi" w:hAnsiTheme="minorHAnsi"/>
          <w:color w:val="auto"/>
          <w:szCs w:val="24"/>
        </w:rPr>
        <w:t xml:space="preserve">  </w:t>
      </w:r>
      <w:r w:rsidR="00D02543">
        <w:rPr>
          <w:rFonts w:asciiTheme="minorHAnsi" w:hAnsiTheme="minorHAnsi"/>
          <w:color w:val="auto"/>
          <w:szCs w:val="24"/>
        </w:rPr>
        <w:t xml:space="preserve">The medical basis for </w:t>
      </w:r>
      <w:r w:rsidR="00F15723" w:rsidRPr="00AD7F8F">
        <w:rPr>
          <w:rFonts w:asciiTheme="minorHAnsi" w:hAnsiTheme="minorHAnsi"/>
          <w:color w:val="auto"/>
          <w:szCs w:val="24"/>
        </w:rPr>
        <w:t xml:space="preserve">separation was </w:t>
      </w:r>
      <w:r w:rsidR="00F856C6">
        <w:rPr>
          <w:rFonts w:asciiTheme="minorHAnsi" w:hAnsiTheme="minorHAnsi"/>
          <w:color w:val="auto"/>
          <w:szCs w:val="24"/>
        </w:rPr>
        <w:t xml:space="preserve">degenerative arthritis </w:t>
      </w:r>
      <w:r w:rsidR="00761BC1">
        <w:rPr>
          <w:rFonts w:asciiTheme="minorHAnsi" w:hAnsiTheme="minorHAnsi"/>
          <w:color w:val="auto"/>
          <w:szCs w:val="24"/>
        </w:rPr>
        <w:t xml:space="preserve">of the </w:t>
      </w:r>
      <w:r w:rsidR="00F856C6">
        <w:rPr>
          <w:rFonts w:asciiTheme="minorHAnsi" w:hAnsiTheme="minorHAnsi"/>
          <w:color w:val="auto"/>
          <w:szCs w:val="24"/>
        </w:rPr>
        <w:t>left hip</w:t>
      </w:r>
      <w:r w:rsidR="00761BC1">
        <w:rPr>
          <w:rFonts w:asciiTheme="minorHAnsi" w:hAnsiTheme="minorHAnsi"/>
          <w:color w:val="auto"/>
          <w:szCs w:val="24"/>
        </w:rPr>
        <w:t>,</w:t>
      </w:r>
      <w:r w:rsidR="00F856C6">
        <w:rPr>
          <w:rFonts w:asciiTheme="minorHAnsi" w:hAnsiTheme="minorHAnsi"/>
          <w:color w:val="auto"/>
          <w:szCs w:val="24"/>
        </w:rPr>
        <w:t xml:space="preserve"> secondary to hip d</w:t>
      </w:r>
      <w:r w:rsidR="008B1AF7">
        <w:rPr>
          <w:rFonts w:asciiTheme="minorHAnsi" w:hAnsiTheme="minorHAnsi"/>
          <w:color w:val="auto"/>
          <w:szCs w:val="24"/>
        </w:rPr>
        <w:t>ysplasia.</w:t>
      </w:r>
      <w:r w:rsidR="008C173E">
        <w:rPr>
          <w:rFonts w:asciiTheme="minorHAnsi" w:hAnsiTheme="minorHAnsi"/>
          <w:color w:val="auto"/>
          <w:szCs w:val="24"/>
        </w:rPr>
        <w:t xml:space="preserve">  During </w:t>
      </w:r>
      <w:r w:rsidR="00761BC1">
        <w:rPr>
          <w:rFonts w:asciiTheme="minorHAnsi" w:hAnsiTheme="minorHAnsi"/>
          <w:color w:val="auto"/>
          <w:szCs w:val="24"/>
        </w:rPr>
        <w:t>his</w:t>
      </w:r>
      <w:r w:rsidR="008C173E">
        <w:rPr>
          <w:rFonts w:asciiTheme="minorHAnsi" w:hAnsiTheme="minorHAnsi"/>
          <w:color w:val="auto"/>
          <w:szCs w:val="24"/>
        </w:rPr>
        <w:t xml:space="preserve"> initial enlistment he had no hip </w:t>
      </w:r>
      <w:r w:rsidR="00D05072">
        <w:rPr>
          <w:rFonts w:asciiTheme="minorHAnsi" w:hAnsiTheme="minorHAnsi"/>
          <w:color w:val="auto"/>
          <w:szCs w:val="24"/>
        </w:rPr>
        <w:t>complaints</w:t>
      </w:r>
      <w:r w:rsidR="008C173E">
        <w:rPr>
          <w:rFonts w:asciiTheme="minorHAnsi" w:hAnsiTheme="minorHAnsi"/>
          <w:color w:val="auto"/>
          <w:szCs w:val="24"/>
        </w:rPr>
        <w:t xml:space="preserve">.  </w:t>
      </w:r>
      <w:r w:rsidR="00761BC1">
        <w:rPr>
          <w:rFonts w:asciiTheme="minorHAnsi" w:hAnsiTheme="minorHAnsi"/>
          <w:color w:val="auto"/>
          <w:szCs w:val="24"/>
        </w:rPr>
        <w:t xml:space="preserve">In 2002, </w:t>
      </w:r>
      <w:r w:rsidR="008C173E">
        <w:rPr>
          <w:rFonts w:asciiTheme="minorHAnsi" w:hAnsiTheme="minorHAnsi"/>
          <w:color w:val="auto"/>
          <w:szCs w:val="24"/>
        </w:rPr>
        <w:t xml:space="preserve">the CI began having left hip pain with activity.  This progressed </w:t>
      </w:r>
      <w:r w:rsidR="003C0424">
        <w:rPr>
          <w:rFonts w:asciiTheme="minorHAnsi" w:hAnsiTheme="minorHAnsi"/>
          <w:color w:val="auto"/>
          <w:szCs w:val="24"/>
        </w:rPr>
        <w:t>until</w:t>
      </w:r>
      <w:r w:rsidR="008C173E">
        <w:rPr>
          <w:rFonts w:asciiTheme="minorHAnsi" w:hAnsiTheme="minorHAnsi"/>
          <w:color w:val="auto"/>
          <w:szCs w:val="24"/>
        </w:rPr>
        <w:t xml:space="preserve"> he was </w:t>
      </w:r>
      <w:r w:rsidR="008A0ED5">
        <w:rPr>
          <w:rFonts w:asciiTheme="minorHAnsi" w:hAnsiTheme="minorHAnsi"/>
          <w:color w:val="auto"/>
          <w:szCs w:val="24"/>
        </w:rPr>
        <w:t>unable to run, jump, or stand lo</w:t>
      </w:r>
      <w:r w:rsidR="008C173E">
        <w:rPr>
          <w:rFonts w:asciiTheme="minorHAnsi" w:hAnsiTheme="minorHAnsi"/>
          <w:color w:val="auto"/>
          <w:szCs w:val="24"/>
        </w:rPr>
        <w:t xml:space="preserve">nger than 15 </w:t>
      </w:r>
      <w:r w:rsidR="00C369A8">
        <w:rPr>
          <w:rFonts w:asciiTheme="minorHAnsi" w:hAnsiTheme="minorHAnsi"/>
          <w:color w:val="auto"/>
          <w:szCs w:val="24"/>
        </w:rPr>
        <w:t xml:space="preserve">minutes.  </w:t>
      </w:r>
      <w:r w:rsidR="003C0424">
        <w:rPr>
          <w:rFonts w:asciiTheme="minorHAnsi" w:hAnsiTheme="minorHAnsi"/>
          <w:color w:val="auto"/>
          <w:szCs w:val="24"/>
        </w:rPr>
        <w:t>X-rays</w:t>
      </w:r>
      <w:r w:rsidR="008C173E">
        <w:rPr>
          <w:rFonts w:asciiTheme="minorHAnsi" w:hAnsiTheme="minorHAnsi"/>
          <w:color w:val="auto"/>
          <w:szCs w:val="24"/>
        </w:rPr>
        <w:t xml:space="preserve"> </w:t>
      </w:r>
      <w:r w:rsidR="00761BC1">
        <w:rPr>
          <w:rFonts w:asciiTheme="minorHAnsi" w:hAnsiTheme="minorHAnsi"/>
          <w:color w:val="auto"/>
          <w:szCs w:val="24"/>
        </w:rPr>
        <w:t>showed</w:t>
      </w:r>
      <w:r w:rsidR="008C173E">
        <w:rPr>
          <w:rFonts w:asciiTheme="minorHAnsi" w:hAnsiTheme="minorHAnsi"/>
          <w:color w:val="auto"/>
          <w:szCs w:val="24"/>
        </w:rPr>
        <w:t xml:space="preserve"> significant degenerative changes in the left hip, most likely seconda</w:t>
      </w:r>
      <w:r w:rsidR="008A0ED5">
        <w:rPr>
          <w:rFonts w:asciiTheme="minorHAnsi" w:hAnsiTheme="minorHAnsi"/>
          <w:color w:val="auto"/>
          <w:szCs w:val="24"/>
        </w:rPr>
        <w:t xml:space="preserve">ry to </w:t>
      </w:r>
      <w:proofErr w:type="spellStart"/>
      <w:r w:rsidR="00744FFD">
        <w:rPr>
          <w:rFonts w:asciiTheme="minorHAnsi" w:hAnsiTheme="minorHAnsi"/>
          <w:color w:val="auto"/>
          <w:szCs w:val="24"/>
        </w:rPr>
        <w:t>Perthe</w:t>
      </w:r>
      <w:r w:rsidR="00C369A8">
        <w:rPr>
          <w:rFonts w:asciiTheme="minorHAnsi" w:hAnsiTheme="minorHAnsi"/>
          <w:color w:val="auto"/>
          <w:szCs w:val="24"/>
        </w:rPr>
        <w:t>s</w:t>
      </w:r>
      <w:proofErr w:type="spellEnd"/>
      <w:r w:rsidR="00A75387">
        <w:rPr>
          <w:rFonts w:asciiTheme="minorHAnsi" w:hAnsiTheme="minorHAnsi"/>
          <w:color w:val="auto"/>
          <w:szCs w:val="24"/>
        </w:rPr>
        <w:t xml:space="preserve"> d</w:t>
      </w:r>
      <w:r w:rsidR="00F856C6">
        <w:rPr>
          <w:rFonts w:asciiTheme="minorHAnsi" w:hAnsiTheme="minorHAnsi"/>
          <w:color w:val="auto"/>
          <w:szCs w:val="24"/>
        </w:rPr>
        <w:t>isease or developmental dysplasia of the hip</w:t>
      </w:r>
      <w:r w:rsidR="008C173E">
        <w:rPr>
          <w:rFonts w:asciiTheme="minorHAnsi" w:hAnsiTheme="minorHAnsi"/>
          <w:color w:val="auto"/>
          <w:szCs w:val="24"/>
        </w:rPr>
        <w:t xml:space="preserve">.  The CI </w:t>
      </w:r>
      <w:r w:rsidR="00F15723" w:rsidRPr="00AD7F8F">
        <w:rPr>
          <w:rFonts w:asciiTheme="minorHAnsi" w:hAnsiTheme="minorHAnsi"/>
          <w:color w:val="auto"/>
          <w:szCs w:val="24"/>
        </w:rPr>
        <w:t xml:space="preserve">did not respond adequately </w:t>
      </w:r>
      <w:r w:rsidR="00F15723">
        <w:rPr>
          <w:rFonts w:asciiTheme="minorHAnsi" w:hAnsiTheme="minorHAnsi"/>
          <w:color w:val="auto"/>
          <w:szCs w:val="24"/>
        </w:rPr>
        <w:t>to treatment</w:t>
      </w:r>
      <w:r w:rsidR="003C0424">
        <w:rPr>
          <w:rFonts w:asciiTheme="minorHAnsi" w:hAnsiTheme="minorHAnsi"/>
          <w:color w:val="auto"/>
          <w:szCs w:val="24"/>
        </w:rPr>
        <w:t>,</w:t>
      </w:r>
      <w:r w:rsidR="00F15723">
        <w:rPr>
          <w:rFonts w:asciiTheme="minorHAnsi" w:hAnsiTheme="minorHAnsi"/>
          <w:color w:val="auto"/>
          <w:szCs w:val="24"/>
        </w:rPr>
        <w:t xml:space="preserve"> and was unable to </w:t>
      </w:r>
      <w:r w:rsidR="00F15723" w:rsidRPr="00AD7F8F">
        <w:rPr>
          <w:rFonts w:asciiTheme="minorHAnsi" w:hAnsiTheme="minorHAnsi"/>
          <w:color w:val="auto"/>
          <w:szCs w:val="24"/>
        </w:rPr>
        <w:t>perform within his military occupational specialty</w:t>
      </w:r>
      <w:r w:rsidR="000C5AA6">
        <w:rPr>
          <w:rFonts w:asciiTheme="minorHAnsi" w:hAnsiTheme="minorHAnsi"/>
          <w:color w:val="auto"/>
          <w:szCs w:val="24"/>
        </w:rPr>
        <w:t xml:space="preserve"> </w:t>
      </w:r>
      <w:r w:rsidR="00761BC1">
        <w:rPr>
          <w:rFonts w:asciiTheme="minorHAnsi" w:hAnsiTheme="minorHAnsi"/>
          <w:color w:val="auto"/>
          <w:szCs w:val="24"/>
        </w:rPr>
        <w:t xml:space="preserve">(MOS) </w:t>
      </w:r>
      <w:r w:rsidR="000C5AA6">
        <w:rPr>
          <w:rFonts w:asciiTheme="minorHAnsi" w:hAnsiTheme="minorHAnsi"/>
          <w:color w:val="auto"/>
          <w:szCs w:val="24"/>
        </w:rPr>
        <w:t>or</w:t>
      </w:r>
      <w:r w:rsidR="00F15723">
        <w:rPr>
          <w:rFonts w:asciiTheme="minorHAnsi" w:hAnsiTheme="minorHAnsi"/>
          <w:color w:val="auto"/>
          <w:szCs w:val="24"/>
        </w:rPr>
        <w:t xml:space="preserve"> </w:t>
      </w:r>
      <w:r w:rsidR="00F15723" w:rsidRPr="00AD7F8F">
        <w:rPr>
          <w:rFonts w:asciiTheme="minorHAnsi" w:hAnsiTheme="minorHAnsi"/>
          <w:color w:val="auto"/>
          <w:szCs w:val="24"/>
        </w:rPr>
        <w:t xml:space="preserve">participate in </w:t>
      </w:r>
      <w:r w:rsidR="000C5AA6">
        <w:rPr>
          <w:rFonts w:asciiTheme="minorHAnsi" w:hAnsiTheme="minorHAnsi"/>
          <w:color w:val="auto"/>
          <w:szCs w:val="24"/>
        </w:rPr>
        <w:t>a physical fitness test.  He</w:t>
      </w:r>
      <w:r w:rsidR="00F15723">
        <w:rPr>
          <w:rFonts w:asciiTheme="minorHAnsi" w:hAnsiTheme="minorHAnsi"/>
          <w:color w:val="auto"/>
          <w:szCs w:val="24"/>
        </w:rPr>
        <w:t xml:space="preserve"> </w:t>
      </w:r>
      <w:r w:rsidR="008C173E">
        <w:rPr>
          <w:rFonts w:asciiTheme="minorHAnsi" w:hAnsiTheme="minorHAnsi"/>
          <w:color w:val="auto"/>
          <w:szCs w:val="24"/>
        </w:rPr>
        <w:t xml:space="preserve">was </w:t>
      </w:r>
      <w:r w:rsidR="00A75387">
        <w:rPr>
          <w:rFonts w:asciiTheme="minorHAnsi" w:hAnsiTheme="minorHAnsi"/>
          <w:color w:val="auto"/>
          <w:szCs w:val="24"/>
        </w:rPr>
        <w:t>placed on limited d</w:t>
      </w:r>
      <w:r w:rsidR="00455AAE">
        <w:rPr>
          <w:rFonts w:asciiTheme="minorHAnsi" w:hAnsiTheme="minorHAnsi"/>
          <w:color w:val="auto"/>
          <w:szCs w:val="24"/>
        </w:rPr>
        <w:t>uty</w:t>
      </w:r>
      <w:r w:rsidR="00F15723">
        <w:rPr>
          <w:rFonts w:asciiTheme="minorHAnsi" w:hAnsiTheme="minorHAnsi"/>
          <w:color w:val="auto"/>
          <w:szCs w:val="24"/>
        </w:rPr>
        <w:t xml:space="preserve"> </w:t>
      </w:r>
      <w:r w:rsidR="00761BC1">
        <w:rPr>
          <w:rFonts w:asciiTheme="minorHAnsi" w:hAnsiTheme="minorHAnsi"/>
          <w:color w:val="auto"/>
          <w:szCs w:val="24"/>
        </w:rPr>
        <w:t xml:space="preserve">(LIMDU) </w:t>
      </w:r>
      <w:r w:rsidR="00F15723" w:rsidRPr="00AD7F8F">
        <w:rPr>
          <w:rFonts w:asciiTheme="minorHAnsi" w:hAnsiTheme="minorHAnsi"/>
          <w:color w:val="auto"/>
          <w:szCs w:val="24"/>
        </w:rPr>
        <w:t>and underwent a Medical Evaluation Board (MEB).</w:t>
      </w:r>
      <w:r w:rsidR="00A75387">
        <w:rPr>
          <w:rFonts w:asciiTheme="minorHAnsi" w:hAnsiTheme="minorHAnsi"/>
          <w:color w:val="auto"/>
          <w:szCs w:val="24"/>
        </w:rPr>
        <w:t xml:space="preserve">  The left h</w:t>
      </w:r>
      <w:r w:rsidR="00C369A8">
        <w:rPr>
          <w:rFonts w:asciiTheme="minorHAnsi" w:hAnsiTheme="minorHAnsi"/>
          <w:color w:val="auto"/>
          <w:szCs w:val="24"/>
        </w:rPr>
        <w:t xml:space="preserve">ip condition was addressed in the MEB </w:t>
      </w:r>
      <w:r w:rsidR="00C369A8" w:rsidRPr="00E26AA8">
        <w:rPr>
          <w:rFonts w:asciiTheme="minorHAnsi" w:hAnsiTheme="minorHAnsi"/>
          <w:color w:val="auto"/>
        </w:rPr>
        <w:t>narrative summary (NAR</w:t>
      </w:r>
      <w:r w:rsidR="00C369A8">
        <w:rPr>
          <w:rFonts w:asciiTheme="minorHAnsi" w:hAnsiTheme="minorHAnsi"/>
          <w:color w:val="auto"/>
        </w:rPr>
        <w:t>SUM)</w:t>
      </w:r>
      <w:r w:rsidR="00C369A8">
        <w:rPr>
          <w:rFonts w:asciiTheme="minorHAnsi" w:hAnsiTheme="minorHAnsi"/>
          <w:color w:val="auto"/>
          <w:szCs w:val="24"/>
        </w:rPr>
        <w:t xml:space="preserve"> and forwarded to the Physical Eva</w:t>
      </w:r>
      <w:r w:rsidR="00726848">
        <w:rPr>
          <w:rFonts w:asciiTheme="minorHAnsi" w:hAnsiTheme="minorHAnsi"/>
          <w:color w:val="auto"/>
          <w:szCs w:val="24"/>
        </w:rPr>
        <w:t>l</w:t>
      </w:r>
      <w:r w:rsidR="00C369A8">
        <w:rPr>
          <w:rFonts w:asciiTheme="minorHAnsi" w:hAnsiTheme="minorHAnsi"/>
          <w:color w:val="auto"/>
          <w:szCs w:val="24"/>
        </w:rPr>
        <w:t xml:space="preserve">uation Board </w:t>
      </w:r>
      <w:r w:rsidR="008A0ED5">
        <w:rPr>
          <w:rFonts w:asciiTheme="minorHAnsi" w:hAnsiTheme="minorHAnsi"/>
          <w:color w:val="auto"/>
          <w:szCs w:val="24"/>
        </w:rPr>
        <w:t>(PEB) as medically unacceptable</w:t>
      </w:r>
      <w:r w:rsidR="00726848" w:rsidRPr="00726848">
        <w:rPr>
          <w:rFonts w:asciiTheme="minorHAnsi" w:hAnsiTheme="minorHAnsi"/>
          <w:color w:val="auto"/>
          <w:szCs w:val="24"/>
        </w:rPr>
        <w:t xml:space="preserve">.  </w:t>
      </w:r>
      <w:r w:rsidR="00A75387" w:rsidRPr="00AD7F8F">
        <w:rPr>
          <w:rFonts w:asciiTheme="minorHAnsi" w:hAnsiTheme="minorHAnsi"/>
          <w:color w:val="auto"/>
          <w:szCs w:val="24"/>
        </w:rPr>
        <w:t>No other conditions appeared on the MEB’</w:t>
      </w:r>
      <w:r w:rsidR="003C0424">
        <w:rPr>
          <w:rFonts w:asciiTheme="minorHAnsi" w:hAnsiTheme="minorHAnsi"/>
          <w:color w:val="auto"/>
          <w:szCs w:val="24"/>
        </w:rPr>
        <w:t xml:space="preserve">s submission.  </w:t>
      </w:r>
      <w:r w:rsidR="00726848" w:rsidRPr="00726848">
        <w:rPr>
          <w:rFonts w:asciiTheme="minorHAnsi" w:hAnsiTheme="minorHAnsi"/>
          <w:color w:val="auto"/>
          <w:szCs w:val="24"/>
        </w:rPr>
        <w:t xml:space="preserve">The PEB adjudicated the </w:t>
      </w:r>
      <w:r w:rsidR="00A75387">
        <w:rPr>
          <w:rFonts w:asciiTheme="minorHAnsi" w:hAnsiTheme="minorHAnsi"/>
          <w:color w:val="auto"/>
          <w:szCs w:val="24"/>
        </w:rPr>
        <w:t>degenerative a</w:t>
      </w:r>
      <w:r w:rsidR="00726848">
        <w:rPr>
          <w:rFonts w:asciiTheme="minorHAnsi" w:hAnsiTheme="minorHAnsi"/>
          <w:color w:val="auto"/>
          <w:szCs w:val="24"/>
        </w:rPr>
        <w:t>rthritis</w:t>
      </w:r>
      <w:r w:rsidR="00A75387">
        <w:rPr>
          <w:rFonts w:asciiTheme="minorHAnsi" w:hAnsiTheme="minorHAnsi"/>
          <w:color w:val="auto"/>
          <w:szCs w:val="24"/>
        </w:rPr>
        <w:t xml:space="preserve"> of the left h</w:t>
      </w:r>
      <w:r w:rsidR="00726848">
        <w:rPr>
          <w:rFonts w:asciiTheme="minorHAnsi" w:hAnsiTheme="minorHAnsi"/>
          <w:color w:val="auto"/>
          <w:szCs w:val="24"/>
        </w:rPr>
        <w:t>ip</w:t>
      </w:r>
      <w:r w:rsidR="00726848" w:rsidRPr="00726848">
        <w:rPr>
          <w:rFonts w:asciiTheme="minorHAnsi" w:hAnsiTheme="minorHAnsi"/>
          <w:color w:val="auto"/>
          <w:szCs w:val="24"/>
        </w:rPr>
        <w:t xml:space="preserve"> a</w:t>
      </w:r>
      <w:r w:rsidR="00A75387">
        <w:rPr>
          <w:rFonts w:asciiTheme="minorHAnsi" w:hAnsiTheme="minorHAnsi"/>
          <w:color w:val="auto"/>
          <w:szCs w:val="24"/>
        </w:rPr>
        <w:t>s the only unfitting condition</w:t>
      </w:r>
      <w:r w:rsidR="003C0424">
        <w:rPr>
          <w:rFonts w:asciiTheme="minorHAnsi" w:hAnsiTheme="minorHAnsi"/>
          <w:color w:val="auto"/>
          <w:szCs w:val="24"/>
        </w:rPr>
        <w:t xml:space="preserve">, </w:t>
      </w:r>
      <w:r w:rsidR="00A75387">
        <w:rPr>
          <w:rFonts w:asciiTheme="minorHAnsi" w:hAnsiTheme="minorHAnsi"/>
          <w:color w:val="auto"/>
          <w:szCs w:val="24"/>
        </w:rPr>
        <w:t>VA code 5255</w:t>
      </w:r>
      <w:r w:rsidR="003C0424">
        <w:rPr>
          <w:rFonts w:asciiTheme="minorHAnsi" w:hAnsiTheme="minorHAnsi"/>
          <w:color w:val="auto"/>
          <w:szCs w:val="24"/>
        </w:rPr>
        <w:t>,</w:t>
      </w:r>
      <w:r w:rsidR="00726848" w:rsidRPr="00726848">
        <w:rPr>
          <w:rFonts w:asciiTheme="minorHAnsi" w:hAnsiTheme="minorHAnsi"/>
          <w:color w:val="auto"/>
          <w:szCs w:val="24"/>
        </w:rPr>
        <w:t xml:space="preserve"> rated at </w:t>
      </w:r>
      <w:r w:rsidR="00726848">
        <w:rPr>
          <w:rFonts w:asciiTheme="minorHAnsi" w:hAnsiTheme="minorHAnsi"/>
          <w:color w:val="auto"/>
          <w:szCs w:val="24"/>
        </w:rPr>
        <w:t>2</w:t>
      </w:r>
      <w:r w:rsidR="00726848" w:rsidRPr="00726848">
        <w:rPr>
          <w:rFonts w:asciiTheme="minorHAnsi" w:hAnsiTheme="minorHAnsi"/>
          <w:color w:val="auto"/>
          <w:szCs w:val="24"/>
        </w:rPr>
        <w:t xml:space="preserve">0%.  The CI </w:t>
      </w:r>
      <w:r w:rsidR="003C0424">
        <w:rPr>
          <w:rFonts w:asciiTheme="minorHAnsi" w:hAnsiTheme="minorHAnsi"/>
          <w:color w:val="auto"/>
          <w:szCs w:val="24"/>
        </w:rPr>
        <w:t>waived</w:t>
      </w:r>
      <w:r w:rsidR="00726848">
        <w:rPr>
          <w:rFonts w:asciiTheme="minorHAnsi" w:hAnsiTheme="minorHAnsi"/>
          <w:color w:val="auto"/>
          <w:szCs w:val="24"/>
        </w:rPr>
        <w:t xml:space="preserve"> a formal hearing</w:t>
      </w:r>
      <w:r w:rsidR="00726848" w:rsidRPr="00726848">
        <w:rPr>
          <w:rFonts w:asciiTheme="minorHAnsi" w:hAnsiTheme="minorHAnsi"/>
          <w:color w:val="auto"/>
          <w:szCs w:val="24"/>
        </w:rPr>
        <w:t xml:space="preserve">, and was separated with </w:t>
      </w:r>
      <w:r w:rsidR="00726848">
        <w:rPr>
          <w:rFonts w:asciiTheme="minorHAnsi" w:hAnsiTheme="minorHAnsi"/>
          <w:color w:val="auto"/>
          <w:szCs w:val="24"/>
        </w:rPr>
        <w:t>2</w:t>
      </w:r>
      <w:r w:rsidR="00726848" w:rsidRPr="00726848">
        <w:rPr>
          <w:rFonts w:asciiTheme="minorHAnsi" w:hAnsiTheme="minorHAnsi"/>
          <w:color w:val="auto"/>
          <w:szCs w:val="24"/>
        </w:rPr>
        <w:t xml:space="preserve">0% disability using the Veterans Administration Schedule for Rating Disabilities (VASRD) and applicable Navy and </w:t>
      </w:r>
      <w:proofErr w:type="gramStart"/>
      <w:r w:rsidR="00726848" w:rsidRPr="00726848">
        <w:rPr>
          <w:rFonts w:asciiTheme="minorHAnsi" w:hAnsiTheme="minorHAnsi"/>
          <w:color w:val="auto"/>
          <w:szCs w:val="24"/>
        </w:rPr>
        <w:t>DoD</w:t>
      </w:r>
      <w:proofErr w:type="gramEnd"/>
      <w:r w:rsidR="00726848" w:rsidRPr="00726848">
        <w:rPr>
          <w:rFonts w:asciiTheme="minorHAnsi" w:hAnsiTheme="minorHAnsi"/>
          <w:color w:val="auto"/>
          <w:szCs w:val="24"/>
        </w:rPr>
        <w:t xml:space="preserve"> regulations.</w:t>
      </w:r>
    </w:p>
    <w:p w:rsidR="00F15723" w:rsidRPr="00D560DC" w:rsidRDefault="00F15723" w:rsidP="00D02543">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F15723" w:rsidRPr="00CD5BD7" w:rsidRDefault="00F15723" w:rsidP="00D02543">
      <w:pPr>
        <w:tabs>
          <w:tab w:val="left" w:pos="288"/>
          <w:tab w:val="left" w:pos="4752"/>
        </w:tabs>
        <w:spacing w:line="240" w:lineRule="exact"/>
        <w:jc w:val="both"/>
        <w:rPr>
          <w:rFonts w:ascii="Calibri" w:hAnsi="Calibri"/>
          <w:color w:val="000080"/>
          <w:szCs w:val="24"/>
        </w:rPr>
      </w:pPr>
    </w:p>
    <w:p w:rsidR="00726848" w:rsidRPr="00726848" w:rsidRDefault="00726848" w:rsidP="00D02543">
      <w:pPr>
        <w:tabs>
          <w:tab w:val="left" w:pos="288"/>
          <w:tab w:val="left" w:pos="4752"/>
        </w:tabs>
        <w:spacing w:line="240" w:lineRule="exact"/>
        <w:jc w:val="both"/>
        <w:rPr>
          <w:rFonts w:asciiTheme="minorHAnsi" w:hAnsiTheme="minorHAnsi"/>
          <w:color w:val="auto"/>
        </w:rPr>
      </w:pPr>
      <w:r w:rsidRPr="00726848">
        <w:rPr>
          <w:rFonts w:asciiTheme="minorHAnsi" w:hAnsiTheme="minorHAnsi"/>
          <w:color w:val="auto"/>
          <w:u w:val="single"/>
        </w:rPr>
        <w:t>CI CONTENTION</w:t>
      </w:r>
      <w:r w:rsidRPr="00726848">
        <w:rPr>
          <w:rFonts w:asciiTheme="minorHAnsi" w:hAnsiTheme="minorHAnsi"/>
          <w:color w:val="auto"/>
        </w:rPr>
        <w:t>:  The CI states: “The board did not take into consideration the effect my leg length discrepancy has on my k</w:t>
      </w:r>
      <w:r>
        <w:rPr>
          <w:rFonts w:asciiTheme="minorHAnsi" w:hAnsiTheme="minorHAnsi"/>
          <w:color w:val="auto"/>
        </w:rPr>
        <w:t>nees, ankles, and b</w:t>
      </w:r>
      <w:r w:rsidRPr="00726848">
        <w:rPr>
          <w:rFonts w:asciiTheme="minorHAnsi" w:hAnsiTheme="minorHAnsi"/>
          <w:color w:val="auto"/>
        </w:rPr>
        <w:t xml:space="preserve">ack.”  </w:t>
      </w:r>
    </w:p>
    <w:p w:rsidR="00455AAE" w:rsidRPr="00726848" w:rsidRDefault="00455AAE" w:rsidP="00D02543">
      <w:pPr>
        <w:tabs>
          <w:tab w:val="left" w:pos="288"/>
          <w:tab w:val="left" w:pos="4752"/>
        </w:tabs>
        <w:spacing w:line="240" w:lineRule="exact"/>
        <w:jc w:val="both"/>
        <w:rPr>
          <w:rFonts w:asciiTheme="minorHAnsi" w:hAnsiTheme="minorHAnsi"/>
          <w:color w:val="auto"/>
        </w:rPr>
      </w:pPr>
      <w:r w:rsidRPr="00D560DC">
        <w:rPr>
          <w:rFonts w:asciiTheme="minorHAnsi" w:hAnsiTheme="minorHAnsi"/>
          <w:color w:val="auto"/>
          <w:u w:val="single"/>
        </w:rPr>
        <w:t>______________________________________________________________________________</w:t>
      </w:r>
    </w:p>
    <w:p w:rsidR="00455AAE" w:rsidRDefault="00455AAE" w:rsidP="00863C26">
      <w:pPr>
        <w:tabs>
          <w:tab w:val="left" w:pos="288"/>
          <w:tab w:val="left" w:pos="4752"/>
        </w:tabs>
        <w:spacing w:line="240" w:lineRule="exact"/>
        <w:jc w:val="both"/>
        <w:rPr>
          <w:rFonts w:asciiTheme="minorHAnsi" w:hAnsiTheme="minorHAnsi"/>
          <w:color w:val="auto"/>
        </w:rPr>
      </w:pPr>
    </w:p>
    <w:p w:rsidR="00455AAE" w:rsidRDefault="00455AAE" w:rsidP="00455AAE">
      <w:pPr>
        <w:spacing w:line="240" w:lineRule="exact"/>
        <w:rPr>
          <w:rFonts w:asciiTheme="minorHAnsi" w:hAnsiTheme="minorHAnsi"/>
          <w:color w:val="auto"/>
        </w:rPr>
      </w:pPr>
      <w:r w:rsidRPr="00326C08">
        <w:rPr>
          <w:rFonts w:asciiTheme="minorHAnsi" w:hAnsiTheme="minorHAnsi"/>
          <w:color w:val="auto"/>
          <w:u w:val="single"/>
        </w:rPr>
        <w:t>RATING COMPARISON</w:t>
      </w:r>
      <w:r w:rsidRPr="00326C08">
        <w:rPr>
          <w:rFonts w:asciiTheme="minorHAnsi" w:hAnsiTheme="minorHAnsi"/>
          <w:color w:val="auto"/>
        </w:rPr>
        <w:t>:</w:t>
      </w:r>
    </w:p>
    <w:p w:rsidR="00455AAE" w:rsidRDefault="00455AAE" w:rsidP="00863C26">
      <w:pPr>
        <w:tabs>
          <w:tab w:val="left" w:pos="288"/>
          <w:tab w:val="left" w:pos="4752"/>
        </w:tabs>
        <w:spacing w:line="240" w:lineRule="exact"/>
        <w:jc w:val="both"/>
        <w:rPr>
          <w:rFonts w:asciiTheme="minorHAnsi" w:hAnsiTheme="minorHAnsi"/>
          <w:color w:val="auto"/>
        </w:rPr>
      </w:pPr>
    </w:p>
    <w:tbl>
      <w:tblPr>
        <w:tblStyle w:val="TableGrid"/>
        <w:tblW w:w="9270" w:type="dxa"/>
        <w:tblInd w:w="108" w:type="dxa"/>
        <w:tblLayout w:type="fixed"/>
        <w:tblLook w:val="04A0"/>
      </w:tblPr>
      <w:tblGrid>
        <w:gridCol w:w="2520"/>
        <w:gridCol w:w="720"/>
        <w:gridCol w:w="810"/>
        <w:gridCol w:w="2340"/>
        <w:gridCol w:w="1080"/>
        <w:gridCol w:w="810"/>
        <w:gridCol w:w="990"/>
      </w:tblGrid>
      <w:tr w:rsidR="00545389" w:rsidRPr="002A685E" w:rsidTr="008A0ED5">
        <w:trPr>
          <w:trHeight w:val="233"/>
        </w:trPr>
        <w:tc>
          <w:tcPr>
            <w:tcW w:w="4050" w:type="dxa"/>
            <w:gridSpan w:val="3"/>
            <w:tcBorders>
              <w:right w:val="thinThickThinSmallGap" w:sz="24" w:space="0" w:color="auto"/>
            </w:tcBorders>
            <w:shd w:val="clear" w:color="auto" w:fill="EEECE1" w:themeFill="background2"/>
          </w:tcPr>
          <w:p w:rsidR="00545389" w:rsidRPr="001B388C" w:rsidRDefault="00FA2CAD" w:rsidP="001B388C">
            <w:pPr>
              <w:pStyle w:val="ListParagraph"/>
              <w:spacing w:after="0" w:line="200" w:lineRule="exact"/>
              <w:ind w:left="0"/>
              <w:jc w:val="center"/>
              <w:rPr>
                <w:rFonts w:cs="Times New Roman"/>
                <w:b/>
                <w:sz w:val="18"/>
                <w:szCs w:val="18"/>
              </w:rPr>
            </w:pPr>
            <w:r w:rsidRPr="001B388C">
              <w:rPr>
                <w:rFonts w:cs="Times New Roman"/>
                <w:b/>
                <w:sz w:val="18"/>
                <w:szCs w:val="18"/>
              </w:rPr>
              <w:t xml:space="preserve">Service </w:t>
            </w:r>
            <w:r w:rsidR="00BA7B32">
              <w:rPr>
                <w:rFonts w:cs="Times New Roman"/>
                <w:b/>
                <w:sz w:val="18"/>
                <w:szCs w:val="18"/>
              </w:rPr>
              <w:t>I</w:t>
            </w:r>
            <w:r w:rsidR="00545389" w:rsidRPr="001B388C">
              <w:rPr>
                <w:rFonts w:cs="Times New Roman"/>
                <w:b/>
                <w:sz w:val="18"/>
                <w:szCs w:val="18"/>
              </w:rPr>
              <w:t>PEB – Dated 20040519</w:t>
            </w:r>
          </w:p>
        </w:tc>
        <w:tc>
          <w:tcPr>
            <w:tcW w:w="5220" w:type="dxa"/>
            <w:gridSpan w:val="4"/>
            <w:tcBorders>
              <w:left w:val="thinThickThinSmallGap" w:sz="24" w:space="0" w:color="auto"/>
            </w:tcBorders>
            <w:shd w:val="clear" w:color="auto" w:fill="EEECE1" w:themeFill="background2"/>
          </w:tcPr>
          <w:p w:rsidR="00545389" w:rsidRPr="001B388C" w:rsidRDefault="006975AF" w:rsidP="001B388C">
            <w:pPr>
              <w:pStyle w:val="ListParagraph"/>
              <w:spacing w:after="0" w:line="200" w:lineRule="exact"/>
              <w:ind w:left="0"/>
              <w:jc w:val="center"/>
              <w:rPr>
                <w:rFonts w:cs="Times New Roman"/>
                <w:b/>
                <w:sz w:val="18"/>
                <w:szCs w:val="18"/>
              </w:rPr>
            </w:pPr>
            <w:r w:rsidRPr="001B388C">
              <w:rPr>
                <w:rFonts w:cs="Times New Roman"/>
                <w:b/>
                <w:sz w:val="18"/>
                <w:szCs w:val="18"/>
              </w:rPr>
              <w:t xml:space="preserve">VA (1 </w:t>
            </w:r>
            <w:r w:rsidR="00FA2CAD" w:rsidRPr="001B388C">
              <w:rPr>
                <w:rFonts w:cs="Times New Roman"/>
                <w:b/>
                <w:sz w:val="18"/>
                <w:szCs w:val="18"/>
              </w:rPr>
              <w:t>m</w:t>
            </w:r>
            <w:r w:rsidR="00545389" w:rsidRPr="001B388C">
              <w:rPr>
                <w:rFonts w:cs="Times New Roman"/>
                <w:b/>
                <w:sz w:val="18"/>
                <w:szCs w:val="18"/>
              </w:rPr>
              <w:t xml:space="preserve">o. </w:t>
            </w:r>
            <w:r w:rsidRPr="001B388C">
              <w:rPr>
                <w:rFonts w:cs="Times New Roman"/>
                <w:b/>
                <w:sz w:val="18"/>
                <w:szCs w:val="18"/>
              </w:rPr>
              <w:t>Pre/</w:t>
            </w:r>
            <w:r w:rsidR="00545389" w:rsidRPr="001B388C">
              <w:rPr>
                <w:rFonts w:cs="Times New Roman"/>
                <w:b/>
                <w:sz w:val="18"/>
                <w:szCs w:val="18"/>
              </w:rPr>
              <w:t>Separation)</w:t>
            </w:r>
            <w:r w:rsidRPr="001B388C">
              <w:rPr>
                <w:rFonts w:cs="Times New Roman"/>
                <w:b/>
                <w:sz w:val="18"/>
                <w:szCs w:val="18"/>
              </w:rPr>
              <w:t xml:space="preserve"> – All Effective</w:t>
            </w:r>
            <w:r w:rsidR="00EA608A" w:rsidRPr="001B388C">
              <w:rPr>
                <w:rFonts w:cs="Times New Roman"/>
                <w:b/>
                <w:sz w:val="18"/>
                <w:szCs w:val="18"/>
              </w:rPr>
              <w:t xml:space="preserve"> Date </w:t>
            </w:r>
            <w:r w:rsidRPr="001B388C">
              <w:rPr>
                <w:rFonts w:cs="Times New Roman"/>
                <w:b/>
                <w:sz w:val="18"/>
                <w:szCs w:val="18"/>
              </w:rPr>
              <w:t>2004</w:t>
            </w:r>
            <w:r w:rsidR="00EA608A" w:rsidRPr="001B388C">
              <w:rPr>
                <w:rFonts w:cs="Times New Roman"/>
                <w:b/>
                <w:sz w:val="18"/>
                <w:szCs w:val="18"/>
              </w:rPr>
              <w:t>0816</w:t>
            </w:r>
          </w:p>
        </w:tc>
      </w:tr>
      <w:tr w:rsidR="00545389" w:rsidRPr="002A685E" w:rsidTr="001B388C">
        <w:trPr>
          <w:trHeight w:val="233"/>
        </w:trPr>
        <w:tc>
          <w:tcPr>
            <w:tcW w:w="2520" w:type="dxa"/>
            <w:tcBorders>
              <w:bottom w:val="single" w:sz="4" w:space="0" w:color="000000" w:themeColor="text1"/>
            </w:tcBorders>
            <w:shd w:val="clear" w:color="auto" w:fill="EEECE1" w:themeFill="background2"/>
          </w:tcPr>
          <w:p w:rsidR="00545389" w:rsidRPr="001B388C" w:rsidRDefault="00545389" w:rsidP="001B388C">
            <w:pPr>
              <w:pStyle w:val="ListParagraph"/>
              <w:spacing w:after="0" w:line="200" w:lineRule="exact"/>
              <w:ind w:left="0"/>
              <w:jc w:val="center"/>
              <w:rPr>
                <w:rFonts w:cs="Times New Roman"/>
                <w:b/>
                <w:sz w:val="18"/>
                <w:szCs w:val="18"/>
              </w:rPr>
            </w:pPr>
            <w:r w:rsidRPr="001B388C">
              <w:rPr>
                <w:rFonts w:cs="Times New Roman"/>
                <w:b/>
                <w:sz w:val="18"/>
                <w:szCs w:val="18"/>
              </w:rPr>
              <w:t>Condition</w:t>
            </w:r>
          </w:p>
        </w:tc>
        <w:tc>
          <w:tcPr>
            <w:tcW w:w="720" w:type="dxa"/>
            <w:tcBorders>
              <w:bottom w:val="single" w:sz="4" w:space="0" w:color="000000" w:themeColor="text1"/>
            </w:tcBorders>
            <w:shd w:val="clear" w:color="auto" w:fill="EEECE1" w:themeFill="background2"/>
          </w:tcPr>
          <w:p w:rsidR="00545389" w:rsidRPr="001B388C" w:rsidRDefault="00545389" w:rsidP="001B388C">
            <w:pPr>
              <w:pStyle w:val="ListParagraph"/>
              <w:spacing w:after="0" w:line="200" w:lineRule="exact"/>
              <w:ind w:left="0"/>
              <w:jc w:val="center"/>
              <w:rPr>
                <w:rFonts w:cs="Times New Roman"/>
                <w:b/>
                <w:sz w:val="18"/>
                <w:szCs w:val="18"/>
              </w:rPr>
            </w:pPr>
            <w:r w:rsidRPr="001B388C">
              <w:rPr>
                <w:rFonts w:cs="Times New Roman"/>
                <w:b/>
                <w:sz w:val="18"/>
                <w:szCs w:val="18"/>
              </w:rPr>
              <w:t>Code</w:t>
            </w:r>
          </w:p>
        </w:tc>
        <w:tc>
          <w:tcPr>
            <w:tcW w:w="810" w:type="dxa"/>
            <w:tcBorders>
              <w:bottom w:val="single" w:sz="4" w:space="0" w:color="000000" w:themeColor="text1"/>
              <w:right w:val="thinThickThinSmallGap" w:sz="24" w:space="0" w:color="auto"/>
            </w:tcBorders>
            <w:shd w:val="clear" w:color="auto" w:fill="EEECE1" w:themeFill="background2"/>
          </w:tcPr>
          <w:p w:rsidR="00545389" w:rsidRPr="001B388C" w:rsidRDefault="00545389" w:rsidP="001B388C">
            <w:pPr>
              <w:pStyle w:val="ListParagraph"/>
              <w:spacing w:after="0" w:line="200" w:lineRule="exact"/>
              <w:ind w:left="0"/>
              <w:jc w:val="center"/>
              <w:rPr>
                <w:rFonts w:cs="Times New Roman"/>
                <w:b/>
                <w:sz w:val="18"/>
                <w:szCs w:val="18"/>
              </w:rPr>
            </w:pPr>
            <w:r w:rsidRPr="001B388C">
              <w:rPr>
                <w:rFonts w:cs="Times New Roman"/>
                <w:b/>
                <w:sz w:val="18"/>
                <w:szCs w:val="18"/>
              </w:rPr>
              <w:t>Rating</w:t>
            </w:r>
          </w:p>
        </w:tc>
        <w:tc>
          <w:tcPr>
            <w:tcW w:w="2340" w:type="dxa"/>
            <w:tcBorders>
              <w:left w:val="thinThickThinSmallGap" w:sz="24" w:space="0" w:color="auto"/>
              <w:bottom w:val="single" w:sz="4" w:space="0" w:color="000000" w:themeColor="text1"/>
            </w:tcBorders>
            <w:shd w:val="clear" w:color="auto" w:fill="EEECE1" w:themeFill="background2"/>
          </w:tcPr>
          <w:p w:rsidR="00545389" w:rsidRPr="001B388C" w:rsidRDefault="00545389" w:rsidP="001B388C">
            <w:pPr>
              <w:pStyle w:val="ListParagraph"/>
              <w:spacing w:after="0" w:line="200" w:lineRule="exact"/>
              <w:ind w:left="0"/>
              <w:jc w:val="center"/>
              <w:rPr>
                <w:rFonts w:cs="Times New Roman"/>
                <w:b/>
                <w:sz w:val="18"/>
                <w:szCs w:val="18"/>
              </w:rPr>
            </w:pPr>
            <w:r w:rsidRPr="001B388C">
              <w:rPr>
                <w:rFonts w:cs="Times New Roman"/>
                <w:b/>
                <w:sz w:val="18"/>
                <w:szCs w:val="18"/>
              </w:rPr>
              <w:t>Condition</w:t>
            </w:r>
          </w:p>
        </w:tc>
        <w:tc>
          <w:tcPr>
            <w:tcW w:w="1080" w:type="dxa"/>
            <w:tcBorders>
              <w:bottom w:val="single" w:sz="4" w:space="0" w:color="000000" w:themeColor="text1"/>
            </w:tcBorders>
            <w:shd w:val="clear" w:color="auto" w:fill="EEECE1" w:themeFill="background2"/>
          </w:tcPr>
          <w:p w:rsidR="00545389" w:rsidRPr="001B388C" w:rsidRDefault="00545389" w:rsidP="001B388C">
            <w:pPr>
              <w:pStyle w:val="ListParagraph"/>
              <w:spacing w:after="0" w:line="200" w:lineRule="exact"/>
              <w:ind w:left="0"/>
              <w:jc w:val="center"/>
              <w:rPr>
                <w:rFonts w:cs="Times New Roman"/>
                <w:b/>
                <w:sz w:val="18"/>
                <w:szCs w:val="18"/>
              </w:rPr>
            </w:pPr>
            <w:r w:rsidRPr="001B388C">
              <w:rPr>
                <w:rFonts w:cs="Times New Roman"/>
                <w:b/>
                <w:sz w:val="18"/>
                <w:szCs w:val="18"/>
              </w:rPr>
              <w:t>Code</w:t>
            </w:r>
          </w:p>
        </w:tc>
        <w:tc>
          <w:tcPr>
            <w:tcW w:w="810" w:type="dxa"/>
            <w:tcBorders>
              <w:bottom w:val="single" w:sz="4" w:space="0" w:color="000000" w:themeColor="text1"/>
            </w:tcBorders>
            <w:shd w:val="clear" w:color="auto" w:fill="EEECE1" w:themeFill="background2"/>
          </w:tcPr>
          <w:p w:rsidR="00545389" w:rsidRPr="001B388C" w:rsidRDefault="00545389" w:rsidP="001B388C">
            <w:pPr>
              <w:pStyle w:val="ListParagraph"/>
              <w:spacing w:after="0" w:line="200" w:lineRule="exact"/>
              <w:ind w:left="0"/>
              <w:jc w:val="center"/>
              <w:rPr>
                <w:rFonts w:cs="Times New Roman"/>
                <w:b/>
                <w:sz w:val="18"/>
                <w:szCs w:val="18"/>
              </w:rPr>
            </w:pPr>
            <w:r w:rsidRPr="001B388C">
              <w:rPr>
                <w:rFonts w:cs="Times New Roman"/>
                <w:b/>
                <w:sz w:val="18"/>
                <w:szCs w:val="18"/>
              </w:rPr>
              <w:t>Rating</w:t>
            </w:r>
          </w:p>
        </w:tc>
        <w:tc>
          <w:tcPr>
            <w:tcW w:w="990" w:type="dxa"/>
            <w:tcBorders>
              <w:bottom w:val="single" w:sz="4" w:space="0" w:color="000000" w:themeColor="text1"/>
            </w:tcBorders>
            <w:shd w:val="clear" w:color="auto" w:fill="EEECE1" w:themeFill="background2"/>
          </w:tcPr>
          <w:p w:rsidR="00545389" w:rsidRPr="001B388C" w:rsidRDefault="00545389" w:rsidP="001B388C">
            <w:pPr>
              <w:pStyle w:val="ListParagraph"/>
              <w:spacing w:after="0" w:line="200" w:lineRule="exact"/>
              <w:ind w:left="0"/>
              <w:jc w:val="center"/>
              <w:rPr>
                <w:rFonts w:cs="Times New Roman"/>
                <w:b/>
                <w:sz w:val="18"/>
                <w:szCs w:val="18"/>
              </w:rPr>
            </w:pPr>
            <w:r w:rsidRPr="001B388C">
              <w:rPr>
                <w:rFonts w:cs="Times New Roman"/>
                <w:b/>
                <w:sz w:val="18"/>
                <w:szCs w:val="18"/>
              </w:rPr>
              <w:t>Exam</w:t>
            </w:r>
          </w:p>
        </w:tc>
      </w:tr>
      <w:tr w:rsidR="00545389" w:rsidRPr="002A685E" w:rsidTr="001B388C">
        <w:trPr>
          <w:trHeight w:val="152"/>
        </w:trPr>
        <w:tc>
          <w:tcPr>
            <w:tcW w:w="2520" w:type="dxa"/>
            <w:shd w:val="clear" w:color="auto" w:fill="FFFFFF" w:themeFill="background1"/>
          </w:tcPr>
          <w:p w:rsidR="00545389" w:rsidRPr="001B388C" w:rsidRDefault="00545389" w:rsidP="001B388C">
            <w:pPr>
              <w:pStyle w:val="ListParagraph"/>
              <w:spacing w:after="0" w:line="200" w:lineRule="exact"/>
              <w:ind w:left="0"/>
              <w:rPr>
                <w:rFonts w:cs="Times New Roman"/>
                <w:sz w:val="18"/>
                <w:szCs w:val="18"/>
              </w:rPr>
            </w:pPr>
            <w:r w:rsidRPr="001B388C">
              <w:rPr>
                <w:rFonts w:cs="Times New Roman"/>
                <w:sz w:val="18"/>
                <w:szCs w:val="18"/>
              </w:rPr>
              <w:t>Degenerativ</w:t>
            </w:r>
            <w:r w:rsidR="00B05FE0" w:rsidRPr="001B388C">
              <w:rPr>
                <w:rFonts w:cs="Times New Roman"/>
                <w:sz w:val="18"/>
                <w:szCs w:val="18"/>
              </w:rPr>
              <w:t>e Arthritis of</w:t>
            </w:r>
            <w:r w:rsidR="00F42D69" w:rsidRPr="001B388C">
              <w:rPr>
                <w:rFonts w:cs="Times New Roman"/>
                <w:sz w:val="18"/>
                <w:szCs w:val="18"/>
              </w:rPr>
              <w:t xml:space="preserve"> Left Hip </w:t>
            </w:r>
            <w:r w:rsidRPr="001B388C">
              <w:rPr>
                <w:rFonts w:cs="Times New Roman"/>
                <w:sz w:val="18"/>
                <w:szCs w:val="18"/>
              </w:rPr>
              <w:t>Secondary</w:t>
            </w:r>
            <w:r w:rsidR="00F42D69" w:rsidRPr="001B388C">
              <w:rPr>
                <w:rFonts w:cs="Times New Roman"/>
                <w:sz w:val="18"/>
                <w:szCs w:val="18"/>
              </w:rPr>
              <w:t xml:space="preserve"> to</w:t>
            </w:r>
            <w:r w:rsidRPr="001B388C">
              <w:rPr>
                <w:rFonts w:cs="Times New Roman"/>
                <w:sz w:val="18"/>
                <w:szCs w:val="18"/>
              </w:rPr>
              <w:t xml:space="preserve"> Hip Dysplasia</w:t>
            </w:r>
          </w:p>
        </w:tc>
        <w:tc>
          <w:tcPr>
            <w:tcW w:w="720" w:type="dxa"/>
            <w:shd w:val="clear" w:color="auto" w:fill="FFFFFF" w:themeFill="background1"/>
          </w:tcPr>
          <w:p w:rsidR="00545389" w:rsidRPr="001B388C" w:rsidRDefault="00545389" w:rsidP="001B388C">
            <w:pPr>
              <w:pStyle w:val="ListParagraph"/>
              <w:spacing w:after="0" w:line="200" w:lineRule="exact"/>
              <w:ind w:left="0"/>
              <w:jc w:val="center"/>
              <w:rPr>
                <w:rFonts w:cs="Times New Roman"/>
                <w:sz w:val="18"/>
                <w:szCs w:val="18"/>
              </w:rPr>
            </w:pPr>
            <w:r w:rsidRPr="001B388C">
              <w:rPr>
                <w:rFonts w:cs="Times New Roman"/>
                <w:sz w:val="18"/>
                <w:szCs w:val="18"/>
              </w:rPr>
              <w:t>5255</w:t>
            </w:r>
          </w:p>
        </w:tc>
        <w:tc>
          <w:tcPr>
            <w:tcW w:w="810" w:type="dxa"/>
            <w:tcBorders>
              <w:right w:val="thinThickThinSmallGap" w:sz="24" w:space="0" w:color="auto"/>
            </w:tcBorders>
            <w:shd w:val="clear" w:color="auto" w:fill="FFFFFF" w:themeFill="background1"/>
          </w:tcPr>
          <w:p w:rsidR="00545389" w:rsidRPr="001B388C" w:rsidRDefault="00545389" w:rsidP="001B388C">
            <w:pPr>
              <w:pStyle w:val="ListParagraph"/>
              <w:spacing w:after="0" w:line="200" w:lineRule="exact"/>
              <w:ind w:left="0"/>
              <w:jc w:val="center"/>
              <w:rPr>
                <w:rFonts w:cs="Times New Roman"/>
                <w:sz w:val="18"/>
                <w:szCs w:val="18"/>
              </w:rPr>
            </w:pPr>
            <w:r w:rsidRPr="001B388C">
              <w:rPr>
                <w:rFonts w:cs="Times New Roman"/>
                <w:sz w:val="18"/>
                <w:szCs w:val="18"/>
              </w:rPr>
              <w:t>20%</w:t>
            </w:r>
          </w:p>
        </w:tc>
        <w:tc>
          <w:tcPr>
            <w:tcW w:w="2340" w:type="dxa"/>
            <w:tcBorders>
              <w:left w:val="thinThickThinSmallGap" w:sz="24" w:space="0" w:color="auto"/>
            </w:tcBorders>
            <w:shd w:val="clear" w:color="auto" w:fill="FFFFFF" w:themeFill="background1"/>
          </w:tcPr>
          <w:p w:rsidR="00545389" w:rsidRPr="001B388C" w:rsidRDefault="00545389" w:rsidP="001B388C">
            <w:pPr>
              <w:pStyle w:val="ListParagraph"/>
              <w:spacing w:after="0" w:line="200" w:lineRule="exact"/>
              <w:ind w:left="0"/>
              <w:rPr>
                <w:rFonts w:cs="Times New Roman"/>
                <w:sz w:val="18"/>
                <w:szCs w:val="18"/>
              </w:rPr>
            </w:pPr>
            <w:r w:rsidRPr="001B388C">
              <w:rPr>
                <w:rFonts w:cs="Times New Roman"/>
                <w:sz w:val="18"/>
                <w:szCs w:val="18"/>
              </w:rPr>
              <w:t xml:space="preserve">Left Hip </w:t>
            </w:r>
            <w:proofErr w:type="spellStart"/>
            <w:r w:rsidRPr="001B388C">
              <w:rPr>
                <w:rFonts w:cs="Times New Roman"/>
                <w:sz w:val="18"/>
                <w:szCs w:val="18"/>
              </w:rPr>
              <w:t>Avascular</w:t>
            </w:r>
            <w:proofErr w:type="spellEnd"/>
            <w:r w:rsidRPr="001B388C">
              <w:rPr>
                <w:rFonts w:cs="Times New Roman"/>
                <w:sz w:val="18"/>
                <w:szCs w:val="18"/>
              </w:rPr>
              <w:t xml:space="preserve"> Necrosis</w:t>
            </w:r>
            <w:r w:rsidR="001B388C" w:rsidRPr="001B388C">
              <w:rPr>
                <w:rFonts w:cs="Times New Roman"/>
                <w:sz w:val="18"/>
                <w:szCs w:val="18"/>
              </w:rPr>
              <w:t>…</w:t>
            </w:r>
            <w:r w:rsidRPr="001B388C">
              <w:rPr>
                <w:rFonts w:cs="Times New Roman"/>
                <w:sz w:val="18"/>
                <w:szCs w:val="18"/>
              </w:rPr>
              <w:t xml:space="preserve"> </w:t>
            </w:r>
          </w:p>
        </w:tc>
        <w:tc>
          <w:tcPr>
            <w:tcW w:w="1080" w:type="dxa"/>
            <w:shd w:val="clear" w:color="auto" w:fill="FFFFFF" w:themeFill="background1"/>
          </w:tcPr>
          <w:p w:rsidR="00545389" w:rsidRPr="001B388C" w:rsidRDefault="00545389" w:rsidP="001B388C">
            <w:pPr>
              <w:pStyle w:val="ListParagraph"/>
              <w:spacing w:after="0" w:line="200" w:lineRule="exact"/>
              <w:ind w:left="0"/>
              <w:jc w:val="center"/>
              <w:rPr>
                <w:rFonts w:cs="Times New Roman"/>
                <w:sz w:val="18"/>
                <w:szCs w:val="18"/>
              </w:rPr>
            </w:pPr>
            <w:r w:rsidRPr="001B388C">
              <w:rPr>
                <w:rFonts w:cs="Times New Roman"/>
                <w:sz w:val="18"/>
                <w:szCs w:val="18"/>
              </w:rPr>
              <w:t>5003-5255</w:t>
            </w:r>
          </w:p>
        </w:tc>
        <w:tc>
          <w:tcPr>
            <w:tcW w:w="810" w:type="dxa"/>
            <w:shd w:val="clear" w:color="auto" w:fill="FFFFFF" w:themeFill="background1"/>
          </w:tcPr>
          <w:p w:rsidR="00545389" w:rsidRPr="001B388C" w:rsidRDefault="00545389" w:rsidP="001B388C">
            <w:pPr>
              <w:pStyle w:val="ListParagraph"/>
              <w:spacing w:after="0" w:line="200" w:lineRule="exact"/>
              <w:ind w:left="0"/>
              <w:jc w:val="center"/>
              <w:rPr>
                <w:rFonts w:cs="Times New Roman"/>
                <w:sz w:val="18"/>
                <w:szCs w:val="18"/>
              </w:rPr>
            </w:pPr>
            <w:r w:rsidRPr="001B388C">
              <w:rPr>
                <w:rFonts w:cs="Times New Roman"/>
                <w:sz w:val="18"/>
                <w:szCs w:val="18"/>
              </w:rPr>
              <w:t>20%</w:t>
            </w:r>
          </w:p>
        </w:tc>
        <w:tc>
          <w:tcPr>
            <w:tcW w:w="990" w:type="dxa"/>
            <w:shd w:val="clear" w:color="auto" w:fill="FFFFFF" w:themeFill="background1"/>
          </w:tcPr>
          <w:p w:rsidR="00545389" w:rsidRPr="001B388C" w:rsidRDefault="00545389" w:rsidP="001B388C">
            <w:pPr>
              <w:pStyle w:val="ListParagraph"/>
              <w:spacing w:after="0" w:line="200" w:lineRule="exact"/>
              <w:ind w:left="0"/>
              <w:jc w:val="center"/>
              <w:rPr>
                <w:rFonts w:cs="Times New Roman"/>
                <w:sz w:val="18"/>
                <w:szCs w:val="18"/>
              </w:rPr>
            </w:pPr>
            <w:r w:rsidRPr="001B388C">
              <w:rPr>
                <w:rFonts w:cs="Times New Roman"/>
                <w:sz w:val="18"/>
                <w:szCs w:val="18"/>
              </w:rPr>
              <w:t>20040708</w:t>
            </w:r>
          </w:p>
        </w:tc>
      </w:tr>
      <w:tr w:rsidR="006975AF" w:rsidRPr="002A685E" w:rsidTr="001B388C">
        <w:trPr>
          <w:trHeight w:val="125"/>
        </w:trPr>
        <w:tc>
          <w:tcPr>
            <w:tcW w:w="4050" w:type="dxa"/>
            <w:gridSpan w:val="3"/>
            <w:vMerge w:val="restart"/>
            <w:tcBorders>
              <w:right w:val="thinThickThinSmallGap" w:sz="24" w:space="0" w:color="auto"/>
            </w:tcBorders>
            <w:shd w:val="clear" w:color="auto" w:fill="FFFFFF" w:themeFill="background1"/>
          </w:tcPr>
          <w:p w:rsidR="006975AF" w:rsidRPr="001B388C" w:rsidRDefault="006975AF" w:rsidP="001B388C">
            <w:pPr>
              <w:pStyle w:val="ListParagraph"/>
              <w:spacing w:after="0" w:line="200" w:lineRule="exact"/>
              <w:ind w:left="0"/>
              <w:jc w:val="center"/>
              <w:rPr>
                <w:rFonts w:cs="Times New Roman"/>
                <w:sz w:val="18"/>
                <w:szCs w:val="18"/>
              </w:rPr>
            </w:pPr>
            <w:r w:rsidRPr="001B388C">
              <w:rPr>
                <w:sz w:val="18"/>
                <w:szCs w:val="18"/>
              </w:rPr>
              <w:t>↓No Additional MEB/PEB Entries↓</w:t>
            </w:r>
          </w:p>
        </w:tc>
        <w:tc>
          <w:tcPr>
            <w:tcW w:w="2340" w:type="dxa"/>
            <w:tcBorders>
              <w:left w:val="thinThickThinSmallGap" w:sz="24" w:space="0" w:color="auto"/>
            </w:tcBorders>
            <w:shd w:val="clear" w:color="auto" w:fill="FFFFFF" w:themeFill="background1"/>
          </w:tcPr>
          <w:p w:rsidR="006975AF" w:rsidRPr="001B388C" w:rsidRDefault="006975AF" w:rsidP="001B388C">
            <w:pPr>
              <w:pStyle w:val="ListParagraph"/>
              <w:spacing w:after="0" w:line="200" w:lineRule="exact"/>
              <w:ind w:left="0"/>
              <w:rPr>
                <w:rFonts w:cs="Times New Roman"/>
                <w:sz w:val="18"/>
                <w:szCs w:val="18"/>
              </w:rPr>
            </w:pPr>
            <w:r w:rsidRPr="001B388C">
              <w:rPr>
                <w:rFonts w:cs="Times New Roman"/>
                <w:sz w:val="18"/>
                <w:szCs w:val="18"/>
              </w:rPr>
              <w:t xml:space="preserve">Right Knee </w:t>
            </w:r>
            <w:r w:rsidR="001B388C" w:rsidRPr="001B388C">
              <w:rPr>
                <w:rFonts w:cs="Times New Roman"/>
                <w:sz w:val="18"/>
                <w:szCs w:val="18"/>
              </w:rPr>
              <w:t>PFS</w:t>
            </w:r>
          </w:p>
        </w:tc>
        <w:tc>
          <w:tcPr>
            <w:tcW w:w="1080" w:type="dxa"/>
            <w:shd w:val="clear" w:color="auto" w:fill="FFFFFF" w:themeFill="background1"/>
          </w:tcPr>
          <w:p w:rsidR="006975AF" w:rsidRPr="001B388C" w:rsidRDefault="006975AF" w:rsidP="001B388C">
            <w:pPr>
              <w:pStyle w:val="ListParagraph"/>
              <w:spacing w:after="0" w:line="200" w:lineRule="exact"/>
              <w:ind w:left="0"/>
              <w:jc w:val="center"/>
              <w:rPr>
                <w:rFonts w:cs="Times New Roman"/>
                <w:sz w:val="18"/>
                <w:szCs w:val="18"/>
              </w:rPr>
            </w:pPr>
            <w:r w:rsidRPr="001B388C">
              <w:rPr>
                <w:rFonts w:cs="Times New Roman"/>
                <w:sz w:val="18"/>
                <w:szCs w:val="18"/>
              </w:rPr>
              <w:t>5099-5024</w:t>
            </w:r>
          </w:p>
        </w:tc>
        <w:tc>
          <w:tcPr>
            <w:tcW w:w="810" w:type="dxa"/>
            <w:shd w:val="clear" w:color="auto" w:fill="FFFFFF" w:themeFill="background1"/>
          </w:tcPr>
          <w:p w:rsidR="006975AF" w:rsidRPr="001B388C" w:rsidRDefault="006975AF" w:rsidP="001B388C">
            <w:pPr>
              <w:pStyle w:val="ListParagraph"/>
              <w:spacing w:after="0" w:line="200" w:lineRule="exact"/>
              <w:ind w:left="0"/>
              <w:jc w:val="center"/>
              <w:rPr>
                <w:rFonts w:cs="Times New Roman"/>
                <w:sz w:val="18"/>
                <w:szCs w:val="18"/>
              </w:rPr>
            </w:pPr>
            <w:r w:rsidRPr="001B388C">
              <w:rPr>
                <w:rFonts w:cs="Times New Roman"/>
                <w:sz w:val="18"/>
                <w:szCs w:val="18"/>
              </w:rPr>
              <w:t>10%</w:t>
            </w:r>
          </w:p>
        </w:tc>
        <w:tc>
          <w:tcPr>
            <w:tcW w:w="990" w:type="dxa"/>
            <w:shd w:val="clear" w:color="auto" w:fill="FFFFFF" w:themeFill="background1"/>
          </w:tcPr>
          <w:p w:rsidR="006975AF" w:rsidRPr="001B388C" w:rsidRDefault="006975AF" w:rsidP="001B388C">
            <w:pPr>
              <w:pStyle w:val="ListParagraph"/>
              <w:spacing w:after="0" w:line="200" w:lineRule="exact"/>
              <w:ind w:left="0"/>
              <w:jc w:val="center"/>
              <w:rPr>
                <w:rFonts w:cs="Times New Roman"/>
                <w:sz w:val="18"/>
                <w:szCs w:val="18"/>
              </w:rPr>
            </w:pPr>
            <w:r w:rsidRPr="001B388C">
              <w:rPr>
                <w:rFonts w:cs="Times New Roman"/>
                <w:sz w:val="18"/>
                <w:szCs w:val="18"/>
              </w:rPr>
              <w:t>20040708</w:t>
            </w:r>
          </w:p>
        </w:tc>
      </w:tr>
      <w:tr w:rsidR="006975AF" w:rsidRPr="002A685E" w:rsidTr="001B388C">
        <w:trPr>
          <w:trHeight w:val="125"/>
        </w:trPr>
        <w:tc>
          <w:tcPr>
            <w:tcW w:w="4050" w:type="dxa"/>
            <w:gridSpan w:val="3"/>
            <w:vMerge/>
            <w:tcBorders>
              <w:right w:val="thinThickThinSmallGap" w:sz="24" w:space="0" w:color="auto"/>
            </w:tcBorders>
            <w:shd w:val="clear" w:color="auto" w:fill="FFFFFF" w:themeFill="background1"/>
          </w:tcPr>
          <w:p w:rsidR="006975AF" w:rsidRPr="001B388C" w:rsidRDefault="006975AF" w:rsidP="001B388C">
            <w:pPr>
              <w:pStyle w:val="ListParagraph"/>
              <w:spacing w:after="0" w:line="200" w:lineRule="exact"/>
              <w:ind w:left="0"/>
              <w:rPr>
                <w:rFonts w:cs="Times New Roman"/>
                <w:sz w:val="18"/>
                <w:szCs w:val="18"/>
              </w:rPr>
            </w:pPr>
          </w:p>
        </w:tc>
        <w:tc>
          <w:tcPr>
            <w:tcW w:w="2340" w:type="dxa"/>
            <w:tcBorders>
              <w:left w:val="thinThickThinSmallGap" w:sz="24" w:space="0" w:color="auto"/>
            </w:tcBorders>
            <w:shd w:val="clear" w:color="auto" w:fill="FFFFFF" w:themeFill="background1"/>
          </w:tcPr>
          <w:p w:rsidR="006975AF" w:rsidRPr="001B388C" w:rsidRDefault="006975AF" w:rsidP="001B388C">
            <w:pPr>
              <w:pStyle w:val="ListParagraph"/>
              <w:spacing w:after="0" w:line="200" w:lineRule="exact"/>
              <w:ind w:left="0"/>
              <w:rPr>
                <w:rFonts w:cs="Times New Roman"/>
                <w:sz w:val="18"/>
                <w:szCs w:val="18"/>
              </w:rPr>
            </w:pPr>
            <w:r w:rsidRPr="001B388C">
              <w:rPr>
                <w:rFonts w:cs="Times New Roman"/>
                <w:sz w:val="18"/>
                <w:szCs w:val="18"/>
              </w:rPr>
              <w:t xml:space="preserve">Left Knee </w:t>
            </w:r>
            <w:r w:rsidR="001B388C" w:rsidRPr="001B388C">
              <w:rPr>
                <w:rFonts w:cs="Times New Roman"/>
                <w:sz w:val="18"/>
                <w:szCs w:val="18"/>
              </w:rPr>
              <w:t>PFS</w:t>
            </w:r>
          </w:p>
        </w:tc>
        <w:tc>
          <w:tcPr>
            <w:tcW w:w="1080" w:type="dxa"/>
            <w:shd w:val="clear" w:color="auto" w:fill="FFFFFF" w:themeFill="background1"/>
          </w:tcPr>
          <w:p w:rsidR="006975AF" w:rsidRPr="001B388C" w:rsidRDefault="006975AF" w:rsidP="001B388C">
            <w:pPr>
              <w:pStyle w:val="ListParagraph"/>
              <w:spacing w:after="0" w:line="200" w:lineRule="exact"/>
              <w:ind w:left="0"/>
              <w:jc w:val="center"/>
              <w:rPr>
                <w:rFonts w:cs="Times New Roman"/>
                <w:sz w:val="18"/>
                <w:szCs w:val="18"/>
              </w:rPr>
            </w:pPr>
            <w:r w:rsidRPr="001B388C">
              <w:rPr>
                <w:rFonts w:cs="Times New Roman"/>
                <w:sz w:val="18"/>
                <w:szCs w:val="18"/>
              </w:rPr>
              <w:t>5099-5024</w:t>
            </w:r>
          </w:p>
        </w:tc>
        <w:tc>
          <w:tcPr>
            <w:tcW w:w="810" w:type="dxa"/>
            <w:shd w:val="clear" w:color="auto" w:fill="FFFFFF" w:themeFill="background1"/>
          </w:tcPr>
          <w:p w:rsidR="006975AF" w:rsidRPr="001B388C" w:rsidRDefault="006975AF" w:rsidP="001B388C">
            <w:pPr>
              <w:pStyle w:val="ListParagraph"/>
              <w:spacing w:after="0" w:line="200" w:lineRule="exact"/>
              <w:ind w:left="0"/>
              <w:jc w:val="center"/>
              <w:rPr>
                <w:rFonts w:cs="Times New Roman"/>
                <w:sz w:val="18"/>
                <w:szCs w:val="18"/>
              </w:rPr>
            </w:pPr>
            <w:r w:rsidRPr="001B388C">
              <w:rPr>
                <w:rFonts w:cs="Times New Roman"/>
                <w:sz w:val="18"/>
                <w:szCs w:val="18"/>
              </w:rPr>
              <w:t>10%</w:t>
            </w:r>
          </w:p>
        </w:tc>
        <w:tc>
          <w:tcPr>
            <w:tcW w:w="990" w:type="dxa"/>
            <w:shd w:val="clear" w:color="auto" w:fill="FFFFFF" w:themeFill="background1"/>
          </w:tcPr>
          <w:p w:rsidR="006975AF" w:rsidRPr="001B388C" w:rsidRDefault="006975AF" w:rsidP="001B388C">
            <w:pPr>
              <w:pStyle w:val="ListParagraph"/>
              <w:spacing w:after="0" w:line="200" w:lineRule="exact"/>
              <w:ind w:left="0"/>
              <w:jc w:val="center"/>
              <w:rPr>
                <w:rFonts w:cs="Times New Roman"/>
                <w:sz w:val="18"/>
                <w:szCs w:val="18"/>
              </w:rPr>
            </w:pPr>
            <w:r w:rsidRPr="001B388C">
              <w:rPr>
                <w:rFonts w:cs="Times New Roman"/>
                <w:sz w:val="18"/>
                <w:szCs w:val="18"/>
              </w:rPr>
              <w:t>20040708</w:t>
            </w:r>
          </w:p>
        </w:tc>
      </w:tr>
      <w:tr w:rsidR="006975AF" w:rsidRPr="00545389" w:rsidTr="001B388C">
        <w:trPr>
          <w:trHeight w:val="125"/>
        </w:trPr>
        <w:tc>
          <w:tcPr>
            <w:tcW w:w="4050" w:type="dxa"/>
            <w:gridSpan w:val="3"/>
            <w:vMerge/>
            <w:tcBorders>
              <w:right w:val="thinThickThinSmallGap" w:sz="24" w:space="0" w:color="auto"/>
            </w:tcBorders>
            <w:shd w:val="clear" w:color="auto" w:fill="FFFFFF" w:themeFill="background1"/>
          </w:tcPr>
          <w:p w:rsidR="006975AF" w:rsidRPr="001B388C" w:rsidRDefault="006975AF" w:rsidP="001B388C">
            <w:pPr>
              <w:pStyle w:val="ListParagraph"/>
              <w:spacing w:after="0" w:line="200" w:lineRule="exact"/>
              <w:ind w:left="0"/>
              <w:rPr>
                <w:rFonts w:cs="Times New Roman"/>
                <w:sz w:val="18"/>
                <w:szCs w:val="18"/>
              </w:rPr>
            </w:pPr>
          </w:p>
        </w:tc>
        <w:tc>
          <w:tcPr>
            <w:tcW w:w="2340" w:type="dxa"/>
            <w:tcBorders>
              <w:left w:val="thinThickThinSmallGap" w:sz="24" w:space="0" w:color="auto"/>
            </w:tcBorders>
            <w:shd w:val="clear" w:color="auto" w:fill="FFFFFF" w:themeFill="background1"/>
          </w:tcPr>
          <w:p w:rsidR="006975AF" w:rsidRPr="001B388C" w:rsidRDefault="006975AF" w:rsidP="001B388C">
            <w:pPr>
              <w:spacing w:line="200" w:lineRule="exact"/>
              <w:rPr>
                <w:rFonts w:asciiTheme="minorHAnsi" w:hAnsiTheme="minorHAnsi"/>
                <w:color w:val="auto"/>
                <w:sz w:val="18"/>
                <w:szCs w:val="18"/>
              </w:rPr>
            </w:pPr>
            <w:r w:rsidRPr="001B388C">
              <w:rPr>
                <w:rFonts w:asciiTheme="minorHAnsi" w:hAnsiTheme="minorHAnsi"/>
                <w:color w:val="auto"/>
                <w:sz w:val="18"/>
                <w:szCs w:val="18"/>
              </w:rPr>
              <w:t xml:space="preserve">Left </w:t>
            </w:r>
            <w:r w:rsidR="00B05FE0" w:rsidRPr="001B388C">
              <w:rPr>
                <w:rFonts w:asciiTheme="minorHAnsi" w:hAnsiTheme="minorHAnsi"/>
                <w:color w:val="auto"/>
                <w:sz w:val="18"/>
                <w:szCs w:val="18"/>
              </w:rPr>
              <w:t>T</w:t>
            </w:r>
            <w:r w:rsidR="001B388C" w:rsidRPr="001B388C">
              <w:rPr>
                <w:rFonts w:asciiTheme="minorHAnsi" w:hAnsiTheme="minorHAnsi"/>
                <w:color w:val="auto"/>
                <w:sz w:val="18"/>
                <w:szCs w:val="18"/>
              </w:rPr>
              <w:t>MJ…</w:t>
            </w:r>
          </w:p>
        </w:tc>
        <w:tc>
          <w:tcPr>
            <w:tcW w:w="1080" w:type="dxa"/>
            <w:shd w:val="clear" w:color="auto" w:fill="FFFFFF" w:themeFill="background1"/>
          </w:tcPr>
          <w:p w:rsidR="006975AF" w:rsidRPr="001B388C" w:rsidRDefault="006975AF" w:rsidP="001B388C">
            <w:pPr>
              <w:pStyle w:val="ListParagraph"/>
              <w:spacing w:after="0" w:line="200" w:lineRule="exact"/>
              <w:ind w:left="0"/>
              <w:jc w:val="center"/>
              <w:rPr>
                <w:rFonts w:cs="Times New Roman"/>
                <w:sz w:val="18"/>
                <w:szCs w:val="18"/>
              </w:rPr>
            </w:pPr>
            <w:r w:rsidRPr="001B388C">
              <w:rPr>
                <w:rFonts w:cs="Times New Roman"/>
                <w:sz w:val="18"/>
                <w:szCs w:val="18"/>
              </w:rPr>
              <w:t>9999-9905</w:t>
            </w:r>
          </w:p>
        </w:tc>
        <w:tc>
          <w:tcPr>
            <w:tcW w:w="810" w:type="dxa"/>
            <w:shd w:val="clear" w:color="auto" w:fill="FFFFFF" w:themeFill="background1"/>
          </w:tcPr>
          <w:p w:rsidR="006975AF" w:rsidRPr="001B388C" w:rsidRDefault="006975AF" w:rsidP="001B388C">
            <w:pPr>
              <w:pStyle w:val="ListParagraph"/>
              <w:spacing w:after="0" w:line="200" w:lineRule="exact"/>
              <w:ind w:left="0"/>
              <w:jc w:val="center"/>
              <w:rPr>
                <w:rFonts w:cs="Times New Roman"/>
                <w:sz w:val="18"/>
                <w:szCs w:val="18"/>
              </w:rPr>
            </w:pPr>
            <w:r w:rsidRPr="001B388C">
              <w:rPr>
                <w:rFonts w:cs="Times New Roman"/>
                <w:sz w:val="18"/>
                <w:szCs w:val="18"/>
              </w:rPr>
              <w:t>10%</w:t>
            </w:r>
          </w:p>
        </w:tc>
        <w:tc>
          <w:tcPr>
            <w:tcW w:w="990" w:type="dxa"/>
            <w:shd w:val="clear" w:color="auto" w:fill="FFFFFF" w:themeFill="background1"/>
          </w:tcPr>
          <w:p w:rsidR="006975AF" w:rsidRPr="001B388C" w:rsidRDefault="006975AF" w:rsidP="001B388C">
            <w:pPr>
              <w:pStyle w:val="ListParagraph"/>
              <w:spacing w:after="0" w:line="200" w:lineRule="exact"/>
              <w:ind w:left="0"/>
              <w:jc w:val="center"/>
              <w:rPr>
                <w:rFonts w:cs="Times New Roman"/>
                <w:sz w:val="18"/>
                <w:szCs w:val="18"/>
              </w:rPr>
            </w:pPr>
            <w:r w:rsidRPr="001B388C">
              <w:rPr>
                <w:rFonts w:cs="Times New Roman"/>
                <w:sz w:val="18"/>
                <w:szCs w:val="18"/>
              </w:rPr>
              <w:t>20040708</w:t>
            </w:r>
          </w:p>
        </w:tc>
      </w:tr>
      <w:tr w:rsidR="006975AF" w:rsidRPr="00545389" w:rsidTr="00DC6268">
        <w:trPr>
          <w:trHeight w:val="125"/>
        </w:trPr>
        <w:tc>
          <w:tcPr>
            <w:tcW w:w="4050" w:type="dxa"/>
            <w:gridSpan w:val="3"/>
            <w:vMerge/>
            <w:tcBorders>
              <w:right w:val="thinThickThinSmallGap" w:sz="24" w:space="0" w:color="auto"/>
            </w:tcBorders>
            <w:shd w:val="clear" w:color="auto" w:fill="FFFFFF" w:themeFill="background1"/>
          </w:tcPr>
          <w:p w:rsidR="006975AF" w:rsidRPr="001B388C" w:rsidRDefault="006975AF" w:rsidP="001B388C">
            <w:pPr>
              <w:pStyle w:val="ListParagraph"/>
              <w:spacing w:after="0" w:line="200" w:lineRule="exact"/>
              <w:ind w:left="0"/>
              <w:rPr>
                <w:rFonts w:cs="Times New Roman"/>
                <w:sz w:val="18"/>
                <w:szCs w:val="18"/>
              </w:rPr>
            </w:pPr>
          </w:p>
        </w:tc>
        <w:tc>
          <w:tcPr>
            <w:tcW w:w="4230" w:type="dxa"/>
            <w:gridSpan w:val="3"/>
            <w:tcBorders>
              <w:left w:val="thinThickThinSmallGap" w:sz="24" w:space="0" w:color="auto"/>
              <w:bottom w:val="single" w:sz="4" w:space="0" w:color="000000" w:themeColor="text1"/>
            </w:tcBorders>
            <w:shd w:val="clear" w:color="auto" w:fill="FFFFFF" w:themeFill="background1"/>
          </w:tcPr>
          <w:p w:rsidR="006975AF" w:rsidRPr="001B388C" w:rsidRDefault="006975AF" w:rsidP="001B388C">
            <w:pPr>
              <w:pStyle w:val="ListParagraph"/>
              <w:spacing w:after="0" w:line="200" w:lineRule="exact"/>
              <w:ind w:left="0"/>
              <w:jc w:val="center"/>
              <w:rPr>
                <w:rFonts w:cs="Times New Roman"/>
                <w:sz w:val="18"/>
                <w:szCs w:val="18"/>
              </w:rPr>
            </w:pPr>
            <w:r w:rsidRPr="001B388C">
              <w:rPr>
                <w:rFonts w:cs="Times New Roman"/>
                <w:sz w:val="18"/>
                <w:szCs w:val="18"/>
              </w:rPr>
              <w:t>0% x 3/Not Service Connected x 5</w:t>
            </w:r>
          </w:p>
        </w:tc>
        <w:tc>
          <w:tcPr>
            <w:tcW w:w="990" w:type="dxa"/>
            <w:tcBorders>
              <w:bottom w:val="single" w:sz="4" w:space="0" w:color="000000" w:themeColor="text1"/>
            </w:tcBorders>
            <w:shd w:val="clear" w:color="auto" w:fill="FFFFFF" w:themeFill="background1"/>
          </w:tcPr>
          <w:p w:rsidR="006975AF" w:rsidRPr="001B388C" w:rsidRDefault="001B388C" w:rsidP="001B388C">
            <w:pPr>
              <w:pStyle w:val="ListParagraph"/>
              <w:spacing w:after="0" w:line="200" w:lineRule="exact"/>
              <w:ind w:left="0"/>
              <w:jc w:val="center"/>
              <w:rPr>
                <w:rFonts w:cs="Times New Roman"/>
                <w:sz w:val="18"/>
                <w:szCs w:val="18"/>
              </w:rPr>
            </w:pPr>
            <w:r w:rsidRPr="001B388C">
              <w:rPr>
                <w:rFonts w:cs="Times New Roman"/>
                <w:sz w:val="18"/>
                <w:szCs w:val="18"/>
              </w:rPr>
              <w:t>20040708</w:t>
            </w:r>
          </w:p>
        </w:tc>
      </w:tr>
      <w:tr w:rsidR="00660CF7" w:rsidRPr="002A685E" w:rsidTr="001B388C">
        <w:trPr>
          <w:trHeight w:val="116"/>
        </w:trPr>
        <w:tc>
          <w:tcPr>
            <w:tcW w:w="4050" w:type="dxa"/>
            <w:gridSpan w:val="3"/>
            <w:tcBorders>
              <w:bottom w:val="single" w:sz="4" w:space="0" w:color="000000" w:themeColor="text1"/>
              <w:right w:val="thinThickThinSmallGap" w:sz="24" w:space="0" w:color="auto"/>
            </w:tcBorders>
            <w:shd w:val="clear" w:color="auto" w:fill="EEECE1" w:themeFill="background2"/>
          </w:tcPr>
          <w:p w:rsidR="00660CF7" w:rsidRPr="001B388C" w:rsidRDefault="00660CF7" w:rsidP="001B388C">
            <w:pPr>
              <w:pStyle w:val="ListParagraph"/>
              <w:spacing w:after="0" w:line="200" w:lineRule="exact"/>
              <w:ind w:left="0"/>
              <w:jc w:val="center"/>
              <w:rPr>
                <w:rFonts w:cs="Times New Roman"/>
                <w:b/>
                <w:sz w:val="18"/>
                <w:szCs w:val="18"/>
              </w:rPr>
            </w:pPr>
            <w:r w:rsidRPr="001B388C">
              <w:rPr>
                <w:rFonts w:cs="Times New Roman"/>
                <w:b/>
                <w:sz w:val="18"/>
                <w:szCs w:val="18"/>
              </w:rPr>
              <w:t>Combined:  20%</w:t>
            </w:r>
          </w:p>
        </w:tc>
        <w:tc>
          <w:tcPr>
            <w:tcW w:w="5220" w:type="dxa"/>
            <w:gridSpan w:val="4"/>
            <w:tcBorders>
              <w:left w:val="thinThickThinSmallGap" w:sz="24" w:space="0" w:color="auto"/>
              <w:bottom w:val="single" w:sz="4" w:space="0" w:color="000000" w:themeColor="text1"/>
            </w:tcBorders>
            <w:shd w:val="clear" w:color="auto" w:fill="EEECE1" w:themeFill="background2"/>
          </w:tcPr>
          <w:p w:rsidR="00660CF7" w:rsidRPr="001B388C" w:rsidRDefault="00660CF7" w:rsidP="001B388C">
            <w:pPr>
              <w:pStyle w:val="ListParagraph"/>
              <w:spacing w:after="0" w:line="200" w:lineRule="exact"/>
              <w:ind w:left="0"/>
              <w:jc w:val="center"/>
              <w:rPr>
                <w:rFonts w:cs="Times New Roman"/>
                <w:b/>
                <w:sz w:val="18"/>
                <w:szCs w:val="18"/>
              </w:rPr>
            </w:pPr>
            <w:r w:rsidRPr="001B388C">
              <w:rPr>
                <w:rFonts w:cs="Times New Roman"/>
                <w:b/>
                <w:sz w:val="18"/>
                <w:szCs w:val="18"/>
              </w:rPr>
              <w:t>Combined</w:t>
            </w:r>
            <w:r w:rsidR="00EA608A" w:rsidRPr="001B388C">
              <w:rPr>
                <w:rFonts w:cs="Times New Roman"/>
                <w:b/>
                <w:sz w:val="18"/>
                <w:szCs w:val="18"/>
              </w:rPr>
              <w:t>:  50%</w:t>
            </w:r>
          </w:p>
        </w:tc>
      </w:tr>
    </w:tbl>
    <w:p w:rsidR="00455AAE" w:rsidRPr="003C0424" w:rsidRDefault="00AB2C60" w:rsidP="00863C26">
      <w:pPr>
        <w:tabs>
          <w:tab w:val="left" w:pos="288"/>
          <w:tab w:val="left" w:pos="4752"/>
        </w:tabs>
        <w:spacing w:line="240" w:lineRule="exact"/>
        <w:jc w:val="both"/>
        <w:rPr>
          <w:rFonts w:asciiTheme="minorHAnsi" w:hAnsiTheme="minorHAnsi"/>
          <w:b/>
          <w:caps/>
          <w:color w:val="auto"/>
          <w:u w:val="single"/>
        </w:rPr>
      </w:pPr>
      <w:r w:rsidRPr="003C0424">
        <w:rPr>
          <w:rFonts w:asciiTheme="minorHAnsi" w:hAnsiTheme="minorHAnsi"/>
          <w:b/>
          <w:color w:val="auto"/>
          <w:u w:val="single"/>
        </w:rPr>
        <w:t>______________________________________________________________________________</w:t>
      </w:r>
    </w:p>
    <w:p w:rsidR="00AB2C60" w:rsidRDefault="00AB2C60" w:rsidP="00863C26">
      <w:pPr>
        <w:tabs>
          <w:tab w:val="left" w:pos="288"/>
          <w:tab w:val="left" w:pos="4752"/>
        </w:tabs>
        <w:spacing w:line="240" w:lineRule="exact"/>
        <w:jc w:val="both"/>
        <w:rPr>
          <w:rFonts w:asciiTheme="minorHAnsi" w:hAnsiTheme="minorHAnsi"/>
          <w:color w:val="auto"/>
        </w:rPr>
      </w:pPr>
    </w:p>
    <w:p w:rsidR="00AB2C60" w:rsidRDefault="00AB2C60" w:rsidP="00AB2C60">
      <w:pPr>
        <w:spacing w:line="240" w:lineRule="exact"/>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Pr>
          <w:rFonts w:asciiTheme="minorHAnsi" w:hAnsiTheme="minorHAnsi"/>
          <w:color w:val="auto"/>
          <w:szCs w:val="24"/>
        </w:rPr>
        <w:t xml:space="preserve">  </w:t>
      </w:r>
    </w:p>
    <w:p w:rsidR="002B452A" w:rsidRDefault="002B452A" w:rsidP="00AB2C60">
      <w:pPr>
        <w:spacing w:line="240" w:lineRule="exact"/>
        <w:rPr>
          <w:rFonts w:asciiTheme="minorHAnsi" w:hAnsiTheme="minorHAnsi"/>
          <w:color w:val="auto"/>
          <w:szCs w:val="24"/>
        </w:rPr>
      </w:pPr>
    </w:p>
    <w:p w:rsidR="00C310FC" w:rsidRDefault="004D4DF6" w:rsidP="004D4DF6">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Left h</w:t>
      </w:r>
      <w:r w:rsidR="002B452A">
        <w:rPr>
          <w:rFonts w:asciiTheme="minorHAnsi" w:hAnsiTheme="minorHAnsi"/>
          <w:color w:val="auto"/>
          <w:szCs w:val="24"/>
          <w:u w:val="single"/>
        </w:rPr>
        <w:t xml:space="preserve">ip </w:t>
      </w:r>
      <w:r w:rsidR="00D66A43">
        <w:rPr>
          <w:rFonts w:asciiTheme="minorHAnsi" w:hAnsiTheme="minorHAnsi"/>
          <w:color w:val="auto"/>
          <w:szCs w:val="24"/>
          <w:u w:val="single"/>
        </w:rPr>
        <w:t>c</w:t>
      </w:r>
      <w:r w:rsidR="002B452A">
        <w:rPr>
          <w:rFonts w:asciiTheme="minorHAnsi" w:hAnsiTheme="minorHAnsi"/>
          <w:color w:val="auto"/>
          <w:szCs w:val="24"/>
          <w:u w:val="single"/>
        </w:rPr>
        <w:t>ondition</w:t>
      </w:r>
      <w:r>
        <w:rPr>
          <w:rFonts w:asciiTheme="minorHAnsi" w:hAnsiTheme="minorHAnsi"/>
          <w:color w:val="auto"/>
          <w:szCs w:val="24"/>
        </w:rPr>
        <w:t>.</w:t>
      </w:r>
      <w:proofErr w:type="gramEnd"/>
      <w:r w:rsidR="002B452A">
        <w:rPr>
          <w:rFonts w:asciiTheme="minorHAnsi" w:hAnsiTheme="minorHAnsi"/>
          <w:color w:val="auto"/>
          <w:szCs w:val="24"/>
        </w:rPr>
        <w:t xml:space="preserve"> </w:t>
      </w:r>
      <w:r w:rsidR="00702DF8">
        <w:rPr>
          <w:rFonts w:asciiTheme="minorHAnsi" w:hAnsiTheme="minorHAnsi"/>
          <w:color w:val="auto"/>
          <w:szCs w:val="24"/>
        </w:rPr>
        <w:t xml:space="preserve"> </w:t>
      </w:r>
      <w:r w:rsidR="00D66A43">
        <w:rPr>
          <w:rFonts w:asciiTheme="minorHAnsi" w:hAnsiTheme="minorHAnsi"/>
          <w:color w:val="auto"/>
          <w:szCs w:val="24"/>
        </w:rPr>
        <w:t xml:space="preserve">As mentioned above, the CI’s left hip complaints began in 2002 and progressively became worse.  </w:t>
      </w:r>
      <w:r w:rsidR="00C24346">
        <w:rPr>
          <w:rFonts w:asciiTheme="minorHAnsi" w:hAnsiTheme="minorHAnsi"/>
          <w:color w:val="auto"/>
          <w:szCs w:val="24"/>
        </w:rPr>
        <w:t>At the MEB</w:t>
      </w:r>
      <w:r w:rsidR="006C2554">
        <w:rPr>
          <w:rFonts w:asciiTheme="minorHAnsi" w:hAnsiTheme="minorHAnsi"/>
          <w:color w:val="auto"/>
          <w:szCs w:val="24"/>
        </w:rPr>
        <w:t xml:space="preserve"> examination</w:t>
      </w:r>
      <w:r w:rsidR="00C24346">
        <w:rPr>
          <w:rFonts w:asciiTheme="minorHAnsi" w:hAnsiTheme="minorHAnsi"/>
          <w:color w:val="auto"/>
          <w:szCs w:val="24"/>
        </w:rPr>
        <w:t xml:space="preserve"> on 27 February 2004</w:t>
      </w:r>
      <w:r w:rsidR="00FA2CAD">
        <w:rPr>
          <w:rFonts w:asciiTheme="minorHAnsi" w:hAnsiTheme="minorHAnsi"/>
          <w:color w:val="auto"/>
          <w:szCs w:val="24"/>
        </w:rPr>
        <w:t xml:space="preserve">, hip flexion </w:t>
      </w:r>
      <w:r w:rsidR="00C24346">
        <w:rPr>
          <w:rFonts w:asciiTheme="minorHAnsi" w:hAnsiTheme="minorHAnsi"/>
          <w:color w:val="auto"/>
          <w:szCs w:val="24"/>
        </w:rPr>
        <w:t xml:space="preserve">was limited </w:t>
      </w:r>
      <w:r w:rsidR="00AD4857">
        <w:rPr>
          <w:rFonts w:asciiTheme="minorHAnsi" w:hAnsiTheme="minorHAnsi"/>
          <w:color w:val="auto"/>
          <w:szCs w:val="24"/>
        </w:rPr>
        <w:t>to 100 degrees</w:t>
      </w:r>
      <w:r w:rsidR="00FA2CAD">
        <w:rPr>
          <w:rFonts w:asciiTheme="minorHAnsi" w:hAnsiTheme="minorHAnsi"/>
          <w:color w:val="auto"/>
          <w:szCs w:val="24"/>
        </w:rPr>
        <w:t>.  R</w:t>
      </w:r>
      <w:r w:rsidR="00AD4857">
        <w:rPr>
          <w:rFonts w:asciiTheme="minorHAnsi" w:hAnsiTheme="minorHAnsi"/>
          <w:color w:val="auto"/>
          <w:szCs w:val="24"/>
        </w:rPr>
        <w:t>adiographs showed</w:t>
      </w:r>
      <w:r w:rsidR="00C24346">
        <w:rPr>
          <w:rFonts w:asciiTheme="minorHAnsi" w:hAnsiTheme="minorHAnsi"/>
          <w:color w:val="auto"/>
          <w:szCs w:val="24"/>
        </w:rPr>
        <w:t xml:space="preserve"> “significant </w:t>
      </w:r>
      <w:r w:rsidR="00744FFD">
        <w:rPr>
          <w:rFonts w:asciiTheme="minorHAnsi" w:hAnsiTheme="minorHAnsi"/>
          <w:color w:val="auto"/>
          <w:szCs w:val="24"/>
        </w:rPr>
        <w:t xml:space="preserve">changes on his </w:t>
      </w:r>
      <w:proofErr w:type="spellStart"/>
      <w:r w:rsidR="00744FFD">
        <w:rPr>
          <w:rFonts w:asciiTheme="minorHAnsi" w:hAnsiTheme="minorHAnsi"/>
          <w:color w:val="auto"/>
          <w:szCs w:val="24"/>
        </w:rPr>
        <w:t>acetabular</w:t>
      </w:r>
      <w:proofErr w:type="spellEnd"/>
      <w:r w:rsidR="00744FFD">
        <w:rPr>
          <w:rFonts w:asciiTheme="minorHAnsi" w:hAnsiTheme="minorHAnsi"/>
          <w:color w:val="auto"/>
          <w:szCs w:val="24"/>
        </w:rPr>
        <w:t xml:space="preserve"> side and his femoral head side, and his joint appear</w:t>
      </w:r>
      <w:r w:rsidR="00C24346">
        <w:rPr>
          <w:rFonts w:asciiTheme="minorHAnsi" w:hAnsiTheme="minorHAnsi"/>
          <w:color w:val="auto"/>
          <w:szCs w:val="24"/>
        </w:rPr>
        <w:t xml:space="preserve"> to be non-congruent.”  The examiner noted that the CI would probably require surgery in the future and that his condition “interferes with the reasonable performance of his assigned duties.”  Restrictions included no running, jumping, prolonged walking, standing, crawling, or deployment.  </w:t>
      </w:r>
      <w:r w:rsidR="00705FC3">
        <w:rPr>
          <w:rFonts w:asciiTheme="minorHAnsi" w:hAnsiTheme="minorHAnsi"/>
          <w:color w:val="auto"/>
          <w:szCs w:val="24"/>
        </w:rPr>
        <w:t xml:space="preserve">At a </w:t>
      </w:r>
      <w:r w:rsidR="00D05072">
        <w:rPr>
          <w:rFonts w:asciiTheme="minorHAnsi" w:hAnsiTheme="minorHAnsi"/>
          <w:color w:val="auto"/>
          <w:szCs w:val="24"/>
        </w:rPr>
        <w:t xml:space="preserve">pre-discharge </w:t>
      </w:r>
      <w:r w:rsidR="00705FC3">
        <w:rPr>
          <w:rFonts w:asciiTheme="minorHAnsi" w:hAnsiTheme="minorHAnsi"/>
          <w:color w:val="auto"/>
          <w:szCs w:val="24"/>
        </w:rPr>
        <w:t xml:space="preserve">VA </w:t>
      </w:r>
      <w:r w:rsidR="00C310FC" w:rsidRPr="00E26AA8">
        <w:rPr>
          <w:rFonts w:asciiTheme="minorHAnsi" w:hAnsiTheme="minorHAnsi"/>
          <w:color w:val="auto"/>
        </w:rPr>
        <w:t xml:space="preserve">Compensation and Pension (C&amp;P) </w:t>
      </w:r>
      <w:r w:rsidR="0008462E">
        <w:rPr>
          <w:rFonts w:asciiTheme="minorHAnsi" w:hAnsiTheme="minorHAnsi"/>
          <w:color w:val="auto"/>
        </w:rPr>
        <w:t>examination on 8 July 2004</w:t>
      </w:r>
      <w:r w:rsidR="00FA2CAD">
        <w:rPr>
          <w:rFonts w:asciiTheme="minorHAnsi" w:hAnsiTheme="minorHAnsi"/>
          <w:color w:val="auto"/>
        </w:rPr>
        <w:t xml:space="preserve"> (</w:t>
      </w:r>
      <w:r w:rsidR="00D05072">
        <w:rPr>
          <w:rFonts w:asciiTheme="minorHAnsi" w:hAnsiTheme="minorHAnsi"/>
          <w:color w:val="auto"/>
        </w:rPr>
        <w:t>five weeks</w:t>
      </w:r>
      <w:r w:rsidR="00C310FC">
        <w:rPr>
          <w:rFonts w:asciiTheme="minorHAnsi" w:hAnsiTheme="minorHAnsi"/>
          <w:color w:val="auto"/>
        </w:rPr>
        <w:t xml:space="preserve"> prior to separation</w:t>
      </w:r>
      <w:r w:rsidR="00FA2CAD">
        <w:rPr>
          <w:rFonts w:asciiTheme="minorHAnsi" w:hAnsiTheme="minorHAnsi"/>
          <w:color w:val="auto"/>
        </w:rPr>
        <w:t>)</w:t>
      </w:r>
      <w:r w:rsidR="00C310FC">
        <w:rPr>
          <w:rFonts w:asciiTheme="minorHAnsi" w:hAnsiTheme="minorHAnsi"/>
          <w:color w:val="auto"/>
        </w:rPr>
        <w:t xml:space="preserve"> the CI was noted to have an antalgic gai</w:t>
      </w:r>
      <w:r w:rsidR="00D05072">
        <w:rPr>
          <w:rFonts w:asciiTheme="minorHAnsi" w:hAnsiTheme="minorHAnsi"/>
          <w:color w:val="auto"/>
        </w:rPr>
        <w:t>t,</w:t>
      </w:r>
      <w:r w:rsidR="00C310FC">
        <w:rPr>
          <w:rFonts w:asciiTheme="minorHAnsi" w:hAnsiTheme="minorHAnsi"/>
          <w:color w:val="auto"/>
        </w:rPr>
        <w:t xml:space="preserve"> a 1.5 cm leg length discrepancy, and </w:t>
      </w:r>
      <w:r w:rsidR="00D05072">
        <w:rPr>
          <w:rFonts w:asciiTheme="minorHAnsi" w:hAnsiTheme="minorHAnsi"/>
          <w:color w:val="auto"/>
        </w:rPr>
        <w:t xml:space="preserve">some </w:t>
      </w:r>
      <w:r w:rsidR="00C310FC">
        <w:rPr>
          <w:rFonts w:asciiTheme="minorHAnsi" w:hAnsiTheme="minorHAnsi"/>
          <w:color w:val="auto"/>
        </w:rPr>
        <w:t xml:space="preserve">loss of hip motion, </w:t>
      </w:r>
      <w:r w:rsidR="00C310FC">
        <w:rPr>
          <w:rFonts w:asciiTheme="minorHAnsi" w:hAnsiTheme="minorHAnsi"/>
          <w:color w:val="auto"/>
        </w:rPr>
        <w:lastRenderedPageBreak/>
        <w:t xml:space="preserve">additionally limited by pain </w:t>
      </w:r>
      <w:r w:rsidR="009278E1">
        <w:rPr>
          <w:rFonts w:asciiTheme="minorHAnsi" w:hAnsiTheme="minorHAnsi"/>
          <w:color w:val="auto"/>
        </w:rPr>
        <w:t>(</w:t>
      </w:r>
      <w:r w:rsidR="00C310FC">
        <w:rPr>
          <w:rFonts w:asciiTheme="minorHAnsi" w:hAnsiTheme="minorHAnsi"/>
          <w:color w:val="auto"/>
        </w:rPr>
        <w:t xml:space="preserve">but not fatigue, weakness, endurance or </w:t>
      </w:r>
      <w:proofErr w:type="spellStart"/>
      <w:r w:rsidR="00C310FC">
        <w:rPr>
          <w:rFonts w:asciiTheme="minorHAnsi" w:hAnsiTheme="minorHAnsi"/>
          <w:color w:val="auto"/>
        </w:rPr>
        <w:t>incoor</w:t>
      </w:r>
      <w:r w:rsidR="00D05072">
        <w:rPr>
          <w:rFonts w:asciiTheme="minorHAnsi" w:hAnsiTheme="minorHAnsi"/>
          <w:color w:val="auto"/>
        </w:rPr>
        <w:t>dination</w:t>
      </w:r>
      <w:proofErr w:type="spellEnd"/>
      <w:r w:rsidR="009278E1">
        <w:rPr>
          <w:rFonts w:asciiTheme="minorHAnsi" w:hAnsiTheme="minorHAnsi"/>
          <w:color w:val="auto"/>
        </w:rPr>
        <w:t>)</w:t>
      </w:r>
      <w:r w:rsidR="00D05072">
        <w:rPr>
          <w:rFonts w:asciiTheme="minorHAnsi" w:hAnsiTheme="minorHAnsi"/>
          <w:color w:val="auto"/>
        </w:rPr>
        <w:t xml:space="preserve">.  Two </w:t>
      </w:r>
      <w:r w:rsidR="0077591F" w:rsidRPr="0077591F">
        <w:rPr>
          <w:rFonts w:asciiTheme="minorHAnsi" w:hAnsiTheme="minorHAnsi"/>
          <w:color w:val="auto"/>
          <w:szCs w:val="24"/>
        </w:rPr>
        <w:t xml:space="preserve">goniometric range-of-motion (ROM) evaluations </w:t>
      </w:r>
      <w:r w:rsidR="00D05072">
        <w:rPr>
          <w:rFonts w:asciiTheme="minorHAnsi" w:hAnsiTheme="minorHAnsi"/>
          <w:color w:val="auto"/>
          <w:szCs w:val="24"/>
        </w:rPr>
        <w:t xml:space="preserve">were </w:t>
      </w:r>
      <w:r w:rsidR="0077591F" w:rsidRPr="0077591F">
        <w:rPr>
          <w:rFonts w:asciiTheme="minorHAnsi" w:hAnsiTheme="minorHAnsi"/>
          <w:color w:val="auto"/>
          <w:szCs w:val="24"/>
        </w:rPr>
        <w:t>in evidence</w:t>
      </w:r>
      <w:r w:rsidR="00D05072">
        <w:rPr>
          <w:rFonts w:asciiTheme="minorHAnsi" w:hAnsiTheme="minorHAnsi"/>
          <w:color w:val="auto"/>
          <w:szCs w:val="24"/>
        </w:rPr>
        <w:t>,</w:t>
      </w:r>
      <w:r w:rsidR="0077591F" w:rsidRPr="0077591F">
        <w:rPr>
          <w:rFonts w:asciiTheme="minorHAnsi" w:hAnsiTheme="minorHAnsi"/>
          <w:color w:val="auto"/>
          <w:szCs w:val="24"/>
        </w:rPr>
        <w:t xml:space="preserve"> which the Board weighed in arriving at its rating </w:t>
      </w:r>
      <w:r w:rsidR="0077591F">
        <w:rPr>
          <w:rFonts w:asciiTheme="minorHAnsi" w:hAnsiTheme="minorHAnsi"/>
          <w:color w:val="auto"/>
          <w:szCs w:val="24"/>
        </w:rPr>
        <w:t xml:space="preserve">recommendation.  </w:t>
      </w:r>
      <w:r w:rsidR="00B05FE0">
        <w:rPr>
          <w:rFonts w:asciiTheme="minorHAnsi" w:hAnsiTheme="minorHAnsi"/>
          <w:color w:val="auto"/>
          <w:szCs w:val="24"/>
        </w:rPr>
        <w:t>These two</w:t>
      </w:r>
      <w:r w:rsidR="0077591F" w:rsidRPr="0077591F">
        <w:rPr>
          <w:rFonts w:asciiTheme="minorHAnsi" w:hAnsiTheme="minorHAnsi"/>
          <w:color w:val="auto"/>
          <w:szCs w:val="24"/>
        </w:rPr>
        <w:t xml:space="preserve"> </w:t>
      </w:r>
      <w:r w:rsidR="00D05072">
        <w:rPr>
          <w:rFonts w:asciiTheme="minorHAnsi" w:hAnsiTheme="minorHAnsi"/>
          <w:color w:val="auto"/>
          <w:szCs w:val="24"/>
        </w:rPr>
        <w:t xml:space="preserve">ROM </w:t>
      </w:r>
      <w:r w:rsidR="0077591F" w:rsidRPr="0077591F">
        <w:rPr>
          <w:rFonts w:asciiTheme="minorHAnsi" w:hAnsiTheme="minorHAnsi"/>
          <w:color w:val="auto"/>
          <w:szCs w:val="24"/>
        </w:rPr>
        <w:t>ex</w:t>
      </w:r>
      <w:r w:rsidR="00B05FE0">
        <w:rPr>
          <w:rFonts w:asciiTheme="minorHAnsi" w:hAnsiTheme="minorHAnsi"/>
          <w:color w:val="auto"/>
          <w:szCs w:val="24"/>
        </w:rPr>
        <w:t xml:space="preserve">ams are summarized </w:t>
      </w:r>
      <w:r w:rsidR="0077591F" w:rsidRPr="0077591F">
        <w:rPr>
          <w:rFonts w:asciiTheme="minorHAnsi" w:hAnsiTheme="minorHAnsi"/>
          <w:color w:val="auto"/>
          <w:szCs w:val="24"/>
        </w:rPr>
        <w:t>below.</w:t>
      </w:r>
    </w:p>
    <w:p w:rsidR="00702DF8" w:rsidRDefault="00702DF8" w:rsidP="00AB2C60">
      <w:pPr>
        <w:spacing w:line="240" w:lineRule="exact"/>
        <w:rPr>
          <w:rFonts w:asciiTheme="minorHAnsi" w:hAnsiTheme="minorHAnsi"/>
          <w:color w:val="auto"/>
          <w:szCs w:val="24"/>
        </w:rPr>
      </w:pPr>
    </w:p>
    <w:tbl>
      <w:tblPr>
        <w:tblW w:w="7759"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36"/>
        <w:gridCol w:w="2307"/>
        <w:gridCol w:w="2516"/>
      </w:tblGrid>
      <w:tr w:rsidR="004F0EC2" w:rsidRPr="00723CE7" w:rsidTr="004F0EC2">
        <w:trPr>
          <w:trHeight w:val="238"/>
          <w:jc w:val="center"/>
        </w:trPr>
        <w:tc>
          <w:tcPr>
            <w:tcW w:w="2936" w:type="dxa"/>
            <w:shd w:val="clear" w:color="auto" w:fill="EEECE1" w:themeFill="background2"/>
          </w:tcPr>
          <w:p w:rsidR="004F0EC2" w:rsidRPr="00723CE7" w:rsidRDefault="004F0EC2" w:rsidP="0077591F">
            <w:pPr>
              <w:spacing w:line="240" w:lineRule="exact"/>
              <w:contextualSpacing/>
              <w:jc w:val="center"/>
              <w:rPr>
                <w:rFonts w:ascii="Calibri" w:eastAsia="Calibri" w:hAnsi="Calibri"/>
                <w:color w:val="auto"/>
                <w:szCs w:val="22"/>
              </w:rPr>
            </w:pPr>
          </w:p>
        </w:tc>
        <w:tc>
          <w:tcPr>
            <w:tcW w:w="4823" w:type="dxa"/>
            <w:gridSpan w:val="2"/>
            <w:shd w:val="clear" w:color="auto" w:fill="EEECE1" w:themeFill="background2"/>
          </w:tcPr>
          <w:p w:rsidR="004F0EC2" w:rsidRPr="00723CE7" w:rsidRDefault="004F0EC2" w:rsidP="0077591F">
            <w:pPr>
              <w:spacing w:line="240" w:lineRule="exact"/>
              <w:contextualSpacing/>
              <w:jc w:val="center"/>
              <w:rPr>
                <w:rFonts w:ascii="Calibri" w:eastAsia="Calibri" w:hAnsi="Calibri"/>
                <w:color w:val="auto"/>
                <w:szCs w:val="22"/>
              </w:rPr>
            </w:pPr>
            <w:r w:rsidRPr="00723CE7">
              <w:rPr>
                <w:rFonts w:ascii="Calibri" w:eastAsia="Calibri" w:hAnsi="Calibri"/>
                <w:color w:val="auto"/>
                <w:sz w:val="22"/>
                <w:szCs w:val="22"/>
              </w:rPr>
              <w:t>Separation Date:</w:t>
            </w:r>
            <w:r w:rsidRPr="0056684C">
              <w:rPr>
                <w:color w:val="auto"/>
                <w:sz w:val="22"/>
                <w:szCs w:val="22"/>
              </w:rPr>
              <w:t xml:space="preserve"> </w:t>
            </w:r>
            <w:r w:rsidRPr="0056684C">
              <w:rPr>
                <w:rFonts w:asciiTheme="minorHAnsi" w:hAnsiTheme="minorHAnsi"/>
                <w:color w:val="auto"/>
                <w:sz w:val="22"/>
                <w:szCs w:val="22"/>
              </w:rPr>
              <w:t>20040815</w:t>
            </w:r>
          </w:p>
        </w:tc>
      </w:tr>
      <w:tr w:rsidR="004F0EC2" w:rsidRPr="00723CE7" w:rsidTr="004F0EC2">
        <w:trPr>
          <w:trHeight w:val="488"/>
          <w:jc w:val="center"/>
        </w:trPr>
        <w:tc>
          <w:tcPr>
            <w:tcW w:w="2936" w:type="dxa"/>
            <w:shd w:val="clear" w:color="auto" w:fill="EEECE1" w:themeFill="background2"/>
          </w:tcPr>
          <w:p w:rsidR="004F0EC2" w:rsidRPr="00B53493" w:rsidRDefault="004F0EC2" w:rsidP="004F72BA">
            <w:pPr>
              <w:spacing w:line="240" w:lineRule="exact"/>
              <w:contextualSpacing/>
              <w:jc w:val="center"/>
              <w:rPr>
                <w:rFonts w:asciiTheme="minorHAnsi" w:eastAsia="Calibri" w:hAnsiTheme="minorHAnsi"/>
                <w:color w:val="auto"/>
                <w:sz w:val="20"/>
              </w:rPr>
            </w:pPr>
            <w:r w:rsidRPr="00B53493">
              <w:rPr>
                <w:rFonts w:asciiTheme="minorHAnsi" w:eastAsia="Calibri" w:hAnsiTheme="minorHAnsi"/>
                <w:color w:val="auto"/>
                <w:sz w:val="20"/>
              </w:rPr>
              <w:t>Goniometric ROM –</w:t>
            </w:r>
          </w:p>
          <w:p w:rsidR="004F0EC2" w:rsidRPr="00723CE7" w:rsidRDefault="00D66A43" w:rsidP="004F72BA">
            <w:pPr>
              <w:spacing w:line="240" w:lineRule="exact"/>
              <w:contextualSpacing/>
              <w:jc w:val="center"/>
              <w:rPr>
                <w:rFonts w:ascii="Calibri" w:eastAsia="Calibri" w:hAnsi="Calibri"/>
                <w:color w:val="auto"/>
                <w:szCs w:val="22"/>
              </w:rPr>
            </w:pPr>
            <w:r>
              <w:rPr>
                <w:rFonts w:asciiTheme="minorHAnsi" w:eastAsia="Calibri" w:hAnsiTheme="minorHAnsi"/>
                <w:color w:val="auto"/>
                <w:sz w:val="20"/>
              </w:rPr>
              <w:t xml:space="preserve">Left </w:t>
            </w:r>
            <w:r w:rsidR="004F0EC2" w:rsidRPr="00B53493">
              <w:rPr>
                <w:rFonts w:asciiTheme="minorHAnsi" w:eastAsia="Calibri" w:hAnsiTheme="minorHAnsi"/>
                <w:color w:val="auto"/>
                <w:sz w:val="20"/>
              </w:rPr>
              <w:t xml:space="preserve">Hip </w:t>
            </w:r>
          </w:p>
        </w:tc>
        <w:tc>
          <w:tcPr>
            <w:tcW w:w="2307" w:type="dxa"/>
            <w:shd w:val="clear" w:color="auto" w:fill="EEECE1" w:themeFill="background2"/>
          </w:tcPr>
          <w:p w:rsidR="004F0EC2" w:rsidRPr="00723CE7" w:rsidRDefault="004F0EC2" w:rsidP="003206A8">
            <w:pPr>
              <w:spacing w:line="240" w:lineRule="exact"/>
              <w:contextualSpacing/>
              <w:jc w:val="center"/>
              <w:rPr>
                <w:rFonts w:ascii="Calibri" w:eastAsia="Calibri" w:hAnsi="Calibri"/>
                <w:color w:val="auto"/>
                <w:szCs w:val="22"/>
              </w:rPr>
            </w:pPr>
            <w:r>
              <w:rPr>
                <w:rFonts w:ascii="Calibri" w:eastAsia="Calibri" w:hAnsi="Calibri"/>
                <w:color w:val="auto"/>
                <w:sz w:val="22"/>
                <w:szCs w:val="22"/>
              </w:rPr>
              <w:t>MEB NARSUM</w:t>
            </w:r>
            <w:r w:rsidR="003206A8">
              <w:rPr>
                <w:rFonts w:ascii="Calibri" w:eastAsia="Calibri" w:hAnsi="Calibri"/>
                <w:color w:val="auto"/>
                <w:sz w:val="22"/>
                <w:szCs w:val="22"/>
              </w:rPr>
              <w:t xml:space="preserve"> – </w:t>
            </w:r>
            <w:r w:rsidRPr="00723CE7">
              <w:rPr>
                <w:rFonts w:ascii="Calibri" w:eastAsia="Calibri" w:hAnsi="Calibri"/>
                <w:color w:val="auto"/>
                <w:sz w:val="22"/>
                <w:szCs w:val="22"/>
              </w:rPr>
              <w:t>20040227</w:t>
            </w:r>
          </w:p>
        </w:tc>
        <w:tc>
          <w:tcPr>
            <w:tcW w:w="2516" w:type="dxa"/>
            <w:shd w:val="clear" w:color="auto" w:fill="EEECE1" w:themeFill="background2"/>
          </w:tcPr>
          <w:p w:rsidR="004F0EC2" w:rsidRDefault="004F0EC2" w:rsidP="0077591F">
            <w:pPr>
              <w:spacing w:line="240" w:lineRule="exact"/>
              <w:contextualSpacing/>
              <w:jc w:val="center"/>
              <w:rPr>
                <w:rFonts w:ascii="Calibri" w:eastAsiaTheme="minorHAnsi" w:hAnsi="Calibri" w:cstheme="minorBidi"/>
                <w:color w:val="auto"/>
                <w:szCs w:val="22"/>
              </w:rPr>
            </w:pPr>
            <w:r w:rsidRPr="00723CE7">
              <w:rPr>
                <w:rFonts w:ascii="Calibri" w:eastAsia="Calibri" w:hAnsi="Calibri"/>
                <w:color w:val="auto"/>
                <w:sz w:val="22"/>
                <w:szCs w:val="22"/>
              </w:rPr>
              <w:t>VA</w:t>
            </w:r>
            <w:r>
              <w:rPr>
                <w:rFonts w:ascii="Calibri" w:eastAsiaTheme="minorHAnsi" w:hAnsi="Calibri" w:cstheme="minorBidi"/>
                <w:color w:val="auto"/>
                <w:sz w:val="22"/>
                <w:szCs w:val="22"/>
              </w:rPr>
              <w:t xml:space="preserve"> C&amp;P</w:t>
            </w:r>
            <w:r w:rsidR="003206A8">
              <w:rPr>
                <w:rFonts w:ascii="Calibri" w:eastAsiaTheme="minorHAnsi" w:hAnsi="Calibri" w:cstheme="minorBidi"/>
                <w:color w:val="auto"/>
                <w:sz w:val="22"/>
                <w:szCs w:val="22"/>
              </w:rPr>
              <w:t xml:space="preserve"> exam –</w:t>
            </w:r>
          </w:p>
          <w:p w:rsidR="004F0EC2" w:rsidRPr="00723CE7" w:rsidRDefault="004F0EC2" w:rsidP="0077591F">
            <w:pPr>
              <w:spacing w:line="240" w:lineRule="exact"/>
              <w:contextualSpacing/>
              <w:jc w:val="center"/>
              <w:rPr>
                <w:rFonts w:ascii="Calibri" w:eastAsiaTheme="minorHAnsi" w:hAnsi="Calibri" w:cstheme="minorBidi"/>
                <w:color w:val="auto"/>
                <w:szCs w:val="22"/>
              </w:rPr>
            </w:pPr>
            <w:r>
              <w:rPr>
                <w:rFonts w:ascii="Calibri" w:eastAsia="Calibri" w:hAnsi="Calibri"/>
                <w:color w:val="auto"/>
                <w:sz w:val="22"/>
                <w:szCs w:val="22"/>
              </w:rPr>
              <w:t>20040708</w:t>
            </w:r>
          </w:p>
        </w:tc>
      </w:tr>
      <w:tr w:rsidR="004F0EC2" w:rsidRPr="00F5755D" w:rsidTr="004F0EC2">
        <w:trPr>
          <w:trHeight w:val="249"/>
          <w:jc w:val="center"/>
        </w:trPr>
        <w:tc>
          <w:tcPr>
            <w:tcW w:w="2936" w:type="dxa"/>
          </w:tcPr>
          <w:p w:rsidR="004F0EC2" w:rsidRPr="002A0433" w:rsidRDefault="004F0EC2" w:rsidP="0077591F">
            <w:pPr>
              <w:spacing w:line="240" w:lineRule="exact"/>
              <w:contextualSpacing/>
              <w:rPr>
                <w:rFonts w:ascii="Calibri" w:eastAsia="Calibri" w:hAnsi="Calibri"/>
                <w:color w:val="auto"/>
                <w:szCs w:val="22"/>
              </w:rPr>
            </w:pPr>
            <w:r w:rsidRPr="002A0433">
              <w:rPr>
                <w:rFonts w:ascii="Calibri" w:eastAsia="Calibri" w:hAnsi="Calibri"/>
                <w:color w:val="auto"/>
                <w:sz w:val="22"/>
                <w:szCs w:val="22"/>
              </w:rPr>
              <w:t xml:space="preserve">Flexion </w:t>
            </w:r>
            <w:r>
              <w:rPr>
                <w:rFonts w:ascii="Calibri" w:eastAsia="Calibri" w:hAnsi="Calibri"/>
                <w:color w:val="auto"/>
                <w:sz w:val="22"/>
                <w:szCs w:val="22"/>
              </w:rPr>
              <w:t>(</w:t>
            </w:r>
            <w:r w:rsidRPr="002A0433">
              <w:rPr>
                <w:rFonts w:ascii="Calibri" w:eastAsia="Calibri" w:hAnsi="Calibri"/>
                <w:color w:val="auto"/>
                <w:sz w:val="22"/>
                <w:szCs w:val="22"/>
              </w:rPr>
              <w:t>125⁰</w:t>
            </w:r>
            <w:r w:rsidR="00D66A43">
              <w:rPr>
                <w:rFonts w:ascii="Calibri" w:eastAsia="Calibri" w:hAnsi="Calibri"/>
                <w:color w:val="auto"/>
                <w:sz w:val="22"/>
                <w:szCs w:val="22"/>
              </w:rPr>
              <w:t xml:space="preserve"> is normal</w:t>
            </w:r>
            <w:r>
              <w:rPr>
                <w:rFonts w:ascii="Calibri" w:eastAsia="Calibri" w:hAnsi="Calibri"/>
                <w:color w:val="auto"/>
                <w:sz w:val="22"/>
                <w:szCs w:val="22"/>
              </w:rPr>
              <w:t>)</w:t>
            </w:r>
          </w:p>
        </w:tc>
        <w:tc>
          <w:tcPr>
            <w:tcW w:w="2307" w:type="dxa"/>
          </w:tcPr>
          <w:p w:rsidR="004F0EC2" w:rsidRPr="00F5755D" w:rsidRDefault="004F0EC2" w:rsidP="0077591F">
            <w:pPr>
              <w:spacing w:line="240" w:lineRule="exact"/>
              <w:contextualSpacing/>
              <w:jc w:val="center"/>
              <w:rPr>
                <w:rFonts w:ascii="Calibri" w:eastAsia="Calibri" w:hAnsi="Calibri"/>
                <w:color w:val="auto"/>
                <w:szCs w:val="22"/>
              </w:rPr>
            </w:pPr>
            <w:r>
              <w:rPr>
                <w:rFonts w:ascii="Calibri" w:eastAsia="Calibri" w:hAnsi="Calibri"/>
                <w:color w:val="auto"/>
                <w:sz w:val="22"/>
                <w:szCs w:val="22"/>
              </w:rPr>
              <w:t>100</w:t>
            </w:r>
            <w:r w:rsidRPr="00682052">
              <w:rPr>
                <w:rFonts w:ascii="Calibri" w:eastAsia="Calibri" w:hAnsi="Calibri"/>
                <w:color w:val="auto"/>
                <w:sz w:val="22"/>
                <w:szCs w:val="22"/>
              </w:rPr>
              <w:t>⁰</w:t>
            </w:r>
          </w:p>
        </w:tc>
        <w:tc>
          <w:tcPr>
            <w:tcW w:w="2516" w:type="dxa"/>
          </w:tcPr>
          <w:p w:rsidR="004F0EC2" w:rsidRPr="00F5755D" w:rsidRDefault="004F0EC2" w:rsidP="0077591F">
            <w:pPr>
              <w:spacing w:line="240" w:lineRule="exact"/>
              <w:contextualSpacing/>
              <w:jc w:val="center"/>
              <w:rPr>
                <w:rFonts w:ascii="Calibri" w:eastAsia="Calibri" w:hAnsi="Calibri"/>
                <w:color w:val="auto"/>
                <w:szCs w:val="22"/>
              </w:rPr>
            </w:pPr>
            <w:r w:rsidRPr="00682052">
              <w:rPr>
                <w:rFonts w:ascii="Calibri" w:eastAsia="Calibri" w:hAnsi="Calibri"/>
                <w:color w:val="auto"/>
                <w:sz w:val="22"/>
                <w:szCs w:val="22"/>
              </w:rPr>
              <w:t>0⁰-</w:t>
            </w:r>
            <w:r>
              <w:rPr>
                <w:rFonts w:ascii="Calibri" w:eastAsia="Calibri" w:hAnsi="Calibri"/>
                <w:color w:val="auto"/>
                <w:sz w:val="22"/>
                <w:szCs w:val="22"/>
              </w:rPr>
              <w:t>115</w:t>
            </w:r>
            <w:r w:rsidRPr="00682052">
              <w:rPr>
                <w:rFonts w:ascii="Calibri" w:eastAsia="Calibri" w:hAnsi="Calibri"/>
                <w:color w:val="auto"/>
                <w:sz w:val="22"/>
                <w:szCs w:val="22"/>
              </w:rPr>
              <w:t>⁰</w:t>
            </w:r>
            <w:r>
              <w:rPr>
                <w:rFonts w:ascii="Calibri" w:eastAsia="Calibri" w:hAnsi="Calibri"/>
                <w:color w:val="auto"/>
                <w:sz w:val="22"/>
                <w:szCs w:val="22"/>
              </w:rPr>
              <w:t>, pain at 90</w:t>
            </w:r>
            <w:r w:rsidRPr="00D54926">
              <w:rPr>
                <w:rFonts w:ascii="Calibri" w:eastAsia="Calibri" w:hAnsi="Calibri"/>
                <w:color w:val="auto"/>
                <w:sz w:val="22"/>
                <w:szCs w:val="22"/>
              </w:rPr>
              <w:t>⁰</w:t>
            </w:r>
          </w:p>
        </w:tc>
      </w:tr>
      <w:tr w:rsidR="004F0EC2" w:rsidRPr="00F5755D" w:rsidTr="004F0EC2">
        <w:trPr>
          <w:trHeight w:val="249"/>
          <w:jc w:val="center"/>
        </w:trPr>
        <w:tc>
          <w:tcPr>
            <w:tcW w:w="2936" w:type="dxa"/>
          </w:tcPr>
          <w:p w:rsidR="004F0EC2" w:rsidRPr="002A0433" w:rsidRDefault="004F0EC2" w:rsidP="0077591F">
            <w:pPr>
              <w:spacing w:line="240" w:lineRule="exact"/>
              <w:contextualSpacing/>
              <w:rPr>
                <w:rFonts w:ascii="Calibri" w:eastAsia="Calibri" w:hAnsi="Calibri"/>
                <w:color w:val="auto"/>
                <w:szCs w:val="22"/>
              </w:rPr>
            </w:pPr>
            <w:r w:rsidRPr="002A0433">
              <w:rPr>
                <w:rFonts w:ascii="Calibri" w:eastAsia="Calibri" w:hAnsi="Calibri"/>
                <w:color w:val="auto"/>
                <w:sz w:val="22"/>
                <w:szCs w:val="22"/>
              </w:rPr>
              <w:t xml:space="preserve">Extension </w:t>
            </w:r>
            <w:r>
              <w:rPr>
                <w:rFonts w:ascii="Calibri" w:eastAsia="Calibri" w:hAnsi="Calibri"/>
                <w:color w:val="auto"/>
                <w:sz w:val="22"/>
                <w:szCs w:val="22"/>
              </w:rPr>
              <w:t>(0</w:t>
            </w:r>
            <w:r w:rsidRPr="002A0433">
              <w:rPr>
                <w:rFonts w:ascii="Calibri" w:eastAsia="Calibri" w:hAnsi="Calibri"/>
                <w:color w:val="auto"/>
                <w:sz w:val="22"/>
                <w:szCs w:val="22"/>
              </w:rPr>
              <w:t>⁰</w:t>
            </w:r>
            <w:r w:rsidR="00D66A43">
              <w:rPr>
                <w:rFonts w:ascii="Calibri" w:eastAsia="Calibri" w:hAnsi="Calibri"/>
                <w:color w:val="auto"/>
                <w:sz w:val="22"/>
                <w:szCs w:val="22"/>
              </w:rPr>
              <w:t xml:space="preserve"> is normal</w:t>
            </w:r>
            <w:r>
              <w:rPr>
                <w:rFonts w:ascii="Calibri" w:eastAsia="Calibri" w:hAnsi="Calibri"/>
                <w:color w:val="auto"/>
                <w:sz w:val="22"/>
                <w:szCs w:val="22"/>
              </w:rPr>
              <w:t>)</w:t>
            </w:r>
            <w:r w:rsidRPr="002A0433">
              <w:rPr>
                <w:rFonts w:ascii="Calibri" w:eastAsia="Calibri" w:hAnsi="Calibri"/>
                <w:color w:val="auto"/>
                <w:sz w:val="22"/>
                <w:szCs w:val="22"/>
              </w:rPr>
              <w:t xml:space="preserve"> </w:t>
            </w:r>
          </w:p>
        </w:tc>
        <w:tc>
          <w:tcPr>
            <w:tcW w:w="2307" w:type="dxa"/>
          </w:tcPr>
          <w:p w:rsidR="004F0EC2" w:rsidRPr="00F5755D" w:rsidRDefault="00D66A43" w:rsidP="0077591F">
            <w:pPr>
              <w:spacing w:line="240" w:lineRule="exact"/>
              <w:contextualSpacing/>
              <w:jc w:val="center"/>
              <w:rPr>
                <w:rFonts w:ascii="Calibri" w:eastAsia="Calibri" w:hAnsi="Calibri"/>
                <w:color w:val="auto"/>
                <w:szCs w:val="22"/>
              </w:rPr>
            </w:pPr>
            <w:r w:rsidRPr="00F5755D">
              <w:rPr>
                <w:rFonts w:ascii="Calibri" w:eastAsia="Calibri" w:hAnsi="Calibri"/>
                <w:color w:val="auto"/>
                <w:sz w:val="22"/>
                <w:szCs w:val="22"/>
              </w:rPr>
              <w:t>0⁰</w:t>
            </w:r>
          </w:p>
        </w:tc>
        <w:tc>
          <w:tcPr>
            <w:tcW w:w="2516" w:type="dxa"/>
          </w:tcPr>
          <w:p w:rsidR="004F0EC2" w:rsidRPr="00F5755D" w:rsidRDefault="004F0EC2" w:rsidP="0077591F">
            <w:pPr>
              <w:spacing w:line="240" w:lineRule="exact"/>
              <w:contextualSpacing/>
              <w:jc w:val="center"/>
              <w:rPr>
                <w:rFonts w:ascii="Calibri" w:eastAsia="Calibri" w:hAnsi="Calibri"/>
                <w:color w:val="auto"/>
                <w:szCs w:val="22"/>
              </w:rPr>
            </w:pPr>
            <w:r>
              <w:rPr>
                <w:rFonts w:ascii="Calibri" w:eastAsia="Calibri" w:hAnsi="Calibri"/>
                <w:color w:val="auto"/>
                <w:sz w:val="22"/>
                <w:szCs w:val="22"/>
              </w:rPr>
              <w:t>0⁰-15</w:t>
            </w:r>
            <w:r w:rsidRPr="00D54926">
              <w:rPr>
                <w:rFonts w:ascii="Calibri" w:eastAsia="Calibri" w:hAnsi="Calibri"/>
                <w:color w:val="auto"/>
                <w:sz w:val="22"/>
                <w:szCs w:val="22"/>
              </w:rPr>
              <w:t>⁰</w:t>
            </w:r>
            <w:r>
              <w:rPr>
                <w:rFonts w:ascii="Calibri" w:eastAsia="Calibri" w:hAnsi="Calibri"/>
                <w:color w:val="auto"/>
                <w:sz w:val="22"/>
                <w:szCs w:val="22"/>
              </w:rPr>
              <w:t>, pain at 15</w:t>
            </w:r>
            <w:r w:rsidRPr="002A0433">
              <w:rPr>
                <w:rFonts w:ascii="Calibri" w:eastAsia="Calibri" w:hAnsi="Calibri"/>
                <w:color w:val="auto"/>
                <w:sz w:val="22"/>
                <w:szCs w:val="22"/>
              </w:rPr>
              <w:t>⁰</w:t>
            </w:r>
          </w:p>
        </w:tc>
      </w:tr>
      <w:tr w:rsidR="004F0EC2" w:rsidRPr="00F5755D" w:rsidTr="004F0EC2">
        <w:trPr>
          <w:trHeight w:val="249"/>
          <w:jc w:val="center"/>
        </w:trPr>
        <w:tc>
          <w:tcPr>
            <w:tcW w:w="2936" w:type="dxa"/>
          </w:tcPr>
          <w:p w:rsidR="004F0EC2" w:rsidRPr="002A0433" w:rsidRDefault="004F0EC2" w:rsidP="0077591F">
            <w:pPr>
              <w:spacing w:line="240" w:lineRule="exact"/>
              <w:contextualSpacing/>
              <w:rPr>
                <w:rFonts w:ascii="Calibri" w:eastAsia="Calibri" w:hAnsi="Calibri"/>
                <w:color w:val="auto"/>
                <w:szCs w:val="22"/>
              </w:rPr>
            </w:pPr>
            <w:r w:rsidRPr="002A0433">
              <w:rPr>
                <w:rFonts w:ascii="Calibri" w:eastAsia="Calibri" w:hAnsi="Calibri"/>
                <w:color w:val="auto"/>
                <w:sz w:val="22"/>
                <w:szCs w:val="22"/>
              </w:rPr>
              <w:t xml:space="preserve">Abduction </w:t>
            </w:r>
            <w:r>
              <w:rPr>
                <w:rFonts w:ascii="Calibri" w:eastAsia="Calibri" w:hAnsi="Calibri"/>
                <w:color w:val="auto"/>
                <w:sz w:val="22"/>
                <w:szCs w:val="22"/>
              </w:rPr>
              <w:t>(</w:t>
            </w:r>
            <w:r w:rsidRPr="002A0433">
              <w:rPr>
                <w:rFonts w:ascii="Calibri" w:eastAsia="Calibri" w:hAnsi="Calibri"/>
                <w:color w:val="auto"/>
                <w:sz w:val="22"/>
                <w:szCs w:val="22"/>
              </w:rPr>
              <w:t>45⁰</w:t>
            </w:r>
            <w:r w:rsidR="003206A8">
              <w:rPr>
                <w:rFonts w:ascii="Calibri" w:eastAsia="Calibri" w:hAnsi="Calibri"/>
                <w:color w:val="auto"/>
                <w:sz w:val="22"/>
                <w:szCs w:val="22"/>
              </w:rPr>
              <w:t xml:space="preserve"> is normal</w:t>
            </w:r>
            <w:r>
              <w:rPr>
                <w:rFonts w:ascii="Calibri" w:eastAsia="Calibri" w:hAnsi="Calibri"/>
                <w:color w:val="auto"/>
                <w:sz w:val="22"/>
                <w:szCs w:val="22"/>
              </w:rPr>
              <w:t>)</w:t>
            </w:r>
            <w:r w:rsidRPr="002A0433">
              <w:rPr>
                <w:rFonts w:ascii="Calibri" w:eastAsia="Calibri" w:hAnsi="Calibri"/>
                <w:color w:val="auto"/>
                <w:sz w:val="22"/>
                <w:szCs w:val="22"/>
              </w:rPr>
              <w:t xml:space="preserve"> </w:t>
            </w:r>
          </w:p>
        </w:tc>
        <w:tc>
          <w:tcPr>
            <w:tcW w:w="2307" w:type="dxa"/>
          </w:tcPr>
          <w:p w:rsidR="004F0EC2" w:rsidRPr="00F5755D" w:rsidRDefault="004F0EC2" w:rsidP="0077591F">
            <w:pPr>
              <w:spacing w:line="240" w:lineRule="exact"/>
              <w:contextualSpacing/>
              <w:jc w:val="center"/>
              <w:rPr>
                <w:rFonts w:ascii="Calibri" w:eastAsia="Calibri" w:hAnsi="Calibri"/>
                <w:color w:val="auto"/>
                <w:szCs w:val="22"/>
              </w:rPr>
            </w:pPr>
            <w:r>
              <w:rPr>
                <w:rFonts w:ascii="Calibri" w:eastAsia="Calibri" w:hAnsi="Calibri"/>
                <w:color w:val="auto"/>
                <w:sz w:val="22"/>
                <w:szCs w:val="22"/>
              </w:rPr>
              <w:t>Not Measured</w:t>
            </w:r>
          </w:p>
        </w:tc>
        <w:tc>
          <w:tcPr>
            <w:tcW w:w="2516" w:type="dxa"/>
          </w:tcPr>
          <w:p w:rsidR="004F0EC2" w:rsidRPr="00F5755D" w:rsidRDefault="004F0EC2" w:rsidP="0077591F">
            <w:pPr>
              <w:spacing w:line="240" w:lineRule="exact"/>
              <w:contextualSpacing/>
              <w:jc w:val="center"/>
              <w:rPr>
                <w:rFonts w:ascii="Calibri" w:eastAsia="Calibri" w:hAnsi="Calibri"/>
                <w:color w:val="auto"/>
                <w:szCs w:val="22"/>
              </w:rPr>
            </w:pPr>
            <w:r>
              <w:rPr>
                <w:rFonts w:ascii="Calibri" w:eastAsia="Calibri" w:hAnsi="Calibri"/>
                <w:color w:val="auto"/>
                <w:sz w:val="22"/>
                <w:szCs w:val="22"/>
              </w:rPr>
              <w:t>0⁰-20</w:t>
            </w:r>
            <w:r w:rsidRPr="00D54926">
              <w:rPr>
                <w:rFonts w:ascii="Calibri" w:eastAsia="Calibri" w:hAnsi="Calibri"/>
                <w:color w:val="auto"/>
                <w:sz w:val="22"/>
                <w:szCs w:val="22"/>
              </w:rPr>
              <w:t>⁰</w:t>
            </w:r>
            <w:r>
              <w:rPr>
                <w:rFonts w:ascii="Calibri" w:eastAsia="Calibri" w:hAnsi="Calibri"/>
                <w:color w:val="auto"/>
                <w:sz w:val="22"/>
                <w:szCs w:val="22"/>
              </w:rPr>
              <w:t>,</w:t>
            </w:r>
            <w:r w:rsidRPr="000D7C17">
              <w:rPr>
                <w:rFonts w:ascii="Calibri" w:eastAsia="Calibri" w:hAnsi="Calibri"/>
                <w:color w:val="auto"/>
                <w:sz w:val="22"/>
                <w:szCs w:val="22"/>
              </w:rPr>
              <w:t xml:space="preserve"> pain at </w:t>
            </w:r>
            <w:r>
              <w:rPr>
                <w:rFonts w:ascii="Calibri" w:eastAsia="Calibri" w:hAnsi="Calibri"/>
                <w:color w:val="auto"/>
                <w:sz w:val="22"/>
                <w:szCs w:val="22"/>
              </w:rPr>
              <w:t>0</w:t>
            </w:r>
            <w:r w:rsidRPr="00D54926">
              <w:rPr>
                <w:rFonts w:ascii="Calibri" w:eastAsia="Calibri" w:hAnsi="Calibri"/>
                <w:color w:val="auto"/>
                <w:sz w:val="22"/>
                <w:szCs w:val="22"/>
              </w:rPr>
              <w:t>⁰</w:t>
            </w:r>
          </w:p>
        </w:tc>
      </w:tr>
      <w:tr w:rsidR="004F0EC2" w:rsidRPr="00F5755D" w:rsidTr="004F0EC2">
        <w:trPr>
          <w:trHeight w:val="238"/>
          <w:jc w:val="center"/>
        </w:trPr>
        <w:tc>
          <w:tcPr>
            <w:tcW w:w="2936" w:type="dxa"/>
          </w:tcPr>
          <w:p w:rsidR="004F0EC2" w:rsidRPr="002A0433" w:rsidRDefault="004F0EC2" w:rsidP="003206A8">
            <w:pPr>
              <w:spacing w:line="240" w:lineRule="exact"/>
              <w:contextualSpacing/>
              <w:rPr>
                <w:rFonts w:ascii="Calibri" w:eastAsia="Calibri" w:hAnsi="Calibri"/>
                <w:color w:val="auto"/>
                <w:szCs w:val="22"/>
                <w:highlight w:val="yellow"/>
              </w:rPr>
            </w:pPr>
            <w:r w:rsidRPr="002A0433">
              <w:rPr>
                <w:rFonts w:ascii="Calibri" w:eastAsia="Calibri" w:hAnsi="Calibri"/>
                <w:color w:val="auto"/>
                <w:sz w:val="22"/>
                <w:szCs w:val="22"/>
              </w:rPr>
              <w:t xml:space="preserve">Adduction </w:t>
            </w:r>
            <w:r>
              <w:rPr>
                <w:rFonts w:ascii="Calibri" w:eastAsia="Calibri" w:hAnsi="Calibri"/>
                <w:color w:val="auto"/>
                <w:sz w:val="22"/>
                <w:szCs w:val="22"/>
              </w:rPr>
              <w:t>(</w:t>
            </w:r>
            <w:r w:rsidRPr="00D829FB">
              <w:rPr>
                <w:rFonts w:ascii="Calibri" w:eastAsia="Calibri" w:hAnsi="Calibri"/>
                <w:color w:val="auto"/>
                <w:sz w:val="22"/>
                <w:szCs w:val="22"/>
              </w:rPr>
              <w:t>0</w:t>
            </w:r>
            <w:r w:rsidRPr="002A0433">
              <w:rPr>
                <w:rFonts w:ascii="Calibri" w:eastAsia="Calibri" w:hAnsi="Calibri"/>
                <w:color w:val="auto"/>
                <w:sz w:val="22"/>
                <w:szCs w:val="22"/>
              </w:rPr>
              <w:t>⁰</w:t>
            </w:r>
            <w:r w:rsidR="003206A8">
              <w:rPr>
                <w:rFonts w:ascii="Calibri" w:eastAsia="Calibri" w:hAnsi="Calibri"/>
                <w:color w:val="auto"/>
                <w:sz w:val="22"/>
                <w:szCs w:val="22"/>
              </w:rPr>
              <w:t xml:space="preserve"> is normal</w:t>
            </w:r>
            <w:r>
              <w:rPr>
                <w:rFonts w:ascii="Calibri" w:eastAsia="Calibri" w:hAnsi="Calibri"/>
                <w:color w:val="auto"/>
                <w:sz w:val="22"/>
                <w:szCs w:val="22"/>
              </w:rPr>
              <w:t>)</w:t>
            </w:r>
          </w:p>
        </w:tc>
        <w:tc>
          <w:tcPr>
            <w:tcW w:w="2307" w:type="dxa"/>
          </w:tcPr>
          <w:p w:rsidR="004F0EC2" w:rsidRPr="00F5755D" w:rsidRDefault="004F0EC2" w:rsidP="0077591F">
            <w:pPr>
              <w:spacing w:line="240" w:lineRule="exact"/>
              <w:contextualSpacing/>
              <w:jc w:val="center"/>
              <w:rPr>
                <w:rFonts w:ascii="Calibri" w:eastAsia="Calibri" w:hAnsi="Calibri"/>
                <w:color w:val="auto"/>
                <w:szCs w:val="22"/>
              </w:rPr>
            </w:pPr>
            <w:r>
              <w:rPr>
                <w:rFonts w:ascii="Calibri" w:eastAsia="Calibri" w:hAnsi="Calibri"/>
                <w:color w:val="auto"/>
                <w:sz w:val="22"/>
                <w:szCs w:val="22"/>
              </w:rPr>
              <w:t>Not Measured</w:t>
            </w:r>
          </w:p>
        </w:tc>
        <w:tc>
          <w:tcPr>
            <w:tcW w:w="2516" w:type="dxa"/>
          </w:tcPr>
          <w:p w:rsidR="004F0EC2" w:rsidRPr="00F5755D" w:rsidRDefault="004F0EC2" w:rsidP="0077591F">
            <w:pPr>
              <w:spacing w:line="240" w:lineRule="exact"/>
              <w:contextualSpacing/>
              <w:jc w:val="center"/>
              <w:rPr>
                <w:rFonts w:ascii="Calibri" w:eastAsia="Calibri" w:hAnsi="Calibri"/>
                <w:color w:val="auto"/>
                <w:szCs w:val="22"/>
              </w:rPr>
            </w:pPr>
            <w:r>
              <w:rPr>
                <w:rFonts w:ascii="Calibri" w:eastAsia="Calibri" w:hAnsi="Calibri"/>
                <w:color w:val="auto"/>
                <w:sz w:val="22"/>
                <w:szCs w:val="22"/>
              </w:rPr>
              <w:t>0⁰-10</w:t>
            </w:r>
            <w:r w:rsidRPr="00D54926">
              <w:rPr>
                <w:rFonts w:ascii="Calibri" w:eastAsia="Calibri" w:hAnsi="Calibri"/>
                <w:color w:val="auto"/>
                <w:sz w:val="22"/>
                <w:szCs w:val="22"/>
              </w:rPr>
              <w:t>⁰</w:t>
            </w:r>
            <w:r>
              <w:rPr>
                <w:rFonts w:ascii="Calibri" w:eastAsia="Calibri" w:hAnsi="Calibri"/>
                <w:color w:val="auto"/>
                <w:sz w:val="22"/>
                <w:szCs w:val="22"/>
              </w:rPr>
              <w:t>, pain at 10</w:t>
            </w:r>
            <w:r w:rsidRPr="00D54926">
              <w:rPr>
                <w:rFonts w:ascii="Calibri" w:eastAsia="Calibri" w:hAnsi="Calibri"/>
                <w:color w:val="auto"/>
                <w:sz w:val="22"/>
                <w:szCs w:val="22"/>
              </w:rPr>
              <w:t>⁰</w:t>
            </w:r>
          </w:p>
        </w:tc>
      </w:tr>
      <w:tr w:rsidR="004F0EC2" w:rsidRPr="00F5755D" w:rsidTr="004F0EC2">
        <w:trPr>
          <w:trHeight w:val="238"/>
          <w:jc w:val="center"/>
        </w:trPr>
        <w:tc>
          <w:tcPr>
            <w:tcW w:w="2936" w:type="dxa"/>
          </w:tcPr>
          <w:p w:rsidR="004F0EC2" w:rsidRPr="002A0433" w:rsidRDefault="004F0EC2" w:rsidP="0077591F">
            <w:pPr>
              <w:spacing w:line="240" w:lineRule="exact"/>
              <w:contextualSpacing/>
              <w:rPr>
                <w:rFonts w:ascii="Calibri" w:eastAsia="Calibri" w:hAnsi="Calibri"/>
                <w:color w:val="auto"/>
                <w:szCs w:val="22"/>
              </w:rPr>
            </w:pPr>
            <w:r>
              <w:rPr>
                <w:rFonts w:ascii="Calibri" w:eastAsia="Calibri" w:hAnsi="Calibri"/>
                <w:color w:val="auto"/>
                <w:sz w:val="22"/>
                <w:szCs w:val="22"/>
              </w:rPr>
              <w:t xml:space="preserve">Internal Rotation </w:t>
            </w:r>
          </w:p>
        </w:tc>
        <w:tc>
          <w:tcPr>
            <w:tcW w:w="2307" w:type="dxa"/>
          </w:tcPr>
          <w:p w:rsidR="004F0EC2" w:rsidRDefault="004F0EC2" w:rsidP="0077591F">
            <w:pPr>
              <w:spacing w:line="240" w:lineRule="exact"/>
              <w:contextualSpacing/>
              <w:jc w:val="center"/>
              <w:rPr>
                <w:rFonts w:ascii="Calibri" w:eastAsia="Calibri" w:hAnsi="Calibri"/>
                <w:color w:val="auto"/>
                <w:szCs w:val="22"/>
              </w:rPr>
            </w:pPr>
            <w:r>
              <w:rPr>
                <w:rFonts w:ascii="Calibri" w:eastAsia="Calibri" w:hAnsi="Calibri"/>
                <w:color w:val="auto"/>
                <w:sz w:val="22"/>
                <w:szCs w:val="22"/>
              </w:rPr>
              <w:t>Not Measured</w:t>
            </w:r>
          </w:p>
        </w:tc>
        <w:tc>
          <w:tcPr>
            <w:tcW w:w="2516" w:type="dxa"/>
          </w:tcPr>
          <w:p w:rsidR="004F0EC2" w:rsidRPr="000D7C17" w:rsidRDefault="004F0EC2" w:rsidP="0077591F">
            <w:pPr>
              <w:spacing w:line="240" w:lineRule="exact"/>
              <w:contextualSpacing/>
              <w:jc w:val="center"/>
              <w:rPr>
                <w:rFonts w:ascii="Calibri" w:eastAsia="Calibri" w:hAnsi="Calibri"/>
                <w:color w:val="auto"/>
                <w:szCs w:val="22"/>
              </w:rPr>
            </w:pPr>
            <w:r>
              <w:rPr>
                <w:rFonts w:ascii="Calibri" w:eastAsia="Calibri" w:hAnsi="Calibri"/>
                <w:color w:val="auto"/>
                <w:sz w:val="22"/>
                <w:szCs w:val="22"/>
              </w:rPr>
              <w:t>0⁰-30</w:t>
            </w:r>
            <w:r w:rsidRPr="00D54926">
              <w:rPr>
                <w:rFonts w:ascii="Calibri" w:eastAsia="Calibri" w:hAnsi="Calibri"/>
                <w:color w:val="auto"/>
                <w:sz w:val="22"/>
                <w:szCs w:val="22"/>
              </w:rPr>
              <w:t>⁰</w:t>
            </w:r>
            <w:r>
              <w:rPr>
                <w:rFonts w:ascii="Calibri" w:eastAsia="Calibri" w:hAnsi="Calibri"/>
                <w:color w:val="auto"/>
                <w:sz w:val="22"/>
                <w:szCs w:val="22"/>
              </w:rPr>
              <w:t>, pain at 0</w:t>
            </w:r>
            <w:r w:rsidRPr="00D54926">
              <w:rPr>
                <w:rFonts w:ascii="Calibri" w:eastAsia="Calibri" w:hAnsi="Calibri"/>
                <w:color w:val="auto"/>
                <w:sz w:val="22"/>
                <w:szCs w:val="22"/>
              </w:rPr>
              <w:t>⁰</w:t>
            </w:r>
          </w:p>
        </w:tc>
      </w:tr>
      <w:tr w:rsidR="004F0EC2" w:rsidRPr="00F5755D" w:rsidTr="004F0EC2">
        <w:trPr>
          <w:trHeight w:val="238"/>
          <w:jc w:val="center"/>
        </w:trPr>
        <w:tc>
          <w:tcPr>
            <w:tcW w:w="2936" w:type="dxa"/>
          </w:tcPr>
          <w:p w:rsidR="004F0EC2" w:rsidRDefault="004F0EC2" w:rsidP="004F72BA">
            <w:pPr>
              <w:spacing w:before="240" w:line="240" w:lineRule="exact"/>
              <w:contextualSpacing/>
              <w:rPr>
                <w:rFonts w:ascii="Calibri" w:eastAsia="Calibri" w:hAnsi="Calibri"/>
                <w:color w:val="auto"/>
                <w:szCs w:val="22"/>
              </w:rPr>
            </w:pPr>
            <w:r>
              <w:rPr>
                <w:rFonts w:ascii="Calibri" w:eastAsia="Calibri" w:hAnsi="Calibri"/>
                <w:color w:val="auto"/>
                <w:sz w:val="22"/>
                <w:szCs w:val="22"/>
              </w:rPr>
              <w:t>External Rotation</w:t>
            </w:r>
          </w:p>
        </w:tc>
        <w:tc>
          <w:tcPr>
            <w:tcW w:w="2307" w:type="dxa"/>
          </w:tcPr>
          <w:p w:rsidR="004F0EC2" w:rsidRDefault="004F0EC2" w:rsidP="0077591F">
            <w:pPr>
              <w:spacing w:line="240" w:lineRule="exact"/>
              <w:contextualSpacing/>
              <w:jc w:val="center"/>
              <w:rPr>
                <w:rFonts w:ascii="Calibri" w:eastAsia="Calibri" w:hAnsi="Calibri"/>
                <w:color w:val="auto"/>
                <w:szCs w:val="22"/>
              </w:rPr>
            </w:pPr>
            <w:r>
              <w:rPr>
                <w:rFonts w:ascii="Calibri" w:eastAsia="Calibri" w:hAnsi="Calibri"/>
                <w:color w:val="auto"/>
                <w:sz w:val="22"/>
                <w:szCs w:val="22"/>
              </w:rPr>
              <w:t>Not Measured</w:t>
            </w:r>
          </w:p>
        </w:tc>
        <w:tc>
          <w:tcPr>
            <w:tcW w:w="2516" w:type="dxa"/>
          </w:tcPr>
          <w:p w:rsidR="004F0EC2" w:rsidRPr="000D7C17" w:rsidRDefault="004F0EC2" w:rsidP="0077591F">
            <w:pPr>
              <w:spacing w:line="240" w:lineRule="exact"/>
              <w:contextualSpacing/>
              <w:jc w:val="center"/>
              <w:rPr>
                <w:rFonts w:ascii="Calibri" w:eastAsia="Calibri" w:hAnsi="Calibri"/>
                <w:color w:val="auto"/>
                <w:szCs w:val="22"/>
              </w:rPr>
            </w:pPr>
            <w:r>
              <w:rPr>
                <w:rFonts w:ascii="Calibri" w:eastAsia="Calibri" w:hAnsi="Calibri"/>
                <w:color w:val="auto"/>
                <w:sz w:val="22"/>
                <w:szCs w:val="22"/>
              </w:rPr>
              <w:t>0⁰-10</w:t>
            </w:r>
            <w:r w:rsidRPr="00D54926">
              <w:rPr>
                <w:rFonts w:ascii="Calibri" w:eastAsia="Calibri" w:hAnsi="Calibri"/>
                <w:color w:val="auto"/>
                <w:sz w:val="22"/>
                <w:szCs w:val="22"/>
              </w:rPr>
              <w:t>⁰</w:t>
            </w:r>
            <w:r>
              <w:rPr>
                <w:rFonts w:ascii="Calibri" w:eastAsia="Calibri" w:hAnsi="Calibri"/>
                <w:color w:val="auto"/>
                <w:sz w:val="22"/>
                <w:szCs w:val="22"/>
              </w:rPr>
              <w:t>, pain at 0</w:t>
            </w:r>
            <w:r w:rsidRPr="00D54926">
              <w:rPr>
                <w:rFonts w:ascii="Calibri" w:eastAsia="Calibri" w:hAnsi="Calibri"/>
                <w:color w:val="auto"/>
                <w:sz w:val="22"/>
                <w:szCs w:val="22"/>
              </w:rPr>
              <w:t>⁰</w:t>
            </w:r>
          </w:p>
        </w:tc>
      </w:tr>
    </w:tbl>
    <w:p w:rsidR="00702DF8" w:rsidRDefault="00702DF8" w:rsidP="00AB2C60">
      <w:pPr>
        <w:spacing w:line="240" w:lineRule="exact"/>
        <w:rPr>
          <w:rFonts w:asciiTheme="minorHAnsi" w:hAnsiTheme="minorHAnsi"/>
          <w:color w:val="auto"/>
          <w:szCs w:val="24"/>
        </w:rPr>
      </w:pPr>
    </w:p>
    <w:p w:rsidR="004F72BA" w:rsidRDefault="00D947A0" w:rsidP="004D4DF6">
      <w:pPr>
        <w:spacing w:line="240" w:lineRule="exact"/>
        <w:jc w:val="both"/>
        <w:rPr>
          <w:rFonts w:asciiTheme="minorHAnsi" w:hAnsiTheme="minorHAnsi"/>
          <w:color w:val="auto"/>
          <w:szCs w:val="24"/>
        </w:rPr>
      </w:pPr>
      <w:r>
        <w:rPr>
          <w:rFonts w:asciiTheme="minorHAnsi" w:hAnsiTheme="minorHAnsi"/>
          <w:color w:val="auto"/>
          <w:szCs w:val="24"/>
        </w:rPr>
        <w:t xml:space="preserve">The </w:t>
      </w:r>
      <w:r w:rsidR="00EC6666">
        <w:rPr>
          <w:rFonts w:asciiTheme="minorHAnsi" w:hAnsiTheme="minorHAnsi"/>
          <w:color w:val="auto"/>
          <w:szCs w:val="24"/>
        </w:rPr>
        <w:t xml:space="preserve">Physical Disability Board of Review (PDBR) examined all evidentiary information available.  The </w:t>
      </w:r>
      <w:r>
        <w:rPr>
          <w:rFonts w:asciiTheme="minorHAnsi" w:hAnsiTheme="minorHAnsi"/>
          <w:color w:val="auto"/>
          <w:szCs w:val="24"/>
        </w:rPr>
        <w:t xml:space="preserve">Board determined that </w:t>
      </w:r>
      <w:r w:rsidR="00EC6666">
        <w:rPr>
          <w:rFonts w:asciiTheme="minorHAnsi" w:hAnsiTheme="minorHAnsi"/>
          <w:color w:val="auto"/>
          <w:szCs w:val="24"/>
        </w:rPr>
        <w:t xml:space="preserve">malformation of the femur is analogous to </w:t>
      </w:r>
      <w:proofErr w:type="spellStart"/>
      <w:r w:rsidR="00EC6666">
        <w:rPr>
          <w:rFonts w:asciiTheme="minorHAnsi" w:hAnsiTheme="minorHAnsi"/>
          <w:color w:val="auto"/>
          <w:szCs w:val="24"/>
        </w:rPr>
        <w:t>malunion</w:t>
      </w:r>
      <w:proofErr w:type="spellEnd"/>
      <w:r w:rsidR="00EC6666">
        <w:rPr>
          <w:rFonts w:asciiTheme="minorHAnsi" w:hAnsiTheme="minorHAnsi"/>
          <w:color w:val="auto"/>
          <w:szCs w:val="24"/>
        </w:rPr>
        <w:t xml:space="preserve"> of the femur, so VA code 5255 would be an appropriate diagnostic code in this case.  The painful motion, </w:t>
      </w:r>
      <w:r>
        <w:rPr>
          <w:rFonts w:asciiTheme="minorHAnsi" w:hAnsiTheme="minorHAnsi"/>
          <w:color w:val="auto"/>
          <w:szCs w:val="24"/>
        </w:rPr>
        <w:t>loss of motion</w:t>
      </w:r>
      <w:r w:rsidR="00EC6666">
        <w:rPr>
          <w:rFonts w:asciiTheme="minorHAnsi" w:hAnsiTheme="minorHAnsi"/>
          <w:color w:val="auto"/>
          <w:szCs w:val="24"/>
        </w:rPr>
        <w:t>, and loss of</w:t>
      </w:r>
      <w:r>
        <w:rPr>
          <w:rFonts w:asciiTheme="minorHAnsi" w:hAnsiTheme="minorHAnsi"/>
          <w:color w:val="auto"/>
          <w:szCs w:val="24"/>
        </w:rPr>
        <w:t xml:space="preserve"> function documented above represent</w:t>
      </w:r>
      <w:r w:rsidR="0037423C">
        <w:rPr>
          <w:rFonts w:asciiTheme="minorHAnsi" w:hAnsiTheme="minorHAnsi"/>
          <w:color w:val="auto"/>
          <w:szCs w:val="24"/>
        </w:rPr>
        <w:t>s</w:t>
      </w:r>
      <w:r>
        <w:rPr>
          <w:rFonts w:asciiTheme="minorHAnsi" w:hAnsiTheme="minorHAnsi"/>
          <w:color w:val="auto"/>
          <w:szCs w:val="24"/>
        </w:rPr>
        <w:t xml:space="preserve"> a moderate disability of the </w:t>
      </w:r>
      <w:r w:rsidR="00EC6666">
        <w:rPr>
          <w:rFonts w:asciiTheme="minorHAnsi" w:hAnsiTheme="minorHAnsi"/>
          <w:color w:val="auto"/>
          <w:szCs w:val="24"/>
        </w:rPr>
        <w:t xml:space="preserve">left </w:t>
      </w:r>
      <w:r>
        <w:rPr>
          <w:rFonts w:asciiTheme="minorHAnsi" w:hAnsiTheme="minorHAnsi"/>
          <w:color w:val="auto"/>
          <w:szCs w:val="24"/>
        </w:rPr>
        <w:t xml:space="preserve">hip.  </w:t>
      </w:r>
      <w:r w:rsidR="00EC6666">
        <w:rPr>
          <w:rFonts w:asciiTheme="minorHAnsi" w:hAnsiTheme="minorHAnsi"/>
          <w:color w:val="auto"/>
          <w:szCs w:val="24"/>
        </w:rPr>
        <w:t>All evidence considered, t</w:t>
      </w:r>
      <w:r>
        <w:rPr>
          <w:rFonts w:asciiTheme="minorHAnsi" w:hAnsiTheme="minorHAnsi"/>
          <w:color w:val="auto"/>
          <w:szCs w:val="24"/>
        </w:rPr>
        <w:t xml:space="preserve">he Board </w:t>
      </w:r>
      <w:r w:rsidR="00EC6666">
        <w:rPr>
          <w:rFonts w:asciiTheme="minorHAnsi" w:hAnsiTheme="minorHAnsi"/>
          <w:color w:val="auto"/>
          <w:szCs w:val="24"/>
        </w:rPr>
        <w:t>unanimously recommends a 20% disability rating for the left hip condition</w:t>
      </w:r>
      <w:r w:rsidR="009278E1">
        <w:rPr>
          <w:rFonts w:asciiTheme="minorHAnsi" w:hAnsiTheme="minorHAnsi"/>
          <w:color w:val="auto"/>
          <w:szCs w:val="24"/>
        </w:rPr>
        <w:t xml:space="preserve"> (coded 5255, IAW </w:t>
      </w:r>
      <w:r w:rsidR="009278E1" w:rsidRPr="003F6284">
        <w:rPr>
          <w:rFonts w:asciiTheme="minorHAnsi" w:eastAsiaTheme="minorHAnsi" w:hAnsiTheme="minorHAnsi"/>
          <w:color w:val="auto"/>
          <w:szCs w:val="24"/>
        </w:rPr>
        <w:t>VASRD §4.71a</w:t>
      </w:r>
      <w:r w:rsidR="009278E1">
        <w:rPr>
          <w:rFonts w:asciiTheme="minorHAnsi" w:eastAsiaTheme="minorHAnsi" w:hAnsiTheme="minorHAnsi"/>
          <w:color w:val="auto"/>
          <w:szCs w:val="24"/>
        </w:rPr>
        <w:t>)</w:t>
      </w:r>
      <w:r w:rsidR="00EC6666">
        <w:rPr>
          <w:rFonts w:asciiTheme="minorHAnsi" w:hAnsiTheme="minorHAnsi"/>
          <w:color w:val="auto"/>
          <w:szCs w:val="24"/>
        </w:rPr>
        <w:t xml:space="preserve">.  </w:t>
      </w:r>
    </w:p>
    <w:p w:rsidR="004F72BA" w:rsidRDefault="004F72BA" w:rsidP="004D4DF6">
      <w:pPr>
        <w:spacing w:line="240" w:lineRule="exact"/>
        <w:jc w:val="both"/>
        <w:rPr>
          <w:rFonts w:asciiTheme="minorHAnsi" w:hAnsiTheme="minorHAnsi"/>
          <w:color w:val="auto"/>
          <w:szCs w:val="24"/>
        </w:rPr>
      </w:pPr>
    </w:p>
    <w:p w:rsidR="00AB2C60" w:rsidRPr="0081633A" w:rsidRDefault="00AB2C60" w:rsidP="004D4DF6">
      <w:pPr>
        <w:spacing w:line="240" w:lineRule="exact"/>
        <w:jc w:val="both"/>
        <w:rPr>
          <w:rFonts w:asciiTheme="minorHAnsi" w:eastAsia="HiddenHorzOCR" w:hAnsiTheme="minorHAnsi"/>
          <w:color w:val="auto"/>
          <w:szCs w:val="24"/>
        </w:rPr>
      </w:pPr>
      <w:proofErr w:type="gramStart"/>
      <w:r w:rsidRPr="00EC337D">
        <w:rPr>
          <w:rFonts w:asciiTheme="minorHAnsi" w:eastAsia="HiddenHorzOCR" w:hAnsiTheme="minorHAnsi"/>
          <w:color w:val="auto"/>
          <w:szCs w:val="24"/>
          <w:u w:val="single"/>
        </w:rPr>
        <w:t>Other Contended Conditions</w:t>
      </w:r>
      <w:r w:rsidR="004D4DF6">
        <w:rPr>
          <w:rFonts w:asciiTheme="minorHAnsi" w:eastAsia="HiddenHorzOCR" w:hAnsiTheme="minorHAnsi"/>
          <w:color w:val="auto"/>
          <w:szCs w:val="24"/>
        </w:rPr>
        <w:t>.</w:t>
      </w:r>
      <w:proofErr w:type="gramEnd"/>
      <w:r w:rsidR="004D4DF6">
        <w:rPr>
          <w:rFonts w:asciiTheme="minorHAnsi" w:eastAsia="HiddenHorzOCR" w:hAnsiTheme="minorHAnsi"/>
          <w:color w:val="auto"/>
          <w:szCs w:val="24"/>
        </w:rPr>
        <w:t xml:space="preserve"> </w:t>
      </w:r>
      <w:r w:rsidR="006F0661">
        <w:rPr>
          <w:rFonts w:asciiTheme="minorHAnsi" w:eastAsia="HiddenHorzOCR" w:hAnsiTheme="minorHAnsi"/>
          <w:color w:val="auto"/>
          <w:szCs w:val="24"/>
        </w:rPr>
        <w:t xml:space="preserve"> </w:t>
      </w:r>
      <w:r w:rsidRPr="00EC337D">
        <w:rPr>
          <w:rFonts w:asciiTheme="minorHAnsi" w:eastAsia="HiddenHorzOCR" w:hAnsiTheme="minorHAnsi"/>
          <w:color w:val="auto"/>
          <w:szCs w:val="24"/>
        </w:rPr>
        <w:t xml:space="preserve">The CI </w:t>
      </w:r>
      <w:r w:rsidR="00B05FE0">
        <w:rPr>
          <w:rFonts w:asciiTheme="minorHAnsi" w:eastAsia="HiddenHorzOCR" w:hAnsiTheme="minorHAnsi"/>
          <w:color w:val="auto"/>
          <w:szCs w:val="24"/>
        </w:rPr>
        <w:t>contends</w:t>
      </w:r>
      <w:r w:rsidRPr="00EC337D">
        <w:rPr>
          <w:rFonts w:asciiTheme="minorHAnsi" w:eastAsia="HiddenHorzOCR" w:hAnsiTheme="minorHAnsi"/>
          <w:color w:val="auto"/>
          <w:szCs w:val="24"/>
        </w:rPr>
        <w:t xml:space="preserve"> that </w:t>
      </w:r>
      <w:r w:rsidR="009278E1">
        <w:rPr>
          <w:rFonts w:asciiTheme="minorHAnsi" w:eastAsia="HiddenHorzOCR" w:hAnsiTheme="minorHAnsi"/>
          <w:color w:val="auto"/>
          <w:szCs w:val="24"/>
        </w:rPr>
        <w:t xml:space="preserve">his </w:t>
      </w:r>
      <w:r w:rsidR="005A0272">
        <w:rPr>
          <w:rFonts w:asciiTheme="minorHAnsi" w:eastAsia="HiddenHorzOCR" w:hAnsiTheme="minorHAnsi"/>
          <w:color w:val="auto"/>
          <w:szCs w:val="24"/>
        </w:rPr>
        <w:t>leg length discrepancy</w:t>
      </w:r>
      <w:r w:rsidR="009278E1">
        <w:rPr>
          <w:rFonts w:asciiTheme="minorHAnsi" w:eastAsia="HiddenHorzOCR" w:hAnsiTheme="minorHAnsi"/>
          <w:color w:val="auto"/>
          <w:szCs w:val="24"/>
        </w:rPr>
        <w:t xml:space="preserve"> had an effect on his </w:t>
      </w:r>
      <w:r w:rsidR="005A0272">
        <w:rPr>
          <w:rFonts w:asciiTheme="minorHAnsi" w:eastAsia="HiddenHorzOCR" w:hAnsiTheme="minorHAnsi"/>
          <w:color w:val="auto"/>
          <w:szCs w:val="24"/>
        </w:rPr>
        <w:t>knee</w:t>
      </w:r>
      <w:r w:rsidR="009278E1">
        <w:rPr>
          <w:rFonts w:asciiTheme="minorHAnsi" w:eastAsia="HiddenHorzOCR" w:hAnsiTheme="minorHAnsi"/>
          <w:color w:val="auto"/>
          <w:szCs w:val="24"/>
        </w:rPr>
        <w:t xml:space="preserve">s, </w:t>
      </w:r>
      <w:r w:rsidR="005A0272">
        <w:rPr>
          <w:rFonts w:asciiTheme="minorHAnsi" w:eastAsia="HiddenHorzOCR" w:hAnsiTheme="minorHAnsi"/>
          <w:color w:val="auto"/>
          <w:szCs w:val="24"/>
        </w:rPr>
        <w:t>ankle</w:t>
      </w:r>
      <w:r w:rsidR="009278E1">
        <w:rPr>
          <w:rFonts w:asciiTheme="minorHAnsi" w:eastAsia="HiddenHorzOCR" w:hAnsiTheme="minorHAnsi"/>
          <w:color w:val="auto"/>
          <w:szCs w:val="24"/>
        </w:rPr>
        <w:t xml:space="preserve">s, and </w:t>
      </w:r>
      <w:r w:rsidR="005A0272">
        <w:rPr>
          <w:rFonts w:asciiTheme="minorHAnsi" w:eastAsia="HiddenHorzOCR" w:hAnsiTheme="minorHAnsi"/>
          <w:color w:val="auto"/>
          <w:szCs w:val="24"/>
        </w:rPr>
        <w:t xml:space="preserve">back.  </w:t>
      </w:r>
      <w:r w:rsidRPr="00EC337D">
        <w:rPr>
          <w:rFonts w:asciiTheme="minorHAnsi" w:eastAsia="HiddenHorzOCR" w:hAnsiTheme="minorHAnsi"/>
          <w:color w:val="auto"/>
          <w:szCs w:val="24"/>
        </w:rPr>
        <w:t>All</w:t>
      </w:r>
      <w:r w:rsidRPr="00EC337D">
        <w:rPr>
          <w:rFonts w:asciiTheme="minorHAnsi" w:hAnsiTheme="minorHAnsi"/>
          <w:color w:val="auto"/>
          <w:szCs w:val="24"/>
        </w:rPr>
        <w:t xml:space="preserve"> </w:t>
      </w:r>
      <w:r w:rsidR="009278E1">
        <w:rPr>
          <w:rFonts w:asciiTheme="minorHAnsi" w:hAnsiTheme="minorHAnsi"/>
          <w:color w:val="auto"/>
          <w:szCs w:val="24"/>
        </w:rPr>
        <w:t xml:space="preserve">of </w:t>
      </w:r>
      <w:r w:rsidRPr="00EC337D">
        <w:rPr>
          <w:rFonts w:asciiTheme="minorHAnsi" w:hAnsiTheme="minorHAnsi"/>
          <w:color w:val="auto"/>
          <w:szCs w:val="24"/>
        </w:rPr>
        <w:t>these c</w:t>
      </w:r>
      <w:r w:rsidR="00DD6256">
        <w:rPr>
          <w:rFonts w:asciiTheme="minorHAnsi" w:hAnsiTheme="minorHAnsi"/>
          <w:color w:val="auto"/>
          <w:szCs w:val="24"/>
        </w:rPr>
        <w:t xml:space="preserve">onditions were reviewed by the </w:t>
      </w:r>
      <w:r w:rsidR="00BE66BC">
        <w:rPr>
          <w:rFonts w:asciiTheme="minorHAnsi" w:hAnsiTheme="minorHAnsi"/>
          <w:color w:val="auto"/>
          <w:szCs w:val="24"/>
        </w:rPr>
        <w:t>a</w:t>
      </w:r>
      <w:r w:rsidR="00DD6256">
        <w:rPr>
          <w:rFonts w:asciiTheme="minorHAnsi" w:hAnsiTheme="minorHAnsi"/>
          <w:color w:val="auto"/>
          <w:szCs w:val="24"/>
        </w:rPr>
        <w:t xml:space="preserve">ction </w:t>
      </w:r>
      <w:r w:rsidR="00BE66BC">
        <w:rPr>
          <w:rFonts w:asciiTheme="minorHAnsi" w:hAnsiTheme="minorHAnsi"/>
          <w:color w:val="auto"/>
          <w:szCs w:val="24"/>
        </w:rPr>
        <w:t>o</w:t>
      </w:r>
      <w:r w:rsidRPr="00EC337D">
        <w:rPr>
          <w:rFonts w:asciiTheme="minorHAnsi" w:hAnsiTheme="minorHAnsi"/>
          <w:color w:val="auto"/>
          <w:szCs w:val="24"/>
        </w:rPr>
        <w:t xml:space="preserve">fficer and considered by the Board.  </w:t>
      </w:r>
      <w:r w:rsidR="009278E1">
        <w:rPr>
          <w:rFonts w:asciiTheme="minorHAnsi" w:hAnsiTheme="minorHAnsi"/>
          <w:color w:val="auto"/>
          <w:szCs w:val="24"/>
        </w:rPr>
        <w:t>In the Disability Evaluation System (DES) file, t</w:t>
      </w:r>
      <w:r w:rsidRPr="00EC337D">
        <w:rPr>
          <w:rFonts w:asciiTheme="minorHAnsi" w:hAnsiTheme="minorHAnsi"/>
          <w:color w:val="auto"/>
          <w:szCs w:val="24"/>
        </w:rPr>
        <w:t xml:space="preserve">here was no </w:t>
      </w:r>
      <w:r w:rsidR="009278E1">
        <w:rPr>
          <w:rFonts w:asciiTheme="minorHAnsi" w:hAnsiTheme="minorHAnsi"/>
          <w:color w:val="auto"/>
          <w:szCs w:val="24"/>
        </w:rPr>
        <w:t xml:space="preserve">clearly documented </w:t>
      </w:r>
      <w:r w:rsidRPr="00EC337D">
        <w:rPr>
          <w:rFonts w:asciiTheme="minorHAnsi" w:hAnsiTheme="minorHAnsi"/>
          <w:color w:val="auto"/>
          <w:szCs w:val="24"/>
        </w:rPr>
        <w:t>evidence that any of the</w:t>
      </w:r>
      <w:r w:rsidR="009278E1">
        <w:rPr>
          <w:rFonts w:asciiTheme="minorHAnsi" w:hAnsiTheme="minorHAnsi"/>
          <w:color w:val="auto"/>
          <w:szCs w:val="24"/>
        </w:rPr>
        <w:t>se</w:t>
      </w:r>
      <w:r w:rsidRPr="00EC337D">
        <w:rPr>
          <w:rFonts w:asciiTheme="minorHAnsi" w:hAnsiTheme="minorHAnsi"/>
          <w:color w:val="auto"/>
          <w:szCs w:val="24"/>
        </w:rPr>
        <w:t xml:space="preserve"> conditions </w:t>
      </w:r>
      <w:r w:rsidR="009278E1">
        <w:rPr>
          <w:rFonts w:asciiTheme="minorHAnsi" w:hAnsiTheme="minorHAnsi"/>
          <w:color w:val="auto"/>
          <w:szCs w:val="24"/>
        </w:rPr>
        <w:t>significantly interfered with</w:t>
      </w:r>
      <w:r w:rsidRPr="00EC337D">
        <w:rPr>
          <w:rFonts w:asciiTheme="minorHAnsi" w:hAnsiTheme="minorHAnsi"/>
          <w:color w:val="auto"/>
          <w:szCs w:val="24"/>
        </w:rPr>
        <w:t xml:space="preserve"> performance </w:t>
      </w:r>
      <w:r w:rsidR="009278E1">
        <w:rPr>
          <w:rFonts w:asciiTheme="minorHAnsi" w:hAnsiTheme="minorHAnsi"/>
          <w:color w:val="auto"/>
          <w:szCs w:val="24"/>
        </w:rPr>
        <w:t>of military duties.  T</w:t>
      </w:r>
      <w:r w:rsidR="004F0EC2">
        <w:rPr>
          <w:rFonts w:asciiTheme="minorHAnsi" w:hAnsiTheme="minorHAnsi"/>
          <w:color w:val="auto"/>
          <w:szCs w:val="24"/>
        </w:rPr>
        <w:t>here was</w:t>
      </w:r>
      <w:r w:rsidR="0046117F">
        <w:rPr>
          <w:rFonts w:asciiTheme="minorHAnsi" w:hAnsiTheme="minorHAnsi"/>
          <w:color w:val="auto"/>
          <w:szCs w:val="24"/>
        </w:rPr>
        <w:t xml:space="preserve"> ample documentation </w:t>
      </w:r>
      <w:r w:rsidR="009278E1">
        <w:rPr>
          <w:rFonts w:asciiTheme="minorHAnsi" w:hAnsiTheme="minorHAnsi"/>
          <w:color w:val="auto"/>
          <w:szCs w:val="24"/>
        </w:rPr>
        <w:t>of a 1.5</w:t>
      </w:r>
      <w:r w:rsidR="0046117F">
        <w:rPr>
          <w:rFonts w:asciiTheme="minorHAnsi" w:hAnsiTheme="minorHAnsi"/>
          <w:color w:val="auto"/>
          <w:szCs w:val="24"/>
        </w:rPr>
        <w:t xml:space="preserve">cm leg length discrepancy </w:t>
      </w:r>
      <w:r w:rsidR="009278E1">
        <w:rPr>
          <w:rFonts w:asciiTheme="minorHAnsi" w:hAnsiTheme="minorHAnsi"/>
          <w:color w:val="auto"/>
          <w:szCs w:val="24"/>
        </w:rPr>
        <w:t>(</w:t>
      </w:r>
      <w:r w:rsidR="0046117F">
        <w:rPr>
          <w:rFonts w:asciiTheme="minorHAnsi" w:hAnsiTheme="minorHAnsi"/>
          <w:color w:val="auto"/>
          <w:szCs w:val="24"/>
        </w:rPr>
        <w:t>secondary to the left hip condition</w:t>
      </w:r>
      <w:r w:rsidR="009278E1">
        <w:rPr>
          <w:rFonts w:asciiTheme="minorHAnsi" w:hAnsiTheme="minorHAnsi"/>
          <w:color w:val="auto"/>
          <w:szCs w:val="24"/>
        </w:rPr>
        <w:t>)</w:t>
      </w:r>
      <w:r w:rsidR="00DC6268">
        <w:rPr>
          <w:rFonts w:asciiTheme="minorHAnsi" w:hAnsiTheme="minorHAnsi"/>
          <w:color w:val="auto"/>
          <w:szCs w:val="24"/>
        </w:rPr>
        <w:t xml:space="preserve">.  </w:t>
      </w:r>
      <w:r w:rsidR="0046117F">
        <w:rPr>
          <w:rFonts w:asciiTheme="minorHAnsi" w:hAnsiTheme="minorHAnsi"/>
          <w:color w:val="auto"/>
          <w:szCs w:val="24"/>
        </w:rPr>
        <w:t>The CI was appropriately treated with a heel lift.  There was no limitation of duty because of his leg length discrepancy</w:t>
      </w:r>
      <w:r w:rsidR="00DC6268">
        <w:rPr>
          <w:rFonts w:asciiTheme="minorHAnsi" w:hAnsiTheme="minorHAnsi"/>
          <w:color w:val="auto"/>
          <w:szCs w:val="24"/>
        </w:rPr>
        <w:t>,</w:t>
      </w:r>
      <w:r w:rsidR="0046117F">
        <w:rPr>
          <w:rFonts w:asciiTheme="minorHAnsi" w:hAnsiTheme="minorHAnsi"/>
          <w:color w:val="auto"/>
          <w:szCs w:val="24"/>
        </w:rPr>
        <w:t xml:space="preserve"> a</w:t>
      </w:r>
      <w:r w:rsidR="00DD6256">
        <w:rPr>
          <w:rFonts w:asciiTheme="minorHAnsi" w:hAnsiTheme="minorHAnsi"/>
          <w:color w:val="auto"/>
          <w:szCs w:val="24"/>
        </w:rPr>
        <w:t xml:space="preserve">nd it was not mentioned in the </w:t>
      </w:r>
      <w:r w:rsidR="00DC6268">
        <w:rPr>
          <w:rFonts w:asciiTheme="minorHAnsi" w:hAnsiTheme="minorHAnsi"/>
          <w:color w:val="auto"/>
          <w:szCs w:val="24"/>
        </w:rPr>
        <w:t>C</w:t>
      </w:r>
      <w:r w:rsidR="0046117F">
        <w:rPr>
          <w:rFonts w:asciiTheme="minorHAnsi" w:hAnsiTheme="minorHAnsi"/>
          <w:color w:val="auto"/>
          <w:szCs w:val="24"/>
        </w:rPr>
        <w:t xml:space="preserve">ommander’s statement.  </w:t>
      </w:r>
      <w:r w:rsidR="00DD6256">
        <w:rPr>
          <w:rFonts w:asciiTheme="minorHAnsi" w:hAnsiTheme="minorHAnsi"/>
          <w:color w:val="auto"/>
          <w:szCs w:val="24"/>
        </w:rPr>
        <w:t>O</w:t>
      </w:r>
      <w:r w:rsidR="00C75AA4">
        <w:rPr>
          <w:rFonts w:asciiTheme="minorHAnsi" w:hAnsiTheme="minorHAnsi"/>
          <w:color w:val="auto"/>
          <w:szCs w:val="24"/>
        </w:rPr>
        <w:t>n t</w:t>
      </w:r>
      <w:r w:rsidR="00DD6256">
        <w:rPr>
          <w:rFonts w:asciiTheme="minorHAnsi" w:hAnsiTheme="minorHAnsi"/>
          <w:color w:val="auto"/>
          <w:szCs w:val="24"/>
        </w:rPr>
        <w:t xml:space="preserve">he </w:t>
      </w:r>
      <w:r w:rsidR="00C75AA4">
        <w:rPr>
          <w:rFonts w:asciiTheme="minorHAnsi" w:hAnsiTheme="minorHAnsi"/>
          <w:color w:val="auto"/>
          <w:szCs w:val="24"/>
        </w:rPr>
        <w:t>DD Form 2807-1</w:t>
      </w:r>
      <w:r w:rsidR="00DC6268">
        <w:rPr>
          <w:rFonts w:asciiTheme="minorHAnsi" w:hAnsiTheme="minorHAnsi"/>
          <w:color w:val="auto"/>
          <w:szCs w:val="24"/>
        </w:rPr>
        <w:t xml:space="preserve"> (</w:t>
      </w:r>
      <w:r w:rsidR="00C75AA4">
        <w:rPr>
          <w:rFonts w:asciiTheme="minorHAnsi" w:hAnsiTheme="minorHAnsi"/>
          <w:color w:val="auto"/>
          <w:szCs w:val="24"/>
        </w:rPr>
        <w:t>dated 2 April 2004</w:t>
      </w:r>
      <w:r w:rsidR="00DC6268">
        <w:rPr>
          <w:rFonts w:asciiTheme="minorHAnsi" w:hAnsiTheme="minorHAnsi"/>
          <w:color w:val="auto"/>
          <w:szCs w:val="24"/>
        </w:rPr>
        <w:t>)</w:t>
      </w:r>
      <w:r w:rsidR="00C75AA4">
        <w:rPr>
          <w:rFonts w:asciiTheme="minorHAnsi" w:hAnsiTheme="minorHAnsi"/>
          <w:color w:val="auto"/>
          <w:szCs w:val="24"/>
        </w:rPr>
        <w:t xml:space="preserve">, the CI denies knee trouble (block 12i), foot trouble (12f) or back problems (block 12c), and does not mention any of these conditions in block 29.  </w:t>
      </w:r>
      <w:r w:rsidR="00660CF7">
        <w:rPr>
          <w:rFonts w:asciiTheme="minorHAnsi" w:hAnsiTheme="minorHAnsi"/>
          <w:color w:val="auto"/>
          <w:szCs w:val="24"/>
        </w:rPr>
        <w:t xml:space="preserve">There was no documentation of knee pain, ankle pain, or back pain elsewhere in the DES.  </w:t>
      </w:r>
      <w:r w:rsidR="00660CF7" w:rsidRPr="00EC337D">
        <w:rPr>
          <w:rFonts w:asciiTheme="minorHAnsi" w:hAnsiTheme="minorHAnsi"/>
          <w:color w:val="auto"/>
          <w:szCs w:val="24"/>
        </w:rPr>
        <w:t>The Board does not have the authority under DoDI 6040.44 to render fitness or rating recommendations for any conditions not considered by the DES.</w:t>
      </w:r>
      <w:r w:rsidR="00DC6268">
        <w:rPr>
          <w:rFonts w:asciiTheme="minorHAnsi" w:hAnsiTheme="minorHAnsi"/>
          <w:color w:val="auto"/>
          <w:szCs w:val="24"/>
        </w:rPr>
        <w:t xml:space="preserve"> </w:t>
      </w:r>
    </w:p>
    <w:p w:rsidR="00455AAE" w:rsidRDefault="00455AAE" w:rsidP="004D4DF6">
      <w:pPr>
        <w:tabs>
          <w:tab w:val="left" w:pos="288"/>
          <w:tab w:val="left" w:pos="4752"/>
        </w:tabs>
        <w:spacing w:line="240" w:lineRule="exact"/>
        <w:jc w:val="both"/>
        <w:rPr>
          <w:rFonts w:asciiTheme="minorHAnsi" w:hAnsiTheme="minorHAnsi"/>
          <w:color w:val="auto"/>
        </w:rPr>
      </w:pPr>
    </w:p>
    <w:p w:rsidR="006F0661" w:rsidRPr="0081633A" w:rsidRDefault="006F0661" w:rsidP="004D4DF6">
      <w:pPr>
        <w:spacing w:line="240" w:lineRule="exact"/>
        <w:jc w:val="both"/>
        <w:rPr>
          <w:rFonts w:asciiTheme="minorHAnsi" w:eastAsia="HiddenHorzOCR" w:hAnsiTheme="minorHAnsi"/>
          <w:i/>
          <w:color w:val="auto"/>
          <w:sz w:val="20"/>
        </w:rPr>
      </w:pPr>
      <w:proofErr w:type="gramStart"/>
      <w:r w:rsidRPr="00EC337D">
        <w:rPr>
          <w:rFonts w:asciiTheme="minorHAnsi" w:hAnsiTheme="minorHAnsi"/>
          <w:color w:val="auto"/>
          <w:szCs w:val="24"/>
          <w:u w:val="single"/>
        </w:rPr>
        <w:t>Remaining Conditions</w:t>
      </w:r>
      <w:r w:rsidR="004D4DF6">
        <w:rPr>
          <w:rFonts w:asciiTheme="minorHAnsi" w:hAnsiTheme="minorHAnsi"/>
          <w:color w:val="auto"/>
          <w:szCs w:val="24"/>
        </w:rPr>
        <w:t>.</w:t>
      </w:r>
      <w:proofErr w:type="gramEnd"/>
      <w:r w:rsidR="004D4DF6">
        <w:rPr>
          <w:rFonts w:asciiTheme="minorHAnsi" w:hAnsiTheme="minorHAnsi"/>
          <w:color w:val="auto"/>
          <w:szCs w:val="24"/>
        </w:rPr>
        <w:t xml:space="preserve"> </w:t>
      </w:r>
      <w:r w:rsidR="0081633A">
        <w:rPr>
          <w:rFonts w:asciiTheme="minorHAnsi" w:hAnsiTheme="minorHAnsi"/>
          <w:color w:val="auto"/>
          <w:szCs w:val="24"/>
        </w:rPr>
        <w:t xml:space="preserve"> </w:t>
      </w:r>
      <w:r w:rsidR="00DC6268">
        <w:rPr>
          <w:rFonts w:asciiTheme="minorHAnsi" w:hAnsiTheme="minorHAnsi"/>
          <w:color w:val="auto"/>
          <w:szCs w:val="24"/>
        </w:rPr>
        <w:t>S</w:t>
      </w:r>
      <w:r w:rsidR="00660CF7">
        <w:rPr>
          <w:rFonts w:asciiTheme="minorHAnsi" w:hAnsiTheme="minorHAnsi"/>
          <w:color w:val="auto"/>
          <w:szCs w:val="24"/>
        </w:rPr>
        <w:t xml:space="preserve">inusitis, </w:t>
      </w:r>
      <w:proofErr w:type="spellStart"/>
      <w:r w:rsidR="003F6284">
        <w:rPr>
          <w:rFonts w:asciiTheme="minorHAnsi" w:hAnsiTheme="minorHAnsi"/>
          <w:color w:val="auto"/>
          <w:szCs w:val="24"/>
        </w:rPr>
        <w:t>u</w:t>
      </w:r>
      <w:r w:rsidR="00660CF7">
        <w:rPr>
          <w:rFonts w:asciiTheme="minorHAnsi" w:hAnsiTheme="minorHAnsi"/>
          <w:color w:val="auto"/>
          <w:szCs w:val="24"/>
        </w:rPr>
        <w:t>rolithiasis</w:t>
      </w:r>
      <w:proofErr w:type="spellEnd"/>
      <w:r w:rsidR="00660CF7">
        <w:rPr>
          <w:rFonts w:asciiTheme="minorHAnsi" w:hAnsiTheme="minorHAnsi"/>
          <w:color w:val="auto"/>
          <w:szCs w:val="24"/>
        </w:rPr>
        <w:t xml:space="preserve">, </w:t>
      </w:r>
      <w:r w:rsidR="003F6284">
        <w:rPr>
          <w:rFonts w:asciiTheme="minorHAnsi" w:hAnsiTheme="minorHAnsi"/>
          <w:color w:val="auto"/>
          <w:szCs w:val="24"/>
        </w:rPr>
        <w:t>r</w:t>
      </w:r>
      <w:r w:rsidR="00660CF7">
        <w:rPr>
          <w:rFonts w:asciiTheme="minorHAnsi" w:hAnsiTheme="minorHAnsi"/>
          <w:color w:val="auto"/>
          <w:szCs w:val="24"/>
        </w:rPr>
        <w:t xml:space="preserve">ight </w:t>
      </w:r>
      <w:r w:rsidR="003F6284">
        <w:rPr>
          <w:rFonts w:asciiTheme="minorHAnsi" w:hAnsiTheme="minorHAnsi"/>
          <w:color w:val="auto"/>
          <w:szCs w:val="24"/>
        </w:rPr>
        <w:t>s</w:t>
      </w:r>
      <w:r w:rsidR="00660CF7">
        <w:rPr>
          <w:rFonts w:asciiTheme="minorHAnsi" w:hAnsiTheme="minorHAnsi"/>
          <w:color w:val="auto"/>
          <w:szCs w:val="24"/>
        </w:rPr>
        <w:t xml:space="preserve">houlder </w:t>
      </w:r>
      <w:r w:rsidR="003F6284">
        <w:rPr>
          <w:rFonts w:asciiTheme="minorHAnsi" w:hAnsiTheme="minorHAnsi"/>
          <w:color w:val="auto"/>
          <w:szCs w:val="24"/>
        </w:rPr>
        <w:t>p</w:t>
      </w:r>
      <w:r w:rsidR="00660CF7">
        <w:rPr>
          <w:rFonts w:asciiTheme="minorHAnsi" w:hAnsiTheme="minorHAnsi"/>
          <w:color w:val="auto"/>
          <w:szCs w:val="24"/>
        </w:rPr>
        <w:t>ain</w:t>
      </w:r>
      <w:r w:rsidR="00DC6268">
        <w:rPr>
          <w:rFonts w:asciiTheme="minorHAnsi" w:hAnsiTheme="minorHAnsi"/>
          <w:color w:val="auto"/>
          <w:szCs w:val="24"/>
        </w:rPr>
        <w:t>, and s</w:t>
      </w:r>
      <w:r w:rsidRPr="00EC337D">
        <w:rPr>
          <w:rFonts w:asciiTheme="minorHAnsi" w:hAnsiTheme="minorHAnsi"/>
          <w:color w:val="auto"/>
          <w:szCs w:val="24"/>
        </w:rPr>
        <w:t xml:space="preserve">everal </w:t>
      </w:r>
      <w:r w:rsidR="00DC6268">
        <w:rPr>
          <w:rFonts w:asciiTheme="minorHAnsi" w:hAnsiTheme="minorHAnsi"/>
          <w:color w:val="auto"/>
          <w:szCs w:val="24"/>
        </w:rPr>
        <w:t>other conditions</w:t>
      </w:r>
      <w:r w:rsidRPr="00EC337D">
        <w:rPr>
          <w:rFonts w:asciiTheme="minorHAnsi" w:hAnsiTheme="minorHAnsi"/>
          <w:color w:val="auto"/>
          <w:szCs w:val="24"/>
        </w:rPr>
        <w:t xml:space="preserve"> were </w:t>
      </w:r>
      <w:r w:rsidR="00DC6268" w:rsidRPr="00EC337D">
        <w:rPr>
          <w:rFonts w:asciiTheme="minorHAnsi" w:hAnsiTheme="minorHAnsi"/>
          <w:color w:val="auto"/>
          <w:szCs w:val="24"/>
        </w:rPr>
        <w:t>identified in the DES file</w:t>
      </w:r>
      <w:r w:rsidRPr="00EC337D">
        <w:rPr>
          <w:rFonts w:asciiTheme="minorHAnsi" w:hAnsiTheme="minorHAnsi"/>
          <w:color w:val="auto"/>
          <w:szCs w:val="24"/>
        </w:rPr>
        <w:t xml:space="preserve">.  None of these conditions were clinically </w:t>
      </w:r>
      <w:r w:rsidR="00DC6268">
        <w:rPr>
          <w:rFonts w:asciiTheme="minorHAnsi" w:hAnsiTheme="minorHAnsi"/>
          <w:color w:val="auto"/>
          <w:szCs w:val="24"/>
        </w:rPr>
        <w:t>significant</w:t>
      </w:r>
      <w:r w:rsidRPr="00EC337D">
        <w:rPr>
          <w:rFonts w:asciiTheme="minorHAnsi" w:hAnsiTheme="minorHAnsi"/>
          <w:color w:val="auto"/>
          <w:szCs w:val="24"/>
        </w:rPr>
        <w:t xml:space="preserve"> during the MEB</w:t>
      </w:r>
      <w:r w:rsidR="00DC6268">
        <w:rPr>
          <w:rFonts w:asciiTheme="minorHAnsi" w:hAnsiTheme="minorHAnsi"/>
          <w:color w:val="auto"/>
          <w:szCs w:val="24"/>
        </w:rPr>
        <w:t>/PEB</w:t>
      </w:r>
      <w:r w:rsidRPr="00EC337D">
        <w:rPr>
          <w:rFonts w:asciiTheme="minorHAnsi" w:hAnsiTheme="minorHAnsi"/>
          <w:color w:val="auto"/>
          <w:szCs w:val="24"/>
        </w:rPr>
        <w:t xml:space="preserve"> period</w:t>
      </w:r>
      <w:r w:rsidR="00DC6268">
        <w:rPr>
          <w:rFonts w:asciiTheme="minorHAnsi" w:hAnsiTheme="minorHAnsi"/>
          <w:color w:val="auto"/>
          <w:szCs w:val="24"/>
        </w:rPr>
        <w:t xml:space="preserve">, </w:t>
      </w:r>
      <w:r w:rsidRPr="00EC337D">
        <w:rPr>
          <w:rFonts w:asciiTheme="minorHAnsi" w:hAnsiTheme="minorHAnsi"/>
          <w:color w:val="auto"/>
          <w:szCs w:val="24"/>
        </w:rPr>
        <w:t>an</w:t>
      </w:r>
      <w:r w:rsidR="004D4DF6">
        <w:rPr>
          <w:rFonts w:asciiTheme="minorHAnsi" w:hAnsiTheme="minorHAnsi"/>
          <w:color w:val="auto"/>
          <w:szCs w:val="24"/>
        </w:rPr>
        <w:t xml:space="preserve">d none were implicated in the </w:t>
      </w:r>
      <w:r w:rsidR="00BE66BC">
        <w:rPr>
          <w:rFonts w:asciiTheme="minorHAnsi" w:hAnsiTheme="minorHAnsi"/>
          <w:color w:val="auto"/>
          <w:szCs w:val="24"/>
        </w:rPr>
        <w:t>c</w:t>
      </w:r>
      <w:r w:rsidRPr="00EC337D">
        <w:rPr>
          <w:rFonts w:asciiTheme="minorHAnsi" w:hAnsiTheme="minorHAnsi"/>
          <w:color w:val="auto"/>
          <w:szCs w:val="24"/>
        </w:rPr>
        <w:t>ommander’s statement.  These c</w:t>
      </w:r>
      <w:r w:rsidR="004D4DF6">
        <w:rPr>
          <w:rFonts w:asciiTheme="minorHAnsi" w:hAnsiTheme="minorHAnsi"/>
          <w:color w:val="auto"/>
          <w:szCs w:val="24"/>
        </w:rPr>
        <w:t xml:space="preserve">onditions were reviewed by the </w:t>
      </w:r>
      <w:r w:rsidR="00BE66BC">
        <w:rPr>
          <w:rFonts w:asciiTheme="minorHAnsi" w:hAnsiTheme="minorHAnsi"/>
          <w:color w:val="auto"/>
          <w:szCs w:val="24"/>
        </w:rPr>
        <w:t>a</w:t>
      </w:r>
      <w:r w:rsidR="004D4DF6">
        <w:rPr>
          <w:rFonts w:asciiTheme="minorHAnsi" w:hAnsiTheme="minorHAnsi"/>
          <w:color w:val="auto"/>
          <w:szCs w:val="24"/>
        </w:rPr>
        <w:t xml:space="preserve">ction </w:t>
      </w:r>
      <w:r w:rsidR="00BE66BC">
        <w:rPr>
          <w:rFonts w:asciiTheme="minorHAnsi" w:hAnsiTheme="minorHAnsi"/>
          <w:color w:val="auto"/>
          <w:szCs w:val="24"/>
        </w:rPr>
        <w:t>o</w:t>
      </w:r>
      <w:r w:rsidRPr="00EC337D">
        <w:rPr>
          <w:rFonts w:asciiTheme="minorHAnsi" w:hAnsiTheme="minorHAnsi"/>
          <w:color w:val="auto"/>
          <w:szCs w:val="24"/>
        </w:rPr>
        <w:t>fficer and considered by the Board.  It was determined that none could be argued as unfitting and subject to separation rating.  Additionally</w:t>
      </w:r>
      <w:r w:rsidR="00DC6268">
        <w:rPr>
          <w:rFonts w:asciiTheme="minorHAnsi" w:hAnsiTheme="minorHAnsi"/>
          <w:color w:val="auto"/>
          <w:szCs w:val="24"/>
        </w:rPr>
        <w:t xml:space="preserve">, </w:t>
      </w:r>
      <w:proofErr w:type="spellStart"/>
      <w:r w:rsidR="004D4DF6">
        <w:rPr>
          <w:rFonts w:asciiTheme="minorHAnsi" w:hAnsiTheme="minorHAnsi"/>
          <w:color w:val="auto"/>
          <w:szCs w:val="24"/>
        </w:rPr>
        <w:t>temporo</w:t>
      </w:r>
      <w:r w:rsidR="00DC6268">
        <w:rPr>
          <w:rFonts w:asciiTheme="minorHAnsi" w:hAnsiTheme="minorHAnsi"/>
          <w:color w:val="auto"/>
          <w:szCs w:val="24"/>
        </w:rPr>
        <w:t>-</w:t>
      </w:r>
      <w:r w:rsidR="004C0A28">
        <w:rPr>
          <w:rFonts w:asciiTheme="minorHAnsi" w:hAnsiTheme="minorHAnsi"/>
          <w:color w:val="auto"/>
          <w:szCs w:val="24"/>
        </w:rPr>
        <w:t>mandibular</w:t>
      </w:r>
      <w:proofErr w:type="spellEnd"/>
      <w:r w:rsidR="004C0A28">
        <w:rPr>
          <w:rFonts w:asciiTheme="minorHAnsi" w:hAnsiTheme="minorHAnsi"/>
          <w:color w:val="auto"/>
          <w:szCs w:val="24"/>
        </w:rPr>
        <w:t xml:space="preserve"> joint </w:t>
      </w:r>
      <w:r w:rsidR="00DC6268">
        <w:rPr>
          <w:rFonts w:asciiTheme="minorHAnsi" w:hAnsiTheme="minorHAnsi"/>
          <w:color w:val="auto"/>
          <w:szCs w:val="24"/>
        </w:rPr>
        <w:t xml:space="preserve">(TMJ) </w:t>
      </w:r>
      <w:r w:rsidR="004C0A28">
        <w:rPr>
          <w:rFonts w:asciiTheme="minorHAnsi" w:hAnsiTheme="minorHAnsi"/>
          <w:color w:val="auto"/>
          <w:szCs w:val="24"/>
        </w:rPr>
        <w:t xml:space="preserve">syndrome, </w:t>
      </w:r>
      <w:r w:rsidR="00660CF7">
        <w:rPr>
          <w:rFonts w:asciiTheme="minorHAnsi" w:hAnsiTheme="minorHAnsi"/>
          <w:color w:val="auto"/>
          <w:szCs w:val="24"/>
        </w:rPr>
        <w:t xml:space="preserve">hearing loss </w:t>
      </w:r>
      <w:r w:rsidRPr="00EC337D">
        <w:rPr>
          <w:rFonts w:asciiTheme="minorHAnsi" w:hAnsiTheme="minorHAnsi"/>
          <w:color w:val="auto"/>
          <w:szCs w:val="24"/>
        </w:rPr>
        <w:t xml:space="preserve">and other conditions were noted in the VA rating decision proximal to separation, but were not documented in the DES file.  </w:t>
      </w:r>
      <w:r w:rsidR="00DC6268">
        <w:rPr>
          <w:rFonts w:asciiTheme="minorHAnsi" w:hAnsiTheme="minorHAnsi"/>
          <w:color w:val="auto"/>
          <w:szCs w:val="24"/>
        </w:rPr>
        <w:t>As mentioned above, t</w:t>
      </w:r>
      <w:r w:rsidRPr="00EC337D">
        <w:rPr>
          <w:rFonts w:asciiTheme="minorHAnsi" w:hAnsiTheme="minorHAnsi"/>
          <w:color w:val="auto"/>
          <w:szCs w:val="24"/>
        </w:rPr>
        <w:t xml:space="preserve">he Board does not have the authority under DoDI 6040.44 to render fitness or rating recommendations for any conditions not considered by the DES. </w:t>
      </w:r>
    </w:p>
    <w:p w:rsidR="006F0661" w:rsidRPr="00D560DC" w:rsidRDefault="006F0661" w:rsidP="004D4DF6">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6F0661" w:rsidRPr="00CD5BD7" w:rsidRDefault="006F0661" w:rsidP="006F0661">
      <w:pPr>
        <w:tabs>
          <w:tab w:val="left" w:pos="288"/>
          <w:tab w:val="left" w:pos="4752"/>
        </w:tabs>
        <w:spacing w:line="240" w:lineRule="exact"/>
        <w:rPr>
          <w:rFonts w:ascii="Calibri" w:hAnsi="Calibri"/>
          <w:color w:val="000080"/>
          <w:szCs w:val="24"/>
        </w:rPr>
      </w:pPr>
    </w:p>
    <w:p w:rsidR="006F0661" w:rsidRDefault="006F0661" w:rsidP="004D4DF6">
      <w:pPr>
        <w:spacing w:line="240" w:lineRule="exact"/>
        <w:jc w:val="both"/>
        <w:rPr>
          <w:rFonts w:asciiTheme="minorHAnsi" w:eastAsia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Board to the extent they were inconsistent with the VASRD in effect at the time of the adjudication.  </w:t>
      </w:r>
    </w:p>
    <w:p w:rsidR="003F6284" w:rsidRDefault="003F6284" w:rsidP="004D4DF6">
      <w:pPr>
        <w:spacing w:line="240" w:lineRule="exact"/>
        <w:jc w:val="both"/>
        <w:rPr>
          <w:rFonts w:asciiTheme="minorHAnsi" w:eastAsiaTheme="minorHAnsi" w:hAnsiTheme="minorHAnsi"/>
          <w:color w:val="auto"/>
          <w:szCs w:val="24"/>
        </w:rPr>
      </w:pPr>
    </w:p>
    <w:p w:rsidR="003F6284" w:rsidRDefault="004D4DF6" w:rsidP="004D4DF6">
      <w:pPr>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rPr>
        <w:t>In the matter of the left h</w:t>
      </w:r>
      <w:r w:rsidR="003F6284">
        <w:rPr>
          <w:rFonts w:asciiTheme="minorHAnsi" w:eastAsiaTheme="minorHAnsi" w:hAnsiTheme="minorHAnsi"/>
          <w:color w:val="auto"/>
          <w:szCs w:val="24"/>
        </w:rPr>
        <w:t xml:space="preserve">ip </w:t>
      </w:r>
      <w:r w:rsidR="003F6284" w:rsidRPr="003F6284">
        <w:rPr>
          <w:rFonts w:asciiTheme="minorHAnsi" w:eastAsiaTheme="minorHAnsi" w:hAnsiTheme="minorHAnsi"/>
          <w:color w:val="auto"/>
          <w:szCs w:val="24"/>
        </w:rPr>
        <w:t>condition and IAW VASRD §4.71a, the Board unanimously recommends no change in the PEB adjudicat</w:t>
      </w:r>
      <w:r w:rsidR="003F6284">
        <w:rPr>
          <w:rFonts w:asciiTheme="minorHAnsi" w:eastAsiaTheme="minorHAnsi" w:hAnsiTheme="minorHAnsi"/>
          <w:color w:val="auto"/>
          <w:szCs w:val="24"/>
        </w:rPr>
        <w:t>ion.</w:t>
      </w:r>
    </w:p>
    <w:p w:rsidR="003F6284" w:rsidRDefault="003F6284" w:rsidP="004D4DF6">
      <w:pPr>
        <w:spacing w:line="240" w:lineRule="exact"/>
        <w:jc w:val="both"/>
        <w:rPr>
          <w:rFonts w:asciiTheme="minorHAnsi" w:eastAsiaTheme="minorHAnsi" w:hAnsiTheme="minorHAnsi"/>
          <w:color w:val="auto"/>
          <w:szCs w:val="24"/>
        </w:rPr>
      </w:pPr>
    </w:p>
    <w:p w:rsidR="003F6284" w:rsidRPr="00396779" w:rsidRDefault="003F6284" w:rsidP="004D4DF6">
      <w:pPr>
        <w:spacing w:line="240" w:lineRule="exact"/>
        <w:jc w:val="both"/>
        <w:rPr>
          <w:rFonts w:asciiTheme="minorHAnsi" w:eastAsiaTheme="minorHAnsi" w:hAnsiTheme="minorHAnsi"/>
          <w:color w:val="auto"/>
          <w:szCs w:val="24"/>
        </w:rPr>
      </w:pPr>
      <w:r>
        <w:rPr>
          <w:rFonts w:asciiTheme="minorHAnsi" w:eastAsiaTheme="minorHAnsi" w:hAnsiTheme="minorHAnsi"/>
          <w:color w:val="auto"/>
          <w:szCs w:val="24"/>
        </w:rPr>
        <w:lastRenderedPageBreak/>
        <w:t xml:space="preserve">In the matter of the leg length discrepancy, knee pain, ankle pain, back pain, sinusitis, </w:t>
      </w:r>
      <w:proofErr w:type="spellStart"/>
      <w:r>
        <w:rPr>
          <w:rFonts w:asciiTheme="minorHAnsi" w:eastAsiaTheme="minorHAnsi" w:hAnsiTheme="minorHAnsi"/>
          <w:color w:val="auto"/>
          <w:szCs w:val="24"/>
        </w:rPr>
        <w:t>urolithiasis</w:t>
      </w:r>
      <w:proofErr w:type="spellEnd"/>
      <w:r>
        <w:rPr>
          <w:rFonts w:asciiTheme="minorHAnsi" w:eastAsiaTheme="minorHAnsi" w:hAnsiTheme="minorHAnsi"/>
          <w:color w:val="auto"/>
          <w:szCs w:val="24"/>
        </w:rPr>
        <w:t>, right shoulder pain</w:t>
      </w:r>
      <w:r w:rsidR="00C25D2F">
        <w:rPr>
          <w:rFonts w:asciiTheme="minorHAnsi" w:eastAsiaTheme="minorHAnsi" w:hAnsiTheme="minorHAnsi"/>
          <w:color w:val="auto"/>
          <w:szCs w:val="24"/>
        </w:rPr>
        <w:t xml:space="preserve">, </w:t>
      </w:r>
      <w:r w:rsidRPr="003F6284">
        <w:rPr>
          <w:rFonts w:asciiTheme="minorHAnsi" w:eastAsiaTheme="minorHAnsi" w:hAnsiTheme="minorHAnsi"/>
          <w:color w:val="auto"/>
          <w:szCs w:val="24"/>
        </w:rPr>
        <w:t>or any other medical conditions eligible for Board consideration; the Board unanimously agrees that it cannot recommend any findings of unfit for additional rating at separation.</w:t>
      </w:r>
    </w:p>
    <w:p w:rsidR="00AB2C60" w:rsidRDefault="006F0661" w:rsidP="006F0661">
      <w:pPr>
        <w:tabs>
          <w:tab w:val="left" w:pos="288"/>
          <w:tab w:val="left" w:pos="4752"/>
        </w:tabs>
        <w:spacing w:line="240" w:lineRule="exact"/>
        <w:jc w:val="both"/>
        <w:rPr>
          <w:rFonts w:asciiTheme="minorHAnsi" w:hAnsiTheme="minorHAnsi"/>
          <w:color w:val="auto"/>
        </w:rPr>
      </w:pPr>
      <w:r w:rsidRPr="00D560DC">
        <w:rPr>
          <w:rFonts w:asciiTheme="minorHAnsi" w:hAnsiTheme="minorHAnsi"/>
          <w:color w:val="auto"/>
          <w:u w:val="single"/>
        </w:rPr>
        <w:t>______________________________________________________________________________</w:t>
      </w:r>
    </w:p>
    <w:p w:rsidR="00AB2C60" w:rsidRDefault="00AB2C60" w:rsidP="00863C26">
      <w:pPr>
        <w:tabs>
          <w:tab w:val="left" w:pos="288"/>
          <w:tab w:val="left" w:pos="4752"/>
        </w:tabs>
        <w:spacing w:line="240" w:lineRule="exact"/>
        <w:jc w:val="both"/>
        <w:rPr>
          <w:rFonts w:asciiTheme="minorHAnsi" w:hAnsiTheme="minorHAnsi"/>
          <w:color w:val="auto"/>
        </w:rPr>
      </w:pPr>
    </w:p>
    <w:p w:rsidR="006F0661" w:rsidRPr="0081633A" w:rsidRDefault="006F0661" w:rsidP="004D4DF6">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81633A">
        <w:rPr>
          <w:rFonts w:asciiTheme="minorHAnsi" w:hAnsiTheme="minorHAnsi"/>
          <w:color w:val="auto"/>
          <w:szCs w:val="24"/>
        </w:rPr>
        <w:t xml:space="preserve">  </w:t>
      </w:r>
      <w:r w:rsidRPr="00396779">
        <w:rPr>
          <w:rFonts w:asciiTheme="minorHAnsi" w:hAnsiTheme="minorHAnsi"/>
          <w:color w:val="auto"/>
          <w:szCs w:val="24"/>
        </w:rPr>
        <w:t xml:space="preserve">The Board therefore </w:t>
      </w:r>
      <w:r w:rsidR="007C0673">
        <w:rPr>
          <w:rFonts w:asciiTheme="minorHAnsi" w:hAnsiTheme="minorHAnsi"/>
          <w:color w:val="auto"/>
          <w:szCs w:val="24"/>
        </w:rPr>
        <w:t xml:space="preserve">unanimously </w:t>
      </w:r>
      <w:r w:rsidRPr="00396779">
        <w:rPr>
          <w:rFonts w:asciiTheme="minorHAnsi" w:hAnsiTheme="minorHAnsi"/>
          <w:color w:val="auto"/>
          <w:szCs w:val="24"/>
        </w:rPr>
        <w:t>recommends that there be no re</w:t>
      </w:r>
      <w:r w:rsidR="00D02543">
        <w:rPr>
          <w:rFonts w:asciiTheme="minorHAnsi" w:hAnsiTheme="minorHAnsi"/>
          <w:color w:val="auto"/>
          <w:szCs w:val="24"/>
        </w:rPr>
        <w:t>-</w:t>
      </w:r>
      <w:r w:rsidRPr="00396779">
        <w:rPr>
          <w:rFonts w:asciiTheme="minorHAnsi" w:hAnsiTheme="minorHAnsi"/>
          <w:color w:val="auto"/>
          <w:szCs w:val="24"/>
        </w:rPr>
        <w:t xml:space="preserve">characterization of the CI’s </w:t>
      </w:r>
      <w:r w:rsidRPr="00B427BB">
        <w:rPr>
          <w:rFonts w:asciiTheme="minorHAnsi" w:hAnsiTheme="minorHAnsi"/>
          <w:color w:val="auto"/>
          <w:szCs w:val="24"/>
        </w:rPr>
        <w:t>disability and separation determination.</w:t>
      </w:r>
    </w:p>
    <w:p w:rsidR="006F0661" w:rsidRPr="00396779" w:rsidRDefault="006F0661" w:rsidP="006F0661">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6F0661" w:rsidRPr="00396779" w:rsidTr="008C173E">
        <w:trPr>
          <w:trHeight w:val="233"/>
          <w:jc w:val="center"/>
        </w:trPr>
        <w:tc>
          <w:tcPr>
            <w:tcW w:w="6480" w:type="dxa"/>
            <w:shd w:val="clear" w:color="auto" w:fill="D9D9D9"/>
          </w:tcPr>
          <w:p w:rsidR="006F0661" w:rsidRPr="00396779" w:rsidRDefault="006F0661" w:rsidP="008C173E">
            <w:pPr>
              <w:tabs>
                <w:tab w:val="left" w:pos="288"/>
                <w:tab w:val="left" w:pos="4752"/>
              </w:tabs>
              <w:spacing w:line="240" w:lineRule="exact"/>
              <w:jc w:val="both"/>
              <w:rPr>
                <w:rFonts w:asciiTheme="minorHAnsi" w:hAnsiTheme="minorHAnsi"/>
                <w:b/>
                <w:color w:val="auto"/>
                <w:szCs w:val="24"/>
              </w:rPr>
            </w:pPr>
            <w:r w:rsidRPr="00396779">
              <w:rPr>
                <w:rFonts w:asciiTheme="minorHAnsi" w:hAnsiTheme="minorHAnsi"/>
                <w:b/>
                <w:color w:val="auto"/>
                <w:szCs w:val="24"/>
              </w:rPr>
              <w:t>UNFITTING CONDITION</w:t>
            </w:r>
          </w:p>
        </w:tc>
        <w:tc>
          <w:tcPr>
            <w:tcW w:w="1710" w:type="dxa"/>
            <w:shd w:val="clear" w:color="auto" w:fill="D9D9D9"/>
          </w:tcPr>
          <w:p w:rsidR="006F0661" w:rsidRPr="00396779" w:rsidRDefault="006F0661" w:rsidP="008C173E">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VASRD CODE</w:t>
            </w:r>
          </w:p>
        </w:tc>
        <w:tc>
          <w:tcPr>
            <w:tcW w:w="1170" w:type="dxa"/>
            <w:shd w:val="clear" w:color="auto" w:fill="D9D9D9"/>
          </w:tcPr>
          <w:p w:rsidR="006F0661" w:rsidRPr="00396779" w:rsidRDefault="006F0661" w:rsidP="008C173E">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RATING</w:t>
            </w:r>
          </w:p>
        </w:tc>
      </w:tr>
      <w:tr w:rsidR="006F0661" w:rsidRPr="00396779" w:rsidTr="008C173E">
        <w:trPr>
          <w:jc w:val="center"/>
        </w:trPr>
        <w:tc>
          <w:tcPr>
            <w:tcW w:w="6480" w:type="dxa"/>
          </w:tcPr>
          <w:p w:rsidR="006F0661" w:rsidRPr="00396779" w:rsidRDefault="0081633A" w:rsidP="008C173E">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Degenerative Arthritis </w:t>
            </w:r>
            <w:r w:rsidR="00C25D2F">
              <w:rPr>
                <w:rFonts w:asciiTheme="minorHAnsi" w:hAnsiTheme="minorHAnsi"/>
                <w:color w:val="auto"/>
                <w:szCs w:val="24"/>
              </w:rPr>
              <w:t xml:space="preserve">of </w:t>
            </w:r>
            <w:r>
              <w:rPr>
                <w:rFonts w:asciiTheme="minorHAnsi" w:hAnsiTheme="minorHAnsi"/>
                <w:color w:val="auto"/>
                <w:szCs w:val="24"/>
              </w:rPr>
              <w:t>Left Hip</w:t>
            </w:r>
            <w:r w:rsidR="00C25D2F">
              <w:rPr>
                <w:rFonts w:asciiTheme="minorHAnsi" w:hAnsiTheme="minorHAnsi"/>
                <w:color w:val="auto"/>
                <w:szCs w:val="24"/>
              </w:rPr>
              <w:t>,</w:t>
            </w:r>
            <w:r>
              <w:rPr>
                <w:rFonts w:asciiTheme="minorHAnsi" w:hAnsiTheme="minorHAnsi"/>
                <w:color w:val="auto"/>
                <w:szCs w:val="24"/>
              </w:rPr>
              <w:t xml:space="preserve"> Secondary to Hip </w:t>
            </w:r>
            <w:r w:rsidR="004D4DF6">
              <w:rPr>
                <w:rFonts w:asciiTheme="minorHAnsi" w:hAnsiTheme="minorHAnsi"/>
                <w:color w:val="auto"/>
                <w:szCs w:val="24"/>
              </w:rPr>
              <w:t>Dysplasia</w:t>
            </w:r>
          </w:p>
        </w:tc>
        <w:tc>
          <w:tcPr>
            <w:tcW w:w="1710" w:type="dxa"/>
          </w:tcPr>
          <w:p w:rsidR="006F0661" w:rsidRPr="00396779" w:rsidRDefault="0081633A" w:rsidP="008C173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5255</w:t>
            </w:r>
          </w:p>
        </w:tc>
        <w:tc>
          <w:tcPr>
            <w:tcW w:w="1170" w:type="dxa"/>
          </w:tcPr>
          <w:p w:rsidR="006F0661" w:rsidRPr="00396779" w:rsidRDefault="0081633A" w:rsidP="008C173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6F0661" w:rsidRPr="00396779">
              <w:rPr>
                <w:rFonts w:asciiTheme="minorHAnsi" w:hAnsiTheme="minorHAnsi"/>
                <w:color w:val="auto"/>
                <w:szCs w:val="24"/>
              </w:rPr>
              <w:t>0%</w:t>
            </w:r>
          </w:p>
        </w:tc>
      </w:tr>
      <w:tr w:rsidR="006F0661" w:rsidRPr="00396779" w:rsidTr="008C173E">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6F0661" w:rsidRPr="00396779" w:rsidRDefault="006F0661" w:rsidP="008C173E">
            <w:pPr>
              <w:tabs>
                <w:tab w:val="left" w:pos="288"/>
                <w:tab w:val="left" w:pos="4752"/>
              </w:tabs>
              <w:spacing w:line="240" w:lineRule="exact"/>
              <w:jc w:val="center"/>
              <w:rPr>
                <w:rFonts w:asciiTheme="minorHAnsi" w:hAnsiTheme="minorHAnsi"/>
                <w:b/>
                <w:color w:val="auto"/>
                <w:szCs w:val="24"/>
              </w:rPr>
            </w:pPr>
            <w:r w:rsidRPr="0039677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6F0661" w:rsidRPr="00396779" w:rsidRDefault="0081633A" w:rsidP="008C173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6F0661" w:rsidRPr="00396779">
              <w:rPr>
                <w:rFonts w:asciiTheme="minorHAnsi" w:hAnsiTheme="minorHAnsi"/>
                <w:b/>
                <w:color w:val="auto"/>
                <w:szCs w:val="24"/>
              </w:rPr>
              <w:t>0%</w:t>
            </w:r>
          </w:p>
        </w:tc>
      </w:tr>
    </w:tbl>
    <w:p w:rsidR="006F0661" w:rsidRPr="00396779" w:rsidRDefault="006F0661" w:rsidP="006F0661">
      <w:pPr>
        <w:spacing w:line="240" w:lineRule="exact"/>
        <w:jc w:val="both"/>
        <w:rPr>
          <w:rFonts w:asciiTheme="minorHAnsi" w:hAnsiTheme="minorHAnsi"/>
          <w:color w:val="auto"/>
          <w:szCs w:val="24"/>
        </w:rPr>
      </w:pPr>
    </w:p>
    <w:p w:rsidR="007F4BBE" w:rsidRPr="00D560DC" w:rsidRDefault="007F4BBE" w:rsidP="004D4DF6">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7F4BBE" w:rsidRPr="00CD5BD7" w:rsidRDefault="007F4BBE" w:rsidP="004D4DF6">
      <w:pPr>
        <w:tabs>
          <w:tab w:val="left" w:pos="288"/>
          <w:tab w:val="left" w:pos="4752"/>
        </w:tabs>
        <w:spacing w:line="240" w:lineRule="exact"/>
        <w:jc w:val="both"/>
        <w:rPr>
          <w:rFonts w:ascii="Calibri" w:hAnsi="Calibri"/>
          <w:color w:val="000080"/>
          <w:szCs w:val="24"/>
        </w:rPr>
      </w:pPr>
    </w:p>
    <w:p w:rsidR="007F4BBE" w:rsidRPr="00006186" w:rsidRDefault="007F4BBE" w:rsidP="004D4DF6">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7F4BBE" w:rsidRPr="00006186" w:rsidRDefault="007F4BBE" w:rsidP="004D4DF6">
      <w:pPr>
        <w:tabs>
          <w:tab w:val="left" w:pos="288"/>
          <w:tab w:val="left" w:pos="4752"/>
        </w:tabs>
        <w:spacing w:line="240" w:lineRule="exact"/>
        <w:jc w:val="both"/>
        <w:rPr>
          <w:rFonts w:asciiTheme="minorHAnsi" w:hAnsiTheme="minorHAnsi"/>
          <w:color w:val="auto"/>
        </w:rPr>
      </w:pPr>
    </w:p>
    <w:p w:rsidR="007F4BBE" w:rsidRPr="00006186" w:rsidRDefault="007F4BBE" w:rsidP="004D4DF6">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192572">
        <w:rPr>
          <w:rFonts w:asciiTheme="minorHAnsi" w:hAnsiTheme="minorHAnsi"/>
          <w:color w:val="auto"/>
        </w:rPr>
        <w:t>091021</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7F4BBE" w:rsidRPr="00006186" w:rsidRDefault="007F4BBE" w:rsidP="004D4DF6">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7F4BBE" w:rsidRPr="00006186" w:rsidRDefault="007F4BBE" w:rsidP="004D4DF6">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7F4BBE" w:rsidRPr="00006186" w:rsidRDefault="007F4BBE" w:rsidP="004D4DF6">
      <w:pPr>
        <w:tabs>
          <w:tab w:val="left" w:pos="288"/>
          <w:tab w:val="left" w:pos="4752"/>
        </w:tabs>
        <w:spacing w:line="240" w:lineRule="exact"/>
        <w:jc w:val="both"/>
        <w:rPr>
          <w:rFonts w:asciiTheme="minorHAnsi" w:hAnsiTheme="minorHAnsi"/>
          <w:color w:val="auto"/>
        </w:rPr>
      </w:pPr>
    </w:p>
    <w:p w:rsidR="007F4BBE" w:rsidRPr="00006186" w:rsidRDefault="007F4BBE" w:rsidP="007F4BBE">
      <w:pPr>
        <w:tabs>
          <w:tab w:val="left" w:pos="288"/>
          <w:tab w:val="left" w:pos="4752"/>
        </w:tabs>
        <w:spacing w:line="240" w:lineRule="exact"/>
        <w:jc w:val="both"/>
        <w:rPr>
          <w:rFonts w:asciiTheme="minorHAnsi" w:hAnsiTheme="minorHAnsi"/>
          <w:color w:val="auto"/>
        </w:rPr>
      </w:pPr>
    </w:p>
    <w:p w:rsidR="007F4BBE" w:rsidRPr="00006186" w:rsidRDefault="007F4BBE" w:rsidP="007F4BBE">
      <w:pPr>
        <w:tabs>
          <w:tab w:val="left" w:pos="288"/>
          <w:tab w:val="left" w:pos="4752"/>
        </w:tabs>
        <w:spacing w:line="240" w:lineRule="exact"/>
        <w:jc w:val="both"/>
        <w:rPr>
          <w:rFonts w:asciiTheme="minorHAnsi" w:hAnsiTheme="minorHAnsi"/>
          <w:color w:val="auto"/>
        </w:rPr>
      </w:pPr>
    </w:p>
    <w:p w:rsidR="007F4BBE" w:rsidRPr="00006186" w:rsidRDefault="007F4BBE" w:rsidP="007F4BBE">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7F4BBE" w:rsidRDefault="007F4BBE" w:rsidP="004F0EC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0E479B" w:rsidRDefault="000E479B" w:rsidP="004F0EC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0E479B" w:rsidRDefault="000E479B">
      <w:pPr>
        <w:spacing w:after="200" w:line="276" w:lineRule="auto"/>
        <w:rPr>
          <w:color w:val="auto"/>
        </w:rPr>
      </w:pPr>
      <w:r>
        <w:rPr>
          <w:color w:val="auto"/>
        </w:rPr>
        <w:br w:type="page"/>
      </w:r>
    </w:p>
    <w:p w:rsidR="000E479B" w:rsidRPr="000E479B" w:rsidRDefault="000E479B" w:rsidP="000E479B">
      <w:pPr>
        <w:jc w:val="both"/>
        <w:rPr>
          <w:color w:val="auto"/>
        </w:rPr>
      </w:pPr>
      <w:r w:rsidRPr="000E479B">
        <w:rPr>
          <w:color w:val="auto"/>
        </w:rPr>
        <w:lastRenderedPageBreak/>
        <w:t xml:space="preserve">MEMORANDUM FOR DIRECTOR, SECRETARY OF THE NAVY COUNCIL OF REVIEW  </w:t>
      </w:r>
    </w:p>
    <w:p w:rsidR="000E479B" w:rsidRPr="000E479B" w:rsidRDefault="000E479B" w:rsidP="000E479B">
      <w:pPr>
        <w:tabs>
          <w:tab w:val="left" w:pos="0"/>
          <w:tab w:val="left" w:pos="2430"/>
        </w:tabs>
        <w:jc w:val="both"/>
        <w:rPr>
          <w:color w:val="auto"/>
        </w:rPr>
      </w:pPr>
      <w:r w:rsidRPr="000E479B">
        <w:rPr>
          <w:color w:val="auto"/>
        </w:rPr>
        <w:t xml:space="preserve">                                   </w:t>
      </w:r>
      <w:r w:rsidRPr="000E479B">
        <w:rPr>
          <w:color w:val="auto"/>
        </w:rPr>
        <w:tab/>
        <w:t xml:space="preserve">BOARDS </w:t>
      </w:r>
    </w:p>
    <w:p w:rsidR="000E479B" w:rsidRPr="000E479B" w:rsidRDefault="000E479B" w:rsidP="000E479B">
      <w:pPr>
        <w:jc w:val="both"/>
        <w:rPr>
          <w:color w:val="auto"/>
        </w:rPr>
      </w:pPr>
    </w:p>
    <w:p w:rsidR="000E479B" w:rsidRPr="000E479B" w:rsidRDefault="000E479B" w:rsidP="000E479B">
      <w:pPr>
        <w:jc w:val="both"/>
        <w:rPr>
          <w:color w:val="auto"/>
        </w:rPr>
      </w:pPr>
      <w:proofErr w:type="spellStart"/>
      <w:r w:rsidRPr="000E479B">
        <w:rPr>
          <w:color w:val="auto"/>
        </w:rPr>
        <w:t>Subj</w:t>
      </w:r>
      <w:proofErr w:type="spellEnd"/>
      <w:r w:rsidRPr="000E479B">
        <w:rPr>
          <w:color w:val="auto"/>
        </w:rPr>
        <w:t>:  PHYSICAL DISABILITY BOARD OF REVIEW (PDBR) RECOMMENDATION</w:t>
      </w:r>
    </w:p>
    <w:p w:rsidR="000E479B" w:rsidRPr="000E479B" w:rsidRDefault="000E479B" w:rsidP="000E479B">
      <w:pPr>
        <w:tabs>
          <w:tab w:val="left" w:pos="630"/>
        </w:tabs>
        <w:jc w:val="both"/>
        <w:rPr>
          <w:color w:val="auto"/>
        </w:rPr>
      </w:pPr>
      <w:r w:rsidRPr="000E479B">
        <w:rPr>
          <w:color w:val="auto"/>
        </w:rPr>
        <w:t xml:space="preserve">    </w:t>
      </w:r>
      <w:r w:rsidRPr="000E479B">
        <w:rPr>
          <w:color w:val="auto"/>
        </w:rPr>
        <w:tab/>
        <w:t xml:space="preserve">ICO </w:t>
      </w:r>
      <w:r>
        <w:rPr>
          <w:color w:val="auto"/>
        </w:rPr>
        <w:t>XXXXX</w:t>
      </w:r>
      <w:r w:rsidRPr="000E479B">
        <w:rPr>
          <w:color w:val="auto"/>
        </w:rPr>
        <w:t>, FORMER USMC</w:t>
      </w:r>
    </w:p>
    <w:p w:rsidR="000E479B" w:rsidRPr="000E479B" w:rsidRDefault="000E479B" w:rsidP="000E479B">
      <w:pPr>
        <w:jc w:val="both"/>
        <w:rPr>
          <w:color w:val="auto"/>
        </w:rPr>
      </w:pPr>
    </w:p>
    <w:p w:rsidR="000E479B" w:rsidRPr="000E479B" w:rsidRDefault="000E479B" w:rsidP="000E479B">
      <w:pPr>
        <w:jc w:val="both"/>
        <w:rPr>
          <w:color w:val="auto"/>
        </w:rPr>
      </w:pPr>
      <w:r w:rsidRPr="000E479B">
        <w:rPr>
          <w:color w:val="auto"/>
        </w:rPr>
        <w:t>Ref:   (a) DoDI 6040.44</w:t>
      </w:r>
    </w:p>
    <w:p w:rsidR="000E479B" w:rsidRPr="000E479B" w:rsidRDefault="000E479B" w:rsidP="000E479B">
      <w:pPr>
        <w:jc w:val="both"/>
        <w:rPr>
          <w:color w:val="auto"/>
        </w:rPr>
      </w:pPr>
      <w:r w:rsidRPr="000E479B">
        <w:rPr>
          <w:color w:val="auto"/>
        </w:rPr>
        <w:t xml:space="preserve">          (b) PDBR </w:t>
      </w:r>
      <w:proofErr w:type="spellStart"/>
      <w:r w:rsidRPr="000E479B">
        <w:rPr>
          <w:color w:val="auto"/>
        </w:rPr>
        <w:t>ltr</w:t>
      </w:r>
      <w:proofErr w:type="spellEnd"/>
      <w:r w:rsidRPr="000E479B">
        <w:rPr>
          <w:color w:val="auto"/>
        </w:rPr>
        <w:t xml:space="preserve"> </w:t>
      </w:r>
      <w:proofErr w:type="spellStart"/>
      <w:r w:rsidRPr="000E479B">
        <w:rPr>
          <w:color w:val="auto"/>
        </w:rPr>
        <w:t>dtd</w:t>
      </w:r>
      <w:proofErr w:type="spellEnd"/>
      <w:r w:rsidRPr="000E479B">
        <w:rPr>
          <w:color w:val="auto"/>
        </w:rPr>
        <w:t xml:space="preserve"> 13 May 11</w:t>
      </w:r>
    </w:p>
    <w:p w:rsidR="000E479B" w:rsidRPr="000E479B" w:rsidRDefault="000E479B" w:rsidP="000E479B">
      <w:pPr>
        <w:jc w:val="both"/>
        <w:rPr>
          <w:color w:val="auto"/>
        </w:rPr>
      </w:pPr>
    </w:p>
    <w:p w:rsidR="000E479B" w:rsidRPr="000E479B" w:rsidRDefault="000E479B" w:rsidP="000E479B">
      <w:pPr>
        <w:rPr>
          <w:color w:val="auto"/>
        </w:rPr>
      </w:pPr>
      <w:r w:rsidRPr="000E479B">
        <w:rPr>
          <w:color w:val="auto"/>
        </w:rPr>
        <w:t xml:space="preserve">      I have reviewed the subject case pursuant to reference (a) and, for the reasons set forth in reference (b), approve the recommendation of the PDBR Mr. </w:t>
      </w:r>
      <w:r>
        <w:rPr>
          <w:color w:val="auto"/>
        </w:rPr>
        <w:t>XXXXX</w:t>
      </w:r>
      <w:r w:rsidRPr="000E479B">
        <w:rPr>
          <w:color w:val="auto"/>
        </w:rPr>
        <w:t>’s records not be corrected to reflect a change in either his characterization of separation or in the disability rating previously assigned by the Department of the Navy’s Physical Evaluation Board.</w:t>
      </w:r>
    </w:p>
    <w:p w:rsidR="000E479B" w:rsidRPr="000E479B" w:rsidRDefault="000E479B" w:rsidP="000E479B">
      <w:pPr>
        <w:jc w:val="both"/>
        <w:rPr>
          <w:color w:val="auto"/>
        </w:rPr>
      </w:pPr>
    </w:p>
    <w:p w:rsidR="000E479B" w:rsidRPr="000E479B" w:rsidRDefault="000E479B" w:rsidP="000E479B">
      <w:pPr>
        <w:jc w:val="both"/>
        <w:rPr>
          <w:color w:val="auto"/>
        </w:rPr>
      </w:pPr>
    </w:p>
    <w:p w:rsidR="000E479B" w:rsidRPr="000E479B" w:rsidRDefault="000E479B" w:rsidP="000E479B">
      <w:pPr>
        <w:jc w:val="both"/>
        <w:rPr>
          <w:color w:val="auto"/>
        </w:rPr>
      </w:pPr>
    </w:p>
    <w:p w:rsidR="000E479B" w:rsidRPr="000E479B" w:rsidRDefault="000E479B" w:rsidP="000E479B">
      <w:pPr>
        <w:rPr>
          <w:color w:val="auto"/>
        </w:rPr>
      </w:pPr>
      <w:r w:rsidRPr="000E479B">
        <w:rPr>
          <w:color w:val="auto"/>
        </w:rPr>
        <w:tab/>
        <w:t xml:space="preserve">     </w:t>
      </w:r>
      <w:r w:rsidRPr="000E479B">
        <w:rPr>
          <w:color w:val="auto"/>
        </w:rPr>
        <w:tab/>
      </w:r>
      <w:r w:rsidRPr="000E479B">
        <w:rPr>
          <w:color w:val="auto"/>
        </w:rPr>
        <w:tab/>
      </w:r>
      <w:r w:rsidRPr="000E479B">
        <w:rPr>
          <w:color w:val="auto"/>
        </w:rPr>
        <w:tab/>
      </w:r>
      <w:r w:rsidRPr="000E479B">
        <w:rPr>
          <w:color w:val="auto"/>
        </w:rPr>
        <w:tab/>
      </w:r>
      <w:r w:rsidRPr="000E479B">
        <w:rPr>
          <w:color w:val="auto"/>
        </w:rPr>
        <w:tab/>
        <w:t>Assistant General Counsel</w:t>
      </w:r>
    </w:p>
    <w:p w:rsidR="000E479B" w:rsidRPr="000E479B" w:rsidRDefault="000E479B" w:rsidP="000E479B">
      <w:pPr>
        <w:jc w:val="both"/>
        <w:rPr>
          <w:color w:val="auto"/>
        </w:rPr>
      </w:pPr>
      <w:r w:rsidRPr="000E479B">
        <w:rPr>
          <w:color w:val="auto"/>
        </w:rPr>
        <w:tab/>
      </w:r>
      <w:r w:rsidRPr="000E479B">
        <w:rPr>
          <w:color w:val="auto"/>
        </w:rPr>
        <w:tab/>
      </w:r>
      <w:r w:rsidRPr="000E479B">
        <w:rPr>
          <w:color w:val="auto"/>
        </w:rPr>
        <w:tab/>
      </w:r>
      <w:r w:rsidRPr="000E479B">
        <w:rPr>
          <w:color w:val="auto"/>
        </w:rPr>
        <w:tab/>
      </w:r>
      <w:r w:rsidRPr="000E479B">
        <w:rPr>
          <w:color w:val="auto"/>
        </w:rPr>
        <w:tab/>
      </w:r>
      <w:r w:rsidRPr="000E479B">
        <w:rPr>
          <w:color w:val="auto"/>
        </w:rPr>
        <w:tab/>
        <w:t xml:space="preserve">      </w:t>
      </w:r>
      <w:r>
        <w:rPr>
          <w:color w:val="auto"/>
        </w:rPr>
        <w:t>(</w:t>
      </w:r>
      <w:r w:rsidRPr="000E479B">
        <w:rPr>
          <w:color w:val="auto"/>
        </w:rPr>
        <w:t>Manpower &amp; Reserve Affairs)</w:t>
      </w:r>
    </w:p>
    <w:p w:rsidR="000E479B" w:rsidRDefault="000E479B" w:rsidP="000E479B">
      <w:pPr>
        <w:jc w:val="both"/>
      </w:pPr>
      <w:r w:rsidRPr="000E479B">
        <w:rPr>
          <w:color w:val="auto"/>
        </w:rPr>
        <w:tab/>
      </w:r>
      <w:r w:rsidRPr="000E479B">
        <w:rPr>
          <w:color w:val="auto"/>
        </w:rPr>
        <w:tab/>
      </w:r>
      <w:r w:rsidRPr="000E479B">
        <w:rPr>
          <w:color w:val="auto"/>
        </w:rPr>
        <w:tab/>
      </w:r>
      <w:r w:rsidRPr="000E479B">
        <w:rPr>
          <w:color w:val="auto"/>
        </w:rPr>
        <w:tab/>
      </w:r>
      <w:r>
        <w:tab/>
      </w:r>
      <w:r>
        <w:tab/>
        <w:t xml:space="preserve">  </w:t>
      </w:r>
    </w:p>
    <w:p w:rsidR="000E479B" w:rsidRDefault="000E479B" w:rsidP="000E479B">
      <w:pPr>
        <w:jc w:val="both"/>
      </w:pPr>
    </w:p>
    <w:p w:rsidR="000E479B" w:rsidRPr="004F0EC2" w:rsidRDefault="000E479B" w:rsidP="004F0EC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0E479B" w:rsidRPr="004F0EC2" w:rsidSect="00C379B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A41" w:rsidRDefault="00154A41" w:rsidP="000B6A0B">
      <w:r>
        <w:separator/>
      </w:r>
    </w:p>
  </w:endnote>
  <w:endnote w:type="continuationSeparator" w:id="0">
    <w:p w:rsidR="00154A41" w:rsidRDefault="00154A41" w:rsidP="000B6A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1863104"/>
      <w:docPartObj>
        <w:docPartGallery w:val="Page Numbers (Bottom of Page)"/>
        <w:docPartUnique/>
      </w:docPartObj>
    </w:sdtPr>
    <w:sdtContent>
      <w:p w:rsidR="00DC6268" w:rsidRPr="00BA7B32" w:rsidRDefault="002D0C5E" w:rsidP="00FE302A">
        <w:pPr>
          <w:pStyle w:val="Footer"/>
          <w:jc w:val="right"/>
          <w:rPr>
            <w:color w:val="auto"/>
          </w:rPr>
        </w:pPr>
        <w:r w:rsidRPr="00BA7B32">
          <w:rPr>
            <w:rFonts w:asciiTheme="minorHAnsi" w:hAnsiTheme="minorHAnsi"/>
            <w:color w:val="auto"/>
          </w:rPr>
          <w:fldChar w:fldCharType="begin"/>
        </w:r>
        <w:r w:rsidR="00DC6268" w:rsidRPr="00BA7B32">
          <w:rPr>
            <w:rFonts w:asciiTheme="minorHAnsi" w:hAnsiTheme="minorHAnsi"/>
            <w:color w:val="auto"/>
          </w:rPr>
          <w:instrText xml:space="preserve"> PAGE   \* MERGEFORMAT </w:instrText>
        </w:r>
        <w:r w:rsidRPr="00BA7B32">
          <w:rPr>
            <w:rFonts w:asciiTheme="minorHAnsi" w:hAnsiTheme="minorHAnsi"/>
            <w:color w:val="auto"/>
          </w:rPr>
          <w:fldChar w:fldCharType="separate"/>
        </w:r>
        <w:r w:rsidR="000E479B">
          <w:rPr>
            <w:rFonts w:asciiTheme="minorHAnsi" w:hAnsiTheme="minorHAnsi"/>
            <w:noProof/>
            <w:color w:val="auto"/>
          </w:rPr>
          <w:t>1</w:t>
        </w:r>
        <w:r w:rsidRPr="00BA7B32">
          <w:rPr>
            <w:rFonts w:asciiTheme="minorHAnsi" w:hAnsiTheme="minorHAnsi"/>
            <w:color w:val="auto"/>
          </w:rPr>
          <w:fldChar w:fldCharType="end"/>
        </w:r>
        <w:r w:rsidR="00DC6268" w:rsidRPr="00BA7B32">
          <w:rPr>
            <w:rFonts w:asciiTheme="minorHAnsi" w:hAnsiTheme="minorHAnsi"/>
            <w:color w:val="auto"/>
          </w:rPr>
          <w:tab/>
          <w:t>PD0900638</w:t>
        </w:r>
      </w:p>
    </w:sdtContent>
  </w:sdt>
  <w:p w:rsidR="00DC6268" w:rsidRPr="000B6A0B" w:rsidRDefault="00DC6268">
    <w:pPr>
      <w:pStyle w:val="Foo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A41" w:rsidRDefault="00154A41" w:rsidP="000B6A0B">
      <w:r>
        <w:separator/>
      </w:r>
    </w:p>
  </w:footnote>
  <w:footnote w:type="continuationSeparator" w:id="0">
    <w:p w:rsidR="00154A41" w:rsidRDefault="00154A41" w:rsidP="000B6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hdrShapeDefaults>
    <o:shapedefaults v:ext="edit" spidmax="50178"/>
  </w:hdrShapeDefaults>
  <w:footnotePr>
    <w:footnote w:id="-1"/>
    <w:footnote w:id="0"/>
  </w:footnotePr>
  <w:endnotePr>
    <w:endnote w:id="-1"/>
    <w:endnote w:id="0"/>
  </w:endnotePr>
  <w:compat/>
  <w:rsids>
    <w:rsidRoot w:val="00863C26"/>
    <w:rsid w:val="0008462E"/>
    <w:rsid w:val="000B6A0B"/>
    <w:rsid w:val="000C5AA6"/>
    <w:rsid w:val="000E479B"/>
    <w:rsid w:val="000F3597"/>
    <w:rsid w:val="001055FC"/>
    <w:rsid w:val="00107E3E"/>
    <w:rsid w:val="001277E0"/>
    <w:rsid w:val="00135881"/>
    <w:rsid w:val="00154A41"/>
    <w:rsid w:val="00192572"/>
    <w:rsid w:val="001A5364"/>
    <w:rsid w:val="001B388C"/>
    <w:rsid w:val="001B47F7"/>
    <w:rsid w:val="002B039B"/>
    <w:rsid w:val="002B452A"/>
    <w:rsid w:val="002D0C5E"/>
    <w:rsid w:val="0031551D"/>
    <w:rsid w:val="003206A8"/>
    <w:rsid w:val="00373532"/>
    <w:rsid w:val="0037423C"/>
    <w:rsid w:val="00397CEA"/>
    <w:rsid w:val="003B5D3F"/>
    <w:rsid w:val="003C0424"/>
    <w:rsid w:val="003F6284"/>
    <w:rsid w:val="004070A2"/>
    <w:rsid w:val="0041789A"/>
    <w:rsid w:val="00455AAE"/>
    <w:rsid w:val="0046117F"/>
    <w:rsid w:val="004C0A28"/>
    <w:rsid w:val="004D4DF6"/>
    <w:rsid w:val="004F0EC2"/>
    <w:rsid w:val="004F72BA"/>
    <w:rsid w:val="00542E90"/>
    <w:rsid w:val="00545389"/>
    <w:rsid w:val="00553598"/>
    <w:rsid w:val="00565983"/>
    <w:rsid w:val="0056684C"/>
    <w:rsid w:val="00595639"/>
    <w:rsid w:val="005A0272"/>
    <w:rsid w:val="005C78B9"/>
    <w:rsid w:val="0060668A"/>
    <w:rsid w:val="0065510B"/>
    <w:rsid w:val="006563ED"/>
    <w:rsid w:val="00660B45"/>
    <w:rsid w:val="00660CF7"/>
    <w:rsid w:val="006975AF"/>
    <w:rsid w:val="006B3435"/>
    <w:rsid w:val="006C2554"/>
    <w:rsid w:val="006F0661"/>
    <w:rsid w:val="00702DF8"/>
    <w:rsid w:val="00705FC3"/>
    <w:rsid w:val="00726848"/>
    <w:rsid w:val="00744FFD"/>
    <w:rsid w:val="00761BC1"/>
    <w:rsid w:val="0077591F"/>
    <w:rsid w:val="007A498F"/>
    <w:rsid w:val="007C0673"/>
    <w:rsid w:val="007F4BBE"/>
    <w:rsid w:val="0081633A"/>
    <w:rsid w:val="00856BC3"/>
    <w:rsid w:val="00863C26"/>
    <w:rsid w:val="008A0ED5"/>
    <w:rsid w:val="008B1AF7"/>
    <w:rsid w:val="008C173E"/>
    <w:rsid w:val="009278E1"/>
    <w:rsid w:val="00935DB1"/>
    <w:rsid w:val="009671FB"/>
    <w:rsid w:val="00990995"/>
    <w:rsid w:val="00A0006D"/>
    <w:rsid w:val="00A23B4C"/>
    <w:rsid w:val="00A51BB4"/>
    <w:rsid w:val="00A553E4"/>
    <w:rsid w:val="00A75387"/>
    <w:rsid w:val="00A83AFE"/>
    <w:rsid w:val="00AA22F9"/>
    <w:rsid w:val="00AB2C60"/>
    <w:rsid w:val="00AD4857"/>
    <w:rsid w:val="00AE4915"/>
    <w:rsid w:val="00AF6AD1"/>
    <w:rsid w:val="00B05FE0"/>
    <w:rsid w:val="00B416A5"/>
    <w:rsid w:val="00B5666F"/>
    <w:rsid w:val="00B6477D"/>
    <w:rsid w:val="00B7141D"/>
    <w:rsid w:val="00BA7B32"/>
    <w:rsid w:val="00BD3E4C"/>
    <w:rsid w:val="00BE66BC"/>
    <w:rsid w:val="00C24346"/>
    <w:rsid w:val="00C25D2F"/>
    <w:rsid w:val="00C310FC"/>
    <w:rsid w:val="00C369A8"/>
    <w:rsid w:val="00C379B3"/>
    <w:rsid w:val="00C75AA4"/>
    <w:rsid w:val="00D02543"/>
    <w:rsid w:val="00D05072"/>
    <w:rsid w:val="00D4161A"/>
    <w:rsid w:val="00D66A43"/>
    <w:rsid w:val="00D7561D"/>
    <w:rsid w:val="00D947A0"/>
    <w:rsid w:val="00DA1C56"/>
    <w:rsid w:val="00DC6268"/>
    <w:rsid w:val="00DD6256"/>
    <w:rsid w:val="00DF2520"/>
    <w:rsid w:val="00E26AA8"/>
    <w:rsid w:val="00E507F6"/>
    <w:rsid w:val="00EA608A"/>
    <w:rsid w:val="00EC6666"/>
    <w:rsid w:val="00F15723"/>
    <w:rsid w:val="00F42D69"/>
    <w:rsid w:val="00F748B2"/>
    <w:rsid w:val="00F76C92"/>
    <w:rsid w:val="00F856C6"/>
    <w:rsid w:val="00FA2CAD"/>
    <w:rsid w:val="00FB2FC0"/>
    <w:rsid w:val="00FE3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26"/>
    <w:pPr>
      <w:spacing w:after="0" w:line="240" w:lineRule="auto"/>
    </w:pPr>
    <w:rPr>
      <w:rFonts w:ascii="Courier" w:eastAsia="Times New Roman" w:hAnsi="Courier" w:cs="Times New Roman"/>
      <w:color w:val="0080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A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B6A0B"/>
    <w:pPr>
      <w:tabs>
        <w:tab w:val="center" w:pos="4680"/>
        <w:tab w:val="right" w:pos="9360"/>
      </w:tabs>
    </w:pPr>
  </w:style>
  <w:style w:type="character" w:customStyle="1" w:styleId="HeaderChar">
    <w:name w:val="Header Char"/>
    <w:basedOn w:val="DefaultParagraphFont"/>
    <w:link w:val="Header"/>
    <w:uiPriority w:val="99"/>
    <w:semiHidden/>
    <w:rsid w:val="000B6A0B"/>
    <w:rPr>
      <w:rFonts w:ascii="Courier" w:eastAsia="Times New Roman" w:hAnsi="Courier" w:cs="Times New Roman"/>
      <w:color w:val="008080"/>
      <w:sz w:val="24"/>
      <w:szCs w:val="20"/>
    </w:rPr>
  </w:style>
  <w:style w:type="paragraph" w:styleId="Footer">
    <w:name w:val="footer"/>
    <w:basedOn w:val="Normal"/>
    <w:link w:val="FooterChar"/>
    <w:uiPriority w:val="99"/>
    <w:unhideWhenUsed/>
    <w:rsid w:val="000B6A0B"/>
    <w:pPr>
      <w:tabs>
        <w:tab w:val="center" w:pos="4680"/>
        <w:tab w:val="right" w:pos="9360"/>
      </w:tabs>
    </w:pPr>
  </w:style>
  <w:style w:type="character" w:customStyle="1" w:styleId="FooterChar">
    <w:name w:val="Footer Char"/>
    <w:basedOn w:val="DefaultParagraphFont"/>
    <w:link w:val="Footer"/>
    <w:uiPriority w:val="99"/>
    <w:rsid w:val="000B6A0B"/>
    <w:rPr>
      <w:rFonts w:ascii="Courier" w:eastAsia="Times New Roman" w:hAnsi="Courier" w:cs="Times New Roman"/>
      <w:color w:val="008080"/>
      <w:sz w:val="24"/>
      <w:szCs w:val="20"/>
    </w:rPr>
  </w:style>
  <w:style w:type="paragraph" w:styleId="BalloonText">
    <w:name w:val="Balloon Text"/>
    <w:basedOn w:val="Normal"/>
    <w:link w:val="BalloonTextChar"/>
    <w:uiPriority w:val="99"/>
    <w:semiHidden/>
    <w:unhideWhenUsed/>
    <w:rsid w:val="000B6A0B"/>
    <w:rPr>
      <w:rFonts w:ascii="Tahoma" w:hAnsi="Tahoma" w:cs="Tahoma"/>
      <w:sz w:val="16"/>
      <w:szCs w:val="16"/>
    </w:rPr>
  </w:style>
  <w:style w:type="character" w:customStyle="1" w:styleId="BalloonTextChar">
    <w:name w:val="Balloon Text Char"/>
    <w:basedOn w:val="DefaultParagraphFont"/>
    <w:link w:val="BalloonText"/>
    <w:uiPriority w:val="99"/>
    <w:semiHidden/>
    <w:rsid w:val="000B6A0B"/>
    <w:rPr>
      <w:rFonts w:ascii="Tahoma" w:eastAsia="Times New Roman" w:hAnsi="Tahoma" w:cs="Tahoma"/>
      <w:color w:val="008080"/>
      <w:sz w:val="16"/>
      <w:szCs w:val="16"/>
    </w:rPr>
  </w:style>
  <w:style w:type="paragraph" w:styleId="ListParagraph">
    <w:name w:val="List Paragraph"/>
    <w:basedOn w:val="Normal"/>
    <w:uiPriority w:val="34"/>
    <w:qFormat/>
    <w:rsid w:val="00545389"/>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3815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keith.albertson.ctr</dc:creator>
  <cp:lastModifiedBy>Colleen.Toussaint</cp:lastModifiedBy>
  <cp:revision>2</cp:revision>
  <cp:lastPrinted>2011-05-12T14:20:00Z</cp:lastPrinted>
  <dcterms:created xsi:type="dcterms:W3CDTF">2012-03-06T21:17:00Z</dcterms:created>
  <dcterms:modified xsi:type="dcterms:W3CDTF">2012-03-06T21:17:00Z</dcterms:modified>
</cp:coreProperties>
</file>