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C0EA3">
        <w:rPr>
          <w:rFonts w:asciiTheme="minorHAnsi" w:hAnsiTheme="minorHAnsi"/>
          <w:caps/>
          <w:color w:val="auto"/>
        </w:rPr>
        <w:t>XXXXXX</w:t>
      </w:r>
      <w:r w:rsidRPr="00FD6C41">
        <w:rPr>
          <w:rFonts w:asciiTheme="minorHAnsi" w:hAnsiTheme="minorHAnsi"/>
          <w:caps/>
          <w:color w:val="auto"/>
        </w:rPr>
        <w:tab/>
      </w:r>
      <w:r w:rsidRPr="00FD6C41">
        <w:rPr>
          <w:rFonts w:asciiTheme="minorHAnsi" w:hAnsiTheme="minorHAnsi"/>
          <w:caps/>
          <w:color w:val="auto"/>
        </w:rPr>
        <w:tab/>
        <w:t xml:space="preserve">BRANCH OF SERVICE: </w:t>
      </w:r>
      <w:r>
        <w:rPr>
          <w:rFonts w:asciiTheme="minorHAnsi" w:hAnsiTheme="minorHAnsi"/>
          <w:caps/>
          <w:color w:val="auto"/>
        </w:rPr>
        <w:t xml:space="preserve"> </w:t>
      </w:r>
      <w:r w:rsidR="007E0FBF">
        <w:rPr>
          <w:rFonts w:asciiTheme="minorHAnsi" w:hAnsiTheme="minorHAnsi"/>
          <w:caps/>
          <w:color w:val="auto"/>
        </w:rPr>
        <w:t>MARINE CORPS</w:t>
      </w:r>
    </w:p>
    <w:p w:rsidR="00F629C0" w:rsidRPr="00FD6C41"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007E0FBF">
        <w:rPr>
          <w:rFonts w:asciiTheme="minorHAnsi" w:hAnsiTheme="minorHAnsi"/>
          <w:caps/>
          <w:color w:val="auto"/>
        </w:rPr>
        <w:t>200900622</w:t>
      </w:r>
      <w:r w:rsidRPr="00FD6C41">
        <w:rPr>
          <w:rFonts w:asciiTheme="minorHAnsi" w:hAnsiTheme="minorHAnsi"/>
          <w:caps/>
          <w:color w:val="auto"/>
        </w:rPr>
        <w:tab/>
      </w:r>
      <w:r w:rsidRPr="00FD6C41">
        <w:rPr>
          <w:rFonts w:asciiTheme="minorHAnsi" w:hAnsiTheme="minorHAnsi"/>
          <w:caps/>
          <w:color w:val="auto"/>
        </w:rPr>
        <w:tab/>
      </w:r>
      <w:r w:rsidRPr="00FA5469">
        <w:rPr>
          <w:rFonts w:asciiTheme="minorHAnsi" w:hAnsiTheme="minorHAnsi"/>
          <w:caps/>
          <w:color w:val="auto"/>
        </w:rPr>
        <w:t>SEPARATION DATE:</w:t>
      </w:r>
      <w:r w:rsidRPr="00B33047">
        <w:rPr>
          <w:rFonts w:asciiTheme="minorHAnsi" w:hAnsiTheme="minorHAnsi"/>
          <w:caps/>
          <w:color w:val="auto"/>
        </w:rPr>
        <w:t xml:space="preserve">  200</w:t>
      </w:r>
      <w:r w:rsidR="00B678B4" w:rsidRPr="00B33047">
        <w:rPr>
          <w:rFonts w:asciiTheme="minorHAnsi" w:hAnsiTheme="minorHAnsi"/>
          <w:caps/>
          <w:color w:val="auto"/>
        </w:rPr>
        <w:t>4</w:t>
      </w:r>
      <w:r w:rsidR="000926B0" w:rsidRPr="00B33047">
        <w:rPr>
          <w:rFonts w:asciiTheme="minorHAnsi" w:hAnsiTheme="minorHAnsi"/>
          <w:caps/>
          <w:color w:val="auto"/>
        </w:rPr>
        <w:t>0814</w:t>
      </w:r>
    </w:p>
    <w:p w:rsidR="00F629C0" w:rsidRPr="00FD6C41" w:rsidRDefault="00F629C0" w:rsidP="00F629C0">
      <w:pPr>
        <w:tabs>
          <w:tab w:val="left" w:pos="288"/>
          <w:tab w:val="left" w:pos="531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B33047">
        <w:rPr>
          <w:rFonts w:asciiTheme="minorHAnsi" w:hAnsiTheme="minorHAnsi"/>
          <w:caps/>
          <w:color w:val="auto"/>
        </w:rPr>
        <w:t>0310</w:t>
      </w:r>
      <w:r w:rsidR="00B33047">
        <w:rPr>
          <w:rFonts w:asciiTheme="minorHAnsi" w:hAnsiTheme="minorHAnsi"/>
          <w:color w:val="auto"/>
        </w:rPr>
        <w:tab/>
      </w:r>
      <w:proofErr w:type="gramStart"/>
      <w:r w:rsidRPr="00FA5469">
        <w:rPr>
          <w:rFonts w:asciiTheme="minorHAnsi" w:hAnsiTheme="minorHAnsi"/>
          <w:color w:val="auto"/>
        </w:rPr>
        <w:t>DATE</w:t>
      </w:r>
      <w:proofErr w:type="gramEnd"/>
      <w:r w:rsidRPr="00FA5469">
        <w:rPr>
          <w:rFonts w:asciiTheme="minorHAnsi" w:hAnsiTheme="minorHAnsi"/>
          <w:color w:val="auto"/>
        </w:rPr>
        <w:t xml:space="preserve"> REMOVED FROM TDRL:</w:t>
      </w:r>
      <w:r w:rsidRPr="00B33047">
        <w:rPr>
          <w:rFonts w:asciiTheme="minorHAnsi" w:hAnsiTheme="minorHAnsi"/>
          <w:color w:val="auto"/>
        </w:rPr>
        <w:t xml:space="preserve">  200</w:t>
      </w:r>
      <w:r w:rsidR="00021C1E" w:rsidRPr="00B33047">
        <w:rPr>
          <w:rFonts w:asciiTheme="minorHAnsi" w:hAnsiTheme="minorHAnsi"/>
          <w:color w:val="auto"/>
        </w:rPr>
        <w:t>60808</w:t>
      </w:r>
    </w:p>
    <w:p w:rsidR="00D560DC" w:rsidRPr="00631993" w:rsidRDefault="00D560DC" w:rsidP="000452D7">
      <w:pPr>
        <w:tabs>
          <w:tab w:val="left" w:pos="288"/>
          <w:tab w:val="left" w:pos="4752"/>
        </w:tabs>
        <w:spacing w:line="240" w:lineRule="exact"/>
        <w:jc w:val="both"/>
        <w:rPr>
          <w:rFonts w:asciiTheme="minorHAnsi" w:hAnsiTheme="minorHAnsi"/>
          <w:caps/>
          <w:color w:val="auto"/>
          <w:u w:val="single"/>
        </w:rPr>
      </w:pPr>
      <w:r w:rsidRPr="00631993">
        <w:rPr>
          <w:rFonts w:asciiTheme="minorHAnsi" w:hAnsiTheme="minorHAnsi"/>
          <w:color w:val="auto"/>
          <w:u w:val="single"/>
        </w:rPr>
        <w:t>______________________________________________________________________________</w:t>
      </w:r>
    </w:p>
    <w:p w:rsidR="00246B9E" w:rsidRPr="00631993" w:rsidRDefault="00246B9E" w:rsidP="000452D7">
      <w:pPr>
        <w:tabs>
          <w:tab w:val="left" w:pos="288"/>
          <w:tab w:val="left" w:pos="4752"/>
        </w:tabs>
        <w:spacing w:line="240" w:lineRule="exact"/>
        <w:rPr>
          <w:color w:val="auto"/>
          <w:szCs w:val="24"/>
        </w:rPr>
      </w:pPr>
    </w:p>
    <w:p w:rsidR="00021C1E" w:rsidRDefault="002C6E5B" w:rsidP="00021C1E">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w:t>
      </w:r>
      <w:r w:rsidR="001B66B2">
        <w:rPr>
          <w:rFonts w:asciiTheme="minorHAnsi" w:hAnsiTheme="minorHAnsi"/>
          <w:color w:val="auto"/>
          <w:szCs w:val="24"/>
        </w:rPr>
        <w:t xml:space="preserve"> Reserve </w:t>
      </w:r>
      <w:proofErr w:type="spellStart"/>
      <w:r w:rsidR="00BE6A47">
        <w:rPr>
          <w:rFonts w:asciiTheme="minorHAnsi" w:hAnsiTheme="minorHAnsi"/>
          <w:color w:val="auto"/>
          <w:szCs w:val="24"/>
        </w:rPr>
        <w:t>LC</w:t>
      </w:r>
      <w:r w:rsidR="00CD5BD2">
        <w:rPr>
          <w:rFonts w:asciiTheme="minorHAnsi" w:hAnsiTheme="minorHAnsi"/>
          <w:color w:val="auto"/>
          <w:szCs w:val="24"/>
        </w:rPr>
        <w:t>pl</w:t>
      </w:r>
      <w:proofErr w:type="spellEnd"/>
      <w:r w:rsidR="00BE6A47">
        <w:rPr>
          <w:rFonts w:asciiTheme="minorHAnsi" w:hAnsiTheme="minorHAnsi"/>
          <w:color w:val="auto"/>
          <w:szCs w:val="24"/>
        </w:rPr>
        <w:t>/E-3</w:t>
      </w:r>
      <w:r w:rsidR="00705C40" w:rsidRPr="00AD7F8F">
        <w:rPr>
          <w:rFonts w:asciiTheme="minorHAnsi" w:hAnsiTheme="minorHAnsi"/>
          <w:color w:val="auto"/>
          <w:szCs w:val="24"/>
        </w:rPr>
        <w:t xml:space="preserve"> (</w:t>
      </w:r>
      <w:r w:rsidR="00C97A71">
        <w:rPr>
          <w:rFonts w:asciiTheme="minorHAnsi" w:hAnsiTheme="minorHAnsi"/>
          <w:color w:val="auto"/>
          <w:szCs w:val="24"/>
        </w:rPr>
        <w:t>6048</w:t>
      </w:r>
      <w:r w:rsidR="00BE6A47">
        <w:rPr>
          <w:rFonts w:asciiTheme="minorHAnsi" w:hAnsiTheme="minorHAnsi"/>
          <w:color w:val="auto"/>
          <w:szCs w:val="24"/>
        </w:rPr>
        <w:t>/</w:t>
      </w:r>
      <w:r w:rsidR="00D444C9">
        <w:rPr>
          <w:rFonts w:asciiTheme="minorHAnsi" w:hAnsiTheme="minorHAnsi"/>
          <w:color w:val="auto"/>
          <w:szCs w:val="24"/>
        </w:rPr>
        <w:t>ALSS/</w:t>
      </w:r>
      <w:r w:rsidR="00007350" w:rsidRPr="00A543C4">
        <w:rPr>
          <w:rFonts w:asciiTheme="minorHAnsi" w:hAnsiTheme="minorHAnsi"/>
          <w:color w:val="auto"/>
          <w:szCs w:val="24"/>
        </w:rPr>
        <w:t>Flight Equipment Technician</w:t>
      </w:r>
      <w:r w:rsidR="00E322F7" w:rsidRPr="00A543C4">
        <w:rPr>
          <w:rFonts w:asciiTheme="minorHAnsi" w:hAnsiTheme="minorHAnsi"/>
          <w:color w:val="auto"/>
          <w:szCs w:val="24"/>
        </w:rPr>
        <w:t>)</w:t>
      </w:r>
      <w:r w:rsidR="00C75F3D" w:rsidRPr="00A543C4">
        <w:rPr>
          <w:rFonts w:asciiTheme="minorHAnsi" w:hAnsiTheme="minorHAnsi"/>
          <w:color w:val="auto"/>
          <w:szCs w:val="24"/>
        </w:rPr>
        <w:t>,</w:t>
      </w:r>
      <w:r w:rsidR="00E322F7" w:rsidRPr="00A543C4">
        <w:rPr>
          <w:rFonts w:asciiTheme="minorHAnsi" w:hAnsiTheme="minorHAnsi"/>
          <w:color w:val="auto"/>
          <w:szCs w:val="24"/>
        </w:rPr>
        <w:t xml:space="preserve"> </w:t>
      </w:r>
      <w:r w:rsidRPr="00A543C4">
        <w:rPr>
          <w:rFonts w:asciiTheme="minorHAnsi" w:hAnsiTheme="minorHAnsi"/>
          <w:color w:val="auto"/>
          <w:szCs w:val="24"/>
        </w:rPr>
        <w:t xml:space="preserve">medically separated from the </w:t>
      </w:r>
      <w:r w:rsidR="00BE6A47" w:rsidRPr="00A543C4">
        <w:rPr>
          <w:rFonts w:asciiTheme="minorHAnsi" w:hAnsiTheme="minorHAnsi"/>
          <w:color w:val="auto"/>
          <w:szCs w:val="24"/>
        </w:rPr>
        <w:t>Marine Corps</w:t>
      </w:r>
      <w:r w:rsidRPr="00A543C4">
        <w:rPr>
          <w:rFonts w:asciiTheme="minorHAnsi" w:hAnsiTheme="minorHAnsi"/>
          <w:color w:val="auto"/>
          <w:szCs w:val="24"/>
        </w:rPr>
        <w:t xml:space="preserve"> in </w:t>
      </w:r>
      <w:r w:rsidRPr="007B4DEA">
        <w:rPr>
          <w:rFonts w:asciiTheme="minorHAnsi" w:hAnsiTheme="minorHAnsi"/>
          <w:color w:val="auto"/>
          <w:szCs w:val="24"/>
        </w:rPr>
        <w:t>200</w:t>
      </w:r>
      <w:r w:rsidR="001B66B2" w:rsidRPr="007B4DEA">
        <w:rPr>
          <w:rFonts w:asciiTheme="minorHAnsi" w:hAnsiTheme="minorHAnsi"/>
          <w:color w:val="auto"/>
          <w:szCs w:val="24"/>
        </w:rPr>
        <w:t>6</w:t>
      </w:r>
      <w:r w:rsidR="003F1206">
        <w:rPr>
          <w:rFonts w:asciiTheme="minorHAnsi" w:hAnsiTheme="minorHAnsi"/>
          <w:color w:val="auto"/>
          <w:szCs w:val="24"/>
        </w:rPr>
        <w:t>.</w:t>
      </w:r>
      <w:r w:rsidR="00CD14ED">
        <w:rPr>
          <w:rFonts w:asciiTheme="minorHAnsi" w:hAnsiTheme="minorHAnsi"/>
          <w:color w:val="auto"/>
          <w:szCs w:val="24"/>
        </w:rPr>
        <w:t xml:space="preserve"> </w:t>
      </w:r>
      <w:r w:rsidR="00BE6A47">
        <w:rPr>
          <w:rFonts w:asciiTheme="minorHAnsi" w:hAnsiTheme="minorHAnsi"/>
          <w:color w:val="auto"/>
          <w:szCs w:val="24"/>
        </w:rPr>
        <w:t xml:space="preserve"> </w:t>
      </w:r>
      <w:r w:rsidRPr="00AD7F8F">
        <w:rPr>
          <w:rFonts w:asciiTheme="minorHAnsi" w:hAnsiTheme="minorHAnsi"/>
          <w:color w:val="auto"/>
          <w:szCs w:val="24"/>
        </w:rPr>
        <w:t xml:space="preserve">The medical basis for the separation was </w:t>
      </w:r>
      <w:r w:rsidR="00711387">
        <w:rPr>
          <w:rFonts w:asciiTheme="minorHAnsi" w:hAnsiTheme="minorHAnsi"/>
          <w:color w:val="auto"/>
          <w:szCs w:val="24"/>
        </w:rPr>
        <w:t>p</w:t>
      </w:r>
      <w:r w:rsidR="004F289F" w:rsidRPr="00B33047">
        <w:rPr>
          <w:rFonts w:asciiTheme="minorHAnsi" w:hAnsiTheme="minorHAnsi"/>
          <w:color w:val="auto"/>
          <w:szCs w:val="24"/>
        </w:rPr>
        <w:t xml:space="preserve">artial </w:t>
      </w:r>
      <w:r w:rsidR="00711387" w:rsidRPr="00B33047">
        <w:rPr>
          <w:rFonts w:asciiTheme="minorHAnsi" w:hAnsiTheme="minorHAnsi"/>
          <w:color w:val="auto"/>
          <w:szCs w:val="24"/>
        </w:rPr>
        <w:t>e</w:t>
      </w:r>
      <w:r w:rsidR="004F289F" w:rsidRPr="00B33047">
        <w:rPr>
          <w:rFonts w:asciiTheme="minorHAnsi" w:hAnsiTheme="minorHAnsi"/>
          <w:color w:val="auto"/>
          <w:szCs w:val="24"/>
        </w:rPr>
        <w:t xml:space="preserve">pilepsy with </w:t>
      </w:r>
      <w:r w:rsidR="00711387" w:rsidRPr="00B33047">
        <w:rPr>
          <w:rFonts w:asciiTheme="minorHAnsi" w:hAnsiTheme="minorHAnsi"/>
          <w:color w:val="auto"/>
          <w:szCs w:val="24"/>
        </w:rPr>
        <w:t>i</w:t>
      </w:r>
      <w:r w:rsidR="004F289F" w:rsidRPr="00B33047">
        <w:rPr>
          <w:rFonts w:asciiTheme="minorHAnsi" w:hAnsiTheme="minorHAnsi"/>
          <w:color w:val="auto"/>
          <w:szCs w:val="24"/>
        </w:rPr>
        <w:t xml:space="preserve">mpairment of </w:t>
      </w:r>
      <w:r w:rsidR="00711387" w:rsidRPr="00B33047">
        <w:rPr>
          <w:rFonts w:asciiTheme="minorHAnsi" w:hAnsiTheme="minorHAnsi"/>
          <w:color w:val="auto"/>
          <w:szCs w:val="24"/>
        </w:rPr>
        <w:t>c</w:t>
      </w:r>
      <w:r w:rsidR="004F289F" w:rsidRPr="00B33047">
        <w:rPr>
          <w:rFonts w:asciiTheme="minorHAnsi" w:hAnsiTheme="minorHAnsi"/>
          <w:color w:val="auto"/>
          <w:szCs w:val="24"/>
        </w:rPr>
        <w:t>onsciousness</w:t>
      </w:r>
      <w:r w:rsidR="004F289F">
        <w:rPr>
          <w:rFonts w:asciiTheme="minorHAnsi" w:hAnsiTheme="minorHAnsi"/>
          <w:color w:val="auto"/>
          <w:szCs w:val="24"/>
        </w:rPr>
        <w:t>.</w:t>
      </w:r>
      <w:r w:rsidR="005604E0">
        <w:rPr>
          <w:rFonts w:asciiTheme="minorHAnsi" w:hAnsiTheme="minorHAnsi"/>
          <w:color w:val="auto"/>
          <w:szCs w:val="24"/>
        </w:rPr>
        <w:t xml:space="preserve">  </w:t>
      </w:r>
      <w:r w:rsidR="005604E0" w:rsidRPr="00B33047">
        <w:rPr>
          <w:rFonts w:asciiTheme="minorHAnsi" w:hAnsiTheme="minorHAnsi"/>
          <w:color w:val="auto"/>
          <w:szCs w:val="24"/>
        </w:rPr>
        <w:t>CI experienced two seizures while on active duty.  The first</w:t>
      </w:r>
      <w:r w:rsidR="00711387" w:rsidRPr="00B33047">
        <w:rPr>
          <w:rFonts w:asciiTheme="minorHAnsi" w:hAnsiTheme="minorHAnsi"/>
          <w:color w:val="auto"/>
          <w:szCs w:val="24"/>
        </w:rPr>
        <w:t xml:space="preserve"> </w:t>
      </w:r>
      <w:r w:rsidR="00F86FCB" w:rsidRPr="00B33047">
        <w:rPr>
          <w:rFonts w:asciiTheme="minorHAnsi" w:hAnsiTheme="minorHAnsi"/>
          <w:color w:val="auto"/>
          <w:szCs w:val="24"/>
        </w:rPr>
        <w:t xml:space="preserve">seizure </w:t>
      </w:r>
      <w:r w:rsidR="00711387" w:rsidRPr="00B33047">
        <w:rPr>
          <w:rFonts w:asciiTheme="minorHAnsi" w:hAnsiTheme="minorHAnsi"/>
          <w:color w:val="auto"/>
          <w:szCs w:val="24"/>
        </w:rPr>
        <w:t>occurred</w:t>
      </w:r>
      <w:r w:rsidR="005604E0" w:rsidRPr="00B33047">
        <w:rPr>
          <w:rFonts w:asciiTheme="minorHAnsi" w:hAnsiTheme="minorHAnsi"/>
          <w:color w:val="auto"/>
          <w:szCs w:val="24"/>
        </w:rPr>
        <w:t xml:space="preserve"> in April 2003 while</w:t>
      </w:r>
      <w:r w:rsidR="005604E0">
        <w:rPr>
          <w:rFonts w:asciiTheme="minorHAnsi" w:hAnsiTheme="minorHAnsi"/>
          <w:color w:val="auto"/>
        </w:rPr>
        <w:t xml:space="preserve"> on extended active duty for training.  The seizure was thought to be related to alcohol and supplements</w:t>
      </w:r>
      <w:r w:rsidR="005103BD">
        <w:rPr>
          <w:rFonts w:asciiTheme="minorHAnsi" w:hAnsiTheme="minorHAnsi"/>
          <w:color w:val="auto"/>
        </w:rPr>
        <w:t>,</w:t>
      </w:r>
      <w:r w:rsidR="005604E0">
        <w:rPr>
          <w:rFonts w:asciiTheme="minorHAnsi" w:hAnsiTheme="minorHAnsi"/>
          <w:color w:val="auto"/>
        </w:rPr>
        <w:t xml:space="preserve"> and he was not referred for </w:t>
      </w:r>
      <w:r w:rsidR="00FA67C6">
        <w:rPr>
          <w:rFonts w:asciiTheme="minorHAnsi" w:hAnsiTheme="minorHAnsi"/>
          <w:color w:val="auto"/>
        </w:rPr>
        <w:t xml:space="preserve">a </w:t>
      </w:r>
      <w:r w:rsidR="00FA67C6" w:rsidRPr="00326C08">
        <w:rPr>
          <w:rFonts w:asciiTheme="minorHAnsi" w:hAnsiTheme="minorHAnsi"/>
          <w:color w:val="auto"/>
          <w:szCs w:val="24"/>
        </w:rPr>
        <w:t>Medical Evaluation Board (MEB)</w:t>
      </w:r>
      <w:r w:rsidR="005604E0">
        <w:rPr>
          <w:rFonts w:asciiTheme="minorHAnsi" w:hAnsiTheme="minorHAnsi"/>
          <w:color w:val="auto"/>
        </w:rPr>
        <w:t xml:space="preserve">.  He was called to active duty in January 2004 and deployed to Iraq.  </w:t>
      </w:r>
      <w:r w:rsidR="00246B9E">
        <w:rPr>
          <w:rFonts w:asciiTheme="minorHAnsi" w:hAnsiTheme="minorHAnsi"/>
          <w:color w:val="auto"/>
          <w:szCs w:val="24"/>
        </w:rPr>
        <w:t>In April 200</w:t>
      </w:r>
      <w:r w:rsidR="002C71E0">
        <w:rPr>
          <w:rFonts w:asciiTheme="minorHAnsi" w:hAnsiTheme="minorHAnsi"/>
          <w:color w:val="auto"/>
          <w:szCs w:val="24"/>
        </w:rPr>
        <w:t>4 w</w:t>
      </w:r>
      <w:r w:rsidR="00BE6A47">
        <w:rPr>
          <w:rFonts w:asciiTheme="minorHAnsi" w:hAnsiTheme="minorHAnsi"/>
          <w:color w:val="auto"/>
          <w:szCs w:val="24"/>
        </w:rPr>
        <w:t xml:space="preserve">hile serving </w:t>
      </w:r>
      <w:r w:rsidR="001B66B2">
        <w:rPr>
          <w:rFonts w:asciiTheme="minorHAnsi" w:hAnsiTheme="minorHAnsi"/>
          <w:color w:val="auto"/>
          <w:szCs w:val="24"/>
        </w:rPr>
        <w:t xml:space="preserve">on active duty </w:t>
      </w:r>
      <w:r w:rsidR="00BE6A47">
        <w:rPr>
          <w:rFonts w:asciiTheme="minorHAnsi" w:hAnsiTheme="minorHAnsi"/>
          <w:color w:val="auto"/>
          <w:szCs w:val="24"/>
        </w:rPr>
        <w:t>in Iraq</w:t>
      </w:r>
      <w:r w:rsidR="002C71E0">
        <w:rPr>
          <w:rFonts w:asciiTheme="minorHAnsi" w:hAnsiTheme="minorHAnsi"/>
          <w:color w:val="auto"/>
          <w:szCs w:val="24"/>
        </w:rPr>
        <w:t xml:space="preserve">, </w:t>
      </w:r>
      <w:r w:rsidR="005103BD">
        <w:rPr>
          <w:rFonts w:asciiTheme="minorHAnsi" w:hAnsiTheme="minorHAnsi"/>
          <w:color w:val="auto"/>
          <w:szCs w:val="24"/>
        </w:rPr>
        <w:t xml:space="preserve">the </w:t>
      </w:r>
      <w:r w:rsidR="00BE6A47">
        <w:rPr>
          <w:rFonts w:asciiTheme="minorHAnsi" w:hAnsiTheme="minorHAnsi"/>
          <w:color w:val="auto"/>
          <w:szCs w:val="24"/>
        </w:rPr>
        <w:t xml:space="preserve">CI </w:t>
      </w:r>
      <w:r w:rsidR="00B678B4">
        <w:rPr>
          <w:rFonts w:asciiTheme="minorHAnsi" w:hAnsiTheme="minorHAnsi"/>
          <w:color w:val="auto"/>
          <w:szCs w:val="24"/>
        </w:rPr>
        <w:t xml:space="preserve">was hospitalized for </w:t>
      </w:r>
      <w:r w:rsidR="00CF1E4A">
        <w:rPr>
          <w:rFonts w:asciiTheme="minorHAnsi" w:hAnsiTheme="minorHAnsi"/>
          <w:color w:val="auto"/>
          <w:szCs w:val="24"/>
        </w:rPr>
        <w:t xml:space="preserve">a </w:t>
      </w:r>
      <w:r w:rsidR="00246B9E">
        <w:rPr>
          <w:rFonts w:asciiTheme="minorHAnsi" w:hAnsiTheme="minorHAnsi"/>
          <w:color w:val="auto"/>
          <w:szCs w:val="24"/>
        </w:rPr>
        <w:t xml:space="preserve">witnessed </w:t>
      </w:r>
      <w:r w:rsidR="00CF1E4A">
        <w:rPr>
          <w:rFonts w:asciiTheme="minorHAnsi" w:hAnsiTheme="minorHAnsi"/>
          <w:color w:val="auto"/>
          <w:szCs w:val="24"/>
        </w:rPr>
        <w:t>seizure episode that occurred shortly after going to bed</w:t>
      </w:r>
      <w:r w:rsidR="00246B9E">
        <w:rPr>
          <w:rFonts w:asciiTheme="minorHAnsi" w:hAnsiTheme="minorHAnsi"/>
          <w:color w:val="auto"/>
          <w:szCs w:val="24"/>
        </w:rPr>
        <w:t>.</w:t>
      </w:r>
      <w:r w:rsidR="005604E0">
        <w:rPr>
          <w:rFonts w:asciiTheme="minorHAnsi" w:hAnsiTheme="minorHAnsi"/>
          <w:color w:val="auto"/>
          <w:szCs w:val="24"/>
        </w:rPr>
        <w:t xml:space="preserve">  </w:t>
      </w:r>
      <w:r w:rsidR="00711387">
        <w:rPr>
          <w:rFonts w:asciiTheme="minorHAnsi" w:hAnsiTheme="minorHAnsi"/>
          <w:color w:val="auto"/>
          <w:szCs w:val="24"/>
        </w:rPr>
        <w:t>The ev</w:t>
      </w:r>
      <w:r w:rsidR="001B66B2">
        <w:rPr>
          <w:rFonts w:asciiTheme="minorHAnsi" w:hAnsiTheme="minorHAnsi"/>
          <w:color w:val="auto"/>
          <w:szCs w:val="24"/>
        </w:rPr>
        <w:t>aluation concluded with a diagnosis of epilepsy, medically disqualifying for continued military service</w:t>
      </w:r>
      <w:r w:rsidR="005103BD">
        <w:rPr>
          <w:rFonts w:asciiTheme="minorHAnsi" w:hAnsiTheme="minorHAnsi"/>
          <w:color w:val="auto"/>
          <w:szCs w:val="24"/>
        </w:rPr>
        <w:t>,</w:t>
      </w:r>
      <w:r w:rsidR="001B66B2">
        <w:rPr>
          <w:rFonts w:asciiTheme="minorHAnsi" w:hAnsiTheme="minorHAnsi"/>
          <w:color w:val="auto"/>
          <w:szCs w:val="24"/>
        </w:rPr>
        <w:t xml:space="preserve"> </w:t>
      </w:r>
      <w:r w:rsidR="001F37A6" w:rsidRPr="00326C08">
        <w:rPr>
          <w:rFonts w:asciiTheme="minorHAnsi" w:hAnsiTheme="minorHAnsi"/>
          <w:color w:val="auto"/>
          <w:szCs w:val="24"/>
        </w:rPr>
        <w:t xml:space="preserve">and </w:t>
      </w:r>
      <w:r w:rsidR="00711387">
        <w:rPr>
          <w:rFonts w:asciiTheme="minorHAnsi" w:hAnsiTheme="minorHAnsi"/>
          <w:color w:val="auto"/>
          <w:szCs w:val="24"/>
        </w:rPr>
        <w:t xml:space="preserve">the </w:t>
      </w:r>
      <w:r w:rsidR="00246B9E">
        <w:rPr>
          <w:rFonts w:asciiTheme="minorHAnsi" w:hAnsiTheme="minorHAnsi"/>
          <w:color w:val="auto"/>
          <w:szCs w:val="24"/>
        </w:rPr>
        <w:t xml:space="preserve">CI </w:t>
      </w:r>
      <w:r w:rsidR="001F37A6" w:rsidRPr="00326C08">
        <w:rPr>
          <w:rFonts w:asciiTheme="minorHAnsi" w:hAnsiTheme="minorHAnsi"/>
          <w:color w:val="auto"/>
          <w:szCs w:val="24"/>
        </w:rPr>
        <w:t>underwent a</w:t>
      </w:r>
      <w:r w:rsidR="00FA67C6">
        <w:rPr>
          <w:rFonts w:asciiTheme="minorHAnsi" w:hAnsiTheme="minorHAnsi"/>
          <w:color w:val="auto"/>
          <w:szCs w:val="24"/>
        </w:rPr>
        <w:t>n MEB</w:t>
      </w:r>
      <w:r w:rsidR="001F37A6" w:rsidRPr="00326C08">
        <w:rPr>
          <w:rFonts w:asciiTheme="minorHAnsi" w:hAnsiTheme="minorHAnsi"/>
          <w:color w:val="auto"/>
          <w:szCs w:val="24"/>
        </w:rPr>
        <w:t>.</w:t>
      </w:r>
      <w:r w:rsidR="001F37A6">
        <w:rPr>
          <w:rFonts w:asciiTheme="minorHAnsi" w:hAnsiTheme="minorHAnsi"/>
          <w:color w:val="auto"/>
          <w:szCs w:val="24"/>
        </w:rPr>
        <w:t xml:space="preserve">  Partial </w:t>
      </w:r>
      <w:r w:rsidR="00711387">
        <w:rPr>
          <w:rFonts w:asciiTheme="minorHAnsi" w:hAnsiTheme="minorHAnsi"/>
          <w:color w:val="auto"/>
          <w:szCs w:val="24"/>
        </w:rPr>
        <w:t>e</w:t>
      </w:r>
      <w:r w:rsidR="001F37A6">
        <w:rPr>
          <w:rFonts w:asciiTheme="minorHAnsi" w:hAnsiTheme="minorHAnsi"/>
          <w:color w:val="auto"/>
          <w:szCs w:val="24"/>
        </w:rPr>
        <w:t xml:space="preserve">pilepsy with </w:t>
      </w:r>
      <w:r w:rsidR="00711387">
        <w:rPr>
          <w:rFonts w:asciiTheme="minorHAnsi" w:hAnsiTheme="minorHAnsi"/>
          <w:color w:val="auto"/>
          <w:szCs w:val="24"/>
        </w:rPr>
        <w:t>i</w:t>
      </w:r>
      <w:r w:rsidR="001F37A6">
        <w:rPr>
          <w:rFonts w:asciiTheme="minorHAnsi" w:hAnsiTheme="minorHAnsi"/>
          <w:color w:val="auto"/>
          <w:szCs w:val="24"/>
        </w:rPr>
        <w:t xml:space="preserve">mpairment of </w:t>
      </w:r>
      <w:r w:rsidR="00711387">
        <w:rPr>
          <w:rFonts w:asciiTheme="minorHAnsi" w:hAnsiTheme="minorHAnsi"/>
          <w:color w:val="auto"/>
          <w:szCs w:val="24"/>
        </w:rPr>
        <w:t>c</w:t>
      </w:r>
      <w:r w:rsidR="001F37A6">
        <w:rPr>
          <w:rFonts w:asciiTheme="minorHAnsi" w:hAnsiTheme="minorHAnsi"/>
          <w:color w:val="auto"/>
          <w:szCs w:val="24"/>
        </w:rPr>
        <w:t>onsciousness</w:t>
      </w:r>
      <w:r w:rsidR="001F37A6" w:rsidRPr="001F37A6">
        <w:rPr>
          <w:rFonts w:asciiTheme="minorHAnsi" w:hAnsiTheme="minorHAnsi"/>
          <w:color w:val="auto"/>
          <w:szCs w:val="24"/>
        </w:rPr>
        <w:t xml:space="preserve"> </w:t>
      </w:r>
      <w:r w:rsidR="001F37A6" w:rsidRPr="00396779">
        <w:rPr>
          <w:rFonts w:asciiTheme="minorHAnsi" w:hAnsiTheme="minorHAnsi"/>
          <w:color w:val="auto"/>
          <w:szCs w:val="24"/>
        </w:rPr>
        <w:t>w</w:t>
      </w:r>
      <w:r w:rsidR="001F37A6">
        <w:rPr>
          <w:rFonts w:asciiTheme="minorHAnsi" w:hAnsiTheme="minorHAnsi"/>
          <w:color w:val="auto"/>
          <w:szCs w:val="24"/>
        </w:rPr>
        <w:t>as</w:t>
      </w:r>
      <w:r w:rsidR="001F37A6" w:rsidRPr="00396779">
        <w:rPr>
          <w:rFonts w:asciiTheme="minorHAnsi" w:hAnsiTheme="minorHAnsi"/>
          <w:color w:val="auto"/>
          <w:szCs w:val="24"/>
        </w:rPr>
        <w:t xml:space="preserve"> </w:t>
      </w:r>
      <w:r w:rsidR="001F37A6" w:rsidRPr="0013525F">
        <w:rPr>
          <w:rFonts w:asciiTheme="minorHAnsi" w:hAnsiTheme="minorHAnsi"/>
          <w:color w:val="auto"/>
          <w:szCs w:val="24"/>
        </w:rPr>
        <w:t xml:space="preserve">forwarded to the </w:t>
      </w:r>
      <w:r w:rsidR="001F37A6" w:rsidRPr="00396779">
        <w:rPr>
          <w:rFonts w:asciiTheme="minorHAnsi" w:hAnsiTheme="minorHAnsi"/>
          <w:color w:val="auto"/>
          <w:szCs w:val="24"/>
        </w:rPr>
        <w:t xml:space="preserve">Physical Evaluation Board (PEB) </w:t>
      </w:r>
      <w:r w:rsidR="00021C1E">
        <w:rPr>
          <w:rFonts w:asciiTheme="minorHAnsi" w:hAnsiTheme="minorHAnsi"/>
          <w:color w:val="auto"/>
          <w:szCs w:val="24"/>
        </w:rPr>
        <w:t xml:space="preserve">as </w:t>
      </w:r>
      <w:r w:rsidR="001F37A6" w:rsidRPr="00021C1E">
        <w:rPr>
          <w:rFonts w:asciiTheme="minorHAnsi" w:hAnsiTheme="minorHAnsi"/>
          <w:color w:val="auto"/>
          <w:szCs w:val="24"/>
        </w:rPr>
        <w:t>medically unacceptable</w:t>
      </w:r>
      <w:r w:rsidR="001B66B2">
        <w:rPr>
          <w:rFonts w:asciiTheme="minorHAnsi" w:hAnsiTheme="minorHAnsi"/>
          <w:color w:val="auto"/>
          <w:szCs w:val="24"/>
        </w:rPr>
        <w:t xml:space="preserve">.  </w:t>
      </w:r>
      <w:r w:rsidR="00021C1E" w:rsidRPr="00C472C7">
        <w:rPr>
          <w:rFonts w:asciiTheme="minorHAnsi" w:hAnsiTheme="minorHAnsi"/>
          <w:color w:val="auto"/>
          <w:szCs w:val="24"/>
        </w:rPr>
        <w:t xml:space="preserve">The informal PEB </w:t>
      </w:r>
      <w:r w:rsidR="00FA67C6">
        <w:rPr>
          <w:rFonts w:asciiTheme="minorHAnsi" w:hAnsiTheme="minorHAnsi"/>
          <w:color w:val="auto"/>
          <w:szCs w:val="24"/>
        </w:rPr>
        <w:t xml:space="preserve">(IPEB) </w:t>
      </w:r>
      <w:r w:rsidR="00021C1E" w:rsidRPr="00C472C7">
        <w:rPr>
          <w:rFonts w:asciiTheme="minorHAnsi" w:hAnsiTheme="minorHAnsi"/>
          <w:color w:val="auto"/>
          <w:szCs w:val="24"/>
        </w:rPr>
        <w:t xml:space="preserve">adjudicated the </w:t>
      </w:r>
      <w:r w:rsidR="00711387">
        <w:rPr>
          <w:rFonts w:asciiTheme="minorHAnsi" w:hAnsiTheme="minorHAnsi"/>
          <w:color w:val="auto"/>
          <w:szCs w:val="24"/>
        </w:rPr>
        <w:t>p</w:t>
      </w:r>
      <w:r w:rsidR="00021C1E">
        <w:rPr>
          <w:rFonts w:asciiTheme="minorHAnsi" w:hAnsiTheme="minorHAnsi"/>
          <w:color w:val="auto"/>
          <w:szCs w:val="24"/>
        </w:rPr>
        <w:t xml:space="preserve">artial </w:t>
      </w:r>
      <w:r w:rsidR="00711387">
        <w:rPr>
          <w:rFonts w:asciiTheme="minorHAnsi" w:hAnsiTheme="minorHAnsi"/>
          <w:color w:val="auto"/>
          <w:szCs w:val="24"/>
        </w:rPr>
        <w:t>e</w:t>
      </w:r>
      <w:r w:rsidR="00021C1E">
        <w:rPr>
          <w:rFonts w:asciiTheme="minorHAnsi" w:hAnsiTheme="minorHAnsi"/>
          <w:color w:val="auto"/>
          <w:szCs w:val="24"/>
        </w:rPr>
        <w:t xml:space="preserve">pilepsy with </w:t>
      </w:r>
      <w:r w:rsidR="00711387">
        <w:rPr>
          <w:rFonts w:asciiTheme="minorHAnsi" w:hAnsiTheme="minorHAnsi"/>
          <w:color w:val="auto"/>
          <w:szCs w:val="24"/>
        </w:rPr>
        <w:t>i</w:t>
      </w:r>
      <w:r w:rsidR="00021C1E">
        <w:rPr>
          <w:rFonts w:asciiTheme="minorHAnsi" w:hAnsiTheme="minorHAnsi"/>
          <w:color w:val="auto"/>
          <w:szCs w:val="24"/>
        </w:rPr>
        <w:t xml:space="preserve">mpairment of </w:t>
      </w:r>
      <w:r w:rsidR="00711387">
        <w:rPr>
          <w:rFonts w:asciiTheme="minorHAnsi" w:hAnsiTheme="minorHAnsi"/>
          <w:color w:val="auto"/>
          <w:szCs w:val="24"/>
        </w:rPr>
        <w:t>c</w:t>
      </w:r>
      <w:r w:rsidR="00021C1E">
        <w:rPr>
          <w:rFonts w:asciiTheme="minorHAnsi" w:hAnsiTheme="minorHAnsi"/>
          <w:color w:val="auto"/>
          <w:szCs w:val="24"/>
        </w:rPr>
        <w:t>onsciousness</w:t>
      </w:r>
      <w:r w:rsidR="00021C1E" w:rsidRPr="00C472C7">
        <w:rPr>
          <w:rFonts w:asciiTheme="minorHAnsi" w:hAnsiTheme="minorHAnsi"/>
          <w:color w:val="auto"/>
          <w:szCs w:val="24"/>
        </w:rPr>
        <w:t xml:space="preserve"> condition as unfitting</w:t>
      </w:r>
      <w:r w:rsidR="00021C1E">
        <w:rPr>
          <w:rFonts w:asciiTheme="minorHAnsi" w:hAnsiTheme="minorHAnsi"/>
          <w:color w:val="auto"/>
          <w:szCs w:val="24"/>
        </w:rPr>
        <w:t xml:space="preserve">, </w:t>
      </w:r>
      <w:r w:rsidR="00021C1E" w:rsidRPr="00C472C7">
        <w:rPr>
          <w:rFonts w:asciiTheme="minorHAnsi" w:hAnsiTheme="minorHAnsi"/>
          <w:color w:val="auto"/>
          <w:szCs w:val="24"/>
        </w:rPr>
        <w:t xml:space="preserve">with </w:t>
      </w:r>
      <w:r w:rsidR="00FA5469">
        <w:rPr>
          <w:rFonts w:asciiTheme="minorHAnsi" w:hAnsiTheme="minorHAnsi"/>
          <w:color w:val="auto"/>
          <w:szCs w:val="24"/>
        </w:rPr>
        <w:t xml:space="preserve">likely </w:t>
      </w:r>
      <w:r w:rsidR="00021C1E" w:rsidRPr="00C472C7">
        <w:rPr>
          <w:rFonts w:asciiTheme="minorHAnsi" w:hAnsiTheme="minorHAnsi"/>
          <w:color w:val="auto"/>
          <w:szCs w:val="24"/>
        </w:rPr>
        <w:t>application of the SECNAVINST 1850.4E</w:t>
      </w:r>
      <w:r w:rsidR="00246B9E">
        <w:rPr>
          <w:rFonts w:asciiTheme="minorHAnsi" w:hAnsiTheme="minorHAnsi"/>
          <w:color w:val="auto"/>
          <w:szCs w:val="24"/>
        </w:rPr>
        <w:t xml:space="preserve"> </w:t>
      </w:r>
      <w:r w:rsidR="00391D60" w:rsidRPr="00391D60">
        <w:rPr>
          <w:rFonts w:asciiTheme="minorHAnsi" w:hAnsiTheme="minorHAnsi"/>
          <w:color w:val="auto"/>
          <w:szCs w:val="24"/>
        </w:rPr>
        <w:t>Enclosure (9)</w:t>
      </w:r>
      <w:r w:rsidR="00391D60">
        <w:rPr>
          <w:rFonts w:asciiTheme="minorHAnsi" w:hAnsiTheme="minorHAnsi"/>
          <w:color w:val="auto"/>
          <w:szCs w:val="24"/>
        </w:rPr>
        <w:t xml:space="preserve"> </w:t>
      </w:r>
      <w:r w:rsidR="00FD5E7F">
        <w:rPr>
          <w:rFonts w:asciiTheme="minorHAnsi" w:hAnsiTheme="minorHAnsi"/>
          <w:color w:val="auto"/>
          <w:szCs w:val="24"/>
        </w:rPr>
        <w:t>and DoDI 1332.3</w:t>
      </w:r>
      <w:r w:rsidR="005604E0">
        <w:rPr>
          <w:rFonts w:asciiTheme="minorHAnsi" w:hAnsiTheme="minorHAnsi"/>
          <w:color w:val="auto"/>
          <w:szCs w:val="24"/>
        </w:rPr>
        <w:t>9</w:t>
      </w:r>
      <w:r w:rsidR="00FD5E7F">
        <w:rPr>
          <w:rFonts w:asciiTheme="minorHAnsi" w:hAnsiTheme="minorHAnsi"/>
          <w:color w:val="auto"/>
          <w:szCs w:val="24"/>
        </w:rPr>
        <w:t>, E2.A1.4.3</w:t>
      </w:r>
      <w:r w:rsidR="00711387">
        <w:rPr>
          <w:rFonts w:asciiTheme="minorHAnsi" w:hAnsiTheme="minorHAnsi"/>
          <w:color w:val="auto"/>
          <w:szCs w:val="24"/>
        </w:rPr>
        <w:t>.  He</w:t>
      </w:r>
      <w:r w:rsidR="00021C1E" w:rsidRPr="00396779">
        <w:rPr>
          <w:rFonts w:asciiTheme="minorHAnsi" w:hAnsiTheme="minorHAnsi"/>
          <w:color w:val="auto"/>
          <w:szCs w:val="24"/>
        </w:rPr>
        <w:t xml:space="preserve"> was placed </w:t>
      </w:r>
      <w:r w:rsidR="00021C1E" w:rsidRPr="004E17DE">
        <w:rPr>
          <w:rFonts w:asciiTheme="minorHAnsi" w:hAnsiTheme="minorHAnsi"/>
          <w:color w:val="auto"/>
          <w:szCs w:val="24"/>
        </w:rPr>
        <w:t xml:space="preserve">on </w:t>
      </w:r>
      <w:r w:rsidR="00021C1E">
        <w:rPr>
          <w:rFonts w:asciiTheme="minorHAnsi" w:hAnsiTheme="minorHAnsi"/>
          <w:color w:val="auto"/>
          <w:szCs w:val="24"/>
        </w:rPr>
        <w:t xml:space="preserve">the </w:t>
      </w:r>
      <w:r w:rsidR="00021C1E" w:rsidRPr="004E17DE">
        <w:rPr>
          <w:rFonts w:asciiTheme="minorHAnsi" w:hAnsiTheme="minorHAnsi"/>
          <w:color w:val="auto"/>
          <w:szCs w:val="24"/>
        </w:rPr>
        <w:t xml:space="preserve">Temporary Disability Retired List (TDRL) </w:t>
      </w:r>
      <w:r w:rsidR="00246B9E">
        <w:rPr>
          <w:rFonts w:asciiTheme="minorHAnsi" w:hAnsiTheme="minorHAnsi"/>
          <w:color w:val="auto"/>
          <w:szCs w:val="24"/>
        </w:rPr>
        <w:t xml:space="preserve">in </w:t>
      </w:r>
      <w:r w:rsidR="002C4835" w:rsidRPr="00B33047">
        <w:rPr>
          <w:rFonts w:asciiTheme="minorHAnsi" w:hAnsiTheme="minorHAnsi"/>
          <w:color w:val="auto"/>
          <w:szCs w:val="24"/>
        </w:rPr>
        <w:t xml:space="preserve">August </w:t>
      </w:r>
      <w:r w:rsidR="00021C1E" w:rsidRPr="00B33047">
        <w:rPr>
          <w:rFonts w:asciiTheme="minorHAnsi" w:hAnsiTheme="minorHAnsi"/>
          <w:color w:val="auto"/>
          <w:szCs w:val="24"/>
        </w:rPr>
        <w:t>2004</w:t>
      </w:r>
      <w:r w:rsidR="00021C1E" w:rsidRPr="004E17DE">
        <w:rPr>
          <w:rFonts w:asciiTheme="minorHAnsi" w:hAnsiTheme="minorHAnsi"/>
          <w:color w:val="auto"/>
          <w:szCs w:val="24"/>
        </w:rPr>
        <w:t xml:space="preserve"> with </w:t>
      </w:r>
      <w:r w:rsidR="00246B9E">
        <w:rPr>
          <w:rFonts w:asciiTheme="minorHAnsi" w:hAnsiTheme="minorHAnsi"/>
          <w:color w:val="auto"/>
          <w:szCs w:val="24"/>
        </w:rPr>
        <w:t xml:space="preserve">a </w:t>
      </w:r>
      <w:r w:rsidR="00021C1E" w:rsidRPr="004E17DE">
        <w:rPr>
          <w:rFonts w:asciiTheme="minorHAnsi" w:hAnsiTheme="minorHAnsi"/>
          <w:color w:val="auto"/>
          <w:szCs w:val="24"/>
        </w:rPr>
        <w:t>rating</w:t>
      </w:r>
      <w:r w:rsidR="00246B9E">
        <w:rPr>
          <w:rFonts w:asciiTheme="minorHAnsi" w:hAnsiTheme="minorHAnsi"/>
          <w:color w:val="auto"/>
          <w:szCs w:val="24"/>
        </w:rPr>
        <w:t xml:space="preserve"> of 40%.  He underwent TDRL reevaluation in </w:t>
      </w:r>
      <w:r w:rsidR="00D444C9">
        <w:rPr>
          <w:rFonts w:asciiTheme="minorHAnsi" w:hAnsiTheme="minorHAnsi"/>
          <w:color w:val="auto"/>
          <w:szCs w:val="24"/>
        </w:rPr>
        <w:t xml:space="preserve">the spring of </w:t>
      </w:r>
      <w:r w:rsidR="00246B9E">
        <w:rPr>
          <w:rFonts w:asciiTheme="minorHAnsi" w:hAnsiTheme="minorHAnsi"/>
          <w:color w:val="auto"/>
          <w:szCs w:val="24"/>
        </w:rPr>
        <w:t>2006</w:t>
      </w:r>
      <w:r w:rsidR="005103BD">
        <w:rPr>
          <w:rFonts w:asciiTheme="minorHAnsi" w:hAnsiTheme="minorHAnsi"/>
          <w:color w:val="auto"/>
          <w:szCs w:val="24"/>
        </w:rPr>
        <w:t>,</w:t>
      </w:r>
      <w:r w:rsidR="00246B9E">
        <w:rPr>
          <w:rFonts w:asciiTheme="minorHAnsi" w:hAnsiTheme="minorHAnsi"/>
          <w:color w:val="auto"/>
          <w:szCs w:val="24"/>
        </w:rPr>
        <w:t xml:space="preserve"> and the IPEB removed him from the TDRL with a permanent rating of 20%.  </w:t>
      </w:r>
      <w:r w:rsidR="00021C1E" w:rsidRPr="00B33047">
        <w:rPr>
          <w:rFonts w:asciiTheme="minorHAnsi" w:hAnsiTheme="minorHAnsi"/>
          <w:color w:val="auto"/>
          <w:szCs w:val="24"/>
        </w:rPr>
        <w:t xml:space="preserve">The CI </w:t>
      </w:r>
      <w:r w:rsidR="002C4835" w:rsidRPr="00B33047">
        <w:rPr>
          <w:rFonts w:asciiTheme="minorHAnsi" w:hAnsiTheme="minorHAnsi"/>
          <w:color w:val="auto"/>
          <w:szCs w:val="24"/>
        </w:rPr>
        <w:t xml:space="preserve">appealed to the </w:t>
      </w:r>
      <w:r w:rsidR="00CB7BCF" w:rsidRPr="00B33047">
        <w:rPr>
          <w:rFonts w:asciiTheme="minorHAnsi" w:hAnsiTheme="minorHAnsi"/>
          <w:color w:val="auto"/>
          <w:szCs w:val="24"/>
        </w:rPr>
        <w:t>f</w:t>
      </w:r>
      <w:r w:rsidR="002C4835" w:rsidRPr="00B33047">
        <w:rPr>
          <w:rFonts w:asciiTheme="minorHAnsi" w:hAnsiTheme="minorHAnsi"/>
          <w:color w:val="auto"/>
          <w:szCs w:val="24"/>
        </w:rPr>
        <w:t xml:space="preserve">ormal PEB in </w:t>
      </w:r>
      <w:r w:rsidR="00D444C9" w:rsidRPr="00B33047">
        <w:rPr>
          <w:rFonts w:asciiTheme="minorHAnsi" w:hAnsiTheme="minorHAnsi"/>
          <w:color w:val="auto"/>
          <w:szCs w:val="24"/>
        </w:rPr>
        <w:t xml:space="preserve">May </w:t>
      </w:r>
      <w:r w:rsidR="002C4835" w:rsidRPr="00B33047">
        <w:rPr>
          <w:rFonts w:asciiTheme="minorHAnsi" w:hAnsiTheme="minorHAnsi"/>
          <w:color w:val="auto"/>
          <w:szCs w:val="24"/>
        </w:rPr>
        <w:t xml:space="preserve">2006, </w:t>
      </w:r>
      <w:r w:rsidR="00021C1E" w:rsidRPr="00B33047">
        <w:rPr>
          <w:rFonts w:asciiTheme="minorHAnsi" w:hAnsiTheme="minorHAnsi"/>
          <w:color w:val="auto"/>
          <w:szCs w:val="24"/>
        </w:rPr>
        <w:t>and</w:t>
      </w:r>
      <w:r w:rsidR="00021C1E" w:rsidRPr="00021C1E">
        <w:rPr>
          <w:rFonts w:asciiTheme="minorHAnsi" w:hAnsiTheme="minorHAnsi"/>
          <w:color w:val="auto"/>
        </w:rPr>
        <w:t xml:space="preserve"> was then medically separated </w:t>
      </w:r>
      <w:r w:rsidR="00D444C9">
        <w:rPr>
          <w:rFonts w:asciiTheme="minorHAnsi" w:hAnsiTheme="minorHAnsi"/>
          <w:color w:val="auto"/>
        </w:rPr>
        <w:t xml:space="preserve">in August 2006 </w:t>
      </w:r>
      <w:r w:rsidR="00021C1E" w:rsidRPr="00021C1E">
        <w:rPr>
          <w:rFonts w:asciiTheme="minorHAnsi" w:hAnsiTheme="minorHAnsi"/>
          <w:color w:val="auto"/>
        </w:rPr>
        <w:t>with a 20% disability rating.</w:t>
      </w:r>
      <w:r w:rsidR="00021C1E" w:rsidRPr="00326C08">
        <w:rPr>
          <w:rFonts w:asciiTheme="minorHAnsi" w:hAnsiTheme="minorHAnsi"/>
          <w:color w:val="auto"/>
        </w:rPr>
        <w:t xml:space="preserve">  </w:t>
      </w:r>
    </w:p>
    <w:p w:rsidR="001F37A6" w:rsidRPr="00CD5BD7" w:rsidRDefault="001F37A6" w:rsidP="001F37A6">
      <w:pPr>
        <w:pBdr>
          <w:bottom w:val="single" w:sz="12" w:space="1" w:color="auto"/>
        </w:pBdr>
        <w:tabs>
          <w:tab w:val="left" w:pos="288"/>
          <w:tab w:val="left" w:pos="4752"/>
        </w:tabs>
        <w:spacing w:line="240" w:lineRule="exact"/>
        <w:jc w:val="both"/>
        <w:rPr>
          <w:color w:val="auto"/>
          <w:szCs w:val="24"/>
        </w:rPr>
      </w:pPr>
    </w:p>
    <w:p w:rsidR="00047CD8" w:rsidRDefault="00047CD8" w:rsidP="000452D7">
      <w:pPr>
        <w:tabs>
          <w:tab w:val="left" w:pos="288"/>
          <w:tab w:val="left" w:pos="4752"/>
        </w:tabs>
        <w:spacing w:line="240" w:lineRule="exact"/>
        <w:jc w:val="both"/>
        <w:rPr>
          <w:rFonts w:asciiTheme="minorHAnsi" w:hAnsiTheme="minorHAnsi"/>
          <w:color w:val="auto"/>
          <w:szCs w:val="24"/>
        </w:rPr>
      </w:pPr>
    </w:p>
    <w:p w:rsidR="00C97A71" w:rsidRPr="005C4D72" w:rsidRDefault="002C6E5B" w:rsidP="00C97A71">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64225F">
        <w:rPr>
          <w:rFonts w:asciiTheme="minorHAnsi" w:hAnsiTheme="minorHAnsi"/>
          <w:color w:val="auto"/>
        </w:rPr>
        <w:t>The CI states</w:t>
      </w:r>
      <w:r w:rsidR="00F86FCB">
        <w:rPr>
          <w:rFonts w:asciiTheme="minorHAnsi" w:hAnsiTheme="minorHAnsi"/>
          <w:color w:val="auto"/>
        </w:rPr>
        <w:t>:</w:t>
      </w:r>
      <w:r w:rsidR="0064225F">
        <w:rPr>
          <w:rFonts w:asciiTheme="minorHAnsi" w:hAnsiTheme="minorHAnsi"/>
          <w:color w:val="auto"/>
        </w:rPr>
        <w:t xml:space="preserve"> “Condition still inhibits my life as evidenced by my VA disability compensation</w:t>
      </w:r>
      <w:r w:rsidR="00F86FCB">
        <w:rPr>
          <w:rFonts w:asciiTheme="minorHAnsi" w:hAnsiTheme="minorHAnsi"/>
          <w:color w:val="auto"/>
        </w:rPr>
        <w:t>.</w:t>
      </w:r>
      <w:r w:rsidR="00C97A71">
        <w:rPr>
          <w:rFonts w:asciiTheme="minorHAnsi" w:hAnsiTheme="minorHAnsi"/>
          <w:color w:val="auto"/>
        </w:rPr>
        <w:t xml:space="preserve">”  </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021C1E" w:rsidRPr="00247F5C" w:rsidRDefault="00021C1E" w:rsidP="00506688">
      <w:pPr>
        <w:rPr>
          <w:rFonts w:asciiTheme="minorHAnsi" w:hAnsiTheme="minorHAnsi"/>
          <w:color w:val="auto"/>
          <w:u w:val="single"/>
        </w:rPr>
      </w:pPr>
    </w:p>
    <w:p w:rsidR="002338CA" w:rsidRPr="00247F5C" w:rsidRDefault="007F0AB7" w:rsidP="00506688">
      <w:pPr>
        <w:rPr>
          <w:rFonts w:asciiTheme="minorHAnsi" w:hAnsiTheme="minorHAnsi"/>
          <w:color w:val="auto"/>
        </w:rPr>
      </w:pPr>
      <w:r w:rsidRPr="00247F5C">
        <w:rPr>
          <w:rFonts w:asciiTheme="minorHAnsi" w:hAnsiTheme="minorHAnsi"/>
          <w:color w:val="auto"/>
          <w:u w:val="single"/>
        </w:rPr>
        <w:t>R</w:t>
      </w:r>
      <w:r w:rsidR="002C6E5B" w:rsidRPr="00247F5C">
        <w:rPr>
          <w:rFonts w:asciiTheme="minorHAnsi" w:hAnsiTheme="minorHAnsi"/>
          <w:color w:val="auto"/>
          <w:u w:val="single"/>
        </w:rPr>
        <w:t>ATING COMPARISON</w:t>
      </w:r>
      <w:r w:rsidR="002C6E5B" w:rsidRPr="00247F5C">
        <w:rPr>
          <w:rFonts w:asciiTheme="minorHAnsi" w:hAnsiTheme="minorHAnsi"/>
          <w:color w:val="auto"/>
        </w:rPr>
        <w:t>:</w:t>
      </w:r>
    </w:p>
    <w:p w:rsidR="00E57703" w:rsidRPr="00247F5C" w:rsidRDefault="00E57703" w:rsidP="000452D7">
      <w:pPr>
        <w:tabs>
          <w:tab w:val="left" w:pos="288"/>
          <w:tab w:val="left" w:pos="4752"/>
        </w:tabs>
        <w:spacing w:line="240" w:lineRule="exact"/>
        <w:jc w:val="both"/>
        <w:rPr>
          <w:rFonts w:asciiTheme="minorHAnsi" w:hAnsiTheme="minorHAnsi"/>
          <w:b/>
          <w:color w:val="auto"/>
          <w:szCs w:val="24"/>
          <w:u w:val="single"/>
        </w:rPr>
      </w:pPr>
    </w:p>
    <w:tbl>
      <w:tblPr>
        <w:tblStyle w:val="TableGrid"/>
        <w:tblW w:w="9209" w:type="dxa"/>
        <w:jc w:val="center"/>
        <w:tblLayout w:type="fixed"/>
        <w:tblLook w:val="04A0"/>
      </w:tblPr>
      <w:tblGrid>
        <w:gridCol w:w="1940"/>
        <w:gridCol w:w="1149"/>
        <w:gridCol w:w="720"/>
        <w:gridCol w:w="584"/>
        <w:gridCol w:w="2026"/>
        <w:gridCol w:w="720"/>
        <w:gridCol w:w="810"/>
        <w:gridCol w:w="1260"/>
      </w:tblGrid>
      <w:tr w:rsidR="006D4250" w:rsidRPr="00247F5C" w:rsidTr="00247F5C">
        <w:trPr>
          <w:trHeight w:val="233"/>
          <w:jc w:val="center"/>
        </w:trPr>
        <w:tc>
          <w:tcPr>
            <w:tcW w:w="4393" w:type="dxa"/>
            <w:gridSpan w:val="4"/>
            <w:tcBorders>
              <w:right w:val="thinThickThinSmallGap" w:sz="24" w:space="0" w:color="auto"/>
            </w:tcBorders>
            <w:shd w:val="clear" w:color="auto" w:fill="D9D9D9" w:themeFill="background1" w:themeFillShade="D9"/>
          </w:tcPr>
          <w:p w:rsidR="006D4250" w:rsidRPr="00247F5C" w:rsidRDefault="006D4250" w:rsidP="00B33047">
            <w:pPr>
              <w:spacing w:line="240" w:lineRule="exact"/>
              <w:contextualSpacing/>
              <w:jc w:val="center"/>
              <w:rPr>
                <w:b/>
                <w:color w:val="auto"/>
                <w:sz w:val="20"/>
                <w:szCs w:val="20"/>
              </w:rPr>
            </w:pPr>
            <w:r w:rsidRPr="00247F5C">
              <w:rPr>
                <w:b/>
                <w:color w:val="auto"/>
                <w:sz w:val="20"/>
                <w:szCs w:val="20"/>
              </w:rPr>
              <w:t xml:space="preserve">Service </w:t>
            </w:r>
            <w:r w:rsidR="004F289F" w:rsidRPr="00247F5C">
              <w:rPr>
                <w:b/>
                <w:color w:val="auto"/>
                <w:sz w:val="20"/>
                <w:szCs w:val="20"/>
              </w:rPr>
              <w:t>I</w:t>
            </w:r>
            <w:r w:rsidRPr="00247F5C">
              <w:rPr>
                <w:b/>
                <w:color w:val="auto"/>
                <w:sz w:val="20"/>
                <w:szCs w:val="20"/>
              </w:rPr>
              <w:t>PEB – Dated</w:t>
            </w:r>
            <w:r w:rsidR="00B33047" w:rsidRPr="00247F5C">
              <w:rPr>
                <w:b/>
                <w:color w:val="auto"/>
                <w:sz w:val="20"/>
                <w:szCs w:val="20"/>
              </w:rPr>
              <w:t xml:space="preserve"> 20060322</w:t>
            </w:r>
          </w:p>
        </w:tc>
        <w:tc>
          <w:tcPr>
            <w:tcW w:w="4816" w:type="dxa"/>
            <w:gridSpan w:val="4"/>
            <w:tcBorders>
              <w:left w:val="thinThickThinSmallGap" w:sz="24" w:space="0" w:color="auto"/>
            </w:tcBorders>
            <w:shd w:val="clear" w:color="auto" w:fill="D9D9D9" w:themeFill="background1" w:themeFillShade="D9"/>
          </w:tcPr>
          <w:p w:rsidR="006D4250" w:rsidRPr="00247F5C" w:rsidRDefault="009818AF" w:rsidP="00391D60">
            <w:pPr>
              <w:spacing w:line="240" w:lineRule="exact"/>
              <w:contextualSpacing/>
              <w:jc w:val="center"/>
              <w:rPr>
                <w:b/>
                <w:color w:val="auto"/>
                <w:sz w:val="20"/>
                <w:szCs w:val="20"/>
              </w:rPr>
            </w:pPr>
            <w:r w:rsidRPr="00247F5C">
              <w:rPr>
                <w:b/>
                <w:color w:val="auto"/>
                <w:sz w:val="20"/>
                <w:szCs w:val="20"/>
              </w:rPr>
              <w:t>VA (Prior to</w:t>
            </w:r>
            <w:r w:rsidR="00391D60" w:rsidRPr="00247F5C">
              <w:rPr>
                <w:b/>
                <w:color w:val="auto"/>
                <w:sz w:val="20"/>
                <w:szCs w:val="20"/>
              </w:rPr>
              <w:t xml:space="preserve"> &amp; </w:t>
            </w:r>
            <w:r w:rsidRPr="00247F5C">
              <w:rPr>
                <w:b/>
                <w:color w:val="auto"/>
                <w:sz w:val="20"/>
                <w:szCs w:val="20"/>
              </w:rPr>
              <w:t>After Separation</w:t>
            </w:r>
            <w:r w:rsidR="00C62230" w:rsidRPr="00247F5C">
              <w:rPr>
                <w:b/>
                <w:color w:val="auto"/>
                <w:sz w:val="20"/>
                <w:szCs w:val="20"/>
              </w:rPr>
              <w:t xml:space="preserve"> from TDRL</w:t>
            </w:r>
            <w:r w:rsidRPr="00247F5C">
              <w:rPr>
                <w:b/>
                <w:color w:val="auto"/>
                <w:sz w:val="20"/>
                <w:szCs w:val="20"/>
              </w:rPr>
              <w:t>)</w:t>
            </w:r>
            <w:r w:rsidR="00A543C4" w:rsidRPr="00247F5C">
              <w:rPr>
                <w:b/>
                <w:color w:val="auto"/>
                <w:sz w:val="20"/>
                <w:szCs w:val="20"/>
              </w:rPr>
              <w:t>*</w:t>
            </w:r>
          </w:p>
        </w:tc>
      </w:tr>
      <w:tr w:rsidR="00247F5C" w:rsidRPr="00247F5C" w:rsidTr="00247F5C">
        <w:trPr>
          <w:trHeight w:val="233"/>
          <w:jc w:val="center"/>
        </w:trPr>
        <w:tc>
          <w:tcPr>
            <w:tcW w:w="1940" w:type="dxa"/>
            <w:tcBorders>
              <w:bottom w:val="single" w:sz="4" w:space="0" w:color="000000" w:themeColor="text1"/>
            </w:tcBorders>
            <w:shd w:val="clear" w:color="auto" w:fill="D9D9D9" w:themeFill="background1" w:themeFillShade="D9"/>
          </w:tcPr>
          <w:p w:rsidR="006D4250" w:rsidRPr="00247F5C" w:rsidRDefault="006D4250" w:rsidP="000452D7">
            <w:pPr>
              <w:spacing w:line="240" w:lineRule="exact"/>
              <w:contextualSpacing/>
              <w:rPr>
                <w:b/>
                <w:color w:val="auto"/>
                <w:sz w:val="20"/>
                <w:szCs w:val="20"/>
              </w:rPr>
            </w:pPr>
            <w:r w:rsidRPr="00247F5C">
              <w:rPr>
                <w:b/>
                <w:color w:val="auto"/>
                <w:sz w:val="20"/>
                <w:szCs w:val="20"/>
              </w:rPr>
              <w:t>Condition</w:t>
            </w:r>
          </w:p>
        </w:tc>
        <w:tc>
          <w:tcPr>
            <w:tcW w:w="1149" w:type="dxa"/>
            <w:vMerge w:val="restart"/>
            <w:tcBorders>
              <w:bottom w:val="single" w:sz="4" w:space="0" w:color="000000" w:themeColor="text1"/>
            </w:tcBorders>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Code</w:t>
            </w:r>
          </w:p>
        </w:tc>
        <w:tc>
          <w:tcPr>
            <w:tcW w:w="1304" w:type="dxa"/>
            <w:gridSpan w:val="2"/>
            <w:tcBorders>
              <w:bottom w:val="single" w:sz="4" w:space="0" w:color="000000" w:themeColor="text1"/>
              <w:right w:val="thinThickThinSmallGap" w:sz="24" w:space="0" w:color="auto"/>
            </w:tcBorders>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Rating</w:t>
            </w:r>
          </w:p>
        </w:tc>
        <w:tc>
          <w:tcPr>
            <w:tcW w:w="2026" w:type="dxa"/>
            <w:tcBorders>
              <w:left w:val="thinThickThinSmallGap" w:sz="24" w:space="0" w:color="auto"/>
              <w:bottom w:val="single" w:sz="4" w:space="0" w:color="000000" w:themeColor="text1"/>
            </w:tcBorders>
            <w:shd w:val="clear" w:color="auto" w:fill="D9D9D9" w:themeFill="background1" w:themeFillShade="D9"/>
          </w:tcPr>
          <w:p w:rsidR="006D4250" w:rsidRPr="00247F5C" w:rsidRDefault="006D4250" w:rsidP="000452D7">
            <w:pPr>
              <w:spacing w:line="240" w:lineRule="exact"/>
              <w:contextualSpacing/>
              <w:jc w:val="both"/>
              <w:rPr>
                <w:b/>
                <w:color w:val="auto"/>
                <w:sz w:val="20"/>
                <w:szCs w:val="20"/>
              </w:rPr>
            </w:pPr>
            <w:r w:rsidRPr="00247F5C">
              <w:rPr>
                <w:b/>
                <w:color w:val="auto"/>
                <w:sz w:val="20"/>
                <w:szCs w:val="20"/>
              </w:rPr>
              <w:t>Condition</w:t>
            </w:r>
          </w:p>
        </w:tc>
        <w:tc>
          <w:tcPr>
            <w:tcW w:w="720" w:type="dxa"/>
            <w:vMerge w:val="restart"/>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Code</w:t>
            </w:r>
          </w:p>
        </w:tc>
        <w:tc>
          <w:tcPr>
            <w:tcW w:w="810" w:type="dxa"/>
            <w:vMerge w:val="restart"/>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Rating</w:t>
            </w:r>
          </w:p>
        </w:tc>
        <w:tc>
          <w:tcPr>
            <w:tcW w:w="1260" w:type="dxa"/>
            <w:vMerge w:val="restart"/>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Exam</w:t>
            </w:r>
          </w:p>
          <w:p w:rsidR="00A543C4" w:rsidRPr="00247F5C" w:rsidRDefault="00A543C4" w:rsidP="000452D7">
            <w:pPr>
              <w:spacing w:line="240" w:lineRule="exact"/>
              <w:contextualSpacing/>
              <w:jc w:val="center"/>
              <w:rPr>
                <w:b/>
                <w:color w:val="auto"/>
                <w:sz w:val="20"/>
                <w:szCs w:val="20"/>
              </w:rPr>
            </w:pPr>
          </w:p>
        </w:tc>
      </w:tr>
      <w:tr w:rsidR="00247F5C" w:rsidRPr="00247F5C" w:rsidTr="00247F5C">
        <w:trPr>
          <w:trHeight w:val="152"/>
          <w:jc w:val="center"/>
        </w:trPr>
        <w:tc>
          <w:tcPr>
            <w:tcW w:w="1940" w:type="dxa"/>
            <w:shd w:val="clear" w:color="auto" w:fill="D9D9D9" w:themeFill="background1" w:themeFillShade="D9"/>
          </w:tcPr>
          <w:p w:rsidR="006D4250" w:rsidRPr="00247F5C" w:rsidRDefault="006D4250" w:rsidP="000452D7">
            <w:pPr>
              <w:spacing w:line="240" w:lineRule="exact"/>
              <w:contextualSpacing/>
              <w:rPr>
                <w:b/>
                <w:color w:val="auto"/>
                <w:sz w:val="20"/>
                <w:szCs w:val="20"/>
              </w:rPr>
            </w:pPr>
            <w:r w:rsidRPr="00247F5C">
              <w:rPr>
                <w:b/>
                <w:color w:val="auto"/>
                <w:sz w:val="20"/>
                <w:szCs w:val="20"/>
              </w:rPr>
              <w:t xml:space="preserve">On TDRL - </w:t>
            </w:r>
            <w:r w:rsidR="00391D60" w:rsidRPr="00247F5C">
              <w:rPr>
                <w:b/>
                <w:color w:val="auto"/>
                <w:sz w:val="20"/>
                <w:szCs w:val="20"/>
              </w:rPr>
              <w:t>20040814</w:t>
            </w:r>
          </w:p>
        </w:tc>
        <w:tc>
          <w:tcPr>
            <w:tcW w:w="1149" w:type="dxa"/>
            <w:vMerge/>
            <w:shd w:val="clear" w:color="auto" w:fill="D9D9D9" w:themeFill="background1" w:themeFillShade="D9"/>
          </w:tcPr>
          <w:p w:rsidR="006D4250" w:rsidRPr="00247F5C" w:rsidRDefault="006D4250" w:rsidP="000452D7">
            <w:pPr>
              <w:spacing w:line="24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TDRL</w:t>
            </w:r>
          </w:p>
        </w:tc>
        <w:tc>
          <w:tcPr>
            <w:tcW w:w="584" w:type="dxa"/>
            <w:tcBorders>
              <w:left w:val="single" w:sz="4" w:space="0" w:color="auto"/>
              <w:right w:val="thinThickThinSmallGap" w:sz="24" w:space="0" w:color="auto"/>
            </w:tcBorders>
            <w:shd w:val="clear" w:color="auto" w:fill="D9D9D9" w:themeFill="background1" w:themeFillShade="D9"/>
          </w:tcPr>
          <w:p w:rsidR="006D4250" w:rsidRPr="00247F5C" w:rsidRDefault="006D4250" w:rsidP="000452D7">
            <w:pPr>
              <w:spacing w:line="240" w:lineRule="exact"/>
              <w:contextualSpacing/>
              <w:jc w:val="center"/>
              <w:rPr>
                <w:b/>
                <w:color w:val="auto"/>
                <w:sz w:val="20"/>
                <w:szCs w:val="20"/>
              </w:rPr>
            </w:pPr>
            <w:r w:rsidRPr="00247F5C">
              <w:rPr>
                <w:b/>
                <w:color w:val="auto"/>
                <w:sz w:val="20"/>
                <w:szCs w:val="20"/>
              </w:rPr>
              <w:t>Sep.</w:t>
            </w:r>
          </w:p>
        </w:tc>
        <w:tc>
          <w:tcPr>
            <w:tcW w:w="2026" w:type="dxa"/>
            <w:tcBorders>
              <w:left w:val="thinThickThinSmallGap" w:sz="24" w:space="0" w:color="auto"/>
            </w:tcBorders>
            <w:shd w:val="clear" w:color="auto" w:fill="D9D9D9" w:themeFill="background1" w:themeFillShade="D9"/>
          </w:tcPr>
          <w:p w:rsidR="006D4250" w:rsidRPr="00247F5C" w:rsidRDefault="00391D60" w:rsidP="00247F5C">
            <w:pPr>
              <w:spacing w:line="240" w:lineRule="exact"/>
              <w:contextualSpacing/>
              <w:jc w:val="both"/>
              <w:rPr>
                <w:b/>
                <w:color w:val="auto"/>
                <w:sz w:val="20"/>
                <w:szCs w:val="20"/>
              </w:rPr>
            </w:pPr>
            <w:r w:rsidRPr="00247F5C">
              <w:rPr>
                <w:b/>
                <w:color w:val="auto"/>
                <w:sz w:val="20"/>
                <w:szCs w:val="20"/>
              </w:rPr>
              <w:t>40%</w:t>
            </w:r>
            <w:r w:rsidR="00247F5C" w:rsidRPr="00247F5C">
              <w:rPr>
                <w:b/>
                <w:color w:val="auto"/>
                <w:sz w:val="20"/>
                <w:szCs w:val="20"/>
              </w:rPr>
              <w:t>-80%</w:t>
            </w:r>
            <w:r w:rsidR="006D4250" w:rsidRPr="00247F5C">
              <w:rPr>
                <w:b/>
                <w:color w:val="auto"/>
                <w:sz w:val="20"/>
                <w:szCs w:val="20"/>
              </w:rPr>
              <w:t xml:space="preserve"> VA</w:t>
            </w:r>
            <w:r w:rsidR="00247F5C" w:rsidRPr="00247F5C">
              <w:rPr>
                <w:b/>
                <w:color w:val="auto"/>
                <w:sz w:val="20"/>
                <w:szCs w:val="20"/>
              </w:rPr>
              <w:t xml:space="preserve"> </w:t>
            </w:r>
            <w:proofErr w:type="spellStart"/>
            <w:r w:rsidR="00247F5C" w:rsidRPr="00247F5C">
              <w:rPr>
                <w:b/>
                <w:color w:val="auto"/>
                <w:sz w:val="20"/>
                <w:szCs w:val="20"/>
              </w:rPr>
              <w:t>Raings</w:t>
            </w:r>
            <w:proofErr w:type="spellEnd"/>
            <w:r w:rsidR="00247F5C" w:rsidRPr="00247F5C">
              <w:rPr>
                <w:b/>
                <w:color w:val="auto"/>
                <w:sz w:val="20"/>
                <w:szCs w:val="20"/>
              </w:rPr>
              <w:t>*</w:t>
            </w:r>
          </w:p>
        </w:tc>
        <w:tc>
          <w:tcPr>
            <w:tcW w:w="720" w:type="dxa"/>
            <w:vMerge/>
            <w:shd w:val="clear" w:color="auto" w:fill="C6D9F1" w:themeFill="text2" w:themeFillTint="33"/>
          </w:tcPr>
          <w:p w:rsidR="006D4250" w:rsidRPr="00247F5C" w:rsidRDefault="006D4250" w:rsidP="000452D7">
            <w:pPr>
              <w:spacing w:line="240" w:lineRule="exact"/>
              <w:contextualSpacing/>
              <w:jc w:val="center"/>
              <w:rPr>
                <w:color w:val="auto"/>
                <w:sz w:val="20"/>
                <w:szCs w:val="20"/>
              </w:rPr>
            </w:pPr>
          </w:p>
        </w:tc>
        <w:tc>
          <w:tcPr>
            <w:tcW w:w="810" w:type="dxa"/>
            <w:vMerge/>
            <w:shd w:val="clear" w:color="auto" w:fill="C6D9F1" w:themeFill="text2" w:themeFillTint="33"/>
          </w:tcPr>
          <w:p w:rsidR="006D4250" w:rsidRPr="00247F5C" w:rsidRDefault="006D4250" w:rsidP="000452D7">
            <w:pPr>
              <w:spacing w:line="240" w:lineRule="exact"/>
              <w:contextualSpacing/>
              <w:jc w:val="center"/>
              <w:rPr>
                <w:color w:val="auto"/>
                <w:sz w:val="20"/>
                <w:szCs w:val="20"/>
              </w:rPr>
            </w:pPr>
          </w:p>
        </w:tc>
        <w:tc>
          <w:tcPr>
            <w:tcW w:w="1260" w:type="dxa"/>
            <w:vMerge/>
            <w:shd w:val="clear" w:color="auto" w:fill="C6D9F1" w:themeFill="text2" w:themeFillTint="33"/>
          </w:tcPr>
          <w:p w:rsidR="006D4250" w:rsidRPr="00247F5C" w:rsidRDefault="006D4250" w:rsidP="000452D7">
            <w:pPr>
              <w:spacing w:line="240" w:lineRule="exact"/>
              <w:contextualSpacing/>
              <w:jc w:val="center"/>
              <w:rPr>
                <w:color w:val="auto"/>
                <w:sz w:val="20"/>
                <w:szCs w:val="20"/>
              </w:rPr>
            </w:pPr>
          </w:p>
        </w:tc>
      </w:tr>
      <w:tr w:rsidR="00247F5C" w:rsidRPr="00247F5C" w:rsidTr="00247F5C">
        <w:trPr>
          <w:trHeight w:val="125"/>
          <w:jc w:val="center"/>
        </w:trPr>
        <w:tc>
          <w:tcPr>
            <w:tcW w:w="1940" w:type="dxa"/>
            <w:vMerge w:val="restart"/>
            <w:tcBorders>
              <w:right w:val="single" w:sz="4" w:space="0" w:color="auto"/>
            </w:tcBorders>
            <w:shd w:val="clear" w:color="auto" w:fill="FFFFFF" w:themeFill="background1"/>
          </w:tcPr>
          <w:p w:rsidR="00A543C4" w:rsidRPr="00247F5C" w:rsidRDefault="00A543C4" w:rsidP="002925FE">
            <w:pPr>
              <w:spacing w:line="240" w:lineRule="exact"/>
              <w:contextualSpacing/>
              <w:rPr>
                <w:color w:val="auto"/>
                <w:sz w:val="20"/>
                <w:szCs w:val="20"/>
              </w:rPr>
            </w:pPr>
            <w:r w:rsidRPr="00247F5C">
              <w:rPr>
                <w:color w:val="auto"/>
                <w:sz w:val="20"/>
                <w:szCs w:val="20"/>
              </w:rPr>
              <w:t xml:space="preserve">Partial Epilepsy… </w:t>
            </w:r>
          </w:p>
        </w:tc>
        <w:tc>
          <w:tcPr>
            <w:tcW w:w="1149" w:type="dxa"/>
            <w:vMerge w:val="restart"/>
            <w:tcBorders>
              <w:left w:val="single" w:sz="4" w:space="0" w:color="auto"/>
            </w:tcBorders>
            <w:shd w:val="clear" w:color="auto" w:fill="FFFFFF" w:themeFill="background1"/>
          </w:tcPr>
          <w:p w:rsidR="00A543C4" w:rsidRPr="00247F5C" w:rsidRDefault="00A543C4" w:rsidP="000452D7">
            <w:pPr>
              <w:spacing w:line="240" w:lineRule="exact"/>
              <w:contextualSpacing/>
              <w:jc w:val="center"/>
              <w:rPr>
                <w:color w:val="auto"/>
                <w:sz w:val="20"/>
                <w:szCs w:val="20"/>
              </w:rPr>
            </w:pPr>
            <w:r w:rsidRPr="00247F5C">
              <w:rPr>
                <w:color w:val="auto"/>
                <w:sz w:val="20"/>
                <w:szCs w:val="20"/>
              </w:rPr>
              <w:t>8999-8910</w:t>
            </w:r>
          </w:p>
        </w:tc>
        <w:tc>
          <w:tcPr>
            <w:tcW w:w="720" w:type="dxa"/>
            <w:vMerge w:val="restart"/>
            <w:tcBorders>
              <w:right w:val="single" w:sz="4" w:space="0" w:color="auto"/>
            </w:tcBorders>
            <w:shd w:val="clear" w:color="auto" w:fill="FFFFFF" w:themeFill="background1"/>
          </w:tcPr>
          <w:p w:rsidR="00A543C4" w:rsidRPr="00247F5C" w:rsidRDefault="00A543C4" w:rsidP="004F289F">
            <w:pPr>
              <w:spacing w:line="240" w:lineRule="exact"/>
              <w:contextualSpacing/>
              <w:jc w:val="center"/>
              <w:rPr>
                <w:color w:val="auto"/>
                <w:sz w:val="20"/>
                <w:szCs w:val="20"/>
              </w:rPr>
            </w:pPr>
            <w:r w:rsidRPr="00247F5C">
              <w:rPr>
                <w:color w:val="auto"/>
                <w:sz w:val="20"/>
                <w:szCs w:val="20"/>
              </w:rPr>
              <w:t>40%</w:t>
            </w:r>
          </w:p>
        </w:tc>
        <w:tc>
          <w:tcPr>
            <w:tcW w:w="584" w:type="dxa"/>
            <w:vMerge w:val="restart"/>
            <w:tcBorders>
              <w:left w:val="single" w:sz="4" w:space="0" w:color="auto"/>
              <w:right w:val="thinThickThinSmallGap" w:sz="24" w:space="0" w:color="auto"/>
            </w:tcBorders>
            <w:shd w:val="clear" w:color="auto" w:fill="FFFFFF" w:themeFill="background1"/>
          </w:tcPr>
          <w:p w:rsidR="00A543C4" w:rsidRPr="00247F5C" w:rsidRDefault="00A543C4" w:rsidP="000452D7">
            <w:pPr>
              <w:spacing w:line="240" w:lineRule="exact"/>
              <w:contextualSpacing/>
              <w:jc w:val="center"/>
              <w:rPr>
                <w:color w:val="auto"/>
                <w:sz w:val="20"/>
                <w:szCs w:val="20"/>
              </w:rPr>
            </w:pPr>
            <w:r w:rsidRPr="00247F5C">
              <w:rPr>
                <w:color w:val="auto"/>
                <w:sz w:val="20"/>
                <w:szCs w:val="20"/>
              </w:rPr>
              <w:t>20%</w:t>
            </w:r>
          </w:p>
        </w:tc>
        <w:tc>
          <w:tcPr>
            <w:tcW w:w="2026" w:type="dxa"/>
            <w:vMerge w:val="restart"/>
            <w:tcBorders>
              <w:left w:val="thinThickThinSmallGap" w:sz="24" w:space="0" w:color="auto"/>
            </w:tcBorders>
            <w:shd w:val="clear" w:color="auto" w:fill="FFFFFF" w:themeFill="background1"/>
          </w:tcPr>
          <w:p w:rsidR="00A543C4" w:rsidRPr="00247F5C" w:rsidRDefault="00A543C4" w:rsidP="000452D7">
            <w:pPr>
              <w:spacing w:line="240" w:lineRule="exact"/>
              <w:contextualSpacing/>
              <w:jc w:val="both"/>
              <w:rPr>
                <w:color w:val="auto"/>
                <w:sz w:val="20"/>
                <w:szCs w:val="20"/>
              </w:rPr>
            </w:pPr>
            <w:r w:rsidRPr="00247F5C">
              <w:rPr>
                <w:color w:val="auto"/>
                <w:sz w:val="20"/>
                <w:szCs w:val="20"/>
              </w:rPr>
              <w:t>Seizure Disorder</w:t>
            </w:r>
          </w:p>
        </w:tc>
        <w:tc>
          <w:tcPr>
            <w:tcW w:w="720" w:type="dxa"/>
            <w:vMerge w:val="restart"/>
            <w:shd w:val="clear" w:color="auto" w:fill="FFFFFF" w:themeFill="background1"/>
            <w:vAlign w:val="center"/>
          </w:tcPr>
          <w:p w:rsidR="00A543C4" w:rsidRPr="00247F5C" w:rsidRDefault="00A543C4" w:rsidP="000452D7">
            <w:pPr>
              <w:spacing w:line="240" w:lineRule="exact"/>
              <w:contextualSpacing/>
              <w:jc w:val="center"/>
              <w:rPr>
                <w:color w:val="auto"/>
                <w:sz w:val="20"/>
                <w:szCs w:val="20"/>
              </w:rPr>
            </w:pPr>
            <w:r w:rsidRPr="00247F5C">
              <w:rPr>
                <w:color w:val="auto"/>
                <w:sz w:val="20"/>
                <w:szCs w:val="20"/>
              </w:rPr>
              <w:t>8910</w:t>
            </w:r>
          </w:p>
        </w:tc>
        <w:tc>
          <w:tcPr>
            <w:tcW w:w="810" w:type="dxa"/>
            <w:shd w:val="clear" w:color="auto" w:fill="FFFFFF" w:themeFill="background1"/>
            <w:vAlign w:val="center"/>
          </w:tcPr>
          <w:p w:rsidR="00A543C4" w:rsidRPr="00247F5C" w:rsidRDefault="00994118" w:rsidP="00391D60">
            <w:pPr>
              <w:spacing w:line="240" w:lineRule="exact"/>
              <w:contextualSpacing/>
              <w:jc w:val="center"/>
              <w:rPr>
                <w:color w:val="auto"/>
                <w:sz w:val="20"/>
                <w:szCs w:val="20"/>
              </w:rPr>
            </w:pPr>
            <w:r w:rsidRPr="00247F5C">
              <w:rPr>
                <w:color w:val="auto"/>
                <w:sz w:val="20"/>
                <w:szCs w:val="20"/>
              </w:rPr>
              <w:t>40%</w:t>
            </w:r>
          </w:p>
        </w:tc>
        <w:tc>
          <w:tcPr>
            <w:tcW w:w="1260" w:type="dxa"/>
            <w:shd w:val="clear" w:color="auto" w:fill="FFFFFF" w:themeFill="background1"/>
            <w:vAlign w:val="center"/>
          </w:tcPr>
          <w:p w:rsidR="00A543C4" w:rsidRPr="00247F5C" w:rsidRDefault="00A543C4" w:rsidP="00CB69D2">
            <w:pPr>
              <w:spacing w:line="240" w:lineRule="exact"/>
              <w:contextualSpacing/>
              <w:jc w:val="center"/>
              <w:rPr>
                <w:color w:val="auto"/>
                <w:sz w:val="20"/>
                <w:szCs w:val="20"/>
              </w:rPr>
            </w:pPr>
            <w:r w:rsidRPr="00247F5C">
              <w:rPr>
                <w:color w:val="auto"/>
                <w:sz w:val="20"/>
                <w:szCs w:val="20"/>
              </w:rPr>
              <w:t>20051031</w:t>
            </w:r>
          </w:p>
        </w:tc>
      </w:tr>
      <w:tr w:rsidR="00247F5C" w:rsidRPr="00247F5C" w:rsidTr="00247F5C">
        <w:trPr>
          <w:trHeight w:val="125"/>
          <w:jc w:val="center"/>
        </w:trPr>
        <w:tc>
          <w:tcPr>
            <w:tcW w:w="1940" w:type="dxa"/>
            <w:vMerge/>
            <w:tcBorders>
              <w:right w:val="single" w:sz="4" w:space="0" w:color="auto"/>
            </w:tcBorders>
            <w:shd w:val="clear" w:color="auto" w:fill="FFFFFF" w:themeFill="background1"/>
          </w:tcPr>
          <w:p w:rsidR="00A543C4" w:rsidRPr="00247F5C" w:rsidRDefault="00A543C4" w:rsidP="002925FE">
            <w:pPr>
              <w:spacing w:line="240" w:lineRule="exact"/>
              <w:contextualSpacing/>
              <w:rPr>
                <w:color w:val="auto"/>
                <w:sz w:val="20"/>
              </w:rPr>
            </w:pPr>
          </w:p>
        </w:tc>
        <w:tc>
          <w:tcPr>
            <w:tcW w:w="1149" w:type="dxa"/>
            <w:vMerge/>
            <w:tcBorders>
              <w:left w:val="single" w:sz="4" w:space="0" w:color="auto"/>
            </w:tcBorders>
            <w:shd w:val="clear" w:color="auto" w:fill="FFFFFF" w:themeFill="background1"/>
          </w:tcPr>
          <w:p w:rsidR="00A543C4" w:rsidRPr="00247F5C" w:rsidRDefault="00A543C4" w:rsidP="000452D7">
            <w:pPr>
              <w:spacing w:line="240" w:lineRule="exact"/>
              <w:contextualSpacing/>
              <w:jc w:val="center"/>
              <w:rPr>
                <w:color w:val="auto"/>
                <w:sz w:val="20"/>
              </w:rPr>
            </w:pPr>
          </w:p>
        </w:tc>
        <w:tc>
          <w:tcPr>
            <w:tcW w:w="720" w:type="dxa"/>
            <w:vMerge/>
            <w:tcBorders>
              <w:right w:val="single" w:sz="4" w:space="0" w:color="auto"/>
            </w:tcBorders>
            <w:shd w:val="clear" w:color="auto" w:fill="FFFFFF" w:themeFill="background1"/>
          </w:tcPr>
          <w:p w:rsidR="00A543C4" w:rsidRPr="00247F5C" w:rsidRDefault="00A543C4" w:rsidP="004F289F">
            <w:pPr>
              <w:spacing w:line="240" w:lineRule="exact"/>
              <w:contextualSpacing/>
              <w:jc w:val="center"/>
              <w:rPr>
                <w:color w:val="auto"/>
                <w:sz w:val="20"/>
              </w:rPr>
            </w:pPr>
          </w:p>
        </w:tc>
        <w:tc>
          <w:tcPr>
            <w:tcW w:w="584" w:type="dxa"/>
            <w:vMerge/>
            <w:tcBorders>
              <w:left w:val="single" w:sz="4" w:space="0" w:color="auto"/>
              <w:right w:val="thinThickThinSmallGap" w:sz="24" w:space="0" w:color="auto"/>
            </w:tcBorders>
            <w:shd w:val="clear" w:color="auto" w:fill="FFFFFF" w:themeFill="background1"/>
          </w:tcPr>
          <w:p w:rsidR="00A543C4" w:rsidRPr="00247F5C" w:rsidRDefault="00A543C4" w:rsidP="000452D7">
            <w:pPr>
              <w:spacing w:line="240" w:lineRule="exact"/>
              <w:contextualSpacing/>
              <w:jc w:val="center"/>
              <w:rPr>
                <w:color w:val="auto"/>
                <w:sz w:val="20"/>
              </w:rPr>
            </w:pPr>
          </w:p>
        </w:tc>
        <w:tc>
          <w:tcPr>
            <w:tcW w:w="2026" w:type="dxa"/>
            <w:vMerge/>
            <w:tcBorders>
              <w:left w:val="thinThickThinSmallGap" w:sz="24" w:space="0" w:color="auto"/>
            </w:tcBorders>
            <w:shd w:val="clear" w:color="auto" w:fill="FFFFFF" w:themeFill="background1"/>
          </w:tcPr>
          <w:p w:rsidR="00A543C4" w:rsidRPr="00247F5C" w:rsidRDefault="00A543C4" w:rsidP="000452D7">
            <w:pPr>
              <w:spacing w:line="240" w:lineRule="exact"/>
              <w:contextualSpacing/>
              <w:jc w:val="both"/>
              <w:rPr>
                <w:color w:val="auto"/>
                <w:sz w:val="20"/>
              </w:rPr>
            </w:pPr>
          </w:p>
        </w:tc>
        <w:tc>
          <w:tcPr>
            <w:tcW w:w="720" w:type="dxa"/>
            <w:vMerge/>
            <w:shd w:val="clear" w:color="auto" w:fill="FFFFFF" w:themeFill="background1"/>
            <w:vAlign w:val="center"/>
          </w:tcPr>
          <w:p w:rsidR="00A543C4" w:rsidRPr="00247F5C" w:rsidRDefault="00A543C4" w:rsidP="000452D7">
            <w:pPr>
              <w:spacing w:line="240" w:lineRule="exact"/>
              <w:contextualSpacing/>
              <w:jc w:val="center"/>
              <w:rPr>
                <w:color w:val="auto"/>
                <w:sz w:val="20"/>
              </w:rPr>
            </w:pPr>
          </w:p>
        </w:tc>
        <w:tc>
          <w:tcPr>
            <w:tcW w:w="810" w:type="dxa"/>
            <w:shd w:val="clear" w:color="auto" w:fill="FFFFFF" w:themeFill="background1"/>
            <w:vAlign w:val="center"/>
          </w:tcPr>
          <w:p w:rsidR="00A543C4" w:rsidRPr="00247F5C" w:rsidRDefault="00A543C4" w:rsidP="00391D60">
            <w:pPr>
              <w:spacing w:line="240" w:lineRule="exact"/>
              <w:contextualSpacing/>
              <w:jc w:val="center"/>
              <w:rPr>
                <w:color w:val="auto"/>
                <w:sz w:val="20"/>
              </w:rPr>
            </w:pPr>
            <w:r w:rsidRPr="00247F5C">
              <w:rPr>
                <w:color w:val="auto"/>
                <w:sz w:val="20"/>
              </w:rPr>
              <w:t>80%</w:t>
            </w:r>
          </w:p>
        </w:tc>
        <w:tc>
          <w:tcPr>
            <w:tcW w:w="1260" w:type="dxa"/>
            <w:shd w:val="clear" w:color="auto" w:fill="FFFFFF" w:themeFill="background1"/>
            <w:vAlign w:val="center"/>
          </w:tcPr>
          <w:p w:rsidR="00A543C4" w:rsidRPr="00247F5C" w:rsidRDefault="00A543C4" w:rsidP="00A543C4">
            <w:pPr>
              <w:spacing w:line="240" w:lineRule="exact"/>
              <w:contextualSpacing/>
              <w:jc w:val="center"/>
              <w:rPr>
                <w:color w:val="auto"/>
                <w:sz w:val="20"/>
              </w:rPr>
            </w:pPr>
            <w:r w:rsidRPr="00247F5C">
              <w:rPr>
                <w:color w:val="auto"/>
                <w:sz w:val="20"/>
              </w:rPr>
              <w:t>20070109</w:t>
            </w:r>
          </w:p>
        </w:tc>
      </w:tr>
      <w:tr w:rsidR="00247F5C" w:rsidRPr="00247F5C" w:rsidTr="00247F5C">
        <w:trPr>
          <w:trHeight w:val="125"/>
          <w:jc w:val="center"/>
        </w:trPr>
        <w:tc>
          <w:tcPr>
            <w:tcW w:w="1940" w:type="dxa"/>
            <w:vMerge/>
            <w:tcBorders>
              <w:right w:val="single" w:sz="4" w:space="0" w:color="auto"/>
            </w:tcBorders>
            <w:shd w:val="clear" w:color="auto" w:fill="FFFFFF" w:themeFill="background1"/>
          </w:tcPr>
          <w:p w:rsidR="00A543C4" w:rsidRPr="00247F5C" w:rsidRDefault="00A543C4" w:rsidP="002925FE">
            <w:pPr>
              <w:spacing w:line="240" w:lineRule="exact"/>
              <w:contextualSpacing/>
              <w:rPr>
                <w:color w:val="auto"/>
                <w:sz w:val="20"/>
              </w:rPr>
            </w:pPr>
          </w:p>
        </w:tc>
        <w:tc>
          <w:tcPr>
            <w:tcW w:w="1149" w:type="dxa"/>
            <w:vMerge/>
            <w:tcBorders>
              <w:left w:val="single" w:sz="4" w:space="0" w:color="auto"/>
            </w:tcBorders>
            <w:shd w:val="clear" w:color="auto" w:fill="FFFFFF" w:themeFill="background1"/>
          </w:tcPr>
          <w:p w:rsidR="00A543C4" w:rsidRPr="00247F5C" w:rsidRDefault="00A543C4" w:rsidP="000452D7">
            <w:pPr>
              <w:spacing w:line="240" w:lineRule="exact"/>
              <w:contextualSpacing/>
              <w:jc w:val="center"/>
              <w:rPr>
                <w:color w:val="auto"/>
                <w:sz w:val="20"/>
              </w:rPr>
            </w:pPr>
          </w:p>
        </w:tc>
        <w:tc>
          <w:tcPr>
            <w:tcW w:w="720" w:type="dxa"/>
            <w:vMerge/>
            <w:tcBorders>
              <w:right w:val="single" w:sz="4" w:space="0" w:color="auto"/>
            </w:tcBorders>
            <w:shd w:val="clear" w:color="auto" w:fill="FFFFFF" w:themeFill="background1"/>
          </w:tcPr>
          <w:p w:rsidR="00A543C4" w:rsidRPr="00247F5C" w:rsidRDefault="00A543C4" w:rsidP="004F289F">
            <w:pPr>
              <w:spacing w:line="240" w:lineRule="exact"/>
              <w:contextualSpacing/>
              <w:jc w:val="center"/>
              <w:rPr>
                <w:color w:val="auto"/>
                <w:sz w:val="20"/>
              </w:rPr>
            </w:pPr>
          </w:p>
        </w:tc>
        <w:tc>
          <w:tcPr>
            <w:tcW w:w="584" w:type="dxa"/>
            <w:vMerge/>
            <w:tcBorders>
              <w:left w:val="single" w:sz="4" w:space="0" w:color="auto"/>
              <w:right w:val="thinThickThinSmallGap" w:sz="24" w:space="0" w:color="auto"/>
            </w:tcBorders>
            <w:shd w:val="clear" w:color="auto" w:fill="FFFFFF" w:themeFill="background1"/>
          </w:tcPr>
          <w:p w:rsidR="00A543C4" w:rsidRPr="00247F5C" w:rsidRDefault="00A543C4" w:rsidP="000452D7">
            <w:pPr>
              <w:spacing w:line="240" w:lineRule="exact"/>
              <w:contextualSpacing/>
              <w:jc w:val="center"/>
              <w:rPr>
                <w:color w:val="auto"/>
                <w:sz w:val="20"/>
              </w:rPr>
            </w:pPr>
          </w:p>
        </w:tc>
        <w:tc>
          <w:tcPr>
            <w:tcW w:w="2026" w:type="dxa"/>
            <w:vMerge/>
            <w:tcBorders>
              <w:left w:val="thinThickThinSmallGap" w:sz="24" w:space="0" w:color="auto"/>
            </w:tcBorders>
            <w:shd w:val="clear" w:color="auto" w:fill="FFFFFF" w:themeFill="background1"/>
          </w:tcPr>
          <w:p w:rsidR="00A543C4" w:rsidRPr="00247F5C" w:rsidRDefault="00A543C4" w:rsidP="000452D7">
            <w:pPr>
              <w:spacing w:line="240" w:lineRule="exact"/>
              <w:contextualSpacing/>
              <w:jc w:val="both"/>
              <w:rPr>
                <w:color w:val="auto"/>
                <w:sz w:val="20"/>
              </w:rPr>
            </w:pPr>
          </w:p>
        </w:tc>
        <w:tc>
          <w:tcPr>
            <w:tcW w:w="720" w:type="dxa"/>
            <w:vMerge/>
            <w:shd w:val="clear" w:color="auto" w:fill="FFFFFF" w:themeFill="background1"/>
            <w:vAlign w:val="center"/>
          </w:tcPr>
          <w:p w:rsidR="00A543C4" w:rsidRPr="00247F5C" w:rsidRDefault="00A543C4" w:rsidP="000452D7">
            <w:pPr>
              <w:spacing w:line="240" w:lineRule="exact"/>
              <w:contextualSpacing/>
              <w:jc w:val="center"/>
              <w:rPr>
                <w:color w:val="auto"/>
                <w:sz w:val="20"/>
              </w:rPr>
            </w:pPr>
          </w:p>
        </w:tc>
        <w:tc>
          <w:tcPr>
            <w:tcW w:w="810" w:type="dxa"/>
            <w:shd w:val="clear" w:color="auto" w:fill="FFFFFF" w:themeFill="background1"/>
            <w:vAlign w:val="center"/>
          </w:tcPr>
          <w:p w:rsidR="00A543C4" w:rsidRPr="00247F5C" w:rsidRDefault="00A543C4" w:rsidP="00391D60">
            <w:pPr>
              <w:spacing w:line="240" w:lineRule="exact"/>
              <w:contextualSpacing/>
              <w:jc w:val="center"/>
              <w:rPr>
                <w:color w:val="auto"/>
                <w:sz w:val="20"/>
              </w:rPr>
            </w:pPr>
            <w:r w:rsidRPr="00247F5C">
              <w:rPr>
                <w:color w:val="auto"/>
                <w:sz w:val="20"/>
              </w:rPr>
              <w:t>60%</w:t>
            </w:r>
          </w:p>
        </w:tc>
        <w:tc>
          <w:tcPr>
            <w:tcW w:w="1260" w:type="dxa"/>
            <w:shd w:val="clear" w:color="auto" w:fill="FFFFFF" w:themeFill="background1"/>
            <w:vAlign w:val="center"/>
          </w:tcPr>
          <w:p w:rsidR="00A543C4" w:rsidRPr="00247F5C" w:rsidRDefault="00A543C4" w:rsidP="00CB69D2">
            <w:pPr>
              <w:spacing w:line="240" w:lineRule="exact"/>
              <w:contextualSpacing/>
              <w:jc w:val="center"/>
              <w:rPr>
                <w:color w:val="auto"/>
                <w:sz w:val="20"/>
              </w:rPr>
            </w:pPr>
            <w:r w:rsidRPr="00247F5C">
              <w:rPr>
                <w:color w:val="auto"/>
                <w:sz w:val="20"/>
              </w:rPr>
              <w:t>20090826</w:t>
            </w:r>
          </w:p>
        </w:tc>
      </w:tr>
      <w:tr w:rsidR="006D4250" w:rsidRPr="00247F5C" w:rsidTr="00247F5C">
        <w:trPr>
          <w:trHeight w:val="242"/>
          <w:jc w:val="center"/>
        </w:trPr>
        <w:tc>
          <w:tcPr>
            <w:tcW w:w="4393" w:type="dxa"/>
            <w:gridSpan w:val="4"/>
            <w:tcBorders>
              <w:right w:val="thinThickThinSmallGap" w:sz="24" w:space="0" w:color="auto"/>
            </w:tcBorders>
            <w:shd w:val="clear" w:color="auto" w:fill="D9D9D9" w:themeFill="background1" w:themeFillShade="D9"/>
          </w:tcPr>
          <w:p w:rsidR="006D4250" w:rsidRPr="00247F5C" w:rsidRDefault="002B4E22" w:rsidP="004F289F">
            <w:pPr>
              <w:spacing w:line="240" w:lineRule="exact"/>
              <w:contextualSpacing/>
              <w:jc w:val="center"/>
              <w:rPr>
                <w:b/>
                <w:color w:val="auto"/>
                <w:sz w:val="20"/>
                <w:szCs w:val="20"/>
              </w:rPr>
            </w:pPr>
            <w:r w:rsidRPr="00247F5C">
              <w:rPr>
                <w:b/>
                <w:color w:val="auto"/>
                <w:sz w:val="20"/>
                <w:szCs w:val="20"/>
              </w:rPr>
              <w:t>Final</w:t>
            </w:r>
            <w:r w:rsidR="006D4250" w:rsidRPr="00247F5C">
              <w:rPr>
                <w:b/>
                <w:color w:val="auto"/>
                <w:sz w:val="20"/>
                <w:szCs w:val="20"/>
              </w:rPr>
              <w:t xml:space="preserve"> Combined:  </w:t>
            </w:r>
            <w:r w:rsidR="004F289F" w:rsidRPr="00247F5C">
              <w:rPr>
                <w:b/>
                <w:color w:val="auto"/>
                <w:sz w:val="20"/>
                <w:szCs w:val="20"/>
              </w:rPr>
              <w:t>20</w:t>
            </w:r>
            <w:r w:rsidR="006D4250" w:rsidRPr="00247F5C">
              <w:rPr>
                <w:b/>
                <w:color w:val="auto"/>
                <w:sz w:val="20"/>
                <w:szCs w:val="20"/>
              </w:rPr>
              <w:t>%</w:t>
            </w:r>
          </w:p>
        </w:tc>
        <w:tc>
          <w:tcPr>
            <w:tcW w:w="4816" w:type="dxa"/>
            <w:gridSpan w:val="4"/>
            <w:tcBorders>
              <w:left w:val="thinThickThinSmallGap" w:sz="24" w:space="0" w:color="auto"/>
            </w:tcBorders>
            <w:shd w:val="clear" w:color="auto" w:fill="D9D9D9" w:themeFill="background1" w:themeFillShade="D9"/>
          </w:tcPr>
          <w:p w:rsidR="006D4250" w:rsidRPr="00247F5C" w:rsidRDefault="00583379" w:rsidP="004F289F">
            <w:pPr>
              <w:spacing w:line="240" w:lineRule="exact"/>
              <w:contextualSpacing/>
              <w:jc w:val="center"/>
              <w:rPr>
                <w:b/>
                <w:color w:val="auto"/>
                <w:sz w:val="20"/>
                <w:szCs w:val="20"/>
              </w:rPr>
            </w:pPr>
            <w:r w:rsidRPr="00247F5C">
              <w:rPr>
                <w:b/>
                <w:color w:val="auto"/>
                <w:sz w:val="20"/>
                <w:szCs w:val="20"/>
              </w:rPr>
              <w:t xml:space="preserve">Total </w:t>
            </w:r>
            <w:r w:rsidR="006D4250" w:rsidRPr="00247F5C">
              <w:rPr>
                <w:b/>
                <w:color w:val="auto"/>
                <w:sz w:val="20"/>
                <w:szCs w:val="20"/>
              </w:rPr>
              <w:t xml:space="preserve">Combined: </w:t>
            </w:r>
            <w:r w:rsidR="00391D60" w:rsidRPr="00247F5C">
              <w:rPr>
                <w:b/>
                <w:color w:val="auto"/>
                <w:sz w:val="20"/>
                <w:szCs w:val="20"/>
              </w:rPr>
              <w:t xml:space="preserve"> </w:t>
            </w:r>
            <w:r w:rsidR="004F289F" w:rsidRPr="00247F5C">
              <w:rPr>
                <w:b/>
                <w:color w:val="auto"/>
                <w:sz w:val="20"/>
                <w:szCs w:val="20"/>
              </w:rPr>
              <w:t>4</w:t>
            </w:r>
            <w:r w:rsidR="006D4250" w:rsidRPr="00247F5C">
              <w:rPr>
                <w:b/>
                <w:color w:val="auto"/>
                <w:sz w:val="20"/>
                <w:szCs w:val="20"/>
              </w:rPr>
              <w:t>0%</w:t>
            </w:r>
          </w:p>
        </w:tc>
      </w:tr>
    </w:tbl>
    <w:p w:rsidR="001F7378" w:rsidRPr="00247F5C" w:rsidRDefault="000926B0" w:rsidP="00391D60">
      <w:pPr>
        <w:tabs>
          <w:tab w:val="left" w:pos="288"/>
          <w:tab w:val="left" w:pos="4752"/>
        </w:tabs>
        <w:spacing w:line="240" w:lineRule="exact"/>
        <w:jc w:val="both"/>
        <w:rPr>
          <w:rFonts w:asciiTheme="minorHAnsi" w:hAnsiTheme="minorHAnsi"/>
          <w:color w:val="auto"/>
          <w:sz w:val="20"/>
        </w:rPr>
      </w:pPr>
      <w:r w:rsidRPr="00247F5C">
        <w:rPr>
          <w:rFonts w:asciiTheme="minorHAnsi" w:hAnsiTheme="minorHAnsi"/>
          <w:color w:val="auto"/>
          <w:sz w:val="20"/>
        </w:rPr>
        <w:t>*</w:t>
      </w:r>
      <w:r w:rsidR="00391D60" w:rsidRPr="00247F5C">
        <w:rPr>
          <w:rFonts w:asciiTheme="minorHAnsi" w:hAnsiTheme="minorHAnsi"/>
          <w:color w:val="auto"/>
          <w:sz w:val="20"/>
        </w:rPr>
        <w:t>VA Seizure Disorder ratings</w:t>
      </w:r>
      <w:r w:rsidR="004B566B" w:rsidRPr="00247F5C">
        <w:rPr>
          <w:rFonts w:asciiTheme="minorHAnsi" w:hAnsiTheme="minorHAnsi"/>
          <w:color w:val="auto"/>
          <w:sz w:val="20"/>
        </w:rPr>
        <w:t xml:space="preserve"> effective:  </w:t>
      </w:r>
      <w:r w:rsidR="00391D60" w:rsidRPr="00247F5C">
        <w:rPr>
          <w:rFonts w:asciiTheme="minorHAnsi" w:hAnsiTheme="minorHAnsi"/>
          <w:color w:val="auto"/>
          <w:sz w:val="20"/>
        </w:rPr>
        <w:t xml:space="preserve">40% from 20040815; 80% from 20070109; </w:t>
      </w:r>
      <w:r w:rsidR="004B566B" w:rsidRPr="00247F5C">
        <w:rPr>
          <w:rFonts w:asciiTheme="minorHAnsi" w:hAnsiTheme="minorHAnsi"/>
          <w:color w:val="auto"/>
          <w:sz w:val="20"/>
        </w:rPr>
        <w:t xml:space="preserve">and </w:t>
      </w:r>
      <w:r w:rsidR="00391D60" w:rsidRPr="00247F5C">
        <w:rPr>
          <w:rFonts w:asciiTheme="minorHAnsi" w:hAnsiTheme="minorHAnsi"/>
          <w:color w:val="auto"/>
          <w:sz w:val="20"/>
        </w:rPr>
        <w:t>60% from 20091201</w:t>
      </w:r>
    </w:p>
    <w:p w:rsidR="007F0AB7" w:rsidRPr="00247F5C" w:rsidRDefault="0041604B" w:rsidP="007F0AB7">
      <w:pPr>
        <w:tabs>
          <w:tab w:val="left" w:pos="288"/>
          <w:tab w:val="left" w:pos="4752"/>
        </w:tabs>
        <w:spacing w:line="240" w:lineRule="exact"/>
        <w:jc w:val="both"/>
        <w:rPr>
          <w:rFonts w:asciiTheme="minorHAnsi" w:hAnsiTheme="minorHAnsi"/>
          <w:color w:val="auto"/>
          <w:u w:val="single"/>
        </w:rPr>
      </w:pPr>
      <w:r w:rsidRPr="00247F5C">
        <w:rPr>
          <w:rFonts w:asciiTheme="minorHAnsi" w:hAnsiTheme="minorHAnsi"/>
          <w:color w:val="auto"/>
          <w:u w:val="single"/>
        </w:rPr>
        <w:t>___________________________________________________________________________</w:t>
      </w:r>
    </w:p>
    <w:p w:rsidR="00631993" w:rsidRPr="00247F5C" w:rsidRDefault="00631993" w:rsidP="007F0AB7">
      <w:pPr>
        <w:tabs>
          <w:tab w:val="left" w:pos="288"/>
          <w:tab w:val="left" w:pos="4752"/>
        </w:tabs>
        <w:spacing w:line="240" w:lineRule="exact"/>
        <w:jc w:val="both"/>
        <w:rPr>
          <w:rFonts w:asciiTheme="minorHAnsi" w:hAnsiTheme="minorHAnsi"/>
          <w:color w:val="auto"/>
          <w:szCs w:val="24"/>
          <w:u w:val="single"/>
        </w:rPr>
      </w:pPr>
    </w:p>
    <w:p w:rsidR="00CD14ED" w:rsidRDefault="002C6E5B" w:rsidP="00F86FCB">
      <w:pPr>
        <w:spacing w:line="240" w:lineRule="exact"/>
        <w:jc w:val="both"/>
        <w:rPr>
          <w:rFonts w:asciiTheme="minorHAnsi" w:hAnsiTheme="minorHAnsi"/>
          <w:color w:val="auto"/>
          <w:szCs w:val="24"/>
        </w:rPr>
      </w:pPr>
      <w:r w:rsidRPr="00247F5C">
        <w:rPr>
          <w:rFonts w:asciiTheme="minorHAnsi" w:hAnsiTheme="minorHAnsi"/>
          <w:color w:val="auto"/>
          <w:szCs w:val="24"/>
          <w:u w:val="single"/>
        </w:rPr>
        <w:t>ANALYSIS SUMMARY</w:t>
      </w:r>
      <w:r w:rsidRPr="00247F5C">
        <w:rPr>
          <w:rFonts w:asciiTheme="minorHAnsi" w:hAnsiTheme="minorHAnsi"/>
          <w:color w:val="auto"/>
          <w:szCs w:val="24"/>
        </w:rPr>
        <w:t>:</w:t>
      </w:r>
      <w:r w:rsidR="00C276CD" w:rsidRPr="00247F5C">
        <w:rPr>
          <w:rFonts w:asciiTheme="minorHAnsi" w:hAnsiTheme="minorHAnsi"/>
          <w:color w:val="auto"/>
          <w:szCs w:val="24"/>
        </w:rPr>
        <w:t xml:space="preserve">  </w:t>
      </w:r>
      <w:r w:rsidR="00CD14ED" w:rsidRPr="00247F5C">
        <w:rPr>
          <w:rFonts w:asciiTheme="minorHAnsi" w:hAnsiTheme="minorHAnsi"/>
          <w:color w:val="auto"/>
          <w:szCs w:val="24"/>
        </w:rPr>
        <w:t>Several Navy records are not in evidence and</w:t>
      </w:r>
      <w:r w:rsidR="00CD14ED">
        <w:rPr>
          <w:rFonts w:asciiTheme="minorHAnsi" w:hAnsiTheme="minorHAnsi"/>
          <w:color w:val="auto"/>
          <w:szCs w:val="24"/>
        </w:rPr>
        <w:t xml:space="preserve"> </w:t>
      </w:r>
      <w:r w:rsidR="00CD14ED" w:rsidRPr="00064B8D">
        <w:rPr>
          <w:rFonts w:asciiTheme="minorHAnsi" w:hAnsiTheme="minorHAnsi"/>
          <w:color w:val="auto"/>
          <w:szCs w:val="24"/>
        </w:rPr>
        <w:t xml:space="preserve">could not be located after requests to </w:t>
      </w:r>
      <w:r w:rsidR="00CD14ED">
        <w:rPr>
          <w:rFonts w:asciiTheme="minorHAnsi" w:hAnsiTheme="minorHAnsi"/>
          <w:color w:val="auto"/>
          <w:szCs w:val="24"/>
        </w:rPr>
        <w:t>the Navy, the VA, and the CI</w:t>
      </w:r>
      <w:r w:rsidR="00CD14ED" w:rsidRPr="00064B8D">
        <w:rPr>
          <w:rFonts w:asciiTheme="minorHAnsi" w:hAnsiTheme="minorHAnsi"/>
          <w:color w:val="auto"/>
          <w:szCs w:val="24"/>
        </w:rPr>
        <w:t>.</w:t>
      </w:r>
      <w:r w:rsidR="00CD14ED">
        <w:rPr>
          <w:rFonts w:asciiTheme="minorHAnsi" w:hAnsiTheme="minorHAnsi"/>
          <w:color w:val="auto"/>
          <w:szCs w:val="24"/>
        </w:rPr>
        <w:t xml:space="preserve">  The CI </w:t>
      </w:r>
      <w:r w:rsidR="00CD14ED" w:rsidRPr="00B33047">
        <w:rPr>
          <w:rFonts w:asciiTheme="minorHAnsi" w:hAnsiTheme="minorHAnsi"/>
          <w:color w:val="auto"/>
          <w:szCs w:val="24"/>
        </w:rPr>
        <w:t>did not respond to correspondence requesting copies of any relevant documentation</w:t>
      </w:r>
      <w:r w:rsidR="00F86FCB" w:rsidRPr="00B33047">
        <w:rPr>
          <w:rFonts w:asciiTheme="minorHAnsi" w:hAnsiTheme="minorHAnsi"/>
          <w:color w:val="auto"/>
          <w:szCs w:val="24"/>
        </w:rPr>
        <w:t>;</w:t>
      </w:r>
      <w:r w:rsidR="00CD14ED" w:rsidRPr="00B33047">
        <w:rPr>
          <w:rFonts w:asciiTheme="minorHAnsi" w:hAnsiTheme="minorHAnsi"/>
          <w:color w:val="auto"/>
          <w:szCs w:val="24"/>
        </w:rPr>
        <w:t xml:space="preserve"> however</w:t>
      </w:r>
      <w:r w:rsidR="00B33047">
        <w:rPr>
          <w:rFonts w:asciiTheme="minorHAnsi" w:hAnsiTheme="minorHAnsi"/>
          <w:color w:val="auto"/>
          <w:szCs w:val="24"/>
        </w:rPr>
        <w:t xml:space="preserve"> </w:t>
      </w:r>
      <w:r w:rsidR="00CD14ED">
        <w:rPr>
          <w:rFonts w:asciiTheme="minorHAnsi" w:hAnsiTheme="minorHAnsi"/>
          <w:color w:val="auto"/>
          <w:szCs w:val="24"/>
        </w:rPr>
        <w:t xml:space="preserve">reported having no documentation during </w:t>
      </w:r>
      <w:r w:rsidR="00B33047">
        <w:rPr>
          <w:rFonts w:asciiTheme="minorHAnsi" w:hAnsiTheme="minorHAnsi"/>
          <w:color w:val="auto"/>
          <w:szCs w:val="24"/>
        </w:rPr>
        <w:t xml:space="preserve">follow-up </w:t>
      </w:r>
      <w:r w:rsidR="00CD14ED">
        <w:rPr>
          <w:rFonts w:asciiTheme="minorHAnsi" w:hAnsiTheme="minorHAnsi"/>
          <w:color w:val="auto"/>
          <w:szCs w:val="24"/>
        </w:rPr>
        <w:t xml:space="preserve">telephonic contact.  </w:t>
      </w:r>
      <w:r w:rsidR="00CD14ED" w:rsidRPr="00064B8D">
        <w:rPr>
          <w:rFonts w:asciiTheme="minorHAnsi" w:hAnsiTheme="minorHAnsi"/>
          <w:color w:val="auto"/>
          <w:szCs w:val="24"/>
        </w:rPr>
        <w:t>Further such attempts would likely be futile and would introduce further undue delay in processing the case.</w:t>
      </w:r>
      <w:r w:rsidR="00CD14ED">
        <w:rPr>
          <w:rFonts w:asciiTheme="minorHAnsi" w:hAnsiTheme="minorHAnsi"/>
          <w:color w:val="auto"/>
          <w:szCs w:val="24"/>
        </w:rPr>
        <w:t xml:space="preserve">  Specifically missing are documents pertaining to CI’s permanent disposition at the time of removal from the TDRL, particularly any narrative summary, contemporaneous medical documentation, or </w:t>
      </w:r>
      <w:r w:rsidR="00E77EDC">
        <w:rPr>
          <w:rFonts w:asciiTheme="minorHAnsi" w:hAnsiTheme="minorHAnsi"/>
          <w:color w:val="auto"/>
          <w:szCs w:val="24"/>
        </w:rPr>
        <w:t>PEB rating rationale</w:t>
      </w:r>
      <w:r w:rsidR="00CD14ED">
        <w:rPr>
          <w:rFonts w:asciiTheme="minorHAnsi" w:hAnsiTheme="minorHAnsi"/>
          <w:color w:val="auto"/>
          <w:szCs w:val="24"/>
        </w:rPr>
        <w:t>.</w:t>
      </w:r>
      <w:r w:rsidR="000D0013">
        <w:rPr>
          <w:rFonts w:asciiTheme="minorHAnsi" w:hAnsiTheme="minorHAnsi"/>
          <w:color w:val="auto"/>
          <w:szCs w:val="24"/>
        </w:rPr>
        <w:t xml:space="preserve">  The historical </w:t>
      </w:r>
      <w:r w:rsidR="000D0013" w:rsidRPr="0014084E">
        <w:rPr>
          <w:color w:val="auto"/>
          <w:szCs w:val="24"/>
        </w:rPr>
        <w:t>SECNAVINST 1850.4E</w:t>
      </w:r>
      <w:r w:rsidR="000D0013">
        <w:rPr>
          <w:color w:val="auto"/>
          <w:szCs w:val="24"/>
        </w:rPr>
        <w:t xml:space="preserve"> and DoDI 1332.39</w:t>
      </w:r>
      <w:r w:rsidR="000D0013">
        <w:rPr>
          <w:rFonts w:asciiTheme="minorHAnsi" w:hAnsiTheme="minorHAnsi"/>
          <w:color w:val="auto"/>
          <w:szCs w:val="24"/>
        </w:rPr>
        <w:t xml:space="preserve"> rating criteria </w:t>
      </w:r>
      <w:r w:rsidR="00AC108D">
        <w:rPr>
          <w:rFonts w:asciiTheme="minorHAnsi" w:hAnsiTheme="minorHAnsi"/>
          <w:color w:val="auto"/>
          <w:szCs w:val="24"/>
        </w:rPr>
        <w:t xml:space="preserve">in force at the time of removal from the TDRL </w:t>
      </w:r>
      <w:r w:rsidR="000D0013">
        <w:rPr>
          <w:rFonts w:asciiTheme="minorHAnsi" w:hAnsiTheme="minorHAnsi"/>
          <w:color w:val="auto"/>
          <w:szCs w:val="24"/>
        </w:rPr>
        <w:t xml:space="preserve">significantly differ from the </w:t>
      </w:r>
      <w:r w:rsidR="00F86FCB">
        <w:rPr>
          <w:rFonts w:asciiTheme="minorHAnsi" w:hAnsiTheme="minorHAnsi"/>
          <w:color w:val="auto"/>
          <w:szCs w:val="24"/>
        </w:rPr>
        <w:t>VA Schedule for Rating Disabilities (</w:t>
      </w:r>
      <w:r w:rsidR="000D0013">
        <w:rPr>
          <w:rFonts w:asciiTheme="minorHAnsi" w:hAnsiTheme="minorHAnsi"/>
          <w:color w:val="auto"/>
          <w:szCs w:val="24"/>
        </w:rPr>
        <w:t>VASRD</w:t>
      </w:r>
      <w:r w:rsidR="00F86FCB">
        <w:rPr>
          <w:rFonts w:asciiTheme="minorHAnsi" w:hAnsiTheme="minorHAnsi"/>
          <w:color w:val="auto"/>
          <w:szCs w:val="24"/>
        </w:rPr>
        <w:t>)</w:t>
      </w:r>
      <w:r w:rsidR="000D0013">
        <w:rPr>
          <w:rFonts w:asciiTheme="minorHAnsi" w:hAnsiTheme="minorHAnsi"/>
          <w:color w:val="auto"/>
          <w:szCs w:val="24"/>
        </w:rPr>
        <w:t xml:space="preserve"> criteria.  </w:t>
      </w:r>
    </w:p>
    <w:p w:rsidR="008B2179" w:rsidRDefault="00F336DE" w:rsidP="00F86FCB">
      <w:pPr>
        <w:spacing w:line="240" w:lineRule="exact"/>
        <w:jc w:val="both"/>
        <w:rPr>
          <w:rFonts w:asciiTheme="minorHAnsi" w:hAnsiTheme="minorHAnsi"/>
          <w:color w:val="auto"/>
        </w:rPr>
      </w:pPr>
      <w:proofErr w:type="gramStart"/>
      <w:r w:rsidRPr="00F336DE">
        <w:rPr>
          <w:rFonts w:asciiTheme="minorHAnsi" w:hAnsiTheme="minorHAnsi"/>
          <w:color w:val="auto"/>
          <w:szCs w:val="24"/>
          <w:u w:val="single"/>
        </w:rPr>
        <w:lastRenderedPageBreak/>
        <w:t>Partial Epilepsy with Impairment of Consciousness</w:t>
      </w:r>
      <w:r w:rsidR="00994118">
        <w:rPr>
          <w:rFonts w:asciiTheme="minorHAnsi" w:hAnsiTheme="minorHAnsi"/>
          <w:color w:val="auto"/>
          <w:szCs w:val="24"/>
          <w:u w:val="single"/>
        </w:rPr>
        <w:t xml:space="preserve"> </w:t>
      </w:r>
      <w:r w:rsidR="002925FE">
        <w:rPr>
          <w:rFonts w:asciiTheme="minorHAnsi" w:hAnsiTheme="minorHAnsi"/>
          <w:color w:val="auto"/>
          <w:szCs w:val="24"/>
          <w:u w:val="single"/>
        </w:rPr>
        <w:t>/ Seizure Disorder</w:t>
      </w:r>
      <w:r w:rsidR="00F86FCB" w:rsidRPr="00F86FCB">
        <w:rPr>
          <w:rFonts w:asciiTheme="minorHAnsi" w:hAnsiTheme="minorHAnsi"/>
          <w:color w:val="auto"/>
          <w:szCs w:val="24"/>
        </w:rPr>
        <w:t>.</w:t>
      </w:r>
      <w:proofErr w:type="gramEnd"/>
      <w:r w:rsidRPr="00631993">
        <w:rPr>
          <w:rFonts w:asciiTheme="minorHAnsi" w:hAnsiTheme="minorHAnsi"/>
          <w:color w:val="auto"/>
          <w:szCs w:val="24"/>
        </w:rPr>
        <w:t xml:space="preserve">  </w:t>
      </w:r>
      <w:r w:rsidR="006A2EFA">
        <w:rPr>
          <w:rFonts w:asciiTheme="minorHAnsi" w:hAnsiTheme="minorHAnsi"/>
          <w:color w:val="auto"/>
        </w:rPr>
        <w:t>VASRD criteria for r</w:t>
      </w:r>
      <w:r w:rsidR="008B2179">
        <w:rPr>
          <w:rFonts w:asciiTheme="minorHAnsi" w:hAnsiTheme="minorHAnsi"/>
          <w:color w:val="auto"/>
        </w:rPr>
        <w:t xml:space="preserve">ating epilepsy </w:t>
      </w:r>
      <w:r>
        <w:rPr>
          <w:rFonts w:asciiTheme="minorHAnsi" w:hAnsiTheme="minorHAnsi"/>
          <w:color w:val="auto"/>
        </w:rPr>
        <w:t>are</w:t>
      </w:r>
      <w:r w:rsidR="008B2179">
        <w:rPr>
          <w:rFonts w:asciiTheme="minorHAnsi" w:hAnsiTheme="minorHAnsi"/>
          <w:color w:val="auto"/>
        </w:rPr>
        <w:t xml:space="preserve"> based on the frequency of major or minor seizures.</w:t>
      </w:r>
      <w:r w:rsidR="000D0013">
        <w:rPr>
          <w:rFonts w:asciiTheme="minorHAnsi" w:hAnsiTheme="minorHAnsi"/>
          <w:color w:val="auto"/>
        </w:rPr>
        <w:t xml:space="preserve">  The clinical description of the seizures is consistent with VA criteria for a </w:t>
      </w:r>
      <w:r w:rsidR="000D0013" w:rsidRPr="00AC108D">
        <w:rPr>
          <w:rFonts w:asciiTheme="minorHAnsi" w:hAnsiTheme="minorHAnsi"/>
          <w:color w:val="auto"/>
        </w:rPr>
        <w:t>major seizure</w:t>
      </w:r>
      <w:r w:rsidR="000D0013">
        <w:rPr>
          <w:rFonts w:asciiTheme="minorHAnsi" w:hAnsiTheme="minorHAnsi"/>
          <w:color w:val="auto"/>
        </w:rPr>
        <w:t xml:space="preserve"> (generalized tonic-</w:t>
      </w:r>
      <w:proofErr w:type="spellStart"/>
      <w:r w:rsidR="000D0013">
        <w:rPr>
          <w:rFonts w:asciiTheme="minorHAnsi" w:hAnsiTheme="minorHAnsi"/>
          <w:color w:val="auto"/>
        </w:rPr>
        <w:t>clonic</w:t>
      </w:r>
      <w:proofErr w:type="spellEnd"/>
      <w:r w:rsidR="000D0013">
        <w:rPr>
          <w:rFonts w:asciiTheme="minorHAnsi" w:hAnsiTheme="minorHAnsi"/>
          <w:color w:val="auto"/>
        </w:rPr>
        <w:t xml:space="preserve"> with loss of consciousness).  </w:t>
      </w:r>
      <w:r w:rsidR="008B2179">
        <w:rPr>
          <w:rFonts w:asciiTheme="minorHAnsi" w:hAnsiTheme="minorHAnsi"/>
          <w:color w:val="auto"/>
        </w:rPr>
        <w:t xml:space="preserve">At the time of </w:t>
      </w:r>
      <w:r w:rsidR="00F86FCB">
        <w:rPr>
          <w:rFonts w:asciiTheme="minorHAnsi" w:hAnsiTheme="minorHAnsi"/>
          <w:color w:val="auto"/>
        </w:rPr>
        <w:t>the</w:t>
      </w:r>
      <w:r w:rsidR="008B2179">
        <w:rPr>
          <w:rFonts w:asciiTheme="minorHAnsi" w:hAnsiTheme="minorHAnsi"/>
          <w:color w:val="auto"/>
        </w:rPr>
        <w:t xml:space="preserve"> October</w:t>
      </w:r>
      <w:r w:rsidR="006A2EFA">
        <w:rPr>
          <w:rFonts w:asciiTheme="minorHAnsi" w:hAnsiTheme="minorHAnsi"/>
          <w:color w:val="auto"/>
        </w:rPr>
        <w:t xml:space="preserve"> 31,</w:t>
      </w:r>
      <w:r w:rsidR="008B2179">
        <w:rPr>
          <w:rFonts w:asciiTheme="minorHAnsi" w:hAnsiTheme="minorHAnsi"/>
          <w:color w:val="auto"/>
        </w:rPr>
        <w:t xml:space="preserve"> 2005 </w:t>
      </w:r>
      <w:r w:rsidR="00F86FCB">
        <w:rPr>
          <w:rFonts w:asciiTheme="minorHAnsi" w:hAnsiTheme="minorHAnsi"/>
          <w:color w:val="auto"/>
        </w:rPr>
        <w:t>Compensation and Pension (</w:t>
      </w:r>
      <w:r w:rsidR="008B2179">
        <w:rPr>
          <w:rFonts w:asciiTheme="minorHAnsi" w:hAnsiTheme="minorHAnsi"/>
          <w:color w:val="auto"/>
        </w:rPr>
        <w:t>C&amp;P</w:t>
      </w:r>
      <w:r w:rsidR="00F86FCB">
        <w:rPr>
          <w:rFonts w:asciiTheme="minorHAnsi" w:hAnsiTheme="minorHAnsi"/>
          <w:color w:val="auto"/>
        </w:rPr>
        <w:t>)</w:t>
      </w:r>
      <w:r w:rsidR="008B2179">
        <w:rPr>
          <w:rFonts w:asciiTheme="minorHAnsi" w:hAnsiTheme="minorHAnsi"/>
          <w:color w:val="auto"/>
        </w:rPr>
        <w:t xml:space="preserve"> examination</w:t>
      </w:r>
      <w:r w:rsidR="002925FE">
        <w:rPr>
          <w:rFonts w:asciiTheme="minorHAnsi" w:hAnsiTheme="minorHAnsi"/>
          <w:color w:val="auto"/>
        </w:rPr>
        <w:t xml:space="preserve">, approximately </w:t>
      </w:r>
      <w:r w:rsidR="00F86FCB">
        <w:rPr>
          <w:rFonts w:asciiTheme="minorHAnsi" w:hAnsiTheme="minorHAnsi"/>
          <w:color w:val="auto"/>
        </w:rPr>
        <w:t>six</w:t>
      </w:r>
      <w:r w:rsidR="00C5043B">
        <w:rPr>
          <w:rFonts w:asciiTheme="minorHAnsi" w:hAnsiTheme="minorHAnsi"/>
          <w:color w:val="auto"/>
        </w:rPr>
        <w:t xml:space="preserve"> months before TDRL reevaluation in 2006, </w:t>
      </w:r>
      <w:r w:rsidR="008B2179">
        <w:rPr>
          <w:rFonts w:asciiTheme="minorHAnsi" w:hAnsiTheme="minorHAnsi"/>
          <w:color w:val="auto"/>
        </w:rPr>
        <w:t xml:space="preserve">the CI reported experiencing </w:t>
      </w:r>
      <w:r w:rsidR="00C62230">
        <w:rPr>
          <w:rFonts w:asciiTheme="minorHAnsi" w:hAnsiTheme="minorHAnsi"/>
          <w:color w:val="auto"/>
        </w:rPr>
        <w:t xml:space="preserve">four seizures:  </w:t>
      </w:r>
      <w:r w:rsidR="00260BAD">
        <w:rPr>
          <w:rFonts w:asciiTheme="minorHAnsi" w:hAnsiTheme="minorHAnsi"/>
          <w:color w:val="auto"/>
        </w:rPr>
        <w:t xml:space="preserve">one </w:t>
      </w:r>
      <w:r w:rsidR="008B2179">
        <w:rPr>
          <w:rFonts w:asciiTheme="minorHAnsi" w:hAnsiTheme="minorHAnsi"/>
          <w:color w:val="auto"/>
        </w:rPr>
        <w:t xml:space="preserve">seizure </w:t>
      </w:r>
      <w:r w:rsidR="00260BAD">
        <w:rPr>
          <w:rFonts w:asciiTheme="minorHAnsi" w:hAnsiTheme="minorHAnsi"/>
          <w:color w:val="auto"/>
        </w:rPr>
        <w:t xml:space="preserve">in </w:t>
      </w:r>
      <w:r w:rsidR="008B2179">
        <w:rPr>
          <w:rFonts w:asciiTheme="minorHAnsi" w:hAnsiTheme="minorHAnsi"/>
          <w:color w:val="auto"/>
        </w:rPr>
        <w:t>April 2004, May 2004, October</w:t>
      </w:r>
      <w:r w:rsidR="00031ADF">
        <w:rPr>
          <w:rFonts w:asciiTheme="minorHAnsi" w:hAnsiTheme="minorHAnsi"/>
          <w:color w:val="auto"/>
        </w:rPr>
        <w:t xml:space="preserve"> </w:t>
      </w:r>
      <w:r w:rsidR="00AC108D">
        <w:rPr>
          <w:rFonts w:asciiTheme="minorHAnsi" w:hAnsiTheme="minorHAnsi"/>
          <w:color w:val="auto"/>
        </w:rPr>
        <w:t xml:space="preserve">20, </w:t>
      </w:r>
      <w:r w:rsidR="008B2179">
        <w:rPr>
          <w:rFonts w:asciiTheme="minorHAnsi" w:hAnsiTheme="minorHAnsi"/>
          <w:color w:val="auto"/>
        </w:rPr>
        <w:t>2004</w:t>
      </w:r>
      <w:r w:rsidR="006A2EFA">
        <w:rPr>
          <w:rFonts w:asciiTheme="minorHAnsi" w:hAnsiTheme="minorHAnsi"/>
          <w:color w:val="auto"/>
        </w:rPr>
        <w:t>,</w:t>
      </w:r>
      <w:r w:rsidR="008B2179">
        <w:rPr>
          <w:rFonts w:asciiTheme="minorHAnsi" w:hAnsiTheme="minorHAnsi"/>
          <w:color w:val="auto"/>
        </w:rPr>
        <w:t xml:space="preserve"> and </w:t>
      </w:r>
      <w:r w:rsidR="003A43F9">
        <w:rPr>
          <w:rFonts w:asciiTheme="minorHAnsi" w:hAnsiTheme="minorHAnsi"/>
          <w:color w:val="auto"/>
        </w:rPr>
        <w:t xml:space="preserve">in </w:t>
      </w:r>
      <w:r w:rsidR="00AE6255">
        <w:rPr>
          <w:rFonts w:asciiTheme="minorHAnsi" w:hAnsiTheme="minorHAnsi"/>
          <w:color w:val="auto"/>
        </w:rPr>
        <w:t xml:space="preserve">early </w:t>
      </w:r>
      <w:r w:rsidR="008B2179">
        <w:rPr>
          <w:rFonts w:asciiTheme="minorHAnsi" w:hAnsiTheme="minorHAnsi"/>
          <w:color w:val="auto"/>
        </w:rPr>
        <w:t>January 2005</w:t>
      </w:r>
      <w:r w:rsidR="0044759E">
        <w:rPr>
          <w:rFonts w:asciiTheme="minorHAnsi" w:hAnsiTheme="minorHAnsi"/>
          <w:color w:val="auto"/>
        </w:rPr>
        <w:t>,</w:t>
      </w:r>
      <w:r w:rsidR="008B2179">
        <w:rPr>
          <w:rFonts w:asciiTheme="minorHAnsi" w:hAnsiTheme="minorHAnsi"/>
          <w:color w:val="auto"/>
        </w:rPr>
        <w:t xml:space="preserve"> with no seizures between January 2005 and </w:t>
      </w:r>
      <w:r w:rsidR="00F86FCB">
        <w:rPr>
          <w:rFonts w:asciiTheme="minorHAnsi" w:hAnsiTheme="minorHAnsi"/>
          <w:color w:val="auto"/>
        </w:rPr>
        <w:t>the</w:t>
      </w:r>
      <w:r w:rsidR="00031ADF">
        <w:rPr>
          <w:rFonts w:asciiTheme="minorHAnsi" w:hAnsiTheme="minorHAnsi"/>
          <w:color w:val="auto"/>
        </w:rPr>
        <w:t xml:space="preserve"> VA C</w:t>
      </w:r>
      <w:r w:rsidR="00F86FCB">
        <w:rPr>
          <w:rFonts w:asciiTheme="minorHAnsi" w:hAnsiTheme="minorHAnsi"/>
          <w:color w:val="auto"/>
        </w:rPr>
        <w:t>&amp;P</w:t>
      </w:r>
      <w:r w:rsidR="00031ADF">
        <w:rPr>
          <w:rFonts w:asciiTheme="minorHAnsi" w:hAnsiTheme="minorHAnsi"/>
          <w:color w:val="auto"/>
        </w:rPr>
        <w:t xml:space="preserve"> examination</w:t>
      </w:r>
      <w:r w:rsidR="00F86FCB">
        <w:rPr>
          <w:rFonts w:asciiTheme="minorHAnsi" w:hAnsiTheme="minorHAnsi"/>
          <w:color w:val="auto"/>
        </w:rPr>
        <w:t>.</w:t>
      </w:r>
      <w:r w:rsidR="008B2179">
        <w:rPr>
          <w:rFonts w:asciiTheme="minorHAnsi" w:hAnsiTheme="minorHAnsi"/>
          <w:color w:val="auto"/>
        </w:rPr>
        <w:t xml:space="preserve">  </w:t>
      </w:r>
    </w:p>
    <w:p w:rsidR="008B2179" w:rsidRDefault="008B2179" w:rsidP="00F86FCB">
      <w:pPr>
        <w:tabs>
          <w:tab w:val="left" w:pos="288"/>
          <w:tab w:val="left" w:pos="4752"/>
        </w:tabs>
        <w:spacing w:line="240" w:lineRule="exact"/>
        <w:jc w:val="both"/>
        <w:rPr>
          <w:rFonts w:asciiTheme="minorHAnsi" w:hAnsiTheme="minorHAnsi"/>
          <w:color w:val="auto"/>
        </w:rPr>
      </w:pPr>
    </w:p>
    <w:p w:rsidR="00F23A27" w:rsidRDefault="008B2179" w:rsidP="00F86FC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rating </w:t>
      </w:r>
      <w:r w:rsidR="00AE6255">
        <w:rPr>
          <w:rFonts w:asciiTheme="minorHAnsi" w:hAnsiTheme="minorHAnsi"/>
          <w:color w:val="auto"/>
          <w:szCs w:val="24"/>
        </w:rPr>
        <w:t xml:space="preserve">of 40% </w:t>
      </w:r>
      <w:r w:rsidR="00260BAD">
        <w:rPr>
          <w:rFonts w:asciiTheme="minorHAnsi" w:hAnsiTheme="minorHAnsi"/>
          <w:color w:val="auto"/>
          <w:szCs w:val="24"/>
        </w:rPr>
        <w:t xml:space="preserve">was </w:t>
      </w:r>
      <w:r>
        <w:rPr>
          <w:rFonts w:asciiTheme="minorHAnsi" w:hAnsiTheme="minorHAnsi"/>
          <w:color w:val="auto"/>
          <w:szCs w:val="24"/>
        </w:rPr>
        <w:t xml:space="preserve">based on the C&amp;P </w:t>
      </w:r>
      <w:r w:rsidR="002925FE">
        <w:rPr>
          <w:rFonts w:asciiTheme="minorHAnsi" w:hAnsiTheme="minorHAnsi"/>
          <w:color w:val="auto"/>
          <w:szCs w:val="24"/>
        </w:rPr>
        <w:t>o</w:t>
      </w:r>
      <w:r>
        <w:rPr>
          <w:rFonts w:asciiTheme="minorHAnsi" w:hAnsiTheme="minorHAnsi"/>
          <w:color w:val="auto"/>
          <w:szCs w:val="24"/>
        </w:rPr>
        <w:t xml:space="preserve">n October </w:t>
      </w:r>
      <w:r w:rsidR="00AE6255">
        <w:rPr>
          <w:rFonts w:asciiTheme="minorHAnsi" w:hAnsiTheme="minorHAnsi"/>
          <w:color w:val="auto"/>
          <w:szCs w:val="24"/>
        </w:rPr>
        <w:t xml:space="preserve">31, </w:t>
      </w:r>
      <w:r>
        <w:rPr>
          <w:rFonts w:asciiTheme="minorHAnsi" w:hAnsiTheme="minorHAnsi"/>
          <w:color w:val="auto"/>
          <w:szCs w:val="24"/>
        </w:rPr>
        <w:t>2005 and CI report</w:t>
      </w:r>
      <w:r w:rsidR="006A2EFA">
        <w:rPr>
          <w:rFonts w:asciiTheme="minorHAnsi" w:hAnsiTheme="minorHAnsi"/>
          <w:color w:val="auto"/>
          <w:szCs w:val="24"/>
        </w:rPr>
        <w:t xml:space="preserve"> of a seizure</w:t>
      </w:r>
      <w:r w:rsidR="0044759E">
        <w:rPr>
          <w:rFonts w:asciiTheme="minorHAnsi" w:hAnsiTheme="minorHAnsi"/>
          <w:color w:val="auto"/>
          <w:szCs w:val="24"/>
        </w:rPr>
        <w:t xml:space="preserve"> </w:t>
      </w:r>
      <w:r w:rsidR="006A2EFA">
        <w:rPr>
          <w:rFonts w:asciiTheme="minorHAnsi" w:hAnsiTheme="minorHAnsi"/>
          <w:color w:val="auto"/>
          <w:szCs w:val="24"/>
        </w:rPr>
        <w:t xml:space="preserve">October </w:t>
      </w:r>
      <w:r w:rsidR="00284844">
        <w:rPr>
          <w:rFonts w:asciiTheme="minorHAnsi" w:hAnsiTheme="minorHAnsi"/>
          <w:color w:val="auto"/>
          <w:szCs w:val="24"/>
        </w:rPr>
        <w:t xml:space="preserve">20, </w:t>
      </w:r>
      <w:r w:rsidR="006A2EFA">
        <w:rPr>
          <w:rFonts w:asciiTheme="minorHAnsi" w:hAnsiTheme="minorHAnsi"/>
          <w:color w:val="auto"/>
          <w:szCs w:val="24"/>
        </w:rPr>
        <w:t>2004 and January 2005</w:t>
      </w:r>
      <w:r w:rsidR="00AE6255">
        <w:rPr>
          <w:rFonts w:asciiTheme="minorHAnsi" w:hAnsiTheme="minorHAnsi"/>
          <w:color w:val="auto"/>
          <w:szCs w:val="24"/>
        </w:rPr>
        <w:t>; i.e. 2 major seizures in the past 12 months</w:t>
      </w:r>
      <w:r w:rsidR="001934A3">
        <w:rPr>
          <w:rFonts w:asciiTheme="minorHAnsi" w:hAnsiTheme="minorHAnsi"/>
          <w:color w:val="auto"/>
          <w:szCs w:val="24"/>
        </w:rPr>
        <w:t xml:space="preserve"> (</w:t>
      </w:r>
      <w:r w:rsidR="00C62230">
        <w:rPr>
          <w:rFonts w:asciiTheme="minorHAnsi" w:hAnsiTheme="minorHAnsi"/>
          <w:color w:val="auto"/>
          <w:szCs w:val="24"/>
        </w:rPr>
        <w:t>“</w:t>
      </w:r>
      <w:r w:rsidR="00F86FCB">
        <w:rPr>
          <w:rFonts w:asciiTheme="minorHAnsi" w:hAnsiTheme="minorHAnsi"/>
          <w:color w:val="auto"/>
          <w:szCs w:val="24"/>
        </w:rPr>
        <w:t>a</w:t>
      </w:r>
      <w:r w:rsidR="001934A3" w:rsidRPr="001934A3">
        <w:rPr>
          <w:rFonts w:asciiTheme="minorHAnsi" w:hAnsiTheme="minorHAnsi"/>
          <w:color w:val="auto"/>
          <w:szCs w:val="24"/>
        </w:rPr>
        <w:t xml:space="preserve">t least </w:t>
      </w:r>
      <w:r w:rsidR="005103BD">
        <w:rPr>
          <w:rFonts w:asciiTheme="minorHAnsi" w:hAnsiTheme="minorHAnsi"/>
          <w:color w:val="auto"/>
          <w:szCs w:val="24"/>
        </w:rPr>
        <w:t>1</w:t>
      </w:r>
      <w:r w:rsidR="001934A3" w:rsidRPr="001934A3">
        <w:rPr>
          <w:rFonts w:asciiTheme="minorHAnsi" w:hAnsiTheme="minorHAnsi"/>
          <w:color w:val="auto"/>
          <w:szCs w:val="24"/>
        </w:rPr>
        <w:t xml:space="preserve"> major seizure in the last </w:t>
      </w:r>
      <w:r w:rsidR="005103BD">
        <w:rPr>
          <w:rFonts w:asciiTheme="minorHAnsi" w:hAnsiTheme="minorHAnsi"/>
          <w:color w:val="auto"/>
          <w:szCs w:val="24"/>
        </w:rPr>
        <w:t>6</w:t>
      </w:r>
      <w:r w:rsidR="001934A3" w:rsidRPr="001934A3">
        <w:rPr>
          <w:rFonts w:asciiTheme="minorHAnsi" w:hAnsiTheme="minorHAnsi"/>
          <w:color w:val="auto"/>
          <w:szCs w:val="24"/>
        </w:rPr>
        <w:t xml:space="preserve"> months or </w:t>
      </w:r>
      <w:r w:rsidR="005103BD">
        <w:rPr>
          <w:rFonts w:asciiTheme="minorHAnsi" w:hAnsiTheme="minorHAnsi"/>
          <w:color w:val="auto"/>
          <w:szCs w:val="24"/>
        </w:rPr>
        <w:t>2</w:t>
      </w:r>
      <w:r w:rsidR="001934A3" w:rsidRPr="001934A3">
        <w:rPr>
          <w:rFonts w:asciiTheme="minorHAnsi" w:hAnsiTheme="minorHAnsi"/>
          <w:color w:val="auto"/>
          <w:szCs w:val="24"/>
        </w:rPr>
        <w:t xml:space="preserve"> in the last year</w:t>
      </w:r>
      <w:r w:rsidR="00C62230">
        <w:rPr>
          <w:rFonts w:asciiTheme="minorHAnsi" w:hAnsiTheme="minorHAnsi"/>
          <w:color w:val="auto"/>
          <w:szCs w:val="24"/>
        </w:rPr>
        <w:t>”</w:t>
      </w:r>
      <w:r w:rsidR="001934A3">
        <w:rPr>
          <w:rFonts w:asciiTheme="minorHAnsi" w:hAnsiTheme="minorHAnsi"/>
          <w:color w:val="auto"/>
          <w:szCs w:val="24"/>
        </w:rPr>
        <w:t>)</w:t>
      </w:r>
      <w:r w:rsidR="00F336DE">
        <w:rPr>
          <w:rFonts w:asciiTheme="minorHAnsi" w:hAnsiTheme="minorHAnsi"/>
          <w:color w:val="auto"/>
          <w:szCs w:val="24"/>
        </w:rPr>
        <w:t xml:space="preserve"> although</w:t>
      </w:r>
      <w:r w:rsidR="006A2EFA">
        <w:rPr>
          <w:rFonts w:asciiTheme="minorHAnsi" w:hAnsiTheme="minorHAnsi"/>
          <w:color w:val="auto"/>
          <w:szCs w:val="24"/>
        </w:rPr>
        <w:t xml:space="preserve"> there had been only</w:t>
      </w:r>
      <w:r w:rsidR="00F86FCB">
        <w:rPr>
          <w:rFonts w:asciiTheme="minorHAnsi" w:hAnsiTheme="minorHAnsi"/>
          <w:color w:val="auto"/>
          <w:szCs w:val="24"/>
        </w:rPr>
        <w:t xml:space="preserve"> </w:t>
      </w:r>
      <w:r w:rsidR="005103BD">
        <w:rPr>
          <w:rFonts w:asciiTheme="minorHAnsi" w:hAnsiTheme="minorHAnsi"/>
          <w:color w:val="auto"/>
          <w:szCs w:val="24"/>
        </w:rPr>
        <w:t>1</w:t>
      </w:r>
      <w:r w:rsidR="006A2EFA">
        <w:rPr>
          <w:rFonts w:asciiTheme="minorHAnsi" w:hAnsiTheme="minorHAnsi"/>
          <w:color w:val="auto"/>
          <w:szCs w:val="24"/>
        </w:rPr>
        <w:t xml:space="preserve"> seizure in the preceding </w:t>
      </w:r>
      <w:r w:rsidR="00247F5C">
        <w:rPr>
          <w:rFonts w:asciiTheme="minorHAnsi" w:hAnsiTheme="minorHAnsi"/>
          <w:color w:val="auto"/>
          <w:szCs w:val="24"/>
        </w:rPr>
        <w:t>365 days</w:t>
      </w:r>
      <w:r w:rsidR="006A2EFA">
        <w:rPr>
          <w:rFonts w:asciiTheme="minorHAnsi" w:hAnsiTheme="minorHAnsi"/>
          <w:color w:val="auto"/>
          <w:szCs w:val="24"/>
        </w:rPr>
        <w:t xml:space="preserve"> at the time of the C&amp;P</w:t>
      </w:r>
      <w:r w:rsidR="00F336DE">
        <w:rPr>
          <w:rFonts w:asciiTheme="minorHAnsi" w:hAnsiTheme="minorHAnsi"/>
          <w:color w:val="auto"/>
          <w:szCs w:val="24"/>
        </w:rPr>
        <w:t xml:space="preserve"> examination</w:t>
      </w:r>
      <w:r w:rsidR="006A2EFA">
        <w:rPr>
          <w:rFonts w:asciiTheme="minorHAnsi" w:hAnsiTheme="minorHAnsi"/>
          <w:color w:val="auto"/>
          <w:szCs w:val="24"/>
        </w:rPr>
        <w:t xml:space="preserve">, </w:t>
      </w:r>
      <w:r w:rsidR="00AE6255" w:rsidRPr="00F23A27">
        <w:rPr>
          <w:rFonts w:asciiTheme="minorHAnsi" w:hAnsiTheme="minorHAnsi"/>
          <w:color w:val="auto"/>
          <w:szCs w:val="24"/>
        </w:rPr>
        <w:t xml:space="preserve">exceeding the 12 month period </w:t>
      </w:r>
      <w:r w:rsidR="006A2EFA" w:rsidRPr="00F23A27">
        <w:rPr>
          <w:rFonts w:asciiTheme="minorHAnsi" w:hAnsiTheme="minorHAnsi"/>
          <w:color w:val="auto"/>
          <w:szCs w:val="24"/>
        </w:rPr>
        <w:t>by 10 days</w:t>
      </w:r>
      <w:r w:rsidR="006A2EFA">
        <w:rPr>
          <w:rFonts w:asciiTheme="minorHAnsi" w:hAnsiTheme="minorHAnsi"/>
          <w:color w:val="auto"/>
          <w:szCs w:val="24"/>
        </w:rPr>
        <w:t>.</w:t>
      </w:r>
      <w:r w:rsidR="00AE6255">
        <w:rPr>
          <w:rFonts w:asciiTheme="minorHAnsi" w:hAnsiTheme="minorHAnsi"/>
          <w:color w:val="auto"/>
          <w:szCs w:val="24"/>
        </w:rPr>
        <w:t xml:space="preserve">  </w:t>
      </w:r>
      <w:r w:rsidR="00711EB9" w:rsidRPr="001934A3">
        <w:rPr>
          <w:rFonts w:asciiTheme="minorHAnsi" w:hAnsiTheme="minorHAnsi"/>
          <w:color w:val="auto"/>
          <w:szCs w:val="24"/>
        </w:rPr>
        <w:t xml:space="preserve">Strict application of criteria </w:t>
      </w:r>
      <w:r w:rsidR="003A43F9">
        <w:rPr>
          <w:rFonts w:asciiTheme="minorHAnsi" w:hAnsiTheme="minorHAnsi"/>
          <w:color w:val="auto"/>
          <w:szCs w:val="24"/>
        </w:rPr>
        <w:t xml:space="preserve">at that time </w:t>
      </w:r>
      <w:r w:rsidR="00422500">
        <w:rPr>
          <w:rFonts w:asciiTheme="minorHAnsi" w:hAnsiTheme="minorHAnsi"/>
          <w:color w:val="auto"/>
          <w:szCs w:val="24"/>
        </w:rPr>
        <w:t xml:space="preserve">might </w:t>
      </w:r>
      <w:r w:rsidR="00711EB9" w:rsidRPr="001934A3">
        <w:rPr>
          <w:rFonts w:asciiTheme="minorHAnsi" w:hAnsiTheme="minorHAnsi"/>
          <w:color w:val="auto"/>
          <w:szCs w:val="24"/>
        </w:rPr>
        <w:t>achieve a 20% evaluation</w:t>
      </w:r>
      <w:r w:rsidR="001934A3">
        <w:rPr>
          <w:rFonts w:asciiTheme="minorHAnsi" w:hAnsiTheme="minorHAnsi"/>
          <w:color w:val="auto"/>
          <w:szCs w:val="24"/>
        </w:rPr>
        <w:t xml:space="preserve"> (</w:t>
      </w:r>
      <w:r w:rsidR="00197CDC">
        <w:rPr>
          <w:rFonts w:asciiTheme="minorHAnsi" w:hAnsiTheme="minorHAnsi"/>
          <w:color w:val="auto"/>
          <w:szCs w:val="24"/>
        </w:rPr>
        <w:t>“</w:t>
      </w:r>
      <w:r w:rsidR="00F86FCB">
        <w:rPr>
          <w:rFonts w:asciiTheme="minorHAnsi" w:hAnsiTheme="minorHAnsi"/>
          <w:color w:val="auto"/>
          <w:szCs w:val="24"/>
        </w:rPr>
        <w:t>a</w:t>
      </w:r>
      <w:r w:rsidR="001934A3" w:rsidRPr="001934A3">
        <w:rPr>
          <w:rFonts w:asciiTheme="minorHAnsi" w:hAnsiTheme="minorHAnsi"/>
          <w:color w:val="auto"/>
          <w:szCs w:val="24"/>
        </w:rPr>
        <w:t xml:space="preserve">t least </w:t>
      </w:r>
      <w:r w:rsidR="00F86FCB">
        <w:rPr>
          <w:rFonts w:asciiTheme="minorHAnsi" w:hAnsiTheme="minorHAnsi"/>
          <w:color w:val="auto"/>
          <w:szCs w:val="24"/>
        </w:rPr>
        <w:t>one</w:t>
      </w:r>
      <w:r w:rsidR="001934A3" w:rsidRPr="001934A3">
        <w:rPr>
          <w:rFonts w:asciiTheme="minorHAnsi" w:hAnsiTheme="minorHAnsi"/>
          <w:color w:val="auto"/>
          <w:szCs w:val="24"/>
        </w:rPr>
        <w:t xml:space="preserve"> major seizure in the last </w:t>
      </w:r>
      <w:r w:rsidR="00F86FCB">
        <w:rPr>
          <w:rFonts w:asciiTheme="minorHAnsi" w:hAnsiTheme="minorHAnsi"/>
          <w:color w:val="auto"/>
          <w:szCs w:val="24"/>
        </w:rPr>
        <w:t>two</w:t>
      </w:r>
      <w:r w:rsidR="001934A3" w:rsidRPr="001934A3">
        <w:rPr>
          <w:rFonts w:asciiTheme="minorHAnsi" w:hAnsiTheme="minorHAnsi"/>
          <w:color w:val="auto"/>
          <w:szCs w:val="24"/>
        </w:rPr>
        <w:t xml:space="preserve"> years; or at least </w:t>
      </w:r>
      <w:r w:rsidR="00F86FCB">
        <w:rPr>
          <w:rFonts w:asciiTheme="minorHAnsi" w:hAnsiTheme="minorHAnsi"/>
          <w:color w:val="auto"/>
          <w:szCs w:val="24"/>
        </w:rPr>
        <w:t>two</w:t>
      </w:r>
      <w:r w:rsidR="001934A3" w:rsidRPr="001934A3">
        <w:rPr>
          <w:rFonts w:asciiTheme="minorHAnsi" w:hAnsiTheme="minorHAnsi"/>
          <w:color w:val="auto"/>
          <w:szCs w:val="24"/>
        </w:rPr>
        <w:t xml:space="preserve"> minor seizures</w:t>
      </w:r>
      <w:r w:rsidR="001934A3">
        <w:rPr>
          <w:rFonts w:asciiTheme="minorHAnsi" w:hAnsiTheme="minorHAnsi"/>
          <w:color w:val="auto"/>
          <w:szCs w:val="24"/>
        </w:rPr>
        <w:t xml:space="preserve"> </w:t>
      </w:r>
      <w:r w:rsidR="001934A3" w:rsidRPr="001934A3">
        <w:rPr>
          <w:rFonts w:asciiTheme="minorHAnsi" w:hAnsiTheme="minorHAnsi"/>
          <w:color w:val="auto"/>
          <w:szCs w:val="24"/>
        </w:rPr>
        <w:t xml:space="preserve">in the last </w:t>
      </w:r>
      <w:r w:rsidR="00F86FCB">
        <w:rPr>
          <w:rFonts w:asciiTheme="minorHAnsi" w:hAnsiTheme="minorHAnsi"/>
          <w:color w:val="auto"/>
          <w:szCs w:val="24"/>
        </w:rPr>
        <w:t>six</w:t>
      </w:r>
      <w:r w:rsidR="001934A3" w:rsidRPr="001934A3">
        <w:rPr>
          <w:rFonts w:asciiTheme="minorHAnsi" w:hAnsiTheme="minorHAnsi"/>
          <w:color w:val="auto"/>
          <w:szCs w:val="24"/>
        </w:rPr>
        <w:t xml:space="preserve"> months</w:t>
      </w:r>
      <w:r w:rsidR="00197CDC">
        <w:rPr>
          <w:rFonts w:asciiTheme="minorHAnsi" w:hAnsiTheme="minorHAnsi"/>
          <w:color w:val="auto"/>
          <w:szCs w:val="24"/>
        </w:rPr>
        <w:t>”</w:t>
      </w:r>
      <w:r w:rsidR="001934A3">
        <w:rPr>
          <w:rFonts w:asciiTheme="minorHAnsi" w:hAnsiTheme="minorHAnsi"/>
          <w:color w:val="auto"/>
          <w:szCs w:val="24"/>
        </w:rPr>
        <w:t xml:space="preserve">). </w:t>
      </w:r>
      <w:r w:rsidR="00ED0D7B">
        <w:rPr>
          <w:rFonts w:asciiTheme="minorHAnsi" w:hAnsiTheme="minorHAnsi"/>
          <w:color w:val="auto"/>
          <w:szCs w:val="24"/>
        </w:rPr>
        <w:t xml:space="preserve"> </w:t>
      </w:r>
    </w:p>
    <w:p w:rsidR="00F23A27" w:rsidRDefault="00F23A27" w:rsidP="00F86FCB">
      <w:pPr>
        <w:tabs>
          <w:tab w:val="left" w:pos="288"/>
          <w:tab w:val="left" w:pos="4752"/>
        </w:tabs>
        <w:spacing w:line="240" w:lineRule="exact"/>
        <w:jc w:val="both"/>
        <w:rPr>
          <w:rFonts w:asciiTheme="minorHAnsi" w:hAnsiTheme="minorHAnsi"/>
          <w:color w:val="auto"/>
          <w:szCs w:val="24"/>
        </w:rPr>
      </w:pPr>
    </w:p>
    <w:p w:rsidR="00197CDC" w:rsidRDefault="008B2179" w:rsidP="00F86FCB">
      <w:pPr>
        <w:tabs>
          <w:tab w:val="left" w:pos="288"/>
          <w:tab w:val="left" w:pos="4752"/>
        </w:tabs>
        <w:spacing w:line="240" w:lineRule="exact"/>
        <w:jc w:val="both"/>
        <w:rPr>
          <w:rFonts w:asciiTheme="minorHAnsi" w:hAnsiTheme="minorHAnsi"/>
          <w:color w:val="auto"/>
          <w:szCs w:val="24"/>
        </w:rPr>
      </w:pPr>
      <w:r w:rsidRPr="001934A3">
        <w:rPr>
          <w:rFonts w:asciiTheme="minorHAnsi" w:hAnsiTheme="minorHAnsi"/>
          <w:color w:val="auto"/>
          <w:szCs w:val="24"/>
        </w:rPr>
        <w:t xml:space="preserve">There is no further information regarding the occurrence of seizures until </w:t>
      </w:r>
      <w:r w:rsidR="001934A3">
        <w:rPr>
          <w:rFonts w:asciiTheme="minorHAnsi" w:hAnsiTheme="minorHAnsi"/>
          <w:color w:val="auto"/>
          <w:szCs w:val="24"/>
        </w:rPr>
        <w:t xml:space="preserve">the next </w:t>
      </w:r>
      <w:r>
        <w:rPr>
          <w:rFonts w:asciiTheme="minorHAnsi" w:hAnsiTheme="minorHAnsi"/>
          <w:color w:val="auto"/>
          <w:szCs w:val="24"/>
        </w:rPr>
        <w:t xml:space="preserve">C&amp;P examination in </w:t>
      </w:r>
      <w:r w:rsidRPr="00F23A27">
        <w:rPr>
          <w:rFonts w:asciiTheme="minorHAnsi" w:hAnsiTheme="minorHAnsi"/>
          <w:color w:val="auto"/>
          <w:szCs w:val="24"/>
        </w:rPr>
        <w:t>January 2007</w:t>
      </w:r>
      <w:r w:rsidR="002925FE">
        <w:rPr>
          <w:rFonts w:asciiTheme="minorHAnsi" w:hAnsiTheme="minorHAnsi"/>
          <w:color w:val="auto"/>
          <w:szCs w:val="24"/>
        </w:rPr>
        <w:t xml:space="preserve">, </w:t>
      </w:r>
      <w:r w:rsidR="00162C09">
        <w:rPr>
          <w:rFonts w:asciiTheme="minorHAnsi" w:hAnsiTheme="minorHAnsi"/>
          <w:color w:val="auto"/>
          <w:szCs w:val="24"/>
        </w:rPr>
        <w:t xml:space="preserve">approximately </w:t>
      </w:r>
      <w:r w:rsidR="00F86FCB">
        <w:rPr>
          <w:rFonts w:asciiTheme="minorHAnsi" w:hAnsiTheme="minorHAnsi"/>
          <w:color w:val="auto"/>
          <w:szCs w:val="24"/>
        </w:rPr>
        <w:t>five</w:t>
      </w:r>
      <w:r w:rsidR="002925FE">
        <w:rPr>
          <w:rFonts w:asciiTheme="minorHAnsi" w:hAnsiTheme="minorHAnsi"/>
          <w:color w:val="auto"/>
          <w:szCs w:val="24"/>
        </w:rPr>
        <w:t xml:space="preserve"> months following </w:t>
      </w:r>
      <w:r w:rsidR="00CD5BD2">
        <w:rPr>
          <w:rFonts w:asciiTheme="minorHAnsi" w:hAnsiTheme="minorHAnsi"/>
          <w:color w:val="auto"/>
          <w:szCs w:val="24"/>
        </w:rPr>
        <w:t>finalization</w:t>
      </w:r>
      <w:r w:rsidR="00197CDC">
        <w:rPr>
          <w:rFonts w:asciiTheme="minorHAnsi" w:hAnsiTheme="minorHAnsi"/>
          <w:color w:val="auto"/>
          <w:szCs w:val="24"/>
        </w:rPr>
        <w:t xml:space="preserve"> from </w:t>
      </w:r>
      <w:r w:rsidR="002925FE">
        <w:rPr>
          <w:rFonts w:asciiTheme="minorHAnsi" w:hAnsiTheme="minorHAnsi"/>
          <w:color w:val="auto"/>
          <w:szCs w:val="24"/>
        </w:rPr>
        <w:t>TDRL.</w:t>
      </w:r>
      <w:r w:rsidR="00C5043B">
        <w:rPr>
          <w:rFonts w:asciiTheme="minorHAnsi" w:hAnsiTheme="minorHAnsi"/>
          <w:color w:val="auto"/>
          <w:szCs w:val="24"/>
        </w:rPr>
        <w:t xml:space="preserve">  </w:t>
      </w:r>
      <w:r w:rsidR="001934A3">
        <w:rPr>
          <w:rFonts w:asciiTheme="minorHAnsi" w:hAnsiTheme="minorHAnsi"/>
          <w:color w:val="auto"/>
          <w:szCs w:val="24"/>
        </w:rPr>
        <w:t>At that time</w:t>
      </w:r>
      <w:r w:rsidR="00197CDC">
        <w:rPr>
          <w:rFonts w:asciiTheme="minorHAnsi" w:hAnsiTheme="minorHAnsi"/>
          <w:color w:val="auto"/>
          <w:szCs w:val="24"/>
        </w:rPr>
        <w:t>,</w:t>
      </w:r>
      <w:r w:rsidR="001934A3">
        <w:rPr>
          <w:rFonts w:asciiTheme="minorHAnsi" w:hAnsiTheme="minorHAnsi"/>
          <w:color w:val="auto"/>
          <w:szCs w:val="24"/>
        </w:rPr>
        <w:t xml:space="preserve"> </w:t>
      </w:r>
      <w:r>
        <w:rPr>
          <w:rFonts w:asciiTheme="minorHAnsi" w:hAnsiTheme="minorHAnsi"/>
          <w:color w:val="auto"/>
          <w:szCs w:val="24"/>
        </w:rPr>
        <w:t xml:space="preserve">CI </w:t>
      </w:r>
      <w:r w:rsidR="001934A3">
        <w:rPr>
          <w:rFonts w:asciiTheme="minorHAnsi" w:hAnsiTheme="minorHAnsi"/>
          <w:color w:val="auto"/>
          <w:szCs w:val="24"/>
        </w:rPr>
        <w:t>was employed, driving</w:t>
      </w:r>
      <w:r w:rsidR="005A353E">
        <w:rPr>
          <w:rFonts w:asciiTheme="minorHAnsi" w:hAnsiTheme="minorHAnsi"/>
          <w:color w:val="auto"/>
          <w:szCs w:val="24"/>
        </w:rPr>
        <w:t xml:space="preserve"> (“</w:t>
      </w:r>
      <w:r w:rsidR="00F86FCB">
        <w:rPr>
          <w:rFonts w:asciiTheme="minorHAnsi" w:hAnsiTheme="minorHAnsi"/>
          <w:color w:val="auto"/>
          <w:szCs w:val="24"/>
        </w:rPr>
        <w:t>l</w:t>
      </w:r>
      <w:r w:rsidR="005A353E">
        <w:rPr>
          <w:rFonts w:asciiTheme="minorHAnsi" w:hAnsiTheme="minorHAnsi"/>
          <w:color w:val="auto"/>
          <w:szCs w:val="24"/>
        </w:rPr>
        <w:t xml:space="preserve">icense had never been taken away </w:t>
      </w:r>
      <w:r w:rsidR="005A353E" w:rsidRPr="0053151A">
        <w:rPr>
          <w:rFonts w:asciiTheme="minorHAnsi" w:hAnsiTheme="minorHAnsi"/>
          <w:color w:val="auto"/>
          <w:szCs w:val="24"/>
        </w:rPr>
        <w:t>before</w:t>
      </w:r>
      <w:r w:rsidR="005103BD">
        <w:rPr>
          <w:rFonts w:asciiTheme="minorHAnsi" w:hAnsiTheme="minorHAnsi"/>
          <w:color w:val="auto"/>
          <w:szCs w:val="24"/>
        </w:rPr>
        <w:t xml:space="preserve"> [</w:t>
      </w:r>
      <w:r w:rsidR="005A353E" w:rsidRPr="0053151A">
        <w:rPr>
          <w:rFonts w:asciiTheme="minorHAnsi" w:hAnsiTheme="minorHAnsi"/>
          <w:color w:val="auto"/>
          <w:szCs w:val="24"/>
        </w:rPr>
        <w:t>Oc</w:t>
      </w:r>
      <w:r w:rsidR="00F86FCB" w:rsidRPr="0053151A">
        <w:rPr>
          <w:rFonts w:asciiTheme="minorHAnsi" w:hAnsiTheme="minorHAnsi"/>
          <w:color w:val="auto"/>
          <w:szCs w:val="24"/>
        </w:rPr>
        <w:t>tober 20</w:t>
      </w:r>
      <w:r w:rsidR="005A353E" w:rsidRPr="0053151A">
        <w:rPr>
          <w:rFonts w:asciiTheme="minorHAnsi" w:hAnsiTheme="minorHAnsi"/>
          <w:color w:val="auto"/>
          <w:szCs w:val="24"/>
        </w:rPr>
        <w:t>07</w:t>
      </w:r>
      <w:r w:rsidR="005103BD">
        <w:rPr>
          <w:rFonts w:asciiTheme="minorHAnsi" w:hAnsiTheme="minorHAnsi"/>
          <w:color w:val="auto"/>
          <w:szCs w:val="24"/>
        </w:rPr>
        <w:t>]</w:t>
      </w:r>
      <w:r w:rsidR="005A353E">
        <w:rPr>
          <w:rFonts w:asciiTheme="minorHAnsi" w:hAnsiTheme="minorHAnsi"/>
          <w:color w:val="auto"/>
          <w:szCs w:val="24"/>
        </w:rPr>
        <w:t xml:space="preserve"> because seizures were at night in sleep”)</w:t>
      </w:r>
      <w:r w:rsidR="001934A3">
        <w:rPr>
          <w:rFonts w:asciiTheme="minorHAnsi" w:hAnsiTheme="minorHAnsi"/>
          <w:color w:val="auto"/>
          <w:szCs w:val="24"/>
        </w:rPr>
        <w:t xml:space="preserve">, </w:t>
      </w:r>
      <w:r w:rsidR="005604E0">
        <w:rPr>
          <w:rFonts w:asciiTheme="minorHAnsi" w:hAnsiTheme="minorHAnsi"/>
          <w:color w:val="auto"/>
          <w:szCs w:val="24"/>
        </w:rPr>
        <w:t xml:space="preserve">and </w:t>
      </w:r>
      <w:r w:rsidR="001934A3">
        <w:rPr>
          <w:rFonts w:asciiTheme="minorHAnsi" w:hAnsiTheme="minorHAnsi"/>
          <w:color w:val="auto"/>
          <w:szCs w:val="24"/>
        </w:rPr>
        <w:t>stat</w:t>
      </w:r>
      <w:r w:rsidR="005604E0">
        <w:rPr>
          <w:rFonts w:asciiTheme="minorHAnsi" w:hAnsiTheme="minorHAnsi"/>
          <w:color w:val="auto"/>
          <w:szCs w:val="24"/>
        </w:rPr>
        <w:t>ed</w:t>
      </w:r>
      <w:r w:rsidR="001934A3">
        <w:rPr>
          <w:rFonts w:asciiTheme="minorHAnsi" w:hAnsiTheme="minorHAnsi"/>
          <w:color w:val="auto"/>
          <w:szCs w:val="24"/>
        </w:rPr>
        <w:t xml:space="preserve"> the condition had a minor effect on daily activity.  He </w:t>
      </w:r>
      <w:r>
        <w:rPr>
          <w:rFonts w:asciiTheme="minorHAnsi" w:hAnsiTheme="minorHAnsi"/>
          <w:color w:val="auto"/>
          <w:szCs w:val="24"/>
        </w:rPr>
        <w:t>reported experi</w:t>
      </w:r>
      <w:r w:rsidR="001934A3">
        <w:rPr>
          <w:rFonts w:asciiTheme="minorHAnsi" w:hAnsiTheme="minorHAnsi"/>
          <w:color w:val="auto"/>
          <w:szCs w:val="24"/>
        </w:rPr>
        <w:t>en</w:t>
      </w:r>
      <w:r>
        <w:rPr>
          <w:rFonts w:asciiTheme="minorHAnsi" w:hAnsiTheme="minorHAnsi"/>
          <w:color w:val="auto"/>
          <w:szCs w:val="24"/>
        </w:rPr>
        <w:t xml:space="preserve">cing </w:t>
      </w:r>
      <w:r w:rsidR="00ED0D7B" w:rsidRPr="00F23A27">
        <w:rPr>
          <w:rFonts w:asciiTheme="minorHAnsi" w:hAnsiTheme="minorHAnsi"/>
          <w:color w:val="auto"/>
          <w:szCs w:val="24"/>
        </w:rPr>
        <w:t>“</w:t>
      </w:r>
      <w:r w:rsidR="00F86FCB" w:rsidRPr="00F23A27">
        <w:rPr>
          <w:rFonts w:asciiTheme="minorHAnsi" w:hAnsiTheme="minorHAnsi"/>
          <w:color w:val="auto"/>
          <w:szCs w:val="24"/>
        </w:rPr>
        <w:t>four to six</w:t>
      </w:r>
      <w:r w:rsidR="00ED0D7B" w:rsidRPr="00F23A27">
        <w:rPr>
          <w:rFonts w:asciiTheme="minorHAnsi" w:hAnsiTheme="minorHAnsi"/>
          <w:color w:val="auto"/>
          <w:szCs w:val="24"/>
        </w:rPr>
        <w:t>”</w:t>
      </w:r>
      <w:r w:rsidRPr="00F23A27">
        <w:rPr>
          <w:rFonts w:asciiTheme="minorHAnsi" w:hAnsiTheme="minorHAnsi"/>
          <w:color w:val="auto"/>
          <w:szCs w:val="24"/>
        </w:rPr>
        <w:t xml:space="preserve"> seizures</w:t>
      </w:r>
      <w:r w:rsidR="007456C1">
        <w:rPr>
          <w:rFonts w:asciiTheme="minorHAnsi" w:hAnsiTheme="minorHAnsi"/>
          <w:color w:val="auto"/>
          <w:szCs w:val="24"/>
        </w:rPr>
        <w:t xml:space="preserve"> </w:t>
      </w:r>
      <w:r w:rsidR="00422500" w:rsidRPr="00F23A27">
        <w:rPr>
          <w:rFonts w:asciiTheme="minorHAnsi" w:hAnsiTheme="minorHAnsi"/>
          <w:color w:val="auto"/>
          <w:szCs w:val="24"/>
        </w:rPr>
        <w:t>per year</w:t>
      </w:r>
      <w:r w:rsidR="00422500">
        <w:rPr>
          <w:rFonts w:asciiTheme="minorHAnsi" w:hAnsiTheme="minorHAnsi"/>
          <w:color w:val="auto"/>
          <w:szCs w:val="24"/>
        </w:rPr>
        <w:t xml:space="preserve"> </w:t>
      </w:r>
      <w:r w:rsidR="007456C1">
        <w:rPr>
          <w:rFonts w:asciiTheme="minorHAnsi" w:hAnsiTheme="minorHAnsi"/>
          <w:color w:val="auto"/>
          <w:szCs w:val="24"/>
        </w:rPr>
        <w:t xml:space="preserve">(description consistent with major seizures) </w:t>
      </w:r>
      <w:r>
        <w:rPr>
          <w:rFonts w:asciiTheme="minorHAnsi" w:hAnsiTheme="minorHAnsi"/>
          <w:color w:val="auto"/>
          <w:szCs w:val="24"/>
        </w:rPr>
        <w:t>on medication upon wh</w:t>
      </w:r>
      <w:r w:rsidR="005F6523">
        <w:rPr>
          <w:rFonts w:asciiTheme="minorHAnsi" w:hAnsiTheme="minorHAnsi"/>
          <w:color w:val="auto"/>
          <w:szCs w:val="24"/>
        </w:rPr>
        <w:t xml:space="preserve">ich an 80% </w:t>
      </w:r>
      <w:r w:rsidR="00C5043B">
        <w:rPr>
          <w:rFonts w:asciiTheme="minorHAnsi" w:hAnsiTheme="minorHAnsi"/>
          <w:color w:val="auto"/>
          <w:szCs w:val="24"/>
        </w:rPr>
        <w:t xml:space="preserve">VA </w:t>
      </w:r>
      <w:r w:rsidR="005F6523">
        <w:rPr>
          <w:rFonts w:asciiTheme="minorHAnsi" w:hAnsiTheme="minorHAnsi"/>
          <w:color w:val="auto"/>
          <w:szCs w:val="24"/>
        </w:rPr>
        <w:t>evaluation was based</w:t>
      </w:r>
      <w:r w:rsidR="00C62230">
        <w:rPr>
          <w:rFonts w:asciiTheme="minorHAnsi" w:hAnsiTheme="minorHAnsi"/>
          <w:color w:val="auto"/>
          <w:szCs w:val="24"/>
        </w:rPr>
        <w:t>.</w:t>
      </w:r>
      <w:r w:rsidR="00ED0D7B">
        <w:rPr>
          <w:rFonts w:asciiTheme="minorHAnsi" w:hAnsiTheme="minorHAnsi"/>
          <w:color w:val="auto"/>
          <w:szCs w:val="24"/>
        </w:rPr>
        <w:t xml:space="preserve">  The Board noted that the history of seizure frequency reported in this C&amp;P examination lacked the detail</w:t>
      </w:r>
      <w:r w:rsidR="00F562A7">
        <w:rPr>
          <w:rFonts w:asciiTheme="minorHAnsi" w:hAnsiTheme="minorHAnsi"/>
          <w:color w:val="auto"/>
          <w:szCs w:val="24"/>
        </w:rPr>
        <w:t>ed description</w:t>
      </w:r>
      <w:r w:rsidR="00ED0D7B">
        <w:rPr>
          <w:rFonts w:asciiTheme="minorHAnsi" w:hAnsiTheme="minorHAnsi"/>
          <w:color w:val="auto"/>
          <w:szCs w:val="24"/>
        </w:rPr>
        <w:t xml:space="preserve"> of the C&amp;P examination </w:t>
      </w:r>
      <w:r w:rsidR="00F562A7">
        <w:rPr>
          <w:rFonts w:asciiTheme="minorHAnsi" w:hAnsiTheme="minorHAnsi"/>
          <w:color w:val="auto"/>
          <w:szCs w:val="24"/>
        </w:rPr>
        <w:t xml:space="preserve">in </w:t>
      </w:r>
      <w:r w:rsidR="00ED0D7B">
        <w:rPr>
          <w:rFonts w:asciiTheme="minorHAnsi" w:hAnsiTheme="minorHAnsi"/>
          <w:color w:val="auto"/>
          <w:szCs w:val="24"/>
        </w:rPr>
        <w:t xml:space="preserve">October 2005, or any corroborating treatment medical records.  </w:t>
      </w:r>
      <w:r w:rsidR="00C62230">
        <w:rPr>
          <w:rFonts w:asciiTheme="minorHAnsi" w:hAnsiTheme="minorHAnsi"/>
          <w:color w:val="auto"/>
          <w:szCs w:val="24"/>
        </w:rPr>
        <w:t xml:space="preserve">The VA </w:t>
      </w:r>
      <w:r w:rsidR="005F6523">
        <w:rPr>
          <w:rFonts w:asciiTheme="minorHAnsi" w:hAnsiTheme="minorHAnsi"/>
          <w:color w:val="auto"/>
          <w:szCs w:val="24"/>
        </w:rPr>
        <w:t xml:space="preserve">decreased </w:t>
      </w:r>
      <w:r w:rsidR="00C62230">
        <w:rPr>
          <w:rFonts w:asciiTheme="minorHAnsi" w:hAnsiTheme="minorHAnsi"/>
          <w:color w:val="auto"/>
          <w:szCs w:val="24"/>
        </w:rPr>
        <w:t xml:space="preserve">the </w:t>
      </w:r>
      <w:r w:rsidR="005A353E">
        <w:rPr>
          <w:rFonts w:asciiTheme="minorHAnsi" w:hAnsiTheme="minorHAnsi"/>
          <w:color w:val="auto"/>
          <w:szCs w:val="24"/>
        </w:rPr>
        <w:t xml:space="preserve">CI’s </w:t>
      </w:r>
      <w:r w:rsidR="00C62230">
        <w:rPr>
          <w:rFonts w:asciiTheme="minorHAnsi" w:hAnsiTheme="minorHAnsi"/>
          <w:color w:val="auto"/>
          <w:szCs w:val="24"/>
        </w:rPr>
        <w:t xml:space="preserve">rating </w:t>
      </w:r>
      <w:r w:rsidR="005F6523">
        <w:rPr>
          <w:rFonts w:asciiTheme="minorHAnsi" w:hAnsiTheme="minorHAnsi"/>
          <w:color w:val="auto"/>
          <w:szCs w:val="24"/>
        </w:rPr>
        <w:t>to 60%</w:t>
      </w:r>
      <w:r w:rsidR="00C62230">
        <w:rPr>
          <w:rFonts w:asciiTheme="minorHAnsi" w:hAnsiTheme="minorHAnsi"/>
          <w:color w:val="auto"/>
          <w:szCs w:val="24"/>
        </w:rPr>
        <w:t xml:space="preserve"> based on exam of </w:t>
      </w:r>
      <w:r w:rsidR="00C62230" w:rsidRPr="00F23A27">
        <w:rPr>
          <w:rFonts w:asciiTheme="minorHAnsi" w:hAnsiTheme="minorHAnsi"/>
          <w:color w:val="auto"/>
          <w:szCs w:val="24"/>
        </w:rPr>
        <w:t>Aug</w:t>
      </w:r>
      <w:r w:rsidR="00F86FCB" w:rsidRPr="00F23A27">
        <w:rPr>
          <w:rFonts w:asciiTheme="minorHAnsi" w:hAnsiTheme="minorHAnsi"/>
          <w:color w:val="auto"/>
          <w:szCs w:val="24"/>
        </w:rPr>
        <w:t>ust</w:t>
      </w:r>
      <w:r w:rsidR="00C62230" w:rsidRPr="00F23A27">
        <w:rPr>
          <w:rFonts w:asciiTheme="minorHAnsi" w:hAnsiTheme="minorHAnsi"/>
          <w:color w:val="auto"/>
          <w:szCs w:val="24"/>
        </w:rPr>
        <w:t xml:space="preserve"> 2009</w:t>
      </w:r>
      <w:r w:rsidR="00197CDC">
        <w:rPr>
          <w:rFonts w:asciiTheme="minorHAnsi" w:hAnsiTheme="minorHAnsi"/>
          <w:color w:val="auto"/>
          <w:szCs w:val="24"/>
        </w:rPr>
        <w:t xml:space="preserve"> whe</w:t>
      </w:r>
      <w:r w:rsidR="00F86FCB">
        <w:rPr>
          <w:rFonts w:asciiTheme="minorHAnsi" w:hAnsiTheme="minorHAnsi"/>
          <w:color w:val="auto"/>
          <w:szCs w:val="24"/>
        </w:rPr>
        <w:t>n</w:t>
      </w:r>
      <w:r w:rsidR="00197CDC">
        <w:rPr>
          <w:rFonts w:asciiTheme="minorHAnsi" w:hAnsiTheme="minorHAnsi"/>
          <w:color w:val="auto"/>
          <w:szCs w:val="24"/>
        </w:rPr>
        <w:t xml:space="preserve"> the CI was no longer on medic</w:t>
      </w:r>
      <w:r w:rsidR="005A353E">
        <w:rPr>
          <w:rFonts w:asciiTheme="minorHAnsi" w:hAnsiTheme="minorHAnsi"/>
          <w:color w:val="auto"/>
          <w:szCs w:val="24"/>
        </w:rPr>
        <w:t>ations due to side-effects</w:t>
      </w:r>
      <w:r w:rsidR="00F86FCB">
        <w:rPr>
          <w:rFonts w:asciiTheme="minorHAnsi" w:hAnsiTheme="minorHAnsi"/>
          <w:color w:val="auto"/>
          <w:szCs w:val="24"/>
        </w:rPr>
        <w:t>,</w:t>
      </w:r>
      <w:r w:rsidR="005A353E">
        <w:rPr>
          <w:rFonts w:asciiTheme="minorHAnsi" w:hAnsiTheme="minorHAnsi"/>
          <w:color w:val="auto"/>
          <w:szCs w:val="24"/>
        </w:rPr>
        <w:t xml:space="preserve"> and </w:t>
      </w:r>
      <w:r w:rsidR="00422500">
        <w:rPr>
          <w:rFonts w:asciiTheme="minorHAnsi" w:hAnsiTheme="minorHAnsi"/>
          <w:color w:val="auto"/>
          <w:szCs w:val="24"/>
        </w:rPr>
        <w:t xml:space="preserve">this </w:t>
      </w:r>
      <w:r w:rsidR="002867C9">
        <w:rPr>
          <w:rFonts w:asciiTheme="minorHAnsi" w:hAnsiTheme="minorHAnsi"/>
          <w:color w:val="auto"/>
          <w:szCs w:val="24"/>
        </w:rPr>
        <w:t xml:space="preserve">was considered outside the timeframe for rating proximate to separation.  </w:t>
      </w:r>
    </w:p>
    <w:p w:rsidR="00F23A27" w:rsidRDefault="00F23A27" w:rsidP="00F86FCB">
      <w:pPr>
        <w:spacing w:line="240" w:lineRule="exact"/>
        <w:jc w:val="both"/>
        <w:rPr>
          <w:rFonts w:asciiTheme="minorHAnsi" w:hAnsiTheme="minorHAnsi"/>
          <w:color w:val="auto"/>
          <w:szCs w:val="24"/>
        </w:rPr>
      </w:pPr>
    </w:p>
    <w:p w:rsidR="007456C1" w:rsidRDefault="00F23A27" w:rsidP="00F86FCB">
      <w:pPr>
        <w:spacing w:line="240" w:lineRule="exact"/>
        <w:jc w:val="both"/>
        <w:rPr>
          <w:rFonts w:asciiTheme="minorHAnsi" w:hAnsiTheme="minorHAnsi"/>
          <w:color w:val="auto"/>
          <w:szCs w:val="24"/>
        </w:rPr>
      </w:pPr>
      <w:r w:rsidRPr="00F23A27">
        <w:rPr>
          <w:rFonts w:asciiTheme="minorHAnsi" w:hAnsiTheme="minorHAnsi"/>
          <w:color w:val="auto"/>
          <w:szCs w:val="24"/>
        </w:rPr>
        <w:t xml:space="preserve">The Board reviewed and concurred with the TDRL </w:t>
      </w:r>
      <w:r w:rsidR="00422500">
        <w:rPr>
          <w:rFonts w:asciiTheme="minorHAnsi" w:hAnsiTheme="minorHAnsi"/>
          <w:color w:val="auto"/>
          <w:szCs w:val="24"/>
        </w:rPr>
        <w:t xml:space="preserve">entry </w:t>
      </w:r>
      <w:r w:rsidRPr="00F23A27">
        <w:rPr>
          <w:rFonts w:asciiTheme="minorHAnsi" w:hAnsiTheme="minorHAnsi"/>
          <w:color w:val="auto"/>
          <w:szCs w:val="24"/>
        </w:rPr>
        <w:t>rating of 40% IAW VASRD §4.124a</w:t>
      </w:r>
      <w:r w:rsidR="0044759E">
        <w:rPr>
          <w:rFonts w:asciiTheme="minorHAnsi" w:hAnsiTheme="minorHAnsi"/>
          <w:color w:val="auto"/>
          <w:szCs w:val="24"/>
        </w:rPr>
        <w:t xml:space="preserve"> (including without application of service rules noted above)</w:t>
      </w:r>
      <w:r w:rsidRPr="00F23A27">
        <w:rPr>
          <w:rFonts w:asciiTheme="minorHAnsi" w:hAnsiTheme="minorHAnsi"/>
          <w:color w:val="auto"/>
          <w:szCs w:val="24"/>
        </w:rPr>
        <w:t xml:space="preserve">.  </w:t>
      </w:r>
      <w:r w:rsidR="00935CEA">
        <w:rPr>
          <w:rFonts w:asciiTheme="minorHAnsi" w:hAnsiTheme="minorHAnsi"/>
          <w:color w:val="auto"/>
          <w:szCs w:val="24"/>
        </w:rPr>
        <w:t>T</w:t>
      </w:r>
      <w:r w:rsidR="00935CEA" w:rsidRPr="00334AC5">
        <w:rPr>
          <w:rFonts w:asciiTheme="minorHAnsi" w:hAnsiTheme="minorHAnsi"/>
          <w:color w:val="auto"/>
          <w:szCs w:val="24"/>
        </w:rPr>
        <w:t xml:space="preserve">he Board must determine the most appropriate fit with VASRD </w:t>
      </w:r>
      <w:r w:rsidR="00935CEA" w:rsidRPr="0024705B">
        <w:rPr>
          <w:rFonts w:asciiTheme="minorHAnsi" w:eastAsiaTheme="minorHAnsi" w:hAnsiTheme="minorHAnsi"/>
          <w:color w:val="auto"/>
          <w:szCs w:val="24"/>
        </w:rPr>
        <w:t>§</w:t>
      </w:r>
      <w:r w:rsidR="00935CEA" w:rsidRPr="00334AC5">
        <w:rPr>
          <w:rFonts w:asciiTheme="minorHAnsi" w:hAnsiTheme="minorHAnsi"/>
          <w:color w:val="auto"/>
          <w:szCs w:val="24"/>
        </w:rPr>
        <w:t>4.1</w:t>
      </w:r>
      <w:r w:rsidR="00935CEA">
        <w:rPr>
          <w:rFonts w:asciiTheme="minorHAnsi" w:hAnsiTheme="minorHAnsi"/>
          <w:color w:val="auto"/>
          <w:szCs w:val="24"/>
        </w:rPr>
        <w:t xml:space="preserve">24a </w:t>
      </w:r>
      <w:r w:rsidR="00935CEA" w:rsidRPr="00334AC5">
        <w:rPr>
          <w:rFonts w:asciiTheme="minorHAnsi" w:hAnsiTheme="minorHAnsi"/>
          <w:color w:val="auto"/>
          <w:szCs w:val="24"/>
        </w:rPr>
        <w:t xml:space="preserve">criteria for its permanent rating recommendation at the time of </w:t>
      </w:r>
      <w:r w:rsidR="00935CEA">
        <w:rPr>
          <w:rFonts w:asciiTheme="minorHAnsi" w:hAnsiTheme="minorHAnsi"/>
          <w:color w:val="auto"/>
          <w:szCs w:val="24"/>
        </w:rPr>
        <w:t xml:space="preserve">permanent disability disposition </w:t>
      </w:r>
      <w:r w:rsidR="00935CEA" w:rsidRPr="00334AC5">
        <w:rPr>
          <w:rFonts w:asciiTheme="minorHAnsi" w:hAnsiTheme="minorHAnsi"/>
          <w:color w:val="auto"/>
          <w:szCs w:val="24"/>
        </w:rPr>
        <w:t>from military service.</w:t>
      </w:r>
      <w:r w:rsidR="00935CEA">
        <w:rPr>
          <w:rFonts w:asciiTheme="minorHAnsi" w:hAnsiTheme="minorHAnsi"/>
          <w:color w:val="auto"/>
          <w:szCs w:val="24"/>
        </w:rPr>
        <w:t xml:space="preserve">  </w:t>
      </w:r>
      <w:r>
        <w:rPr>
          <w:rFonts w:asciiTheme="minorHAnsi" w:hAnsiTheme="minorHAnsi"/>
          <w:color w:val="auto"/>
          <w:szCs w:val="24"/>
        </w:rPr>
        <w:t xml:space="preserve">Due to the fact that </w:t>
      </w:r>
      <w:proofErr w:type="gramStart"/>
      <w:r>
        <w:rPr>
          <w:rFonts w:asciiTheme="minorHAnsi" w:hAnsiTheme="minorHAnsi"/>
          <w:color w:val="auto"/>
          <w:szCs w:val="24"/>
        </w:rPr>
        <w:t>DoD</w:t>
      </w:r>
      <w:proofErr w:type="gramEnd"/>
      <w:r>
        <w:rPr>
          <w:rFonts w:asciiTheme="minorHAnsi" w:hAnsiTheme="minorHAnsi"/>
          <w:color w:val="auto"/>
          <w:szCs w:val="24"/>
        </w:rPr>
        <w:t xml:space="preserve"> and Navy disability rating guidance in effect at the time significantly altered the PEB’s approach to rating seizure disorder, and absent documentation to the contrary, the Board could not presume regularity in government proceedings at the time of the 2006 PEB and removal from the TDRL.  </w:t>
      </w:r>
      <w:r w:rsidR="00935CEA">
        <w:rPr>
          <w:rFonts w:asciiTheme="minorHAnsi" w:hAnsiTheme="minorHAnsi"/>
          <w:color w:val="auto"/>
          <w:szCs w:val="24"/>
        </w:rPr>
        <w:t>However</w:t>
      </w:r>
      <w:r w:rsidR="005103BD">
        <w:rPr>
          <w:rFonts w:asciiTheme="minorHAnsi" w:hAnsiTheme="minorHAnsi"/>
          <w:color w:val="auto"/>
          <w:szCs w:val="24"/>
        </w:rPr>
        <w:t>,</w:t>
      </w:r>
      <w:r w:rsidR="00935CEA">
        <w:rPr>
          <w:rFonts w:asciiTheme="minorHAnsi" w:hAnsiTheme="minorHAnsi"/>
          <w:color w:val="auto"/>
          <w:szCs w:val="24"/>
        </w:rPr>
        <w:t xml:space="preserve"> t</w:t>
      </w:r>
      <w:r>
        <w:rPr>
          <w:rFonts w:asciiTheme="minorHAnsi" w:hAnsiTheme="minorHAnsi"/>
          <w:color w:val="auto"/>
          <w:szCs w:val="24"/>
        </w:rPr>
        <w:t>he Board noted that at the time of placement on the TDRL use of those special rules w</w:t>
      </w:r>
      <w:r w:rsidR="00935CEA">
        <w:rPr>
          <w:rFonts w:asciiTheme="minorHAnsi" w:hAnsiTheme="minorHAnsi"/>
          <w:color w:val="auto"/>
          <w:szCs w:val="24"/>
        </w:rPr>
        <w:t>ould have resulted in 0% rating</w:t>
      </w:r>
      <w:r w:rsidR="005103BD">
        <w:rPr>
          <w:rFonts w:asciiTheme="minorHAnsi" w:hAnsiTheme="minorHAnsi"/>
          <w:color w:val="auto"/>
          <w:szCs w:val="24"/>
        </w:rPr>
        <w:t>,</w:t>
      </w:r>
      <w:r w:rsidR="00935CEA">
        <w:rPr>
          <w:rFonts w:asciiTheme="minorHAnsi" w:hAnsiTheme="minorHAnsi"/>
          <w:color w:val="auto"/>
          <w:szCs w:val="24"/>
        </w:rPr>
        <w:t xml:space="preserve"> </w:t>
      </w:r>
      <w:r w:rsidR="00935CEA" w:rsidRPr="00745AEB">
        <w:rPr>
          <w:rFonts w:asciiTheme="minorHAnsi" w:hAnsiTheme="minorHAnsi"/>
          <w:color w:val="auto"/>
          <w:szCs w:val="24"/>
        </w:rPr>
        <w:t xml:space="preserve">which was not the case.  </w:t>
      </w:r>
      <w:r w:rsidRPr="00745AEB">
        <w:rPr>
          <w:rFonts w:asciiTheme="minorHAnsi" w:hAnsiTheme="minorHAnsi"/>
          <w:color w:val="auto"/>
          <w:szCs w:val="24"/>
        </w:rPr>
        <w:t xml:space="preserve">The Board notes that the available evidence </w:t>
      </w:r>
      <w:r w:rsidR="007C3A35" w:rsidRPr="00745AEB">
        <w:rPr>
          <w:rFonts w:asciiTheme="minorHAnsi" w:hAnsiTheme="minorHAnsi"/>
          <w:color w:val="auto"/>
          <w:szCs w:val="24"/>
        </w:rPr>
        <w:t xml:space="preserve">of the October 2005 C&amp;P examination </w:t>
      </w:r>
      <w:r w:rsidR="00422500" w:rsidRPr="00745AEB">
        <w:rPr>
          <w:rFonts w:asciiTheme="minorHAnsi" w:hAnsiTheme="minorHAnsi"/>
          <w:color w:val="auto"/>
          <w:szCs w:val="24"/>
        </w:rPr>
        <w:t>10 months prior to</w:t>
      </w:r>
      <w:r w:rsidRPr="00745AEB">
        <w:rPr>
          <w:rFonts w:asciiTheme="minorHAnsi" w:hAnsiTheme="minorHAnsi"/>
          <w:color w:val="auto"/>
          <w:szCs w:val="24"/>
        </w:rPr>
        <w:t xml:space="preserve"> removal from the TDRL support</w:t>
      </w:r>
      <w:r w:rsidR="00422500" w:rsidRPr="00745AEB">
        <w:rPr>
          <w:rFonts w:asciiTheme="minorHAnsi" w:hAnsiTheme="minorHAnsi"/>
          <w:color w:val="auto"/>
          <w:szCs w:val="24"/>
        </w:rPr>
        <w:t>ed</w:t>
      </w:r>
      <w:r w:rsidRPr="00745AEB">
        <w:rPr>
          <w:rFonts w:asciiTheme="minorHAnsi" w:hAnsiTheme="minorHAnsi"/>
          <w:color w:val="auto"/>
          <w:szCs w:val="24"/>
        </w:rPr>
        <w:t xml:space="preserve"> a 20% rating, while th</w:t>
      </w:r>
      <w:r w:rsidR="007456C1" w:rsidRPr="00745AEB">
        <w:rPr>
          <w:rFonts w:asciiTheme="minorHAnsi" w:hAnsiTheme="minorHAnsi"/>
          <w:color w:val="auto"/>
          <w:szCs w:val="24"/>
        </w:rPr>
        <w:t xml:space="preserve">e January 2007 C&amp;P examination </w:t>
      </w:r>
      <w:r w:rsidR="00422500" w:rsidRPr="00745AEB">
        <w:rPr>
          <w:rFonts w:asciiTheme="minorHAnsi" w:hAnsiTheme="minorHAnsi"/>
          <w:color w:val="auto"/>
          <w:szCs w:val="24"/>
        </w:rPr>
        <w:t>five</w:t>
      </w:r>
      <w:r w:rsidR="007456C1" w:rsidRPr="00745AEB">
        <w:rPr>
          <w:rFonts w:asciiTheme="minorHAnsi" w:hAnsiTheme="minorHAnsi"/>
          <w:color w:val="auto"/>
          <w:szCs w:val="24"/>
        </w:rPr>
        <w:t xml:space="preserve"> months afterwards </w:t>
      </w:r>
      <w:r w:rsidRPr="00745AEB">
        <w:rPr>
          <w:rFonts w:asciiTheme="minorHAnsi" w:hAnsiTheme="minorHAnsi"/>
          <w:color w:val="auto"/>
          <w:szCs w:val="24"/>
        </w:rPr>
        <w:t xml:space="preserve">suggests a higher rating based on CI report of </w:t>
      </w:r>
      <w:r w:rsidR="00935CEA" w:rsidRPr="00745AEB">
        <w:rPr>
          <w:rFonts w:asciiTheme="minorHAnsi" w:hAnsiTheme="minorHAnsi"/>
          <w:color w:val="auto"/>
          <w:szCs w:val="24"/>
        </w:rPr>
        <w:t xml:space="preserve">“approximately </w:t>
      </w:r>
      <w:r w:rsidR="005103BD">
        <w:rPr>
          <w:rFonts w:asciiTheme="minorHAnsi" w:hAnsiTheme="minorHAnsi"/>
          <w:color w:val="auto"/>
          <w:szCs w:val="24"/>
        </w:rPr>
        <w:t>four to six</w:t>
      </w:r>
      <w:r w:rsidR="00935CEA" w:rsidRPr="00745AEB">
        <w:rPr>
          <w:rFonts w:asciiTheme="minorHAnsi" w:hAnsiTheme="minorHAnsi"/>
          <w:color w:val="auto"/>
          <w:szCs w:val="24"/>
        </w:rPr>
        <w:t>”</w:t>
      </w:r>
      <w:r w:rsidRPr="00745AEB">
        <w:rPr>
          <w:rFonts w:asciiTheme="minorHAnsi" w:hAnsiTheme="minorHAnsi"/>
          <w:color w:val="auto"/>
          <w:szCs w:val="24"/>
        </w:rPr>
        <w:t xml:space="preserve"> major seizures per year.  Due to the level of detail, the Board conclude</w:t>
      </w:r>
      <w:r w:rsidR="00935CEA" w:rsidRPr="00745AEB">
        <w:rPr>
          <w:rFonts w:asciiTheme="minorHAnsi" w:hAnsiTheme="minorHAnsi"/>
          <w:color w:val="auto"/>
          <w:szCs w:val="24"/>
        </w:rPr>
        <w:t>d</w:t>
      </w:r>
      <w:r w:rsidRPr="00745AEB">
        <w:rPr>
          <w:rFonts w:asciiTheme="minorHAnsi" w:hAnsiTheme="minorHAnsi"/>
          <w:color w:val="auto"/>
          <w:szCs w:val="24"/>
        </w:rPr>
        <w:t xml:space="preserve"> the October 31, 2005 C&amp;P has higher probative value than the January 2007 examination.  </w:t>
      </w:r>
      <w:r w:rsidR="007C3A35" w:rsidRPr="00745AEB">
        <w:rPr>
          <w:rFonts w:asciiTheme="minorHAnsi" w:hAnsiTheme="minorHAnsi"/>
          <w:color w:val="auto"/>
          <w:szCs w:val="24"/>
        </w:rPr>
        <w:t>Based</w:t>
      </w:r>
      <w:r w:rsidR="007C3A35">
        <w:rPr>
          <w:rFonts w:asciiTheme="minorHAnsi" w:hAnsiTheme="minorHAnsi"/>
          <w:color w:val="auto"/>
          <w:szCs w:val="24"/>
        </w:rPr>
        <w:t xml:space="preserve"> on the fact that the evidence of record entering the period TDRL re-</w:t>
      </w:r>
      <w:r w:rsidR="00935CEA">
        <w:rPr>
          <w:rFonts w:asciiTheme="minorHAnsi" w:hAnsiTheme="minorHAnsi"/>
          <w:color w:val="auto"/>
          <w:szCs w:val="24"/>
        </w:rPr>
        <w:t>e</w:t>
      </w:r>
      <w:r w:rsidR="007C3A35">
        <w:rPr>
          <w:rFonts w:asciiTheme="minorHAnsi" w:hAnsiTheme="minorHAnsi"/>
          <w:color w:val="auto"/>
          <w:szCs w:val="24"/>
        </w:rPr>
        <w:t xml:space="preserve">valuation did not support a higher rating, and </w:t>
      </w:r>
      <w:r w:rsidRPr="00F23A27">
        <w:rPr>
          <w:rFonts w:asciiTheme="minorHAnsi" w:hAnsiTheme="minorHAnsi"/>
          <w:color w:val="auto"/>
          <w:szCs w:val="24"/>
        </w:rPr>
        <w:t>the absence of substantial credible evidence to the contrary</w:t>
      </w:r>
      <w:r w:rsidR="007C3A35">
        <w:rPr>
          <w:rFonts w:asciiTheme="minorHAnsi" w:hAnsiTheme="minorHAnsi"/>
          <w:color w:val="auto"/>
          <w:szCs w:val="24"/>
        </w:rPr>
        <w:t xml:space="preserve"> at the time of the PEB in late spring 2006</w:t>
      </w:r>
      <w:r w:rsidRPr="00F23A27">
        <w:rPr>
          <w:rFonts w:asciiTheme="minorHAnsi" w:hAnsiTheme="minorHAnsi"/>
          <w:color w:val="auto"/>
          <w:szCs w:val="24"/>
        </w:rPr>
        <w:t xml:space="preserve">, the Board concludes that </w:t>
      </w:r>
      <w:r w:rsidR="007C3A35">
        <w:rPr>
          <w:rFonts w:asciiTheme="minorHAnsi" w:hAnsiTheme="minorHAnsi"/>
          <w:color w:val="auto"/>
          <w:szCs w:val="24"/>
        </w:rPr>
        <w:t xml:space="preserve">the preponderance of evidence does not support a higher rating than 20% (“at least one major seizure in the past </w:t>
      </w:r>
      <w:r w:rsidR="005103BD">
        <w:rPr>
          <w:rFonts w:asciiTheme="minorHAnsi" w:hAnsiTheme="minorHAnsi"/>
          <w:color w:val="auto"/>
          <w:szCs w:val="24"/>
        </w:rPr>
        <w:t>two</w:t>
      </w:r>
      <w:r w:rsidR="007C3A35">
        <w:rPr>
          <w:rFonts w:asciiTheme="minorHAnsi" w:hAnsiTheme="minorHAnsi"/>
          <w:color w:val="auto"/>
          <w:szCs w:val="24"/>
        </w:rPr>
        <w:t xml:space="preserve"> years and none in the past </w:t>
      </w:r>
      <w:r w:rsidR="005103BD">
        <w:rPr>
          <w:rFonts w:asciiTheme="minorHAnsi" w:hAnsiTheme="minorHAnsi"/>
          <w:color w:val="auto"/>
          <w:szCs w:val="24"/>
        </w:rPr>
        <w:t>six</w:t>
      </w:r>
      <w:r w:rsidR="007C3A35">
        <w:rPr>
          <w:rFonts w:asciiTheme="minorHAnsi" w:hAnsiTheme="minorHAnsi"/>
          <w:color w:val="auto"/>
          <w:szCs w:val="24"/>
        </w:rPr>
        <w:t xml:space="preserve"> months”).</w:t>
      </w:r>
    </w:p>
    <w:p w:rsidR="00C5043B" w:rsidRDefault="00C5043B" w:rsidP="00F86FCB">
      <w:pPr>
        <w:spacing w:line="240" w:lineRule="exact"/>
        <w:jc w:val="both"/>
        <w:rPr>
          <w:rFonts w:asciiTheme="minorHAnsi" w:hAnsiTheme="minorHAnsi"/>
          <w:color w:val="auto"/>
          <w:szCs w:val="24"/>
          <w:u w:val="single"/>
        </w:rPr>
      </w:pPr>
    </w:p>
    <w:p w:rsidR="00E122D3" w:rsidRPr="00631993" w:rsidRDefault="00E122D3" w:rsidP="00F86FCB">
      <w:pPr>
        <w:spacing w:line="240" w:lineRule="exact"/>
        <w:jc w:val="both"/>
        <w:rPr>
          <w:rFonts w:asciiTheme="minorHAnsi" w:hAnsiTheme="minorHAnsi"/>
          <w:color w:val="auto"/>
          <w:szCs w:val="24"/>
        </w:rPr>
      </w:pPr>
      <w:proofErr w:type="gramStart"/>
      <w:r w:rsidRPr="00F86FCB">
        <w:rPr>
          <w:rFonts w:asciiTheme="minorHAnsi" w:hAnsiTheme="minorHAnsi"/>
          <w:color w:val="auto"/>
          <w:szCs w:val="24"/>
          <w:u w:val="single"/>
        </w:rPr>
        <w:t>Remaining Conditions</w:t>
      </w:r>
      <w:r w:rsidR="00F86FCB">
        <w:rPr>
          <w:rFonts w:asciiTheme="minorHAnsi" w:hAnsiTheme="minorHAnsi"/>
          <w:color w:val="auto"/>
          <w:szCs w:val="24"/>
          <w:u w:val="single"/>
        </w:rPr>
        <w:t>.</w:t>
      </w:r>
      <w:proofErr w:type="gramEnd"/>
      <w:r w:rsidRPr="00F6196E">
        <w:rPr>
          <w:rFonts w:asciiTheme="minorHAnsi" w:hAnsiTheme="minorHAnsi"/>
          <w:color w:val="auto"/>
          <w:szCs w:val="24"/>
        </w:rPr>
        <w:t xml:space="preserve">  </w:t>
      </w:r>
      <w:r>
        <w:rPr>
          <w:rFonts w:asciiTheme="minorHAnsi" w:hAnsiTheme="minorHAnsi"/>
          <w:color w:val="auto"/>
          <w:szCs w:val="24"/>
        </w:rPr>
        <w:t>No o</w:t>
      </w:r>
      <w:r w:rsidRPr="00F6196E">
        <w:rPr>
          <w:rFonts w:asciiTheme="minorHAnsi" w:hAnsiTheme="minorHAnsi"/>
          <w:color w:val="auto"/>
          <w:szCs w:val="24"/>
        </w:rPr>
        <w:t xml:space="preserve">ther conditions </w:t>
      </w:r>
      <w:r>
        <w:rPr>
          <w:rFonts w:asciiTheme="minorHAnsi" w:hAnsiTheme="minorHAnsi"/>
          <w:color w:val="auto"/>
          <w:szCs w:val="24"/>
        </w:rPr>
        <w:t xml:space="preserve">were </w:t>
      </w:r>
      <w:r w:rsidRPr="00F6196E">
        <w:rPr>
          <w:rFonts w:asciiTheme="minorHAnsi" w:hAnsiTheme="minorHAnsi"/>
          <w:color w:val="auto"/>
          <w:szCs w:val="24"/>
        </w:rPr>
        <w:t xml:space="preserve">identified in the </w:t>
      </w:r>
      <w:r>
        <w:rPr>
          <w:rFonts w:asciiTheme="minorHAnsi" w:hAnsiTheme="minorHAnsi"/>
          <w:color w:val="auto"/>
          <w:szCs w:val="24"/>
        </w:rPr>
        <w:t>available documentation, and n</w:t>
      </w:r>
      <w:r w:rsidRPr="00F6196E">
        <w:rPr>
          <w:rFonts w:asciiTheme="minorHAnsi" w:hAnsiTheme="minorHAnsi"/>
          <w:color w:val="auto"/>
          <w:szCs w:val="24"/>
        </w:rPr>
        <w:t xml:space="preserve">o other conditions were service connected with a compensable rating by the VA within twelve months of separation or contended by the CI.  The Board therefore has no reasonable basis for </w:t>
      </w:r>
      <w:r w:rsidRPr="00631993">
        <w:rPr>
          <w:rFonts w:asciiTheme="minorHAnsi" w:hAnsiTheme="minorHAnsi"/>
          <w:color w:val="auto"/>
          <w:szCs w:val="24"/>
        </w:rPr>
        <w:t>recommending any additional unfitting conditions for separation rating.</w:t>
      </w:r>
    </w:p>
    <w:p w:rsidR="00F86FCB" w:rsidRDefault="00F86FCB" w:rsidP="00F86FCB">
      <w:pPr>
        <w:tabs>
          <w:tab w:val="left" w:pos="288"/>
          <w:tab w:val="left" w:pos="4752"/>
        </w:tabs>
        <w:spacing w:line="240" w:lineRule="exact"/>
        <w:jc w:val="both"/>
        <w:rPr>
          <w:rFonts w:asciiTheme="minorHAnsi" w:hAnsiTheme="minorHAnsi"/>
          <w:color w:val="auto"/>
          <w:u w:val="single"/>
        </w:rPr>
      </w:pPr>
      <w:r w:rsidRPr="00D560DC">
        <w:rPr>
          <w:rFonts w:asciiTheme="minorHAnsi" w:hAnsiTheme="minorHAnsi"/>
          <w:color w:val="auto"/>
          <w:u w:val="single"/>
        </w:rPr>
        <w:t>__________________________________________________________________________</w:t>
      </w:r>
    </w:p>
    <w:p w:rsidR="00106AD8" w:rsidRPr="00F86FCB" w:rsidRDefault="00106AD8" w:rsidP="00F86FCB">
      <w:pPr>
        <w:tabs>
          <w:tab w:val="left" w:pos="288"/>
          <w:tab w:val="left" w:pos="4752"/>
        </w:tabs>
        <w:spacing w:line="240" w:lineRule="exact"/>
        <w:jc w:val="both"/>
        <w:rPr>
          <w:rFonts w:asciiTheme="minorHAnsi" w:hAnsiTheme="minorHAnsi"/>
          <w:color w:val="auto"/>
          <w:szCs w:val="24"/>
        </w:rPr>
      </w:pPr>
    </w:p>
    <w:p w:rsidR="007D5E66" w:rsidRDefault="00C56FC8" w:rsidP="00F86FCB">
      <w:pPr>
        <w:spacing w:line="240" w:lineRule="exact"/>
        <w:jc w:val="both"/>
        <w:rPr>
          <w:rFonts w:asciiTheme="minorHAnsi" w:hAnsiTheme="minorHAnsi"/>
          <w:color w:val="auto"/>
          <w:szCs w:val="24"/>
        </w:rPr>
      </w:pPr>
      <w:r w:rsidRPr="00F86FCB">
        <w:rPr>
          <w:rFonts w:asciiTheme="minorHAnsi" w:hAnsiTheme="minorHAnsi"/>
          <w:color w:val="auto"/>
          <w:szCs w:val="24"/>
          <w:u w:val="single"/>
        </w:rPr>
        <w:lastRenderedPageBreak/>
        <w:t>BOARD FINDINGS</w:t>
      </w:r>
      <w:r w:rsidRPr="00C276CD">
        <w:rPr>
          <w:rFonts w:asciiTheme="minorHAnsi" w:hAnsiTheme="minorHAnsi"/>
          <w:color w:val="auto"/>
          <w:szCs w:val="24"/>
        </w:rPr>
        <w:t>:</w:t>
      </w:r>
      <w:r w:rsidRPr="00F86FCB">
        <w:rPr>
          <w:rFonts w:ascii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35CEA">
        <w:rPr>
          <w:rFonts w:asciiTheme="minorHAnsi" w:hAnsiTheme="minorHAnsi"/>
          <w:color w:val="auto"/>
          <w:szCs w:val="24"/>
        </w:rPr>
        <w:t xml:space="preserve">  </w:t>
      </w:r>
      <w:r w:rsidR="0024705B" w:rsidRPr="00F86FCB">
        <w:rPr>
          <w:rFonts w:asciiTheme="minorHAnsi" w:hAnsiTheme="minorHAnsi"/>
          <w:color w:val="auto"/>
          <w:szCs w:val="24"/>
        </w:rPr>
        <w:t xml:space="preserve">In the matter of the </w:t>
      </w:r>
      <w:r w:rsidR="00F86FCB">
        <w:rPr>
          <w:rFonts w:asciiTheme="minorHAnsi" w:hAnsiTheme="minorHAnsi"/>
          <w:color w:val="auto"/>
          <w:szCs w:val="24"/>
        </w:rPr>
        <w:t>s</w:t>
      </w:r>
      <w:r w:rsidR="002925FE" w:rsidRPr="00F86FCB">
        <w:rPr>
          <w:rFonts w:asciiTheme="minorHAnsi" w:hAnsiTheme="minorHAnsi"/>
          <w:color w:val="auto"/>
          <w:szCs w:val="24"/>
        </w:rPr>
        <w:t xml:space="preserve">eizure </w:t>
      </w:r>
      <w:r w:rsidR="00F86FCB">
        <w:rPr>
          <w:rFonts w:asciiTheme="minorHAnsi" w:hAnsiTheme="minorHAnsi"/>
          <w:color w:val="auto"/>
          <w:szCs w:val="24"/>
        </w:rPr>
        <w:t>d</w:t>
      </w:r>
      <w:r w:rsidR="002925FE" w:rsidRPr="00F86FCB">
        <w:rPr>
          <w:rFonts w:asciiTheme="minorHAnsi" w:hAnsiTheme="minorHAnsi"/>
          <w:color w:val="auto"/>
          <w:szCs w:val="24"/>
        </w:rPr>
        <w:t>isorder</w:t>
      </w:r>
      <w:r w:rsidR="005C70F6" w:rsidRPr="005C70F6">
        <w:rPr>
          <w:rFonts w:asciiTheme="minorHAnsi" w:hAnsiTheme="minorHAnsi"/>
          <w:color w:val="auto"/>
          <w:szCs w:val="24"/>
        </w:rPr>
        <w:t xml:space="preserve"> and IAW VASRD §4.</w:t>
      </w:r>
      <w:r w:rsidR="00935CEA">
        <w:rPr>
          <w:rFonts w:asciiTheme="minorHAnsi" w:hAnsiTheme="minorHAnsi"/>
          <w:color w:val="auto"/>
          <w:szCs w:val="24"/>
        </w:rPr>
        <w:t>124</w:t>
      </w:r>
      <w:r w:rsidR="005C70F6" w:rsidRPr="005C70F6">
        <w:rPr>
          <w:rFonts w:asciiTheme="minorHAnsi" w:hAnsiTheme="minorHAnsi"/>
          <w:color w:val="auto"/>
          <w:szCs w:val="24"/>
        </w:rPr>
        <w:t>a</w:t>
      </w:r>
      <w:r w:rsidR="00F86FCB">
        <w:rPr>
          <w:rFonts w:asciiTheme="minorHAnsi" w:hAnsiTheme="minorHAnsi"/>
          <w:color w:val="auto"/>
          <w:szCs w:val="24"/>
        </w:rPr>
        <w:t>,</w:t>
      </w:r>
      <w:r w:rsidR="002925FE" w:rsidRPr="00F86FCB">
        <w:rPr>
          <w:rFonts w:asciiTheme="minorHAnsi" w:hAnsiTheme="minorHAnsi"/>
          <w:color w:val="auto"/>
          <w:szCs w:val="24"/>
        </w:rPr>
        <w:t xml:space="preserve"> </w:t>
      </w:r>
      <w:r w:rsidR="0024705B" w:rsidRPr="00F86FCB">
        <w:rPr>
          <w:rFonts w:asciiTheme="minorHAnsi" w:hAnsiTheme="minorHAnsi"/>
          <w:color w:val="auto"/>
          <w:szCs w:val="24"/>
        </w:rPr>
        <w:t xml:space="preserve">the Board unanimously recommends a TDRL </w:t>
      </w:r>
      <w:r w:rsidR="002925FE" w:rsidRPr="00F86FCB">
        <w:rPr>
          <w:rFonts w:asciiTheme="minorHAnsi" w:hAnsiTheme="minorHAnsi"/>
          <w:color w:val="auto"/>
          <w:szCs w:val="24"/>
        </w:rPr>
        <w:t>rating of 40%</w:t>
      </w:r>
      <w:r w:rsidR="00935CEA">
        <w:rPr>
          <w:rFonts w:asciiTheme="minorHAnsi" w:hAnsiTheme="minorHAnsi"/>
          <w:color w:val="auto"/>
          <w:szCs w:val="24"/>
        </w:rPr>
        <w:t>,</w:t>
      </w:r>
      <w:r w:rsidR="002925FE" w:rsidRPr="00F86FCB">
        <w:rPr>
          <w:rFonts w:asciiTheme="minorHAnsi" w:hAnsiTheme="minorHAnsi"/>
          <w:color w:val="auto"/>
          <w:szCs w:val="24"/>
        </w:rPr>
        <w:t xml:space="preserve"> </w:t>
      </w:r>
      <w:r w:rsidR="0024705B" w:rsidRPr="00F86FCB">
        <w:rPr>
          <w:rFonts w:asciiTheme="minorHAnsi" w:hAnsiTheme="minorHAnsi"/>
          <w:color w:val="auto"/>
          <w:szCs w:val="24"/>
        </w:rPr>
        <w:t xml:space="preserve">and </w:t>
      </w:r>
      <w:r w:rsidR="005C70F6" w:rsidRPr="005C70F6">
        <w:rPr>
          <w:rFonts w:asciiTheme="minorHAnsi" w:hAnsiTheme="minorHAnsi"/>
          <w:color w:val="auto"/>
          <w:szCs w:val="24"/>
        </w:rPr>
        <w:t xml:space="preserve">by a vote of 2:1, a </w:t>
      </w:r>
      <w:r w:rsidR="005C70F6">
        <w:rPr>
          <w:rFonts w:asciiTheme="minorHAnsi" w:hAnsiTheme="minorHAnsi"/>
          <w:color w:val="auto"/>
          <w:szCs w:val="24"/>
        </w:rPr>
        <w:t xml:space="preserve">permanent </w:t>
      </w:r>
      <w:r w:rsidR="005C70F6" w:rsidRPr="005C70F6">
        <w:rPr>
          <w:rFonts w:asciiTheme="minorHAnsi" w:hAnsiTheme="minorHAnsi"/>
          <w:color w:val="auto"/>
          <w:szCs w:val="24"/>
        </w:rPr>
        <w:t>rating of 20% coded</w:t>
      </w:r>
      <w:r w:rsidR="005C70F6">
        <w:rPr>
          <w:rFonts w:asciiTheme="minorHAnsi" w:hAnsiTheme="minorHAnsi"/>
          <w:color w:val="auto"/>
          <w:szCs w:val="24"/>
        </w:rPr>
        <w:t xml:space="preserve"> </w:t>
      </w:r>
      <w:r w:rsidR="005C70F6" w:rsidRPr="00F86FCB">
        <w:rPr>
          <w:rFonts w:asciiTheme="minorHAnsi" w:hAnsiTheme="minorHAnsi"/>
          <w:color w:val="auto"/>
          <w:szCs w:val="24"/>
        </w:rPr>
        <w:t>8910.</w:t>
      </w:r>
      <w:r w:rsidR="005C70F6">
        <w:rPr>
          <w:rFonts w:asciiTheme="minorHAnsi" w:hAnsiTheme="minorHAnsi"/>
          <w:color w:val="auto"/>
          <w:szCs w:val="24"/>
        </w:rPr>
        <w:t xml:space="preserve">  </w:t>
      </w:r>
      <w:r w:rsidR="005C70F6" w:rsidRPr="005C70F6">
        <w:rPr>
          <w:rFonts w:asciiTheme="minorHAnsi" w:hAnsiTheme="minorHAnsi"/>
          <w:color w:val="auto"/>
          <w:szCs w:val="24"/>
        </w:rPr>
        <w:t xml:space="preserve">The single voter for dissent </w:t>
      </w:r>
      <w:r w:rsidR="00935CEA">
        <w:rPr>
          <w:rFonts w:asciiTheme="minorHAnsi" w:hAnsiTheme="minorHAnsi"/>
          <w:color w:val="auto"/>
          <w:szCs w:val="24"/>
        </w:rPr>
        <w:t>(</w:t>
      </w:r>
      <w:r w:rsidR="005C70F6" w:rsidRPr="005C70F6">
        <w:rPr>
          <w:rFonts w:asciiTheme="minorHAnsi" w:hAnsiTheme="minorHAnsi"/>
          <w:color w:val="auto"/>
          <w:szCs w:val="24"/>
        </w:rPr>
        <w:t xml:space="preserve">who recommended </w:t>
      </w:r>
      <w:r w:rsidR="005C70F6">
        <w:rPr>
          <w:rFonts w:asciiTheme="minorHAnsi" w:hAnsiTheme="minorHAnsi"/>
          <w:color w:val="auto"/>
          <w:szCs w:val="24"/>
        </w:rPr>
        <w:t>a rating of 40%</w:t>
      </w:r>
      <w:r w:rsidR="00935CEA">
        <w:rPr>
          <w:rFonts w:asciiTheme="minorHAnsi" w:hAnsiTheme="minorHAnsi"/>
          <w:color w:val="auto"/>
          <w:szCs w:val="24"/>
        </w:rPr>
        <w:t xml:space="preserve">) </w:t>
      </w:r>
      <w:r w:rsidR="005C70F6" w:rsidRPr="005C70F6">
        <w:rPr>
          <w:rFonts w:asciiTheme="minorHAnsi" w:hAnsiTheme="minorHAnsi"/>
          <w:color w:val="auto"/>
          <w:szCs w:val="24"/>
        </w:rPr>
        <w:t>submit</w:t>
      </w:r>
      <w:r w:rsidR="00935CEA">
        <w:rPr>
          <w:rFonts w:asciiTheme="minorHAnsi" w:hAnsiTheme="minorHAnsi"/>
          <w:color w:val="auto"/>
          <w:szCs w:val="24"/>
        </w:rPr>
        <w:t xml:space="preserve">ted the </w:t>
      </w:r>
      <w:proofErr w:type="spellStart"/>
      <w:r w:rsidR="00935CEA">
        <w:rPr>
          <w:rFonts w:asciiTheme="minorHAnsi" w:hAnsiTheme="minorHAnsi"/>
          <w:color w:val="auto"/>
          <w:szCs w:val="24"/>
        </w:rPr>
        <w:t>addended</w:t>
      </w:r>
      <w:proofErr w:type="spellEnd"/>
      <w:r w:rsidR="00935CEA">
        <w:rPr>
          <w:rFonts w:asciiTheme="minorHAnsi" w:hAnsiTheme="minorHAnsi"/>
          <w:color w:val="auto"/>
          <w:szCs w:val="24"/>
        </w:rPr>
        <w:t xml:space="preserve"> </w:t>
      </w:r>
      <w:r w:rsidR="005C70F6" w:rsidRPr="005C70F6">
        <w:rPr>
          <w:rFonts w:asciiTheme="minorHAnsi" w:hAnsiTheme="minorHAnsi"/>
          <w:color w:val="auto"/>
          <w:szCs w:val="24"/>
        </w:rPr>
        <w:t>minority opinion.</w:t>
      </w:r>
      <w:r w:rsidR="00935CEA">
        <w:rPr>
          <w:rFonts w:asciiTheme="minorHAnsi" w:hAnsiTheme="minorHAnsi"/>
          <w:color w:val="auto"/>
          <w:szCs w:val="24"/>
        </w:rPr>
        <w:t xml:space="preserve">  </w:t>
      </w:r>
      <w:r w:rsidR="007D5E66">
        <w:rPr>
          <w:rFonts w:asciiTheme="minorHAnsi" w:hAnsiTheme="minorHAnsi"/>
          <w:color w:val="auto"/>
          <w:szCs w:val="24"/>
        </w:rPr>
        <w:t xml:space="preserve">The Board </w:t>
      </w:r>
      <w:r w:rsidR="007D5E66" w:rsidRPr="007C3A35">
        <w:rPr>
          <w:rFonts w:asciiTheme="minorHAnsi" w:hAnsiTheme="minorHAnsi"/>
          <w:color w:val="auto"/>
          <w:szCs w:val="24"/>
        </w:rPr>
        <w:t>unanimously</w:t>
      </w:r>
      <w:r w:rsidR="007D5E66">
        <w:rPr>
          <w:rFonts w:asciiTheme="minorHAnsi" w:hAnsiTheme="minorHAnsi"/>
          <w:color w:val="auto"/>
          <w:szCs w:val="24"/>
        </w:rPr>
        <w:t xml:space="preserve"> agrees that there were </w:t>
      </w:r>
      <w:r w:rsidR="007D5E66" w:rsidRPr="007C3A35">
        <w:rPr>
          <w:rFonts w:asciiTheme="minorHAnsi" w:hAnsiTheme="minorHAnsi"/>
          <w:color w:val="auto"/>
          <w:szCs w:val="24"/>
        </w:rPr>
        <w:t>no other conditions eligible</w:t>
      </w:r>
      <w:r w:rsidR="007D5E66">
        <w:rPr>
          <w:rFonts w:asciiTheme="minorHAnsi" w:hAnsiTheme="minorHAnsi"/>
          <w:color w:val="auto"/>
          <w:szCs w:val="24"/>
        </w:rPr>
        <w:t xml:space="preserve"> for Board consideration which could be recommended as additionally unfitting for rating at separation.</w:t>
      </w:r>
    </w:p>
    <w:p w:rsidR="00A83C15" w:rsidRPr="00631993" w:rsidRDefault="00A83C15" w:rsidP="000452D7">
      <w:pPr>
        <w:tabs>
          <w:tab w:val="left" w:pos="288"/>
          <w:tab w:val="left" w:pos="4752"/>
        </w:tabs>
        <w:spacing w:line="240" w:lineRule="exact"/>
        <w:jc w:val="both"/>
        <w:rPr>
          <w:rFonts w:asciiTheme="minorHAnsi" w:hAnsiTheme="minorHAnsi"/>
          <w:caps/>
          <w:color w:val="auto"/>
          <w:u w:val="single"/>
        </w:rPr>
      </w:pPr>
      <w:r w:rsidRPr="00631993">
        <w:rPr>
          <w:rFonts w:asciiTheme="minorHAnsi" w:hAnsiTheme="minorHAnsi"/>
          <w:color w:val="auto"/>
          <w:u w:val="single"/>
        </w:rPr>
        <w:t>______________________________________________________________________________</w:t>
      </w:r>
    </w:p>
    <w:p w:rsidR="00631993" w:rsidRPr="00631993" w:rsidRDefault="00631993" w:rsidP="00F86FCB">
      <w:pPr>
        <w:spacing w:line="240" w:lineRule="exact"/>
        <w:jc w:val="both"/>
        <w:rPr>
          <w:rFonts w:asciiTheme="minorHAnsi" w:hAnsiTheme="minorHAnsi"/>
          <w:color w:val="auto"/>
          <w:szCs w:val="24"/>
          <w:u w:val="single"/>
        </w:rPr>
      </w:pPr>
    </w:p>
    <w:p w:rsidR="007C3A35" w:rsidRDefault="00C56FC8" w:rsidP="005C70F6">
      <w:pPr>
        <w:spacing w:line="240" w:lineRule="exact"/>
        <w:jc w:val="both"/>
        <w:rPr>
          <w:rFonts w:asciiTheme="minorHAnsi" w:hAnsiTheme="minorHAnsi"/>
          <w:color w:val="auto"/>
          <w:szCs w:val="24"/>
        </w:rPr>
      </w:pPr>
      <w:r w:rsidRPr="00631993">
        <w:rPr>
          <w:rFonts w:asciiTheme="minorHAnsi" w:hAnsiTheme="minorHAnsi"/>
          <w:color w:val="auto"/>
          <w:szCs w:val="24"/>
          <w:u w:val="single"/>
        </w:rPr>
        <w:t>RECOMMENDATION</w:t>
      </w:r>
      <w:r w:rsidRPr="00631993">
        <w:rPr>
          <w:rFonts w:asciiTheme="minorHAnsi" w:hAnsiTheme="minorHAnsi"/>
          <w:color w:val="auto"/>
          <w:szCs w:val="24"/>
        </w:rPr>
        <w:t xml:space="preserve">: </w:t>
      </w:r>
      <w:r w:rsidR="000D0013">
        <w:rPr>
          <w:rFonts w:asciiTheme="minorHAnsi" w:hAnsiTheme="minorHAnsi"/>
          <w:color w:val="auto"/>
          <w:szCs w:val="24"/>
        </w:rPr>
        <w:t xml:space="preserve"> </w:t>
      </w:r>
      <w:r w:rsidR="005C70F6" w:rsidRPr="005C70F6">
        <w:rPr>
          <w:rFonts w:asciiTheme="minorHAnsi" w:hAnsiTheme="minorHAnsi"/>
          <w:color w:val="auto"/>
          <w:szCs w:val="24"/>
        </w:rPr>
        <w:t>The Board therefore recommends that there be no recharacterization of the CI’s disability and separation determination.</w:t>
      </w:r>
    </w:p>
    <w:p w:rsidR="00247F5C" w:rsidRDefault="00247F5C" w:rsidP="005C70F6">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247F5C" w:rsidRPr="00247F5C" w:rsidTr="00247F5C">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hideMark/>
          </w:tcPr>
          <w:p w:rsidR="00247F5C" w:rsidRPr="00247F5C" w:rsidRDefault="00247F5C" w:rsidP="00247F5C">
            <w:pPr>
              <w:tabs>
                <w:tab w:val="left" w:pos="288"/>
                <w:tab w:val="left" w:pos="4752"/>
              </w:tabs>
              <w:spacing w:line="240" w:lineRule="exact"/>
              <w:jc w:val="both"/>
              <w:rPr>
                <w:rFonts w:asciiTheme="minorHAnsi" w:hAnsiTheme="minorHAnsi"/>
                <w:b/>
                <w:color w:val="auto"/>
                <w:szCs w:val="24"/>
              </w:rPr>
            </w:pPr>
            <w:r w:rsidRPr="00247F5C">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PERMANENT</w:t>
            </w:r>
          </w:p>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RATING</w:t>
            </w:r>
          </w:p>
        </w:tc>
      </w:tr>
      <w:tr w:rsidR="00247F5C" w:rsidRPr="00247F5C" w:rsidTr="00247F5C">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247F5C" w:rsidRPr="00247F5C" w:rsidRDefault="00247F5C" w:rsidP="005103BD">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Partial Epilepsy </w:t>
            </w:r>
            <w:r w:rsidR="00155B7D">
              <w:rPr>
                <w:rFonts w:asciiTheme="minorHAnsi" w:hAnsiTheme="minorHAnsi"/>
                <w:color w:val="auto"/>
                <w:szCs w:val="24"/>
              </w:rPr>
              <w:t>w</w:t>
            </w:r>
            <w:r>
              <w:rPr>
                <w:rFonts w:asciiTheme="minorHAnsi" w:hAnsiTheme="minorHAnsi"/>
                <w:color w:val="auto"/>
                <w:szCs w:val="24"/>
              </w:rPr>
              <w:t>ith Impairment of Consciousness</w:t>
            </w:r>
          </w:p>
        </w:tc>
        <w:tc>
          <w:tcPr>
            <w:tcW w:w="1710" w:type="dxa"/>
            <w:tcBorders>
              <w:top w:val="single" w:sz="4" w:space="0" w:color="000000"/>
              <w:left w:val="single" w:sz="4" w:space="0" w:color="000000"/>
              <w:bottom w:val="single" w:sz="4" w:space="0" w:color="000000"/>
              <w:right w:val="single" w:sz="4" w:space="0" w:color="000000"/>
            </w:tcBorders>
            <w:hideMark/>
          </w:tcPr>
          <w:p w:rsidR="00247F5C" w:rsidRPr="00247F5C" w:rsidRDefault="00247F5C" w:rsidP="00247F5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8999-</w:t>
            </w:r>
            <w:r w:rsidRPr="00247F5C">
              <w:rPr>
                <w:rFonts w:asciiTheme="minorHAnsi" w:hAnsiTheme="minorHAnsi"/>
                <w:color w:val="auto"/>
                <w:szCs w:val="24"/>
              </w:rPr>
              <w:t>8910</w:t>
            </w:r>
          </w:p>
        </w:tc>
        <w:tc>
          <w:tcPr>
            <w:tcW w:w="1170" w:type="dxa"/>
            <w:tcBorders>
              <w:top w:val="single" w:sz="4" w:space="0" w:color="000000"/>
              <w:left w:val="single" w:sz="4" w:space="0" w:color="000000"/>
              <w:bottom w:val="single" w:sz="4" w:space="0" w:color="000000"/>
              <w:right w:val="single" w:sz="4" w:space="0" w:color="000000"/>
            </w:tcBorders>
            <w:hideMark/>
          </w:tcPr>
          <w:p w:rsidR="00247F5C" w:rsidRPr="00247F5C" w:rsidRDefault="00247F5C" w:rsidP="00247F5C">
            <w:pPr>
              <w:tabs>
                <w:tab w:val="left" w:pos="288"/>
                <w:tab w:val="left" w:pos="4752"/>
              </w:tabs>
              <w:spacing w:line="240" w:lineRule="exact"/>
              <w:jc w:val="center"/>
              <w:rPr>
                <w:rFonts w:asciiTheme="minorHAnsi" w:hAnsiTheme="minorHAnsi"/>
                <w:color w:val="auto"/>
                <w:szCs w:val="24"/>
              </w:rPr>
            </w:pPr>
            <w:r w:rsidRPr="00247F5C">
              <w:rPr>
                <w:rFonts w:asciiTheme="minorHAnsi" w:hAnsiTheme="minorHAnsi"/>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hideMark/>
          </w:tcPr>
          <w:p w:rsidR="00247F5C" w:rsidRPr="00247F5C" w:rsidRDefault="00247F5C" w:rsidP="00247F5C">
            <w:pPr>
              <w:tabs>
                <w:tab w:val="left" w:pos="288"/>
                <w:tab w:val="left" w:pos="4752"/>
              </w:tabs>
              <w:spacing w:line="240" w:lineRule="exact"/>
              <w:jc w:val="center"/>
              <w:rPr>
                <w:rFonts w:asciiTheme="minorHAnsi" w:hAnsiTheme="minorHAnsi"/>
                <w:color w:val="auto"/>
                <w:szCs w:val="24"/>
              </w:rPr>
            </w:pPr>
            <w:r w:rsidRPr="00247F5C">
              <w:rPr>
                <w:rFonts w:asciiTheme="minorHAnsi" w:hAnsiTheme="minorHAnsi"/>
                <w:color w:val="auto"/>
                <w:szCs w:val="24"/>
              </w:rPr>
              <w:t>20%</w:t>
            </w:r>
          </w:p>
        </w:tc>
      </w:tr>
      <w:tr w:rsidR="00247F5C" w:rsidRPr="00247F5C" w:rsidTr="00247F5C">
        <w:trPr>
          <w:gridBefore w:val="1"/>
          <w:wBefore w:w="4950"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247F5C" w:rsidRPr="00247F5C" w:rsidRDefault="00247F5C" w:rsidP="00247F5C">
            <w:pPr>
              <w:tabs>
                <w:tab w:val="left" w:pos="288"/>
                <w:tab w:val="left" w:pos="4752"/>
              </w:tabs>
              <w:spacing w:line="240" w:lineRule="exact"/>
              <w:jc w:val="center"/>
              <w:rPr>
                <w:rFonts w:asciiTheme="minorHAnsi" w:hAnsiTheme="minorHAnsi"/>
                <w:b/>
                <w:color w:val="auto"/>
                <w:szCs w:val="24"/>
              </w:rPr>
            </w:pPr>
            <w:r w:rsidRPr="00247F5C">
              <w:rPr>
                <w:rFonts w:asciiTheme="minorHAnsi" w:hAnsiTheme="minorHAnsi"/>
                <w:b/>
                <w:color w:val="auto"/>
                <w:szCs w:val="24"/>
              </w:rPr>
              <w:t>20%</w:t>
            </w:r>
          </w:p>
        </w:tc>
      </w:tr>
    </w:tbl>
    <w:p w:rsidR="00A83C15" w:rsidRPr="00631993" w:rsidRDefault="00A83C15" w:rsidP="007F0AB7">
      <w:pPr>
        <w:tabs>
          <w:tab w:val="left" w:pos="288"/>
          <w:tab w:val="left" w:pos="1710"/>
        </w:tabs>
        <w:spacing w:line="240" w:lineRule="exact"/>
        <w:rPr>
          <w:rFonts w:asciiTheme="minorHAnsi" w:hAnsiTheme="minorHAnsi"/>
          <w:caps/>
          <w:color w:val="auto"/>
          <w:u w:val="single"/>
        </w:rPr>
      </w:pPr>
      <w:r w:rsidRPr="00631993">
        <w:rPr>
          <w:rFonts w:asciiTheme="minorHAnsi" w:hAnsiTheme="minorHAnsi"/>
          <w:color w:val="auto"/>
          <w:u w:val="single"/>
        </w:rPr>
        <w:t>______________________________________________________________________________</w:t>
      </w:r>
    </w:p>
    <w:p w:rsidR="00106AD8" w:rsidRPr="00631993" w:rsidRDefault="00106AD8" w:rsidP="000452D7">
      <w:pPr>
        <w:tabs>
          <w:tab w:val="left" w:pos="288"/>
          <w:tab w:val="left" w:pos="4752"/>
        </w:tabs>
        <w:spacing w:line="240" w:lineRule="exact"/>
        <w:rPr>
          <w:color w:val="auto"/>
          <w:szCs w:val="24"/>
        </w:rPr>
      </w:pPr>
    </w:p>
    <w:p w:rsidR="00D91DA6" w:rsidRPr="00006186" w:rsidRDefault="00FB1725" w:rsidP="000452D7">
      <w:pPr>
        <w:tabs>
          <w:tab w:val="left" w:pos="288"/>
          <w:tab w:val="left" w:pos="4752"/>
        </w:tabs>
        <w:spacing w:line="240" w:lineRule="exact"/>
        <w:jc w:val="both"/>
        <w:rPr>
          <w:rFonts w:asciiTheme="minorHAnsi" w:hAnsiTheme="minorHAnsi"/>
          <w:color w:val="auto"/>
        </w:rPr>
      </w:pPr>
      <w:r w:rsidRPr="00631993">
        <w:rPr>
          <w:rFonts w:asciiTheme="minorHAnsi" w:hAnsiTheme="minorHAnsi"/>
          <w:color w:val="auto"/>
        </w:rPr>
        <w:t>The following</w:t>
      </w:r>
      <w:r>
        <w:rPr>
          <w:rFonts w:asciiTheme="minorHAnsi" w:hAnsiTheme="minorHAnsi"/>
          <w:color w:val="auto"/>
        </w:rPr>
        <w:t xml:space="preserve"> documentary evidence was considered:</w:t>
      </w:r>
    </w:p>
    <w:p w:rsidR="00EB5EFD" w:rsidRPr="00006186"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0926B0">
        <w:rPr>
          <w:rFonts w:asciiTheme="minorHAnsi" w:hAnsiTheme="minorHAnsi"/>
          <w:color w:val="auto"/>
        </w:rPr>
        <w:t>091005</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AE6255"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t>
      </w:r>
      <w:r w:rsidR="00AE6255">
        <w:rPr>
          <w:rFonts w:asciiTheme="minorHAnsi" w:hAnsiTheme="minorHAnsi"/>
          <w:color w:val="auto"/>
        </w:rPr>
        <w:t>w</w:t>
      </w:r>
    </w:p>
    <w:p w:rsidR="0069098C" w:rsidRDefault="0069098C">
      <w:pPr>
        <w:rPr>
          <w:rFonts w:asciiTheme="minorHAnsi" w:hAnsiTheme="minorHAnsi"/>
          <w:color w:val="auto"/>
        </w:rPr>
      </w:pPr>
      <w:r>
        <w:rPr>
          <w:rFonts w:asciiTheme="minorHAnsi" w:hAnsiTheme="minorHAnsi"/>
          <w:color w:val="auto"/>
        </w:rPr>
        <w:br w:type="page"/>
      </w:r>
    </w:p>
    <w:p w:rsidR="000C61F8" w:rsidRDefault="0069098C" w:rsidP="007456C1">
      <w:pPr>
        <w:spacing w:line="240" w:lineRule="exact"/>
        <w:jc w:val="both"/>
        <w:rPr>
          <w:rFonts w:asciiTheme="minorHAnsi" w:hAnsiTheme="minorHAnsi"/>
          <w:color w:val="auto"/>
          <w:szCs w:val="24"/>
        </w:rPr>
      </w:pPr>
      <w:r w:rsidRPr="0069098C">
        <w:rPr>
          <w:rFonts w:asciiTheme="minorHAnsi" w:hAnsiTheme="minorHAnsi"/>
          <w:color w:val="auto"/>
          <w:szCs w:val="24"/>
          <w:u w:val="single"/>
        </w:rPr>
        <w:lastRenderedPageBreak/>
        <w:t>MINORITY OPINION</w:t>
      </w:r>
      <w:r w:rsidRPr="00745AEB">
        <w:rPr>
          <w:rFonts w:asciiTheme="minorHAnsi" w:hAnsiTheme="minorHAnsi"/>
          <w:color w:val="auto"/>
          <w:szCs w:val="24"/>
        </w:rPr>
        <w:t>:</w:t>
      </w:r>
      <w:r w:rsidR="00745AEB" w:rsidRPr="00745AEB">
        <w:rPr>
          <w:rFonts w:asciiTheme="minorHAnsi" w:hAnsiTheme="minorHAnsi"/>
          <w:color w:val="auto"/>
          <w:szCs w:val="24"/>
        </w:rPr>
        <w:t xml:space="preserve">  </w:t>
      </w:r>
      <w:r w:rsidR="007456C1" w:rsidRPr="00745AEB">
        <w:rPr>
          <w:rFonts w:asciiTheme="minorHAnsi" w:hAnsiTheme="minorHAnsi"/>
          <w:color w:val="auto"/>
          <w:szCs w:val="24"/>
        </w:rPr>
        <w:t>The</w:t>
      </w:r>
      <w:r w:rsidR="007456C1" w:rsidRPr="007456C1">
        <w:rPr>
          <w:rFonts w:asciiTheme="minorHAnsi" w:hAnsiTheme="minorHAnsi"/>
          <w:color w:val="auto"/>
          <w:szCs w:val="24"/>
        </w:rPr>
        <w:t xml:space="preserve"> AO disagrees with the majority and recommends a 40% permanent rating for seizure disorder.  </w:t>
      </w:r>
      <w:r w:rsidR="000C61F8" w:rsidRPr="007456C1">
        <w:rPr>
          <w:rFonts w:asciiTheme="minorHAnsi" w:hAnsiTheme="minorHAnsi"/>
          <w:color w:val="auto"/>
          <w:szCs w:val="24"/>
        </w:rPr>
        <w:t>The PEB permanent rating at time of removal from the TDRL, as described above, is presumed to have been derived from SECNAVINST 1850.4E Enclosure (9) and/or DoDI 1332.39, E2.A1.4.3.which were in effect at the time, and preceded the promulgation of the National Defense Authorization Act 2008 mandate for Department of Defense adherence to Veterans Administration Schedule for Rating Disabilities</w:t>
      </w:r>
      <w:r w:rsidR="005103BD">
        <w:rPr>
          <w:rFonts w:asciiTheme="minorHAnsi" w:hAnsiTheme="minorHAnsi"/>
          <w:color w:val="auto"/>
          <w:szCs w:val="24"/>
        </w:rPr>
        <w:t xml:space="preserve"> (VASRD)</w:t>
      </w:r>
      <w:r w:rsidR="000C61F8" w:rsidRPr="007456C1">
        <w:rPr>
          <w:rFonts w:asciiTheme="minorHAnsi" w:hAnsiTheme="minorHAnsi"/>
          <w:color w:val="auto"/>
          <w:szCs w:val="24"/>
        </w:rPr>
        <w:t>.  At the time of final adjudication, SECNAVINST 1850.4E and DoDI 1332.39 modified the normal application of VASRD rating criteria for seizure disorder to rate based on industrial impairment</w:t>
      </w:r>
      <w:r w:rsidR="005103BD">
        <w:rPr>
          <w:rFonts w:asciiTheme="minorHAnsi" w:hAnsiTheme="minorHAnsi"/>
          <w:color w:val="auto"/>
          <w:szCs w:val="24"/>
        </w:rPr>
        <w:t>,</w:t>
      </w:r>
      <w:r w:rsidR="000C61F8" w:rsidRPr="007456C1">
        <w:rPr>
          <w:rFonts w:asciiTheme="minorHAnsi" w:hAnsiTheme="minorHAnsi"/>
          <w:color w:val="auto"/>
          <w:szCs w:val="24"/>
        </w:rPr>
        <w:t xml:space="preserve"> and to not consider seizures related to alcohol ingestion</w:t>
      </w:r>
      <w:r w:rsidR="005103BD">
        <w:rPr>
          <w:rFonts w:asciiTheme="minorHAnsi" w:hAnsiTheme="minorHAnsi"/>
          <w:color w:val="auto"/>
          <w:szCs w:val="24"/>
        </w:rPr>
        <w:t>,</w:t>
      </w:r>
      <w:r w:rsidR="000C61F8" w:rsidRPr="007456C1">
        <w:rPr>
          <w:rFonts w:asciiTheme="minorHAnsi" w:hAnsiTheme="minorHAnsi"/>
          <w:color w:val="auto"/>
          <w:szCs w:val="24"/>
        </w:rPr>
        <w:t xml:space="preserve"> and to consider nocturnal seizures as generally not relevant for rating consideration (under industrial impairment).  It is likely that the PEB applied guidance from the SECNAVINST and/or DoDI in determining a permanent rating, most likely with regard to decreasing the weight placed on CI’s nocturnal seizures.  VASRD guidance under VA Disability Code 8910 bases </w:t>
      </w:r>
      <w:r w:rsidR="005103BD">
        <w:rPr>
          <w:rFonts w:asciiTheme="minorHAnsi" w:hAnsiTheme="minorHAnsi"/>
          <w:color w:val="auto"/>
          <w:szCs w:val="24"/>
        </w:rPr>
        <w:t xml:space="preserve">the </w:t>
      </w:r>
      <w:r w:rsidR="000C61F8" w:rsidRPr="007456C1">
        <w:rPr>
          <w:rFonts w:asciiTheme="minorHAnsi" w:hAnsiTheme="minorHAnsi"/>
          <w:color w:val="auto"/>
          <w:szCs w:val="24"/>
        </w:rPr>
        <w:t>rating solely on the frequency of major or minor seizures and specifically contradicts the intent of the prior DoD-specific guidance in “Note (3): There will be no distinction between diurnal and nocturnal major seizures.”  The clinical description of the CI’s seizures is consistent with VA criteria for a major seizure (generalized tonic-</w:t>
      </w:r>
      <w:proofErr w:type="spellStart"/>
      <w:r w:rsidR="000C61F8" w:rsidRPr="007456C1">
        <w:rPr>
          <w:rFonts w:asciiTheme="minorHAnsi" w:hAnsiTheme="minorHAnsi"/>
          <w:color w:val="auto"/>
          <w:szCs w:val="24"/>
        </w:rPr>
        <w:t>clonic</w:t>
      </w:r>
      <w:proofErr w:type="spellEnd"/>
      <w:r w:rsidR="000C61F8" w:rsidRPr="007456C1">
        <w:rPr>
          <w:rFonts w:asciiTheme="minorHAnsi" w:hAnsiTheme="minorHAnsi"/>
          <w:color w:val="auto"/>
          <w:szCs w:val="24"/>
        </w:rPr>
        <w:t xml:space="preserve"> with loss of consciousness).  </w:t>
      </w:r>
      <w:r w:rsidR="000C61F8">
        <w:rPr>
          <w:rFonts w:asciiTheme="minorHAnsi" w:hAnsiTheme="minorHAnsi"/>
          <w:color w:val="auto"/>
          <w:szCs w:val="24"/>
        </w:rPr>
        <w:t>The key</w:t>
      </w:r>
      <w:r w:rsidR="000C61F8" w:rsidRPr="007456C1">
        <w:rPr>
          <w:rFonts w:asciiTheme="minorHAnsi" w:hAnsiTheme="minorHAnsi"/>
          <w:color w:val="auto"/>
          <w:szCs w:val="24"/>
        </w:rPr>
        <w:t xml:space="preserve"> issue </w:t>
      </w:r>
      <w:r w:rsidR="00745AEB" w:rsidRPr="007456C1">
        <w:rPr>
          <w:rFonts w:asciiTheme="minorHAnsi" w:hAnsiTheme="minorHAnsi"/>
          <w:color w:val="auto"/>
          <w:szCs w:val="24"/>
        </w:rPr>
        <w:t>then</w:t>
      </w:r>
      <w:r w:rsidR="000C61F8" w:rsidRPr="007456C1">
        <w:rPr>
          <w:rFonts w:asciiTheme="minorHAnsi" w:hAnsiTheme="minorHAnsi"/>
          <w:color w:val="auto"/>
          <w:szCs w:val="24"/>
        </w:rPr>
        <w:t xml:space="preserve"> is determining what the frequency of major seizures was during the </w:t>
      </w:r>
      <w:r w:rsidR="000C61F8">
        <w:rPr>
          <w:rFonts w:asciiTheme="minorHAnsi" w:hAnsiTheme="minorHAnsi"/>
          <w:color w:val="auto"/>
          <w:szCs w:val="24"/>
        </w:rPr>
        <w:t xml:space="preserve">one year prior to </w:t>
      </w:r>
      <w:r w:rsidR="00745AEB">
        <w:rPr>
          <w:rFonts w:asciiTheme="minorHAnsi" w:hAnsiTheme="minorHAnsi"/>
          <w:color w:val="auto"/>
          <w:szCs w:val="24"/>
        </w:rPr>
        <w:t>exit</w:t>
      </w:r>
      <w:r w:rsidR="000C61F8">
        <w:rPr>
          <w:rFonts w:asciiTheme="minorHAnsi" w:hAnsiTheme="minorHAnsi"/>
          <w:color w:val="auto"/>
          <w:szCs w:val="24"/>
        </w:rPr>
        <w:t xml:space="preserve"> from TDRL (</w:t>
      </w:r>
      <w:r w:rsidR="000C61F8" w:rsidRPr="00745AEB">
        <w:rPr>
          <w:rFonts w:asciiTheme="minorHAnsi" w:hAnsiTheme="minorHAnsi"/>
          <w:color w:val="auto"/>
          <w:szCs w:val="24"/>
        </w:rPr>
        <w:t>August 2005-August 2006</w:t>
      </w:r>
      <w:r w:rsidR="000C61F8" w:rsidRPr="00745AEB">
        <w:rPr>
          <w:rFonts w:asciiTheme="minorHAnsi" w:hAnsiTheme="minorHAnsi"/>
          <w:color w:val="auto"/>
        </w:rPr>
        <w:t>).</w:t>
      </w:r>
    </w:p>
    <w:p w:rsidR="000C61F8" w:rsidRDefault="000C61F8" w:rsidP="007456C1">
      <w:pPr>
        <w:spacing w:line="240" w:lineRule="exact"/>
        <w:jc w:val="both"/>
        <w:rPr>
          <w:rFonts w:asciiTheme="minorHAnsi" w:hAnsiTheme="minorHAnsi"/>
          <w:color w:val="auto"/>
          <w:szCs w:val="24"/>
        </w:rPr>
      </w:pPr>
    </w:p>
    <w:p w:rsidR="00432C57" w:rsidRPr="00745AEB" w:rsidRDefault="00432C57" w:rsidP="00432C57">
      <w:pPr>
        <w:spacing w:line="240" w:lineRule="exact"/>
        <w:jc w:val="both"/>
        <w:rPr>
          <w:rFonts w:asciiTheme="minorHAnsi" w:hAnsiTheme="minorHAnsi"/>
          <w:color w:val="auto"/>
          <w:szCs w:val="24"/>
        </w:rPr>
      </w:pPr>
      <w:r>
        <w:rPr>
          <w:rFonts w:asciiTheme="minorHAnsi" w:hAnsiTheme="minorHAnsi"/>
          <w:color w:val="auto"/>
        </w:rPr>
        <w:t xml:space="preserve">Any single seizure after February 2006 or two seizures after </w:t>
      </w:r>
      <w:r w:rsidR="00517598">
        <w:rPr>
          <w:rFonts w:asciiTheme="minorHAnsi" w:hAnsiTheme="minorHAnsi"/>
          <w:color w:val="auto"/>
        </w:rPr>
        <w:t>August 2005 would meet the 40% criteria</w:t>
      </w:r>
      <w:r>
        <w:rPr>
          <w:rFonts w:asciiTheme="minorHAnsi" w:hAnsiTheme="minorHAnsi"/>
          <w:color w:val="auto"/>
        </w:rPr>
        <w:t xml:space="preserve"> of “a</w:t>
      </w:r>
      <w:r w:rsidRPr="00432C57">
        <w:rPr>
          <w:rFonts w:asciiTheme="minorHAnsi" w:hAnsiTheme="minorHAnsi"/>
          <w:color w:val="auto"/>
        </w:rPr>
        <w:t xml:space="preserve">t least </w:t>
      </w:r>
      <w:r w:rsidR="005103BD">
        <w:rPr>
          <w:rFonts w:asciiTheme="minorHAnsi" w:hAnsiTheme="minorHAnsi"/>
          <w:color w:val="auto"/>
        </w:rPr>
        <w:t>one</w:t>
      </w:r>
      <w:r w:rsidRPr="00432C57">
        <w:rPr>
          <w:rFonts w:asciiTheme="minorHAnsi" w:hAnsiTheme="minorHAnsi"/>
          <w:color w:val="auto"/>
        </w:rPr>
        <w:t xml:space="preserve"> major seizure in the last </w:t>
      </w:r>
      <w:r w:rsidR="005103BD">
        <w:rPr>
          <w:rFonts w:asciiTheme="minorHAnsi" w:hAnsiTheme="minorHAnsi"/>
          <w:color w:val="auto"/>
        </w:rPr>
        <w:t>six</w:t>
      </w:r>
      <w:r w:rsidRPr="00432C57">
        <w:rPr>
          <w:rFonts w:asciiTheme="minorHAnsi" w:hAnsiTheme="minorHAnsi"/>
          <w:color w:val="auto"/>
        </w:rPr>
        <w:t xml:space="preserve"> months or </w:t>
      </w:r>
      <w:r w:rsidR="005103BD">
        <w:rPr>
          <w:rFonts w:asciiTheme="minorHAnsi" w:hAnsiTheme="minorHAnsi"/>
          <w:color w:val="auto"/>
        </w:rPr>
        <w:t>two</w:t>
      </w:r>
      <w:r w:rsidRPr="00432C57">
        <w:rPr>
          <w:rFonts w:asciiTheme="minorHAnsi" w:hAnsiTheme="minorHAnsi"/>
          <w:color w:val="auto"/>
        </w:rPr>
        <w:t xml:space="preserve"> in the last year</w:t>
      </w:r>
      <w:r w:rsidR="00517598">
        <w:rPr>
          <w:rFonts w:asciiTheme="minorHAnsi" w:hAnsiTheme="minorHAnsi"/>
          <w:color w:val="auto"/>
        </w:rPr>
        <w:t xml:space="preserve">.”  While </w:t>
      </w:r>
      <w:r w:rsidR="00517598" w:rsidRPr="004F4BCD">
        <w:rPr>
          <w:rFonts w:asciiTheme="minorHAnsi" w:hAnsiTheme="minorHAnsi"/>
          <w:color w:val="auto"/>
        </w:rPr>
        <w:t xml:space="preserve">the </w:t>
      </w:r>
      <w:r w:rsidR="00517598" w:rsidRPr="004F4BCD">
        <w:rPr>
          <w:rFonts w:asciiTheme="minorHAnsi" w:hAnsiTheme="minorHAnsi"/>
          <w:color w:val="auto"/>
          <w:szCs w:val="24"/>
        </w:rPr>
        <w:t xml:space="preserve">October 2005 </w:t>
      </w:r>
      <w:r w:rsidR="00517598" w:rsidRPr="004F4BCD">
        <w:rPr>
          <w:rFonts w:asciiTheme="minorHAnsi" w:hAnsiTheme="minorHAnsi"/>
          <w:color w:val="auto"/>
        </w:rPr>
        <w:t xml:space="preserve">C&amp;P exam </w:t>
      </w:r>
      <w:r w:rsidR="004F4BCD" w:rsidRPr="004F4BCD">
        <w:rPr>
          <w:rFonts w:asciiTheme="minorHAnsi" w:hAnsiTheme="minorHAnsi"/>
          <w:color w:val="auto"/>
        </w:rPr>
        <w:t>(</w:t>
      </w:r>
      <w:r w:rsidR="005103BD">
        <w:rPr>
          <w:rFonts w:asciiTheme="minorHAnsi" w:hAnsiTheme="minorHAnsi"/>
          <w:color w:val="auto"/>
        </w:rPr>
        <w:t>10</w:t>
      </w:r>
      <w:r w:rsidR="004F4BCD" w:rsidRPr="004F4BCD">
        <w:rPr>
          <w:rFonts w:asciiTheme="minorHAnsi" w:hAnsiTheme="minorHAnsi"/>
          <w:i/>
          <w:color w:val="auto"/>
        </w:rPr>
        <w:t xml:space="preserve"> months prior to exit from TDRL</w:t>
      </w:r>
      <w:r w:rsidR="004F4BCD" w:rsidRPr="004F4BCD">
        <w:rPr>
          <w:rFonts w:asciiTheme="minorHAnsi" w:hAnsiTheme="minorHAnsi"/>
          <w:color w:val="auto"/>
        </w:rPr>
        <w:t xml:space="preserve">) </w:t>
      </w:r>
      <w:r w:rsidR="00517598" w:rsidRPr="004F4BCD">
        <w:rPr>
          <w:rFonts w:asciiTheme="minorHAnsi" w:hAnsiTheme="minorHAnsi"/>
          <w:color w:val="auto"/>
        </w:rPr>
        <w:t>did not document a recent seizure</w:t>
      </w:r>
      <w:r w:rsidR="00024C4D" w:rsidRPr="004F4BCD">
        <w:rPr>
          <w:rFonts w:asciiTheme="minorHAnsi" w:hAnsiTheme="minorHAnsi"/>
          <w:color w:val="auto"/>
        </w:rPr>
        <w:t xml:space="preserve"> (January 2005 as most recent)</w:t>
      </w:r>
      <w:r w:rsidR="00517598" w:rsidRPr="004F4BCD">
        <w:rPr>
          <w:rFonts w:asciiTheme="minorHAnsi" w:hAnsiTheme="minorHAnsi"/>
          <w:color w:val="auto"/>
        </w:rPr>
        <w:t>, it covered</w:t>
      </w:r>
      <w:r w:rsidR="005103BD">
        <w:rPr>
          <w:rFonts w:asciiTheme="minorHAnsi" w:hAnsiTheme="minorHAnsi"/>
          <w:color w:val="auto"/>
        </w:rPr>
        <w:t>,</w:t>
      </w:r>
      <w:r w:rsidR="00517598" w:rsidRPr="004F4BCD">
        <w:rPr>
          <w:rFonts w:asciiTheme="minorHAnsi" w:hAnsiTheme="minorHAnsi"/>
          <w:color w:val="auto"/>
        </w:rPr>
        <w:t xml:space="preserve"> at most</w:t>
      </w:r>
      <w:r w:rsidR="005103BD">
        <w:rPr>
          <w:rFonts w:asciiTheme="minorHAnsi" w:hAnsiTheme="minorHAnsi"/>
          <w:color w:val="auto"/>
        </w:rPr>
        <w:t>,</w:t>
      </w:r>
      <w:r w:rsidR="00517598" w:rsidRPr="004F4BCD">
        <w:rPr>
          <w:rFonts w:asciiTheme="minorHAnsi" w:hAnsiTheme="minorHAnsi"/>
          <w:color w:val="auto"/>
        </w:rPr>
        <w:t xml:space="preserve"> three months of the critical </w:t>
      </w:r>
      <w:r w:rsidR="004F4BCD" w:rsidRPr="004F4BCD">
        <w:rPr>
          <w:rFonts w:asciiTheme="minorHAnsi" w:hAnsiTheme="minorHAnsi"/>
          <w:color w:val="auto"/>
        </w:rPr>
        <w:t>one</w:t>
      </w:r>
      <w:r w:rsidR="005103BD">
        <w:rPr>
          <w:rFonts w:asciiTheme="minorHAnsi" w:hAnsiTheme="minorHAnsi"/>
          <w:color w:val="auto"/>
        </w:rPr>
        <w:t>-</w:t>
      </w:r>
      <w:r w:rsidR="004F4BCD" w:rsidRPr="004F4BCD">
        <w:rPr>
          <w:rFonts w:asciiTheme="minorHAnsi" w:hAnsiTheme="minorHAnsi"/>
          <w:color w:val="auto"/>
        </w:rPr>
        <w:t xml:space="preserve">year </w:t>
      </w:r>
      <w:r w:rsidR="00517598" w:rsidRPr="004F4BCD">
        <w:rPr>
          <w:rFonts w:asciiTheme="minorHAnsi" w:hAnsiTheme="minorHAnsi"/>
          <w:color w:val="auto"/>
        </w:rPr>
        <w:t>period</w:t>
      </w:r>
      <w:r w:rsidR="004F4BCD" w:rsidRPr="004F4BCD">
        <w:rPr>
          <w:rFonts w:asciiTheme="minorHAnsi" w:hAnsiTheme="minorHAnsi"/>
          <w:color w:val="auto"/>
        </w:rPr>
        <w:t xml:space="preserve">.  </w:t>
      </w:r>
      <w:r w:rsidR="00517598" w:rsidRPr="004F4BCD">
        <w:rPr>
          <w:rFonts w:asciiTheme="minorHAnsi" w:hAnsiTheme="minorHAnsi"/>
          <w:color w:val="auto"/>
        </w:rPr>
        <w:t xml:space="preserve">The </w:t>
      </w:r>
      <w:r w:rsidR="00517598" w:rsidRPr="004F4BCD">
        <w:rPr>
          <w:rFonts w:asciiTheme="minorHAnsi" w:hAnsiTheme="minorHAnsi"/>
          <w:color w:val="auto"/>
          <w:szCs w:val="24"/>
        </w:rPr>
        <w:t xml:space="preserve">January 2007 C&amp;P examination </w:t>
      </w:r>
      <w:r w:rsidR="004F4BCD" w:rsidRPr="004F4BCD">
        <w:rPr>
          <w:rFonts w:asciiTheme="minorHAnsi" w:hAnsiTheme="minorHAnsi"/>
          <w:color w:val="auto"/>
          <w:szCs w:val="24"/>
        </w:rPr>
        <w:t>(</w:t>
      </w:r>
      <w:r w:rsidR="004F4BCD" w:rsidRPr="004F4BCD">
        <w:rPr>
          <w:rFonts w:asciiTheme="minorHAnsi" w:hAnsiTheme="minorHAnsi"/>
          <w:i/>
          <w:color w:val="auto"/>
          <w:szCs w:val="24"/>
        </w:rPr>
        <w:t xml:space="preserve">five months after </w:t>
      </w:r>
      <w:r w:rsidR="004F4BCD" w:rsidRPr="004F4BCD">
        <w:rPr>
          <w:rFonts w:asciiTheme="minorHAnsi" w:hAnsiTheme="minorHAnsi"/>
          <w:i/>
          <w:color w:val="auto"/>
        </w:rPr>
        <w:t>exit from TDRL</w:t>
      </w:r>
      <w:r w:rsidR="004F4BCD" w:rsidRPr="004F4BCD">
        <w:rPr>
          <w:rFonts w:asciiTheme="minorHAnsi" w:hAnsiTheme="minorHAnsi"/>
          <w:color w:val="auto"/>
          <w:szCs w:val="24"/>
        </w:rPr>
        <w:t xml:space="preserve">) </w:t>
      </w:r>
      <w:r w:rsidR="00517598" w:rsidRPr="004F4BCD">
        <w:rPr>
          <w:rFonts w:asciiTheme="minorHAnsi" w:hAnsiTheme="minorHAnsi"/>
          <w:color w:val="auto"/>
          <w:szCs w:val="24"/>
        </w:rPr>
        <w:t>indicated a history of “</w:t>
      </w:r>
      <w:r w:rsidR="00925BD4">
        <w:rPr>
          <w:rFonts w:asciiTheme="minorHAnsi" w:hAnsiTheme="minorHAnsi"/>
          <w:color w:val="auto"/>
          <w:szCs w:val="24"/>
        </w:rPr>
        <w:t>o</w:t>
      </w:r>
      <w:r w:rsidR="00925BD4" w:rsidRPr="00925BD4">
        <w:rPr>
          <w:rFonts w:asciiTheme="minorHAnsi" w:hAnsiTheme="minorHAnsi"/>
          <w:color w:val="auto"/>
          <w:szCs w:val="24"/>
        </w:rPr>
        <w:t xml:space="preserve">n the medication he only has approximately </w:t>
      </w:r>
      <w:r w:rsidR="0040093A">
        <w:rPr>
          <w:rFonts w:asciiTheme="minorHAnsi" w:hAnsiTheme="minorHAnsi"/>
          <w:color w:val="auto"/>
          <w:szCs w:val="24"/>
        </w:rPr>
        <w:t>four to six</w:t>
      </w:r>
      <w:r w:rsidR="00517598">
        <w:rPr>
          <w:rFonts w:asciiTheme="minorHAnsi" w:hAnsiTheme="minorHAnsi"/>
          <w:color w:val="auto"/>
          <w:szCs w:val="24"/>
        </w:rPr>
        <w:t>”</w:t>
      </w:r>
      <w:r w:rsidR="00517598" w:rsidRPr="00F23A27">
        <w:rPr>
          <w:rFonts w:asciiTheme="minorHAnsi" w:hAnsiTheme="minorHAnsi"/>
          <w:color w:val="auto"/>
          <w:szCs w:val="24"/>
        </w:rPr>
        <w:t xml:space="preserve"> major seizures per year.</w:t>
      </w:r>
      <w:r w:rsidR="00517598">
        <w:rPr>
          <w:rFonts w:asciiTheme="minorHAnsi" w:hAnsiTheme="minorHAnsi"/>
          <w:color w:val="auto"/>
        </w:rPr>
        <w:t xml:space="preserve">  This documentation of seizure history is not up to the desired level of </w:t>
      </w:r>
      <w:r w:rsidR="00024C4D">
        <w:rPr>
          <w:rFonts w:asciiTheme="minorHAnsi" w:hAnsiTheme="minorHAnsi"/>
          <w:color w:val="auto"/>
        </w:rPr>
        <w:t>detail;</w:t>
      </w:r>
      <w:r w:rsidR="00517598">
        <w:rPr>
          <w:rFonts w:asciiTheme="minorHAnsi" w:hAnsiTheme="minorHAnsi"/>
          <w:color w:val="auto"/>
        </w:rPr>
        <w:t xml:space="preserve"> however, there is no requirement for any documented witness statements or mandate for seeking post-seizure treatment in the VASRD (contrasting with </w:t>
      </w:r>
      <w:r w:rsidR="0040093A">
        <w:rPr>
          <w:rFonts w:asciiTheme="minorHAnsi" w:hAnsiTheme="minorHAnsi"/>
          <w:color w:val="auto"/>
        </w:rPr>
        <w:t>i</w:t>
      </w:r>
      <w:r w:rsidR="00024C4D">
        <w:rPr>
          <w:rFonts w:asciiTheme="minorHAnsi" w:hAnsiTheme="minorHAnsi"/>
          <w:color w:val="auto"/>
        </w:rPr>
        <w:t>ntervertebral</w:t>
      </w:r>
      <w:r w:rsidR="00517598">
        <w:rPr>
          <w:rFonts w:asciiTheme="minorHAnsi" w:hAnsiTheme="minorHAnsi"/>
          <w:color w:val="auto"/>
        </w:rPr>
        <w:t xml:space="preserve"> disc </w:t>
      </w:r>
      <w:r w:rsidR="00024C4D">
        <w:rPr>
          <w:rFonts w:asciiTheme="minorHAnsi" w:hAnsiTheme="minorHAnsi"/>
          <w:color w:val="auto"/>
        </w:rPr>
        <w:t xml:space="preserve">[back] </w:t>
      </w:r>
      <w:r w:rsidR="00517598">
        <w:rPr>
          <w:rFonts w:asciiTheme="minorHAnsi" w:hAnsiTheme="minorHAnsi"/>
          <w:color w:val="auto"/>
        </w:rPr>
        <w:t>incapacitating episodes).  VA guidance is that once a formal diagnosis of seizure is documented, the normal lay person is an adequate judge of when they have had a seizure</w:t>
      </w:r>
      <w:r w:rsidR="00024C4D">
        <w:rPr>
          <w:rFonts w:asciiTheme="minorHAnsi" w:hAnsiTheme="minorHAnsi"/>
          <w:color w:val="auto"/>
        </w:rPr>
        <w:t xml:space="preserve">, and therefore this report of </w:t>
      </w:r>
      <w:r w:rsidR="00024C4D" w:rsidRPr="00745AEB">
        <w:rPr>
          <w:rFonts w:asciiTheme="minorHAnsi" w:hAnsiTheme="minorHAnsi"/>
          <w:color w:val="auto"/>
        </w:rPr>
        <w:t>seizure frequency must be considered.  Even conceding the minimum of four seizures in the year prior to the January 2007 exam, there is almost a certainty that the CI had either one seizure in the six months prior to</w:t>
      </w:r>
      <w:r w:rsidR="0040093A">
        <w:rPr>
          <w:rFonts w:asciiTheme="minorHAnsi" w:hAnsiTheme="minorHAnsi"/>
          <w:color w:val="auto"/>
        </w:rPr>
        <w:t>,</w:t>
      </w:r>
      <w:r w:rsidR="00024C4D" w:rsidRPr="00745AEB">
        <w:rPr>
          <w:rFonts w:asciiTheme="minorHAnsi" w:hAnsiTheme="minorHAnsi"/>
          <w:color w:val="auto"/>
        </w:rPr>
        <w:t xml:space="preserve"> or two seizures in the one year prior to</w:t>
      </w:r>
      <w:r w:rsidR="0040093A">
        <w:rPr>
          <w:rFonts w:asciiTheme="minorHAnsi" w:hAnsiTheme="minorHAnsi"/>
          <w:color w:val="auto"/>
        </w:rPr>
        <w:t>,</w:t>
      </w:r>
      <w:r w:rsidR="00024C4D" w:rsidRPr="00745AEB">
        <w:rPr>
          <w:rFonts w:asciiTheme="minorHAnsi" w:hAnsiTheme="minorHAnsi"/>
          <w:color w:val="auto"/>
        </w:rPr>
        <w:t xml:space="preserve"> exit from TDRL in August 2006.  </w:t>
      </w:r>
      <w:r w:rsidR="004F4BCD" w:rsidRPr="00745AEB">
        <w:rPr>
          <w:rFonts w:asciiTheme="minorHAnsi" w:hAnsiTheme="minorHAnsi"/>
          <w:color w:val="auto"/>
          <w:szCs w:val="24"/>
        </w:rPr>
        <w:t xml:space="preserve">There was also no evidence to counter that C&amp;P seizure history report.  </w:t>
      </w:r>
      <w:r w:rsidR="004F4BCD" w:rsidRPr="00745AEB">
        <w:rPr>
          <w:rFonts w:asciiTheme="minorHAnsi" w:hAnsiTheme="minorHAnsi"/>
          <w:color w:val="auto"/>
        </w:rPr>
        <w:t>D</w:t>
      </w:r>
      <w:r w:rsidR="00024C4D" w:rsidRPr="00745AEB">
        <w:rPr>
          <w:rFonts w:asciiTheme="minorHAnsi" w:hAnsiTheme="minorHAnsi"/>
          <w:color w:val="auto"/>
        </w:rPr>
        <w:t xml:space="preserve">ata may have been contained in the service/DES records; however, </w:t>
      </w:r>
      <w:r w:rsidR="00024C4D" w:rsidRPr="00745AEB">
        <w:rPr>
          <w:rFonts w:asciiTheme="minorHAnsi" w:hAnsiTheme="minorHAnsi"/>
          <w:color w:val="auto"/>
          <w:szCs w:val="24"/>
        </w:rPr>
        <w:t>no records were available for</w:t>
      </w:r>
      <w:r w:rsidR="00024C4D">
        <w:rPr>
          <w:rFonts w:asciiTheme="minorHAnsi" w:hAnsiTheme="minorHAnsi"/>
          <w:color w:val="auto"/>
          <w:szCs w:val="24"/>
        </w:rPr>
        <w:t xml:space="preserve"> that time period</w:t>
      </w:r>
      <w:r w:rsidR="0040093A">
        <w:rPr>
          <w:rFonts w:asciiTheme="minorHAnsi" w:hAnsiTheme="minorHAnsi"/>
          <w:color w:val="auto"/>
          <w:szCs w:val="24"/>
        </w:rPr>
        <w:t>,</w:t>
      </w:r>
      <w:r w:rsidR="00024C4D">
        <w:rPr>
          <w:rFonts w:asciiTheme="minorHAnsi" w:hAnsiTheme="minorHAnsi"/>
          <w:color w:val="auto"/>
          <w:szCs w:val="24"/>
        </w:rPr>
        <w:t xml:space="preserve"> despite multiple searches by the </w:t>
      </w:r>
      <w:r w:rsidR="0040093A">
        <w:rPr>
          <w:rFonts w:asciiTheme="minorHAnsi" w:hAnsiTheme="minorHAnsi"/>
          <w:color w:val="auto"/>
          <w:szCs w:val="24"/>
        </w:rPr>
        <w:t>Navy</w:t>
      </w:r>
      <w:r w:rsidR="00024C4D">
        <w:rPr>
          <w:rFonts w:asciiTheme="minorHAnsi" w:hAnsiTheme="minorHAnsi"/>
          <w:color w:val="auto"/>
          <w:szCs w:val="24"/>
        </w:rPr>
        <w:t>.</w:t>
      </w:r>
      <w:r w:rsidR="00024C4D">
        <w:rPr>
          <w:rFonts w:asciiTheme="minorHAnsi" w:hAnsiTheme="minorHAnsi"/>
          <w:color w:val="auto"/>
        </w:rPr>
        <w:t xml:space="preserve"> </w:t>
      </w:r>
      <w:r w:rsidR="000C61F8">
        <w:rPr>
          <w:rFonts w:asciiTheme="minorHAnsi" w:hAnsiTheme="minorHAnsi"/>
          <w:color w:val="auto"/>
        </w:rPr>
        <w:t xml:space="preserve"> The assumption of DES regularity is of very doubtful help in this case as there</w:t>
      </w:r>
      <w:r>
        <w:rPr>
          <w:rFonts w:asciiTheme="minorHAnsi" w:hAnsiTheme="minorHAnsi"/>
          <w:color w:val="auto"/>
          <w:szCs w:val="24"/>
        </w:rPr>
        <w:t xml:space="preserve"> was a marked difference in the DOD/</w:t>
      </w:r>
      <w:r w:rsidR="0040093A">
        <w:rPr>
          <w:rFonts w:asciiTheme="minorHAnsi" w:hAnsiTheme="minorHAnsi"/>
          <w:color w:val="auto"/>
          <w:szCs w:val="24"/>
        </w:rPr>
        <w:t>Navy</w:t>
      </w:r>
      <w:r>
        <w:rPr>
          <w:rFonts w:asciiTheme="minorHAnsi" w:hAnsiTheme="minorHAnsi"/>
          <w:color w:val="auto"/>
          <w:szCs w:val="24"/>
        </w:rPr>
        <w:t xml:space="preserve"> criteria for rating from the VASRD in effect at the time of removal from TDRL.  </w:t>
      </w:r>
      <w:r w:rsidR="000C61F8">
        <w:rPr>
          <w:rFonts w:asciiTheme="minorHAnsi" w:hAnsiTheme="minorHAnsi"/>
          <w:color w:val="auto"/>
          <w:szCs w:val="24"/>
        </w:rPr>
        <w:t xml:space="preserve">The DES could have appropriately rated the CI at 20% IAW </w:t>
      </w:r>
      <w:r w:rsidR="004F4BCD">
        <w:rPr>
          <w:rFonts w:asciiTheme="minorHAnsi" w:hAnsiTheme="minorHAnsi"/>
          <w:color w:val="auto"/>
          <w:szCs w:val="24"/>
        </w:rPr>
        <w:t xml:space="preserve">DoD-specific guidance, </w:t>
      </w:r>
      <w:r w:rsidR="000C61F8" w:rsidRPr="00745AEB">
        <w:rPr>
          <w:rFonts w:asciiTheme="minorHAnsi" w:hAnsiTheme="minorHAnsi"/>
          <w:color w:val="auto"/>
          <w:szCs w:val="24"/>
        </w:rPr>
        <w:t xml:space="preserve">given many scenarios that would be rated at 40% IAW application of the VASRD alone.  </w:t>
      </w:r>
    </w:p>
    <w:p w:rsidR="004F4BCD" w:rsidRPr="00745AEB" w:rsidRDefault="004F4BCD" w:rsidP="00432C57">
      <w:pPr>
        <w:spacing w:line="240" w:lineRule="exact"/>
        <w:jc w:val="both"/>
        <w:rPr>
          <w:rFonts w:asciiTheme="minorHAnsi" w:hAnsiTheme="minorHAnsi"/>
          <w:color w:val="auto"/>
          <w:szCs w:val="24"/>
        </w:rPr>
      </w:pPr>
    </w:p>
    <w:p w:rsidR="00745AEB" w:rsidRDefault="007456C1" w:rsidP="00745AEB">
      <w:pPr>
        <w:spacing w:line="240" w:lineRule="exact"/>
        <w:jc w:val="both"/>
        <w:rPr>
          <w:rFonts w:asciiTheme="minorHAnsi" w:hAnsiTheme="minorHAnsi"/>
          <w:color w:val="auto"/>
          <w:szCs w:val="24"/>
        </w:rPr>
      </w:pPr>
      <w:r w:rsidRPr="00745AEB">
        <w:rPr>
          <w:rFonts w:asciiTheme="minorHAnsi" w:hAnsiTheme="minorHAnsi"/>
          <w:color w:val="auto"/>
          <w:szCs w:val="24"/>
        </w:rPr>
        <w:t>The combination of absence of DES evidence contemporaneous with the time of permanent disposition</w:t>
      </w:r>
      <w:r w:rsidR="0040093A">
        <w:rPr>
          <w:rFonts w:asciiTheme="minorHAnsi" w:hAnsiTheme="minorHAnsi"/>
          <w:color w:val="auto"/>
          <w:szCs w:val="24"/>
        </w:rPr>
        <w:t>,</w:t>
      </w:r>
      <w:r w:rsidRPr="00745AEB">
        <w:rPr>
          <w:rFonts w:asciiTheme="minorHAnsi" w:hAnsiTheme="minorHAnsi"/>
          <w:color w:val="auto"/>
          <w:szCs w:val="24"/>
        </w:rPr>
        <w:t xml:space="preserve"> the likelihood that the PEB applied special rules that would result in a lower rating, </w:t>
      </w:r>
      <w:r w:rsidR="004F4BCD" w:rsidRPr="00745AEB">
        <w:rPr>
          <w:rFonts w:asciiTheme="minorHAnsi" w:hAnsiTheme="minorHAnsi"/>
          <w:color w:val="auto"/>
          <w:szCs w:val="24"/>
        </w:rPr>
        <w:t xml:space="preserve">and the post-separation C&amp;P seizure history </w:t>
      </w:r>
      <w:r w:rsidRPr="00745AEB">
        <w:rPr>
          <w:rFonts w:asciiTheme="minorHAnsi" w:hAnsiTheme="minorHAnsi"/>
          <w:color w:val="auto"/>
          <w:szCs w:val="24"/>
        </w:rPr>
        <w:t xml:space="preserve">warrants application of reasonable doubt in the favor of the member (VASRD §4.3).  Considering the totality of the evidence and mindful of VASRD §4.3 (reasonable doubt), </w:t>
      </w:r>
      <w:r w:rsidR="00745AEB">
        <w:rPr>
          <w:rFonts w:asciiTheme="minorHAnsi" w:hAnsiTheme="minorHAnsi"/>
          <w:color w:val="auto"/>
          <w:szCs w:val="24"/>
        </w:rPr>
        <w:t xml:space="preserve">the AO recommends </w:t>
      </w:r>
      <w:r w:rsidRPr="00745AEB">
        <w:rPr>
          <w:rFonts w:asciiTheme="minorHAnsi" w:hAnsiTheme="minorHAnsi"/>
          <w:color w:val="auto"/>
          <w:szCs w:val="24"/>
        </w:rPr>
        <w:t xml:space="preserve">a permanent disability rating of 40% in this case </w:t>
      </w:r>
      <w:r w:rsidR="00745AEB">
        <w:rPr>
          <w:rFonts w:asciiTheme="minorHAnsi" w:hAnsiTheme="minorHAnsi"/>
          <w:color w:val="auto"/>
          <w:szCs w:val="24"/>
        </w:rPr>
        <w:t>a</w:t>
      </w:r>
      <w:r w:rsidRPr="00745AEB">
        <w:rPr>
          <w:rFonts w:asciiTheme="minorHAnsi" w:hAnsiTheme="minorHAnsi"/>
          <w:color w:val="auto"/>
          <w:szCs w:val="24"/>
        </w:rPr>
        <w:t>s appropriate, fair and equitable.</w:t>
      </w:r>
    </w:p>
    <w:p w:rsidR="0040093A" w:rsidRPr="00745AEB" w:rsidRDefault="0040093A" w:rsidP="00745AEB">
      <w:pPr>
        <w:spacing w:line="240" w:lineRule="exact"/>
        <w:jc w:val="both"/>
        <w:rPr>
          <w:rFonts w:asciiTheme="minorHAnsi" w:hAnsiTheme="minorHAnsi"/>
          <w:color w:val="auto"/>
          <w:szCs w:val="24"/>
        </w:rPr>
      </w:pPr>
    </w:p>
    <w:tbl>
      <w:tblPr>
        <w:tblW w:w="0" w:type="auto"/>
        <w:jc w:val="center"/>
        <w:tblInd w:w="2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710"/>
        <w:gridCol w:w="1170"/>
        <w:gridCol w:w="1530"/>
      </w:tblGrid>
      <w:tr w:rsidR="00745AEB" w:rsidRPr="00745AEB" w:rsidTr="00745AEB">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745AEB" w:rsidRPr="00745AEB" w:rsidRDefault="00745AEB" w:rsidP="00745AEB">
            <w:pPr>
              <w:tabs>
                <w:tab w:val="left" w:pos="288"/>
                <w:tab w:val="left" w:pos="4752"/>
              </w:tabs>
              <w:spacing w:line="240" w:lineRule="exact"/>
              <w:jc w:val="both"/>
              <w:rPr>
                <w:rFonts w:asciiTheme="minorHAnsi" w:hAnsiTheme="minorHAnsi"/>
                <w:b/>
                <w:color w:val="auto"/>
                <w:szCs w:val="24"/>
              </w:rPr>
            </w:pPr>
            <w:r w:rsidRPr="00745AEB">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PERMANENT</w:t>
            </w:r>
          </w:p>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RATING</w:t>
            </w:r>
          </w:p>
        </w:tc>
      </w:tr>
      <w:tr w:rsidR="00745AEB" w:rsidRPr="00745AEB" w:rsidTr="00745AEB">
        <w:trPr>
          <w:trHeight w:val="188"/>
          <w:jc w:val="center"/>
        </w:trPr>
        <w:tc>
          <w:tcPr>
            <w:tcW w:w="2835" w:type="dxa"/>
            <w:tcBorders>
              <w:top w:val="single" w:sz="4" w:space="0" w:color="000000"/>
              <w:left w:val="single" w:sz="4" w:space="0" w:color="000000"/>
              <w:bottom w:val="single" w:sz="4" w:space="0" w:color="000000"/>
              <w:right w:val="single" w:sz="4" w:space="0" w:color="000000"/>
            </w:tcBorders>
            <w:hideMark/>
          </w:tcPr>
          <w:p w:rsidR="00745AEB" w:rsidRPr="00745AEB" w:rsidRDefault="00745AEB" w:rsidP="00745AEB">
            <w:pPr>
              <w:tabs>
                <w:tab w:val="left" w:pos="288"/>
                <w:tab w:val="left" w:pos="4752"/>
              </w:tabs>
              <w:spacing w:line="240" w:lineRule="exact"/>
              <w:jc w:val="both"/>
              <w:rPr>
                <w:rFonts w:asciiTheme="minorHAnsi" w:hAnsiTheme="minorHAnsi"/>
                <w:color w:val="auto"/>
                <w:szCs w:val="24"/>
              </w:rPr>
            </w:pPr>
            <w:r w:rsidRPr="00745AEB">
              <w:rPr>
                <w:rFonts w:asciiTheme="minorHAnsi" w:hAnsiTheme="minorHAnsi"/>
                <w:color w:val="auto"/>
                <w:szCs w:val="24"/>
              </w:rPr>
              <w:t>Seizure Disorder</w:t>
            </w:r>
          </w:p>
        </w:tc>
        <w:tc>
          <w:tcPr>
            <w:tcW w:w="1710" w:type="dxa"/>
            <w:tcBorders>
              <w:top w:val="single" w:sz="4" w:space="0" w:color="000000"/>
              <w:left w:val="single" w:sz="4" w:space="0" w:color="000000"/>
              <w:bottom w:val="single" w:sz="4" w:space="0" w:color="000000"/>
              <w:right w:val="single" w:sz="4" w:space="0" w:color="000000"/>
            </w:tcBorders>
            <w:hideMark/>
          </w:tcPr>
          <w:p w:rsidR="00745AEB" w:rsidRPr="00745AEB" w:rsidRDefault="00745AEB" w:rsidP="00745AEB">
            <w:pPr>
              <w:tabs>
                <w:tab w:val="left" w:pos="288"/>
                <w:tab w:val="left" w:pos="4752"/>
              </w:tabs>
              <w:spacing w:line="240" w:lineRule="exact"/>
              <w:jc w:val="center"/>
              <w:rPr>
                <w:rFonts w:asciiTheme="minorHAnsi" w:hAnsiTheme="minorHAnsi"/>
                <w:color w:val="auto"/>
                <w:szCs w:val="24"/>
              </w:rPr>
            </w:pPr>
            <w:r w:rsidRPr="00745AEB">
              <w:rPr>
                <w:rFonts w:asciiTheme="minorHAnsi" w:hAnsiTheme="minorHAnsi"/>
                <w:color w:val="auto"/>
                <w:szCs w:val="24"/>
              </w:rPr>
              <w:t>8910</w:t>
            </w:r>
          </w:p>
        </w:tc>
        <w:tc>
          <w:tcPr>
            <w:tcW w:w="1170" w:type="dxa"/>
            <w:tcBorders>
              <w:top w:val="single" w:sz="4" w:space="0" w:color="000000"/>
              <w:left w:val="single" w:sz="4" w:space="0" w:color="000000"/>
              <w:bottom w:val="single" w:sz="4" w:space="0" w:color="000000"/>
              <w:right w:val="single" w:sz="4" w:space="0" w:color="000000"/>
            </w:tcBorders>
            <w:hideMark/>
          </w:tcPr>
          <w:p w:rsidR="00745AEB" w:rsidRPr="00745AEB" w:rsidRDefault="00745AEB" w:rsidP="00745AEB">
            <w:pPr>
              <w:tabs>
                <w:tab w:val="left" w:pos="288"/>
                <w:tab w:val="left" w:pos="4752"/>
              </w:tabs>
              <w:spacing w:line="240" w:lineRule="exact"/>
              <w:jc w:val="center"/>
              <w:rPr>
                <w:rFonts w:asciiTheme="minorHAnsi" w:hAnsiTheme="minorHAnsi"/>
                <w:color w:val="auto"/>
                <w:szCs w:val="24"/>
              </w:rPr>
            </w:pPr>
            <w:r w:rsidRPr="00745AEB">
              <w:rPr>
                <w:rFonts w:asciiTheme="minorHAnsi" w:hAnsiTheme="minorHAnsi"/>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hideMark/>
          </w:tcPr>
          <w:p w:rsidR="00745AEB" w:rsidRPr="00745AEB" w:rsidRDefault="00745AEB" w:rsidP="00745AEB">
            <w:pPr>
              <w:tabs>
                <w:tab w:val="left" w:pos="288"/>
                <w:tab w:val="left" w:pos="4752"/>
              </w:tabs>
              <w:spacing w:line="240" w:lineRule="exact"/>
              <w:jc w:val="center"/>
              <w:rPr>
                <w:rFonts w:asciiTheme="minorHAnsi" w:hAnsiTheme="minorHAnsi"/>
                <w:color w:val="auto"/>
                <w:szCs w:val="24"/>
              </w:rPr>
            </w:pPr>
            <w:r w:rsidRPr="00745AEB">
              <w:rPr>
                <w:rFonts w:asciiTheme="minorHAnsi" w:hAnsiTheme="minorHAnsi"/>
                <w:color w:val="auto"/>
                <w:szCs w:val="24"/>
              </w:rPr>
              <w:t>40%</w:t>
            </w:r>
          </w:p>
        </w:tc>
      </w:tr>
      <w:tr w:rsidR="00745AEB" w:rsidRPr="00745AEB" w:rsidTr="00745AEB">
        <w:trPr>
          <w:gridBefore w:val="1"/>
          <w:wBefore w:w="2835"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745AEB" w:rsidRPr="00745AEB" w:rsidRDefault="00745AEB" w:rsidP="00745AEB">
            <w:pPr>
              <w:tabs>
                <w:tab w:val="left" w:pos="288"/>
                <w:tab w:val="left" w:pos="4752"/>
              </w:tabs>
              <w:spacing w:line="240" w:lineRule="exact"/>
              <w:jc w:val="center"/>
              <w:rPr>
                <w:rFonts w:asciiTheme="minorHAnsi" w:hAnsiTheme="minorHAnsi"/>
                <w:b/>
                <w:color w:val="auto"/>
                <w:szCs w:val="24"/>
              </w:rPr>
            </w:pPr>
            <w:r w:rsidRPr="00745AEB">
              <w:rPr>
                <w:rFonts w:asciiTheme="minorHAnsi" w:hAnsiTheme="minorHAnsi"/>
                <w:b/>
                <w:color w:val="auto"/>
                <w:szCs w:val="24"/>
              </w:rPr>
              <w:t>40%</w:t>
            </w:r>
          </w:p>
        </w:tc>
      </w:tr>
    </w:tbl>
    <w:p w:rsidR="007C0EA3" w:rsidRPr="007C0EA3" w:rsidRDefault="007C0EA3" w:rsidP="007C0EA3">
      <w:pPr>
        <w:ind w:left="-360"/>
        <w:jc w:val="both"/>
        <w:rPr>
          <w:color w:val="auto"/>
          <w:sz w:val="22"/>
          <w:szCs w:val="22"/>
        </w:rPr>
      </w:pPr>
      <w:r w:rsidRPr="007C0EA3">
        <w:rPr>
          <w:color w:val="auto"/>
          <w:sz w:val="22"/>
          <w:szCs w:val="22"/>
        </w:rPr>
        <w:lastRenderedPageBreak/>
        <w:t xml:space="preserve">MEMORANDUM FOR DIRECTOR, SECRETARY OF THE NAVY COUNCIL OF REVIEW BOARDS </w:t>
      </w:r>
    </w:p>
    <w:p w:rsidR="007C0EA3" w:rsidRPr="007C0EA3" w:rsidRDefault="007C0EA3" w:rsidP="007C0EA3">
      <w:pPr>
        <w:jc w:val="both"/>
        <w:rPr>
          <w:color w:val="auto"/>
          <w:sz w:val="22"/>
          <w:szCs w:val="22"/>
        </w:rPr>
      </w:pPr>
    </w:p>
    <w:p w:rsidR="007C0EA3" w:rsidRPr="007C0EA3" w:rsidRDefault="007C0EA3" w:rsidP="007C0EA3">
      <w:pPr>
        <w:ind w:left="-360"/>
        <w:jc w:val="both"/>
        <w:rPr>
          <w:color w:val="auto"/>
          <w:sz w:val="22"/>
          <w:szCs w:val="22"/>
        </w:rPr>
      </w:pPr>
      <w:proofErr w:type="spellStart"/>
      <w:r w:rsidRPr="007C0EA3">
        <w:rPr>
          <w:color w:val="auto"/>
          <w:sz w:val="22"/>
          <w:szCs w:val="22"/>
        </w:rPr>
        <w:t>Subj</w:t>
      </w:r>
      <w:proofErr w:type="spellEnd"/>
      <w:r w:rsidRPr="007C0EA3">
        <w:rPr>
          <w:color w:val="auto"/>
          <w:sz w:val="22"/>
          <w:szCs w:val="22"/>
        </w:rPr>
        <w:t xml:space="preserve">:  PHYSICAL DISABILITY BOARD OF REVIEW (PDBR) RECOMMENDATION ICO </w:t>
      </w:r>
      <w:r>
        <w:rPr>
          <w:color w:val="auto"/>
          <w:sz w:val="22"/>
          <w:szCs w:val="22"/>
        </w:rPr>
        <w:t>XXXXXX</w:t>
      </w:r>
      <w:r w:rsidRPr="007C0EA3">
        <w:rPr>
          <w:color w:val="auto"/>
          <w:sz w:val="22"/>
          <w:szCs w:val="22"/>
        </w:rPr>
        <w:t xml:space="preserve">, FORMER USMC, XXX XX </w:t>
      </w:r>
      <w:r>
        <w:rPr>
          <w:color w:val="auto"/>
          <w:sz w:val="22"/>
          <w:szCs w:val="22"/>
        </w:rPr>
        <w:t>XXXX</w:t>
      </w:r>
    </w:p>
    <w:p w:rsidR="007C0EA3" w:rsidRPr="007C0EA3" w:rsidRDefault="007C0EA3" w:rsidP="007C0EA3">
      <w:pPr>
        <w:jc w:val="both"/>
        <w:rPr>
          <w:color w:val="auto"/>
          <w:sz w:val="22"/>
          <w:szCs w:val="22"/>
        </w:rPr>
      </w:pPr>
    </w:p>
    <w:p w:rsidR="007C0EA3" w:rsidRPr="007C0EA3" w:rsidRDefault="007C0EA3" w:rsidP="007C0EA3">
      <w:pPr>
        <w:ind w:left="-360"/>
        <w:jc w:val="both"/>
        <w:rPr>
          <w:color w:val="auto"/>
          <w:sz w:val="22"/>
          <w:szCs w:val="22"/>
        </w:rPr>
      </w:pPr>
      <w:r w:rsidRPr="007C0EA3">
        <w:rPr>
          <w:color w:val="auto"/>
          <w:sz w:val="22"/>
          <w:szCs w:val="22"/>
        </w:rPr>
        <w:t>Ref:   (a) DoDI 6040.44</w:t>
      </w:r>
    </w:p>
    <w:p w:rsidR="007C0EA3" w:rsidRPr="007C0EA3" w:rsidRDefault="007C0EA3" w:rsidP="007C0EA3">
      <w:pPr>
        <w:ind w:left="-540"/>
        <w:jc w:val="both"/>
        <w:rPr>
          <w:color w:val="auto"/>
          <w:sz w:val="22"/>
          <w:szCs w:val="22"/>
        </w:rPr>
      </w:pPr>
      <w:r w:rsidRPr="007C0EA3">
        <w:rPr>
          <w:color w:val="auto"/>
          <w:sz w:val="22"/>
          <w:szCs w:val="22"/>
        </w:rPr>
        <w:t xml:space="preserve">             (b) PDBR </w:t>
      </w:r>
      <w:proofErr w:type="spellStart"/>
      <w:r w:rsidRPr="007C0EA3">
        <w:rPr>
          <w:color w:val="auto"/>
          <w:sz w:val="22"/>
          <w:szCs w:val="22"/>
        </w:rPr>
        <w:t>ltr</w:t>
      </w:r>
      <w:proofErr w:type="spellEnd"/>
      <w:r w:rsidRPr="007C0EA3">
        <w:rPr>
          <w:color w:val="auto"/>
          <w:sz w:val="22"/>
          <w:szCs w:val="22"/>
        </w:rPr>
        <w:t xml:space="preserve"> </w:t>
      </w:r>
      <w:proofErr w:type="spellStart"/>
      <w:r w:rsidRPr="007C0EA3">
        <w:rPr>
          <w:color w:val="auto"/>
          <w:sz w:val="22"/>
          <w:szCs w:val="22"/>
        </w:rPr>
        <w:t>dtd</w:t>
      </w:r>
      <w:proofErr w:type="spellEnd"/>
      <w:r w:rsidRPr="007C0EA3">
        <w:rPr>
          <w:color w:val="auto"/>
          <w:sz w:val="22"/>
          <w:szCs w:val="22"/>
        </w:rPr>
        <w:t xml:space="preserve"> 23 Mar 11</w:t>
      </w:r>
    </w:p>
    <w:p w:rsidR="007C0EA3" w:rsidRPr="007C0EA3" w:rsidRDefault="007C0EA3" w:rsidP="007C0EA3">
      <w:pPr>
        <w:ind w:left="-540"/>
        <w:jc w:val="both"/>
        <w:rPr>
          <w:color w:val="auto"/>
          <w:sz w:val="22"/>
          <w:szCs w:val="22"/>
        </w:rPr>
      </w:pPr>
    </w:p>
    <w:p w:rsidR="007C0EA3" w:rsidRPr="007C0EA3" w:rsidRDefault="007C0EA3" w:rsidP="007C0EA3">
      <w:pPr>
        <w:ind w:left="-360"/>
        <w:jc w:val="both"/>
        <w:rPr>
          <w:color w:val="auto"/>
          <w:sz w:val="22"/>
          <w:szCs w:val="22"/>
        </w:rPr>
      </w:pPr>
      <w:r w:rsidRPr="007C0EA3">
        <w:rPr>
          <w:color w:val="auto"/>
          <w:sz w:val="22"/>
          <w:szCs w:val="22"/>
        </w:rPr>
        <w:t xml:space="preserve">      I have reviewed the subject case pursuant to reference (a) and, for the reasons set forth in reference (b), approve the recommendation of the PDBR Mr. </w:t>
      </w:r>
      <w:r>
        <w:rPr>
          <w:color w:val="auto"/>
          <w:sz w:val="22"/>
          <w:szCs w:val="22"/>
        </w:rPr>
        <w:t>XXXX</w:t>
      </w:r>
      <w:r w:rsidRPr="007C0EA3">
        <w:rPr>
          <w:color w:val="auto"/>
          <w:sz w:val="22"/>
          <w:szCs w:val="22"/>
        </w:rPr>
        <w:t>’s records not be corrected to reflect a change in either his characterization of separation or the disability rating previously assigned by the Department of the Navy’s Physical Evaluation Board.</w:t>
      </w:r>
    </w:p>
    <w:p w:rsidR="007C0EA3" w:rsidRPr="007C0EA3" w:rsidRDefault="007C0EA3" w:rsidP="007C0EA3">
      <w:pPr>
        <w:jc w:val="both"/>
        <w:rPr>
          <w:color w:val="auto"/>
          <w:sz w:val="22"/>
          <w:szCs w:val="22"/>
        </w:rPr>
      </w:pPr>
    </w:p>
    <w:p w:rsidR="007C0EA3" w:rsidRPr="007C0EA3" w:rsidRDefault="007C0EA3" w:rsidP="007C0EA3">
      <w:pPr>
        <w:jc w:val="both"/>
        <w:rPr>
          <w:color w:val="auto"/>
          <w:sz w:val="22"/>
          <w:szCs w:val="22"/>
        </w:rPr>
      </w:pPr>
    </w:p>
    <w:p w:rsidR="007C0EA3" w:rsidRPr="007C0EA3" w:rsidRDefault="007C0EA3" w:rsidP="007C0EA3">
      <w:pPr>
        <w:jc w:val="both"/>
        <w:rPr>
          <w:color w:val="auto"/>
          <w:sz w:val="22"/>
          <w:szCs w:val="22"/>
        </w:rPr>
      </w:pPr>
    </w:p>
    <w:p w:rsidR="007C0EA3" w:rsidRPr="007C0EA3" w:rsidRDefault="007C0EA3" w:rsidP="007C0EA3">
      <w:pPr>
        <w:tabs>
          <w:tab w:val="left" w:pos="4680"/>
        </w:tabs>
        <w:jc w:val="both"/>
        <w:rPr>
          <w:color w:val="auto"/>
          <w:sz w:val="22"/>
          <w:szCs w:val="22"/>
        </w:rPr>
      </w:pPr>
      <w:r w:rsidRPr="007C0EA3">
        <w:rPr>
          <w:color w:val="auto"/>
          <w:sz w:val="22"/>
          <w:szCs w:val="22"/>
        </w:rPr>
        <w:tab/>
      </w:r>
    </w:p>
    <w:p w:rsidR="007C0EA3" w:rsidRPr="007C0EA3" w:rsidRDefault="007C0EA3" w:rsidP="007C0EA3">
      <w:pPr>
        <w:jc w:val="both"/>
        <w:rPr>
          <w:color w:val="auto"/>
          <w:sz w:val="22"/>
          <w:szCs w:val="22"/>
        </w:rPr>
      </w:pP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t xml:space="preserve">      Principal Deputy</w:t>
      </w:r>
    </w:p>
    <w:p w:rsidR="007C0EA3" w:rsidRPr="007C0EA3" w:rsidRDefault="007C0EA3" w:rsidP="007C0EA3">
      <w:pPr>
        <w:jc w:val="both"/>
        <w:rPr>
          <w:color w:val="auto"/>
          <w:sz w:val="22"/>
          <w:szCs w:val="22"/>
        </w:rPr>
      </w:pP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t xml:space="preserve">      Assistant Secretary of the Navy </w:t>
      </w:r>
    </w:p>
    <w:p w:rsidR="007C0EA3" w:rsidRPr="007C0EA3" w:rsidRDefault="007C0EA3" w:rsidP="007C0EA3">
      <w:pPr>
        <w:jc w:val="both"/>
        <w:rPr>
          <w:color w:val="auto"/>
          <w:sz w:val="22"/>
          <w:szCs w:val="22"/>
        </w:rPr>
      </w:pP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r>
      <w:r w:rsidRPr="007C0EA3">
        <w:rPr>
          <w:color w:val="auto"/>
          <w:sz w:val="22"/>
          <w:szCs w:val="22"/>
        </w:rPr>
        <w:tab/>
        <w:t xml:space="preserve">        (Manpower &amp; Reserve Affairs)</w:t>
      </w:r>
    </w:p>
    <w:p w:rsidR="007C0EA3" w:rsidRDefault="007C0EA3" w:rsidP="007C0EA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C0EA3" w:rsidRDefault="007C0EA3" w:rsidP="007C0EA3">
      <w:pPr>
        <w:jc w:val="both"/>
        <w:rPr>
          <w:sz w:val="22"/>
          <w:szCs w:val="22"/>
        </w:rPr>
      </w:pPr>
    </w:p>
    <w:p w:rsidR="00745AEB" w:rsidRPr="00745AEB" w:rsidRDefault="00745AEB" w:rsidP="0040093A">
      <w:pPr>
        <w:spacing w:line="240" w:lineRule="exact"/>
        <w:jc w:val="both"/>
        <w:rPr>
          <w:rFonts w:asciiTheme="minorHAnsi" w:hAnsiTheme="minorHAnsi"/>
          <w:color w:val="auto"/>
          <w:szCs w:val="24"/>
        </w:rPr>
      </w:pPr>
    </w:p>
    <w:sectPr w:rsidR="00745AEB" w:rsidRPr="00745AEB"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F2" w:rsidRDefault="00F104F2">
      <w:r>
        <w:separator/>
      </w:r>
    </w:p>
  </w:endnote>
  <w:endnote w:type="continuationSeparator" w:id="0">
    <w:p w:rsidR="00F104F2" w:rsidRDefault="00F10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17598" w:rsidRPr="00CD14ED" w:rsidRDefault="00926A60" w:rsidP="00F65ED5">
        <w:pPr>
          <w:pStyle w:val="Footer"/>
          <w:jc w:val="right"/>
          <w:rPr>
            <w:color w:val="auto"/>
          </w:rPr>
        </w:pPr>
        <w:r w:rsidRPr="00CD14ED">
          <w:rPr>
            <w:color w:val="auto"/>
          </w:rPr>
          <w:fldChar w:fldCharType="begin"/>
        </w:r>
        <w:r w:rsidR="00517598" w:rsidRPr="00CD14ED">
          <w:rPr>
            <w:color w:val="auto"/>
          </w:rPr>
          <w:instrText xml:space="preserve"> PAGE   \* MERGEFORMAT </w:instrText>
        </w:r>
        <w:r w:rsidRPr="00CD14ED">
          <w:rPr>
            <w:color w:val="auto"/>
          </w:rPr>
          <w:fldChar w:fldCharType="separate"/>
        </w:r>
        <w:r w:rsidR="007C0EA3">
          <w:rPr>
            <w:noProof/>
            <w:color w:val="auto"/>
          </w:rPr>
          <w:t>2</w:t>
        </w:r>
        <w:r w:rsidRPr="00CD14ED">
          <w:rPr>
            <w:color w:val="auto"/>
          </w:rPr>
          <w:fldChar w:fldCharType="end"/>
        </w:r>
        <w:r w:rsidR="00517598" w:rsidRPr="00CD14ED">
          <w:rPr>
            <w:color w:val="auto"/>
          </w:rPr>
          <w:t xml:space="preserve">                                                           PD200900622</w:t>
        </w:r>
      </w:p>
    </w:sdtContent>
  </w:sdt>
  <w:p w:rsidR="00517598" w:rsidRPr="00CD14ED" w:rsidRDefault="0051759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98" w:rsidRPr="00396779" w:rsidRDefault="00517598" w:rsidP="00EA52FE">
    <w:pPr>
      <w:pStyle w:val="Footer"/>
      <w:jc w:val="right"/>
      <w:rPr>
        <w:rFonts w:asciiTheme="minorHAnsi" w:hAnsiTheme="minorHAnsi"/>
        <w:color w:val="auto"/>
      </w:rPr>
    </w:pPr>
    <w:r>
      <w:t xml:space="preserve">                      </w:t>
    </w:r>
  </w:p>
  <w:p w:rsidR="00517598" w:rsidRPr="00247F5C" w:rsidRDefault="00517598"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F2" w:rsidRDefault="00F104F2">
      <w:r>
        <w:separator/>
      </w:r>
    </w:p>
  </w:footnote>
  <w:footnote w:type="continuationSeparator" w:id="0">
    <w:p w:rsidR="00F104F2" w:rsidRDefault="00F1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54828"/>
    <w:multiLevelType w:val="hybridMultilevel"/>
    <w:tmpl w:val="D5D047A4"/>
    <w:lvl w:ilvl="0" w:tplc="04090001">
      <w:start w:val="1"/>
      <w:numFmt w:val="bullet"/>
      <w:lvlText w:val=""/>
      <w:lvlJc w:val="left"/>
      <w:pPr>
        <w:ind w:left="929" w:hanging="360"/>
      </w:pPr>
      <w:rPr>
        <w:rFonts w:ascii="Symbol" w:hAnsi="Symbol"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9"/>
  </w:num>
  <w:num w:numId="16">
    <w:abstractNumId w:val="1"/>
  </w:num>
  <w:num w:numId="17">
    <w:abstractNumId w:val="16"/>
  </w:num>
  <w:num w:numId="18">
    <w:abstractNumId w:val="9"/>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numRestart w:val="eachSect"/>
    <w:footnote w:id="-1"/>
    <w:footnote w:id="0"/>
  </w:footnotePr>
  <w:endnotePr>
    <w:endnote w:id="-1"/>
    <w:endnote w:id="0"/>
  </w:endnotePr>
  <w:compat/>
  <w:rsids>
    <w:rsidRoot w:val="001C28D1"/>
    <w:rsid w:val="000059FA"/>
    <w:rsid w:val="00006186"/>
    <w:rsid w:val="00006F87"/>
    <w:rsid w:val="00007107"/>
    <w:rsid w:val="00007350"/>
    <w:rsid w:val="00010ABA"/>
    <w:rsid w:val="00012428"/>
    <w:rsid w:val="00013417"/>
    <w:rsid w:val="000145C2"/>
    <w:rsid w:val="0001473F"/>
    <w:rsid w:val="00014A9E"/>
    <w:rsid w:val="00021361"/>
    <w:rsid w:val="00021C1E"/>
    <w:rsid w:val="000227A0"/>
    <w:rsid w:val="00022CF3"/>
    <w:rsid w:val="00023913"/>
    <w:rsid w:val="00023D43"/>
    <w:rsid w:val="00024C4D"/>
    <w:rsid w:val="00030776"/>
    <w:rsid w:val="00031ADF"/>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2D5"/>
    <w:rsid w:val="00047CD8"/>
    <w:rsid w:val="00051622"/>
    <w:rsid w:val="00052234"/>
    <w:rsid w:val="00053D7C"/>
    <w:rsid w:val="000575C5"/>
    <w:rsid w:val="000577C9"/>
    <w:rsid w:val="0006431E"/>
    <w:rsid w:val="00064B8D"/>
    <w:rsid w:val="00065E21"/>
    <w:rsid w:val="00072433"/>
    <w:rsid w:val="00075702"/>
    <w:rsid w:val="000775C2"/>
    <w:rsid w:val="000806AD"/>
    <w:rsid w:val="00082482"/>
    <w:rsid w:val="00084CF2"/>
    <w:rsid w:val="00085D7B"/>
    <w:rsid w:val="0008708B"/>
    <w:rsid w:val="00092619"/>
    <w:rsid w:val="000926B0"/>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3C13"/>
    <w:rsid w:val="000C53F9"/>
    <w:rsid w:val="000C5813"/>
    <w:rsid w:val="000C61F8"/>
    <w:rsid w:val="000C75CF"/>
    <w:rsid w:val="000C7B83"/>
    <w:rsid w:val="000C7DE4"/>
    <w:rsid w:val="000D0013"/>
    <w:rsid w:val="000D15E7"/>
    <w:rsid w:val="000D1A24"/>
    <w:rsid w:val="000D21C7"/>
    <w:rsid w:val="000D248A"/>
    <w:rsid w:val="000D35D8"/>
    <w:rsid w:val="000D43F9"/>
    <w:rsid w:val="000D4717"/>
    <w:rsid w:val="000D6457"/>
    <w:rsid w:val="000D7D55"/>
    <w:rsid w:val="000E0993"/>
    <w:rsid w:val="000E37E0"/>
    <w:rsid w:val="000E3F20"/>
    <w:rsid w:val="000E457B"/>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09E4"/>
    <w:rsid w:val="001211AF"/>
    <w:rsid w:val="001219DF"/>
    <w:rsid w:val="0012220B"/>
    <w:rsid w:val="00122ABE"/>
    <w:rsid w:val="001231DC"/>
    <w:rsid w:val="0012489B"/>
    <w:rsid w:val="00125EB0"/>
    <w:rsid w:val="001272AE"/>
    <w:rsid w:val="001315DD"/>
    <w:rsid w:val="0013525F"/>
    <w:rsid w:val="00135385"/>
    <w:rsid w:val="001364D1"/>
    <w:rsid w:val="00142EBA"/>
    <w:rsid w:val="00143B79"/>
    <w:rsid w:val="00150B8A"/>
    <w:rsid w:val="00150DCB"/>
    <w:rsid w:val="00151912"/>
    <w:rsid w:val="00153740"/>
    <w:rsid w:val="00153984"/>
    <w:rsid w:val="001541C5"/>
    <w:rsid w:val="00155B7D"/>
    <w:rsid w:val="0015623F"/>
    <w:rsid w:val="00156585"/>
    <w:rsid w:val="00156BA9"/>
    <w:rsid w:val="00161761"/>
    <w:rsid w:val="00162C09"/>
    <w:rsid w:val="00163A99"/>
    <w:rsid w:val="00166182"/>
    <w:rsid w:val="001745DD"/>
    <w:rsid w:val="00177659"/>
    <w:rsid w:val="001779E5"/>
    <w:rsid w:val="00181240"/>
    <w:rsid w:val="00182A4C"/>
    <w:rsid w:val="00183F77"/>
    <w:rsid w:val="001844D8"/>
    <w:rsid w:val="00185DA8"/>
    <w:rsid w:val="00185ECB"/>
    <w:rsid w:val="001865E0"/>
    <w:rsid w:val="001870F0"/>
    <w:rsid w:val="00190E48"/>
    <w:rsid w:val="0019273F"/>
    <w:rsid w:val="001934A3"/>
    <w:rsid w:val="00193814"/>
    <w:rsid w:val="00193AD5"/>
    <w:rsid w:val="00194930"/>
    <w:rsid w:val="00197CDC"/>
    <w:rsid w:val="001A025E"/>
    <w:rsid w:val="001A08CD"/>
    <w:rsid w:val="001A0A1E"/>
    <w:rsid w:val="001A2182"/>
    <w:rsid w:val="001A3F7A"/>
    <w:rsid w:val="001A48C0"/>
    <w:rsid w:val="001A5320"/>
    <w:rsid w:val="001A5E62"/>
    <w:rsid w:val="001A6848"/>
    <w:rsid w:val="001A7538"/>
    <w:rsid w:val="001A759B"/>
    <w:rsid w:val="001B0B1A"/>
    <w:rsid w:val="001B4EC2"/>
    <w:rsid w:val="001B5B59"/>
    <w:rsid w:val="001B60E0"/>
    <w:rsid w:val="001B66B2"/>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1F37A6"/>
    <w:rsid w:val="001F599B"/>
    <w:rsid w:val="001F5F09"/>
    <w:rsid w:val="001F7378"/>
    <w:rsid w:val="00200AA0"/>
    <w:rsid w:val="00202325"/>
    <w:rsid w:val="00202736"/>
    <w:rsid w:val="00203652"/>
    <w:rsid w:val="00205B4F"/>
    <w:rsid w:val="002060B6"/>
    <w:rsid w:val="002066B5"/>
    <w:rsid w:val="002119B6"/>
    <w:rsid w:val="00212B40"/>
    <w:rsid w:val="00213BD0"/>
    <w:rsid w:val="00214DBA"/>
    <w:rsid w:val="002151AB"/>
    <w:rsid w:val="00215ED6"/>
    <w:rsid w:val="00216049"/>
    <w:rsid w:val="002163FA"/>
    <w:rsid w:val="00217606"/>
    <w:rsid w:val="00217C09"/>
    <w:rsid w:val="00220F5C"/>
    <w:rsid w:val="00221B9B"/>
    <w:rsid w:val="00225196"/>
    <w:rsid w:val="00225CB4"/>
    <w:rsid w:val="00226B1A"/>
    <w:rsid w:val="0023049F"/>
    <w:rsid w:val="002316F6"/>
    <w:rsid w:val="00232C9B"/>
    <w:rsid w:val="00232E73"/>
    <w:rsid w:val="00232F09"/>
    <w:rsid w:val="002335D5"/>
    <w:rsid w:val="002338CA"/>
    <w:rsid w:val="00233FE5"/>
    <w:rsid w:val="00234B3B"/>
    <w:rsid w:val="002374C9"/>
    <w:rsid w:val="0024174E"/>
    <w:rsid w:val="0024227D"/>
    <w:rsid w:val="00242D14"/>
    <w:rsid w:val="00246860"/>
    <w:rsid w:val="00246B9E"/>
    <w:rsid w:val="00246DFF"/>
    <w:rsid w:val="00246E89"/>
    <w:rsid w:val="0024705B"/>
    <w:rsid w:val="00247F5C"/>
    <w:rsid w:val="0025183C"/>
    <w:rsid w:val="002528EC"/>
    <w:rsid w:val="00255049"/>
    <w:rsid w:val="00257DE5"/>
    <w:rsid w:val="00260531"/>
    <w:rsid w:val="00260B9A"/>
    <w:rsid w:val="00260BAD"/>
    <w:rsid w:val="0026318D"/>
    <w:rsid w:val="00270864"/>
    <w:rsid w:val="002712F7"/>
    <w:rsid w:val="0027159C"/>
    <w:rsid w:val="002722F2"/>
    <w:rsid w:val="00274549"/>
    <w:rsid w:val="00274E46"/>
    <w:rsid w:val="002769AF"/>
    <w:rsid w:val="00276C86"/>
    <w:rsid w:val="00277217"/>
    <w:rsid w:val="002810A4"/>
    <w:rsid w:val="00284844"/>
    <w:rsid w:val="00284A26"/>
    <w:rsid w:val="002867C9"/>
    <w:rsid w:val="00287006"/>
    <w:rsid w:val="002907F5"/>
    <w:rsid w:val="002925FE"/>
    <w:rsid w:val="00292AB2"/>
    <w:rsid w:val="00293FE8"/>
    <w:rsid w:val="00294437"/>
    <w:rsid w:val="00297A45"/>
    <w:rsid w:val="002A15C8"/>
    <w:rsid w:val="002A233F"/>
    <w:rsid w:val="002A3237"/>
    <w:rsid w:val="002A58B7"/>
    <w:rsid w:val="002A5943"/>
    <w:rsid w:val="002A5C3C"/>
    <w:rsid w:val="002A685E"/>
    <w:rsid w:val="002A72C7"/>
    <w:rsid w:val="002B03B2"/>
    <w:rsid w:val="002B0749"/>
    <w:rsid w:val="002B123A"/>
    <w:rsid w:val="002B2645"/>
    <w:rsid w:val="002B4E22"/>
    <w:rsid w:val="002B6FA0"/>
    <w:rsid w:val="002C3B6D"/>
    <w:rsid w:val="002C4835"/>
    <w:rsid w:val="002C5D9D"/>
    <w:rsid w:val="002C5F10"/>
    <w:rsid w:val="002C6E5B"/>
    <w:rsid w:val="002C71E0"/>
    <w:rsid w:val="002C7847"/>
    <w:rsid w:val="002D18B4"/>
    <w:rsid w:val="002D231A"/>
    <w:rsid w:val="002D7787"/>
    <w:rsid w:val="002E1877"/>
    <w:rsid w:val="002E1C31"/>
    <w:rsid w:val="002E2E0F"/>
    <w:rsid w:val="002E333A"/>
    <w:rsid w:val="002E3474"/>
    <w:rsid w:val="002E400C"/>
    <w:rsid w:val="002E49C3"/>
    <w:rsid w:val="002E5114"/>
    <w:rsid w:val="002E5988"/>
    <w:rsid w:val="002E66B0"/>
    <w:rsid w:val="002E7570"/>
    <w:rsid w:val="002E764B"/>
    <w:rsid w:val="002F0E28"/>
    <w:rsid w:val="002F287E"/>
    <w:rsid w:val="002F2981"/>
    <w:rsid w:val="002F2D63"/>
    <w:rsid w:val="002F6AD8"/>
    <w:rsid w:val="002F7F81"/>
    <w:rsid w:val="00300A36"/>
    <w:rsid w:val="0030678B"/>
    <w:rsid w:val="00310CD7"/>
    <w:rsid w:val="0031472C"/>
    <w:rsid w:val="0032136A"/>
    <w:rsid w:val="00323E70"/>
    <w:rsid w:val="003258A7"/>
    <w:rsid w:val="00325BA2"/>
    <w:rsid w:val="00326B1C"/>
    <w:rsid w:val="00326C08"/>
    <w:rsid w:val="00326F7F"/>
    <w:rsid w:val="003320E8"/>
    <w:rsid w:val="003328FD"/>
    <w:rsid w:val="0033334F"/>
    <w:rsid w:val="00334AC5"/>
    <w:rsid w:val="0033555E"/>
    <w:rsid w:val="00335A7B"/>
    <w:rsid w:val="00336805"/>
    <w:rsid w:val="00337351"/>
    <w:rsid w:val="00341A54"/>
    <w:rsid w:val="0034669F"/>
    <w:rsid w:val="00351498"/>
    <w:rsid w:val="00352B22"/>
    <w:rsid w:val="00352CBF"/>
    <w:rsid w:val="00354547"/>
    <w:rsid w:val="003567DE"/>
    <w:rsid w:val="003574F3"/>
    <w:rsid w:val="00357DE9"/>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1D60"/>
    <w:rsid w:val="00393651"/>
    <w:rsid w:val="00395651"/>
    <w:rsid w:val="00395E12"/>
    <w:rsid w:val="00396779"/>
    <w:rsid w:val="00397DB7"/>
    <w:rsid w:val="003A27B2"/>
    <w:rsid w:val="003A40B4"/>
    <w:rsid w:val="003A41BA"/>
    <w:rsid w:val="003A43F9"/>
    <w:rsid w:val="003A5491"/>
    <w:rsid w:val="003A6A99"/>
    <w:rsid w:val="003A7FF8"/>
    <w:rsid w:val="003B17AC"/>
    <w:rsid w:val="003B227A"/>
    <w:rsid w:val="003B2CED"/>
    <w:rsid w:val="003B5854"/>
    <w:rsid w:val="003B6764"/>
    <w:rsid w:val="003C5046"/>
    <w:rsid w:val="003C6068"/>
    <w:rsid w:val="003D2BA3"/>
    <w:rsid w:val="003D3C22"/>
    <w:rsid w:val="003D56A0"/>
    <w:rsid w:val="003D7089"/>
    <w:rsid w:val="003D7DDB"/>
    <w:rsid w:val="003E02C7"/>
    <w:rsid w:val="003E0543"/>
    <w:rsid w:val="003E061D"/>
    <w:rsid w:val="003E0B5A"/>
    <w:rsid w:val="003E0DB4"/>
    <w:rsid w:val="003E31E3"/>
    <w:rsid w:val="003E46D1"/>
    <w:rsid w:val="003E6214"/>
    <w:rsid w:val="003F070E"/>
    <w:rsid w:val="003F1206"/>
    <w:rsid w:val="003F58B0"/>
    <w:rsid w:val="003F776F"/>
    <w:rsid w:val="004007E9"/>
    <w:rsid w:val="00400810"/>
    <w:rsid w:val="0040093A"/>
    <w:rsid w:val="00401825"/>
    <w:rsid w:val="00401BBC"/>
    <w:rsid w:val="00403BFB"/>
    <w:rsid w:val="00404B45"/>
    <w:rsid w:val="004067EE"/>
    <w:rsid w:val="00406CC5"/>
    <w:rsid w:val="004074A4"/>
    <w:rsid w:val="004101B2"/>
    <w:rsid w:val="004123D7"/>
    <w:rsid w:val="00412658"/>
    <w:rsid w:val="004129DA"/>
    <w:rsid w:val="00415EA4"/>
    <w:rsid w:val="0041604B"/>
    <w:rsid w:val="004172DB"/>
    <w:rsid w:val="00417B14"/>
    <w:rsid w:val="00421485"/>
    <w:rsid w:val="00422500"/>
    <w:rsid w:val="00422B75"/>
    <w:rsid w:val="00424612"/>
    <w:rsid w:val="00425A6A"/>
    <w:rsid w:val="00427F54"/>
    <w:rsid w:val="00432C57"/>
    <w:rsid w:val="00433F36"/>
    <w:rsid w:val="0043503A"/>
    <w:rsid w:val="00437D77"/>
    <w:rsid w:val="004435BE"/>
    <w:rsid w:val="0044384F"/>
    <w:rsid w:val="0044411E"/>
    <w:rsid w:val="00444F80"/>
    <w:rsid w:val="00446018"/>
    <w:rsid w:val="0044759E"/>
    <w:rsid w:val="0045027B"/>
    <w:rsid w:val="00453329"/>
    <w:rsid w:val="004543BC"/>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566B"/>
    <w:rsid w:val="004B6AF3"/>
    <w:rsid w:val="004B715E"/>
    <w:rsid w:val="004B7169"/>
    <w:rsid w:val="004B79C9"/>
    <w:rsid w:val="004C0776"/>
    <w:rsid w:val="004C5E33"/>
    <w:rsid w:val="004C60A3"/>
    <w:rsid w:val="004C6CDA"/>
    <w:rsid w:val="004D10D4"/>
    <w:rsid w:val="004D16BD"/>
    <w:rsid w:val="004D2AAB"/>
    <w:rsid w:val="004D6F2B"/>
    <w:rsid w:val="004E0248"/>
    <w:rsid w:val="004E21A3"/>
    <w:rsid w:val="004E32EA"/>
    <w:rsid w:val="004E6866"/>
    <w:rsid w:val="004F289F"/>
    <w:rsid w:val="004F3222"/>
    <w:rsid w:val="004F3BFA"/>
    <w:rsid w:val="004F4BCD"/>
    <w:rsid w:val="005000AB"/>
    <w:rsid w:val="00500F3C"/>
    <w:rsid w:val="005025EE"/>
    <w:rsid w:val="00505524"/>
    <w:rsid w:val="00506688"/>
    <w:rsid w:val="005103BD"/>
    <w:rsid w:val="00510588"/>
    <w:rsid w:val="0051146C"/>
    <w:rsid w:val="0051220B"/>
    <w:rsid w:val="00512484"/>
    <w:rsid w:val="00514449"/>
    <w:rsid w:val="00515419"/>
    <w:rsid w:val="005157BD"/>
    <w:rsid w:val="00517598"/>
    <w:rsid w:val="005214A3"/>
    <w:rsid w:val="005222E7"/>
    <w:rsid w:val="00523A8B"/>
    <w:rsid w:val="00523E04"/>
    <w:rsid w:val="00525003"/>
    <w:rsid w:val="0052590B"/>
    <w:rsid w:val="00526591"/>
    <w:rsid w:val="00527178"/>
    <w:rsid w:val="005278CB"/>
    <w:rsid w:val="0053151A"/>
    <w:rsid w:val="00534D42"/>
    <w:rsid w:val="005350A5"/>
    <w:rsid w:val="00536379"/>
    <w:rsid w:val="00537238"/>
    <w:rsid w:val="005400C5"/>
    <w:rsid w:val="00540BE0"/>
    <w:rsid w:val="00540BEF"/>
    <w:rsid w:val="00542C9A"/>
    <w:rsid w:val="005436C2"/>
    <w:rsid w:val="005442D4"/>
    <w:rsid w:val="005446A6"/>
    <w:rsid w:val="0054586A"/>
    <w:rsid w:val="0054631F"/>
    <w:rsid w:val="00546C24"/>
    <w:rsid w:val="0055288D"/>
    <w:rsid w:val="00552B44"/>
    <w:rsid w:val="00555259"/>
    <w:rsid w:val="005569EF"/>
    <w:rsid w:val="005604E0"/>
    <w:rsid w:val="00560D57"/>
    <w:rsid w:val="00562A94"/>
    <w:rsid w:val="00570754"/>
    <w:rsid w:val="005709F7"/>
    <w:rsid w:val="005710A9"/>
    <w:rsid w:val="00571D1B"/>
    <w:rsid w:val="005738F5"/>
    <w:rsid w:val="00573D34"/>
    <w:rsid w:val="0058039C"/>
    <w:rsid w:val="00580A63"/>
    <w:rsid w:val="00583379"/>
    <w:rsid w:val="0058417C"/>
    <w:rsid w:val="00586EC6"/>
    <w:rsid w:val="00587DDE"/>
    <w:rsid w:val="00593043"/>
    <w:rsid w:val="00595BF0"/>
    <w:rsid w:val="005A0B1D"/>
    <w:rsid w:val="005A1846"/>
    <w:rsid w:val="005A258C"/>
    <w:rsid w:val="005A353E"/>
    <w:rsid w:val="005A3560"/>
    <w:rsid w:val="005A464E"/>
    <w:rsid w:val="005A62FC"/>
    <w:rsid w:val="005A6C99"/>
    <w:rsid w:val="005A7D5D"/>
    <w:rsid w:val="005B011A"/>
    <w:rsid w:val="005B1D8F"/>
    <w:rsid w:val="005B1E94"/>
    <w:rsid w:val="005B5B3D"/>
    <w:rsid w:val="005B64CF"/>
    <w:rsid w:val="005B7A16"/>
    <w:rsid w:val="005C16F3"/>
    <w:rsid w:val="005C3758"/>
    <w:rsid w:val="005C4D72"/>
    <w:rsid w:val="005C70F6"/>
    <w:rsid w:val="005D5E91"/>
    <w:rsid w:val="005D67EF"/>
    <w:rsid w:val="005E3064"/>
    <w:rsid w:val="005E72B2"/>
    <w:rsid w:val="005F1115"/>
    <w:rsid w:val="005F1AB6"/>
    <w:rsid w:val="005F27F2"/>
    <w:rsid w:val="005F3AFE"/>
    <w:rsid w:val="005F424D"/>
    <w:rsid w:val="005F6523"/>
    <w:rsid w:val="005F6B6D"/>
    <w:rsid w:val="00605AAB"/>
    <w:rsid w:val="00606BEB"/>
    <w:rsid w:val="0061014A"/>
    <w:rsid w:val="0061054B"/>
    <w:rsid w:val="00613E26"/>
    <w:rsid w:val="00615641"/>
    <w:rsid w:val="00616959"/>
    <w:rsid w:val="006211D0"/>
    <w:rsid w:val="00624D0C"/>
    <w:rsid w:val="006274B4"/>
    <w:rsid w:val="006307BA"/>
    <w:rsid w:val="006315BA"/>
    <w:rsid w:val="00631993"/>
    <w:rsid w:val="00632990"/>
    <w:rsid w:val="00634C4A"/>
    <w:rsid w:val="0063532E"/>
    <w:rsid w:val="006361B9"/>
    <w:rsid w:val="00637BDC"/>
    <w:rsid w:val="006415F5"/>
    <w:rsid w:val="006418C9"/>
    <w:rsid w:val="0064225F"/>
    <w:rsid w:val="00642BD6"/>
    <w:rsid w:val="00645046"/>
    <w:rsid w:val="0064527A"/>
    <w:rsid w:val="00645EA2"/>
    <w:rsid w:val="00651E6D"/>
    <w:rsid w:val="00653349"/>
    <w:rsid w:val="00653D2D"/>
    <w:rsid w:val="006573F2"/>
    <w:rsid w:val="0066242D"/>
    <w:rsid w:val="00662AD0"/>
    <w:rsid w:val="00662F08"/>
    <w:rsid w:val="00663589"/>
    <w:rsid w:val="00665D75"/>
    <w:rsid w:val="006708E3"/>
    <w:rsid w:val="00670DDC"/>
    <w:rsid w:val="00671389"/>
    <w:rsid w:val="00671EB4"/>
    <w:rsid w:val="0067443B"/>
    <w:rsid w:val="0067498A"/>
    <w:rsid w:val="00684E2B"/>
    <w:rsid w:val="00690569"/>
    <w:rsid w:val="0069098C"/>
    <w:rsid w:val="00690FDA"/>
    <w:rsid w:val="00691E61"/>
    <w:rsid w:val="00693C5E"/>
    <w:rsid w:val="00694EEA"/>
    <w:rsid w:val="006955B4"/>
    <w:rsid w:val="00696476"/>
    <w:rsid w:val="00696C74"/>
    <w:rsid w:val="006A10FA"/>
    <w:rsid w:val="006A2EFA"/>
    <w:rsid w:val="006A40E6"/>
    <w:rsid w:val="006A5B9B"/>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C6E6B"/>
    <w:rsid w:val="006D2000"/>
    <w:rsid w:val="006D2D39"/>
    <w:rsid w:val="006D4250"/>
    <w:rsid w:val="006D4E0E"/>
    <w:rsid w:val="006D5A9E"/>
    <w:rsid w:val="006D5CE2"/>
    <w:rsid w:val="006E06D1"/>
    <w:rsid w:val="006E1313"/>
    <w:rsid w:val="006E2DC8"/>
    <w:rsid w:val="006E7356"/>
    <w:rsid w:val="006E77C8"/>
    <w:rsid w:val="006F149D"/>
    <w:rsid w:val="006F1A46"/>
    <w:rsid w:val="006F488E"/>
    <w:rsid w:val="006F4F06"/>
    <w:rsid w:val="006F5A4E"/>
    <w:rsid w:val="006F6005"/>
    <w:rsid w:val="00703B6C"/>
    <w:rsid w:val="00705C40"/>
    <w:rsid w:val="00706482"/>
    <w:rsid w:val="00706BEF"/>
    <w:rsid w:val="00707ECE"/>
    <w:rsid w:val="00710CE8"/>
    <w:rsid w:val="00711387"/>
    <w:rsid w:val="007116BC"/>
    <w:rsid w:val="00711CA6"/>
    <w:rsid w:val="00711EB9"/>
    <w:rsid w:val="007165CE"/>
    <w:rsid w:val="00720968"/>
    <w:rsid w:val="00721705"/>
    <w:rsid w:val="00721B7A"/>
    <w:rsid w:val="00721D12"/>
    <w:rsid w:val="00721F8B"/>
    <w:rsid w:val="007237CE"/>
    <w:rsid w:val="00724688"/>
    <w:rsid w:val="0073062D"/>
    <w:rsid w:val="0073254D"/>
    <w:rsid w:val="00736A49"/>
    <w:rsid w:val="007419A1"/>
    <w:rsid w:val="00743B71"/>
    <w:rsid w:val="00743C2D"/>
    <w:rsid w:val="00743E36"/>
    <w:rsid w:val="00743F05"/>
    <w:rsid w:val="007446F7"/>
    <w:rsid w:val="00744EBB"/>
    <w:rsid w:val="007456C1"/>
    <w:rsid w:val="00745AEB"/>
    <w:rsid w:val="00745B0A"/>
    <w:rsid w:val="00745DBE"/>
    <w:rsid w:val="007468AC"/>
    <w:rsid w:val="00746AE2"/>
    <w:rsid w:val="00750C82"/>
    <w:rsid w:val="0076100C"/>
    <w:rsid w:val="007612A5"/>
    <w:rsid w:val="007628FF"/>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6045"/>
    <w:rsid w:val="007968AC"/>
    <w:rsid w:val="007969AB"/>
    <w:rsid w:val="007A0B39"/>
    <w:rsid w:val="007A14A4"/>
    <w:rsid w:val="007A168F"/>
    <w:rsid w:val="007A2346"/>
    <w:rsid w:val="007A28E4"/>
    <w:rsid w:val="007A3BB3"/>
    <w:rsid w:val="007A3F91"/>
    <w:rsid w:val="007A5AD1"/>
    <w:rsid w:val="007A5B7B"/>
    <w:rsid w:val="007B0A06"/>
    <w:rsid w:val="007B4DEA"/>
    <w:rsid w:val="007B5C5C"/>
    <w:rsid w:val="007B7B37"/>
    <w:rsid w:val="007B7C41"/>
    <w:rsid w:val="007C0EA3"/>
    <w:rsid w:val="007C11E9"/>
    <w:rsid w:val="007C3A35"/>
    <w:rsid w:val="007C433E"/>
    <w:rsid w:val="007C4452"/>
    <w:rsid w:val="007C4B3C"/>
    <w:rsid w:val="007C4DB1"/>
    <w:rsid w:val="007C6046"/>
    <w:rsid w:val="007C6F0C"/>
    <w:rsid w:val="007D01A3"/>
    <w:rsid w:val="007D0292"/>
    <w:rsid w:val="007D1D97"/>
    <w:rsid w:val="007D21AC"/>
    <w:rsid w:val="007D24B0"/>
    <w:rsid w:val="007D3882"/>
    <w:rsid w:val="007D568A"/>
    <w:rsid w:val="007D574E"/>
    <w:rsid w:val="007D57C0"/>
    <w:rsid w:val="007D5E66"/>
    <w:rsid w:val="007D6BFE"/>
    <w:rsid w:val="007E0FBF"/>
    <w:rsid w:val="007E2046"/>
    <w:rsid w:val="007E3883"/>
    <w:rsid w:val="007E4FBB"/>
    <w:rsid w:val="007E55BF"/>
    <w:rsid w:val="007E71B1"/>
    <w:rsid w:val="007E7B4E"/>
    <w:rsid w:val="007F0AB7"/>
    <w:rsid w:val="007F0CE2"/>
    <w:rsid w:val="007F0EFF"/>
    <w:rsid w:val="007F1375"/>
    <w:rsid w:val="007F33E0"/>
    <w:rsid w:val="0080064F"/>
    <w:rsid w:val="00803850"/>
    <w:rsid w:val="008039E8"/>
    <w:rsid w:val="00804385"/>
    <w:rsid w:val="00805AFD"/>
    <w:rsid w:val="008078D8"/>
    <w:rsid w:val="00811D5B"/>
    <w:rsid w:val="00813C51"/>
    <w:rsid w:val="0081771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45CAB"/>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84CA5"/>
    <w:rsid w:val="0089038F"/>
    <w:rsid w:val="00892B90"/>
    <w:rsid w:val="00896535"/>
    <w:rsid w:val="00896683"/>
    <w:rsid w:val="0089750B"/>
    <w:rsid w:val="00897589"/>
    <w:rsid w:val="008A0D4F"/>
    <w:rsid w:val="008A5C34"/>
    <w:rsid w:val="008A63A9"/>
    <w:rsid w:val="008A7073"/>
    <w:rsid w:val="008A7F7E"/>
    <w:rsid w:val="008B04DB"/>
    <w:rsid w:val="008B09B4"/>
    <w:rsid w:val="008B2179"/>
    <w:rsid w:val="008B27FD"/>
    <w:rsid w:val="008B3AF2"/>
    <w:rsid w:val="008B446D"/>
    <w:rsid w:val="008B515D"/>
    <w:rsid w:val="008B5D31"/>
    <w:rsid w:val="008B6705"/>
    <w:rsid w:val="008C22F3"/>
    <w:rsid w:val="008C32D2"/>
    <w:rsid w:val="008D29E7"/>
    <w:rsid w:val="008D795D"/>
    <w:rsid w:val="008D7B07"/>
    <w:rsid w:val="008E1E94"/>
    <w:rsid w:val="008E2D99"/>
    <w:rsid w:val="008E38B0"/>
    <w:rsid w:val="008E47CF"/>
    <w:rsid w:val="008E4A60"/>
    <w:rsid w:val="008E744D"/>
    <w:rsid w:val="008F1E08"/>
    <w:rsid w:val="00900D8F"/>
    <w:rsid w:val="009014E3"/>
    <w:rsid w:val="009026E8"/>
    <w:rsid w:val="00902FDD"/>
    <w:rsid w:val="00905EEF"/>
    <w:rsid w:val="00906EB7"/>
    <w:rsid w:val="009102BF"/>
    <w:rsid w:val="00911490"/>
    <w:rsid w:val="009115F2"/>
    <w:rsid w:val="00914ADB"/>
    <w:rsid w:val="009223E9"/>
    <w:rsid w:val="00923B25"/>
    <w:rsid w:val="0092402E"/>
    <w:rsid w:val="009259BA"/>
    <w:rsid w:val="00925BD4"/>
    <w:rsid w:val="00926A60"/>
    <w:rsid w:val="00926FCB"/>
    <w:rsid w:val="009303BB"/>
    <w:rsid w:val="00931FEA"/>
    <w:rsid w:val="0093311A"/>
    <w:rsid w:val="00935CEA"/>
    <w:rsid w:val="00941A4C"/>
    <w:rsid w:val="00942645"/>
    <w:rsid w:val="009461E6"/>
    <w:rsid w:val="00950A3A"/>
    <w:rsid w:val="0095340A"/>
    <w:rsid w:val="00954581"/>
    <w:rsid w:val="0095466C"/>
    <w:rsid w:val="00954E5B"/>
    <w:rsid w:val="009576BC"/>
    <w:rsid w:val="00960357"/>
    <w:rsid w:val="0096168C"/>
    <w:rsid w:val="00961840"/>
    <w:rsid w:val="009625E3"/>
    <w:rsid w:val="00962F2D"/>
    <w:rsid w:val="009672CD"/>
    <w:rsid w:val="00972996"/>
    <w:rsid w:val="009732B8"/>
    <w:rsid w:val="009759C2"/>
    <w:rsid w:val="00975C72"/>
    <w:rsid w:val="00976869"/>
    <w:rsid w:val="00977740"/>
    <w:rsid w:val="00977ACA"/>
    <w:rsid w:val="00977CB4"/>
    <w:rsid w:val="009809B8"/>
    <w:rsid w:val="009818AF"/>
    <w:rsid w:val="0098222D"/>
    <w:rsid w:val="00985099"/>
    <w:rsid w:val="00994118"/>
    <w:rsid w:val="0099421F"/>
    <w:rsid w:val="009955C0"/>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4229"/>
    <w:rsid w:val="009E09D0"/>
    <w:rsid w:val="009E1283"/>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6730"/>
    <w:rsid w:val="00A41468"/>
    <w:rsid w:val="00A414A9"/>
    <w:rsid w:val="00A44141"/>
    <w:rsid w:val="00A44CCA"/>
    <w:rsid w:val="00A44D75"/>
    <w:rsid w:val="00A47CF1"/>
    <w:rsid w:val="00A50418"/>
    <w:rsid w:val="00A543C4"/>
    <w:rsid w:val="00A54A47"/>
    <w:rsid w:val="00A550B3"/>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49AB"/>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108D"/>
    <w:rsid w:val="00AC439D"/>
    <w:rsid w:val="00AC713F"/>
    <w:rsid w:val="00AC7329"/>
    <w:rsid w:val="00AD067E"/>
    <w:rsid w:val="00AD2801"/>
    <w:rsid w:val="00AD3496"/>
    <w:rsid w:val="00AD5771"/>
    <w:rsid w:val="00AD6870"/>
    <w:rsid w:val="00AD68C5"/>
    <w:rsid w:val="00AD7F8F"/>
    <w:rsid w:val="00AE1273"/>
    <w:rsid w:val="00AE18C5"/>
    <w:rsid w:val="00AE2D29"/>
    <w:rsid w:val="00AE4624"/>
    <w:rsid w:val="00AE5E14"/>
    <w:rsid w:val="00AE6115"/>
    <w:rsid w:val="00AE6255"/>
    <w:rsid w:val="00AE625B"/>
    <w:rsid w:val="00AF1103"/>
    <w:rsid w:val="00AF1668"/>
    <w:rsid w:val="00AF4FA5"/>
    <w:rsid w:val="00B0185C"/>
    <w:rsid w:val="00B04562"/>
    <w:rsid w:val="00B07955"/>
    <w:rsid w:val="00B140B8"/>
    <w:rsid w:val="00B14FAA"/>
    <w:rsid w:val="00B15BED"/>
    <w:rsid w:val="00B15D30"/>
    <w:rsid w:val="00B20624"/>
    <w:rsid w:val="00B23436"/>
    <w:rsid w:val="00B237F1"/>
    <w:rsid w:val="00B24F33"/>
    <w:rsid w:val="00B26354"/>
    <w:rsid w:val="00B26CA0"/>
    <w:rsid w:val="00B32179"/>
    <w:rsid w:val="00B33007"/>
    <w:rsid w:val="00B33047"/>
    <w:rsid w:val="00B331A9"/>
    <w:rsid w:val="00B33498"/>
    <w:rsid w:val="00B3604A"/>
    <w:rsid w:val="00B36569"/>
    <w:rsid w:val="00B40A05"/>
    <w:rsid w:val="00B40A3E"/>
    <w:rsid w:val="00B412AF"/>
    <w:rsid w:val="00B427BB"/>
    <w:rsid w:val="00B449EE"/>
    <w:rsid w:val="00B454AE"/>
    <w:rsid w:val="00B50227"/>
    <w:rsid w:val="00B50510"/>
    <w:rsid w:val="00B522CD"/>
    <w:rsid w:val="00B55143"/>
    <w:rsid w:val="00B555C8"/>
    <w:rsid w:val="00B55917"/>
    <w:rsid w:val="00B643A6"/>
    <w:rsid w:val="00B64DD6"/>
    <w:rsid w:val="00B6710C"/>
    <w:rsid w:val="00B678B4"/>
    <w:rsid w:val="00B67E84"/>
    <w:rsid w:val="00B72076"/>
    <w:rsid w:val="00B72303"/>
    <w:rsid w:val="00B72C72"/>
    <w:rsid w:val="00B731E4"/>
    <w:rsid w:val="00B76796"/>
    <w:rsid w:val="00B82277"/>
    <w:rsid w:val="00B8478F"/>
    <w:rsid w:val="00B91676"/>
    <w:rsid w:val="00B933DE"/>
    <w:rsid w:val="00B95833"/>
    <w:rsid w:val="00BA1824"/>
    <w:rsid w:val="00BA2D98"/>
    <w:rsid w:val="00BA2F0C"/>
    <w:rsid w:val="00BA30D1"/>
    <w:rsid w:val="00BA30E1"/>
    <w:rsid w:val="00BA4609"/>
    <w:rsid w:val="00BA5BE2"/>
    <w:rsid w:val="00BA7F46"/>
    <w:rsid w:val="00BB0A0A"/>
    <w:rsid w:val="00BB133C"/>
    <w:rsid w:val="00BB1F04"/>
    <w:rsid w:val="00BB3076"/>
    <w:rsid w:val="00BB3B96"/>
    <w:rsid w:val="00BB45B5"/>
    <w:rsid w:val="00BB6064"/>
    <w:rsid w:val="00BB7012"/>
    <w:rsid w:val="00BC09D1"/>
    <w:rsid w:val="00BC1CF3"/>
    <w:rsid w:val="00BC3573"/>
    <w:rsid w:val="00BC7F82"/>
    <w:rsid w:val="00BD40AB"/>
    <w:rsid w:val="00BD6297"/>
    <w:rsid w:val="00BD6806"/>
    <w:rsid w:val="00BD7433"/>
    <w:rsid w:val="00BD7831"/>
    <w:rsid w:val="00BD7C10"/>
    <w:rsid w:val="00BE046F"/>
    <w:rsid w:val="00BE0DEB"/>
    <w:rsid w:val="00BE1C7E"/>
    <w:rsid w:val="00BE2FC1"/>
    <w:rsid w:val="00BE3142"/>
    <w:rsid w:val="00BE4039"/>
    <w:rsid w:val="00BE6365"/>
    <w:rsid w:val="00BE66C4"/>
    <w:rsid w:val="00BE6A47"/>
    <w:rsid w:val="00BF0B7F"/>
    <w:rsid w:val="00BF2988"/>
    <w:rsid w:val="00BF4720"/>
    <w:rsid w:val="00BF4F49"/>
    <w:rsid w:val="00BF6759"/>
    <w:rsid w:val="00BF7B4F"/>
    <w:rsid w:val="00BF7B63"/>
    <w:rsid w:val="00C038EC"/>
    <w:rsid w:val="00C05C6D"/>
    <w:rsid w:val="00C1122B"/>
    <w:rsid w:val="00C13B34"/>
    <w:rsid w:val="00C13F26"/>
    <w:rsid w:val="00C1474E"/>
    <w:rsid w:val="00C14C37"/>
    <w:rsid w:val="00C16E9F"/>
    <w:rsid w:val="00C1713D"/>
    <w:rsid w:val="00C17523"/>
    <w:rsid w:val="00C177F1"/>
    <w:rsid w:val="00C17EE6"/>
    <w:rsid w:val="00C2272E"/>
    <w:rsid w:val="00C22F3A"/>
    <w:rsid w:val="00C23311"/>
    <w:rsid w:val="00C24B04"/>
    <w:rsid w:val="00C2578E"/>
    <w:rsid w:val="00C25978"/>
    <w:rsid w:val="00C261C6"/>
    <w:rsid w:val="00C26621"/>
    <w:rsid w:val="00C26E7C"/>
    <w:rsid w:val="00C276CD"/>
    <w:rsid w:val="00C27B7F"/>
    <w:rsid w:val="00C30A97"/>
    <w:rsid w:val="00C31DDC"/>
    <w:rsid w:val="00C34326"/>
    <w:rsid w:val="00C36201"/>
    <w:rsid w:val="00C368E8"/>
    <w:rsid w:val="00C36C3D"/>
    <w:rsid w:val="00C372C7"/>
    <w:rsid w:val="00C42443"/>
    <w:rsid w:val="00C42CBA"/>
    <w:rsid w:val="00C4338C"/>
    <w:rsid w:val="00C472C7"/>
    <w:rsid w:val="00C5019E"/>
    <w:rsid w:val="00C5043B"/>
    <w:rsid w:val="00C5377C"/>
    <w:rsid w:val="00C53E8A"/>
    <w:rsid w:val="00C54DF3"/>
    <w:rsid w:val="00C560A7"/>
    <w:rsid w:val="00C56FC8"/>
    <w:rsid w:val="00C60F23"/>
    <w:rsid w:val="00C61420"/>
    <w:rsid w:val="00C62230"/>
    <w:rsid w:val="00C62EB2"/>
    <w:rsid w:val="00C63048"/>
    <w:rsid w:val="00C64523"/>
    <w:rsid w:val="00C71BEC"/>
    <w:rsid w:val="00C74D3A"/>
    <w:rsid w:val="00C75F3D"/>
    <w:rsid w:val="00C80511"/>
    <w:rsid w:val="00C826F5"/>
    <w:rsid w:val="00C83740"/>
    <w:rsid w:val="00C84AD1"/>
    <w:rsid w:val="00C85579"/>
    <w:rsid w:val="00C863E5"/>
    <w:rsid w:val="00C87BE6"/>
    <w:rsid w:val="00C87F76"/>
    <w:rsid w:val="00C931FC"/>
    <w:rsid w:val="00C932C5"/>
    <w:rsid w:val="00C95A72"/>
    <w:rsid w:val="00C9650E"/>
    <w:rsid w:val="00C97A71"/>
    <w:rsid w:val="00CA068D"/>
    <w:rsid w:val="00CA1228"/>
    <w:rsid w:val="00CA1C73"/>
    <w:rsid w:val="00CA282D"/>
    <w:rsid w:val="00CA4670"/>
    <w:rsid w:val="00CA6B1A"/>
    <w:rsid w:val="00CB20DC"/>
    <w:rsid w:val="00CB23DC"/>
    <w:rsid w:val="00CB2487"/>
    <w:rsid w:val="00CB28E2"/>
    <w:rsid w:val="00CB2F20"/>
    <w:rsid w:val="00CB69D2"/>
    <w:rsid w:val="00CB758D"/>
    <w:rsid w:val="00CB7A3E"/>
    <w:rsid w:val="00CB7BCF"/>
    <w:rsid w:val="00CB7FF7"/>
    <w:rsid w:val="00CC0D0E"/>
    <w:rsid w:val="00CC1253"/>
    <w:rsid w:val="00CC19B3"/>
    <w:rsid w:val="00CC2044"/>
    <w:rsid w:val="00CC39D2"/>
    <w:rsid w:val="00CC69EC"/>
    <w:rsid w:val="00CD14ED"/>
    <w:rsid w:val="00CD15BE"/>
    <w:rsid w:val="00CD1EF2"/>
    <w:rsid w:val="00CD32BD"/>
    <w:rsid w:val="00CD34C7"/>
    <w:rsid w:val="00CD5653"/>
    <w:rsid w:val="00CD5BD2"/>
    <w:rsid w:val="00CD5CEA"/>
    <w:rsid w:val="00CD5E6D"/>
    <w:rsid w:val="00CD63C8"/>
    <w:rsid w:val="00CE069E"/>
    <w:rsid w:val="00CF158D"/>
    <w:rsid w:val="00CF1E4A"/>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4C9"/>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8AB"/>
    <w:rsid w:val="00D67FD7"/>
    <w:rsid w:val="00D72410"/>
    <w:rsid w:val="00D7408A"/>
    <w:rsid w:val="00D74261"/>
    <w:rsid w:val="00D7441B"/>
    <w:rsid w:val="00D75589"/>
    <w:rsid w:val="00D76AB2"/>
    <w:rsid w:val="00D80490"/>
    <w:rsid w:val="00D829AD"/>
    <w:rsid w:val="00D82EE2"/>
    <w:rsid w:val="00D8519F"/>
    <w:rsid w:val="00D8545C"/>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1970"/>
    <w:rsid w:val="00DB2AAD"/>
    <w:rsid w:val="00DB5941"/>
    <w:rsid w:val="00DB626D"/>
    <w:rsid w:val="00DB6365"/>
    <w:rsid w:val="00DC0BF1"/>
    <w:rsid w:val="00DC41C3"/>
    <w:rsid w:val="00DC4FA4"/>
    <w:rsid w:val="00DD286D"/>
    <w:rsid w:val="00DD2CAF"/>
    <w:rsid w:val="00DD3593"/>
    <w:rsid w:val="00DD64E0"/>
    <w:rsid w:val="00DE0C67"/>
    <w:rsid w:val="00DE6952"/>
    <w:rsid w:val="00DE7E74"/>
    <w:rsid w:val="00DF071B"/>
    <w:rsid w:val="00DF3D2E"/>
    <w:rsid w:val="00DF6B6E"/>
    <w:rsid w:val="00DF6EF8"/>
    <w:rsid w:val="00E00A69"/>
    <w:rsid w:val="00E017F0"/>
    <w:rsid w:val="00E01A0E"/>
    <w:rsid w:val="00E041E4"/>
    <w:rsid w:val="00E1012B"/>
    <w:rsid w:val="00E103C8"/>
    <w:rsid w:val="00E1085B"/>
    <w:rsid w:val="00E11FE8"/>
    <w:rsid w:val="00E122D3"/>
    <w:rsid w:val="00E1308B"/>
    <w:rsid w:val="00E14581"/>
    <w:rsid w:val="00E15539"/>
    <w:rsid w:val="00E16541"/>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6092F"/>
    <w:rsid w:val="00E62049"/>
    <w:rsid w:val="00E629DA"/>
    <w:rsid w:val="00E6469F"/>
    <w:rsid w:val="00E65D39"/>
    <w:rsid w:val="00E670F8"/>
    <w:rsid w:val="00E67FAC"/>
    <w:rsid w:val="00E7200B"/>
    <w:rsid w:val="00E738CB"/>
    <w:rsid w:val="00E73C88"/>
    <w:rsid w:val="00E74437"/>
    <w:rsid w:val="00E7443D"/>
    <w:rsid w:val="00E75ACE"/>
    <w:rsid w:val="00E76E80"/>
    <w:rsid w:val="00E77EDC"/>
    <w:rsid w:val="00E81C3E"/>
    <w:rsid w:val="00E82B6D"/>
    <w:rsid w:val="00E8608F"/>
    <w:rsid w:val="00E8747B"/>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D7B"/>
    <w:rsid w:val="00ED12F0"/>
    <w:rsid w:val="00ED4773"/>
    <w:rsid w:val="00ED5284"/>
    <w:rsid w:val="00ED664B"/>
    <w:rsid w:val="00ED6A61"/>
    <w:rsid w:val="00ED7DA4"/>
    <w:rsid w:val="00EE03BB"/>
    <w:rsid w:val="00EE0B44"/>
    <w:rsid w:val="00EE2ED0"/>
    <w:rsid w:val="00EE3756"/>
    <w:rsid w:val="00EE6FE0"/>
    <w:rsid w:val="00EE704A"/>
    <w:rsid w:val="00EE7840"/>
    <w:rsid w:val="00EF4C74"/>
    <w:rsid w:val="00EF5268"/>
    <w:rsid w:val="00EF608E"/>
    <w:rsid w:val="00F0044B"/>
    <w:rsid w:val="00F03525"/>
    <w:rsid w:val="00F04957"/>
    <w:rsid w:val="00F05807"/>
    <w:rsid w:val="00F07052"/>
    <w:rsid w:val="00F0706C"/>
    <w:rsid w:val="00F104F2"/>
    <w:rsid w:val="00F11EBE"/>
    <w:rsid w:val="00F12BA8"/>
    <w:rsid w:val="00F130D0"/>
    <w:rsid w:val="00F14933"/>
    <w:rsid w:val="00F1516A"/>
    <w:rsid w:val="00F171F9"/>
    <w:rsid w:val="00F223E8"/>
    <w:rsid w:val="00F22A26"/>
    <w:rsid w:val="00F23A27"/>
    <w:rsid w:val="00F24072"/>
    <w:rsid w:val="00F26432"/>
    <w:rsid w:val="00F3197A"/>
    <w:rsid w:val="00F32139"/>
    <w:rsid w:val="00F336DE"/>
    <w:rsid w:val="00F33D56"/>
    <w:rsid w:val="00F34E08"/>
    <w:rsid w:val="00F41D91"/>
    <w:rsid w:val="00F42363"/>
    <w:rsid w:val="00F46964"/>
    <w:rsid w:val="00F46F9A"/>
    <w:rsid w:val="00F470FD"/>
    <w:rsid w:val="00F50F30"/>
    <w:rsid w:val="00F5126A"/>
    <w:rsid w:val="00F5126E"/>
    <w:rsid w:val="00F51755"/>
    <w:rsid w:val="00F562A7"/>
    <w:rsid w:val="00F6196E"/>
    <w:rsid w:val="00F624DD"/>
    <w:rsid w:val="00F629C0"/>
    <w:rsid w:val="00F63FC7"/>
    <w:rsid w:val="00F65ED5"/>
    <w:rsid w:val="00F6608B"/>
    <w:rsid w:val="00F6636A"/>
    <w:rsid w:val="00F667C5"/>
    <w:rsid w:val="00F67E31"/>
    <w:rsid w:val="00F718A8"/>
    <w:rsid w:val="00F72183"/>
    <w:rsid w:val="00F76D01"/>
    <w:rsid w:val="00F8149E"/>
    <w:rsid w:val="00F81C35"/>
    <w:rsid w:val="00F82981"/>
    <w:rsid w:val="00F8311F"/>
    <w:rsid w:val="00F83248"/>
    <w:rsid w:val="00F83376"/>
    <w:rsid w:val="00F853AE"/>
    <w:rsid w:val="00F86FCB"/>
    <w:rsid w:val="00F93C74"/>
    <w:rsid w:val="00F93DCC"/>
    <w:rsid w:val="00F9435D"/>
    <w:rsid w:val="00F966F9"/>
    <w:rsid w:val="00F96F61"/>
    <w:rsid w:val="00F97740"/>
    <w:rsid w:val="00FA2DEF"/>
    <w:rsid w:val="00FA2F7B"/>
    <w:rsid w:val="00FA3C97"/>
    <w:rsid w:val="00FA3D30"/>
    <w:rsid w:val="00FA5469"/>
    <w:rsid w:val="00FA67C6"/>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78FB"/>
    <w:rsid w:val="00FC7DBC"/>
    <w:rsid w:val="00FD076A"/>
    <w:rsid w:val="00FD0AA0"/>
    <w:rsid w:val="00FD1D5A"/>
    <w:rsid w:val="00FD5059"/>
    <w:rsid w:val="00FD554D"/>
    <w:rsid w:val="00FD5BCC"/>
    <w:rsid w:val="00FD5E7F"/>
    <w:rsid w:val="00FE5D0A"/>
    <w:rsid w:val="00FE5FAD"/>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48631896">
      <w:bodyDiv w:val="1"/>
      <w:marLeft w:val="0"/>
      <w:marRight w:val="0"/>
      <w:marTop w:val="0"/>
      <w:marBottom w:val="0"/>
      <w:divBdr>
        <w:top w:val="none" w:sz="0" w:space="0" w:color="auto"/>
        <w:left w:val="none" w:sz="0" w:space="0" w:color="auto"/>
        <w:bottom w:val="none" w:sz="0" w:space="0" w:color="auto"/>
        <w:right w:val="none" w:sz="0" w:space="0" w:color="auto"/>
      </w:divBdr>
    </w:div>
    <w:div w:id="797456204">
      <w:bodyDiv w:val="1"/>
      <w:marLeft w:val="0"/>
      <w:marRight w:val="0"/>
      <w:marTop w:val="0"/>
      <w:marBottom w:val="0"/>
      <w:divBdr>
        <w:top w:val="none" w:sz="0" w:space="0" w:color="auto"/>
        <w:left w:val="none" w:sz="0" w:space="0" w:color="auto"/>
        <w:bottom w:val="none" w:sz="0" w:space="0" w:color="auto"/>
        <w:right w:val="none" w:sz="0" w:space="0" w:color="auto"/>
      </w:divBdr>
    </w:div>
    <w:div w:id="858742024">
      <w:bodyDiv w:val="1"/>
      <w:marLeft w:val="0"/>
      <w:marRight w:val="0"/>
      <w:marTop w:val="0"/>
      <w:marBottom w:val="0"/>
      <w:divBdr>
        <w:top w:val="none" w:sz="0" w:space="0" w:color="auto"/>
        <w:left w:val="none" w:sz="0" w:space="0" w:color="auto"/>
        <w:bottom w:val="none" w:sz="0" w:space="0" w:color="auto"/>
        <w:right w:val="none" w:sz="0" w:space="0" w:color="auto"/>
      </w:divBdr>
    </w:div>
    <w:div w:id="907569491">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0917841">
      <w:bodyDiv w:val="1"/>
      <w:marLeft w:val="0"/>
      <w:marRight w:val="0"/>
      <w:marTop w:val="0"/>
      <w:marBottom w:val="0"/>
      <w:divBdr>
        <w:top w:val="none" w:sz="0" w:space="0" w:color="auto"/>
        <w:left w:val="none" w:sz="0" w:space="0" w:color="auto"/>
        <w:bottom w:val="none" w:sz="0" w:space="0" w:color="auto"/>
        <w:right w:val="none" w:sz="0" w:space="0" w:color="auto"/>
      </w:divBdr>
    </w:div>
    <w:div w:id="1024985019">
      <w:bodyDiv w:val="1"/>
      <w:marLeft w:val="0"/>
      <w:marRight w:val="0"/>
      <w:marTop w:val="0"/>
      <w:marBottom w:val="0"/>
      <w:divBdr>
        <w:top w:val="none" w:sz="0" w:space="0" w:color="auto"/>
        <w:left w:val="none" w:sz="0" w:space="0" w:color="auto"/>
        <w:bottom w:val="none" w:sz="0" w:space="0" w:color="auto"/>
        <w:right w:val="none" w:sz="0" w:space="0" w:color="auto"/>
      </w:divBdr>
    </w:div>
    <w:div w:id="109494022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08611253">
      <w:bodyDiv w:val="1"/>
      <w:marLeft w:val="0"/>
      <w:marRight w:val="0"/>
      <w:marTop w:val="0"/>
      <w:marBottom w:val="0"/>
      <w:divBdr>
        <w:top w:val="none" w:sz="0" w:space="0" w:color="auto"/>
        <w:left w:val="none" w:sz="0" w:space="0" w:color="auto"/>
        <w:bottom w:val="none" w:sz="0" w:space="0" w:color="auto"/>
        <w:right w:val="none" w:sz="0" w:space="0" w:color="auto"/>
      </w:divBdr>
    </w:div>
    <w:div w:id="2015109618">
      <w:bodyDiv w:val="1"/>
      <w:marLeft w:val="0"/>
      <w:marRight w:val="0"/>
      <w:marTop w:val="0"/>
      <w:marBottom w:val="0"/>
      <w:divBdr>
        <w:top w:val="none" w:sz="0" w:space="0" w:color="auto"/>
        <w:left w:val="none" w:sz="0" w:space="0" w:color="auto"/>
        <w:bottom w:val="none" w:sz="0" w:space="0" w:color="auto"/>
        <w:right w:val="none" w:sz="0" w:space="0" w:color="auto"/>
      </w:divBdr>
    </w:div>
    <w:div w:id="21162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FB57-6001-4548-B1DA-54B3A20D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2011-03-16T17:50:00Z</cp:lastPrinted>
  <dcterms:created xsi:type="dcterms:W3CDTF">2012-03-08T15:58:00Z</dcterms:created>
  <dcterms:modified xsi:type="dcterms:W3CDTF">2012-03-08T15:58:00Z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