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EF" w:rsidRPr="007F3F8B" w:rsidRDefault="00540BEF" w:rsidP="00141048">
      <w:pPr>
        <w:tabs>
          <w:tab w:val="left" w:pos="288"/>
          <w:tab w:val="left" w:pos="4752"/>
        </w:tabs>
        <w:spacing w:after="0" w:line="240" w:lineRule="exact"/>
        <w:jc w:val="center"/>
        <w:rPr>
          <w:sz w:val="24"/>
          <w:szCs w:val="24"/>
        </w:rPr>
      </w:pPr>
      <w:r w:rsidRPr="007F3F8B">
        <w:rPr>
          <w:sz w:val="24"/>
          <w:szCs w:val="24"/>
        </w:rPr>
        <w:t>RECORD OF PROCEEDINGS</w:t>
      </w:r>
    </w:p>
    <w:p w:rsidR="00540BEF" w:rsidRPr="007F3F8B" w:rsidRDefault="00540BEF" w:rsidP="00141048">
      <w:pPr>
        <w:tabs>
          <w:tab w:val="left" w:pos="288"/>
          <w:tab w:val="left" w:pos="4752"/>
        </w:tabs>
        <w:spacing w:after="0" w:line="240" w:lineRule="exact"/>
        <w:jc w:val="center"/>
        <w:rPr>
          <w:sz w:val="24"/>
          <w:szCs w:val="24"/>
        </w:rPr>
      </w:pPr>
      <w:r w:rsidRPr="007F3F8B">
        <w:rPr>
          <w:sz w:val="24"/>
          <w:szCs w:val="24"/>
        </w:rPr>
        <w:t>PHYSICAL DISABILITY BOARD OF REVIEW</w:t>
      </w:r>
    </w:p>
    <w:p w:rsidR="00540BEF" w:rsidRPr="007F3F8B" w:rsidRDefault="00540BEF" w:rsidP="00141048">
      <w:pPr>
        <w:tabs>
          <w:tab w:val="left" w:pos="288"/>
          <w:tab w:val="left" w:pos="4752"/>
        </w:tabs>
        <w:spacing w:after="0" w:line="240" w:lineRule="exact"/>
        <w:jc w:val="both"/>
        <w:rPr>
          <w:sz w:val="24"/>
          <w:szCs w:val="24"/>
        </w:rPr>
      </w:pPr>
    </w:p>
    <w:p w:rsidR="00540BEF" w:rsidRPr="007F3F8B" w:rsidRDefault="00540BEF" w:rsidP="00141048">
      <w:pPr>
        <w:tabs>
          <w:tab w:val="left" w:pos="288"/>
          <w:tab w:val="left" w:pos="4752"/>
        </w:tabs>
        <w:spacing w:after="0" w:line="240" w:lineRule="exact"/>
        <w:jc w:val="both"/>
        <w:rPr>
          <w:sz w:val="24"/>
          <w:szCs w:val="24"/>
        </w:rPr>
      </w:pPr>
      <w:r w:rsidRPr="007F3F8B">
        <w:rPr>
          <w:sz w:val="24"/>
          <w:szCs w:val="24"/>
        </w:rPr>
        <w:t>NAME:</w:t>
      </w:r>
      <w:r w:rsidR="000D3385" w:rsidRPr="007F3F8B">
        <w:rPr>
          <w:sz w:val="24"/>
          <w:szCs w:val="24"/>
        </w:rPr>
        <w:t xml:space="preserve">  </w:t>
      </w:r>
      <w:r w:rsidR="006410BD">
        <w:rPr>
          <w:sz w:val="24"/>
          <w:szCs w:val="24"/>
        </w:rPr>
        <w:t>XXXXX</w:t>
      </w:r>
      <w:r w:rsidR="000D3385" w:rsidRPr="007F3F8B">
        <w:rPr>
          <w:sz w:val="24"/>
          <w:szCs w:val="24"/>
        </w:rPr>
        <w:t xml:space="preserve"> </w:t>
      </w:r>
      <w:r w:rsidRPr="007F3F8B">
        <w:rPr>
          <w:sz w:val="24"/>
          <w:szCs w:val="24"/>
        </w:rPr>
        <w:tab/>
      </w:r>
      <w:r w:rsidRPr="007F3F8B">
        <w:rPr>
          <w:sz w:val="24"/>
          <w:szCs w:val="24"/>
        </w:rPr>
        <w:tab/>
        <w:t xml:space="preserve">BRANCH OF SERVICE: </w:t>
      </w:r>
      <w:r w:rsidR="0017455A" w:rsidRPr="007F3F8B">
        <w:rPr>
          <w:sz w:val="24"/>
          <w:szCs w:val="24"/>
        </w:rPr>
        <w:t xml:space="preserve"> </w:t>
      </w:r>
      <w:r w:rsidR="000721E7">
        <w:rPr>
          <w:sz w:val="24"/>
          <w:szCs w:val="24"/>
        </w:rPr>
        <w:t xml:space="preserve">MARINE CORPS </w:t>
      </w:r>
    </w:p>
    <w:p w:rsidR="00540BEF" w:rsidRPr="007F3F8B" w:rsidRDefault="00540BEF" w:rsidP="00141048">
      <w:pPr>
        <w:tabs>
          <w:tab w:val="left" w:pos="288"/>
          <w:tab w:val="left" w:pos="4752"/>
        </w:tabs>
        <w:spacing w:after="0" w:line="240" w:lineRule="exact"/>
        <w:jc w:val="both"/>
        <w:rPr>
          <w:sz w:val="24"/>
          <w:szCs w:val="24"/>
        </w:rPr>
      </w:pPr>
      <w:r w:rsidRPr="007F3F8B">
        <w:rPr>
          <w:sz w:val="24"/>
          <w:szCs w:val="24"/>
        </w:rPr>
        <w:t>CASE NUMBER:  PD0900</w:t>
      </w:r>
      <w:r w:rsidR="000D3385" w:rsidRPr="007F3F8B">
        <w:rPr>
          <w:sz w:val="24"/>
          <w:szCs w:val="24"/>
        </w:rPr>
        <w:t>594</w:t>
      </w:r>
      <w:r w:rsidRPr="007F3F8B">
        <w:rPr>
          <w:sz w:val="24"/>
          <w:szCs w:val="24"/>
        </w:rPr>
        <w:tab/>
      </w:r>
      <w:r w:rsidRPr="007F3F8B">
        <w:rPr>
          <w:sz w:val="24"/>
          <w:szCs w:val="24"/>
        </w:rPr>
        <w:tab/>
      </w:r>
      <w:r w:rsidR="00E02C05" w:rsidRPr="007F3F8B">
        <w:rPr>
          <w:sz w:val="24"/>
          <w:szCs w:val="24"/>
        </w:rPr>
        <w:t>SEPARATION DATE:  20060315</w:t>
      </w:r>
    </w:p>
    <w:p w:rsidR="00E02C05" w:rsidRDefault="00540BEF" w:rsidP="00141048">
      <w:pPr>
        <w:tabs>
          <w:tab w:val="left" w:pos="288"/>
          <w:tab w:val="left" w:pos="4752"/>
        </w:tabs>
        <w:spacing w:after="0" w:line="240" w:lineRule="exact"/>
        <w:jc w:val="both"/>
        <w:rPr>
          <w:sz w:val="24"/>
          <w:szCs w:val="24"/>
        </w:rPr>
      </w:pPr>
      <w:r w:rsidRPr="007F3F8B">
        <w:rPr>
          <w:sz w:val="24"/>
          <w:szCs w:val="24"/>
        </w:rPr>
        <w:t xml:space="preserve">BOARD DATE: </w:t>
      </w:r>
      <w:r w:rsidR="00276C86" w:rsidRPr="007F3F8B">
        <w:rPr>
          <w:sz w:val="24"/>
          <w:szCs w:val="24"/>
        </w:rPr>
        <w:t>20</w:t>
      </w:r>
      <w:r w:rsidR="00116FEA" w:rsidRPr="007F3F8B">
        <w:rPr>
          <w:sz w:val="24"/>
          <w:szCs w:val="24"/>
        </w:rPr>
        <w:t>1</w:t>
      </w:r>
      <w:r w:rsidR="00E02C05">
        <w:rPr>
          <w:sz w:val="24"/>
          <w:szCs w:val="24"/>
        </w:rPr>
        <w:t>1</w:t>
      </w:r>
      <w:r w:rsidR="00886E5E">
        <w:rPr>
          <w:sz w:val="24"/>
          <w:szCs w:val="24"/>
        </w:rPr>
        <w:t>0309</w:t>
      </w:r>
    </w:p>
    <w:p w:rsidR="00E02C05" w:rsidRPr="00E02C05" w:rsidRDefault="00E02C05" w:rsidP="00141048">
      <w:pPr>
        <w:tabs>
          <w:tab w:val="left" w:pos="288"/>
          <w:tab w:val="left" w:pos="4752"/>
        </w:tabs>
        <w:spacing w:after="0" w:line="240" w:lineRule="exact"/>
        <w:jc w:val="both"/>
        <w:rPr>
          <w:b/>
          <w:sz w:val="24"/>
          <w:szCs w:val="24"/>
          <w:u w:val="single"/>
        </w:rPr>
      </w:pPr>
      <w:r w:rsidRPr="00E02C05">
        <w:rPr>
          <w:b/>
          <w:sz w:val="24"/>
          <w:szCs w:val="24"/>
          <w:u w:val="single"/>
        </w:rPr>
        <w:t>________________________________________________________________________</w:t>
      </w:r>
      <w:r>
        <w:rPr>
          <w:b/>
          <w:sz w:val="24"/>
          <w:szCs w:val="24"/>
          <w:u w:val="single"/>
        </w:rPr>
        <w:t>_</w:t>
      </w:r>
      <w:r w:rsidRPr="00E02C05">
        <w:rPr>
          <w:b/>
          <w:sz w:val="24"/>
          <w:szCs w:val="24"/>
          <w:u w:val="single"/>
        </w:rPr>
        <w:t>_____</w:t>
      </w:r>
    </w:p>
    <w:p w:rsidR="00E02C05" w:rsidRDefault="00E02C05" w:rsidP="00141048">
      <w:pPr>
        <w:tabs>
          <w:tab w:val="left" w:pos="288"/>
          <w:tab w:val="left" w:pos="4752"/>
        </w:tabs>
        <w:spacing w:after="0" w:line="240" w:lineRule="exact"/>
        <w:jc w:val="both"/>
        <w:rPr>
          <w:sz w:val="24"/>
          <w:szCs w:val="24"/>
          <w:u w:val="single"/>
        </w:rPr>
      </w:pPr>
    </w:p>
    <w:p w:rsidR="00684E2B" w:rsidRPr="00DD3F50" w:rsidRDefault="00811D5B" w:rsidP="00141048">
      <w:pPr>
        <w:tabs>
          <w:tab w:val="left" w:pos="288"/>
          <w:tab w:val="left" w:pos="4752"/>
        </w:tabs>
        <w:spacing w:after="0" w:line="240" w:lineRule="exact"/>
        <w:jc w:val="both"/>
        <w:rPr>
          <w:rFonts w:ascii="Calibri" w:hAnsi="Calibri"/>
          <w:sz w:val="24"/>
          <w:szCs w:val="24"/>
        </w:rPr>
      </w:pPr>
      <w:r w:rsidRPr="00DD3F50">
        <w:rPr>
          <w:rFonts w:ascii="Calibri" w:hAnsi="Calibri"/>
          <w:sz w:val="24"/>
          <w:szCs w:val="24"/>
          <w:u w:val="single"/>
        </w:rPr>
        <w:t>SUMMARY</w:t>
      </w:r>
      <w:r w:rsidR="003D7DDB" w:rsidRPr="00DD3F50">
        <w:rPr>
          <w:rFonts w:ascii="Calibri" w:hAnsi="Calibri"/>
          <w:sz w:val="24"/>
          <w:szCs w:val="24"/>
          <w:u w:val="single"/>
        </w:rPr>
        <w:t xml:space="preserve"> OF CASE</w:t>
      </w:r>
      <w:r w:rsidR="00B522CD" w:rsidRPr="00DD3F50">
        <w:rPr>
          <w:rFonts w:ascii="Calibri" w:hAnsi="Calibri"/>
          <w:sz w:val="24"/>
          <w:szCs w:val="24"/>
        </w:rPr>
        <w:t>:</w:t>
      </w:r>
      <w:r w:rsidR="00BA30D1" w:rsidRPr="00DD3F50">
        <w:rPr>
          <w:rFonts w:ascii="Calibri" w:hAnsi="Calibri"/>
          <w:sz w:val="24"/>
          <w:szCs w:val="24"/>
        </w:rPr>
        <w:t xml:space="preserve"> </w:t>
      </w:r>
      <w:r w:rsidR="00FB6E82" w:rsidRPr="00DD3F50">
        <w:rPr>
          <w:rFonts w:ascii="Calibri" w:hAnsi="Calibri"/>
          <w:sz w:val="24"/>
          <w:szCs w:val="24"/>
        </w:rPr>
        <w:t xml:space="preserve"> </w:t>
      </w:r>
      <w:r w:rsidR="00E21358" w:rsidRPr="00DD3F50">
        <w:rPr>
          <w:rFonts w:ascii="Calibri" w:hAnsi="Calibri"/>
          <w:sz w:val="24"/>
          <w:szCs w:val="24"/>
        </w:rPr>
        <w:t>Data extracted from the available evidence of record reflects that this covered individual (CI)</w:t>
      </w:r>
      <w:r w:rsidR="00684E2B" w:rsidRPr="00DD3F50">
        <w:rPr>
          <w:rFonts w:ascii="Calibri" w:hAnsi="Calibri"/>
          <w:sz w:val="24"/>
          <w:szCs w:val="24"/>
        </w:rPr>
        <w:t xml:space="preserve"> was </w:t>
      </w:r>
      <w:r w:rsidR="00DA372F" w:rsidRPr="00DD3F50">
        <w:rPr>
          <w:rFonts w:ascii="Calibri" w:hAnsi="Calibri"/>
          <w:sz w:val="24"/>
          <w:szCs w:val="24"/>
        </w:rPr>
        <w:t>a C</w:t>
      </w:r>
      <w:r w:rsidR="0042237B" w:rsidRPr="00DD3F50">
        <w:rPr>
          <w:rFonts w:ascii="Calibri" w:hAnsi="Calibri"/>
          <w:sz w:val="24"/>
          <w:szCs w:val="24"/>
        </w:rPr>
        <w:t>pl (</w:t>
      </w:r>
      <w:r w:rsidR="00DA372F" w:rsidRPr="00DD3F50">
        <w:rPr>
          <w:rFonts w:ascii="Calibri" w:hAnsi="Calibri"/>
          <w:sz w:val="24"/>
          <w:szCs w:val="24"/>
        </w:rPr>
        <w:t>Admin</w:t>
      </w:r>
      <w:r w:rsidR="0042237B" w:rsidRPr="00DD3F50">
        <w:rPr>
          <w:rFonts w:ascii="Calibri" w:hAnsi="Calibri"/>
          <w:sz w:val="24"/>
          <w:szCs w:val="24"/>
        </w:rPr>
        <w:t xml:space="preserve">. </w:t>
      </w:r>
      <w:r w:rsidR="00DA372F" w:rsidRPr="00DD3F50">
        <w:rPr>
          <w:rFonts w:ascii="Calibri" w:hAnsi="Calibri"/>
          <w:sz w:val="24"/>
          <w:szCs w:val="24"/>
        </w:rPr>
        <w:t>Clerk</w:t>
      </w:r>
      <w:r w:rsidR="0042237B" w:rsidRPr="00DD3F50">
        <w:rPr>
          <w:rFonts w:ascii="Calibri" w:hAnsi="Calibri"/>
          <w:sz w:val="24"/>
          <w:szCs w:val="24"/>
        </w:rPr>
        <w:t>)</w:t>
      </w:r>
      <w:r w:rsidR="00684E2B" w:rsidRPr="00DD3F50">
        <w:rPr>
          <w:rFonts w:ascii="Calibri" w:hAnsi="Calibri"/>
          <w:sz w:val="24"/>
          <w:szCs w:val="24"/>
        </w:rPr>
        <w:t xml:space="preserve"> medically separated from the </w:t>
      </w:r>
      <w:r w:rsidR="00DA372F" w:rsidRPr="00DD3F50">
        <w:rPr>
          <w:rFonts w:ascii="Calibri" w:hAnsi="Calibri"/>
          <w:sz w:val="24"/>
          <w:szCs w:val="24"/>
        </w:rPr>
        <w:t>Marine Corps</w:t>
      </w:r>
      <w:r w:rsidR="00684E2B" w:rsidRPr="00DD3F50">
        <w:rPr>
          <w:rFonts w:ascii="Calibri" w:hAnsi="Calibri"/>
          <w:sz w:val="24"/>
          <w:szCs w:val="24"/>
        </w:rPr>
        <w:t xml:space="preserve"> in </w:t>
      </w:r>
      <w:r w:rsidR="0042237B" w:rsidRPr="00DD3F50">
        <w:rPr>
          <w:rFonts w:ascii="Calibri" w:hAnsi="Calibri"/>
          <w:sz w:val="24"/>
          <w:szCs w:val="24"/>
        </w:rPr>
        <w:t xml:space="preserve">March </w:t>
      </w:r>
      <w:r w:rsidR="00684E2B" w:rsidRPr="00DD3F50">
        <w:rPr>
          <w:rFonts w:ascii="Calibri" w:hAnsi="Calibri"/>
          <w:sz w:val="24"/>
          <w:szCs w:val="24"/>
        </w:rPr>
        <w:t>200</w:t>
      </w:r>
      <w:r w:rsidR="00DA372F" w:rsidRPr="00DD3F50">
        <w:rPr>
          <w:rFonts w:ascii="Calibri" w:hAnsi="Calibri"/>
          <w:sz w:val="24"/>
          <w:szCs w:val="24"/>
        </w:rPr>
        <w:t>6</w:t>
      </w:r>
      <w:r w:rsidR="00684E2B" w:rsidRPr="00DD3F50">
        <w:rPr>
          <w:rFonts w:ascii="Calibri" w:hAnsi="Calibri"/>
          <w:sz w:val="24"/>
          <w:szCs w:val="24"/>
        </w:rPr>
        <w:t xml:space="preserve">.  The medical basis for separation was </w:t>
      </w:r>
      <w:r w:rsidR="0001696F" w:rsidRPr="00DD3F50">
        <w:rPr>
          <w:rFonts w:ascii="Calibri" w:hAnsi="Calibri"/>
          <w:sz w:val="24"/>
          <w:szCs w:val="24"/>
        </w:rPr>
        <w:t xml:space="preserve">a </w:t>
      </w:r>
      <w:r w:rsidR="0042237B" w:rsidRPr="00DD3F50">
        <w:rPr>
          <w:rFonts w:ascii="Calibri" w:hAnsi="Calibri"/>
          <w:sz w:val="24"/>
          <w:szCs w:val="24"/>
        </w:rPr>
        <w:t>chronic</w:t>
      </w:r>
      <w:r w:rsidR="0001696F" w:rsidRPr="00DD3F50">
        <w:rPr>
          <w:rFonts w:ascii="Calibri" w:hAnsi="Calibri"/>
          <w:sz w:val="24"/>
          <w:szCs w:val="24"/>
        </w:rPr>
        <w:t>,</w:t>
      </w:r>
      <w:r w:rsidR="0042237B" w:rsidRPr="00DD3F50">
        <w:rPr>
          <w:rFonts w:ascii="Calibri" w:hAnsi="Calibri"/>
          <w:sz w:val="24"/>
          <w:szCs w:val="24"/>
        </w:rPr>
        <w:t xml:space="preserve"> pain</w:t>
      </w:r>
      <w:r w:rsidR="0001696F" w:rsidRPr="00DD3F50">
        <w:rPr>
          <w:rFonts w:ascii="Calibri" w:hAnsi="Calibri"/>
          <w:sz w:val="24"/>
          <w:szCs w:val="24"/>
        </w:rPr>
        <w:t>ful</w:t>
      </w:r>
      <w:r w:rsidR="00254D61" w:rsidRPr="00DD3F50">
        <w:rPr>
          <w:rFonts w:ascii="Calibri" w:hAnsi="Calibri"/>
          <w:sz w:val="24"/>
          <w:szCs w:val="24"/>
        </w:rPr>
        <w:t xml:space="preserve"> </w:t>
      </w:r>
      <w:r w:rsidR="00E1547E">
        <w:rPr>
          <w:rFonts w:ascii="Calibri" w:hAnsi="Calibri"/>
          <w:sz w:val="24"/>
          <w:szCs w:val="24"/>
        </w:rPr>
        <w:t>l</w:t>
      </w:r>
      <w:r w:rsidR="00720A5D" w:rsidRPr="00DD3F50">
        <w:rPr>
          <w:rFonts w:ascii="Calibri" w:hAnsi="Calibri"/>
          <w:sz w:val="24"/>
          <w:szCs w:val="24"/>
        </w:rPr>
        <w:t xml:space="preserve">eft </w:t>
      </w:r>
      <w:r w:rsidR="00E1547E">
        <w:rPr>
          <w:rFonts w:ascii="Calibri" w:hAnsi="Calibri"/>
          <w:sz w:val="24"/>
          <w:szCs w:val="24"/>
        </w:rPr>
        <w:t>s</w:t>
      </w:r>
      <w:r w:rsidR="00720A5D" w:rsidRPr="00DD3F50">
        <w:rPr>
          <w:rFonts w:ascii="Calibri" w:hAnsi="Calibri"/>
          <w:sz w:val="24"/>
          <w:szCs w:val="24"/>
        </w:rPr>
        <w:t>houlder</w:t>
      </w:r>
      <w:r w:rsidR="0001696F" w:rsidRPr="00DD3F50">
        <w:rPr>
          <w:rFonts w:ascii="Calibri" w:hAnsi="Calibri"/>
          <w:sz w:val="24"/>
          <w:szCs w:val="24"/>
        </w:rPr>
        <w:t xml:space="preserve"> condition</w:t>
      </w:r>
      <w:r w:rsidR="00720A5D" w:rsidRPr="00DD3F50">
        <w:rPr>
          <w:rFonts w:ascii="Calibri" w:hAnsi="Calibri"/>
          <w:sz w:val="24"/>
          <w:szCs w:val="24"/>
        </w:rPr>
        <w:t xml:space="preserve">.  </w:t>
      </w:r>
      <w:r w:rsidR="00684E2B" w:rsidRPr="00DD3F50">
        <w:rPr>
          <w:rFonts w:ascii="Calibri" w:hAnsi="Calibri"/>
          <w:sz w:val="24"/>
          <w:szCs w:val="24"/>
        </w:rPr>
        <w:t>The CI was referred to the P</w:t>
      </w:r>
      <w:r w:rsidR="0042237B" w:rsidRPr="00DD3F50">
        <w:rPr>
          <w:rFonts w:ascii="Calibri" w:hAnsi="Calibri"/>
          <w:sz w:val="24"/>
          <w:szCs w:val="24"/>
        </w:rPr>
        <w:t xml:space="preserve">hysical </w:t>
      </w:r>
      <w:r w:rsidR="00684E2B" w:rsidRPr="00DD3F50">
        <w:rPr>
          <w:rFonts w:ascii="Calibri" w:hAnsi="Calibri"/>
          <w:sz w:val="24"/>
          <w:szCs w:val="24"/>
        </w:rPr>
        <w:t>E</w:t>
      </w:r>
      <w:r w:rsidR="0042237B" w:rsidRPr="00DD3F50">
        <w:rPr>
          <w:rFonts w:ascii="Calibri" w:hAnsi="Calibri"/>
          <w:sz w:val="24"/>
          <w:szCs w:val="24"/>
        </w:rPr>
        <w:t xml:space="preserve">valuation </w:t>
      </w:r>
      <w:r w:rsidR="00684E2B" w:rsidRPr="00DD3F50">
        <w:rPr>
          <w:rFonts w:ascii="Calibri" w:hAnsi="Calibri"/>
          <w:sz w:val="24"/>
          <w:szCs w:val="24"/>
        </w:rPr>
        <w:t>B</w:t>
      </w:r>
      <w:r w:rsidR="0042237B" w:rsidRPr="00DD3F50">
        <w:rPr>
          <w:rFonts w:ascii="Calibri" w:hAnsi="Calibri"/>
          <w:sz w:val="24"/>
          <w:szCs w:val="24"/>
        </w:rPr>
        <w:t>oard</w:t>
      </w:r>
      <w:r w:rsidR="00E1547E">
        <w:rPr>
          <w:rFonts w:ascii="Calibri" w:hAnsi="Calibri"/>
          <w:sz w:val="24"/>
          <w:szCs w:val="24"/>
        </w:rPr>
        <w:t xml:space="preserve"> (PEB)</w:t>
      </w:r>
      <w:r w:rsidR="00684E2B" w:rsidRPr="00DD3F50">
        <w:rPr>
          <w:rFonts w:ascii="Calibri" w:hAnsi="Calibri"/>
          <w:sz w:val="24"/>
          <w:szCs w:val="24"/>
        </w:rPr>
        <w:t xml:space="preserve">, </w:t>
      </w:r>
      <w:r w:rsidR="0042237B" w:rsidRPr="00DD3F50">
        <w:rPr>
          <w:rFonts w:ascii="Calibri" w:hAnsi="Calibri"/>
          <w:sz w:val="24"/>
          <w:szCs w:val="24"/>
        </w:rPr>
        <w:t xml:space="preserve">and was </w:t>
      </w:r>
      <w:r w:rsidR="00684E2B" w:rsidRPr="00DD3F50">
        <w:rPr>
          <w:rFonts w:ascii="Calibri" w:hAnsi="Calibri"/>
          <w:sz w:val="24"/>
          <w:szCs w:val="24"/>
        </w:rPr>
        <w:t xml:space="preserve">found unfit for </w:t>
      </w:r>
      <w:r w:rsidR="0042237B" w:rsidRPr="00DD3F50">
        <w:rPr>
          <w:rFonts w:ascii="Calibri" w:hAnsi="Calibri"/>
          <w:sz w:val="24"/>
          <w:szCs w:val="24"/>
        </w:rPr>
        <w:t>continued military service</w:t>
      </w:r>
      <w:r w:rsidR="009F41F9">
        <w:rPr>
          <w:rFonts w:ascii="Calibri" w:hAnsi="Calibri"/>
          <w:sz w:val="24"/>
          <w:szCs w:val="24"/>
        </w:rPr>
        <w:t>.</w:t>
      </w:r>
      <w:r w:rsidR="0042237B" w:rsidRPr="00DD3F50">
        <w:rPr>
          <w:rFonts w:ascii="Calibri" w:hAnsi="Calibri"/>
          <w:sz w:val="24"/>
          <w:szCs w:val="24"/>
        </w:rPr>
        <w:t xml:space="preserve">  </w:t>
      </w:r>
      <w:r w:rsidR="00091C82" w:rsidRPr="00DD3F50">
        <w:rPr>
          <w:rFonts w:ascii="Calibri" w:hAnsi="Calibri"/>
          <w:sz w:val="24"/>
          <w:szCs w:val="24"/>
        </w:rPr>
        <w:t xml:space="preserve">Hypertension was determined to be Category III (not separately unfitting and not contributing </w:t>
      </w:r>
      <w:r w:rsidR="00136CCE" w:rsidRPr="00DD3F50">
        <w:rPr>
          <w:rFonts w:ascii="Calibri" w:hAnsi="Calibri"/>
          <w:sz w:val="24"/>
          <w:szCs w:val="24"/>
        </w:rPr>
        <w:t xml:space="preserve">to the unfitting shoulder condition).  Attention deficit hyperactivity disorder (ADHD) and </w:t>
      </w:r>
      <w:r w:rsidR="00E1547E">
        <w:rPr>
          <w:rFonts w:ascii="Calibri" w:hAnsi="Calibri"/>
          <w:sz w:val="24"/>
          <w:szCs w:val="24"/>
        </w:rPr>
        <w:t>h</w:t>
      </w:r>
      <w:r w:rsidR="00136CCE" w:rsidRPr="00DD3F50">
        <w:rPr>
          <w:rFonts w:ascii="Calibri" w:hAnsi="Calibri"/>
          <w:sz w:val="24"/>
          <w:szCs w:val="24"/>
        </w:rPr>
        <w:t xml:space="preserve">yperlipidemia were both </w:t>
      </w:r>
      <w:r w:rsidR="00091C82" w:rsidRPr="00DD3F50">
        <w:rPr>
          <w:rFonts w:ascii="Calibri" w:hAnsi="Calibri"/>
          <w:sz w:val="24"/>
          <w:szCs w:val="24"/>
        </w:rPr>
        <w:t>found</w:t>
      </w:r>
      <w:r w:rsidR="00136CCE" w:rsidRPr="00DD3F50">
        <w:rPr>
          <w:rFonts w:ascii="Calibri" w:hAnsi="Calibri"/>
          <w:sz w:val="24"/>
          <w:szCs w:val="24"/>
        </w:rPr>
        <w:t xml:space="preserve"> to be Category IV (not a physical disability).</w:t>
      </w:r>
      <w:r w:rsidR="00091C82" w:rsidRPr="00DD3F50">
        <w:rPr>
          <w:rFonts w:ascii="Calibri" w:hAnsi="Calibri"/>
          <w:sz w:val="24"/>
          <w:szCs w:val="24"/>
        </w:rPr>
        <w:t xml:space="preserve"> </w:t>
      </w:r>
      <w:r w:rsidR="00136CCE" w:rsidRPr="00DD3F50">
        <w:rPr>
          <w:rFonts w:ascii="Calibri" w:hAnsi="Calibri"/>
          <w:sz w:val="24"/>
          <w:szCs w:val="24"/>
        </w:rPr>
        <w:t xml:space="preserve"> </w:t>
      </w:r>
      <w:r w:rsidR="0042237B" w:rsidRPr="00DD3F50">
        <w:rPr>
          <w:rFonts w:ascii="Calibri" w:hAnsi="Calibri"/>
          <w:sz w:val="24"/>
          <w:szCs w:val="24"/>
        </w:rPr>
        <w:t>The CI accepted the PEB findings</w:t>
      </w:r>
      <w:r w:rsidR="00720A5D" w:rsidRPr="00DD3F50">
        <w:rPr>
          <w:rFonts w:ascii="Calibri" w:hAnsi="Calibri"/>
          <w:sz w:val="24"/>
          <w:szCs w:val="24"/>
        </w:rPr>
        <w:t xml:space="preserve">, </w:t>
      </w:r>
      <w:r w:rsidR="00684E2B" w:rsidRPr="00DD3F50">
        <w:rPr>
          <w:rFonts w:ascii="Calibri" w:hAnsi="Calibri"/>
          <w:sz w:val="24"/>
          <w:szCs w:val="24"/>
        </w:rPr>
        <w:t xml:space="preserve">and </w:t>
      </w:r>
      <w:r w:rsidR="0042237B" w:rsidRPr="00DD3F50">
        <w:rPr>
          <w:rFonts w:ascii="Calibri" w:hAnsi="Calibri"/>
          <w:sz w:val="24"/>
          <w:szCs w:val="24"/>
        </w:rPr>
        <w:t xml:space="preserve">was </w:t>
      </w:r>
      <w:r w:rsidR="00684E2B" w:rsidRPr="00DD3F50">
        <w:rPr>
          <w:rFonts w:ascii="Calibri" w:hAnsi="Calibri"/>
          <w:sz w:val="24"/>
          <w:szCs w:val="24"/>
        </w:rPr>
        <w:t xml:space="preserve">separated at </w:t>
      </w:r>
      <w:r w:rsidR="00720A5D" w:rsidRPr="00DD3F50">
        <w:rPr>
          <w:rFonts w:ascii="Calibri" w:hAnsi="Calibri"/>
          <w:sz w:val="24"/>
          <w:szCs w:val="24"/>
        </w:rPr>
        <w:t>2</w:t>
      </w:r>
      <w:r w:rsidR="00684E2B" w:rsidRPr="00DD3F50">
        <w:rPr>
          <w:rFonts w:ascii="Calibri" w:hAnsi="Calibri"/>
          <w:sz w:val="24"/>
          <w:szCs w:val="24"/>
        </w:rPr>
        <w:t>0% disability</w:t>
      </w:r>
      <w:r w:rsidR="00E866F8" w:rsidRPr="00DD3F50">
        <w:rPr>
          <w:rFonts w:ascii="Calibri" w:hAnsi="Calibri"/>
          <w:sz w:val="24"/>
          <w:szCs w:val="24"/>
        </w:rPr>
        <w:t xml:space="preserve"> using the Veterans Affairs Schedule for Rating Disabilities (VASRD) and applicable </w:t>
      </w:r>
      <w:r w:rsidR="00720A5D" w:rsidRPr="00DD3F50">
        <w:rPr>
          <w:rFonts w:ascii="Calibri" w:hAnsi="Calibri"/>
          <w:sz w:val="24"/>
          <w:szCs w:val="24"/>
        </w:rPr>
        <w:t>Naval</w:t>
      </w:r>
      <w:r w:rsidR="00E866F8" w:rsidRPr="00DD3F50">
        <w:rPr>
          <w:rFonts w:ascii="Calibri" w:hAnsi="Calibri"/>
          <w:sz w:val="24"/>
          <w:szCs w:val="24"/>
        </w:rPr>
        <w:t xml:space="preserve"> and Department of Defense regulations.</w:t>
      </w:r>
    </w:p>
    <w:p w:rsidR="00923B25" w:rsidRPr="00DD3F50" w:rsidRDefault="008B5D31" w:rsidP="00141048">
      <w:pPr>
        <w:tabs>
          <w:tab w:val="left" w:pos="288"/>
          <w:tab w:val="left" w:pos="4752"/>
        </w:tabs>
        <w:spacing w:after="0" w:line="240" w:lineRule="exact"/>
        <w:jc w:val="both"/>
        <w:rPr>
          <w:rFonts w:ascii="Calibri" w:hAnsi="Calibri"/>
          <w:b/>
          <w:sz w:val="24"/>
          <w:szCs w:val="24"/>
          <w:u w:val="single"/>
        </w:rPr>
      </w:pPr>
      <w:r w:rsidRPr="00DD3F50">
        <w:rPr>
          <w:rFonts w:ascii="Calibri" w:hAnsi="Calibri"/>
          <w:b/>
          <w:sz w:val="24"/>
          <w:szCs w:val="24"/>
          <w:u w:val="single"/>
        </w:rPr>
        <w:t>_____________________________________________________________</w:t>
      </w:r>
      <w:r w:rsidR="00372BDC" w:rsidRPr="00DD3F50">
        <w:rPr>
          <w:rFonts w:ascii="Calibri" w:hAnsi="Calibri"/>
          <w:b/>
          <w:sz w:val="24"/>
          <w:szCs w:val="24"/>
          <w:u w:val="single"/>
        </w:rPr>
        <w:t>___________</w:t>
      </w:r>
      <w:r w:rsidR="00E02C05" w:rsidRPr="00DD3F50">
        <w:rPr>
          <w:rFonts w:ascii="Calibri" w:hAnsi="Calibri"/>
          <w:b/>
          <w:sz w:val="24"/>
          <w:szCs w:val="24"/>
          <w:u w:val="single"/>
        </w:rPr>
        <w:t>_</w:t>
      </w:r>
      <w:r w:rsidR="00372BDC" w:rsidRPr="00DD3F50">
        <w:rPr>
          <w:rFonts w:ascii="Calibri" w:hAnsi="Calibri"/>
          <w:b/>
          <w:sz w:val="24"/>
          <w:szCs w:val="24"/>
          <w:u w:val="single"/>
        </w:rPr>
        <w:t>___</w:t>
      </w:r>
      <w:r w:rsidRPr="00DD3F50">
        <w:rPr>
          <w:rFonts w:ascii="Calibri" w:hAnsi="Calibri"/>
          <w:b/>
          <w:sz w:val="24"/>
          <w:szCs w:val="24"/>
          <w:u w:val="single"/>
        </w:rPr>
        <w:t>__</w:t>
      </w:r>
    </w:p>
    <w:p w:rsidR="00352CC6" w:rsidRPr="00DD3F50" w:rsidRDefault="00352CC6" w:rsidP="00141048">
      <w:pPr>
        <w:tabs>
          <w:tab w:val="left" w:pos="288"/>
          <w:tab w:val="left" w:pos="4752"/>
        </w:tabs>
        <w:spacing w:after="0" w:line="240" w:lineRule="exact"/>
        <w:rPr>
          <w:rFonts w:ascii="Calibri" w:hAnsi="Calibri"/>
          <w:b/>
          <w:sz w:val="24"/>
          <w:szCs w:val="24"/>
          <w:u w:val="single"/>
        </w:rPr>
      </w:pPr>
    </w:p>
    <w:p w:rsidR="009F41F9" w:rsidRDefault="001C181A" w:rsidP="00141048">
      <w:pPr>
        <w:tabs>
          <w:tab w:val="left" w:pos="288"/>
          <w:tab w:val="left" w:pos="4752"/>
        </w:tabs>
        <w:spacing w:after="0" w:line="240" w:lineRule="exact"/>
        <w:jc w:val="both"/>
        <w:rPr>
          <w:rFonts w:ascii="Calibri" w:hAnsi="Calibri"/>
          <w:sz w:val="24"/>
          <w:szCs w:val="24"/>
        </w:rPr>
      </w:pPr>
      <w:r w:rsidRPr="00DD3F50">
        <w:rPr>
          <w:rFonts w:ascii="Calibri" w:hAnsi="Calibri"/>
          <w:sz w:val="24"/>
          <w:szCs w:val="24"/>
          <w:u w:val="single"/>
        </w:rPr>
        <w:t>CI</w:t>
      </w:r>
      <w:r w:rsidR="00E02C05" w:rsidRPr="00DD3F50">
        <w:rPr>
          <w:rFonts w:ascii="Calibri" w:hAnsi="Calibri"/>
          <w:sz w:val="24"/>
          <w:szCs w:val="24"/>
          <w:u w:val="single"/>
        </w:rPr>
        <w:t>’s</w:t>
      </w:r>
      <w:r w:rsidRPr="00DD3F50">
        <w:rPr>
          <w:rFonts w:ascii="Calibri" w:hAnsi="Calibri"/>
          <w:sz w:val="24"/>
          <w:szCs w:val="24"/>
          <w:u w:val="single"/>
        </w:rPr>
        <w:t xml:space="preserve"> CONTENTION</w:t>
      </w:r>
      <w:r w:rsidRPr="00DD3F50">
        <w:rPr>
          <w:rFonts w:ascii="Calibri" w:hAnsi="Calibri"/>
          <w:sz w:val="24"/>
          <w:szCs w:val="24"/>
        </w:rPr>
        <w:t>:</w:t>
      </w:r>
      <w:r w:rsidR="00FB6E82" w:rsidRPr="00DD3F50">
        <w:rPr>
          <w:rFonts w:ascii="Calibri" w:hAnsi="Calibri"/>
          <w:sz w:val="24"/>
          <w:szCs w:val="24"/>
        </w:rPr>
        <w:t xml:space="preserve">  </w:t>
      </w:r>
      <w:r w:rsidR="00E02C05" w:rsidRPr="00DD3F50">
        <w:rPr>
          <w:rFonts w:ascii="Calibri" w:hAnsi="Calibri"/>
          <w:sz w:val="24"/>
          <w:szCs w:val="24"/>
        </w:rPr>
        <w:t xml:space="preserve">Block 3 of DD Form </w:t>
      </w:r>
      <w:r w:rsidR="000D3385" w:rsidRPr="00DD3F50">
        <w:rPr>
          <w:rFonts w:ascii="Calibri" w:hAnsi="Calibri"/>
          <w:sz w:val="24"/>
          <w:szCs w:val="24"/>
        </w:rPr>
        <w:t>294</w:t>
      </w:r>
      <w:r w:rsidR="001665AC" w:rsidRPr="00DD3F50">
        <w:rPr>
          <w:rFonts w:ascii="Calibri" w:hAnsi="Calibri"/>
          <w:sz w:val="24"/>
          <w:szCs w:val="24"/>
        </w:rPr>
        <w:t xml:space="preserve"> contains</w:t>
      </w:r>
      <w:r w:rsidR="00E02C05" w:rsidRPr="00DD3F50">
        <w:rPr>
          <w:rFonts w:ascii="Calibri" w:hAnsi="Calibri"/>
          <w:sz w:val="24"/>
          <w:szCs w:val="24"/>
        </w:rPr>
        <w:t xml:space="preserve"> no specific contention regarding rating or coding, and mentions no ad</w:t>
      </w:r>
      <w:r w:rsidR="007B3DBD" w:rsidRPr="00DD3F50">
        <w:rPr>
          <w:rFonts w:ascii="Calibri" w:hAnsi="Calibri"/>
          <w:sz w:val="24"/>
          <w:szCs w:val="24"/>
        </w:rPr>
        <w:t>ditionally contended conditions</w:t>
      </w:r>
      <w:r w:rsidR="00136CCE" w:rsidRPr="00DD3F50">
        <w:rPr>
          <w:rFonts w:ascii="Calibri" w:hAnsi="Calibri"/>
          <w:sz w:val="24"/>
          <w:szCs w:val="24"/>
        </w:rPr>
        <w:t>.</w:t>
      </w:r>
      <w:r w:rsidR="00DD3F50" w:rsidRPr="00DD3F50">
        <w:rPr>
          <w:rFonts w:ascii="Calibri" w:hAnsi="Calibri"/>
          <w:sz w:val="24"/>
          <w:szCs w:val="24"/>
        </w:rPr>
        <w:t xml:space="preserve"> </w:t>
      </w:r>
    </w:p>
    <w:p w:rsidR="00A90D55" w:rsidRPr="00DD3F50" w:rsidRDefault="008B5D31" w:rsidP="00141048">
      <w:pPr>
        <w:tabs>
          <w:tab w:val="left" w:pos="288"/>
          <w:tab w:val="left" w:pos="4752"/>
        </w:tabs>
        <w:spacing w:after="0" w:line="240" w:lineRule="exact"/>
        <w:jc w:val="both"/>
        <w:rPr>
          <w:rFonts w:ascii="Calibri" w:hAnsi="Calibri"/>
          <w:sz w:val="24"/>
          <w:szCs w:val="24"/>
        </w:rPr>
      </w:pPr>
      <w:r w:rsidRPr="00DD3F50">
        <w:rPr>
          <w:rFonts w:ascii="Calibri" w:hAnsi="Calibri"/>
          <w:b/>
          <w:sz w:val="24"/>
          <w:szCs w:val="24"/>
          <w:u w:val="single"/>
        </w:rPr>
        <w:t>_______________________________________________________________</w:t>
      </w:r>
      <w:r w:rsidR="00372BDC" w:rsidRPr="00DD3F50">
        <w:rPr>
          <w:rFonts w:ascii="Calibri" w:hAnsi="Calibri"/>
          <w:b/>
          <w:sz w:val="24"/>
          <w:szCs w:val="24"/>
          <w:u w:val="single"/>
        </w:rPr>
        <w:t>_________</w:t>
      </w:r>
      <w:r w:rsidR="00E02C05" w:rsidRPr="00DD3F50">
        <w:rPr>
          <w:rFonts w:ascii="Calibri" w:hAnsi="Calibri"/>
          <w:b/>
          <w:sz w:val="24"/>
          <w:szCs w:val="24"/>
          <w:u w:val="single"/>
        </w:rPr>
        <w:t>_</w:t>
      </w:r>
      <w:r w:rsidR="00372BDC" w:rsidRPr="00DD3F50">
        <w:rPr>
          <w:rFonts w:ascii="Calibri" w:hAnsi="Calibri"/>
          <w:b/>
          <w:sz w:val="24"/>
          <w:szCs w:val="24"/>
          <w:u w:val="single"/>
        </w:rPr>
        <w:t>_____</w:t>
      </w:r>
    </w:p>
    <w:p w:rsidR="00352CC6" w:rsidRDefault="00352CC6" w:rsidP="00141048">
      <w:pPr>
        <w:tabs>
          <w:tab w:val="left" w:pos="288"/>
          <w:tab w:val="left" w:pos="4752"/>
        </w:tabs>
        <w:spacing w:after="0" w:line="240" w:lineRule="exact"/>
        <w:jc w:val="both"/>
        <w:rPr>
          <w:color w:val="000080"/>
          <w:sz w:val="24"/>
          <w:szCs w:val="24"/>
          <w:u w:val="single"/>
        </w:rPr>
      </w:pPr>
    </w:p>
    <w:p w:rsidR="00DB6FBE" w:rsidRPr="00372BDC" w:rsidRDefault="00C456F9" w:rsidP="00141048">
      <w:pPr>
        <w:tabs>
          <w:tab w:val="left" w:pos="288"/>
          <w:tab w:val="left" w:pos="4752"/>
        </w:tabs>
        <w:spacing w:after="0" w:line="240" w:lineRule="exact"/>
        <w:jc w:val="both"/>
        <w:rPr>
          <w:sz w:val="24"/>
          <w:szCs w:val="24"/>
        </w:rPr>
      </w:pPr>
      <w:r w:rsidRPr="00372BDC">
        <w:rPr>
          <w:sz w:val="24"/>
          <w:szCs w:val="24"/>
          <w:u w:val="single"/>
        </w:rPr>
        <w:t>R</w:t>
      </w:r>
      <w:r w:rsidR="00A90D55" w:rsidRPr="00372BDC">
        <w:rPr>
          <w:sz w:val="24"/>
          <w:szCs w:val="24"/>
          <w:u w:val="single"/>
        </w:rPr>
        <w:t>ATING COMPARISON</w:t>
      </w:r>
      <w:r w:rsidR="00A90D55" w:rsidRPr="00372BDC">
        <w:rPr>
          <w:sz w:val="24"/>
          <w:szCs w:val="24"/>
        </w:rPr>
        <w:t>:</w:t>
      </w:r>
    </w:p>
    <w:p w:rsidR="00C456F9" w:rsidRPr="00352CC6" w:rsidRDefault="00C456F9" w:rsidP="00141048">
      <w:pPr>
        <w:tabs>
          <w:tab w:val="left" w:pos="288"/>
          <w:tab w:val="left" w:pos="4752"/>
        </w:tabs>
        <w:spacing w:after="0" w:line="240" w:lineRule="exact"/>
        <w:jc w:val="both"/>
        <w:rPr>
          <w:color w:val="000080"/>
          <w:sz w:val="24"/>
          <w:szCs w:val="24"/>
        </w:rPr>
      </w:pPr>
    </w:p>
    <w:tbl>
      <w:tblPr>
        <w:tblStyle w:val="TableGrid"/>
        <w:tblW w:w="9630" w:type="dxa"/>
        <w:tblInd w:w="18" w:type="dxa"/>
        <w:tblLayout w:type="fixed"/>
        <w:tblLook w:val="04A0"/>
      </w:tblPr>
      <w:tblGrid>
        <w:gridCol w:w="2070"/>
        <w:gridCol w:w="810"/>
        <w:gridCol w:w="810"/>
        <w:gridCol w:w="990"/>
        <w:gridCol w:w="1980"/>
        <w:gridCol w:w="900"/>
        <w:gridCol w:w="900"/>
        <w:gridCol w:w="1170"/>
      </w:tblGrid>
      <w:tr w:rsidR="00DA3ED0" w:rsidRPr="00473D5C" w:rsidTr="00E1547E">
        <w:trPr>
          <w:trHeight w:val="233"/>
        </w:trPr>
        <w:tc>
          <w:tcPr>
            <w:tcW w:w="4680" w:type="dxa"/>
            <w:gridSpan w:val="4"/>
            <w:tcBorders>
              <w:top w:val="single" w:sz="4" w:space="0" w:color="000000" w:themeColor="text1"/>
              <w:left w:val="single" w:sz="4" w:space="0" w:color="000000" w:themeColor="text1"/>
              <w:bottom w:val="single" w:sz="4" w:space="0" w:color="000000" w:themeColor="text1"/>
              <w:right w:val="thinThickThinSmallGap" w:sz="24" w:space="0" w:color="000000" w:themeColor="text1"/>
            </w:tcBorders>
            <w:shd w:val="clear" w:color="auto" w:fill="EEECE1" w:themeFill="background2"/>
            <w:hideMark/>
          </w:tcPr>
          <w:p w:rsidR="00DA3ED0" w:rsidRPr="00473D5C" w:rsidRDefault="00254D61" w:rsidP="00141048">
            <w:pPr>
              <w:pStyle w:val="ListParagraph"/>
              <w:spacing w:after="0" w:line="240" w:lineRule="exact"/>
              <w:ind w:left="0"/>
              <w:jc w:val="center"/>
              <w:rPr>
                <w:rFonts w:cs="Times New Roman"/>
                <w:b/>
                <w:sz w:val="20"/>
                <w:szCs w:val="20"/>
              </w:rPr>
            </w:pPr>
            <w:r>
              <w:rPr>
                <w:rFonts w:cs="Times New Roman"/>
                <w:b/>
                <w:sz w:val="20"/>
                <w:szCs w:val="20"/>
              </w:rPr>
              <w:t>Navy</w:t>
            </w:r>
            <w:r w:rsidR="00DA3ED0" w:rsidRPr="00473D5C">
              <w:rPr>
                <w:rFonts w:cs="Times New Roman"/>
                <w:b/>
                <w:sz w:val="20"/>
                <w:szCs w:val="20"/>
              </w:rPr>
              <w:t xml:space="preserve"> </w:t>
            </w:r>
            <w:r w:rsidR="0042237B">
              <w:rPr>
                <w:rFonts w:cs="Times New Roman"/>
                <w:b/>
                <w:sz w:val="20"/>
                <w:szCs w:val="20"/>
              </w:rPr>
              <w:t>I</w:t>
            </w:r>
            <w:r w:rsidR="00DA3ED0" w:rsidRPr="00473D5C">
              <w:rPr>
                <w:rFonts w:cs="Times New Roman"/>
                <w:b/>
                <w:sz w:val="20"/>
                <w:szCs w:val="20"/>
              </w:rPr>
              <w:t>PEB</w:t>
            </w:r>
            <w:r>
              <w:rPr>
                <w:rFonts w:cs="Times New Roman"/>
                <w:b/>
                <w:sz w:val="20"/>
                <w:szCs w:val="20"/>
              </w:rPr>
              <w:t xml:space="preserve"> (dated 20060118)</w:t>
            </w:r>
          </w:p>
        </w:tc>
        <w:tc>
          <w:tcPr>
            <w:tcW w:w="4950" w:type="dxa"/>
            <w:gridSpan w:val="4"/>
            <w:tcBorders>
              <w:top w:val="single" w:sz="4" w:space="0" w:color="000000" w:themeColor="text1"/>
              <w:left w:val="thinThickThinSmallGap" w:sz="24" w:space="0" w:color="000000" w:themeColor="text1"/>
              <w:bottom w:val="single" w:sz="4" w:space="0" w:color="000000" w:themeColor="text1"/>
              <w:right w:val="single" w:sz="4" w:space="0" w:color="000000" w:themeColor="text1"/>
            </w:tcBorders>
            <w:shd w:val="clear" w:color="auto" w:fill="EEECE1" w:themeFill="background2"/>
            <w:hideMark/>
          </w:tcPr>
          <w:p w:rsidR="00DA3ED0" w:rsidRPr="00473D5C" w:rsidRDefault="00DA3ED0" w:rsidP="00141048">
            <w:pPr>
              <w:pStyle w:val="ListParagraph"/>
              <w:spacing w:after="0" w:line="240" w:lineRule="exact"/>
              <w:ind w:left="0"/>
              <w:jc w:val="center"/>
              <w:rPr>
                <w:rFonts w:cs="Times New Roman"/>
                <w:b/>
                <w:sz w:val="20"/>
                <w:szCs w:val="20"/>
              </w:rPr>
            </w:pPr>
            <w:r w:rsidRPr="00473D5C">
              <w:rPr>
                <w:rFonts w:cs="Times New Roman"/>
                <w:b/>
                <w:sz w:val="20"/>
                <w:szCs w:val="20"/>
              </w:rPr>
              <w:t>VA (</w:t>
            </w:r>
            <w:r w:rsidR="00E86CF1">
              <w:rPr>
                <w:rFonts w:cs="Times New Roman"/>
                <w:b/>
                <w:sz w:val="20"/>
                <w:szCs w:val="20"/>
              </w:rPr>
              <w:t xml:space="preserve">7 </w:t>
            </w:r>
            <w:r w:rsidR="00254D61">
              <w:rPr>
                <w:rFonts w:cs="Times New Roman"/>
                <w:b/>
                <w:sz w:val="20"/>
                <w:szCs w:val="20"/>
              </w:rPr>
              <w:t>m</w:t>
            </w:r>
            <w:r w:rsidRPr="00473D5C">
              <w:rPr>
                <w:rFonts w:cs="Times New Roman"/>
                <w:b/>
                <w:sz w:val="20"/>
                <w:szCs w:val="20"/>
              </w:rPr>
              <w:t>o. after Separation)</w:t>
            </w:r>
            <w:r w:rsidR="00E1547E">
              <w:rPr>
                <w:rFonts w:cs="Times New Roman"/>
                <w:b/>
                <w:sz w:val="20"/>
                <w:szCs w:val="20"/>
              </w:rPr>
              <w:t xml:space="preserve"> Effective 20060316</w:t>
            </w:r>
          </w:p>
        </w:tc>
      </w:tr>
      <w:tr w:rsidR="00E1547E" w:rsidRPr="00473D5C" w:rsidTr="009E3417">
        <w:trPr>
          <w:trHeight w:val="233"/>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E1547E" w:rsidRPr="00473D5C" w:rsidRDefault="00E1547E" w:rsidP="00141048">
            <w:pPr>
              <w:pStyle w:val="ListParagraph"/>
              <w:spacing w:after="0" w:line="240" w:lineRule="exact"/>
              <w:ind w:left="0"/>
              <w:jc w:val="center"/>
              <w:rPr>
                <w:rFonts w:cs="Times New Roman"/>
                <w:b/>
                <w:sz w:val="20"/>
                <w:szCs w:val="20"/>
              </w:rPr>
            </w:pPr>
            <w:r w:rsidRPr="00473D5C">
              <w:rPr>
                <w:rFonts w:cs="Times New Roman"/>
                <w:b/>
                <w:sz w:val="20"/>
                <w:szCs w:val="20"/>
              </w:rPr>
              <w:t>Unfitting Conditions</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E1547E" w:rsidRPr="00473D5C" w:rsidRDefault="00E1547E" w:rsidP="00141048">
            <w:pPr>
              <w:pStyle w:val="ListParagraph"/>
              <w:spacing w:after="0" w:line="240" w:lineRule="exact"/>
              <w:ind w:left="0"/>
              <w:jc w:val="center"/>
              <w:rPr>
                <w:rFonts w:cs="Times New Roman"/>
                <w:b/>
                <w:sz w:val="20"/>
                <w:szCs w:val="20"/>
              </w:rPr>
            </w:pPr>
            <w:r w:rsidRPr="00473D5C">
              <w:rPr>
                <w:rFonts w:cs="Times New Roman"/>
                <w:b/>
                <w:sz w:val="20"/>
                <w:szCs w:val="20"/>
              </w:rPr>
              <w:t>Code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E1547E" w:rsidRPr="00473D5C" w:rsidRDefault="00E1547E" w:rsidP="00141048">
            <w:pPr>
              <w:pStyle w:val="ListParagraph"/>
              <w:spacing w:after="0" w:line="240" w:lineRule="exact"/>
              <w:ind w:left="0"/>
              <w:jc w:val="center"/>
              <w:rPr>
                <w:rFonts w:cs="Times New Roman"/>
                <w:b/>
                <w:sz w:val="20"/>
                <w:szCs w:val="20"/>
              </w:rPr>
            </w:pPr>
            <w:r w:rsidRPr="00473D5C">
              <w:rPr>
                <w:rFonts w:cs="Times New Roman"/>
                <w:b/>
                <w:sz w:val="20"/>
                <w:szCs w:val="20"/>
              </w:rPr>
              <w:t>Rating</w:t>
            </w:r>
          </w:p>
        </w:tc>
        <w:tc>
          <w:tcPr>
            <w:tcW w:w="990" w:type="dxa"/>
            <w:tcBorders>
              <w:top w:val="single" w:sz="4" w:space="0" w:color="000000" w:themeColor="text1"/>
              <w:left w:val="single" w:sz="4" w:space="0" w:color="000000" w:themeColor="text1"/>
              <w:bottom w:val="single" w:sz="4" w:space="0" w:color="000000" w:themeColor="text1"/>
              <w:right w:val="thinThickThinSmallGap" w:sz="24" w:space="0" w:color="000000" w:themeColor="text1"/>
            </w:tcBorders>
            <w:shd w:val="clear" w:color="auto" w:fill="EEECE1" w:themeFill="background2"/>
            <w:hideMark/>
          </w:tcPr>
          <w:p w:rsidR="00E1547E" w:rsidRPr="00473D5C" w:rsidRDefault="00E1547E" w:rsidP="00141048">
            <w:pPr>
              <w:pStyle w:val="ListParagraph"/>
              <w:spacing w:after="0" w:line="240" w:lineRule="exact"/>
              <w:ind w:left="0"/>
              <w:jc w:val="center"/>
              <w:rPr>
                <w:rFonts w:cs="Times New Roman"/>
                <w:b/>
                <w:sz w:val="20"/>
                <w:szCs w:val="20"/>
              </w:rPr>
            </w:pPr>
            <w:r w:rsidRPr="00473D5C">
              <w:rPr>
                <w:rFonts w:cs="Times New Roman"/>
                <w:b/>
                <w:sz w:val="20"/>
                <w:szCs w:val="20"/>
              </w:rPr>
              <w:t>Date</w:t>
            </w:r>
          </w:p>
        </w:tc>
        <w:tc>
          <w:tcPr>
            <w:tcW w:w="1980" w:type="dxa"/>
            <w:tcBorders>
              <w:top w:val="single" w:sz="4" w:space="0" w:color="000000" w:themeColor="text1"/>
              <w:left w:val="thinThickThinSmallGap" w:sz="24" w:space="0" w:color="000000" w:themeColor="text1"/>
              <w:bottom w:val="single" w:sz="4" w:space="0" w:color="000000" w:themeColor="text1"/>
              <w:right w:val="single" w:sz="4" w:space="0" w:color="000000" w:themeColor="text1"/>
            </w:tcBorders>
            <w:shd w:val="clear" w:color="auto" w:fill="EEECE1" w:themeFill="background2"/>
            <w:hideMark/>
          </w:tcPr>
          <w:p w:rsidR="00E1547E" w:rsidRPr="00473D5C" w:rsidRDefault="00E1547E" w:rsidP="00141048">
            <w:pPr>
              <w:pStyle w:val="ListParagraph"/>
              <w:spacing w:after="0" w:line="240" w:lineRule="exact"/>
              <w:ind w:left="0"/>
              <w:jc w:val="center"/>
              <w:rPr>
                <w:rFonts w:cs="Times New Roman"/>
                <w:b/>
                <w:sz w:val="20"/>
                <w:szCs w:val="20"/>
              </w:rPr>
            </w:pPr>
            <w:r w:rsidRPr="00473D5C">
              <w:rPr>
                <w:rFonts w:cs="Times New Roman"/>
                <w:b/>
                <w:sz w:val="20"/>
                <w:szCs w:val="20"/>
              </w:rPr>
              <w:t>Condition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E1547E" w:rsidRPr="00473D5C" w:rsidRDefault="00E1547E" w:rsidP="00141048">
            <w:pPr>
              <w:pStyle w:val="ListParagraph"/>
              <w:spacing w:after="0" w:line="240" w:lineRule="exact"/>
              <w:ind w:left="0"/>
              <w:jc w:val="center"/>
              <w:rPr>
                <w:rFonts w:cs="Times New Roman"/>
                <w:b/>
                <w:sz w:val="20"/>
                <w:szCs w:val="20"/>
              </w:rPr>
            </w:pPr>
            <w:r w:rsidRPr="00473D5C">
              <w:rPr>
                <w:rFonts w:cs="Times New Roman"/>
                <w:b/>
                <w:sz w:val="20"/>
                <w:szCs w:val="20"/>
              </w:rPr>
              <w:t>Code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E1547E" w:rsidRPr="00473D5C" w:rsidRDefault="00E1547E" w:rsidP="00141048">
            <w:pPr>
              <w:pStyle w:val="ListParagraph"/>
              <w:spacing w:after="0" w:line="240" w:lineRule="exact"/>
              <w:ind w:left="0"/>
              <w:jc w:val="center"/>
              <w:rPr>
                <w:rFonts w:cs="Times New Roman"/>
                <w:b/>
                <w:sz w:val="20"/>
                <w:szCs w:val="20"/>
              </w:rPr>
            </w:pPr>
            <w:r w:rsidRPr="00473D5C">
              <w:rPr>
                <w:rFonts w:cs="Times New Roman"/>
                <w:b/>
                <w:sz w:val="20"/>
                <w:szCs w:val="20"/>
              </w:rPr>
              <w:t>Rating</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E1547E" w:rsidRPr="00473D5C" w:rsidRDefault="00E1547E" w:rsidP="00141048">
            <w:pPr>
              <w:pStyle w:val="ListParagraph"/>
              <w:spacing w:after="0" w:line="240" w:lineRule="exact"/>
              <w:ind w:left="0"/>
              <w:jc w:val="center"/>
              <w:rPr>
                <w:rFonts w:cs="Times New Roman"/>
                <w:b/>
                <w:sz w:val="20"/>
                <w:szCs w:val="20"/>
              </w:rPr>
            </w:pPr>
            <w:r w:rsidRPr="00473D5C">
              <w:rPr>
                <w:rFonts w:cs="Times New Roman"/>
                <w:b/>
                <w:sz w:val="20"/>
                <w:szCs w:val="20"/>
              </w:rPr>
              <w:t>Exam</w:t>
            </w:r>
          </w:p>
        </w:tc>
      </w:tr>
      <w:tr w:rsidR="00E1547E" w:rsidRPr="00F77360" w:rsidTr="009E3417">
        <w:trPr>
          <w:trHeight w:val="197"/>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E" w:rsidRPr="00473D5C" w:rsidRDefault="00E1547E" w:rsidP="00141048">
            <w:pPr>
              <w:autoSpaceDE w:val="0"/>
              <w:autoSpaceDN w:val="0"/>
              <w:adjustRightInd w:val="0"/>
              <w:spacing w:after="0" w:line="240" w:lineRule="exact"/>
              <w:rPr>
                <w:rFonts w:cs="Times New Roman"/>
                <w:sz w:val="18"/>
                <w:szCs w:val="18"/>
              </w:rPr>
            </w:pPr>
            <w:r w:rsidRPr="00DA372F">
              <w:rPr>
                <w:rFonts w:cs="Times New Roman"/>
                <w:sz w:val="18"/>
                <w:szCs w:val="18"/>
              </w:rPr>
              <w:t>Left Sh</w:t>
            </w:r>
            <w:r>
              <w:rPr>
                <w:rFonts w:cs="Times New Roman"/>
                <w:sz w:val="18"/>
                <w:szCs w:val="18"/>
              </w:rPr>
              <w:t xml:space="preserve">oulder Condition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E" w:rsidRPr="00720A5D" w:rsidRDefault="00E1547E" w:rsidP="00141048">
            <w:pPr>
              <w:pStyle w:val="ListParagraph"/>
              <w:spacing w:after="0" w:line="240" w:lineRule="exact"/>
              <w:ind w:left="0"/>
              <w:jc w:val="center"/>
              <w:rPr>
                <w:rFonts w:cs="Times New Roman"/>
                <w:sz w:val="18"/>
                <w:szCs w:val="18"/>
              </w:rPr>
            </w:pPr>
            <w:r w:rsidRPr="00720A5D">
              <w:rPr>
                <w:rFonts w:cs="Times New Roman"/>
                <w:sz w:val="18"/>
                <w:szCs w:val="18"/>
              </w:rPr>
              <w:t>5202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E" w:rsidRPr="00720A5D" w:rsidRDefault="00E1547E" w:rsidP="00141048">
            <w:pPr>
              <w:pStyle w:val="ListParagraph"/>
              <w:spacing w:after="0" w:line="240" w:lineRule="exact"/>
              <w:ind w:left="0"/>
              <w:jc w:val="center"/>
              <w:rPr>
                <w:rFonts w:cs="Times New Roman"/>
                <w:sz w:val="18"/>
                <w:szCs w:val="18"/>
              </w:rPr>
            </w:pPr>
            <w:r w:rsidRPr="00720A5D">
              <w:rPr>
                <w:rFonts w:cs="Times New Roman"/>
                <w:sz w:val="18"/>
                <w:szCs w:val="18"/>
              </w:rPr>
              <w:t>20%</w:t>
            </w:r>
          </w:p>
        </w:tc>
        <w:tc>
          <w:tcPr>
            <w:tcW w:w="990" w:type="dxa"/>
            <w:tcBorders>
              <w:top w:val="single" w:sz="4" w:space="0" w:color="000000" w:themeColor="text1"/>
              <w:left w:val="single" w:sz="4" w:space="0" w:color="000000" w:themeColor="text1"/>
              <w:bottom w:val="single" w:sz="4" w:space="0" w:color="000000" w:themeColor="text1"/>
              <w:right w:val="thinThickThinSmallGap" w:sz="24" w:space="0" w:color="000000" w:themeColor="text1"/>
            </w:tcBorders>
            <w:hideMark/>
          </w:tcPr>
          <w:p w:rsidR="00E1547E" w:rsidRPr="00720A5D" w:rsidRDefault="00E1547E" w:rsidP="00141048">
            <w:pPr>
              <w:pStyle w:val="ListParagraph"/>
              <w:spacing w:after="0" w:line="240" w:lineRule="exact"/>
              <w:ind w:left="0"/>
              <w:rPr>
                <w:rFonts w:cs="Times New Roman"/>
                <w:sz w:val="18"/>
                <w:szCs w:val="18"/>
              </w:rPr>
            </w:pPr>
            <w:r w:rsidRPr="00720A5D">
              <w:rPr>
                <w:rFonts w:cs="Times New Roman"/>
                <w:sz w:val="18"/>
                <w:szCs w:val="18"/>
              </w:rPr>
              <w:t>20060118</w:t>
            </w:r>
          </w:p>
        </w:tc>
        <w:tc>
          <w:tcPr>
            <w:tcW w:w="1980" w:type="dxa"/>
            <w:tcBorders>
              <w:top w:val="single" w:sz="4" w:space="0" w:color="000000" w:themeColor="text1"/>
              <w:left w:val="thinThickThinSmallGap" w:sz="24" w:space="0" w:color="000000" w:themeColor="text1"/>
              <w:bottom w:val="single" w:sz="4" w:space="0" w:color="000000" w:themeColor="text1"/>
              <w:right w:val="single" w:sz="4" w:space="0" w:color="000000" w:themeColor="text1"/>
            </w:tcBorders>
            <w:hideMark/>
          </w:tcPr>
          <w:p w:rsidR="00E1547E" w:rsidRPr="006E53D9" w:rsidRDefault="00E1547E" w:rsidP="00141048">
            <w:pPr>
              <w:pStyle w:val="ListParagraph"/>
              <w:spacing w:after="0" w:line="240" w:lineRule="exact"/>
              <w:ind w:left="0"/>
              <w:rPr>
                <w:rFonts w:cs="Times New Roman"/>
                <w:sz w:val="18"/>
                <w:szCs w:val="18"/>
              </w:rPr>
            </w:pPr>
            <w:r w:rsidRPr="006E53D9">
              <w:rPr>
                <w:rFonts w:cs="Times New Roman"/>
                <w:sz w:val="18"/>
                <w:szCs w:val="18"/>
              </w:rPr>
              <w:t>Left Shoulder</w:t>
            </w:r>
            <w:r>
              <w:rPr>
                <w:rFonts w:cs="Times New Roman"/>
                <w:sz w:val="18"/>
                <w:szCs w:val="18"/>
              </w:rPr>
              <w:t xml:space="preserve"> Condition</w:t>
            </w:r>
            <w:r w:rsidRPr="006E53D9">
              <w:rPr>
                <w:rFonts w:cs="Times New Roman"/>
                <w:sz w:val="18"/>
                <w:szCs w:val="18"/>
              </w:rPr>
              <w:t xml:space="preserve"> (Non</w:t>
            </w:r>
            <w:r w:rsidR="009F41F9">
              <w:rPr>
                <w:rFonts w:cs="Times New Roman"/>
                <w:sz w:val="18"/>
                <w:szCs w:val="18"/>
              </w:rPr>
              <w:t>-</w:t>
            </w:r>
            <w:r w:rsidRPr="006E53D9">
              <w:rPr>
                <w:rFonts w:cs="Times New Roman"/>
                <w:sz w:val="18"/>
                <w:szCs w:val="18"/>
              </w:rPr>
              <w:t>dominant)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E" w:rsidRPr="00F77360" w:rsidRDefault="00E1547E" w:rsidP="00141048">
            <w:pPr>
              <w:pStyle w:val="ListParagraph"/>
              <w:spacing w:after="0" w:line="240" w:lineRule="exact"/>
              <w:ind w:left="0"/>
              <w:jc w:val="center"/>
              <w:rPr>
                <w:rFonts w:cs="Times New Roman"/>
                <w:sz w:val="18"/>
                <w:szCs w:val="18"/>
              </w:rPr>
            </w:pPr>
            <w:r w:rsidRPr="00F77360">
              <w:rPr>
                <w:rFonts w:cs="Times New Roman"/>
                <w:sz w:val="18"/>
                <w:szCs w:val="18"/>
              </w:rPr>
              <w:t>5299-5203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E" w:rsidRPr="00F77360" w:rsidRDefault="00E1547E" w:rsidP="00141048">
            <w:pPr>
              <w:pStyle w:val="ListParagraph"/>
              <w:spacing w:after="0" w:line="240" w:lineRule="exact"/>
              <w:ind w:left="0"/>
              <w:jc w:val="center"/>
              <w:rPr>
                <w:rFonts w:cs="Times New Roman"/>
                <w:sz w:val="18"/>
                <w:szCs w:val="18"/>
              </w:rPr>
            </w:pPr>
            <w:r w:rsidRPr="00F77360">
              <w:rPr>
                <w:rFonts w:cs="Times New Roman"/>
                <w:sz w:val="18"/>
                <w:szCs w:val="18"/>
              </w:rPr>
              <w:t>10%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E" w:rsidRPr="00F77360" w:rsidRDefault="00E1547E" w:rsidP="00141048">
            <w:pPr>
              <w:pStyle w:val="ListParagraph"/>
              <w:spacing w:after="0" w:line="240" w:lineRule="exact"/>
              <w:ind w:left="0"/>
              <w:jc w:val="center"/>
              <w:rPr>
                <w:rFonts w:cs="Times New Roman"/>
                <w:sz w:val="18"/>
                <w:szCs w:val="18"/>
              </w:rPr>
            </w:pPr>
            <w:r>
              <w:rPr>
                <w:rFonts w:cs="Times New Roman"/>
                <w:sz w:val="18"/>
                <w:szCs w:val="18"/>
              </w:rPr>
              <w:t>20061006</w:t>
            </w:r>
          </w:p>
        </w:tc>
      </w:tr>
      <w:tr w:rsidR="00E1547E" w:rsidRPr="00F77360" w:rsidTr="00E1547E">
        <w:trPr>
          <w:trHeight w:val="60"/>
        </w:trPr>
        <w:tc>
          <w:tcPr>
            <w:tcW w:w="4680" w:type="dxa"/>
            <w:gridSpan w:val="4"/>
            <w:vMerge w:val="restart"/>
            <w:tcBorders>
              <w:top w:val="single" w:sz="4" w:space="0" w:color="000000" w:themeColor="text1"/>
              <w:left w:val="single" w:sz="4" w:space="0" w:color="000000" w:themeColor="text1"/>
              <w:right w:val="thinThickThinSmallGap" w:sz="24" w:space="0" w:color="000000" w:themeColor="text1"/>
            </w:tcBorders>
            <w:hideMark/>
          </w:tcPr>
          <w:p w:rsidR="00E1547E" w:rsidRPr="00720A5D" w:rsidRDefault="00E1547E" w:rsidP="00E1547E">
            <w:pPr>
              <w:pStyle w:val="ListParagraph"/>
              <w:spacing w:after="0" w:line="240" w:lineRule="exact"/>
              <w:ind w:left="0"/>
              <w:jc w:val="center"/>
              <w:rPr>
                <w:rFonts w:cs="Times New Roman"/>
                <w:sz w:val="18"/>
                <w:szCs w:val="18"/>
              </w:rPr>
            </w:pPr>
            <w:r>
              <w:rPr>
                <w:rFonts w:cs="Times New Roman"/>
                <w:sz w:val="18"/>
                <w:szCs w:val="18"/>
              </w:rPr>
              <w:t>No PEB entry</w:t>
            </w:r>
          </w:p>
        </w:tc>
        <w:tc>
          <w:tcPr>
            <w:tcW w:w="1980" w:type="dxa"/>
            <w:tcBorders>
              <w:top w:val="single" w:sz="4" w:space="0" w:color="000000" w:themeColor="text1"/>
              <w:left w:val="thinThickThinSmallGap" w:sz="24" w:space="0" w:color="000000" w:themeColor="text1"/>
              <w:bottom w:val="single" w:sz="4" w:space="0" w:color="000000" w:themeColor="text1"/>
              <w:right w:val="single" w:sz="4" w:space="0" w:color="000000" w:themeColor="text1"/>
            </w:tcBorders>
            <w:hideMark/>
          </w:tcPr>
          <w:p w:rsidR="00E1547E" w:rsidRPr="006E53D9" w:rsidRDefault="00E1547E" w:rsidP="00141048">
            <w:pPr>
              <w:pStyle w:val="ListParagraph"/>
              <w:spacing w:after="0" w:line="240" w:lineRule="exact"/>
              <w:ind w:left="0"/>
              <w:rPr>
                <w:rFonts w:cs="Times New Roman"/>
                <w:sz w:val="18"/>
                <w:szCs w:val="18"/>
              </w:rPr>
            </w:pPr>
            <w:r w:rsidRPr="006E53D9">
              <w:rPr>
                <w:rFonts w:cs="Times New Roman"/>
                <w:sz w:val="18"/>
                <w:szCs w:val="18"/>
              </w:rPr>
              <w:t xml:space="preserve">Right Shoulder </w:t>
            </w:r>
            <w:r>
              <w:rPr>
                <w:rFonts w:cs="Times New Roman"/>
                <w:sz w:val="18"/>
                <w:szCs w:val="18"/>
              </w:rPr>
              <w:t>Condition</w:t>
            </w:r>
            <w:r w:rsidRPr="006E53D9">
              <w:rPr>
                <w:rFonts w:cs="Times New Roman"/>
                <w:sz w:val="18"/>
                <w:szCs w:val="18"/>
              </w:rPr>
              <w:t xml:space="preserve"> (Dominant)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E" w:rsidRPr="00F77360" w:rsidRDefault="00E1547E" w:rsidP="00141048">
            <w:pPr>
              <w:pStyle w:val="ListParagraph"/>
              <w:spacing w:after="0" w:line="240" w:lineRule="exact"/>
              <w:ind w:left="0"/>
              <w:jc w:val="center"/>
              <w:rPr>
                <w:rFonts w:cs="Times New Roman"/>
                <w:sz w:val="18"/>
                <w:szCs w:val="18"/>
              </w:rPr>
            </w:pPr>
            <w:r w:rsidRPr="00F77360">
              <w:rPr>
                <w:rFonts w:cs="Times New Roman"/>
                <w:sz w:val="18"/>
                <w:szCs w:val="18"/>
              </w:rPr>
              <w:t>5299-5203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E" w:rsidRPr="00F77360" w:rsidRDefault="00E1547E" w:rsidP="00141048">
            <w:pPr>
              <w:pStyle w:val="ListParagraph"/>
              <w:spacing w:after="0" w:line="240" w:lineRule="exact"/>
              <w:ind w:left="0"/>
              <w:jc w:val="center"/>
              <w:rPr>
                <w:rFonts w:cs="Times New Roman"/>
                <w:sz w:val="18"/>
                <w:szCs w:val="18"/>
              </w:rPr>
            </w:pPr>
            <w:r w:rsidRPr="00F77360">
              <w:rPr>
                <w:rFonts w:cs="Times New Roman"/>
                <w:sz w:val="18"/>
                <w:szCs w:val="18"/>
              </w:rPr>
              <w:t>10%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E" w:rsidRPr="00F77360" w:rsidRDefault="00E1547E" w:rsidP="00141048">
            <w:pPr>
              <w:pStyle w:val="ListParagraph"/>
              <w:spacing w:after="0" w:line="240" w:lineRule="exact"/>
              <w:ind w:left="0"/>
              <w:jc w:val="center"/>
              <w:rPr>
                <w:rFonts w:cs="Times New Roman"/>
                <w:sz w:val="18"/>
                <w:szCs w:val="18"/>
              </w:rPr>
            </w:pPr>
            <w:r>
              <w:rPr>
                <w:rFonts w:cs="Times New Roman"/>
                <w:sz w:val="18"/>
                <w:szCs w:val="18"/>
              </w:rPr>
              <w:t>20061006</w:t>
            </w:r>
          </w:p>
        </w:tc>
      </w:tr>
      <w:tr w:rsidR="00E1547E" w:rsidRPr="00F77360" w:rsidTr="00E1547E">
        <w:trPr>
          <w:trHeight w:val="197"/>
        </w:trPr>
        <w:tc>
          <w:tcPr>
            <w:tcW w:w="4680" w:type="dxa"/>
            <w:gridSpan w:val="4"/>
            <w:vMerge/>
            <w:tcBorders>
              <w:left w:val="single" w:sz="4" w:space="0" w:color="000000" w:themeColor="text1"/>
              <w:bottom w:val="single" w:sz="4" w:space="0" w:color="000000" w:themeColor="text1"/>
              <w:right w:val="thinThickThinSmallGap" w:sz="24" w:space="0" w:color="000000" w:themeColor="text1"/>
            </w:tcBorders>
            <w:hideMark/>
          </w:tcPr>
          <w:p w:rsidR="00E1547E" w:rsidRPr="00720A5D" w:rsidRDefault="00E1547E" w:rsidP="00E1547E">
            <w:pPr>
              <w:pStyle w:val="ListParagraph"/>
              <w:spacing w:after="0" w:line="240" w:lineRule="exact"/>
              <w:ind w:left="0"/>
              <w:rPr>
                <w:rFonts w:cs="Times New Roman"/>
                <w:sz w:val="18"/>
                <w:szCs w:val="18"/>
              </w:rPr>
            </w:pPr>
          </w:p>
        </w:tc>
        <w:tc>
          <w:tcPr>
            <w:tcW w:w="1980" w:type="dxa"/>
            <w:tcBorders>
              <w:top w:val="single" w:sz="4" w:space="0" w:color="000000" w:themeColor="text1"/>
              <w:left w:val="thinThickThinSmallGap" w:sz="24" w:space="0" w:color="000000" w:themeColor="text1"/>
              <w:bottom w:val="single" w:sz="4" w:space="0" w:color="000000" w:themeColor="text1"/>
              <w:right w:val="single" w:sz="4" w:space="0" w:color="000000" w:themeColor="text1"/>
            </w:tcBorders>
            <w:hideMark/>
          </w:tcPr>
          <w:p w:rsidR="00E1547E" w:rsidRPr="006E53D9" w:rsidRDefault="00E1547E" w:rsidP="00E1547E">
            <w:pPr>
              <w:pStyle w:val="ListParagraph"/>
              <w:spacing w:after="0" w:line="240" w:lineRule="exact"/>
              <w:ind w:left="0"/>
              <w:rPr>
                <w:rFonts w:cs="Times New Roman"/>
                <w:sz w:val="18"/>
                <w:szCs w:val="18"/>
              </w:rPr>
            </w:pPr>
            <w:r w:rsidRPr="006E53D9">
              <w:rPr>
                <w:rFonts w:cs="Times New Roman"/>
                <w:sz w:val="18"/>
                <w:szCs w:val="18"/>
              </w:rPr>
              <w:t>Bipolar D</w:t>
            </w:r>
            <w:r>
              <w:rPr>
                <w:rFonts w:cs="Times New Roman"/>
                <w:sz w:val="18"/>
                <w:szCs w:val="18"/>
              </w:rPr>
              <w:t xml:space="preserve">isorder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E" w:rsidRPr="00F77360" w:rsidRDefault="00E1547E" w:rsidP="00141048">
            <w:pPr>
              <w:pStyle w:val="ListParagraph"/>
              <w:spacing w:after="0" w:line="240" w:lineRule="exact"/>
              <w:ind w:left="0"/>
              <w:jc w:val="center"/>
              <w:rPr>
                <w:rFonts w:cs="Times New Roman"/>
                <w:sz w:val="18"/>
                <w:szCs w:val="18"/>
              </w:rPr>
            </w:pPr>
            <w:r w:rsidRPr="00F77360">
              <w:rPr>
                <w:rFonts w:cs="Times New Roman"/>
                <w:sz w:val="18"/>
                <w:szCs w:val="18"/>
              </w:rPr>
              <w:t>9434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E" w:rsidRPr="00F77360" w:rsidRDefault="00E1547E" w:rsidP="00141048">
            <w:pPr>
              <w:pStyle w:val="ListParagraph"/>
              <w:spacing w:after="0" w:line="240" w:lineRule="exact"/>
              <w:ind w:left="0"/>
              <w:jc w:val="center"/>
              <w:rPr>
                <w:rFonts w:cs="Times New Roman"/>
                <w:sz w:val="18"/>
                <w:szCs w:val="18"/>
              </w:rPr>
            </w:pPr>
            <w:r w:rsidRPr="00F77360">
              <w:rPr>
                <w:rFonts w:cs="Times New Roman"/>
                <w:sz w:val="18"/>
                <w:szCs w:val="18"/>
              </w:rPr>
              <w:t>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E" w:rsidRPr="00F77360" w:rsidRDefault="00E1547E" w:rsidP="00141048">
            <w:pPr>
              <w:pStyle w:val="ListParagraph"/>
              <w:spacing w:after="0" w:line="240" w:lineRule="exact"/>
              <w:ind w:left="0"/>
              <w:jc w:val="center"/>
              <w:rPr>
                <w:rFonts w:cs="Times New Roman"/>
                <w:sz w:val="18"/>
                <w:szCs w:val="18"/>
              </w:rPr>
            </w:pPr>
            <w:r>
              <w:rPr>
                <w:rFonts w:cs="Times New Roman"/>
                <w:sz w:val="18"/>
                <w:szCs w:val="18"/>
              </w:rPr>
              <w:t>20061006</w:t>
            </w:r>
          </w:p>
        </w:tc>
      </w:tr>
      <w:tr w:rsidR="00E1547E" w:rsidRPr="00F77360" w:rsidTr="00E1547E">
        <w:trPr>
          <w:trHeight w:val="197"/>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E" w:rsidRPr="00DA372F" w:rsidRDefault="00E1547E" w:rsidP="00141048">
            <w:pPr>
              <w:autoSpaceDE w:val="0"/>
              <w:autoSpaceDN w:val="0"/>
              <w:adjustRightInd w:val="0"/>
              <w:spacing w:after="0" w:line="240" w:lineRule="exact"/>
              <w:rPr>
                <w:rFonts w:cs="Times New Roman"/>
                <w:sz w:val="18"/>
                <w:szCs w:val="18"/>
              </w:rPr>
            </w:pPr>
            <w:r>
              <w:rPr>
                <w:rFonts w:cs="Times New Roman"/>
                <w:sz w:val="18"/>
                <w:szCs w:val="18"/>
              </w:rPr>
              <w:t>Hypertension</w:t>
            </w:r>
          </w:p>
        </w:tc>
        <w:tc>
          <w:tcPr>
            <w:tcW w:w="2610" w:type="dxa"/>
            <w:gridSpan w:val="3"/>
            <w:tcBorders>
              <w:top w:val="single" w:sz="4" w:space="0" w:color="000000" w:themeColor="text1"/>
              <w:left w:val="single" w:sz="4" w:space="0" w:color="000000" w:themeColor="text1"/>
              <w:bottom w:val="single" w:sz="4" w:space="0" w:color="000000" w:themeColor="text1"/>
              <w:right w:val="thinThickThinSmallGap" w:sz="24" w:space="0" w:color="000000" w:themeColor="text1"/>
            </w:tcBorders>
            <w:hideMark/>
          </w:tcPr>
          <w:p w:rsidR="00E1547E" w:rsidRPr="00720A5D" w:rsidRDefault="00E1547E" w:rsidP="00E1547E">
            <w:pPr>
              <w:pStyle w:val="ListParagraph"/>
              <w:spacing w:after="0" w:line="240" w:lineRule="exact"/>
              <w:ind w:left="0"/>
              <w:jc w:val="center"/>
              <w:rPr>
                <w:rFonts w:cs="Times New Roman"/>
                <w:sz w:val="18"/>
                <w:szCs w:val="18"/>
              </w:rPr>
            </w:pPr>
            <w:r>
              <w:rPr>
                <w:rFonts w:cs="Times New Roman"/>
                <w:sz w:val="18"/>
                <w:szCs w:val="18"/>
              </w:rPr>
              <w:t>Not Unfitting</w:t>
            </w:r>
          </w:p>
        </w:tc>
        <w:tc>
          <w:tcPr>
            <w:tcW w:w="1980" w:type="dxa"/>
            <w:tcBorders>
              <w:top w:val="single" w:sz="4" w:space="0" w:color="000000" w:themeColor="text1"/>
              <w:left w:val="thinThickThinSmallGap" w:sz="24" w:space="0" w:color="000000" w:themeColor="text1"/>
              <w:bottom w:val="single" w:sz="4" w:space="0" w:color="000000" w:themeColor="text1"/>
              <w:right w:val="single" w:sz="4" w:space="0" w:color="000000" w:themeColor="text1"/>
            </w:tcBorders>
            <w:hideMark/>
          </w:tcPr>
          <w:p w:rsidR="00E1547E" w:rsidRPr="006E53D9" w:rsidRDefault="00E1547E" w:rsidP="00141048">
            <w:pPr>
              <w:pStyle w:val="ListParagraph"/>
              <w:spacing w:after="0" w:line="240" w:lineRule="exact"/>
              <w:ind w:left="0"/>
              <w:rPr>
                <w:rFonts w:cs="Times New Roman"/>
                <w:sz w:val="18"/>
                <w:szCs w:val="18"/>
              </w:rPr>
            </w:pPr>
            <w:r>
              <w:rPr>
                <w:rFonts w:cs="Times New Roman"/>
                <w:sz w:val="18"/>
                <w:szCs w:val="18"/>
              </w:rPr>
              <w:t>Hypertension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E" w:rsidRPr="00F77360" w:rsidRDefault="00E1547E" w:rsidP="00141048">
            <w:pPr>
              <w:pStyle w:val="ListParagraph"/>
              <w:spacing w:after="0" w:line="240" w:lineRule="exact"/>
              <w:ind w:left="0"/>
              <w:jc w:val="center"/>
              <w:rPr>
                <w:rFonts w:cs="Times New Roman"/>
                <w:sz w:val="18"/>
                <w:szCs w:val="18"/>
              </w:rPr>
            </w:pPr>
            <w:r>
              <w:rPr>
                <w:rFonts w:cs="Times New Roman"/>
                <w:sz w:val="18"/>
                <w:szCs w:val="18"/>
              </w:rPr>
              <w:t>7101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E" w:rsidRPr="00F77360" w:rsidRDefault="00E1547E" w:rsidP="00141048">
            <w:pPr>
              <w:pStyle w:val="ListParagraph"/>
              <w:spacing w:after="0" w:line="240" w:lineRule="exact"/>
              <w:ind w:left="0"/>
              <w:jc w:val="center"/>
              <w:rPr>
                <w:rFonts w:cs="Times New Roman"/>
                <w:sz w:val="18"/>
                <w:szCs w:val="18"/>
              </w:rPr>
            </w:pPr>
            <w:r>
              <w:rPr>
                <w:rFonts w:cs="Times New Roman"/>
                <w:sz w:val="18"/>
                <w:szCs w:val="18"/>
              </w:rPr>
              <w:t>1</w:t>
            </w:r>
            <w:r w:rsidRPr="00F77360">
              <w:rPr>
                <w:rFonts w:cs="Times New Roman"/>
                <w:sz w:val="18"/>
                <w:szCs w:val="18"/>
              </w:rP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E" w:rsidRPr="00F77360" w:rsidRDefault="00E1547E" w:rsidP="00141048">
            <w:pPr>
              <w:pStyle w:val="ListParagraph"/>
              <w:spacing w:after="0" w:line="240" w:lineRule="exact"/>
              <w:ind w:left="0"/>
              <w:jc w:val="center"/>
              <w:rPr>
                <w:rFonts w:cs="Times New Roman"/>
                <w:sz w:val="18"/>
                <w:szCs w:val="18"/>
              </w:rPr>
            </w:pPr>
            <w:r>
              <w:rPr>
                <w:rFonts w:cs="Times New Roman"/>
                <w:sz w:val="18"/>
                <w:szCs w:val="18"/>
              </w:rPr>
              <w:t>20061006</w:t>
            </w:r>
          </w:p>
        </w:tc>
      </w:tr>
      <w:tr w:rsidR="00E1547E" w:rsidRPr="00F77360" w:rsidTr="00F666C2">
        <w:trPr>
          <w:trHeight w:val="197"/>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E" w:rsidRPr="00DF1B45" w:rsidRDefault="00E1547E" w:rsidP="00141048">
            <w:pPr>
              <w:pStyle w:val="ListParagraph"/>
              <w:spacing w:after="0" w:line="240" w:lineRule="exact"/>
              <w:ind w:left="0"/>
              <w:rPr>
                <w:rFonts w:cs="Times New Roman"/>
                <w:sz w:val="18"/>
                <w:szCs w:val="18"/>
              </w:rPr>
            </w:pPr>
            <w:r>
              <w:rPr>
                <w:rFonts w:cs="Times New Roman"/>
                <w:sz w:val="18"/>
                <w:szCs w:val="18"/>
              </w:rPr>
              <w:t>Hyperlipidemia</w:t>
            </w:r>
          </w:p>
        </w:tc>
        <w:tc>
          <w:tcPr>
            <w:tcW w:w="2610" w:type="dxa"/>
            <w:gridSpan w:val="3"/>
            <w:tcBorders>
              <w:top w:val="single" w:sz="4" w:space="0" w:color="000000" w:themeColor="text1"/>
              <w:left w:val="single" w:sz="4" w:space="0" w:color="000000" w:themeColor="text1"/>
              <w:bottom w:val="single" w:sz="4" w:space="0" w:color="000000" w:themeColor="text1"/>
              <w:right w:val="thinThickThinSmallGap" w:sz="24" w:space="0" w:color="000000" w:themeColor="text1"/>
            </w:tcBorders>
            <w:hideMark/>
          </w:tcPr>
          <w:p w:rsidR="00E1547E" w:rsidRPr="00473D5C" w:rsidRDefault="00E1547E" w:rsidP="009A1FDD">
            <w:pPr>
              <w:pStyle w:val="ListParagraph"/>
              <w:spacing w:after="0" w:line="240" w:lineRule="exact"/>
              <w:ind w:left="0"/>
              <w:jc w:val="center"/>
              <w:rPr>
                <w:rFonts w:cs="Times New Roman"/>
                <w:b/>
                <w:sz w:val="18"/>
                <w:szCs w:val="18"/>
              </w:rPr>
            </w:pPr>
            <w:r>
              <w:rPr>
                <w:rFonts w:cs="Times New Roman"/>
                <w:sz w:val="18"/>
                <w:szCs w:val="18"/>
              </w:rPr>
              <w:t>Not Unfitting</w:t>
            </w:r>
          </w:p>
        </w:tc>
        <w:tc>
          <w:tcPr>
            <w:tcW w:w="1980" w:type="dxa"/>
            <w:tcBorders>
              <w:top w:val="single" w:sz="4" w:space="0" w:color="000000" w:themeColor="text1"/>
              <w:left w:val="thinThickThinSmallGap" w:sz="24" w:space="0" w:color="000000" w:themeColor="text1"/>
              <w:bottom w:val="single" w:sz="4" w:space="0" w:color="000000" w:themeColor="text1"/>
              <w:right w:val="single" w:sz="4" w:space="0" w:color="000000" w:themeColor="text1"/>
            </w:tcBorders>
          </w:tcPr>
          <w:p w:rsidR="00E1547E" w:rsidRPr="00F77360" w:rsidRDefault="00E1547E" w:rsidP="009A1FDD">
            <w:pPr>
              <w:pStyle w:val="ListParagraph"/>
              <w:spacing w:after="0" w:line="180" w:lineRule="exact"/>
              <w:ind w:left="0"/>
              <w:rPr>
                <w:rFonts w:cs="Times New Roman"/>
                <w:sz w:val="18"/>
                <w:szCs w:val="18"/>
              </w:rPr>
            </w:pPr>
            <w:r w:rsidRPr="00F77360">
              <w:rPr>
                <w:rFonts w:cs="Times New Roman"/>
                <w:sz w:val="18"/>
                <w:szCs w:val="18"/>
              </w:rPr>
              <w:t>Hypercholesterolemia</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47E" w:rsidRPr="00F77360" w:rsidRDefault="00E1547E" w:rsidP="009A1FDD">
            <w:pPr>
              <w:pStyle w:val="ListParagraph"/>
              <w:spacing w:after="0" w:line="180" w:lineRule="exact"/>
              <w:ind w:left="0"/>
              <w:jc w:val="center"/>
              <w:rPr>
                <w:rFonts w:cs="Times New Roman"/>
                <w:sz w:val="18"/>
                <w:szCs w:val="18"/>
              </w:rPr>
            </w:pPr>
            <w:r w:rsidRPr="00F77360">
              <w:rPr>
                <w:rFonts w:cs="Times New Roman"/>
                <w:sz w:val="18"/>
                <w:szCs w:val="18"/>
              </w:rPr>
              <w:t>7199-7114</w:t>
            </w:r>
          </w:p>
        </w:tc>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47E" w:rsidRPr="00F77360" w:rsidRDefault="00E1547E" w:rsidP="009A1FDD">
            <w:pPr>
              <w:pStyle w:val="ListParagraph"/>
              <w:spacing w:after="0" w:line="180" w:lineRule="exact"/>
              <w:ind w:left="0"/>
              <w:jc w:val="center"/>
              <w:rPr>
                <w:rFonts w:cs="Times New Roman"/>
                <w:sz w:val="18"/>
                <w:szCs w:val="18"/>
              </w:rPr>
            </w:pPr>
            <w:r>
              <w:rPr>
                <w:rFonts w:cs="Times New Roman"/>
                <w:sz w:val="18"/>
                <w:szCs w:val="18"/>
              </w:rPr>
              <w:t>NSC</w:t>
            </w:r>
          </w:p>
        </w:tc>
      </w:tr>
      <w:tr w:rsidR="00E1547E" w:rsidRPr="00F77360" w:rsidTr="00E1547E">
        <w:trPr>
          <w:trHeight w:val="197"/>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47E" w:rsidRPr="00DF1B45" w:rsidRDefault="00E1547E" w:rsidP="00141048">
            <w:pPr>
              <w:pStyle w:val="ListParagraph"/>
              <w:spacing w:after="0" w:line="240" w:lineRule="exact"/>
              <w:ind w:left="0"/>
              <w:rPr>
                <w:rFonts w:cs="Times New Roman"/>
                <w:sz w:val="18"/>
                <w:szCs w:val="18"/>
              </w:rPr>
            </w:pPr>
            <w:r>
              <w:rPr>
                <w:rFonts w:cs="Times New Roman"/>
                <w:sz w:val="18"/>
                <w:szCs w:val="18"/>
              </w:rPr>
              <w:t>ADHD</w:t>
            </w:r>
          </w:p>
        </w:tc>
        <w:tc>
          <w:tcPr>
            <w:tcW w:w="2610" w:type="dxa"/>
            <w:gridSpan w:val="3"/>
            <w:tcBorders>
              <w:top w:val="single" w:sz="4" w:space="0" w:color="000000" w:themeColor="text1"/>
              <w:left w:val="single" w:sz="4" w:space="0" w:color="000000" w:themeColor="text1"/>
              <w:bottom w:val="single" w:sz="4" w:space="0" w:color="000000" w:themeColor="text1"/>
              <w:right w:val="thinThickThinSmallGap" w:sz="24" w:space="0" w:color="000000" w:themeColor="text1"/>
            </w:tcBorders>
            <w:hideMark/>
          </w:tcPr>
          <w:p w:rsidR="00E1547E" w:rsidRPr="00473D5C" w:rsidRDefault="00E1547E" w:rsidP="00E1547E">
            <w:pPr>
              <w:pStyle w:val="ListParagraph"/>
              <w:spacing w:after="0" w:line="240" w:lineRule="exact"/>
              <w:ind w:left="0"/>
              <w:jc w:val="center"/>
              <w:rPr>
                <w:rFonts w:cs="Times New Roman"/>
                <w:b/>
                <w:sz w:val="18"/>
                <w:szCs w:val="18"/>
              </w:rPr>
            </w:pPr>
            <w:r>
              <w:rPr>
                <w:rFonts w:cs="Times New Roman"/>
                <w:sz w:val="18"/>
                <w:szCs w:val="18"/>
              </w:rPr>
              <w:t>Not Unfitting</w:t>
            </w:r>
          </w:p>
        </w:tc>
        <w:tc>
          <w:tcPr>
            <w:tcW w:w="4950" w:type="dxa"/>
            <w:gridSpan w:val="4"/>
            <w:tcBorders>
              <w:top w:val="single" w:sz="4" w:space="0" w:color="000000" w:themeColor="text1"/>
              <w:left w:val="thinThickThinSmallGap" w:sz="24" w:space="0" w:color="000000" w:themeColor="text1"/>
              <w:bottom w:val="single" w:sz="4" w:space="0" w:color="000000" w:themeColor="text1"/>
              <w:right w:val="single" w:sz="4" w:space="0" w:color="000000" w:themeColor="text1"/>
            </w:tcBorders>
          </w:tcPr>
          <w:p w:rsidR="00E1547E" w:rsidRPr="00F77360" w:rsidRDefault="00E1547E" w:rsidP="00E1547E">
            <w:pPr>
              <w:pStyle w:val="ListParagraph"/>
              <w:spacing w:after="0" w:line="240" w:lineRule="exact"/>
              <w:ind w:left="0"/>
              <w:jc w:val="center"/>
              <w:rPr>
                <w:rFonts w:cs="Times New Roman"/>
                <w:sz w:val="18"/>
                <w:szCs w:val="18"/>
              </w:rPr>
            </w:pPr>
            <w:r>
              <w:rPr>
                <w:rFonts w:cs="Times New Roman"/>
                <w:sz w:val="18"/>
                <w:szCs w:val="18"/>
              </w:rPr>
              <w:t xml:space="preserve">No VA entry </w:t>
            </w:r>
          </w:p>
        </w:tc>
      </w:tr>
      <w:tr w:rsidR="00E1547E" w:rsidRPr="00F77360" w:rsidTr="00E1547E">
        <w:trPr>
          <w:trHeight w:val="197"/>
        </w:trPr>
        <w:tc>
          <w:tcPr>
            <w:tcW w:w="4680" w:type="dxa"/>
            <w:gridSpan w:val="4"/>
            <w:tcBorders>
              <w:top w:val="single" w:sz="4" w:space="0" w:color="000000" w:themeColor="text1"/>
              <w:left w:val="single" w:sz="4" w:space="0" w:color="000000" w:themeColor="text1"/>
              <w:bottom w:val="single" w:sz="4" w:space="0" w:color="000000" w:themeColor="text1"/>
              <w:right w:val="thinThickThinSmallGap" w:sz="24" w:space="0" w:color="000000" w:themeColor="text1"/>
            </w:tcBorders>
            <w:hideMark/>
          </w:tcPr>
          <w:p w:rsidR="00E1547E" w:rsidRPr="00473D5C" w:rsidRDefault="00E1547E" w:rsidP="00141048">
            <w:pPr>
              <w:pStyle w:val="ListParagraph"/>
              <w:spacing w:after="0" w:line="240" w:lineRule="exact"/>
              <w:ind w:left="0"/>
              <w:jc w:val="center"/>
              <w:rPr>
                <w:rFonts w:cs="Times New Roman"/>
                <w:b/>
                <w:sz w:val="18"/>
                <w:szCs w:val="18"/>
              </w:rPr>
            </w:pPr>
          </w:p>
        </w:tc>
        <w:tc>
          <w:tcPr>
            <w:tcW w:w="4950" w:type="dxa"/>
            <w:gridSpan w:val="4"/>
            <w:tcBorders>
              <w:top w:val="single" w:sz="4" w:space="0" w:color="000000" w:themeColor="text1"/>
              <w:left w:val="thinThickThinSmallGap" w:sz="24" w:space="0" w:color="000000" w:themeColor="text1"/>
              <w:bottom w:val="single" w:sz="4" w:space="0" w:color="000000" w:themeColor="text1"/>
              <w:right w:val="single" w:sz="4" w:space="0" w:color="000000" w:themeColor="text1"/>
            </w:tcBorders>
          </w:tcPr>
          <w:p w:rsidR="00E1547E" w:rsidRPr="00F77360" w:rsidRDefault="00E1547E" w:rsidP="009F41F9">
            <w:pPr>
              <w:pStyle w:val="ListParagraph"/>
              <w:spacing w:after="0" w:line="240" w:lineRule="exact"/>
              <w:ind w:left="0"/>
              <w:jc w:val="center"/>
              <w:rPr>
                <w:rFonts w:cs="Times New Roman"/>
                <w:sz w:val="18"/>
                <w:szCs w:val="18"/>
              </w:rPr>
            </w:pPr>
            <w:r>
              <w:rPr>
                <w:rFonts w:cs="Times New Roman"/>
                <w:sz w:val="18"/>
                <w:szCs w:val="18"/>
              </w:rPr>
              <w:t>1 x 0%</w:t>
            </w:r>
          </w:p>
        </w:tc>
      </w:tr>
      <w:tr w:rsidR="00F77360" w:rsidRPr="00473D5C" w:rsidTr="00E1547E">
        <w:trPr>
          <w:trHeight w:val="530"/>
        </w:trPr>
        <w:tc>
          <w:tcPr>
            <w:tcW w:w="4680" w:type="dxa"/>
            <w:gridSpan w:val="4"/>
            <w:tcBorders>
              <w:top w:val="single" w:sz="4" w:space="0" w:color="000000" w:themeColor="text1"/>
              <w:left w:val="single" w:sz="4" w:space="0" w:color="000000" w:themeColor="text1"/>
              <w:bottom w:val="single" w:sz="4" w:space="0" w:color="000000" w:themeColor="text1"/>
              <w:right w:val="thinThickThinSmallGap" w:sz="24" w:space="0" w:color="000000" w:themeColor="text1"/>
            </w:tcBorders>
            <w:shd w:val="clear" w:color="auto" w:fill="EEECE1" w:themeFill="background2"/>
            <w:hideMark/>
          </w:tcPr>
          <w:p w:rsidR="00F77360" w:rsidRPr="00473D5C" w:rsidRDefault="00F77360" w:rsidP="00141048">
            <w:pPr>
              <w:pStyle w:val="ListParagraph"/>
              <w:spacing w:after="0" w:line="240" w:lineRule="exact"/>
              <w:ind w:left="0"/>
              <w:jc w:val="center"/>
              <w:rPr>
                <w:rFonts w:cs="Times New Roman"/>
                <w:b/>
                <w:sz w:val="20"/>
                <w:szCs w:val="20"/>
              </w:rPr>
            </w:pPr>
            <w:r w:rsidRPr="00473D5C">
              <w:rPr>
                <w:rFonts w:cs="Times New Roman"/>
                <w:b/>
                <w:sz w:val="20"/>
                <w:szCs w:val="20"/>
              </w:rPr>
              <w:t xml:space="preserve">TOTAL Combined:  </w:t>
            </w:r>
            <w:r>
              <w:rPr>
                <w:rFonts w:cs="Times New Roman"/>
                <w:b/>
                <w:sz w:val="20"/>
                <w:szCs w:val="20"/>
              </w:rPr>
              <w:t>2</w:t>
            </w:r>
            <w:r w:rsidRPr="00473D5C">
              <w:rPr>
                <w:rFonts w:cs="Times New Roman"/>
                <w:b/>
                <w:sz w:val="20"/>
                <w:szCs w:val="20"/>
              </w:rPr>
              <w:t>0%</w:t>
            </w:r>
          </w:p>
        </w:tc>
        <w:tc>
          <w:tcPr>
            <w:tcW w:w="4950" w:type="dxa"/>
            <w:gridSpan w:val="4"/>
            <w:tcBorders>
              <w:top w:val="single" w:sz="4" w:space="0" w:color="000000" w:themeColor="text1"/>
              <w:left w:val="thinThickThinSmallGap" w:sz="24" w:space="0" w:color="000000" w:themeColor="text1"/>
              <w:bottom w:val="single" w:sz="4" w:space="0" w:color="000000" w:themeColor="text1"/>
              <w:right w:val="single" w:sz="4" w:space="0" w:color="000000" w:themeColor="text1"/>
            </w:tcBorders>
            <w:shd w:val="clear" w:color="auto" w:fill="EEECE1" w:themeFill="background2"/>
            <w:hideMark/>
          </w:tcPr>
          <w:p w:rsidR="00F77360" w:rsidRPr="00473D5C" w:rsidRDefault="00F77360" w:rsidP="00141048">
            <w:pPr>
              <w:pStyle w:val="ListParagraph"/>
              <w:spacing w:after="0" w:line="240" w:lineRule="exact"/>
              <w:ind w:left="0"/>
              <w:jc w:val="center"/>
              <w:rPr>
                <w:rFonts w:cs="Times New Roman"/>
                <w:b/>
                <w:sz w:val="20"/>
                <w:szCs w:val="20"/>
              </w:rPr>
            </w:pPr>
            <w:r w:rsidRPr="00473D5C">
              <w:rPr>
                <w:rFonts w:cs="Times New Roman"/>
                <w:b/>
                <w:sz w:val="20"/>
                <w:szCs w:val="20"/>
              </w:rPr>
              <w:t>TOTAL Combined (</w:t>
            </w:r>
            <w:r w:rsidRPr="00473D5C">
              <w:rPr>
                <w:rFonts w:cs="Times New Roman"/>
                <w:b/>
                <w:i/>
                <w:sz w:val="20"/>
                <w:szCs w:val="20"/>
              </w:rPr>
              <w:t>Includes Non-PEB Conditions</w:t>
            </w:r>
            <w:r w:rsidRPr="00473D5C">
              <w:rPr>
                <w:rFonts w:cs="Times New Roman"/>
                <w:b/>
                <w:sz w:val="20"/>
                <w:szCs w:val="20"/>
              </w:rPr>
              <w:t xml:space="preserve">):    </w:t>
            </w:r>
          </w:p>
          <w:p w:rsidR="00F77360" w:rsidRPr="00473D5C" w:rsidRDefault="00E86CF1" w:rsidP="00141048">
            <w:pPr>
              <w:pStyle w:val="ListParagraph"/>
              <w:spacing w:after="0" w:line="240" w:lineRule="exact"/>
              <w:ind w:left="0"/>
              <w:jc w:val="center"/>
              <w:rPr>
                <w:rFonts w:cs="Times New Roman"/>
                <w:b/>
                <w:sz w:val="20"/>
                <w:szCs w:val="20"/>
              </w:rPr>
            </w:pPr>
            <w:r>
              <w:rPr>
                <w:rFonts w:cs="Times New Roman"/>
                <w:b/>
                <w:sz w:val="20"/>
                <w:szCs w:val="20"/>
              </w:rPr>
              <w:t>5</w:t>
            </w:r>
            <w:r w:rsidR="00F77360" w:rsidRPr="00473D5C">
              <w:rPr>
                <w:rFonts w:cs="Times New Roman"/>
                <w:b/>
                <w:sz w:val="20"/>
                <w:szCs w:val="20"/>
              </w:rPr>
              <w:t xml:space="preserve">0%  from </w:t>
            </w:r>
            <w:r w:rsidR="00F77360">
              <w:rPr>
                <w:rFonts w:cs="Times New Roman"/>
                <w:b/>
                <w:sz w:val="20"/>
                <w:szCs w:val="20"/>
              </w:rPr>
              <w:t>20060316</w:t>
            </w:r>
          </w:p>
        </w:tc>
      </w:tr>
    </w:tbl>
    <w:p w:rsidR="00A90D55" w:rsidRPr="00136CCE" w:rsidRDefault="008B5D31" w:rsidP="00141048">
      <w:pPr>
        <w:tabs>
          <w:tab w:val="left" w:pos="288"/>
          <w:tab w:val="left" w:pos="4752"/>
        </w:tabs>
        <w:spacing w:after="0" w:line="240" w:lineRule="exact"/>
        <w:jc w:val="both"/>
        <w:rPr>
          <w:rFonts w:ascii="Calibri" w:hAnsi="Calibri"/>
          <w:b/>
          <w:sz w:val="24"/>
          <w:szCs w:val="24"/>
          <w:u w:val="single"/>
        </w:rPr>
      </w:pPr>
      <w:r w:rsidRPr="00136CCE">
        <w:rPr>
          <w:rFonts w:ascii="Calibri" w:hAnsi="Calibri"/>
          <w:b/>
          <w:sz w:val="24"/>
          <w:szCs w:val="24"/>
          <w:u w:val="single"/>
        </w:rPr>
        <w:t>_______________________________________________________________</w:t>
      </w:r>
      <w:r w:rsidR="00A90D55" w:rsidRPr="00136CCE">
        <w:rPr>
          <w:rFonts w:ascii="Calibri" w:hAnsi="Calibri"/>
          <w:b/>
          <w:sz w:val="24"/>
          <w:szCs w:val="24"/>
          <w:u w:val="single"/>
        </w:rPr>
        <w:t>_</w:t>
      </w:r>
      <w:r w:rsidR="00136CCE">
        <w:rPr>
          <w:rFonts w:ascii="Calibri" w:hAnsi="Calibri"/>
          <w:b/>
          <w:sz w:val="24"/>
          <w:szCs w:val="24"/>
          <w:u w:val="single"/>
        </w:rPr>
        <w:t>______________</w:t>
      </w:r>
    </w:p>
    <w:p w:rsidR="00A90D55" w:rsidRPr="003A750D" w:rsidRDefault="00A90D55" w:rsidP="00141048">
      <w:pPr>
        <w:tabs>
          <w:tab w:val="left" w:pos="288"/>
          <w:tab w:val="left" w:pos="4752"/>
        </w:tabs>
        <w:spacing w:after="0" w:line="240" w:lineRule="exact"/>
        <w:jc w:val="both"/>
        <w:rPr>
          <w:color w:val="000080"/>
          <w:sz w:val="24"/>
          <w:szCs w:val="24"/>
        </w:rPr>
      </w:pPr>
    </w:p>
    <w:p w:rsidR="00A90D55" w:rsidRDefault="00A90D55" w:rsidP="00141048">
      <w:pPr>
        <w:tabs>
          <w:tab w:val="left" w:pos="288"/>
          <w:tab w:val="left" w:pos="4752"/>
        </w:tabs>
        <w:spacing w:after="0" w:line="240" w:lineRule="exact"/>
        <w:jc w:val="both"/>
        <w:rPr>
          <w:sz w:val="24"/>
          <w:szCs w:val="24"/>
        </w:rPr>
      </w:pPr>
      <w:r w:rsidRPr="003A750D">
        <w:rPr>
          <w:sz w:val="24"/>
          <w:szCs w:val="24"/>
          <w:u w:val="single"/>
        </w:rPr>
        <w:t>ANALYSIS SUMMARY</w:t>
      </w:r>
      <w:r w:rsidRPr="003A750D">
        <w:rPr>
          <w:sz w:val="24"/>
          <w:szCs w:val="24"/>
        </w:rPr>
        <w:t>:</w:t>
      </w:r>
    </w:p>
    <w:p w:rsidR="00372BDC" w:rsidRDefault="00372BDC" w:rsidP="00141048">
      <w:pPr>
        <w:tabs>
          <w:tab w:val="left" w:pos="288"/>
          <w:tab w:val="left" w:pos="4752"/>
        </w:tabs>
        <w:spacing w:after="0" w:line="240" w:lineRule="exact"/>
        <w:jc w:val="both"/>
        <w:rPr>
          <w:sz w:val="24"/>
          <w:szCs w:val="24"/>
        </w:rPr>
      </w:pPr>
    </w:p>
    <w:p w:rsidR="001D6B9C" w:rsidRPr="001D6B9C" w:rsidRDefault="00372BDC" w:rsidP="00141048">
      <w:pPr>
        <w:tabs>
          <w:tab w:val="left" w:pos="288"/>
          <w:tab w:val="left" w:pos="4752"/>
        </w:tabs>
        <w:spacing w:after="0" w:line="240" w:lineRule="exact"/>
        <w:jc w:val="both"/>
        <w:rPr>
          <w:rFonts w:ascii="Calibri" w:hAnsi="Calibri" w:cs="Times New Roman"/>
          <w:sz w:val="24"/>
          <w:szCs w:val="24"/>
          <w:u w:val="single"/>
        </w:rPr>
      </w:pPr>
      <w:proofErr w:type="gramStart"/>
      <w:r w:rsidRPr="0001696F">
        <w:rPr>
          <w:rFonts w:ascii="Calibri" w:hAnsi="Calibri" w:cs="Times New Roman"/>
          <w:sz w:val="24"/>
          <w:szCs w:val="24"/>
          <w:u w:val="single"/>
        </w:rPr>
        <w:t>Left Sh</w:t>
      </w:r>
      <w:r w:rsidR="00F024B8" w:rsidRPr="0001696F">
        <w:rPr>
          <w:rFonts w:ascii="Calibri" w:hAnsi="Calibri" w:cs="Times New Roman"/>
          <w:sz w:val="24"/>
          <w:szCs w:val="24"/>
          <w:u w:val="single"/>
        </w:rPr>
        <w:t xml:space="preserve">oulder </w:t>
      </w:r>
      <w:r w:rsidRPr="0001696F">
        <w:rPr>
          <w:rFonts w:ascii="Calibri" w:hAnsi="Calibri" w:cs="Times New Roman"/>
          <w:sz w:val="24"/>
          <w:szCs w:val="24"/>
          <w:u w:val="single"/>
        </w:rPr>
        <w:t>Condition.</w:t>
      </w:r>
      <w:proofErr w:type="gramEnd"/>
      <w:r w:rsidR="00F61EA2" w:rsidRPr="0001696F">
        <w:rPr>
          <w:rFonts w:ascii="Calibri" w:hAnsi="Calibri" w:cs="Times New Roman"/>
          <w:sz w:val="24"/>
          <w:szCs w:val="24"/>
        </w:rPr>
        <w:t xml:space="preserve">  </w:t>
      </w:r>
      <w:r w:rsidR="00661256" w:rsidRPr="0001696F">
        <w:rPr>
          <w:rFonts w:ascii="Calibri" w:hAnsi="Calibri" w:cs="Times New Roman"/>
          <w:sz w:val="24"/>
          <w:szCs w:val="24"/>
        </w:rPr>
        <w:t>The CI</w:t>
      </w:r>
      <w:r w:rsidRPr="0001696F">
        <w:rPr>
          <w:rFonts w:ascii="Calibri" w:hAnsi="Calibri" w:cs="Times New Roman"/>
          <w:sz w:val="24"/>
          <w:szCs w:val="24"/>
        </w:rPr>
        <w:t xml:space="preserve"> injured his left shoulder in April 2003 while teaching</w:t>
      </w:r>
      <w:r w:rsidR="0089438F" w:rsidRPr="0001696F">
        <w:rPr>
          <w:rFonts w:ascii="Calibri" w:hAnsi="Calibri" w:cs="Times New Roman"/>
          <w:sz w:val="24"/>
          <w:szCs w:val="24"/>
        </w:rPr>
        <w:t xml:space="preserve"> </w:t>
      </w:r>
      <w:r w:rsidR="00E1547E">
        <w:rPr>
          <w:rFonts w:ascii="Calibri" w:hAnsi="Calibri" w:cs="Times New Roman"/>
          <w:sz w:val="24"/>
          <w:szCs w:val="24"/>
        </w:rPr>
        <w:t>m</w:t>
      </w:r>
      <w:r w:rsidRPr="0001696F">
        <w:rPr>
          <w:rFonts w:ascii="Calibri" w:hAnsi="Calibri" w:cs="Times New Roman"/>
          <w:sz w:val="24"/>
          <w:szCs w:val="24"/>
        </w:rPr>
        <w:t>ar</w:t>
      </w:r>
      <w:r w:rsidR="000742FF" w:rsidRPr="0001696F">
        <w:rPr>
          <w:rFonts w:ascii="Calibri" w:hAnsi="Calibri" w:cs="Times New Roman"/>
          <w:sz w:val="24"/>
          <w:szCs w:val="24"/>
        </w:rPr>
        <w:t>ti</w:t>
      </w:r>
      <w:r w:rsidR="00457B11" w:rsidRPr="0001696F">
        <w:rPr>
          <w:rFonts w:ascii="Calibri" w:hAnsi="Calibri" w:cs="Times New Roman"/>
          <w:sz w:val="24"/>
          <w:szCs w:val="24"/>
        </w:rPr>
        <w:t xml:space="preserve">al </w:t>
      </w:r>
      <w:r w:rsidR="00E1547E">
        <w:rPr>
          <w:rFonts w:ascii="Calibri" w:hAnsi="Calibri" w:cs="Times New Roman"/>
          <w:sz w:val="24"/>
          <w:szCs w:val="24"/>
        </w:rPr>
        <w:t>a</w:t>
      </w:r>
      <w:r w:rsidR="00457B11" w:rsidRPr="0001696F">
        <w:rPr>
          <w:rFonts w:ascii="Calibri" w:hAnsi="Calibri" w:cs="Times New Roman"/>
          <w:sz w:val="24"/>
          <w:szCs w:val="24"/>
        </w:rPr>
        <w:t>rts</w:t>
      </w:r>
      <w:r w:rsidRPr="0001696F">
        <w:rPr>
          <w:rFonts w:ascii="Calibri" w:hAnsi="Calibri" w:cs="Times New Roman"/>
          <w:sz w:val="24"/>
          <w:szCs w:val="24"/>
        </w:rPr>
        <w:t xml:space="preserve">. </w:t>
      </w:r>
      <w:r w:rsidR="0089438F" w:rsidRPr="0001696F">
        <w:rPr>
          <w:rFonts w:ascii="Calibri" w:hAnsi="Calibri" w:cs="Times New Roman"/>
          <w:sz w:val="24"/>
          <w:szCs w:val="24"/>
        </w:rPr>
        <w:t xml:space="preserve"> The injury was </w:t>
      </w:r>
      <w:r w:rsidRPr="0001696F">
        <w:rPr>
          <w:rFonts w:ascii="Calibri" w:hAnsi="Calibri" w:cs="Times New Roman"/>
          <w:sz w:val="24"/>
          <w:szCs w:val="24"/>
        </w:rPr>
        <w:t xml:space="preserve">a hyperextension </w:t>
      </w:r>
      <w:r w:rsidR="0089438F" w:rsidRPr="0001696F">
        <w:rPr>
          <w:rFonts w:ascii="Calibri" w:hAnsi="Calibri" w:cs="Times New Roman"/>
          <w:sz w:val="24"/>
          <w:szCs w:val="24"/>
        </w:rPr>
        <w:t xml:space="preserve">injury, causing </w:t>
      </w:r>
      <w:r w:rsidRPr="0001696F">
        <w:rPr>
          <w:rFonts w:ascii="Calibri" w:eastAsia="HiddenHorzOCR" w:hAnsi="Calibri" w:cs="HiddenHorzOCR"/>
          <w:sz w:val="24"/>
          <w:szCs w:val="24"/>
        </w:rPr>
        <w:t xml:space="preserve">shoulder </w:t>
      </w:r>
      <w:r w:rsidR="0089438F" w:rsidRPr="0001696F">
        <w:rPr>
          <w:rFonts w:ascii="Calibri" w:hAnsi="Calibri" w:cs="Times New Roman"/>
          <w:sz w:val="24"/>
          <w:szCs w:val="24"/>
        </w:rPr>
        <w:t>dislocation</w:t>
      </w:r>
      <w:r w:rsidRPr="0001696F">
        <w:rPr>
          <w:rFonts w:ascii="Calibri" w:hAnsi="Calibri" w:cs="Times New Roman"/>
          <w:sz w:val="24"/>
          <w:szCs w:val="24"/>
        </w:rPr>
        <w:t xml:space="preserve"> </w:t>
      </w:r>
      <w:r w:rsidR="00457B11" w:rsidRPr="0001696F">
        <w:rPr>
          <w:rFonts w:ascii="Calibri" w:hAnsi="Calibri" w:cs="Times New Roman"/>
          <w:sz w:val="24"/>
          <w:szCs w:val="24"/>
        </w:rPr>
        <w:t>with</w:t>
      </w:r>
      <w:r w:rsidRPr="0001696F">
        <w:rPr>
          <w:rFonts w:ascii="Calibri" w:hAnsi="Calibri" w:cs="Times New Roman"/>
          <w:sz w:val="24"/>
          <w:szCs w:val="24"/>
        </w:rPr>
        <w:t xml:space="preserve"> </w:t>
      </w:r>
      <w:r w:rsidRPr="0001696F">
        <w:rPr>
          <w:rFonts w:ascii="Calibri" w:eastAsia="HiddenHorzOCR" w:hAnsi="Calibri" w:cs="HiddenHorzOCR"/>
          <w:sz w:val="24"/>
          <w:szCs w:val="24"/>
        </w:rPr>
        <w:t>tears</w:t>
      </w:r>
      <w:r w:rsidR="0089438F" w:rsidRPr="0001696F">
        <w:rPr>
          <w:rFonts w:ascii="Calibri" w:hAnsi="Calibri" w:cs="Times New Roman"/>
          <w:sz w:val="24"/>
          <w:szCs w:val="24"/>
        </w:rPr>
        <w:t xml:space="preserve"> </w:t>
      </w:r>
      <w:r w:rsidRPr="0001696F">
        <w:rPr>
          <w:rFonts w:ascii="Calibri" w:hAnsi="Calibri" w:cs="Times New Roman"/>
          <w:sz w:val="24"/>
          <w:szCs w:val="24"/>
        </w:rPr>
        <w:t xml:space="preserve">of the </w:t>
      </w:r>
      <w:r w:rsidRPr="0001696F">
        <w:rPr>
          <w:rFonts w:ascii="Calibri" w:eastAsia="HiddenHorzOCR" w:hAnsi="Calibri" w:cs="HiddenHorzOCR"/>
          <w:sz w:val="24"/>
          <w:szCs w:val="24"/>
        </w:rPr>
        <w:t xml:space="preserve">inferior </w:t>
      </w:r>
      <w:r w:rsidRPr="0001696F">
        <w:rPr>
          <w:rFonts w:ascii="Calibri" w:hAnsi="Calibri" w:cs="Times New Roman"/>
          <w:sz w:val="24"/>
          <w:szCs w:val="24"/>
        </w:rPr>
        <w:t>and posterior labrum.</w:t>
      </w:r>
      <w:r w:rsidR="009E49F7" w:rsidRPr="0001696F">
        <w:rPr>
          <w:rFonts w:ascii="Calibri" w:hAnsi="Calibri" w:cs="Times New Roman"/>
          <w:sz w:val="24"/>
          <w:szCs w:val="24"/>
        </w:rPr>
        <w:t xml:space="preserve">  He underwent </w:t>
      </w:r>
      <w:r w:rsidR="0019706A" w:rsidRPr="0001696F">
        <w:rPr>
          <w:rFonts w:ascii="Calibri" w:hAnsi="Calibri" w:cs="Times New Roman"/>
          <w:sz w:val="24"/>
          <w:szCs w:val="24"/>
        </w:rPr>
        <w:t>arthro</w:t>
      </w:r>
      <w:r w:rsidR="009E49F7" w:rsidRPr="0001696F">
        <w:rPr>
          <w:rFonts w:ascii="Calibri" w:hAnsi="Calibri" w:cs="Times New Roman"/>
          <w:sz w:val="24"/>
          <w:szCs w:val="24"/>
        </w:rPr>
        <w:t>scopy</w:t>
      </w:r>
      <w:r w:rsidR="00E1547E">
        <w:rPr>
          <w:rFonts w:ascii="Calibri" w:hAnsi="Calibri" w:cs="Times New Roman"/>
          <w:sz w:val="24"/>
          <w:szCs w:val="24"/>
        </w:rPr>
        <w:t xml:space="preserve"> on </w:t>
      </w:r>
      <w:r w:rsidR="00CE4A56" w:rsidRPr="0001696F">
        <w:rPr>
          <w:rFonts w:ascii="Calibri" w:hAnsi="Calibri" w:cs="Times New Roman"/>
          <w:sz w:val="24"/>
          <w:szCs w:val="24"/>
        </w:rPr>
        <w:t>30 July</w:t>
      </w:r>
      <w:r w:rsidR="00FE236D" w:rsidRPr="0001696F">
        <w:rPr>
          <w:rFonts w:ascii="Calibri" w:hAnsi="Calibri" w:cs="Times New Roman"/>
          <w:sz w:val="24"/>
          <w:szCs w:val="24"/>
        </w:rPr>
        <w:t xml:space="preserve"> </w:t>
      </w:r>
      <w:r w:rsidR="0019706A" w:rsidRPr="0001696F">
        <w:rPr>
          <w:rFonts w:ascii="Calibri" w:hAnsi="Calibri" w:cs="Times New Roman"/>
          <w:sz w:val="24"/>
          <w:szCs w:val="24"/>
        </w:rPr>
        <w:t xml:space="preserve">2003 </w:t>
      </w:r>
      <w:r w:rsidR="00457B11" w:rsidRPr="0001696F">
        <w:rPr>
          <w:rFonts w:ascii="Calibri" w:hAnsi="Calibri" w:cs="Times New Roman"/>
          <w:sz w:val="24"/>
          <w:szCs w:val="24"/>
        </w:rPr>
        <w:t>followed by</w:t>
      </w:r>
      <w:r w:rsidR="0019706A" w:rsidRPr="0001696F">
        <w:rPr>
          <w:rFonts w:ascii="Calibri" w:hAnsi="Calibri" w:cs="Times New Roman"/>
          <w:sz w:val="24"/>
          <w:szCs w:val="24"/>
        </w:rPr>
        <w:t xml:space="preserve"> physical therapy</w:t>
      </w:r>
      <w:r w:rsidR="009E49F7" w:rsidRPr="0001696F">
        <w:rPr>
          <w:rFonts w:ascii="Calibri" w:hAnsi="Calibri" w:cs="Times New Roman"/>
          <w:sz w:val="24"/>
          <w:szCs w:val="24"/>
        </w:rPr>
        <w:t xml:space="preserve"> (PT). </w:t>
      </w:r>
      <w:r w:rsidR="0019706A" w:rsidRPr="0001696F">
        <w:rPr>
          <w:rFonts w:ascii="Calibri" w:hAnsi="Calibri" w:cs="Times New Roman"/>
          <w:sz w:val="24"/>
          <w:szCs w:val="24"/>
        </w:rPr>
        <w:t xml:space="preserve"> </w:t>
      </w:r>
      <w:r w:rsidR="009E49F7" w:rsidRPr="0001696F">
        <w:rPr>
          <w:rFonts w:ascii="Calibri" w:hAnsi="Calibri" w:cs="Times New Roman"/>
          <w:sz w:val="24"/>
          <w:szCs w:val="24"/>
        </w:rPr>
        <w:t xml:space="preserve">The shoulder </w:t>
      </w:r>
      <w:r w:rsidR="0019706A" w:rsidRPr="0001696F">
        <w:rPr>
          <w:rFonts w:ascii="Calibri" w:hAnsi="Calibri" w:cs="Times New Roman"/>
          <w:sz w:val="24"/>
          <w:szCs w:val="24"/>
        </w:rPr>
        <w:t>improve</w:t>
      </w:r>
      <w:r w:rsidR="009E49F7" w:rsidRPr="0001696F">
        <w:rPr>
          <w:rFonts w:ascii="Calibri" w:hAnsi="Calibri" w:cs="Times New Roman"/>
          <w:sz w:val="24"/>
          <w:szCs w:val="24"/>
        </w:rPr>
        <w:t>d for about</w:t>
      </w:r>
      <w:r w:rsidR="004C0F50" w:rsidRPr="0001696F">
        <w:rPr>
          <w:rFonts w:ascii="Calibri" w:hAnsi="Calibri" w:cs="Times New Roman"/>
          <w:sz w:val="24"/>
          <w:szCs w:val="24"/>
        </w:rPr>
        <w:t xml:space="preserve"> </w:t>
      </w:r>
      <w:r w:rsidR="00E1547E">
        <w:rPr>
          <w:rFonts w:ascii="Calibri" w:hAnsi="Calibri" w:cs="Times New Roman"/>
          <w:sz w:val="24"/>
          <w:szCs w:val="24"/>
        </w:rPr>
        <w:t>six</w:t>
      </w:r>
      <w:r w:rsidR="0019706A" w:rsidRPr="0001696F">
        <w:rPr>
          <w:rFonts w:ascii="Calibri" w:hAnsi="Calibri" w:cs="Times New Roman"/>
          <w:sz w:val="24"/>
          <w:szCs w:val="24"/>
        </w:rPr>
        <w:t xml:space="preserve"> months</w:t>
      </w:r>
      <w:r w:rsidR="00E1547E">
        <w:rPr>
          <w:rFonts w:ascii="Calibri" w:hAnsi="Calibri" w:cs="Times New Roman"/>
          <w:sz w:val="24"/>
          <w:szCs w:val="24"/>
        </w:rPr>
        <w:t xml:space="preserve"> and afterwards d</w:t>
      </w:r>
      <w:r w:rsidR="004C0F50" w:rsidRPr="0001696F">
        <w:rPr>
          <w:rFonts w:ascii="Calibri" w:hAnsi="Calibri" w:cs="Times New Roman"/>
          <w:sz w:val="24"/>
          <w:szCs w:val="24"/>
        </w:rPr>
        <w:t>evelop</w:t>
      </w:r>
      <w:r w:rsidR="009E49F7" w:rsidRPr="0001696F">
        <w:rPr>
          <w:rFonts w:ascii="Calibri" w:hAnsi="Calibri" w:cs="Times New Roman"/>
          <w:sz w:val="24"/>
          <w:szCs w:val="24"/>
        </w:rPr>
        <w:t>ed</w:t>
      </w:r>
      <w:r w:rsidR="0019706A" w:rsidRPr="0001696F">
        <w:rPr>
          <w:rFonts w:ascii="Calibri" w:hAnsi="Calibri" w:cs="Times New Roman"/>
          <w:sz w:val="24"/>
          <w:szCs w:val="24"/>
        </w:rPr>
        <w:t xml:space="preserve"> popping </w:t>
      </w:r>
      <w:r w:rsidR="00CB3172" w:rsidRPr="0001696F">
        <w:rPr>
          <w:rFonts w:ascii="Calibri" w:hAnsi="Calibri" w:cs="Times New Roman"/>
          <w:sz w:val="24"/>
          <w:szCs w:val="24"/>
        </w:rPr>
        <w:t xml:space="preserve">and instability </w:t>
      </w:r>
      <w:r w:rsidR="009D10DD" w:rsidRPr="0001696F">
        <w:rPr>
          <w:rFonts w:ascii="Calibri" w:hAnsi="Calibri" w:cs="Times New Roman"/>
          <w:sz w:val="24"/>
          <w:szCs w:val="24"/>
        </w:rPr>
        <w:t>of</w:t>
      </w:r>
      <w:r w:rsidR="0019706A" w:rsidRPr="0001696F">
        <w:rPr>
          <w:rFonts w:ascii="Calibri" w:hAnsi="Calibri" w:cs="Times New Roman"/>
          <w:sz w:val="24"/>
          <w:szCs w:val="24"/>
        </w:rPr>
        <w:t xml:space="preserve"> the </w:t>
      </w:r>
      <w:r w:rsidR="0019706A" w:rsidRPr="0001696F">
        <w:rPr>
          <w:rFonts w:ascii="Calibri" w:eastAsia="HiddenHorzOCR" w:hAnsi="Calibri" w:cs="HiddenHorzOCR"/>
          <w:sz w:val="24"/>
          <w:szCs w:val="24"/>
        </w:rPr>
        <w:t xml:space="preserve">left </w:t>
      </w:r>
      <w:r w:rsidR="009D23DD" w:rsidRPr="0001696F">
        <w:rPr>
          <w:rFonts w:ascii="Calibri" w:hAnsi="Calibri" w:cs="Times New Roman"/>
          <w:sz w:val="24"/>
          <w:szCs w:val="24"/>
        </w:rPr>
        <w:t xml:space="preserve">shoulder.  </w:t>
      </w:r>
      <w:r w:rsidR="009D10DD" w:rsidRPr="0001696F">
        <w:rPr>
          <w:rFonts w:ascii="Calibri" w:hAnsi="Calibri" w:cs="Times New Roman"/>
          <w:sz w:val="24"/>
          <w:szCs w:val="24"/>
        </w:rPr>
        <w:t>On 3 May 2005, the CI underwent a second left shoulder</w:t>
      </w:r>
      <w:r w:rsidR="004C0F50" w:rsidRPr="0001696F">
        <w:rPr>
          <w:rFonts w:ascii="Calibri" w:hAnsi="Calibri" w:cs="Times New Roman"/>
          <w:sz w:val="24"/>
          <w:szCs w:val="24"/>
        </w:rPr>
        <w:t xml:space="preserve"> </w:t>
      </w:r>
      <w:r w:rsidR="0019706A" w:rsidRPr="0001696F">
        <w:rPr>
          <w:rFonts w:ascii="Calibri" w:hAnsi="Calibri" w:cs="Times New Roman"/>
          <w:sz w:val="24"/>
          <w:szCs w:val="24"/>
        </w:rPr>
        <w:t>arthroscop</w:t>
      </w:r>
      <w:r w:rsidR="00457B11" w:rsidRPr="0001696F">
        <w:rPr>
          <w:rFonts w:ascii="Calibri" w:hAnsi="Calibri" w:cs="Times New Roman"/>
          <w:sz w:val="24"/>
          <w:szCs w:val="24"/>
        </w:rPr>
        <w:t>ic procedure</w:t>
      </w:r>
      <w:r w:rsidR="00661256" w:rsidRPr="0001696F">
        <w:rPr>
          <w:rFonts w:ascii="Calibri" w:hAnsi="Calibri" w:cs="Times New Roman"/>
          <w:sz w:val="24"/>
          <w:szCs w:val="24"/>
        </w:rPr>
        <w:t xml:space="preserve">.  </w:t>
      </w:r>
      <w:r w:rsidR="009D10DD" w:rsidRPr="0001696F">
        <w:rPr>
          <w:rFonts w:ascii="Calibri" w:hAnsi="Calibri" w:cs="Times New Roman"/>
          <w:sz w:val="24"/>
          <w:szCs w:val="24"/>
        </w:rPr>
        <w:t xml:space="preserve">Post-operatively, </w:t>
      </w:r>
      <w:r w:rsidR="00CB3172" w:rsidRPr="0001696F">
        <w:rPr>
          <w:rFonts w:ascii="Calibri" w:hAnsi="Calibri" w:cs="Times New Roman"/>
          <w:sz w:val="24"/>
          <w:szCs w:val="24"/>
        </w:rPr>
        <w:t>he continued</w:t>
      </w:r>
      <w:r w:rsidR="004C0F50" w:rsidRPr="0001696F">
        <w:rPr>
          <w:rFonts w:ascii="Calibri" w:hAnsi="Calibri" w:cs="Times New Roman"/>
          <w:sz w:val="24"/>
          <w:szCs w:val="24"/>
        </w:rPr>
        <w:t xml:space="preserve"> to receive</w:t>
      </w:r>
      <w:r w:rsidR="009D10DD" w:rsidRPr="0001696F">
        <w:rPr>
          <w:rFonts w:ascii="Calibri" w:hAnsi="Calibri" w:cs="Times New Roman"/>
          <w:sz w:val="24"/>
          <w:szCs w:val="24"/>
        </w:rPr>
        <w:t xml:space="preserve"> PT. His shoulder pain was rated </w:t>
      </w:r>
      <w:r w:rsidR="00661256" w:rsidRPr="0001696F">
        <w:rPr>
          <w:rFonts w:ascii="Calibri" w:hAnsi="Calibri" w:cs="Times New Roman"/>
          <w:sz w:val="24"/>
          <w:szCs w:val="24"/>
        </w:rPr>
        <w:t>6/10</w:t>
      </w:r>
      <w:r w:rsidR="009D10DD" w:rsidRPr="0001696F">
        <w:rPr>
          <w:rFonts w:ascii="Calibri" w:hAnsi="Calibri" w:cs="Times New Roman"/>
          <w:sz w:val="24"/>
          <w:szCs w:val="24"/>
        </w:rPr>
        <w:t xml:space="preserve"> (on a scale of</w:t>
      </w:r>
      <w:r w:rsidR="00661256" w:rsidRPr="0001696F">
        <w:rPr>
          <w:rFonts w:ascii="Calibri" w:hAnsi="Calibri" w:cs="Times New Roman"/>
          <w:sz w:val="24"/>
          <w:szCs w:val="24"/>
        </w:rPr>
        <w:t xml:space="preserve"> 1</w:t>
      </w:r>
      <w:r w:rsidR="004C0F50" w:rsidRPr="0001696F">
        <w:rPr>
          <w:rFonts w:ascii="Calibri" w:hAnsi="Calibri" w:cs="Times New Roman"/>
          <w:sz w:val="24"/>
          <w:szCs w:val="24"/>
        </w:rPr>
        <w:t xml:space="preserve"> to 10</w:t>
      </w:r>
      <w:r w:rsidR="009D10DD" w:rsidRPr="0001696F">
        <w:rPr>
          <w:rFonts w:ascii="Calibri" w:hAnsi="Calibri" w:cs="Times New Roman"/>
          <w:sz w:val="24"/>
          <w:szCs w:val="24"/>
        </w:rPr>
        <w:t xml:space="preserve">).  He also complained of shoulder </w:t>
      </w:r>
      <w:r w:rsidR="00317E47" w:rsidRPr="0001696F">
        <w:rPr>
          <w:rFonts w:ascii="Calibri" w:hAnsi="Calibri"/>
          <w:sz w:val="24"/>
          <w:szCs w:val="24"/>
        </w:rPr>
        <w:t>we</w:t>
      </w:r>
      <w:r w:rsidR="00661256" w:rsidRPr="0001696F">
        <w:rPr>
          <w:rFonts w:ascii="Calibri" w:hAnsi="Calibri"/>
          <w:sz w:val="24"/>
          <w:szCs w:val="24"/>
        </w:rPr>
        <w:t>akness</w:t>
      </w:r>
      <w:r w:rsidR="00317E47" w:rsidRPr="0001696F">
        <w:rPr>
          <w:rFonts w:ascii="Calibri" w:hAnsi="Calibri"/>
          <w:sz w:val="24"/>
          <w:szCs w:val="24"/>
        </w:rPr>
        <w:t>,</w:t>
      </w:r>
      <w:r w:rsidR="00661256" w:rsidRPr="0001696F">
        <w:rPr>
          <w:rFonts w:ascii="Calibri" w:hAnsi="Calibri"/>
          <w:sz w:val="24"/>
          <w:szCs w:val="24"/>
        </w:rPr>
        <w:t xml:space="preserve"> </w:t>
      </w:r>
      <w:r w:rsidR="00317E47" w:rsidRPr="0001696F">
        <w:rPr>
          <w:rFonts w:ascii="Calibri" w:hAnsi="Calibri"/>
          <w:sz w:val="24"/>
          <w:szCs w:val="24"/>
        </w:rPr>
        <w:t xml:space="preserve">stiffness, </w:t>
      </w:r>
      <w:proofErr w:type="gramStart"/>
      <w:r w:rsidR="00317E47" w:rsidRPr="0001696F">
        <w:rPr>
          <w:rFonts w:ascii="Calibri" w:hAnsi="Calibri"/>
          <w:sz w:val="24"/>
          <w:szCs w:val="24"/>
        </w:rPr>
        <w:t>lack</w:t>
      </w:r>
      <w:proofErr w:type="gramEnd"/>
      <w:r w:rsidR="00317E47" w:rsidRPr="0001696F">
        <w:rPr>
          <w:rFonts w:ascii="Calibri" w:hAnsi="Calibri"/>
          <w:sz w:val="24"/>
          <w:szCs w:val="24"/>
        </w:rPr>
        <w:t xml:space="preserve"> of endurance, swelling, instability, giving way, locking</w:t>
      </w:r>
      <w:r w:rsidR="00661256" w:rsidRPr="0001696F">
        <w:rPr>
          <w:rFonts w:ascii="Calibri" w:hAnsi="Calibri"/>
          <w:sz w:val="24"/>
          <w:szCs w:val="24"/>
        </w:rPr>
        <w:t>,</w:t>
      </w:r>
      <w:r w:rsidR="00317E47" w:rsidRPr="0001696F">
        <w:rPr>
          <w:rFonts w:ascii="Calibri" w:hAnsi="Calibri"/>
          <w:sz w:val="24"/>
          <w:szCs w:val="24"/>
        </w:rPr>
        <w:t xml:space="preserve"> and fatigability.</w:t>
      </w:r>
      <w:r w:rsidR="00ED5F43" w:rsidRPr="0001696F">
        <w:rPr>
          <w:rFonts w:ascii="Calibri" w:hAnsi="Calibri" w:cs="Times New Roman"/>
          <w:sz w:val="24"/>
          <w:szCs w:val="24"/>
        </w:rPr>
        <w:t xml:space="preserve">  </w:t>
      </w:r>
      <w:r w:rsidR="00317E47" w:rsidRPr="0001696F">
        <w:rPr>
          <w:rFonts w:ascii="Calibri" w:hAnsi="Calibri" w:cs="Times New Roman"/>
          <w:sz w:val="24"/>
          <w:szCs w:val="24"/>
        </w:rPr>
        <w:t>The CI stated</w:t>
      </w:r>
      <w:r w:rsidR="004C0F50" w:rsidRPr="0001696F">
        <w:rPr>
          <w:rFonts w:ascii="Calibri" w:hAnsi="Calibri" w:cs="Times New Roman"/>
          <w:sz w:val="24"/>
          <w:szCs w:val="24"/>
        </w:rPr>
        <w:t xml:space="preserve"> that </w:t>
      </w:r>
      <w:r w:rsidR="00457B11" w:rsidRPr="0001696F">
        <w:rPr>
          <w:rFonts w:ascii="Calibri" w:hAnsi="Calibri" w:cs="Times New Roman"/>
          <w:sz w:val="24"/>
          <w:szCs w:val="24"/>
        </w:rPr>
        <w:t xml:space="preserve">the pain would </w:t>
      </w:r>
      <w:r w:rsidR="004C0F50" w:rsidRPr="0001696F">
        <w:rPr>
          <w:rFonts w:ascii="Calibri" w:hAnsi="Calibri" w:cs="Times New Roman"/>
          <w:sz w:val="24"/>
          <w:szCs w:val="24"/>
        </w:rPr>
        <w:t>flare</w:t>
      </w:r>
      <w:r w:rsidR="00661256" w:rsidRPr="0001696F">
        <w:rPr>
          <w:rFonts w:ascii="Calibri" w:hAnsi="Calibri" w:cs="Times New Roman"/>
          <w:sz w:val="24"/>
          <w:szCs w:val="24"/>
        </w:rPr>
        <w:t xml:space="preserve"> up</w:t>
      </w:r>
      <w:r w:rsidR="00457B11" w:rsidRPr="0001696F">
        <w:rPr>
          <w:rFonts w:ascii="Calibri" w:hAnsi="Calibri" w:cs="Times New Roman"/>
          <w:sz w:val="24"/>
          <w:szCs w:val="24"/>
        </w:rPr>
        <w:t xml:space="preserve"> about </w:t>
      </w:r>
      <w:r w:rsidR="00E1547E">
        <w:rPr>
          <w:rFonts w:ascii="Calibri" w:hAnsi="Calibri" w:cs="Times New Roman"/>
          <w:sz w:val="24"/>
          <w:szCs w:val="24"/>
        </w:rPr>
        <w:t>three to four</w:t>
      </w:r>
      <w:r w:rsidR="004C0F50" w:rsidRPr="0001696F">
        <w:rPr>
          <w:rFonts w:ascii="Calibri" w:hAnsi="Calibri" w:cs="Times New Roman"/>
          <w:sz w:val="24"/>
          <w:szCs w:val="24"/>
        </w:rPr>
        <w:t xml:space="preserve"> times per week.  When the flar</w:t>
      </w:r>
      <w:r w:rsidR="0026206A" w:rsidRPr="0001696F">
        <w:rPr>
          <w:rFonts w:ascii="Calibri" w:hAnsi="Calibri" w:cs="Times New Roman"/>
          <w:sz w:val="24"/>
          <w:szCs w:val="24"/>
        </w:rPr>
        <w:t>e-ups occur</w:t>
      </w:r>
      <w:r w:rsidR="00141048">
        <w:rPr>
          <w:rFonts w:ascii="Calibri" w:hAnsi="Calibri" w:cs="Times New Roman"/>
          <w:sz w:val="24"/>
          <w:szCs w:val="24"/>
        </w:rPr>
        <w:t>red</w:t>
      </w:r>
      <w:r w:rsidR="00457B11" w:rsidRPr="0001696F">
        <w:rPr>
          <w:rFonts w:ascii="Calibri" w:hAnsi="Calibri" w:cs="Times New Roman"/>
          <w:sz w:val="24"/>
          <w:szCs w:val="24"/>
        </w:rPr>
        <w:t>,</w:t>
      </w:r>
      <w:r w:rsidR="0026206A" w:rsidRPr="0001696F">
        <w:rPr>
          <w:rFonts w:ascii="Calibri" w:hAnsi="Calibri" w:cs="Times New Roman"/>
          <w:sz w:val="24"/>
          <w:szCs w:val="24"/>
        </w:rPr>
        <w:t xml:space="preserve"> the pain </w:t>
      </w:r>
      <w:r w:rsidR="00457B11" w:rsidRPr="0001696F">
        <w:rPr>
          <w:rFonts w:ascii="Calibri" w:hAnsi="Calibri" w:cs="Times New Roman"/>
          <w:sz w:val="24"/>
          <w:szCs w:val="24"/>
        </w:rPr>
        <w:t>was</w:t>
      </w:r>
      <w:r w:rsidR="0026206A" w:rsidRPr="0001696F">
        <w:rPr>
          <w:rFonts w:ascii="Calibri" w:hAnsi="Calibri" w:cs="Times New Roman"/>
          <w:sz w:val="24"/>
          <w:szCs w:val="24"/>
        </w:rPr>
        <w:t xml:space="preserve"> </w:t>
      </w:r>
      <w:r w:rsidR="00ED5F43" w:rsidRPr="0001696F">
        <w:rPr>
          <w:rFonts w:ascii="Calibri" w:hAnsi="Calibri" w:cs="Times New Roman"/>
          <w:sz w:val="24"/>
          <w:szCs w:val="24"/>
        </w:rPr>
        <w:lastRenderedPageBreak/>
        <w:t xml:space="preserve">9/10.  </w:t>
      </w:r>
      <w:r w:rsidR="00377E6D" w:rsidRPr="0001696F">
        <w:rPr>
          <w:rFonts w:ascii="Calibri" w:hAnsi="Calibri" w:cs="Times New Roman"/>
          <w:sz w:val="24"/>
          <w:szCs w:val="24"/>
        </w:rPr>
        <w:t xml:space="preserve">He </w:t>
      </w:r>
      <w:r w:rsidR="00457B11" w:rsidRPr="0001696F">
        <w:rPr>
          <w:rFonts w:ascii="Calibri" w:hAnsi="Calibri" w:cs="Times New Roman"/>
          <w:sz w:val="24"/>
          <w:szCs w:val="24"/>
        </w:rPr>
        <w:t>was</w:t>
      </w:r>
      <w:r w:rsidR="008E0867">
        <w:rPr>
          <w:rFonts w:cs="Times New Roman"/>
          <w:sz w:val="24"/>
          <w:szCs w:val="24"/>
        </w:rPr>
        <w:t xml:space="preserve"> </w:t>
      </w:r>
      <w:r w:rsidR="008E0867" w:rsidRPr="001D6B9C">
        <w:rPr>
          <w:rFonts w:ascii="Calibri" w:hAnsi="Calibri" w:cs="Times New Roman"/>
          <w:sz w:val="24"/>
          <w:szCs w:val="24"/>
        </w:rPr>
        <w:t>un</w:t>
      </w:r>
      <w:r w:rsidR="00377E6D" w:rsidRPr="001D6B9C">
        <w:rPr>
          <w:rFonts w:ascii="Calibri" w:hAnsi="Calibri" w:cs="Times New Roman"/>
          <w:sz w:val="24"/>
          <w:szCs w:val="24"/>
        </w:rPr>
        <w:t>able to lift overhead, do pull</w:t>
      </w:r>
      <w:r w:rsidR="00457B11" w:rsidRPr="001D6B9C">
        <w:rPr>
          <w:rFonts w:ascii="Calibri" w:hAnsi="Calibri" w:cs="Times New Roman"/>
          <w:sz w:val="24"/>
          <w:szCs w:val="24"/>
        </w:rPr>
        <w:t>-</w:t>
      </w:r>
      <w:r w:rsidR="00377E6D" w:rsidRPr="001D6B9C">
        <w:rPr>
          <w:rFonts w:ascii="Calibri" w:hAnsi="Calibri" w:cs="Times New Roman"/>
          <w:sz w:val="24"/>
          <w:szCs w:val="24"/>
        </w:rPr>
        <w:t>ups</w:t>
      </w:r>
      <w:r w:rsidR="000742FF" w:rsidRPr="001D6B9C">
        <w:rPr>
          <w:rFonts w:ascii="Calibri" w:hAnsi="Calibri" w:cs="Times New Roman"/>
          <w:sz w:val="24"/>
          <w:szCs w:val="24"/>
        </w:rPr>
        <w:t xml:space="preserve"> or push</w:t>
      </w:r>
      <w:r w:rsidR="00457B11" w:rsidRPr="001D6B9C">
        <w:rPr>
          <w:rFonts w:ascii="Calibri" w:hAnsi="Calibri" w:cs="Times New Roman"/>
          <w:sz w:val="24"/>
          <w:szCs w:val="24"/>
        </w:rPr>
        <w:t>-</w:t>
      </w:r>
      <w:r w:rsidR="00661256" w:rsidRPr="001D6B9C">
        <w:rPr>
          <w:rFonts w:ascii="Calibri" w:hAnsi="Calibri" w:cs="Times New Roman"/>
          <w:sz w:val="24"/>
          <w:szCs w:val="24"/>
        </w:rPr>
        <w:t xml:space="preserve">ups, do </w:t>
      </w:r>
      <w:r w:rsidR="00ED5F43" w:rsidRPr="001D6B9C">
        <w:rPr>
          <w:rFonts w:ascii="Calibri" w:hAnsi="Calibri" w:cs="Times New Roman"/>
          <w:sz w:val="24"/>
          <w:szCs w:val="24"/>
        </w:rPr>
        <w:t>m</w:t>
      </w:r>
      <w:r w:rsidR="00661256" w:rsidRPr="001D6B9C">
        <w:rPr>
          <w:rFonts w:ascii="Calibri" w:hAnsi="Calibri" w:cs="Times New Roman"/>
          <w:sz w:val="24"/>
          <w:szCs w:val="24"/>
        </w:rPr>
        <w:t>artial</w:t>
      </w:r>
      <w:r w:rsidR="00ED5F43" w:rsidRPr="001D6B9C">
        <w:rPr>
          <w:rFonts w:ascii="Calibri" w:hAnsi="Calibri" w:cs="Times New Roman"/>
          <w:sz w:val="24"/>
          <w:szCs w:val="24"/>
        </w:rPr>
        <w:t xml:space="preserve"> a</w:t>
      </w:r>
      <w:r w:rsidR="00377E6D" w:rsidRPr="001D6B9C">
        <w:rPr>
          <w:rFonts w:ascii="Calibri" w:hAnsi="Calibri" w:cs="Times New Roman"/>
          <w:sz w:val="24"/>
          <w:szCs w:val="24"/>
        </w:rPr>
        <w:t xml:space="preserve">rts, hold a weapon, </w:t>
      </w:r>
      <w:r w:rsidR="001645BD" w:rsidRPr="001D6B9C">
        <w:rPr>
          <w:rFonts w:ascii="Calibri" w:hAnsi="Calibri" w:cs="Times New Roman"/>
          <w:sz w:val="24"/>
          <w:szCs w:val="24"/>
        </w:rPr>
        <w:t>or</w:t>
      </w:r>
      <w:r w:rsidR="00377E6D" w:rsidRPr="001D6B9C">
        <w:rPr>
          <w:rFonts w:ascii="Calibri" w:hAnsi="Calibri" w:cs="Times New Roman"/>
          <w:sz w:val="24"/>
          <w:szCs w:val="24"/>
        </w:rPr>
        <w:t xml:space="preserve"> </w:t>
      </w:r>
      <w:r w:rsidR="00377E6D" w:rsidRPr="001D6B9C">
        <w:rPr>
          <w:rFonts w:ascii="Calibri" w:eastAsia="HiddenHorzOCR" w:hAnsi="Calibri" w:cs="HiddenHorzOCR"/>
          <w:sz w:val="24"/>
          <w:szCs w:val="24"/>
        </w:rPr>
        <w:t xml:space="preserve">perform </w:t>
      </w:r>
      <w:r w:rsidR="00377E6D" w:rsidRPr="001D6B9C">
        <w:rPr>
          <w:rFonts w:ascii="Calibri" w:hAnsi="Calibri" w:cs="Times New Roman"/>
          <w:sz w:val="24"/>
          <w:szCs w:val="24"/>
        </w:rPr>
        <w:t>parade rest</w:t>
      </w:r>
      <w:r w:rsidR="00377E6D" w:rsidRPr="001D6B9C">
        <w:rPr>
          <w:rFonts w:ascii="Calibri" w:eastAsia="HiddenHorzOCR" w:hAnsi="Calibri" w:cs="HiddenHorzOCR"/>
          <w:sz w:val="24"/>
          <w:szCs w:val="24"/>
        </w:rPr>
        <w:t>.</w:t>
      </w:r>
      <w:r w:rsidR="0026206A" w:rsidRPr="001D6B9C">
        <w:rPr>
          <w:rFonts w:ascii="Calibri" w:eastAsia="HiddenHorzOCR" w:hAnsi="Calibri" w:cs="HiddenHorzOCR"/>
          <w:sz w:val="24"/>
          <w:szCs w:val="24"/>
        </w:rPr>
        <w:t xml:space="preserve">  </w:t>
      </w:r>
      <w:r w:rsidR="00FD7D43" w:rsidRPr="001D6B9C">
        <w:rPr>
          <w:rFonts w:ascii="Calibri" w:hAnsi="Calibri" w:cs="Times New Roman"/>
          <w:sz w:val="24"/>
          <w:szCs w:val="24"/>
        </w:rPr>
        <w:t>Physic</w:t>
      </w:r>
      <w:r w:rsidR="00FE236D" w:rsidRPr="001D6B9C">
        <w:rPr>
          <w:rFonts w:ascii="Calibri" w:hAnsi="Calibri" w:cs="Times New Roman"/>
          <w:sz w:val="24"/>
          <w:szCs w:val="24"/>
        </w:rPr>
        <w:t xml:space="preserve">al examination on </w:t>
      </w:r>
      <w:r w:rsidR="008E0867" w:rsidRPr="001D6B9C">
        <w:rPr>
          <w:rFonts w:ascii="Calibri" w:hAnsi="Calibri" w:cs="Times New Roman"/>
          <w:sz w:val="24"/>
          <w:szCs w:val="24"/>
        </w:rPr>
        <w:t xml:space="preserve">7 </w:t>
      </w:r>
      <w:r w:rsidR="00FD7D43" w:rsidRPr="001D6B9C">
        <w:rPr>
          <w:rFonts w:ascii="Calibri" w:hAnsi="Calibri" w:cs="Times New Roman"/>
          <w:sz w:val="24"/>
          <w:szCs w:val="24"/>
        </w:rPr>
        <w:t xml:space="preserve">July 2005 revealed atrophy of the left upper </w:t>
      </w:r>
      <w:r w:rsidR="008D146F" w:rsidRPr="001D6B9C">
        <w:rPr>
          <w:rFonts w:ascii="Calibri" w:hAnsi="Calibri" w:cs="Times New Roman"/>
          <w:sz w:val="24"/>
          <w:szCs w:val="24"/>
        </w:rPr>
        <w:t>arm,</w:t>
      </w:r>
      <w:r w:rsidR="00FD7D43" w:rsidRPr="001D6B9C">
        <w:rPr>
          <w:rFonts w:ascii="Calibri" w:hAnsi="Calibri" w:cs="Times New Roman"/>
          <w:sz w:val="24"/>
          <w:szCs w:val="24"/>
        </w:rPr>
        <w:t xml:space="preserve"> as evidenced by measurement of </w:t>
      </w:r>
      <w:r w:rsidR="008D146F" w:rsidRPr="001D6B9C">
        <w:rPr>
          <w:rFonts w:ascii="Calibri" w:hAnsi="Calibri" w:cs="Times New Roman"/>
          <w:sz w:val="24"/>
          <w:szCs w:val="24"/>
        </w:rPr>
        <w:t xml:space="preserve">deltoid </w:t>
      </w:r>
      <w:r w:rsidR="00FD7D43" w:rsidRPr="001D6B9C">
        <w:rPr>
          <w:rFonts w:ascii="Calibri" w:hAnsi="Calibri" w:cs="Times New Roman"/>
          <w:sz w:val="24"/>
          <w:szCs w:val="24"/>
        </w:rPr>
        <w:t>circumference.</w:t>
      </w:r>
      <w:r w:rsidR="000E7FA9" w:rsidRPr="001D6B9C">
        <w:rPr>
          <w:rFonts w:ascii="Calibri" w:hAnsi="Calibri"/>
          <w:b/>
          <w:sz w:val="24"/>
          <w:szCs w:val="24"/>
        </w:rPr>
        <w:t xml:space="preserve">  </w:t>
      </w:r>
      <w:r w:rsidR="00FD7D43" w:rsidRPr="001D6B9C">
        <w:rPr>
          <w:rFonts w:ascii="Calibri" w:hAnsi="Calibri"/>
          <w:sz w:val="24"/>
          <w:szCs w:val="24"/>
        </w:rPr>
        <w:t>Range</w:t>
      </w:r>
      <w:r w:rsidR="00E1547E">
        <w:rPr>
          <w:rFonts w:ascii="Calibri" w:hAnsi="Calibri"/>
          <w:sz w:val="24"/>
          <w:szCs w:val="24"/>
        </w:rPr>
        <w:t xml:space="preserve"> </w:t>
      </w:r>
      <w:r w:rsidR="00FD7D43" w:rsidRPr="001D6B9C">
        <w:rPr>
          <w:rFonts w:ascii="Calibri" w:hAnsi="Calibri"/>
          <w:sz w:val="24"/>
          <w:szCs w:val="24"/>
        </w:rPr>
        <w:t>of</w:t>
      </w:r>
      <w:r w:rsidR="00E1547E">
        <w:rPr>
          <w:rFonts w:ascii="Calibri" w:hAnsi="Calibri"/>
          <w:sz w:val="24"/>
          <w:szCs w:val="24"/>
        </w:rPr>
        <w:t xml:space="preserve"> </w:t>
      </w:r>
      <w:r w:rsidR="00FD7D43" w:rsidRPr="001D6B9C">
        <w:rPr>
          <w:rFonts w:ascii="Calibri" w:hAnsi="Calibri"/>
          <w:sz w:val="24"/>
          <w:szCs w:val="24"/>
        </w:rPr>
        <w:t xml:space="preserve">motion (ROM) was </w:t>
      </w:r>
      <w:r w:rsidR="001D6B9C" w:rsidRPr="001D6B9C">
        <w:rPr>
          <w:rFonts w:ascii="Calibri" w:hAnsi="Calibri"/>
          <w:sz w:val="24"/>
          <w:szCs w:val="24"/>
        </w:rPr>
        <w:t xml:space="preserve">limited to </w:t>
      </w:r>
      <w:r w:rsidR="001D6B9C" w:rsidRPr="001D6B9C">
        <w:rPr>
          <w:rFonts w:ascii="Calibri" w:eastAsia="Calibri" w:hAnsi="Calibri"/>
          <w:sz w:val="24"/>
          <w:szCs w:val="24"/>
        </w:rPr>
        <w:t xml:space="preserve">150⁰ </w:t>
      </w:r>
      <w:r w:rsidR="00FD7D43" w:rsidRPr="001D6B9C">
        <w:rPr>
          <w:rFonts w:ascii="Calibri" w:hAnsi="Calibri"/>
          <w:sz w:val="24"/>
          <w:szCs w:val="24"/>
        </w:rPr>
        <w:t>of abduction and flexion</w:t>
      </w:r>
      <w:r w:rsidR="008D146F" w:rsidRPr="001D6B9C">
        <w:rPr>
          <w:rFonts w:ascii="Calibri" w:hAnsi="Calibri"/>
          <w:sz w:val="24"/>
          <w:szCs w:val="24"/>
        </w:rPr>
        <w:t xml:space="preserve"> (normal is</w:t>
      </w:r>
      <w:r w:rsidR="001D6B9C" w:rsidRPr="001D6B9C">
        <w:rPr>
          <w:rFonts w:ascii="Calibri" w:hAnsi="Calibri"/>
          <w:sz w:val="24"/>
          <w:szCs w:val="24"/>
        </w:rPr>
        <w:t xml:space="preserve"> </w:t>
      </w:r>
      <w:r w:rsidR="001D6B9C" w:rsidRPr="001D6B9C">
        <w:rPr>
          <w:rFonts w:ascii="Calibri" w:eastAsia="Calibri" w:hAnsi="Calibri"/>
          <w:sz w:val="24"/>
          <w:szCs w:val="24"/>
        </w:rPr>
        <w:t>180⁰)</w:t>
      </w:r>
      <w:r w:rsidR="0026206A" w:rsidRPr="001D6B9C">
        <w:rPr>
          <w:rFonts w:ascii="Calibri" w:hAnsi="Calibri"/>
          <w:sz w:val="24"/>
          <w:szCs w:val="24"/>
        </w:rPr>
        <w:t xml:space="preserve">.  </w:t>
      </w:r>
      <w:r w:rsidR="001D6B9C">
        <w:rPr>
          <w:rFonts w:ascii="Calibri" w:hAnsi="Calibri"/>
          <w:sz w:val="24"/>
          <w:szCs w:val="24"/>
        </w:rPr>
        <w:t xml:space="preserve">Shoulder </w:t>
      </w:r>
      <w:r w:rsidR="00FD7D43" w:rsidRPr="001D6B9C">
        <w:rPr>
          <w:rFonts w:ascii="Calibri" w:hAnsi="Calibri"/>
          <w:sz w:val="24"/>
          <w:szCs w:val="24"/>
        </w:rPr>
        <w:t xml:space="preserve">ROM </w:t>
      </w:r>
      <w:r w:rsidR="001D6B9C">
        <w:rPr>
          <w:rFonts w:ascii="Calibri" w:hAnsi="Calibri"/>
          <w:sz w:val="24"/>
          <w:szCs w:val="24"/>
        </w:rPr>
        <w:t xml:space="preserve">was also measured at his </w:t>
      </w:r>
      <w:r w:rsidR="00FC47F0" w:rsidRPr="001D6B9C">
        <w:rPr>
          <w:rFonts w:ascii="Calibri" w:hAnsi="Calibri"/>
          <w:sz w:val="24"/>
          <w:szCs w:val="24"/>
        </w:rPr>
        <w:t xml:space="preserve">VA </w:t>
      </w:r>
      <w:r w:rsidR="001D6B9C">
        <w:rPr>
          <w:rFonts w:ascii="Calibri" w:hAnsi="Calibri"/>
          <w:sz w:val="24"/>
          <w:szCs w:val="24"/>
        </w:rPr>
        <w:t>examination</w:t>
      </w:r>
      <w:r w:rsidR="00FC47F0" w:rsidRPr="001D6B9C">
        <w:rPr>
          <w:rFonts w:ascii="Calibri" w:hAnsi="Calibri"/>
          <w:sz w:val="24"/>
          <w:szCs w:val="24"/>
        </w:rPr>
        <w:t xml:space="preserve"> 15</w:t>
      </w:r>
      <w:r w:rsidR="00FD7D43" w:rsidRPr="001D6B9C">
        <w:rPr>
          <w:rFonts w:ascii="Calibri" w:hAnsi="Calibri"/>
          <w:sz w:val="24"/>
          <w:szCs w:val="24"/>
        </w:rPr>
        <w:t xml:space="preserve"> mo</w:t>
      </w:r>
      <w:r w:rsidR="00600699">
        <w:rPr>
          <w:rFonts w:ascii="Calibri" w:hAnsi="Calibri"/>
          <w:sz w:val="24"/>
          <w:szCs w:val="24"/>
        </w:rPr>
        <w:t>s.</w:t>
      </w:r>
      <w:r w:rsidR="00FD7D43" w:rsidRPr="001D6B9C">
        <w:rPr>
          <w:rFonts w:ascii="Calibri" w:hAnsi="Calibri"/>
          <w:sz w:val="24"/>
          <w:szCs w:val="24"/>
        </w:rPr>
        <w:t xml:space="preserve"> later</w:t>
      </w:r>
      <w:r w:rsidR="001D6B9C">
        <w:rPr>
          <w:rFonts w:ascii="Calibri" w:hAnsi="Calibri"/>
          <w:sz w:val="24"/>
          <w:szCs w:val="24"/>
        </w:rPr>
        <w:t xml:space="preserve">. </w:t>
      </w:r>
      <w:r w:rsidR="00FD7D43" w:rsidRPr="001D6B9C">
        <w:rPr>
          <w:rFonts w:ascii="Calibri" w:hAnsi="Calibri"/>
          <w:sz w:val="24"/>
          <w:szCs w:val="24"/>
        </w:rPr>
        <w:t xml:space="preserve"> </w:t>
      </w:r>
      <w:r w:rsidR="001D6B9C" w:rsidRPr="001D6B9C">
        <w:rPr>
          <w:rFonts w:ascii="Calibri" w:hAnsi="Calibri"/>
          <w:sz w:val="24"/>
          <w:szCs w:val="24"/>
        </w:rPr>
        <w:t>The two goniometric ROM evaluations are summarized in this table:</w:t>
      </w:r>
    </w:p>
    <w:p w:rsidR="001D6B9C" w:rsidRPr="001D6B9C" w:rsidRDefault="001D6B9C" w:rsidP="00141048">
      <w:pPr>
        <w:tabs>
          <w:tab w:val="left" w:pos="288"/>
          <w:tab w:val="left" w:pos="4752"/>
        </w:tabs>
        <w:spacing w:after="0" w:line="240" w:lineRule="exact"/>
        <w:jc w:val="both"/>
        <w:rPr>
          <w:color w:val="008080"/>
          <w:sz w:val="24"/>
          <w:szCs w:val="24"/>
        </w:rPr>
      </w:pPr>
    </w:p>
    <w:tbl>
      <w:tblPr>
        <w:tblW w:w="7350" w:type="dxa"/>
        <w:jc w:val="center"/>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4"/>
        <w:gridCol w:w="2317"/>
        <w:gridCol w:w="2529"/>
      </w:tblGrid>
      <w:tr w:rsidR="001D6B9C" w:rsidTr="00E1547E">
        <w:trPr>
          <w:trHeight w:val="381"/>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D6B9C" w:rsidRDefault="001D6B9C" w:rsidP="00141048">
            <w:pPr>
              <w:spacing w:after="0" w:line="240" w:lineRule="exact"/>
              <w:jc w:val="center"/>
              <w:rPr>
                <w:rFonts w:eastAsia="Calibri"/>
                <w:sz w:val="24"/>
              </w:rPr>
            </w:pPr>
            <w:r>
              <w:rPr>
                <w:rFonts w:eastAsia="Calibri"/>
              </w:rPr>
              <w:t>Left Shoulder</w:t>
            </w:r>
          </w:p>
        </w:tc>
        <w:tc>
          <w:tcPr>
            <w:tcW w:w="48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D6B9C" w:rsidRDefault="001D6B9C" w:rsidP="00141048">
            <w:pPr>
              <w:spacing w:after="0" w:line="240" w:lineRule="exact"/>
              <w:jc w:val="center"/>
              <w:rPr>
                <w:rFonts w:eastAsia="Calibri"/>
                <w:sz w:val="24"/>
              </w:rPr>
            </w:pPr>
            <w:r>
              <w:rPr>
                <w:rFonts w:eastAsia="Calibri"/>
              </w:rPr>
              <w:t>Separation Date 20060315</w:t>
            </w:r>
          </w:p>
        </w:tc>
      </w:tr>
      <w:tr w:rsidR="001D6B9C" w:rsidTr="00E1547E">
        <w:trPr>
          <w:trHeight w:val="381"/>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D6B9C" w:rsidRDefault="001D6B9C" w:rsidP="00141048">
            <w:pPr>
              <w:spacing w:after="0" w:line="240" w:lineRule="exact"/>
              <w:jc w:val="center"/>
              <w:rPr>
                <w:rFonts w:eastAsia="Calibri"/>
                <w:sz w:val="24"/>
              </w:rPr>
            </w:pPr>
            <w:r>
              <w:rPr>
                <w:rFonts w:eastAsia="Calibri"/>
              </w:rPr>
              <w:t>Goniometric ROM</w:t>
            </w:r>
          </w:p>
        </w:tc>
        <w:tc>
          <w:tcPr>
            <w:tcW w:w="23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A6B40" w:rsidRDefault="001D6B9C" w:rsidP="00141048">
            <w:pPr>
              <w:spacing w:after="0" w:line="240" w:lineRule="exact"/>
              <w:jc w:val="center"/>
              <w:rPr>
                <w:rFonts w:eastAsia="Calibri"/>
              </w:rPr>
            </w:pPr>
            <w:r>
              <w:rPr>
                <w:rFonts w:eastAsia="Calibri"/>
              </w:rPr>
              <w:t xml:space="preserve">MEB </w:t>
            </w:r>
          </w:p>
          <w:p w:rsidR="001D6B9C" w:rsidRDefault="001D6B9C" w:rsidP="00141048">
            <w:pPr>
              <w:spacing w:after="0" w:line="240" w:lineRule="exact"/>
              <w:jc w:val="center"/>
              <w:rPr>
                <w:rFonts w:eastAsia="Calibri"/>
                <w:sz w:val="24"/>
              </w:rPr>
            </w:pPr>
            <w:r>
              <w:rPr>
                <w:rFonts w:eastAsia="Calibri"/>
              </w:rPr>
              <w:t>200507</w:t>
            </w:r>
            <w:r w:rsidR="001A6B40">
              <w:rPr>
                <w:rFonts w:eastAsia="Calibri"/>
              </w:rPr>
              <w:t>26</w:t>
            </w:r>
          </w:p>
        </w:tc>
        <w:tc>
          <w:tcPr>
            <w:tcW w:w="2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41048" w:rsidRDefault="001D6B9C" w:rsidP="00141048">
            <w:pPr>
              <w:spacing w:after="0" w:line="240" w:lineRule="exact"/>
              <w:jc w:val="center"/>
              <w:rPr>
                <w:rFonts w:eastAsia="Calibri"/>
              </w:rPr>
            </w:pPr>
            <w:r>
              <w:rPr>
                <w:rFonts w:eastAsia="Calibri"/>
              </w:rPr>
              <w:t xml:space="preserve">VA Exam </w:t>
            </w:r>
          </w:p>
          <w:p w:rsidR="001D6B9C" w:rsidRDefault="001D6B9C" w:rsidP="00141048">
            <w:pPr>
              <w:spacing w:after="0" w:line="240" w:lineRule="exact"/>
              <w:jc w:val="center"/>
              <w:rPr>
                <w:rFonts w:eastAsia="Calibri"/>
                <w:sz w:val="24"/>
              </w:rPr>
            </w:pPr>
            <w:r>
              <w:rPr>
                <w:rFonts w:eastAsia="Calibri"/>
              </w:rPr>
              <w:t>200</w:t>
            </w:r>
            <w:r w:rsidR="001A6B40">
              <w:rPr>
                <w:rFonts w:eastAsia="Calibri"/>
              </w:rPr>
              <w:t>61006</w:t>
            </w:r>
          </w:p>
        </w:tc>
      </w:tr>
      <w:tr w:rsidR="001D6B9C" w:rsidTr="00E1547E">
        <w:trPr>
          <w:trHeight w:val="381"/>
          <w:jc w:val="center"/>
        </w:trPr>
        <w:tc>
          <w:tcPr>
            <w:tcW w:w="2504" w:type="dxa"/>
            <w:tcBorders>
              <w:top w:val="single" w:sz="4" w:space="0" w:color="000000"/>
              <w:left w:val="single" w:sz="4" w:space="0" w:color="000000"/>
              <w:bottom w:val="single" w:sz="4" w:space="0" w:color="000000"/>
              <w:right w:val="single" w:sz="4" w:space="0" w:color="000000"/>
            </w:tcBorders>
            <w:hideMark/>
          </w:tcPr>
          <w:p w:rsidR="001A6B40" w:rsidRDefault="001D6B9C" w:rsidP="00141048">
            <w:pPr>
              <w:spacing w:after="0" w:line="240" w:lineRule="exact"/>
              <w:jc w:val="center"/>
              <w:rPr>
                <w:rFonts w:eastAsia="Calibri"/>
              </w:rPr>
            </w:pPr>
            <w:r>
              <w:rPr>
                <w:rFonts w:eastAsia="Calibri"/>
              </w:rPr>
              <w:t xml:space="preserve">Forward Flexion </w:t>
            </w:r>
          </w:p>
          <w:p w:rsidR="001D6B9C" w:rsidRDefault="001D6B9C" w:rsidP="00141048">
            <w:pPr>
              <w:spacing w:after="0" w:line="240" w:lineRule="exact"/>
              <w:jc w:val="center"/>
              <w:rPr>
                <w:rFonts w:eastAsia="Calibri"/>
                <w:sz w:val="24"/>
              </w:rPr>
            </w:pPr>
            <w:r>
              <w:rPr>
                <w:rFonts w:eastAsia="Calibri"/>
              </w:rPr>
              <w:t>(180⁰ normal)</w:t>
            </w:r>
          </w:p>
        </w:tc>
        <w:tc>
          <w:tcPr>
            <w:tcW w:w="2317" w:type="dxa"/>
            <w:tcBorders>
              <w:top w:val="single" w:sz="4" w:space="0" w:color="000000"/>
              <w:left w:val="single" w:sz="4" w:space="0" w:color="000000"/>
              <w:bottom w:val="single" w:sz="4" w:space="0" w:color="000000"/>
              <w:right w:val="single" w:sz="4" w:space="0" w:color="000000"/>
            </w:tcBorders>
            <w:hideMark/>
          </w:tcPr>
          <w:p w:rsidR="001D6B9C" w:rsidRDefault="001D6B9C" w:rsidP="00141048">
            <w:pPr>
              <w:spacing w:after="0" w:line="240" w:lineRule="exact"/>
              <w:jc w:val="center"/>
              <w:rPr>
                <w:rFonts w:eastAsia="Calibri"/>
                <w:sz w:val="24"/>
              </w:rPr>
            </w:pPr>
            <w:r>
              <w:t>1</w:t>
            </w:r>
            <w:r w:rsidR="001A6B40">
              <w:t>5</w:t>
            </w:r>
            <w:r>
              <w:t xml:space="preserve">0° </w:t>
            </w:r>
            <w:r>
              <w:rPr>
                <w:rFonts w:eastAsia="Calibri"/>
              </w:rPr>
              <w:t xml:space="preserve"> </w:t>
            </w:r>
          </w:p>
        </w:tc>
        <w:tc>
          <w:tcPr>
            <w:tcW w:w="2529" w:type="dxa"/>
            <w:tcBorders>
              <w:top w:val="single" w:sz="4" w:space="0" w:color="000000"/>
              <w:left w:val="single" w:sz="4" w:space="0" w:color="000000"/>
              <w:bottom w:val="single" w:sz="4" w:space="0" w:color="000000"/>
              <w:right w:val="single" w:sz="4" w:space="0" w:color="000000"/>
            </w:tcBorders>
            <w:hideMark/>
          </w:tcPr>
          <w:p w:rsidR="001D6B9C" w:rsidRDefault="001D6B9C" w:rsidP="00141048">
            <w:pPr>
              <w:spacing w:after="0" w:line="240" w:lineRule="exact"/>
              <w:jc w:val="center"/>
              <w:rPr>
                <w:rFonts w:eastAsia="Calibri"/>
                <w:sz w:val="24"/>
              </w:rPr>
            </w:pPr>
            <w:r>
              <w:t>1</w:t>
            </w:r>
            <w:r w:rsidR="001A6B40">
              <w:t>6</w:t>
            </w:r>
            <w:r>
              <w:t xml:space="preserve">0° </w:t>
            </w:r>
            <w:r w:rsidR="001A6B40">
              <w:t>(</w:t>
            </w:r>
            <w:r>
              <w:t xml:space="preserve">with pain </w:t>
            </w:r>
            <w:r w:rsidR="001A6B40">
              <w:t>at</w:t>
            </w:r>
            <w:r>
              <w:t xml:space="preserve"> 1</w:t>
            </w:r>
            <w:r w:rsidR="001A6B40">
              <w:t>40</w:t>
            </w:r>
            <w:r>
              <w:t>°</w:t>
            </w:r>
            <w:r w:rsidR="001A6B40">
              <w:t>)</w:t>
            </w:r>
          </w:p>
        </w:tc>
      </w:tr>
      <w:tr w:rsidR="001D6B9C" w:rsidTr="00E1547E">
        <w:trPr>
          <w:trHeight w:val="381"/>
          <w:jc w:val="center"/>
        </w:trPr>
        <w:tc>
          <w:tcPr>
            <w:tcW w:w="2504" w:type="dxa"/>
            <w:tcBorders>
              <w:top w:val="single" w:sz="4" w:space="0" w:color="000000"/>
              <w:left w:val="single" w:sz="4" w:space="0" w:color="000000"/>
              <w:bottom w:val="single" w:sz="4" w:space="0" w:color="000000"/>
              <w:right w:val="single" w:sz="4" w:space="0" w:color="000000"/>
            </w:tcBorders>
            <w:hideMark/>
          </w:tcPr>
          <w:p w:rsidR="001D6B9C" w:rsidRDefault="001D6B9C" w:rsidP="00141048">
            <w:pPr>
              <w:spacing w:after="0" w:line="240" w:lineRule="exact"/>
              <w:jc w:val="center"/>
              <w:rPr>
                <w:rFonts w:eastAsia="Calibri" w:cs="Times New Roman"/>
                <w:sz w:val="24"/>
                <w:szCs w:val="20"/>
              </w:rPr>
            </w:pPr>
            <w:r>
              <w:rPr>
                <w:rFonts w:eastAsia="Calibri"/>
              </w:rPr>
              <w:t>Abduction</w:t>
            </w:r>
          </w:p>
          <w:p w:rsidR="001D6B9C" w:rsidRDefault="001D6B9C" w:rsidP="00141048">
            <w:pPr>
              <w:spacing w:after="0" w:line="240" w:lineRule="exact"/>
              <w:jc w:val="center"/>
              <w:rPr>
                <w:rFonts w:eastAsia="Calibri"/>
                <w:sz w:val="24"/>
              </w:rPr>
            </w:pPr>
            <w:r>
              <w:rPr>
                <w:rFonts w:eastAsia="Calibri"/>
              </w:rPr>
              <w:t xml:space="preserve"> (180⁰ normal)</w:t>
            </w:r>
          </w:p>
        </w:tc>
        <w:tc>
          <w:tcPr>
            <w:tcW w:w="2317" w:type="dxa"/>
            <w:tcBorders>
              <w:top w:val="single" w:sz="4" w:space="0" w:color="000000"/>
              <w:left w:val="single" w:sz="4" w:space="0" w:color="000000"/>
              <w:bottom w:val="single" w:sz="4" w:space="0" w:color="000000"/>
              <w:right w:val="single" w:sz="4" w:space="0" w:color="000000"/>
            </w:tcBorders>
            <w:hideMark/>
          </w:tcPr>
          <w:p w:rsidR="001D6B9C" w:rsidRDefault="001A6B40" w:rsidP="00141048">
            <w:pPr>
              <w:spacing w:after="0" w:line="240" w:lineRule="exact"/>
              <w:jc w:val="center"/>
              <w:rPr>
                <w:rFonts w:eastAsia="Calibri"/>
                <w:sz w:val="24"/>
              </w:rPr>
            </w:pPr>
            <w:r>
              <w:rPr>
                <w:rFonts w:eastAsia="Calibri"/>
              </w:rPr>
              <w:t>15</w:t>
            </w:r>
            <w:r w:rsidR="001D6B9C">
              <w:rPr>
                <w:rFonts w:eastAsia="Calibri"/>
              </w:rPr>
              <w:t>0⁰</w:t>
            </w:r>
          </w:p>
        </w:tc>
        <w:tc>
          <w:tcPr>
            <w:tcW w:w="2529" w:type="dxa"/>
            <w:tcBorders>
              <w:top w:val="single" w:sz="4" w:space="0" w:color="000000"/>
              <w:left w:val="single" w:sz="4" w:space="0" w:color="000000"/>
              <w:bottom w:val="single" w:sz="4" w:space="0" w:color="000000"/>
              <w:right w:val="single" w:sz="4" w:space="0" w:color="000000"/>
            </w:tcBorders>
            <w:hideMark/>
          </w:tcPr>
          <w:p w:rsidR="001D6B9C" w:rsidRDefault="001D6B9C" w:rsidP="00141048">
            <w:pPr>
              <w:spacing w:after="0" w:line="240" w:lineRule="exact"/>
              <w:jc w:val="center"/>
              <w:rPr>
                <w:sz w:val="24"/>
              </w:rPr>
            </w:pPr>
            <w:r>
              <w:t>150</w:t>
            </w:r>
            <w:r>
              <w:rPr>
                <w:rFonts w:eastAsia="Calibri"/>
              </w:rPr>
              <w:t xml:space="preserve">⁰ </w:t>
            </w:r>
            <w:r w:rsidR="001A6B40">
              <w:rPr>
                <w:rFonts w:eastAsia="Calibri"/>
              </w:rPr>
              <w:t>(</w:t>
            </w:r>
            <w:r>
              <w:rPr>
                <w:rFonts w:eastAsia="Calibri"/>
              </w:rPr>
              <w:t xml:space="preserve">with </w:t>
            </w:r>
            <w:r w:rsidR="001A6B40">
              <w:rPr>
                <w:rFonts w:eastAsia="Calibri"/>
              </w:rPr>
              <w:t xml:space="preserve">pain at 120⁰) </w:t>
            </w:r>
          </w:p>
        </w:tc>
      </w:tr>
      <w:tr w:rsidR="001D6B9C" w:rsidTr="00E1547E">
        <w:trPr>
          <w:trHeight w:val="271"/>
          <w:jc w:val="center"/>
        </w:trPr>
        <w:tc>
          <w:tcPr>
            <w:tcW w:w="2504" w:type="dxa"/>
            <w:tcBorders>
              <w:top w:val="single" w:sz="4" w:space="0" w:color="000000"/>
              <w:left w:val="single" w:sz="4" w:space="0" w:color="000000"/>
              <w:bottom w:val="single" w:sz="4" w:space="0" w:color="000000"/>
              <w:right w:val="single" w:sz="4" w:space="0" w:color="000000"/>
            </w:tcBorders>
            <w:hideMark/>
          </w:tcPr>
          <w:p w:rsidR="001D6B9C" w:rsidRDefault="001D6B9C" w:rsidP="00141048">
            <w:pPr>
              <w:tabs>
                <w:tab w:val="left" w:pos="288"/>
                <w:tab w:val="left" w:pos="4752"/>
              </w:tabs>
              <w:spacing w:after="0" w:line="240" w:lineRule="exact"/>
              <w:jc w:val="center"/>
              <w:rPr>
                <w:sz w:val="24"/>
              </w:rPr>
            </w:pPr>
            <w:r>
              <w:t>§4.71a Rating</w:t>
            </w:r>
          </w:p>
        </w:tc>
        <w:tc>
          <w:tcPr>
            <w:tcW w:w="2317" w:type="dxa"/>
            <w:tcBorders>
              <w:top w:val="single" w:sz="4" w:space="0" w:color="000000"/>
              <w:left w:val="single" w:sz="4" w:space="0" w:color="000000"/>
              <w:bottom w:val="single" w:sz="4" w:space="0" w:color="000000"/>
              <w:right w:val="single" w:sz="4" w:space="0" w:color="000000"/>
            </w:tcBorders>
            <w:hideMark/>
          </w:tcPr>
          <w:p w:rsidR="001D6B9C" w:rsidRDefault="001D6B9C" w:rsidP="00141048">
            <w:pPr>
              <w:tabs>
                <w:tab w:val="left" w:pos="288"/>
                <w:tab w:val="left" w:pos="4752"/>
              </w:tabs>
              <w:spacing w:after="0" w:line="240" w:lineRule="exact"/>
              <w:jc w:val="center"/>
              <w:rPr>
                <w:sz w:val="24"/>
              </w:rPr>
            </w:pPr>
            <w:r>
              <w:t>No ROM rating</w:t>
            </w:r>
          </w:p>
        </w:tc>
        <w:tc>
          <w:tcPr>
            <w:tcW w:w="2529" w:type="dxa"/>
            <w:tcBorders>
              <w:top w:val="single" w:sz="4" w:space="0" w:color="000000"/>
              <w:left w:val="single" w:sz="4" w:space="0" w:color="000000"/>
              <w:bottom w:val="single" w:sz="4" w:space="0" w:color="000000"/>
              <w:right w:val="single" w:sz="4" w:space="0" w:color="000000"/>
            </w:tcBorders>
            <w:hideMark/>
          </w:tcPr>
          <w:p w:rsidR="001D6B9C" w:rsidRDefault="001D6B9C" w:rsidP="00141048">
            <w:pPr>
              <w:tabs>
                <w:tab w:val="left" w:pos="288"/>
                <w:tab w:val="left" w:pos="4752"/>
              </w:tabs>
              <w:spacing w:after="0" w:line="240" w:lineRule="exact"/>
              <w:jc w:val="center"/>
              <w:rPr>
                <w:sz w:val="24"/>
              </w:rPr>
            </w:pPr>
            <w:r>
              <w:t>No ROM rating</w:t>
            </w:r>
          </w:p>
        </w:tc>
      </w:tr>
      <w:tr w:rsidR="001A6B40" w:rsidTr="00E1547E">
        <w:trPr>
          <w:trHeight w:val="271"/>
          <w:jc w:val="center"/>
        </w:trPr>
        <w:tc>
          <w:tcPr>
            <w:tcW w:w="2504" w:type="dxa"/>
            <w:tcBorders>
              <w:top w:val="single" w:sz="4" w:space="0" w:color="000000"/>
              <w:left w:val="single" w:sz="4" w:space="0" w:color="000000"/>
              <w:bottom w:val="single" w:sz="4" w:space="0" w:color="000000"/>
              <w:right w:val="single" w:sz="4" w:space="0" w:color="000000"/>
            </w:tcBorders>
            <w:hideMark/>
          </w:tcPr>
          <w:p w:rsidR="001A6B40" w:rsidRDefault="001A6B40" w:rsidP="00141048">
            <w:pPr>
              <w:tabs>
                <w:tab w:val="left" w:pos="288"/>
                <w:tab w:val="left" w:pos="4752"/>
              </w:tabs>
              <w:spacing w:after="0" w:line="240" w:lineRule="exact"/>
              <w:jc w:val="center"/>
            </w:pPr>
            <w:r>
              <w:t>Comment</w:t>
            </w:r>
          </w:p>
        </w:tc>
        <w:tc>
          <w:tcPr>
            <w:tcW w:w="2317" w:type="dxa"/>
            <w:tcBorders>
              <w:top w:val="single" w:sz="4" w:space="0" w:color="000000"/>
              <w:left w:val="single" w:sz="4" w:space="0" w:color="000000"/>
              <w:bottom w:val="single" w:sz="4" w:space="0" w:color="000000"/>
              <w:right w:val="single" w:sz="4" w:space="0" w:color="000000"/>
            </w:tcBorders>
            <w:hideMark/>
          </w:tcPr>
          <w:p w:rsidR="001A6B40" w:rsidRDefault="001A6B40" w:rsidP="00141048">
            <w:pPr>
              <w:tabs>
                <w:tab w:val="left" w:pos="288"/>
                <w:tab w:val="left" w:pos="4752"/>
              </w:tabs>
              <w:spacing w:after="0" w:line="240" w:lineRule="exact"/>
              <w:jc w:val="center"/>
            </w:pPr>
            <w:r>
              <w:t>Painful motion</w:t>
            </w:r>
          </w:p>
        </w:tc>
        <w:tc>
          <w:tcPr>
            <w:tcW w:w="2529" w:type="dxa"/>
            <w:tcBorders>
              <w:top w:val="single" w:sz="4" w:space="0" w:color="000000"/>
              <w:left w:val="single" w:sz="4" w:space="0" w:color="000000"/>
              <w:bottom w:val="single" w:sz="4" w:space="0" w:color="000000"/>
              <w:right w:val="single" w:sz="4" w:space="0" w:color="000000"/>
            </w:tcBorders>
            <w:hideMark/>
          </w:tcPr>
          <w:p w:rsidR="001A6B40" w:rsidRDefault="001A6B40" w:rsidP="00141048">
            <w:pPr>
              <w:tabs>
                <w:tab w:val="left" w:pos="288"/>
                <w:tab w:val="left" w:pos="4752"/>
              </w:tabs>
              <w:spacing w:after="0" w:line="240" w:lineRule="exact"/>
              <w:jc w:val="center"/>
            </w:pPr>
            <w:r>
              <w:t>Painful motion</w:t>
            </w:r>
          </w:p>
        </w:tc>
      </w:tr>
    </w:tbl>
    <w:p w:rsidR="001D6B9C" w:rsidRDefault="001D6B9C" w:rsidP="00141048">
      <w:pPr>
        <w:tabs>
          <w:tab w:val="left" w:pos="288"/>
          <w:tab w:val="left" w:pos="4752"/>
        </w:tabs>
        <w:spacing w:after="0" w:line="240" w:lineRule="exact"/>
        <w:jc w:val="both"/>
        <w:rPr>
          <w:szCs w:val="24"/>
        </w:rPr>
      </w:pPr>
    </w:p>
    <w:p w:rsidR="00555A30" w:rsidRPr="00332D34" w:rsidRDefault="0001696F" w:rsidP="00141048">
      <w:pPr>
        <w:autoSpaceDE w:val="0"/>
        <w:autoSpaceDN w:val="0"/>
        <w:adjustRightInd w:val="0"/>
        <w:spacing w:after="0" w:line="240" w:lineRule="exact"/>
        <w:jc w:val="both"/>
        <w:rPr>
          <w:rFonts w:ascii="Calibri" w:hAnsi="Calibri" w:cs="Times New Roman"/>
          <w:sz w:val="24"/>
          <w:szCs w:val="24"/>
        </w:rPr>
      </w:pPr>
      <w:r w:rsidRPr="00332D34">
        <w:rPr>
          <w:rFonts w:ascii="Calibri" w:hAnsi="Calibri" w:cs="Times New Roman"/>
          <w:sz w:val="24"/>
          <w:szCs w:val="24"/>
        </w:rPr>
        <w:t xml:space="preserve">As mentioned above, the PEB found his </w:t>
      </w:r>
      <w:r w:rsidR="00E1547E">
        <w:rPr>
          <w:rFonts w:ascii="Calibri" w:hAnsi="Calibri" w:cs="Times New Roman"/>
          <w:sz w:val="24"/>
          <w:szCs w:val="24"/>
        </w:rPr>
        <w:t>l</w:t>
      </w:r>
      <w:r w:rsidRPr="00332D34">
        <w:rPr>
          <w:rFonts w:ascii="Calibri" w:hAnsi="Calibri" w:cs="Times New Roman"/>
          <w:sz w:val="24"/>
          <w:szCs w:val="24"/>
        </w:rPr>
        <w:t xml:space="preserve">eft </w:t>
      </w:r>
      <w:r w:rsidR="00E1547E">
        <w:rPr>
          <w:rFonts w:ascii="Calibri" w:hAnsi="Calibri" w:cs="Times New Roman"/>
          <w:sz w:val="24"/>
          <w:szCs w:val="24"/>
        </w:rPr>
        <w:t>s</w:t>
      </w:r>
      <w:r w:rsidRPr="00332D34">
        <w:rPr>
          <w:rFonts w:ascii="Calibri" w:hAnsi="Calibri" w:cs="Times New Roman"/>
          <w:sz w:val="24"/>
          <w:szCs w:val="24"/>
        </w:rPr>
        <w:t>houlder condition unfitting (coded 5202) and assigned a disability rating of 20%.</w:t>
      </w:r>
      <w:r w:rsidR="001008A6" w:rsidRPr="00332D34">
        <w:rPr>
          <w:rFonts w:ascii="Calibri" w:hAnsi="Calibri" w:cs="Times New Roman"/>
          <w:sz w:val="24"/>
          <w:szCs w:val="24"/>
        </w:rPr>
        <w:t xml:space="preserve">  The VA rated the </w:t>
      </w:r>
      <w:r w:rsidR="00E1547E">
        <w:rPr>
          <w:rFonts w:ascii="Calibri" w:hAnsi="Calibri" w:cs="Times New Roman"/>
          <w:sz w:val="24"/>
          <w:szCs w:val="24"/>
        </w:rPr>
        <w:t>l</w:t>
      </w:r>
      <w:r w:rsidR="001008A6" w:rsidRPr="00332D34">
        <w:rPr>
          <w:rFonts w:ascii="Calibri" w:hAnsi="Calibri" w:cs="Times New Roman"/>
          <w:sz w:val="24"/>
          <w:szCs w:val="24"/>
        </w:rPr>
        <w:t xml:space="preserve">eft </w:t>
      </w:r>
      <w:r w:rsidR="00E1547E">
        <w:rPr>
          <w:rFonts w:ascii="Calibri" w:hAnsi="Calibri" w:cs="Times New Roman"/>
          <w:sz w:val="24"/>
          <w:szCs w:val="24"/>
        </w:rPr>
        <w:t>s</w:t>
      </w:r>
      <w:r w:rsidR="001008A6" w:rsidRPr="00332D34">
        <w:rPr>
          <w:rFonts w:ascii="Calibri" w:hAnsi="Calibri" w:cs="Times New Roman"/>
          <w:sz w:val="24"/>
          <w:szCs w:val="24"/>
        </w:rPr>
        <w:t xml:space="preserve">houlder at 10%, based on painful motion of a major joint.  The Board carefully examined all evidentiary information available.  </w:t>
      </w:r>
      <w:r w:rsidR="000F7276" w:rsidRPr="00332D34">
        <w:rPr>
          <w:rFonts w:ascii="Calibri" w:eastAsiaTheme="minorHAnsi" w:hAnsi="Calibri"/>
          <w:sz w:val="24"/>
          <w:szCs w:val="24"/>
        </w:rPr>
        <w:t>After considera</w:t>
      </w:r>
      <w:r w:rsidR="001008A6" w:rsidRPr="00332D34">
        <w:rPr>
          <w:rFonts w:ascii="Calibri" w:eastAsiaTheme="minorHAnsi" w:hAnsi="Calibri"/>
          <w:sz w:val="24"/>
          <w:szCs w:val="24"/>
        </w:rPr>
        <w:t xml:space="preserve">ble discussion and due deliberation, the Board unanimously </w:t>
      </w:r>
      <w:r w:rsidR="00332D34">
        <w:rPr>
          <w:rFonts w:ascii="Calibri" w:eastAsiaTheme="minorHAnsi" w:hAnsi="Calibri"/>
          <w:sz w:val="24"/>
          <w:szCs w:val="24"/>
        </w:rPr>
        <w:t xml:space="preserve">recommends a rating of 20% for the </w:t>
      </w:r>
      <w:r w:rsidR="00E1547E">
        <w:rPr>
          <w:rFonts w:ascii="Calibri" w:eastAsiaTheme="minorHAnsi" w:hAnsi="Calibri"/>
          <w:sz w:val="24"/>
          <w:szCs w:val="24"/>
        </w:rPr>
        <w:t>l</w:t>
      </w:r>
      <w:r w:rsidR="0026206A" w:rsidRPr="00332D34">
        <w:rPr>
          <w:rFonts w:ascii="Calibri" w:hAnsi="Calibri" w:cs="Times New Roman"/>
          <w:sz w:val="24"/>
          <w:szCs w:val="24"/>
        </w:rPr>
        <w:t xml:space="preserve">eft </w:t>
      </w:r>
      <w:r w:rsidR="00E1547E">
        <w:rPr>
          <w:rFonts w:ascii="Calibri" w:hAnsi="Calibri" w:cs="Times New Roman"/>
          <w:sz w:val="24"/>
          <w:szCs w:val="24"/>
        </w:rPr>
        <w:t>s</w:t>
      </w:r>
      <w:r w:rsidR="0026206A" w:rsidRPr="00332D34">
        <w:rPr>
          <w:rFonts w:ascii="Calibri" w:hAnsi="Calibri" w:cs="Times New Roman"/>
          <w:sz w:val="24"/>
          <w:szCs w:val="24"/>
        </w:rPr>
        <w:t>houlder</w:t>
      </w:r>
      <w:r w:rsidR="00332D34">
        <w:rPr>
          <w:rFonts w:ascii="Calibri" w:hAnsi="Calibri" w:cs="Times New Roman"/>
          <w:sz w:val="24"/>
          <w:szCs w:val="24"/>
        </w:rPr>
        <w:t xml:space="preserve"> </w:t>
      </w:r>
      <w:r w:rsidR="00332D34" w:rsidRPr="00332D34">
        <w:rPr>
          <w:rFonts w:ascii="Calibri" w:hAnsi="Calibri" w:cs="Times New Roman"/>
          <w:sz w:val="24"/>
          <w:szCs w:val="24"/>
        </w:rPr>
        <w:t>IAW VASRD</w:t>
      </w:r>
      <w:r w:rsidR="00332D34">
        <w:rPr>
          <w:rFonts w:ascii="Calibri" w:hAnsi="Calibri" w:cs="Times New Roman"/>
          <w:sz w:val="24"/>
          <w:szCs w:val="24"/>
        </w:rPr>
        <w:t xml:space="preserve"> </w:t>
      </w:r>
      <w:r w:rsidR="00332D34" w:rsidRPr="00332D34">
        <w:rPr>
          <w:rFonts w:ascii="Calibri" w:hAnsi="Calibri"/>
          <w:sz w:val="24"/>
          <w:szCs w:val="24"/>
        </w:rPr>
        <w:t>§4.71a.</w:t>
      </w:r>
      <w:r w:rsidR="000F7276" w:rsidRPr="00332D34">
        <w:rPr>
          <w:rFonts w:ascii="Calibri" w:hAnsi="Calibri"/>
          <w:sz w:val="24"/>
          <w:szCs w:val="24"/>
        </w:rPr>
        <w:t xml:space="preserve"> </w:t>
      </w:r>
    </w:p>
    <w:p w:rsidR="00555A30" w:rsidRPr="00332D34" w:rsidRDefault="00555A30" w:rsidP="00141048">
      <w:pPr>
        <w:autoSpaceDE w:val="0"/>
        <w:autoSpaceDN w:val="0"/>
        <w:adjustRightInd w:val="0"/>
        <w:spacing w:after="0" w:line="240" w:lineRule="exact"/>
        <w:jc w:val="both"/>
        <w:rPr>
          <w:rFonts w:ascii="Calibri" w:hAnsi="Calibri"/>
          <w:sz w:val="24"/>
          <w:szCs w:val="24"/>
        </w:rPr>
      </w:pPr>
    </w:p>
    <w:p w:rsidR="00555A30" w:rsidRPr="001665AC" w:rsidRDefault="00555A30" w:rsidP="00141048">
      <w:pPr>
        <w:autoSpaceDE w:val="0"/>
        <w:autoSpaceDN w:val="0"/>
        <w:adjustRightInd w:val="0"/>
        <w:spacing w:after="0" w:line="240" w:lineRule="exact"/>
        <w:jc w:val="both"/>
        <w:rPr>
          <w:rFonts w:ascii="Calibri" w:hAnsi="Calibri"/>
          <w:color w:val="000080"/>
          <w:sz w:val="24"/>
          <w:szCs w:val="24"/>
          <w:u w:val="single"/>
        </w:rPr>
      </w:pPr>
      <w:proofErr w:type="gramStart"/>
      <w:r w:rsidRPr="001665AC">
        <w:rPr>
          <w:rFonts w:ascii="Calibri" w:hAnsi="Calibri"/>
          <w:sz w:val="24"/>
          <w:szCs w:val="24"/>
          <w:u w:val="single"/>
        </w:rPr>
        <w:t xml:space="preserve">Other </w:t>
      </w:r>
      <w:r w:rsidR="001008A6" w:rsidRPr="001665AC">
        <w:rPr>
          <w:rFonts w:ascii="Calibri" w:hAnsi="Calibri"/>
          <w:sz w:val="24"/>
          <w:szCs w:val="24"/>
          <w:u w:val="single"/>
        </w:rPr>
        <w:t>PEB C</w:t>
      </w:r>
      <w:r w:rsidRPr="001665AC">
        <w:rPr>
          <w:rFonts w:ascii="Calibri" w:hAnsi="Calibri"/>
          <w:sz w:val="24"/>
          <w:szCs w:val="24"/>
          <w:u w:val="single"/>
        </w:rPr>
        <w:t>onditions</w:t>
      </w:r>
      <w:r w:rsidR="001008A6" w:rsidRPr="001665AC">
        <w:rPr>
          <w:rFonts w:ascii="Calibri" w:hAnsi="Calibri"/>
          <w:sz w:val="24"/>
          <w:szCs w:val="24"/>
        </w:rPr>
        <w:t>.</w:t>
      </w:r>
      <w:proofErr w:type="gramEnd"/>
      <w:r w:rsidR="00F61EA2" w:rsidRPr="001665AC">
        <w:rPr>
          <w:rFonts w:ascii="Calibri" w:hAnsi="Calibri"/>
          <w:color w:val="000080"/>
          <w:sz w:val="24"/>
          <w:szCs w:val="24"/>
        </w:rPr>
        <w:t xml:space="preserve">  </w:t>
      </w:r>
      <w:r w:rsidRPr="001665AC">
        <w:rPr>
          <w:rFonts w:ascii="Calibri" w:hAnsi="Calibri" w:cs="Times New Roman"/>
          <w:sz w:val="24"/>
          <w:szCs w:val="24"/>
        </w:rPr>
        <w:t xml:space="preserve">Hypertension, </w:t>
      </w:r>
      <w:r w:rsidR="00E1547E">
        <w:rPr>
          <w:rFonts w:ascii="Calibri" w:hAnsi="Calibri" w:cs="Times New Roman"/>
          <w:sz w:val="24"/>
          <w:szCs w:val="24"/>
        </w:rPr>
        <w:t>h</w:t>
      </w:r>
      <w:r w:rsidR="001008A6" w:rsidRPr="001665AC">
        <w:rPr>
          <w:rFonts w:ascii="Calibri" w:hAnsi="Calibri" w:cs="Times New Roman"/>
          <w:sz w:val="24"/>
          <w:szCs w:val="24"/>
        </w:rPr>
        <w:t xml:space="preserve">yperlipidemia, and </w:t>
      </w:r>
      <w:r w:rsidR="00A375EE" w:rsidRPr="001665AC">
        <w:rPr>
          <w:rFonts w:ascii="Calibri" w:hAnsi="Calibri" w:cs="Times New Roman"/>
          <w:sz w:val="24"/>
          <w:szCs w:val="24"/>
        </w:rPr>
        <w:t>A</w:t>
      </w:r>
      <w:r w:rsidR="001665AC">
        <w:rPr>
          <w:rFonts w:ascii="Calibri" w:hAnsi="Calibri" w:cs="Times New Roman"/>
          <w:sz w:val="24"/>
          <w:szCs w:val="24"/>
        </w:rPr>
        <w:t>DHD</w:t>
      </w:r>
      <w:r w:rsidR="00A375EE" w:rsidRPr="001665AC">
        <w:rPr>
          <w:rFonts w:ascii="Calibri" w:hAnsi="Calibri" w:cs="Times New Roman"/>
          <w:sz w:val="24"/>
          <w:szCs w:val="24"/>
        </w:rPr>
        <w:t xml:space="preserve"> were </w:t>
      </w:r>
      <w:r w:rsidR="001008A6" w:rsidRPr="001665AC">
        <w:rPr>
          <w:rFonts w:ascii="Calibri" w:hAnsi="Calibri" w:cs="Times New Roman"/>
          <w:sz w:val="24"/>
          <w:szCs w:val="24"/>
        </w:rPr>
        <w:t xml:space="preserve">all </w:t>
      </w:r>
      <w:r w:rsidR="00A375EE" w:rsidRPr="001665AC">
        <w:rPr>
          <w:rFonts w:ascii="Calibri" w:hAnsi="Calibri" w:cs="Times New Roman"/>
          <w:sz w:val="24"/>
          <w:szCs w:val="24"/>
        </w:rPr>
        <w:t xml:space="preserve">considered by the </w:t>
      </w:r>
      <w:r w:rsidR="001008A6" w:rsidRPr="001665AC">
        <w:rPr>
          <w:rFonts w:ascii="Calibri" w:hAnsi="Calibri" w:cs="Times New Roman"/>
          <w:sz w:val="24"/>
          <w:szCs w:val="24"/>
        </w:rPr>
        <w:t xml:space="preserve">Board.  </w:t>
      </w:r>
      <w:r w:rsidR="00C00B19" w:rsidRPr="001665AC">
        <w:rPr>
          <w:rFonts w:ascii="Calibri" w:hAnsi="Calibri" w:cs="Times New Roman"/>
          <w:sz w:val="24"/>
          <w:szCs w:val="24"/>
        </w:rPr>
        <w:t xml:space="preserve">There is no clearly documented evidence that any of these conditions significantly interfered with the performance of required military duties.  </w:t>
      </w:r>
      <w:r w:rsidR="00A375EE" w:rsidRPr="001665AC">
        <w:rPr>
          <w:rFonts w:ascii="Calibri" w:eastAsiaTheme="minorHAnsi" w:hAnsi="Calibri"/>
          <w:sz w:val="24"/>
          <w:szCs w:val="24"/>
        </w:rPr>
        <w:t>The Board unanimously recommends no re</w:t>
      </w:r>
      <w:r w:rsidR="00C00B19" w:rsidRPr="001665AC">
        <w:rPr>
          <w:rFonts w:ascii="Calibri" w:eastAsiaTheme="minorHAnsi" w:hAnsi="Calibri"/>
          <w:sz w:val="24"/>
          <w:szCs w:val="24"/>
        </w:rPr>
        <w:t>versal</w:t>
      </w:r>
      <w:r w:rsidR="00A375EE" w:rsidRPr="001665AC">
        <w:rPr>
          <w:rFonts w:ascii="Calibri" w:eastAsiaTheme="minorHAnsi" w:hAnsi="Calibri"/>
          <w:sz w:val="24"/>
          <w:szCs w:val="24"/>
        </w:rPr>
        <w:t xml:space="preserve"> of the PEB adjudication </w:t>
      </w:r>
      <w:r w:rsidR="00332D34">
        <w:rPr>
          <w:rFonts w:ascii="Calibri" w:eastAsiaTheme="minorHAnsi" w:hAnsi="Calibri"/>
          <w:sz w:val="24"/>
          <w:szCs w:val="24"/>
        </w:rPr>
        <w:t>for</w:t>
      </w:r>
      <w:r w:rsidR="00A375EE" w:rsidRPr="001665AC">
        <w:rPr>
          <w:rFonts w:ascii="Calibri" w:eastAsiaTheme="minorHAnsi" w:hAnsi="Calibri"/>
          <w:sz w:val="24"/>
          <w:szCs w:val="24"/>
        </w:rPr>
        <w:t xml:space="preserve"> these </w:t>
      </w:r>
      <w:r w:rsidR="00DD3F50">
        <w:rPr>
          <w:rFonts w:ascii="Calibri" w:eastAsiaTheme="minorHAnsi" w:hAnsi="Calibri"/>
          <w:sz w:val="24"/>
          <w:szCs w:val="24"/>
        </w:rPr>
        <w:t xml:space="preserve">three </w:t>
      </w:r>
      <w:r w:rsidR="00A375EE" w:rsidRPr="001665AC">
        <w:rPr>
          <w:rFonts w:ascii="Calibri" w:eastAsiaTheme="minorHAnsi" w:hAnsi="Calibri"/>
          <w:sz w:val="24"/>
          <w:szCs w:val="24"/>
        </w:rPr>
        <w:t>conditions.</w:t>
      </w:r>
    </w:p>
    <w:p w:rsidR="000F7276" w:rsidRPr="001665AC" w:rsidRDefault="000F7276" w:rsidP="00141048">
      <w:pPr>
        <w:autoSpaceDE w:val="0"/>
        <w:autoSpaceDN w:val="0"/>
        <w:adjustRightInd w:val="0"/>
        <w:spacing w:after="0" w:line="240" w:lineRule="exact"/>
        <w:jc w:val="both"/>
        <w:rPr>
          <w:rFonts w:ascii="Calibri" w:hAnsi="Calibri"/>
          <w:color w:val="000080"/>
          <w:sz w:val="24"/>
          <w:szCs w:val="24"/>
          <w:u w:val="single"/>
        </w:rPr>
      </w:pPr>
    </w:p>
    <w:p w:rsidR="00141048" w:rsidRDefault="001665AC" w:rsidP="00141048">
      <w:pPr>
        <w:spacing w:after="0" w:line="240" w:lineRule="exact"/>
        <w:jc w:val="both"/>
        <w:rPr>
          <w:rFonts w:ascii="Calibri" w:eastAsiaTheme="minorHAnsi" w:hAnsi="Calibri"/>
          <w:sz w:val="24"/>
          <w:szCs w:val="24"/>
        </w:rPr>
      </w:pPr>
      <w:proofErr w:type="gramStart"/>
      <w:r w:rsidRPr="001665AC">
        <w:rPr>
          <w:rFonts w:ascii="Calibri" w:eastAsiaTheme="minorHAnsi" w:hAnsi="Calibri"/>
          <w:sz w:val="24"/>
          <w:szCs w:val="24"/>
          <w:u w:val="single"/>
        </w:rPr>
        <w:t>Remaining Conditions</w:t>
      </w:r>
      <w:r w:rsidRPr="001665AC">
        <w:rPr>
          <w:rFonts w:ascii="Calibri" w:eastAsiaTheme="minorHAnsi" w:hAnsi="Calibri"/>
          <w:sz w:val="24"/>
          <w:szCs w:val="24"/>
        </w:rPr>
        <w:t>.</w:t>
      </w:r>
      <w:proofErr w:type="gramEnd"/>
      <w:r w:rsidRPr="001665AC">
        <w:rPr>
          <w:rFonts w:ascii="Calibri" w:eastAsiaTheme="minorHAnsi" w:hAnsi="Calibri"/>
          <w:sz w:val="24"/>
          <w:szCs w:val="24"/>
        </w:rPr>
        <w:t xml:space="preserve">  </w:t>
      </w:r>
      <w:r w:rsidRPr="007067DD">
        <w:rPr>
          <w:rFonts w:cs="Times New Roman"/>
          <w:sz w:val="24"/>
          <w:szCs w:val="24"/>
        </w:rPr>
        <w:t xml:space="preserve">Gastrointestinal </w:t>
      </w:r>
      <w:r w:rsidR="00332D34">
        <w:rPr>
          <w:rFonts w:cs="Times New Roman"/>
          <w:sz w:val="24"/>
          <w:szCs w:val="24"/>
        </w:rPr>
        <w:t xml:space="preserve">(GI) </w:t>
      </w:r>
      <w:r w:rsidR="00E1547E">
        <w:rPr>
          <w:rFonts w:cs="Times New Roman"/>
          <w:sz w:val="24"/>
          <w:szCs w:val="24"/>
        </w:rPr>
        <w:t>m</w:t>
      </w:r>
      <w:r w:rsidRPr="007067DD">
        <w:rPr>
          <w:rFonts w:cs="Times New Roman"/>
          <w:sz w:val="24"/>
          <w:szCs w:val="24"/>
        </w:rPr>
        <w:t xml:space="preserve">alfunction </w:t>
      </w:r>
      <w:r w:rsidR="00DD3F50">
        <w:rPr>
          <w:rFonts w:cs="Times New Roman"/>
          <w:sz w:val="24"/>
          <w:szCs w:val="24"/>
        </w:rPr>
        <w:t>and</w:t>
      </w:r>
      <w:r w:rsidR="00E1547E">
        <w:rPr>
          <w:rFonts w:cs="Times New Roman"/>
          <w:sz w:val="24"/>
          <w:szCs w:val="24"/>
        </w:rPr>
        <w:t xml:space="preserve"> r</w:t>
      </w:r>
      <w:r w:rsidR="00DD3F50">
        <w:rPr>
          <w:rFonts w:cs="Times New Roman"/>
          <w:sz w:val="24"/>
          <w:szCs w:val="24"/>
        </w:rPr>
        <w:t xml:space="preserve">ight </w:t>
      </w:r>
      <w:r w:rsidR="00E1547E">
        <w:rPr>
          <w:rFonts w:cs="Times New Roman"/>
          <w:sz w:val="24"/>
          <w:szCs w:val="24"/>
        </w:rPr>
        <w:t>s</w:t>
      </w:r>
      <w:r w:rsidR="00DD3F50">
        <w:rPr>
          <w:rFonts w:cs="Times New Roman"/>
          <w:sz w:val="24"/>
          <w:szCs w:val="24"/>
        </w:rPr>
        <w:t xml:space="preserve">houlder </w:t>
      </w:r>
      <w:r w:rsidR="00E1547E">
        <w:rPr>
          <w:rFonts w:cs="Times New Roman"/>
          <w:sz w:val="24"/>
          <w:szCs w:val="24"/>
        </w:rPr>
        <w:t>p</w:t>
      </w:r>
      <w:r w:rsidR="00DD3F50">
        <w:rPr>
          <w:rFonts w:cs="Times New Roman"/>
          <w:sz w:val="24"/>
          <w:szCs w:val="24"/>
        </w:rPr>
        <w:t>ain were</w:t>
      </w:r>
      <w:r w:rsidRPr="001665AC">
        <w:rPr>
          <w:rFonts w:ascii="Calibri" w:eastAsiaTheme="minorHAnsi" w:hAnsi="Calibri"/>
          <w:sz w:val="24"/>
          <w:szCs w:val="24"/>
        </w:rPr>
        <w:t xml:space="preserve"> noted in the </w:t>
      </w:r>
      <w:r w:rsidR="009F41F9" w:rsidRPr="001665AC">
        <w:rPr>
          <w:rFonts w:ascii="Calibri" w:eastAsiaTheme="minorHAnsi" w:hAnsi="Calibri"/>
          <w:sz w:val="24"/>
          <w:szCs w:val="24"/>
        </w:rPr>
        <w:t>D</w:t>
      </w:r>
      <w:r w:rsidR="009F41F9">
        <w:rPr>
          <w:rFonts w:ascii="Calibri" w:eastAsiaTheme="minorHAnsi" w:hAnsi="Calibri"/>
          <w:sz w:val="24"/>
          <w:szCs w:val="24"/>
        </w:rPr>
        <w:t>isability Evaluation System (</w:t>
      </w:r>
      <w:r w:rsidRPr="001665AC">
        <w:rPr>
          <w:rFonts w:ascii="Calibri" w:eastAsiaTheme="minorHAnsi" w:hAnsi="Calibri"/>
          <w:sz w:val="24"/>
          <w:szCs w:val="24"/>
        </w:rPr>
        <w:t>DES</w:t>
      </w:r>
      <w:r w:rsidR="009F41F9">
        <w:rPr>
          <w:rFonts w:ascii="Calibri" w:eastAsiaTheme="minorHAnsi" w:hAnsi="Calibri"/>
          <w:sz w:val="24"/>
          <w:szCs w:val="24"/>
        </w:rPr>
        <w:t>)</w:t>
      </w:r>
      <w:r w:rsidRPr="001665AC">
        <w:rPr>
          <w:rFonts w:ascii="Calibri" w:eastAsiaTheme="minorHAnsi" w:hAnsi="Calibri"/>
          <w:sz w:val="24"/>
          <w:szCs w:val="24"/>
        </w:rPr>
        <w:t xml:space="preserve"> file.  Several additional conditions were also documented.  None of these conditions w</w:t>
      </w:r>
      <w:r w:rsidR="009F41F9">
        <w:rPr>
          <w:rFonts w:ascii="Calibri" w:eastAsiaTheme="minorHAnsi" w:hAnsi="Calibri"/>
          <w:sz w:val="24"/>
          <w:szCs w:val="24"/>
        </w:rPr>
        <w:t>as</w:t>
      </w:r>
      <w:r w:rsidRPr="001665AC">
        <w:rPr>
          <w:rFonts w:ascii="Calibri" w:eastAsiaTheme="minorHAnsi" w:hAnsi="Calibri"/>
          <w:sz w:val="24"/>
          <w:szCs w:val="24"/>
        </w:rPr>
        <w:t xml:space="preserve"> clinically significant during the </w:t>
      </w:r>
      <w:r w:rsidR="00DD3F50">
        <w:rPr>
          <w:rFonts w:ascii="Calibri" w:eastAsiaTheme="minorHAnsi" w:hAnsi="Calibri"/>
          <w:sz w:val="24"/>
          <w:szCs w:val="24"/>
        </w:rPr>
        <w:t>PEB</w:t>
      </w:r>
      <w:r w:rsidRPr="001665AC">
        <w:rPr>
          <w:rFonts w:ascii="Calibri" w:eastAsiaTheme="minorHAnsi" w:hAnsi="Calibri"/>
          <w:sz w:val="24"/>
          <w:szCs w:val="24"/>
        </w:rPr>
        <w:t xml:space="preserve"> period</w:t>
      </w:r>
      <w:r w:rsidR="00DD3F50">
        <w:rPr>
          <w:rFonts w:ascii="Calibri" w:eastAsiaTheme="minorHAnsi" w:hAnsi="Calibri"/>
          <w:sz w:val="24"/>
          <w:szCs w:val="24"/>
        </w:rPr>
        <w:t xml:space="preserve">.  </w:t>
      </w:r>
      <w:r w:rsidRPr="001665AC">
        <w:rPr>
          <w:rFonts w:ascii="Calibri" w:eastAsiaTheme="minorHAnsi" w:hAnsi="Calibri"/>
          <w:sz w:val="24"/>
          <w:szCs w:val="24"/>
        </w:rPr>
        <w:t xml:space="preserve">These conditions were </w:t>
      </w:r>
      <w:r w:rsidR="00DD3F50">
        <w:rPr>
          <w:rFonts w:ascii="Calibri" w:eastAsiaTheme="minorHAnsi" w:hAnsi="Calibri"/>
          <w:sz w:val="24"/>
          <w:szCs w:val="24"/>
        </w:rPr>
        <w:t xml:space="preserve">all </w:t>
      </w:r>
      <w:r w:rsidRPr="001665AC">
        <w:rPr>
          <w:rFonts w:ascii="Calibri" w:eastAsiaTheme="minorHAnsi" w:hAnsi="Calibri"/>
          <w:sz w:val="24"/>
          <w:szCs w:val="24"/>
        </w:rPr>
        <w:t xml:space="preserve">reviewed by the </w:t>
      </w:r>
      <w:r w:rsidR="00E1547E">
        <w:rPr>
          <w:rFonts w:ascii="Calibri" w:eastAsiaTheme="minorHAnsi" w:hAnsi="Calibri"/>
          <w:sz w:val="24"/>
          <w:szCs w:val="24"/>
        </w:rPr>
        <w:t>a</w:t>
      </w:r>
      <w:r w:rsidRPr="001665AC">
        <w:rPr>
          <w:rFonts w:ascii="Calibri" w:eastAsiaTheme="minorHAnsi" w:hAnsi="Calibri"/>
          <w:sz w:val="24"/>
          <w:szCs w:val="24"/>
        </w:rPr>
        <w:t xml:space="preserve">ction </w:t>
      </w:r>
      <w:r w:rsidR="00E1547E">
        <w:rPr>
          <w:rFonts w:ascii="Calibri" w:eastAsiaTheme="minorHAnsi" w:hAnsi="Calibri"/>
          <w:sz w:val="24"/>
          <w:szCs w:val="24"/>
        </w:rPr>
        <w:t>o</w:t>
      </w:r>
      <w:r w:rsidRPr="001665AC">
        <w:rPr>
          <w:rFonts w:ascii="Calibri" w:eastAsiaTheme="minorHAnsi" w:hAnsi="Calibri"/>
          <w:sz w:val="24"/>
          <w:szCs w:val="24"/>
        </w:rPr>
        <w:t>fficer and considered by the Board.  It was determined that none could be argued as unfitting and subject to separation rating.  Additionally</w:t>
      </w:r>
      <w:r w:rsidR="00EF7F7D">
        <w:rPr>
          <w:rFonts w:ascii="Calibri" w:eastAsiaTheme="minorHAnsi" w:hAnsi="Calibri"/>
          <w:sz w:val="24"/>
          <w:szCs w:val="24"/>
        </w:rPr>
        <w:t>,</w:t>
      </w:r>
      <w:r w:rsidRPr="001665AC">
        <w:rPr>
          <w:rFonts w:ascii="Calibri" w:eastAsiaTheme="minorHAnsi" w:hAnsi="Calibri"/>
          <w:sz w:val="24"/>
          <w:szCs w:val="24"/>
        </w:rPr>
        <w:t xml:space="preserve"> </w:t>
      </w:r>
      <w:r w:rsidR="00E1547E">
        <w:rPr>
          <w:rFonts w:ascii="Calibri" w:eastAsiaTheme="minorHAnsi" w:hAnsi="Calibri"/>
          <w:sz w:val="24"/>
          <w:szCs w:val="24"/>
        </w:rPr>
        <w:t>b</w:t>
      </w:r>
      <w:r w:rsidR="00DD3F50">
        <w:rPr>
          <w:rFonts w:ascii="Calibri" w:eastAsiaTheme="minorHAnsi" w:hAnsi="Calibri"/>
          <w:sz w:val="24"/>
          <w:szCs w:val="24"/>
        </w:rPr>
        <w:t xml:space="preserve">ipolar </w:t>
      </w:r>
      <w:r w:rsidR="00E1547E">
        <w:rPr>
          <w:rFonts w:ascii="Calibri" w:eastAsiaTheme="minorHAnsi" w:hAnsi="Calibri"/>
          <w:sz w:val="24"/>
          <w:szCs w:val="24"/>
        </w:rPr>
        <w:t>d</w:t>
      </w:r>
      <w:r w:rsidR="00141048">
        <w:rPr>
          <w:rFonts w:ascii="Calibri" w:eastAsiaTheme="minorHAnsi" w:hAnsi="Calibri"/>
          <w:sz w:val="24"/>
          <w:szCs w:val="24"/>
        </w:rPr>
        <w:t>epression</w:t>
      </w:r>
      <w:r w:rsidR="00DD3F50">
        <w:rPr>
          <w:rFonts w:ascii="Calibri" w:eastAsiaTheme="minorHAnsi" w:hAnsi="Calibri"/>
          <w:sz w:val="24"/>
          <w:szCs w:val="24"/>
        </w:rPr>
        <w:t xml:space="preserve"> and</w:t>
      </w:r>
      <w:r w:rsidRPr="001665AC">
        <w:rPr>
          <w:rFonts w:ascii="Calibri" w:eastAsiaTheme="minorHAnsi" w:hAnsi="Calibri"/>
          <w:sz w:val="24"/>
          <w:szCs w:val="24"/>
        </w:rPr>
        <w:t xml:space="preserve"> other conditions were noted in the VA rating decision proximal to separation, but were not documented in the </w:t>
      </w:r>
      <w:r w:rsidR="009F41F9">
        <w:rPr>
          <w:rFonts w:ascii="Calibri" w:eastAsiaTheme="minorHAnsi" w:hAnsi="Calibri"/>
          <w:sz w:val="24"/>
          <w:szCs w:val="24"/>
        </w:rPr>
        <w:t>D</w:t>
      </w:r>
      <w:r w:rsidRPr="001665AC">
        <w:rPr>
          <w:rFonts w:ascii="Calibri" w:eastAsiaTheme="minorHAnsi" w:hAnsi="Calibri"/>
          <w:sz w:val="24"/>
          <w:szCs w:val="24"/>
        </w:rPr>
        <w:t xml:space="preserve">ES file.  The Board does not have the authority under DoDI 6040.44 to render fitness or rating recommendations for any conditions not considered by the DES. </w:t>
      </w:r>
    </w:p>
    <w:p w:rsidR="00A90D55" w:rsidRPr="00141048" w:rsidRDefault="001665AC" w:rsidP="00141048">
      <w:pPr>
        <w:spacing w:after="0" w:line="240" w:lineRule="exact"/>
        <w:jc w:val="both"/>
        <w:rPr>
          <w:rFonts w:ascii="Calibri" w:eastAsiaTheme="minorHAnsi" w:hAnsi="Calibri"/>
          <w:sz w:val="24"/>
          <w:szCs w:val="24"/>
        </w:rPr>
      </w:pPr>
      <w:r w:rsidRPr="001665AC">
        <w:rPr>
          <w:rFonts w:ascii="Calibri" w:hAnsi="Calibri"/>
          <w:b/>
          <w:sz w:val="24"/>
          <w:szCs w:val="24"/>
          <w:u w:val="single"/>
        </w:rPr>
        <w:t>__</w:t>
      </w:r>
      <w:r w:rsidRPr="001665AC">
        <w:rPr>
          <w:rFonts w:ascii="Calibri" w:hAnsi="Calibri"/>
          <w:b/>
          <w:sz w:val="24"/>
          <w:szCs w:val="24"/>
          <w:u w:val="single"/>
        </w:rPr>
        <w:softHyphen/>
        <w:t>____________________________________________________________________________</w:t>
      </w:r>
    </w:p>
    <w:p w:rsidR="00141048" w:rsidRDefault="00141048" w:rsidP="00141048">
      <w:pPr>
        <w:spacing w:after="0" w:line="240" w:lineRule="exact"/>
        <w:jc w:val="both"/>
        <w:rPr>
          <w:sz w:val="24"/>
          <w:szCs w:val="24"/>
          <w:u w:val="single"/>
        </w:rPr>
      </w:pPr>
    </w:p>
    <w:p w:rsidR="007067DD" w:rsidRPr="007067DD" w:rsidRDefault="00FB593A" w:rsidP="00E1547E">
      <w:pPr>
        <w:spacing w:after="0" w:line="240" w:lineRule="exact"/>
        <w:jc w:val="both"/>
        <w:rPr>
          <w:sz w:val="24"/>
          <w:szCs w:val="24"/>
        </w:rPr>
      </w:pPr>
      <w:r w:rsidRPr="00332D34">
        <w:rPr>
          <w:rFonts w:ascii="Calibri" w:hAnsi="Calibri"/>
          <w:sz w:val="24"/>
          <w:szCs w:val="24"/>
          <w:u w:val="single"/>
        </w:rPr>
        <w:t>BOARD FINDINGS</w:t>
      </w:r>
      <w:r w:rsidRPr="00332D34">
        <w:rPr>
          <w:rFonts w:ascii="Calibri" w:hAnsi="Calibri"/>
          <w:sz w:val="24"/>
          <w:szCs w:val="24"/>
        </w:rPr>
        <w:t>:</w:t>
      </w:r>
      <w:r w:rsidRPr="00332D34">
        <w:rPr>
          <w:rFonts w:ascii="Calibri" w:eastAsiaTheme="minorHAnsi" w:hAnsi="Calibri"/>
          <w:sz w:val="24"/>
          <w:szCs w:val="24"/>
        </w:rPr>
        <w:t xml:space="preserve">  IAW DoDI 6040.44, provisions of DoD or Military Department regulations or guidelines relied upon by the PEB will not be considered by the </w:t>
      </w:r>
      <w:r w:rsidR="007165CE" w:rsidRPr="00332D34">
        <w:rPr>
          <w:rFonts w:ascii="Calibri" w:eastAsiaTheme="minorHAnsi" w:hAnsi="Calibri"/>
          <w:sz w:val="24"/>
          <w:szCs w:val="24"/>
        </w:rPr>
        <w:t>Board</w:t>
      </w:r>
      <w:r w:rsidRPr="00332D34">
        <w:rPr>
          <w:rFonts w:ascii="Calibri" w:eastAsiaTheme="minorHAnsi" w:hAnsi="Calibri"/>
          <w:sz w:val="24"/>
          <w:szCs w:val="24"/>
        </w:rPr>
        <w:t xml:space="preserve"> to the extent they were inconsistent with the VASRD in effect at the time of the adjudication. </w:t>
      </w:r>
      <w:r w:rsidR="005F1115" w:rsidRPr="00332D34">
        <w:rPr>
          <w:rFonts w:ascii="Calibri" w:eastAsiaTheme="minorHAnsi" w:hAnsi="Calibri"/>
          <w:sz w:val="24"/>
          <w:szCs w:val="24"/>
        </w:rPr>
        <w:t xml:space="preserve"> </w:t>
      </w:r>
      <w:r w:rsidRPr="00332D34">
        <w:rPr>
          <w:rFonts w:ascii="Calibri" w:eastAsiaTheme="minorHAnsi" w:hAnsi="Calibri"/>
          <w:sz w:val="24"/>
          <w:szCs w:val="24"/>
        </w:rPr>
        <w:t xml:space="preserve">The </w:t>
      </w:r>
      <w:r w:rsidR="001A7538" w:rsidRPr="00332D34">
        <w:rPr>
          <w:rFonts w:ascii="Calibri" w:eastAsiaTheme="minorHAnsi" w:hAnsi="Calibri"/>
          <w:sz w:val="24"/>
          <w:szCs w:val="24"/>
        </w:rPr>
        <w:t>Board</w:t>
      </w:r>
      <w:r w:rsidRPr="00332D34">
        <w:rPr>
          <w:rFonts w:ascii="Calibri" w:eastAsiaTheme="minorHAnsi" w:hAnsi="Calibri"/>
          <w:sz w:val="24"/>
          <w:szCs w:val="24"/>
        </w:rPr>
        <w:t xml:space="preserve"> did not surmise from the record or PEB ruling in this case that any prerogatives outside the VASRD were exercise</w:t>
      </w:r>
      <w:r w:rsidR="00A608FB" w:rsidRPr="00332D34">
        <w:rPr>
          <w:rFonts w:ascii="Calibri" w:eastAsiaTheme="minorHAnsi" w:hAnsi="Calibri"/>
          <w:sz w:val="24"/>
          <w:szCs w:val="24"/>
        </w:rPr>
        <w:t>d.</w:t>
      </w:r>
      <w:r w:rsidR="00E1547E">
        <w:rPr>
          <w:rFonts w:ascii="Calibri" w:eastAsiaTheme="minorHAnsi" w:hAnsi="Calibri"/>
          <w:sz w:val="24"/>
          <w:szCs w:val="24"/>
        </w:rPr>
        <w:t xml:space="preserve">  </w:t>
      </w:r>
      <w:r w:rsidR="000F7276" w:rsidRPr="00332D34">
        <w:rPr>
          <w:rFonts w:ascii="Calibri" w:eastAsiaTheme="minorHAnsi" w:hAnsi="Calibri"/>
          <w:sz w:val="24"/>
          <w:szCs w:val="24"/>
        </w:rPr>
        <w:t xml:space="preserve">In the matter of the </w:t>
      </w:r>
      <w:r w:rsidR="00E1547E">
        <w:rPr>
          <w:rFonts w:ascii="Calibri" w:eastAsiaTheme="minorHAnsi" w:hAnsi="Calibri"/>
          <w:sz w:val="24"/>
          <w:szCs w:val="24"/>
        </w:rPr>
        <w:t>l</w:t>
      </w:r>
      <w:r w:rsidR="000F7276" w:rsidRPr="00332D34">
        <w:rPr>
          <w:rFonts w:ascii="Calibri" w:hAnsi="Calibri" w:cs="Times New Roman"/>
          <w:sz w:val="24"/>
          <w:szCs w:val="24"/>
        </w:rPr>
        <w:t xml:space="preserve">eft </w:t>
      </w:r>
      <w:r w:rsidR="00E1547E">
        <w:rPr>
          <w:rFonts w:ascii="Calibri" w:hAnsi="Calibri" w:cs="Times New Roman"/>
          <w:sz w:val="24"/>
          <w:szCs w:val="24"/>
        </w:rPr>
        <w:t>s</w:t>
      </w:r>
      <w:r w:rsidR="000F7276" w:rsidRPr="00332D34">
        <w:rPr>
          <w:rFonts w:ascii="Calibri" w:hAnsi="Calibri" w:cs="Times New Roman"/>
          <w:sz w:val="24"/>
          <w:szCs w:val="24"/>
        </w:rPr>
        <w:t>houlder</w:t>
      </w:r>
      <w:r w:rsidR="00141048" w:rsidRPr="00332D34">
        <w:rPr>
          <w:rFonts w:ascii="Calibri" w:hAnsi="Calibri" w:cs="Times New Roman"/>
          <w:sz w:val="24"/>
          <w:szCs w:val="24"/>
        </w:rPr>
        <w:t xml:space="preserve"> </w:t>
      </w:r>
      <w:r w:rsidR="00E1547E">
        <w:rPr>
          <w:rFonts w:ascii="Calibri" w:hAnsi="Calibri" w:cs="Times New Roman"/>
          <w:sz w:val="24"/>
          <w:szCs w:val="24"/>
        </w:rPr>
        <w:t>c</w:t>
      </w:r>
      <w:r w:rsidR="000F7276" w:rsidRPr="00332D34">
        <w:rPr>
          <w:rFonts w:ascii="Calibri" w:hAnsi="Calibri" w:cs="Times New Roman"/>
          <w:sz w:val="24"/>
          <w:szCs w:val="24"/>
        </w:rPr>
        <w:t>ondition</w:t>
      </w:r>
      <w:r w:rsidR="000F7276" w:rsidRPr="00332D34">
        <w:rPr>
          <w:rFonts w:ascii="Calibri" w:eastAsiaTheme="minorHAnsi" w:hAnsi="Calibri"/>
          <w:sz w:val="24"/>
          <w:szCs w:val="24"/>
        </w:rPr>
        <w:t xml:space="preserve">, the Board unanimously recommends </w:t>
      </w:r>
      <w:r w:rsidR="00141048" w:rsidRPr="00332D34">
        <w:rPr>
          <w:rFonts w:ascii="Calibri" w:eastAsiaTheme="minorHAnsi" w:hAnsi="Calibri"/>
          <w:sz w:val="24"/>
          <w:szCs w:val="24"/>
        </w:rPr>
        <w:t>a permanent disability rating of 20%</w:t>
      </w:r>
      <w:r w:rsidR="00332D34">
        <w:rPr>
          <w:rFonts w:ascii="Calibri" w:eastAsiaTheme="minorHAnsi" w:hAnsi="Calibri"/>
          <w:sz w:val="24"/>
          <w:szCs w:val="24"/>
        </w:rPr>
        <w:t>,</w:t>
      </w:r>
      <w:r w:rsidR="00141048" w:rsidRPr="00332D34">
        <w:rPr>
          <w:rFonts w:ascii="Calibri" w:eastAsiaTheme="minorHAnsi" w:hAnsi="Calibri"/>
          <w:sz w:val="24"/>
          <w:szCs w:val="24"/>
        </w:rPr>
        <w:t xml:space="preserve"> IAW VASRD </w:t>
      </w:r>
      <w:r w:rsidR="00332D34" w:rsidRPr="00332D34">
        <w:rPr>
          <w:rFonts w:ascii="Calibri" w:hAnsi="Calibri"/>
          <w:sz w:val="24"/>
          <w:szCs w:val="24"/>
        </w:rPr>
        <w:t>§4.71a</w:t>
      </w:r>
      <w:r w:rsidR="000F7276" w:rsidRPr="00332D34">
        <w:rPr>
          <w:rFonts w:ascii="Calibri" w:hAnsi="Calibri"/>
          <w:sz w:val="24"/>
          <w:szCs w:val="24"/>
        </w:rPr>
        <w:t xml:space="preserve">.  </w:t>
      </w:r>
      <w:r w:rsidR="007067DD" w:rsidRPr="007067DD">
        <w:rPr>
          <w:sz w:val="24"/>
          <w:szCs w:val="24"/>
        </w:rPr>
        <w:t>In the matter of the</w:t>
      </w:r>
      <w:r w:rsidR="007067DD" w:rsidRPr="007067DD">
        <w:rPr>
          <w:rFonts w:cs="Times New Roman"/>
          <w:sz w:val="24"/>
          <w:szCs w:val="24"/>
        </w:rPr>
        <w:t xml:space="preserve"> </w:t>
      </w:r>
      <w:r w:rsidR="00E1547E">
        <w:rPr>
          <w:rFonts w:cs="Times New Roman"/>
          <w:sz w:val="24"/>
          <w:szCs w:val="24"/>
        </w:rPr>
        <w:t>h</w:t>
      </w:r>
      <w:r w:rsidR="00700D0C">
        <w:rPr>
          <w:rFonts w:cs="Times New Roman"/>
          <w:sz w:val="24"/>
          <w:szCs w:val="24"/>
        </w:rPr>
        <w:t>ypertension</w:t>
      </w:r>
      <w:r w:rsidR="006372CB">
        <w:rPr>
          <w:sz w:val="24"/>
          <w:szCs w:val="24"/>
        </w:rPr>
        <w:t xml:space="preserve">, </w:t>
      </w:r>
      <w:r w:rsidR="00E1547E">
        <w:rPr>
          <w:sz w:val="24"/>
          <w:szCs w:val="24"/>
        </w:rPr>
        <w:t>h</w:t>
      </w:r>
      <w:r w:rsidR="006372CB">
        <w:rPr>
          <w:rFonts w:eastAsiaTheme="minorHAnsi"/>
          <w:sz w:val="24"/>
          <w:szCs w:val="24"/>
        </w:rPr>
        <w:t>yperlipidemia</w:t>
      </w:r>
      <w:r w:rsidR="00332D34">
        <w:rPr>
          <w:rFonts w:eastAsiaTheme="minorHAnsi"/>
          <w:sz w:val="24"/>
          <w:szCs w:val="24"/>
        </w:rPr>
        <w:t xml:space="preserve">, </w:t>
      </w:r>
      <w:r w:rsidR="006372CB">
        <w:rPr>
          <w:rFonts w:cs="Times New Roman"/>
          <w:sz w:val="24"/>
          <w:szCs w:val="24"/>
        </w:rPr>
        <w:t xml:space="preserve">ADHD, </w:t>
      </w:r>
      <w:r w:rsidR="00332D34">
        <w:rPr>
          <w:rFonts w:cs="Times New Roman"/>
          <w:sz w:val="24"/>
          <w:szCs w:val="24"/>
        </w:rPr>
        <w:t xml:space="preserve">GI </w:t>
      </w:r>
      <w:r w:rsidR="00E1547E">
        <w:rPr>
          <w:rFonts w:cs="Times New Roman"/>
          <w:sz w:val="24"/>
          <w:szCs w:val="24"/>
        </w:rPr>
        <w:t>m</w:t>
      </w:r>
      <w:r w:rsidR="00332D34">
        <w:rPr>
          <w:rFonts w:cs="Times New Roman"/>
          <w:sz w:val="24"/>
          <w:szCs w:val="24"/>
        </w:rPr>
        <w:t xml:space="preserve">alfunction, </w:t>
      </w:r>
      <w:r w:rsidR="00E1547E">
        <w:rPr>
          <w:rFonts w:cs="Times New Roman"/>
          <w:sz w:val="24"/>
          <w:szCs w:val="24"/>
        </w:rPr>
        <w:t>r</w:t>
      </w:r>
      <w:r w:rsidR="00700D0C">
        <w:rPr>
          <w:rFonts w:cs="Times New Roman"/>
          <w:sz w:val="24"/>
          <w:szCs w:val="24"/>
        </w:rPr>
        <w:t xml:space="preserve">ight </w:t>
      </w:r>
      <w:r w:rsidR="00E1547E">
        <w:rPr>
          <w:rFonts w:cs="Times New Roman"/>
          <w:sz w:val="24"/>
          <w:szCs w:val="24"/>
        </w:rPr>
        <w:t>s</w:t>
      </w:r>
      <w:r w:rsidR="00700D0C">
        <w:rPr>
          <w:rFonts w:cs="Times New Roman"/>
          <w:sz w:val="24"/>
          <w:szCs w:val="24"/>
        </w:rPr>
        <w:t>hould</w:t>
      </w:r>
      <w:r w:rsidR="00332D34">
        <w:rPr>
          <w:rFonts w:cs="Times New Roman"/>
          <w:sz w:val="24"/>
          <w:szCs w:val="24"/>
        </w:rPr>
        <w:t xml:space="preserve">er </w:t>
      </w:r>
      <w:r w:rsidR="00E1547E">
        <w:rPr>
          <w:rFonts w:cs="Times New Roman"/>
          <w:sz w:val="24"/>
          <w:szCs w:val="24"/>
        </w:rPr>
        <w:t>p</w:t>
      </w:r>
      <w:r w:rsidR="00332D34">
        <w:rPr>
          <w:rFonts w:cs="Times New Roman"/>
          <w:sz w:val="24"/>
          <w:szCs w:val="24"/>
        </w:rPr>
        <w:t xml:space="preserve">ain, </w:t>
      </w:r>
      <w:r w:rsidR="00332D34">
        <w:rPr>
          <w:sz w:val="24"/>
          <w:szCs w:val="24"/>
        </w:rPr>
        <w:t xml:space="preserve">or any other </w:t>
      </w:r>
      <w:r w:rsidR="007067DD" w:rsidRPr="007067DD">
        <w:rPr>
          <w:sz w:val="24"/>
          <w:szCs w:val="24"/>
        </w:rPr>
        <w:t>conditions eligible for Board consideration</w:t>
      </w:r>
      <w:r w:rsidR="00E1547E">
        <w:rPr>
          <w:sz w:val="24"/>
          <w:szCs w:val="24"/>
        </w:rPr>
        <w:t>,</w:t>
      </w:r>
      <w:r w:rsidR="007067DD" w:rsidRPr="007067DD">
        <w:rPr>
          <w:sz w:val="24"/>
          <w:szCs w:val="24"/>
        </w:rPr>
        <w:t xml:space="preserve"> the Board unanimously agrees that it cannot recommend any findings of unfit for additional rating at separation.</w:t>
      </w:r>
    </w:p>
    <w:p w:rsidR="00FB593A" w:rsidRPr="00332D34" w:rsidRDefault="008B5D31" w:rsidP="00141048">
      <w:pPr>
        <w:tabs>
          <w:tab w:val="left" w:pos="288"/>
          <w:tab w:val="left" w:pos="4752"/>
        </w:tabs>
        <w:spacing w:after="0" w:line="240" w:lineRule="exact"/>
        <w:jc w:val="both"/>
        <w:rPr>
          <w:rFonts w:ascii="Calibri" w:hAnsi="Calibri"/>
          <w:b/>
          <w:sz w:val="24"/>
          <w:szCs w:val="24"/>
        </w:rPr>
      </w:pPr>
      <w:r w:rsidRPr="00332D34">
        <w:rPr>
          <w:rFonts w:ascii="Calibri" w:hAnsi="Calibri"/>
          <w:b/>
          <w:sz w:val="24"/>
          <w:szCs w:val="24"/>
          <w:u w:val="single"/>
        </w:rPr>
        <w:t>________________________________________________________</w:t>
      </w:r>
      <w:r w:rsidR="000F7276" w:rsidRPr="00332D34">
        <w:rPr>
          <w:rFonts w:ascii="Calibri" w:hAnsi="Calibri"/>
          <w:b/>
          <w:sz w:val="24"/>
          <w:szCs w:val="24"/>
          <w:u w:val="single"/>
        </w:rPr>
        <w:t>____________________</w:t>
      </w:r>
      <w:r w:rsidR="00700D0C" w:rsidRPr="00332D34">
        <w:rPr>
          <w:rFonts w:ascii="Calibri" w:hAnsi="Calibri"/>
          <w:b/>
          <w:sz w:val="24"/>
          <w:szCs w:val="24"/>
          <w:u w:val="single"/>
        </w:rPr>
        <w:t>__</w:t>
      </w:r>
    </w:p>
    <w:p w:rsidR="007505E5" w:rsidRPr="00141048" w:rsidRDefault="007505E5" w:rsidP="007505E5">
      <w:pPr>
        <w:spacing w:after="0" w:line="240" w:lineRule="exact"/>
        <w:jc w:val="both"/>
        <w:rPr>
          <w:rFonts w:ascii="Calibri" w:eastAsiaTheme="minorHAnsi" w:hAnsi="Calibri"/>
          <w:sz w:val="24"/>
          <w:szCs w:val="24"/>
        </w:rPr>
      </w:pPr>
    </w:p>
    <w:p w:rsidR="00822E8E" w:rsidRPr="00700D0C" w:rsidRDefault="00FB593A" w:rsidP="00141048">
      <w:pPr>
        <w:spacing w:after="0" w:line="240" w:lineRule="exact"/>
        <w:jc w:val="both"/>
        <w:rPr>
          <w:sz w:val="24"/>
          <w:szCs w:val="24"/>
        </w:rPr>
      </w:pPr>
      <w:r w:rsidRPr="00700D0C">
        <w:rPr>
          <w:sz w:val="24"/>
          <w:szCs w:val="24"/>
          <w:u w:val="single"/>
        </w:rPr>
        <w:t>RECOMMENDATION</w:t>
      </w:r>
      <w:r w:rsidR="009D23DD">
        <w:rPr>
          <w:sz w:val="24"/>
          <w:szCs w:val="24"/>
        </w:rPr>
        <w:t xml:space="preserve">:  </w:t>
      </w:r>
      <w:r w:rsidR="00822E8E" w:rsidRPr="00700D0C">
        <w:rPr>
          <w:sz w:val="24"/>
          <w:szCs w:val="24"/>
        </w:rPr>
        <w:t>The Board therefore recommends that there be no re</w:t>
      </w:r>
      <w:r w:rsidR="00832C3D">
        <w:rPr>
          <w:sz w:val="24"/>
          <w:szCs w:val="24"/>
        </w:rPr>
        <w:t>-</w:t>
      </w:r>
      <w:r w:rsidR="00822E8E" w:rsidRPr="00700D0C">
        <w:rPr>
          <w:sz w:val="24"/>
          <w:szCs w:val="24"/>
        </w:rPr>
        <w:t>characterization of the CI’s disability and separation determination.</w:t>
      </w:r>
    </w:p>
    <w:p w:rsidR="00FB593A" w:rsidRPr="00700D0C" w:rsidRDefault="00FB593A" w:rsidP="00141048">
      <w:pPr>
        <w:tabs>
          <w:tab w:val="left" w:pos="288"/>
          <w:tab w:val="left" w:pos="4752"/>
        </w:tabs>
        <w:spacing w:after="0" w:line="240" w:lineRule="exact"/>
        <w:jc w:val="both"/>
        <w:rPr>
          <w:sz w:val="24"/>
          <w:szCs w:val="24"/>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30"/>
        <w:gridCol w:w="1620"/>
        <w:gridCol w:w="1260"/>
      </w:tblGrid>
      <w:tr w:rsidR="00FB593A" w:rsidRPr="000F7276" w:rsidTr="00515CB0">
        <w:trPr>
          <w:trHeight w:val="287"/>
        </w:trPr>
        <w:tc>
          <w:tcPr>
            <w:tcW w:w="6030" w:type="dxa"/>
            <w:shd w:val="clear" w:color="auto" w:fill="D9D9D9"/>
          </w:tcPr>
          <w:p w:rsidR="00FB593A" w:rsidRPr="000F7276" w:rsidRDefault="00FB593A" w:rsidP="00141048">
            <w:pPr>
              <w:tabs>
                <w:tab w:val="left" w:pos="288"/>
                <w:tab w:val="left" w:pos="4752"/>
              </w:tabs>
              <w:spacing w:after="0" w:line="240" w:lineRule="exact"/>
              <w:jc w:val="center"/>
              <w:rPr>
                <w:b/>
                <w:szCs w:val="24"/>
              </w:rPr>
            </w:pPr>
            <w:r w:rsidRPr="000F7276">
              <w:rPr>
                <w:b/>
                <w:szCs w:val="24"/>
              </w:rPr>
              <w:t>UNFITTING CONDITION</w:t>
            </w:r>
          </w:p>
        </w:tc>
        <w:tc>
          <w:tcPr>
            <w:tcW w:w="1620" w:type="dxa"/>
            <w:shd w:val="clear" w:color="auto" w:fill="D9D9D9"/>
          </w:tcPr>
          <w:p w:rsidR="00FB593A" w:rsidRPr="000F7276" w:rsidRDefault="00FB593A" w:rsidP="00141048">
            <w:pPr>
              <w:tabs>
                <w:tab w:val="left" w:pos="288"/>
                <w:tab w:val="left" w:pos="4752"/>
              </w:tabs>
              <w:spacing w:after="0" w:line="240" w:lineRule="exact"/>
              <w:jc w:val="center"/>
              <w:rPr>
                <w:b/>
                <w:szCs w:val="24"/>
              </w:rPr>
            </w:pPr>
            <w:r w:rsidRPr="000F7276">
              <w:rPr>
                <w:b/>
                <w:szCs w:val="24"/>
              </w:rPr>
              <w:t>VASRD CODE</w:t>
            </w:r>
          </w:p>
        </w:tc>
        <w:tc>
          <w:tcPr>
            <w:tcW w:w="1260" w:type="dxa"/>
            <w:shd w:val="clear" w:color="auto" w:fill="D9D9D9"/>
          </w:tcPr>
          <w:p w:rsidR="00FB593A" w:rsidRPr="000F7276" w:rsidRDefault="00FB593A" w:rsidP="00141048">
            <w:pPr>
              <w:tabs>
                <w:tab w:val="left" w:pos="288"/>
                <w:tab w:val="left" w:pos="4752"/>
              </w:tabs>
              <w:spacing w:after="0" w:line="240" w:lineRule="exact"/>
              <w:jc w:val="center"/>
              <w:rPr>
                <w:b/>
                <w:szCs w:val="24"/>
              </w:rPr>
            </w:pPr>
            <w:r w:rsidRPr="000F7276">
              <w:rPr>
                <w:b/>
                <w:szCs w:val="24"/>
              </w:rPr>
              <w:t>RATING</w:t>
            </w:r>
          </w:p>
        </w:tc>
      </w:tr>
      <w:tr w:rsidR="00FB593A" w:rsidRPr="000F7276" w:rsidTr="00515CB0">
        <w:tc>
          <w:tcPr>
            <w:tcW w:w="6030" w:type="dxa"/>
          </w:tcPr>
          <w:p w:rsidR="00FB593A" w:rsidRPr="00D46CF1" w:rsidRDefault="000F7276" w:rsidP="00141048">
            <w:pPr>
              <w:tabs>
                <w:tab w:val="left" w:pos="288"/>
                <w:tab w:val="left" w:pos="4752"/>
              </w:tabs>
              <w:spacing w:after="0" w:line="240" w:lineRule="exact"/>
              <w:jc w:val="both"/>
            </w:pPr>
            <w:r w:rsidRPr="00D46CF1">
              <w:rPr>
                <w:rFonts w:cs="Times New Roman"/>
              </w:rPr>
              <w:t>Left Sh</w:t>
            </w:r>
            <w:r w:rsidR="00DD1048" w:rsidRPr="00D46CF1">
              <w:rPr>
                <w:rFonts w:cs="Times New Roman"/>
              </w:rPr>
              <w:t>oulder</w:t>
            </w:r>
            <w:r w:rsidR="007505E5" w:rsidRPr="00D46CF1">
              <w:rPr>
                <w:rFonts w:cs="Times New Roman"/>
              </w:rPr>
              <w:t xml:space="preserve"> Condition</w:t>
            </w:r>
            <w:r w:rsidR="00DD1048" w:rsidRPr="00D46CF1">
              <w:rPr>
                <w:rFonts w:cs="Times New Roman"/>
              </w:rPr>
              <w:t xml:space="preserve"> </w:t>
            </w:r>
          </w:p>
        </w:tc>
        <w:tc>
          <w:tcPr>
            <w:tcW w:w="1620" w:type="dxa"/>
          </w:tcPr>
          <w:p w:rsidR="00FB593A" w:rsidRPr="000F7276" w:rsidRDefault="000F7276" w:rsidP="00141048">
            <w:pPr>
              <w:tabs>
                <w:tab w:val="left" w:pos="288"/>
                <w:tab w:val="left" w:pos="4752"/>
              </w:tabs>
              <w:spacing w:after="0" w:line="240" w:lineRule="exact"/>
              <w:jc w:val="center"/>
              <w:rPr>
                <w:szCs w:val="24"/>
              </w:rPr>
            </w:pPr>
            <w:r>
              <w:rPr>
                <w:szCs w:val="24"/>
              </w:rPr>
              <w:t>5202</w:t>
            </w:r>
          </w:p>
        </w:tc>
        <w:tc>
          <w:tcPr>
            <w:tcW w:w="1260" w:type="dxa"/>
          </w:tcPr>
          <w:p w:rsidR="00FB593A" w:rsidRPr="000F7276" w:rsidRDefault="000F7276" w:rsidP="00141048">
            <w:pPr>
              <w:tabs>
                <w:tab w:val="left" w:pos="288"/>
                <w:tab w:val="left" w:pos="4752"/>
              </w:tabs>
              <w:spacing w:after="0" w:line="240" w:lineRule="exact"/>
              <w:jc w:val="center"/>
              <w:rPr>
                <w:szCs w:val="24"/>
              </w:rPr>
            </w:pPr>
            <w:r>
              <w:rPr>
                <w:szCs w:val="24"/>
              </w:rPr>
              <w:t>20%</w:t>
            </w:r>
          </w:p>
        </w:tc>
      </w:tr>
      <w:tr w:rsidR="00FB593A" w:rsidRPr="00AD4C68" w:rsidTr="00515CB0">
        <w:tblPrEx>
          <w:tblLook w:val="0000"/>
        </w:tblPrEx>
        <w:trPr>
          <w:gridBefore w:val="1"/>
          <w:wBefore w:w="6030" w:type="dxa"/>
          <w:trHeight w:val="287"/>
        </w:trPr>
        <w:tc>
          <w:tcPr>
            <w:tcW w:w="1620" w:type="dxa"/>
            <w:tcBorders>
              <w:left w:val="single" w:sz="4" w:space="0" w:color="auto"/>
              <w:bottom w:val="single" w:sz="4" w:space="0" w:color="000000"/>
            </w:tcBorders>
            <w:shd w:val="clear" w:color="auto" w:fill="D9D9D9" w:themeFill="background1" w:themeFillShade="D9"/>
          </w:tcPr>
          <w:p w:rsidR="00FB593A" w:rsidRPr="00AD4C68" w:rsidRDefault="00FB593A" w:rsidP="00141048">
            <w:pPr>
              <w:tabs>
                <w:tab w:val="left" w:pos="288"/>
                <w:tab w:val="left" w:pos="4752"/>
              </w:tabs>
              <w:spacing w:after="0" w:line="240" w:lineRule="exact"/>
              <w:jc w:val="center"/>
              <w:rPr>
                <w:b/>
                <w:szCs w:val="24"/>
              </w:rPr>
            </w:pPr>
            <w:r w:rsidRPr="00AD4C68">
              <w:rPr>
                <w:b/>
                <w:szCs w:val="24"/>
              </w:rPr>
              <w:t>COMBINED</w:t>
            </w:r>
          </w:p>
        </w:tc>
        <w:tc>
          <w:tcPr>
            <w:tcW w:w="1260" w:type="dxa"/>
            <w:tcBorders>
              <w:bottom w:val="single" w:sz="4" w:space="0" w:color="000000"/>
            </w:tcBorders>
            <w:shd w:val="clear" w:color="auto" w:fill="D9D9D9" w:themeFill="background1" w:themeFillShade="D9"/>
          </w:tcPr>
          <w:p w:rsidR="00FB593A" w:rsidRPr="00AD4C68" w:rsidRDefault="000F7276" w:rsidP="00141048">
            <w:pPr>
              <w:tabs>
                <w:tab w:val="left" w:pos="288"/>
                <w:tab w:val="left" w:pos="4752"/>
              </w:tabs>
              <w:spacing w:after="0" w:line="240" w:lineRule="exact"/>
              <w:jc w:val="center"/>
              <w:rPr>
                <w:b/>
                <w:szCs w:val="24"/>
              </w:rPr>
            </w:pPr>
            <w:r w:rsidRPr="00AD4C68">
              <w:rPr>
                <w:b/>
                <w:szCs w:val="24"/>
              </w:rPr>
              <w:t>20</w:t>
            </w:r>
            <w:r w:rsidR="00FB593A" w:rsidRPr="00AD4C68">
              <w:rPr>
                <w:b/>
                <w:szCs w:val="24"/>
              </w:rPr>
              <w:t>%</w:t>
            </w:r>
          </w:p>
        </w:tc>
      </w:tr>
    </w:tbl>
    <w:p w:rsidR="007505E5" w:rsidRPr="00141048" w:rsidRDefault="007505E5" w:rsidP="007505E5">
      <w:pPr>
        <w:spacing w:after="0" w:line="240" w:lineRule="exact"/>
        <w:jc w:val="both"/>
        <w:rPr>
          <w:rFonts w:ascii="Calibri" w:eastAsiaTheme="minorHAnsi" w:hAnsi="Calibri"/>
          <w:sz w:val="24"/>
          <w:szCs w:val="24"/>
        </w:rPr>
      </w:pPr>
      <w:r>
        <w:rPr>
          <w:rFonts w:ascii="Calibri" w:hAnsi="Calibri"/>
          <w:b/>
          <w:sz w:val="24"/>
          <w:szCs w:val="24"/>
          <w:u w:val="single"/>
        </w:rPr>
        <w:t>_</w:t>
      </w:r>
      <w:r w:rsidRPr="001665AC">
        <w:rPr>
          <w:rFonts w:ascii="Calibri" w:hAnsi="Calibri"/>
          <w:b/>
          <w:sz w:val="24"/>
          <w:szCs w:val="24"/>
          <w:u w:val="single"/>
        </w:rPr>
        <w:t>_______________________________________________</w:t>
      </w:r>
      <w:r>
        <w:rPr>
          <w:rFonts w:ascii="Calibri" w:hAnsi="Calibri"/>
          <w:b/>
          <w:sz w:val="24"/>
          <w:szCs w:val="24"/>
          <w:u w:val="single"/>
        </w:rPr>
        <w:t>_</w:t>
      </w:r>
      <w:r w:rsidRPr="001665AC">
        <w:rPr>
          <w:rFonts w:ascii="Calibri" w:hAnsi="Calibri"/>
          <w:b/>
          <w:sz w:val="24"/>
          <w:szCs w:val="24"/>
          <w:u w:val="single"/>
        </w:rPr>
        <w:t>_____________________________</w:t>
      </w:r>
    </w:p>
    <w:p w:rsidR="007505E5" w:rsidRDefault="007505E5" w:rsidP="00141048">
      <w:pPr>
        <w:tabs>
          <w:tab w:val="left" w:pos="288"/>
          <w:tab w:val="left" w:pos="4752"/>
        </w:tabs>
        <w:spacing w:after="0" w:line="240" w:lineRule="exact"/>
        <w:jc w:val="both"/>
        <w:rPr>
          <w:sz w:val="24"/>
          <w:szCs w:val="24"/>
        </w:rPr>
      </w:pPr>
    </w:p>
    <w:p w:rsidR="00D91DA6" w:rsidRPr="003A750D" w:rsidRDefault="00114F20" w:rsidP="00141048">
      <w:pPr>
        <w:tabs>
          <w:tab w:val="left" w:pos="288"/>
          <w:tab w:val="left" w:pos="4752"/>
        </w:tabs>
        <w:spacing w:after="0" w:line="240" w:lineRule="exact"/>
        <w:jc w:val="both"/>
        <w:rPr>
          <w:sz w:val="24"/>
          <w:szCs w:val="24"/>
        </w:rPr>
      </w:pPr>
      <w:r w:rsidRPr="003A750D">
        <w:rPr>
          <w:sz w:val="24"/>
          <w:szCs w:val="24"/>
        </w:rPr>
        <w:t>The following documentary evidence was considered:</w:t>
      </w:r>
    </w:p>
    <w:p w:rsidR="00114F20" w:rsidRPr="003A750D" w:rsidRDefault="00114F20" w:rsidP="00141048">
      <w:pPr>
        <w:tabs>
          <w:tab w:val="left" w:pos="288"/>
          <w:tab w:val="left" w:pos="4752"/>
        </w:tabs>
        <w:spacing w:after="0" w:line="240" w:lineRule="exact"/>
        <w:jc w:val="both"/>
        <w:rPr>
          <w:sz w:val="24"/>
          <w:szCs w:val="24"/>
        </w:rPr>
      </w:pPr>
    </w:p>
    <w:p w:rsidR="00114F20" w:rsidRPr="003A750D" w:rsidRDefault="0051146C" w:rsidP="00141048">
      <w:pPr>
        <w:tabs>
          <w:tab w:val="left" w:pos="288"/>
          <w:tab w:val="left" w:pos="4752"/>
        </w:tabs>
        <w:spacing w:after="0" w:line="240" w:lineRule="exact"/>
        <w:jc w:val="both"/>
        <w:rPr>
          <w:sz w:val="24"/>
          <w:szCs w:val="24"/>
        </w:rPr>
      </w:pPr>
      <w:r w:rsidRPr="003A750D">
        <w:rPr>
          <w:sz w:val="24"/>
          <w:szCs w:val="24"/>
        </w:rPr>
        <w:t xml:space="preserve">Exhibit A.  DD Form </w:t>
      </w:r>
      <w:proofErr w:type="gramStart"/>
      <w:r w:rsidRPr="003A750D">
        <w:rPr>
          <w:sz w:val="24"/>
          <w:szCs w:val="24"/>
        </w:rPr>
        <w:t>294,</w:t>
      </w:r>
      <w:proofErr w:type="gramEnd"/>
      <w:r w:rsidRPr="003A750D">
        <w:rPr>
          <w:sz w:val="24"/>
          <w:szCs w:val="24"/>
        </w:rPr>
        <w:t xml:space="preserve"> dated </w:t>
      </w:r>
      <w:r w:rsidR="00DA372F" w:rsidRPr="003A750D">
        <w:rPr>
          <w:sz w:val="24"/>
          <w:szCs w:val="24"/>
        </w:rPr>
        <w:t>20090930</w:t>
      </w:r>
      <w:r w:rsidR="00114F20" w:rsidRPr="003A750D">
        <w:rPr>
          <w:sz w:val="24"/>
          <w:szCs w:val="24"/>
        </w:rPr>
        <w:t>, w/</w:t>
      </w:r>
      <w:proofErr w:type="spellStart"/>
      <w:r w:rsidR="00114F20" w:rsidRPr="003A750D">
        <w:rPr>
          <w:sz w:val="24"/>
          <w:szCs w:val="24"/>
        </w:rPr>
        <w:t>atchs</w:t>
      </w:r>
      <w:proofErr w:type="spellEnd"/>
      <w:r w:rsidR="00114F20" w:rsidRPr="003A750D">
        <w:rPr>
          <w:sz w:val="24"/>
          <w:szCs w:val="24"/>
        </w:rPr>
        <w:t>.</w:t>
      </w:r>
    </w:p>
    <w:p w:rsidR="00114F20" w:rsidRPr="003A750D" w:rsidRDefault="00114F20" w:rsidP="00141048">
      <w:pPr>
        <w:tabs>
          <w:tab w:val="left" w:pos="288"/>
          <w:tab w:val="left" w:pos="4752"/>
        </w:tabs>
        <w:spacing w:after="0" w:line="240" w:lineRule="exact"/>
        <w:jc w:val="both"/>
        <w:rPr>
          <w:sz w:val="24"/>
          <w:szCs w:val="24"/>
        </w:rPr>
      </w:pPr>
      <w:r w:rsidRPr="003A750D">
        <w:rPr>
          <w:sz w:val="24"/>
          <w:szCs w:val="24"/>
        </w:rPr>
        <w:t xml:space="preserve">Exhibit B.  </w:t>
      </w:r>
      <w:proofErr w:type="gramStart"/>
      <w:r w:rsidRPr="003A750D">
        <w:rPr>
          <w:sz w:val="24"/>
          <w:szCs w:val="24"/>
        </w:rPr>
        <w:t>Service Treatment Record.</w:t>
      </w:r>
      <w:proofErr w:type="gramEnd"/>
    </w:p>
    <w:p w:rsidR="00114F20" w:rsidRDefault="00114F20" w:rsidP="00141048">
      <w:pPr>
        <w:tabs>
          <w:tab w:val="left" w:pos="288"/>
          <w:tab w:val="left" w:pos="4752"/>
        </w:tabs>
        <w:spacing w:after="0" w:line="240" w:lineRule="exact"/>
        <w:jc w:val="both"/>
        <w:rPr>
          <w:sz w:val="24"/>
          <w:szCs w:val="24"/>
        </w:rPr>
      </w:pPr>
      <w:r w:rsidRPr="003A750D">
        <w:rPr>
          <w:sz w:val="24"/>
          <w:szCs w:val="24"/>
        </w:rPr>
        <w:t xml:space="preserve">Exhibit C.  </w:t>
      </w:r>
      <w:proofErr w:type="gramStart"/>
      <w:r w:rsidRPr="003A750D">
        <w:rPr>
          <w:sz w:val="24"/>
          <w:szCs w:val="24"/>
        </w:rPr>
        <w:t>Department of Veterans</w:t>
      </w:r>
      <w:r w:rsidR="00385D6F" w:rsidRPr="003A750D">
        <w:rPr>
          <w:sz w:val="24"/>
          <w:szCs w:val="24"/>
        </w:rPr>
        <w:t>'</w:t>
      </w:r>
      <w:r w:rsidRPr="003A750D">
        <w:rPr>
          <w:sz w:val="24"/>
          <w:szCs w:val="24"/>
        </w:rPr>
        <w:t xml:space="preserve"> Affairs Treatment Record.</w:t>
      </w:r>
      <w:proofErr w:type="gramEnd"/>
    </w:p>
    <w:p w:rsidR="00F00A03" w:rsidRDefault="00F00A03" w:rsidP="00141048">
      <w:pPr>
        <w:tabs>
          <w:tab w:val="left" w:pos="288"/>
          <w:tab w:val="left" w:pos="4752"/>
        </w:tabs>
        <w:spacing w:after="0" w:line="240" w:lineRule="exact"/>
        <w:jc w:val="both"/>
        <w:rPr>
          <w:sz w:val="24"/>
          <w:szCs w:val="24"/>
        </w:rPr>
      </w:pPr>
    </w:p>
    <w:p w:rsidR="00F00A03" w:rsidRPr="00F00A03" w:rsidRDefault="00F00A03" w:rsidP="00141048">
      <w:pPr>
        <w:tabs>
          <w:tab w:val="left" w:pos="288"/>
          <w:tab w:val="left" w:pos="4752"/>
        </w:tabs>
        <w:spacing w:after="0" w:line="240" w:lineRule="exact"/>
        <w:jc w:val="both"/>
        <w:rPr>
          <w:rFonts w:eastAsia="Times New Roman" w:cs="Times New Roman"/>
          <w:sz w:val="24"/>
          <w:szCs w:val="20"/>
        </w:rPr>
      </w:pPr>
    </w:p>
    <w:p w:rsidR="00F00A03" w:rsidRPr="00F00A03" w:rsidRDefault="00F00A03" w:rsidP="00141048">
      <w:pPr>
        <w:tabs>
          <w:tab w:val="left" w:pos="288"/>
          <w:tab w:val="left" w:pos="4752"/>
        </w:tabs>
        <w:spacing w:after="0" w:line="240" w:lineRule="exact"/>
        <w:jc w:val="both"/>
        <w:rPr>
          <w:rFonts w:eastAsia="Times New Roman" w:cs="Times New Roman"/>
          <w:sz w:val="24"/>
          <w:szCs w:val="20"/>
        </w:rPr>
      </w:pPr>
    </w:p>
    <w:p w:rsidR="00F00A03" w:rsidRPr="00F00A03" w:rsidRDefault="00F00A03" w:rsidP="00141048">
      <w:pPr>
        <w:tabs>
          <w:tab w:val="left" w:pos="288"/>
          <w:tab w:val="left" w:pos="4752"/>
        </w:tabs>
        <w:spacing w:after="0" w:line="240" w:lineRule="exact"/>
        <w:jc w:val="both"/>
        <w:rPr>
          <w:rFonts w:eastAsia="Times New Roman" w:cs="Times New Roman"/>
          <w:sz w:val="24"/>
          <w:szCs w:val="20"/>
        </w:rPr>
      </w:pPr>
    </w:p>
    <w:p w:rsidR="00F00A03" w:rsidRPr="00F00A03" w:rsidRDefault="00F00A03" w:rsidP="00141048">
      <w:pPr>
        <w:tabs>
          <w:tab w:val="left" w:pos="0"/>
          <w:tab w:val="left" w:pos="4320"/>
        </w:tabs>
        <w:spacing w:after="0" w:line="240" w:lineRule="exact"/>
        <w:jc w:val="both"/>
        <w:rPr>
          <w:rFonts w:eastAsia="Times New Roman" w:cs="Times New Roman"/>
          <w:sz w:val="24"/>
          <w:szCs w:val="20"/>
        </w:rPr>
      </w:pPr>
      <w:r w:rsidRPr="00F00A03">
        <w:rPr>
          <w:rFonts w:eastAsia="Times New Roman" w:cs="Times New Roman"/>
          <w:sz w:val="24"/>
          <w:szCs w:val="20"/>
        </w:rPr>
        <w:t xml:space="preserve">                             </w:t>
      </w:r>
      <w:r w:rsidRPr="00F00A03">
        <w:rPr>
          <w:rFonts w:eastAsia="Times New Roman" w:cs="Times New Roman"/>
          <w:sz w:val="24"/>
          <w:szCs w:val="20"/>
        </w:rPr>
        <w:tab/>
      </w:r>
      <w:r w:rsidRPr="00F00A03">
        <w:rPr>
          <w:rFonts w:eastAsia="Times New Roman" w:cs="Times New Roman"/>
          <w:sz w:val="24"/>
          <w:szCs w:val="20"/>
        </w:rPr>
        <w:tab/>
      </w:r>
    </w:p>
    <w:p w:rsidR="00F00A03" w:rsidRPr="00F00A03" w:rsidRDefault="00F00A03" w:rsidP="00141048">
      <w:pPr>
        <w:tabs>
          <w:tab w:val="left" w:pos="0"/>
          <w:tab w:val="left" w:pos="4320"/>
        </w:tabs>
        <w:spacing w:after="0" w:line="240" w:lineRule="exact"/>
        <w:jc w:val="both"/>
        <w:rPr>
          <w:rFonts w:eastAsia="Times New Roman" w:cs="Times New Roman"/>
          <w:sz w:val="24"/>
          <w:szCs w:val="20"/>
        </w:rPr>
      </w:pPr>
      <w:r w:rsidRPr="00F00A03">
        <w:rPr>
          <w:rFonts w:eastAsia="Times New Roman" w:cs="Times New Roman"/>
          <w:sz w:val="24"/>
          <w:szCs w:val="20"/>
        </w:rPr>
        <w:t xml:space="preserve">                             </w:t>
      </w:r>
      <w:r w:rsidRPr="00F00A03">
        <w:rPr>
          <w:rFonts w:eastAsia="Times New Roman" w:cs="Times New Roman"/>
          <w:sz w:val="24"/>
          <w:szCs w:val="20"/>
        </w:rPr>
        <w:tab/>
      </w:r>
      <w:r w:rsidRPr="00F00A03">
        <w:rPr>
          <w:rFonts w:eastAsia="Times New Roman" w:cs="Times New Roman"/>
          <w:sz w:val="24"/>
          <w:szCs w:val="20"/>
        </w:rPr>
        <w:tab/>
        <w:t>Deputy Director</w:t>
      </w:r>
    </w:p>
    <w:p w:rsidR="00F00A03" w:rsidRDefault="00F00A03" w:rsidP="00141048">
      <w:pPr>
        <w:tabs>
          <w:tab w:val="left" w:pos="288"/>
          <w:tab w:val="left" w:pos="4320"/>
          <w:tab w:val="left" w:pos="4410"/>
          <w:tab w:val="left" w:pos="4770"/>
          <w:tab w:val="left" w:pos="4860"/>
          <w:tab w:val="left" w:pos="5040"/>
        </w:tabs>
        <w:spacing w:after="0" w:line="240" w:lineRule="exact"/>
        <w:jc w:val="both"/>
        <w:rPr>
          <w:rFonts w:eastAsia="Times New Roman" w:cs="Times New Roman"/>
          <w:sz w:val="24"/>
          <w:szCs w:val="20"/>
        </w:rPr>
      </w:pPr>
      <w:r w:rsidRPr="00F00A03">
        <w:rPr>
          <w:rFonts w:eastAsia="Times New Roman" w:cs="Times New Roman"/>
          <w:sz w:val="24"/>
          <w:szCs w:val="20"/>
        </w:rPr>
        <w:tab/>
        <w:t xml:space="preserve">                           </w:t>
      </w:r>
      <w:r w:rsidRPr="00F00A03">
        <w:rPr>
          <w:rFonts w:eastAsia="Times New Roman" w:cs="Times New Roman"/>
          <w:sz w:val="24"/>
          <w:szCs w:val="20"/>
        </w:rPr>
        <w:tab/>
      </w:r>
      <w:r w:rsidRPr="00F00A03">
        <w:rPr>
          <w:rFonts w:eastAsia="Times New Roman" w:cs="Times New Roman"/>
          <w:sz w:val="24"/>
          <w:szCs w:val="20"/>
        </w:rPr>
        <w:tab/>
      </w:r>
      <w:r w:rsidRPr="00F00A03">
        <w:rPr>
          <w:rFonts w:eastAsia="Times New Roman" w:cs="Times New Roman"/>
          <w:sz w:val="24"/>
          <w:szCs w:val="20"/>
        </w:rPr>
        <w:tab/>
      </w:r>
      <w:r w:rsidRPr="00F00A03">
        <w:rPr>
          <w:rFonts w:eastAsia="Times New Roman" w:cs="Times New Roman"/>
          <w:sz w:val="24"/>
          <w:szCs w:val="20"/>
        </w:rPr>
        <w:tab/>
      </w:r>
      <w:r w:rsidRPr="00F00A03">
        <w:rPr>
          <w:rFonts w:eastAsia="Times New Roman" w:cs="Times New Roman"/>
          <w:sz w:val="24"/>
          <w:szCs w:val="20"/>
        </w:rPr>
        <w:tab/>
        <w:t>Physical Disability Board of Review</w:t>
      </w:r>
    </w:p>
    <w:p w:rsidR="006410BD" w:rsidRDefault="006410BD" w:rsidP="00141048">
      <w:pPr>
        <w:tabs>
          <w:tab w:val="left" w:pos="288"/>
          <w:tab w:val="left" w:pos="4320"/>
          <w:tab w:val="left" w:pos="4410"/>
          <w:tab w:val="left" w:pos="4770"/>
          <w:tab w:val="left" w:pos="4860"/>
          <w:tab w:val="left" w:pos="5040"/>
        </w:tabs>
        <w:spacing w:after="0" w:line="240" w:lineRule="exact"/>
        <w:jc w:val="both"/>
        <w:rPr>
          <w:rFonts w:eastAsia="Times New Roman" w:cs="Times New Roman"/>
          <w:sz w:val="24"/>
          <w:szCs w:val="20"/>
        </w:rPr>
      </w:pPr>
    </w:p>
    <w:p w:rsidR="006410BD" w:rsidRPr="00F00A03" w:rsidRDefault="006410BD" w:rsidP="00141048">
      <w:pPr>
        <w:tabs>
          <w:tab w:val="left" w:pos="288"/>
          <w:tab w:val="left" w:pos="4320"/>
          <w:tab w:val="left" w:pos="4410"/>
          <w:tab w:val="left" w:pos="4770"/>
          <w:tab w:val="left" w:pos="4860"/>
          <w:tab w:val="left" w:pos="5040"/>
        </w:tabs>
        <w:spacing w:after="0" w:line="240" w:lineRule="exact"/>
        <w:jc w:val="both"/>
        <w:rPr>
          <w:rFonts w:eastAsia="Times New Roman" w:cs="Times New Roman"/>
          <w:sz w:val="24"/>
          <w:szCs w:val="20"/>
        </w:rPr>
      </w:pPr>
    </w:p>
    <w:p w:rsidR="006410BD" w:rsidRDefault="006410BD">
      <w:pPr>
        <w:spacing w:after="0" w:line="240" w:lineRule="auto"/>
        <w:rPr>
          <w:sz w:val="24"/>
          <w:szCs w:val="24"/>
        </w:rPr>
      </w:pPr>
      <w:r>
        <w:rPr>
          <w:sz w:val="24"/>
          <w:szCs w:val="24"/>
        </w:rPr>
        <w:br w:type="page"/>
      </w:r>
    </w:p>
    <w:p w:rsidR="00F00A03" w:rsidRPr="003A750D" w:rsidRDefault="00F00A03" w:rsidP="00141048">
      <w:pPr>
        <w:tabs>
          <w:tab w:val="left" w:pos="288"/>
          <w:tab w:val="left" w:pos="4752"/>
        </w:tabs>
        <w:spacing w:after="0" w:line="240" w:lineRule="exact"/>
        <w:jc w:val="both"/>
        <w:rPr>
          <w:sz w:val="24"/>
          <w:szCs w:val="24"/>
        </w:rPr>
      </w:pPr>
    </w:p>
    <w:p w:rsidR="00D91DA6" w:rsidRPr="003A750D" w:rsidRDefault="00D91DA6" w:rsidP="00141048">
      <w:pPr>
        <w:tabs>
          <w:tab w:val="left" w:pos="288"/>
          <w:tab w:val="left" w:pos="4752"/>
        </w:tabs>
        <w:spacing w:after="0" w:line="240" w:lineRule="exact"/>
        <w:jc w:val="both"/>
        <w:rPr>
          <w:sz w:val="24"/>
          <w:szCs w:val="24"/>
        </w:rPr>
      </w:pPr>
    </w:p>
    <w:p w:rsidR="006410BD" w:rsidRDefault="00DA372F" w:rsidP="006410BD">
      <w:pPr>
        <w:jc w:val="both"/>
      </w:pPr>
      <w:r w:rsidRPr="003A750D">
        <w:rPr>
          <w:sz w:val="24"/>
          <w:szCs w:val="24"/>
        </w:rPr>
        <w:t xml:space="preserve"> </w:t>
      </w:r>
      <w:r w:rsidR="006410BD">
        <w:t xml:space="preserve">MEMORANDUM FOR DIRECTOR, SECRETARY OF THE NAVY COUNCIL OF REVIEW                                            </w:t>
      </w:r>
      <w:r w:rsidR="006410BD">
        <w:tab/>
        <w:t xml:space="preserve">BOARDS </w:t>
      </w:r>
    </w:p>
    <w:p w:rsidR="006410BD" w:rsidRDefault="006410BD" w:rsidP="006410BD">
      <w:pPr>
        <w:jc w:val="both"/>
      </w:pPr>
      <w:proofErr w:type="spellStart"/>
      <w:r>
        <w:t>Subj</w:t>
      </w:r>
      <w:proofErr w:type="spellEnd"/>
      <w:r>
        <w:t>:  PHYSICAL DISABILITY BOARD OF REVIEW (PDBR) RECOMMENDATION</w:t>
      </w:r>
    </w:p>
    <w:p w:rsidR="006410BD" w:rsidRDefault="006410BD" w:rsidP="006410BD">
      <w:pPr>
        <w:tabs>
          <w:tab w:val="left" w:pos="630"/>
        </w:tabs>
        <w:jc w:val="both"/>
      </w:pPr>
      <w:r>
        <w:t xml:space="preserve">          </w:t>
      </w:r>
      <w:r>
        <w:tab/>
        <w:t>ICO XXXXXX, FORMER USMC</w:t>
      </w:r>
    </w:p>
    <w:p w:rsidR="006410BD" w:rsidRDefault="006410BD" w:rsidP="006410BD">
      <w:pPr>
        <w:jc w:val="both"/>
      </w:pPr>
      <w:r>
        <w:t>Ref:   (a) DoDI 6040.44</w:t>
      </w:r>
    </w:p>
    <w:p w:rsidR="006410BD" w:rsidRDefault="006410BD" w:rsidP="006410BD">
      <w:pPr>
        <w:ind w:left="-540"/>
        <w:jc w:val="both"/>
      </w:pPr>
      <w:r>
        <w:t xml:space="preserve">                   (b) PDBR </w:t>
      </w:r>
      <w:proofErr w:type="spellStart"/>
      <w:r>
        <w:t>ltr</w:t>
      </w:r>
      <w:proofErr w:type="spellEnd"/>
      <w:r>
        <w:t xml:space="preserve"> </w:t>
      </w:r>
      <w:proofErr w:type="spellStart"/>
      <w:r>
        <w:t>dtd</w:t>
      </w:r>
      <w:proofErr w:type="spellEnd"/>
      <w:r>
        <w:t xml:space="preserve"> 15 Apr 11</w:t>
      </w:r>
    </w:p>
    <w:p w:rsidR="006410BD" w:rsidRDefault="006410BD" w:rsidP="006410BD">
      <w:pPr>
        <w:jc w:val="both"/>
      </w:pPr>
      <w:r>
        <w:t xml:space="preserve">      I have reviewed the subject case pursuant to reference (a) and, for the reasons set forth in reference (b), approve the recommendation of the Physical Disability Board of Review Mr. XXX’s records not be corrected to reflect a change in either his characterization of separation or in the disability rating previously assigned by the Department of the Navy’s Physical Evaluation Board.</w:t>
      </w:r>
    </w:p>
    <w:p w:rsidR="006410BD" w:rsidRDefault="006410BD" w:rsidP="006410BD">
      <w:pPr>
        <w:jc w:val="both"/>
      </w:pPr>
    </w:p>
    <w:p w:rsidR="006410BD" w:rsidRDefault="006410BD" w:rsidP="006410BD">
      <w:pPr>
        <w:tabs>
          <w:tab w:val="left" w:pos="4680"/>
        </w:tabs>
        <w:jc w:val="both"/>
      </w:pPr>
      <w:r>
        <w:tab/>
        <w:t xml:space="preserve"> Assistant General Counsel</w:t>
      </w:r>
    </w:p>
    <w:p w:rsidR="006410BD" w:rsidRDefault="006410BD" w:rsidP="006410BD">
      <w:pPr>
        <w:jc w:val="both"/>
      </w:pPr>
      <w:r>
        <w:tab/>
      </w:r>
      <w:r>
        <w:tab/>
      </w:r>
      <w:r>
        <w:tab/>
      </w:r>
      <w:r>
        <w:tab/>
      </w:r>
      <w:r>
        <w:tab/>
      </w:r>
      <w:r>
        <w:tab/>
        <w:t xml:space="preserve">        (Manpower &amp; Reserve Affairs)</w:t>
      </w:r>
    </w:p>
    <w:p w:rsidR="006410BD" w:rsidRDefault="006410BD" w:rsidP="006410BD">
      <w:pPr>
        <w:jc w:val="both"/>
      </w:pPr>
      <w:r>
        <w:tab/>
      </w:r>
      <w:r>
        <w:tab/>
      </w:r>
      <w:r>
        <w:tab/>
      </w:r>
      <w:r>
        <w:tab/>
      </w:r>
      <w:r>
        <w:tab/>
      </w:r>
      <w:r>
        <w:tab/>
        <w:t xml:space="preserve">  </w:t>
      </w:r>
    </w:p>
    <w:p w:rsidR="00114F20" w:rsidRPr="003A750D" w:rsidRDefault="00114F20" w:rsidP="00141048">
      <w:pPr>
        <w:tabs>
          <w:tab w:val="left" w:pos="288"/>
          <w:tab w:val="left" w:pos="4752"/>
        </w:tabs>
        <w:spacing w:after="0" w:line="240" w:lineRule="exact"/>
        <w:jc w:val="both"/>
        <w:rPr>
          <w:sz w:val="24"/>
          <w:szCs w:val="24"/>
        </w:rPr>
      </w:pPr>
    </w:p>
    <w:sectPr w:rsidR="00114F20" w:rsidRPr="003A750D" w:rsidSect="006418C9">
      <w:footerReference w:type="even" r:id="rId6"/>
      <w:footerReference w:type="default" r:id="rId7"/>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295" w:rsidRDefault="00142295">
      <w:r>
        <w:separator/>
      </w:r>
    </w:p>
  </w:endnote>
  <w:endnote w:type="continuationSeparator" w:id="0">
    <w:p w:rsidR="00142295" w:rsidRDefault="00142295">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E6D" w:rsidRDefault="007321E1">
    <w:pPr>
      <w:pStyle w:val="Footer"/>
      <w:framePr w:wrap="around" w:vAnchor="text" w:hAnchor="margin" w:xAlign="center" w:y="1"/>
      <w:rPr>
        <w:rStyle w:val="PageNumber"/>
      </w:rPr>
    </w:pPr>
    <w:r>
      <w:rPr>
        <w:rStyle w:val="PageNumber"/>
      </w:rPr>
      <w:fldChar w:fldCharType="begin"/>
    </w:r>
    <w:r w:rsidR="00377E6D">
      <w:rPr>
        <w:rStyle w:val="PageNumber"/>
      </w:rPr>
      <w:instrText xml:space="preserve">PAGE  </w:instrText>
    </w:r>
    <w:r>
      <w:rPr>
        <w:rStyle w:val="PageNumber"/>
      </w:rPr>
      <w:fldChar w:fldCharType="separate"/>
    </w:r>
    <w:r w:rsidR="00377E6D">
      <w:rPr>
        <w:rStyle w:val="PageNumber"/>
        <w:noProof/>
      </w:rPr>
      <w:t>2</w:t>
    </w:r>
    <w:r>
      <w:rPr>
        <w:rStyle w:val="PageNumber"/>
      </w:rPr>
      <w:fldChar w:fldCharType="end"/>
    </w:r>
  </w:p>
  <w:p w:rsidR="00377E6D" w:rsidRDefault="00377E6D" w:rsidP="002B0749">
    <w:pPr>
      <w:pStyle w:val="Footer"/>
      <w:jc w:val="right"/>
    </w:pPr>
    <w:r>
      <w:tab/>
    </w:r>
    <w:r>
      <w:tab/>
    </w:r>
    <w:r w:rsidRPr="001D3186">
      <w:rPr>
        <w:caps/>
        <w:color w:val="000080"/>
      </w:rPr>
      <w:t>PD09</w:t>
    </w:r>
    <w:r>
      <w:rPr>
        <w:caps/>
        <w:color w:val="000080"/>
      </w:rPr>
      <w:t>00</w:t>
    </w:r>
    <w:r w:rsidRPr="001D3186">
      <w:rPr>
        <w:caps/>
        <w:color w:val="00008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E6D" w:rsidRPr="009A1FDD" w:rsidRDefault="007321E1">
    <w:pPr>
      <w:pStyle w:val="Footer"/>
      <w:framePr w:wrap="around" w:vAnchor="text" w:hAnchor="margin" w:xAlign="center" w:y="1"/>
      <w:rPr>
        <w:rStyle w:val="PageNumber"/>
        <w:rFonts w:asciiTheme="minorHAnsi" w:hAnsiTheme="minorHAnsi"/>
        <w:color w:val="auto"/>
      </w:rPr>
    </w:pPr>
    <w:r w:rsidRPr="009A1FDD">
      <w:rPr>
        <w:rStyle w:val="PageNumber"/>
        <w:rFonts w:asciiTheme="minorHAnsi" w:hAnsiTheme="minorHAnsi"/>
        <w:color w:val="auto"/>
      </w:rPr>
      <w:fldChar w:fldCharType="begin"/>
    </w:r>
    <w:r w:rsidR="00377E6D" w:rsidRPr="009A1FDD">
      <w:rPr>
        <w:rStyle w:val="PageNumber"/>
        <w:rFonts w:asciiTheme="minorHAnsi" w:hAnsiTheme="minorHAnsi"/>
        <w:color w:val="auto"/>
      </w:rPr>
      <w:instrText xml:space="preserve">PAGE  </w:instrText>
    </w:r>
    <w:r w:rsidRPr="009A1FDD">
      <w:rPr>
        <w:rStyle w:val="PageNumber"/>
        <w:rFonts w:asciiTheme="minorHAnsi" w:hAnsiTheme="minorHAnsi"/>
        <w:color w:val="auto"/>
      </w:rPr>
      <w:fldChar w:fldCharType="separate"/>
    </w:r>
    <w:r w:rsidR="006410BD">
      <w:rPr>
        <w:rStyle w:val="PageNumber"/>
        <w:rFonts w:asciiTheme="minorHAnsi" w:hAnsiTheme="minorHAnsi"/>
        <w:noProof/>
        <w:color w:val="auto"/>
      </w:rPr>
      <w:t>2</w:t>
    </w:r>
    <w:r w:rsidRPr="009A1FDD">
      <w:rPr>
        <w:rStyle w:val="PageNumber"/>
        <w:rFonts w:asciiTheme="minorHAnsi" w:hAnsiTheme="minorHAnsi"/>
        <w:color w:val="auto"/>
      </w:rPr>
      <w:fldChar w:fldCharType="end"/>
    </w:r>
  </w:p>
  <w:p w:rsidR="00377E6D" w:rsidRPr="009A1FDD" w:rsidRDefault="00377E6D" w:rsidP="002B0749">
    <w:pPr>
      <w:pStyle w:val="Footer"/>
      <w:jc w:val="right"/>
      <w:rPr>
        <w:rFonts w:asciiTheme="minorHAnsi" w:hAnsiTheme="minorHAnsi"/>
        <w:color w:val="auto"/>
      </w:rPr>
    </w:pPr>
    <w:r>
      <w:tab/>
    </w:r>
    <w:r>
      <w:tab/>
    </w:r>
    <w:r w:rsidRPr="009A1FDD">
      <w:rPr>
        <w:rFonts w:asciiTheme="minorHAnsi" w:hAnsiTheme="minorHAnsi"/>
        <w:caps/>
        <w:color w:val="auto"/>
      </w:rPr>
      <w:t>PD0900594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295" w:rsidRDefault="00142295">
      <w:r>
        <w:separator/>
      </w:r>
    </w:p>
  </w:footnote>
  <w:footnote w:type="continuationSeparator" w:id="0">
    <w:p w:rsidR="00142295" w:rsidRDefault="001422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embedSystemFonts/>
  <w:activeWritingStyle w:appName="MSWord" w:lang="en-US" w:vendorID="8" w:dllVersion="513" w:checkStyle="1"/>
  <w:proofState w:spelling="clean" w:grammar="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rsids>
    <w:rsidRoot w:val="001C28D1"/>
    <w:rsid w:val="000059FA"/>
    <w:rsid w:val="00010ABA"/>
    <w:rsid w:val="000145C2"/>
    <w:rsid w:val="0001696F"/>
    <w:rsid w:val="00023D43"/>
    <w:rsid w:val="000259D8"/>
    <w:rsid w:val="00027815"/>
    <w:rsid w:val="00032D04"/>
    <w:rsid w:val="00035C3A"/>
    <w:rsid w:val="000379D0"/>
    <w:rsid w:val="000416F8"/>
    <w:rsid w:val="00046D71"/>
    <w:rsid w:val="00051622"/>
    <w:rsid w:val="000516F8"/>
    <w:rsid w:val="0006493A"/>
    <w:rsid w:val="000721E7"/>
    <w:rsid w:val="00072433"/>
    <w:rsid w:val="000742FF"/>
    <w:rsid w:val="00091C82"/>
    <w:rsid w:val="000A2BCE"/>
    <w:rsid w:val="000A3E5F"/>
    <w:rsid w:val="000A4BBA"/>
    <w:rsid w:val="000C7DE4"/>
    <w:rsid w:val="000D15E7"/>
    <w:rsid w:val="000D3385"/>
    <w:rsid w:val="000D43F9"/>
    <w:rsid w:val="000D4717"/>
    <w:rsid w:val="000D7D55"/>
    <w:rsid w:val="000E7FA9"/>
    <w:rsid w:val="000F427B"/>
    <w:rsid w:val="000F7276"/>
    <w:rsid w:val="001008A6"/>
    <w:rsid w:val="0010417F"/>
    <w:rsid w:val="00104A67"/>
    <w:rsid w:val="0010530E"/>
    <w:rsid w:val="00114F20"/>
    <w:rsid w:val="00116FEA"/>
    <w:rsid w:val="00117AD4"/>
    <w:rsid w:val="001231DC"/>
    <w:rsid w:val="001269E8"/>
    <w:rsid w:val="001315DD"/>
    <w:rsid w:val="00135385"/>
    <w:rsid w:val="001364D1"/>
    <w:rsid w:val="00136CCE"/>
    <w:rsid w:val="00141048"/>
    <w:rsid w:val="001410AA"/>
    <w:rsid w:val="00142295"/>
    <w:rsid w:val="00142443"/>
    <w:rsid w:val="001508AE"/>
    <w:rsid w:val="001541C5"/>
    <w:rsid w:val="00154975"/>
    <w:rsid w:val="001645BD"/>
    <w:rsid w:val="00165268"/>
    <w:rsid w:val="001665AC"/>
    <w:rsid w:val="0017455A"/>
    <w:rsid w:val="001759AC"/>
    <w:rsid w:val="00177659"/>
    <w:rsid w:val="00185ECB"/>
    <w:rsid w:val="00191D41"/>
    <w:rsid w:val="0019273F"/>
    <w:rsid w:val="0019706A"/>
    <w:rsid w:val="001A2E3D"/>
    <w:rsid w:val="001A6B40"/>
    <w:rsid w:val="001A7538"/>
    <w:rsid w:val="001B5B59"/>
    <w:rsid w:val="001C181A"/>
    <w:rsid w:val="001C2053"/>
    <w:rsid w:val="001C28D1"/>
    <w:rsid w:val="001C54DB"/>
    <w:rsid w:val="001C7418"/>
    <w:rsid w:val="001D0051"/>
    <w:rsid w:val="001D2224"/>
    <w:rsid w:val="001D6A8C"/>
    <w:rsid w:val="001D6B9C"/>
    <w:rsid w:val="001D7A56"/>
    <w:rsid w:val="001E5815"/>
    <w:rsid w:val="001F4771"/>
    <w:rsid w:val="0020512E"/>
    <w:rsid w:val="00217C09"/>
    <w:rsid w:val="00225196"/>
    <w:rsid w:val="00225CB4"/>
    <w:rsid w:val="002276EA"/>
    <w:rsid w:val="002338CA"/>
    <w:rsid w:val="0024227D"/>
    <w:rsid w:val="00246860"/>
    <w:rsid w:val="0025183C"/>
    <w:rsid w:val="002539E4"/>
    <w:rsid w:val="00254D61"/>
    <w:rsid w:val="0026206A"/>
    <w:rsid w:val="0026318D"/>
    <w:rsid w:val="0027159C"/>
    <w:rsid w:val="00274549"/>
    <w:rsid w:val="00274E46"/>
    <w:rsid w:val="00275D22"/>
    <w:rsid w:val="00276C86"/>
    <w:rsid w:val="002945B4"/>
    <w:rsid w:val="002A6727"/>
    <w:rsid w:val="002A6A3C"/>
    <w:rsid w:val="002B03B2"/>
    <w:rsid w:val="002B0749"/>
    <w:rsid w:val="002B21ED"/>
    <w:rsid w:val="002B3680"/>
    <w:rsid w:val="002D18B4"/>
    <w:rsid w:val="002E1C31"/>
    <w:rsid w:val="002E3474"/>
    <w:rsid w:val="002E764B"/>
    <w:rsid w:val="002F4BDA"/>
    <w:rsid w:val="002F7F81"/>
    <w:rsid w:val="00317E47"/>
    <w:rsid w:val="00323E70"/>
    <w:rsid w:val="00332D34"/>
    <w:rsid w:val="0034257F"/>
    <w:rsid w:val="0034508A"/>
    <w:rsid w:val="00352CC6"/>
    <w:rsid w:val="00363362"/>
    <w:rsid w:val="003634D2"/>
    <w:rsid w:val="00370EE7"/>
    <w:rsid w:val="00372BDC"/>
    <w:rsid w:val="0037520D"/>
    <w:rsid w:val="00377BD2"/>
    <w:rsid w:val="00377E6D"/>
    <w:rsid w:val="00382DD7"/>
    <w:rsid w:val="00385D6F"/>
    <w:rsid w:val="00393651"/>
    <w:rsid w:val="0039727A"/>
    <w:rsid w:val="003A41BA"/>
    <w:rsid w:val="003A69EA"/>
    <w:rsid w:val="003A6A99"/>
    <w:rsid w:val="003A750D"/>
    <w:rsid w:val="003B227A"/>
    <w:rsid w:val="003D2BA3"/>
    <w:rsid w:val="003D7DDB"/>
    <w:rsid w:val="003E0543"/>
    <w:rsid w:val="003F58B0"/>
    <w:rsid w:val="004007E9"/>
    <w:rsid w:val="00401BBC"/>
    <w:rsid w:val="00404B45"/>
    <w:rsid w:val="00406CC5"/>
    <w:rsid w:val="004074A4"/>
    <w:rsid w:val="004172DB"/>
    <w:rsid w:val="0042237B"/>
    <w:rsid w:val="00422B75"/>
    <w:rsid w:val="0043503A"/>
    <w:rsid w:val="0044384F"/>
    <w:rsid w:val="00445AFE"/>
    <w:rsid w:val="00445EBC"/>
    <w:rsid w:val="004543BC"/>
    <w:rsid w:val="004574C6"/>
    <w:rsid w:val="00457B11"/>
    <w:rsid w:val="00457BCF"/>
    <w:rsid w:val="00460A58"/>
    <w:rsid w:val="0046204E"/>
    <w:rsid w:val="004718E7"/>
    <w:rsid w:val="00473D5C"/>
    <w:rsid w:val="004761CC"/>
    <w:rsid w:val="00480551"/>
    <w:rsid w:val="00484871"/>
    <w:rsid w:val="004A1B58"/>
    <w:rsid w:val="004A24D2"/>
    <w:rsid w:val="004A4136"/>
    <w:rsid w:val="004A53F4"/>
    <w:rsid w:val="004B03F3"/>
    <w:rsid w:val="004B7169"/>
    <w:rsid w:val="004C0F50"/>
    <w:rsid w:val="004C30B4"/>
    <w:rsid w:val="004E32EA"/>
    <w:rsid w:val="004E533D"/>
    <w:rsid w:val="00503CA0"/>
    <w:rsid w:val="00510588"/>
    <w:rsid w:val="0051146C"/>
    <w:rsid w:val="00513282"/>
    <w:rsid w:val="00515CB0"/>
    <w:rsid w:val="00521EA9"/>
    <w:rsid w:val="0052590B"/>
    <w:rsid w:val="00526591"/>
    <w:rsid w:val="00533551"/>
    <w:rsid w:val="005350A5"/>
    <w:rsid w:val="00536379"/>
    <w:rsid w:val="00540BEF"/>
    <w:rsid w:val="00542DC9"/>
    <w:rsid w:val="005436C2"/>
    <w:rsid w:val="00553CA3"/>
    <w:rsid w:val="00555A30"/>
    <w:rsid w:val="005710B8"/>
    <w:rsid w:val="00591EF2"/>
    <w:rsid w:val="00593F16"/>
    <w:rsid w:val="005A258C"/>
    <w:rsid w:val="005A3560"/>
    <w:rsid w:val="005B011A"/>
    <w:rsid w:val="005E0C5C"/>
    <w:rsid w:val="005F1115"/>
    <w:rsid w:val="005F27F2"/>
    <w:rsid w:val="005F424D"/>
    <w:rsid w:val="00600699"/>
    <w:rsid w:val="00601D18"/>
    <w:rsid w:val="00615641"/>
    <w:rsid w:val="00625042"/>
    <w:rsid w:val="00634C4A"/>
    <w:rsid w:val="006372CB"/>
    <w:rsid w:val="006410BD"/>
    <w:rsid w:val="006418C9"/>
    <w:rsid w:val="00645046"/>
    <w:rsid w:val="006476F4"/>
    <w:rsid w:val="00661256"/>
    <w:rsid w:val="00662F08"/>
    <w:rsid w:val="00663589"/>
    <w:rsid w:val="0067443B"/>
    <w:rsid w:val="00684E2B"/>
    <w:rsid w:val="00690FDA"/>
    <w:rsid w:val="00696476"/>
    <w:rsid w:val="006A376D"/>
    <w:rsid w:val="006A40E6"/>
    <w:rsid w:val="006A75FA"/>
    <w:rsid w:val="006B5923"/>
    <w:rsid w:val="006C1323"/>
    <w:rsid w:val="006D2D39"/>
    <w:rsid w:val="006E06D1"/>
    <w:rsid w:val="006E53D9"/>
    <w:rsid w:val="006E7356"/>
    <w:rsid w:val="006F1A46"/>
    <w:rsid w:val="00700D0C"/>
    <w:rsid w:val="007067DD"/>
    <w:rsid w:val="007165CE"/>
    <w:rsid w:val="00720A5D"/>
    <w:rsid w:val="00721D12"/>
    <w:rsid w:val="00721F8B"/>
    <w:rsid w:val="007321E1"/>
    <w:rsid w:val="00736A49"/>
    <w:rsid w:val="00744EBB"/>
    <w:rsid w:val="00746AE2"/>
    <w:rsid w:val="007505E5"/>
    <w:rsid w:val="0076100C"/>
    <w:rsid w:val="00781BD4"/>
    <w:rsid w:val="00781EE1"/>
    <w:rsid w:val="00784832"/>
    <w:rsid w:val="007912BE"/>
    <w:rsid w:val="00791F1E"/>
    <w:rsid w:val="00797878"/>
    <w:rsid w:val="007A0B39"/>
    <w:rsid w:val="007A168F"/>
    <w:rsid w:val="007A28E4"/>
    <w:rsid w:val="007A5AD1"/>
    <w:rsid w:val="007B0A06"/>
    <w:rsid w:val="007B3DBD"/>
    <w:rsid w:val="007B7C41"/>
    <w:rsid w:val="007C433E"/>
    <w:rsid w:val="007D0292"/>
    <w:rsid w:val="007E2046"/>
    <w:rsid w:val="007E44AB"/>
    <w:rsid w:val="007E4FBB"/>
    <w:rsid w:val="007F3F8B"/>
    <w:rsid w:val="00800455"/>
    <w:rsid w:val="00811D5B"/>
    <w:rsid w:val="00817713"/>
    <w:rsid w:val="00822E8E"/>
    <w:rsid w:val="00830999"/>
    <w:rsid w:val="00830D5E"/>
    <w:rsid w:val="00830F69"/>
    <w:rsid w:val="00832C3D"/>
    <w:rsid w:val="00834458"/>
    <w:rsid w:val="00837465"/>
    <w:rsid w:val="008376EA"/>
    <w:rsid w:val="00841457"/>
    <w:rsid w:val="0084374E"/>
    <w:rsid w:val="0084772D"/>
    <w:rsid w:val="0085206E"/>
    <w:rsid w:val="00853718"/>
    <w:rsid w:val="008541EF"/>
    <w:rsid w:val="00855696"/>
    <w:rsid w:val="0086162B"/>
    <w:rsid w:val="00865207"/>
    <w:rsid w:val="00871262"/>
    <w:rsid w:val="00875B51"/>
    <w:rsid w:val="00875F2D"/>
    <w:rsid w:val="00886E5E"/>
    <w:rsid w:val="00887018"/>
    <w:rsid w:val="0089438F"/>
    <w:rsid w:val="008A3B2E"/>
    <w:rsid w:val="008A63A9"/>
    <w:rsid w:val="008B5D31"/>
    <w:rsid w:val="008C318A"/>
    <w:rsid w:val="008D0885"/>
    <w:rsid w:val="008D146F"/>
    <w:rsid w:val="008D1F33"/>
    <w:rsid w:val="008E0867"/>
    <w:rsid w:val="008E2D99"/>
    <w:rsid w:val="008E4A60"/>
    <w:rsid w:val="008E6864"/>
    <w:rsid w:val="009026E8"/>
    <w:rsid w:val="00914ADB"/>
    <w:rsid w:val="0092191B"/>
    <w:rsid w:val="00923B25"/>
    <w:rsid w:val="00932CBB"/>
    <w:rsid w:val="00942645"/>
    <w:rsid w:val="0095340A"/>
    <w:rsid w:val="00954581"/>
    <w:rsid w:val="0095466C"/>
    <w:rsid w:val="0096168C"/>
    <w:rsid w:val="00961991"/>
    <w:rsid w:val="009732B8"/>
    <w:rsid w:val="00977CB4"/>
    <w:rsid w:val="00980C0C"/>
    <w:rsid w:val="00985099"/>
    <w:rsid w:val="00992682"/>
    <w:rsid w:val="009A0DE3"/>
    <w:rsid w:val="009A1FDD"/>
    <w:rsid w:val="009B1534"/>
    <w:rsid w:val="009B69D3"/>
    <w:rsid w:val="009B7BA7"/>
    <w:rsid w:val="009C0938"/>
    <w:rsid w:val="009C3D79"/>
    <w:rsid w:val="009C3F82"/>
    <w:rsid w:val="009C7DF5"/>
    <w:rsid w:val="009D10DD"/>
    <w:rsid w:val="009D1ADE"/>
    <w:rsid w:val="009D23DD"/>
    <w:rsid w:val="009E1283"/>
    <w:rsid w:val="009E3417"/>
    <w:rsid w:val="009E35AA"/>
    <w:rsid w:val="009E49F7"/>
    <w:rsid w:val="009F075A"/>
    <w:rsid w:val="009F41F9"/>
    <w:rsid w:val="00A00136"/>
    <w:rsid w:val="00A03B9E"/>
    <w:rsid w:val="00A03D8E"/>
    <w:rsid w:val="00A1105B"/>
    <w:rsid w:val="00A13FED"/>
    <w:rsid w:val="00A15CAD"/>
    <w:rsid w:val="00A16876"/>
    <w:rsid w:val="00A200AA"/>
    <w:rsid w:val="00A2186F"/>
    <w:rsid w:val="00A2270B"/>
    <w:rsid w:val="00A2496E"/>
    <w:rsid w:val="00A258B7"/>
    <w:rsid w:val="00A375EE"/>
    <w:rsid w:val="00A4657C"/>
    <w:rsid w:val="00A47CF1"/>
    <w:rsid w:val="00A5006A"/>
    <w:rsid w:val="00A50418"/>
    <w:rsid w:val="00A608FB"/>
    <w:rsid w:val="00A70E7B"/>
    <w:rsid w:val="00A76094"/>
    <w:rsid w:val="00A77233"/>
    <w:rsid w:val="00A81726"/>
    <w:rsid w:val="00A86CB6"/>
    <w:rsid w:val="00A90D55"/>
    <w:rsid w:val="00A96361"/>
    <w:rsid w:val="00AA04B3"/>
    <w:rsid w:val="00AC439D"/>
    <w:rsid w:val="00AC4C54"/>
    <w:rsid w:val="00AD4C68"/>
    <w:rsid w:val="00AE2D29"/>
    <w:rsid w:val="00AE3316"/>
    <w:rsid w:val="00AF699F"/>
    <w:rsid w:val="00B03A90"/>
    <w:rsid w:val="00B07781"/>
    <w:rsid w:val="00B24AFF"/>
    <w:rsid w:val="00B32179"/>
    <w:rsid w:val="00B40A3E"/>
    <w:rsid w:val="00B522CD"/>
    <w:rsid w:val="00B55917"/>
    <w:rsid w:val="00B574A4"/>
    <w:rsid w:val="00B72303"/>
    <w:rsid w:val="00B72BEF"/>
    <w:rsid w:val="00B80224"/>
    <w:rsid w:val="00B82277"/>
    <w:rsid w:val="00BA2D98"/>
    <w:rsid w:val="00BA30D1"/>
    <w:rsid w:val="00BA5BE2"/>
    <w:rsid w:val="00BA6E9E"/>
    <w:rsid w:val="00BA7F46"/>
    <w:rsid w:val="00BB0A0A"/>
    <w:rsid w:val="00BC0701"/>
    <w:rsid w:val="00BD6806"/>
    <w:rsid w:val="00BD7831"/>
    <w:rsid w:val="00BD7C10"/>
    <w:rsid w:val="00BE0DEB"/>
    <w:rsid w:val="00BE6FEB"/>
    <w:rsid w:val="00C00B19"/>
    <w:rsid w:val="00C0127D"/>
    <w:rsid w:val="00C13B34"/>
    <w:rsid w:val="00C2337A"/>
    <w:rsid w:val="00C261C6"/>
    <w:rsid w:val="00C30A97"/>
    <w:rsid w:val="00C31DDC"/>
    <w:rsid w:val="00C34326"/>
    <w:rsid w:val="00C43301"/>
    <w:rsid w:val="00C456F9"/>
    <w:rsid w:val="00C54DF3"/>
    <w:rsid w:val="00C71BEC"/>
    <w:rsid w:val="00C73FA0"/>
    <w:rsid w:val="00C846EA"/>
    <w:rsid w:val="00C84AD1"/>
    <w:rsid w:val="00C85579"/>
    <w:rsid w:val="00CA068D"/>
    <w:rsid w:val="00CA282D"/>
    <w:rsid w:val="00CB23DC"/>
    <w:rsid w:val="00CB28E2"/>
    <w:rsid w:val="00CB3172"/>
    <w:rsid w:val="00CB7FF7"/>
    <w:rsid w:val="00CC2044"/>
    <w:rsid w:val="00CC69EC"/>
    <w:rsid w:val="00CD1F2B"/>
    <w:rsid w:val="00CD34C7"/>
    <w:rsid w:val="00CE4A56"/>
    <w:rsid w:val="00CF2AF0"/>
    <w:rsid w:val="00CF4394"/>
    <w:rsid w:val="00D01E06"/>
    <w:rsid w:val="00D1648B"/>
    <w:rsid w:val="00D20AC0"/>
    <w:rsid w:val="00D336C8"/>
    <w:rsid w:val="00D339E8"/>
    <w:rsid w:val="00D40B1F"/>
    <w:rsid w:val="00D46CF1"/>
    <w:rsid w:val="00D50C8C"/>
    <w:rsid w:val="00D52393"/>
    <w:rsid w:val="00D71918"/>
    <w:rsid w:val="00D76AB2"/>
    <w:rsid w:val="00D77018"/>
    <w:rsid w:val="00D80C67"/>
    <w:rsid w:val="00D829AD"/>
    <w:rsid w:val="00D844AE"/>
    <w:rsid w:val="00D87788"/>
    <w:rsid w:val="00D910C2"/>
    <w:rsid w:val="00D9189B"/>
    <w:rsid w:val="00D91DA6"/>
    <w:rsid w:val="00D972D4"/>
    <w:rsid w:val="00DA195B"/>
    <w:rsid w:val="00DA372F"/>
    <w:rsid w:val="00DA3ED0"/>
    <w:rsid w:val="00DB4AFB"/>
    <w:rsid w:val="00DB6FBE"/>
    <w:rsid w:val="00DB7F39"/>
    <w:rsid w:val="00DC233D"/>
    <w:rsid w:val="00DD1048"/>
    <w:rsid w:val="00DD3593"/>
    <w:rsid w:val="00DD3F50"/>
    <w:rsid w:val="00DE7C84"/>
    <w:rsid w:val="00DE7E74"/>
    <w:rsid w:val="00DF1B45"/>
    <w:rsid w:val="00DF63E2"/>
    <w:rsid w:val="00E017F0"/>
    <w:rsid w:val="00E02C05"/>
    <w:rsid w:val="00E0343A"/>
    <w:rsid w:val="00E041E4"/>
    <w:rsid w:val="00E14581"/>
    <w:rsid w:val="00E1547E"/>
    <w:rsid w:val="00E15539"/>
    <w:rsid w:val="00E16541"/>
    <w:rsid w:val="00E21358"/>
    <w:rsid w:val="00E2632B"/>
    <w:rsid w:val="00E405EA"/>
    <w:rsid w:val="00E406DC"/>
    <w:rsid w:val="00E40F19"/>
    <w:rsid w:val="00E42789"/>
    <w:rsid w:val="00E50BEB"/>
    <w:rsid w:val="00E51283"/>
    <w:rsid w:val="00E55F25"/>
    <w:rsid w:val="00E75A6A"/>
    <w:rsid w:val="00E82B6D"/>
    <w:rsid w:val="00E83F78"/>
    <w:rsid w:val="00E866F8"/>
    <w:rsid w:val="00E86CF1"/>
    <w:rsid w:val="00E95B20"/>
    <w:rsid w:val="00EA11B6"/>
    <w:rsid w:val="00EA2DD8"/>
    <w:rsid w:val="00EA4C0E"/>
    <w:rsid w:val="00EA681F"/>
    <w:rsid w:val="00EB2500"/>
    <w:rsid w:val="00EB3E2E"/>
    <w:rsid w:val="00EB76E4"/>
    <w:rsid w:val="00EC0E65"/>
    <w:rsid w:val="00ED0393"/>
    <w:rsid w:val="00ED5F43"/>
    <w:rsid w:val="00EE0B44"/>
    <w:rsid w:val="00EE1069"/>
    <w:rsid w:val="00EF608E"/>
    <w:rsid w:val="00EF7F7D"/>
    <w:rsid w:val="00F00A03"/>
    <w:rsid w:val="00F024B8"/>
    <w:rsid w:val="00F0706C"/>
    <w:rsid w:val="00F146BB"/>
    <w:rsid w:val="00F1516A"/>
    <w:rsid w:val="00F22A26"/>
    <w:rsid w:val="00F32139"/>
    <w:rsid w:val="00F34E08"/>
    <w:rsid w:val="00F41D91"/>
    <w:rsid w:val="00F46964"/>
    <w:rsid w:val="00F5126A"/>
    <w:rsid w:val="00F61EA2"/>
    <w:rsid w:val="00F62C83"/>
    <w:rsid w:val="00F718A8"/>
    <w:rsid w:val="00F71C7A"/>
    <w:rsid w:val="00F72183"/>
    <w:rsid w:val="00F77360"/>
    <w:rsid w:val="00F82981"/>
    <w:rsid w:val="00F8311F"/>
    <w:rsid w:val="00F83248"/>
    <w:rsid w:val="00F853AE"/>
    <w:rsid w:val="00F93DCC"/>
    <w:rsid w:val="00F9435D"/>
    <w:rsid w:val="00FA1B6B"/>
    <w:rsid w:val="00FB593A"/>
    <w:rsid w:val="00FB6E82"/>
    <w:rsid w:val="00FC4576"/>
    <w:rsid w:val="00FC47F0"/>
    <w:rsid w:val="00FC5368"/>
    <w:rsid w:val="00FC7DBC"/>
    <w:rsid w:val="00FD0A02"/>
    <w:rsid w:val="00FD1D5A"/>
    <w:rsid w:val="00FD7D43"/>
    <w:rsid w:val="00FE236D"/>
    <w:rsid w:val="00FF3C25"/>
    <w:rsid w:val="00FF4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93A"/>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36C2"/>
    <w:pPr>
      <w:tabs>
        <w:tab w:val="center" w:pos="4320"/>
        <w:tab w:val="right" w:pos="8640"/>
      </w:tabs>
      <w:spacing w:after="0" w:line="240" w:lineRule="auto"/>
    </w:pPr>
    <w:rPr>
      <w:rFonts w:ascii="Courier" w:eastAsia="Times New Roman" w:hAnsi="Courier" w:cs="Times New Roman"/>
      <w:color w:val="008080"/>
      <w:sz w:val="24"/>
      <w:szCs w:val="20"/>
    </w:rPr>
  </w:style>
  <w:style w:type="character" w:styleId="PageNumber">
    <w:name w:val="page number"/>
    <w:basedOn w:val="DefaultParagraphFont"/>
    <w:rsid w:val="005436C2"/>
  </w:style>
  <w:style w:type="paragraph" w:styleId="Header">
    <w:name w:val="header"/>
    <w:basedOn w:val="Normal"/>
    <w:rsid w:val="005436C2"/>
    <w:pPr>
      <w:tabs>
        <w:tab w:val="center" w:pos="4320"/>
        <w:tab w:val="right" w:pos="8640"/>
      </w:tabs>
      <w:spacing w:after="0" w:line="240" w:lineRule="auto"/>
    </w:pPr>
    <w:rPr>
      <w:rFonts w:ascii="Courier" w:eastAsia="Times New Roman" w:hAnsi="Courier" w:cs="Times New Roman"/>
      <w:color w:val="008080"/>
      <w:sz w:val="24"/>
      <w:szCs w:val="20"/>
    </w:rPr>
  </w:style>
  <w:style w:type="paragraph" w:styleId="BodyText">
    <w:name w:val="Body Text"/>
    <w:basedOn w:val="Normal"/>
    <w:rsid w:val="005436C2"/>
    <w:pPr>
      <w:tabs>
        <w:tab w:val="left" w:pos="720"/>
      </w:tabs>
      <w:spacing w:after="0" w:line="240" w:lineRule="exact"/>
      <w:ind w:right="-360"/>
    </w:pPr>
    <w:rPr>
      <w:rFonts w:ascii="Times New Roman" w:eastAsia="Times New Roman" w:hAnsi="Times New Roman" w:cs="Times New Roman"/>
      <w:color w:val="000080"/>
      <w:sz w:val="24"/>
      <w:szCs w:val="20"/>
    </w:rPr>
  </w:style>
  <w:style w:type="paragraph" w:styleId="BodyText3">
    <w:name w:val="Body Text 3"/>
    <w:basedOn w:val="Normal"/>
    <w:rsid w:val="005436C2"/>
    <w:pPr>
      <w:tabs>
        <w:tab w:val="left" w:pos="288"/>
        <w:tab w:val="left" w:pos="4752"/>
      </w:tabs>
      <w:spacing w:line="240" w:lineRule="exact"/>
      <w:ind w:right="-360"/>
      <w:jc w:val="both"/>
    </w:pPr>
    <w:rPr>
      <w:color w:val="000080"/>
    </w:rPr>
  </w:style>
  <w:style w:type="paragraph" w:styleId="PlainText">
    <w:name w:val="Plain Text"/>
    <w:basedOn w:val="Normal"/>
    <w:link w:val="PlainTextChar"/>
    <w:uiPriority w:val="99"/>
    <w:unhideWhenUsed/>
    <w:rsid w:val="00D91DA6"/>
    <w:rPr>
      <w:rFonts w:ascii="Consolas" w:eastAsia="Calibri" w:hAnsi="Consolas"/>
      <w:sz w:val="21"/>
      <w:szCs w:val="21"/>
    </w:rPr>
  </w:style>
  <w:style w:type="character" w:customStyle="1" w:styleId="PlainTextChar">
    <w:name w:val="Plain Text Char"/>
    <w:basedOn w:val="DefaultParagraphFont"/>
    <w:link w:val="PlainText"/>
    <w:uiPriority w:val="99"/>
    <w:rsid w:val="00D91DA6"/>
    <w:rPr>
      <w:rFonts w:ascii="Consolas" w:eastAsia="Calibri" w:hAnsi="Consolas" w:cs="Times New Roman"/>
      <w:sz w:val="21"/>
      <w:szCs w:val="21"/>
    </w:rPr>
  </w:style>
  <w:style w:type="character" w:customStyle="1" w:styleId="FooterChar">
    <w:name w:val="Footer Char"/>
    <w:basedOn w:val="DefaultParagraphFont"/>
    <w:link w:val="Footer"/>
    <w:uiPriority w:val="99"/>
    <w:rsid w:val="000379D0"/>
    <w:rPr>
      <w:color w:val="008080"/>
      <w:sz w:val="24"/>
    </w:rPr>
  </w:style>
  <w:style w:type="paragraph" w:styleId="BalloonText">
    <w:name w:val="Balloon Text"/>
    <w:basedOn w:val="Normal"/>
    <w:link w:val="BalloonTextChar"/>
    <w:rsid w:val="000379D0"/>
    <w:rPr>
      <w:rFonts w:ascii="Tahoma" w:hAnsi="Tahoma" w:cs="Tahoma"/>
      <w:sz w:val="16"/>
      <w:szCs w:val="16"/>
    </w:rPr>
  </w:style>
  <w:style w:type="character" w:customStyle="1" w:styleId="BalloonTextChar">
    <w:name w:val="Balloon Text Char"/>
    <w:basedOn w:val="DefaultParagraphFont"/>
    <w:link w:val="BalloonText"/>
    <w:rsid w:val="000379D0"/>
    <w:rPr>
      <w:rFonts w:ascii="Tahoma" w:hAnsi="Tahoma" w:cs="Tahoma"/>
      <w:color w:val="008080"/>
      <w:sz w:val="16"/>
      <w:szCs w:val="16"/>
    </w:rPr>
  </w:style>
  <w:style w:type="table" w:styleId="TableGrid">
    <w:name w:val="Table Grid"/>
    <w:basedOn w:val="TableNormal"/>
    <w:uiPriority w:val="59"/>
    <w:rsid w:val="006F1A4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26591"/>
    <w:pPr>
      <w:ind w:left="720"/>
      <w:contextualSpacing/>
    </w:pPr>
    <w:rPr>
      <w:rFonts w:eastAsiaTheme="minorHAnsi"/>
    </w:rPr>
  </w:style>
  <w:style w:type="paragraph" w:styleId="Title">
    <w:name w:val="Title"/>
    <w:basedOn w:val="Normal"/>
    <w:link w:val="TitleChar"/>
    <w:qFormat/>
    <w:rsid w:val="00DC233D"/>
    <w:pPr>
      <w:spacing w:after="0" w:line="240" w:lineRule="auto"/>
      <w:jc w:val="center"/>
    </w:pPr>
    <w:rPr>
      <w:rFonts w:ascii="Verdana" w:eastAsia="Times New Roman" w:hAnsi="Verdana" w:cs="Times New Roman"/>
      <w:b/>
      <w:bCs/>
      <w:color w:val="800000"/>
      <w:sz w:val="24"/>
      <w:szCs w:val="24"/>
    </w:rPr>
  </w:style>
  <w:style w:type="character" w:customStyle="1" w:styleId="TitleChar">
    <w:name w:val="Title Char"/>
    <w:basedOn w:val="DefaultParagraphFont"/>
    <w:link w:val="Title"/>
    <w:rsid w:val="00DC233D"/>
    <w:rPr>
      <w:rFonts w:ascii="Verdana" w:hAnsi="Verdana"/>
      <w:b/>
      <w:bCs/>
      <w:color w:val="800000"/>
      <w:sz w:val="24"/>
      <w:szCs w:val="24"/>
    </w:rPr>
  </w:style>
  <w:style w:type="paragraph" w:styleId="HTMLPreformatted">
    <w:name w:val="HTML Preformatted"/>
    <w:basedOn w:val="Normal"/>
    <w:link w:val="HTMLPreformattedChar"/>
    <w:uiPriority w:val="99"/>
    <w:unhideWhenUsed/>
    <w:rsid w:val="00DC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C233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93868634">
      <w:bodyDiv w:val="1"/>
      <w:marLeft w:val="0"/>
      <w:marRight w:val="0"/>
      <w:marTop w:val="0"/>
      <w:marBottom w:val="0"/>
      <w:divBdr>
        <w:top w:val="none" w:sz="0" w:space="0" w:color="auto"/>
        <w:left w:val="none" w:sz="0" w:space="0" w:color="auto"/>
        <w:bottom w:val="none" w:sz="0" w:space="0" w:color="auto"/>
        <w:right w:val="none" w:sz="0" w:space="0" w:color="auto"/>
      </w:divBdr>
    </w:div>
    <w:div w:id="948974896">
      <w:bodyDiv w:val="1"/>
      <w:marLeft w:val="0"/>
      <w:marRight w:val="0"/>
      <w:marTop w:val="0"/>
      <w:marBottom w:val="0"/>
      <w:divBdr>
        <w:top w:val="none" w:sz="0" w:space="0" w:color="auto"/>
        <w:left w:val="none" w:sz="0" w:space="0" w:color="auto"/>
        <w:bottom w:val="none" w:sz="0" w:space="0" w:color="auto"/>
        <w:right w:val="none" w:sz="0" w:space="0" w:color="auto"/>
      </w:divBdr>
    </w:div>
    <w:div w:id="1551305034">
      <w:bodyDiv w:val="1"/>
      <w:marLeft w:val="0"/>
      <w:marRight w:val="0"/>
      <w:marTop w:val="0"/>
      <w:marBottom w:val="0"/>
      <w:divBdr>
        <w:top w:val="none" w:sz="0" w:space="0" w:color="auto"/>
        <w:left w:val="none" w:sz="0" w:space="0" w:color="auto"/>
        <w:bottom w:val="none" w:sz="0" w:space="0" w:color="auto"/>
        <w:right w:val="none" w:sz="0" w:space="0" w:color="auto"/>
      </w:divBdr>
    </w:div>
    <w:div w:id="1555317270">
      <w:bodyDiv w:val="1"/>
      <w:marLeft w:val="0"/>
      <w:marRight w:val="0"/>
      <w:marTop w:val="0"/>
      <w:marBottom w:val="0"/>
      <w:divBdr>
        <w:top w:val="none" w:sz="0" w:space="0" w:color="auto"/>
        <w:left w:val="none" w:sz="0" w:space="0" w:color="auto"/>
        <w:bottom w:val="none" w:sz="0" w:space="0" w:color="auto"/>
        <w:right w:val="none" w:sz="0" w:space="0" w:color="auto"/>
      </w:divBdr>
    </w:div>
    <w:div w:id="1609236521">
      <w:bodyDiv w:val="1"/>
      <w:marLeft w:val="0"/>
      <w:marRight w:val="0"/>
      <w:marTop w:val="0"/>
      <w:marBottom w:val="0"/>
      <w:divBdr>
        <w:top w:val="none" w:sz="0" w:space="0" w:color="auto"/>
        <w:left w:val="none" w:sz="0" w:space="0" w:color="auto"/>
        <w:bottom w:val="none" w:sz="0" w:space="0" w:color="auto"/>
        <w:right w:val="none" w:sz="0" w:space="0" w:color="auto"/>
      </w:divBdr>
    </w:div>
    <w:div w:id="1833176557">
      <w:bodyDiv w:val="1"/>
      <w:marLeft w:val="0"/>
      <w:marRight w:val="0"/>
      <w:marTop w:val="0"/>
      <w:marBottom w:val="0"/>
      <w:divBdr>
        <w:top w:val="none" w:sz="0" w:space="0" w:color="auto"/>
        <w:left w:val="none" w:sz="0" w:space="0" w:color="auto"/>
        <w:bottom w:val="none" w:sz="0" w:space="0" w:color="auto"/>
        <w:right w:val="none" w:sz="0" w:space="0" w:color="auto"/>
      </w:divBdr>
    </w:div>
    <w:div w:id="184381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Pre-installed Company</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creator>JOHN J. D'ORAZIO</dc:creator>
  <cp:lastModifiedBy>Colleen.Toussaint</cp:lastModifiedBy>
  <cp:revision>2</cp:revision>
  <cp:lastPrinted>2011-04-12T16:51:00Z</cp:lastPrinted>
  <dcterms:created xsi:type="dcterms:W3CDTF">2012-03-08T15:43:00Z</dcterms:created>
  <dcterms:modified xsi:type="dcterms:W3CDTF">2012-03-08T15:43:00Z</dcterms:modified>
</cp:coreProperties>
</file>