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AD5B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AD5B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AD5BA7">
      <w:pPr>
        <w:tabs>
          <w:tab w:val="left" w:pos="288"/>
          <w:tab w:val="left" w:pos="4752"/>
        </w:tabs>
        <w:spacing w:line="240" w:lineRule="exact"/>
        <w:jc w:val="both"/>
        <w:rPr>
          <w:rFonts w:asciiTheme="minorHAnsi" w:hAnsiTheme="minorHAnsi"/>
          <w:caps/>
          <w:color w:val="auto"/>
        </w:rPr>
      </w:pPr>
    </w:p>
    <w:p w:rsidR="00540BEF" w:rsidRPr="005767AD" w:rsidRDefault="00540BEF" w:rsidP="003C3C64">
      <w:pPr>
        <w:tabs>
          <w:tab w:val="left" w:pos="288"/>
          <w:tab w:val="left" w:pos="5400"/>
        </w:tabs>
        <w:spacing w:line="240" w:lineRule="exact"/>
        <w:ind w:right="-1260"/>
        <w:jc w:val="both"/>
        <w:rPr>
          <w:rFonts w:asciiTheme="minorHAnsi" w:hAnsiTheme="minorHAnsi"/>
          <w:caps/>
          <w:color w:val="auto"/>
        </w:rPr>
      </w:pPr>
      <w:r w:rsidRPr="005767AD">
        <w:rPr>
          <w:rFonts w:asciiTheme="minorHAnsi" w:hAnsiTheme="minorHAnsi"/>
          <w:caps/>
          <w:color w:val="auto"/>
        </w:rPr>
        <w:t>NAME:</w:t>
      </w:r>
      <w:r w:rsidR="002501F1" w:rsidRPr="005767AD">
        <w:rPr>
          <w:rFonts w:asciiTheme="minorHAnsi" w:hAnsiTheme="minorHAnsi"/>
          <w:caps/>
          <w:color w:val="auto"/>
        </w:rPr>
        <w:t xml:space="preserve"> </w:t>
      </w:r>
      <w:r w:rsidR="003C3C64" w:rsidRPr="005767AD">
        <w:rPr>
          <w:rFonts w:asciiTheme="minorHAnsi" w:hAnsiTheme="minorHAnsi"/>
          <w:caps/>
          <w:color w:val="auto"/>
        </w:rPr>
        <w:t xml:space="preserve"> </w:t>
      </w:r>
      <w:r w:rsidR="00F71120">
        <w:rPr>
          <w:rFonts w:asciiTheme="minorHAnsi" w:hAnsiTheme="minorHAnsi"/>
          <w:caps/>
          <w:color w:val="auto"/>
        </w:rPr>
        <w:t>XXXXXXX</w:t>
      </w:r>
      <w:r w:rsidR="003C3C64" w:rsidRPr="005767AD">
        <w:rPr>
          <w:rFonts w:asciiTheme="minorHAnsi" w:hAnsiTheme="minorHAnsi"/>
          <w:caps/>
          <w:color w:val="auto"/>
        </w:rPr>
        <w:tab/>
      </w:r>
      <w:r w:rsidRPr="005767AD">
        <w:rPr>
          <w:rFonts w:asciiTheme="minorHAnsi" w:hAnsiTheme="minorHAnsi"/>
          <w:caps/>
          <w:color w:val="auto"/>
        </w:rPr>
        <w:t>BRANCH OF SERVICE</w:t>
      </w:r>
      <w:r w:rsidR="002501F1" w:rsidRPr="005767AD">
        <w:rPr>
          <w:rFonts w:asciiTheme="minorHAnsi" w:hAnsiTheme="minorHAnsi"/>
          <w:caps/>
          <w:color w:val="auto"/>
        </w:rPr>
        <w:t>:  marine corps</w:t>
      </w:r>
    </w:p>
    <w:p w:rsidR="00540BEF" w:rsidRPr="005767AD" w:rsidRDefault="00540BEF" w:rsidP="003C3C64">
      <w:pPr>
        <w:tabs>
          <w:tab w:val="left" w:pos="288"/>
          <w:tab w:val="left" w:pos="5400"/>
        </w:tabs>
        <w:spacing w:line="240" w:lineRule="exact"/>
        <w:ind w:right="-900"/>
        <w:jc w:val="both"/>
        <w:rPr>
          <w:rFonts w:asciiTheme="minorHAnsi" w:hAnsiTheme="minorHAnsi"/>
          <w:caps/>
          <w:color w:val="auto"/>
        </w:rPr>
      </w:pPr>
      <w:r w:rsidRPr="005767AD">
        <w:rPr>
          <w:rFonts w:asciiTheme="minorHAnsi" w:hAnsiTheme="minorHAnsi"/>
          <w:caps/>
          <w:color w:val="auto"/>
        </w:rPr>
        <w:t xml:space="preserve">CASE NUMBER:  </w:t>
      </w:r>
      <w:r w:rsidR="003C3C64" w:rsidRPr="005767AD">
        <w:rPr>
          <w:rFonts w:asciiTheme="minorHAnsi" w:hAnsiTheme="minorHAnsi"/>
          <w:caps/>
          <w:color w:val="auto"/>
        </w:rPr>
        <w:t>PD09</w:t>
      </w:r>
      <w:r w:rsidR="002501F1" w:rsidRPr="005767AD">
        <w:rPr>
          <w:rFonts w:asciiTheme="minorHAnsi" w:hAnsiTheme="minorHAnsi"/>
          <w:caps/>
          <w:color w:val="auto"/>
        </w:rPr>
        <w:t>00583</w:t>
      </w:r>
      <w:r w:rsidR="003C3C64" w:rsidRPr="005767AD">
        <w:rPr>
          <w:rFonts w:asciiTheme="minorHAnsi" w:hAnsiTheme="minorHAnsi"/>
          <w:caps/>
          <w:color w:val="auto"/>
        </w:rPr>
        <w:tab/>
      </w:r>
      <w:r w:rsidR="00C22F3A" w:rsidRPr="005767AD">
        <w:rPr>
          <w:rFonts w:asciiTheme="minorHAnsi" w:hAnsiTheme="minorHAnsi"/>
          <w:caps/>
          <w:color w:val="auto"/>
        </w:rPr>
        <w:t xml:space="preserve">SEPARATION DATE: </w:t>
      </w:r>
      <w:r w:rsidR="003C3C64" w:rsidRPr="005767AD">
        <w:rPr>
          <w:rFonts w:asciiTheme="minorHAnsi" w:hAnsiTheme="minorHAnsi"/>
          <w:caps/>
          <w:color w:val="auto"/>
        </w:rPr>
        <w:t xml:space="preserve"> </w:t>
      </w:r>
      <w:r w:rsidR="002501F1" w:rsidRPr="005767AD">
        <w:rPr>
          <w:rFonts w:asciiTheme="minorHAnsi" w:hAnsiTheme="minorHAnsi"/>
          <w:caps/>
          <w:color w:val="auto"/>
        </w:rPr>
        <w:t>20061215</w:t>
      </w:r>
    </w:p>
    <w:p w:rsidR="00540BEF" w:rsidRPr="005767AD" w:rsidRDefault="00540BEF" w:rsidP="00AD5BA7">
      <w:pPr>
        <w:tabs>
          <w:tab w:val="left" w:pos="288"/>
          <w:tab w:val="left" w:pos="4752"/>
        </w:tabs>
        <w:spacing w:line="240" w:lineRule="exact"/>
        <w:jc w:val="both"/>
        <w:rPr>
          <w:rFonts w:asciiTheme="minorHAnsi" w:hAnsiTheme="minorHAnsi"/>
          <w:caps/>
          <w:color w:val="auto"/>
        </w:rPr>
      </w:pPr>
      <w:r w:rsidRPr="005767AD">
        <w:rPr>
          <w:rFonts w:asciiTheme="minorHAnsi" w:hAnsiTheme="minorHAnsi"/>
          <w:caps/>
          <w:color w:val="auto"/>
        </w:rPr>
        <w:t xml:space="preserve">BOARD DATE: </w:t>
      </w:r>
      <w:r w:rsidR="003C3C64" w:rsidRPr="005767AD">
        <w:rPr>
          <w:rFonts w:asciiTheme="minorHAnsi" w:hAnsiTheme="minorHAnsi"/>
          <w:caps/>
          <w:color w:val="auto"/>
        </w:rPr>
        <w:t xml:space="preserve"> 20110202</w:t>
      </w:r>
      <w:r w:rsidRPr="005767AD">
        <w:rPr>
          <w:rFonts w:asciiTheme="minorHAnsi" w:hAnsiTheme="minorHAnsi"/>
          <w:caps/>
          <w:color w:val="auto"/>
        </w:rPr>
        <w:tab/>
      </w:r>
      <w:r w:rsidRPr="005767AD">
        <w:rPr>
          <w:rFonts w:asciiTheme="minorHAnsi" w:hAnsiTheme="minorHAnsi"/>
          <w:caps/>
          <w:color w:val="auto"/>
        </w:rPr>
        <w:tab/>
      </w:r>
    </w:p>
    <w:p w:rsidR="003C3C64" w:rsidRPr="005767AD" w:rsidRDefault="003C3C64" w:rsidP="003C3C64">
      <w:pPr>
        <w:pBdr>
          <w:bottom w:val="single" w:sz="12" w:space="1" w:color="auto"/>
        </w:pBdr>
        <w:tabs>
          <w:tab w:val="left" w:pos="288"/>
          <w:tab w:val="left" w:pos="4752"/>
        </w:tabs>
        <w:spacing w:line="240" w:lineRule="exact"/>
        <w:jc w:val="both"/>
        <w:rPr>
          <w:rFonts w:asciiTheme="minorHAnsi" w:hAnsiTheme="minorHAnsi"/>
          <w:caps/>
          <w:color w:val="auto"/>
        </w:rPr>
      </w:pPr>
    </w:p>
    <w:p w:rsidR="00B522CD" w:rsidRPr="005767AD" w:rsidRDefault="00B522CD" w:rsidP="00AD5BA7">
      <w:pPr>
        <w:tabs>
          <w:tab w:val="left" w:pos="288"/>
          <w:tab w:val="left" w:pos="4752"/>
        </w:tabs>
        <w:spacing w:line="240" w:lineRule="exact"/>
        <w:rPr>
          <w:color w:val="000080"/>
        </w:rPr>
      </w:pPr>
    </w:p>
    <w:p w:rsidR="002501F1" w:rsidRPr="005767AD" w:rsidRDefault="002C6E5B" w:rsidP="00AD5BA7">
      <w:pPr>
        <w:tabs>
          <w:tab w:val="left" w:pos="288"/>
          <w:tab w:val="left" w:pos="4752"/>
        </w:tabs>
        <w:spacing w:line="240" w:lineRule="exact"/>
        <w:jc w:val="both"/>
        <w:rPr>
          <w:rFonts w:asciiTheme="minorHAnsi" w:hAnsiTheme="minorHAnsi"/>
          <w:color w:val="auto"/>
          <w:szCs w:val="24"/>
        </w:rPr>
      </w:pPr>
      <w:r w:rsidRPr="005767AD">
        <w:rPr>
          <w:rFonts w:ascii="Calibri" w:hAnsi="Calibri"/>
          <w:color w:val="auto"/>
          <w:u w:val="single"/>
        </w:rPr>
        <w:t>SUMMARY OF CASE</w:t>
      </w:r>
      <w:r w:rsidRPr="005767AD">
        <w:rPr>
          <w:rFonts w:ascii="Calibri" w:hAnsi="Calibri"/>
          <w:color w:val="auto"/>
        </w:rPr>
        <w:t xml:space="preserve">:  </w:t>
      </w:r>
      <w:r w:rsidR="00BA666F" w:rsidRPr="00EC337D">
        <w:rPr>
          <w:rFonts w:asciiTheme="minorHAnsi" w:hAnsiTheme="minorHAnsi"/>
          <w:color w:val="auto"/>
        </w:rPr>
        <w:t xml:space="preserve">Data extracted from the available evidence of record reflects that this covered individual (CI) </w:t>
      </w:r>
      <w:r w:rsidR="00BA666F" w:rsidRPr="00AD7F8F">
        <w:rPr>
          <w:rFonts w:asciiTheme="minorHAnsi" w:hAnsiTheme="minorHAnsi"/>
          <w:color w:val="auto"/>
          <w:szCs w:val="24"/>
        </w:rPr>
        <w:t xml:space="preserve">was </w:t>
      </w:r>
      <w:r w:rsidR="00D104E5" w:rsidRPr="005767AD">
        <w:rPr>
          <w:rFonts w:asciiTheme="minorHAnsi" w:hAnsiTheme="minorHAnsi"/>
          <w:color w:val="auto"/>
          <w:szCs w:val="24"/>
        </w:rPr>
        <w:t>a Marine Corps</w:t>
      </w:r>
      <w:r w:rsidR="002501F1" w:rsidRPr="005767AD">
        <w:rPr>
          <w:rFonts w:asciiTheme="minorHAnsi" w:hAnsiTheme="minorHAnsi"/>
          <w:color w:val="auto"/>
          <w:szCs w:val="24"/>
        </w:rPr>
        <w:t xml:space="preserve"> </w:t>
      </w:r>
      <w:r w:rsidR="00D104E5" w:rsidRPr="005767AD">
        <w:rPr>
          <w:rFonts w:asciiTheme="minorHAnsi" w:hAnsiTheme="minorHAnsi"/>
          <w:color w:val="auto"/>
          <w:szCs w:val="24"/>
        </w:rPr>
        <w:t>R</w:t>
      </w:r>
      <w:r w:rsidR="002501F1" w:rsidRPr="005767AD">
        <w:rPr>
          <w:rFonts w:asciiTheme="minorHAnsi" w:hAnsiTheme="minorHAnsi"/>
          <w:color w:val="auto"/>
          <w:szCs w:val="24"/>
        </w:rPr>
        <w:t xml:space="preserve">eserve E-6/SSgt (0621, Radio Operator) medically separated from </w:t>
      </w:r>
      <w:r w:rsidR="00CE6513" w:rsidRPr="005767AD">
        <w:rPr>
          <w:rFonts w:asciiTheme="minorHAnsi" w:hAnsiTheme="minorHAnsi"/>
          <w:color w:val="auto"/>
          <w:szCs w:val="24"/>
        </w:rPr>
        <w:t>service</w:t>
      </w:r>
      <w:r w:rsidR="002501F1" w:rsidRPr="005767AD">
        <w:rPr>
          <w:rFonts w:asciiTheme="minorHAnsi" w:hAnsiTheme="minorHAnsi"/>
          <w:color w:val="auto"/>
          <w:szCs w:val="24"/>
        </w:rPr>
        <w:t xml:space="preserve"> in 2006</w:t>
      </w:r>
      <w:r w:rsidR="00CB7A85">
        <w:rPr>
          <w:rFonts w:asciiTheme="minorHAnsi" w:hAnsiTheme="minorHAnsi"/>
          <w:color w:val="auto"/>
          <w:szCs w:val="24"/>
        </w:rPr>
        <w:t xml:space="preserve">. </w:t>
      </w:r>
      <w:r w:rsidR="002501F1" w:rsidRPr="005767AD">
        <w:rPr>
          <w:rFonts w:asciiTheme="minorHAnsi" w:hAnsiTheme="minorHAnsi"/>
          <w:color w:val="auto"/>
          <w:szCs w:val="24"/>
        </w:rPr>
        <w:t xml:space="preserve"> The medical basis for the separation was Bicompartmental Osteoarthritis of the </w:t>
      </w:r>
      <w:r w:rsidR="0081012E" w:rsidRPr="005767AD">
        <w:rPr>
          <w:rFonts w:asciiTheme="minorHAnsi" w:hAnsiTheme="minorHAnsi"/>
          <w:color w:val="auto"/>
          <w:szCs w:val="24"/>
        </w:rPr>
        <w:t>L</w:t>
      </w:r>
      <w:r w:rsidR="002501F1" w:rsidRPr="005767AD">
        <w:rPr>
          <w:rFonts w:asciiTheme="minorHAnsi" w:hAnsiTheme="minorHAnsi"/>
          <w:color w:val="auto"/>
          <w:szCs w:val="24"/>
        </w:rPr>
        <w:t xml:space="preserve">eft knee. </w:t>
      </w:r>
      <w:r w:rsidR="003C3C64" w:rsidRPr="005767AD">
        <w:rPr>
          <w:rFonts w:asciiTheme="minorHAnsi" w:hAnsiTheme="minorHAnsi"/>
          <w:color w:val="auto"/>
          <w:szCs w:val="24"/>
        </w:rPr>
        <w:t xml:space="preserve"> </w:t>
      </w:r>
      <w:r w:rsidR="002501F1" w:rsidRPr="005767AD">
        <w:rPr>
          <w:rFonts w:asciiTheme="minorHAnsi" w:hAnsiTheme="minorHAnsi"/>
          <w:color w:val="auto"/>
          <w:szCs w:val="24"/>
        </w:rPr>
        <w:t xml:space="preserve">The CI injured his knee in 1989 during a pinning ceremony when he suffered a forceful valgus injury to his left knee. </w:t>
      </w:r>
      <w:r w:rsidR="003C3C64" w:rsidRPr="005767AD">
        <w:rPr>
          <w:rFonts w:asciiTheme="minorHAnsi" w:hAnsiTheme="minorHAnsi"/>
          <w:color w:val="auto"/>
          <w:szCs w:val="24"/>
        </w:rPr>
        <w:t xml:space="preserve"> </w:t>
      </w:r>
      <w:r w:rsidR="002501F1" w:rsidRPr="005767AD">
        <w:rPr>
          <w:rFonts w:asciiTheme="minorHAnsi" w:hAnsiTheme="minorHAnsi"/>
          <w:color w:val="auto"/>
          <w:szCs w:val="24"/>
        </w:rPr>
        <w:t xml:space="preserve">He experienced weakness, stiffness, swelling, instability, locking, fatigability, and lack of endurance.  He underwent </w:t>
      </w:r>
      <w:r w:rsidR="00882389" w:rsidRPr="005767AD">
        <w:rPr>
          <w:rFonts w:asciiTheme="minorHAnsi" w:hAnsiTheme="minorHAnsi"/>
          <w:color w:val="auto"/>
          <w:szCs w:val="24"/>
        </w:rPr>
        <w:t>Anterior Cruciate Ligament (</w:t>
      </w:r>
      <w:r w:rsidR="002501F1" w:rsidRPr="005767AD">
        <w:rPr>
          <w:rFonts w:asciiTheme="minorHAnsi" w:hAnsiTheme="minorHAnsi"/>
          <w:color w:val="auto"/>
          <w:szCs w:val="24"/>
        </w:rPr>
        <w:t>ACL</w:t>
      </w:r>
      <w:r w:rsidR="00882389" w:rsidRPr="005767AD">
        <w:rPr>
          <w:rFonts w:asciiTheme="minorHAnsi" w:hAnsiTheme="minorHAnsi"/>
          <w:color w:val="auto"/>
          <w:szCs w:val="24"/>
        </w:rPr>
        <w:t>)</w:t>
      </w:r>
      <w:r w:rsidR="002501F1" w:rsidRPr="005767AD">
        <w:rPr>
          <w:rFonts w:asciiTheme="minorHAnsi" w:hAnsiTheme="minorHAnsi"/>
          <w:color w:val="auto"/>
          <w:szCs w:val="24"/>
        </w:rPr>
        <w:t xml:space="preserve"> reconstructive surgery in November 1989</w:t>
      </w:r>
      <w:r w:rsidR="0081012E" w:rsidRPr="005767AD">
        <w:rPr>
          <w:rFonts w:asciiTheme="minorHAnsi" w:hAnsiTheme="minorHAnsi"/>
          <w:color w:val="auto"/>
          <w:szCs w:val="24"/>
        </w:rPr>
        <w:t xml:space="preserve">. </w:t>
      </w:r>
      <w:r w:rsidR="003C3C64" w:rsidRPr="005767AD">
        <w:rPr>
          <w:rFonts w:asciiTheme="minorHAnsi" w:hAnsiTheme="minorHAnsi"/>
          <w:color w:val="auto"/>
          <w:szCs w:val="24"/>
        </w:rPr>
        <w:t xml:space="preserve"> </w:t>
      </w:r>
      <w:r w:rsidR="00882389" w:rsidRPr="005767AD">
        <w:rPr>
          <w:rFonts w:asciiTheme="minorHAnsi" w:hAnsiTheme="minorHAnsi"/>
          <w:color w:val="auto"/>
          <w:szCs w:val="24"/>
        </w:rPr>
        <w:t>The CI</w:t>
      </w:r>
      <w:r w:rsidR="0081012E" w:rsidRPr="005767AD">
        <w:rPr>
          <w:rFonts w:asciiTheme="minorHAnsi" w:hAnsiTheme="minorHAnsi"/>
          <w:color w:val="auto"/>
          <w:szCs w:val="24"/>
        </w:rPr>
        <w:t xml:space="preserve"> subsequently also underwent partial medial and lateral meniscectomies.</w:t>
      </w:r>
      <w:r w:rsidR="00882389" w:rsidRPr="005767AD">
        <w:rPr>
          <w:rFonts w:asciiTheme="minorHAnsi" w:hAnsiTheme="minorHAnsi"/>
          <w:color w:val="auto"/>
          <w:szCs w:val="24"/>
        </w:rPr>
        <w:t xml:space="preserve">  On </w:t>
      </w:r>
      <w:r w:rsidR="00CB7A85">
        <w:rPr>
          <w:rFonts w:asciiTheme="minorHAnsi" w:hAnsiTheme="minorHAnsi"/>
          <w:color w:val="auto"/>
          <w:szCs w:val="24"/>
        </w:rPr>
        <w:t>19 Sep 81,</w:t>
      </w:r>
      <w:r w:rsidR="00882389" w:rsidRPr="005767AD">
        <w:rPr>
          <w:rFonts w:asciiTheme="minorHAnsi" w:hAnsiTheme="minorHAnsi"/>
          <w:color w:val="auto"/>
          <w:szCs w:val="24"/>
        </w:rPr>
        <w:t xml:space="preserve"> the CI separated from active duty and entered the Marine Corps Reserve.</w:t>
      </w:r>
      <w:r w:rsidR="0081012E" w:rsidRPr="005767AD">
        <w:rPr>
          <w:rFonts w:asciiTheme="minorHAnsi" w:hAnsiTheme="minorHAnsi"/>
          <w:color w:val="auto"/>
          <w:szCs w:val="24"/>
        </w:rPr>
        <w:t xml:space="preserve"> </w:t>
      </w:r>
      <w:r w:rsidR="004F1D11" w:rsidRPr="005767AD">
        <w:rPr>
          <w:rFonts w:asciiTheme="minorHAnsi" w:hAnsiTheme="minorHAnsi"/>
          <w:color w:val="auto"/>
          <w:szCs w:val="24"/>
        </w:rPr>
        <w:t xml:space="preserve"> </w:t>
      </w:r>
      <w:r w:rsidR="002501F1" w:rsidRPr="005767AD">
        <w:rPr>
          <w:rFonts w:asciiTheme="minorHAnsi" w:hAnsiTheme="minorHAnsi"/>
          <w:color w:val="auto"/>
          <w:szCs w:val="24"/>
        </w:rPr>
        <w:t xml:space="preserve">In the years 2004 and 2005 </w:t>
      </w:r>
      <w:r w:rsidR="00882389" w:rsidRPr="005767AD">
        <w:rPr>
          <w:rFonts w:asciiTheme="minorHAnsi" w:hAnsiTheme="minorHAnsi"/>
          <w:color w:val="auto"/>
          <w:szCs w:val="24"/>
        </w:rPr>
        <w:t xml:space="preserve">the CI </w:t>
      </w:r>
      <w:r w:rsidR="002501F1" w:rsidRPr="005767AD">
        <w:rPr>
          <w:rFonts w:asciiTheme="minorHAnsi" w:hAnsiTheme="minorHAnsi"/>
          <w:color w:val="auto"/>
          <w:szCs w:val="24"/>
        </w:rPr>
        <w:t xml:space="preserve">failed to meet the running time for his </w:t>
      </w:r>
      <w:r w:rsidR="00D104E5" w:rsidRPr="005767AD">
        <w:rPr>
          <w:rFonts w:asciiTheme="minorHAnsi" w:hAnsiTheme="minorHAnsi"/>
          <w:color w:val="auto"/>
          <w:szCs w:val="24"/>
        </w:rPr>
        <w:t>P</w:t>
      </w:r>
      <w:r w:rsidR="002501F1" w:rsidRPr="005767AD">
        <w:rPr>
          <w:rFonts w:asciiTheme="minorHAnsi" w:hAnsiTheme="minorHAnsi"/>
          <w:color w:val="auto"/>
          <w:szCs w:val="24"/>
        </w:rPr>
        <w:t xml:space="preserve">hysical </w:t>
      </w:r>
      <w:r w:rsidR="00D104E5" w:rsidRPr="005767AD">
        <w:rPr>
          <w:rFonts w:asciiTheme="minorHAnsi" w:hAnsiTheme="minorHAnsi"/>
          <w:color w:val="auto"/>
          <w:szCs w:val="24"/>
        </w:rPr>
        <w:t>F</w:t>
      </w:r>
      <w:r w:rsidR="002501F1" w:rsidRPr="005767AD">
        <w:rPr>
          <w:rFonts w:asciiTheme="minorHAnsi" w:hAnsiTheme="minorHAnsi"/>
          <w:color w:val="auto"/>
          <w:szCs w:val="24"/>
        </w:rPr>
        <w:t xml:space="preserve">itness </w:t>
      </w:r>
      <w:r w:rsidR="00D104E5" w:rsidRPr="005767AD">
        <w:rPr>
          <w:rFonts w:asciiTheme="minorHAnsi" w:hAnsiTheme="minorHAnsi"/>
          <w:color w:val="auto"/>
          <w:szCs w:val="24"/>
        </w:rPr>
        <w:t>T</w:t>
      </w:r>
      <w:r w:rsidR="002501F1" w:rsidRPr="005767AD">
        <w:rPr>
          <w:rFonts w:asciiTheme="minorHAnsi" w:hAnsiTheme="minorHAnsi"/>
          <w:color w:val="auto"/>
          <w:szCs w:val="24"/>
        </w:rPr>
        <w:t>est</w:t>
      </w:r>
      <w:r w:rsidR="00882389" w:rsidRPr="005767AD">
        <w:rPr>
          <w:rFonts w:asciiTheme="minorHAnsi" w:hAnsiTheme="minorHAnsi"/>
          <w:color w:val="auto"/>
          <w:szCs w:val="24"/>
        </w:rPr>
        <w:t xml:space="preserve"> (PFT)</w:t>
      </w:r>
      <w:r w:rsidR="002501F1" w:rsidRPr="005767AD">
        <w:rPr>
          <w:rFonts w:asciiTheme="minorHAnsi" w:hAnsiTheme="minorHAnsi"/>
          <w:color w:val="auto"/>
          <w:szCs w:val="24"/>
        </w:rPr>
        <w:t>.  In April 2006, he underwent a</w:t>
      </w:r>
      <w:r w:rsidR="00882389" w:rsidRPr="005767AD">
        <w:rPr>
          <w:rFonts w:asciiTheme="minorHAnsi" w:hAnsiTheme="minorHAnsi"/>
          <w:color w:val="auto"/>
          <w:szCs w:val="24"/>
        </w:rPr>
        <w:t xml:space="preserve"> left knee </w:t>
      </w:r>
      <w:r w:rsidR="002501F1" w:rsidRPr="005767AD">
        <w:rPr>
          <w:rFonts w:asciiTheme="minorHAnsi" w:hAnsiTheme="minorHAnsi"/>
          <w:color w:val="auto"/>
          <w:szCs w:val="24"/>
        </w:rPr>
        <w:t xml:space="preserve">arthroscopy. </w:t>
      </w:r>
      <w:r w:rsidR="00882389" w:rsidRPr="005767AD">
        <w:rPr>
          <w:rFonts w:asciiTheme="minorHAnsi" w:hAnsiTheme="minorHAnsi"/>
          <w:color w:val="auto"/>
          <w:szCs w:val="24"/>
        </w:rPr>
        <w:t xml:space="preserve">The CI </w:t>
      </w:r>
      <w:r w:rsidR="00D104E5" w:rsidRPr="005767AD">
        <w:rPr>
          <w:rFonts w:asciiTheme="minorHAnsi" w:hAnsiTheme="minorHAnsi"/>
          <w:color w:val="auto"/>
          <w:szCs w:val="24"/>
        </w:rPr>
        <w:t>underwent multiple evaluations and treatments, including active/assistance treatment, icing</w:t>
      </w:r>
      <w:r w:rsidR="007311D3" w:rsidRPr="005767AD">
        <w:rPr>
          <w:rFonts w:asciiTheme="minorHAnsi" w:hAnsiTheme="minorHAnsi"/>
          <w:color w:val="auto"/>
          <w:szCs w:val="24"/>
        </w:rPr>
        <w:t>, home</w:t>
      </w:r>
      <w:r w:rsidR="00D104E5" w:rsidRPr="005767AD">
        <w:rPr>
          <w:rFonts w:asciiTheme="minorHAnsi" w:hAnsiTheme="minorHAnsi"/>
          <w:color w:val="auto"/>
          <w:szCs w:val="24"/>
        </w:rPr>
        <w:t xml:space="preserve"> exercises, passive and resistance, isotonic and </w:t>
      </w:r>
      <w:r w:rsidR="007311D3" w:rsidRPr="005767AD">
        <w:rPr>
          <w:rFonts w:asciiTheme="minorHAnsi" w:hAnsiTheme="minorHAnsi"/>
          <w:color w:val="auto"/>
          <w:szCs w:val="24"/>
        </w:rPr>
        <w:t>isokinetic treatments</w:t>
      </w:r>
      <w:r w:rsidR="00D104E5" w:rsidRPr="005767AD">
        <w:rPr>
          <w:rFonts w:asciiTheme="minorHAnsi" w:hAnsiTheme="minorHAnsi"/>
          <w:color w:val="auto"/>
          <w:szCs w:val="24"/>
        </w:rPr>
        <w:t xml:space="preserve"> and a knee brace.  </w:t>
      </w:r>
      <w:r w:rsidR="00E96674">
        <w:rPr>
          <w:rFonts w:asciiTheme="minorHAnsi" w:hAnsiTheme="minorHAnsi"/>
          <w:color w:val="auto"/>
          <w:szCs w:val="24"/>
        </w:rPr>
        <w:t>After</w:t>
      </w:r>
      <w:r w:rsidR="002501F1" w:rsidRPr="005767AD">
        <w:rPr>
          <w:rFonts w:asciiTheme="minorHAnsi" w:hAnsiTheme="minorHAnsi"/>
          <w:color w:val="auto"/>
          <w:szCs w:val="24"/>
        </w:rPr>
        <w:t xml:space="preserve"> surgery </w:t>
      </w:r>
      <w:r w:rsidR="00882389" w:rsidRPr="005767AD">
        <w:rPr>
          <w:rFonts w:asciiTheme="minorHAnsi" w:hAnsiTheme="minorHAnsi"/>
          <w:color w:val="auto"/>
          <w:szCs w:val="24"/>
        </w:rPr>
        <w:t>t</w:t>
      </w:r>
      <w:r w:rsidR="002501F1" w:rsidRPr="005767AD">
        <w:rPr>
          <w:rFonts w:asciiTheme="minorHAnsi" w:hAnsiTheme="minorHAnsi"/>
          <w:color w:val="auto"/>
          <w:szCs w:val="24"/>
        </w:rPr>
        <w:t>he</w:t>
      </w:r>
      <w:r w:rsidR="00882389" w:rsidRPr="005767AD">
        <w:rPr>
          <w:rFonts w:asciiTheme="minorHAnsi" w:hAnsiTheme="minorHAnsi"/>
          <w:color w:val="auto"/>
          <w:szCs w:val="24"/>
        </w:rPr>
        <w:t xml:space="preserve"> </w:t>
      </w:r>
      <w:r w:rsidR="00D104E5" w:rsidRPr="005767AD">
        <w:rPr>
          <w:rFonts w:asciiTheme="minorHAnsi" w:hAnsiTheme="minorHAnsi"/>
          <w:color w:val="auto"/>
          <w:szCs w:val="24"/>
        </w:rPr>
        <w:t>CI noted</w:t>
      </w:r>
      <w:r w:rsidR="002501F1" w:rsidRPr="005767AD">
        <w:rPr>
          <w:rFonts w:asciiTheme="minorHAnsi" w:hAnsiTheme="minorHAnsi"/>
          <w:color w:val="auto"/>
          <w:szCs w:val="24"/>
        </w:rPr>
        <w:t xml:space="preserve"> chronic knee pain.  He experienced stiffness and pain after sitting for approximately 20-30 minutes. </w:t>
      </w:r>
      <w:r w:rsidR="00D104E5" w:rsidRPr="005767AD">
        <w:rPr>
          <w:rFonts w:asciiTheme="minorHAnsi" w:hAnsiTheme="minorHAnsi"/>
          <w:color w:val="auto"/>
          <w:szCs w:val="24"/>
        </w:rPr>
        <w:t xml:space="preserve"> Despite the extensive Physical therapy, the CI was unable to return to full duty and was referred to a </w:t>
      </w:r>
      <w:r w:rsidR="002501F1" w:rsidRPr="005767AD">
        <w:rPr>
          <w:rFonts w:asciiTheme="minorHAnsi" w:hAnsiTheme="minorHAnsi"/>
          <w:color w:val="auto"/>
          <w:szCs w:val="24"/>
        </w:rPr>
        <w:t xml:space="preserve">Medical Evaluation </w:t>
      </w:r>
      <w:r w:rsidR="007311D3" w:rsidRPr="005767AD">
        <w:rPr>
          <w:rFonts w:asciiTheme="minorHAnsi" w:hAnsiTheme="minorHAnsi"/>
          <w:color w:val="auto"/>
          <w:szCs w:val="24"/>
        </w:rPr>
        <w:t>Board (</w:t>
      </w:r>
      <w:r w:rsidR="00D104E5" w:rsidRPr="005767AD">
        <w:rPr>
          <w:rFonts w:asciiTheme="minorHAnsi" w:hAnsiTheme="minorHAnsi"/>
          <w:color w:val="auto"/>
          <w:szCs w:val="24"/>
        </w:rPr>
        <w:t>MEB)</w:t>
      </w:r>
      <w:r w:rsidR="002501F1" w:rsidRPr="005767AD">
        <w:rPr>
          <w:rFonts w:asciiTheme="minorHAnsi" w:hAnsiTheme="minorHAnsi"/>
          <w:color w:val="auto"/>
          <w:szCs w:val="24"/>
        </w:rPr>
        <w:t xml:space="preserve">. </w:t>
      </w:r>
      <w:r w:rsidR="003C3C64" w:rsidRPr="005767AD">
        <w:rPr>
          <w:rFonts w:asciiTheme="minorHAnsi" w:hAnsiTheme="minorHAnsi"/>
          <w:color w:val="auto"/>
          <w:szCs w:val="24"/>
        </w:rPr>
        <w:t xml:space="preserve"> </w:t>
      </w:r>
      <w:r w:rsidR="00D104E5" w:rsidRPr="005767AD">
        <w:rPr>
          <w:rFonts w:asciiTheme="minorHAnsi" w:hAnsiTheme="minorHAnsi"/>
          <w:color w:val="auto"/>
          <w:szCs w:val="24"/>
        </w:rPr>
        <w:t xml:space="preserve">The MEB found </w:t>
      </w:r>
      <w:r w:rsidR="00CF2AA6" w:rsidRPr="005767AD">
        <w:rPr>
          <w:rFonts w:asciiTheme="minorHAnsi" w:hAnsiTheme="minorHAnsi"/>
          <w:color w:val="auto"/>
          <w:szCs w:val="24"/>
        </w:rPr>
        <w:t>in view of the “</w:t>
      </w:r>
      <w:r w:rsidR="00D46268" w:rsidRPr="005767AD">
        <w:rPr>
          <w:rFonts w:asciiTheme="minorHAnsi" w:hAnsiTheme="minorHAnsi"/>
          <w:color w:val="auto"/>
          <w:szCs w:val="24"/>
        </w:rPr>
        <w:t>osteoarthritis</w:t>
      </w:r>
      <w:r w:rsidR="00CF2AA6" w:rsidRPr="005767AD">
        <w:rPr>
          <w:rFonts w:asciiTheme="minorHAnsi" w:hAnsiTheme="minorHAnsi"/>
          <w:color w:val="auto"/>
          <w:szCs w:val="24"/>
        </w:rPr>
        <w:t xml:space="preserve"> degeneration of the left knee joint” as interfering with duty and forwarded “</w:t>
      </w:r>
      <w:r w:rsidR="002501F1" w:rsidRPr="005767AD">
        <w:rPr>
          <w:rFonts w:asciiTheme="minorHAnsi" w:hAnsiTheme="minorHAnsi"/>
          <w:color w:val="auto"/>
          <w:szCs w:val="24"/>
        </w:rPr>
        <w:t>Bicompartmental Osteoarthritis of the Left Knee, Failed ACL (Anterior Cruciate Ligament) R</w:t>
      </w:r>
      <w:r w:rsidR="00CF2AA6" w:rsidRPr="005767AD">
        <w:rPr>
          <w:rFonts w:asciiTheme="minorHAnsi" w:hAnsiTheme="minorHAnsi"/>
          <w:color w:val="auto"/>
          <w:szCs w:val="24"/>
        </w:rPr>
        <w:t xml:space="preserve">econstruction in the Left Knee and </w:t>
      </w:r>
      <w:r w:rsidR="002501F1" w:rsidRPr="005767AD">
        <w:rPr>
          <w:rFonts w:asciiTheme="minorHAnsi" w:hAnsiTheme="minorHAnsi"/>
          <w:color w:val="auto"/>
          <w:szCs w:val="24"/>
        </w:rPr>
        <w:t>Accompanying Anterolateral Rotator</w:t>
      </w:r>
      <w:r w:rsidR="00CF2AA6" w:rsidRPr="005767AD">
        <w:rPr>
          <w:rFonts w:asciiTheme="minorHAnsi" w:hAnsiTheme="minorHAnsi"/>
          <w:color w:val="auto"/>
          <w:szCs w:val="24"/>
        </w:rPr>
        <w:t>y</w:t>
      </w:r>
      <w:r w:rsidR="002501F1" w:rsidRPr="005767AD">
        <w:rPr>
          <w:rFonts w:asciiTheme="minorHAnsi" w:hAnsiTheme="minorHAnsi"/>
          <w:color w:val="auto"/>
          <w:szCs w:val="24"/>
        </w:rPr>
        <w:t xml:space="preserve"> </w:t>
      </w:r>
      <w:r w:rsidR="00CF2AA6" w:rsidRPr="005767AD">
        <w:rPr>
          <w:rFonts w:asciiTheme="minorHAnsi" w:hAnsiTheme="minorHAnsi"/>
          <w:color w:val="auto"/>
          <w:szCs w:val="24"/>
        </w:rPr>
        <w:t xml:space="preserve">Instability” </w:t>
      </w:r>
      <w:r w:rsidR="002501F1" w:rsidRPr="005767AD">
        <w:rPr>
          <w:rFonts w:asciiTheme="minorHAnsi" w:hAnsiTheme="minorHAnsi"/>
          <w:color w:val="auto"/>
          <w:szCs w:val="24"/>
        </w:rPr>
        <w:t xml:space="preserve">to the Physical Evaluation Board (PEB) on the NAVMED 6100/1. </w:t>
      </w:r>
      <w:r w:rsidR="00CF2AA6" w:rsidRPr="005767AD">
        <w:rPr>
          <w:rFonts w:asciiTheme="minorHAnsi" w:hAnsiTheme="minorHAnsi"/>
          <w:color w:val="auto"/>
          <w:szCs w:val="24"/>
        </w:rPr>
        <w:t xml:space="preserve">No other conditions appeared on the MEB’s submission or were addressed in the narrative summary (NARSUM). </w:t>
      </w:r>
      <w:r w:rsidR="003C3C64" w:rsidRPr="005767AD">
        <w:rPr>
          <w:rFonts w:asciiTheme="minorHAnsi" w:hAnsiTheme="minorHAnsi"/>
          <w:color w:val="auto"/>
          <w:szCs w:val="24"/>
        </w:rPr>
        <w:t xml:space="preserve"> </w:t>
      </w:r>
      <w:r w:rsidR="002501F1" w:rsidRPr="005767AD">
        <w:rPr>
          <w:rFonts w:asciiTheme="minorHAnsi" w:hAnsiTheme="minorHAnsi"/>
          <w:color w:val="auto"/>
          <w:szCs w:val="24"/>
        </w:rPr>
        <w:t xml:space="preserve">The PEB adjudicated the </w:t>
      </w:r>
      <w:proofErr w:type="spellStart"/>
      <w:r w:rsidR="002501F1" w:rsidRPr="005767AD">
        <w:rPr>
          <w:rFonts w:asciiTheme="minorHAnsi" w:hAnsiTheme="minorHAnsi"/>
          <w:color w:val="auto"/>
          <w:szCs w:val="24"/>
        </w:rPr>
        <w:t>Bicompartmental</w:t>
      </w:r>
      <w:proofErr w:type="spellEnd"/>
      <w:r w:rsidR="002501F1" w:rsidRPr="005767AD">
        <w:rPr>
          <w:rFonts w:asciiTheme="minorHAnsi" w:hAnsiTheme="minorHAnsi"/>
          <w:color w:val="auto"/>
          <w:szCs w:val="24"/>
        </w:rPr>
        <w:t xml:space="preserve"> Osteoarthritis of the Le</w:t>
      </w:r>
      <w:r w:rsidR="00F52985" w:rsidRPr="005767AD">
        <w:rPr>
          <w:rFonts w:asciiTheme="minorHAnsi" w:hAnsiTheme="minorHAnsi"/>
          <w:color w:val="auto"/>
          <w:szCs w:val="24"/>
        </w:rPr>
        <w:t xml:space="preserve">ft Knee condition as unfitting with disability code 5003 </w:t>
      </w:r>
      <w:r w:rsidR="00AD5BA7" w:rsidRPr="005767AD">
        <w:rPr>
          <w:rFonts w:asciiTheme="minorHAnsi" w:hAnsiTheme="minorHAnsi"/>
          <w:color w:val="auto"/>
          <w:szCs w:val="24"/>
        </w:rPr>
        <w:t>rated 10%,</w:t>
      </w:r>
      <w:r w:rsidR="002501F1" w:rsidRPr="005767AD">
        <w:rPr>
          <w:rFonts w:asciiTheme="minorHAnsi" w:hAnsiTheme="minorHAnsi"/>
          <w:color w:val="auto"/>
          <w:szCs w:val="24"/>
        </w:rPr>
        <w:t xml:space="preserve"> with application of the SECNAVINST 1850.4E and DoDI 1332.39 (E2.A1.5) respectively.</w:t>
      </w:r>
      <w:r w:rsidR="00F52985" w:rsidRPr="005767AD">
        <w:rPr>
          <w:rFonts w:asciiTheme="minorHAnsi" w:hAnsiTheme="minorHAnsi"/>
          <w:color w:val="auto"/>
          <w:szCs w:val="24"/>
        </w:rPr>
        <w:t xml:space="preserve">  The PEB adjudicated the “</w:t>
      </w:r>
      <w:r w:rsidR="00D46268" w:rsidRPr="005767AD">
        <w:rPr>
          <w:rFonts w:asciiTheme="minorHAnsi" w:hAnsiTheme="minorHAnsi"/>
          <w:color w:val="auto"/>
          <w:szCs w:val="24"/>
        </w:rPr>
        <w:t>Accompanying Anterolateral</w:t>
      </w:r>
      <w:r w:rsidR="00F52985" w:rsidRPr="005767AD">
        <w:rPr>
          <w:rFonts w:asciiTheme="minorHAnsi" w:hAnsiTheme="minorHAnsi"/>
          <w:color w:val="auto"/>
          <w:szCs w:val="24"/>
        </w:rPr>
        <w:t xml:space="preserve"> Rotatory Instability” and “Failed ACL (Anterior Cruciate Ligament) Reconstruction in the Left Knee” as Category II (“Conditions that contribute to the unfitting condition”).  </w:t>
      </w:r>
      <w:r w:rsidR="002501F1" w:rsidRPr="005767AD">
        <w:rPr>
          <w:rFonts w:asciiTheme="minorHAnsi" w:hAnsiTheme="minorHAnsi"/>
          <w:color w:val="auto"/>
        </w:rPr>
        <w:t xml:space="preserve">The CI made no appeals, and was then medically separated with a 10% disability rating.  </w:t>
      </w:r>
    </w:p>
    <w:p w:rsidR="003C3C64" w:rsidRPr="005767AD" w:rsidRDefault="003C3C64" w:rsidP="003C3C64">
      <w:pPr>
        <w:pBdr>
          <w:bottom w:val="single" w:sz="12" w:space="1" w:color="auto"/>
        </w:pBdr>
        <w:tabs>
          <w:tab w:val="left" w:pos="288"/>
          <w:tab w:val="left" w:pos="4752"/>
        </w:tabs>
        <w:spacing w:line="240" w:lineRule="exact"/>
        <w:jc w:val="both"/>
        <w:rPr>
          <w:rFonts w:asciiTheme="minorHAnsi" w:hAnsiTheme="minorHAnsi"/>
          <w:caps/>
          <w:color w:val="auto"/>
        </w:rPr>
      </w:pPr>
    </w:p>
    <w:p w:rsidR="003C3C64" w:rsidRPr="005767AD" w:rsidRDefault="003C3C64" w:rsidP="00AD5BA7">
      <w:pPr>
        <w:tabs>
          <w:tab w:val="left" w:pos="288"/>
          <w:tab w:val="left" w:pos="4752"/>
        </w:tabs>
        <w:spacing w:line="240" w:lineRule="exact"/>
        <w:jc w:val="both"/>
        <w:rPr>
          <w:rFonts w:ascii="Calibri" w:hAnsi="Calibri"/>
          <w:color w:val="auto"/>
          <w:u w:val="single"/>
        </w:rPr>
      </w:pPr>
    </w:p>
    <w:p w:rsidR="002501F1" w:rsidRPr="005767AD" w:rsidRDefault="002C6E5B" w:rsidP="00AD5BA7">
      <w:pPr>
        <w:tabs>
          <w:tab w:val="left" w:pos="288"/>
          <w:tab w:val="left" w:pos="4752"/>
        </w:tabs>
        <w:spacing w:line="240" w:lineRule="exact"/>
        <w:jc w:val="both"/>
        <w:rPr>
          <w:rFonts w:asciiTheme="minorHAnsi" w:hAnsiTheme="minorHAnsi"/>
          <w:color w:val="auto"/>
          <w:szCs w:val="24"/>
        </w:rPr>
      </w:pPr>
      <w:r w:rsidRPr="005767AD">
        <w:rPr>
          <w:rFonts w:ascii="Calibri" w:hAnsi="Calibri"/>
          <w:color w:val="auto"/>
          <w:u w:val="single"/>
        </w:rPr>
        <w:t>CI CONTENTION</w:t>
      </w:r>
      <w:r w:rsidR="002501F1" w:rsidRPr="005767AD">
        <w:rPr>
          <w:rFonts w:ascii="Calibri" w:hAnsi="Calibri"/>
          <w:color w:val="auto"/>
          <w:u w:val="single"/>
        </w:rPr>
        <w:t>:</w:t>
      </w:r>
      <w:r w:rsidR="002501F1" w:rsidRPr="005767AD">
        <w:rPr>
          <w:rFonts w:asciiTheme="minorHAnsi" w:hAnsiTheme="minorHAnsi"/>
          <w:color w:val="auto"/>
          <w:szCs w:val="24"/>
        </w:rPr>
        <w:t xml:space="preserve">  The CI states: “I have not been able to obtain several jobs d</w:t>
      </w:r>
      <w:r w:rsidR="00714631" w:rsidRPr="005767AD">
        <w:rPr>
          <w:rFonts w:asciiTheme="minorHAnsi" w:hAnsiTheme="minorHAnsi"/>
          <w:color w:val="auto"/>
          <w:szCs w:val="24"/>
        </w:rPr>
        <w:t>ue</w:t>
      </w:r>
      <w:r w:rsidR="002501F1" w:rsidRPr="005767AD">
        <w:rPr>
          <w:rFonts w:asciiTheme="minorHAnsi" w:hAnsiTheme="minorHAnsi"/>
          <w:color w:val="auto"/>
          <w:szCs w:val="24"/>
        </w:rPr>
        <w:t xml:space="preserve"> to the fact that I can no longer run and my work background is in security and related jobs.  I must also wear a brace, whenever I perform anything more than walking around my house.” </w:t>
      </w:r>
    </w:p>
    <w:p w:rsidR="003C3C64" w:rsidRPr="005767AD" w:rsidRDefault="003C3C64" w:rsidP="003C3C64">
      <w:pPr>
        <w:pBdr>
          <w:bottom w:val="single" w:sz="12" w:space="1" w:color="auto"/>
        </w:pBdr>
        <w:tabs>
          <w:tab w:val="left" w:pos="288"/>
          <w:tab w:val="left" w:pos="4752"/>
        </w:tabs>
        <w:spacing w:line="240" w:lineRule="exact"/>
        <w:jc w:val="both"/>
        <w:rPr>
          <w:rFonts w:asciiTheme="minorHAnsi" w:hAnsiTheme="minorHAnsi"/>
          <w:caps/>
          <w:color w:val="auto"/>
        </w:rPr>
      </w:pPr>
    </w:p>
    <w:p w:rsidR="00AB77D6" w:rsidRPr="005767AD" w:rsidRDefault="00AB77D6" w:rsidP="00AD5BA7">
      <w:pPr>
        <w:spacing w:line="240" w:lineRule="exact"/>
        <w:rPr>
          <w:rFonts w:asciiTheme="minorHAnsi" w:hAnsiTheme="minorHAnsi"/>
          <w:color w:val="auto"/>
          <w:u w:val="single"/>
        </w:rPr>
      </w:pPr>
    </w:p>
    <w:p w:rsidR="00AB77D6" w:rsidRPr="005767AD" w:rsidRDefault="003C3C64">
      <w:pPr>
        <w:rPr>
          <w:rFonts w:asciiTheme="minorHAnsi" w:hAnsiTheme="minorHAnsi"/>
          <w:color w:val="auto"/>
          <w:u w:val="single"/>
        </w:rPr>
      </w:pPr>
      <w:r w:rsidRPr="005767AD">
        <w:rPr>
          <w:rFonts w:asciiTheme="minorHAnsi" w:hAnsiTheme="minorHAnsi"/>
          <w:color w:val="auto"/>
        </w:rPr>
        <w:t>Rating Comparison Table is located on the next page.</w:t>
      </w:r>
      <w:r w:rsidR="00AB77D6" w:rsidRPr="005767AD">
        <w:rPr>
          <w:rFonts w:asciiTheme="minorHAnsi" w:hAnsiTheme="minorHAnsi"/>
          <w:color w:val="auto"/>
          <w:u w:val="single"/>
        </w:rPr>
        <w:br w:type="page"/>
      </w:r>
    </w:p>
    <w:p w:rsidR="00E73168" w:rsidRPr="005767AD" w:rsidRDefault="00E73168" w:rsidP="00AD5BA7">
      <w:pPr>
        <w:spacing w:line="240" w:lineRule="exact"/>
        <w:rPr>
          <w:rFonts w:asciiTheme="minorHAnsi" w:hAnsiTheme="minorHAnsi"/>
          <w:color w:val="auto"/>
        </w:rPr>
      </w:pPr>
      <w:r w:rsidRPr="005767AD">
        <w:rPr>
          <w:rFonts w:asciiTheme="minorHAnsi" w:hAnsiTheme="minorHAnsi"/>
          <w:color w:val="auto"/>
          <w:u w:val="single"/>
        </w:rPr>
        <w:lastRenderedPageBreak/>
        <w:t>RATING COMPARISON</w:t>
      </w:r>
      <w:r w:rsidRPr="005767AD">
        <w:rPr>
          <w:rFonts w:asciiTheme="minorHAnsi" w:hAnsiTheme="minorHAnsi"/>
          <w:color w:val="auto"/>
        </w:rPr>
        <w:t>:</w:t>
      </w:r>
    </w:p>
    <w:p w:rsidR="00F52985" w:rsidRPr="005767AD" w:rsidRDefault="00F52985" w:rsidP="00AD5BA7">
      <w:pPr>
        <w:spacing w:line="240" w:lineRule="exact"/>
        <w:rPr>
          <w:rFonts w:asciiTheme="minorHAnsi" w:hAnsiTheme="minorHAnsi"/>
          <w:color w:val="auto"/>
        </w:rPr>
      </w:pPr>
    </w:p>
    <w:tbl>
      <w:tblPr>
        <w:tblStyle w:val="TableGrid"/>
        <w:tblW w:w="9574" w:type="dxa"/>
        <w:jc w:val="center"/>
        <w:tblInd w:w="-146" w:type="dxa"/>
        <w:tblLayout w:type="fixed"/>
        <w:tblLook w:val="04A0"/>
      </w:tblPr>
      <w:tblGrid>
        <w:gridCol w:w="2666"/>
        <w:gridCol w:w="720"/>
        <w:gridCol w:w="844"/>
        <w:gridCol w:w="2441"/>
        <w:gridCol w:w="945"/>
        <w:gridCol w:w="810"/>
        <w:gridCol w:w="1148"/>
      </w:tblGrid>
      <w:tr w:rsidR="00E73168" w:rsidRPr="005767AD" w:rsidTr="00A43BF0">
        <w:trPr>
          <w:trHeight w:val="233"/>
          <w:jc w:val="center"/>
        </w:trPr>
        <w:tc>
          <w:tcPr>
            <w:tcW w:w="4230" w:type="dxa"/>
            <w:gridSpan w:val="3"/>
            <w:tcBorders>
              <w:right w:val="thinThickThinSmallGap" w:sz="24" w:space="0" w:color="auto"/>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Service IPEB – Dated 20061020</w:t>
            </w:r>
          </w:p>
        </w:tc>
        <w:tc>
          <w:tcPr>
            <w:tcW w:w="5344" w:type="dxa"/>
            <w:gridSpan w:val="4"/>
            <w:tcBorders>
              <w:left w:val="thinThickThinSmallGap" w:sz="24" w:space="0" w:color="auto"/>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VA (3</w:t>
            </w:r>
            <w:r w:rsidR="00AD5BA7" w:rsidRPr="005767AD">
              <w:rPr>
                <w:rFonts w:cs="Times New Roman"/>
                <w:b/>
                <w:sz w:val="20"/>
                <w:szCs w:val="20"/>
              </w:rPr>
              <w:t xml:space="preserve"> Months</w:t>
            </w:r>
            <w:r w:rsidRPr="005767AD">
              <w:rPr>
                <w:rFonts w:cs="Times New Roman"/>
                <w:b/>
                <w:sz w:val="20"/>
                <w:szCs w:val="20"/>
              </w:rPr>
              <w:t xml:space="preserve"> after Separation) – All Effective 20061204</w:t>
            </w:r>
          </w:p>
        </w:tc>
      </w:tr>
      <w:tr w:rsidR="00E73168" w:rsidRPr="005767AD" w:rsidTr="00A43BF0">
        <w:trPr>
          <w:trHeight w:val="233"/>
          <w:jc w:val="center"/>
        </w:trPr>
        <w:tc>
          <w:tcPr>
            <w:tcW w:w="2666" w:type="dxa"/>
            <w:tcBorders>
              <w:bottom w:val="single" w:sz="4" w:space="0" w:color="000000" w:themeColor="text1"/>
            </w:tcBorders>
            <w:shd w:val="clear" w:color="auto" w:fill="D9D9D9" w:themeFill="background1" w:themeFillShade="D9"/>
          </w:tcPr>
          <w:p w:rsidR="00E73168" w:rsidRPr="005767AD" w:rsidRDefault="00E73168" w:rsidP="00AD5BA7">
            <w:pPr>
              <w:pStyle w:val="ListParagraph"/>
              <w:spacing w:after="0" w:line="240" w:lineRule="exact"/>
              <w:ind w:left="0"/>
              <w:jc w:val="both"/>
              <w:rPr>
                <w:rFonts w:cs="Times New Roman"/>
                <w:b/>
                <w:sz w:val="20"/>
                <w:szCs w:val="20"/>
              </w:rPr>
            </w:pPr>
            <w:r w:rsidRPr="005767AD">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Code</w:t>
            </w:r>
          </w:p>
        </w:tc>
        <w:tc>
          <w:tcPr>
            <w:tcW w:w="844" w:type="dxa"/>
            <w:tcBorders>
              <w:bottom w:val="single" w:sz="4" w:space="0" w:color="000000" w:themeColor="text1"/>
              <w:right w:val="thinThickThinSmallGap" w:sz="24" w:space="0" w:color="auto"/>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Rating</w:t>
            </w:r>
          </w:p>
        </w:tc>
        <w:tc>
          <w:tcPr>
            <w:tcW w:w="2441" w:type="dxa"/>
            <w:tcBorders>
              <w:left w:val="thinThickThinSmallGap" w:sz="24" w:space="0" w:color="auto"/>
              <w:bottom w:val="single" w:sz="4" w:space="0" w:color="000000" w:themeColor="text1"/>
            </w:tcBorders>
            <w:shd w:val="clear" w:color="auto" w:fill="D9D9D9" w:themeFill="background1" w:themeFillShade="D9"/>
          </w:tcPr>
          <w:p w:rsidR="00E73168" w:rsidRPr="005767AD" w:rsidRDefault="00E73168" w:rsidP="00AD5BA7">
            <w:pPr>
              <w:pStyle w:val="ListParagraph"/>
              <w:spacing w:after="0" w:line="240" w:lineRule="exact"/>
              <w:ind w:left="0"/>
              <w:jc w:val="both"/>
              <w:rPr>
                <w:rFonts w:cs="Times New Roman"/>
                <w:b/>
                <w:sz w:val="20"/>
                <w:szCs w:val="20"/>
              </w:rPr>
            </w:pPr>
            <w:r w:rsidRPr="005767AD">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Rating</w:t>
            </w:r>
          </w:p>
        </w:tc>
        <w:tc>
          <w:tcPr>
            <w:tcW w:w="1148" w:type="dxa"/>
            <w:tcBorders>
              <w:bottom w:val="single" w:sz="4" w:space="0" w:color="000000" w:themeColor="text1"/>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Exam</w:t>
            </w:r>
          </w:p>
        </w:tc>
      </w:tr>
      <w:tr w:rsidR="00FF4A96" w:rsidRPr="005767AD" w:rsidTr="00F8797E">
        <w:trPr>
          <w:trHeight w:val="449"/>
          <w:jc w:val="center"/>
        </w:trPr>
        <w:tc>
          <w:tcPr>
            <w:tcW w:w="2666" w:type="dxa"/>
            <w:shd w:val="clear" w:color="auto" w:fill="FFFFFF" w:themeFill="background1"/>
          </w:tcPr>
          <w:p w:rsidR="00FF4A96" w:rsidRPr="005767AD" w:rsidRDefault="00FF4A96" w:rsidP="00BA666F">
            <w:pPr>
              <w:pStyle w:val="ListParagraph"/>
              <w:spacing w:after="0" w:line="240" w:lineRule="auto"/>
              <w:ind w:left="0"/>
              <w:jc w:val="both"/>
              <w:rPr>
                <w:rFonts w:cs="Times New Roman"/>
                <w:sz w:val="18"/>
                <w:szCs w:val="18"/>
              </w:rPr>
            </w:pPr>
            <w:r w:rsidRPr="005767AD">
              <w:rPr>
                <w:rFonts w:cs="Times New Roman"/>
                <w:sz w:val="18"/>
                <w:szCs w:val="18"/>
              </w:rPr>
              <w:t>Bicompartmental Osteoarthritis of the Left Knee</w:t>
            </w:r>
          </w:p>
        </w:tc>
        <w:tc>
          <w:tcPr>
            <w:tcW w:w="720" w:type="dxa"/>
            <w:shd w:val="clear" w:color="auto" w:fill="FFFFFF" w:themeFill="background1"/>
          </w:tcPr>
          <w:p w:rsidR="00FF4A96" w:rsidRPr="005767AD" w:rsidRDefault="00FF4A96" w:rsidP="00BA666F">
            <w:pPr>
              <w:pStyle w:val="ListParagraph"/>
              <w:spacing w:after="0" w:line="240" w:lineRule="auto"/>
              <w:ind w:left="0"/>
              <w:jc w:val="center"/>
              <w:rPr>
                <w:rFonts w:cs="Times New Roman"/>
                <w:sz w:val="18"/>
                <w:szCs w:val="18"/>
              </w:rPr>
            </w:pPr>
            <w:r w:rsidRPr="005767AD">
              <w:rPr>
                <w:rFonts w:cs="Times New Roman"/>
                <w:sz w:val="18"/>
                <w:szCs w:val="18"/>
              </w:rPr>
              <w:t>5299-5003</w:t>
            </w:r>
          </w:p>
        </w:tc>
        <w:tc>
          <w:tcPr>
            <w:tcW w:w="844" w:type="dxa"/>
            <w:tcBorders>
              <w:right w:val="thinThickThinSmallGap" w:sz="24" w:space="0" w:color="auto"/>
            </w:tcBorders>
            <w:shd w:val="clear" w:color="auto" w:fill="FFFFFF" w:themeFill="background1"/>
          </w:tcPr>
          <w:p w:rsidR="00FF4A96" w:rsidRPr="005767AD" w:rsidRDefault="00FF4A96" w:rsidP="00BA666F">
            <w:pPr>
              <w:pStyle w:val="ListParagraph"/>
              <w:spacing w:after="0" w:line="240" w:lineRule="auto"/>
              <w:ind w:left="0"/>
              <w:jc w:val="center"/>
              <w:rPr>
                <w:rFonts w:cs="Times New Roman"/>
                <w:sz w:val="18"/>
                <w:szCs w:val="18"/>
              </w:rPr>
            </w:pPr>
            <w:r w:rsidRPr="005767AD">
              <w:rPr>
                <w:rFonts w:cs="Times New Roman"/>
                <w:sz w:val="18"/>
                <w:szCs w:val="18"/>
              </w:rPr>
              <w:t>10%</w:t>
            </w:r>
          </w:p>
        </w:tc>
        <w:tc>
          <w:tcPr>
            <w:tcW w:w="2441" w:type="dxa"/>
            <w:vMerge w:val="restart"/>
            <w:tcBorders>
              <w:left w:val="thinThickThinSmallGap" w:sz="24" w:space="0" w:color="auto"/>
            </w:tcBorders>
            <w:shd w:val="clear" w:color="auto" w:fill="FFFFFF" w:themeFill="background1"/>
          </w:tcPr>
          <w:p w:rsidR="00FF4A96" w:rsidRPr="005767AD" w:rsidRDefault="00FF4A96" w:rsidP="00BA666F">
            <w:pPr>
              <w:pStyle w:val="ListParagraph"/>
              <w:spacing w:after="0" w:line="240" w:lineRule="auto"/>
              <w:ind w:left="0"/>
              <w:rPr>
                <w:rFonts w:cs="Times New Roman"/>
                <w:sz w:val="18"/>
                <w:szCs w:val="18"/>
              </w:rPr>
            </w:pPr>
            <w:r w:rsidRPr="005767AD">
              <w:rPr>
                <w:rFonts w:cs="Times New Roman"/>
                <w:sz w:val="18"/>
                <w:szCs w:val="18"/>
              </w:rPr>
              <w:t>Degenerative Joint Disease, Left Knee, Status Post Anterior Ligament Reconstruction</w:t>
            </w:r>
          </w:p>
        </w:tc>
        <w:tc>
          <w:tcPr>
            <w:tcW w:w="945" w:type="dxa"/>
            <w:vMerge w:val="restart"/>
            <w:shd w:val="clear" w:color="auto" w:fill="FFFFFF" w:themeFill="background1"/>
          </w:tcPr>
          <w:p w:rsidR="00FF4A96" w:rsidRPr="005767AD" w:rsidRDefault="00FF4A96" w:rsidP="00BA666F">
            <w:pPr>
              <w:pStyle w:val="ListParagraph"/>
              <w:spacing w:after="0" w:line="240" w:lineRule="auto"/>
              <w:ind w:left="0"/>
              <w:jc w:val="center"/>
              <w:rPr>
                <w:rFonts w:cs="Times New Roman"/>
                <w:sz w:val="18"/>
                <w:szCs w:val="18"/>
              </w:rPr>
            </w:pPr>
            <w:r w:rsidRPr="005767AD">
              <w:rPr>
                <w:rFonts w:cs="Times New Roman"/>
                <w:sz w:val="18"/>
                <w:szCs w:val="18"/>
              </w:rPr>
              <w:t>5260-5010</w:t>
            </w:r>
          </w:p>
        </w:tc>
        <w:tc>
          <w:tcPr>
            <w:tcW w:w="810" w:type="dxa"/>
            <w:vMerge w:val="restart"/>
            <w:shd w:val="clear" w:color="auto" w:fill="FFFFFF" w:themeFill="background1"/>
          </w:tcPr>
          <w:p w:rsidR="00FF4A96" w:rsidRPr="005767AD" w:rsidRDefault="00FF4A96" w:rsidP="00BA666F">
            <w:pPr>
              <w:pStyle w:val="ListParagraph"/>
              <w:spacing w:after="0" w:line="240" w:lineRule="auto"/>
              <w:ind w:left="0"/>
              <w:jc w:val="center"/>
              <w:rPr>
                <w:rFonts w:cs="Times New Roman"/>
                <w:sz w:val="18"/>
                <w:szCs w:val="18"/>
              </w:rPr>
            </w:pPr>
            <w:r w:rsidRPr="005767AD">
              <w:rPr>
                <w:rFonts w:cs="Times New Roman"/>
                <w:sz w:val="18"/>
                <w:szCs w:val="18"/>
              </w:rPr>
              <w:t>10%</w:t>
            </w:r>
          </w:p>
        </w:tc>
        <w:tc>
          <w:tcPr>
            <w:tcW w:w="1148" w:type="dxa"/>
            <w:vMerge w:val="restart"/>
            <w:shd w:val="clear" w:color="auto" w:fill="FFFFFF" w:themeFill="background1"/>
          </w:tcPr>
          <w:p w:rsidR="00FF4A96" w:rsidRPr="005767AD" w:rsidRDefault="00FF4A96" w:rsidP="00BA666F">
            <w:pPr>
              <w:pStyle w:val="ListParagraph"/>
              <w:spacing w:after="0" w:line="240" w:lineRule="auto"/>
              <w:ind w:left="0"/>
              <w:jc w:val="center"/>
              <w:rPr>
                <w:rFonts w:cs="Times New Roman"/>
                <w:sz w:val="18"/>
                <w:szCs w:val="18"/>
              </w:rPr>
            </w:pPr>
            <w:r w:rsidRPr="005767AD">
              <w:rPr>
                <w:rFonts w:cs="Times New Roman"/>
                <w:sz w:val="18"/>
                <w:szCs w:val="18"/>
              </w:rPr>
              <w:t>20070330</w:t>
            </w:r>
          </w:p>
          <w:p w:rsidR="00FF4A96" w:rsidRPr="005767AD" w:rsidRDefault="00FF4A96" w:rsidP="00BA666F"/>
        </w:tc>
      </w:tr>
      <w:tr w:rsidR="00E96674" w:rsidRPr="005767AD" w:rsidTr="00BA0B51">
        <w:trPr>
          <w:trHeight w:val="125"/>
          <w:jc w:val="center"/>
        </w:trPr>
        <w:tc>
          <w:tcPr>
            <w:tcW w:w="2666" w:type="dxa"/>
            <w:shd w:val="clear" w:color="auto" w:fill="FFFFFF" w:themeFill="background1"/>
          </w:tcPr>
          <w:p w:rsidR="00E96674" w:rsidRPr="005767AD" w:rsidRDefault="00E96674" w:rsidP="00BA666F">
            <w:pPr>
              <w:pStyle w:val="ListParagraph"/>
              <w:spacing w:after="0" w:line="240" w:lineRule="auto"/>
              <w:ind w:left="0"/>
              <w:jc w:val="both"/>
              <w:rPr>
                <w:rFonts w:cs="Times New Roman"/>
                <w:sz w:val="18"/>
                <w:szCs w:val="18"/>
              </w:rPr>
            </w:pPr>
            <w:r w:rsidRPr="005767AD">
              <w:rPr>
                <w:rFonts w:cs="Times New Roman"/>
                <w:sz w:val="18"/>
                <w:szCs w:val="18"/>
              </w:rPr>
              <w:t>Accompanying Anterolateral Rotatory Instability</w:t>
            </w:r>
          </w:p>
        </w:tc>
        <w:tc>
          <w:tcPr>
            <w:tcW w:w="1564" w:type="dxa"/>
            <w:gridSpan w:val="2"/>
            <w:tcBorders>
              <w:right w:val="thinThickThinSmallGap" w:sz="24" w:space="0" w:color="auto"/>
            </w:tcBorders>
            <w:shd w:val="clear" w:color="auto" w:fill="FFFFFF" w:themeFill="background1"/>
          </w:tcPr>
          <w:p w:rsidR="00E96674" w:rsidRPr="005767AD" w:rsidRDefault="00E96674" w:rsidP="00BA666F">
            <w:pPr>
              <w:pStyle w:val="ListParagraph"/>
              <w:spacing w:after="0" w:line="240" w:lineRule="auto"/>
              <w:ind w:left="0"/>
              <w:jc w:val="center"/>
              <w:rPr>
                <w:rFonts w:cs="Times New Roman"/>
                <w:sz w:val="18"/>
                <w:szCs w:val="18"/>
              </w:rPr>
            </w:pPr>
            <w:r w:rsidRPr="005767AD">
              <w:rPr>
                <w:rFonts w:cs="Times New Roman"/>
                <w:sz w:val="18"/>
                <w:szCs w:val="18"/>
              </w:rPr>
              <w:t>Cat II</w:t>
            </w:r>
          </w:p>
        </w:tc>
        <w:tc>
          <w:tcPr>
            <w:tcW w:w="2441" w:type="dxa"/>
            <w:vMerge/>
            <w:tcBorders>
              <w:left w:val="thinThickThinSmallGap" w:sz="24" w:space="0" w:color="auto"/>
            </w:tcBorders>
            <w:shd w:val="clear" w:color="auto" w:fill="FFFFFF" w:themeFill="background1"/>
          </w:tcPr>
          <w:p w:rsidR="00E96674" w:rsidRPr="005767AD" w:rsidRDefault="00E96674" w:rsidP="00BA666F">
            <w:pPr>
              <w:pStyle w:val="ListParagraph"/>
              <w:spacing w:after="0" w:line="240" w:lineRule="auto"/>
              <w:ind w:left="0"/>
              <w:jc w:val="both"/>
              <w:rPr>
                <w:rFonts w:cs="Times New Roman"/>
                <w:sz w:val="18"/>
                <w:szCs w:val="18"/>
              </w:rPr>
            </w:pPr>
          </w:p>
        </w:tc>
        <w:tc>
          <w:tcPr>
            <w:tcW w:w="945" w:type="dxa"/>
            <w:vMerge/>
            <w:shd w:val="clear" w:color="auto" w:fill="FFFFFF" w:themeFill="background1"/>
          </w:tcPr>
          <w:p w:rsidR="00E96674" w:rsidRPr="005767AD" w:rsidRDefault="00E96674" w:rsidP="00BA666F">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E96674" w:rsidRPr="005767AD" w:rsidRDefault="00E96674" w:rsidP="00BA666F">
            <w:pPr>
              <w:pStyle w:val="ListParagraph"/>
              <w:spacing w:after="0" w:line="240" w:lineRule="auto"/>
              <w:ind w:left="0"/>
              <w:jc w:val="center"/>
              <w:rPr>
                <w:rFonts w:cs="Times New Roman"/>
                <w:sz w:val="18"/>
                <w:szCs w:val="18"/>
              </w:rPr>
            </w:pPr>
          </w:p>
        </w:tc>
        <w:tc>
          <w:tcPr>
            <w:tcW w:w="1148" w:type="dxa"/>
            <w:vMerge/>
            <w:shd w:val="clear" w:color="auto" w:fill="FFFFFF" w:themeFill="background1"/>
          </w:tcPr>
          <w:p w:rsidR="00E96674" w:rsidRPr="005767AD" w:rsidRDefault="00E96674" w:rsidP="00BA666F">
            <w:pPr>
              <w:pStyle w:val="ListParagraph"/>
              <w:spacing w:after="0" w:line="240" w:lineRule="auto"/>
              <w:ind w:left="0"/>
              <w:jc w:val="center"/>
              <w:rPr>
                <w:rFonts w:cs="Times New Roman"/>
                <w:sz w:val="18"/>
                <w:szCs w:val="18"/>
              </w:rPr>
            </w:pPr>
          </w:p>
        </w:tc>
      </w:tr>
      <w:tr w:rsidR="00E96674" w:rsidRPr="005767AD" w:rsidTr="00174783">
        <w:trPr>
          <w:trHeight w:val="125"/>
          <w:jc w:val="center"/>
        </w:trPr>
        <w:tc>
          <w:tcPr>
            <w:tcW w:w="2666" w:type="dxa"/>
            <w:tcBorders>
              <w:right w:val="single" w:sz="4" w:space="0" w:color="auto"/>
            </w:tcBorders>
            <w:shd w:val="clear" w:color="auto" w:fill="FFFFFF" w:themeFill="background1"/>
          </w:tcPr>
          <w:p w:rsidR="00E96674" w:rsidRPr="005767AD" w:rsidRDefault="00E96674" w:rsidP="00BA666F">
            <w:pPr>
              <w:pStyle w:val="ListParagraph"/>
              <w:spacing w:after="0" w:line="240" w:lineRule="auto"/>
              <w:ind w:left="0"/>
              <w:jc w:val="both"/>
              <w:rPr>
                <w:rFonts w:cs="Times New Roman"/>
                <w:sz w:val="18"/>
                <w:szCs w:val="18"/>
              </w:rPr>
            </w:pPr>
            <w:r w:rsidRPr="005767AD">
              <w:rPr>
                <w:rFonts w:cs="Times New Roman"/>
                <w:sz w:val="18"/>
                <w:szCs w:val="18"/>
              </w:rPr>
              <w:t>Failed ACL (Anterior Cruciate Ligament) Reconstruction in the Left Knee</w:t>
            </w:r>
          </w:p>
        </w:tc>
        <w:tc>
          <w:tcPr>
            <w:tcW w:w="1564" w:type="dxa"/>
            <w:gridSpan w:val="2"/>
            <w:tcBorders>
              <w:left w:val="single" w:sz="4" w:space="0" w:color="auto"/>
              <w:right w:val="thinThickThinSmallGap" w:sz="24" w:space="0" w:color="auto"/>
            </w:tcBorders>
            <w:shd w:val="clear" w:color="auto" w:fill="FFFFFF" w:themeFill="background1"/>
          </w:tcPr>
          <w:p w:rsidR="00E96674" w:rsidRPr="005767AD" w:rsidRDefault="00E96674" w:rsidP="00BA666F">
            <w:pPr>
              <w:pStyle w:val="ListParagraph"/>
              <w:spacing w:after="0" w:line="240" w:lineRule="auto"/>
              <w:ind w:left="0"/>
              <w:jc w:val="center"/>
              <w:rPr>
                <w:rFonts w:cs="Times New Roman"/>
                <w:i/>
                <w:sz w:val="18"/>
                <w:szCs w:val="18"/>
              </w:rPr>
            </w:pPr>
            <w:r w:rsidRPr="005767AD">
              <w:rPr>
                <w:rFonts w:cs="Times New Roman"/>
                <w:sz w:val="18"/>
                <w:szCs w:val="18"/>
              </w:rPr>
              <w:t>Cat II</w:t>
            </w:r>
          </w:p>
        </w:tc>
        <w:tc>
          <w:tcPr>
            <w:tcW w:w="2441" w:type="dxa"/>
            <w:tcBorders>
              <w:left w:val="thinThickThinSmallGap" w:sz="24" w:space="0" w:color="auto"/>
            </w:tcBorders>
            <w:shd w:val="clear" w:color="auto" w:fill="FFFFFF" w:themeFill="background1"/>
          </w:tcPr>
          <w:p w:rsidR="00E96674" w:rsidRPr="005767AD" w:rsidRDefault="00E96674" w:rsidP="00BA666F">
            <w:pPr>
              <w:pStyle w:val="ListParagraph"/>
              <w:spacing w:after="0" w:line="240" w:lineRule="auto"/>
              <w:ind w:left="0"/>
              <w:jc w:val="both"/>
              <w:rPr>
                <w:rFonts w:cs="Times New Roman"/>
                <w:sz w:val="18"/>
                <w:szCs w:val="18"/>
              </w:rPr>
            </w:pPr>
            <w:r w:rsidRPr="005767AD">
              <w:rPr>
                <w:rFonts w:cs="Times New Roman"/>
                <w:sz w:val="18"/>
                <w:szCs w:val="18"/>
              </w:rPr>
              <w:t>Internal Derangement of Left Knee with Laxity, Status Post Anterior Cruciate Ligament Reconstruction</w:t>
            </w:r>
          </w:p>
        </w:tc>
        <w:tc>
          <w:tcPr>
            <w:tcW w:w="945" w:type="dxa"/>
            <w:shd w:val="clear" w:color="auto" w:fill="FFFFFF" w:themeFill="background1"/>
          </w:tcPr>
          <w:p w:rsidR="00E96674" w:rsidRPr="005767AD" w:rsidRDefault="00E96674" w:rsidP="00BA666F">
            <w:pPr>
              <w:pStyle w:val="ListParagraph"/>
              <w:spacing w:after="0" w:line="240" w:lineRule="auto"/>
              <w:ind w:left="0"/>
              <w:jc w:val="center"/>
              <w:rPr>
                <w:rFonts w:cs="Times New Roman"/>
                <w:sz w:val="18"/>
                <w:szCs w:val="18"/>
              </w:rPr>
            </w:pPr>
            <w:r w:rsidRPr="005767AD">
              <w:rPr>
                <w:rFonts w:cs="Times New Roman"/>
                <w:sz w:val="18"/>
                <w:szCs w:val="18"/>
              </w:rPr>
              <w:t>5257</w:t>
            </w:r>
          </w:p>
        </w:tc>
        <w:tc>
          <w:tcPr>
            <w:tcW w:w="810" w:type="dxa"/>
            <w:shd w:val="clear" w:color="auto" w:fill="FFFFFF" w:themeFill="background1"/>
          </w:tcPr>
          <w:p w:rsidR="00E96674" w:rsidRPr="005767AD" w:rsidRDefault="00E96674" w:rsidP="00BA666F">
            <w:pPr>
              <w:pStyle w:val="ListParagraph"/>
              <w:spacing w:after="0" w:line="240" w:lineRule="auto"/>
              <w:ind w:left="0"/>
              <w:jc w:val="center"/>
              <w:rPr>
                <w:rFonts w:cs="Times New Roman"/>
                <w:sz w:val="18"/>
                <w:szCs w:val="18"/>
              </w:rPr>
            </w:pPr>
            <w:r w:rsidRPr="005767AD">
              <w:rPr>
                <w:rFonts w:cs="Times New Roman"/>
                <w:sz w:val="18"/>
                <w:szCs w:val="18"/>
              </w:rPr>
              <w:t>10%</w:t>
            </w:r>
          </w:p>
        </w:tc>
        <w:tc>
          <w:tcPr>
            <w:tcW w:w="1148" w:type="dxa"/>
            <w:shd w:val="clear" w:color="auto" w:fill="FFFFFF" w:themeFill="background1"/>
          </w:tcPr>
          <w:p w:rsidR="00E96674" w:rsidRPr="005767AD" w:rsidRDefault="00E96674" w:rsidP="00BA666F">
            <w:pPr>
              <w:pStyle w:val="ListParagraph"/>
              <w:spacing w:after="0" w:line="240" w:lineRule="auto"/>
              <w:ind w:left="0"/>
              <w:jc w:val="center"/>
              <w:rPr>
                <w:rFonts w:cs="Times New Roman"/>
                <w:sz w:val="18"/>
                <w:szCs w:val="18"/>
              </w:rPr>
            </w:pPr>
            <w:r w:rsidRPr="005767AD">
              <w:rPr>
                <w:rFonts w:cs="Times New Roman"/>
                <w:sz w:val="18"/>
                <w:szCs w:val="18"/>
              </w:rPr>
              <w:t>20070330</w:t>
            </w:r>
          </w:p>
        </w:tc>
      </w:tr>
      <w:tr w:rsidR="00E73168" w:rsidRPr="005767AD" w:rsidTr="00A43BF0">
        <w:trPr>
          <w:trHeight w:val="242"/>
          <w:jc w:val="center"/>
        </w:trPr>
        <w:tc>
          <w:tcPr>
            <w:tcW w:w="4230" w:type="dxa"/>
            <w:gridSpan w:val="3"/>
            <w:tcBorders>
              <w:right w:val="thinThickThinSmallGap" w:sz="24" w:space="0" w:color="auto"/>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TOTAL Combined: 10%</w:t>
            </w:r>
          </w:p>
        </w:tc>
        <w:tc>
          <w:tcPr>
            <w:tcW w:w="5344" w:type="dxa"/>
            <w:gridSpan w:val="4"/>
            <w:tcBorders>
              <w:left w:val="thinThickThinSmallGap" w:sz="24" w:space="0" w:color="auto"/>
            </w:tcBorders>
            <w:shd w:val="clear" w:color="auto" w:fill="D9D9D9" w:themeFill="background1" w:themeFillShade="D9"/>
          </w:tcPr>
          <w:p w:rsidR="00E73168" w:rsidRPr="005767AD" w:rsidRDefault="00E73168" w:rsidP="00AD5BA7">
            <w:pPr>
              <w:pStyle w:val="ListParagraph"/>
              <w:spacing w:after="0" w:line="240" w:lineRule="exact"/>
              <w:ind w:left="0"/>
              <w:jc w:val="center"/>
              <w:rPr>
                <w:rFonts w:cs="Times New Roman"/>
                <w:b/>
                <w:sz w:val="20"/>
                <w:szCs w:val="20"/>
              </w:rPr>
            </w:pPr>
            <w:r w:rsidRPr="005767AD">
              <w:rPr>
                <w:rFonts w:cs="Times New Roman"/>
                <w:b/>
                <w:sz w:val="20"/>
                <w:szCs w:val="20"/>
              </w:rPr>
              <w:t>TOTAL Combined (</w:t>
            </w:r>
            <w:r w:rsidRPr="005767AD">
              <w:rPr>
                <w:rFonts w:cs="Times New Roman"/>
                <w:b/>
                <w:i/>
                <w:sz w:val="20"/>
                <w:szCs w:val="20"/>
              </w:rPr>
              <w:t>Includes Non-PEB Conditions</w:t>
            </w:r>
            <w:r w:rsidRPr="005767AD">
              <w:rPr>
                <w:rFonts w:cs="Times New Roman"/>
                <w:b/>
                <w:sz w:val="20"/>
                <w:szCs w:val="20"/>
              </w:rPr>
              <w:t>): 20%</w:t>
            </w:r>
          </w:p>
        </w:tc>
      </w:tr>
    </w:tbl>
    <w:p w:rsidR="003C3C64" w:rsidRPr="005767AD" w:rsidRDefault="003C3C64" w:rsidP="003C3C64">
      <w:pPr>
        <w:pBdr>
          <w:bottom w:val="single" w:sz="12" w:space="1" w:color="auto"/>
        </w:pBdr>
        <w:tabs>
          <w:tab w:val="left" w:pos="288"/>
          <w:tab w:val="left" w:pos="4752"/>
        </w:tabs>
        <w:spacing w:line="240" w:lineRule="exact"/>
        <w:jc w:val="both"/>
        <w:rPr>
          <w:rFonts w:asciiTheme="minorHAnsi" w:hAnsiTheme="minorHAnsi"/>
          <w:caps/>
          <w:color w:val="auto"/>
        </w:rPr>
      </w:pPr>
    </w:p>
    <w:p w:rsidR="000608EE" w:rsidRPr="005767AD" w:rsidRDefault="000608EE" w:rsidP="00AD5BA7">
      <w:pPr>
        <w:tabs>
          <w:tab w:val="left" w:pos="288"/>
          <w:tab w:val="left" w:pos="4752"/>
        </w:tabs>
        <w:spacing w:line="240" w:lineRule="exact"/>
        <w:rPr>
          <w:rFonts w:asciiTheme="minorHAnsi" w:hAnsiTheme="minorHAnsi"/>
          <w:color w:val="auto"/>
          <w:szCs w:val="24"/>
          <w:u w:val="single"/>
        </w:rPr>
      </w:pPr>
    </w:p>
    <w:p w:rsidR="000608EE" w:rsidRPr="005767AD" w:rsidRDefault="00F52985" w:rsidP="00AD5BA7">
      <w:pPr>
        <w:spacing w:line="240" w:lineRule="exact"/>
        <w:jc w:val="both"/>
        <w:rPr>
          <w:rFonts w:asciiTheme="minorHAnsi" w:hAnsiTheme="minorHAnsi"/>
          <w:color w:val="auto"/>
          <w:szCs w:val="24"/>
          <w:u w:val="single"/>
        </w:rPr>
      </w:pPr>
      <w:r w:rsidRPr="005767AD">
        <w:rPr>
          <w:rFonts w:asciiTheme="minorHAnsi" w:hAnsiTheme="minorHAnsi"/>
          <w:color w:val="auto"/>
          <w:szCs w:val="24"/>
          <w:u w:val="single"/>
        </w:rPr>
        <w:t>ANALYSIS SUMMARY</w:t>
      </w:r>
      <w:r w:rsidRPr="005767AD">
        <w:rPr>
          <w:rFonts w:asciiTheme="minorHAnsi" w:hAnsiTheme="minorHAnsi"/>
          <w:color w:val="auto"/>
          <w:szCs w:val="24"/>
        </w:rPr>
        <w:t>:</w:t>
      </w:r>
      <w:r w:rsidR="00787C29" w:rsidRPr="005767AD">
        <w:rPr>
          <w:rFonts w:asciiTheme="minorHAnsi" w:hAnsiTheme="minorHAnsi"/>
          <w:color w:val="auto"/>
          <w:szCs w:val="24"/>
        </w:rPr>
        <w:t xml:space="preserve">  The CI sustained the initial injury to his left knee during a pinning ceremony in 1989.</w:t>
      </w:r>
      <w:r w:rsidR="003C3C64" w:rsidRPr="005767AD">
        <w:rPr>
          <w:rFonts w:asciiTheme="minorHAnsi" w:hAnsiTheme="minorHAnsi"/>
          <w:color w:val="auto"/>
          <w:szCs w:val="24"/>
        </w:rPr>
        <w:t xml:space="preserve"> </w:t>
      </w:r>
      <w:r w:rsidR="00787C29" w:rsidRPr="005767AD">
        <w:rPr>
          <w:rFonts w:asciiTheme="minorHAnsi" w:hAnsiTheme="minorHAnsi"/>
          <w:color w:val="auto"/>
          <w:szCs w:val="24"/>
        </w:rPr>
        <w:t xml:space="preserve"> As part of the ceremony, the CI </w:t>
      </w:r>
      <w:r w:rsidR="00AD5BA7" w:rsidRPr="005767AD">
        <w:rPr>
          <w:rFonts w:asciiTheme="minorHAnsi" w:hAnsiTheme="minorHAnsi"/>
          <w:color w:val="auto"/>
          <w:szCs w:val="24"/>
        </w:rPr>
        <w:t>wa</w:t>
      </w:r>
      <w:r w:rsidR="00787C29" w:rsidRPr="005767AD">
        <w:rPr>
          <w:rFonts w:asciiTheme="minorHAnsi" w:hAnsiTheme="minorHAnsi"/>
          <w:color w:val="auto"/>
          <w:szCs w:val="24"/>
        </w:rPr>
        <w:t xml:space="preserve">s supposed to walk down a line of his fellow Marines and be kneed in the </w:t>
      </w:r>
      <w:r w:rsidR="007311D3" w:rsidRPr="005767AD">
        <w:rPr>
          <w:rFonts w:asciiTheme="minorHAnsi" w:hAnsiTheme="minorHAnsi"/>
          <w:color w:val="auto"/>
          <w:szCs w:val="24"/>
        </w:rPr>
        <w:t>thigh;</w:t>
      </w:r>
      <w:r w:rsidR="00787C29" w:rsidRPr="005767AD">
        <w:rPr>
          <w:rFonts w:asciiTheme="minorHAnsi" w:hAnsiTheme="minorHAnsi"/>
          <w:color w:val="auto"/>
          <w:szCs w:val="24"/>
        </w:rPr>
        <w:t xml:space="preserve"> however the CI inadvertently was kneed in the left knee.  The injury was determined to be a forceful valgus injury with symptoms of pain, weakness, stiffness, swelling, instability, locking, fatigability and lack of endurance.  The CI subsequently underwent partial medial</w:t>
      </w:r>
      <w:r w:rsidR="00B37606" w:rsidRPr="005767AD">
        <w:rPr>
          <w:rFonts w:asciiTheme="minorHAnsi" w:hAnsiTheme="minorHAnsi"/>
          <w:color w:val="auto"/>
          <w:szCs w:val="24"/>
        </w:rPr>
        <w:t xml:space="preserve"> and lateral meniscectomies</w:t>
      </w:r>
      <w:r w:rsidR="00F35E9B" w:rsidRPr="005767AD">
        <w:rPr>
          <w:rFonts w:asciiTheme="minorHAnsi" w:hAnsiTheme="minorHAnsi"/>
          <w:color w:val="auto"/>
          <w:szCs w:val="24"/>
        </w:rPr>
        <w:t xml:space="preserve"> with ACL reconstruction</w:t>
      </w:r>
      <w:r w:rsidR="00B37606" w:rsidRPr="005767AD">
        <w:rPr>
          <w:rFonts w:asciiTheme="minorHAnsi" w:hAnsiTheme="minorHAnsi"/>
          <w:color w:val="auto"/>
          <w:szCs w:val="24"/>
        </w:rPr>
        <w:t xml:space="preserve">.  </w:t>
      </w:r>
      <w:r w:rsidR="00F35E9B" w:rsidRPr="005767AD">
        <w:rPr>
          <w:rFonts w:asciiTheme="minorHAnsi" w:hAnsiTheme="minorHAnsi"/>
          <w:color w:val="auto"/>
          <w:szCs w:val="24"/>
        </w:rPr>
        <w:t xml:space="preserve">He was followed with Physical Therapy </w:t>
      </w:r>
      <w:r w:rsidR="00A43BF0" w:rsidRPr="005767AD">
        <w:rPr>
          <w:rFonts w:asciiTheme="minorHAnsi" w:hAnsiTheme="minorHAnsi"/>
          <w:color w:val="auto"/>
          <w:szCs w:val="24"/>
        </w:rPr>
        <w:t xml:space="preserve">(PT) </w:t>
      </w:r>
      <w:r w:rsidR="00F35E9B" w:rsidRPr="005767AD">
        <w:rPr>
          <w:rFonts w:asciiTheme="minorHAnsi" w:hAnsiTheme="minorHAnsi"/>
          <w:color w:val="auto"/>
          <w:szCs w:val="24"/>
        </w:rPr>
        <w:t>services</w:t>
      </w:r>
      <w:r w:rsidR="00FE30A2" w:rsidRPr="005767AD">
        <w:rPr>
          <w:rFonts w:asciiTheme="minorHAnsi" w:hAnsiTheme="minorHAnsi"/>
          <w:color w:val="auto"/>
          <w:szCs w:val="24"/>
        </w:rPr>
        <w:t>.</w:t>
      </w:r>
      <w:r w:rsidR="00F35E9B" w:rsidRPr="005767AD">
        <w:rPr>
          <w:rFonts w:asciiTheme="minorHAnsi" w:hAnsiTheme="minorHAnsi"/>
          <w:color w:val="auto"/>
          <w:szCs w:val="24"/>
        </w:rPr>
        <w:t xml:space="preserve"> </w:t>
      </w:r>
      <w:r w:rsidR="00B37606" w:rsidRPr="005767AD">
        <w:rPr>
          <w:rFonts w:asciiTheme="minorHAnsi" w:hAnsiTheme="minorHAnsi"/>
          <w:color w:val="auto"/>
          <w:szCs w:val="24"/>
        </w:rPr>
        <w:t xml:space="preserve">The CI then separated from </w:t>
      </w:r>
      <w:r w:rsidR="009026AC" w:rsidRPr="005767AD">
        <w:rPr>
          <w:rFonts w:asciiTheme="minorHAnsi" w:hAnsiTheme="minorHAnsi"/>
          <w:color w:val="auto"/>
          <w:szCs w:val="24"/>
        </w:rPr>
        <w:t>active duty in 1991</w:t>
      </w:r>
      <w:r w:rsidR="00787C29" w:rsidRPr="005767AD">
        <w:rPr>
          <w:rFonts w:asciiTheme="minorHAnsi" w:hAnsiTheme="minorHAnsi"/>
          <w:color w:val="auto"/>
          <w:szCs w:val="24"/>
        </w:rPr>
        <w:t xml:space="preserve"> </w:t>
      </w:r>
      <w:r w:rsidR="00FE30A2" w:rsidRPr="005767AD">
        <w:rPr>
          <w:rFonts w:asciiTheme="minorHAnsi" w:hAnsiTheme="minorHAnsi"/>
          <w:color w:val="auto"/>
          <w:szCs w:val="24"/>
        </w:rPr>
        <w:t xml:space="preserve">and entered the Marine Corps Reserve.  Throughout this time, the CI was seen at the VA for various left knee problems, given </w:t>
      </w:r>
      <w:r w:rsidR="00714631" w:rsidRPr="005767AD">
        <w:rPr>
          <w:rFonts w:asciiTheme="minorHAnsi" w:hAnsiTheme="minorHAnsi"/>
          <w:color w:val="auto"/>
          <w:szCs w:val="24"/>
        </w:rPr>
        <w:t>Non Steroidal Anti-Inflammatory D</w:t>
      </w:r>
      <w:r w:rsidR="00A43BF0" w:rsidRPr="005767AD">
        <w:rPr>
          <w:rFonts w:asciiTheme="minorHAnsi" w:hAnsiTheme="minorHAnsi"/>
          <w:color w:val="auto"/>
          <w:szCs w:val="24"/>
        </w:rPr>
        <w:t>rugs (</w:t>
      </w:r>
      <w:r w:rsidR="00FE30A2" w:rsidRPr="005767AD">
        <w:rPr>
          <w:rFonts w:asciiTheme="minorHAnsi" w:hAnsiTheme="minorHAnsi"/>
          <w:color w:val="auto"/>
          <w:szCs w:val="24"/>
        </w:rPr>
        <w:t>NSAIDS</w:t>
      </w:r>
      <w:r w:rsidR="00A43BF0" w:rsidRPr="005767AD">
        <w:rPr>
          <w:rFonts w:asciiTheme="minorHAnsi" w:hAnsiTheme="minorHAnsi"/>
          <w:color w:val="auto"/>
          <w:szCs w:val="24"/>
        </w:rPr>
        <w:t>)</w:t>
      </w:r>
      <w:r w:rsidR="00FE30A2" w:rsidRPr="005767AD">
        <w:rPr>
          <w:rFonts w:asciiTheme="minorHAnsi" w:hAnsiTheme="minorHAnsi"/>
          <w:color w:val="auto"/>
          <w:szCs w:val="24"/>
        </w:rPr>
        <w:t xml:space="preserve">, advised to apply ice and use a knee immobilizer.  He also had periods of </w:t>
      </w:r>
      <w:r w:rsidR="003C3C64" w:rsidRPr="005767AD">
        <w:rPr>
          <w:rFonts w:asciiTheme="minorHAnsi" w:hAnsiTheme="minorHAnsi"/>
          <w:color w:val="auto"/>
          <w:szCs w:val="24"/>
        </w:rPr>
        <w:t>limited duty (</w:t>
      </w:r>
      <w:r w:rsidR="00FE30A2" w:rsidRPr="005767AD">
        <w:rPr>
          <w:rFonts w:asciiTheme="minorHAnsi" w:hAnsiTheme="minorHAnsi"/>
          <w:color w:val="auto"/>
          <w:szCs w:val="24"/>
        </w:rPr>
        <w:t>LIMDU</w:t>
      </w:r>
      <w:r w:rsidR="003C3C64" w:rsidRPr="005767AD">
        <w:rPr>
          <w:rFonts w:asciiTheme="minorHAnsi" w:hAnsiTheme="minorHAnsi"/>
          <w:color w:val="auto"/>
          <w:szCs w:val="24"/>
        </w:rPr>
        <w:t>)</w:t>
      </w:r>
      <w:r w:rsidR="00FE30A2" w:rsidRPr="005767AD">
        <w:rPr>
          <w:rFonts w:asciiTheme="minorHAnsi" w:hAnsiTheme="minorHAnsi"/>
          <w:color w:val="auto"/>
          <w:szCs w:val="24"/>
        </w:rPr>
        <w:t xml:space="preserve"> for this condition with restrictions of no running, </w:t>
      </w:r>
      <w:r w:rsidR="00FC31BB" w:rsidRPr="005767AD">
        <w:rPr>
          <w:rFonts w:asciiTheme="minorHAnsi" w:hAnsiTheme="minorHAnsi"/>
          <w:color w:val="auto"/>
          <w:szCs w:val="24"/>
        </w:rPr>
        <w:t xml:space="preserve">side straddle hops, nor extended marching over 10 minutes. </w:t>
      </w:r>
      <w:r w:rsidR="00830A21" w:rsidRPr="005767AD">
        <w:rPr>
          <w:rFonts w:asciiTheme="minorHAnsi" w:hAnsiTheme="minorHAnsi"/>
          <w:color w:val="auto"/>
          <w:szCs w:val="24"/>
        </w:rPr>
        <w:t xml:space="preserve"> </w:t>
      </w:r>
      <w:r w:rsidR="00D46268" w:rsidRPr="005767AD">
        <w:rPr>
          <w:rFonts w:asciiTheme="minorHAnsi" w:hAnsiTheme="minorHAnsi"/>
          <w:color w:val="auto"/>
          <w:szCs w:val="24"/>
        </w:rPr>
        <w:t xml:space="preserve">In 2004 the CI failed his PFT secondary to inadequate run time due to his left knee condition.  The CI was seen </w:t>
      </w:r>
      <w:r w:rsidR="007F698D" w:rsidRPr="005767AD">
        <w:rPr>
          <w:rFonts w:asciiTheme="minorHAnsi" w:hAnsiTheme="minorHAnsi"/>
          <w:color w:val="auto"/>
          <w:szCs w:val="24"/>
        </w:rPr>
        <w:t xml:space="preserve">in Physical Therapy </w:t>
      </w:r>
      <w:r w:rsidR="00CB7A85">
        <w:rPr>
          <w:rFonts w:asciiTheme="minorHAnsi" w:hAnsiTheme="minorHAnsi"/>
          <w:color w:val="auto"/>
          <w:szCs w:val="24"/>
        </w:rPr>
        <w:t>o</w:t>
      </w:r>
      <w:r w:rsidR="007F698D" w:rsidRPr="005767AD">
        <w:rPr>
          <w:rFonts w:asciiTheme="minorHAnsi" w:hAnsiTheme="minorHAnsi"/>
          <w:color w:val="auto"/>
          <w:szCs w:val="24"/>
        </w:rPr>
        <w:t xml:space="preserve">n </w:t>
      </w:r>
      <w:r w:rsidR="00CB7A85">
        <w:rPr>
          <w:rFonts w:asciiTheme="minorHAnsi" w:hAnsiTheme="minorHAnsi"/>
          <w:color w:val="auto"/>
          <w:szCs w:val="24"/>
        </w:rPr>
        <w:t>26 Aug 0</w:t>
      </w:r>
      <w:r w:rsidR="007F698D" w:rsidRPr="005767AD">
        <w:rPr>
          <w:rFonts w:asciiTheme="minorHAnsi" w:hAnsiTheme="minorHAnsi"/>
          <w:color w:val="auto"/>
          <w:szCs w:val="24"/>
        </w:rPr>
        <w:t xml:space="preserve">4 </w:t>
      </w:r>
      <w:r w:rsidR="00AD5BA7" w:rsidRPr="005767AD">
        <w:rPr>
          <w:rFonts w:asciiTheme="minorHAnsi" w:hAnsiTheme="minorHAnsi"/>
          <w:color w:val="auto"/>
          <w:szCs w:val="24"/>
        </w:rPr>
        <w:t>after</w:t>
      </w:r>
      <w:r w:rsidR="007F698D" w:rsidRPr="005767AD">
        <w:rPr>
          <w:rFonts w:asciiTheme="minorHAnsi" w:hAnsiTheme="minorHAnsi"/>
          <w:color w:val="auto"/>
          <w:szCs w:val="24"/>
        </w:rPr>
        <w:t xml:space="preserve"> he felt a “pop” in his left knee during his </w:t>
      </w:r>
      <w:r w:rsidR="007311D3" w:rsidRPr="005767AD">
        <w:rPr>
          <w:rFonts w:asciiTheme="minorHAnsi" w:hAnsiTheme="minorHAnsi"/>
          <w:color w:val="auto"/>
          <w:szCs w:val="24"/>
        </w:rPr>
        <w:t>PFT.</w:t>
      </w:r>
      <w:r w:rsidR="007F698D" w:rsidRPr="005767AD">
        <w:rPr>
          <w:rFonts w:asciiTheme="minorHAnsi" w:hAnsiTheme="minorHAnsi"/>
          <w:color w:val="auto"/>
          <w:szCs w:val="24"/>
        </w:rPr>
        <w:t xml:space="preserve">  Following his run, the CI stated that his knee became swollen and painful.  He also complained that he had increased symptoms with deep bending, jumping and </w:t>
      </w:r>
      <w:r w:rsidR="00D927B6" w:rsidRPr="005767AD">
        <w:rPr>
          <w:rFonts w:asciiTheme="minorHAnsi" w:hAnsiTheme="minorHAnsi"/>
          <w:color w:val="auto"/>
          <w:szCs w:val="24"/>
        </w:rPr>
        <w:t xml:space="preserve">running. </w:t>
      </w:r>
      <w:r w:rsidR="00A43BF0" w:rsidRPr="005767AD">
        <w:rPr>
          <w:rFonts w:asciiTheme="minorHAnsi" w:hAnsiTheme="minorHAnsi"/>
          <w:color w:val="auto"/>
          <w:szCs w:val="24"/>
        </w:rPr>
        <w:t xml:space="preserve"> </w:t>
      </w:r>
      <w:r w:rsidR="00D927B6" w:rsidRPr="005767AD">
        <w:rPr>
          <w:rFonts w:asciiTheme="minorHAnsi" w:hAnsiTheme="minorHAnsi"/>
          <w:color w:val="auto"/>
          <w:szCs w:val="24"/>
        </w:rPr>
        <w:t>The</w:t>
      </w:r>
      <w:r w:rsidR="007F698D" w:rsidRPr="005767AD">
        <w:rPr>
          <w:rFonts w:asciiTheme="minorHAnsi" w:hAnsiTheme="minorHAnsi"/>
          <w:color w:val="auto"/>
          <w:szCs w:val="24"/>
        </w:rPr>
        <w:t xml:space="preserve"> PT noted </w:t>
      </w:r>
      <w:r w:rsidR="00D927B6" w:rsidRPr="005767AD">
        <w:rPr>
          <w:rFonts w:asciiTheme="minorHAnsi" w:hAnsiTheme="minorHAnsi"/>
          <w:color w:val="auto"/>
          <w:szCs w:val="24"/>
        </w:rPr>
        <w:t>that</w:t>
      </w:r>
      <w:r w:rsidR="007F698D" w:rsidRPr="005767AD">
        <w:rPr>
          <w:rFonts w:asciiTheme="minorHAnsi" w:hAnsiTheme="minorHAnsi"/>
          <w:color w:val="auto"/>
          <w:szCs w:val="24"/>
        </w:rPr>
        <w:t xml:space="preserve"> the exam did not show pain on palpation, but there was a positive </w:t>
      </w:r>
      <w:proofErr w:type="spellStart"/>
      <w:r w:rsidR="007F698D" w:rsidRPr="005767AD">
        <w:rPr>
          <w:rFonts w:asciiTheme="minorHAnsi" w:hAnsiTheme="minorHAnsi"/>
          <w:color w:val="auto"/>
          <w:szCs w:val="24"/>
        </w:rPr>
        <w:t>Apley’s</w:t>
      </w:r>
      <w:proofErr w:type="spellEnd"/>
      <w:r w:rsidR="007F698D" w:rsidRPr="005767AD">
        <w:rPr>
          <w:rFonts w:asciiTheme="minorHAnsi" w:hAnsiTheme="minorHAnsi"/>
          <w:color w:val="auto"/>
          <w:szCs w:val="24"/>
        </w:rPr>
        <w:t xml:space="preserve"> </w:t>
      </w:r>
      <w:r w:rsidR="007311D3" w:rsidRPr="005767AD">
        <w:rPr>
          <w:rFonts w:asciiTheme="minorHAnsi" w:hAnsiTheme="minorHAnsi"/>
          <w:color w:val="auto"/>
          <w:szCs w:val="24"/>
        </w:rPr>
        <w:t>compression (</w:t>
      </w:r>
      <w:r w:rsidR="00B0716A" w:rsidRPr="005767AD">
        <w:rPr>
          <w:rFonts w:asciiTheme="minorHAnsi" w:hAnsiTheme="minorHAnsi"/>
          <w:color w:val="auto"/>
          <w:szCs w:val="24"/>
        </w:rPr>
        <w:t xml:space="preserve">suggests </w:t>
      </w:r>
      <w:proofErr w:type="spellStart"/>
      <w:r w:rsidR="00B0716A" w:rsidRPr="005767AD">
        <w:rPr>
          <w:rFonts w:asciiTheme="minorHAnsi" w:hAnsiTheme="minorHAnsi"/>
          <w:color w:val="auto"/>
          <w:szCs w:val="24"/>
        </w:rPr>
        <w:t>meniscal</w:t>
      </w:r>
      <w:proofErr w:type="spellEnd"/>
      <w:r w:rsidR="00B0716A" w:rsidRPr="005767AD">
        <w:rPr>
          <w:rFonts w:asciiTheme="minorHAnsi" w:hAnsiTheme="minorHAnsi"/>
          <w:color w:val="auto"/>
          <w:szCs w:val="24"/>
        </w:rPr>
        <w:t xml:space="preserve"> injury)</w:t>
      </w:r>
      <w:r w:rsidR="00D927B6" w:rsidRPr="005767AD">
        <w:rPr>
          <w:rFonts w:asciiTheme="minorHAnsi" w:hAnsiTheme="minorHAnsi"/>
          <w:color w:val="auto"/>
          <w:szCs w:val="24"/>
        </w:rPr>
        <w:t xml:space="preserve"> and</w:t>
      </w:r>
      <w:r w:rsidR="007F698D" w:rsidRPr="005767AD">
        <w:rPr>
          <w:rFonts w:asciiTheme="minorHAnsi" w:hAnsiTheme="minorHAnsi"/>
          <w:color w:val="auto"/>
          <w:szCs w:val="24"/>
        </w:rPr>
        <w:t xml:space="preserve"> pain increased with full flexion in standing and supine position.  The CI was prescribed a treatment course of </w:t>
      </w:r>
      <w:r w:rsidR="00D927B6" w:rsidRPr="005767AD">
        <w:rPr>
          <w:rFonts w:asciiTheme="minorHAnsi" w:hAnsiTheme="minorHAnsi"/>
          <w:color w:val="auto"/>
          <w:szCs w:val="24"/>
        </w:rPr>
        <w:t xml:space="preserve">strengthening, </w:t>
      </w:r>
      <w:r w:rsidR="00A43BF0" w:rsidRPr="005767AD">
        <w:rPr>
          <w:rFonts w:asciiTheme="minorHAnsi" w:hAnsiTheme="minorHAnsi"/>
          <w:color w:val="auto"/>
          <w:szCs w:val="24"/>
        </w:rPr>
        <w:t>range of motion (ROM)</w:t>
      </w:r>
      <w:r w:rsidR="00D927B6" w:rsidRPr="005767AD">
        <w:rPr>
          <w:rFonts w:asciiTheme="minorHAnsi" w:hAnsiTheme="minorHAnsi"/>
          <w:color w:val="auto"/>
          <w:szCs w:val="24"/>
        </w:rPr>
        <w:t xml:space="preserve"> and flexibility exercises. </w:t>
      </w:r>
      <w:r w:rsidR="00A43BF0" w:rsidRPr="005767AD">
        <w:rPr>
          <w:rFonts w:asciiTheme="minorHAnsi" w:hAnsiTheme="minorHAnsi"/>
          <w:color w:val="auto"/>
          <w:szCs w:val="24"/>
        </w:rPr>
        <w:t xml:space="preserve"> </w:t>
      </w:r>
      <w:r w:rsidR="00D927B6" w:rsidRPr="005767AD">
        <w:rPr>
          <w:rFonts w:asciiTheme="minorHAnsi" w:hAnsiTheme="minorHAnsi"/>
          <w:color w:val="auto"/>
          <w:szCs w:val="24"/>
        </w:rPr>
        <w:t xml:space="preserve">The CI continued to show good progress as noted in the </w:t>
      </w:r>
      <w:r w:rsidR="00CB7A85">
        <w:rPr>
          <w:rFonts w:asciiTheme="minorHAnsi" w:hAnsiTheme="minorHAnsi"/>
          <w:color w:val="auto"/>
          <w:szCs w:val="24"/>
        </w:rPr>
        <w:t xml:space="preserve">30 Oct </w:t>
      </w:r>
      <w:r w:rsidR="00D927B6" w:rsidRPr="005767AD">
        <w:rPr>
          <w:rFonts w:asciiTheme="minorHAnsi" w:hAnsiTheme="minorHAnsi"/>
          <w:color w:val="auto"/>
          <w:szCs w:val="24"/>
        </w:rPr>
        <w:t xml:space="preserve">04 PT note “ROM: full and pain free extension, flexion decreased by 20% but pain free”, “progress is excellent”.  Based on the PT final evaluation, the CI was found to be fit for duty.  </w:t>
      </w:r>
      <w:r w:rsidR="00CB7A85">
        <w:rPr>
          <w:rFonts w:asciiTheme="minorHAnsi" w:hAnsiTheme="minorHAnsi"/>
          <w:color w:val="auto"/>
          <w:szCs w:val="24"/>
        </w:rPr>
        <w:t>O</w:t>
      </w:r>
      <w:r w:rsidR="00D927B6" w:rsidRPr="005767AD">
        <w:rPr>
          <w:rFonts w:asciiTheme="minorHAnsi" w:hAnsiTheme="minorHAnsi"/>
          <w:color w:val="auto"/>
          <w:szCs w:val="24"/>
        </w:rPr>
        <w:t xml:space="preserve">n </w:t>
      </w:r>
      <w:r w:rsidR="00CB7A85">
        <w:rPr>
          <w:rFonts w:asciiTheme="minorHAnsi" w:hAnsiTheme="minorHAnsi"/>
          <w:color w:val="auto"/>
          <w:szCs w:val="24"/>
        </w:rPr>
        <w:t>29 Jul 05</w:t>
      </w:r>
      <w:r w:rsidR="002B1668" w:rsidRPr="005767AD">
        <w:rPr>
          <w:rFonts w:asciiTheme="minorHAnsi" w:hAnsiTheme="minorHAnsi"/>
          <w:color w:val="auto"/>
          <w:szCs w:val="24"/>
        </w:rPr>
        <w:t xml:space="preserve">, the CI was unable to pass his PFT due to left knee pain.  The CI had </w:t>
      </w:r>
      <w:r w:rsidR="005767AD" w:rsidRPr="005767AD">
        <w:rPr>
          <w:rFonts w:asciiTheme="minorHAnsi" w:hAnsiTheme="minorHAnsi"/>
          <w:color w:val="auto"/>
          <w:szCs w:val="24"/>
        </w:rPr>
        <w:t>a</w:t>
      </w:r>
      <w:r w:rsidR="002B1668" w:rsidRPr="005767AD">
        <w:rPr>
          <w:rFonts w:asciiTheme="minorHAnsi" w:hAnsiTheme="minorHAnsi"/>
          <w:color w:val="auto"/>
          <w:szCs w:val="24"/>
        </w:rPr>
        <w:t xml:space="preserve"> </w:t>
      </w:r>
      <w:r w:rsidR="00A43BF0" w:rsidRPr="005767AD">
        <w:rPr>
          <w:rFonts w:asciiTheme="minorHAnsi" w:hAnsiTheme="minorHAnsi"/>
          <w:color w:val="auto"/>
          <w:szCs w:val="24"/>
        </w:rPr>
        <w:t>magnetic resonance imaging (</w:t>
      </w:r>
      <w:r w:rsidR="002B1668" w:rsidRPr="005767AD">
        <w:rPr>
          <w:rFonts w:asciiTheme="minorHAnsi" w:hAnsiTheme="minorHAnsi"/>
          <w:color w:val="auto"/>
          <w:szCs w:val="24"/>
        </w:rPr>
        <w:t>MRI</w:t>
      </w:r>
      <w:r w:rsidR="00A43BF0" w:rsidRPr="005767AD">
        <w:rPr>
          <w:rFonts w:asciiTheme="minorHAnsi" w:hAnsiTheme="minorHAnsi"/>
          <w:color w:val="auto"/>
          <w:szCs w:val="24"/>
        </w:rPr>
        <w:t>)</w:t>
      </w:r>
      <w:r w:rsidR="002B1668" w:rsidRPr="005767AD">
        <w:rPr>
          <w:rFonts w:asciiTheme="minorHAnsi" w:hAnsiTheme="minorHAnsi"/>
          <w:color w:val="auto"/>
          <w:szCs w:val="24"/>
        </w:rPr>
        <w:t xml:space="preserve"> of the left knee </w:t>
      </w:r>
      <w:r w:rsidR="00CB7A85">
        <w:rPr>
          <w:rFonts w:asciiTheme="minorHAnsi" w:hAnsiTheme="minorHAnsi"/>
          <w:color w:val="auto"/>
          <w:szCs w:val="24"/>
        </w:rPr>
        <w:t xml:space="preserve">on 12 Oct </w:t>
      </w:r>
      <w:r w:rsidR="002B1668" w:rsidRPr="005767AD">
        <w:rPr>
          <w:rFonts w:asciiTheme="minorHAnsi" w:hAnsiTheme="minorHAnsi"/>
          <w:color w:val="auto"/>
          <w:szCs w:val="24"/>
        </w:rPr>
        <w:t>05</w:t>
      </w:r>
      <w:r w:rsidR="00CB7A85">
        <w:rPr>
          <w:rFonts w:asciiTheme="minorHAnsi" w:hAnsiTheme="minorHAnsi"/>
          <w:color w:val="auto"/>
          <w:szCs w:val="24"/>
        </w:rPr>
        <w:t>,</w:t>
      </w:r>
      <w:r w:rsidR="002B1668" w:rsidRPr="005767AD">
        <w:rPr>
          <w:rFonts w:asciiTheme="minorHAnsi" w:hAnsiTheme="minorHAnsi"/>
          <w:color w:val="auto"/>
          <w:szCs w:val="24"/>
        </w:rPr>
        <w:t xml:space="preserve"> which showed</w:t>
      </w:r>
      <w:r w:rsidR="007E3054" w:rsidRPr="005767AD">
        <w:rPr>
          <w:rFonts w:asciiTheme="minorHAnsi" w:hAnsiTheme="minorHAnsi"/>
          <w:color w:val="auto"/>
          <w:szCs w:val="24"/>
        </w:rPr>
        <w:t xml:space="preserve"> a tear of the anterior cruciate ligament </w:t>
      </w:r>
      <w:r w:rsidR="007311D3" w:rsidRPr="005767AD">
        <w:rPr>
          <w:rFonts w:asciiTheme="minorHAnsi" w:hAnsiTheme="minorHAnsi"/>
          <w:color w:val="auto"/>
          <w:szCs w:val="24"/>
        </w:rPr>
        <w:t>and a</w:t>
      </w:r>
      <w:r w:rsidR="007E3054" w:rsidRPr="005767AD">
        <w:rPr>
          <w:rFonts w:asciiTheme="minorHAnsi" w:hAnsiTheme="minorHAnsi"/>
          <w:color w:val="auto"/>
          <w:szCs w:val="24"/>
        </w:rPr>
        <w:t xml:space="preserve"> tear of the</w:t>
      </w:r>
      <w:r w:rsidR="002B1668" w:rsidRPr="005767AD">
        <w:rPr>
          <w:rFonts w:asciiTheme="minorHAnsi" w:hAnsiTheme="minorHAnsi"/>
          <w:color w:val="auto"/>
          <w:szCs w:val="24"/>
        </w:rPr>
        <w:t xml:space="preserve"> </w:t>
      </w:r>
      <w:r w:rsidR="007E3054" w:rsidRPr="005767AD">
        <w:rPr>
          <w:rFonts w:asciiTheme="minorHAnsi" w:hAnsiTheme="minorHAnsi"/>
          <w:color w:val="auto"/>
          <w:szCs w:val="24"/>
        </w:rPr>
        <w:t xml:space="preserve">medial and lateral meniscus along </w:t>
      </w:r>
      <w:r w:rsidR="00FF53B5" w:rsidRPr="005767AD">
        <w:rPr>
          <w:rFonts w:asciiTheme="minorHAnsi" w:hAnsiTheme="minorHAnsi"/>
          <w:color w:val="auto"/>
          <w:szCs w:val="24"/>
        </w:rPr>
        <w:t>with</w:t>
      </w:r>
      <w:r w:rsidR="007E3054" w:rsidRPr="005767AD">
        <w:rPr>
          <w:rFonts w:asciiTheme="minorHAnsi" w:hAnsiTheme="minorHAnsi"/>
          <w:color w:val="auto"/>
          <w:szCs w:val="24"/>
        </w:rPr>
        <w:t xml:space="preserve"> </w:t>
      </w:r>
      <w:proofErr w:type="spellStart"/>
      <w:r w:rsidR="007E3054" w:rsidRPr="005767AD">
        <w:rPr>
          <w:rFonts w:asciiTheme="minorHAnsi" w:hAnsiTheme="minorHAnsi"/>
          <w:color w:val="auto"/>
          <w:szCs w:val="24"/>
        </w:rPr>
        <w:t>tricompartmental</w:t>
      </w:r>
      <w:proofErr w:type="spellEnd"/>
      <w:r w:rsidR="007E3054" w:rsidRPr="005767AD">
        <w:rPr>
          <w:rFonts w:asciiTheme="minorHAnsi" w:hAnsiTheme="minorHAnsi"/>
          <w:color w:val="auto"/>
          <w:szCs w:val="24"/>
        </w:rPr>
        <w:t xml:space="preserve"> osteoarthritis.  The CI was seen by </w:t>
      </w:r>
      <w:r w:rsidR="00FF53B5" w:rsidRPr="005767AD">
        <w:rPr>
          <w:rFonts w:asciiTheme="minorHAnsi" w:hAnsiTheme="minorHAnsi"/>
          <w:color w:val="auto"/>
          <w:szCs w:val="24"/>
        </w:rPr>
        <w:t>Orthopedics</w:t>
      </w:r>
      <w:r w:rsidR="007E3054" w:rsidRPr="005767AD">
        <w:rPr>
          <w:rFonts w:asciiTheme="minorHAnsi" w:hAnsiTheme="minorHAnsi"/>
          <w:color w:val="auto"/>
          <w:szCs w:val="24"/>
        </w:rPr>
        <w:t xml:space="preserve"> and </w:t>
      </w:r>
      <w:r w:rsidR="00FF53B5" w:rsidRPr="005767AD">
        <w:rPr>
          <w:rFonts w:asciiTheme="minorHAnsi" w:hAnsiTheme="minorHAnsi"/>
          <w:color w:val="auto"/>
          <w:szCs w:val="24"/>
        </w:rPr>
        <w:t>they found the knee to b</w:t>
      </w:r>
      <w:r w:rsidR="00AD5BA7" w:rsidRPr="005767AD">
        <w:rPr>
          <w:rFonts w:asciiTheme="minorHAnsi" w:hAnsiTheme="minorHAnsi"/>
          <w:color w:val="auto"/>
          <w:szCs w:val="24"/>
        </w:rPr>
        <w:t>e</w:t>
      </w:r>
      <w:r w:rsidR="00FF53B5" w:rsidRPr="005767AD">
        <w:rPr>
          <w:rFonts w:asciiTheme="minorHAnsi" w:hAnsiTheme="minorHAnsi"/>
          <w:color w:val="auto"/>
          <w:szCs w:val="24"/>
        </w:rPr>
        <w:t xml:space="preserve"> stable, full ROM, medial and lateral joint crepitus with some tenderness.  The CI then underwent an arthroscopic partial medial and lateral meniscectomies and patellar shaving (</w:t>
      </w:r>
      <w:r w:rsidR="00CB7A85">
        <w:rPr>
          <w:rFonts w:asciiTheme="minorHAnsi" w:hAnsiTheme="minorHAnsi"/>
          <w:color w:val="auto"/>
          <w:szCs w:val="24"/>
        </w:rPr>
        <w:t xml:space="preserve">21 Apr </w:t>
      </w:r>
      <w:r w:rsidR="00FF53B5" w:rsidRPr="005767AD">
        <w:rPr>
          <w:rFonts w:asciiTheme="minorHAnsi" w:hAnsiTheme="minorHAnsi"/>
          <w:color w:val="auto"/>
          <w:szCs w:val="24"/>
        </w:rPr>
        <w:t>06).  He was referred back to PT for reevaluation and continued therapy</w:t>
      </w:r>
      <w:r w:rsidR="00B0716A" w:rsidRPr="005767AD">
        <w:rPr>
          <w:rFonts w:asciiTheme="minorHAnsi" w:hAnsiTheme="minorHAnsi"/>
          <w:color w:val="auto"/>
          <w:szCs w:val="24"/>
        </w:rPr>
        <w:t xml:space="preserve"> along with a </w:t>
      </w:r>
      <w:r w:rsidR="00D0182B" w:rsidRPr="005767AD">
        <w:rPr>
          <w:rFonts w:asciiTheme="minorHAnsi" w:hAnsiTheme="minorHAnsi"/>
          <w:color w:val="auto"/>
          <w:szCs w:val="24"/>
        </w:rPr>
        <w:t>custom</w:t>
      </w:r>
      <w:r w:rsidR="00B0716A" w:rsidRPr="005767AD">
        <w:rPr>
          <w:rFonts w:asciiTheme="minorHAnsi" w:hAnsiTheme="minorHAnsi"/>
          <w:color w:val="auto"/>
          <w:szCs w:val="24"/>
        </w:rPr>
        <w:t xml:space="preserve"> </w:t>
      </w:r>
      <w:r w:rsidR="00714631" w:rsidRPr="005767AD">
        <w:rPr>
          <w:rFonts w:asciiTheme="minorHAnsi" w:hAnsiTheme="minorHAnsi"/>
          <w:color w:val="auto"/>
          <w:szCs w:val="24"/>
        </w:rPr>
        <w:t>Osteoarthritis (OA)</w:t>
      </w:r>
      <w:r w:rsidR="00B0716A" w:rsidRPr="005767AD">
        <w:rPr>
          <w:rFonts w:asciiTheme="minorHAnsi" w:hAnsiTheme="minorHAnsi"/>
          <w:color w:val="auto"/>
          <w:szCs w:val="24"/>
        </w:rPr>
        <w:t xml:space="preserve"> </w:t>
      </w:r>
      <w:r w:rsidR="00714631" w:rsidRPr="005767AD">
        <w:rPr>
          <w:rFonts w:asciiTheme="minorHAnsi" w:hAnsiTheme="minorHAnsi"/>
          <w:color w:val="auto"/>
          <w:szCs w:val="24"/>
        </w:rPr>
        <w:t>D</w:t>
      </w:r>
      <w:r w:rsidR="00B0716A" w:rsidRPr="005767AD">
        <w:rPr>
          <w:rFonts w:asciiTheme="minorHAnsi" w:hAnsiTheme="minorHAnsi"/>
          <w:color w:val="auto"/>
          <w:szCs w:val="24"/>
        </w:rPr>
        <w:t>efiance brace fo</w:t>
      </w:r>
      <w:r w:rsidR="00D0182B" w:rsidRPr="005767AD">
        <w:rPr>
          <w:rFonts w:asciiTheme="minorHAnsi" w:hAnsiTheme="minorHAnsi"/>
          <w:color w:val="auto"/>
          <w:szCs w:val="24"/>
        </w:rPr>
        <w:t>r</w:t>
      </w:r>
      <w:r w:rsidR="00B0716A" w:rsidRPr="005767AD">
        <w:rPr>
          <w:rFonts w:asciiTheme="minorHAnsi" w:hAnsiTheme="minorHAnsi"/>
          <w:color w:val="auto"/>
          <w:szCs w:val="24"/>
        </w:rPr>
        <w:t xml:space="preserve"> the left </w:t>
      </w:r>
      <w:r w:rsidR="00D0182B" w:rsidRPr="005767AD">
        <w:rPr>
          <w:rFonts w:asciiTheme="minorHAnsi" w:hAnsiTheme="minorHAnsi"/>
          <w:color w:val="auto"/>
          <w:szCs w:val="24"/>
        </w:rPr>
        <w:t xml:space="preserve">knee. </w:t>
      </w:r>
      <w:r w:rsidR="00A43BF0" w:rsidRPr="005767AD">
        <w:rPr>
          <w:rFonts w:asciiTheme="minorHAnsi" w:hAnsiTheme="minorHAnsi"/>
          <w:color w:val="auto"/>
          <w:szCs w:val="24"/>
        </w:rPr>
        <w:t xml:space="preserve"> </w:t>
      </w:r>
      <w:r w:rsidR="00D0182B" w:rsidRPr="005767AD">
        <w:rPr>
          <w:rFonts w:asciiTheme="minorHAnsi" w:hAnsiTheme="minorHAnsi"/>
          <w:color w:val="auto"/>
          <w:szCs w:val="24"/>
        </w:rPr>
        <w:t xml:space="preserve">The CI was seen </w:t>
      </w:r>
      <w:r w:rsidR="00CB7A85">
        <w:rPr>
          <w:rFonts w:asciiTheme="minorHAnsi" w:hAnsiTheme="minorHAnsi"/>
          <w:color w:val="auto"/>
          <w:szCs w:val="24"/>
        </w:rPr>
        <w:t xml:space="preserve">on 26 Sep </w:t>
      </w:r>
      <w:r w:rsidR="00D0182B" w:rsidRPr="005767AD">
        <w:rPr>
          <w:rFonts w:asciiTheme="minorHAnsi" w:hAnsiTheme="minorHAnsi"/>
          <w:color w:val="auto"/>
          <w:szCs w:val="24"/>
        </w:rPr>
        <w:t xml:space="preserve">06 for complaints of chronic pain in the left knee increased by physical activity, where he described a feeling of left knee stiffness and pain after sitting for 20-30 minutes. </w:t>
      </w:r>
      <w:r w:rsidR="00A43BF0" w:rsidRPr="005767AD">
        <w:rPr>
          <w:rFonts w:asciiTheme="minorHAnsi" w:hAnsiTheme="minorHAnsi"/>
          <w:color w:val="auto"/>
          <w:szCs w:val="24"/>
        </w:rPr>
        <w:t xml:space="preserve"> </w:t>
      </w:r>
      <w:r w:rsidR="00D0182B" w:rsidRPr="005767AD">
        <w:rPr>
          <w:rFonts w:asciiTheme="minorHAnsi" w:hAnsiTheme="minorHAnsi"/>
          <w:color w:val="auto"/>
          <w:szCs w:val="24"/>
        </w:rPr>
        <w:t xml:space="preserve">The CI was sent for an evaluation on </w:t>
      </w:r>
      <w:r w:rsidR="00CB7A85">
        <w:rPr>
          <w:rFonts w:asciiTheme="minorHAnsi" w:hAnsiTheme="minorHAnsi"/>
          <w:color w:val="auto"/>
          <w:szCs w:val="24"/>
        </w:rPr>
        <w:t xml:space="preserve">3 Oct </w:t>
      </w:r>
      <w:r w:rsidR="00D0182B" w:rsidRPr="005767AD">
        <w:rPr>
          <w:rFonts w:asciiTheme="minorHAnsi" w:hAnsiTheme="minorHAnsi"/>
          <w:color w:val="auto"/>
          <w:szCs w:val="24"/>
        </w:rPr>
        <w:t xml:space="preserve">06 in which the NARSUM examiner noted that the knee had an ROM of </w:t>
      </w:r>
      <w:r w:rsidR="00D0182B" w:rsidRPr="005767AD">
        <w:rPr>
          <w:rFonts w:asciiTheme="minorHAnsi" w:eastAsia="Calibri" w:hAnsiTheme="minorHAnsi"/>
          <w:color w:val="auto"/>
          <w:szCs w:val="24"/>
        </w:rPr>
        <w:t xml:space="preserve">-15⁰-120⁰ of flexion, all </w:t>
      </w:r>
      <w:r w:rsidR="00310F2C" w:rsidRPr="005767AD">
        <w:rPr>
          <w:rFonts w:asciiTheme="minorHAnsi" w:eastAsia="Calibri" w:hAnsiTheme="minorHAnsi"/>
          <w:color w:val="auto"/>
          <w:szCs w:val="24"/>
        </w:rPr>
        <w:t xml:space="preserve">testing was negative with the exception of a positive </w:t>
      </w:r>
      <w:r w:rsidR="007311D3" w:rsidRPr="005767AD">
        <w:rPr>
          <w:rFonts w:asciiTheme="minorHAnsi" w:eastAsia="Calibri" w:hAnsiTheme="minorHAnsi"/>
          <w:color w:val="auto"/>
          <w:szCs w:val="24"/>
        </w:rPr>
        <w:t>Lachman</w:t>
      </w:r>
      <w:r w:rsidR="00310F2C" w:rsidRPr="005767AD">
        <w:rPr>
          <w:rFonts w:asciiTheme="minorHAnsi" w:eastAsia="Calibri" w:hAnsiTheme="minorHAnsi"/>
          <w:color w:val="auto"/>
          <w:szCs w:val="24"/>
        </w:rPr>
        <w:t xml:space="preserve"> sign and a positive anterior drawer sign.  </w:t>
      </w:r>
      <w:r w:rsidR="007311D3" w:rsidRPr="005767AD">
        <w:rPr>
          <w:rFonts w:asciiTheme="minorHAnsi" w:eastAsia="Calibri" w:hAnsiTheme="minorHAnsi"/>
          <w:color w:val="auto"/>
          <w:szCs w:val="24"/>
        </w:rPr>
        <w:t xml:space="preserve">There was no tenderness over the medial or lateral joint line nor was there tenderness over the patellar ligament.  </w:t>
      </w:r>
      <w:r w:rsidR="00310F2C" w:rsidRPr="005767AD">
        <w:rPr>
          <w:rFonts w:asciiTheme="minorHAnsi" w:eastAsia="Calibri" w:hAnsiTheme="minorHAnsi"/>
          <w:color w:val="auto"/>
          <w:szCs w:val="24"/>
        </w:rPr>
        <w:t xml:space="preserve">Based on the examination results, the examiner opined </w:t>
      </w:r>
      <w:r w:rsidR="007311D3" w:rsidRPr="005767AD">
        <w:rPr>
          <w:rFonts w:asciiTheme="minorHAnsi" w:eastAsia="Calibri" w:hAnsiTheme="minorHAnsi"/>
          <w:color w:val="auto"/>
          <w:szCs w:val="24"/>
        </w:rPr>
        <w:t>that</w:t>
      </w:r>
      <w:r w:rsidR="00310F2C" w:rsidRPr="005767AD">
        <w:rPr>
          <w:rFonts w:asciiTheme="minorHAnsi" w:eastAsia="Calibri" w:hAnsiTheme="minorHAnsi"/>
          <w:color w:val="auto"/>
          <w:szCs w:val="24"/>
        </w:rPr>
        <w:t xml:space="preserve"> the CI had Bicompartmental osteoarthritis of the left knee secondary to the ACL damage for the date of injury in 1989, failed ACL reconstruction in the left knee and accompanying anterolateral rotator instability as well.  He concluded that because of the </w:t>
      </w:r>
      <w:r w:rsidR="007311D3" w:rsidRPr="005767AD">
        <w:rPr>
          <w:rFonts w:asciiTheme="minorHAnsi" w:eastAsia="Calibri" w:hAnsiTheme="minorHAnsi"/>
          <w:color w:val="auto"/>
          <w:szCs w:val="24"/>
        </w:rPr>
        <w:t>osteoarthritis</w:t>
      </w:r>
      <w:r w:rsidR="00310F2C" w:rsidRPr="005767AD">
        <w:rPr>
          <w:rFonts w:asciiTheme="minorHAnsi" w:eastAsia="Calibri" w:hAnsiTheme="minorHAnsi"/>
          <w:color w:val="auto"/>
          <w:szCs w:val="24"/>
        </w:rPr>
        <w:t xml:space="preserve"> degeneration of the left knee joint, it appeared that the CI was unable to perform his PFT for the Marine Corps </w:t>
      </w:r>
      <w:r w:rsidR="00310F2C" w:rsidRPr="005767AD">
        <w:rPr>
          <w:rFonts w:asciiTheme="minorHAnsi" w:eastAsia="Calibri" w:hAnsiTheme="minorHAnsi"/>
          <w:color w:val="auto"/>
          <w:szCs w:val="24"/>
        </w:rPr>
        <w:lastRenderedPageBreak/>
        <w:t>reserve with adequate run times.</w:t>
      </w:r>
      <w:r w:rsidR="00862ABD" w:rsidRPr="005767AD">
        <w:rPr>
          <w:rFonts w:asciiTheme="minorHAnsi" w:eastAsia="Calibri" w:hAnsiTheme="minorHAnsi"/>
          <w:color w:val="auto"/>
          <w:szCs w:val="24"/>
        </w:rPr>
        <w:t xml:space="preserve">  </w:t>
      </w:r>
      <w:r w:rsidR="007311D3" w:rsidRPr="005767AD">
        <w:rPr>
          <w:rFonts w:asciiTheme="minorHAnsi" w:eastAsia="Calibri" w:hAnsiTheme="minorHAnsi"/>
          <w:color w:val="auto"/>
          <w:szCs w:val="24"/>
        </w:rPr>
        <w:t xml:space="preserve">The CI underwent a VA </w:t>
      </w:r>
      <w:r w:rsidR="00A43BF0" w:rsidRPr="005767AD">
        <w:rPr>
          <w:rFonts w:asciiTheme="minorHAnsi" w:eastAsia="Calibri" w:hAnsiTheme="minorHAnsi"/>
          <w:color w:val="auto"/>
          <w:szCs w:val="24"/>
        </w:rPr>
        <w:t>Compensation and Pension (</w:t>
      </w:r>
      <w:r w:rsidR="007311D3" w:rsidRPr="005767AD">
        <w:rPr>
          <w:rFonts w:asciiTheme="minorHAnsi" w:eastAsia="Calibri" w:hAnsiTheme="minorHAnsi"/>
          <w:color w:val="auto"/>
          <w:szCs w:val="24"/>
        </w:rPr>
        <w:t>C&amp;P</w:t>
      </w:r>
      <w:r w:rsidR="00A43BF0" w:rsidRPr="005767AD">
        <w:rPr>
          <w:rFonts w:asciiTheme="minorHAnsi" w:eastAsia="Calibri" w:hAnsiTheme="minorHAnsi"/>
          <w:color w:val="auto"/>
          <w:szCs w:val="24"/>
        </w:rPr>
        <w:t>)</w:t>
      </w:r>
      <w:r w:rsidR="007311D3" w:rsidRPr="005767AD">
        <w:rPr>
          <w:rFonts w:asciiTheme="minorHAnsi" w:eastAsia="Calibri" w:hAnsiTheme="minorHAnsi"/>
          <w:color w:val="auto"/>
          <w:szCs w:val="24"/>
        </w:rPr>
        <w:t xml:space="preserve"> exam </w:t>
      </w:r>
      <w:r w:rsidR="00CB7A85">
        <w:rPr>
          <w:rFonts w:asciiTheme="minorHAnsi" w:eastAsia="Calibri" w:hAnsiTheme="minorHAnsi"/>
          <w:color w:val="auto"/>
          <w:szCs w:val="24"/>
        </w:rPr>
        <w:t>on 30 Mar 0</w:t>
      </w:r>
      <w:r w:rsidR="007311D3" w:rsidRPr="005767AD">
        <w:rPr>
          <w:rFonts w:asciiTheme="minorHAnsi" w:eastAsia="Calibri" w:hAnsiTheme="minorHAnsi"/>
          <w:color w:val="auto"/>
          <w:szCs w:val="24"/>
        </w:rPr>
        <w:t>7 which noted that while the CI complains of pain, weakness, stiffness, swelling, instability, and wears a DonJoy</w:t>
      </w:r>
      <w:r w:rsidR="00714631" w:rsidRPr="005767AD">
        <w:rPr>
          <w:rFonts w:asciiTheme="minorHAnsi" w:eastAsia="Calibri" w:hAnsiTheme="minorHAnsi"/>
          <w:color w:val="auto"/>
          <w:szCs w:val="24"/>
        </w:rPr>
        <w:t xml:space="preserve"> (OA)</w:t>
      </w:r>
      <w:r w:rsidR="007311D3" w:rsidRPr="005767AD">
        <w:rPr>
          <w:rFonts w:asciiTheme="minorHAnsi" w:eastAsia="Calibri" w:hAnsiTheme="minorHAnsi"/>
          <w:color w:val="auto"/>
          <w:szCs w:val="24"/>
        </w:rPr>
        <w:t xml:space="preserve"> Defiance brace at all times, he does not take any medications, has no walking limitations and  had worked as a private investigator.  </w:t>
      </w:r>
      <w:r w:rsidR="005626B3" w:rsidRPr="005767AD">
        <w:rPr>
          <w:rFonts w:asciiTheme="minorHAnsi" w:eastAsia="Calibri" w:hAnsiTheme="minorHAnsi"/>
          <w:color w:val="auto"/>
          <w:szCs w:val="24"/>
        </w:rPr>
        <w:t xml:space="preserve">Findings on the </w:t>
      </w:r>
      <w:r w:rsidR="007311D3" w:rsidRPr="005767AD">
        <w:rPr>
          <w:rFonts w:asciiTheme="minorHAnsi" w:eastAsia="Calibri" w:hAnsiTheme="minorHAnsi"/>
          <w:color w:val="auto"/>
          <w:szCs w:val="24"/>
        </w:rPr>
        <w:t>exam</w:t>
      </w:r>
      <w:r w:rsidR="005626B3" w:rsidRPr="005767AD">
        <w:rPr>
          <w:rFonts w:asciiTheme="minorHAnsi" w:eastAsia="Calibri" w:hAnsiTheme="minorHAnsi"/>
          <w:color w:val="auto"/>
          <w:szCs w:val="24"/>
        </w:rPr>
        <w:t xml:space="preserve"> showed that with three repetitions of ROM, there was no </w:t>
      </w:r>
      <w:r w:rsidR="007311D3" w:rsidRPr="005767AD">
        <w:rPr>
          <w:rFonts w:asciiTheme="minorHAnsi" w:eastAsia="Calibri" w:hAnsiTheme="minorHAnsi"/>
          <w:color w:val="auto"/>
          <w:szCs w:val="24"/>
        </w:rPr>
        <w:t>limitation</w:t>
      </w:r>
      <w:r w:rsidR="005626B3" w:rsidRPr="005767AD">
        <w:rPr>
          <w:rFonts w:asciiTheme="minorHAnsi" w:eastAsia="Calibri" w:hAnsiTheme="minorHAnsi"/>
          <w:color w:val="auto"/>
          <w:szCs w:val="24"/>
        </w:rPr>
        <w:t xml:space="preserve"> by pain, fatigue, weakness or lack of endurance.  The CI also had a normal gait.</w:t>
      </w:r>
    </w:p>
    <w:p w:rsidR="005626B3" w:rsidRPr="005767AD" w:rsidRDefault="005626B3" w:rsidP="00AD5BA7">
      <w:pPr>
        <w:tabs>
          <w:tab w:val="left" w:pos="288"/>
          <w:tab w:val="left" w:pos="4752"/>
        </w:tabs>
        <w:spacing w:line="240" w:lineRule="exact"/>
        <w:jc w:val="both"/>
        <w:rPr>
          <w:rFonts w:asciiTheme="minorHAnsi" w:eastAsia="HiddenHorzOCR" w:hAnsiTheme="minorHAnsi"/>
          <w:color w:val="auto"/>
          <w:szCs w:val="24"/>
        </w:rPr>
      </w:pPr>
    </w:p>
    <w:p w:rsidR="005626B3" w:rsidRPr="005767AD" w:rsidRDefault="005626B3" w:rsidP="00D56C4B">
      <w:pPr>
        <w:tabs>
          <w:tab w:val="left" w:pos="288"/>
          <w:tab w:val="left" w:pos="4752"/>
        </w:tabs>
        <w:spacing w:line="240" w:lineRule="exact"/>
        <w:jc w:val="both"/>
        <w:rPr>
          <w:rFonts w:asciiTheme="minorHAnsi" w:hAnsiTheme="minorHAnsi"/>
          <w:color w:val="auto"/>
          <w:szCs w:val="24"/>
        </w:rPr>
      </w:pPr>
      <w:proofErr w:type="gramStart"/>
      <w:r w:rsidRPr="005767AD">
        <w:rPr>
          <w:rFonts w:asciiTheme="minorHAnsi" w:hAnsiTheme="minorHAnsi"/>
          <w:color w:val="auto"/>
          <w:szCs w:val="24"/>
          <w:u w:val="single"/>
        </w:rPr>
        <w:t>Bicompartmental Osteoarthritis of the Left Knee</w:t>
      </w:r>
      <w:r w:rsidR="004F1D11" w:rsidRPr="005767AD">
        <w:rPr>
          <w:rFonts w:asciiTheme="minorHAnsi" w:hAnsiTheme="minorHAnsi"/>
          <w:color w:val="auto"/>
          <w:szCs w:val="24"/>
        </w:rPr>
        <w:t>.</w:t>
      </w:r>
      <w:proofErr w:type="gramEnd"/>
      <w:r w:rsidR="004F1D11" w:rsidRPr="005767AD">
        <w:rPr>
          <w:rFonts w:asciiTheme="minorHAnsi" w:hAnsiTheme="minorHAnsi"/>
          <w:color w:val="auto"/>
          <w:szCs w:val="24"/>
        </w:rPr>
        <w:t xml:space="preserve">  </w:t>
      </w:r>
      <w:r w:rsidRPr="005767AD">
        <w:rPr>
          <w:rFonts w:asciiTheme="minorHAnsi" w:hAnsiTheme="minorHAnsi"/>
          <w:color w:val="auto"/>
          <w:szCs w:val="24"/>
        </w:rPr>
        <w:t xml:space="preserve">The PEB </w:t>
      </w:r>
      <w:r w:rsidR="005A5054" w:rsidRPr="005767AD">
        <w:rPr>
          <w:rFonts w:asciiTheme="minorHAnsi" w:hAnsiTheme="minorHAnsi"/>
          <w:color w:val="auto"/>
          <w:szCs w:val="24"/>
        </w:rPr>
        <w:t xml:space="preserve">rated </w:t>
      </w:r>
      <w:r w:rsidRPr="005767AD">
        <w:rPr>
          <w:rFonts w:asciiTheme="minorHAnsi" w:hAnsiTheme="minorHAnsi"/>
          <w:color w:val="auto"/>
          <w:szCs w:val="24"/>
        </w:rPr>
        <w:t>the CI</w:t>
      </w:r>
      <w:r w:rsidR="005A5054" w:rsidRPr="005767AD">
        <w:rPr>
          <w:rFonts w:asciiTheme="minorHAnsi" w:hAnsiTheme="minorHAnsi"/>
          <w:color w:val="auto"/>
          <w:szCs w:val="24"/>
        </w:rPr>
        <w:t xml:space="preserve">’s </w:t>
      </w:r>
      <w:r w:rsidR="002E67C4" w:rsidRPr="005767AD">
        <w:rPr>
          <w:rFonts w:asciiTheme="minorHAnsi" w:hAnsiTheme="minorHAnsi"/>
          <w:color w:val="auto"/>
          <w:szCs w:val="24"/>
        </w:rPr>
        <w:t>“</w:t>
      </w:r>
      <w:r w:rsidRPr="005767AD">
        <w:rPr>
          <w:rFonts w:asciiTheme="minorHAnsi" w:hAnsiTheme="minorHAnsi"/>
          <w:color w:val="auto"/>
          <w:szCs w:val="24"/>
        </w:rPr>
        <w:t>Bicompartmental Osteoarthritis of the Left Knee</w:t>
      </w:r>
      <w:r w:rsidR="002E67C4" w:rsidRPr="005767AD">
        <w:rPr>
          <w:rFonts w:asciiTheme="minorHAnsi" w:hAnsiTheme="minorHAnsi"/>
          <w:color w:val="auto"/>
          <w:szCs w:val="24"/>
        </w:rPr>
        <w:t>”</w:t>
      </w:r>
      <w:r w:rsidR="005A5054" w:rsidRPr="005767AD">
        <w:rPr>
          <w:rFonts w:asciiTheme="minorHAnsi" w:hAnsiTheme="minorHAnsi"/>
          <w:color w:val="auto"/>
          <w:szCs w:val="24"/>
        </w:rPr>
        <w:t xml:space="preserve"> was coded analogously to arthritis (</w:t>
      </w:r>
      <w:r w:rsidRPr="005767AD">
        <w:rPr>
          <w:rFonts w:asciiTheme="minorHAnsi" w:hAnsiTheme="minorHAnsi"/>
          <w:color w:val="auto"/>
          <w:szCs w:val="24"/>
        </w:rPr>
        <w:t>5299-5003</w:t>
      </w:r>
      <w:r w:rsidR="005A5054" w:rsidRPr="005767AD">
        <w:rPr>
          <w:rFonts w:asciiTheme="minorHAnsi" w:hAnsiTheme="minorHAnsi"/>
          <w:color w:val="auto"/>
          <w:szCs w:val="24"/>
        </w:rPr>
        <w:t>) at 10%</w:t>
      </w:r>
      <w:r w:rsidR="004F1D11" w:rsidRPr="005767AD">
        <w:rPr>
          <w:rFonts w:asciiTheme="minorHAnsi" w:hAnsiTheme="minorHAnsi"/>
          <w:color w:val="auto"/>
          <w:szCs w:val="24"/>
        </w:rPr>
        <w:t xml:space="preserve">.  </w:t>
      </w:r>
      <w:r w:rsidR="005A5054" w:rsidRPr="005767AD">
        <w:rPr>
          <w:rFonts w:asciiTheme="minorHAnsi" w:hAnsiTheme="minorHAnsi"/>
          <w:color w:val="auto"/>
          <w:szCs w:val="24"/>
        </w:rPr>
        <w:t xml:space="preserve">The </w:t>
      </w:r>
      <w:r w:rsidR="00AB3787" w:rsidRPr="005767AD">
        <w:rPr>
          <w:rFonts w:asciiTheme="minorHAnsi" w:hAnsiTheme="minorHAnsi"/>
          <w:color w:val="auto"/>
          <w:szCs w:val="24"/>
        </w:rPr>
        <w:t>NARSUM appro</w:t>
      </w:r>
      <w:r w:rsidR="00A43BF0" w:rsidRPr="005767AD">
        <w:rPr>
          <w:rFonts w:asciiTheme="minorHAnsi" w:hAnsiTheme="minorHAnsi"/>
          <w:color w:val="auto"/>
          <w:szCs w:val="24"/>
        </w:rPr>
        <w:t>ximately two</w:t>
      </w:r>
      <w:r w:rsidR="00AD5BA7" w:rsidRPr="005767AD">
        <w:rPr>
          <w:rFonts w:asciiTheme="minorHAnsi" w:hAnsiTheme="minorHAnsi"/>
          <w:color w:val="auto"/>
          <w:szCs w:val="24"/>
        </w:rPr>
        <w:t xml:space="preserve"> months, 12 </w:t>
      </w:r>
      <w:r w:rsidR="004F1D11" w:rsidRPr="005767AD">
        <w:rPr>
          <w:rFonts w:asciiTheme="minorHAnsi" w:hAnsiTheme="minorHAnsi"/>
          <w:color w:val="auto"/>
          <w:szCs w:val="24"/>
        </w:rPr>
        <w:t>days pre</w:t>
      </w:r>
      <w:r w:rsidR="00AD5BA7" w:rsidRPr="005767AD">
        <w:rPr>
          <w:rFonts w:asciiTheme="minorHAnsi" w:hAnsiTheme="minorHAnsi"/>
          <w:color w:val="auto"/>
          <w:szCs w:val="24"/>
        </w:rPr>
        <w:t>-</w:t>
      </w:r>
      <w:r w:rsidR="00AB3787" w:rsidRPr="005767AD">
        <w:rPr>
          <w:rFonts w:asciiTheme="minorHAnsi" w:hAnsiTheme="minorHAnsi"/>
          <w:color w:val="auto"/>
          <w:szCs w:val="24"/>
        </w:rPr>
        <w:t>separation (</w:t>
      </w:r>
      <w:r w:rsidR="00CB7A85">
        <w:rPr>
          <w:rFonts w:asciiTheme="minorHAnsi" w:hAnsiTheme="minorHAnsi"/>
          <w:color w:val="auto"/>
          <w:szCs w:val="24"/>
        </w:rPr>
        <w:t xml:space="preserve">3 Oct </w:t>
      </w:r>
      <w:r w:rsidR="00AB3787" w:rsidRPr="005767AD">
        <w:rPr>
          <w:rFonts w:asciiTheme="minorHAnsi" w:hAnsiTheme="minorHAnsi"/>
          <w:color w:val="auto"/>
          <w:szCs w:val="24"/>
        </w:rPr>
        <w:t xml:space="preserve">06), </w:t>
      </w:r>
      <w:r w:rsidRPr="005767AD">
        <w:rPr>
          <w:rFonts w:asciiTheme="minorHAnsi" w:hAnsiTheme="minorHAnsi"/>
          <w:color w:val="auto"/>
          <w:szCs w:val="24"/>
        </w:rPr>
        <w:t xml:space="preserve">noted the symptoms were consistent with osteoarthritis.  The CI experienced pain, weakness, swelling, </w:t>
      </w:r>
      <w:r w:rsidR="007311D3" w:rsidRPr="005767AD">
        <w:rPr>
          <w:rFonts w:asciiTheme="minorHAnsi" w:hAnsiTheme="minorHAnsi"/>
          <w:color w:val="auto"/>
          <w:szCs w:val="24"/>
        </w:rPr>
        <w:t>locking and</w:t>
      </w:r>
      <w:r w:rsidRPr="005767AD">
        <w:rPr>
          <w:rFonts w:asciiTheme="minorHAnsi" w:hAnsiTheme="minorHAnsi"/>
          <w:color w:val="auto"/>
          <w:szCs w:val="24"/>
        </w:rPr>
        <w:t xml:space="preserve"> stiffness and fatigability.  As a result he was forced to give up sports. </w:t>
      </w:r>
      <w:r w:rsidR="004F1D11" w:rsidRPr="005767AD">
        <w:rPr>
          <w:rFonts w:asciiTheme="minorHAnsi" w:hAnsiTheme="minorHAnsi"/>
          <w:color w:val="auto"/>
          <w:szCs w:val="24"/>
        </w:rPr>
        <w:t xml:space="preserve"> </w:t>
      </w:r>
      <w:r w:rsidRPr="005767AD">
        <w:rPr>
          <w:rFonts w:asciiTheme="minorHAnsi" w:hAnsiTheme="minorHAnsi"/>
          <w:color w:val="auto"/>
          <w:szCs w:val="24"/>
        </w:rPr>
        <w:t xml:space="preserve">He also wore a </w:t>
      </w:r>
      <w:r w:rsidR="007311D3" w:rsidRPr="005767AD">
        <w:rPr>
          <w:rFonts w:asciiTheme="minorHAnsi" w:hAnsiTheme="minorHAnsi"/>
          <w:color w:val="auto"/>
          <w:szCs w:val="24"/>
        </w:rPr>
        <w:t>DonJoy</w:t>
      </w:r>
      <w:r w:rsidRPr="005767AD">
        <w:rPr>
          <w:rFonts w:asciiTheme="minorHAnsi" w:hAnsiTheme="minorHAnsi"/>
          <w:color w:val="auto"/>
          <w:szCs w:val="24"/>
        </w:rPr>
        <w:t xml:space="preserve"> </w:t>
      </w:r>
      <w:r w:rsidR="005767AD" w:rsidRPr="005767AD">
        <w:rPr>
          <w:rFonts w:asciiTheme="minorHAnsi" w:hAnsiTheme="minorHAnsi"/>
          <w:color w:val="auto"/>
          <w:szCs w:val="24"/>
        </w:rPr>
        <w:t xml:space="preserve">OA </w:t>
      </w:r>
      <w:r w:rsidRPr="005767AD">
        <w:rPr>
          <w:rFonts w:asciiTheme="minorHAnsi" w:hAnsiTheme="minorHAnsi"/>
          <w:color w:val="auto"/>
          <w:szCs w:val="24"/>
        </w:rPr>
        <w:t xml:space="preserve">Defiance knee brace.  The examiner noted a positive Lachman sign and positive pivot shift sign on the left knee. </w:t>
      </w:r>
      <w:r w:rsidR="00A43BF0" w:rsidRPr="005767AD">
        <w:rPr>
          <w:rFonts w:asciiTheme="minorHAnsi" w:hAnsiTheme="minorHAnsi"/>
          <w:color w:val="auto"/>
          <w:szCs w:val="24"/>
        </w:rPr>
        <w:t xml:space="preserve"> </w:t>
      </w:r>
      <w:r w:rsidRPr="005767AD">
        <w:rPr>
          <w:rFonts w:asciiTheme="minorHAnsi" w:hAnsiTheme="minorHAnsi"/>
          <w:color w:val="auto"/>
          <w:szCs w:val="24"/>
        </w:rPr>
        <w:t xml:space="preserve">His anterior drawer sign was also positive with an endpoint.  Posterior drawer sign was negative.  The CI was stable to varus and valgus thrust at -15 and 30 degrees of flexion.  There was no medial or lateral joint line tenderness and negative McMurray signs. </w:t>
      </w:r>
      <w:r w:rsidR="00A43BF0" w:rsidRPr="005767AD">
        <w:rPr>
          <w:rFonts w:asciiTheme="minorHAnsi" w:hAnsiTheme="minorHAnsi"/>
          <w:color w:val="auto"/>
          <w:szCs w:val="24"/>
        </w:rPr>
        <w:t xml:space="preserve"> </w:t>
      </w:r>
      <w:r w:rsidRPr="005767AD">
        <w:rPr>
          <w:rFonts w:asciiTheme="minorHAnsi" w:hAnsiTheme="minorHAnsi"/>
          <w:color w:val="auto"/>
          <w:szCs w:val="24"/>
        </w:rPr>
        <w:t xml:space="preserve">The patellar grind and compression signs, and apprehension signs showed to be negative. </w:t>
      </w:r>
      <w:r w:rsidR="00A43BF0" w:rsidRPr="005767AD">
        <w:rPr>
          <w:rFonts w:asciiTheme="minorHAnsi" w:hAnsiTheme="minorHAnsi"/>
          <w:color w:val="auto"/>
          <w:szCs w:val="24"/>
        </w:rPr>
        <w:t xml:space="preserve"> </w:t>
      </w:r>
      <w:r w:rsidR="005A5054" w:rsidRPr="005767AD">
        <w:rPr>
          <w:rFonts w:asciiTheme="minorHAnsi" w:hAnsiTheme="minorHAnsi"/>
          <w:color w:val="auto"/>
          <w:szCs w:val="24"/>
        </w:rPr>
        <w:t xml:space="preserve">The knee flexion was measured at -15 to 120 degrees.  </w:t>
      </w:r>
      <w:r w:rsidRPr="005767AD">
        <w:rPr>
          <w:rFonts w:asciiTheme="minorHAnsi" w:hAnsiTheme="minorHAnsi"/>
          <w:color w:val="auto"/>
          <w:szCs w:val="24"/>
        </w:rPr>
        <w:t xml:space="preserve">There was no tenderness over the patellar ligament.  Sensation showed to be intact to the </w:t>
      </w:r>
      <w:r w:rsidR="007311D3" w:rsidRPr="005767AD">
        <w:rPr>
          <w:rFonts w:asciiTheme="minorHAnsi" w:hAnsiTheme="minorHAnsi"/>
          <w:color w:val="auto"/>
          <w:szCs w:val="24"/>
        </w:rPr>
        <w:t>left lower</w:t>
      </w:r>
      <w:r w:rsidRPr="005767AD">
        <w:rPr>
          <w:rFonts w:asciiTheme="minorHAnsi" w:hAnsiTheme="minorHAnsi"/>
          <w:color w:val="auto"/>
          <w:szCs w:val="24"/>
        </w:rPr>
        <w:t xml:space="preserve"> extremity and all motor groups functioned at 5/5.  A weight bearing </w:t>
      </w:r>
      <w:r w:rsidR="005767AD" w:rsidRPr="005767AD">
        <w:rPr>
          <w:rFonts w:asciiTheme="minorHAnsi" w:hAnsiTheme="minorHAnsi"/>
          <w:color w:val="auto"/>
          <w:szCs w:val="24"/>
        </w:rPr>
        <w:t>Anterior-Posterior (AP) x-ray</w:t>
      </w:r>
      <w:r w:rsidRPr="005767AD">
        <w:rPr>
          <w:rFonts w:asciiTheme="minorHAnsi" w:hAnsiTheme="minorHAnsi"/>
          <w:color w:val="auto"/>
          <w:szCs w:val="24"/>
        </w:rPr>
        <w:t xml:space="preserve"> of both knees showed, in the left knee, moderate osteoarthritis of the knee with pointing of the medial border of the proximal tibia and squaring off of the medial femoral condyle on the left knee.</w:t>
      </w:r>
      <w:r w:rsidR="00AB3787" w:rsidRPr="005767AD">
        <w:rPr>
          <w:rFonts w:asciiTheme="minorHAnsi" w:hAnsiTheme="minorHAnsi"/>
          <w:color w:val="auto"/>
          <w:szCs w:val="24"/>
        </w:rPr>
        <w:t xml:space="preserve">  </w:t>
      </w:r>
      <w:r w:rsidRPr="005767AD">
        <w:rPr>
          <w:rFonts w:asciiTheme="minorHAnsi" w:hAnsiTheme="minorHAnsi"/>
          <w:color w:val="auto"/>
          <w:szCs w:val="24"/>
        </w:rPr>
        <w:t xml:space="preserve">An MRI of the left knee showed his ACL has ceased function and is not present on the study and he also has his osteoarthritis in the medial compartment and at the patellofemoral compartment of the knee. </w:t>
      </w:r>
      <w:r w:rsidR="004F1D11" w:rsidRPr="005767AD">
        <w:rPr>
          <w:rFonts w:asciiTheme="minorHAnsi" w:hAnsiTheme="minorHAnsi"/>
          <w:color w:val="auto"/>
          <w:szCs w:val="24"/>
        </w:rPr>
        <w:t xml:space="preserve"> </w:t>
      </w:r>
      <w:r w:rsidRPr="005767AD">
        <w:rPr>
          <w:rFonts w:asciiTheme="minorHAnsi" w:hAnsiTheme="minorHAnsi"/>
          <w:color w:val="auto"/>
          <w:szCs w:val="24"/>
        </w:rPr>
        <w:t xml:space="preserve">The examiner diagnosed the CI with </w:t>
      </w:r>
      <w:proofErr w:type="spellStart"/>
      <w:r w:rsidRPr="005767AD">
        <w:rPr>
          <w:rFonts w:asciiTheme="minorHAnsi" w:hAnsiTheme="minorHAnsi"/>
          <w:color w:val="auto"/>
          <w:szCs w:val="24"/>
        </w:rPr>
        <w:t>bicompartmental</w:t>
      </w:r>
      <w:proofErr w:type="spellEnd"/>
      <w:r w:rsidRPr="005767AD">
        <w:rPr>
          <w:rFonts w:asciiTheme="minorHAnsi" w:hAnsiTheme="minorHAnsi"/>
          <w:color w:val="auto"/>
          <w:szCs w:val="24"/>
        </w:rPr>
        <w:t xml:space="preserve"> osteoarthritis of the left knee secondary to his ACL damage from his initial injury. </w:t>
      </w:r>
      <w:r w:rsidR="00A43BF0" w:rsidRPr="005767AD">
        <w:rPr>
          <w:rFonts w:asciiTheme="minorHAnsi" w:hAnsiTheme="minorHAnsi"/>
          <w:color w:val="auto"/>
          <w:szCs w:val="24"/>
        </w:rPr>
        <w:t xml:space="preserve"> </w:t>
      </w:r>
      <w:r w:rsidRPr="005767AD">
        <w:rPr>
          <w:rFonts w:asciiTheme="minorHAnsi" w:hAnsiTheme="minorHAnsi"/>
          <w:color w:val="auto"/>
          <w:szCs w:val="24"/>
        </w:rPr>
        <w:t xml:space="preserve">The CI also noted his failed ACL reconstruction and </w:t>
      </w:r>
      <w:proofErr w:type="spellStart"/>
      <w:r w:rsidRPr="005767AD">
        <w:rPr>
          <w:rFonts w:asciiTheme="minorHAnsi" w:hAnsiTheme="minorHAnsi"/>
          <w:color w:val="auto"/>
          <w:szCs w:val="24"/>
        </w:rPr>
        <w:t>anterolateral</w:t>
      </w:r>
      <w:proofErr w:type="spellEnd"/>
      <w:r w:rsidRPr="005767AD">
        <w:rPr>
          <w:rFonts w:asciiTheme="minorHAnsi" w:hAnsiTheme="minorHAnsi"/>
          <w:color w:val="auto"/>
          <w:szCs w:val="24"/>
        </w:rPr>
        <w:t xml:space="preserve"> rotary instability.</w:t>
      </w:r>
      <w:r w:rsidR="00CB7A85">
        <w:rPr>
          <w:rFonts w:asciiTheme="minorHAnsi" w:hAnsiTheme="minorHAnsi"/>
          <w:color w:val="auto"/>
          <w:szCs w:val="24"/>
        </w:rPr>
        <w:t xml:space="preserve"> </w:t>
      </w:r>
      <w:r w:rsidRPr="005767AD">
        <w:rPr>
          <w:rFonts w:asciiTheme="minorHAnsi" w:hAnsiTheme="minorHAnsi"/>
          <w:color w:val="auto"/>
          <w:szCs w:val="24"/>
        </w:rPr>
        <w:t xml:space="preserve"> Both the examiner and the </w:t>
      </w:r>
      <w:r w:rsidR="00A17301" w:rsidRPr="005767AD">
        <w:rPr>
          <w:rFonts w:asciiTheme="minorHAnsi" w:hAnsiTheme="minorHAnsi"/>
          <w:color w:val="auto"/>
          <w:szCs w:val="24"/>
        </w:rPr>
        <w:t>C</w:t>
      </w:r>
      <w:r w:rsidRPr="005767AD">
        <w:rPr>
          <w:rFonts w:asciiTheme="minorHAnsi" w:hAnsiTheme="minorHAnsi"/>
          <w:color w:val="auto"/>
          <w:szCs w:val="24"/>
        </w:rPr>
        <w:t xml:space="preserve">ommander opined the CI’s condition prohibited him to continue with his career. </w:t>
      </w:r>
      <w:r w:rsidR="00A43BF0" w:rsidRPr="005767AD">
        <w:rPr>
          <w:rFonts w:asciiTheme="minorHAnsi" w:hAnsiTheme="minorHAnsi"/>
          <w:color w:val="auto"/>
          <w:szCs w:val="24"/>
        </w:rPr>
        <w:t xml:space="preserve"> </w:t>
      </w:r>
      <w:r w:rsidR="00AB3787" w:rsidRPr="005767AD">
        <w:rPr>
          <w:rFonts w:asciiTheme="minorHAnsi" w:hAnsiTheme="minorHAnsi"/>
          <w:color w:val="auto"/>
          <w:szCs w:val="24"/>
        </w:rPr>
        <w:t xml:space="preserve">The VA </w:t>
      </w:r>
      <w:r w:rsidR="00A43BF0" w:rsidRPr="005767AD">
        <w:rPr>
          <w:rFonts w:asciiTheme="minorHAnsi" w:hAnsiTheme="minorHAnsi"/>
          <w:color w:val="auto"/>
          <w:szCs w:val="24"/>
        </w:rPr>
        <w:t>C&amp;P examination, approximately three</w:t>
      </w:r>
      <w:r w:rsidR="00AB3787" w:rsidRPr="005767AD">
        <w:rPr>
          <w:rFonts w:asciiTheme="minorHAnsi" w:hAnsiTheme="minorHAnsi"/>
          <w:color w:val="auto"/>
          <w:szCs w:val="24"/>
        </w:rPr>
        <w:t xml:space="preserve"> months 15 days post separation</w:t>
      </w:r>
      <w:r w:rsidR="00C73C12" w:rsidRPr="005767AD">
        <w:rPr>
          <w:rFonts w:asciiTheme="minorHAnsi" w:hAnsiTheme="minorHAnsi"/>
          <w:color w:val="auto"/>
          <w:szCs w:val="24"/>
        </w:rPr>
        <w:t xml:space="preserve"> (</w:t>
      </w:r>
      <w:r w:rsidR="00CB7A85">
        <w:rPr>
          <w:rFonts w:asciiTheme="minorHAnsi" w:hAnsiTheme="minorHAnsi"/>
          <w:color w:val="auto"/>
          <w:szCs w:val="24"/>
        </w:rPr>
        <w:t xml:space="preserve">30 Mar </w:t>
      </w:r>
      <w:r w:rsidR="00C73C12" w:rsidRPr="005767AD">
        <w:rPr>
          <w:rFonts w:asciiTheme="minorHAnsi" w:hAnsiTheme="minorHAnsi"/>
          <w:color w:val="auto"/>
          <w:szCs w:val="24"/>
        </w:rPr>
        <w:t>07)</w:t>
      </w:r>
      <w:r w:rsidR="007311D3" w:rsidRPr="005767AD">
        <w:rPr>
          <w:rFonts w:asciiTheme="minorHAnsi" w:hAnsiTheme="minorHAnsi"/>
          <w:color w:val="auto"/>
          <w:szCs w:val="24"/>
        </w:rPr>
        <w:t>, noted</w:t>
      </w:r>
      <w:r w:rsidR="00AB3787" w:rsidRPr="005767AD">
        <w:rPr>
          <w:rFonts w:asciiTheme="minorHAnsi" w:hAnsiTheme="minorHAnsi"/>
          <w:color w:val="auto"/>
          <w:szCs w:val="24"/>
        </w:rPr>
        <w:t xml:space="preserve"> the </w:t>
      </w:r>
      <w:r w:rsidRPr="005767AD">
        <w:rPr>
          <w:rFonts w:asciiTheme="minorHAnsi" w:hAnsiTheme="minorHAnsi"/>
          <w:color w:val="auto"/>
          <w:szCs w:val="24"/>
        </w:rPr>
        <w:t xml:space="preserve">CI was pain free </w:t>
      </w:r>
      <w:r w:rsidR="00AB3787" w:rsidRPr="005767AD">
        <w:rPr>
          <w:rFonts w:asciiTheme="minorHAnsi" w:hAnsiTheme="minorHAnsi"/>
          <w:color w:val="auto"/>
          <w:szCs w:val="24"/>
        </w:rPr>
        <w:t xml:space="preserve">with </w:t>
      </w:r>
      <w:r w:rsidRPr="005767AD">
        <w:rPr>
          <w:rFonts w:asciiTheme="minorHAnsi" w:hAnsiTheme="minorHAnsi"/>
          <w:color w:val="auto"/>
          <w:szCs w:val="24"/>
        </w:rPr>
        <w:t xml:space="preserve">range of motion measured at 0-115 degrees. </w:t>
      </w:r>
      <w:r w:rsidR="00A43BF0" w:rsidRPr="005767AD">
        <w:rPr>
          <w:rFonts w:asciiTheme="minorHAnsi" w:hAnsiTheme="minorHAnsi"/>
          <w:color w:val="auto"/>
          <w:szCs w:val="24"/>
        </w:rPr>
        <w:t xml:space="preserve"> </w:t>
      </w:r>
      <w:r w:rsidRPr="005767AD">
        <w:rPr>
          <w:rFonts w:asciiTheme="minorHAnsi" w:hAnsiTheme="minorHAnsi"/>
          <w:color w:val="auto"/>
          <w:szCs w:val="24"/>
        </w:rPr>
        <w:t>There was no limitati</w:t>
      </w:r>
      <w:r w:rsidR="008F5817">
        <w:rPr>
          <w:rFonts w:asciiTheme="minorHAnsi" w:hAnsiTheme="minorHAnsi"/>
          <w:color w:val="auto"/>
          <w:szCs w:val="24"/>
        </w:rPr>
        <w:t xml:space="preserve">on of pain, fatigue, weakness or </w:t>
      </w:r>
      <w:r w:rsidRPr="005767AD">
        <w:rPr>
          <w:rFonts w:asciiTheme="minorHAnsi" w:hAnsiTheme="minorHAnsi"/>
          <w:color w:val="auto"/>
          <w:szCs w:val="24"/>
        </w:rPr>
        <w:t>lack o</w:t>
      </w:r>
      <w:r w:rsidR="008F5817">
        <w:rPr>
          <w:rFonts w:asciiTheme="minorHAnsi" w:hAnsiTheme="minorHAnsi"/>
          <w:color w:val="auto"/>
          <w:szCs w:val="24"/>
        </w:rPr>
        <w:t>f</w:t>
      </w:r>
      <w:r w:rsidRPr="005767AD">
        <w:rPr>
          <w:rFonts w:asciiTheme="minorHAnsi" w:hAnsiTheme="minorHAnsi"/>
          <w:color w:val="auto"/>
          <w:szCs w:val="24"/>
        </w:rPr>
        <w:t xml:space="preserve"> endurance. The examiner’s conclusion was internal derangement for the left knee associated with degenerative joint disease.  </w:t>
      </w:r>
      <w:r w:rsidR="00CD34C4" w:rsidRPr="005767AD">
        <w:rPr>
          <w:rFonts w:asciiTheme="minorHAnsi" w:hAnsiTheme="minorHAnsi"/>
          <w:color w:val="auto"/>
          <w:szCs w:val="24"/>
        </w:rPr>
        <w:t xml:space="preserve">The VA </w:t>
      </w:r>
      <w:r w:rsidR="00FA1635" w:rsidRPr="005767AD">
        <w:rPr>
          <w:rFonts w:asciiTheme="minorHAnsi" w:hAnsiTheme="minorHAnsi"/>
          <w:color w:val="auto"/>
          <w:szCs w:val="24"/>
        </w:rPr>
        <w:t xml:space="preserve">and PEB </w:t>
      </w:r>
      <w:r w:rsidR="007311D3" w:rsidRPr="005767AD">
        <w:rPr>
          <w:rFonts w:asciiTheme="minorHAnsi" w:hAnsiTheme="minorHAnsi"/>
          <w:color w:val="auto"/>
          <w:szCs w:val="24"/>
        </w:rPr>
        <w:t>chose</w:t>
      </w:r>
      <w:r w:rsidR="00FA1635" w:rsidRPr="005767AD">
        <w:rPr>
          <w:rFonts w:asciiTheme="minorHAnsi" w:hAnsiTheme="minorHAnsi"/>
          <w:color w:val="auto"/>
          <w:szCs w:val="24"/>
        </w:rPr>
        <w:t xml:space="preserve"> different coding options for the Bicompartmental Osteoarthritis of the Left Knee which did not materially impact the level of disability rating. </w:t>
      </w:r>
      <w:r w:rsidR="00A43BF0" w:rsidRPr="005767AD">
        <w:rPr>
          <w:rFonts w:asciiTheme="minorHAnsi" w:hAnsiTheme="minorHAnsi"/>
          <w:color w:val="auto"/>
          <w:szCs w:val="24"/>
        </w:rPr>
        <w:t xml:space="preserve"> </w:t>
      </w:r>
      <w:r w:rsidR="00A17301" w:rsidRPr="005767AD">
        <w:rPr>
          <w:rFonts w:asciiTheme="minorHAnsi" w:hAnsiTheme="minorHAnsi"/>
          <w:color w:val="auto"/>
          <w:szCs w:val="24"/>
        </w:rPr>
        <w:t xml:space="preserve">The CI contends he was not able to get a job in his line of work: law enforcement, security, private investigation. </w:t>
      </w:r>
      <w:r w:rsidR="00A43BF0" w:rsidRPr="005767AD">
        <w:rPr>
          <w:rFonts w:asciiTheme="minorHAnsi" w:hAnsiTheme="minorHAnsi"/>
          <w:color w:val="auto"/>
          <w:szCs w:val="24"/>
        </w:rPr>
        <w:t xml:space="preserve"> </w:t>
      </w:r>
      <w:r w:rsidR="00A17301" w:rsidRPr="005767AD">
        <w:rPr>
          <w:rFonts w:asciiTheme="minorHAnsi" w:hAnsiTheme="minorHAnsi"/>
          <w:color w:val="auto"/>
          <w:szCs w:val="24"/>
        </w:rPr>
        <w:t>However, limitations were not noted in his examination summaries.  After due deliberation, there is not reasonable doubt in the CI’s favor, therefore, to justify a Board recommendation for other than the 10% rating assigned by the PEB for the Bicompartmental Osteoarthritis of the Left Knee condition.</w:t>
      </w:r>
      <w:r w:rsidR="00D56C4B" w:rsidRPr="005767AD">
        <w:rPr>
          <w:rFonts w:asciiTheme="minorHAnsi" w:hAnsiTheme="minorHAnsi"/>
          <w:color w:val="auto"/>
          <w:szCs w:val="24"/>
        </w:rPr>
        <w:t xml:space="preserve"> </w:t>
      </w:r>
      <w:r w:rsidR="00A43BF0" w:rsidRPr="005767AD">
        <w:rPr>
          <w:rFonts w:asciiTheme="minorHAnsi" w:hAnsiTheme="minorHAnsi"/>
          <w:color w:val="auto"/>
          <w:szCs w:val="24"/>
        </w:rPr>
        <w:t xml:space="preserve"> </w:t>
      </w:r>
      <w:r w:rsidR="00D56C4B" w:rsidRPr="005767AD">
        <w:rPr>
          <w:rFonts w:asciiTheme="minorHAnsi" w:hAnsiTheme="minorHAnsi"/>
          <w:color w:val="auto"/>
          <w:szCs w:val="24"/>
        </w:rPr>
        <w:t>A 10 percent evaluation is assigned for x-ray evidence of arthritis with painful or limited motion.</w:t>
      </w:r>
    </w:p>
    <w:p w:rsidR="00C87BCD" w:rsidRDefault="00C87BCD">
      <w:pPr>
        <w:rPr>
          <w:rFonts w:asciiTheme="minorHAnsi" w:hAnsiTheme="minorHAnsi"/>
          <w:color w:val="auto"/>
          <w:szCs w:val="24"/>
        </w:rPr>
      </w:pPr>
      <w:r>
        <w:rPr>
          <w:rFonts w:asciiTheme="minorHAnsi" w:hAnsiTheme="minorHAnsi"/>
          <w:color w:val="auto"/>
          <w:szCs w:val="24"/>
        </w:rPr>
        <w:br w:type="page"/>
      </w:r>
    </w:p>
    <w:p w:rsidR="0055660F" w:rsidRPr="005767AD" w:rsidRDefault="0055660F" w:rsidP="00AD5BA7">
      <w:pPr>
        <w:tabs>
          <w:tab w:val="left" w:pos="288"/>
          <w:tab w:val="left" w:pos="4752"/>
        </w:tabs>
        <w:spacing w:line="240" w:lineRule="exact"/>
        <w:jc w:val="both"/>
        <w:rPr>
          <w:rFonts w:asciiTheme="minorHAnsi" w:hAnsiTheme="minorHAnsi"/>
          <w:color w:val="auto"/>
          <w:szCs w:val="24"/>
        </w:rPr>
      </w:pPr>
    </w:p>
    <w:tbl>
      <w:tblPr>
        <w:tblW w:w="9604" w:type="dxa"/>
        <w:jc w:val="center"/>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20"/>
        <w:gridCol w:w="1530"/>
        <w:gridCol w:w="1530"/>
        <w:gridCol w:w="1710"/>
        <w:gridCol w:w="2014"/>
      </w:tblGrid>
      <w:tr w:rsidR="0055660F" w:rsidRPr="005767AD" w:rsidTr="002435BE">
        <w:trPr>
          <w:jc w:val="center"/>
        </w:trPr>
        <w:tc>
          <w:tcPr>
            <w:tcW w:w="2820" w:type="dxa"/>
            <w:shd w:val="clear" w:color="auto" w:fill="D9D9D9" w:themeFill="background1" w:themeFillShade="D9"/>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Knee</w:t>
            </w:r>
          </w:p>
        </w:tc>
        <w:tc>
          <w:tcPr>
            <w:tcW w:w="6784" w:type="dxa"/>
            <w:gridSpan w:val="4"/>
            <w:shd w:val="clear" w:color="auto" w:fill="D9D9D9" w:themeFill="background1" w:themeFillShade="D9"/>
          </w:tcPr>
          <w:p w:rsidR="0055660F" w:rsidRPr="005767AD" w:rsidRDefault="0055660F" w:rsidP="00AD5BA7">
            <w:pPr>
              <w:spacing w:line="240" w:lineRule="exact"/>
              <w:contextualSpacing/>
              <w:jc w:val="center"/>
              <w:rPr>
                <w:rFonts w:asciiTheme="minorHAnsi" w:eastAsia="Calibri" w:hAnsiTheme="minorHAnsi"/>
                <w:color w:val="auto"/>
                <w:sz w:val="22"/>
                <w:szCs w:val="22"/>
              </w:rPr>
            </w:pPr>
          </w:p>
        </w:tc>
      </w:tr>
      <w:tr w:rsidR="0055660F" w:rsidRPr="005767AD" w:rsidTr="002435BE">
        <w:trPr>
          <w:jc w:val="center"/>
        </w:trPr>
        <w:tc>
          <w:tcPr>
            <w:tcW w:w="2820" w:type="dxa"/>
            <w:shd w:val="clear" w:color="auto" w:fill="D9D9D9" w:themeFill="background1" w:themeFillShade="D9"/>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Goniometric ROM</w:t>
            </w:r>
          </w:p>
        </w:tc>
        <w:tc>
          <w:tcPr>
            <w:tcW w:w="1530" w:type="dxa"/>
            <w:shd w:val="clear" w:color="auto" w:fill="D9D9D9" w:themeFill="background1" w:themeFillShade="D9"/>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 xml:space="preserve">PT </w:t>
            </w:r>
          </w:p>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20040820</w:t>
            </w:r>
          </w:p>
        </w:tc>
        <w:tc>
          <w:tcPr>
            <w:tcW w:w="1530" w:type="dxa"/>
            <w:shd w:val="clear" w:color="auto" w:fill="D9D9D9" w:themeFill="background1" w:themeFillShade="D9"/>
          </w:tcPr>
          <w:p w:rsidR="0055660F" w:rsidRPr="005767AD" w:rsidRDefault="00AD5BA7"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PT -</w:t>
            </w:r>
            <w:r w:rsidR="0055660F" w:rsidRPr="005767AD">
              <w:rPr>
                <w:rFonts w:asciiTheme="minorHAnsi" w:eastAsia="Calibri" w:hAnsiTheme="minorHAnsi"/>
                <w:color w:val="auto"/>
                <w:sz w:val="22"/>
                <w:szCs w:val="22"/>
              </w:rPr>
              <w:t xml:space="preserve"> 20041030</w:t>
            </w:r>
          </w:p>
        </w:tc>
        <w:tc>
          <w:tcPr>
            <w:tcW w:w="1710" w:type="dxa"/>
            <w:shd w:val="clear" w:color="auto" w:fill="D9D9D9" w:themeFill="background1" w:themeFillShade="D9"/>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MEB - 20061003</w:t>
            </w:r>
          </w:p>
        </w:tc>
        <w:tc>
          <w:tcPr>
            <w:tcW w:w="2014" w:type="dxa"/>
            <w:shd w:val="clear" w:color="auto" w:fill="D9D9D9" w:themeFill="background1" w:themeFillShade="D9"/>
          </w:tcPr>
          <w:p w:rsidR="0055660F" w:rsidRPr="005767AD" w:rsidRDefault="0055660F" w:rsidP="00AD5BA7">
            <w:pPr>
              <w:spacing w:line="240" w:lineRule="exact"/>
              <w:contextualSpacing/>
              <w:jc w:val="center"/>
              <w:rPr>
                <w:rFonts w:asciiTheme="minorHAnsi" w:eastAsiaTheme="minorHAnsi" w:hAnsiTheme="minorHAnsi" w:cstheme="minorBidi"/>
                <w:color w:val="auto"/>
                <w:sz w:val="22"/>
                <w:szCs w:val="22"/>
              </w:rPr>
            </w:pPr>
            <w:r w:rsidRPr="005767AD">
              <w:rPr>
                <w:rFonts w:asciiTheme="minorHAnsi" w:eastAsia="Calibri" w:hAnsiTheme="minorHAnsi"/>
                <w:color w:val="auto"/>
                <w:sz w:val="22"/>
                <w:szCs w:val="22"/>
              </w:rPr>
              <w:t>VA</w:t>
            </w:r>
            <w:r w:rsidRPr="005767AD">
              <w:rPr>
                <w:rFonts w:asciiTheme="minorHAnsi" w:eastAsiaTheme="minorHAnsi" w:hAnsiTheme="minorHAnsi" w:cstheme="minorBidi"/>
                <w:color w:val="auto"/>
                <w:sz w:val="22"/>
                <w:szCs w:val="22"/>
              </w:rPr>
              <w:t xml:space="preserve"> C&amp;P - </w:t>
            </w:r>
            <w:r w:rsidRPr="005767AD">
              <w:rPr>
                <w:rFonts w:asciiTheme="minorHAnsi" w:eastAsia="Calibri" w:hAnsiTheme="minorHAnsi"/>
                <w:color w:val="auto"/>
                <w:sz w:val="22"/>
                <w:szCs w:val="22"/>
              </w:rPr>
              <w:t>20070330</w:t>
            </w:r>
          </w:p>
        </w:tc>
      </w:tr>
      <w:tr w:rsidR="0055660F" w:rsidRPr="005767AD" w:rsidTr="002435BE">
        <w:trPr>
          <w:jc w:val="center"/>
        </w:trPr>
        <w:tc>
          <w:tcPr>
            <w:tcW w:w="2820" w:type="dxa"/>
          </w:tcPr>
          <w:p w:rsidR="0055660F" w:rsidRPr="005767AD" w:rsidRDefault="0055660F" w:rsidP="00AD5BA7">
            <w:pPr>
              <w:spacing w:line="240" w:lineRule="exact"/>
              <w:contextualSpacing/>
              <w:rPr>
                <w:rFonts w:asciiTheme="minorHAnsi" w:eastAsia="Calibri" w:hAnsiTheme="minorHAnsi"/>
                <w:color w:val="auto"/>
                <w:sz w:val="22"/>
                <w:szCs w:val="22"/>
              </w:rPr>
            </w:pPr>
            <w:r w:rsidRPr="005767AD">
              <w:rPr>
                <w:rFonts w:asciiTheme="minorHAnsi" w:eastAsia="Calibri" w:hAnsiTheme="minorHAnsi"/>
                <w:color w:val="auto"/>
                <w:sz w:val="22"/>
                <w:szCs w:val="22"/>
              </w:rPr>
              <w:t>Flexion 0-140⁰ normal</w:t>
            </w:r>
          </w:p>
        </w:tc>
        <w:tc>
          <w:tcPr>
            <w:tcW w:w="1530" w:type="dxa"/>
          </w:tcPr>
          <w:p w:rsidR="0055660F" w:rsidRPr="005767AD" w:rsidRDefault="0055660F" w:rsidP="00AD5BA7">
            <w:pPr>
              <w:spacing w:line="240" w:lineRule="exact"/>
              <w:contextualSpacing/>
              <w:jc w:val="center"/>
              <w:rPr>
                <w:rFonts w:asciiTheme="minorHAnsi" w:eastAsia="Calibri" w:hAnsiTheme="minorHAnsi"/>
                <w:color w:val="auto"/>
                <w:sz w:val="22"/>
                <w:szCs w:val="22"/>
              </w:rPr>
            </w:pPr>
          </w:p>
        </w:tc>
        <w:tc>
          <w:tcPr>
            <w:tcW w:w="1530" w:type="dxa"/>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Decreased by 20⁰</w:t>
            </w:r>
          </w:p>
        </w:tc>
        <w:tc>
          <w:tcPr>
            <w:tcW w:w="1710" w:type="dxa"/>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120⁰</w:t>
            </w:r>
          </w:p>
        </w:tc>
        <w:tc>
          <w:tcPr>
            <w:tcW w:w="2014" w:type="dxa"/>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115⁰</w:t>
            </w:r>
          </w:p>
        </w:tc>
      </w:tr>
      <w:tr w:rsidR="0055660F" w:rsidRPr="005767AD" w:rsidTr="002435BE">
        <w:trPr>
          <w:jc w:val="center"/>
        </w:trPr>
        <w:tc>
          <w:tcPr>
            <w:tcW w:w="2820" w:type="dxa"/>
          </w:tcPr>
          <w:p w:rsidR="0055660F" w:rsidRPr="005767AD" w:rsidRDefault="0055660F" w:rsidP="00AD5BA7">
            <w:pPr>
              <w:spacing w:line="240" w:lineRule="exact"/>
              <w:contextualSpacing/>
              <w:rPr>
                <w:rFonts w:asciiTheme="minorHAnsi" w:eastAsia="Calibri" w:hAnsiTheme="minorHAnsi"/>
                <w:color w:val="auto"/>
                <w:sz w:val="22"/>
                <w:szCs w:val="22"/>
              </w:rPr>
            </w:pPr>
            <w:r w:rsidRPr="005767AD">
              <w:rPr>
                <w:rFonts w:asciiTheme="minorHAnsi" w:eastAsia="Calibri" w:hAnsiTheme="minorHAnsi"/>
                <w:color w:val="auto"/>
                <w:sz w:val="22"/>
                <w:szCs w:val="22"/>
              </w:rPr>
              <w:t>Extension 0⁰ normal</w:t>
            </w:r>
          </w:p>
        </w:tc>
        <w:tc>
          <w:tcPr>
            <w:tcW w:w="1530" w:type="dxa"/>
          </w:tcPr>
          <w:p w:rsidR="0055660F" w:rsidRPr="005767AD" w:rsidRDefault="0055660F" w:rsidP="00AD5BA7">
            <w:pPr>
              <w:spacing w:line="240" w:lineRule="exact"/>
              <w:contextualSpacing/>
              <w:jc w:val="center"/>
              <w:rPr>
                <w:rFonts w:asciiTheme="minorHAnsi" w:eastAsia="Calibri" w:hAnsiTheme="minorHAnsi"/>
                <w:color w:val="auto"/>
                <w:sz w:val="22"/>
                <w:szCs w:val="22"/>
              </w:rPr>
            </w:pPr>
          </w:p>
        </w:tc>
        <w:tc>
          <w:tcPr>
            <w:tcW w:w="1530" w:type="dxa"/>
          </w:tcPr>
          <w:p w:rsidR="0055660F" w:rsidRPr="005767AD" w:rsidRDefault="0055660F" w:rsidP="00AD5BA7">
            <w:pPr>
              <w:spacing w:line="240" w:lineRule="exact"/>
              <w:contextualSpacing/>
              <w:jc w:val="center"/>
              <w:rPr>
                <w:rFonts w:asciiTheme="minorHAnsi" w:eastAsia="Calibri" w:hAnsiTheme="minorHAnsi"/>
                <w:color w:val="auto"/>
                <w:sz w:val="22"/>
                <w:szCs w:val="22"/>
              </w:rPr>
            </w:pPr>
          </w:p>
        </w:tc>
        <w:tc>
          <w:tcPr>
            <w:tcW w:w="1710" w:type="dxa"/>
          </w:tcPr>
          <w:p w:rsidR="0055660F" w:rsidRPr="005767AD" w:rsidRDefault="00AD5BA7"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-15</w:t>
            </w:r>
            <w:r w:rsidR="0055660F" w:rsidRPr="005767AD">
              <w:rPr>
                <w:rFonts w:asciiTheme="minorHAnsi" w:eastAsia="Calibri" w:hAnsiTheme="minorHAnsi"/>
                <w:color w:val="auto"/>
                <w:sz w:val="22"/>
                <w:szCs w:val="22"/>
              </w:rPr>
              <w:t>⁰</w:t>
            </w:r>
          </w:p>
        </w:tc>
        <w:tc>
          <w:tcPr>
            <w:tcW w:w="2014" w:type="dxa"/>
          </w:tcPr>
          <w:p w:rsidR="0055660F" w:rsidRPr="005767AD" w:rsidRDefault="0055660F" w:rsidP="00AD5BA7">
            <w:pPr>
              <w:spacing w:line="240" w:lineRule="exact"/>
              <w:contextualSpacing/>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0⁰</w:t>
            </w:r>
          </w:p>
        </w:tc>
      </w:tr>
      <w:tr w:rsidR="0055660F" w:rsidRPr="005767AD" w:rsidTr="002435BE">
        <w:trPr>
          <w:jc w:val="center"/>
        </w:trPr>
        <w:tc>
          <w:tcPr>
            <w:tcW w:w="2820" w:type="dxa"/>
          </w:tcPr>
          <w:p w:rsidR="0055660F" w:rsidRPr="005767AD" w:rsidRDefault="0055660F" w:rsidP="00AD5BA7">
            <w:pPr>
              <w:tabs>
                <w:tab w:val="left" w:pos="288"/>
                <w:tab w:val="left" w:pos="4752"/>
              </w:tabs>
              <w:spacing w:line="240" w:lineRule="exact"/>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§4.71a Rating</w:t>
            </w:r>
            <w:r w:rsidR="00787771" w:rsidRPr="005767AD">
              <w:rPr>
                <w:rFonts w:asciiTheme="minorHAnsi" w:eastAsiaTheme="minorHAnsi" w:hAnsiTheme="minorHAnsi"/>
                <w:color w:val="auto"/>
                <w:sz w:val="22"/>
                <w:szCs w:val="22"/>
              </w:rPr>
              <w:t xml:space="preserve"> for ROM</w:t>
            </w:r>
          </w:p>
        </w:tc>
        <w:tc>
          <w:tcPr>
            <w:tcW w:w="153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p>
        </w:tc>
        <w:tc>
          <w:tcPr>
            <w:tcW w:w="153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w:t>
            </w:r>
          </w:p>
        </w:tc>
        <w:tc>
          <w:tcPr>
            <w:tcW w:w="1710" w:type="dxa"/>
          </w:tcPr>
          <w:p w:rsidR="0055660F" w:rsidRPr="005767AD" w:rsidRDefault="00787771"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10</w:t>
            </w:r>
            <w:r w:rsidR="0055660F" w:rsidRPr="005767AD">
              <w:rPr>
                <w:rFonts w:asciiTheme="minorHAnsi" w:eastAsiaTheme="minorHAnsi" w:hAnsiTheme="minorHAnsi"/>
                <w:color w:val="auto"/>
                <w:sz w:val="22"/>
                <w:szCs w:val="22"/>
              </w:rPr>
              <w:t>%</w:t>
            </w:r>
          </w:p>
        </w:tc>
        <w:tc>
          <w:tcPr>
            <w:tcW w:w="2014"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10%</w:t>
            </w:r>
          </w:p>
        </w:tc>
      </w:tr>
      <w:tr w:rsidR="0055660F" w:rsidRPr="005767AD" w:rsidTr="002435BE">
        <w:trPr>
          <w:jc w:val="center"/>
        </w:trPr>
        <w:tc>
          <w:tcPr>
            <w:tcW w:w="2820" w:type="dxa"/>
          </w:tcPr>
          <w:p w:rsidR="0055660F" w:rsidRPr="005767AD" w:rsidRDefault="0055660F" w:rsidP="00AD5BA7">
            <w:pPr>
              <w:tabs>
                <w:tab w:val="left" w:pos="288"/>
                <w:tab w:val="left" w:pos="4752"/>
              </w:tabs>
              <w:spacing w:line="240" w:lineRule="exact"/>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Comments</w:t>
            </w:r>
          </w:p>
          <w:p w:rsidR="0055660F" w:rsidRPr="005767AD" w:rsidRDefault="0055660F" w:rsidP="00AD5BA7">
            <w:pPr>
              <w:tabs>
                <w:tab w:val="left" w:pos="288"/>
                <w:tab w:val="left" w:pos="4752"/>
              </w:tabs>
              <w:spacing w:line="240" w:lineRule="exact"/>
              <w:rPr>
                <w:rFonts w:asciiTheme="minorHAnsi" w:eastAsiaTheme="minorHAnsi" w:hAnsiTheme="minorHAnsi"/>
                <w:color w:val="auto"/>
                <w:sz w:val="22"/>
                <w:szCs w:val="22"/>
              </w:rPr>
            </w:pPr>
          </w:p>
        </w:tc>
        <w:tc>
          <w:tcPr>
            <w:tcW w:w="1530" w:type="dxa"/>
          </w:tcPr>
          <w:p w:rsidR="0055660F" w:rsidRPr="005767AD" w:rsidRDefault="0055660F" w:rsidP="00AD5BA7">
            <w:pPr>
              <w:tabs>
                <w:tab w:val="left" w:pos="288"/>
                <w:tab w:val="left" w:pos="4752"/>
              </w:tabs>
              <w:spacing w:line="240" w:lineRule="exact"/>
              <w:jc w:val="center"/>
              <w:rPr>
                <w:rFonts w:asciiTheme="minorHAnsi" w:eastAsia="Calibri" w:hAnsiTheme="minorHAnsi"/>
                <w:color w:val="auto"/>
                <w:sz w:val="22"/>
                <w:szCs w:val="22"/>
              </w:rPr>
            </w:pPr>
            <w:r w:rsidRPr="005767AD">
              <w:rPr>
                <w:rFonts w:asciiTheme="minorHAnsi" w:eastAsiaTheme="minorHAnsi" w:hAnsiTheme="minorHAnsi"/>
                <w:color w:val="auto"/>
                <w:sz w:val="22"/>
                <w:szCs w:val="22"/>
              </w:rPr>
              <w:t>straight→80</w:t>
            </w:r>
            <w:r w:rsidRPr="005767AD">
              <w:rPr>
                <w:rFonts w:asciiTheme="minorHAnsi" w:eastAsia="Calibri" w:hAnsiTheme="minorHAnsi"/>
                <w:color w:val="auto"/>
                <w:sz w:val="22"/>
                <w:szCs w:val="22"/>
              </w:rPr>
              <w:t>⁰</w:t>
            </w:r>
          </w:p>
          <w:p w:rsidR="0055660F" w:rsidRPr="005767AD" w:rsidRDefault="0055660F" w:rsidP="00AD5BA7">
            <w:pPr>
              <w:tabs>
                <w:tab w:val="left" w:pos="288"/>
                <w:tab w:val="left" w:pos="4752"/>
              </w:tabs>
              <w:spacing w:line="240" w:lineRule="exact"/>
              <w:jc w:val="center"/>
              <w:rPr>
                <w:rFonts w:asciiTheme="minorHAnsi" w:eastAsia="Calibri" w:hAnsiTheme="minorHAnsi"/>
                <w:color w:val="auto"/>
                <w:sz w:val="22"/>
                <w:szCs w:val="22"/>
              </w:rPr>
            </w:pPr>
            <w:r w:rsidRPr="005767AD">
              <w:rPr>
                <w:rFonts w:asciiTheme="minorHAnsi" w:eastAsia="Calibri" w:hAnsiTheme="minorHAnsi"/>
                <w:color w:val="auto"/>
                <w:sz w:val="22"/>
                <w:szCs w:val="22"/>
              </w:rPr>
              <w:t xml:space="preserve">bent </w:t>
            </w:r>
            <w:r w:rsidRPr="005767AD">
              <w:rPr>
                <w:rFonts w:asciiTheme="minorHAnsi" w:eastAsiaTheme="minorHAnsi" w:hAnsiTheme="minorHAnsi"/>
                <w:color w:val="auto"/>
                <w:sz w:val="22"/>
                <w:szCs w:val="22"/>
              </w:rPr>
              <w:t>→180</w:t>
            </w:r>
            <w:r w:rsidRPr="005767AD">
              <w:rPr>
                <w:rFonts w:asciiTheme="minorHAnsi" w:eastAsia="Calibri" w:hAnsiTheme="minorHAnsi"/>
                <w:color w:val="auto"/>
                <w:sz w:val="22"/>
                <w:szCs w:val="22"/>
              </w:rPr>
              <w:t>⁰</w:t>
            </w:r>
          </w:p>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proofErr w:type="spellStart"/>
            <w:r w:rsidRPr="005767AD">
              <w:rPr>
                <w:rFonts w:asciiTheme="minorHAnsi" w:eastAsia="Calibri" w:hAnsiTheme="minorHAnsi"/>
                <w:color w:val="auto"/>
                <w:sz w:val="22"/>
                <w:szCs w:val="22"/>
              </w:rPr>
              <w:t>McMurrays</w:t>
            </w:r>
            <w:proofErr w:type="spellEnd"/>
            <w:r w:rsidRPr="005767AD">
              <w:rPr>
                <w:rFonts w:asciiTheme="minorHAnsi" w:eastAsia="Calibri" w:hAnsiTheme="minorHAnsi"/>
                <w:color w:val="auto"/>
                <w:sz w:val="22"/>
                <w:szCs w:val="22"/>
              </w:rPr>
              <w:t xml:space="preserve"> mildly to pain on both medial and lateral meniscus</w:t>
            </w:r>
          </w:p>
        </w:tc>
        <w:tc>
          <w:tcPr>
            <w:tcW w:w="153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Full ROM, pain free flexion and extension No pain with palpation</w:t>
            </w:r>
          </w:p>
        </w:tc>
        <w:tc>
          <w:tcPr>
            <w:tcW w:w="171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No tenderness over patellar ligament</w:t>
            </w:r>
          </w:p>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Positive Lachman sign, positive pivot sign, anterior drawer sign positive with an end point</w:t>
            </w:r>
          </w:p>
        </w:tc>
        <w:tc>
          <w:tcPr>
            <w:tcW w:w="2014"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No pain on motion three repetitions ROM not limited by pain, fatigue, weakness or lack of endurance extension with laxity 0f 10</w:t>
            </w:r>
            <w:r w:rsidRPr="005767AD">
              <w:rPr>
                <w:rFonts w:asciiTheme="minorHAnsi" w:eastAsia="Calibri" w:hAnsiTheme="minorHAnsi"/>
                <w:color w:val="auto"/>
                <w:sz w:val="22"/>
                <w:szCs w:val="22"/>
              </w:rPr>
              <w:t>⁰ in either direction.</w:t>
            </w:r>
          </w:p>
        </w:tc>
      </w:tr>
      <w:tr w:rsidR="00787771" w:rsidRPr="005767AD" w:rsidTr="002435BE">
        <w:trPr>
          <w:jc w:val="center"/>
        </w:trPr>
        <w:tc>
          <w:tcPr>
            <w:tcW w:w="2820" w:type="dxa"/>
          </w:tcPr>
          <w:p w:rsidR="00787771" w:rsidRPr="005767AD" w:rsidRDefault="000E3644" w:rsidP="00AD5BA7">
            <w:pPr>
              <w:tabs>
                <w:tab w:val="left" w:pos="288"/>
                <w:tab w:val="left" w:pos="4752"/>
              </w:tabs>
              <w:spacing w:line="240" w:lineRule="exact"/>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 xml:space="preserve">§4.71a </w:t>
            </w:r>
            <w:r w:rsidR="00787771" w:rsidRPr="005767AD">
              <w:rPr>
                <w:rFonts w:asciiTheme="minorHAnsi" w:eastAsiaTheme="minorHAnsi" w:hAnsiTheme="minorHAnsi"/>
                <w:color w:val="auto"/>
                <w:sz w:val="22"/>
                <w:szCs w:val="22"/>
              </w:rPr>
              <w:t xml:space="preserve">Rating for Instability </w:t>
            </w:r>
          </w:p>
        </w:tc>
        <w:tc>
          <w:tcPr>
            <w:tcW w:w="1530" w:type="dxa"/>
          </w:tcPr>
          <w:p w:rsidR="00787771" w:rsidRPr="005767AD" w:rsidRDefault="00787771" w:rsidP="00AD5BA7">
            <w:pPr>
              <w:tabs>
                <w:tab w:val="left" w:pos="288"/>
                <w:tab w:val="left" w:pos="4752"/>
              </w:tabs>
              <w:spacing w:line="240" w:lineRule="exact"/>
              <w:jc w:val="center"/>
              <w:rPr>
                <w:rFonts w:asciiTheme="minorHAnsi" w:eastAsiaTheme="minorHAnsi" w:hAnsiTheme="minorHAnsi"/>
                <w:color w:val="auto"/>
                <w:sz w:val="22"/>
                <w:szCs w:val="22"/>
              </w:rPr>
            </w:pPr>
          </w:p>
        </w:tc>
        <w:tc>
          <w:tcPr>
            <w:tcW w:w="1530" w:type="dxa"/>
          </w:tcPr>
          <w:p w:rsidR="00787771" w:rsidRPr="005767AD" w:rsidRDefault="00787771" w:rsidP="00AD5BA7">
            <w:pPr>
              <w:tabs>
                <w:tab w:val="left" w:pos="288"/>
                <w:tab w:val="left" w:pos="4752"/>
              </w:tabs>
              <w:spacing w:line="240" w:lineRule="exact"/>
              <w:jc w:val="center"/>
              <w:rPr>
                <w:rFonts w:asciiTheme="minorHAnsi" w:eastAsiaTheme="minorHAnsi" w:hAnsiTheme="minorHAnsi"/>
                <w:color w:val="auto"/>
                <w:sz w:val="22"/>
                <w:szCs w:val="22"/>
              </w:rPr>
            </w:pPr>
          </w:p>
        </w:tc>
        <w:tc>
          <w:tcPr>
            <w:tcW w:w="1710" w:type="dxa"/>
          </w:tcPr>
          <w:p w:rsidR="00787771" w:rsidRPr="005767AD" w:rsidRDefault="00787771"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10%</w:t>
            </w:r>
          </w:p>
        </w:tc>
        <w:tc>
          <w:tcPr>
            <w:tcW w:w="2014" w:type="dxa"/>
          </w:tcPr>
          <w:p w:rsidR="00787771" w:rsidRPr="005767AD" w:rsidRDefault="00787771"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10%</w:t>
            </w:r>
          </w:p>
        </w:tc>
      </w:tr>
    </w:tbl>
    <w:p w:rsidR="0055660F" w:rsidRPr="005767AD" w:rsidRDefault="0055660F" w:rsidP="00AD5BA7">
      <w:pPr>
        <w:spacing w:line="240" w:lineRule="exact"/>
        <w:rPr>
          <w:rFonts w:asciiTheme="minorHAnsi" w:hAnsiTheme="minorHAnsi"/>
          <w:color w:val="auto"/>
          <w:szCs w:val="24"/>
          <w:u w:val="single"/>
        </w:rPr>
      </w:pPr>
    </w:p>
    <w:tbl>
      <w:tblPr>
        <w:tblW w:w="9682" w:type="dxa"/>
        <w:jc w:val="center"/>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8"/>
        <w:gridCol w:w="1530"/>
        <w:gridCol w:w="1530"/>
        <w:gridCol w:w="1710"/>
        <w:gridCol w:w="2334"/>
      </w:tblGrid>
      <w:tr w:rsidR="0055660F" w:rsidRPr="005767AD" w:rsidTr="0055660F">
        <w:trPr>
          <w:jc w:val="center"/>
        </w:trPr>
        <w:tc>
          <w:tcPr>
            <w:tcW w:w="2578" w:type="dxa"/>
            <w:shd w:val="clear" w:color="auto" w:fill="D9D9D9" w:themeFill="background1" w:themeFillShade="D9"/>
          </w:tcPr>
          <w:p w:rsidR="0055660F" w:rsidRPr="005767AD" w:rsidRDefault="0055660F" w:rsidP="00AD5BA7">
            <w:pPr>
              <w:spacing w:line="240" w:lineRule="exact"/>
              <w:contextualSpacing/>
              <w:jc w:val="center"/>
              <w:rPr>
                <w:rFonts w:ascii="Calibri" w:eastAsia="Calibri" w:hAnsi="Calibri"/>
                <w:color w:val="auto"/>
                <w:sz w:val="22"/>
                <w:szCs w:val="22"/>
              </w:rPr>
            </w:pPr>
          </w:p>
        </w:tc>
        <w:tc>
          <w:tcPr>
            <w:tcW w:w="1530" w:type="dxa"/>
            <w:shd w:val="clear" w:color="auto" w:fill="D9D9D9" w:themeFill="background1" w:themeFillShade="D9"/>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 xml:space="preserve">PT </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19891212</w:t>
            </w:r>
          </w:p>
        </w:tc>
        <w:tc>
          <w:tcPr>
            <w:tcW w:w="1530" w:type="dxa"/>
            <w:shd w:val="clear" w:color="auto" w:fill="D9D9D9" w:themeFill="background1" w:themeFillShade="D9"/>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 xml:space="preserve">PT </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19900223</w:t>
            </w:r>
          </w:p>
        </w:tc>
        <w:tc>
          <w:tcPr>
            <w:tcW w:w="1710" w:type="dxa"/>
            <w:shd w:val="clear" w:color="auto" w:fill="D9D9D9" w:themeFill="background1" w:themeFillShade="D9"/>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PT</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19900402</w:t>
            </w:r>
          </w:p>
        </w:tc>
        <w:tc>
          <w:tcPr>
            <w:tcW w:w="2334" w:type="dxa"/>
            <w:tcBorders>
              <w:left w:val="single" w:sz="4" w:space="0" w:color="auto"/>
            </w:tcBorders>
            <w:shd w:val="clear" w:color="auto" w:fill="D9D9D9" w:themeFill="background1" w:themeFillShade="D9"/>
          </w:tcPr>
          <w:p w:rsidR="0055660F" w:rsidRPr="005767AD" w:rsidRDefault="0055660F" w:rsidP="00AD5BA7">
            <w:pPr>
              <w:spacing w:line="240" w:lineRule="exact"/>
              <w:contextualSpacing/>
              <w:rPr>
                <w:rFonts w:ascii="Calibri" w:eastAsia="Calibri" w:hAnsi="Calibri"/>
                <w:color w:val="auto"/>
                <w:sz w:val="22"/>
                <w:szCs w:val="22"/>
              </w:rPr>
            </w:pPr>
            <w:r w:rsidRPr="005767AD">
              <w:rPr>
                <w:rFonts w:ascii="Calibri" w:eastAsia="Calibri" w:hAnsi="Calibri"/>
                <w:color w:val="auto"/>
                <w:sz w:val="22"/>
                <w:szCs w:val="22"/>
              </w:rPr>
              <w:t xml:space="preserve">PT – </w:t>
            </w:r>
          </w:p>
          <w:p w:rsidR="0055660F" w:rsidRPr="005767AD" w:rsidRDefault="0055660F" w:rsidP="00AD5BA7">
            <w:pPr>
              <w:spacing w:line="240" w:lineRule="exact"/>
              <w:contextualSpacing/>
              <w:rPr>
                <w:rFonts w:ascii="Calibri" w:eastAsia="Calibri" w:hAnsi="Calibri"/>
                <w:color w:val="auto"/>
                <w:sz w:val="22"/>
                <w:szCs w:val="22"/>
              </w:rPr>
            </w:pPr>
            <w:r w:rsidRPr="005767AD">
              <w:rPr>
                <w:rFonts w:ascii="Calibri" w:eastAsia="Calibri" w:hAnsi="Calibri"/>
                <w:color w:val="auto"/>
                <w:sz w:val="22"/>
                <w:szCs w:val="22"/>
              </w:rPr>
              <w:t>19900726</w:t>
            </w:r>
          </w:p>
        </w:tc>
      </w:tr>
      <w:tr w:rsidR="0055660F" w:rsidRPr="005767AD" w:rsidTr="0055660F">
        <w:trPr>
          <w:jc w:val="center"/>
        </w:trPr>
        <w:tc>
          <w:tcPr>
            <w:tcW w:w="2578" w:type="dxa"/>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Flexion 0⁰-140⁰ normal</w:t>
            </w:r>
          </w:p>
          <w:p w:rsidR="0055660F" w:rsidRPr="005767AD" w:rsidRDefault="0055660F" w:rsidP="00AD5BA7">
            <w:pPr>
              <w:spacing w:line="240" w:lineRule="exact"/>
              <w:contextualSpacing/>
              <w:jc w:val="center"/>
              <w:rPr>
                <w:rFonts w:ascii="Calibri" w:eastAsia="Calibri" w:hAnsi="Calibri"/>
                <w:color w:val="auto"/>
                <w:sz w:val="22"/>
                <w:szCs w:val="22"/>
              </w:rPr>
            </w:pPr>
          </w:p>
        </w:tc>
        <w:tc>
          <w:tcPr>
            <w:tcW w:w="1530" w:type="dxa"/>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AROM</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-12⁰-118⁰</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Passive 8⁰-118⁰</w:t>
            </w:r>
          </w:p>
        </w:tc>
        <w:tc>
          <w:tcPr>
            <w:tcW w:w="1530" w:type="dxa"/>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AROM</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0⁰-130⁰</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 xml:space="preserve">Flexion </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0⁰-30⁰</w:t>
            </w:r>
          </w:p>
          <w:p w:rsidR="0055660F" w:rsidRPr="005767AD" w:rsidRDefault="0055660F" w:rsidP="00AD5BA7">
            <w:pPr>
              <w:spacing w:line="240" w:lineRule="exact"/>
              <w:contextualSpacing/>
              <w:jc w:val="center"/>
              <w:rPr>
                <w:rFonts w:ascii="Calibri" w:eastAsia="Calibri" w:hAnsi="Calibri"/>
                <w:color w:val="auto"/>
                <w:sz w:val="22"/>
                <w:szCs w:val="22"/>
              </w:rPr>
            </w:pPr>
          </w:p>
        </w:tc>
        <w:tc>
          <w:tcPr>
            <w:tcW w:w="1710" w:type="dxa"/>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AROM</w:t>
            </w:r>
          </w:p>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Calibri" w:eastAsia="Calibri" w:hAnsi="Calibri"/>
                <w:color w:val="auto"/>
                <w:sz w:val="22"/>
                <w:szCs w:val="22"/>
              </w:rPr>
              <w:t>0⁰-130⁰</w:t>
            </w:r>
          </w:p>
          <w:p w:rsidR="0055660F" w:rsidRPr="005767AD" w:rsidRDefault="0055660F" w:rsidP="00AD5BA7">
            <w:pPr>
              <w:spacing w:line="240" w:lineRule="exact"/>
              <w:contextualSpacing/>
              <w:jc w:val="center"/>
              <w:rPr>
                <w:rFonts w:ascii="Calibri" w:eastAsia="Calibri" w:hAnsi="Calibri"/>
                <w:color w:val="auto"/>
                <w:sz w:val="22"/>
                <w:szCs w:val="22"/>
              </w:rPr>
            </w:pPr>
          </w:p>
        </w:tc>
        <w:tc>
          <w:tcPr>
            <w:tcW w:w="2334" w:type="dxa"/>
            <w:tcBorders>
              <w:left w:val="single" w:sz="4" w:space="0" w:color="auto"/>
            </w:tcBorders>
          </w:tcPr>
          <w:p w:rsidR="0055660F" w:rsidRPr="005767AD" w:rsidRDefault="0055660F" w:rsidP="00AD5BA7">
            <w:pPr>
              <w:spacing w:line="240" w:lineRule="exact"/>
              <w:contextualSpacing/>
              <w:jc w:val="center"/>
              <w:rPr>
                <w:rFonts w:ascii="Calibri" w:eastAsia="Calibri" w:hAnsi="Calibri"/>
                <w:color w:val="auto"/>
                <w:sz w:val="22"/>
                <w:szCs w:val="22"/>
              </w:rPr>
            </w:pPr>
          </w:p>
          <w:p w:rsidR="0055660F" w:rsidRPr="005767AD" w:rsidRDefault="0055660F" w:rsidP="00AD5BA7">
            <w:pPr>
              <w:spacing w:line="240" w:lineRule="exact"/>
              <w:contextualSpacing/>
              <w:rPr>
                <w:rFonts w:ascii="Calibri" w:eastAsia="Calibri" w:hAnsi="Calibri"/>
                <w:color w:val="auto"/>
                <w:sz w:val="22"/>
                <w:szCs w:val="22"/>
              </w:rPr>
            </w:pPr>
            <w:r w:rsidRPr="005767AD">
              <w:rPr>
                <w:rFonts w:ascii="Calibri" w:eastAsia="Calibri" w:hAnsi="Calibri"/>
                <w:color w:val="auto"/>
                <w:sz w:val="22"/>
                <w:szCs w:val="22"/>
              </w:rPr>
              <w:t>0⁰-135⁰</w:t>
            </w:r>
          </w:p>
        </w:tc>
      </w:tr>
      <w:tr w:rsidR="0055660F" w:rsidRPr="005767AD" w:rsidTr="0055660F">
        <w:trPr>
          <w:jc w:val="center"/>
        </w:trPr>
        <w:tc>
          <w:tcPr>
            <w:tcW w:w="2578" w:type="dxa"/>
          </w:tcPr>
          <w:p w:rsidR="0055660F" w:rsidRPr="005767AD" w:rsidRDefault="0055660F" w:rsidP="00AD5BA7">
            <w:pPr>
              <w:spacing w:line="240" w:lineRule="exact"/>
              <w:contextualSpacing/>
              <w:jc w:val="center"/>
              <w:rPr>
                <w:rFonts w:ascii="Calibri" w:eastAsia="Calibri" w:hAnsi="Calibri"/>
                <w:color w:val="auto"/>
                <w:sz w:val="22"/>
                <w:szCs w:val="22"/>
              </w:rPr>
            </w:pPr>
            <w:r w:rsidRPr="005767AD">
              <w:rPr>
                <w:rFonts w:asciiTheme="minorHAnsi" w:eastAsia="Calibri" w:hAnsiTheme="minorHAnsi"/>
                <w:color w:val="auto"/>
                <w:sz w:val="22"/>
                <w:szCs w:val="22"/>
              </w:rPr>
              <w:t>Extension 0⁰ normal</w:t>
            </w:r>
          </w:p>
        </w:tc>
        <w:tc>
          <w:tcPr>
            <w:tcW w:w="1530" w:type="dxa"/>
          </w:tcPr>
          <w:p w:rsidR="0055660F" w:rsidRPr="005767AD" w:rsidRDefault="0055660F" w:rsidP="00AD5BA7">
            <w:pPr>
              <w:spacing w:line="240" w:lineRule="exact"/>
              <w:contextualSpacing/>
              <w:jc w:val="center"/>
              <w:rPr>
                <w:rFonts w:ascii="Calibri" w:eastAsia="Calibri" w:hAnsi="Calibri"/>
                <w:color w:val="auto"/>
                <w:sz w:val="22"/>
                <w:szCs w:val="22"/>
              </w:rPr>
            </w:pPr>
          </w:p>
        </w:tc>
        <w:tc>
          <w:tcPr>
            <w:tcW w:w="1530" w:type="dxa"/>
          </w:tcPr>
          <w:p w:rsidR="0055660F" w:rsidRPr="005767AD" w:rsidRDefault="0055660F" w:rsidP="00AD5BA7">
            <w:pPr>
              <w:spacing w:line="240" w:lineRule="exact"/>
              <w:contextualSpacing/>
              <w:jc w:val="center"/>
              <w:rPr>
                <w:rFonts w:ascii="Calibri" w:eastAsia="Calibri" w:hAnsi="Calibri"/>
                <w:color w:val="auto"/>
                <w:sz w:val="22"/>
                <w:szCs w:val="22"/>
              </w:rPr>
            </w:pPr>
          </w:p>
        </w:tc>
        <w:tc>
          <w:tcPr>
            <w:tcW w:w="1710" w:type="dxa"/>
          </w:tcPr>
          <w:p w:rsidR="0055660F" w:rsidRPr="005767AD" w:rsidRDefault="0055660F" w:rsidP="00AD5BA7">
            <w:pPr>
              <w:spacing w:line="240" w:lineRule="exact"/>
              <w:contextualSpacing/>
              <w:jc w:val="center"/>
              <w:rPr>
                <w:rFonts w:ascii="Calibri" w:eastAsia="Calibri" w:hAnsi="Calibri"/>
                <w:color w:val="auto"/>
                <w:sz w:val="22"/>
                <w:szCs w:val="22"/>
              </w:rPr>
            </w:pPr>
          </w:p>
        </w:tc>
        <w:tc>
          <w:tcPr>
            <w:tcW w:w="2334" w:type="dxa"/>
            <w:tcBorders>
              <w:left w:val="single" w:sz="4" w:space="0" w:color="auto"/>
            </w:tcBorders>
          </w:tcPr>
          <w:p w:rsidR="0055660F" w:rsidRPr="005767AD" w:rsidRDefault="0055660F" w:rsidP="00AD5BA7">
            <w:pPr>
              <w:spacing w:line="240" w:lineRule="exact"/>
              <w:contextualSpacing/>
              <w:rPr>
                <w:rFonts w:ascii="Calibri" w:eastAsia="Calibri" w:hAnsi="Calibri"/>
                <w:color w:val="auto"/>
                <w:sz w:val="22"/>
                <w:szCs w:val="22"/>
              </w:rPr>
            </w:pPr>
            <w:r w:rsidRPr="005767AD">
              <w:rPr>
                <w:rFonts w:ascii="Calibri" w:eastAsia="Calibri" w:hAnsi="Calibri"/>
                <w:color w:val="auto"/>
                <w:sz w:val="22"/>
                <w:szCs w:val="22"/>
              </w:rPr>
              <w:t>#⁰</w:t>
            </w:r>
          </w:p>
        </w:tc>
      </w:tr>
      <w:tr w:rsidR="0055660F" w:rsidRPr="005767AD" w:rsidTr="0055660F">
        <w:trPr>
          <w:jc w:val="center"/>
        </w:trPr>
        <w:tc>
          <w:tcPr>
            <w:tcW w:w="2578"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§4.71a Rating</w:t>
            </w:r>
          </w:p>
        </w:tc>
        <w:tc>
          <w:tcPr>
            <w:tcW w:w="153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p>
        </w:tc>
        <w:tc>
          <w:tcPr>
            <w:tcW w:w="153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p>
        </w:tc>
        <w:tc>
          <w:tcPr>
            <w:tcW w:w="171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p>
        </w:tc>
        <w:tc>
          <w:tcPr>
            <w:tcW w:w="2334" w:type="dxa"/>
            <w:tcBorders>
              <w:left w:val="single" w:sz="4" w:space="0" w:color="auto"/>
            </w:tcBorders>
          </w:tcPr>
          <w:p w:rsidR="0055660F" w:rsidRPr="005767AD" w:rsidRDefault="0055660F" w:rsidP="00AD5BA7">
            <w:pPr>
              <w:tabs>
                <w:tab w:val="left" w:pos="288"/>
                <w:tab w:val="left" w:pos="4752"/>
              </w:tabs>
              <w:spacing w:line="240" w:lineRule="exact"/>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w:t>
            </w:r>
          </w:p>
        </w:tc>
      </w:tr>
      <w:tr w:rsidR="0055660F" w:rsidRPr="005767AD" w:rsidTr="0055660F">
        <w:trPr>
          <w:jc w:val="center"/>
        </w:trPr>
        <w:tc>
          <w:tcPr>
            <w:tcW w:w="2578"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Comments</w:t>
            </w:r>
          </w:p>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p>
        </w:tc>
        <w:tc>
          <w:tcPr>
            <w:tcW w:w="1530" w:type="dxa"/>
          </w:tcPr>
          <w:p w:rsidR="0055660F" w:rsidRPr="005767AD" w:rsidRDefault="0055660F" w:rsidP="00AD5BA7">
            <w:pPr>
              <w:tabs>
                <w:tab w:val="left" w:pos="288"/>
                <w:tab w:val="left" w:pos="4752"/>
              </w:tabs>
              <w:spacing w:line="240" w:lineRule="exact"/>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Slight pain with patellar neck</w:t>
            </w:r>
          </w:p>
        </w:tc>
        <w:tc>
          <w:tcPr>
            <w:tcW w:w="153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Calibri" w:eastAsia="Calibri" w:hAnsi="Calibri"/>
                <w:color w:val="auto"/>
                <w:sz w:val="22"/>
                <w:szCs w:val="22"/>
              </w:rPr>
              <w:t>no swelling</w:t>
            </w:r>
          </w:p>
        </w:tc>
        <w:tc>
          <w:tcPr>
            <w:tcW w:w="1710" w:type="dxa"/>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No knee pain, no giving out</w:t>
            </w:r>
          </w:p>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Crepitus</w:t>
            </w:r>
          </w:p>
        </w:tc>
        <w:tc>
          <w:tcPr>
            <w:tcW w:w="2334" w:type="dxa"/>
            <w:tcBorders>
              <w:left w:val="single" w:sz="4" w:space="0" w:color="auto"/>
            </w:tcBorders>
          </w:tcPr>
          <w:p w:rsidR="0055660F" w:rsidRPr="005767AD" w:rsidRDefault="0055660F" w:rsidP="00AD5BA7">
            <w:pPr>
              <w:tabs>
                <w:tab w:val="left" w:pos="288"/>
                <w:tab w:val="left" w:pos="4752"/>
              </w:tabs>
              <w:spacing w:line="240" w:lineRule="exact"/>
              <w:jc w:val="center"/>
              <w:rPr>
                <w:rFonts w:asciiTheme="minorHAnsi" w:eastAsiaTheme="minorHAnsi" w:hAnsiTheme="minorHAnsi"/>
                <w:color w:val="auto"/>
                <w:sz w:val="22"/>
                <w:szCs w:val="22"/>
              </w:rPr>
            </w:pPr>
          </w:p>
          <w:p w:rsidR="0055660F" w:rsidRPr="005767AD" w:rsidRDefault="0055660F" w:rsidP="00AD5BA7">
            <w:pPr>
              <w:tabs>
                <w:tab w:val="left" w:pos="288"/>
                <w:tab w:val="left" w:pos="4752"/>
              </w:tabs>
              <w:spacing w:line="240" w:lineRule="exact"/>
              <w:rPr>
                <w:rFonts w:asciiTheme="minorHAnsi" w:eastAsiaTheme="minorHAnsi" w:hAnsiTheme="minorHAnsi"/>
                <w:color w:val="auto"/>
                <w:sz w:val="22"/>
                <w:szCs w:val="22"/>
              </w:rPr>
            </w:pPr>
            <w:r w:rsidRPr="005767AD">
              <w:rPr>
                <w:rFonts w:asciiTheme="minorHAnsi" w:eastAsiaTheme="minorHAnsi" w:hAnsiTheme="minorHAnsi"/>
                <w:color w:val="auto"/>
                <w:sz w:val="22"/>
                <w:szCs w:val="22"/>
              </w:rPr>
              <w:t>Feels static stretch is improving</w:t>
            </w:r>
          </w:p>
        </w:tc>
      </w:tr>
    </w:tbl>
    <w:p w:rsidR="005626B3" w:rsidRPr="005767AD" w:rsidRDefault="005626B3" w:rsidP="00AD5BA7">
      <w:pPr>
        <w:tabs>
          <w:tab w:val="left" w:pos="288"/>
          <w:tab w:val="left" w:pos="4752"/>
        </w:tabs>
        <w:spacing w:line="240" w:lineRule="exact"/>
        <w:jc w:val="both"/>
        <w:rPr>
          <w:rFonts w:asciiTheme="minorHAnsi" w:eastAsia="HiddenHorzOCR" w:hAnsiTheme="minorHAnsi"/>
          <w:color w:val="auto"/>
          <w:szCs w:val="24"/>
        </w:rPr>
      </w:pPr>
    </w:p>
    <w:p w:rsidR="005626B3" w:rsidRPr="005767AD" w:rsidRDefault="00330EE7" w:rsidP="00AD5BA7">
      <w:pPr>
        <w:tabs>
          <w:tab w:val="left" w:pos="288"/>
          <w:tab w:val="left" w:pos="4752"/>
        </w:tabs>
        <w:spacing w:line="240" w:lineRule="exact"/>
        <w:jc w:val="both"/>
        <w:rPr>
          <w:rFonts w:asciiTheme="minorHAnsi" w:eastAsia="HiddenHorzOCR" w:hAnsiTheme="minorHAnsi"/>
          <w:color w:val="auto"/>
          <w:szCs w:val="24"/>
        </w:rPr>
      </w:pPr>
      <w:proofErr w:type="gramStart"/>
      <w:r w:rsidRPr="005767AD">
        <w:rPr>
          <w:rFonts w:asciiTheme="minorHAnsi" w:hAnsiTheme="minorHAnsi"/>
          <w:color w:val="auto"/>
          <w:szCs w:val="24"/>
          <w:u w:val="single"/>
        </w:rPr>
        <w:t>Left Knee Instability</w:t>
      </w:r>
      <w:r w:rsidR="00A43BF0" w:rsidRPr="005767AD">
        <w:rPr>
          <w:rFonts w:asciiTheme="minorHAnsi" w:hAnsiTheme="minorHAnsi"/>
          <w:color w:val="auto"/>
          <w:szCs w:val="24"/>
          <w:u w:val="single"/>
        </w:rPr>
        <w:t xml:space="preserve"> with </w:t>
      </w:r>
      <w:r w:rsidR="00255A58" w:rsidRPr="005767AD">
        <w:rPr>
          <w:rFonts w:asciiTheme="minorHAnsi" w:hAnsiTheme="minorHAnsi"/>
          <w:color w:val="auto"/>
          <w:szCs w:val="24"/>
          <w:u w:val="single"/>
        </w:rPr>
        <w:t>Accompanying Anterolateral Rotatory Instability</w:t>
      </w:r>
      <w:r w:rsidR="00A43BF0" w:rsidRPr="005767AD">
        <w:rPr>
          <w:rFonts w:asciiTheme="minorHAnsi" w:hAnsiTheme="minorHAnsi"/>
          <w:color w:val="auto"/>
          <w:szCs w:val="24"/>
        </w:rPr>
        <w:t>.</w:t>
      </w:r>
      <w:proofErr w:type="gramEnd"/>
      <w:r w:rsidR="00A43BF0" w:rsidRPr="005767AD">
        <w:rPr>
          <w:rFonts w:asciiTheme="minorHAnsi" w:hAnsiTheme="minorHAnsi"/>
          <w:color w:val="auto"/>
          <w:szCs w:val="24"/>
        </w:rPr>
        <w:t xml:space="preserve">  </w:t>
      </w:r>
      <w:r w:rsidR="00993636" w:rsidRPr="005767AD">
        <w:rPr>
          <w:rFonts w:asciiTheme="minorHAnsi" w:hAnsiTheme="minorHAnsi"/>
          <w:color w:val="auto"/>
          <w:szCs w:val="24"/>
        </w:rPr>
        <w:t xml:space="preserve">The PEB found the “Accompanying Anterolateral Rotatory Instability” condition as a Category II condition (“Conditions that contribute to the unfitting condition”).  However, the NARSUM examiner noted that the CI had a positive Lachman sign as well as a positive pivotal shift sign.  </w:t>
      </w:r>
      <w:r w:rsidR="00FA3CAA" w:rsidRPr="005767AD">
        <w:rPr>
          <w:rFonts w:asciiTheme="minorHAnsi" w:hAnsiTheme="minorHAnsi"/>
          <w:color w:val="auto"/>
          <w:szCs w:val="24"/>
        </w:rPr>
        <w:t>On the VA C&amp;P examination,</w:t>
      </w:r>
      <w:r w:rsidR="004F1D11" w:rsidRPr="005767AD">
        <w:rPr>
          <w:rFonts w:asciiTheme="minorHAnsi" w:hAnsiTheme="minorHAnsi"/>
          <w:color w:val="auto"/>
          <w:szCs w:val="24"/>
        </w:rPr>
        <w:t xml:space="preserve"> </w:t>
      </w:r>
      <w:r w:rsidR="00FA3CAA" w:rsidRPr="005767AD">
        <w:rPr>
          <w:rFonts w:asciiTheme="minorHAnsi" w:hAnsiTheme="minorHAnsi"/>
          <w:color w:val="auto"/>
          <w:szCs w:val="24"/>
        </w:rPr>
        <w:t>(</w:t>
      </w:r>
      <w:r w:rsidR="00CB7A85">
        <w:rPr>
          <w:rFonts w:asciiTheme="minorHAnsi" w:hAnsiTheme="minorHAnsi"/>
          <w:color w:val="auto"/>
          <w:szCs w:val="24"/>
        </w:rPr>
        <w:t xml:space="preserve">30 Mar </w:t>
      </w:r>
      <w:r w:rsidR="00FA3CAA" w:rsidRPr="005767AD">
        <w:rPr>
          <w:rFonts w:asciiTheme="minorHAnsi" w:hAnsiTheme="minorHAnsi"/>
          <w:color w:val="auto"/>
          <w:szCs w:val="24"/>
        </w:rPr>
        <w:t xml:space="preserve">07) it is documented that the CI complained of instability, locking, </w:t>
      </w:r>
      <w:r w:rsidR="007311D3" w:rsidRPr="005767AD">
        <w:rPr>
          <w:rFonts w:asciiTheme="minorHAnsi" w:hAnsiTheme="minorHAnsi"/>
          <w:color w:val="auto"/>
          <w:szCs w:val="24"/>
        </w:rPr>
        <w:t>fatigability</w:t>
      </w:r>
      <w:r w:rsidR="00FA3CAA" w:rsidRPr="005767AD">
        <w:rPr>
          <w:rFonts w:asciiTheme="minorHAnsi" w:hAnsiTheme="minorHAnsi"/>
          <w:color w:val="auto"/>
          <w:szCs w:val="24"/>
        </w:rPr>
        <w:t>, lack of endurance necessitating the need to wear a DonJoy Defiance brace at all times. On physical examination, it is documented that the CI had laxity to 10 degrees in either direction with extension of the left knee.</w:t>
      </w:r>
      <w:r w:rsidR="005B507D" w:rsidRPr="005767AD">
        <w:rPr>
          <w:rFonts w:asciiTheme="minorHAnsi" w:hAnsiTheme="minorHAnsi"/>
          <w:color w:val="auto"/>
          <w:szCs w:val="24"/>
        </w:rPr>
        <w:t xml:space="preserve"> </w:t>
      </w:r>
      <w:r w:rsidR="004F1D11" w:rsidRPr="005767AD">
        <w:rPr>
          <w:rFonts w:asciiTheme="minorHAnsi" w:hAnsiTheme="minorHAnsi"/>
          <w:color w:val="auto"/>
          <w:szCs w:val="24"/>
        </w:rPr>
        <w:t xml:space="preserve"> </w:t>
      </w:r>
      <w:r w:rsidR="005B507D" w:rsidRPr="005767AD">
        <w:rPr>
          <w:rFonts w:asciiTheme="minorHAnsi" w:hAnsiTheme="minorHAnsi"/>
          <w:color w:val="auto"/>
          <w:szCs w:val="24"/>
        </w:rPr>
        <w:t xml:space="preserve">Regarding the left knee instability, the VA rated this </w:t>
      </w:r>
      <w:r w:rsidR="007311D3" w:rsidRPr="005767AD">
        <w:rPr>
          <w:rFonts w:asciiTheme="minorHAnsi" w:hAnsiTheme="minorHAnsi"/>
          <w:color w:val="auto"/>
          <w:szCs w:val="24"/>
        </w:rPr>
        <w:t>condition (</w:t>
      </w:r>
      <w:r w:rsidR="005B507D" w:rsidRPr="005767AD">
        <w:rPr>
          <w:rFonts w:asciiTheme="minorHAnsi" w:hAnsiTheme="minorHAnsi"/>
          <w:color w:val="auto"/>
          <w:szCs w:val="24"/>
        </w:rPr>
        <w:t>Internal Derangement of Left Knee with Laxity</w:t>
      </w:r>
      <w:r w:rsidR="009A5201" w:rsidRPr="005767AD">
        <w:rPr>
          <w:rFonts w:asciiTheme="minorHAnsi" w:hAnsiTheme="minorHAnsi"/>
          <w:color w:val="auto"/>
          <w:szCs w:val="24"/>
        </w:rPr>
        <w:t>) as 5257 [</w:t>
      </w:r>
      <w:r w:rsidR="004F1D11" w:rsidRPr="005767AD">
        <w:rPr>
          <w:rFonts w:asciiTheme="minorHAnsi" w:hAnsiTheme="minorHAnsi"/>
          <w:color w:val="auto"/>
          <w:szCs w:val="24"/>
        </w:rPr>
        <w:t>Veterans Administration Schedule for Rating Disabilities (</w:t>
      </w:r>
      <w:r w:rsidR="009A5201" w:rsidRPr="005767AD">
        <w:rPr>
          <w:rFonts w:asciiTheme="minorHAnsi" w:hAnsiTheme="minorHAnsi"/>
          <w:color w:val="auto"/>
          <w:szCs w:val="24"/>
        </w:rPr>
        <w:t>VASRD</w:t>
      </w:r>
      <w:r w:rsidR="004F1D11" w:rsidRPr="005767AD">
        <w:rPr>
          <w:rFonts w:asciiTheme="minorHAnsi" w:hAnsiTheme="minorHAnsi"/>
          <w:color w:val="auto"/>
          <w:szCs w:val="24"/>
        </w:rPr>
        <w:t>)</w:t>
      </w:r>
      <w:r w:rsidR="009A5201" w:rsidRPr="005767AD">
        <w:rPr>
          <w:rFonts w:asciiTheme="minorHAnsi" w:hAnsiTheme="minorHAnsi"/>
          <w:color w:val="auto"/>
          <w:szCs w:val="24"/>
        </w:rPr>
        <w:t xml:space="preserve"> Knee, other impairment of</w:t>
      </w:r>
      <w:r w:rsidR="009A5201" w:rsidRPr="005767AD">
        <w:rPr>
          <w:rFonts w:asciiTheme="minorHAnsi" w:eastAsia="HiddenHorzOCR" w:hAnsiTheme="minorHAnsi"/>
          <w:color w:val="auto"/>
          <w:szCs w:val="24"/>
        </w:rPr>
        <w:t xml:space="preserve">] rated at 10%.  The Board closely examined the record of </w:t>
      </w:r>
      <w:r w:rsidR="004F1D11" w:rsidRPr="005767AD">
        <w:rPr>
          <w:rFonts w:asciiTheme="minorHAnsi" w:eastAsia="HiddenHorzOCR" w:hAnsiTheme="minorHAnsi"/>
          <w:color w:val="auto"/>
          <w:szCs w:val="24"/>
        </w:rPr>
        <w:t>orthopedic</w:t>
      </w:r>
      <w:r w:rsidR="009A5201" w:rsidRPr="005767AD">
        <w:rPr>
          <w:rFonts w:asciiTheme="minorHAnsi" w:eastAsia="HiddenHorzOCR" w:hAnsiTheme="minorHAnsi"/>
          <w:color w:val="auto"/>
          <w:szCs w:val="24"/>
        </w:rPr>
        <w:t xml:space="preserve"> consultations and PT examinations and determined that there was sufficient evidence to indicate that there was laxity in the left knee to a </w:t>
      </w:r>
      <w:r w:rsidR="00C87BCD">
        <w:rPr>
          <w:rFonts w:asciiTheme="minorHAnsi" w:eastAsia="HiddenHorzOCR" w:hAnsiTheme="minorHAnsi"/>
          <w:color w:val="auto"/>
          <w:szCs w:val="24"/>
        </w:rPr>
        <w:t>mild</w:t>
      </w:r>
      <w:r w:rsidR="005767AD" w:rsidRPr="005767AD">
        <w:rPr>
          <w:rFonts w:asciiTheme="minorHAnsi" w:eastAsia="HiddenHorzOCR" w:hAnsiTheme="minorHAnsi"/>
          <w:color w:val="auto"/>
          <w:szCs w:val="24"/>
        </w:rPr>
        <w:t xml:space="preserve"> </w:t>
      </w:r>
      <w:r w:rsidR="009A5201" w:rsidRPr="005767AD">
        <w:rPr>
          <w:rFonts w:asciiTheme="minorHAnsi" w:eastAsia="HiddenHorzOCR" w:hAnsiTheme="minorHAnsi"/>
          <w:color w:val="auto"/>
          <w:szCs w:val="24"/>
        </w:rPr>
        <w:t>degree</w:t>
      </w:r>
      <w:r w:rsidR="00C87BCD">
        <w:rPr>
          <w:rFonts w:asciiTheme="minorHAnsi" w:eastAsia="HiddenHorzOCR" w:hAnsiTheme="minorHAnsi"/>
          <w:color w:val="auto"/>
          <w:szCs w:val="24"/>
        </w:rPr>
        <w:t xml:space="preserve"> in the lateral plane of motion</w:t>
      </w:r>
      <w:r w:rsidR="009A5201" w:rsidRPr="005767AD">
        <w:rPr>
          <w:rFonts w:asciiTheme="minorHAnsi" w:eastAsia="HiddenHorzOCR" w:hAnsiTheme="minorHAnsi"/>
          <w:color w:val="auto"/>
          <w:szCs w:val="24"/>
        </w:rPr>
        <w:t xml:space="preserve">.  </w:t>
      </w:r>
      <w:r w:rsidR="00794A09" w:rsidRPr="005767AD">
        <w:rPr>
          <w:rFonts w:asciiTheme="minorHAnsi" w:eastAsia="HiddenHorzOCR" w:hAnsiTheme="minorHAnsi"/>
          <w:color w:val="auto"/>
          <w:szCs w:val="24"/>
        </w:rPr>
        <w:t xml:space="preserve"> </w:t>
      </w:r>
      <w:r w:rsidR="009A5201" w:rsidRPr="005767AD">
        <w:rPr>
          <w:rFonts w:asciiTheme="minorHAnsi" w:eastAsia="HiddenHorzOCR" w:hAnsiTheme="minorHAnsi"/>
          <w:color w:val="auto"/>
          <w:szCs w:val="24"/>
        </w:rPr>
        <w:t xml:space="preserve"> </w:t>
      </w:r>
    </w:p>
    <w:p w:rsidR="00CD7A31" w:rsidRPr="005767AD" w:rsidRDefault="00CD7A31" w:rsidP="00AD5BA7">
      <w:pPr>
        <w:tabs>
          <w:tab w:val="left" w:pos="288"/>
          <w:tab w:val="left" w:pos="4752"/>
        </w:tabs>
        <w:spacing w:line="240" w:lineRule="exact"/>
        <w:jc w:val="both"/>
        <w:rPr>
          <w:rFonts w:asciiTheme="minorHAnsi" w:eastAsia="HiddenHorzOCR" w:hAnsiTheme="minorHAnsi"/>
          <w:color w:val="auto"/>
          <w:szCs w:val="24"/>
        </w:rPr>
      </w:pPr>
    </w:p>
    <w:p w:rsidR="00C87BCD" w:rsidRDefault="00794A09" w:rsidP="00AD5BA7">
      <w:pPr>
        <w:tabs>
          <w:tab w:val="left" w:pos="288"/>
          <w:tab w:val="left" w:pos="4752"/>
        </w:tabs>
        <w:spacing w:line="240" w:lineRule="exact"/>
        <w:jc w:val="both"/>
        <w:rPr>
          <w:rFonts w:asciiTheme="minorHAnsi" w:eastAsia="HiddenHorzOCR" w:hAnsiTheme="minorHAnsi"/>
          <w:color w:val="auto"/>
          <w:szCs w:val="24"/>
        </w:rPr>
      </w:pPr>
      <w:proofErr w:type="gramStart"/>
      <w:r w:rsidRPr="005767AD">
        <w:rPr>
          <w:rFonts w:asciiTheme="minorHAnsi" w:hAnsiTheme="minorHAnsi"/>
          <w:color w:val="auto"/>
          <w:szCs w:val="24"/>
          <w:u w:val="single"/>
        </w:rPr>
        <w:t>Failed ACL (Anterior Cruciate Ligament) Reconstruction in the Left Knee</w:t>
      </w:r>
      <w:r w:rsidR="00A43BF0" w:rsidRPr="005767AD">
        <w:rPr>
          <w:rFonts w:asciiTheme="minorHAnsi" w:hAnsiTheme="minorHAnsi"/>
          <w:color w:val="auto"/>
          <w:szCs w:val="24"/>
        </w:rPr>
        <w:t>.</w:t>
      </w:r>
      <w:proofErr w:type="gramEnd"/>
      <w:r w:rsidR="00A43BF0" w:rsidRPr="005767AD">
        <w:rPr>
          <w:rFonts w:asciiTheme="minorHAnsi" w:hAnsiTheme="minorHAnsi"/>
          <w:color w:val="auto"/>
          <w:szCs w:val="24"/>
        </w:rPr>
        <w:t xml:space="preserve">  </w:t>
      </w:r>
      <w:r w:rsidRPr="005767AD">
        <w:rPr>
          <w:rFonts w:asciiTheme="minorHAnsi" w:hAnsiTheme="minorHAnsi"/>
          <w:color w:val="auto"/>
          <w:szCs w:val="24"/>
        </w:rPr>
        <w:t>The PEB found the “Failed ACL (Anterior Cruciate Ligament) Reconstruction in the Left Knee” condition as a Category II condition (“Conditions that contribute to the unfitting condition”).</w:t>
      </w:r>
      <w:r w:rsidR="009828C3" w:rsidRPr="005767AD">
        <w:rPr>
          <w:rFonts w:asciiTheme="minorHAnsi" w:eastAsia="HiddenHorzOCR" w:hAnsiTheme="minorHAnsi"/>
          <w:color w:val="auto"/>
          <w:szCs w:val="24"/>
        </w:rPr>
        <w:t xml:space="preserve">  The </w:t>
      </w:r>
      <w:r w:rsidR="001849E9" w:rsidRPr="005767AD">
        <w:rPr>
          <w:rFonts w:asciiTheme="minorHAnsi" w:eastAsia="HiddenHorzOCR" w:hAnsiTheme="minorHAnsi"/>
          <w:color w:val="auto"/>
          <w:szCs w:val="24"/>
        </w:rPr>
        <w:t xml:space="preserve">NARSUM examination reviewed the left knee </w:t>
      </w:r>
      <w:r w:rsidR="007311D3" w:rsidRPr="005767AD">
        <w:rPr>
          <w:rFonts w:asciiTheme="minorHAnsi" w:eastAsia="HiddenHorzOCR" w:hAnsiTheme="minorHAnsi"/>
          <w:color w:val="auto"/>
          <w:szCs w:val="24"/>
        </w:rPr>
        <w:t>MRI eight</w:t>
      </w:r>
      <w:r w:rsidR="001849E9" w:rsidRPr="005767AD">
        <w:rPr>
          <w:rFonts w:asciiTheme="minorHAnsi" w:eastAsia="HiddenHorzOCR" w:hAnsiTheme="minorHAnsi"/>
          <w:color w:val="auto"/>
          <w:szCs w:val="24"/>
        </w:rPr>
        <w:t xml:space="preserve"> years after surgery for the ACL repair and concluded that the ACL had ceased function and was not present on the study.  </w:t>
      </w:r>
      <w:r w:rsidR="00AB77D6" w:rsidRPr="005767AD">
        <w:rPr>
          <w:rFonts w:asciiTheme="minorHAnsi" w:eastAsia="HiddenHorzOCR" w:hAnsiTheme="minorHAnsi"/>
          <w:color w:val="auto"/>
          <w:szCs w:val="24"/>
        </w:rPr>
        <w:t xml:space="preserve">The functional limitations secondary to instability are considered unfitting as described above in the discussion </w:t>
      </w:r>
      <w:r w:rsidR="00AB77D6" w:rsidRPr="005767AD">
        <w:rPr>
          <w:rFonts w:asciiTheme="minorHAnsi" w:eastAsia="HiddenHorzOCR" w:hAnsiTheme="minorHAnsi"/>
          <w:color w:val="auto"/>
          <w:szCs w:val="24"/>
        </w:rPr>
        <w:lastRenderedPageBreak/>
        <w:t xml:space="preserve">of Accompanying </w:t>
      </w:r>
      <w:r w:rsidR="00C87BCD" w:rsidRPr="005767AD">
        <w:rPr>
          <w:rFonts w:asciiTheme="minorHAnsi" w:eastAsia="HiddenHorzOCR" w:hAnsiTheme="minorHAnsi"/>
          <w:color w:val="auto"/>
          <w:szCs w:val="24"/>
        </w:rPr>
        <w:t xml:space="preserve">Anterolateral Rotatory </w:t>
      </w:r>
      <w:r w:rsidR="00AB77D6" w:rsidRPr="005767AD">
        <w:rPr>
          <w:rFonts w:asciiTheme="minorHAnsi" w:eastAsia="HiddenHorzOCR" w:hAnsiTheme="minorHAnsi"/>
          <w:color w:val="auto"/>
          <w:szCs w:val="24"/>
        </w:rPr>
        <w:t xml:space="preserve">Instability. </w:t>
      </w:r>
      <w:r w:rsidR="004F1D11" w:rsidRPr="005767AD">
        <w:rPr>
          <w:rFonts w:asciiTheme="minorHAnsi" w:eastAsia="HiddenHorzOCR" w:hAnsiTheme="minorHAnsi"/>
          <w:color w:val="auto"/>
          <w:szCs w:val="24"/>
        </w:rPr>
        <w:t xml:space="preserve"> </w:t>
      </w:r>
      <w:r w:rsidR="00330EE7" w:rsidRPr="005767AD">
        <w:rPr>
          <w:rFonts w:asciiTheme="minorHAnsi" w:eastAsia="HiddenHorzOCR" w:hAnsiTheme="minorHAnsi"/>
          <w:color w:val="auto"/>
          <w:szCs w:val="24"/>
        </w:rPr>
        <w:t xml:space="preserve">The Board closely examined the record and determined that there was sufficient evidence to indicate that there was laxity in the left knee to a </w:t>
      </w:r>
      <w:r w:rsidR="00C87BCD">
        <w:rPr>
          <w:rFonts w:asciiTheme="minorHAnsi" w:eastAsia="HiddenHorzOCR" w:hAnsiTheme="minorHAnsi"/>
          <w:color w:val="auto"/>
          <w:szCs w:val="24"/>
        </w:rPr>
        <w:t>mild</w:t>
      </w:r>
      <w:r w:rsidR="005767AD" w:rsidRPr="005767AD">
        <w:rPr>
          <w:rFonts w:asciiTheme="minorHAnsi" w:eastAsia="HiddenHorzOCR" w:hAnsiTheme="minorHAnsi"/>
          <w:color w:val="auto"/>
          <w:szCs w:val="24"/>
        </w:rPr>
        <w:t xml:space="preserve"> </w:t>
      </w:r>
      <w:r w:rsidR="00330EE7" w:rsidRPr="005767AD">
        <w:rPr>
          <w:rFonts w:asciiTheme="minorHAnsi" w:eastAsia="HiddenHorzOCR" w:hAnsiTheme="minorHAnsi"/>
          <w:color w:val="auto"/>
          <w:szCs w:val="24"/>
        </w:rPr>
        <w:t>degree</w:t>
      </w:r>
      <w:r w:rsidR="00C87BCD">
        <w:rPr>
          <w:rFonts w:asciiTheme="minorHAnsi" w:eastAsia="HiddenHorzOCR" w:hAnsiTheme="minorHAnsi"/>
          <w:color w:val="auto"/>
          <w:szCs w:val="24"/>
        </w:rPr>
        <w:t xml:space="preserve"> in the anterior-posterior plane of motion</w:t>
      </w:r>
      <w:r w:rsidR="00A43BF0" w:rsidRPr="005767AD">
        <w:rPr>
          <w:rFonts w:asciiTheme="minorHAnsi" w:eastAsia="HiddenHorzOCR" w:hAnsiTheme="minorHAnsi"/>
          <w:color w:val="auto"/>
          <w:szCs w:val="24"/>
        </w:rPr>
        <w:t xml:space="preserve">.  </w:t>
      </w:r>
    </w:p>
    <w:p w:rsidR="00C87BCD" w:rsidRDefault="00C87BCD" w:rsidP="00AD5BA7">
      <w:pPr>
        <w:tabs>
          <w:tab w:val="left" w:pos="288"/>
          <w:tab w:val="left" w:pos="4752"/>
        </w:tabs>
        <w:spacing w:line="240" w:lineRule="exact"/>
        <w:jc w:val="both"/>
        <w:rPr>
          <w:rFonts w:asciiTheme="minorHAnsi" w:eastAsia="HiddenHorzOCR" w:hAnsiTheme="minorHAnsi"/>
          <w:color w:val="auto"/>
          <w:szCs w:val="24"/>
        </w:rPr>
      </w:pPr>
    </w:p>
    <w:p w:rsidR="00CD7A31" w:rsidRPr="005767AD" w:rsidRDefault="00330EE7" w:rsidP="00AD5BA7">
      <w:pPr>
        <w:tabs>
          <w:tab w:val="left" w:pos="288"/>
          <w:tab w:val="left" w:pos="4752"/>
        </w:tabs>
        <w:spacing w:line="240" w:lineRule="exact"/>
        <w:jc w:val="both"/>
        <w:rPr>
          <w:rFonts w:asciiTheme="minorHAnsi" w:eastAsia="HiddenHorzOCR" w:hAnsiTheme="minorHAnsi"/>
          <w:color w:val="auto"/>
          <w:szCs w:val="24"/>
        </w:rPr>
      </w:pPr>
      <w:r w:rsidRPr="005767AD">
        <w:rPr>
          <w:rFonts w:asciiTheme="minorHAnsi" w:eastAsia="HiddenHorzOCR" w:hAnsiTheme="minorHAnsi"/>
          <w:color w:val="auto"/>
          <w:szCs w:val="24"/>
        </w:rPr>
        <w:t>A disability</w:t>
      </w:r>
      <w:r w:rsidR="00AB77D6" w:rsidRPr="005767AD">
        <w:rPr>
          <w:rFonts w:asciiTheme="minorHAnsi" w:eastAsia="HiddenHorzOCR" w:hAnsiTheme="minorHAnsi"/>
          <w:color w:val="auto"/>
          <w:szCs w:val="24"/>
        </w:rPr>
        <w:t xml:space="preserve"> rating </w:t>
      </w:r>
      <w:r w:rsidRPr="005767AD">
        <w:rPr>
          <w:rFonts w:asciiTheme="minorHAnsi" w:eastAsia="HiddenHorzOCR" w:hAnsiTheme="minorHAnsi"/>
          <w:color w:val="auto"/>
          <w:szCs w:val="24"/>
        </w:rPr>
        <w:t xml:space="preserve">is </w:t>
      </w:r>
      <w:r w:rsidR="00AB77D6" w:rsidRPr="005767AD">
        <w:rPr>
          <w:rFonts w:asciiTheme="minorHAnsi" w:eastAsia="HiddenHorzOCR" w:hAnsiTheme="minorHAnsi"/>
          <w:color w:val="auto"/>
          <w:szCs w:val="24"/>
        </w:rPr>
        <w:t xml:space="preserve">applied for </w:t>
      </w:r>
      <w:r w:rsidRPr="005767AD">
        <w:rPr>
          <w:rFonts w:asciiTheme="minorHAnsi" w:eastAsia="HiddenHorzOCR" w:hAnsiTheme="minorHAnsi"/>
          <w:color w:val="auto"/>
          <w:szCs w:val="24"/>
        </w:rPr>
        <w:t xml:space="preserve">the functional limitations due to </w:t>
      </w:r>
      <w:r w:rsidR="00AB77D6" w:rsidRPr="005767AD">
        <w:rPr>
          <w:rFonts w:asciiTheme="minorHAnsi" w:eastAsia="HiddenHorzOCR" w:hAnsiTheme="minorHAnsi"/>
          <w:color w:val="auto"/>
          <w:szCs w:val="24"/>
        </w:rPr>
        <w:t>instability</w:t>
      </w:r>
      <w:r w:rsidR="00C87BCD">
        <w:rPr>
          <w:rFonts w:asciiTheme="minorHAnsi" w:eastAsia="HiddenHorzOCR" w:hAnsiTheme="minorHAnsi"/>
          <w:color w:val="auto"/>
          <w:szCs w:val="24"/>
        </w:rPr>
        <w:t>,</w:t>
      </w:r>
      <w:r w:rsidR="00AB77D6" w:rsidRPr="005767AD">
        <w:rPr>
          <w:rFonts w:asciiTheme="minorHAnsi" w:eastAsia="HiddenHorzOCR" w:hAnsiTheme="minorHAnsi"/>
          <w:color w:val="auto"/>
          <w:szCs w:val="24"/>
        </w:rPr>
        <w:t xml:space="preserve"> not the specific cause of the instability. Therefore, applying </w:t>
      </w:r>
      <w:r w:rsidRPr="005767AD">
        <w:rPr>
          <w:rFonts w:asciiTheme="minorHAnsi" w:eastAsia="HiddenHorzOCR" w:hAnsiTheme="minorHAnsi"/>
          <w:color w:val="auto"/>
          <w:szCs w:val="24"/>
        </w:rPr>
        <w:t xml:space="preserve">two separate </w:t>
      </w:r>
      <w:r w:rsidR="00AB77D6" w:rsidRPr="005767AD">
        <w:rPr>
          <w:rFonts w:asciiTheme="minorHAnsi" w:eastAsia="HiddenHorzOCR" w:hAnsiTheme="minorHAnsi"/>
          <w:color w:val="auto"/>
          <w:szCs w:val="24"/>
        </w:rPr>
        <w:t>rating</w:t>
      </w:r>
      <w:r w:rsidRPr="005767AD">
        <w:rPr>
          <w:rFonts w:asciiTheme="minorHAnsi" w:eastAsia="HiddenHorzOCR" w:hAnsiTheme="minorHAnsi"/>
          <w:color w:val="auto"/>
          <w:szCs w:val="24"/>
        </w:rPr>
        <w:t>s</w:t>
      </w:r>
      <w:r w:rsidR="00AB77D6" w:rsidRPr="005767AD">
        <w:rPr>
          <w:rFonts w:asciiTheme="minorHAnsi" w:eastAsia="HiddenHorzOCR" w:hAnsiTheme="minorHAnsi"/>
          <w:color w:val="auto"/>
          <w:szCs w:val="24"/>
        </w:rPr>
        <w:t xml:space="preserve"> for separate condition</w:t>
      </w:r>
      <w:r w:rsidRPr="005767AD">
        <w:rPr>
          <w:rFonts w:asciiTheme="minorHAnsi" w:eastAsia="HiddenHorzOCR" w:hAnsiTheme="minorHAnsi"/>
          <w:color w:val="auto"/>
          <w:szCs w:val="24"/>
        </w:rPr>
        <w:t>s</w:t>
      </w:r>
      <w:r w:rsidR="00AB77D6" w:rsidRPr="005767AD">
        <w:rPr>
          <w:rFonts w:asciiTheme="minorHAnsi" w:eastAsia="HiddenHorzOCR" w:hAnsiTheme="minorHAnsi"/>
          <w:color w:val="auto"/>
          <w:szCs w:val="24"/>
        </w:rPr>
        <w:t xml:space="preserve"> that </w:t>
      </w:r>
      <w:r w:rsidRPr="005767AD">
        <w:rPr>
          <w:rFonts w:asciiTheme="minorHAnsi" w:eastAsia="HiddenHorzOCR" w:hAnsiTheme="minorHAnsi"/>
          <w:color w:val="auto"/>
          <w:szCs w:val="24"/>
        </w:rPr>
        <w:t>both</w:t>
      </w:r>
      <w:r w:rsidR="00AB77D6" w:rsidRPr="005767AD">
        <w:rPr>
          <w:rFonts w:asciiTheme="minorHAnsi" w:eastAsia="HiddenHorzOCR" w:hAnsiTheme="minorHAnsi"/>
          <w:color w:val="auto"/>
          <w:szCs w:val="24"/>
        </w:rPr>
        <w:t xml:space="preserve"> caused </w:t>
      </w:r>
      <w:r w:rsidRPr="005767AD">
        <w:rPr>
          <w:rFonts w:asciiTheme="minorHAnsi" w:eastAsia="HiddenHorzOCR" w:hAnsiTheme="minorHAnsi"/>
          <w:color w:val="auto"/>
          <w:szCs w:val="24"/>
        </w:rPr>
        <w:t xml:space="preserve">the </w:t>
      </w:r>
      <w:r w:rsidR="00AB77D6" w:rsidRPr="005767AD">
        <w:rPr>
          <w:rFonts w:asciiTheme="minorHAnsi" w:eastAsia="HiddenHorzOCR" w:hAnsiTheme="minorHAnsi"/>
          <w:color w:val="auto"/>
          <w:szCs w:val="24"/>
        </w:rPr>
        <w:t>instabili</w:t>
      </w:r>
      <w:r w:rsidRPr="005767AD">
        <w:rPr>
          <w:rFonts w:asciiTheme="minorHAnsi" w:eastAsia="HiddenHorzOCR" w:hAnsiTheme="minorHAnsi"/>
          <w:color w:val="auto"/>
          <w:szCs w:val="24"/>
        </w:rPr>
        <w:t>ty</w:t>
      </w:r>
      <w:r w:rsidR="00AB77D6" w:rsidRPr="005767AD">
        <w:rPr>
          <w:rFonts w:asciiTheme="minorHAnsi" w:eastAsia="HiddenHorzOCR" w:hAnsiTheme="minorHAnsi"/>
          <w:color w:val="auto"/>
          <w:szCs w:val="24"/>
        </w:rPr>
        <w:t xml:space="preserve"> would be considered pyramiding and is not appropriate.  </w:t>
      </w:r>
      <w:r w:rsidR="00CD7A31" w:rsidRPr="005767AD">
        <w:rPr>
          <w:rFonts w:asciiTheme="minorHAnsi" w:eastAsia="HiddenHorzOCR" w:hAnsiTheme="minorHAnsi"/>
          <w:color w:val="auto"/>
          <w:szCs w:val="24"/>
        </w:rPr>
        <w:t xml:space="preserve">After due deliberation, the Board agreed that the preponderance of the evidence with regard to the CI’s left knee instability favors its recommendation as an additionally unfitting condition.  Both subluxation and lateral instability are present and the CI required use of a brace. </w:t>
      </w:r>
      <w:r w:rsidR="005A483F" w:rsidRPr="005767AD">
        <w:rPr>
          <w:rFonts w:asciiTheme="minorHAnsi" w:eastAsia="HiddenHorzOCR" w:hAnsiTheme="minorHAnsi"/>
          <w:color w:val="auto"/>
          <w:szCs w:val="24"/>
        </w:rPr>
        <w:t xml:space="preserve">Each condition alone would be considered mild instability. </w:t>
      </w:r>
      <w:r w:rsidR="004F1D11" w:rsidRPr="005767AD">
        <w:rPr>
          <w:rFonts w:asciiTheme="minorHAnsi" w:eastAsia="HiddenHorzOCR" w:hAnsiTheme="minorHAnsi"/>
          <w:color w:val="auto"/>
          <w:szCs w:val="24"/>
        </w:rPr>
        <w:t xml:space="preserve"> </w:t>
      </w:r>
      <w:r w:rsidR="005A483F" w:rsidRPr="005767AD">
        <w:rPr>
          <w:rFonts w:asciiTheme="minorHAnsi" w:eastAsia="HiddenHorzOCR" w:hAnsiTheme="minorHAnsi"/>
          <w:color w:val="auto"/>
          <w:szCs w:val="24"/>
        </w:rPr>
        <w:t>However with instability in two separate planes of motion</w:t>
      </w:r>
      <w:r w:rsidRPr="005767AD">
        <w:rPr>
          <w:rFonts w:asciiTheme="minorHAnsi" w:eastAsia="HiddenHorzOCR" w:hAnsiTheme="minorHAnsi"/>
          <w:color w:val="auto"/>
          <w:szCs w:val="24"/>
        </w:rPr>
        <w:t>,</w:t>
      </w:r>
      <w:r w:rsidR="005A483F" w:rsidRPr="005767AD">
        <w:rPr>
          <w:rFonts w:asciiTheme="minorHAnsi" w:eastAsia="HiddenHorzOCR" w:hAnsiTheme="minorHAnsi"/>
          <w:color w:val="auto"/>
          <w:szCs w:val="24"/>
        </w:rPr>
        <w:t xml:space="preserve"> </w:t>
      </w:r>
      <w:r w:rsidR="00CD7A31" w:rsidRPr="005767AD">
        <w:rPr>
          <w:rFonts w:asciiTheme="minorHAnsi" w:eastAsia="HiddenHorzOCR" w:hAnsiTheme="minorHAnsi"/>
          <w:color w:val="auto"/>
          <w:szCs w:val="24"/>
        </w:rPr>
        <w:t xml:space="preserve">the instability should be considered moderate. </w:t>
      </w:r>
      <w:r w:rsidR="00A43BF0" w:rsidRPr="005767AD">
        <w:rPr>
          <w:rFonts w:asciiTheme="minorHAnsi" w:eastAsia="HiddenHorzOCR" w:hAnsiTheme="minorHAnsi"/>
          <w:color w:val="auto"/>
          <w:szCs w:val="24"/>
        </w:rPr>
        <w:t xml:space="preserve"> </w:t>
      </w:r>
      <w:r w:rsidR="00CD7A31" w:rsidRPr="005767AD">
        <w:rPr>
          <w:rFonts w:asciiTheme="minorHAnsi" w:eastAsia="HiddenHorzOCR" w:hAnsiTheme="minorHAnsi"/>
          <w:color w:val="auto"/>
          <w:szCs w:val="24"/>
        </w:rPr>
        <w:t>It is appropriately rated as 5257 and meets the VASRD § 4.71a criteria for a disability rating of 20%.</w:t>
      </w:r>
    </w:p>
    <w:p w:rsidR="003C3C64" w:rsidRPr="005767AD" w:rsidRDefault="003C3C64" w:rsidP="003C3C64">
      <w:pPr>
        <w:pBdr>
          <w:bottom w:val="single" w:sz="12" w:space="1" w:color="auto"/>
        </w:pBdr>
        <w:tabs>
          <w:tab w:val="left" w:pos="288"/>
          <w:tab w:val="left" w:pos="4752"/>
        </w:tabs>
        <w:spacing w:line="240" w:lineRule="exact"/>
        <w:jc w:val="both"/>
        <w:rPr>
          <w:rFonts w:asciiTheme="minorHAnsi" w:hAnsiTheme="minorHAnsi"/>
          <w:caps/>
          <w:color w:val="auto"/>
        </w:rPr>
      </w:pPr>
    </w:p>
    <w:p w:rsidR="00C87BCD" w:rsidRDefault="00C87BCD" w:rsidP="00D56C4B">
      <w:pPr>
        <w:spacing w:line="240" w:lineRule="exact"/>
        <w:jc w:val="both"/>
        <w:rPr>
          <w:rFonts w:asciiTheme="minorHAnsi" w:hAnsiTheme="minorHAnsi"/>
          <w:color w:val="auto"/>
          <w:szCs w:val="24"/>
          <w:u w:val="single"/>
        </w:rPr>
      </w:pPr>
    </w:p>
    <w:p w:rsidR="00D56C4B" w:rsidRPr="005767AD" w:rsidRDefault="00C56FC8" w:rsidP="00D56C4B">
      <w:pPr>
        <w:spacing w:line="240" w:lineRule="exact"/>
        <w:jc w:val="both"/>
        <w:rPr>
          <w:rFonts w:asciiTheme="minorHAnsi" w:eastAsiaTheme="minorHAnsi" w:hAnsiTheme="minorHAnsi"/>
          <w:color w:val="auto"/>
          <w:szCs w:val="24"/>
        </w:rPr>
      </w:pPr>
      <w:r w:rsidRPr="005767AD">
        <w:rPr>
          <w:rFonts w:asciiTheme="minorHAnsi" w:hAnsiTheme="minorHAnsi"/>
          <w:color w:val="auto"/>
          <w:szCs w:val="24"/>
          <w:u w:val="single"/>
        </w:rPr>
        <w:t>BOARD FINDINGS</w:t>
      </w:r>
      <w:r w:rsidRPr="005767AD">
        <w:rPr>
          <w:rFonts w:asciiTheme="minorHAnsi" w:hAnsiTheme="minorHAnsi"/>
          <w:color w:val="auto"/>
          <w:szCs w:val="24"/>
        </w:rPr>
        <w:t>:</w:t>
      </w:r>
      <w:r w:rsidRPr="005767A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5767AD">
        <w:rPr>
          <w:rFonts w:asciiTheme="minorHAnsi" w:eastAsiaTheme="minorHAnsi" w:hAnsiTheme="minorHAnsi"/>
          <w:color w:val="auto"/>
          <w:szCs w:val="24"/>
        </w:rPr>
        <w:t xml:space="preserve"> </w:t>
      </w:r>
      <w:r w:rsidR="00D56C4B" w:rsidRPr="005767AD">
        <w:rPr>
          <w:rFonts w:asciiTheme="minorHAnsi" w:eastAsiaTheme="minorHAnsi" w:hAnsiTheme="minorHAnsi"/>
          <w:color w:val="auto"/>
          <w:szCs w:val="24"/>
        </w:rPr>
        <w:t xml:space="preserve">After careful consideration of all available information the Board determined by simple majority that the CI’s condition is most appropriately rated at a combined </w:t>
      </w:r>
      <w:r w:rsidR="00CD7A31" w:rsidRPr="005767AD">
        <w:rPr>
          <w:rFonts w:asciiTheme="minorHAnsi" w:eastAsiaTheme="minorHAnsi" w:hAnsiTheme="minorHAnsi"/>
          <w:color w:val="auto"/>
          <w:szCs w:val="24"/>
        </w:rPr>
        <w:t>3</w:t>
      </w:r>
      <w:r w:rsidR="00D56C4B" w:rsidRPr="005767AD">
        <w:rPr>
          <w:rFonts w:asciiTheme="minorHAnsi" w:eastAsiaTheme="minorHAnsi" w:hAnsiTheme="minorHAnsi"/>
          <w:color w:val="auto"/>
          <w:szCs w:val="24"/>
        </w:rPr>
        <w:t xml:space="preserve">0% disability rating with 10% for 5299-5003 Bicompartmental Osteoarthritis and </w:t>
      </w:r>
      <w:r w:rsidR="00CD7A31" w:rsidRPr="005767AD">
        <w:rPr>
          <w:rFonts w:asciiTheme="minorHAnsi" w:eastAsiaTheme="minorHAnsi" w:hAnsiTheme="minorHAnsi"/>
          <w:color w:val="auto"/>
          <w:szCs w:val="24"/>
        </w:rPr>
        <w:t>2</w:t>
      </w:r>
      <w:r w:rsidR="00D56C4B" w:rsidRPr="005767AD">
        <w:rPr>
          <w:rFonts w:asciiTheme="minorHAnsi" w:eastAsiaTheme="minorHAnsi" w:hAnsiTheme="minorHAnsi"/>
          <w:color w:val="auto"/>
          <w:szCs w:val="24"/>
        </w:rPr>
        <w:t>0% for Instability due to Accompanying Anterolateral Rotatory Instability and Failed ACL Reconstruction.</w:t>
      </w:r>
      <w:r w:rsidR="004F1D11" w:rsidRPr="005767AD">
        <w:rPr>
          <w:rFonts w:asciiTheme="minorHAnsi" w:eastAsiaTheme="minorHAnsi" w:hAnsiTheme="minorHAnsi"/>
          <w:color w:val="auto"/>
          <w:szCs w:val="24"/>
        </w:rPr>
        <w:t xml:space="preserve">  </w:t>
      </w:r>
      <w:r w:rsidR="00ED7C58" w:rsidRPr="005767AD">
        <w:rPr>
          <w:rFonts w:asciiTheme="minorHAnsi" w:eastAsiaTheme="minorHAnsi" w:hAnsiTheme="minorHAnsi"/>
          <w:color w:val="auto"/>
          <w:szCs w:val="24"/>
        </w:rPr>
        <w:t>Radiographic</w:t>
      </w:r>
      <w:r w:rsidR="00D56C4B" w:rsidRPr="005767AD">
        <w:rPr>
          <w:rFonts w:asciiTheme="minorHAnsi" w:eastAsiaTheme="minorHAnsi" w:hAnsiTheme="minorHAnsi"/>
          <w:color w:val="auto"/>
          <w:szCs w:val="24"/>
        </w:rPr>
        <w:t xml:space="preserve"> </w:t>
      </w:r>
      <w:r w:rsidR="00ED7C58" w:rsidRPr="005767AD">
        <w:rPr>
          <w:rFonts w:asciiTheme="minorHAnsi" w:eastAsiaTheme="minorHAnsi" w:hAnsiTheme="minorHAnsi"/>
          <w:color w:val="auto"/>
          <w:szCs w:val="24"/>
        </w:rPr>
        <w:t>evidence</w:t>
      </w:r>
      <w:r w:rsidR="00D56C4B" w:rsidRPr="005767AD">
        <w:rPr>
          <w:rFonts w:asciiTheme="minorHAnsi" w:eastAsiaTheme="minorHAnsi" w:hAnsiTheme="minorHAnsi"/>
          <w:color w:val="auto"/>
          <w:szCs w:val="24"/>
        </w:rPr>
        <w:t xml:space="preserve"> of arthritis with painful </w:t>
      </w:r>
      <w:r w:rsidR="00ED7C58" w:rsidRPr="005767AD">
        <w:rPr>
          <w:rFonts w:asciiTheme="minorHAnsi" w:eastAsiaTheme="minorHAnsi" w:hAnsiTheme="minorHAnsi"/>
          <w:color w:val="auto"/>
          <w:szCs w:val="24"/>
        </w:rPr>
        <w:t>or</w:t>
      </w:r>
      <w:r w:rsidR="00D56C4B" w:rsidRPr="005767AD">
        <w:rPr>
          <w:rFonts w:asciiTheme="minorHAnsi" w:eastAsiaTheme="minorHAnsi" w:hAnsiTheme="minorHAnsi"/>
          <w:color w:val="auto"/>
          <w:szCs w:val="24"/>
        </w:rPr>
        <w:t xml:space="preserve"> limited motion </w:t>
      </w:r>
      <w:r w:rsidR="00ED7C58" w:rsidRPr="005767AD">
        <w:rPr>
          <w:rFonts w:asciiTheme="minorHAnsi" w:eastAsiaTheme="minorHAnsi" w:hAnsiTheme="minorHAnsi"/>
          <w:color w:val="auto"/>
          <w:szCs w:val="24"/>
        </w:rPr>
        <w:t xml:space="preserve">in the left knee </w:t>
      </w:r>
      <w:r w:rsidR="00D56C4B" w:rsidRPr="005767AD">
        <w:rPr>
          <w:rFonts w:asciiTheme="minorHAnsi" w:eastAsiaTheme="minorHAnsi" w:hAnsiTheme="minorHAnsi"/>
          <w:color w:val="auto"/>
          <w:szCs w:val="24"/>
        </w:rPr>
        <w:t xml:space="preserve">warrants a 10% rating for </w:t>
      </w:r>
      <w:r w:rsidR="00ED7C58" w:rsidRPr="005767AD">
        <w:rPr>
          <w:rFonts w:asciiTheme="minorHAnsi" w:eastAsiaTheme="minorHAnsi" w:hAnsiTheme="minorHAnsi"/>
          <w:color w:val="auto"/>
          <w:szCs w:val="24"/>
        </w:rPr>
        <w:t>Osteoarthritis</w:t>
      </w:r>
      <w:r w:rsidR="00CD7A31" w:rsidRPr="005767AD">
        <w:rPr>
          <w:rFonts w:asciiTheme="minorHAnsi" w:eastAsiaTheme="minorHAnsi" w:hAnsiTheme="minorHAnsi"/>
          <w:color w:val="auto"/>
          <w:szCs w:val="24"/>
        </w:rPr>
        <w:t>. Moderate</w:t>
      </w:r>
      <w:r w:rsidR="00ED7C58" w:rsidRPr="005767AD">
        <w:rPr>
          <w:rFonts w:asciiTheme="minorHAnsi" w:eastAsiaTheme="minorHAnsi" w:hAnsiTheme="minorHAnsi"/>
          <w:color w:val="auto"/>
          <w:szCs w:val="24"/>
        </w:rPr>
        <w:t xml:space="preserve"> recurrent subluxation </w:t>
      </w:r>
      <w:r w:rsidR="00CD7A31" w:rsidRPr="005767AD">
        <w:rPr>
          <w:rFonts w:asciiTheme="minorHAnsi" w:eastAsiaTheme="minorHAnsi" w:hAnsiTheme="minorHAnsi"/>
          <w:color w:val="auto"/>
          <w:szCs w:val="24"/>
        </w:rPr>
        <w:t>and</w:t>
      </w:r>
      <w:r w:rsidR="00ED7C58" w:rsidRPr="005767AD">
        <w:rPr>
          <w:rFonts w:asciiTheme="minorHAnsi" w:eastAsiaTheme="minorHAnsi" w:hAnsiTheme="minorHAnsi"/>
          <w:color w:val="auto"/>
          <w:szCs w:val="24"/>
        </w:rPr>
        <w:t xml:space="preserve"> lateral instability in the left knee warrants a </w:t>
      </w:r>
      <w:r w:rsidR="00CD7A31" w:rsidRPr="005767AD">
        <w:rPr>
          <w:rFonts w:asciiTheme="minorHAnsi" w:eastAsiaTheme="minorHAnsi" w:hAnsiTheme="minorHAnsi"/>
          <w:color w:val="auto"/>
          <w:szCs w:val="24"/>
        </w:rPr>
        <w:t>2</w:t>
      </w:r>
      <w:r w:rsidR="00ED7C58" w:rsidRPr="005767AD">
        <w:rPr>
          <w:rFonts w:asciiTheme="minorHAnsi" w:eastAsiaTheme="minorHAnsi" w:hAnsiTheme="minorHAnsi"/>
          <w:color w:val="auto"/>
          <w:szCs w:val="24"/>
        </w:rPr>
        <w:t>0% rating for Instability.</w:t>
      </w:r>
      <w:r w:rsidR="004F1D11" w:rsidRPr="005767AD">
        <w:rPr>
          <w:rFonts w:asciiTheme="minorHAnsi" w:eastAsiaTheme="minorHAnsi" w:hAnsiTheme="minorHAnsi"/>
          <w:color w:val="auto"/>
          <w:szCs w:val="24"/>
        </w:rPr>
        <w:t xml:space="preserve"> </w:t>
      </w:r>
      <w:r w:rsidR="00ED7C58" w:rsidRPr="005767AD">
        <w:rPr>
          <w:rFonts w:asciiTheme="minorHAnsi" w:eastAsiaTheme="minorHAnsi" w:hAnsiTheme="minorHAnsi"/>
          <w:color w:val="auto"/>
          <w:szCs w:val="24"/>
        </w:rPr>
        <w:t xml:space="preserve"> Applying both ratings to the same knee is consistent with the DeLuca criteria in use by the VA at the time of separation.</w:t>
      </w:r>
      <w:r w:rsidR="004F1D11" w:rsidRPr="005767AD">
        <w:rPr>
          <w:rFonts w:asciiTheme="minorHAnsi" w:eastAsiaTheme="minorHAnsi" w:hAnsiTheme="minorHAnsi"/>
          <w:color w:val="auto"/>
          <w:szCs w:val="24"/>
        </w:rPr>
        <w:t xml:space="preserve">  </w:t>
      </w:r>
      <w:r w:rsidR="00C87BCD">
        <w:rPr>
          <w:rFonts w:asciiTheme="minorHAnsi" w:eastAsiaTheme="minorHAnsi" w:hAnsiTheme="minorHAnsi"/>
          <w:color w:val="auto"/>
          <w:szCs w:val="24"/>
        </w:rPr>
        <w:t>The single voter for dissent did not elect to submit a minority opinion.</w:t>
      </w:r>
    </w:p>
    <w:p w:rsidR="003C3C64" w:rsidRPr="005767AD" w:rsidRDefault="003C3C64" w:rsidP="003C3C64">
      <w:pPr>
        <w:pBdr>
          <w:bottom w:val="single" w:sz="12" w:space="1" w:color="auto"/>
        </w:pBdr>
        <w:tabs>
          <w:tab w:val="left" w:pos="288"/>
          <w:tab w:val="left" w:pos="4752"/>
        </w:tabs>
        <w:spacing w:line="240" w:lineRule="exact"/>
        <w:jc w:val="both"/>
        <w:rPr>
          <w:rFonts w:asciiTheme="minorHAnsi" w:hAnsiTheme="minorHAnsi"/>
          <w:caps/>
          <w:color w:val="auto"/>
        </w:rPr>
      </w:pPr>
    </w:p>
    <w:p w:rsidR="00AB77D6" w:rsidRPr="005767AD" w:rsidRDefault="00AB77D6" w:rsidP="00AD5BA7">
      <w:pPr>
        <w:spacing w:line="240" w:lineRule="exact"/>
        <w:jc w:val="both"/>
        <w:rPr>
          <w:rFonts w:asciiTheme="minorHAnsi" w:eastAsiaTheme="minorHAnsi" w:hAnsiTheme="minorHAnsi"/>
          <w:color w:val="auto"/>
          <w:szCs w:val="24"/>
        </w:rPr>
      </w:pPr>
    </w:p>
    <w:p w:rsidR="00337B0C" w:rsidRPr="005767AD" w:rsidRDefault="00337B0C" w:rsidP="00AD5BA7">
      <w:pPr>
        <w:spacing w:line="240" w:lineRule="exact"/>
        <w:jc w:val="both"/>
        <w:rPr>
          <w:rFonts w:asciiTheme="minorHAnsi" w:eastAsiaTheme="minorHAnsi" w:hAnsiTheme="minorHAnsi"/>
          <w:color w:val="auto"/>
          <w:szCs w:val="24"/>
        </w:rPr>
      </w:pPr>
      <w:r w:rsidRPr="005767AD">
        <w:rPr>
          <w:rFonts w:asciiTheme="minorHAnsi" w:eastAsiaTheme="minorHAnsi" w:hAnsiTheme="minorHAnsi"/>
          <w:color w:val="auto"/>
          <w:szCs w:val="24"/>
        </w:rPr>
        <w:t xml:space="preserve">RECOMMENDATION:  The Board recommends that the CI’s prior determination be modified as follows and that the discharge with severance </w:t>
      </w:r>
      <w:r w:rsidR="0006747E" w:rsidRPr="005767AD">
        <w:rPr>
          <w:rFonts w:asciiTheme="minorHAnsi" w:eastAsiaTheme="minorHAnsi" w:hAnsiTheme="minorHAnsi"/>
          <w:color w:val="auto"/>
          <w:szCs w:val="24"/>
        </w:rPr>
        <w:t xml:space="preserve">pay be recharacterized </w:t>
      </w:r>
      <w:r w:rsidR="007311D3" w:rsidRPr="005767AD">
        <w:rPr>
          <w:rFonts w:asciiTheme="minorHAnsi" w:eastAsiaTheme="minorHAnsi" w:hAnsiTheme="minorHAnsi"/>
          <w:color w:val="auto"/>
          <w:szCs w:val="24"/>
        </w:rPr>
        <w:t>to reflect</w:t>
      </w:r>
      <w:r w:rsidRPr="005767AD">
        <w:rPr>
          <w:rFonts w:asciiTheme="minorHAnsi" w:eastAsiaTheme="minorHAnsi" w:hAnsiTheme="minorHAnsi"/>
          <w:color w:val="auto"/>
          <w:szCs w:val="24"/>
        </w:rPr>
        <w:t xml:space="preserve"> permanent disability retirement, effective as the date of his prior medical separation.</w:t>
      </w:r>
    </w:p>
    <w:p w:rsidR="007311D3" w:rsidRPr="005767AD" w:rsidRDefault="007311D3" w:rsidP="00AD5BA7">
      <w:pPr>
        <w:spacing w:line="240" w:lineRule="exact"/>
        <w:rPr>
          <w:rFonts w:asciiTheme="minorHAnsi" w:eastAsiaTheme="minorHAnsi" w:hAnsiTheme="minorHAnsi"/>
          <w:b/>
          <w:color w:val="FF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767AD" w:rsidTr="00D56C4B">
        <w:trPr>
          <w:trHeight w:val="287"/>
          <w:jc w:val="center"/>
        </w:trPr>
        <w:tc>
          <w:tcPr>
            <w:tcW w:w="6480" w:type="dxa"/>
            <w:shd w:val="clear" w:color="auto" w:fill="D9D9D9"/>
            <w:vAlign w:val="center"/>
          </w:tcPr>
          <w:p w:rsidR="00A95BBA" w:rsidRPr="005767AD" w:rsidRDefault="00A95BBA" w:rsidP="00D56C4B">
            <w:pPr>
              <w:tabs>
                <w:tab w:val="left" w:pos="288"/>
                <w:tab w:val="left" w:pos="4752"/>
              </w:tabs>
              <w:spacing w:line="240" w:lineRule="exact"/>
              <w:rPr>
                <w:rFonts w:asciiTheme="minorHAnsi" w:hAnsiTheme="minorHAnsi"/>
                <w:b/>
                <w:color w:val="auto"/>
                <w:szCs w:val="24"/>
              </w:rPr>
            </w:pPr>
            <w:r w:rsidRPr="005767AD">
              <w:rPr>
                <w:rFonts w:asciiTheme="minorHAnsi" w:hAnsiTheme="minorHAnsi"/>
                <w:b/>
                <w:color w:val="auto"/>
                <w:szCs w:val="24"/>
              </w:rPr>
              <w:t>UNFITTING CONDITION</w:t>
            </w:r>
          </w:p>
        </w:tc>
        <w:tc>
          <w:tcPr>
            <w:tcW w:w="1710" w:type="dxa"/>
            <w:shd w:val="clear" w:color="auto" w:fill="D9D9D9"/>
            <w:vAlign w:val="center"/>
          </w:tcPr>
          <w:p w:rsidR="00A95BBA" w:rsidRPr="005767AD" w:rsidRDefault="00A95BBA" w:rsidP="00D56C4B">
            <w:pPr>
              <w:tabs>
                <w:tab w:val="left" w:pos="288"/>
                <w:tab w:val="left" w:pos="4752"/>
              </w:tabs>
              <w:spacing w:line="240" w:lineRule="exact"/>
              <w:jc w:val="center"/>
              <w:rPr>
                <w:rFonts w:asciiTheme="minorHAnsi" w:hAnsiTheme="minorHAnsi"/>
                <w:b/>
                <w:color w:val="auto"/>
                <w:szCs w:val="24"/>
              </w:rPr>
            </w:pPr>
            <w:r w:rsidRPr="005767AD">
              <w:rPr>
                <w:rFonts w:asciiTheme="minorHAnsi" w:hAnsiTheme="minorHAnsi"/>
                <w:b/>
                <w:color w:val="auto"/>
                <w:szCs w:val="24"/>
              </w:rPr>
              <w:t>VASRD CODE</w:t>
            </w:r>
          </w:p>
        </w:tc>
        <w:tc>
          <w:tcPr>
            <w:tcW w:w="1170" w:type="dxa"/>
            <w:shd w:val="clear" w:color="auto" w:fill="D9D9D9"/>
            <w:vAlign w:val="center"/>
          </w:tcPr>
          <w:p w:rsidR="00A95BBA" w:rsidRPr="005767AD" w:rsidRDefault="00A95BBA" w:rsidP="00D56C4B">
            <w:pPr>
              <w:tabs>
                <w:tab w:val="left" w:pos="288"/>
                <w:tab w:val="left" w:pos="4752"/>
              </w:tabs>
              <w:spacing w:line="240" w:lineRule="exact"/>
              <w:jc w:val="center"/>
              <w:rPr>
                <w:rFonts w:asciiTheme="minorHAnsi" w:hAnsiTheme="minorHAnsi"/>
                <w:b/>
                <w:color w:val="auto"/>
                <w:szCs w:val="24"/>
              </w:rPr>
            </w:pPr>
            <w:r w:rsidRPr="005767AD">
              <w:rPr>
                <w:rFonts w:asciiTheme="minorHAnsi" w:hAnsiTheme="minorHAnsi"/>
                <w:b/>
                <w:color w:val="auto"/>
                <w:szCs w:val="24"/>
              </w:rPr>
              <w:t>RATING</w:t>
            </w:r>
          </w:p>
        </w:tc>
      </w:tr>
      <w:tr w:rsidR="00A95BBA" w:rsidRPr="005767AD" w:rsidTr="00A43BF0">
        <w:trPr>
          <w:trHeight w:val="377"/>
          <w:jc w:val="center"/>
        </w:trPr>
        <w:tc>
          <w:tcPr>
            <w:tcW w:w="6480" w:type="dxa"/>
            <w:vAlign w:val="center"/>
          </w:tcPr>
          <w:p w:rsidR="00A95BBA" w:rsidRPr="005767AD" w:rsidRDefault="0006747E" w:rsidP="00D56C4B">
            <w:pPr>
              <w:tabs>
                <w:tab w:val="left" w:pos="288"/>
                <w:tab w:val="left" w:pos="4752"/>
              </w:tabs>
              <w:spacing w:line="240" w:lineRule="exact"/>
              <w:rPr>
                <w:rFonts w:asciiTheme="minorHAnsi" w:hAnsiTheme="minorHAnsi"/>
                <w:color w:val="auto"/>
                <w:szCs w:val="24"/>
              </w:rPr>
            </w:pPr>
            <w:r w:rsidRPr="005767AD">
              <w:rPr>
                <w:rFonts w:asciiTheme="minorHAnsi" w:hAnsiTheme="minorHAnsi"/>
                <w:color w:val="auto"/>
                <w:szCs w:val="24"/>
              </w:rPr>
              <w:t>Bicompartmental Osteoarthritis of the Left Knee</w:t>
            </w:r>
          </w:p>
        </w:tc>
        <w:tc>
          <w:tcPr>
            <w:tcW w:w="1710" w:type="dxa"/>
            <w:vAlign w:val="center"/>
          </w:tcPr>
          <w:p w:rsidR="00A95BBA" w:rsidRPr="005767AD" w:rsidRDefault="00652639" w:rsidP="00D56C4B">
            <w:pPr>
              <w:tabs>
                <w:tab w:val="left" w:pos="288"/>
                <w:tab w:val="left" w:pos="4752"/>
              </w:tabs>
              <w:spacing w:line="240" w:lineRule="exact"/>
              <w:jc w:val="center"/>
              <w:rPr>
                <w:rFonts w:asciiTheme="minorHAnsi" w:hAnsiTheme="minorHAnsi"/>
                <w:color w:val="auto"/>
                <w:szCs w:val="24"/>
              </w:rPr>
            </w:pPr>
            <w:r w:rsidRPr="005767AD">
              <w:rPr>
                <w:rFonts w:asciiTheme="minorHAnsi" w:hAnsiTheme="minorHAnsi"/>
                <w:color w:val="auto"/>
                <w:szCs w:val="24"/>
              </w:rPr>
              <w:t>5299-5003</w:t>
            </w:r>
          </w:p>
        </w:tc>
        <w:tc>
          <w:tcPr>
            <w:tcW w:w="1170" w:type="dxa"/>
            <w:vAlign w:val="center"/>
          </w:tcPr>
          <w:p w:rsidR="00A95BBA" w:rsidRPr="005767AD" w:rsidRDefault="00652639" w:rsidP="00D56C4B">
            <w:pPr>
              <w:tabs>
                <w:tab w:val="left" w:pos="288"/>
                <w:tab w:val="left" w:pos="4752"/>
              </w:tabs>
              <w:spacing w:line="240" w:lineRule="exact"/>
              <w:jc w:val="center"/>
              <w:rPr>
                <w:rFonts w:asciiTheme="minorHAnsi" w:hAnsiTheme="minorHAnsi"/>
                <w:color w:val="auto"/>
                <w:szCs w:val="24"/>
              </w:rPr>
            </w:pPr>
            <w:r w:rsidRPr="005767AD">
              <w:rPr>
                <w:rFonts w:asciiTheme="minorHAnsi" w:hAnsiTheme="minorHAnsi"/>
                <w:color w:val="auto"/>
                <w:szCs w:val="24"/>
              </w:rPr>
              <w:t>1</w:t>
            </w:r>
            <w:r w:rsidR="00A95BBA" w:rsidRPr="005767AD">
              <w:rPr>
                <w:rFonts w:asciiTheme="minorHAnsi" w:hAnsiTheme="minorHAnsi"/>
                <w:color w:val="auto"/>
                <w:szCs w:val="24"/>
              </w:rPr>
              <w:t>0%</w:t>
            </w:r>
          </w:p>
        </w:tc>
      </w:tr>
      <w:tr w:rsidR="0006747E" w:rsidRPr="005767AD" w:rsidTr="00452692">
        <w:trPr>
          <w:trHeight w:val="620"/>
          <w:jc w:val="center"/>
        </w:trPr>
        <w:tc>
          <w:tcPr>
            <w:tcW w:w="6480" w:type="dxa"/>
            <w:vAlign w:val="center"/>
          </w:tcPr>
          <w:p w:rsidR="0006747E" w:rsidRPr="005767AD" w:rsidRDefault="00D56C4B" w:rsidP="00330EE7">
            <w:pPr>
              <w:tabs>
                <w:tab w:val="left" w:pos="288"/>
                <w:tab w:val="left" w:pos="4752"/>
              </w:tabs>
              <w:spacing w:line="240" w:lineRule="exact"/>
              <w:rPr>
                <w:rFonts w:asciiTheme="minorHAnsi" w:hAnsiTheme="minorHAnsi"/>
                <w:color w:val="auto"/>
                <w:szCs w:val="24"/>
              </w:rPr>
            </w:pPr>
            <w:r w:rsidRPr="005767AD">
              <w:rPr>
                <w:rFonts w:asciiTheme="minorHAnsi" w:hAnsiTheme="minorHAnsi"/>
                <w:color w:val="auto"/>
                <w:szCs w:val="24"/>
              </w:rPr>
              <w:t xml:space="preserve">Left Knee </w:t>
            </w:r>
            <w:r w:rsidR="00CD7A31" w:rsidRPr="005767AD">
              <w:rPr>
                <w:rFonts w:asciiTheme="minorHAnsi" w:hAnsiTheme="minorHAnsi"/>
                <w:color w:val="auto"/>
                <w:szCs w:val="24"/>
              </w:rPr>
              <w:t>M</w:t>
            </w:r>
            <w:r w:rsidR="00330EE7" w:rsidRPr="005767AD">
              <w:rPr>
                <w:rFonts w:asciiTheme="minorHAnsi" w:hAnsiTheme="minorHAnsi"/>
                <w:color w:val="auto"/>
                <w:szCs w:val="24"/>
              </w:rPr>
              <w:t xml:space="preserve">oderate </w:t>
            </w:r>
            <w:r w:rsidRPr="005767AD">
              <w:rPr>
                <w:rFonts w:asciiTheme="minorHAnsi" w:hAnsiTheme="minorHAnsi"/>
                <w:color w:val="auto"/>
                <w:szCs w:val="24"/>
              </w:rPr>
              <w:t xml:space="preserve">Instability due to </w:t>
            </w:r>
            <w:r w:rsidR="00652639" w:rsidRPr="005767AD">
              <w:rPr>
                <w:rFonts w:asciiTheme="minorHAnsi" w:hAnsiTheme="minorHAnsi"/>
                <w:color w:val="auto"/>
                <w:szCs w:val="24"/>
              </w:rPr>
              <w:t>Accompanying Anterolateral Rotatory Instability</w:t>
            </w:r>
            <w:r w:rsidRPr="005767AD">
              <w:rPr>
                <w:rFonts w:asciiTheme="minorHAnsi" w:hAnsiTheme="minorHAnsi"/>
                <w:color w:val="auto"/>
                <w:szCs w:val="24"/>
              </w:rPr>
              <w:t xml:space="preserve"> and Failed ACL Reconstruction</w:t>
            </w:r>
          </w:p>
        </w:tc>
        <w:tc>
          <w:tcPr>
            <w:tcW w:w="1710" w:type="dxa"/>
          </w:tcPr>
          <w:p w:rsidR="0006747E" w:rsidRPr="005767AD" w:rsidRDefault="00652639" w:rsidP="00452692">
            <w:pPr>
              <w:tabs>
                <w:tab w:val="left" w:pos="288"/>
                <w:tab w:val="left" w:pos="4752"/>
              </w:tabs>
              <w:spacing w:line="240" w:lineRule="exact"/>
              <w:jc w:val="center"/>
              <w:rPr>
                <w:rFonts w:asciiTheme="minorHAnsi" w:hAnsiTheme="minorHAnsi"/>
                <w:color w:val="auto"/>
                <w:szCs w:val="24"/>
              </w:rPr>
            </w:pPr>
            <w:r w:rsidRPr="005767AD">
              <w:rPr>
                <w:rFonts w:asciiTheme="minorHAnsi" w:hAnsiTheme="minorHAnsi"/>
                <w:color w:val="auto"/>
                <w:szCs w:val="24"/>
              </w:rPr>
              <w:t>5257</w:t>
            </w:r>
          </w:p>
        </w:tc>
        <w:tc>
          <w:tcPr>
            <w:tcW w:w="1170" w:type="dxa"/>
          </w:tcPr>
          <w:p w:rsidR="0006747E" w:rsidRPr="005767AD" w:rsidRDefault="00CD7A31" w:rsidP="00452692">
            <w:pPr>
              <w:tabs>
                <w:tab w:val="left" w:pos="288"/>
                <w:tab w:val="left" w:pos="4752"/>
              </w:tabs>
              <w:spacing w:line="240" w:lineRule="exact"/>
              <w:jc w:val="center"/>
              <w:rPr>
                <w:rFonts w:asciiTheme="minorHAnsi" w:hAnsiTheme="minorHAnsi"/>
                <w:color w:val="auto"/>
                <w:szCs w:val="24"/>
              </w:rPr>
            </w:pPr>
            <w:r w:rsidRPr="005767AD">
              <w:rPr>
                <w:rFonts w:asciiTheme="minorHAnsi" w:hAnsiTheme="minorHAnsi"/>
                <w:color w:val="auto"/>
                <w:szCs w:val="24"/>
              </w:rPr>
              <w:t>2</w:t>
            </w:r>
            <w:r w:rsidR="00652639" w:rsidRPr="005767AD">
              <w:rPr>
                <w:rFonts w:asciiTheme="minorHAnsi" w:hAnsiTheme="minorHAnsi"/>
                <w:color w:val="auto"/>
                <w:szCs w:val="24"/>
              </w:rPr>
              <w:t>0%</w:t>
            </w:r>
          </w:p>
        </w:tc>
      </w:tr>
      <w:tr w:rsidR="00A95BBA" w:rsidRPr="005767AD" w:rsidTr="00D56C4B">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767AD" w:rsidRDefault="00A95BBA" w:rsidP="00D56C4B">
            <w:pPr>
              <w:tabs>
                <w:tab w:val="left" w:pos="288"/>
                <w:tab w:val="left" w:pos="4752"/>
              </w:tabs>
              <w:spacing w:line="240" w:lineRule="exact"/>
              <w:jc w:val="center"/>
              <w:rPr>
                <w:rFonts w:asciiTheme="minorHAnsi" w:hAnsiTheme="minorHAnsi"/>
                <w:b/>
                <w:color w:val="auto"/>
                <w:szCs w:val="24"/>
              </w:rPr>
            </w:pPr>
            <w:r w:rsidRPr="005767AD">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5767AD" w:rsidRDefault="00CD7A31" w:rsidP="00D56C4B">
            <w:pPr>
              <w:tabs>
                <w:tab w:val="left" w:pos="288"/>
                <w:tab w:val="left" w:pos="4752"/>
              </w:tabs>
              <w:spacing w:line="240" w:lineRule="exact"/>
              <w:jc w:val="center"/>
              <w:rPr>
                <w:rFonts w:asciiTheme="minorHAnsi" w:hAnsiTheme="minorHAnsi"/>
                <w:b/>
                <w:color w:val="auto"/>
                <w:szCs w:val="24"/>
              </w:rPr>
            </w:pPr>
            <w:r w:rsidRPr="005767AD">
              <w:rPr>
                <w:rFonts w:asciiTheme="minorHAnsi" w:hAnsiTheme="minorHAnsi"/>
                <w:b/>
                <w:color w:val="auto"/>
                <w:szCs w:val="24"/>
              </w:rPr>
              <w:t>3</w:t>
            </w:r>
            <w:r w:rsidR="00A95BBA" w:rsidRPr="005767AD">
              <w:rPr>
                <w:rFonts w:asciiTheme="minorHAnsi" w:hAnsiTheme="minorHAnsi"/>
                <w:b/>
                <w:color w:val="auto"/>
                <w:szCs w:val="24"/>
              </w:rPr>
              <w:t>0%</w:t>
            </w:r>
          </w:p>
        </w:tc>
      </w:tr>
    </w:tbl>
    <w:p w:rsidR="00D91DA6" w:rsidRPr="005767AD" w:rsidRDefault="00D91DA6" w:rsidP="00AD5BA7">
      <w:pPr>
        <w:tabs>
          <w:tab w:val="left" w:pos="288"/>
          <w:tab w:val="left" w:pos="4752"/>
        </w:tabs>
        <w:spacing w:line="240" w:lineRule="exact"/>
        <w:jc w:val="both"/>
        <w:rPr>
          <w:rFonts w:asciiTheme="minorHAnsi" w:hAnsiTheme="minorHAnsi"/>
          <w:color w:val="auto"/>
        </w:rPr>
      </w:pPr>
    </w:p>
    <w:p w:rsidR="00D91DA6" w:rsidRPr="005767AD" w:rsidRDefault="00114F20" w:rsidP="00AD5BA7">
      <w:pPr>
        <w:tabs>
          <w:tab w:val="left" w:pos="288"/>
          <w:tab w:val="left" w:pos="4752"/>
        </w:tabs>
        <w:spacing w:line="240" w:lineRule="exact"/>
        <w:jc w:val="both"/>
        <w:rPr>
          <w:rFonts w:asciiTheme="minorHAnsi" w:hAnsiTheme="minorHAnsi"/>
          <w:color w:val="auto"/>
        </w:rPr>
      </w:pPr>
      <w:r w:rsidRPr="005767AD">
        <w:rPr>
          <w:rFonts w:asciiTheme="minorHAnsi" w:hAnsiTheme="minorHAnsi"/>
          <w:color w:val="auto"/>
        </w:rPr>
        <w:t>The following documentary evidence was considered:</w:t>
      </w:r>
    </w:p>
    <w:p w:rsidR="00EB5EFD" w:rsidRPr="005767AD" w:rsidRDefault="00EB5EFD" w:rsidP="00AD5BA7">
      <w:pPr>
        <w:tabs>
          <w:tab w:val="left" w:pos="288"/>
          <w:tab w:val="left" w:pos="4752"/>
        </w:tabs>
        <w:spacing w:line="240" w:lineRule="exact"/>
        <w:jc w:val="both"/>
        <w:rPr>
          <w:rFonts w:asciiTheme="minorHAnsi" w:hAnsiTheme="minorHAnsi"/>
          <w:color w:val="auto"/>
        </w:rPr>
      </w:pPr>
    </w:p>
    <w:p w:rsidR="00114F20" w:rsidRPr="005767AD" w:rsidRDefault="0051146C" w:rsidP="00AD5BA7">
      <w:pPr>
        <w:tabs>
          <w:tab w:val="left" w:pos="288"/>
          <w:tab w:val="left" w:pos="4752"/>
        </w:tabs>
        <w:spacing w:line="240" w:lineRule="exact"/>
        <w:jc w:val="both"/>
        <w:rPr>
          <w:rFonts w:asciiTheme="minorHAnsi" w:hAnsiTheme="minorHAnsi"/>
          <w:color w:val="auto"/>
        </w:rPr>
      </w:pPr>
      <w:r w:rsidRPr="005767AD">
        <w:rPr>
          <w:rFonts w:asciiTheme="minorHAnsi" w:hAnsiTheme="minorHAnsi"/>
          <w:color w:val="auto"/>
        </w:rPr>
        <w:t xml:space="preserve">Exhibit A.  DD Form </w:t>
      </w:r>
      <w:proofErr w:type="gramStart"/>
      <w:r w:rsidRPr="005767AD">
        <w:rPr>
          <w:rFonts w:asciiTheme="minorHAnsi" w:hAnsiTheme="minorHAnsi"/>
          <w:color w:val="auto"/>
        </w:rPr>
        <w:t>294,</w:t>
      </w:r>
      <w:proofErr w:type="gramEnd"/>
      <w:r w:rsidRPr="005767AD">
        <w:rPr>
          <w:rFonts w:asciiTheme="minorHAnsi" w:hAnsiTheme="minorHAnsi"/>
          <w:color w:val="auto"/>
        </w:rPr>
        <w:t xml:space="preserve"> dated </w:t>
      </w:r>
      <w:r w:rsidR="0019273F" w:rsidRPr="005767AD">
        <w:rPr>
          <w:rFonts w:asciiTheme="minorHAnsi" w:hAnsiTheme="minorHAnsi"/>
          <w:color w:val="auto"/>
        </w:rPr>
        <w:t>20</w:t>
      </w:r>
      <w:r w:rsidR="00685285" w:rsidRPr="005767AD">
        <w:rPr>
          <w:rFonts w:asciiTheme="minorHAnsi" w:hAnsiTheme="minorHAnsi"/>
          <w:color w:val="auto"/>
        </w:rPr>
        <w:t>0061215</w:t>
      </w:r>
      <w:r w:rsidR="00114F20" w:rsidRPr="005767AD">
        <w:rPr>
          <w:rFonts w:asciiTheme="minorHAnsi" w:hAnsiTheme="minorHAnsi"/>
          <w:color w:val="auto"/>
        </w:rPr>
        <w:t>, w/</w:t>
      </w:r>
      <w:proofErr w:type="spellStart"/>
      <w:r w:rsidR="00114F20" w:rsidRPr="005767AD">
        <w:rPr>
          <w:rFonts w:asciiTheme="minorHAnsi" w:hAnsiTheme="minorHAnsi"/>
          <w:color w:val="auto"/>
        </w:rPr>
        <w:t>atchs</w:t>
      </w:r>
      <w:proofErr w:type="spellEnd"/>
      <w:r w:rsidR="00114F20" w:rsidRPr="005767AD">
        <w:rPr>
          <w:rFonts w:asciiTheme="minorHAnsi" w:hAnsiTheme="minorHAnsi"/>
          <w:color w:val="auto"/>
        </w:rPr>
        <w:t>.</w:t>
      </w:r>
    </w:p>
    <w:p w:rsidR="00114F20" w:rsidRPr="005767AD" w:rsidRDefault="00114F20" w:rsidP="00AD5BA7">
      <w:pPr>
        <w:tabs>
          <w:tab w:val="left" w:pos="288"/>
          <w:tab w:val="left" w:pos="4752"/>
        </w:tabs>
        <w:spacing w:line="240" w:lineRule="exact"/>
        <w:jc w:val="both"/>
        <w:rPr>
          <w:rFonts w:asciiTheme="minorHAnsi" w:hAnsiTheme="minorHAnsi"/>
          <w:color w:val="auto"/>
        </w:rPr>
      </w:pPr>
      <w:r w:rsidRPr="005767AD">
        <w:rPr>
          <w:rFonts w:asciiTheme="minorHAnsi" w:hAnsiTheme="minorHAnsi"/>
          <w:color w:val="auto"/>
        </w:rPr>
        <w:t xml:space="preserve">Exhibit B.  </w:t>
      </w:r>
      <w:proofErr w:type="gramStart"/>
      <w:r w:rsidRPr="005767AD">
        <w:rPr>
          <w:rFonts w:asciiTheme="minorHAnsi" w:hAnsiTheme="minorHAnsi"/>
          <w:color w:val="auto"/>
        </w:rPr>
        <w:t>Service Treatment Record.</w:t>
      </w:r>
      <w:proofErr w:type="gramEnd"/>
    </w:p>
    <w:p w:rsidR="00114F20" w:rsidRPr="0085089F" w:rsidRDefault="00114F20" w:rsidP="00AD5BA7">
      <w:pPr>
        <w:tabs>
          <w:tab w:val="left" w:pos="288"/>
          <w:tab w:val="left" w:pos="4752"/>
        </w:tabs>
        <w:spacing w:line="240" w:lineRule="exact"/>
        <w:jc w:val="both"/>
        <w:rPr>
          <w:rFonts w:asciiTheme="minorHAnsi" w:hAnsiTheme="minorHAnsi"/>
          <w:color w:val="auto"/>
        </w:rPr>
      </w:pPr>
      <w:r w:rsidRPr="005767AD">
        <w:rPr>
          <w:rFonts w:asciiTheme="minorHAnsi" w:hAnsiTheme="minorHAnsi"/>
          <w:color w:val="auto"/>
        </w:rPr>
        <w:t xml:space="preserve">Exhibit C.  </w:t>
      </w:r>
      <w:proofErr w:type="gramStart"/>
      <w:r w:rsidRPr="005767AD">
        <w:rPr>
          <w:rFonts w:asciiTheme="minorHAnsi" w:hAnsiTheme="minorHAnsi"/>
          <w:color w:val="auto"/>
        </w:rPr>
        <w:t>Department of Veterans</w:t>
      </w:r>
      <w:r w:rsidR="00385D6F" w:rsidRPr="005767AD">
        <w:rPr>
          <w:rFonts w:asciiTheme="minorHAnsi" w:hAnsiTheme="minorHAnsi"/>
          <w:color w:val="auto"/>
        </w:rPr>
        <w:t>'</w:t>
      </w:r>
      <w:r w:rsidRPr="005767AD">
        <w:rPr>
          <w:rFonts w:asciiTheme="minorHAnsi" w:hAnsiTheme="minorHAnsi"/>
          <w:color w:val="auto"/>
        </w:rPr>
        <w:t xml:space="preserve"> Affairs Treatment Record.</w:t>
      </w:r>
      <w:proofErr w:type="gramEnd"/>
    </w:p>
    <w:p w:rsidR="00D91DA6" w:rsidRPr="0085089F" w:rsidRDefault="00D91DA6" w:rsidP="00AD5BA7">
      <w:pPr>
        <w:tabs>
          <w:tab w:val="left" w:pos="288"/>
          <w:tab w:val="left" w:pos="4752"/>
        </w:tabs>
        <w:spacing w:line="240" w:lineRule="exact"/>
        <w:jc w:val="both"/>
        <w:rPr>
          <w:rFonts w:asciiTheme="minorHAnsi" w:hAnsiTheme="minorHAnsi"/>
          <w:color w:val="auto"/>
        </w:rPr>
      </w:pPr>
    </w:p>
    <w:p w:rsidR="00114F20" w:rsidRPr="0085089F" w:rsidRDefault="00114F20" w:rsidP="00AD5BA7">
      <w:pPr>
        <w:tabs>
          <w:tab w:val="left" w:pos="288"/>
          <w:tab w:val="left" w:pos="4752"/>
        </w:tabs>
        <w:spacing w:line="240" w:lineRule="exact"/>
        <w:jc w:val="both"/>
        <w:rPr>
          <w:rFonts w:asciiTheme="minorHAnsi" w:hAnsiTheme="minorHAnsi"/>
          <w:color w:val="auto"/>
        </w:rPr>
      </w:pPr>
    </w:p>
    <w:p w:rsidR="00D91DA6" w:rsidRPr="0085089F" w:rsidRDefault="00C30A97" w:rsidP="00AD5BA7">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452692">
        <w:rPr>
          <w:rFonts w:asciiTheme="minorHAnsi" w:hAnsiTheme="minorHAnsi"/>
          <w:color w:val="auto"/>
        </w:rPr>
        <w:t>Deputy Director</w:t>
      </w:r>
    </w:p>
    <w:p w:rsidR="00330EE7" w:rsidRDefault="00C30A97" w:rsidP="00C87BC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r w:rsidR="00452692">
        <w:rPr>
          <w:rFonts w:asciiTheme="minorHAnsi" w:hAnsiTheme="minorHAnsi"/>
          <w:color w:val="auto"/>
        </w:rPr>
        <w:t xml:space="preserve"> </w:t>
      </w:r>
    </w:p>
    <w:p w:rsidR="00F71120" w:rsidRDefault="00F71120">
      <w:pPr>
        <w:rPr>
          <w:color w:val="auto"/>
        </w:rPr>
      </w:pPr>
      <w:r>
        <w:rPr>
          <w:color w:val="auto"/>
        </w:rPr>
        <w:br w:type="page"/>
      </w:r>
    </w:p>
    <w:p w:rsidR="00F71120" w:rsidRPr="00F71120" w:rsidRDefault="00F71120" w:rsidP="00F71120">
      <w:pPr>
        <w:rPr>
          <w:color w:val="auto"/>
        </w:rPr>
      </w:pPr>
      <w:r w:rsidRPr="00F71120">
        <w:rPr>
          <w:color w:val="auto"/>
        </w:rPr>
        <w:lastRenderedPageBreak/>
        <w:t>MEMORANDUM FOR DEPUTY COMMANDANT, MANPOWER &amp; RESERVE AFFAIRS</w:t>
      </w:r>
    </w:p>
    <w:p w:rsidR="00F71120" w:rsidRPr="00F71120" w:rsidRDefault="00F71120" w:rsidP="00F71120">
      <w:pPr>
        <w:rPr>
          <w:color w:val="auto"/>
        </w:rPr>
      </w:pPr>
    </w:p>
    <w:p w:rsidR="00F71120" w:rsidRPr="00F71120" w:rsidRDefault="00F71120" w:rsidP="00F71120">
      <w:pPr>
        <w:rPr>
          <w:color w:val="auto"/>
        </w:rPr>
      </w:pPr>
      <w:proofErr w:type="spellStart"/>
      <w:r w:rsidRPr="00F71120">
        <w:rPr>
          <w:color w:val="auto"/>
        </w:rPr>
        <w:t>Subj</w:t>
      </w:r>
      <w:proofErr w:type="spellEnd"/>
      <w:r w:rsidRPr="00F71120">
        <w:rPr>
          <w:color w:val="auto"/>
        </w:rPr>
        <w:t>:  PHYSICAL DISABILITY BOARD OF REVIEW (PDBR) RECOMMENDATION</w:t>
      </w:r>
    </w:p>
    <w:p w:rsidR="00F71120" w:rsidRPr="00F71120" w:rsidRDefault="00F71120" w:rsidP="00F71120">
      <w:pPr>
        <w:tabs>
          <w:tab w:val="left" w:pos="630"/>
        </w:tabs>
        <w:rPr>
          <w:color w:val="auto"/>
        </w:rPr>
      </w:pPr>
      <w:r w:rsidRPr="00F71120">
        <w:rPr>
          <w:color w:val="auto"/>
        </w:rPr>
        <w:t xml:space="preserve">          </w:t>
      </w:r>
      <w:r w:rsidRPr="00F71120">
        <w:rPr>
          <w:color w:val="auto"/>
        </w:rPr>
        <w:tab/>
        <w:t xml:space="preserve">ICO </w:t>
      </w:r>
      <w:r>
        <w:rPr>
          <w:color w:val="auto"/>
        </w:rPr>
        <w:t>XXXX</w:t>
      </w:r>
      <w:r w:rsidRPr="00F71120">
        <w:rPr>
          <w:color w:val="auto"/>
        </w:rPr>
        <w:t xml:space="preserve">, FORMER USMC, XXX XX </w:t>
      </w:r>
      <w:r>
        <w:rPr>
          <w:color w:val="auto"/>
        </w:rPr>
        <w:t>XXXX</w:t>
      </w:r>
    </w:p>
    <w:p w:rsidR="00F71120" w:rsidRPr="00F71120" w:rsidRDefault="00F71120" w:rsidP="00F71120">
      <w:pPr>
        <w:rPr>
          <w:color w:val="auto"/>
        </w:rPr>
      </w:pPr>
    </w:p>
    <w:p w:rsidR="00F71120" w:rsidRPr="00F71120" w:rsidRDefault="00F71120" w:rsidP="00F71120">
      <w:pPr>
        <w:rPr>
          <w:color w:val="auto"/>
        </w:rPr>
      </w:pPr>
      <w:r w:rsidRPr="00F71120">
        <w:rPr>
          <w:color w:val="auto"/>
        </w:rPr>
        <w:t>Ref:   (a) DoDI 6040.44</w:t>
      </w:r>
    </w:p>
    <w:p w:rsidR="00F71120" w:rsidRPr="00F71120" w:rsidRDefault="00F71120" w:rsidP="00F71120">
      <w:pPr>
        <w:rPr>
          <w:color w:val="auto"/>
        </w:rPr>
      </w:pPr>
      <w:r w:rsidRPr="00F71120">
        <w:rPr>
          <w:color w:val="auto"/>
        </w:rPr>
        <w:t xml:space="preserve">          (b) PDBR </w:t>
      </w:r>
      <w:proofErr w:type="spellStart"/>
      <w:r w:rsidRPr="00F71120">
        <w:rPr>
          <w:color w:val="auto"/>
        </w:rPr>
        <w:t>ltr</w:t>
      </w:r>
      <w:proofErr w:type="spellEnd"/>
      <w:r w:rsidRPr="00F71120">
        <w:rPr>
          <w:color w:val="auto"/>
        </w:rPr>
        <w:t xml:space="preserve"> </w:t>
      </w:r>
      <w:proofErr w:type="spellStart"/>
      <w:r w:rsidRPr="00F71120">
        <w:rPr>
          <w:color w:val="auto"/>
        </w:rPr>
        <w:t>dtd</w:t>
      </w:r>
      <w:proofErr w:type="spellEnd"/>
      <w:r w:rsidRPr="00F71120">
        <w:rPr>
          <w:color w:val="auto"/>
        </w:rPr>
        <w:t xml:space="preserve"> 1 Mar 11</w:t>
      </w:r>
    </w:p>
    <w:p w:rsidR="00F71120" w:rsidRPr="00F71120" w:rsidRDefault="00F71120" w:rsidP="00F71120">
      <w:pPr>
        <w:rPr>
          <w:color w:val="auto"/>
        </w:rPr>
      </w:pPr>
    </w:p>
    <w:p w:rsidR="00F71120" w:rsidRPr="00F71120" w:rsidRDefault="00F71120" w:rsidP="00F71120">
      <w:pPr>
        <w:rPr>
          <w:color w:val="auto"/>
        </w:rPr>
      </w:pPr>
      <w:r w:rsidRPr="00F71120">
        <w:rPr>
          <w:color w:val="auto"/>
        </w:rPr>
        <w:t>1.  I have reviewed the subject case pursuant to reference (a) and approve the recommendation of the Physical Disability Board of Review (reference (b).</w:t>
      </w:r>
    </w:p>
    <w:p w:rsidR="00F71120" w:rsidRPr="00F71120" w:rsidRDefault="00F71120" w:rsidP="00F71120">
      <w:pPr>
        <w:rPr>
          <w:color w:val="auto"/>
        </w:rPr>
      </w:pPr>
    </w:p>
    <w:p w:rsidR="00F71120" w:rsidRPr="00F71120" w:rsidRDefault="00F71120" w:rsidP="00F71120">
      <w:pPr>
        <w:rPr>
          <w:color w:val="auto"/>
        </w:rPr>
      </w:pPr>
      <w:r w:rsidRPr="00F71120">
        <w:rPr>
          <w:color w:val="auto"/>
        </w:rPr>
        <w:t>2.  The subject member’s official records are to be corrected to reflect the following disposition:</w:t>
      </w:r>
    </w:p>
    <w:p w:rsidR="00F71120" w:rsidRPr="00F71120" w:rsidRDefault="00F71120" w:rsidP="00F71120">
      <w:pPr>
        <w:rPr>
          <w:color w:val="auto"/>
        </w:rPr>
      </w:pPr>
    </w:p>
    <w:p w:rsidR="00F71120" w:rsidRPr="00F71120" w:rsidRDefault="00F71120" w:rsidP="00F71120">
      <w:pPr>
        <w:rPr>
          <w:color w:val="auto"/>
        </w:rPr>
      </w:pPr>
      <w:r w:rsidRPr="00F71120">
        <w:rPr>
          <w:color w:val="auto"/>
        </w:rPr>
        <w:tab/>
        <w:t>a. Separation from the naval service due to physical disability rated at 30 percent (increased from 10 percent) with transfer to the Permanent Disability Retired List effective 15 December 2006.</w:t>
      </w:r>
    </w:p>
    <w:p w:rsidR="00F71120" w:rsidRPr="00F71120" w:rsidRDefault="00F71120" w:rsidP="00F71120">
      <w:pPr>
        <w:rPr>
          <w:color w:val="auto"/>
        </w:rPr>
      </w:pPr>
    </w:p>
    <w:p w:rsidR="00F71120" w:rsidRPr="00F71120" w:rsidRDefault="00F71120" w:rsidP="00F71120">
      <w:pPr>
        <w:rPr>
          <w:color w:val="auto"/>
        </w:rPr>
      </w:pPr>
      <w:r w:rsidRPr="00F71120">
        <w:rPr>
          <w:color w:val="auto"/>
        </w:rPr>
        <w:t>3.  Please ensure all necessary actions are taken to implement this decision, including the recoupment of previously paid disability separation pay if warranted, and notification to the subject member once those actions are completed.</w:t>
      </w:r>
    </w:p>
    <w:p w:rsidR="00F71120" w:rsidRPr="00F71120" w:rsidRDefault="00F71120" w:rsidP="00F71120">
      <w:pPr>
        <w:rPr>
          <w:color w:val="auto"/>
        </w:rPr>
      </w:pPr>
    </w:p>
    <w:p w:rsidR="00F71120" w:rsidRPr="00F71120" w:rsidRDefault="00F71120" w:rsidP="00F71120">
      <w:pPr>
        <w:rPr>
          <w:color w:val="auto"/>
        </w:rPr>
      </w:pPr>
    </w:p>
    <w:p w:rsidR="00F71120" w:rsidRPr="00F71120" w:rsidRDefault="00F71120" w:rsidP="00F71120">
      <w:pPr>
        <w:rPr>
          <w:color w:val="auto"/>
        </w:rPr>
      </w:pPr>
      <w:r w:rsidRPr="00F71120">
        <w:rPr>
          <w:color w:val="auto"/>
        </w:rPr>
        <w:tab/>
      </w:r>
      <w:r w:rsidRPr="00F71120">
        <w:rPr>
          <w:color w:val="auto"/>
        </w:rPr>
        <w:tab/>
      </w:r>
      <w:r w:rsidRPr="00F71120">
        <w:rPr>
          <w:color w:val="auto"/>
        </w:rPr>
        <w:tab/>
      </w:r>
      <w:r w:rsidRPr="00F71120">
        <w:rPr>
          <w:color w:val="auto"/>
        </w:rPr>
        <w:tab/>
      </w:r>
      <w:r w:rsidRPr="00F71120">
        <w:rPr>
          <w:color w:val="auto"/>
        </w:rPr>
        <w:tab/>
      </w:r>
      <w:r w:rsidRPr="00F71120">
        <w:rPr>
          <w:color w:val="auto"/>
        </w:rPr>
        <w:tab/>
        <w:t xml:space="preserve">      Principal Deputy</w:t>
      </w:r>
    </w:p>
    <w:p w:rsidR="00F71120" w:rsidRPr="00F71120" w:rsidRDefault="00F71120" w:rsidP="00F71120">
      <w:pPr>
        <w:rPr>
          <w:color w:val="auto"/>
        </w:rPr>
      </w:pPr>
      <w:r w:rsidRPr="00F71120">
        <w:rPr>
          <w:color w:val="auto"/>
        </w:rPr>
        <w:tab/>
      </w:r>
      <w:r w:rsidRPr="00F71120">
        <w:rPr>
          <w:color w:val="auto"/>
        </w:rPr>
        <w:tab/>
      </w:r>
      <w:r w:rsidRPr="00F71120">
        <w:rPr>
          <w:color w:val="auto"/>
        </w:rPr>
        <w:tab/>
      </w:r>
      <w:r w:rsidRPr="00F71120">
        <w:rPr>
          <w:color w:val="auto"/>
        </w:rPr>
        <w:tab/>
      </w:r>
      <w:r w:rsidRPr="00F71120">
        <w:rPr>
          <w:color w:val="auto"/>
        </w:rPr>
        <w:tab/>
      </w:r>
      <w:r w:rsidRPr="00F71120">
        <w:rPr>
          <w:color w:val="auto"/>
        </w:rPr>
        <w:tab/>
        <w:t xml:space="preserve">      Assistant Secretary of the Navy</w:t>
      </w:r>
    </w:p>
    <w:p w:rsidR="00F71120" w:rsidRPr="00F71120" w:rsidRDefault="00F71120" w:rsidP="00F71120">
      <w:pPr>
        <w:rPr>
          <w:color w:val="auto"/>
        </w:rPr>
      </w:pPr>
      <w:r w:rsidRPr="00F71120">
        <w:rPr>
          <w:color w:val="auto"/>
        </w:rPr>
        <w:tab/>
      </w:r>
      <w:r w:rsidRPr="00F71120">
        <w:rPr>
          <w:color w:val="auto"/>
        </w:rPr>
        <w:tab/>
      </w:r>
      <w:r w:rsidRPr="00F71120">
        <w:rPr>
          <w:color w:val="auto"/>
        </w:rPr>
        <w:tab/>
      </w:r>
      <w:r w:rsidRPr="00F71120">
        <w:rPr>
          <w:color w:val="auto"/>
        </w:rPr>
        <w:tab/>
      </w:r>
      <w:r w:rsidRPr="00F71120">
        <w:rPr>
          <w:color w:val="auto"/>
        </w:rPr>
        <w:tab/>
      </w:r>
      <w:r w:rsidRPr="00F71120">
        <w:rPr>
          <w:color w:val="auto"/>
        </w:rPr>
        <w:tab/>
        <w:t xml:space="preserve">        (Manpower &amp; Reserve Affairs)</w:t>
      </w:r>
    </w:p>
    <w:p w:rsidR="00F71120" w:rsidRPr="00F71120" w:rsidRDefault="00F71120" w:rsidP="00F71120">
      <w:pPr>
        <w:rPr>
          <w:color w:val="auto"/>
        </w:rPr>
      </w:pPr>
    </w:p>
    <w:p w:rsidR="00F71120" w:rsidRDefault="00F71120" w:rsidP="00C87BC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71120" w:rsidRDefault="00F71120" w:rsidP="00C87BCD">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F71120"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20" w:rsidRDefault="001F3120">
      <w:r>
        <w:separator/>
      </w:r>
    </w:p>
  </w:endnote>
  <w:endnote w:type="continuationSeparator" w:id="0">
    <w:p w:rsidR="001F3120" w:rsidRDefault="001F3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A2" w:rsidRDefault="0077369D">
    <w:pPr>
      <w:pStyle w:val="Footer"/>
      <w:framePr w:wrap="around" w:vAnchor="text" w:hAnchor="margin" w:xAlign="center" w:y="1"/>
      <w:rPr>
        <w:rStyle w:val="PageNumber"/>
      </w:rPr>
    </w:pPr>
    <w:r>
      <w:rPr>
        <w:rStyle w:val="PageNumber"/>
      </w:rPr>
      <w:fldChar w:fldCharType="begin"/>
    </w:r>
    <w:r w:rsidR="00FE30A2">
      <w:rPr>
        <w:rStyle w:val="PageNumber"/>
      </w:rPr>
      <w:instrText xml:space="preserve">PAGE  </w:instrText>
    </w:r>
    <w:r>
      <w:rPr>
        <w:rStyle w:val="PageNumber"/>
      </w:rPr>
      <w:fldChar w:fldCharType="separate"/>
    </w:r>
    <w:r w:rsidR="00FE30A2">
      <w:rPr>
        <w:rStyle w:val="PageNumber"/>
        <w:noProof/>
      </w:rPr>
      <w:t>2</w:t>
    </w:r>
    <w:r>
      <w:rPr>
        <w:rStyle w:val="PageNumber"/>
      </w:rPr>
      <w:fldChar w:fldCharType="end"/>
    </w:r>
  </w:p>
  <w:p w:rsidR="00FE30A2" w:rsidRDefault="00FE30A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A2" w:rsidRPr="00AC713F" w:rsidRDefault="0077369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E30A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71120">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E30A2" w:rsidRPr="007311D3" w:rsidRDefault="00FE30A2" w:rsidP="002B0749">
    <w:pPr>
      <w:pStyle w:val="Footer"/>
      <w:jc w:val="right"/>
      <w:rPr>
        <w:rFonts w:asciiTheme="minorHAnsi" w:hAnsiTheme="minorHAnsi"/>
        <w:color w:val="auto"/>
      </w:rPr>
    </w:pPr>
    <w:r>
      <w:tab/>
    </w:r>
    <w:r>
      <w:tab/>
    </w:r>
    <w:r w:rsidRPr="007311D3">
      <w:rPr>
        <w:rFonts w:asciiTheme="minorHAnsi" w:hAnsiTheme="minorHAnsi"/>
        <w:caps/>
        <w:color w:val="auto"/>
      </w:rPr>
      <w:t>PD0900583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20" w:rsidRDefault="001F3120">
      <w:r>
        <w:separator/>
      </w:r>
    </w:p>
  </w:footnote>
  <w:footnote w:type="continuationSeparator" w:id="0">
    <w:p w:rsidR="001F3120" w:rsidRDefault="001F3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230DB"/>
    <w:multiLevelType w:val="hybridMultilevel"/>
    <w:tmpl w:val="0D1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825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3BF"/>
    <w:rsid w:val="00051622"/>
    <w:rsid w:val="00052234"/>
    <w:rsid w:val="00053D7C"/>
    <w:rsid w:val="000577C9"/>
    <w:rsid w:val="000608EE"/>
    <w:rsid w:val="0006431E"/>
    <w:rsid w:val="000647D7"/>
    <w:rsid w:val="00065C54"/>
    <w:rsid w:val="0006747E"/>
    <w:rsid w:val="00072433"/>
    <w:rsid w:val="00075702"/>
    <w:rsid w:val="000775C2"/>
    <w:rsid w:val="000806AD"/>
    <w:rsid w:val="00082482"/>
    <w:rsid w:val="0008708B"/>
    <w:rsid w:val="00092619"/>
    <w:rsid w:val="00092C66"/>
    <w:rsid w:val="00094E4F"/>
    <w:rsid w:val="000A25C6"/>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644"/>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66FA1"/>
    <w:rsid w:val="001745DD"/>
    <w:rsid w:val="00176AAB"/>
    <w:rsid w:val="00177659"/>
    <w:rsid w:val="001779E5"/>
    <w:rsid w:val="00182A4C"/>
    <w:rsid w:val="00183F77"/>
    <w:rsid w:val="001849E9"/>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3120"/>
    <w:rsid w:val="00200AA0"/>
    <w:rsid w:val="00202325"/>
    <w:rsid w:val="00202736"/>
    <w:rsid w:val="00203652"/>
    <w:rsid w:val="002060B6"/>
    <w:rsid w:val="002066B5"/>
    <w:rsid w:val="00215ED6"/>
    <w:rsid w:val="00216049"/>
    <w:rsid w:val="00217606"/>
    <w:rsid w:val="00217C09"/>
    <w:rsid w:val="00220F5C"/>
    <w:rsid w:val="00225181"/>
    <w:rsid w:val="00225196"/>
    <w:rsid w:val="00225CB4"/>
    <w:rsid w:val="0023049F"/>
    <w:rsid w:val="002316F6"/>
    <w:rsid w:val="00232C9B"/>
    <w:rsid w:val="00232F09"/>
    <w:rsid w:val="002335D5"/>
    <w:rsid w:val="002338CA"/>
    <w:rsid w:val="00233FE5"/>
    <w:rsid w:val="00234B3B"/>
    <w:rsid w:val="002370D6"/>
    <w:rsid w:val="002403B7"/>
    <w:rsid w:val="0024174E"/>
    <w:rsid w:val="0024227D"/>
    <w:rsid w:val="00242D14"/>
    <w:rsid w:val="00246860"/>
    <w:rsid w:val="00246DFF"/>
    <w:rsid w:val="00246E89"/>
    <w:rsid w:val="002501F1"/>
    <w:rsid w:val="0025183C"/>
    <w:rsid w:val="002528EC"/>
    <w:rsid w:val="00255049"/>
    <w:rsid w:val="00255A58"/>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B03B2"/>
    <w:rsid w:val="002B0749"/>
    <w:rsid w:val="002B1668"/>
    <w:rsid w:val="002B2645"/>
    <w:rsid w:val="002B6FA0"/>
    <w:rsid w:val="002C5F10"/>
    <w:rsid w:val="002C6E5B"/>
    <w:rsid w:val="002D18B4"/>
    <w:rsid w:val="002D231A"/>
    <w:rsid w:val="002E1877"/>
    <w:rsid w:val="002E1C31"/>
    <w:rsid w:val="002E333A"/>
    <w:rsid w:val="002E3474"/>
    <w:rsid w:val="002E400C"/>
    <w:rsid w:val="002E49C3"/>
    <w:rsid w:val="002E5114"/>
    <w:rsid w:val="002E67C4"/>
    <w:rsid w:val="002E7570"/>
    <w:rsid w:val="002E764B"/>
    <w:rsid w:val="002F0E28"/>
    <w:rsid w:val="002F287E"/>
    <w:rsid w:val="002F2D63"/>
    <w:rsid w:val="002F7F81"/>
    <w:rsid w:val="00300A36"/>
    <w:rsid w:val="00302D9B"/>
    <w:rsid w:val="0030678B"/>
    <w:rsid w:val="00310CD7"/>
    <w:rsid w:val="00310F2C"/>
    <w:rsid w:val="0032136A"/>
    <w:rsid w:val="00323E70"/>
    <w:rsid w:val="00325BA2"/>
    <w:rsid w:val="00326F7F"/>
    <w:rsid w:val="00330EE7"/>
    <w:rsid w:val="003320E8"/>
    <w:rsid w:val="0033555E"/>
    <w:rsid w:val="00336805"/>
    <w:rsid w:val="00337351"/>
    <w:rsid w:val="00337B0C"/>
    <w:rsid w:val="00341A54"/>
    <w:rsid w:val="0034669F"/>
    <w:rsid w:val="003501E0"/>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3C65"/>
    <w:rsid w:val="00384866"/>
    <w:rsid w:val="003857D4"/>
    <w:rsid w:val="00385D6F"/>
    <w:rsid w:val="00387095"/>
    <w:rsid w:val="00390092"/>
    <w:rsid w:val="00393651"/>
    <w:rsid w:val="00395E12"/>
    <w:rsid w:val="00397DB7"/>
    <w:rsid w:val="003A27B2"/>
    <w:rsid w:val="003A40B4"/>
    <w:rsid w:val="003A41BA"/>
    <w:rsid w:val="003A6A99"/>
    <w:rsid w:val="003A7DA5"/>
    <w:rsid w:val="003A7FF8"/>
    <w:rsid w:val="003B17AC"/>
    <w:rsid w:val="003B227A"/>
    <w:rsid w:val="003B3A45"/>
    <w:rsid w:val="003B5854"/>
    <w:rsid w:val="003B6764"/>
    <w:rsid w:val="003C3C64"/>
    <w:rsid w:val="003C6068"/>
    <w:rsid w:val="003D2BA3"/>
    <w:rsid w:val="003D3C22"/>
    <w:rsid w:val="003D7089"/>
    <w:rsid w:val="003D7DDB"/>
    <w:rsid w:val="003E02C7"/>
    <w:rsid w:val="003E0543"/>
    <w:rsid w:val="003E0B5A"/>
    <w:rsid w:val="003E31E3"/>
    <w:rsid w:val="003E46D1"/>
    <w:rsid w:val="003E7E69"/>
    <w:rsid w:val="003F58B0"/>
    <w:rsid w:val="004007E9"/>
    <w:rsid w:val="00401825"/>
    <w:rsid w:val="00401BBC"/>
    <w:rsid w:val="00403BFB"/>
    <w:rsid w:val="00404B45"/>
    <w:rsid w:val="00406CC5"/>
    <w:rsid w:val="004074A4"/>
    <w:rsid w:val="00407F18"/>
    <w:rsid w:val="004101B2"/>
    <w:rsid w:val="004123D7"/>
    <w:rsid w:val="00412658"/>
    <w:rsid w:val="004172DB"/>
    <w:rsid w:val="00421485"/>
    <w:rsid w:val="00421B1F"/>
    <w:rsid w:val="00422B75"/>
    <w:rsid w:val="00433F36"/>
    <w:rsid w:val="0043503A"/>
    <w:rsid w:val="0044384F"/>
    <w:rsid w:val="00444F80"/>
    <w:rsid w:val="00446018"/>
    <w:rsid w:val="004510B0"/>
    <w:rsid w:val="00452692"/>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83CA0"/>
    <w:rsid w:val="004907AD"/>
    <w:rsid w:val="0049255F"/>
    <w:rsid w:val="0049445D"/>
    <w:rsid w:val="00495350"/>
    <w:rsid w:val="00497156"/>
    <w:rsid w:val="004A24D2"/>
    <w:rsid w:val="004A3214"/>
    <w:rsid w:val="004A4136"/>
    <w:rsid w:val="004A417B"/>
    <w:rsid w:val="004B03F3"/>
    <w:rsid w:val="004B2536"/>
    <w:rsid w:val="004B55E4"/>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1D11"/>
    <w:rsid w:val="004F3222"/>
    <w:rsid w:val="004F3BFA"/>
    <w:rsid w:val="005000AB"/>
    <w:rsid w:val="005014DE"/>
    <w:rsid w:val="005025EE"/>
    <w:rsid w:val="00510588"/>
    <w:rsid w:val="0051146C"/>
    <w:rsid w:val="00514449"/>
    <w:rsid w:val="00514D1D"/>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60F"/>
    <w:rsid w:val="00560D57"/>
    <w:rsid w:val="005626B3"/>
    <w:rsid w:val="00562A94"/>
    <w:rsid w:val="005709F7"/>
    <w:rsid w:val="005710A9"/>
    <w:rsid w:val="00571D1B"/>
    <w:rsid w:val="005767AD"/>
    <w:rsid w:val="00584229"/>
    <w:rsid w:val="00593043"/>
    <w:rsid w:val="00593AF9"/>
    <w:rsid w:val="00595BF0"/>
    <w:rsid w:val="005A1436"/>
    <w:rsid w:val="005A1846"/>
    <w:rsid w:val="005A258C"/>
    <w:rsid w:val="005A3560"/>
    <w:rsid w:val="005A483F"/>
    <w:rsid w:val="005A5054"/>
    <w:rsid w:val="005A6C99"/>
    <w:rsid w:val="005A7D5D"/>
    <w:rsid w:val="005B011A"/>
    <w:rsid w:val="005B14FC"/>
    <w:rsid w:val="005B1D8F"/>
    <w:rsid w:val="005B1E94"/>
    <w:rsid w:val="005B507D"/>
    <w:rsid w:val="005B5B3D"/>
    <w:rsid w:val="005C16F3"/>
    <w:rsid w:val="005C3758"/>
    <w:rsid w:val="005D7192"/>
    <w:rsid w:val="005E3064"/>
    <w:rsid w:val="005E72B2"/>
    <w:rsid w:val="005F1115"/>
    <w:rsid w:val="005F1AB6"/>
    <w:rsid w:val="005F27F2"/>
    <w:rsid w:val="005F3AFE"/>
    <w:rsid w:val="005F424D"/>
    <w:rsid w:val="005F6B6D"/>
    <w:rsid w:val="0060575B"/>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2639"/>
    <w:rsid w:val="006573F2"/>
    <w:rsid w:val="00662F08"/>
    <w:rsid w:val="00663589"/>
    <w:rsid w:val="006708E3"/>
    <w:rsid w:val="00670DDC"/>
    <w:rsid w:val="00671EB4"/>
    <w:rsid w:val="0067443B"/>
    <w:rsid w:val="00682C0F"/>
    <w:rsid w:val="00684E2B"/>
    <w:rsid w:val="00685285"/>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5D04"/>
    <w:rsid w:val="006E7356"/>
    <w:rsid w:val="006E77C8"/>
    <w:rsid w:val="006F149D"/>
    <w:rsid w:val="006F1A46"/>
    <w:rsid w:val="006F5A4E"/>
    <w:rsid w:val="00703B6C"/>
    <w:rsid w:val="00705C40"/>
    <w:rsid w:val="00706482"/>
    <w:rsid w:val="00706BEF"/>
    <w:rsid w:val="007116BC"/>
    <w:rsid w:val="00714631"/>
    <w:rsid w:val="007165CE"/>
    <w:rsid w:val="00720968"/>
    <w:rsid w:val="00721D12"/>
    <w:rsid w:val="00721F8B"/>
    <w:rsid w:val="007237CE"/>
    <w:rsid w:val="00724688"/>
    <w:rsid w:val="0073062D"/>
    <w:rsid w:val="007311D3"/>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369D"/>
    <w:rsid w:val="007779DA"/>
    <w:rsid w:val="00781BD4"/>
    <w:rsid w:val="00781E20"/>
    <w:rsid w:val="00784832"/>
    <w:rsid w:val="00785D77"/>
    <w:rsid w:val="00786111"/>
    <w:rsid w:val="00787771"/>
    <w:rsid w:val="00787C29"/>
    <w:rsid w:val="00791F1E"/>
    <w:rsid w:val="00794A09"/>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054"/>
    <w:rsid w:val="007E3883"/>
    <w:rsid w:val="007E4FBB"/>
    <w:rsid w:val="007E55BF"/>
    <w:rsid w:val="007E71B1"/>
    <w:rsid w:val="007E7B4E"/>
    <w:rsid w:val="007F0CE2"/>
    <w:rsid w:val="007F0EFF"/>
    <w:rsid w:val="007F1375"/>
    <w:rsid w:val="007F1C62"/>
    <w:rsid w:val="007F1D94"/>
    <w:rsid w:val="007F698D"/>
    <w:rsid w:val="00803850"/>
    <w:rsid w:val="00804385"/>
    <w:rsid w:val="00805AFD"/>
    <w:rsid w:val="008078D8"/>
    <w:rsid w:val="0081012E"/>
    <w:rsid w:val="00811D5B"/>
    <w:rsid w:val="00817713"/>
    <w:rsid w:val="00820705"/>
    <w:rsid w:val="008220F1"/>
    <w:rsid w:val="0082340B"/>
    <w:rsid w:val="00827DB6"/>
    <w:rsid w:val="008304B2"/>
    <w:rsid w:val="00830999"/>
    <w:rsid w:val="00830A21"/>
    <w:rsid w:val="00830D5E"/>
    <w:rsid w:val="00830F69"/>
    <w:rsid w:val="00833418"/>
    <w:rsid w:val="00834458"/>
    <w:rsid w:val="00834477"/>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2ABD"/>
    <w:rsid w:val="00865207"/>
    <w:rsid w:val="008656A7"/>
    <w:rsid w:val="00871262"/>
    <w:rsid w:val="00871D4E"/>
    <w:rsid w:val="00871E7B"/>
    <w:rsid w:val="00875B51"/>
    <w:rsid w:val="00875F2D"/>
    <w:rsid w:val="008764DC"/>
    <w:rsid w:val="00882389"/>
    <w:rsid w:val="00882CC2"/>
    <w:rsid w:val="00883930"/>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8F5817"/>
    <w:rsid w:val="00900D8F"/>
    <w:rsid w:val="009014E3"/>
    <w:rsid w:val="009026AC"/>
    <w:rsid w:val="009026E8"/>
    <w:rsid w:val="00906EB7"/>
    <w:rsid w:val="009102BF"/>
    <w:rsid w:val="009115F2"/>
    <w:rsid w:val="00914ADB"/>
    <w:rsid w:val="00920BB0"/>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28C3"/>
    <w:rsid w:val="00985099"/>
    <w:rsid w:val="009932DF"/>
    <w:rsid w:val="00993636"/>
    <w:rsid w:val="0099421F"/>
    <w:rsid w:val="00997B1E"/>
    <w:rsid w:val="009A0DE3"/>
    <w:rsid w:val="009A1643"/>
    <w:rsid w:val="009A215A"/>
    <w:rsid w:val="009A4F1B"/>
    <w:rsid w:val="009A5201"/>
    <w:rsid w:val="009A66C5"/>
    <w:rsid w:val="009A79BA"/>
    <w:rsid w:val="009B04E4"/>
    <w:rsid w:val="009B14D1"/>
    <w:rsid w:val="009B1534"/>
    <w:rsid w:val="009B3B3C"/>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17301"/>
    <w:rsid w:val="00A200AA"/>
    <w:rsid w:val="00A20558"/>
    <w:rsid w:val="00A2186F"/>
    <w:rsid w:val="00A2270B"/>
    <w:rsid w:val="00A23B89"/>
    <w:rsid w:val="00A23FE3"/>
    <w:rsid w:val="00A248C3"/>
    <w:rsid w:val="00A2496E"/>
    <w:rsid w:val="00A258B7"/>
    <w:rsid w:val="00A32743"/>
    <w:rsid w:val="00A414A9"/>
    <w:rsid w:val="00A43BF0"/>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963B5"/>
    <w:rsid w:val="00AA04B3"/>
    <w:rsid w:val="00AA1253"/>
    <w:rsid w:val="00AA28EF"/>
    <w:rsid w:val="00AA493E"/>
    <w:rsid w:val="00AA73AF"/>
    <w:rsid w:val="00AB15AA"/>
    <w:rsid w:val="00AB1754"/>
    <w:rsid w:val="00AB27DD"/>
    <w:rsid w:val="00AB3787"/>
    <w:rsid w:val="00AB77D6"/>
    <w:rsid w:val="00AC36EB"/>
    <w:rsid w:val="00AC439D"/>
    <w:rsid w:val="00AC713F"/>
    <w:rsid w:val="00AD067E"/>
    <w:rsid w:val="00AD2801"/>
    <w:rsid w:val="00AD5BA7"/>
    <w:rsid w:val="00AD6870"/>
    <w:rsid w:val="00AD68C5"/>
    <w:rsid w:val="00AE1273"/>
    <w:rsid w:val="00AE2D29"/>
    <w:rsid w:val="00AE4624"/>
    <w:rsid w:val="00AE5E14"/>
    <w:rsid w:val="00AE6115"/>
    <w:rsid w:val="00AE625B"/>
    <w:rsid w:val="00AF1668"/>
    <w:rsid w:val="00AF1991"/>
    <w:rsid w:val="00AF4FA5"/>
    <w:rsid w:val="00B0716A"/>
    <w:rsid w:val="00B07955"/>
    <w:rsid w:val="00B14FAA"/>
    <w:rsid w:val="00B15D30"/>
    <w:rsid w:val="00B20624"/>
    <w:rsid w:val="00B23436"/>
    <w:rsid w:val="00B26354"/>
    <w:rsid w:val="00B26CA0"/>
    <w:rsid w:val="00B32179"/>
    <w:rsid w:val="00B331A9"/>
    <w:rsid w:val="00B36569"/>
    <w:rsid w:val="00B37606"/>
    <w:rsid w:val="00B40A05"/>
    <w:rsid w:val="00B40A3E"/>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D98"/>
    <w:rsid w:val="00BA30D1"/>
    <w:rsid w:val="00BA4609"/>
    <w:rsid w:val="00BA5BE2"/>
    <w:rsid w:val="00BA666F"/>
    <w:rsid w:val="00BA7F46"/>
    <w:rsid w:val="00BB0A0A"/>
    <w:rsid w:val="00BB45B5"/>
    <w:rsid w:val="00BB6064"/>
    <w:rsid w:val="00BB6652"/>
    <w:rsid w:val="00BC09D1"/>
    <w:rsid w:val="00BC1CF3"/>
    <w:rsid w:val="00BC7F82"/>
    <w:rsid w:val="00BD40AB"/>
    <w:rsid w:val="00BD5237"/>
    <w:rsid w:val="00BD6297"/>
    <w:rsid w:val="00BD6806"/>
    <w:rsid w:val="00BD7433"/>
    <w:rsid w:val="00BD7831"/>
    <w:rsid w:val="00BD7C10"/>
    <w:rsid w:val="00BE046F"/>
    <w:rsid w:val="00BE0DEB"/>
    <w:rsid w:val="00BE2FC1"/>
    <w:rsid w:val="00BE6365"/>
    <w:rsid w:val="00BF0B7F"/>
    <w:rsid w:val="00BF4720"/>
    <w:rsid w:val="00BF4EF7"/>
    <w:rsid w:val="00BF7B6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3C12"/>
    <w:rsid w:val="00C74D3A"/>
    <w:rsid w:val="00C80511"/>
    <w:rsid w:val="00C826F5"/>
    <w:rsid w:val="00C83740"/>
    <w:rsid w:val="00C84AD1"/>
    <w:rsid w:val="00C85579"/>
    <w:rsid w:val="00C863E5"/>
    <w:rsid w:val="00C87BCD"/>
    <w:rsid w:val="00C931FC"/>
    <w:rsid w:val="00C932C5"/>
    <w:rsid w:val="00C9650E"/>
    <w:rsid w:val="00CA068D"/>
    <w:rsid w:val="00CA1228"/>
    <w:rsid w:val="00CA282D"/>
    <w:rsid w:val="00CA4670"/>
    <w:rsid w:val="00CA6B1A"/>
    <w:rsid w:val="00CB20DC"/>
    <w:rsid w:val="00CB23DC"/>
    <w:rsid w:val="00CB2487"/>
    <w:rsid w:val="00CB28E2"/>
    <w:rsid w:val="00CB7A3E"/>
    <w:rsid w:val="00CB7A85"/>
    <w:rsid w:val="00CB7FF7"/>
    <w:rsid w:val="00CC0D0E"/>
    <w:rsid w:val="00CC19B3"/>
    <w:rsid w:val="00CC2044"/>
    <w:rsid w:val="00CC39D2"/>
    <w:rsid w:val="00CC69EC"/>
    <w:rsid w:val="00CD15BE"/>
    <w:rsid w:val="00CD1EF2"/>
    <w:rsid w:val="00CD32BD"/>
    <w:rsid w:val="00CD34C4"/>
    <w:rsid w:val="00CD34C7"/>
    <w:rsid w:val="00CD5653"/>
    <w:rsid w:val="00CD5E6D"/>
    <w:rsid w:val="00CD63C8"/>
    <w:rsid w:val="00CD7A31"/>
    <w:rsid w:val="00CE6513"/>
    <w:rsid w:val="00CF158D"/>
    <w:rsid w:val="00CF2AA6"/>
    <w:rsid w:val="00CF4394"/>
    <w:rsid w:val="00D000A9"/>
    <w:rsid w:val="00D005DB"/>
    <w:rsid w:val="00D0064E"/>
    <w:rsid w:val="00D00981"/>
    <w:rsid w:val="00D0182B"/>
    <w:rsid w:val="00D0280D"/>
    <w:rsid w:val="00D07A72"/>
    <w:rsid w:val="00D104E5"/>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451C0"/>
    <w:rsid w:val="00D46268"/>
    <w:rsid w:val="00D46961"/>
    <w:rsid w:val="00D50C8C"/>
    <w:rsid w:val="00D52393"/>
    <w:rsid w:val="00D523E4"/>
    <w:rsid w:val="00D5279D"/>
    <w:rsid w:val="00D52A1B"/>
    <w:rsid w:val="00D53F14"/>
    <w:rsid w:val="00D54BE4"/>
    <w:rsid w:val="00D56C4B"/>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27B6"/>
    <w:rsid w:val="00D9706F"/>
    <w:rsid w:val="00D972D4"/>
    <w:rsid w:val="00DA195B"/>
    <w:rsid w:val="00DA6B55"/>
    <w:rsid w:val="00DB0015"/>
    <w:rsid w:val="00DB2AAD"/>
    <w:rsid w:val="00DB56A2"/>
    <w:rsid w:val="00DB6119"/>
    <w:rsid w:val="00DB626D"/>
    <w:rsid w:val="00DB6365"/>
    <w:rsid w:val="00DC0BF1"/>
    <w:rsid w:val="00DC41C3"/>
    <w:rsid w:val="00DD3593"/>
    <w:rsid w:val="00DE09EA"/>
    <w:rsid w:val="00DE0C67"/>
    <w:rsid w:val="00DE6952"/>
    <w:rsid w:val="00DE7E74"/>
    <w:rsid w:val="00DF6EF8"/>
    <w:rsid w:val="00E00A69"/>
    <w:rsid w:val="00E017F0"/>
    <w:rsid w:val="00E01A0E"/>
    <w:rsid w:val="00E041E4"/>
    <w:rsid w:val="00E1012B"/>
    <w:rsid w:val="00E103C8"/>
    <w:rsid w:val="00E1085B"/>
    <w:rsid w:val="00E1308B"/>
    <w:rsid w:val="00E14581"/>
    <w:rsid w:val="00E1463D"/>
    <w:rsid w:val="00E15539"/>
    <w:rsid w:val="00E16541"/>
    <w:rsid w:val="00E2212A"/>
    <w:rsid w:val="00E2536E"/>
    <w:rsid w:val="00E25B8A"/>
    <w:rsid w:val="00E2632B"/>
    <w:rsid w:val="00E322F7"/>
    <w:rsid w:val="00E3369B"/>
    <w:rsid w:val="00E36D76"/>
    <w:rsid w:val="00E405EA"/>
    <w:rsid w:val="00E408B7"/>
    <w:rsid w:val="00E41637"/>
    <w:rsid w:val="00E42789"/>
    <w:rsid w:val="00E43F59"/>
    <w:rsid w:val="00E457C3"/>
    <w:rsid w:val="00E464F0"/>
    <w:rsid w:val="00E50BEB"/>
    <w:rsid w:val="00E548FA"/>
    <w:rsid w:val="00E6092F"/>
    <w:rsid w:val="00E62049"/>
    <w:rsid w:val="00E629DA"/>
    <w:rsid w:val="00E6469F"/>
    <w:rsid w:val="00E67FAC"/>
    <w:rsid w:val="00E7200B"/>
    <w:rsid w:val="00E73168"/>
    <w:rsid w:val="00E738CB"/>
    <w:rsid w:val="00E73C88"/>
    <w:rsid w:val="00E74437"/>
    <w:rsid w:val="00E7443D"/>
    <w:rsid w:val="00E81C3E"/>
    <w:rsid w:val="00E82B6D"/>
    <w:rsid w:val="00E850D3"/>
    <w:rsid w:val="00E96674"/>
    <w:rsid w:val="00E97DC4"/>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D7C58"/>
    <w:rsid w:val="00EE03BB"/>
    <w:rsid w:val="00EE0B44"/>
    <w:rsid w:val="00EE6FE0"/>
    <w:rsid w:val="00EE704A"/>
    <w:rsid w:val="00EE7840"/>
    <w:rsid w:val="00EF4C74"/>
    <w:rsid w:val="00EF5268"/>
    <w:rsid w:val="00EF608E"/>
    <w:rsid w:val="00EF7EE5"/>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42B"/>
    <w:rsid w:val="00F33D56"/>
    <w:rsid w:val="00F34E08"/>
    <w:rsid w:val="00F35E9B"/>
    <w:rsid w:val="00F41D91"/>
    <w:rsid w:val="00F42363"/>
    <w:rsid w:val="00F46964"/>
    <w:rsid w:val="00F46F9A"/>
    <w:rsid w:val="00F5126A"/>
    <w:rsid w:val="00F52985"/>
    <w:rsid w:val="00F578D3"/>
    <w:rsid w:val="00F6636A"/>
    <w:rsid w:val="00F667C5"/>
    <w:rsid w:val="00F67E31"/>
    <w:rsid w:val="00F71120"/>
    <w:rsid w:val="00F718A8"/>
    <w:rsid w:val="00F72183"/>
    <w:rsid w:val="00F76D01"/>
    <w:rsid w:val="00F81C35"/>
    <w:rsid w:val="00F82981"/>
    <w:rsid w:val="00F8311F"/>
    <w:rsid w:val="00F83248"/>
    <w:rsid w:val="00F83376"/>
    <w:rsid w:val="00F853AE"/>
    <w:rsid w:val="00F8797E"/>
    <w:rsid w:val="00F92761"/>
    <w:rsid w:val="00F93C74"/>
    <w:rsid w:val="00F93DCC"/>
    <w:rsid w:val="00F9435D"/>
    <w:rsid w:val="00F97740"/>
    <w:rsid w:val="00FA1635"/>
    <w:rsid w:val="00FA2F7B"/>
    <w:rsid w:val="00FA3CAA"/>
    <w:rsid w:val="00FB09FE"/>
    <w:rsid w:val="00FB593A"/>
    <w:rsid w:val="00FB6410"/>
    <w:rsid w:val="00FB6E82"/>
    <w:rsid w:val="00FC0042"/>
    <w:rsid w:val="00FC2A13"/>
    <w:rsid w:val="00FC31BB"/>
    <w:rsid w:val="00FC4284"/>
    <w:rsid w:val="00FC4576"/>
    <w:rsid w:val="00FC7DBC"/>
    <w:rsid w:val="00FD076A"/>
    <w:rsid w:val="00FD0AA0"/>
    <w:rsid w:val="00FD1D5A"/>
    <w:rsid w:val="00FD5059"/>
    <w:rsid w:val="00FD554D"/>
    <w:rsid w:val="00FE30A2"/>
    <w:rsid w:val="00FE6469"/>
    <w:rsid w:val="00FF0FF7"/>
    <w:rsid w:val="00FF1438"/>
    <w:rsid w:val="00FF3A38"/>
    <w:rsid w:val="00FF3C25"/>
    <w:rsid w:val="00FF4A96"/>
    <w:rsid w:val="00FF53B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17572386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1C9F-D15E-44A5-A75B-CFE45633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2011-02-25T13:13:00Z</cp:lastPrinted>
  <dcterms:created xsi:type="dcterms:W3CDTF">2012-03-06T20:20:00Z</dcterms:created>
  <dcterms:modified xsi:type="dcterms:W3CDTF">2012-03-06T20:20:00Z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