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D0028E" w:rsidRDefault="00540BEF" w:rsidP="00190E48">
      <w:pPr>
        <w:tabs>
          <w:tab w:val="left" w:pos="288"/>
          <w:tab w:val="left" w:pos="4752"/>
        </w:tabs>
        <w:spacing w:line="240" w:lineRule="exact"/>
        <w:jc w:val="center"/>
        <w:rPr>
          <w:rFonts w:asciiTheme="minorHAnsi" w:hAnsiTheme="minorHAnsi"/>
          <w:color w:val="auto"/>
        </w:rPr>
      </w:pPr>
      <w:r w:rsidRPr="00D0028E">
        <w:rPr>
          <w:rFonts w:asciiTheme="minorHAnsi" w:hAnsiTheme="minorHAnsi"/>
          <w:color w:val="auto"/>
        </w:rPr>
        <w:t>PHYSICAL DISABILITY BOARD OF REVIEW</w:t>
      </w:r>
    </w:p>
    <w:p w:rsidR="00540BEF" w:rsidRPr="00D0028E" w:rsidRDefault="00540BEF" w:rsidP="00190E48">
      <w:pPr>
        <w:tabs>
          <w:tab w:val="left" w:pos="288"/>
          <w:tab w:val="left" w:pos="4752"/>
        </w:tabs>
        <w:spacing w:line="240" w:lineRule="exact"/>
        <w:jc w:val="both"/>
        <w:rPr>
          <w:rFonts w:asciiTheme="minorHAnsi" w:hAnsiTheme="minorHAnsi"/>
          <w:caps/>
          <w:color w:val="auto"/>
        </w:rPr>
      </w:pPr>
    </w:p>
    <w:p w:rsidR="0007625B" w:rsidRPr="00D0028E" w:rsidRDefault="00540BEF" w:rsidP="0007625B">
      <w:pPr>
        <w:tabs>
          <w:tab w:val="left" w:pos="288"/>
          <w:tab w:val="left" w:pos="4752"/>
          <w:tab w:val="left" w:pos="5310"/>
          <w:tab w:val="left" w:pos="9270"/>
        </w:tabs>
        <w:spacing w:line="240" w:lineRule="exact"/>
        <w:jc w:val="both"/>
        <w:rPr>
          <w:rFonts w:asciiTheme="minorHAnsi" w:hAnsiTheme="minorHAnsi"/>
          <w:caps/>
          <w:color w:val="auto"/>
        </w:rPr>
      </w:pPr>
      <w:r w:rsidRPr="00D0028E">
        <w:rPr>
          <w:rFonts w:asciiTheme="minorHAnsi" w:hAnsiTheme="minorHAnsi"/>
          <w:caps/>
          <w:color w:val="auto"/>
        </w:rPr>
        <w:t>NAME:</w:t>
      </w:r>
      <w:r w:rsidR="0007625B" w:rsidRPr="00D0028E">
        <w:rPr>
          <w:rFonts w:asciiTheme="minorHAnsi" w:hAnsiTheme="minorHAnsi"/>
          <w:caps/>
          <w:color w:val="auto"/>
        </w:rPr>
        <w:t xml:space="preserve"> </w:t>
      </w:r>
      <w:r w:rsidR="00D0028E" w:rsidRPr="00D0028E">
        <w:rPr>
          <w:rFonts w:asciiTheme="minorHAnsi" w:hAnsiTheme="minorHAnsi"/>
          <w:caps/>
          <w:color w:val="auto"/>
        </w:rPr>
        <w:t xml:space="preserve"> </w:t>
      </w:r>
      <w:r w:rsidR="00A66200">
        <w:rPr>
          <w:rFonts w:asciiTheme="minorHAnsi" w:hAnsiTheme="minorHAnsi"/>
          <w:caps/>
          <w:color w:val="auto"/>
        </w:rPr>
        <w:t>XXXXXXX</w:t>
      </w:r>
      <w:r w:rsidRPr="00D0028E">
        <w:rPr>
          <w:rFonts w:asciiTheme="minorHAnsi" w:hAnsiTheme="minorHAnsi"/>
          <w:caps/>
          <w:color w:val="auto"/>
        </w:rPr>
        <w:tab/>
      </w:r>
      <w:r w:rsidR="00E266F1" w:rsidRPr="00D0028E">
        <w:rPr>
          <w:rFonts w:asciiTheme="minorHAnsi" w:hAnsiTheme="minorHAnsi"/>
          <w:caps/>
          <w:color w:val="auto"/>
        </w:rPr>
        <w:t xml:space="preserve">           </w:t>
      </w:r>
      <w:r w:rsidR="00486E7B">
        <w:rPr>
          <w:rFonts w:asciiTheme="minorHAnsi" w:hAnsiTheme="minorHAnsi"/>
          <w:caps/>
          <w:color w:val="auto"/>
        </w:rPr>
        <w:t xml:space="preserve">  </w:t>
      </w:r>
      <w:r w:rsidR="00CC6E3A">
        <w:rPr>
          <w:rFonts w:asciiTheme="minorHAnsi" w:hAnsiTheme="minorHAnsi"/>
          <w:caps/>
          <w:color w:val="auto"/>
        </w:rPr>
        <w:t xml:space="preserve"> </w:t>
      </w:r>
      <w:r w:rsidR="006F4396">
        <w:rPr>
          <w:rFonts w:asciiTheme="minorHAnsi" w:hAnsiTheme="minorHAnsi"/>
          <w:caps/>
          <w:color w:val="auto"/>
        </w:rPr>
        <w:t>Br</w:t>
      </w:r>
      <w:r w:rsidRPr="00D0028E">
        <w:rPr>
          <w:rFonts w:asciiTheme="minorHAnsi" w:hAnsiTheme="minorHAnsi"/>
          <w:caps/>
          <w:color w:val="auto"/>
        </w:rPr>
        <w:t>ANCH OF SERVICE</w:t>
      </w:r>
      <w:r w:rsidR="0007625B" w:rsidRPr="00D0028E">
        <w:rPr>
          <w:rFonts w:asciiTheme="minorHAnsi" w:hAnsiTheme="minorHAnsi"/>
          <w:caps/>
          <w:color w:val="auto"/>
        </w:rPr>
        <w:t>:</w:t>
      </w:r>
      <w:r w:rsidR="005014DE" w:rsidRPr="00D0028E">
        <w:rPr>
          <w:rFonts w:asciiTheme="minorHAnsi" w:hAnsiTheme="minorHAnsi"/>
          <w:caps/>
          <w:color w:val="auto"/>
        </w:rPr>
        <w:t xml:space="preserve"> </w:t>
      </w:r>
      <w:r w:rsidR="00D0028E" w:rsidRPr="00D0028E">
        <w:rPr>
          <w:rFonts w:asciiTheme="minorHAnsi" w:hAnsiTheme="minorHAnsi"/>
          <w:caps/>
          <w:color w:val="auto"/>
        </w:rPr>
        <w:t xml:space="preserve"> </w:t>
      </w:r>
      <w:r w:rsidR="0007625B" w:rsidRPr="00D0028E">
        <w:rPr>
          <w:rFonts w:asciiTheme="minorHAnsi" w:hAnsiTheme="minorHAnsi"/>
          <w:caps/>
          <w:color w:val="auto"/>
        </w:rPr>
        <w:t>mARINE</w:t>
      </w:r>
      <w:r w:rsidR="00486E7B">
        <w:rPr>
          <w:rFonts w:asciiTheme="minorHAnsi" w:hAnsiTheme="minorHAnsi"/>
          <w:caps/>
          <w:color w:val="auto"/>
        </w:rPr>
        <w:t xml:space="preserve"> CORPS</w:t>
      </w:r>
    </w:p>
    <w:p w:rsidR="0007625B" w:rsidRPr="00D0028E" w:rsidRDefault="00540BEF" w:rsidP="0007625B">
      <w:pPr>
        <w:tabs>
          <w:tab w:val="left" w:pos="288"/>
          <w:tab w:val="left" w:pos="4752"/>
          <w:tab w:val="left" w:pos="5310"/>
        </w:tabs>
        <w:spacing w:line="240" w:lineRule="exact"/>
        <w:ind w:right="-900"/>
        <w:jc w:val="both"/>
        <w:rPr>
          <w:rFonts w:asciiTheme="minorHAnsi" w:hAnsiTheme="minorHAnsi"/>
          <w:caps/>
          <w:color w:val="auto"/>
        </w:rPr>
      </w:pPr>
      <w:r w:rsidRPr="00D0028E">
        <w:rPr>
          <w:rFonts w:asciiTheme="minorHAnsi" w:hAnsiTheme="minorHAnsi"/>
          <w:caps/>
          <w:color w:val="auto"/>
        </w:rPr>
        <w:t>CASE NUMBER:  PD</w:t>
      </w:r>
      <w:r w:rsidR="0007625B" w:rsidRPr="00D0028E">
        <w:rPr>
          <w:rFonts w:asciiTheme="minorHAnsi" w:hAnsiTheme="minorHAnsi"/>
          <w:caps/>
          <w:color w:val="auto"/>
        </w:rPr>
        <w:t>0900579</w:t>
      </w:r>
      <w:r w:rsidRPr="00D0028E">
        <w:rPr>
          <w:rFonts w:asciiTheme="minorHAnsi" w:hAnsiTheme="minorHAnsi"/>
          <w:caps/>
          <w:color w:val="auto"/>
        </w:rPr>
        <w:tab/>
      </w:r>
      <w:r w:rsidRPr="00D0028E">
        <w:rPr>
          <w:rFonts w:asciiTheme="minorHAnsi" w:hAnsiTheme="minorHAnsi"/>
          <w:caps/>
          <w:color w:val="auto"/>
        </w:rPr>
        <w:tab/>
      </w:r>
      <w:r w:rsidR="00486E7B">
        <w:rPr>
          <w:rFonts w:asciiTheme="minorHAnsi" w:hAnsiTheme="minorHAnsi"/>
          <w:caps/>
          <w:color w:val="auto"/>
        </w:rPr>
        <w:tab/>
        <w:t xml:space="preserve">         </w:t>
      </w:r>
      <w:r w:rsidR="00C22F3A" w:rsidRPr="00D0028E">
        <w:rPr>
          <w:rFonts w:asciiTheme="minorHAnsi" w:hAnsiTheme="minorHAnsi"/>
          <w:caps/>
          <w:color w:val="auto"/>
        </w:rPr>
        <w:t xml:space="preserve">SEPARATION DATE: </w:t>
      </w:r>
      <w:r w:rsidR="00D0028E" w:rsidRPr="00D0028E">
        <w:rPr>
          <w:rFonts w:asciiTheme="minorHAnsi" w:hAnsiTheme="minorHAnsi"/>
          <w:caps/>
          <w:color w:val="auto"/>
        </w:rPr>
        <w:t xml:space="preserve"> </w:t>
      </w:r>
      <w:r w:rsidR="0007625B" w:rsidRPr="00D0028E">
        <w:rPr>
          <w:rFonts w:asciiTheme="minorHAnsi" w:hAnsiTheme="minorHAnsi"/>
          <w:caps/>
          <w:color w:val="auto"/>
        </w:rPr>
        <w:t>20060415</w:t>
      </w:r>
    </w:p>
    <w:p w:rsidR="00540BEF" w:rsidRPr="00D0028E" w:rsidRDefault="00540BEF" w:rsidP="00190E48">
      <w:pPr>
        <w:tabs>
          <w:tab w:val="left" w:pos="288"/>
          <w:tab w:val="left" w:pos="4752"/>
        </w:tabs>
        <w:spacing w:line="240" w:lineRule="exact"/>
        <w:jc w:val="both"/>
        <w:rPr>
          <w:rFonts w:asciiTheme="minorHAnsi" w:hAnsiTheme="minorHAnsi"/>
          <w:caps/>
          <w:color w:val="auto"/>
        </w:rPr>
      </w:pPr>
      <w:r w:rsidRPr="00D0028E">
        <w:rPr>
          <w:rFonts w:asciiTheme="minorHAnsi" w:hAnsiTheme="minorHAnsi"/>
          <w:caps/>
          <w:color w:val="auto"/>
        </w:rPr>
        <w:t xml:space="preserve">BOARD DATE: </w:t>
      </w:r>
      <w:r w:rsidR="00D0028E" w:rsidRPr="00D0028E">
        <w:rPr>
          <w:rFonts w:asciiTheme="minorHAnsi" w:hAnsiTheme="minorHAnsi"/>
          <w:caps/>
          <w:color w:val="auto"/>
        </w:rPr>
        <w:t xml:space="preserve"> </w:t>
      </w:r>
      <w:r w:rsidR="000F02BE" w:rsidRPr="00D0028E">
        <w:rPr>
          <w:rFonts w:asciiTheme="minorHAnsi" w:hAnsiTheme="minorHAnsi"/>
          <w:caps/>
          <w:color w:val="auto"/>
        </w:rPr>
        <w:t>201</w:t>
      </w:r>
      <w:r w:rsidR="0093211D" w:rsidRPr="00D0028E">
        <w:rPr>
          <w:rFonts w:asciiTheme="minorHAnsi" w:hAnsiTheme="minorHAnsi"/>
          <w:caps/>
          <w:color w:val="auto"/>
        </w:rPr>
        <w:t>1</w:t>
      </w:r>
      <w:r w:rsidR="00E12EB4" w:rsidRPr="004C1F41">
        <w:rPr>
          <w:rFonts w:asciiTheme="minorHAnsi" w:hAnsiTheme="minorHAnsi"/>
          <w:caps/>
          <w:color w:val="auto"/>
        </w:rPr>
        <w:t>0428</w:t>
      </w:r>
    </w:p>
    <w:p w:rsidR="00540BEF" w:rsidRPr="00D0028E" w:rsidRDefault="00540BEF" w:rsidP="00D0028E">
      <w:pPr>
        <w:tabs>
          <w:tab w:val="left" w:pos="288"/>
          <w:tab w:val="left" w:pos="4752"/>
        </w:tabs>
        <w:spacing w:line="240" w:lineRule="exact"/>
        <w:rPr>
          <w:rFonts w:asciiTheme="minorHAnsi" w:hAnsiTheme="minorHAnsi"/>
          <w:caps/>
          <w:color w:val="auto"/>
        </w:rPr>
      </w:pPr>
      <w:r w:rsidRPr="00D0028E">
        <w:rPr>
          <w:rFonts w:asciiTheme="minorHAnsi" w:hAnsiTheme="minorHAnsi"/>
          <w:color w:val="auto"/>
          <w:u w:val="single"/>
        </w:rPr>
        <w:t>_____________________________________________________________</w:t>
      </w:r>
      <w:r w:rsidRPr="00D0028E">
        <w:rPr>
          <w:rFonts w:asciiTheme="minorHAnsi" w:hAnsiTheme="minorHAnsi"/>
          <w:color w:val="auto"/>
        </w:rPr>
        <w:t>_</w:t>
      </w:r>
      <w:r w:rsidR="00AC713F" w:rsidRPr="00D0028E">
        <w:rPr>
          <w:rFonts w:asciiTheme="minorHAnsi" w:hAnsiTheme="minorHAnsi"/>
          <w:color w:val="auto"/>
        </w:rPr>
        <w:t>___________</w:t>
      </w:r>
    </w:p>
    <w:p w:rsidR="00B522CD" w:rsidRPr="00D0028E" w:rsidRDefault="00B522CD" w:rsidP="00AF1668">
      <w:pPr>
        <w:tabs>
          <w:tab w:val="left" w:pos="288"/>
          <w:tab w:val="left" w:pos="4752"/>
        </w:tabs>
        <w:spacing w:line="240" w:lineRule="exact"/>
        <w:rPr>
          <w:rFonts w:asciiTheme="minorHAnsi" w:hAnsiTheme="minorHAnsi"/>
          <w:color w:val="auto"/>
        </w:rPr>
      </w:pPr>
    </w:p>
    <w:p w:rsidR="00B20624" w:rsidRPr="00D0028E" w:rsidRDefault="002C6E5B" w:rsidP="00D0028E">
      <w:pPr>
        <w:tabs>
          <w:tab w:val="left" w:pos="288"/>
          <w:tab w:val="left" w:pos="4752"/>
        </w:tabs>
        <w:spacing w:line="240" w:lineRule="exact"/>
        <w:jc w:val="both"/>
        <w:rPr>
          <w:rFonts w:asciiTheme="minorHAnsi" w:hAnsiTheme="minorHAnsi"/>
          <w:color w:val="auto"/>
          <w:szCs w:val="24"/>
        </w:rPr>
      </w:pPr>
      <w:r w:rsidRPr="00D0028E">
        <w:rPr>
          <w:rFonts w:asciiTheme="minorHAnsi" w:hAnsiTheme="minorHAnsi"/>
          <w:color w:val="auto"/>
          <w:u w:val="single"/>
        </w:rPr>
        <w:t>SUMMARY OF CASE</w:t>
      </w:r>
      <w:r w:rsidRPr="00D0028E">
        <w:rPr>
          <w:rFonts w:asciiTheme="minorHAnsi" w:hAnsiTheme="minorHAnsi"/>
          <w:color w:val="auto"/>
        </w:rPr>
        <w:t xml:space="preserve">:  </w:t>
      </w:r>
      <w:r w:rsidR="0093211D" w:rsidRPr="00D0028E">
        <w:rPr>
          <w:rFonts w:asciiTheme="minorHAnsi" w:hAnsiTheme="minorHAnsi"/>
          <w:color w:val="auto"/>
        </w:rPr>
        <w:t xml:space="preserve">Data extracted from the available evidence of record reflects that this covered individual (CI) </w:t>
      </w:r>
      <w:r w:rsidRPr="00D0028E">
        <w:rPr>
          <w:rFonts w:asciiTheme="minorHAnsi" w:hAnsiTheme="minorHAnsi"/>
          <w:color w:val="auto"/>
          <w:szCs w:val="24"/>
        </w:rPr>
        <w:t xml:space="preserve">was </w:t>
      </w:r>
      <w:r w:rsidR="00E322F7" w:rsidRPr="00D0028E">
        <w:rPr>
          <w:rFonts w:asciiTheme="minorHAnsi" w:hAnsiTheme="minorHAnsi"/>
          <w:color w:val="auto"/>
          <w:szCs w:val="24"/>
        </w:rPr>
        <w:t>an</w:t>
      </w:r>
      <w:r w:rsidR="0007625B" w:rsidRPr="00D0028E">
        <w:rPr>
          <w:rFonts w:asciiTheme="minorHAnsi" w:hAnsiTheme="minorHAnsi"/>
          <w:color w:val="auto"/>
          <w:szCs w:val="24"/>
        </w:rPr>
        <w:t xml:space="preserve"> active duty SSgt</w:t>
      </w:r>
      <w:r w:rsidR="0007625B" w:rsidRPr="004C1F41">
        <w:rPr>
          <w:rFonts w:asciiTheme="minorHAnsi" w:hAnsiTheme="minorHAnsi"/>
          <w:color w:val="auto"/>
          <w:szCs w:val="24"/>
        </w:rPr>
        <w:t xml:space="preserve"> (4341</w:t>
      </w:r>
      <w:r w:rsidR="006F4396">
        <w:rPr>
          <w:rFonts w:asciiTheme="minorHAnsi" w:hAnsiTheme="minorHAnsi"/>
          <w:color w:val="auto"/>
          <w:szCs w:val="24"/>
        </w:rPr>
        <w:t xml:space="preserve">, </w:t>
      </w:r>
      <w:r w:rsidR="0007625B" w:rsidRPr="004C1F41">
        <w:rPr>
          <w:rFonts w:asciiTheme="minorHAnsi" w:hAnsiTheme="minorHAnsi"/>
          <w:color w:val="auto"/>
          <w:szCs w:val="24"/>
        </w:rPr>
        <w:t>Public Affairs Chief) medically separated from the Marine</w:t>
      </w:r>
      <w:r w:rsidR="002713BB">
        <w:rPr>
          <w:rFonts w:asciiTheme="minorHAnsi" w:hAnsiTheme="minorHAnsi"/>
          <w:color w:val="auto"/>
          <w:szCs w:val="24"/>
        </w:rPr>
        <w:t xml:space="preserve"> Corp</w:t>
      </w:r>
      <w:r w:rsidR="0007625B" w:rsidRPr="004C1F41">
        <w:rPr>
          <w:rFonts w:asciiTheme="minorHAnsi" w:hAnsiTheme="minorHAnsi"/>
          <w:color w:val="auto"/>
          <w:szCs w:val="24"/>
        </w:rPr>
        <w:t xml:space="preserve">s in 2006. </w:t>
      </w:r>
      <w:r w:rsidR="00D0028E" w:rsidRPr="004C1F41">
        <w:rPr>
          <w:rFonts w:asciiTheme="minorHAnsi" w:hAnsiTheme="minorHAnsi"/>
          <w:color w:val="auto"/>
          <w:szCs w:val="24"/>
        </w:rPr>
        <w:t xml:space="preserve"> </w:t>
      </w:r>
      <w:r w:rsidR="0007625B" w:rsidRPr="004C1F41">
        <w:rPr>
          <w:rFonts w:asciiTheme="minorHAnsi" w:hAnsiTheme="minorHAnsi"/>
          <w:color w:val="auto"/>
          <w:szCs w:val="24"/>
        </w:rPr>
        <w:t xml:space="preserve">The medical basis for the separation was </w:t>
      </w:r>
      <w:r w:rsidR="006F4396">
        <w:rPr>
          <w:rFonts w:asciiTheme="minorHAnsi" w:hAnsiTheme="minorHAnsi"/>
          <w:color w:val="auto"/>
          <w:szCs w:val="24"/>
        </w:rPr>
        <w:t>c</w:t>
      </w:r>
      <w:r w:rsidR="0007625B" w:rsidRPr="004C1F41">
        <w:rPr>
          <w:rFonts w:asciiTheme="minorHAnsi" w:hAnsiTheme="minorHAnsi"/>
          <w:color w:val="auto"/>
          <w:szCs w:val="24"/>
        </w:rPr>
        <w:t xml:space="preserve">hronic </w:t>
      </w:r>
      <w:r w:rsidR="006F4396">
        <w:rPr>
          <w:rFonts w:asciiTheme="minorHAnsi" w:hAnsiTheme="minorHAnsi"/>
          <w:color w:val="auto"/>
          <w:szCs w:val="24"/>
        </w:rPr>
        <w:t>b</w:t>
      </w:r>
      <w:r w:rsidR="0007625B" w:rsidRPr="004C1F41">
        <w:rPr>
          <w:rFonts w:asciiTheme="minorHAnsi" w:hAnsiTheme="minorHAnsi"/>
          <w:color w:val="auto"/>
          <w:szCs w:val="24"/>
        </w:rPr>
        <w:t xml:space="preserve">ilateral </w:t>
      </w:r>
      <w:r w:rsidR="006F4396">
        <w:rPr>
          <w:rFonts w:asciiTheme="minorHAnsi" w:hAnsiTheme="minorHAnsi"/>
          <w:color w:val="auto"/>
          <w:szCs w:val="24"/>
        </w:rPr>
        <w:t>p</w:t>
      </w:r>
      <w:r w:rsidR="0007625B" w:rsidRPr="004C1F41">
        <w:rPr>
          <w:rFonts w:asciiTheme="minorHAnsi" w:hAnsiTheme="minorHAnsi"/>
          <w:color w:val="auto"/>
          <w:szCs w:val="24"/>
        </w:rPr>
        <w:t xml:space="preserve">lantar </w:t>
      </w:r>
      <w:r w:rsidR="006F4396">
        <w:rPr>
          <w:rFonts w:asciiTheme="minorHAnsi" w:hAnsiTheme="minorHAnsi"/>
          <w:color w:val="auto"/>
          <w:szCs w:val="24"/>
        </w:rPr>
        <w:t>f</w:t>
      </w:r>
      <w:r w:rsidR="0007625B" w:rsidRPr="004C1F41">
        <w:rPr>
          <w:rFonts w:asciiTheme="minorHAnsi" w:hAnsiTheme="minorHAnsi"/>
          <w:color w:val="auto"/>
          <w:szCs w:val="24"/>
        </w:rPr>
        <w:t xml:space="preserve">asciitis.  </w:t>
      </w:r>
      <w:r w:rsidR="005A1AAE" w:rsidRPr="004C1F41">
        <w:rPr>
          <w:rFonts w:asciiTheme="minorHAnsi" w:hAnsiTheme="minorHAnsi"/>
          <w:color w:val="auto"/>
          <w:szCs w:val="24"/>
        </w:rPr>
        <w:t xml:space="preserve">The </w:t>
      </w:r>
      <w:r w:rsidR="0007625B" w:rsidRPr="004C1F41">
        <w:rPr>
          <w:rFonts w:asciiTheme="minorHAnsi" w:hAnsiTheme="minorHAnsi"/>
          <w:color w:val="auto"/>
          <w:szCs w:val="24"/>
        </w:rPr>
        <w:t>CI initially injured her left foot in Jan</w:t>
      </w:r>
      <w:r w:rsidR="00D0028E" w:rsidRPr="004C1F41">
        <w:rPr>
          <w:rFonts w:asciiTheme="minorHAnsi" w:hAnsiTheme="minorHAnsi"/>
          <w:color w:val="auto"/>
          <w:szCs w:val="24"/>
        </w:rPr>
        <w:t>uary</w:t>
      </w:r>
      <w:r w:rsidR="0007625B" w:rsidRPr="004C1F41">
        <w:rPr>
          <w:rFonts w:asciiTheme="minorHAnsi" w:hAnsiTheme="minorHAnsi"/>
          <w:color w:val="auto"/>
          <w:szCs w:val="24"/>
        </w:rPr>
        <w:t xml:space="preserve"> </w:t>
      </w:r>
      <w:r w:rsidR="00085744" w:rsidRPr="004C1F41">
        <w:rPr>
          <w:rFonts w:asciiTheme="minorHAnsi" w:hAnsiTheme="minorHAnsi"/>
          <w:color w:val="auto"/>
          <w:szCs w:val="24"/>
        </w:rPr>
        <w:t>20</w:t>
      </w:r>
      <w:r w:rsidR="0007625B" w:rsidRPr="004C1F41">
        <w:rPr>
          <w:rFonts w:asciiTheme="minorHAnsi" w:hAnsiTheme="minorHAnsi"/>
          <w:color w:val="auto"/>
          <w:szCs w:val="24"/>
        </w:rPr>
        <w:t xml:space="preserve">04 </w:t>
      </w:r>
      <w:r w:rsidR="00AD7937">
        <w:rPr>
          <w:rFonts w:asciiTheme="minorHAnsi" w:hAnsiTheme="minorHAnsi"/>
          <w:color w:val="auto"/>
          <w:szCs w:val="24"/>
        </w:rPr>
        <w:t xml:space="preserve">and </w:t>
      </w:r>
      <w:r w:rsidR="0007625B" w:rsidRPr="004C1F41">
        <w:rPr>
          <w:rFonts w:asciiTheme="minorHAnsi" w:hAnsiTheme="minorHAnsi"/>
          <w:color w:val="auto"/>
          <w:szCs w:val="24"/>
        </w:rPr>
        <w:t xml:space="preserve">was diagnosed with a </w:t>
      </w:r>
      <w:proofErr w:type="spellStart"/>
      <w:r w:rsidR="0007625B" w:rsidRPr="004C1F41">
        <w:rPr>
          <w:rFonts w:asciiTheme="minorHAnsi" w:hAnsiTheme="minorHAnsi"/>
          <w:color w:val="auto"/>
          <w:szCs w:val="24"/>
        </w:rPr>
        <w:t>sesamoid</w:t>
      </w:r>
      <w:proofErr w:type="spellEnd"/>
      <w:r w:rsidR="0007625B" w:rsidRPr="004C1F41">
        <w:rPr>
          <w:rFonts w:asciiTheme="minorHAnsi" w:hAnsiTheme="minorHAnsi"/>
          <w:color w:val="auto"/>
          <w:szCs w:val="24"/>
        </w:rPr>
        <w:t xml:space="preserve"> fracture, </w:t>
      </w:r>
      <w:r w:rsidR="003D2EE4" w:rsidRPr="004C1F41">
        <w:rPr>
          <w:rFonts w:asciiTheme="minorHAnsi" w:hAnsiTheme="minorHAnsi"/>
          <w:color w:val="auto"/>
          <w:szCs w:val="24"/>
        </w:rPr>
        <w:t xml:space="preserve">and </w:t>
      </w:r>
      <w:proofErr w:type="spellStart"/>
      <w:r w:rsidR="0007625B" w:rsidRPr="004C1F41">
        <w:rPr>
          <w:rFonts w:asciiTheme="minorHAnsi" w:hAnsiTheme="minorHAnsi"/>
          <w:color w:val="auto"/>
          <w:szCs w:val="24"/>
        </w:rPr>
        <w:t>sesamoiditis</w:t>
      </w:r>
      <w:proofErr w:type="spellEnd"/>
      <w:r w:rsidR="0007625B" w:rsidRPr="004C1F41">
        <w:rPr>
          <w:rFonts w:asciiTheme="minorHAnsi" w:hAnsiTheme="minorHAnsi"/>
          <w:color w:val="auto"/>
          <w:szCs w:val="24"/>
        </w:rPr>
        <w:t xml:space="preserve">.  </w:t>
      </w:r>
      <w:r w:rsidR="009E7CB2">
        <w:rPr>
          <w:rFonts w:asciiTheme="minorHAnsi" w:hAnsiTheme="minorHAnsi"/>
          <w:color w:val="auto"/>
          <w:szCs w:val="24"/>
        </w:rPr>
        <w:t>A magnetic resonance imaging (</w:t>
      </w:r>
      <w:r w:rsidR="0007625B" w:rsidRPr="004C1F41">
        <w:rPr>
          <w:rFonts w:asciiTheme="minorHAnsi" w:hAnsiTheme="minorHAnsi"/>
          <w:color w:val="auto"/>
          <w:szCs w:val="24"/>
        </w:rPr>
        <w:t>MRI</w:t>
      </w:r>
      <w:r w:rsidR="009E7CB2">
        <w:rPr>
          <w:rFonts w:asciiTheme="minorHAnsi" w:hAnsiTheme="minorHAnsi"/>
          <w:color w:val="auto"/>
          <w:szCs w:val="24"/>
        </w:rPr>
        <w:t>)</w:t>
      </w:r>
      <w:r w:rsidR="0007625B" w:rsidRPr="004C1F41">
        <w:rPr>
          <w:rFonts w:asciiTheme="minorHAnsi" w:hAnsiTheme="minorHAnsi"/>
          <w:color w:val="auto"/>
          <w:szCs w:val="24"/>
        </w:rPr>
        <w:t xml:space="preserve"> </w:t>
      </w:r>
      <w:r w:rsidR="009E7CB2">
        <w:rPr>
          <w:rFonts w:asciiTheme="minorHAnsi" w:hAnsiTheme="minorHAnsi"/>
          <w:color w:val="auto"/>
          <w:szCs w:val="24"/>
        </w:rPr>
        <w:t>showed</w:t>
      </w:r>
      <w:r w:rsidR="0007625B" w:rsidRPr="004C1F41">
        <w:rPr>
          <w:rFonts w:asciiTheme="minorHAnsi" w:hAnsiTheme="minorHAnsi"/>
          <w:color w:val="auto"/>
          <w:szCs w:val="24"/>
        </w:rPr>
        <w:t xml:space="preserve"> increased bone marrow signal to the lateral </w:t>
      </w:r>
      <w:proofErr w:type="spellStart"/>
      <w:r w:rsidR="0007625B" w:rsidRPr="004C1F41">
        <w:rPr>
          <w:rFonts w:asciiTheme="minorHAnsi" w:hAnsiTheme="minorHAnsi"/>
          <w:color w:val="auto"/>
          <w:szCs w:val="24"/>
        </w:rPr>
        <w:t>sesamo</w:t>
      </w:r>
      <w:r w:rsidR="005A1AAE" w:rsidRPr="004C1F41">
        <w:rPr>
          <w:rFonts w:asciiTheme="minorHAnsi" w:hAnsiTheme="minorHAnsi"/>
          <w:color w:val="auto"/>
          <w:szCs w:val="24"/>
        </w:rPr>
        <w:t>id</w:t>
      </w:r>
      <w:proofErr w:type="spellEnd"/>
      <w:r w:rsidR="005A1AAE" w:rsidRPr="004C1F41">
        <w:rPr>
          <w:rFonts w:asciiTheme="minorHAnsi" w:hAnsiTheme="minorHAnsi"/>
          <w:color w:val="auto"/>
          <w:szCs w:val="24"/>
        </w:rPr>
        <w:t xml:space="preserve"> consistent with injury</w:t>
      </w:r>
      <w:r w:rsidR="009E7CB2">
        <w:rPr>
          <w:rFonts w:asciiTheme="minorHAnsi" w:hAnsiTheme="minorHAnsi"/>
          <w:color w:val="auto"/>
          <w:szCs w:val="24"/>
        </w:rPr>
        <w:t>,</w:t>
      </w:r>
      <w:r w:rsidR="005A1AAE" w:rsidRPr="004C1F41">
        <w:rPr>
          <w:rFonts w:asciiTheme="minorHAnsi" w:hAnsiTheme="minorHAnsi"/>
          <w:color w:val="auto"/>
          <w:szCs w:val="24"/>
        </w:rPr>
        <w:t xml:space="preserve"> and t</w:t>
      </w:r>
      <w:r w:rsidR="0007625B" w:rsidRPr="004C1F41">
        <w:rPr>
          <w:rFonts w:asciiTheme="minorHAnsi" w:hAnsiTheme="minorHAnsi"/>
          <w:color w:val="auto"/>
          <w:szCs w:val="24"/>
        </w:rPr>
        <w:t>he</w:t>
      </w:r>
      <w:r w:rsidR="005A1AAE" w:rsidRPr="004C1F41">
        <w:rPr>
          <w:rFonts w:asciiTheme="minorHAnsi" w:hAnsiTheme="minorHAnsi"/>
          <w:color w:val="auto"/>
          <w:szCs w:val="24"/>
        </w:rPr>
        <w:t xml:space="preserve"> </w:t>
      </w:r>
      <w:r w:rsidR="00E54077" w:rsidRPr="004C1F41">
        <w:rPr>
          <w:rFonts w:asciiTheme="minorHAnsi" w:hAnsiTheme="minorHAnsi"/>
          <w:color w:val="auto"/>
          <w:szCs w:val="24"/>
        </w:rPr>
        <w:t>CI was</w:t>
      </w:r>
      <w:r w:rsidR="0007625B" w:rsidRPr="004C1F41">
        <w:rPr>
          <w:rFonts w:asciiTheme="minorHAnsi" w:hAnsiTheme="minorHAnsi"/>
          <w:color w:val="auto"/>
          <w:szCs w:val="24"/>
        </w:rPr>
        <w:t xml:space="preserve"> diagnosed with plantar fasciitis.  She was placed on limited duty</w:t>
      </w:r>
      <w:r w:rsidR="00AD7937">
        <w:rPr>
          <w:rFonts w:asciiTheme="minorHAnsi" w:hAnsiTheme="minorHAnsi"/>
          <w:color w:val="auto"/>
          <w:szCs w:val="24"/>
        </w:rPr>
        <w:t xml:space="preserve"> (LIMDU)</w:t>
      </w:r>
      <w:r w:rsidR="009E7CB2">
        <w:rPr>
          <w:rFonts w:asciiTheme="minorHAnsi" w:hAnsiTheme="minorHAnsi"/>
          <w:color w:val="auto"/>
          <w:szCs w:val="24"/>
        </w:rPr>
        <w:t>,</w:t>
      </w:r>
      <w:r w:rsidR="0007625B" w:rsidRPr="004C1F41">
        <w:rPr>
          <w:rFonts w:asciiTheme="minorHAnsi" w:hAnsiTheme="minorHAnsi"/>
          <w:color w:val="auto"/>
          <w:szCs w:val="24"/>
        </w:rPr>
        <w:t xml:space="preserve"> treated with physical </w:t>
      </w:r>
      <w:r w:rsidR="00E266F1" w:rsidRPr="004C1F41">
        <w:rPr>
          <w:rFonts w:asciiTheme="minorHAnsi" w:hAnsiTheme="minorHAnsi"/>
          <w:color w:val="auto"/>
          <w:szCs w:val="24"/>
        </w:rPr>
        <w:t>therapy</w:t>
      </w:r>
      <w:r w:rsidR="009E7CB2">
        <w:rPr>
          <w:rFonts w:asciiTheme="minorHAnsi" w:hAnsiTheme="minorHAnsi"/>
          <w:color w:val="auto"/>
          <w:szCs w:val="24"/>
        </w:rPr>
        <w:t>,</w:t>
      </w:r>
      <w:r w:rsidR="0007625B" w:rsidRPr="004C1F41">
        <w:rPr>
          <w:rFonts w:asciiTheme="minorHAnsi" w:hAnsiTheme="minorHAnsi"/>
          <w:color w:val="auto"/>
          <w:szCs w:val="24"/>
        </w:rPr>
        <w:t xml:space="preserve"> and subsequently deployed to Iraq where she developed right foot pain.  </w:t>
      </w:r>
      <w:r w:rsidR="005A1AAE" w:rsidRPr="004C1F41">
        <w:rPr>
          <w:rFonts w:asciiTheme="minorHAnsi" w:hAnsiTheme="minorHAnsi"/>
          <w:color w:val="auto"/>
          <w:szCs w:val="24"/>
        </w:rPr>
        <w:t xml:space="preserve">The </w:t>
      </w:r>
      <w:r w:rsidR="00E54077" w:rsidRPr="004C1F41">
        <w:rPr>
          <w:rFonts w:asciiTheme="minorHAnsi" w:hAnsiTheme="minorHAnsi"/>
          <w:color w:val="auto"/>
          <w:szCs w:val="24"/>
        </w:rPr>
        <w:t>CI was</w:t>
      </w:r>
      <w:r w:rsidR="0007625B" w:rsidRPr="004C1F41">
        <w:rPr>
          <w:rFonts w:asciiTheme="minorHAnsi" w:hAnsiTheme="minorHAnsi"/>
          <w:color w:val="auto"/>
          <w:szCs w:val="24"/>
        </w:rPr>
        <w:t xml:space="preserve"> evaluated by </w:t>
      </w:r>
      <w:r w:rsidR="00AD7937">
        <w:rPr>
          <w:rFonts w:asciiTheme="minorHAnsi" w:hAnsiTheme="minorHAnsi"/>
          <w:color w:val="auto"/>
          <w:szCs w:val="24"/>
        </w:rPr>
        <w:t>p</w:t>
      </w:r>
      <w:r w:rsidR="0007625B" w:rsidRPr="004C1F41">
        <w:rPr>
          <w:rFonts w:asciiTheme="minorHAnsi" w:hAnsiTheme="minorHAnsi"/>
          <w:color w:val="auto"/>
          <w:szCs w:val="24"/>
        </w:rPr>
        <w:t xml:space="preserve">odiatry and diagnosed with bilateral </w:t>
      </w:r>
      <w:proofErr w:type="spellStart"/>
      <w:r w:rsidR="00266F9A">
        <w:rPr>
          <w:rFonts w:asciiTheme="minorHAnsi" w:hAnsiTheme="minorHAnsi"/>
          <w:color w:val="auto"/>
          <w:szCs w:val="24"/>
        </w:rPr>
        <w:t>h</w:t>
      </w:r>
      <w:r w:rsidR="0007625B" w:rsidRPr="004C1F41">
        <w:rPr>
          <w:rFonts w:asciiTheme="minorHAnsi" w:hAnsiTheme="minorHAnsi"/>
          <w:color w:val="auto"/>
          <w:szCs w:val="24"/>
        </w:rPr>
        <w:t>allus</w:t>
      </w:r>
      <w:proofErr w:type="spellEnd"/>
      <w:r w:rsidR="0007625B" w:rsidRPr="004C1F41">
        <w:rPr>
          <w:rFonts w:asciiTheme="minorHAnsi" w:hAnsiTheme="minorHAnsi"/>
          <w:color w:val="auto"/>
          <w:szCs w:val="24"/>
        </w:rPr>
        <w:t xml:space="preserve"> </w:t>
      </w:r>
      <w:proofErr w:type="spellStart"/>
      <w:r w:rsidR="0007625B" w:rsidRPr="004C1F41">
        <w:rPr>
          <w:rFonts w:asciiTheme="minorHAnsi" w:hAnsiTheme="minorHAnsi"/>
          <w:color w:val="auto"/>
          <w:szCs w:val="24"/>
        </w:rPr>
        <w:t>limitus</w:t>
      </w:r>
      <w:proofErr w:type="spellEnd"/>
      <w:r w:rsidR="0007625B" w:rsidRPr="004C1F41">
        <w:rPr>
          <w:rFonts w:asciiTheme="minorHAnsi" w:hAnsiTheme="minorHAnsi"/>
          <w:color w:val="auto"/>
          <w:szCs w:val="24"/>
        </w:rPr>
        <w:t xml:space="preserve">, </w:t>
      </w:r>
      <w:proofErr w:type="spellStart"/>
      <w:r w:rsidR="0007625B" w:rsidRPr="004C1F41">
        <w:rPr>
          <w:rFonts w:asciiTheme="minorHAnsi" w:hAnsiTheme="minorHAnsi"/>
          <w:color w:val="auto"/>
          <w:szCs w:val="24"/>
        </w:rPr>
        <w:t>sesamoiditis</w:t>
      </w:r>
      <w:proofErr w:type="spellEnd"/>
      <w:r w:rsidR="0007625B" w:rsidRPr="004C1F41">
        <w:rPr>
          <w:rFonts w:asciiTheme="minorHAnsi" w:hAnsiTheme="minorHAnsi"/>
          <w:color w:val="auto"/>
          <w:szCs w:val="24"/>
        </w:rPr>
        <w:t xml:space="preserve"> and plantar fasciitis.  </w:t>
      </w:r>
      <w:r w:rsidR="00AD7937">
        <w:rPr>
          <w:rFonts w:asciiTheme="minorHAnsi" w:hAnsiTheme="minorHAnsi"/>
          <w:color w:val="auto"/>
          <w:szCs w:val="24"/>
        </w:rPr>
        <w:t xml:space="preserve">Upon </w:t>
      </w:r>
      <w:r w:rsidR="0007625B" w:rsidRPr="004C1F41">
        <w:rPr>
          <w:rFonts w:asciiTheme="minorHAnsi" w:hAnsiTheme="minorHAnsi"/>
          <w:color w:val="auto"/>
          <w:szCs w:val="24"/>
        </w:rPr>
        <w:t>return</w:t>
      </w:r>
      <w:r w:rsidR="00AD7937">
        <w:rPr>
          <w:rFonts w:asciiTheme="minorHAnsi" w:hAnsiTheme="minorHAnsi"/>
          <w:color w:val="auto"/>
          <w:szCs w:val="24"/>
        </w:rPr>
        <w:t>, s</w:t>
      </w:r>
      <w:r w:rsidR="0007625B" w:rsidRPr="004C1F41">
        <w:rPr>
          <w:rFonts w:asciiTheme="minorHAnsi" w:hAnsiTheme="minorHAnsi"/>
          <w:color w:val="auto"/>
          <w:szCs w:val="24"/>
        </w:rPr>
        <w:t xml:space="preserve">he underwent a right </w:t>
      </w:r>
      <w:proofErr w:type="spellStart"/>
      <w:r w:rsidR="0007625B" w:rsidRPr="004C1F41">
        <w:rPr>
          <w:rFonts w:asciiTheme="minorHAnsi" w:hAnsiTheme="minorHAnsi"/>
          <w:color w:val="auto"/>
          <w:szCs w:val="24"/>
        </w:rPr>
        <w:t>bunionectomy</w:t>
      </w:r>
      <w:proofErr w:type="spellEnd"/>
      <w:r w:rsidR="00AD7937">
        <w:rPr>
          <w:rFonts w:asciiTheme="minorHAnsi" w:hAnsiTheme="minorHAnsi"/>
          <w:color w:val="auto"/>
          <w:szCs w:val="24"/>
        </w:rPr>
        <w:t>,</w:t>
      </w:r>
      <w:r w:rsidR="0007625B" w:rsidRPr="004C1F41">
        <w:rPr>
          <w:rFonts w:asciiTheme="minorHAnsi" w:hAnsiTheme="minorHAnsi"/>
          <w:color w:val="auto"/>
          <w:szCs w:val="24"/>
        </w:rPr>
        <w:t xml:space="preserve"> and later developed residual hallux limitus and continuous pain in both feet.</w:t>
      </w:r>
      <w:r w:rsidR="00575E77">
        <w:rPr>
          <w:rFonts w:asciiTheme="minorHAnsi" w:hAnsiTheme="minorHAnsi"/>
          <w:color w:val="auto"/>
          <w:szCs w:val="24"/>
        </w:rPr>
        <w:t xml:space="preserve">  The CI was placed on another </w:t>
      </w:r>
      <w:r w:rsidR="005A1AAE" w:rsidRPr="004C1F41">
        <w:rPr>
          <w:rFonts w:asciiTheme="minorHAnsi" w:hAnsiTheme="minorHAnsi"/>
          <w:color w:val="auto"/>
          <w:szCs w:val="24"/>
        </w:rPr>
        <w:t>LIMDU</w:t>
      </w:r>
      <w:r w:rsidR="00AD7937">
        <w:rPr>
          <w:rFonts w:asciiTheme="minorHAnsi" w:hAnsiTheme="minorHAnsi"/>
          <w:color w:val="auto"/>
          <w:szCs w:val="24"/>
        </w:rPr>
        <w:t xml:space="preserve">, did </w:t>
      </w:r>
      <w:r w:rsidR="0007625B" w:rsidRPr="004C1F41">
        <w:rPr>
          <w:rFonts w:asciiTheme="minorHAnsi" w:hAnsiTheme="minorHAnsi"/>
          <w:color w:val="auto"/>
          <w:szCs w:val="24"/>
        </w:rPr>
        <w:t>not respond adequately to treatment</w:t>
      </w:r>
      <w:r w:rsidR="002713BB">
        <w:rPr>
          <w:rFonts w:asciiTheme="minorHAnsi" w:hAnsiTheme="minorHAnsi"/>
          <w:color w:val="auto"/>
          <w:szCs w:val="24"/>
        </w:rPr>
        <w:t>,</w:t>
      </w:r>
      <w:r w:rsidR="0007625B" w:rsidRPr="004C1F41">
        <w:rPr>
          <w:rFonts w:asciiTheme="minorHAnsi" w:hAnsiTheme="minorHAnsi"/>
          <w:color w:val="auto"/>
          <w:szCs w:val="24"/>
        </w:rPr>
        <w:t xml:space="preserve"> and was unable to perform within her military occupational specialty</w:t>
      </w:r>
      <w:r w:rsidR="00AD7937">
        <w:rPr>
          <w:rFonts w:asciiTheme="minorHAnsi" w:hAnsiTheme="minorHAnsi"/>
          <w:color w:val="auto"/>
          <w:szCs w:val="24"/>
        </w:rPr>
        <w:t xml:space="preserve"> or </w:t>
      </w:r>
      <w:r w:rsidR="0007625B" w:rsidRPr="004C1F41">
        <w:rPr>
          <w:rFonts w:asciiTheme="minorHAnsi" w:hAnsiTheme="minorHAnsi"/>
          <w:color w:val="auto"/>
          <w:szCs w:val="24"/>
        </w:rPr>
        <w:t>participate in a physical fitness test</w:t>
      </w:r>
      <w:r w:rsidR="00AD7937">
        <w:rPr>
          <w:rFonts w:asciiTheme="minorHAnsi" w:hAnsiTheme="minorHAnsi"/>
          <w:color w:val="auto"/>
          <w:szCs w:val="24"/>
        </w:rPr>
        <w:t>.  She was</w:t>
      </w:r>
      <w:r w:rsidR="000251A3" w:rsidRPr="004C1F41">
        <w:rPr>
          <w:rFonts w:asciiTheme="minorHAnsi" w:hAnsiTheme="minorHAnsi"/>
          <w:color w:val="auto"/>
          <w:szCs w:val="24"/>
        </w:rPr>
        <w:t xml:space="preserve"> referred to </w:t>
      </w:r>
      <w:r w:rsidR="0007625B" w:rsidRPr="004C1F41">
        <w:rPr>
          <w:rFonts w:asciiTheme="minorHAnsi" w:hAnsiTheme="minorHAnsi"/>
          <w:color w:val="auto"/>
          <w:szCs w:val="24"/>
        </w:rPr>
        <w:t xml:space="preserve">a Medical Evaluation Board (MEB). </w:t>
      </w:r>
      <w:r w:rsidR="00D0028E" w:rsidRPr="004C1F41">
        <w:rPr>
          <w:rFonts w:asciiTheme="minorHAnsi" w:hAnsiTheme="minorHAnsi"/>
          <w:color w:val="auto"/>
          <w:szCs w:val="24"/>
        </w:rPr>
        <w:t xml:space="preserve"> </w:t>
      </w:r>
      <w:r w:rsidR="00A00158" w:rsidRPr="004C1F41">
        <w:rPr>
          <w:rFonts w:asciiTheme="minorHAnsi" w:hAnsiTheme="minorHAnsi"/>
          <w:color w:val="auto"/>
          <w:szCs w:val="24"/>
        </w:rPr>
        <w:t>The MEB forwarded “other disorders of the bone and cartilage</w:t>
      </w:r>
      <w:r w:rsidR="003E46BC">
        <w:rPr>
          <w:rFonts w:asciiTheme="minorHAnsi" w:hAnsiTheme="minorHAnsi"/>
          <w:color w:val="auto"/>
          <w:szCs w:val="24"/>
        </w:rPr>
        <w:t>,”</w:t>
      </w:r>
      <w:r w:rsidR="00A00158" w:rsidRPr="004C1F41">
        <w:rPr>
          <w:rFonts w:asciiTheme="minorHAnsi" w:hAnsiTheme="minorHAnsi"/>
          <w:color w:val="auto"/>
          <w:szCs w:val="24"/>
        </w:rPr>
        <w:t xml:space="preserve"> plantar </w:t>
      </w:r>
      <w:proofErr w:type="spellStart"/>
      <w:r w:rsidR="00A00158" w:rsidRPr="004C1F41">
        <w:rPr>
          <w:rFonts w:asciiTheme="minorHAnsi" w:hAnsiTheme="minorHAnsi"/>
          <w:color w:val="auto"/>
          <w:szCs w:val="24"/>
        </w:rPr>
        <w:t>fascial</w:t>
      </w:r>
      <w:proofErr w:type="spellEnd"/>
      <w:r w:rsidR="00A00158" w:rsidRPr="004C1F41">
        <w:rPr>
          <w:rFonts w:asciiTheme="minorHAnsi" w:hAnsiTheme="minorHAnsi"/>
          <w:color w:val="auto"/>
          <w:szCs w:val="24"/>
        </w:rPr>
        <w:t xml:space="preserve"> </w:t>
      </w:r>
      <w:proofErr w:type="spellStart"/>
      <w:r w:rsidR="00A00158" w:rsidRPr="004C1F41">
        <w:rPr>
          <w:rFonts w:asciiTheme="minorHAnsi" w:hAnsiTheme="minorHAnsi"/>
          <w:color w:val="auto"/>
          <w:szCs w:val="24"/>
        </w:rPr>
        <w:t>fibromatosis</w:t>
      </w:r>
      <w:proofErr w:type="spellEnd"/>
      <w:r w:rsidR="00A00158" w:rsidRPr="004C1F41">
        <w:rPr>
          <w:rFonts w:asciiTheme="minorHAnsi" w:hAnsiTheme="minorHAnsi"/>
          <w:color w:val="auto"/>
          <w:szCs w:val="24"/>
        </w:rPr>
        <w:t>, and unequal leg length (acquired)</w:t>
      </w:r>
      <w:r w:rsidR="00575E77">
        <w:rPr>
          <w:rFonts w:asciiTheme="minorHAnsi" w:hAnsiTheme="minorHAnsi"/>
          <w:color w:val="auto"/>
          <w:szCs w:val="24"/>
        </w:rPr>
        <w:t xml:space="preserve"> </w:t>
      </w:r>
      <w:r w:rsidR="00B255D3" w:rsidRPr="004C1F41">
        <w:rPr>
          <w:rFonts w:asciiTheme="minorHAnsi" w:hAnsiTheme="minorHAnsi"/>
          <w:color w:val="auto"/>
          <w:szCs w:val="24"/>
        </w:rPr>
        <w:t>to the</w:t>
      </w:r>
      <w:r w:rsidR="0007625B" w:rsidRPr="004C1F41">
        <w:rPr>
          <w:rFonts w:asciiTheme="minorHAnsi" w:hAnsiTheme="minorHAnsi"/>
          <w:color w:val="auto"/>
          <w:szCs w:val="24"/>
        </w:rPr>
        <w:t xml:space="preserve"> Physical Evaluation Board (PEB)</w:t>
      </w:r>
      <w:r w:rsidR="00AD7937">
        <w:rPr>
          <w:rFonts w:asciiTheme="minorHAnsi" w:hAnsiTheme="minorHAnsi"/>
          <w:color w:val="auto"/>
          <w:szCs w:val="24"/>
        </w:rPr>
        <w:t>.</w:t>
      </w:r>
      <w:r w:rsidR="00D414B1" w:rsidRPr="004C1F41">
        <w:rPr>
          <w:rFonts w:asciiTheme="minorHAnsi" w:hAnsiTheme="minorHAnsi"/>
          <w:color w:val="auto"/>
          <w:szCs w:val="24"/>
        </w:rPr>
        <w:t xml:space="preserve">  </w:t>
      </w:r>
      <w:r w:rsidR="00E54077">
        <w:rPr>
          <w:rFonts w:asciiTheme="minorHAnsi" w:hAnsiTheme="minorHAnsi"/>
          <w:color w:val="auto"/>
          <w:szCs w:val="24"/>
        </w:rPr>
        <w:t>The PEB adjudicated “</w:t>
      </w:r>
      <w:r w:rsidR="00AD7937">
        <w:rPr>
          <w:rFonts w:asciiTheme="minorHAnsi" w:hAnsiTheme="minorHAnsi"/>
          <w:color w:val="auto"/>
          <w:szCs w:val="24"/>
        </w:rPr>
        <w:t>c</w:t>
      </w:r>
      <w:r w:rsidR="00E54077">
        <w:rPr>
          <w:rFonts w:asciiTheme="minorHAnsi" w:hAnsiTheme="minorHAnsi"/>
          <w:color w:val="auto"/>
          <w:szCs w:val="24"/>
        </w:rPr>
        <w:t xml:space="preserve">hronic </w:t>
      </w:r>
      <w:r w:rsidR="00AD7937">
        <w:rPr>
          <w:rFonts w:asciiTheme="minorHAnsi" w:hAnsiTheme="minorHAnsi"/>
          <w:color w:val="auto"/>
          <w:szCs w:val="24"/>
        </w:rPr>
        <w:t>b</w:t>
      </w:r>
      <w:r w:rsidR="00E54077">
        <w:rPr>
          <w:rFonts w:asciiTheme="minorHAnsi" w:hAnsiTheme="minorHAnsi"/>
          <w:color w:val="auto"/>
          <w:szCs w:val="24"/>
        </w:rPr>
        <w:t xml:space="preserve">ilateral </w:t>
      </w:r>
      <w:r w:rsidR="00AD7937">
        <w:rPr>
          <w:rFonts w:asciiTheme="minorHAnsi" w:hAnsiTheme="minorHAnsi"/>
          <w:color w:val="auto"/>
          <w:szCs w:val="24"/>
        </w:rPr>
        <w:t>p</w:t>
      </w:r>
      <w:r w:rsidR="00E54077">
        <w:rPr>
          <w:rFonts w:asciiTheme="minorHAnsi" w:hAnsiTheme="minorHAnsi"/>
          <w:color w:val="auto"/>
          <w:szCs w:val="24"/>
        </w:rPr>
        <w:t xml:space="preserve">lantar </w:t>
      </w:r>
      <w:r w:rsidR="00AD7937">
        <w:rPr>
          <w:rFonts w:asciiTheme="minorHAnsi" w:hAnsiTheme="minorHAnsi"/>
          <w:color w:val="auto"/>
          <w:szCs w:val="24"/>
        </w:rPr>
        <w:t>f</w:t>
      </w:r>
      <w:r w:rsidR="00E54077">
        <w:rPr>
          <w:rFonts w:asciiTheme="minorHAnsi" w:hAnsiTheme="minorHAnsi"/>
          <w:color w:val="auto"/>
          <w:szCs w:val="24"/>
        </w:rPr>
        <w:t>asciitis” a</w:t>
      </w:r>
      <w:r w:rsidR="00D0028E">
        <w:rPr>
          <w:rFonts w:asciiTheme="minorHAnsi" w:hAnsiTheme="minorHAnsi"/>
          <w:color w:val="auto"/>
          <w:szCs w:val="24"/>
        </w:rPr>
        <w:t>s</w:t>
      </w:r>
      <w:r w:rsidR="00E54077">
        <w:rPr>
          <w:rFonts w:asciiTheme="minorHAnsi" w:hAnsiTheme="minorHAnsi"/>
          <w:color w:val="auto"/>
          <w:szCs w:val="24"/>
        </w:rPr>
        <w:t xml:space="preserve"> unfitting rated with the disability code of </w:t>
      </w:r>
      <w:r w:rsidR="00BF08D6">
        <w:rPr>
          <w:rFonts w:asciiTheme="minorHAnsi" w:hAnsiTheme="minorHAnsi"/>
          <w:color w:val="auto"/>
          <w:szCs w:val="24"/>
        </w:rPr>
        <w:t>5399-</w:t>
      </w:r>
      <w:r w:rsidR="00011171">
        <w:rPr>
          <w:rFonts w:asciiTheme="minorHAnsi" w:hAnsiTheme="minorHAnsi"/>
          <w:color w:val="auto"/>
          <w:szCs w:val="24"/>
        </w:rPr>
        <w:t xml:space="preserve">5311 at </w:t>
      </w:r>
      <w:r w:rsidR="00A00158">
        <w:rPr>
          <w:rFonts w:asciiTheme="minorHAnsi" w:hAnsiTheme="minorHAnsi"/>
          <w:color w:val="auto"/>
          <w:szCs w:val="24"/>
        </w:rPr>
        <w:t xml:space="preserve">10% and 10% (combined </w:t>
      </w:r>
      <w:r w:rsidR="00011171">
        <w:rPr>
          <w:rFonts w:asciiTheme="minorHAnsi" w:hAnsiTheme="minorHAnsi"/>
          <w:color w:val="auto"/>
          <w:szCs w:val="24"/>
        </w:rPr>
        <w:t>20%</w:t>
      </w:r>
      <w:r w:rsidR="00A00158">
        <w:rPr>
          <w:rFonts w:asciiTheme="minorHAnsi" w:hAnsiTheme="minorHAnsi"/>
          <w:color w:val="auto"/>
          <w:szCs w:val="24"/>
        </w:rPr>
        <w:t xml:space="preserve"> with bilateral factor)</w:t>
      </w:r>
      <w:r w:rsidR="00BF08D6">
        <w:rPr>
          <w:rFonts w:asciiTheme="minorHAnsi" w:hAnsiTheme="minorHAnsi"/>
          <w:color w:val="auto"/>
          <w:szCs w:val="24"/>
        </w:rPr>
        <w:t xml:space="preserve">.  </w:t>
      </w:r>
      <w:r w:rsidR="00011171">
        <w:rPr>
          <w:rFonts w:asciiTheme="minorHAnsi" w:hAnsiTheme="minorHAnsi"/>
          <w:color w:val="auto"/>
          <w:szCs w:val="24"/>
        </w:rPr>
        <w:t>The PEB adjudicated the “</w:t>
      </w:r>
      <w:r w:rsidR="00AD7937">
        <w:rPr>
          <w:rFonts w:asciiTheme="minorHAnsi" w:hAnsiTheme="minorHAnsi"/>
          <w:color w:val="auto"/>
          <w:szCs w:val="24"/>
        </w:rPr>
        <w:t>c</w:t>
      </w:r>
      <w:r w:rsidR="00011171">
        <w:rPr>
          <w:rFonts w:asciiTheme="minorHAnsi" w:hAnsiTheme="minorHAnsi"/>
          <w:color w:val="auto"/>
          <w:szCs w:val="24"/>
        </w:rPr>
        <w:t xml:space="preserve">hronic </w:t>
      </w:r>
      <w:r w:rsidR="00AD7937">
        <w:rPr>
          <w:rFonts w:asciiTheme="minorHAnsi" w:hAnsiTheme="minorHAnsi"/>
          <w:color w:val="auto"/>
          <w:szCs w:val="24"/>
        </w:rPr>
        <w:t>b</w:t>
      </w:r>
      <w:r w:rsidR="00011171">
        <w:rPr>
          <w:rFonts w:asciiTheme="minorHAnsi" w:hAnsiTheme="minorHAnsi"/>
          <w:color w:val="auto"/>
          <w:szCs w:val="24"/>
        </w:rPr>
        <w:t xml:space="preserve">ilateral </w:t>
      </w:r>
      <w:proofErr w:type="spellStart"/>
      <w:r w:rsidR="00AD7937">
        <w:rPr>
          <w:rFonts w:asciiTheme="minorHAnsi" w:hAnsiTheme="minorHAnsi"/>
          <w:color w:val="auto"/>
          <w:szCs w:val="24"/>
        </w:rPr>
        <w:t>s</w:t>
      </w:r>
      <w:r w:rsidR="00011171">
        <w:rPr>
          <w:rFonts w:asciiTheme="minorHAnsi" w:hAnsiTheme="minorHAnsi"/>
          <w:color w:val="auto"/>
          <w:szCs w:val="24"/>
        </w:rPr>
        <w:t>esamoiditis</w:t>
      </w:r>
      <w:proofErr w:type="spellEnd"/>
      <w:r w:rsidR="00011171">
        <w:rPr>
          <w:rFonts w:asciiTheme="minorHAnsi" w:hAnsiTheme="minorHAnsi"/>
          <w:color w:val="auto"/>
          <w:szCs w:val="24"/>
        </w:rPr>
        <w:t xml:space="preserve"> with </w:t>
      </w:r>
      <w:r w:rsidR="00AD7937">
        <w:rPr>
          <w:rFonts w:asciiTheme="minorHAnsi" w:hAnsiTheme="minorHAnsi"/>
          <w:color w:val="auto"/>
          <w:szCs w:val="24"/>
        </w:rPr>
        <w:t>l</w:t>
      </w:r>
      <w:r w:rsidR="00011171">
        <w:rPr>
          <w:rFonts w:asciiTheme="minorHAnsi" w:hAnsiTheme="minorHAnsi"/>
          <w:color w:val="auto"/>
          <w:szCs w:val="24"/>
        </w:rPr>
        <w:t xml:space="preserve">eft </w:t>
      </w:r>
      <w:r w:rsidR="00AD7937">
        <w:rPr>
          <w:rFonts w:asciiTheme="minorHAnsi" w:hAnsiTheme="minorHAnsi"/>
          <w:color w:val="auto"/>
          <w:szCs w:val="24"/>
        </w:rPr>
        <w:t>f</w:t>
      </w:r>
      <w:r w:rsidR="00011171">
        <w:rPr>
          <w:rFonts w:asciiTheme="minorHAnsi" w:hAnsiTheme="minorHAnsi"/>
          <w:color w:val="auto"/>
          <w:szCs w:val="24"/>
        </w:rPr>
        <w:t xml:space="preserve">oot </w:t>
      </w:r>
      <w:proofErr w:type="spellStart"/>
      <w:r w:rsidR="00AD7937">
        <w:rPr>
          <w:rFonts w:asciiTheme="minorHAnsi" w:hAnsiTheme="minorHAnsi"/>
          <w:color w:val="auto"/>
          <w:szCs w:val="24"/>
        </w:rPr>
        <w:t>s</w:t>
      </w:r>
      <w:r w:rsidR="00011171">
        <w:rPr>
          <w:rFonts w:asciiTheme="minorHAnsi" w:hAnsiTheme="minorHAnsi"/>
          <w:color w:val="auto"/>
          <w:szCs w:val="24"/>
        </w:rPr>
        <w:t>esamoid</w:t>
      </w:r>
      <w:proofErr w:type="spellEnd"/>
      <w:r w:rsidR="00011171">
        <w:rPr>
          <w:rFonts w:asciiTheme="minorHAnsi" w:hAnsiTheme="minorHAnsi"/>
          <w:color w:val="auto"/>
          <w:szCs w:val="24"/>
        </w:rPr>
        <w:t xml:space="preserve"> </w:t>
      </w:r>
      <w:r w:rsidR="00AD7937">
        <w:rPr>
          <w:rFonts w:asciiTheme="minorHAnsi" w:hAnsiTheme="minorHAnsi"/>
          <w:color w:val="auto"/>
          <w:szCs w:val="24"/>
        </w:rPr>
        <w:t>s</w:t>
      </w:r>
      <w:r w:rsidR="00011171">
        <w:rPr>
          <w:rFonts w:asciiTheme="minorHAnsi" w:hAnsiTheme="minorHAnsi"/>
          <w:color w:val="auto"/>
          <w:szCs w:val="24"/>
        </w:rPr>
        <w:t>hift” as Category II (</w:t>
      </w:r>
      <w:r w:rsidR="00AD7937">
        <w:rPr>
          <w:rFonts w:asciiTheme="minorHAnsi" w:hAnsiTheme="minorHAnsi"/>
          <w:color w:val="auto"/>
          <w:szCs w:val="24"/>
        </w:rPr>
        <w:t>c</w:t>
      </w:r>
      <w:r w:rsidR="00011171">
        <w:rPr>
          <w:rFonts w:asciiTheme="minorHAnsi" w:hAnsiTheme="minorHAnsi"/>
          <w:color w:val="auto"/>
          <w:szCs w:val="24"/>
        </w:rPr>
        <w:t>onditions that contribute to the unfitting condition)</w:t>
      </w:r>
      <w:r w:rsidR="00506FEB">
        <w:rPr>
          <w:rFonts w:asciiTheme="minorHAnsi" w:hAnsiTheme="minorHAnsi"/>
          <w:color w:val="auto"/>
          <w:szCs w:val="24"/>
        </w:rPr>
        <w:t xml:space="preserve">.  </w:t>
      </w:r>
      <w:r w:rsidR="0007625B" w:rsidRPr="00275C8D">
        <w:rPr>
          <w:rFonts w:asciiTheme="minorHAnsi" w:hAnsiTheme="minorHAnsi"/>
          <w:color w:val="auto"/>
        </w:rPr>
        <w:t>The CI made no appeals, and was medically separated with a 20% combined disability rating.</w:t>
      </w:r>
    </w:p>
    <w:p w:rsidR="00923B25" w:rsidRPr="00275C8D" w:rsidRDefault="008B5D31" w:rsidP="00AF1668">
      <w:pPr>
        <w:tabs>
          <w:tab w:val="left" w:pos="288"/>
          <w:tab w:val="left" w:pos="4752"/>
        </w:tabs>
        <w:spacing w:line="240" w:lineRule="exact"/>
        <w:rPr>
          <w:rFonts w:asciiTheme="minorHAnsi" w:hAnsiTheme="minorHAnsi"/>
          <w:color w:val="auto"/>
        </w:rPr>
      </w:pPr>
      <w:r w:rsidRPr="00275C8D">
        <w:rPr>
          <w:rFonts w:asciiTheme="minorHAnsi" w:hAnsiTheme="minorHAnsi"/>
          <w:color w:val="auto"/>
          <w:u w:val="single"/>
        </w:rPr>
        <w:t>_______________________________________________________________</w:t>
      </w:r>
      <w:r w:rsidRPr="00275C8D">
        <w:rPr>
          <w:rFonts w:asciiTheme="minorHAnsi" w:hAnsiTheme="minorHAnsi"/>
          <w:color w:val="auto"/>
        </w:rPr>
        <w:t>_</w:t>
      </w:r>
      <w:r w:rsidR="00AC713F" w:rsidRPr="00275C8D">
        <w:rPr>
          <w:rFonts w:asciiTheme="minorHAnsi" w:hAnsiTheme="minorHAnsi"/>
          <w:color w:val="auto"/>
        </w:rPr>
        <w:t>___________</w:t>
      </w:r>
    </w:p>
    <w:p w:rsidR="0085089F" w:rsidRPr="00275C8D" w:rsidRDefault="0085089F" w:rsidP="00190E48">
      <w:pPr>
        <w:tabs>
          <w:tab w:val="left" w:pos="288"/>
          <w:tab w:val="left" w:pos="4752"/>
        </w:tabs>
        <w:spacing w:line="240" w:lineRule="exact"/>
        <w:jc w:val="both"/>
        <w:rPr>
          <w:rFonts w:asciiTheme="minorHAnsi" w:hAnsiTheme="minorHAnsi"/>
          <w:color w:val="auto"/>
          <w:u w:val="single"/>
        </w:rPr>
      </w:pPr>
    </w:p>
    <w:p w:rsidR="00275C8D" w:rsidRDefault="002C6E5B" w:rsidP="00275C8D">
      <w:pPr>
        <w:tabs>
          <w:tab w:val="left" w:pos="288"/>
          <w:tab w:val="left" w:pos="4752"/>
        </w:tabs>
        <w:spacing w:line="240" w:lineRule="exact"/>
        <w:jc w:val="both"/>
        <w:rPr>
          <w:rFonts w:asciiTheme="minorHAnsi" w:hAnsiTheme="minorHAnsi"/>
          <w:color w:val="auto"/>
        </w:rPr>
      </w:pPr>
      <w:r w:rsidRPr="00275C8D">
        <w:rPr>
          <w:rFonts w:asciiTheme="minorHAnsi" w:hAnsiTheme="minorHAnsi"/>
          <w:color w:val="auto"/>
          <w:u w:val="single"/>
        </w:rPr>
        <w:t>CI CONTENTION</w:t>
      </w:r>
      <w:r w:rsidRPr="00275C8D">
        <w:rPr>
          <w:rFonts w:asciiTheme="minorHAnsi" w:hAnsiTheme="minorHAnsi"/>
          <w:color w:val="auto"/>
        </w:rPr>
        <w:t>:</w:t>
      </w:r>
      <w:r w:rsidRPr="00275C8D">
        <w:rPr>
          <w:rFonts w:asciiTheme="minorHAnsi" w:hAnsiTheme="minorHAnsi"/>
          <w:color w:val="000080"/>
        </w:rPr>
        <w:t xml:space="preserve">  </w:t>
      </w:r>
      <w:r w:rsidR="00275C8D" w:rsidRPr="00275C8D">
        <w:rPr>
          <w:rFonts w:asciiTheme="minorHAnsi" w:hAnsiTheme="minorHAnsi"/>
          <w:color w:val="auto"/>
        </w:rPr>
        <w:t xml:space="preserve">The CI states:  “I </w:t>
      </w:r>
      <w:r w:rsidR="00275C8D" w:rsidRPr="004C1F41">
        <w:rPr>
          <w:rFonts w:asciiTheme="minorHAnsi" w:hAnsiTheme="minorHAnsi"/>
          <w:color w:val="auto"/>
        </w:rPr>
        <w:t xml:space="preserve">was diagnosed w/two conditions causing me to be unfit:  1. Chronic bilateral plantar fasciitis and 2. Chronic bilateral sesamoiditis w/left foot sesamoid shift.  The original PEB stated the second condition was related to the first and therefore did not give it a disability rating.  According to the podiatrist who was treating me, these were and are two separate conditions and should have been rated as that.  </w:t>
      </w:r>
      <w:r w:rsidR="00E266F1" w:rsidRPr="004C1F41">
        <w:rPr>
          <w:rFonts w:asciiTheme="minorHAnsi" w:hAnsiTheme="minorHAnsi"/>
          <w:color w:val="auto"/>
        </w:rPr>
        <w:t xml:space="preserve">Approximately seven months after being medically discharged from the Marine Corps, I was seen at the VA Hospital in Denver for a Compensation Evaluation from which I was found to be 100% service-connected disabled.  </w:t>
      </w:r>
      <w:r w:rsidR="00275C8D" w:rsidRPr="004C1F41">
        <w:rPr>
          <w:rFonts w:asciiTheme="minorHAnsi" w:hAnsiTheme="minorHAnsi"/>
          <w:color w:val="auto"/>
        </w:rPr>
        <w:t>I was given a disability rating of 30% alone for “service connection for bilateral plantar fasciitis with chronic bilateral sesamoiditi</w:t>
      </w:r>
      <w:r w:rsidR="00275C8D" w:rsidRPr="00275C8D">
        <w:rPr>
          <w:rFonts w:asciiTheme="minorHAnsi" w:hAnsiTheme="minorHAnsi"/>
          <w:color w:val="auto"/>
        </w:rPr>
        <w:t xml:space="preserve">s with history of left sesamoid fracture and bilateral talus degenerative joint disease” and received 10% for </w:t>
      </w:r>
      <w:r w:rsidR="0021315A">
        <w:rPr>
          <w:rFonts w:asciiTheme="minorHAnsi" w:hAnsiTheme="minorHAnsi"/>
          <w:color w:val="auto"/>
        </w:rPr>
        <w:t>‘</w:t>
      </w:r>
      <w:r w:rsidR="00275C8D" w:rsidRPr="00275C8D">
        <w:rPr>
          <w:rFonts w:asciiTheme="minorHAnsi" w:hAnsiTheme="minorHAnsi"/>
          <w:color w:val="auto"/>
        </w:rPr>
        <w:t>post</w:t>
      </w:r>
      <w:r w:rsidR="002713BB">
        <w:rPr>
          <w:rFonts w:asciiTheme="minorHAnsi" w:hAnsiTheme="minorHAnsi"/>
          <w:color w:val="auto"/>
        </w:rPr>
        <w:t>-</w:t>
      </w:r>
      <w:proofErr w:type="spellStart"/>
      <w:r w:rsidR="00275C8D" w:rsidRPr="00275C8D">
        <w:rPr>
          <w:rFonts w:asciiTheme="minorHAnsi" w:hAnsiTheme="minorHAnsi"/>
          <w:color w:val="auto"/>
        </w:rPr>
        <w:t>bunionectomy</w:t>
      </w:r>
      <w:proofErr w:type="spellEnd"/>
      <w:r w:rsidR="00275C8D" w:rsidRPr="00275C8D">
        <w:rPr>
          <w:rFonts w:asciiTheme="minorHAnsi" w:hAnsiTheme="minorHAnsi"/>
          <w:color w:val="auto"/>
        </w:rPr>
        <w:t xml:space="preserve"> </w:t>
      </w:r>
      <w:proofErr w:type="spellStart"/>
      <w:r w:rsidR="00275C8D" w:rsidRPr="00275C8D">
        <w:rPr>
          <w:rFonts w:asciiTheme="minorHAnsi" w:hAnsiTheme="minorHAnsi"/>
          <w:color w:val="auto"/>
        </w:rPr>
        <w:t>rt</w:t>
      </w:r>
      <w:proofErr w:type="spellEnd"/>
      <w:r w:rsidR="00275C8D" w:rsidRPr="00275C8D">
        <w:rPr>
          <w:rFonts w:asciiTheme="minorHAnsi" w:hAnsiTheme="minorHAnsi"/>
          <w:color w:val="auto"/>
        </w:rPr>
        <w:t xml:space="preserve"> foot.</w:t>
      </w:r>
      <w:r w:rsidR="0021315A">
        <w:rPr>
          <w:rFonts w:asciiTheme="minorHAnsi" w:hAnsiTheme="minorHAnsi"/>
          <w:color w:val="auto"/>
        </w:rPr>
        <w:t>’</w:t>
      </w:r>
      <w:r w:rsidR="00275C8D" w:rsidRPr="00275C8D">
        <w:rPr>
          <w:rFonts w:asciiTheme="minorHAnsi" w:hAnsiTheme="minorHAnsi"/>
          <w:color w:val="auto"/>
        </w:rPr>
        <w:t xml:space="preserve">  These conditions should have all been considered separately during my initial PEB when I was medically discharged.  In my original package to the PEB, the medical doctor who initiated my PEB stated that she found not only did I have the conditions listed above but I also have (according to x-rays performed 24 March 2004) </w:t>
      </w:r>
      <w:r w:rsidR="0021315A">
        <w:rPr>
          <w:rFonts w:asciiTheme="minorHAnsi" w:hAnsiTheme="minorHAnsi"/>
          <w:color w:val="auto"/>
        </w:rPr>
        <w:t>‘</w:t>
      </w:r>
      <w:r w:rsidR="00275C8D" w:rsidRPr="00275C8D">
        <w:rPr>
          <w:rFonts w:asciiTheme="minorHAnsi" w:hAnsiTheme="minorHAnsi"/>
          <w:i/>
          <w:color w:val="auto"/>
        </w:rPr>
        <w:t>AP pelvis showing</w:t>
      </w:r>
      <w:r w:rsidR="00275C8D" w:rsidRPr="00275C8D">
        <w:rPr>
          <w:rFonts w:asciiTheme="minorHAnsi" w:hAnsiTheme="minorHAnsi"/>
          <w:color w:val="auto"/>
        </w:rPr>
        <w:t xml:space="preserve"> mild pelvic tilt with some asymmetry in the height of the femoral heads with the left being approximately 2 cm greater…</w:t>
      </w:r>
      <w:r w:rsidR="0021315A">
        <w:rPr>
          <w:rFonts w:asciiTheme="minorHAnsi" w:hAnsiTheme="minorHAnsi"/>
          <w:color w:val="auto"/>
        </w:rPr>
        <w:t>’</w:t>
      </w:r>
      <w:r w:rsidR="00275C8D" w:rsidRPr="00275C8D">
        <w:rPr>
          <w:rFonts w:asciiTheme="minorHAnsi" w:hAnsiTheme="minorHAnsi"/>
          <w:color w:val="auto"/>
        </w:rPr>
        <w:t xml:space="preserve">  This </w:t>
      </w:r>
      <w:r w:rsidR="00275C8D" w:rsidRPr="004C1F41">
        <w:rPr>
          <w:rFonts w:asciiTheme="minorHAnsi" w:hAnsiTheme="minorHAnsi"/>
          <w:color w:val="auto"/>
        </w:rPr>
        <w:t xml:space="preserve">was initially also included on the PEB cover sheet as 736.81 – Unequal Leg Length (acquired) but was later crossed out.  My original package also states that I have hallux valgus (5280) and under past surgical history it states that 12 August 2005 I had surgery on my </w:t>
      </w:r>
      <w:r w:rsidR="0021315A">
        <w:rPr>
          <w:rFonts w:asciiTheme="minorHAnsi" w:hAnsiTheme="minorHAnsi"/>
          <w:color w:val="auto"/>
        </w:rPr>
        <w:t>‘</w:t>
      </w:r>
      <w:r w:rsidR="00275C8D" w:rsidRPr="004C1F41">
        <w:rPr>
          <w:rFonts w:asciiTheme="minorHAnsi" w:hAnsiTheme="minorHAnsi"/>
          <w:color w:val="auto"/>
        </w:rPr>
        <w:t xml:space="preserve">right metatarsal head with external fixation, capsulorrhaphy of the right first </w:t>
      </w:r>
      <w:proofErr w:type="spellStart"/>
      <w:r w:rsidR="00275C8D" w:rsidRPr="004C1F41">
        <w:rPr>
          <w:rFonts w:asciiTheme="minorHAnsi" w:hAnsiTheme="minorHAnsi"/>
          <w:color w:val="auto"/>
        </w:rPr>
        <w:t>metatarsophalangeal</w:t>
      </w:r>
      <w:proofErr w:type="spellEnd"/>
      <w:r w:rsidR="00275C8D" w:rsidRPr="004C1F41">
        <w:rPr>
          <w:rFonts w:asciiTheme="minorHAnsi" w:hAnsiTheme="minorHAnsi"/>
          <w:color w:val="auto"/>
        </w:rPr>
        <w:t xml:space="preserve"> joint.</w:t>
      </w:r>
      <w:r w:rsidR="0021315A">
        <w:rPr>
          <w:rFonts w:asciiTheme="minorHAnsi" w:hAnsiTheme="minorHAnsi"/>
          <w:color w:val="auto"/>
        </w:rPr>
        <w:t>’</w:t>
      </w:r>
      <w:r w:rsidR="00275C8D" w:rsidRPr="004C1F41">
        <w:rPr>
          <w:rFonts w:asciiTheme="minorHAnsi" w:hAnsiTheme="minorHAnsi"/>
          <w:color w:val="auto"/>
        </w:rPr>
        <w:t xml:space="preserve">  I am asking that these conditions as noted in my original PEB package be looked at and rated accordingly</w:t>
      </w:r>
      <w:r w:rsidR="0021315A">
        <w:rPr>
          <w:rFonts w:asciiTheme="minorHAnsi" w:hAnsiTheme="minorHAnsi"/>
          <w:color w:val="auto"/>
        </w:rPr>
        <w:t>.</w:t>
      </w:r>
      <w:r w:rsidR="00275C8D" w:rsidRPr="004C1F41">
        <w:rPr>
          <w:rFonts w:asciiTheme="minorHAnsi" w:hAnsiTheme="minorHAnsi"/>
          <w:color w:val="auto"/>
        </w:rPr>
        <w:t>”  –</w:t>
      </w:r>
    </w:p>
    <w:p w:rsidR="00A90D55" w:rsidRPr="00AC713F" w:rsidRDefault="008B5D31" w:rsidP="00AF1668">
      <w:pPr>
        <w:tabs>
          <w:tab w:val="left" w:pos="288"/>
          <w:tab w:val="left" w:pos="4752"/>
        </w:tabs>
        <w:spacing w:line="240" w:lineRule="exact"/>
        <w:rPr>
          <w:rFonts w:asciiTheme="minorHAnsi" w:hAnsiTheme="minorHAnsi"/>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______________</w:t>
      </w:r>
    </w:p>
    <w:p w:rsidR="00275C8D" w:rsidRDefault="00275C8D" w:rsidP="00190E48">
      <w:pPr>
        <w:spacing w:line="240" w:lineRule="exact"/>
        <w:jc w:val="both"/>
        <w:rPr>
          <w:rFonts w:ascii="Calibri" w:hAnsi="Calibri"/>
          <w:color w:val="auto"/>
          <w:u w:val="single"/>
        </w:rPr>
      </w:pPr>
    </w:p>
    <w:p w:rsidR="0021315A" w:rsidRDefault="0021315A" w:rsidP="00190E48">
      <w:pPr>
        <w:spacing w:line="240" w:lineRule="exact"/>
        <w:jc w:val="both"/>
        <w:rPr>
          <w:rFonts w:ascii="Calibri" w:hAnsi="Calibri"/>
          <w:color w:val="auto"/>
          <w:u w:val="single"/>
        </w:rPr>
      </w:pPr>
    </w:p>
    <w:p w:rsidR="0021315A" w:rsidRDefault="0021315A" w:rsidP="00190E48">
      <w:pPr>
        <w:spacing w:line="240" w:lineRule="exact"/>
        <w:jc w:val="both"/>
        <w:rPr>
          <w:rFonts w:ascii="Calibri" w:hAnsi="Calibri"/>
          <w:color w:val="auto"/>
          <w:u w:val="single"/>
        </w:rPr>
      </w:pPr>
    </w:p>
    <w:p w:rsidR="00275C8D" w:rsidRPr="004C1F41" w:rsidRDefault="00275C8D" w:rsidP="00190E48">
      <w:pPr>
        <w:spacing w:line="240" w:lineRule="exact"/>
        <w:jc w:val="both"/>
        <w:rPr>
          <w:rFonts w:ascii="Calibri" w:hAnsi="Calibri"/>
          <w:color w:val="auto"/>
        </w:rPr>
      </w:pPr>
      <w:r>
        <w:rPr>
          <w:rFonts w:ascii="Calibri" w:hAnsi="Calibri"/>
          <w:color w:val="auto"/>
          <w:u w:val="single"/>
        </w:rPr>
        <w:t>RATING COMPARISON</w:t>
      </w:r>
      <w:r>
        <w:rPr>
          <w:rFonts w:ascii="Calibri" w:hAnsi="Calibri"/>
          <w:color w:val="auto"/>
        </w:rPr>
        <w:t>:</w:t>
      </w:r>
    </w:p>
    <w:p w:rsidR="00275C8D" w:rsidRPr="004C1F41" w:rsidRDefault="00275C8D" w:rsidP="00190E48">
      <w:pPr>
        <w:spacing w:line="240" w:lineRule="exact"/>
        <w:jc w:val="both"/>
        <w:rPr>
          <w:rFonts w:ascii="Calibri" w:hAnsi="Calibri"/>
          <w:color w:val="auto"/>
        </w:rPr>
      </w:pPr>
    </w:p>
    <w:tbl>
      <w:tblPr>
        <w:tblStyle w:val="TableGrid"/>
        <w:tblpPr w:leftFromText="180" w:rightFromText="180" w:vertAnchor="text" w:horzAnchor="margin" w:tblpX="108" w:tblpY="-51"/>
        <w:tblW w:w="9477" w:type="dxa"/>
        <w:tblLayout w:type="fixed"/>
        <w:tblLook w:val="04A0"/>
      </w:tblPr>
      <w:tblGrid>
        <w:gridCol w:w="1998"/>
        <w:gridCol w:w="1131"/>
        <w:gridCol w:w="810"/>
        <w:gridCol w:w="2379"/>
        <w:gridCol w:w="1170"/>
        <w:gridCol w:w="810"/>
        <w:gridCol w:w="1179"/>
      </w:tblGrid>
      <w:tr w:rsidR="00275C8D" w:rsidRPr="004C1F41" w:rsidTr="00275C8D">
        <w:trPr>
          <w:trHeight w:val="233"/>
        </w:trPr>
        <w:tc>
          <w:tcPr>
            <w:tcW w:w="3939" w:type="dxa"/>
            <w:gridSpan w:val="3"/>
            <w:tcBorders>
              <w:right w:val="thinThickThinSmallGap" w:sz="24" w:space="0" w:color="auto"/>
            </w:tcBorders>
            <w:shd w:val="clear" w:color="auto" w:fill="D9D9D9" w:themeFill="background1" w:themeFillShade="D9"/>
          </w:tcPr>
          <w:p w:rsidR="00275C8D" w:rsidRPr="004C1F41" w:rsidRDefault="00275C8D" w:rsidP="00275C8D">
            <w:pPr>
              <w:spacing w:line="240" w:lineRule="exact"/>
              <w:contextualSpacing/>
              <w:rPr>
                <w:b/>
                <w:color w:val="auto"/>
                <w:sz w:val="20"/>
                <w:szCs w:val="20"/>
              </w:rPr>
            </w:pPr>
            <w:r w:rsidRPr="004C1F41">
              <w:rPr>
                <w:b/>
                <w:color w:val="auto"/>
                <w:sz w:val="20"/>
                <w:szCs w:val="20"/>
              </w:rPr>
              <w:t>Service IPEB – Dated 200nnn</w:t>
            </w:r>
          </w:p>
        </w:tc>
        <w:tc>
          <w:tcPr>
            <w:tcW w:w="5538" w:type="dxa"/>
            <w:gridSpan w:val="4"/>
            <w:tcBorders>
              <w:left w:val="thinThickThinSmallGap" w:sz="24" w:space="0" w:color="auto"/>
            </w:tcBorders>
            <w:shd w:val="clear" w:color="auto" w:fill="D9D9D9" w:themeFill="background1" w:themeFillShade="D9"/>
          </w:tcPr>
          <w:p w:rsidR="00275C8D" w:rsidRPr="004C1F41" w:rsidRDefault="00171481" w:rsidP="00171481">
            <w:pPr>
              <w:spacing w:line="240" w:lineRule="exact"/>
              <w:contextualSpacing/>
              <w:jc w:val="center"/>
              <w:rPr>
                <w:b/>
                <w:color w:val="auto"/>
                <w:sz w:val="20"/>
                <w:szCs w:val="20"/>
              </w:rPr>
            </w:pPr>
            <w:r w:rsidRPr="004C1F41">
              <w:rPr>
                <w:b/>
                <w:color w:val="auto"/>
                <w:sz w:val="20"/>
                <w:szCs w:val="20"/>
              </w:rPr>
              <w:t xml:space="preserve">VA (7 </w:t>
            </w:r>
            <w:r w:rsidR="00275C8D" w:rsidRPr="004C1F41">
              <w:rPr>
                <w:b/>
                <w:color w:val="auto"/>
                <w:sz w:val="20"/>
                <w:szCs w:val="20"/>
              </w:rPr>
              <w:t>Mo. After  Separation) – All Effective Date 20</w:t>
            </w:r>
            <w:r w:rsidR="00CC49ED" w:rsidRPr="004C1F41">
              <w:rPr>
                <w:b/>
                <w:color w:val="auto"/>
                <w:sz w:val="20"/>
                <w:szCs w:val="20"/>
              </w:rPr>
              <w:t>060416</w:t>
            </w:r>
          </w:p>
        </w:tc>
      </w:tr>
      <w:tr w:rsidR="00275C8D" w:rsidRPr="004C1F41" w:rsidTr="004D6159">
        <w:trPr>
          <w:trHeight w:val="278"/>
        </w:trPr>
        <w:tc>
          <w:tcPr>
            <w:tcW w:w="1998" w:type="dxa"/>
            <w:tcBorders>
              <w:bottom w:val="single" w:sz="4" w:space="0" w:color="000000" w:themeColor="text1"/>
              <w:right w:val="single" w:sz="4" w:space="0" w:color="auto"/>
            </w:tcBorders>
            <w:shd w:val="clear" w:color="auto" w:fill="D9D9D9" w:themeFill="background1" w:themeFillShade="D9"/>
          </w:tcPr>
          <w:p w:rsidR="00275C8D" w:rsidRPr="004C1F41" w:rsidRDefault="00275C8D" w:rsidP="00275C8D">
            <w:pPr>
              <w:spacing w:line="240" w:lineRule="exact"/>
              <w:contextualSpacing/>
              <w:jc w:val="both"/>
              <w:rPr>
                <w:b/>
                <w:color w:val="auto"/>
                <w:sz w:val="20"/>
                <w:szCs w:val="20"/>
              </w:rPr>
            </w:pPr>
            <w:r w:rsidRPr="004C1F41">
              <w:rPr>
                <w:b/>
                <w:color w:val="auto"/>
                <w:sz w:val="20"/>
                <w:szCs w:val="20"/>
              </w:rPr>
              <w:t>Condition</w:t>
            </w:r>
          </w:p>
        </w:tc>
        <w:tc>
          <w:tcPr>
            <w:tcW w:w="1131" w:type="dxa"/>
            <w:tcBorders>
              <w:left w:val="single" w:sz="4" w:space="0" w:color="auto"/>
              <w:bottom w:val="single" w:sz="4" w:space="0" w:color="000000" w:themeColor="text1"/>
            </w:tcBorders>
            <w:shd w:val="clear" w:color="auto" w:fill="D9D9D9" w:themeFill="background1" w:themeFillShade="D9"/>
          </w:tcPr>
          <w:p w:rsidR="00275C8D" w:rsidRPr="004C1F41" w:rsidRDefault="00275C8D" w:rsidP="00275C8D">
            <w:pPr>
              <w:spacing w:line="240" w:lineRule="exact"/>
              <w:contextualSpacing/>
              <w:jc w:val="center"/>
              <w:rPr>
                <w:b/>
                <w:color w:val="auto"/>
                <w:sz w:val="20"/>
                <w:szCs w:val="20"/>
              </w:rPr>
            </w:pPr>
            <w:r w:rsidRPr="004C1F41">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75C8D" w:rsidRPr="004C1F41" w:rsidRDefault="00275C8D" w:rsidP="00275C8D">
            <w:pPr>
              <w:spacing w:line="240" w:lineRule="exact"/>
              <w:contextualSpacing/>
              <w:jc w:val="center"/>
              <w:rPr>
                <w:b/>
                <w:color w:val="auto"/>
                <w:sz w:val="20"/>
                <w:szCs w:val="20"/>
              </w:rPr>
            </w:pPr>
            <w:r w:rsidRPr="004C1F41">
              <w:rPr>
                <w:b/>
                <w:color w:val="auto"/>
                <w:sz w:val="20"/>
                <w:szCs w:val="20"/>
              </w:rPr>
              <w:t>Rating</w:t>
            </w:r>
          </w:p>
        </w:tc>
        <w:tc>
          <w:tcPr>
            <w:tcW w:w="2379" w:type="dxa"/>
            <w:tcBorders>
              <w:left w:val="thinThickThinSmallGap" w:sz="24" w:space="0" w:color="auto"/>
              <w:bottom w:val="single" w:sz="4" w:space="0" w:color="000000" w:themeColor="text1"/>
            </w:tcBorders>
            <w:shd w:val="clear" w:color="auto" w:fill="D9D9D9" w:themeFill="background1" w:themeFillShade="D9"/>
          </w:tcPr>
          <w:p w:rsidR="00275C8D" w:rsidRPr="004C1F41" w:rsidRDefault="00275C8D" w:rsidP="00275C8D">
            <w:pPr>
              <w:spacing w:line="240" w:lineRule="exact"/>
              <w:contextualSpacing/>
              <w:jc w:val="both"/>
              <w:rPr>
                <w:b/>
                <w:color w:val="auto"/>
                <w:sz w:val="20"/>
                <w:szCs w:val="20"/>
              </w:rPr>
            </w:pPr>
            <w:r w:rsidRPr="004C1F41">
              <w:rPr>
                <w:b/>
                <w:color w:val="auto"/>
                <w:sz w:val="20"/>
                <w:szCs w:val="20"/>
              </w:rPr>
              <w:t>Condition</w:t>
            </w:r>
          </w:p>
        </w:tc>
        <w:tc>
          <w:tcPr>
            <w:tcW w:w="1170" w:type="dxa"/>
            <w:tcBorders>
              <w:bottom w:val="single" w:sz="4" w:space="0" w:color="000000" w:themeColor="text1"/>
            </w:tcBorders>
            <w:shd w:val="clear" w:color="auto" w:fill="D9D9D9" w:themeFill="background1" w:themeFillShade="D9"/>
          </w:tcPr>
          <w:p w:rsidR="00275C8D" w:rsidRPr="004C1F41" w:rsidRDefault="00275C8D" w:rsidP="00275C8D">
            <w:pPr>
              <w:spacing w:line="240" w:lineRule="exact"/>
              <w:contextualSpacing/>
              <w:jc w:val="center"/>
              <w:rPr>
                <w:b/>
                <w:color w:val="auto"/>
                <w:sz w:val="20"/>
                <w:szCs w:val="20"/>
              </w:rPr>
            </w:pPr>
            <w:r w:rsidRPr="004C1F41">
              <w:rPr>
                <w:b/>
                <w:color w:val="auto"/>
                <w:sz w:val="20"/>
                <w:szCs w:val="20"/>
              </w:rPr>
              <w:t>Code</w:t>
            </w:r>
          </w:p>
        </w:tc>
        <w:tc>
          <w:tcPr>
            <w:tcW w:w="810" w:type="dxa"/>
            <w:tcBorders>
              <w:bottom w:val="single" w:sz="4" w:space="0" w:color="000000" w:themeColor="text1"/>
            </w:tcBorders>
            <w:shd w:val="clear" w:color="auto" w:fill="D9D9D9" w:themeFill="background1" w:themeFillShade="D9"/>
          </w:tcPr>
          <w:p w:rsidR="00275C8D" w:rsidRPr="004C1F41" w:rsidRDefault="00275C8D" w:rsidP="00275C8D">
            <w:pPr>
              <w:spacing w:line="240" w:lineRule="exact"/>
              <w:contextualSpacing/>
              <w:jc w:val="center"/>
              <w:rPr>
                <w:b/>
                <w:color w:val="auto"/>
                <w:sz w:val="20"/>
                <w:szCs w:val="20"/>
              </w:rPr>
            </w:pPr>
            <w:r w:rsidRPr="004C1F41">
              <w:rPr>
                <w:b/>
                <w:color w:val="auto"/>
                <w:sz w:val="20"/>
                <w:szCs w:val="20"/>
              </w:rPr>
              <w:t>Rating</w:t>
            </w:r>
          </w:p>
        </w:tc>
        <w:tc>
          <w:tcPr>
            <w:tcW w:w="1179" w:type="dxa"/>
            <w:tcBorders>
              <w:bottom w:val="single" w:sz="4" w:space="0" w:color="000000" w:themeColor="text1"/>
            </w:tcBorders>
            <w:shd w:val="clear" w:color="auto" w:fill="D9D9D9" w:themeFill="background1" w:themeFillShade="D9"/>
          </w:tcPr>
          <w:p w:rsidR="00275C8D" w:rsidRPr="004C1F41" w:rsidRDefault="00275C8D" w:rsidP="00275C8D">
            <w:pPr>
              <w:spacing w:line="240" w:lineRule="exact"/>
              <w:contextualSpacing/>
              <w:jc w:val="center"/>
              <w:rPr>
                <w:b/>
                <w:color w:val="auto"/>
                <w:sz w:val="20"/>
                <w:szCs w:val="20"/>
              </w:rPr>
            </w:pPr>
            <w:r w:rsidRPr="004C1F41">
              <w:rPr>
                <w:b/>
                <w:color w:val="auto"/>
                <w:sz w:val="20"/>
                <w:szCs w:val="20"/>
              </w:rPr>
              <w:t>Exam</w:t>
            </w:r>
          </w:p>
        </w:tc>
      </w:tr>
      <w:tr w:rsidR="00933FF0" w:rsidRPr="004C1F41" w:rsidTr="00933FF0">
        <w:trPr>
          <w:trHeight w:val="160"/>
        </w:trPr>
        <w:tc>
          <w:tcPr>
            <w:tcW w:w="1998" w:type="dxa"/>
            <w:vMerge w:val="restart"/>
            <w:tcBorders>
              <w:right w:val="single" w:sz="4" w:space="0" w:color="auto"/>
            </w:tcBorders>
            <w:shd w:val="clear" w:color="auto" w:fill="FFFFFF" w:themeFill="background1"/>
            <w:vAlign w:val="center"/>
          </w:tcPr>
          <w:p w:rsidR="00933FF0" w:rsidRPr="004C1F41" w:rsidRDefault="00933FF0" w:rsidP="00BF08D6">
            <w:pPr>
              <w:spacing w:line="200" w:lineRule="exact"/>
              <w:contextualSpacing/>
              <w:rPr>
                <w:color w:val="auto"/>
                <w:sz w:val="20"/>
                <w:szCs w:val="20"/>
              </w:rPr>
            </w:pPr>
            <w:r w:rsidRPr="004C1F41">
              <w:rPr>
                <w:color w:val="auto"/>
                <w:sz w:val="20"/>
                <w:szCs w:val="20"/>
              </w:rPr>
              <w:t>Chronic Bilateral Plantar Fasciitis</w:t>
            </w:r>
          </w:p>
        </w:tc>
        <w:tc>
          <w:tcPr>
            <w:tcW w:w="1131" w:type="dxa"/>
            <w:tcBorders>
              <w:left w:val="single" w:sz="4" w:space="0" w:color="auto"/>
            </w:tcBorders>
            <w:shd w:val="clear" w:color="auto" w:fill="FFFFFF" w:themeFill="background1"/>
            <w:vAlign w:val="center"/>
          </w:tcPr>
          <w:p w:rsidR="00933FF0" w:rsidRPr="004C1F41" w:rsidRDefault="00933FF0" w:rsidP="00BF08D6">
            <w:pPr>
              <w:spacing w:line="200" w:lineRule="exact"/>
              <w:contextualSpacing/>
              <w:jc w:val="center"/>
              <w:rPr>
                <w:color w:val="auto"/>
                <w:sz w:val="20"/>
                <w:szCs w:val="20"/>
              </w:rPr>
            </w:pPr>
            <w:r w:rsidRPr="004C1F41">
              <w:rPr>
                <w:color w:val="auto"/>
                <w:sz w:val="20"/>
                <w:szCs w:val="20"/>
              </w:rPr>
              <w:t>5399-5311</w:t>
            </w:r>
          </w:p>
        </w:tc>
        <w:tc>
          <w:tcPr>
            <w:tcW w:w="810" w:type="dxa"/>
            <w:tcBorders>
              <w:right w:val="thinThickThinSmallGap" w:sz="24" w:space="0" w:color="auto"/>
            </w:tcBorders>
            <w:shd w:val="clear" w:color="auto" w:fill="FFFFFF" w:themeFill="background1"/>
            <w:vAlign w:val="center"/>
          </w:tcPr>
          <w:p w:rsidR="00933FF0" w:rsidRPr="004C1F41" w:rsidRDefault="00933FF0" w:rsidP="00BF08D6">
            <w:pPr>
              <w:spacing w:line="200" w:lineRule="exact"/>
              <w:contextualSpacing/>
              <w:jc w:val="center"/>
              <w:rPr>
                <w:color w:val="auto"/>
                <w:sz w:val="20"/>
                <w:szCs w:val="20"/>
              </w:rPr>
            </w:pPr>
            <w:r w:rsidRPr="004C1F41">
              <w:rPr>
                <w:color w:val="auto"/>
                <w:sz w:val="20"/>
                <w:szCs w:val="20"/>
              </w:rPr>
              <w:t>10%</w:t>
            </w:r>
          </w:p>
        </w:tc>
        <w:tc>
          <w:tcPr>
            <w:tcW w:w="2379" w:type="dxa"/>
            <w:vMerge w:val="restart"/>
            <w:tcBorders>
              <w:left w:val="thinThickThinSmallGap" w:sz="24" w:space="0" w:color="auto"/>
            </w:tcBorders>
            <w:shd w:val="clear" w:color="auto" w:fill="FFFFFF" w:themeFill="background1"/>
            <w:vAlign w:val="center"/>
          </w:tcPr>
          <w:p w:rsidR="00933FF0" w:rsidRPr="004C1F41" w:rsidRDefault="00933FF0" w:rsidP="00BF08D6">
            <w:pPr>
              <w:spacing w:line="200" w:lineRule="exact"/>
              <w:contextualSpacing/>
              <w:rPr>
                <w:color w:val="auto"/>
                <w:sz w:val="20"/>
                <w:szCs w:val="20"/>
              </w:rPr>
            </w:pPr>
            <w:r w:rsidRPr="004C1F41">
              <w:rPr>
                <w:color w:val="auto"/>
                <w:sz w:val="20"/>
                <w:szCs w:val="20"/>
              </w:rPr>
              <w:t xml:space="preserve">Bilateral Plantar Fasciitis w/Chronic </w:t>
            </w:r>
            <w:proofErr w:type="spellStart"/>
            <w:r w:rsidRPr="004C1F41">
              <w:rPr>
                <w:color w:val="auto"/>
                <w:sz w:val="20"/>
                <w:szCs w:val="20"/>
              </w:rPr>
              <w:t>Bilat</w:t>
            </w:r>
            <w:proofErr w:type="spellEnd"/>
            <w:r w:rsidRPr="004C1F41">
              <w:rPr>
                <w:color w:val="auto"/>
                <w:sz w:val="20"/>
                <w:szCs w:val="20"/>
              </w:rPr>
              <w:t xml:space="preserve"> </w:t>
            </w:r>
            <w:proofErr w:type="spellStart"/>
            <w:r w:rsidRPr="004C1F41">
              <w:rPr>
                <w:color w:val="auto"/>
                <w:sz w:val="20"/>
                <w:szCs w:val="20"/>
              </w:rPr>
              <w:t>Sesamoiditis</w:t>
            </w:r>
            <w:proofErr w:type="spellEnd"/>
            <w:r w:rsidRPr="004C1F41">
              <w:rPr>
                <w:color w:val="auto"/>
                <w:sz w:val="20"/>
                <w:szCs w:val="20"/>
              </w:rPr>
              <w:t xml:space="preserve"> w/ </w:t>
            </w:r>
            <w:proofErr w:type="spellStart"/>
            <w:r w:rsidRPr="004C1F41">
              <w:rPr>
                <w:color w:val="auto"/>
                <w:sz w:val="20"/>
                <w:szCs w:val="20"/>
              </w:rPr>
              <w:t>hx</w:t>
            </w:r>
            <w:proofErr w:type="spellEnd"/>
            <w:r w:rsidRPr="004C1F41">
              <w:rPr>
                <w:color w:val="auto"/>
                <w:sz w:val="20"/>
                <w:szCs w:val="20"/>
              </w:rPr>
              <w:t xml:space="preserve">. L Sesamoid </w:t>
            </w:r>
            <w:proofErr w:type="spellStart"/>
            <w:r w:rsidRPr="004C1F41">
              <w:rPr>
                <w:color w:val="auto"/>
                <w:sz w:val="20"/>
                <w:szCs w:val="20"/>
              </w:rPr>
              <w:t>Fx</w:t>
            </w:r>
            <w:proofErr w:type="spellEnd"/>
            <w:r w:rsidRPr="004C1F41">
              <w:rPr>
                <w:color w:val="auto"/>
                <w:sz w:val="20"/>
                <w:szCs w:val="20"/>
              </w:rPr>
              <w:t xml:space="preserve"> and </w:t>
            </w:r>
            <w:proofErr w:type="spellStart"/>
            <w:r w:rsidRPr="004C1F41">
              <w:rPr>
                <w:color w:val="auto"/>
                <w:sz w:val="20"/>
                <w:szCs w:val="20"/>
              </w:rPr>
              <w:t>Bilat</w:t>
            </w:r>
            <w:proofErr w:type="spellEnd"/>
            <w:r w:rsidRPr="004C1F41">
              <w:rPr>
                <w:color w:val="auto"/>
                <w:sz w:val="20"/>
                <w:szCs w:val="20"/>
              </w:rPr>
              <w:t xml:space="preserve"> Talus DDD</w:t>
            </w:r>
          </w:p>
        </w:tc>
        <w:tc>
          <w:tcPr>
            <w:tcW w:w="1170" w:type="dxa"/>
            <w:vMerge w:val="restart"/>
            <w:shd w:val="clear" w:color="auto" w:fill="FFFFFF" w:themeFill="background1"/>
          </w:tcPr>
          <w:p w:rsidR="00933FF0" w:rsidRPr="004C1F41" w:rsidRDefault="00933FF0" w:rsidP="00BF08D6">
            <w:pPr>
              <w:spacing w:line="200" w:lineRule="exact"/>
              <w:contextualSpacing/>
              <w:jc w:val="center"/>
              <w:rPr>
                <w:color w:val="auto"/>
                <w:sz w:val="20"/>
                <w:szCs w:val="20"/>
              </w:rPr>
            </w:pPr>
            <w:r w:rsidRPr="004C1F41">
              <w:rPr>
                <w:color w:val="auto"/>
                <w:sz w:val="20"/>
                <w:szCs w:val="20"/>
              </w:rPr>
              <w:t>5099-5276</w:t>
            </w:r>
          </w:p>
        </w:tc>
        <w:tc>
          <w:tcPr>
            <w:tcW w:w="810" w:type="dxa"/>
            <w:vMerge w:val="restart"/>
            <w:shd w:val="clear" w:color="auto" w:fill="FFFFFF" w:themeFill="background1"/>
          </w:tcPr>
          <w:p w:rsidR="00933FF0" w:rsidRPr="004C1F41" w:rsidRDefault="00933FF0" w:rsidP="00BF08D6">
            <w:pPr>
              <w:spacing w:line="200" w:lineRule="exact"/>
              <w:contextualSpacing/>
              <w:jc w:val="center"/>
              <w:rPr>
                <w:color w:val="auto"/>
                <w:sz w:val="20"/>
                <w:szCs w:val="20"/>
              </w:rPr>
            </w:pPr>
            <w:r w:rsidRPr="004C1F41">
              <w:rPr>
                <w:color w:val="auto"/>
                <w:sz w:val="20"/>
                <w:szCs w:val="20"/>
              </w:rPr>
              <w:t>30%</w:t>
            </w:r>
          </w:p>
        </w:tc>
        <w:tc>
          <w:tcPr>
            <w:tcW w:w="1179" w:type="dxa"/>
            <w:vMerge w:val="restart"/>
            <w:shd w:val="clear" w:color="auto" w:fill="FFFFFF" w:themeFill="background1"/>
            <w:vAlign w:val="center"/>
          </w:tcPr>
          <w:p w:rsidR="00933FF0" w:rsidRPr="004C1F41" w:rsidRDefault="00933FF0" w:rsidP="00BF08D6">
            <w:pPr>
              <w:spacing w:line="200" w:lineRule="exact"/>
              <w:contextualSpacing/>
              <w:jc w:val="center"/>
              <w:rPr>
                <w:color w:val="auto"/>
                <w:sz w:val="20"/>
                <w:szCs w:val="20"/>
              </w:rPr>
            </w:pPr>
            <w:r w:rsidRPr="004C1F41">
              <w:rPr>
                <w:color w:val="auto"/>
                <w:sz w:val="20"/>
                <w:szCs w:val="20"/>
              </w:rPr>
              <w:t>20070103</w:t>
            </w:r>
          </w:p>
        </w:tc>
      </w:tr>
      <w:tr w:rsidR="00933FF0" w:rsidRPr="004C1F41" w:rsidTr="004D6159">
        <w:trPr>
          <w:trHeight w:val="160"/>
        </w:trPr>
        <w:tc>
          <w:tcPr>
            <w:tcW w:w="1998" w:type="dxa"/>
            <w:vMerge/>
            <w:tcBorders>
              <w:right w:val="single" w:sz="4" w:space="0" w:color="auto"/>
            </w:tcBorders>
            <w:shd w:val="clear" w:color="auto" w:fill="FFFFFF" w:themeFill="background1"/>
            <w:vAlign w:val="center"/>
          </w:tcPr>
          <w:p w:rsidR="00933FF0" w:rsidRPr="004C1F41" w:rsidRDefault="00933FF0" w:rsidP="00BF08D6">
            <w:pPr>
              <w:spacing w:line="200" w:lineRule="exact"/>
              <w:contextualSpacing/>
              <w:rPr>
                <w:color w:val="auto"/>
                <w:sz w:val="20"/>
              </w:rPr>
            </w:pPr>
          </w:p>
        </w:tc>
        <w:tc>
          <w:tcPr>
            <w:tcW w:w="1131" w:type="dxa"/>
            <w:tcBorders>
              <w:left w:val="single" w:sz="4" w:space="0" w:color="auto"/>
            </w:tcBorders>
            <w:shd w:val="clear" w:color="auto" w:fill="FFFFFF" w:themeFill="background1"/>
            <w:vAlign w:val="center"/>
          </w:tcPr>
          <w:p w:rsidR="00933FF0" w:rsidRPr="004C1F41" w:rsidRDefault="00933FF0" w:rsidP="00BF08D6">
            <w:pPr>
              <w:spacing w:line="200" w:lineRule="exact"/>
              <w:contextualSpacing/>
              <w:jc w:val="center"/>
              <w:rPr>
                <w:color w:val="auto"/>
                <w:sz w:val="20"/>
                <w:szCs w:val="20"/>
              </w:rPr>
            </w:pPr>
            <w:r w:rsidRPr="004C1F41">
              <w:rPr>
                <w:color w:val="auto"/>
                <w:sz w:val="20"/>
                <w:szCs w:val="20"/>
              </w:rPr>
              <w:t>5399-5311</w:t>
            </w:r>
          </w:p>
        </w:tc>
        <w:tc>
          <w:tcPr>
            <w:tcW w:w="810" w:type="dxa"/>
            <w:tcBorders>
              <w:right w:val="thinThickThinSmallGap" w:sz="24" w:space="0" w:color="auto"/>
            </w:tcBorders>
            <w:shd w:val="clear" w:color="auto" w:fill="FFFFFF" w:themeFill="background1"/>
            <w:vAlign w:val="center"/>
          </w:tcPr>
          <w:p w:rsidR="00933FF0" w:rsidRPr="004C1F41" w:rsidRDefault="00933FF0" w:rsidP="00BF08D6">
            <w:pPr>
              <w:spacing w:line="200" w:lineRule="exact"/>
              <w:contextualSpacing/>
              <w:jc w:val="center"/>
              <w:rPr>
                <w:color w:val="auto"/>
                <w:sz w:val="20"/>
                <w:szCs w:val="20"/>
              </w:rPr>
            </w:pPr>
            <w:r w:rsidRPr="004C1F41">
              <w:rPr>
                <w:color w:val="auto"/>
                <w:sz w:val="20"/>
                <w:szCs w:val="20"/>
              </w:rPr>
              <w:t>10%</w:t>
            </w:r>
          </w:p>
        </w:tc>
        <w:tc>
          <w:tcPr>
            <w:tcW w:w="2379" w:type="dxa"/>
            <w:vMerge/>
            <w:tcBorders>
              <w:left w:val="thinThickThinSmallGap" w:sz="24" w:space="0" w:color="auto"/>
            </w:tcBorders>
            <w:shd w:val="clear" w:color="auto" w:fill="FFFFFF" w:themeFill="background1"/>
            <w:vAlign w:val="center"/>
          </w:tcPr>
          <w:p w:rsidR="00933FF0" w:rsidRPr="004C1F41" w:rsidRDefault="00933FF0" w:rsidP="00BF08D6">
            <w:pPr>
              <w:spacing w:line="200" w:lineRule="exact"/>
              <w:contextualSpacing/>
              <w:rPr>
                <w:color w:val="auto"/>
                <w:sz w:val="20"/>
              </w:rPr>
            </w:pPr>
          </w:p>
        </w:tc>
        <w:tc>
          <w:tcPr>
            <w:tcW w:w="1170" w:type="dxa"/>
            <w:vMerge/>
            <w:shd w:val="clear" w:color="auto" w:fill="FFFFFF" w:themeFill="background1"/>
          </w:tcPr>
          <w:p w:rsidR="00933FF0" w:rsidRPr="004C1F41" w:rsidRDefault="00933FF0" w:rsidP="00BF08D6">
            <w:pPr>
              <w:spacing w:line="200" w:lineRule="exact"/>
              <w:contextualSpacing/>
              <w:jc w:val="center"/>
              <w:rPr>
                <w:color w:val="auto"/>
                <w:sz w:val="20"/>
              </w:rPr>
            </w:pPr>
          </w:p>
        </w:tc>
        <w:tc>
          <w:tcPr>
            <w:tcW w:w="810" w:type="dxa"/>
            <w:vMerge/>
            <w:shd w:val="clear" w:color="auto" w:fill="FFFFFF" w:themeFill="background1"/>
          </w:tcPr>
          <w:p w:rsidR="00933FF0" w:rsidRPr="004C1F41" w:rsidRDefault="00933FF0" w:rsidP="00BF08D6">
            <w:pPr>
              <w:spacing w:line="200" w:lineRule="exact"/>
              <w:contextualSpacing/>
              <w:jc w:val="center"/>
              <w:rPr>
                <w:color w:val="auto"/>
                <w:sz w:val="20"/>
              </w:rPr>
            </w:pPr>
          </w:p>
        </w:tc>
        <w:tc>
          <w:tcPr>
            <w:tcW w:w="1179" w:type="dxa"/>
            <w:vMerge/>
            <w:shd w:val="clear" w:color="auto" w:fill="FFFFFF" w:themeFill="background1"/>
            <w:vAlign w:val="center"/>
          </w:tcPr>
          <w:p w:rsidR="00933FF0" w:rsidRPr="004C1F41" w:rsidRDefault="00933FF0" w:rsidP="00BF08D6">
            <w:pPr>
              <w:spacing w:line="200" w:lineRule="exact"/>
              <w:contextualSpacing/>
              <w:jc w:val="center"/>
              <w:rPr>
                <w:color w:val="auto"/>
                <w:sz w:val="20"/>
              </w:rPr>
            </w:pPr>
          </w:p>
        </w:tc>
      </w:tr>
      <w:tr w:rsidR="00BF08D6" w:rsidRPr="004C1F41" w:rsidTr="00BF08D6">
        <w:trPr>
          <w:trHeight w:val="287"/>
        </w:trPr>
        <w:tc>
          <w:tcPr>
            <w:tcW w:w="1998" w:type="dxa"/>
            <w:tcBorders>
              <w:right w:val="single" w:sz="4" w:space="0" w:color="auto"/>
            </w:tcBorders>
            <w:shd w:val="clear" w:color="auto" w:fill="auto"/>
            <w:vAlign w:val="center"/>
          </w:tcPr>
          <w:p w:rsidR="00BF08D6" w:rsidRPr="00BF08D6" w:rsidRDefault="00BF08D6" w:rsidP="00BF08D6">
            <w:pPr>
              <w:spacing w:line="200" w:lineRule="exact"/>
              <w:contextualSpacing/>
              <w:rPr>
                <w:color w:val="auto"/>
                <w:sz w:val="20"/>
              </w:rPr>
            </w:pPr>
            <w:r w:rsidRPr="00BF08D6">
              <w:rPr>
                <w:color w:val="auto"/>
                <w:sz w:val="20"/>
                <w:szCs w:val="20"/>
              </w:rPr>
              <w:t xml:space="preserve">Chronic Bilateral </w:t>
            </w:r>
            <w:proofErr w:type="spellStart"/>
            <w:r w:rsidRPr="00BF08D6">
              <w:rPr>
                <w:color w:val="auto"/>
                <w:sz w:val="20"/>
                <w:szCs w:val="20"/>
              </w:rPr>
              <w:t>Sesamoiditis</w:t>
            </w:r>
            <w:proofErr w:type="spellEnd"/>
            <w:r w:rsidRPr="00BF08D6">
              <w:rPr>
                <w:color w:val="auto"/>
                <w:sz w:val="20"/>
                <w:szCs w:val="20"/>
              </w:rPr>
              <w:t xml:space="preserve"> w/Left Foot Sesamoid Shift</w:t>
            </w:r>
          </w:p>
        </w:tc>
        <w:tc>
          <w:tcPr>
            <w:tcW w:w="1941" w:type="dxa"/>
            <w:gridSpan w:val="2"/>
            <w:tcBorders>
              <w:left w:val="single" w:sz="4" w:space="0" w:color="auto"/>
              <w:right w:val="thinThickThinSmallGap" w:sz="24" w:space="0" w:color="auto"/>
            </w:tcBorders>
            <w:shd w:val="clear" w:color="auto" w:fill="FFFFFF" w:themeFill="background1"/>
            <w:vAlign w:val="center"/>
          </w:tcPr>
          <w:p w:rsidR="00BF08D6" w:rsidRPr="004C1F41" w:rsidRDefault="00BF08D6" w:rsidP="00BF08D6">
            <w:pPr>
              <w:spacing w:line="200" w:lineRule="exact"/>
              <w:contextualSpacing/>
              <w:jc w:val="center"/>
              <w:rPr>
                <w:color w:val="auto"/>
                <w:sz w:val="20"/>
              </w:rPr>
            </w:pPr>
            <w:r w:rsidRPr="004C1F41">
              <w:rPr>
                <w:color w:val="auto"/>
                <w:sz w:val="20"/>
                <w:szCs w:val="20"/>
              </w:rPr>
              <w:t>Category II</w:t>
            </w:r>
          </w:p>
        </w:tc>
        <w:tc>
          <w:tcPr>
            <w:tcW w:w="2379" w:type="dxa"/>
            <w:vMerge/>
            <w:tcBorders>
              <w:left w:val="thinThickThinSmallGap" w:sz="24" w:space="0" w:color="auto"/>
            </w:tcBorders>
            <w:shd w:val="clear" w:color="auto" w:fill="FFFFFF" w:themeFill="background1"/>
            <w:vAlign w:val="center"/>
          </w:tcPr>
          <w:p w:rsidR="00BF08D6" w:rsidRPr="004C1F41" w:rsidRDefault="00BF08D6" w:rsidP="00BF08D6">
            <w:pPr>
              <w:spacing w:line="200" w:lineRule="exact"/>
              <w:contextualSpacing/>
              <w:rPr>
                <w:color w:val="auto"/>
                <w:sz w:val="20"/>
              </w:rPr>
            </w:pPr>
          </w:p>
        </w:tc>
        <w:tc>
          <w:tcPr>
            <w:tcW w:w="1170" w:type="dxa"/>
            <w:vMerge/>
            <w:shd w:val="clear" w:color="auto" w:fill="FFFFFF" w:themeFill="background1"/>
          </w:tcPr>
          <w:p w:rsidR="00BF08D6" w:rsidRPr="004C1F41" w:rsidRDefault="00BF08D6" w:rsidP="00BF08D6">
            <w:pPr>
              <w:spacing w:line="200" w:lineRule="exact"/>
              <w:contextualSpacing/>
              <w:jc w:val="center"/>
              <w:rPr>
                <w:color w:val="auto"/>
                <w:sz w:val="20"/>
              </w:rPr>
            </w:pPr>
          </w:p>
        </w:tc>
        <w:tc>
          <w:tcPr>
            <w:tcW w:w="810" w:type="dxa"/>
            <w:vMerge/>
            <w:shd w:val="clear" w:color="auto" w:fill="FFFFFF" w:themeFill="background1"/>
          </w:tcPr>
          <w:p w:rsidR="00BF08D6" w:rsidRPr="004C1F41" w:rsidRDefault="00BF08D6" w:rsidP="00BF08D6">
            <w:pPr>
              <w:spacing w:line="200" w:lineRule="exact"/>
              <w:contextualSpacing/>
              <w:jc w:val="center"/>
              <w:rPr>
                <w:color w:val="auto"/>
                <w:sz w:val="20"/>
              </w:rPr>
            </w:pPr>
          </w:p>
        </w:tc>
        <w:tc>
          <w:tcPr>
            <w:tcW w:w="1179" w:type="dxa"/>
            <w:vMerge/>
            <w:shd w:val="clear" w:color="auto" w:fill="FFFFFF" w:themeFill="background1"/>
            <w:vAlign w:val="center"/>
          </w:tcPr>
          <w:p w:rsidR="00BF08D6" w:rsidRPr="004C1F41" w:rsidRDefault="00BF08D6" w:rsidP="00BF08D6">
            <w:pPr>
              <w:spacing w:line="200" w:lineRule="exact"/>
              <w:contextualSpacing/>
              <w:jc w:val="center"/>
              <w:rPr>
                <w:color w:val="auto"/>
                <w:sz w:val="20"/>
              </w:rPr>
            </w:pPr>
          </w:p>
        </w:tc>
      </w:tr>
      <w:tr w:rsidR="00085744" w:rsidRPr="004C1F41" w:rsidTr="004D6159">
        <w:trPr>
          <w:trHeight w:val="287"/>
        </w:trPr>
        <w:tc>
          <w:tcPr>
            <w:tcW w:w="3939" w:type="dxa"/>
            <w:gridSpan w:val="3"/>
            <w:vMerge w:val="restart"/>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r w:rsidRPr="004C1F41">
              <w:rPr>
                <w:color w:val="auto"/>
                <w:sz w:val="20"/>
                <w:szCs w:val="20"/>
              </w:rPr>
              <w:t>↓No Additional MEB/PEB Entries↓</w:t>
            </w:r>
          </w:p>
        </w:tc>
        <w:tc>
          <w:tcPr>
            <w:tcW w:w="2379" w:type="dxa"/>
            <w:tcBorders>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rPr>
                <w:color w:val="auto"/>
                <w:sz w:val="20"/>
              </w:rPr>
            </w:pPr>
            <w:r w:rsidRPr="004C1F41">
              <w:rPr>
                <w:color w:val="auto"/>
                <w:sz w:val="20"/>
              </w:rPr>
              <w:t xml:space="preserve">R Foot S/P </w:t>
            </w:r>
            <w:proofErr w:type="spellStart"/>
            <w:r w:rsidRPr="004C1F41">
              <w:rPr>
                <w:color w:val="auto"/>
                <w:sz w:val="20"/>
              </w:rPr>
              <w:t>Bunionectomy</w:t>
            </w:r>
            <w:proofErr w:type="spellEnd"/>
            <w:r w:rsidRPr="004C1F41">
              <w:rPr>
                <w:color w:val="auto"/>
                <w:sz w:val="20"/>
              </w:rPr>
              <w:t xml:space="preserve"> </w:t>
            </w:r>
          </w:p>
        </w:tc>
        <w:tc>
          <w:tcPr>
            <w:tcW w:w="117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5280</w:t>
            </w:r>
          </w:p>
        </w:tc>
        <w:tc>
          <w:tcPr>
            <w:tcW w:w="81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10%</w:t>
            </w:r>
          </w:p>
        </w:tc>
        <w:tc>
          <w:tcPr>
            <w:tcW w:w="1179" w:type="dxa"/>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color w:val="auto"/>
                <w:sz w:val="20"/>
                <w:szCs w:val="20"/>
              </w:rPr>
              <w:t>20070103</w:t>
            </w:r>
          </w:p>
        </w:tc>
      </w:tr>
      <w:tr w:rsidR="00085744" w:rsidRPr="004C1F41" w:rsidTr="004D6159">
        <w:trPr>
          <w:trHeight w:val="287"/>
        </w:trPr>
        <w:tc>
          <w:tcPr>
            <w:tcW w:w="3939" w:type="dxa"/>
            <w:gridSpan w:val="3"/>
            <w:vMerge/>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p>
        </w:tc>
        <w:tc>
          <w:tcPr>
            <w:tcW w:w="2379" w:type="dxa"/>
            <w:tcBorders>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rPr>
                <w:color w:val="auto"/>
                <w:sz w:val="20"/>
              </w:rPr>
            </w:pPr>
            <w:r w:rsidRPr="004C1F41">
              <w:rPr>
                <w:color w:val="auto"/>
                <w:sz w:val="20"/>
              </w:rPr>
              <w:t>Herpes Simplex</w:t>
            </w:r>
          </w:p>
        </w:tc>
        <w:tc>
          <w:tcPr>
            <w:tcW w:w="117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7899-7806</w:t>
            </w:r>
          </w:p>
        </w:tc>
        <w:tc>
          <w:tcPr>
            <w:tcW w:w="81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60%</w:t>
            </w:r>
          </w:p>
        </w:tc>
        <w:tc>
          <w:tcPr>
            <w:tcW w:w="1179" w:type="dxa"/>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color w:val="auto"/>
                <w:sz w:val="20"/>
                <w:szCs w:val="20"/>
              </w:rPr>
              <w:t>20070103</w:t>
            </w:r>
          </w:p>
        </w:tc>
      </w:tr>
      <w:tr w:rsidR="00085744" w:rsidRPr="004C1F41" w:rsidTr="004D6159">
        <w:trPr>
          <w:trHeight w:val="287"/>
        </w:trPr>
        <w:tc>
          <w:tcPr>
            <w:tcW w:w="3939" w:type="dxa"/>
            <w:gridSpan w:val="3"/>
            <w:vMerge/>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p>
        </w:tc>
        <w:tc>
          <w:tcPr>
            <w:tcW w:w="2379" w:type="dxa"/>
            <w:tcBorders>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jc w:val="both"/>
              <w:rPr>
                <w:color w:val="auto"/>
                <w:sz w:val="20"/>
              </w:rPr>
            </w:pPr>
            <w:r w:rsidRPr="004C1F41">
              <w:rPr>
                <w:color w:val="auto"/>
                <w:sz w:val="20"/>
              </w:rPr>
              <w:t>Facial Melasma</w:t>
            </w:r>
          </w:p>
        </w:tc>
        <w:tc>
          <w:tcPr>
            <w:tcW w:w="117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7899-7806</w:t>
            </w:r>
          </w:p>
        </w:tc>
        <w:tc>
          <w:tcPr>
            <w:tcW w:w="81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30%</w:t>
            </w:r>
          </w:p>
        </w:tc>
        <w:tc>
          <w:tcPr>
            <w:tcW w:w="1179" w:type="dxa"/>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color w:val="auto"/>
                <w:sz w:val="20"/>
                <w:szCs w:val="20"/>
              </w:rPr>
              <w:t>20070103</w:t>
            </w:r>
          </w:p>
        </w:tc>
      </w:tr>
      <w:tr w:rsidR="00085744" w:rsidRPr="004C1F41" w:rsidTr="004D6159">
        <w:trPr>
          <w:trHeight w:val="287"/>
        </w:trPr>
        <w:tc>
          <w:tcPr>
            <w:tcW w:w="3939" w:type="dxa"/>
            <w:gridSpan w:val="3"/>
            <w:vMerge/>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p>
        </w:tc>
        <w:tc>
          <w:tcPr>
            <w:tcW w:w="2379" w:type="dxa"/>
            <w:tcBorders>
              <w:left w:val="thinThickThinSmallGap" w:sz="24" w:space="0" w:color="auto"/>
              <w:bottom w:val="single" w:sz="4" w:space="0" w:color="auto"/>
            </w:tcBorders>
            <w:shd w:val="clear" w:color="auto" w:fill="FFFFFF" w:themeFill="background1"/>
            <w:vAlign w:val="center"/>
          </w:tcPr>
          <w:p w:rsidR="00085744" w:rsidRPr="004C1F41" w:rsidRDefault="00085744" w:rsidP="00BF08D6">
            <w:pPr>
              <w:spacing w:line="200" w:lineRule="exact"/>
              <w:contextualSpacing/>
              <w:rPr>
                <w:color w:val="auto"/>
                <w:sz w:val="20"/>
              </w:rPr>
            </w:pPr>
            <w:r w:rsidRPr="004C1F41">
              <w:rPr>
                <w:color w:val="auto"/>
                <w:sz w:val="20"/>
              </w:rPr>
              <w:t xml:space="preserve">PTSD w/Depressive … </w:t>
            </w:r>
          </w:p>
        </w:tc>
        <w:tc>
          <w:tcPr>
            <w:tcW w:w="1170" w:type="dxa"/>
            <w:tcBorders>
              <w:bottom w:val="single" w:sz="4" w:space="0" w:color="auto"/>
            </w:tcBorders>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9411</w:t>
            </w:r>
          </w:p>
        </w:tc>
        <w:tc>
          <w:tcPr>
            <w:tcW w:w="810" w:type="dxa"/>
            <w:tcBorders>
              <w:bottom w:val="single" w:sz="4" w:space="0" w:color="auto"/>
            </w:tcBorders>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30%</w:t>
            </w:r>
          </w:p>
        </w:tc>
        <w:tc>
          <w:tcPr>
            <w:tcW w:w="1179" w:type="dxa"/>
            <w:tcBorders>
              <w:bottom w:val="single" w:sz="4" w:space="0" w:color="auto"/>
            </w:tcBorders>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color w:val="auto"/>
                <w:sz w:val="20"/>
              </w:rPr>
              <w:t>20070108</w:t>
            </w:r>
          </w:p>
        </w:tc>
      </w:tr>
      <w:tr w:rsidR="00085744" w:rsidRPr="004C1F41" w:rsidTr="004D6159">
        <w:trPr>
          <w:trHeight w:val="287"/>
        </w:trPr>
        <w:tc>
          <w:tcPr>
            <w:tcW w:w="3939" w:type="dxa"/>
            <w:gridSpan w:val="3"/>
            <w:vMerge/>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p>
        </w:tc>
        <w:tc>
          <w:tcPr>
            <w:tcW w:w="2379" w:type="dxa"/>
            <w:tcBorders>
              <w:top w:val="single" w:sz="4" w:space="0" w:color="auto"/>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rPr>
                <w:color w:val="auto"/>
                <w:sz w:val="20"/>
              </w:rPr>
            </w:pPr>
            <w:r w:rsidRPr="004C1F41">
              <w:rPr>
                <w:color w:val="auto"/>
                <w:sz w:val="20"/>
              </w:rPr>
              <w:t xml:space="preserve">LUE Thoracic Outlet </w:t>
            </w:r>
            <w:proofErr w:type="spellStart"/>
            <w:r w:rsidRPr="004C1F41">
              <w:rPr>
                <w:color w:val="auto"/>
                <w:sz w:val="20"/>
              </w:rPr>
              <w:t>Syn</w:t>
            </w:r>
            <w:proofErr w:type="spellEnd"/>
          </w:p>
        </w:tc>
        <w:tc>
          <w:tcPr>
            <w:tcW w:w="1170" w:type="dxa"/>
            <w:tcBorders>
              <w:top w:val="single" w:sz="4" w:space="0" w:color="auto"/>
            </w:tcBorders>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8512</w:t>
            </w:r>
          </w:p>
        </w:tc>
        <w:tc>
          <w:tcPr>
            <w:tcW w:w="810" w:type="dxa"/>
            <w:tcBorders>
              <w:top w:val="single" w:sz="4" w:space="0" w:color="auto"/>
            </w:tcBorders>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30%</w:t>
            </w:r>
          </w:p>
        </w:tc>
        <w:tc>
          <w:tcPr>
            <w:tcW w:w="1179" w:type="dxa"/>
            <w:tcBorders>
              <w:top w:val="single" w:sz="4" w:space="0" w:color="auto"/>
            </w:tcBorders>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color w:val="auto"/>
                <w:sz w:val="20"/>
                <w:szCs w:val="20"/>
              </w:rPr>
              <w:t>20070103</w:t>
            </w:r>
          </w:p>
        </w:tc>
      </w:tr>
      <w:tr w:rsidR="00085744" w:rsidRPr="004C1F41" w:rsidTr="004D6159">
        <w:trPr>
          <w:trHeight w:val="287"/>
        </w:trPr>
        <w:tc>
          <w:tcPr>
            <w:tcW w:w="3939" w:type="dxa"/>
            <w:gridSpan w:val="3"/>
            <w:vMerge/>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p>
        </w:tc>
        <w:tc>
          <w:tcPr>
            <w:tcW w:w="2379" w:type="dxa"/>
            <w:tcBorders>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rPr>
                <w:color w:val="auto"/>
                <w:sz w:val="20"/>
              </w:rPr>
            </w:pPr>
            <w:r w:rsidRPr="004C1F41">
              <w:rPr>
                <w:color w:val="auto"/>
                <w:sz w:val="20"/>
              </w:rPr>
              <w:t xml:space="preserve">RUE Thoracic Outlet </w:t>
            </w:r>
            <w:proofErr w:type="spellStart"/>
            <w:r w:rsidRPr="004C1F41">
              <w:rPr>
                <w:color w:val="auto"/>
                <w:sz w:val="20"/>
              </w:rPr>
              <w:t>Syn</w:t>
            </w:r>
            <w:proofErr w:type="spellEnd"/>
          </w:p>
        </w:tc>
        <w:tc>
          <w:tcPr>
            <w:tcW w:w="117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8512</w:t>
            </w:r>
          </w:p>
        </w:tc>
        <w:tc>
          <w:tcPr>
            <w:tcW w:w="81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20%</w:t>
            </w:r>
          </w:p>
        </w:tc>
        <w:tc>
          <w:tcPr>
            <w:tcW w:w="1179" w:type="dxa"/>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color w:val="auto"/>
                <w:sz w:val="20"/>
                <w:szCs w:val="20"/>
              </w:rPr>
              <w:t>20070103</w:t>
            </w:r>
          </w:p>
        </w:tc>
      </w:tr>
      <w:tr w:rsidR="00085744" w:rsidRPr="004C1F41" w:rsidTr="004D6159">
        <w:trPr>
          <w:trHeight w:val="287"/>
        </w:trPr>
        <w:tc>
          <w:tcPr>
            <w:tcW w:w="3939" w:type="dxa"/>
            <w:gridSpan w:val="3"/>
            <w:vMerge/>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p>
        </w:tc>
        <w:tc>
          <w:tcPr>
            <w:tcW w:w="2379" w:type="dxa"/>
            <w:tcBorders>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rPr>
                <w:color w:val="auto"/>
                <w:sz w:val="20"/>
              </w:rPr>
            </w:pPr>
            <w:r w:rsidRPr="004C1F41">
              <w:rPr>
                <w:color w:val="auto"/>
                <w:sz w:val="20"/>
              </w:rPr>
              <w:t>Thoracolumbar w/DDD &amp; T4-T5 sensory …</w:t>
            </w:r>
          </w:p>
        </w:tc>
        <w:tc>
          <w:tcPr>
            <w:tcW w:w="117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5243-5237</w:t>
            </w:r>
          </w:p>
        </w:tc>
        <w:tc>
          <w:tcPr>
            <w:tcW w:w="81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10%</w:t>
            </w:r>
          </w:p>
        </w:tc>
        <w:tc>
          <w:tcPr>
            <w:tcW w:w="1179" w:type="dxa"/>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color w:val="auto"/>
                <w:sz w:val="20"/>
                <w:szCs w:val="20"/>
              </w:rPr>
              <w:t>20070103</w:t>
            </w:r>
          </w:p>
        </w:tc>
      </w:tr>
      <w:tr w:rsidR="00085744" w:rsidRPr="004C1F41" w:rsidTr="004D6159">
        <w:trPr>
          <w:trHeight w:val="287"/>
        </w:trPr>
        <w:tc>
          <w:tcPr>
            <w:tcW w:w="3939" w:type="dxa"/>
            <w:gridSpan w:val="3"/>
            <w:vMerge/>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p>
        </w:tc>
        <w:tc>
          <w:tcPr>
            <w:tcW w:w="2379" w:type="dxa"/>
            <w:tcBorders>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rPr>
                <w:color w:val="auto"/>
                <w:sz w:val="20"/>
              </w:rPr>
            </w:pPr>
            <w:r w:rsidRPr="004C1F41">
              <w:rPr>
                <w:color w:val="auto"/>
                <w:sz w:val="20"/>
              </w:rPr>
              <w:t>Cervical Strain</w:t>
            </w:r>
          </w:p>
        </w:tc>
        <w:tc>
          <w:tcPr>
            <w:tcW w:w="117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5237</w:t>
            </w:r>
          </w:p>
        </w:tc>
        <w:tc>
          <w:tcPr>
            <w:tcW w:w="81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10%</w:t>
            </w:r>
          </w:p>
        </w:tc>
        <w:tc>
          <w:tcPr>
            <w:tcW w:w="1179" w:type="dxa"/>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color w:val="auto"/>
                <w:sz w:val="20"/>
                <w:szCs w:val="20"/>
              </w:rPr>
              <w:t>20070103</w:t>
            </w:r>
          </w:p>
        </w:tc>
      </w:tr>
      <w:tr w:rsidR="00085744" w:rsidRPr="004C1F41" w:rsidTr="004D6159">
        <w:trPr>
          <w:trHeight w:val="287"/>
        </w:trPr>
        <w:tc>
          <w:tcPr>
            <w:tcW w:w="3939" w:type="dxa"/>
            <w:gridSpan w:val="3"/>
            <w:vMerge/>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p>
        </w:tc>
        <w:tc>
          <w:tcPr>
            <w:tcW w:w="2379" w:type="dxa"/>
            <w:tcBorders>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rPr>
                <w:color w:val="auto"/>
                <w:sz w:val="20"/>
              </w:rPr>
            </w:pPr>
            <w:r w:rsidRPr="004C1F41">
              <w:rPr>
                <w:color w:val="auto"/>
                <w:sz w:val="20"/>
              </w:rPr>
              <w:t xml:space="preserve">RLE Radiculopathy / </w:t>
            </w:r>
            <w:proofErr w:type="spellStart"/>
            <w:r w:rsidRPr="004C1F41">
              <w:rPr>
                <w:color w:val="auto"/>
                <w:sz w:val="20"/>
              </w:rPr>
              <w:t>Polyneuropathy</w:t>
            </w:r>
            <w:proofErr w:type="spellEnd"/>
            <w:r w:rsidRPr="004C1F41">
              <w:rPr>
                <w:color w:val="auto"/>
                <w:sz w:val="20"/>
              </w:rPr>
              <w:t xml:space="preserve"> …</w:t>
            </w:r>
          </w:p>
        </w:tc>
        <w:tc>
          <w:tcPr>
            <w:tcW w:w="117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8520</w:t>
            </w:r>
          </w:p>
        </w:tc>
        <w:tc>
          <w:tcPr>
            <w:tcW w:w="81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10%</w:t>
            </w:r>
          </w:p>
        </w:tc>
        <w:tc>
          <w:tcPr>
            <w:tcW w:w="1179" w:type="dxa"/>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color w:val="auto"/>
                <w:sz w:val="20"/>
              </w:rPr>
              <w:t>20070103</w:t>
            </w:r>
          </w:p>
        </w:tc>
      </w:tr>
      <w:tr w:rsidR="00085744" w:rsidRPr="004C1F41" w:rsidTr="004D6159">
        <w:trPr>
          <w:trHeight w:val="287"/>
        </w:trPr>
        <w:tc>
          <w:tcPr>
            <w:tcW w:w="3939" w:type="dxa"/>
            <w:gridSpan w:val="3"/>
            <w:vMerge/>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p>
        </w:tc>
        <w:tc>
          <w:tcPr>
            <w:tcW w:w="2379" w:type="dxa"/>
            <w:tcBorders>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rPr>
                <w:color w:val="auto"/>
                <w:sz w:val="20"/>
              </w:rPr>
            </w:pPr>
            <w:r w:rsidRPr="004C1F41">
              <w:rPr>
                <w:color w:val="auto"/>
                <w:sz w:val="20"/>
              </w:rPr>
              <w:t>Hypothyroidism</w:t>
            </w:r>
          </w:p>
        </w:tc>
        <w:tc>
          <w:tcPr>
            <w:tcW w:w="117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7903</w:t>
            </w:r>
          </w:p>
        </w:tc>
        <w:tc>
          <w:tcPr>
            <w:tcW w:w="81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10%</w:t>
            </w:r>
          </w:p>
        </w:tc>
        <w:tc>
          <w:tcPr>
            <w:tcW w:w="1179" w:type="dxa"/>
            <w:shd w:val="clear" w:color="auto" w:fill="FFFFFF" w:themeFill="background1"/>
            <w:vAlign w:val="center"/>
          </w:tcPr>
          <w:p w:rsidR="00085744" w:rsidRPr="004C1F41" w:rsidRDefault="00085744" w:rsidP="00BF08D6">
            <w:pPr>
              <w:spacing w:line="200" w:lineRule="exact"/>
              <w:contextualSpacing/>
              <w:jc w:val="center"/>
              <w:rPr>
                <w:color w:val="auto"/>
                <w:sz w:val="20"/>
              </w:rPr>
            </w:pPr>
            <w:proofErr w:type="spellStart"/>
            <w:r w:rsidRPr="004C1F41">
              <w:rPr>
                <w:color w:val="auto"/>
                <w:sz w:val="20"/>
              </w:rPr>
              <w:t>unk</w:t>
            </w:r>
            <w:proofErr w:type="spellEnd"/>
          </w:p>
        </w:tc>
      </w:tr>
      <w:tr w:rsidR="00085744" w:rsidRPr="004C1F41" w:rsidTr="005914CA">
        <w:trPr>
          <w:trHeight w:val="287"/>
        </w:trPr>
        <w:tc>
          <w:tcPr>
            <w:tcW w:w="3939" w:type="dxa"/>
            <w:gridSpan w:val="3"/>
            <w:vMerge/>
            <w:tcBorders>
              <w:right w:val="thinThickThinSmallGap" w:sz="24" w:space="0" w:color="auto"/>
            </w:tcBorders>
            <w:shd w:val="clear" w:color="auto" w:fill="auto"/>
            <w:vAlign w:val="center"/>
          </w:tcPr>
          <w:p w:rsidR="00085744" w:rsidRPr="004C1F41" w:rsidRDefault="00085744" w:rsidP="00BF08D6">
            <w:pPr>
              <w:spacing w:line="200" w:lineRule="exact"/>
              <w:contextualSpacing/>
              <w:jc w:val="center"/>
              <w:rPr>
                <w:color w:val="auto"/>
                <w:sz w:val="20"/>
              </w:rPr>
            </w:pPr>
          </w:p>
        </w:tc>
        <w:tc>
          <w:tcPr>
            <w:tcW w:w="2379" w:type="dxa"/>
            <w:tcBorders>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rPr>
                <w:color w:val="auto"/>
                <w:sz w:val="20"/>
              </w:rPr>
            </w:pPr>
            <w:r w:rsidRPr="004C1F41">
              <w:rPr>
                <w:color w:val="auto"/>
                <w:sz w:val="20"/>
              </w:rPr>
              <w:t xml:space="preserve">LLE </w:t>
            </w:r>
            <w:proofErr w:type="spellStart"/>
            <w:r w:rsidRPr="004C1F41">
              <w:rPr>
                <w:color w:val="auto"/>
                <w:sz w:val="20"/>
              </w:rPr>
              <w:t>Polyneuropathy</w:t>
            </w:r>
            <w:proofErr w:type="spellEnd"/>
            <w:r w:rsidRPr="004C1F41">
              <w:rPr>
                <w:color w:val="auto"/>
                <w:sz w:val="20"/>
              </w:rPr>
              <w:t xml:space="preserve"> </w:t>
            </w:r>
            <w:proofErr w:type="spellStart"/>
            <w:r w:rsidRPr="004C1F41">
              <w:rPr>
                <w:color w:val="auto"/>
                <w:sz w:val="20"/>
              </w:rPr>
              <w:t>a/w</w:t>
            </w:r>
            <w:proofErr w:type="spellEnd"/>
            <w:r w:rsidRPr="004C1F41">
              <w:rPr>
                <w:color w:val="auto"/>
                <w:sz w:val="20"/>
              </w:rPr>
              <w:t xml:space="preserve"> Hypothyroidism</w:t>
            </w:r>
          </w:p>
        </w:tc>
        <w:tc>
          <w:tcPr>
            <w:tcW w:w="117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8521</w:t>
            </w:r>
          </w:p>
        </w:tc>
        <w:tc>
          <w:tcPr>
            <w:tcW w:w="810" w:type="dxa"/>
            <w:shd w:val="clear" w:color="auto" w:fill="FFFFFF" w:themeFill="background1"/>
          </w:tcPr>
          <w:p w:rsidR="00085744" w:rsidRPr="004C1F41" w:rsidRDefault="00085744" w:rsidP="00BF08D6">
            <w:pPr>
              <w:spacing w:line="200" w:lineRule="exact"/>
              <w:contextualSpacing/>
              <w:jc w:val="center"/>
              <w:rPr>
                <w:color w:val="auto"/>
                <w:sz w:val="20"/>
              </w:rPr>
            </w:pPr>
            <w:r w:rsidRPr="004C1F41">
              <w:rPr>
                <w:color w:val="auto"/>
                <w:sz w:val="20"/>
              </w:rPr>
              <w:t>10%</w:t>
            </w:r>
          </w:p>
        </w:tc>
        <w:tc>
          <w:tcPr>
            <w:tcW w:w="1179" w:type="dxa"/>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color w:val="auto"/>
                <w:sz w:val="20"/>
                <w:szCs w:val="20"/>
              </w:rPr>
              <w:t>20070103</w:t>
            </w:r>
          </w:p>
        </w:tc>
      </w:tr>
      <w:tr w:rsidR="00085744" w:rsidRPr="004C1F41" w:rsidTr="005914CA">
        <w:trPr>
          <w:trHeight w:val="287"/>
        </w:trPr>
        <w:tc>
          <w:tcPr>
            <w:tcW w:w="3939" w:type="dxa"/>
            <w:gridSpan w:val="3"/>
            <w:vMerge/>
            <w:tcBorders>
              <w:right w:val="thinThickThinSmallGap" w:sz="24" w:space="0" w:color="auto"/>
            </w:tcBorders>
            <w:shd w:val="clear" w:color="auto" w:fill="FFFFFF" w:themeFill="background1"/>
            <w:vAlign w:val="center"/>
          </w:tcPr>
          <w:p w:rsidR="00085744" w:rsidRPr="004C1F41" w:rsidRDefault="00085744" w:rsidP="00BF08D6">
            <w:pPr>
              <w:spacing w:line="200" w:lineRule="exact"/>
              <w:contextualSpacing/>
              <w:jc w:val="center"/>
              <w:rPr>
                <w:color w:val="auto"/>
                <w:sz w:val="20"/>
              </w:rPr>
            </w:pPr>
          </w:p>
        </w:tc>
        <w:tc>
          <w:tcPr>
            <w:tcW w:w="5538" w:type="dxa"/>
            <w:gridSpan w:val="4"/>
            <w:tcBorders>
              <w:left w:val="thinThickThinSmallGap" w:sz="24" w:space="0" w:color="auto"/>
            </w:tcBorders>
            <w:shd w:val="clear" w:color="auto" w:fill="FFFFFF" w:themeFill="background1"/>
            <w:vAlign w:val="center"/>
          </w:tcPr>
          <w:p w:rsidR="00085744" w:rsidRPr="004C1F41" w:rsidRDefault="00085744" w:rsidP="00BF08D6">
            <w:pPr>
              <w:spacing w:line="200" w:lineRule="exact"/>
              <w:contextualSpacing/>
              <w:jc w:val="center"/>
              <w:rPr>
                <w:color w:val="auto"/>
                <w:sz w:val="20"/>
              </w:rPr>
            </w:pPr>
            <w:r w:rsidRPr="004C1F41">
              <w:rPr>
                <w:rFonts w:cs="Times New Roman"/>
                <w:color w:val="auto"/>
                <w:sz w:val="20"/>
                <w:szCs w:val="20"/>
              </w:rPr>
              <w:t>0% x 8 / Not Service Connected x 5</w:t>
            </w:r>
          </w:p>
        </w:tc>
      </w:tr>
      <w:tr w:rsidR="00CC49ED" w:rsidRPr="004C1F41" w:rsidTr="00275C8D">
        <w:trPr>
          <w:trHeight w:val="242"/>
        </w:trPr>
        <w:tc>
          <w:tcPr>
            <w:tcW w:w="3939" w:type="dxa"/>
            <w:gridSpan w:val="3"/>
            <w:tcBorders>
              <w:bottom w:val="single" w:sz="4" w:space="0" w:color="auto"/>
              <w:right w:val="thinThickThinSmallGap" w:sz="24" w:space="0" w:color="auto"/>
            </w:tcBorders>
            <w:shd w:val="clear" w:color="auto" w:fill="D9D9D9" w:themeFill="background1" w:themeFillShade="D9"/>
            <w:vAlign w:val="center"/>
          </w:tcPr>
          <w:p w:rsidR="00CC49ED" w:rsidRPr="004C1F41" w:rsidRDefault="00CC49ED" w:rsidP="00CC49ED">
            <w:pPr>
              <w:spacing w:line="240" w:lineRule="exact"/>
              <w:contextualSpacing/>
              <w:jc w:val="center"/>
              <w:rPr>
                <w:b/>
                <w:color w:val="auto"/>
                <w:sz w:val="20"/>
                <w:szCs w:val="20"/>
              </w:rPr>
            </w:pPr>
            <w:r w:rsidRPr="004C1F41">
              <w:rPr>
                <w:b/>
                <w:color w:val="auto"/>
                <w:sz w:val="20"/>
                <w:szCs w:val="20"/>
              </w:rPr>
              <w:t>Final Combined:  20%</w:t>
            </w:r>
          </w:p>
        </w:tc>
        <w:tc>
          <w:tcPr>
            <w:tcW w:w="5538" w:type="dxa"/>
            <w:gridSpan w:val="4"/>
            <w:tcBorders>
              <w:left w:val="thinThickThinSmallGap" w:sz="24" w:space="0" w:color="auto"/>
            </w:tcBorders>
            <w:shd w:val="clear" w:color="auto" w:fill="D9D9D9" w:themeFill="background1" w:themeFillShade="D9"/>
            <w:vAlign w:val="center"/>
          </w:tcPr>
          <w:p w:rsidR="00CC49ED" w:rsidRPr="004C1F41" w:rsidRDefault="00CC49ED" w:rsidP="00CC49ED">
            <w:pPr>
              <w:spacing w:line="240" w:lineRule="exact"/>
              <w:contextualSpacing/>
              <w:jc w:val="center"/>
              <w:rPr>
                <w:b/>
                <w:color w:val="auto"/>
                <w:sz w:val="20"/>
                <w:szCs w:val="20"/>
              </w:rPr>
            </w:pPr>
            <w:r w:rsidRPr="004C1F41">
              <w:rPr>
                <w:b/>
                <w:color w:val="auto"/>
                <w:sz w:val="20"/>
                <w:szCs w:val="20"/>
              </w:rPr>
              <w:t xml:space="preserve">Total Combined: </w:t>
            </w:r>
            <w:r w:rsidR="004D6159" w:rsidRPr="004C1F41">
              <w:rPr>
                <w:b/>
                <w:color w:val="auto"/>
                <w:sz w:val="20"/>
                <w:szCs w:val="20"/>
              </w:rPr>
              <w:t xml:space="preserve"> </w:t>
            </w:r>
            <w:r w:rsidRPr="004C1F41">
              <w:rPr>
                <w:b/>
                <w:color w:val="auto"/>
                <w:sz w:val="20"/>
                <w:szCs w:val="20"/>
              </w:rPr>
              <w:t>100%</w:t>
            </w:r>
          </w:p>
        </w:tc>
      </w:tr>
    </w:tbl>
    <w:p w:rsidR="00A90D55" w:rsidRPr="004D6159" w:rsidRDefault="008B5D31" w:rsidP="00190E48">
      <w:pPr>
        <w:tabs>
          <w:tab w:val="left" w:pos="288"/>
          <w:tab w:val="left" w:pos="4752"/>
        </w:tabs>
        <w:spacing w:line="240" w:lineRule="exact"/>
        <w:jc w:val="both"/>
        <w:rPr>
          <w:color w:val="auto"/>
        </w:rPr>
      </w:pPr>
      <w:r w:rsidRPr="004C1F41">
        <w:rPr>
          <w:color w:val="auto"/>
          <w:u w:val="single"/>
        </w:rPr>
        <w:t>______________________________________________________________</w:t>
      </w:r>
      <w:r w:rsidRPr="004D6159">
        <w:rPr>
          <w:color w:val="auto"/>
          <w:u w:val="single"/>
        </w:rPr>
        <w:t>_</w:t>
      </w:r>
      <w:r w:rsidR="00A90D55" w:rsidRPr="004D6159">
        <w:rPr>
          <w:color w:val="auto"/>
        </w:rPr>
        <w:t>_</w:t>
      </w:r>
    </w:p>
    <w:p w:rsidR="00A90D55" w:rsidRPr="004D6159" w:rsidRDefault="00A90D55" w:rsidP="00190E48">
      <w:pPr>
        <w:tabs>
          <w:tab w:val="left" w:pos="288"/>
          <w:tab w:val="left" w:pos="4752"/>
        </w:tabs>
        <w:spacing w:line="240" w:lineRule="exact"/>
        <w:jc w:val="both"/>
        <w:rPr>
          <w:color w:val="auto"/>
        </w:rPr>
      </w:pPr>
    </w:p>
    <w:p w:rsidR="00D86D4E" w:rsidRDefault="002C6E5B" w:rsidP="003D2EE4">
      <w:pPr>
        <w:tabs>
          <w:tab w:val="left" w:pos="288"/>
          <w:tab w:val="left" w:pos="4752"/>
        </w:tabs>
        <w:spacing w:line="240" w:lineRule="exact"/>
        <w:jc w:val="both"/>
        <w:rPr>
          <w:rFonts w:asciiTheme="minorHAnsi" w:hAnsiTheme="minorHAnsi"/>
          <w:color w:val="auto"/>
          <w:szCs w:val="24"/>
        </w:rPr>
      </w:pPr>
      <w:r w:rsidRPr="004D6159">
        <w:rPr>
          <w:rFonts w:asciiTheme="minorHAnsi" w:hAnsiTheme="minorHAnsi"/>
          <w:color w:val="auto"/>
          <w:szCs w:val="24"/>
          <w:u w:val="single"/>
        </w:rPr>
        <w:t>ANALYSIS SUMMARY</w:t>
      </w:r>
      <w:r w:rsidRPr="004D6159">
        <w:rPr>
          <w:rFonts w:asciiTheme="minorHAnsi" w:hAnsiTheme="minorHAnsi"/>
          <w:color w:val="auto"/>
          <w:szCs w:val="24"/>
        </w:rPr>
        <w:t>:</w:t>
      </w:r>
      <w:r w:rsidR="00D86D4E" w:rsidRPr="004D6159">
        <w:rPr>
          <w:rFonts w:asciiTheme="minorHAnsi" w:hAnsiTheme="minorHAnsi"/>
          <w:color w:val="auto"/>
          <w:szCs w:val="24"/>
        </w:rPr>
        <w:t xml:space="preserve">  </w:t>
      </w:r>
      <w:r w:rsidR="00531384" w:rsidRPr="004D6159">
        <w:rPr>
          <w:rFonts w:asciiTheme="minorHAnsi" w:hAnsiTheme="minorHAnsi"/>
          <w:color w:val="auto"/>
          <w:szCs w:val="24"/>
        </w:rPr>
        <w:t xml:space="preserve">The Board notes the current VA ratings listed by the CI for </w:t>
      </w:r>
      <w:r w:rsidR="00ED3947" w:rsidRPr="004D6159">
        <w:rPr>
          <w:rFonts w:asciiTheme="minorHAnsi" w:hAnsiTheme="minorHAnsi"/>
          <w:color w:val="auto"/>
          <w:szCs w:val="24"/>
        </w:rPr>
        <w:t>all of</w:t>
      </w:r>
      <w:r w:rsidR="00531384" w:rsidRPr="004D6159">
        <w:rPr>
          <w:rFonts w:asciiTheme="minorHAnsi" w:hAnsiTheme="minorHAnsi"/>
          <w:color w:val="auto"/>
          <w:szCs w:val="24"/>
        </w:rPr>
        <w:t xml:space="preserve"> her service connected conditions</w:t>
      </w:r>
      <w:r w:rsidR="00BF08D6">
        <w:rPr>
          <w:rFonts w:asciiTheme="minorHAnsi" w:hAnsiTheme="minorHAnsi"/>
          <w:color w:val="auto"/>
          <w:szCs w:val="24"/>
        </w:rPr>
        <w:t xml:space="preserve">.  </w:t>
      </w:r>
      <w:r w:rsidR="00BF08D6" w:rsidRPr="00BF08D6">
        <w:rPr>
          <w:rFonts w:asciiTheme="minorHAnsi" w:hAnsiTheme="minorHAnsi"/>
          <w:color w:val="auto"/>
          <w:szCs w:val="24"/>
        </w:rPr>
        <w:t xml:space="preserve">The Disability Evaluation System (DES)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time of final disposition.  </w:t>
      </w:r>
      <w:r w:rsidR="00740D9C">
        <w:rPr>
          <w:rFonts w:asciiTheme="minorHAnsi" w:hAnsiTheme="minorHAnsi"/>
          <w:color w:val="auto"/>
          <w:szCs w:val="24"/>
        </w:rPr>
        <w:t xml:space="preserve">The VA ratings which it considers in that regard are those rendered most proximate to separation.  The DES has neither the role nor the </w:t>
      </w:r>
      <w:r w:rsidR="00E266F1">
        <w:rPr>
          <w:rFonts w:asciiTheme="minorHAnsi" w:hAnsiTheme="minorHAnsi"/>
          <w:color w:val="auto"/>
          <w:szCs w:val="24"/>
        </w:rPr>
        <w:t>authority to</w:t>
      </w:r>
      <w:r w:rsidR="00740D9C">
        <w:rPr>
          <w:rFonts w:asciiTheme="minorHAnsi" w:hAnsiTheme="minorHAnsi"/>
          <w:color w:val="auto"/>
          <w:szCs w:val="24"/>
        </w:rPr>
        <w:t xml:space="preserve"> compensate </w:t>
      </w:r>
      <w:r w:rsidR="00E266F1">
        <w:rPr>
          <w:rFonts w:asciiTheme="minorHAnsi" w:hAnsiTheme="minorHAnsi"/>
          <w:color w:val="auto"/>
          <w:szCs w:val="24"/>
        </w:rPr>
        <w:t>service members</w:t>
      </w:r>
      <w:r w:rsidR="00740D9C">
        <w:rPr>
          <w:rFonts w:asciiTheme="minorHAnsi" w:hAnsiTheme="minorHAnsi"/>
          <w:color w:val="auto"/>
          <w:szCs w:val="24"/>
        </w:rPr>
        <w:t xml:space="preserve"> </w:t>
      </w:r>
      <w:r w:rsidR="00ED3947">
        <w:rPr>
          <w:rFonts w:asciiTheme="minorHAnsi" w:hAnsiTheme="minorHAnsi"/>
          <w:color w:val="auto"/>
          <w:szCs w:val="24"/>
        </w:rPr>
        <w:t>for thei</w:t>
      </w:r>
      <w:r w:rsidR="00740D9C">
        <w:rPr>
          <w:rFonts w:asciiTheme="minorHAnsi" w:hAnsiTheme="minorHAnsi"/>
          <w:color w:val="auto"/>
          <w:szCs w:val="24"/>
        </w:rPr>
        <w:t xml:space="preserve">r anticipated </w:t>
      </w:r>
      <w:r w:rsidR="00E266F1">
        <w:rPr>
          <w:rFonts w:asciiTheme="minorHAnsi" w:hAnsiTheme="minorHAnsi"/>
          <w:color w:val="auto"/>
          <w:szCs w:val="24"/>
        </w:rPr>
        <w:t>future severity</w:t>
      </w:r>
      <w:r w:rsidR="00740D9C">
        <w:rPr>
          <w:rFonts w:asciiTheme="minorHAnsi" w:hAnsiTheme="minorHAnsi"/>
          <w:color w:val="auto"/>
          <w:szCs w:val="24"/>
        </w:rPr>
        <w:t xml:space="preserve"> or potential complications of conditions resulting in medical separation.  That role and authority is granted by Congress to the Veteran’s Administration.</w:t>
      </w:r>
    </w:p>
    <w:p w:rsidR="00740D9C" w:rsidRPr="00E622B5" w:rsidRDefault="00740D9C" w:rsidP="003D2EE4">
      <w:pPr>
        <w:tabs>
          <w:tab w:val="left" w:pos="288"/>
          <w:tab w:val="left" w:pos="4752"/>
        </w:tabs>
        <w:spacing w:line="240" w:lineRule="exact"/>
        <w:jc w:val="both"/>
        <w:rPr>
          <w:rFonts w:asciiTheme="minorHAnsi" w:hAnsiTheme="minorHAnsi"/>
          <w:color w:val="auto"/>
          <w:szCs w:val="24"/>
        </w:rPr>
      </w:pPr>
    </w:p>
    <w:p w:rsidR="006C232B" w:rsidRDefault="00ED3947" w:rsidP="003D2EE4">
      <w:pPr>
        <w:tabs>
          <w:tab w:val="left" w:pos="288"/>
          <w:tab w:val="left" w:pos="4752"/>
        </w:tabs>
        <w:spacing w:line="240" w:lineRule="exact"/>
        <w:jc w:val="both"/>
        <w:rPr>
          <w:rFonts w:asciiTheme="minorHAnsi" w:hAnsiTheme="minorHAnsi"/>
          <w:color w:val="auto"/>
          <w:szCs w:val="24"/>
        </w:rPr>
      </w:pPr>
      <w:r w:rsidRPr="00ED3947">
        <w:rPr>
          <w:rFonts w:asciiTheme="minorHAnsi" w:hAnsiTheme="minorHAnsi"/>
          <w:color w:val="auto"/>
          <w:szCs w:val="24"/>
          <w:u w:val="single"/>
        </w:rPr>
        <w:t xml:space="preserve">Chronic Bilateral </w:t>
      </w:r>
      <w:r w:rsidR="00AC6333">
        <w:rPr>
          <w:rFonts w:asciiTheme="minorHAnsi" w:hAnsiTheme="minorHAnsi"/>
          <w:color w:val="auto"/>
          <w:szCs w:val="24"/>
          <w:u w:val="single"/>
        </w:rPr>
        <w:t>Foot Conditions (</w:t>
      </w:r>
      <w:r w:rsidRPr="00ED3947">
        <w:rPr>
          <w:rFonts w:asciiTheme="minorHAnsi" w:hAnsiTheme="minorHAnsi"/>
          <w:color w:val="auto"/>
          <w:szCs w:val="24"/>
          <w:u w:val="single"/>
        </w:rPr>
        <w:t>Plantar Fasciitis</w:t>
      </w:r>
      <w:r w:rsidR="00AC6333">
        <w:rPr>
          <w:rFonts w:asciiTheme="minorHAnsi" w:hAnsiTheme="minorHAnsi"/>
          <w:color w:val="auto"/>
          <w:szCs w:val="24"/>
          <w:u w:val="single"/>
        </w:rPr>
        <w:t xml:space="preserve"> and </w:t>
      </w:r>
      <w:r w:rsidR="00E266F1">
        <w:rPr>
          <w:rFonts w:asciiTheme="minorHAnsi" w:hAnsiTheme="minorHAnsi"/>
          <w:color w:val="auto"/>
          <w:szCs w:val="24"/>
          <w:u w:val="single"/>
        </w:rPr>
        <w:t>Chronic</w:t>
      </w:r>
      <w:r w:rsidR="00AC6333">
        <w:rPr>
          <w:rFonts w:asciiTheme="minorHAnsi" w:hAnsiTheme="minorHAnsi"/>
          <w:color w:val="auto"/>
          <w:szCs w:val="24"/>
          <w:u w:val="single"/>
        </w:rPr>
        <w:t xml:space="preserve"> Bilateral Sesamoiditis with Left Foot Sesamoid Shift)</w:t>
      </w:r>
      <w:r>
        <w:rPr>
          <w:rFonts w:asciiTheme="minorHAnsi" w:hAnsiTheme="minorHAnsi"/>
          <w:color w:val="auto"/>
          <w:szCs w:val="24"/>
        </w:rPr>
        <w:t xml:space="preserve">:  The CI was </w:t>
      </w:r>
      <w:r w:rsidR="00E266F1">
        <w:rPr>
          <w:rFonts w:asciiTheme="minorHAnsi" w:hAnsiTheme="minorHAnsi"/>
          <w:color w:val="auto"/>
          <w:szCs w:val="24"/>
        </w:rPr>
        <w:t>found</w:t>
      </w:r>
      <w:r>
        <w:rPr>
          <w:rFonts w:asciiTheme="minorHAnsi" w:hAnsiTheme="minorHAnsi"/>
          <w:color w:val="auto"/>
          <w:szCs w:val="24"/>
        </w:rPr>
        <w:t xml:space="preserve"> unfit for bilateral foot pain and inability to perform her </w:t>
      </w:r>
      <w:r w:rsidR="0021315A">
        <w:rPr>
          <w:rFonts w:asciiTheme="minorHAnsi" w:hAnsiTheme="minorHAnsi"/>
          <w:color w:val="auto"/>
          <w:szCs w:val="24"/>
        </w:rPr>
        <w:t>p</w:t>
      </w:r>
      <w:r>
        <w:rPr>
          <w:rFonts w:asciiTheme="minorHAnsi" w:hAnsiTheme="minorHAnsi"/>
          <w:color w:val="auto"/>
          <w:szCs w:val="24"/>
        </w:rPr>
        <w:t xml:space="preserve">ublic </w:t>
      </w:r>
      <w:r w:rsidR="0021315A">
        <w:rPr>
          <w:rFonts w:asciiTheme="minorHAnsi" w:hAnsiTheme="minorHAnsi"/>
          <w:color w:val="auto"/>
          <w:szCs w:val="24"/>
        </w:rPr>
        <w:t>r</w:t>
      </w:r>
      <w:r>
        <w:rPr>
          <w:rFonts w:asciiTheme="minorHAnsi" w:hAnsiTheme="minorHAnsi"/>
          <w:color w:val="auto"/>
          <w:szCs w:val="24"/>
        </w:rPr>
        <w:t>elations d</w:t>
      </w:r>
      <w:r>
        <w:rPr>
          <w:rFonts w:asciiTheme="minorHAnsi" w:hAnsiTheme="minorHAnsi"/>
          <w:color w:val="auto"/>
        </w:rPr>
        <w:t>uties which included prolonged standing and conduct</w:t>
      </w:r>
      <w:r w:rsidR="0021315A">
        <w:rPr>
          <w:rFonts w:asciiTheme="minorHAnsi" w:hAnsiTheme="minorHAnsi"/>
          <w:color w:val="auto"/>
        </w:rPr>
        <w:t>ing</w:t>
      </w:r>
      <w:r>
        <w:rPr>
          <w:rFonts w:asciiTheme="minorHAnsi" w:hAnsiTheme="minorHAnsi"/>
          <w:color w:val="auto"/>
        </w:rPr>
        <w:t xml:space="preserve"> physical fitness training (PFT) with enlisted Marines.  The CI had diagnoses </w:t>
      </w:r>
      <w:r w:rsidR="00566010">
        <w:rPr>
          <w:rFonts w:asciiTheme="minorHAnsi" w:hAnsiTheme="minorHAnsi"/>
          <w:color w:val="auto"/>
        </w:rPr>
        <w:t xml:space="preserve">of </w:t>
      </w:r>
      <w:r w:rsidR="0021315A">
        <w:rPr>
          <w:rFonts w:asciiTheme="minorHAnsi" w:hAnsiTheme="minorHAnsi"/>
          <w:color w:val="auto"/>
        </w:rPr>
        <w:t>c</w:t>
      </w:r>
      <w:r w:rsidR="008520C3" w:rsidRPr="00275C8D">
        <w:rPr>
          <w:rFonts w:asciiTheme="minorHAnsi" w:hAnsiTheme="minorHAnsi"/>
          <w:color w:val="auto"/>
          <w:szCs w:val="24"/>
        </w:rPr>
        <w:t xml:space="preserve">hronic </w:t>
      </w:r>
      <w:r w:rsidR="0021315A">
        <w:rPr>
          <w:rFonts w:asciiTheme="minorHAnsi" w:hAnsiTheme="minorHAnsi"/>
          <w:color w:val="auto"/>
          <w:szCs w:val="24"/>
        </w:rPr>
        <w:t>b</w:t>
      </w:r>
      <w:r w:rsidR="008520C3" w:rsidRPr="00275C8D">
        <w:rPr>
          <w:rFonts w:asciiTheme="minorHAnsi" w:hAnsiTheme="minorHAnsi"/>
          <w:color w:val="auto"/>
          <w:szCs w:val="24"/>
        </w:rPr>
        <w:t xml:space="preserve">ilateral </w:t>
      </w:r>
      <w:r w:rsidR="0021315A">
        <w:rPr>
          <w:rFonts w:asciiTheme="minorHAnsi" w:hAnsiTheme="minorHAnsi"/>
          <w:color w:val="auto"/>
          <w:szCs w:val="24"/>
        </w:rPr>
        <w:t>p</w:t>
      </w:r>
      <w:r w:rsidR="008520C3" w:rsidRPr="00275C8D">
        <w:rPr>
          <w:rFonts w:asciiTheme="minorHAnsi" w:hAnsiTheme="minorHAnsi"/>
          <w:color w:val="auto"/>
          <w:szCs w:val="24"/>
        </w:rPr>
        <w:t xml:space="preserve">lantar </w:t>
      </w:r>
      <w:r w:rsidR="0021315A">
        <w:rPr>
          <w:rFonts w:asciiTheme="minorHAnsi" w:hAnsiTheme="minorHAnsi"/>
          <w:color w:val="auto"/>
          <w:szCs w:val="24"/>
        </w:rPr>
        <w:t>f</w:t>
      </w:r>
      <w:r w:rsidR="008520C3" w:rsidRPr="00275C8D">
        <w:rPr>
          <w:rFonts w:asciiTheme="minorHAnsi" w:hAnsiTheme="minorHAnsi"/>
          <w:color w:val="auto"/>
          <w:szCs w:val="24"/>
        </w:rPr>
        <w:t>asciitis</w:t>
      </w:r>
      <w:r w:rsidR="000933C1">
        <w:rPr>
          <w:rFonts w:asciiTheme="minorHAnsi" w:hAnsiTheme="minorHAnsi"/>
          <w:color w:val="auto"/>
          <w:szCs w:val="24"/>
        </w:rPr>
        <w:t xml:space="preserve"> (unfitting) and </w:t>
      </w:r>
      <w:r w:rsidR="00AC6333">
        <w:rPr>
          <w:rFonts w:asciiTheme="minorHAnsi" w:hAnsiTheme="minorHAnsi"/>
          <w:color w:val="auto"/>
          <w:szCs w:val="24"/>
        </w:rPr>
        <w:t>“</w:t>
      </w:r>
      <w:r w:rsidR="0021315A">
        <w:rPr>
          <w:rFonts w:asciiTheme="minorHAnsi" w:hAnsiTheme="minorHAnsi"/>
          <w:color w:val="auto"/>
          <w:szCs w:val="24"/>
        </w:rPr>
        <w:t>c</w:t>
      </w:r>
      <w:r w:rsidR="000933C1">
        <w:rPr>
          <w:rFonts w:asciiTheme="minorHAnsi" w:hAnsiTheme="minorHAnsi"/>
          <w:color w:val="auto"/>
          <w:szCs w:val="24"/>
        </w:rPr>
        <w:t xml:space="preserve">hronic </w:t>
      </w:r>
      <w:r w:rsidR="0021315A">
        <w:rPr>
          <w:rFonts w:asciiTheme="minorHAnsi" w:hAnsiTheme="minorHAnsi"/>
          <w:color w:val="auto"/>
          <w:szCs w:val="24"/>
        </w:rPr>
        <w:t>b</w:t>
      </w:r>
      <w:r w:rsidR="000933C1">
        <w:rPr>
          <w:rFonts w:asciiTheme="minorHAnsi" w:hAnsiTheme="minorHAnsi"/>
          <w:color w:val="auto"/>
          <w:szCs w:val="24"/>
        </w:rPr>
        <w:t xml:space="preserve">ilateral </w:t>
      </w:r>
      <w:proofErr w:type="spellStart"/>
      <w:r w:rsidR="0021315A">
        <w:rPr>
          <w:rFonts w:asciiTheme="minorHAnsi" w:hAnsiTheme="minorHAnsi"/>
          <w:color w:val="auto"/>
          <w:szCs w:val="24"/>
        </w:rPr>
        <w:t>s</w:t>
      </w:r>
      <w:r w:rsidR="000933C1">
        <w:rPr>
          <w:rFonts w:asciiTheme="minorHAnsi" w:hAnsiTheme="minorHAnsi"/>
          <w:color w:val="auto"/>
          <w:szCs w:val="24"/>
        </w:rPr>
        <w:t>esamoiditis</w:t>
      </w:r>
      <w:proofErr w:type="spellEnd"/>
      <w:r w:rsidR="000933C1">
        <w:rPr>
          <w:rFonts w:asciiTheme="minorHAnsi" w:hAnsiTheme="minorHAnsi"/>
          <w:color w:val="auto"/>
          <w:szCs w:val="24"/>
        </w:rPr>
        <w:t xml:space="preserve"> with </w:t>
      </w:r>
      <w:r w:rsidR="0021315A">
        <w:rPr>
          <w:rFonts w:asciiTheme="minorHAnsi" w:hAnsiTheme="minorHAnsi"/>
          <w:color w:val="auto"/>
          <w:szCs w:val="24"/>
        </w:rPr>
        <w:t>l</w:t>
      </w:r>
      <w:r w:rsidR="000933C1">
        <w:rPr>
          <w:rFonts w:asciiTheme="minorHAnsi" w:hAnsiTheme="minorHAnsi"/>
          <w:color w:val="auto"/>
          <w:szCs w:val="24"/>
        </w:rPr>
        <w:t xml:space="preserve">eft </w:t>
      </w:r>
      <w:r w:rsidR="0021315A">
        <w:rPr>
          <w:rFonts w:asciiTheme="minorHAnsi" w:hAnsiTheme="minorHAnsi"/>
          <w:color w:val="auto"/>
          <w:szCs w:val="24"/>
        </w:rPr>
        <w:t>f</w:t>
      </w:r>
      <w:r w:rsidR="000933C1">
        <w:rPr>
          <w:rFonts w:asciiTheme="minorHAnsi" w:hAnsiTheme="minorHAnsi"/>
          <w:color w:val="auto"/>
          <w:szCs w:val="24"/>
        </w:rPr>
        <w:t xml:space="preserve">oot </w:t>
      </w:r>
      <w:proofErr w:type="spellStart"/>
      <w:r w:rsidR="0021315A">
        <w:rPr>
          <w:rFonts w:asciiTheme="minorHAnsi" w:hAnsiTheme="minorHAnsi"/>
          <w:color w:val="auto"/>
          <w:szCs w:val="24"/>
        </w:rPr>
        <w:t>s</w:t>
      </w:r>
      <w:r w:rsidR="000933C1">
        <w:rPr>
          <w:rFonts w:asciiTheme="minorHAnsi" w:hAnsiTheme="minorHAnsi"/>
          <w:color w:val="auto"/>
          <w:szCs w:val="24"/>
        </w:rPr>
        <w:t>esamoid</w:t>
      </w:r>
      <w:proofErr w:type="spellEnd"/>
      <w:r w:rsidR="000933C1">
        <w:rPr>
          <w:rFonts w:asciiTheme="minorHAnsi" w:hAnsiTheme="minorHAnsi"/>
          <w:color w:val="auto"/>
          <w:szCs w:val="24"/>
        </w:rPr>
        <w:t xml:space="preserve"> </w:t>
      </w:r>
      <w:r w:rsidR="0021315A">
        <w:rPr>
          <w:rFonts w:asciiTheme="minorHAnsi" w:hAnsiTheme="minorHAnsi"/>
          <w:color w:val="auto"/>
          <w:szCs w:val="24"/>
        </w:rPr>
        <w:t>s</w:t>
      </w:r>
      <w:r w:rsidR="000933C1">
        <w:rPr>
          <w:rFonts w:asciiTheme="minorHAnsi" w:hAnsiTheme="minorHAnsi"/>
          <w:color w:val="auto"/>
          <w:szCs w:val="24"/>
        </w:rPr>
        <w:t xml:space="preserve">hift” as </w:t>
      </w:r>
      <w:r w:rsidR="00295CF6">
        <w:rPr>
          <w:rFonts w:asciiTheme="minorHAnsi" w:hAnsiTheme="minorHAnsi"/>
          <w:color w:val="auto"/>
          <w:szCs w:val="24"/>
        </w:rPr>
        <w:t>c</w:t>
      </w:r>
      <w:r w:rsidR="000933C1">
        <w:rPr>
          <w:rFonts w:asciiTheme="minorHAnsi" w:hAnsiTheme="minorHAnsi"/>
          <w:color w:val="auto"/>
          <w:szCs w:val="24"/>
        </w:rPr>
        <w:t>ategory II.  However</w:t>
      </w:r>
      <w:r w:rsidR="0021315A">
        <w:rPr>
          <w:rFonts w:asciiTheme="minorHAnsi" w:hAnsiTheme="minorHAnsi"/>
          <w:color w:val="auto"/>
          <w:szCs w:val="24"/>
        </w:rPr>
        <w:t>,</w:t>
      </w:r>
      <w:r w:rsidR="000933C1">
        <w:rPr>
          <w:rFonts w:asciiTheme="minorHAnsi" w:hAnsiTheme="minorHAnsi"/>
          <w:color w:val="auto"/>
          <w:szCs w:val="24"/>
        </w:rPr>
        <w:t xml:space="preserve"> the symptoms and disability of </w:t>
      </w:r>
      <w:proofErr w:type="spellStart"/>
      <w:r w:rsidR="0021315A">
        <w:rPr>
          <w:rFonts w:asciiTheme="minorHAnsi" w:hAnsiTheme="minorHAnsi"/>
          <w:color w:val="auto"/>
          <w:szCs w:val="24"/>
        </w:rPr>
        <w:t>s</w:t>
      </w:r>
      <w:r w:rsidR="00E266F1">
        <w:rPr>
          <w:rFonts w:asciiTheme="minorHAnsi" w:hAnsiTheme="minorHAnsi"/>
          <w:color w:val="auto"/>
          <w:szCs w:val="24"/>
        </w:rPr>
        <w:t>esamoiditis</w:t>
      </w:r>
      <w:proofErr w:type="spellEnd"/>
      <w:r w:rsidR="000933C1">
        <w:rPr>
          <w:rFonts w:asciiTheme="minorHAnsi" w:hAnsiTheme="minorHAnsi"/>
          <w:color w:val="auto"/>
          <w:szCs w:val="24"/>
        </w:rPr>
        <w:t xml:space="preserve"> </w:t>
      </w:r>
      <w:r w:rsidR="00AC6333">
        <w:rPr>
          <w:rFonts w:asciiTheme="minorHAnsi" w:hAnsiTheme="minorHAnsi"/>
          <w:color w:val="auto"/>
          <w:szCs w:val="24"/>
        </w:rPr>
        <w:t xml:space="preserve">and </w:t>
      </w:r>
      <w:r w:rsidR="0021315A">
        <w:rPr>
          <w:rFonts w:asciiTheme="minorHAnsi" w:hAnsiTheme="minorHAnsi"/>
          <w:color w:val="auto"/>
          <w:szCs w:val="24"/>
        </w:rPr>
        <w:t>p</w:t>
      </w:r>
      <w:r w:rsidR="00AC6333">
        <w:rPr>
          <w:rFonts w:asciiTheme="minorHAnsi" w:hAnsiTheme="minorHAnsi"/>
          <w:color w:val="auto"/>
          <w:szCs w:val="24"/>
        </w:rPr>
        <w:t xml:space="preserve">lantar </w:t>
      </w:r>
      <w:r w:rsidR="0021315A">
        <w:rPr>
          <w:rFonts w:asciiTheme="minorHAnsi" w:hAnsiTheme="minorHAnsi"/>
          <w:color w:val="auto"/>
          <w:szCs w:val="24"/>
        </w:rPr>
        <w:t>f</w:t>
      </w:r>
      <w:r w:rsidR="00AC6333">
        <w:rPr>
          <w:rFonts w:asciiTheme="minorHAnsi" w:hAnsiTheme="minorHAnsi"/>
          <w:color w:val="auto"/>
          <w:szCs w:val="24"/>
        </w:rPr>
        <w:t xml:space="preserve">asciitis are not distinctly separable and the two conditions are frequently medically linked.  The </w:t>
      </w:r>
      <w:r w:rsidR="00AC6333" w:rsidRPr="00E622B5">
        <w:rPr>
          <w:rFonts w:asciiTheme="minorHAnsi" w:hAnsiTheme="minorHAnsi"/>
          <w:color w:val="auto"/>
          <w:szCs w:val="24"/>
        </w:rPr>
        <w:t xml:space="preserve">PEB </w:t>
      </w:r>
      <w:r w:rsidR="00295CF6">
        <w:rPr>
          <w:rFonts w:asciiTheme="minorHAnsi" w:hAnsiTheme="minorHAnsi"/>
          <w:color w:val="auto"/>
          <w:szCs w:val="24"/>
        </w:rPr>
        <w:t>c</w:t>
      </w:r>
      <w:r w:rsidR="00AC6333" w:rsidRPr="00E622B5">
        <w:rPr>
          <w:rFonts w:asciiTheme="minorHAnsi" w:hAnsiTheme="minorHAnsi"/>
          <w:color w:val="auto"/>
          <w:szCs w:val="24"/>
        </w:rPr>
        <w:t>ategory II designation</w:t>
      </w:r>
      <w:r w:rsidR="00ED0863" w:rsidRPr="00E622B5">
        <w:rPr>
          <w:rFonts w:asciiTheme="minorHAnsi" w:hAnsiTheme="minorHAnsi"/>
          <w:color w:val="auto"/>
          <w:szCs w:val="24"/>
        </w:rPr>
        <w:t xml:space="preserve"> likely </w:t>
      </w:r>
      <w:r w:rsidR="00AC6333" w:rsidRPr="00E622B5">
        <w:rPr>
          <w:rFonts w:asciiTheme="minorHAnsi" w:hAnsiTheme="minorHAnsi"/>
          <w:color w:val="auto"/>
          <w:szCs w:val="24"/>
        </w:rPr>
        <w:t xml:space="preserve">led to the CI’s </w:t>
      </w:r>
      <w:r w:rsidR="0021315A">
        <w:rPr>
          <w:rFonts w:asciiTheme="minorHAnsi" w:hAnsiTheme="minorHAnsi"/>
          <w:color w:val="auto"/>
          <w:szCs w:val="24"/>
        </w:rPr>
        <w:t>c</w:t>
      </w:r>
      <w:r w:rsidR="00AC6333" w:rsidRPr="00E622B5">
        <w:rPr>
          <w:rFonts w:asciiTheme="minorHAnsi" w:hAnsiTheme="minorHAnsi"/>
          <w:color w:val="auto"/>
          <w:szCs w:val="24"/>
        </w:rPr>
        <w:t xml:space="preserve">hronic </w:t>
      </w:r>
      <w:r w:rsidR="0021315A">
        <w:rPr>
          <w:rFonts w:asciiTheme="minorHAnsi" w:hAnsiTheme="minorHAnsi"/>
          <w:color w:val="auto"/>
          <w:szCs w:val="24"/>
        </w:rPr>
        <w:t>b</w:t>
      </w:r>
      <w:r w:rsidR="00AC6333" w:rsidRPr="00E622B5">
        <w:rPr>
          <w:rFonts w:asciiTheme="minorHAnsi" w:hAnsiTheme="minorHAnsi"/>
          <w:color w:val="auto"/>
          <w:szCs w:val="24"/>
        </w:rPr>
        <w:t xml:space="preserve">ilateral </w:t>
      </w:r>
      <w:proofErr w:type="spellStart"/>
      <w:r w:rsidR="0021315A">
        <w:rPr>
          <w:rFonts w:asciiTheme="minorHAnsi" w:hAnsiTheme="minorHAnsi"/>
          <w:color w:val="auto"/>
          <w:szCs w:val="24"/>
        </w:rPr>
        <w:t>s</w:t>
      </w:r>
      <w:r w:rsidR="00AC6333" w:rsidRPr="00E622B5">
        <w:rPr>
          <w:rFonts w:asciiTheme="minorHAnsi" w:hAnsiTheme="minorHAnsi"/>
          <w:color w:val="auto"/>
          <w:szCs w:val="24"/>
        </w:rPr>
        <w:t>esamoiditis</w:t>
      </w:r>
      <w:proofErr w:type="spellEnd"/>
      <w:r w:rsidR="00AC6333" w:rsidRPr="00E622B5">
        <w:rPr>
          <w:rFonts w:asciiTheme="minorHAnsi" w:hAnsiTheme="minorHAnsi"/>
          <w:color w:val="auto"/>
          <w:szCs w:val="24"/>
        </w:rPr>
        <w:t xml:space="preserve"> with </w:t>
      </w:r>
      <w:r w:rsidR="0021315A">
        <w:rPr>
          <w:rFonts w:asciiTheme="minorHAnsi" w:hAnsiTheme="minorHAnsi"/>
          <w:color w:val="auto"/>
          <w:szCs w:val="24"/>
        </w:rPr>
        <w:t>l</w:t>
      </w:r>
      <w:r w:rsidR="00AC6333" w:rsidRPr="00E622B5">
        <w:rPr>
          <w:rFonts w:asciiTheme="minorHAnsi" w:hAnsiTheme="minorHAnsi"/>
          <w:color w:val="auto"/>
          <w:szCs w:val="24"/>
        </w:rPr>
        <w:t xml:space="preserve">eft </w:t>
      </w:r>
      <w:r w:rsidR="0021315A">
        <w:rPr>
          <w:rFonts w:asciiTheme="minorHAnsi" w:hAnsiTheme="minorHAnsi"/>
          <w:color w:val="auto"/>
          <w:szCs w:val="24"/>
        </w:rPr>
        <w:t>f</w:t>
      </w:r>
      <w:r w:rsidR="00AC6333" w:rsidRPr="00E622B5">
        <w:rPr>
          <w:rFonts w:asciiTheme="minorHAnsi" w:hAnsiTheme="minorHAnsi"/>
          <w:color w:val="auto"/>
          <w:szCs w:val="24"/>
        </w:rPr>
        <w:t xml:space="preserve">oot </w:t>
      </w:r>
      <w:proofErr w:type="spellStart"/>
      <w:r w:rsidR="0021315A">
        <w:rPr>
          <w:rFonts w:asciiTheme="minorHAnsi" w:hAnsiTheme="minorHAnsi"/>
          <w:color w:val="auto"/>
          <w:szCs w:val="24"/>
        </w:rPr>
        <w:t>s</w:t>
      </w:r>
      <w:r w:rsidR="00AC6333" w:rsidRPr="00E622B5">
        <w:rPr>
          <w:rFonts w:asciiTheme="minorHAnsi" w:hAnsiTheme="minorHAnsi"/>
          <w:color w:val="auto"/>
          <w:szCs w:val="24"/>
        </w:rPr>
        <w:t>esamoid</w:t>
      </w:r>
      <w:proofErr w:type="spellEnd"/>
      <w:r w:rsidR="00AC6333" w:rsidRPr="00E622B5">
        <w:rPr>
          <w:rFonts w:asciiTheme="minorHAnsi" w:hAnsiTheme="minorHAnsi"/>
          <w:color w:val="auto"/>
          <w:szCs w:val="24"/>
        </w:rPr>
        <w:t xml:space="preserve"> </w:t>
      </w:r>
      <w:r w:rsidR="0021315A">
        <w:rPr>
          <w:rFonts w:asciiTheme="minorHAnsi" w:hAnsiTheme="minorHAnsi"/>
          <w:color w:val="auto"/>
          <w:szCs w:val="24"/>
        </w:rPr>
        <w:t>s</w:t>
      </w:r>
      <w:r w:rsidR="00AC6333" w:rsidRPr="00E622B5">
        <w:rPr>
          <w:rFonts w:asciiTheme="minorHAnsi" w:hAnsiTheme="minorHAnsi"/>
          <w:color w:val="auto"/>
          <w:szCs w:val="24"/>
        </w:rPr>
        <w:t xml:space="preserve">hift not being considered in the rating for the disability </w:t>
      </w:r>
      <w:r w:rsidR="00F970E3" w:rsidRPr="00E622B5">
        <w:rPr>
          <w:rFonts w:asciiTheme="minorHAnsi" w:hAnsiTheme="minorHAnsi"/>
          <w:color w:val="auto"/>
          <w:szCs w:val="24"/>
        </w:rPr>
        <w:t xml:space="preserve">of the CI’s bilateral foot conditions.  The PEB also </w:t>
      </w:r>
      <w:r w:rsidR="00063F1A" w:rsidRPr="00E622B5">
        <w:rPr>
          <w:rFonts w:asciiTheme="minorHAnsi" w:hAnsiTheme="minorHAnsi"/>
          <w:color w:val="auto"/>
          <w:szCs w:val="24"/>
        </w:rPr>
        <w:t>indicated</w:t>
      </w:r>
      <w:r w:rsidR="00F970E3" w:rsidRPr="00E622B5">
        <w:rPr>
          <w:rFonts w:asciiTheme="minorHAnsi" w:hAnsiTheme="minorHAnsi"/>
          <w:color w:val="auto"/>
          <w:szCs w:val="24"/>
        </w:rPr>
        <w:t xml:space="preserve"> left and right foot conditions </w:t>
      </w:r>
      <w:r w:rsidR="00063F1A" w:rsidRPr="00E622B5">
        <w:rPr>
          <w:rFonts w:asciiTheme="minorHAnsi" w:hAnsiTheme="minorHAnsi"/>
          <w:color w:val="auto"/>
          <w:szCs w:val="24"/>
        </w:rPr>
        <w:t xml:space="preserve">coded under </w:t>
      </w:r>
      <w:r w:rsidR="00F970E3" w:rsidRPr="00E622B5">
        <w:rPr>
          <w:rFonts w:asciiTheme="minorHAnsi" w:hAnsiTheme="minorHAnsi"/>
          <w:color w:val="auto"/>
          <w:szCs w:val="24"/>
        </w:rPr>
        <w:t xml:space="preserve">5311 </w:t>
      </w:r>
      <w:r w:rsidR="00ED0863" w:rsidRPr="00E622B5">
        <w:rPr>
          <w:rFonts w:asciiTheme="minorHAnsi" w:hAnsiTheme="minorHAnsi"/>
          <w:color w:val="auto"/>
          <w:szCs w:val="24"/>
        </w:rPr>
        <w:t>(</w:t>
      </w:r>
      <w:r w:rsidR="00295CF6">
        <w:rPr>
          <w:rFonts w:asciiTheme="minorHAnsi" w:hAnsiTheme="minorHAnsi"/>
          <w:color w:val="auto"/>
          <w:szCs w:val="24"/>
        </w:rPr>
        <w:t>m</w:t>
      </w:r>
      <w:r w:rsidR="00ED0863" w:rsidRPr="00E622B5">
        <w:rPr>
          <w:rFonts w:asciiTheme="minorHAnsi" w:hAnsiTheme="minorHAnsi"/>
          <w:color w:val="auto"/>
          <w:szCs w:val="24"/>
        </w:rPr>
        <w:t xml:space="preserve">uscle </w:t>
      </w:r>
      <w:r w:rsidR="00295CF6">
        <w:rPr>
          <w:rFonts w:asciiTheme="minorHAnsi" w:hAnsiTheme="minorHAnsi"/>
          <w:color w:val="auto"/>
          <w:szCs w:val="24"/>
        </w:rPr>
        <w:t>g</w:t>
      </w:r>
      <w:r w:rsidR="00ED0863" w:rsidRPr="0021315A">
        <w:rPr>
          <w:rFonts w:asciiTheme="minorHAnsi" w:hAnsiTheme="minorHAnsi"/>
          <w:color w:val="auto"/>
          <w:szCs w:val="24"/>
        </w:rPr>
        <w:t>roup XI</w:t>
      </w:r>
      <w:r w:rsidR="00ED0863" w:rsidRPr="00E622B5">
        <w:rPr>
          <w:rFonts w:asciiTheme="minorHAnsi" w:hAnsiTheme="minorHAnsi"/>
          <w:color w:val="auto"/>
          <w:szCs w:val="24"/>
        </w:rPr>
        <w:t xml:space="preserve">) </w:t>
      </w:r>
      <w:r w:rsidR="00063F1A" w:rsidRPr="00E622B5">
        <w:rPr>
          <w:rFonts w:asciiTheme="minorHAnsi" w:hAnsiTheme="minorHAnsi"/>
          <w:color w:val="auto"/>
          <w:szCs w:val="24"/>
        </w:rPr>
        <w:t>at 10% each</w:t>
      </w:r>
      <w:r w:rsidR="00496CF6">
        <w:rPr>
          <w:rFonts w:asciiTheme="minorHAnsi" w:hAnsiTheme="minorHAnsi"/>
          <w:color w:val="auto"/>
          <w:szCs w:val="24"/>
        </w:rPr>
        <w:t xml:space="preserve">.  </w:t>
      </w:r>
    </w:p>
    <w:p w:rsidR="00063F1A" w:rsidRDefault="00063F1A" w:rsidP="003D2EE4">
      <w:pPr>
        <w:tabs>
          <w:tab w:val="left" w:pos="288"/>
          <w:tab w:val="left" w:pos="4752"/>
        </w:tabs>
        <w:spacing w:line="240" w:lineRule="exact"/>
        <w:jc w:val="both"/>
        <w:rPr>
          <w:rFonts w:asciiTheme="minorHAnsi" w:hAnsiTheme="minorHAnsi"/>
          <w:color w:val="auto"/>
          <w:szCs w:val="24"/>
        </w:rPr>
      </w:pPr>
    </w:p>
    <w:p w:rsidR="006C232B" w:rsidRDefault="00496CF6" w:rsidP="003D2EE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MEB exam and </w:t>
      </w:r>
      <w:r w:rsidR="0021315A">
        <w:rPr>
          <w:rFonts w:asciiTheme="minorHAnsi" w:hAnsiTheme="minorHAnsi"/>
          <w:color w:val="auto"/>
          <w:szCs w:val="24"/>
        </w:rPr>
        <w:t>n</w:t>
      </w:r>
      <w:r>
        <w:rPr>
          <w:rFonts w:asciiTheme="minorHAnsi" w:hAnsiTheme="minorHAnsi"/>
          <w:color w:val="auto"/>
          <w:szCs w:val="24"/>
        </w:rPr>
        <w:t xml:space="preserve">arrative </w:t>
      </w:r>
      <w:r w:rsidR="0021315A">
        <w:rPr>
          <w:rFonts w:asciiTheme="minorHAnsi" w:hAnsiTheme="minorHAnsi"/>
          <w:color w:val="auto"/>
          <w:szCs w:val="24"/>
        </w:rPr>
        <w:t>s</w:t>
      </w:r>
      <w:r>
        <w:rPr>
          <w:rFonts w:asciiTheme="minorHAnsi" w:hAnsiTheme="minorHAnsi"/>
          <w:color w:val="auto"/>
          <w:szCs w:val="24"/>
        </w:rPr>
        <w:t>ummary (NARSUM</w:t>
      </w:r>
      <w:r w:rsidR="0021315A">
        <w:rPr>
          <w:rFonts w:asciiTheme="minorHAnsi" w:hAnsiTheme="minorHAnsi"/>
          <w:color w:val="auto"/>
          <w:szCs w:val="24"/>
        </w:rPr>
        <w:t>)</w:t>
      </w:r>
      <w:r w:rsidR="00ED0863">
        <w:rPr>
          <w:rFonts w:asciiTheme="minorHAnsi" w:hAnsiTheme="minorHAnsi"/>
          <w:color w:val="auto"/>
          <w:szCs w:val="24"/>
        </w:rPr>
        <w:t xml:space="preserve"> six</w:t>
      </w:r>
      <w:r>
        <w:rPr>
          <w:rFonts w:asciiTheme="minorHAnsi" w:hAnsiTheme="minorHAnsi"/>
          <w:color w:val="auto"/>
          <w:szCs w:val="24"/>
        </w:rPr>
        <w:t xml:space="preserve"> months pre</w:t>
      </w:r>
      <w:r w:rsidR="00EF600F">
        <w:rPr>
          <w:rFonts w:asciiTheme="minorHAnsi" w:hAnsiTheme="minorHAnsi"/>
          <w:color w:val="auto"/>
          <w:szCs w:val="24"/>
        </w:rPr>
        <w:t>-</w:t>
      </w:r>
      <w:r>
        <w:rPr>
          <w:rFonts w:asciiTheme="minorHAnsi" w:hAnsiTheme="minorHAnsi"/>
          <w:color w:val="auto"/>
          <w:szCs w:val="24"/>
        </w:rPr>
        <w:t xml:space="preserve">separation noted that the CI had </w:t>
      </w:r>
      <w:r w:rsidR="00940DDE" w:rsidRPr="00E622B5">
        <w:rPr>
          <w:rFonts w:asciiTheme="minorHAnsi" w:hAnsiTheme="minorHAnsi"/>
          <w:color w:val="auto"/>
          <w:szCs w:val="24"/>
        </w:rPr>
        <w:t xml:space="preserve">continued pain in both feet with continued need for a Cam walker (lower extremity boot </w:t>
      </w:r>
      <w:r w:rsidR="00940DDE" w:rsidRPr="00E622B5">
        <w:rPr>
          <w:rFonts w:asciiTheme="minorHAnsi" w:hAnsiTheme="minorHAnsi"/>
          <w:color w:val="auto"/>
          <w:szCs w:val="24"/>
        </w:rPr>
        <w:lastRenderedPageBreak/>
        <w:t>that provides support, protection and immobilization of ankle post</w:t>
      </w:r>
      <w:r w:rsidR="002713BB">
        <w:rPr>
          <w:rFonts w:asciiTheme="minorHAnsi" w:hAnsiTheme="minorHAnsi"/>
          <w:color w:val="auto"/>
          <w:szCs w:val="24"/>
        </w:rPr>
        <w:t>-</w:t>
      </w:r>
      <w:r w:rsidR="00940DDE" w:rsidRPr="00E622B5">
        <w:rPr>
          <w:rFonts w:asciiTheme="minorHAnsi" w:hAnsiTheme="minorHAnsi"/>
          <w:color w:val="auto"/>
          <w:szCs w:val="24"/>
        </w:rPr>
        <w:t>inj</w:t>
      </w:r>
      <w:r w:rsidR="009A68A9" w:rsidRPr="00E622B5">
        <w:rPr>
          <w:rFonts w:asciiTheme="minorHAnsi" w:hAnsiTheme="minorHAnsi"/>
          <w:color w:val="auto"/>
          <w:szCs w:val="24"/>
        </w:rPr>
        <w:t>ury/surgery) on the right</w:t>
      </w:r>
      <w:r w:rsidR="009842F0" w:rsidRPr="00E622B5">
        <w:rPr>
          <w:rFonts w:asciiTheme="minorHAnsi" w:hAnsiTheme="minorHAnsi"/>
          <w:color w:val="auto"/>
          <w:szCs w:val="24"/>
        </w:rPr>
        <w:t xml:space="preserve">.  The </w:t>
      </w:r>
      <w:r w:rsidR="009A68A9" w:rsidRPr="00E622B5">
        <w:rPr>
          <w:rFonts w:asciiTheme="minorHAnsi" w:hAnsiTheme="minorHAnsi"/>
          <w:color w:val="auto"/>
          <w:szCs w:val="24"/>
        </w:rPr>
        <w:t>exam demonstrated that the</w:t>
      </w:r>
      <w:r w:rsidR="009842F0" w:rsidRPr="00E622B5">
        <w:rPr>
          <w:rFonts w:asciiTheme="minorHAnsi" w:hAnsiTheme="minorHAnsi"/>
          <w:color w:val="auto"/>
          <w:szCs w:val="24"/>
        </w:rPr>
        <w:t xml:space="preserve"> CI had</w:t>
      </w:r>
      <w:r w:rsidR="009A68A9" w:rsidRPr="00E622B5">
        <w:rPr>
          <w:rFonts w:asciiTheme="minorHAnsi" w:hAnsiTheme="minorHAnsi"/>
          <w:color w:val="auto"/>
          <w:szCs w:val="24"/>
        </w:rPr>
        <w:t xml:space="preserve"> right foot mild swelling of the dista</w:t>
      </w:r>
      <w:r w:rsidR="009842F0" w:rsidRPr="00E622B5">
        <w:rPr>
          <w:rFonts w:asciiTheme="minorHAnsi" w:hAnsiTheme="minorHAnsi"/>
          <w:color w:val="auto"/>
          <w:szCs w:val="24"/>
        </w:rPr>
        <w:t xml:space="preserve">l, medial foot, tenderness to palpation over the arch, dorsal surface of the first </w:t>
      </w:r>
      <w:proofErr w:type="spellStart"/>
      <w:r w:rsidR="009842F0" w:rsidRPr="00E622B5">
        <w:rPr>
          <w:rFonts w:asciiTheme="minorHAnsi" w:hAnsiTheme="minorHAnsi"/>
          <w:color w:val="auto"/>
          <w:szCs w:val="24"/>
        </w:rPr>
        <w:t>metatarsophalangeal</w:t>
      </w:r>
      <w:proofErr w:type="spellEnd"/>
      <w:r w:rsidR="009842F0" w:rsidRPr="00E622B5">
        <w:rPr>
          <w:rFonts w:asciiTheme="minorHAnsi" w:hAnsiTheme="minorHAnsi"/>
          <w:color w:val="auto"/>
          <w:szCs w:val="24"/>
        </w:rPr>
        <w:t xml:space="preserve"> joint and </w:t>
      </w:r>
      <w:r w:rsidR="002713BB">
        <w:rPr>
          <w:rFonts w:asciiTheme="minorHAnsi" w:hAnsiTheme="minorHAnsi"/>
          <w:color w:val="auto"/>
          <w:szCs w:val="24"/>
        </w:rPr>
        <w:t>Sesamoid.  T</w:t>
      </w:r>
      <w:r w:rsidR="009842F0" w:rsidRPr="00E622B5">
        <w:rPr>
          <w:rFonts w:asciiTheme="minorHAnsi" w:hAnsiTheme="minorHAnsi"/>
          <w:color w:val="auto"/>
          <w:szCs w:val="24"/>
        </w:rPr>
        <w:t xml:space="preserve">he left foot showed tenderness to palpation over the arch, plantar surface of the first metatarsophalangeal joint and over the </w:t>
      </w:r>
      <w:r w:rsidR="00E266F1" w:rsidRPr="00E622B5">
        <w:rPr>
          <w:rFonts w:asciiTheme="minorHAnsi" w:hAnsiTheme="minorHAnsi"/>
          <w:color w:val="auto"/>
          <w:szCs w:val="24"/>
        </w:rPr>
        <w:t>sesamoid</w:t>
      </w:r>
      <w:r w:rsidR="009842F0" w:rsidRPr="00E622B5">
        <w:rPr>
          <w:rFonts w:asciiTheme="minorHAnsi" w:hAnsiTheme="minorHAnsi"/>
          <w:color w:val="auto"/>
          <w:szCs w:val="24"/>
        </w:rPr>
        <w:t xml:space="preserve">, along with bilateral ankle pronation.  The </w:t>
      </w:r>
      <w:r w:rsidR="008A65A5" w:rsidRPr="00E622B5">
        <w:rPr>
          <w:rFonts w:asciiTheme="minorHAnsi" w:hAnsiTheme="minorHAnsi"/>
          <w:color w:val="auto"/>
          <w:szCs w:val="24"/>
        </w:rPr>
        <w:t xml:space="preserve">examiner further noted that the </w:t>
      </w:r>
      <w:r w:rsidR="009842F0" w:rsidRPr="00E622B5">
        <w:rPr>
          <w:rFonts w:asciiTheme="minorHAnsi" w:hAnsiTheme="minorHAnsi"/>
          <w:color w:val="auto"/>
          <w:szCs w:val="24"/>
        </w:rPr>
        <w:t>MRI</w:t>
      </w:r>
      <w:r w:rsidR="00531597">
        <w:rPr>
          <w:rFonts w:asciiTheme="minorHAnsi" w:hAnsiTheme="minorHAnsi"/>
          <w:color w:val="auto"/>
          <w:szCs w:val="24"/>
        </w:rPr>
        <w:t xml:space="preserve"> on 10 November </w:t>
      </w:r>
      <w:r w:rsidR="008A65A5" w:rsidRPr="00E622B5">
        <w:rPr>
          <w:rFonts w:asciiTheme="minorHAnsi" w:hAnsiTheme="minorHAnsi"/>
          <w:color w:val="auto"/>
          <w:szCs w:val="24"/>
        </w:rPr>
        <w:t>2004</w:t>
      </w:r>
      <w:r w:rsidR="009842F0" w:rsidRPr="00E622B5">
        <w:rPr>
          <w:rFonts w:asciiTheme="minorHAnsi" w:hAnsiTheme="minorHAnsi"/>
          <w:color w:val="auto"/>
          <w:szCs w:val="24"/>
        </w:rPr>
        <w:t xml:space="preserve"> </w:t>
      </w:r>
      <w:r w:rsidR="008A65A5" w:rsidRPr="00E622B5">
        <w:rPr>
          <w:rFonts w:asciiTheme="minorHAnsi" w:hAnsiTheme="minorHAnsi"/>
          <w:color w:val="auto"/>
          <w:szCs w:val="24"/>
        </w:rPr>
        <w:t xml:space="preserve">of the left foot </w:t>
      </w:r>
      <w:r w:rsidR="00ED0863" w:rsidRPr="00E622B5">
        <w:rPr>
          <w:rFonts w:asciiTheme="minorHAnsi" w:hAnsiTheme="minorHAnsi"/>
          <w:color w:val="auto"/>
          <w:szCs w:val="24"/>
        </w:rPr>
        <w:t xml:space="preserve">indicated </w:t>
      </w:r>
      <w:r w:rsidR="008A65A5" w:rsidRPr="00E622B5">
        <w:rPr>
          <w:rFonts w:asciiTheme="minorHAnsi" w:hAnsiTheme="minorHAnsi"/>
          <w:color w:val="auto"/>
          <w:szCs w:val="24"/>
        </w:rPr>
        <w:t>lat</w:t>
      </w:r>
      <w:r w:rsidR="00006971" w:rsidRPr="00E622B5">
        <w:rPr>
          <w:rFonts w:asciiTheme="minorHAnsi" w:hAnsiTheme="minorHAnsi"/>
          <w:color w:val="auto"/>
          <w:szCs w:val="24"/>
        </w:rPr>
        <w:t>e</w:t>
      </w:r>
      <w:r w:rsidR="008A65A5" w:rsidRPr="00E622B5">
        <w:rPr>
          <w:rFonts w:asciiTheme="minorHAnsi" w:hAnsiTheme="minorHAnsi"/>
          <w:color w:val="auto"/>
          <w:szCs w:val="24"/>
        </w:rPr>
        <w:t xml:space="preserve">ral </w:t>
      </w:r>
      <w:proofErr w:type="spellStart"/>
      <w:r w:rsidR="008A65A5" w:rsidRPr="00E622B5">
        <w:rPr>
          <w:rFonts w:asciiTheme="minorHAnsi" w:hAnsiTheme="minorHAnsi"/>
          <w:color w:val="auto"/>
          <w:szCs w:val="24"/>
        </w:rPr>
        <w:t>sesamoid</w:t>
      </w:r>
      <w:proofErr w:type="spellEnd"/>
      <w:r w:rsidR="008A65A5" w:rsidRPr="00E622B5">
        <w:rPr>
          <w:rFonts w:asciiTheme="minorHAnsi" w:hAnsiTheme="minorHAnsi"/>
          <w:color w:val="auto"/>
          <w:szCs w:val="24"/>
        </w:rPr>
        <w:t xml:space="preserve"> bone injury.  The examiner opined that</w:t>
      </w:r>
      <w:r w:rsidR="00531597">
        <w:rPr>
          <w:rFonts w:asciiTheme="minorHAnsi" w:hAnsiTheme="minorHAnsi"/>
          <w:color w:val="auto"/>
          <w:szCs w:val="24"/>
        </w:rPr>
        <w:t>,</w:t>
      </w:r>
      <w:r w:rsidR="008A65A5" w:rsidRPr="00E622B5">
        <w:rPr>
          <w:rFonts w:asciiTheme="minorHAnsi" w:hAnsiTheme="minorHAnsi"/>
          <w:color w:val="auto"/>
          <w:szCs w:val="24"/>
        </w:rPr>
        <w:t xml:space="preserve"> “it was unlikely that the CI would be able to return to full duty” and recommended that wearing combat boots and carrying heavy packs would cause undue stress in both feet and the CI should have limitations of no </w:t>
      </w:r>
      <w:r w:rsidR="00531597">
        <w:rPr>
          <w:rFonts w:asciiTheme="minorHAnsi" w:hAnsiTheme="minorHAnsi"/>
          <w:color w:val="auto"/>
          <w:szCs w:val="24"/>
        </w:rPr>
        <w:t xml:space="preserve">daily </w:t>
      </w:r>
      <w:r w:rsidR="008A65A5" w:rsidRPr="00E622B5">
        <w:rPr>
          <w:rFonts w:asciiTheme="minorHAnsi" w:hAnsiTheme="minorHAnsi"/>
          <w:color w:val="auto"/>
          <w:szCs w:val="24"/>
        </w:rPr>
        <w:t>PFT, running</w:t>
      </w:r>
      <w:r w:rsidR="008A65A5">
        <w:rPr>
          <w:rFonts w:asciiTheme="minorHAnsi" w:hAnsiTheme="minorHAnsi"/>
          <w:color w:val="auto"/>
          <w:szCs w:val="24"/>
        </w:rPr>
        <w:t xml:space="preserve">, contact sports, prolonged standing or walking greater than ten minutes per hour, </w:t>
      </w:r>
      <w:r w:rsidR="002713BB">
        <w:rPr>
          <w:rFonts w:asciiTheme="minorHAnsi" w:hAnsiTheme="minorHAnsi"/>
          <w:color w:val="auto"/>
          <w:szCs w:val="24"/>
        </w:rPr>
        <w:t xml:space="preserve">and </w:t>
      </w:r>
      <w:r w:rsidR="008A65A5">
        <w:rPr>
          <w:rFonts w:asciiTheme="minorHAnsi" w:hAnsiTheme="minorHAnsi"/>
          <w:color w:val="auto"/>
          <w:szCs w:val="24"/>
        </w:rPr>
        <w:t>no marches, humps</w:t>
      </w:r>
      <w:r w:rsidR="002713BB">
        <w:rPr>
          <w:rFonts w:asciiTheme="minorHAnsi" w:hAnsiTheme="minorHAnsi"/>
          <w:color w:val="auto"/>
          <w:szCs w:val="24"/>
        </w:rPr>
        <w:t>,</w:t>
      </w:r>
      <w:r w:rsidR="008A65A5">
        <w:rPr>
          <w:rFonts w:asciiTheme="minorHAnsi" w:hAnsiTheme="minorHAnsi"/>
          <w:color w:val="auto"/>
          <w:szCs w:val="24"/>
        </w:rPr>
        <w:t xml:space="preserve"> field duty or deployments.</w:t>
      </w:r>
      <w:r w:rsidR="00063F1A">
        <w:rPr>
          <w:rFonts w:asciiTheme="minorHAnsi" w:hAnsiTheme="minorHAnsi"/>
          <w:color w:val="auto"/>
          <w:szCs w:val="24"/>
        </w:rPr>
        <w:t xml:space="preserve">  </w:t>
      </w:r>
    </w:p>
    <w:p w:rsidR="00063F1A" w:rsidRDefault="00063F1A" w:rsidP="003D2EE4">
      <w:pPr>
        <w:tabs>
          <w:tab w:val="left" w:pos="288"/>
          <w:tab w:val="left" w:pos="4752"/>
        </w:tabs>
        <w:spacing w:line="240" w:lineRule="exact"/>
        <w:jc w:val="both"/>
        <w:rPr>
          <w:rFonts w:asciiTheme="minorHAnsi" w:hAnsiTheme="minorHAnsi"/>
          <w:color w:val="auto"/>
          <w:szCs w:val="24"/>
        </w:rPr>
      </w:pPr>
    </w:p>
    <w:p w:rsidR="00063F1A" w:rsidRPr="00E622B5" w:rsidRDefault="00B80B01" w:rsidP="00063F1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CI was </w:t>
      </w:r>
      <w:r w:rsidRPr="00E622B5">
        <w:rPr>
          <w:rFonts w:asciiTheme="minorHAnsi" w:hAnsiTheme="minorHAnsi"/>
          <w:color w:val="auto"/>
          <w:szCs w:val="24"/>
        </w:rPr>
        <w:t xml:space="preserve">seen in </w:t>
      </w:r>
      <w:r w:rsidR="00531597">
        <w:rPr>
          <w:rFonts w:asciiTheme="minorHAnsi" w:hAnsiTheme="minorHAnsi"/>
          <w:color w:val="auto"/>
          <w:szCs w:val="24"/>
        </w:rPr>
        <w:t>p</w:t>
      </w:r>
      <w:r w:rsidRPr="00E622B5">
        <w:rPr>
          <w:rFonts w:asciiTheme="minorHAnsi" w:hAnsiTheme="minorHAnsi"/>
          <w:color w:val="auto"/>
          <w:szCs w:val="24"/>
        </w:rPr>
        <w:t xml:space="preserve">odiatry clinic </w:t>
      </w:r>
      <w:r w:rsidR="00ED0863" w:rsidRPr="00E622B5">
        <w:rPr>
          <w:rFonts w:asciiTheme="minorHAnsi" w:hAnsiTheme="minorHAnsi"/>
          <w:color w:val="auto"/>
          <w:szCs w:val="24"/>
        </w:rPr>
        <w:t>three</w:t>
      </w:r>
      <w:r w:rsidR="00063F1A" w:rsidRPr="00E622B5">
        <w:rPr>
          <w:rFonts w:asciiTheme="minorHAnsi" w:hAnsiTheme="minorHAnsi"/>
          <w:color w:val="auto"/>
          <w:szCs w:val="24"/>
        </w:rPr>
        <w:t xml:space="preserve"> months pre-</w:t>
      </w:r>
      <w:r w:rsidRPr="00E622B5">
        <w:rPr>
          <w:rFonts w:asciiTheme="minorHAnsi" w:hAnsiTheme="minorHAnsi"/>
          <w:color w:val="auto"/>
          <w:szCs w:val="24"/>
        </w:rPr>
        <w:t xml:space="preserve">separation </w:t>
      </w:r>
      <w:r w:rsidR="00531597">
        <w:rPr>
          <w:rFonts w:asciiTheme="minorHAnsi" w:hAnsiTheme="minorHAnsi"/>
          <w:color w:val="auto"/>
          <w:szCs w:val="24"/>
        </w:rPr>
        <w:t xml:space="preserve">on 17 November </w:t>
      </w:r>
      <w:r w:rsidRPr="00E622B5">
        <w:rPr>
          <w:rFonts w:asciiTheme="minorHAnsi" w:hAnsiTheme="minorHAnsi"/>
          <w:color w:val="auto"/>
          <w:szCs w:val="24"/>
        </w:rPr>
        <w:t xml:space="preserve">2006 which documented that the there was excessive supination of </w:t>
      </w:r>
      <w:r w:rsidR="00B41B8C" w:rsidRPr="00E622B5">
        <w:rPr>
          <w:rFonts w:asciiTheme="minorHAnsi" w:hAnsiTheme="minorHAnsi"/>
          <w:color w:val="auto"/>
          <w:szCs w:val="24"/>
        </w:rPr>
        <w:t>both feet</w:t>
      </w:r>
      <w:r w:rsidRPr="00E622B5">
        <w:rPr>
          <w:rFonts w:asciiTheme="minorHAnsi" w:hAnsiTheme="minorHAnsi"/>
          <w:color w:val="auto"/>
          <w:szCs w:val="24"/>
        </w:rPr>
        <w:t xml:space="preserve"> secondary to compensation, pain elicited by </w:t>
      </w:r>
      <w:r w:rsidR="00B41B8C" w:rsidRPr="00E622B5">
        <w:rPr>
          <w:rFonts w:asciiTheme="minorHAnsi" w:hAnsiTheme="minorHAnsi"/>
          <w:color w:val="auto"/>
          <w:szCs w:val="24"/>
        </w:rPr>
        <w:t xml:space="preserve">motion </w:t>
      </w:r>
      <w:r w:rsidR="00E266F1" w:rsidRPr="00E622B5">
        <w:rPr>
          <w:rFonts w:asciiTheme="minorHAnsi" w:hAnsiTheme="minorHAnsi"/>
          <w:color w:val="auto"/>
          <w:szCs w:val="24"/>
        </w:rPr>
        <w:t>of the</w:t>
      </w:r>
      <w:r w:rsidRPr="00E622B5">
        <w:rPr>
          <w:rFonts w:asciiTheme="minorHAnsi" w:hAnsiTheme="minorHAnsi"/>
          <w:color w:val="auto"/>
          <w:szCs w:val="24"/>
        </w:rPr>
        <w:t xml:space="preserve"> feet with </w:t>
      </w:r>
      <w:r w:rsidR="00B41B8C" w:rsidRPr="00E622B5">
        <w:rPr>
          <w:rFonts w:asciiTheme="minorHAnsi" w:hAnsiTheme="minorHAnsi"/>
          <w:color w:val="auto"/>
          <w:szCs w:val="24"/>
        </w:rPr>
        <w:t>right</w:t>
      </w:r>
      <w:r w:rsidRPr="00E622B5">
        <w:rPr>
          <w:rFonts w:asciiTheme="minorHAnsi" w:hAnsiTheme="minorHAnsi"/>
          <w:color w:val="auto"/>
          <w:szCs w:val="24"/>
        </w:rPr>
        <w:t xml:space="preserve"> foot tenderness on palpation of the head of the first metatarsal</w:t>
      </w:r>
      <w:r w:rsidR="002713BB">
        <w:rPr>
          <w:rFonts w:asciiTheme="minorHAnsi" w:hAnsiTheme="minorHAnsi"/>
          <w:color w:val="auto"/>
          <w:szCs w:val="24"/>
        </w:rPr>
        <w:t>,</w:t>
      </w:r>
      <w:r w:rsidRPr="00E622B5">
        <w:rPr>
          <w:rFonts w:asciiTheme="minorHAnsi" w:hAnsiTheme="minorHAnsi"/>
          <w:color w:val="auto"/>
          <w:szCs w:val="24"/>
        </w:rPr>
        <w:t xml:space="preserve"> and left foot </w:t>
      </w:r>
      <w:r w:rsidR="00B41B8C" w:rsidRPr="00E622B5">
        <w:rPr>
          <w:rFonts w:asciiTheme="minorHAnsi" w:hAnsiTheme="minorHAnsi"/>
          <w:color w:val="auto"/>
          <w:szCs w:val="24"/>
        </w:rPr>
        <w:t>tenderness</w:t>
      </w:r>
      <w:r w:rsidRPr="00E622B5">
        <w:rPr>
          <w:rFonts w:asciiTheme="minorHAnsi" w:hAnsiTheme="minorHAnsi"/>
          <w:color w:val="auto"/>
          <w:szCs w:val="24"/>
        </w:rPr>
        <w:t xml:space="preserve"> </w:t>
      </w:r>
      <w:r w:rsidR="00B41B8C" w:rsidRPr="00E622B5">
        <w:rPr>
          <w:rFonts w:asciiTheme="minorHAnsi" w:hAnsiTheme="minorHAnsi"/>
          <w:color w:val="auto"/>
          <w:szCs w:val="24"/>
        </w:rPr>
        <w:t>on palpation of the calcareous and the ball of the plantar lateral 1</w:t>
      </w:r>
      <w:r w:rsidR="00B41B8C" w:rsidRPr="00E622B5">
        <w:rPr>
          <w:rFonts w:asciiTheme="minorHAnsi" w:hAnsiTheme="minorHAnsi"/>
          <w:color w:val="auto"/>
          <w:szCs w:val="24"/>
          <w:vertAlign w:val="superscript"/>
        </w:rPr>
        <w:t>st</w:t>
      </w:r>
      <w:r w:rsidR="00B41B8C" w:rsidRPr="00E622B5">
        <w:rPr>
          <w:rFonts w:asciiTheme="minorHAnsi" w:hAnsiTheme="minorHAnsi"/>
          <w:color w:val="auto"/>
          <w:szCs w:val="24"/>
        </w:rPr>
        <w:t xml:space="preserve"> met head.</w:t>
      </w:r>
      <w:r w:rsidRPr="00E622B5">
        <w:rPr>
          <w:rFonts w:asciiTheme="minorHAnsi" w:hAnsiTheme="minorHAnsi"/>
          <w:color w:val="auto"/>
          <w:szCs w:val="24"/>
        </w:rPr>
        <w:t xml:space="preserve"> </w:t>
      </w:r>
      <w:r w:rsidR="00972ED1" w:rsidRPr="00E622B5">
        <w:rPr>
          <w:rFonts w:asciiTheme="minorHAnsi" w:hAnsiTheme="minorHAnsi"/>
          <w:color w:val="auto"/>
          <w:szCs w:val="24"/>
        </w:rPr>
        <w:t xml:space="preserve"> </w:t>
      </w:r>
      <w:r w:rsidR="00F271C3" w:rsidRPr="00E622B5">
        <w:rPr>
          <w:rFonts w:asciiTheme="minorHAnsi" w:hAnsiTheme="minorHAnsi"/>
          <w:color w:val="auto"/>
          <w:szCs w:val="24"/>
        </w:rPr>
        <w:t xml:space="preserve">The CI had an additional </w:t>
      </w:r>
      <w:r w:rsidR="00531597">
        <w:rPr>
          <w:rFonts w:asciiTheme="minorHAnsi" w:hAnsiTheme="minorHAnsi"/>
          <w:color w:val="auto"/>
          <w:szCs w:val="24"/>
        </w:rPr>
        <w:t>p</w:t>
      </w:r>
      <w:r w:rsidR="00F271C3" w:rsidRPr="00E622B5">
        <w:rPr>
          <w:rFonts w:asciiTheme="minorHAnsi" w:hAnsiTheme="minorHAnsi"/>
          <w:color w:val="auto"/>
          <w:szCs w:val="24"/>
        </w:rPr>
        <w:t xml:space="preserve">odiatry </w:t>
      </w:r>
      <w:r w:rsidR="00B41B8C" w:rsidRPr="00E622B5">
        <w:rPr>
          <w:rFonts w:asciiTheme="minorHAnsi" w:hAnsiTheme="minorHAnsi"/>
          <w:color w:val="auto"/>
          <w:szCs w:val="24"/>
        </w:rPr>
        <w:t xml:space="preserve">examination </w:t>
      </w:r>
      <w:r w:rsidR="00531597">
        <w:rPr>
          <w:rFonts w:asciiTheme="minorHAnsi" w:hAnsiTheme="minorHAnsi"/>
          <w:color w:val="auto"/>
          <w:szCs w:val="24"/>
        </w:rPr>
        <w:t xml:space="preserve">on 26 January </w:t>
      </w:r>
      <w:proofErr w:type="gramStart"/>
      <w:r w:rsidR="00F271C3" w:rsidRPr="00E622B5">
        <w:rPr>
          <w:rFonts w:asciiTheme="minorHAnsi" w:hAnsiTheme="minorHAnsi"/>
          <w:color w:val="auto"/>
          <w:szCs w:val="24"/>
        </w:rPr>
        <w:t>2006</w:t>
      </w:r>
      <w:r w:rsidR="002713BB">
        <w:rPr>
          <w:rFonts w:asciiTheme="minorHAnsi" w:hAnsiTheme="minorHAnsi"/>
          <w:color w:val="auto"/>
          <w:szCs w:val="24"/>
        </w:rPr>
        <w:t>,</w:t>
      </w:r>
      <w:r w:rsidR="00F271C3" w:rsidRPr="00E622B5">
        <w:rPr>
          <w:rFonts w:asciiTheme="minorHAnsi" w:hAnsiTheme="minorHAnsi"/>
          <w:color w:val="auto"/>
          <w:szCs w:val="24"/>
        </w:rPr>
        <w:t xml:space="preserve"> that</w:t>
      </w:r>
      <w:proofErr w:type="gramEnd"/>
      <w:r w:rsidR="00F271C3" w:rsidRPr="00E622B5">
        <w:rPr>
          <w:rFonts w:asciiTheme="minorHAnsi" w:hAnsiTheme="minorHAnsi"/>
          <w:color w:val="auto"/>
          <w:szCs w:val="24"/>
        </w:rPr>
        <w:t xml:space="preserve"> was an addendum to the MEB exam</w:t>
      </w:r>
      <w:r w:rsidR="002713BB">
        <w:rPr>
          <w:rFonts w:asciiTheme="minorHAnsi" w:hAnsiTheme="minorHAnsi"/>
          <w:color w:val="auto"/>
          <w:szCs w:val="24"/>
        </w:rPr>
        <w:t>,</w:t>
      </w:r>
      <w:r w:rsidR="00F271C3" w:rsidRPr="00E622B5">
        <w:rPr>
          <w:rFonts w:asciiTheme="minorHAnsi" w:hAnsiTheme="minorHAnsi"/>
          <w:color w:val="auto"/>
          <w:szCs w:val="24"/>
        </w:rPr>
        <w:t xml:space="preserve"> which </w:t>
      </w:r>
      <w:r w:rsidR="00B41B8C" w:rsidRPr="00E622B5">
        <w:rPr>
          <w:rFonts w:asciiTheme="minorHAnsi" w:hAnsiTheme="minorHAnsi"/>
          <w:color w:val="auto"/>
          <w:szCs w:val="24"/>
        </w:rPr>
        <w:t>documented her</w:t>
      </w:r>
      <w:r w:rsidR="00F271C3" w:rsidRPr="00E622B5">
        <w:rPr>
          <w:rFonts w:asciiTheme="minorHAnsi" w:hAnsiTheme="minorHAnsi"/>
          <w:color w:val="auto"/>
          <w:szCs w:val="24"/>
        </w:rPr>
        <w:t xml:space="preserve"> bilateral antalgic gait, walking with supination to alleviate discomfort to the bilateral medial aspects of her feet and </w:t>
      </w:r>
      <w:r w:rsidR="006C232B" w:rsidRPr="00E622B5">
        <w:rPr>
          <w:rFonts w:asciiTheme="minorHAnsi" w:hAnsiTheme="minorHAnsi"/>
          <w:color w:val="auto"/>
          <w:szCs w:val="24"/>
        </w:rPr>
        <w:t>tenderness to</w:t>
      </w:r>
      <w:r w:rsidR="006C232B">
        <w:rPr>
          <w:rFonts w:asciiTheme="minorHAnsi" w:hAnsiTheme="minorHAnsi"/>
          <w:color w:val="auto"/>
          <w:szCs w:val="24"/>
        </w:rPr>
        <w:t xml:space="preserve"> palpation along the plantar central arch bilaterally.  The examiner found that the range of motion </w:t>
      </w:r>
      <w:r w:rsidR="00E702E3">
        <w:rPr>
          <w:rFonts w:asciiTheme="minorHAnsi" w:hAnsiTheme="minorHAnsi"/>
          <w:color w:val="auto"/>
          <w:szCs w:val="24"/>
        </w:rPr>
        <w:t xml:space="preserve">(ROM) </w:t>
      </w:r>
      <w:r w:rsidR="006C232B">
        <w:rPr>
          <w:rFonts w:asciiTheme="minorHAnsi" w:hAnsiTheme="minorHAnsi"/>
          <w:color w:val="auto"/>
          <w:szCs w:val="24"/>
        </w:rPr>
        <w:t xml:space="preserve">of the right foot </w:t>
      </w:r>
      <w:r w:rsidR="00E702E3">
        <w:rPr>
          <w:rFonts w:asciiTheme="minorHAnsi" w:hAnsiTheme="minorHAnsi"/>
          <w:color w:val="auto"/>
          <w:szCs w:val="24"/>
        </w:rPr>
        <w:t>(</w:t>
      </w:r>
      <w:proofErr w:type="spellStart"/>
      <w:r w:rsidR="00531597">
        <w:rPr>
          <w:rFonts w:asciiTheme="minorHAnsi" w:hAnsiTheme="minorHAnsi"/>
          <w:color w:val="auto"/>
          <w:szCs w:val="24"/>
        </w:rPr>
        <w:t>h</w:t>
      </w:r>
      <w:r w:rsidR="00E702E3">
        <w:rPr>
          <w:rFonts w:asciiTheme="minorHAnsi" w:hAnsiTheme="minorHAnsi"/>
          <w:color w:val="auto"/>
          <w:szCs w:val="24"/>
        </w:rPr>
        <w:t>allux</w:t>
      </w:r>
      <w:proofErr w:type="spellEnd"/>
      <w:r w:rsidR="00E702E3">
        <w:rPr>
          <w:rFonts w:asciiTheme="minorHAnsi" w:hAnsiTheme="minorHAnsi"/>
          <w:color w:val="auto"/>
          <w:szCs w:val="24"/>
        </w:rPr>
        <w:t xml:space="preserve">) </w:t>
      </w:r>
      <w:r w:rsidR="00B41B8C">
        <w:rPr>
          <w:rFonts w:asciiTheme="minorHAnsi" w:hAnsiTheme="minorHAnsi"/>
          <w:color w:val="auto"/>
          <w:szCs w:val="24"/>
        </w:rPr>
        <w:t>dorsiflexion was</w:t>
      </w:r>
      <w:r w:rsidR="006C232B">
        <w:rPr>
          <w:rFonts w:asciiTheme="minorHAnsi" w:hAnsiTheme="minorHAnsi"/>
          <w:color w:val="auto"/>
          <w:szCs w:val="24"/>
        </w:rPr>
        <w:t xml:space="preserve"> limited to 20 degrees and on the left was 40 degrees with endpoints limited by discomfort. </w:t>
      </w:r>
      <w:r w:rsidR="00F271C3">
        <w:rPr>
          <w:rFonts w:asciiTheme="minorHAnsi" w:hAnsiTheme="minorHAnsi"/>
          <w:color w:val="auto"/>
          <w:szCs w:val="24"/>
        </w:rPr>
        <w:t xml:space="preserve"> </w:t>
      </w:r>
      <w:r w:rsidR="00E702E3">
        <w:rPr>
          <w:rFonts w:asciiTheme="minorHAnsi" w:hAnsiTheme="minorHAnsi"/>
          <w:color w:val="auto"/>
          <w:szCs w:val="24"/>
        </w:rPr>
        <w:t xml:space="preserve">Ankle ROM was “greater than 10 degrees with her knee straight and approximately 15 degrees with </w:t>
      </w:r>
      <w:r w:rsidR="00E702E3" w:rsidRPr="00E622B5">
        <w:rPr>
          <w:rFonts w:asciiTheme="minorHAnsi" w:hAnsiTheme="minorHAnsi"/>
          <w:color w:val="auto"/>
          <w:szCs w:val="24"/>
        </w:rPr>
        <w:t xml:space="preserve">her knee bent” </w:t>
      </w:r>
      <w:r w:rsidR="00ED0863" w:rsidRPr="00E622B5">
        <w:rPr>
          <w:rFonts w:asciiTheme="minorHAnsi" w:hAnsiTheme="minorHAnsi"/>
          <w:color w:val="auto"/>
          <w:szCs w:val="24"/>
        </w:rPr>
        <w:t>(</w:t>
      </w:r>
      <w:r w:rsidR="00E702E3" w:rsidRPr="00E622B5">
        <w:rPr>
          <w:rFonts w:asciiTheme="minorHAnsi" w:hAnsiTheme="minorHAnsi"/>
          <w:color w:val="auto"/>
          <w:szCs w:val="24"/>
        </w:rPr>
        <w:t>n</w:t>
      </w:r>
      <w:r w:rsidR="00ED0863" w:rsidRPr="00E622B5">
        <w:rPr>
          <w:rFonts w:asciiTheme="minorHAnsi" w:hAnsiTheme="minorHAnsi"/>
          <w:color w:val="auto"/>
          <w:szCs w:val="24"/>
        </w:rPr>
        <w:t xml:space="preserve">ormal </w:t>
      </w:r>
      <w:r w:rsidR="00E702E3" w:rsidRPr="00E622B5">
        <w:rPr>
          <w:rFonts w:asciiTheme="minorHAnsi" w:hAnsiTheme="minorHAnsi"/>
          <w:color w:val="auto"/>
          <w:szCs w:val="24"/>
        </w:rPr>
        <w:t xml:space="preserve">ROM is </w:t>
      </w:r>
      <w:r w:rsidR="00ED0863" w:rsidRPr="00E622B5">
        <w:rPr>
          <w:rFonts w:asciiTheme="minorHAnsi" w:hAnsiTheme="minorHAnsi"/>
          <w:color w:val="auto"/>
          <w:szCs w:val="24"/>
        </w:rPr>
        <w:t>20 degrees dorsiflexion, 45 degrees plantar flexion)</w:t>
      </w:r>
      <w:r w:rsidR="00E702E3" w:rsidRPr="00E622B5">
        <w:rPr>
          <w:rFonts w:asciiTheme="minorHAnsi" w:hAnsiTheme="minorHAnsi"/>
          <w:color w:val="auto"/>
          <w:szCs w:val="24"/>
        </w:rPr>
        <w:t xml:space="preserve">. </w:t>
      </w:r>
      <w:r w:rsidR="00063F1A" w:rsidRPr="00E622B5">
        <w:rPr>
          <w:rFonts w:asciiTheme="minorHAnsi" w:hAnsiTheme="minorHAnsi"/>
          <w:color w:val="auto"/>
          <w:szCs w:val="24"/>
        </w:rPr>
        <w:t xml:space="preserve"> </w:t>
      </w:r>
      <w:r w:rsidR="00B2129D" w:rsidRPr="00E622B5">
        <w:rPr>
          <w:rFonts w:asciiTheme="minorHAnsi" w:hAnsiTheme="minorHAnsi"/>
          <w:color w:val="auto"/>
          <w:szCs w:val="24"/>
        </w:rPr>
        <w:t xml:space="preserve">The CI’s condition was not improved by orthopedic appliances or surgery.  </w:t>
      </w:r>
      <w:r w:rsidR="00063F1A" w:rsidRPr="00E622B5">
        <w:rPr>
          <w:rFonts w:asciiTheme="minorHAnsi" w:hAnsiTheme="minorHAnsi"/>
          <w:color w:val="auto"/>
          <w:szCs w:val="24"/>
        </w:rPr>
        <w:t xml:space="preserve">The NARSUM addendum three months prior to separation indicated bilateral </w:t>
      </w:r>
      <w:proofErr w:type="spellStart"/>
      <w:r w:rsidR="00063F1A" w:rsidRPr="00E622B5">
        <w:rPr>
          <w:rFonts w:asciiTheme="minorHAnsi" w:hAnsiTheme="minorHAnsi"/>
          <w:color w:val="auto"/>
          <w:szCs w:val="24"/>
        </w:rPr>
        <w:t>hallux</w:t>
      </w:r>
      <w:proofErr w:type="spellEnd"/>
      <w:r w:rsidR="00063F1A" w:rsidRPr="00E622B5">
        <w:rPr>
          <w:rFonts w:asciiTheme="minorHAnsi" w:hAnsiTheme="minorHAnsi"/>
          <w:color w:val="auto"/>
          <w:szCs w:val="24"/>
        </w:rPr>
        <w:t xml:space="preserve"> </w:t>
      </w:r>
      <w:proofErr w:type="spellStart"/>
      <w:r w:rsidR="00063F1A" w:rsidRPr="00E622B5">
        <w:rPr>
          <w:rFonts w:asciiTheme="minorHAnsi" w:hAnsiTheme="minorHAnsi"/>
          <w:color w:val="auto"/>
          <w:szCs w:val="24"/>
        </w:rPr>
        <w:t>limitus</w:t>
      </w:r>
      <w:proofErr w:type="spellEnd"/>
      <w:r w:rsidR="002713BB">
        <w:rPr>
          <w:rFonts w:asciiTheme="minorHAnsi" w:hAnsiTheme="minorHAnsi"/>
          <w:color w:val="auto"/>
          <w:szCs w:val="24"/>
        </w:rPr>
        <w:t>,</w:t>
      </w:r>
      <w:r w:rsidR="00063F1A" w:rsidRPr="00E622B5">
        <w:rPr>
          <w:rFonts w:asciiTheme="minorHAnsi" w:hAnsiTheme="minorHAnsi"/>
          <w:color w:val="auto"/>
          <w:szCs w:val="24"/>
        </w:rPr>
        <w:t xml:space="preserve"> with right more severe than the left</w:t>
      </w:r>
      <w:r w:rsidR="002713BB">
        <w:rPr>
          <w:rFonts w:asciiTheme="minorHAnsi" w:hAnsiTheme="minorHAnsi"/>
          <w:color w:val="auto"/>
          <w:szCs w:val="24"/>
        </w:rPr>
        <w:t>,</w:t>
      </w:r>
      <w:r w:rsidR="00063F1A" w:rsidRPr="00E622B5">
        <w:rPr>
          <w:rFonts w:asciiTheme="minorHAnsi" w:hAnsiTheme="minorHAnsi"/>
          <w:color w:val="auto"/>
          <w:szCs w:val="24"/>
        </w:rPr>
        <w:t xml:space="preserve"> and early stages of </w:t>
      </w:r>
      <w:proofErr w:type="spellStart"/>
      <w:r w:rsidR="00063F1A" w:rsidRPr="00E622B5">
        <w:rPr>
          <w:rFonts w:asciiTheme="minorHAnsi" w:hAnsiTheme="minorHAnsi"/>
          <w:color w:val="auto"/>
          <w:szCs w:val="24"/>
        </w:rPr>
        <w:t>gastrocnemius</w:t>
      </w:r>
      <w:proofErr w:type="spellEnd"/>
      <w:r w:rsidR="00063F1A" w:rsidRPr="00E622B5">
        <w:rPr>
          <w:rFonts w:asciiTheme="minorHAnsi" w:hAnsiTheme="minorHAnsi"/>
          <w:color w:val="auto"/>
          <w:szCs w:val="24"/>
        </w:rPr>
        <w:t xml:space="preserve"> </w:t>
      </w:r>
      <w:proofErr w:type="spellStart"/>
      <w:r w:rsidR="00063F1A" w:rsidRPr="00E622B5">
        <w:rPr>
          <w:rFonts w:asciiTheme="minorHAnsi" w:hAnsiTheme="minorHAnsi"/>
          <w:color w:val="auto"/>
          <w:szCs w:val="24"/>
        </w:rPr>
        <w:t>equinius</w:t>
      </w:r>
      <w:proofErr w:type="spellEnd"/>
      <w:r w:rsidR="00063F1A" w:rsidRPr="00E622B5">
        <w:rPr>
          <w:rFonts w:asciiTheme="minorHAnsi" w:hAnsiTheme="minorHAnsi"/>
          <w:color w:val="auto"/>
          <w:szCs w:val="24"/>
        </w:rPr>
        <w:t xml:space="preserve"> bilaterally.  </w:t>
      </w:r>
    </w:p>
    <w:p w:rsidR="00063F1A" w:rsidRDefault="00063F1A" w:rsidP="00063F1A">
      <w:pPr>
        <w:tabs>
          <w:tab w:val="left" w:pos="288"/>
          <w:tab w:val="left" w:pos="4752"/>
        </w:tabs>
        <w:spacing w:line="240" w:lineRule="exact"/>
        <w:jc w:val="both"/>
        <w:rPr>
          <w:rFonts w:asciiTheme="minorHAnsi" w:hAnsiTheme="minorHAnsi"/>
          <w:color w:val="auto"/>
          <w:szCs w:val="24"/>
        </w:rPr>
      </w:pPr>
    </w:p>
    <w:p w:rsidR="007A50E2" w:rsidRDefault="00006971" w:rsidP="003D2EE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VA </w:t>
      </w:r>
      <w:r w:rsidR="00531597">
        <w:rPr>
          <w:rFonts w:asciiTheme="minorHAnsi" w:hAnsiTheme="minorHAnsi"/>
          <w:color w:val="auto"/>
          <w:szCs w:val="24"/>
        </w:rPr>
        <w:t>c</w:t>
      </w:r>
      <w:r>
        <w:rPr>
          <w:rFonts w:asciiTheme="minorHAnsi" w:hAnsiTheme="minorHAnsi"/>
          <w:color w:val="auto"/>
          <w:szCs w:val="24"/>
        </w:rPr>
        <w:t xml:space="preserve">ompensation </w:t>
      </w:r>
      <w:r w:rsidR="00531597">
        <w:rPr>
          <w:rFonts w:asciiTheme="minorHAnsi" w:hAnsiTheme="minorHAnsi"/>
          <w:color w:val="auto"/>
          <w:szCs w:val="24"/>
        </w:rPr>
        <w:t>and p</w:t>
      </w:r>
      <w:r>
        <w:rPr>
          <w:rFonts w:asciiTheme="minorHAnsi" w:hAnsiTheme="minorHAnsi"/>
          <w:color w:val="auto"/>
          <w:szCs w:val="24"/>
        </w:rPr>
        <w:t>ension</w:t>
      </w:r>
      <w:r w:rsidR="006F5E9B">
        <w:rPr>
          <w:rFonts w:asciiTheme="minorHAnsi" w:hAnsiTheme="minorHAnsi"/>
          <w:color w:val="auto"/>
          <w:szCs w:val="24"/>
        </w:rPr>
        <w:t xml:space="preserve"> </w:t>
      </w:r>
      <w:r>
        <w:rPr>
          <w:rFonts w:asciiTheme="minorHAnsi" w:hAnsiTheme="minorHAnsi"/>
          <w:color w:val="auto"/>
          <w:szCs w:val="24"/>
        </w:rPr>
        <w:t>(C&amp;P) examination</w:t>
      </w:r>
      <w:r w:rsidR="00531597" w:rsidRPr="00531597">
        <w:rPr>
          <w:rFonts w:asciiTheme="minorHAnsi" w:hAnsiTheme="minorHAnsi"/>
          <w:color w:val="auto"/>
          <w:szCs w:val="24"/>
        </w:rPr>
        <w:t xml:space="preserve"> </w:t>
      </w:r>
      <w:r w:rsidR="00531597">
        <w:rPr>
          <w:rFonts w:asciiTheme="minorHAnsi" w:hAnsiTheme="minorHAnsi"/>
          <w:color w:val="auto"/>
          <w:szCs w:val="24"/>
        </w:rPr>
        <w:t>on 3 January 2007,</w:t>
      </w:r>
      <w:r>
        <w:rPr>
          <w:rFonts w:asciiTheme="minorHAnsi" w:hAnsiTheme="minorHAnsi"/>
          <w:color w:val="auto"/>
          <w:szCs w:val="24"/>
        </w:rPr>
        <w:t xml:space="preserve"> </w:t>
      </w:r>
      <w:r w:rsidR="006E508E">
        <w:rPr>
          <w:rFonts w:asciiTheme="minorHAnsi" w:hAnsiTheme="minorHAnsi"/>
          <w:color w:val="auto"/>
          <w:szCs w:val="24"/>
        </w:rPr>
        <w:t>seven months</w:t>
      </w:r>
      <w:r w:rsidR="00402F18">
        <w:rPr>
          <w:rFonts w:asciiTheme="minorHAnsi" w:hAnsiTheme="minorHAnsi"/>
          <w:color w:val="auto"/>
          <w:szCs w:val="24"/>
        </w:rPr>
        <w:t xml:space="preserve"> post</w:t>
      </w:r>
      <w:r w:rsidR="00531597">
        <w:rPr>
          <w:rFonts w:asciiTheme="minorHAnsi" w:hAnsiTheme="minorHAnsi"/>
          <w:color w:val="auto"/>
          <w:szCs w:val="24"/>
        </w:rPr>
        <w:t>-</w:t>
      </w:r>
      <w:r w:rsidR="00402F18">
        <w:rPr>
          <w:rFonts w:asciiTheme="minorHAnsi" w:hAnsiTheme="minorHAnsi"/>
          <w:color w:val="auto"/>
          <w:szCs w:val="24"/>
        </w:rPr>
        <w:t>separation</w:t>
      </w:r>
      <w:r w:rsidR="00531597">
        <w:rPr>
          <w:rFonts w:asciiTheme="minorHAnsi" w:hAnsiTheme="minorHAnsi"/>
          <w:color w:val="auto"/>
          <w:szCs w:val="24"/>
        </w:rPr>
        <w:t xml:space="preserve">, </w:t>
      </w:r>
      <w:r w:rsidR="00402F18">
        <w:rPr>
          <w:rFonts w:asciiTheme="minorHAnsi" w:hAnsiTheme="minorHAnsi"/>
          <w:color w:val="auto"/>
          <w:szCs w:val="24"/>
        </w:rPr>
        <w:t>was</w:t>
      </w:r>
      <w:r>
        <w:rPr>
          <w:rFonts w:asciiTheme="minorHAnsi" w:hAnsiTheme="minorHAnsi"/>
          <w:color w:val="auto"/>
          <w:szCs w:val="24"/>
        </w:rPr>
        <w:t xml:space="preserve"> </w:t>
      </w:r>
      <w:r w:rsidR="00402F18">
        <w:rPr>
          <w:rFonts w:asciiTheme="minorHAnsi" w:hAnsiTheme="minorHAnsi"/>
          <w:color w:val="auto"/>
          <w:szCs w:val="24"/>
        </w:rPr>
        <w:t>not significantly different from the MEB examination</w:t>
      </w:r>
      <w:r w:rsidR="00531597">
        <w:rPr>
          <w:rFonts w:asciiTheme="minorHAnsi" w:hAnsiTheme="minorHAnsi"/>
          <w:color w:val="auto"/>
          <w:szCs w:val="24"/>
        </w:rPr>
        <w:t>,</w:t>
      </w:r>
      <w:r w:rsidR="00402F18">
        <w:rPr>
          <w:rFonts w:asciiTheme="minorHAnsi" w:hAnsiTheme="minorHAnsi"/>
          <w:color w:val="auto"/>
          <w:szCs w:val="24"/>
        </w:rPr>
        <w:t xml:space="preserve"> </w:t>
      </w:r>
      <w:r w:rsidR="00F271C3">
        <w:rPr>
          <w:rFonts w:asciiTheme="minorHAnsi" w:hAnsiTheme="minorHAnsi"/>
          <w:color w:val="auto"/>
          <w:szCs w:val="24"/>
        </w:rPr>
        <w:t>aside from greater complaints of pain.  The VA noted that the CI had daily foot pain</w:t>
      </w:r>
      <w:r w:rsidR="006C232B">
        <w:rPr>
          <w:rFonts w:asciiTheme="minorHAnsi" w:hAnsiTheme="minorHAnsi"/>
          <w:color w:val="auto"/>
          <w:szCs w:val="24"/>
        </w:rPr>
        <w:t xml:space="preserve"> </w:t>
      </w:r>
      <w:r w:rsidR="00EB2BCA">
        <w:rPr>
          <w:rFonts w:asciiTheme="minorHAnsi" w:hAnsiTheme="minorHAnsi"/>
          <w:color w:val="auto"/>
          <w:szCs w:val="24"/>
        </w:rPr>
        <w:t>if she walked too long</w:t>
      </w:r>
      <w:r w:rsidR="00B41B8C">
        <w:rPr>
          <w:rFonts w:asciiTheme="minorHAnsi" w:hAnsiTheme="minorHAnsi"/>
          <w:color w:val="auto"/>
          <w:szCs w:val="24"/>
        </w:rPr>
        <w:t xml:space="preserve"> with pain in the left heel which worsen</w:t>
      </w:r>
      <w:r w:rsidR="00ED0863">
        <w:rPr>
          <w:rFonts w:asciiTheme="minorHAnsi" w:hAnsiTheme="minorHAnsi"/>
          <w:color w:val="auto"/>
          <w:szCs w:val="24"/>
        </w:rPr>
        <w:t>ed</w:t>
      </w:r>
      <w:r w:rsidR="00B41B8C">
        <w:rPr>
          <w:rFonts w:asciiTheme="minorHAnsi" w:hAnsiTheme="minorHAnsi"/>
          <w:color w:val="auto"/>
          <w:szCs w:val="24"/>
        </w:rPr>
        <w:t xml:space="preserve"> with weight bearing</w:t>
      </w:r>
      <w:r w:rsidR="00EB2BCA">
        <w:rPr>
          <w:rFonts w:asciiTheme="minorHAnsi" w:hAnsiTheme="minorHAnsi"/>
          <w:color w:val="auto"/>
          <w:szCs w:val="24"/>
        </w:rPr>
        <w:t>.</w:t>
      </w:r>
      <w:r w:rsidR="00B41B8C">
        <w:rPr>
          <w:rFonts w:asciiTheme="minorHAnsi" w:hAnsiTheme="minorHAnsi"/>
          <w:color w:val="auto"/>
          <w:szCs w:val="24"/>
        </w:rPr>
        <w:t xml:space="preserve"> </w:t>
      </w:r>
      <w:r w:rsidR="00ED0863">
        <w:rPr>
          <w:rFonts w:asciiTheme="minorHAnsi" w:hAnsiTheme="minorHAnsi"/>
          <w:color w:val="auto"/>
          <w:szCs w:val="24"/>
        </w:rPr>
        <w:t xml:space="preserve"> </w:t>
      </w:r>
      <w:r w:rsidR="00B41B8C">
        <w:rPr>
          <w:rFonts w:asciiTheme="minorHAnsi" w:hAnsiTheme="minorHAnsi"/>
          <w:color w:val="auto"/>
          <w:szCs w:val="24"/>
        </w:rPr>
        <w:t xml:space="preserve">An </w:t>
      </w:r>
      <w:r w:rsidR="00531597">
        <w:rPr>
          <w:rFonts w:asciiTheme="minorHAnsi" w:hAnsiTheme="minorHAnsi"/>
          <w:color w:val="auto"/>
          <w:szCs w:val="24"/>
        </w:rPr>
        <w:t>X</w:t>
      </w:r>
      <w:r w:rsidR="00B41B8C">
        <w:rPr>
          <w:rFonts w:asciiTheme="minorHAnsi" w:hAnsiTheme="minorHAnsi"/>
          <w:color w:val="auto"/>
          <w:szCs w:val="24"/>
        </w:rPr>
        <w:t xml:space="preserve">-ray </w:t>
      </w:r>
      <w:r w:rsidR="00B41B8C" w:rsidRPr="00063F1A">
        <w:rPr>
          <w:rFonts w:asciiTheme="minorHAnsi" w:hAnsiTheme="minorHAnsi"/>
          <w:color w:val="auto"/>
          <w:szCs w:val="24"/>
        </w:rPr>
        <w:t xml:space="preserve">done at this exam showed spurring of the </w:t>
      </w:r>
      <w:r w:rsidR="00E266F1" w:rsidRPr="00063F1A">
        <w:rPr>
          <w:rFonts w:asciiTheme="minorHAnsi" w:hAnsiTheme="minorHAnsi"/>
          <w:color w:val="auto"/>
          <w:szCs w:val="24"/>
        </w:rPr>
        <w:t>right talus</w:t>
      </w:r>
      <w:r w:rsidR="00B41B8C" w:rsidRPr="00063F1A">
        <w:rPr>
          <w:rFonts w:asciiTheme="minorHAnsi" w:hAnsiTheme="minorHAnsi"/>
          <w:color w:val="auto"/>
          <w:szCs w:val="24"/>
        </w:rPr>
        <w:t>.</w:t>
      </w:r>
      <w:r w:rsidR="00972ED1" w:rsidRPr="00063F1A">
        <w:rPr>
          <w:rFonts w:asciiTheme="minorHAnsi" w:hAnsiTheme="minorHAnsi"/>
          <w:color w:val="auto"/>
          <w:szCs w:val="24"/>
        </w:rPr>
        <w:t xml:space="preserve">  Leg length measurements were </w:t>
      </w:r>
      <w:r w:rsidR="00972ED1" w:rsidRPr="00E622B5">
        <w:rPr>
          <w:rFonts w:asciiTheme="minorHAnsi" w:hAnsiTheme="minorHAnsi"/>
          <w:color w:val="auto"/>
          <w:szCs w:val="24"/>
        </w:rPr>
        <w:t xml:space="preserve">equal, but the examiner conceded </w:t>
      </w:r>
      <w:r w:rsidR="00B91FCB">
        <w:rPr>
          <w:rFonts w:asciiTheme="minorHAnsi" w:hAnsiTheme="minorHAnsi"/>
          <w:color w:val="auto"/>
          <w:szCs w:val="24"/>
        </w:rPr>
        <w:t xml:space="preserve">the </w:t>
      </w:r>
      <w:r w:rsidR="00531597">
        <w:rPr>
          <w:rFonts w:asciiTheme="minorHAnsi" w:hAnsiTheme="minorHAnsi"/>
          <w:color w:val="auto"/>
          <w:szCs w:val="24"/>
        </w:rPr>
        <w:t>X</w:t>
      </w:r>
      <w:r w:rsidR="00972ED1" w:rsidRPr="00E622B5">
        <w:rPr>
          <w:rFonts w:asciiTheme="minorHAnsi" w:hAnsiTheme="minorHAnsi"/>
          <w:color w:val="auto"/>
          <w:szCs w:val="24"/>
        </w:rPr>
        <w:t xml:space="preserve">-ray measured length discrepancy from the record.  </w:t>
      </w:r>
      <w:r w:rsidR="00063F1A" w:rsidRPr="00E622B5">
        <w:rPr>
          <w:rFonts w:asciiTheme="minorHAnsi" w:hAnsiTheme="minorHAnsi"/>
          <w:color w:val="auto"/>
          <w:szCs w:val="24"/>
        </w:rPr>
        <w:t xml:space="preserve">The VA coded the CI’s foot conditions as 30% for </w:t>
      </w:r>
      <w:r w:rsidR="00BF08D6">
        <w:rPr>
          <w:rFonts w:asciiTheme="minorHAnsi" w:hAnsiTheme="minorHAnsi"/>
          <w:color w:val="auto"/>
          <w:szCs w:val="24"/>
        </w:rPr>
        <w:t>b</w:t>
      </w:r>
      <w:r w:rsidR="00063F1A" w:rsidRPr="00E622B5">
        <w:rPr>
          <w:rFonts w:asciiTheme="minorHAnsi" w:hAnsiTheme="minorHAnsi"/>
          <w:color w:val="auto"/>
          <w:szCs w:val="24"/>
        </w:rPr>
        <w:t xml:space="preserve">ilateral </w:t>
      </w:r>
      <w:r w:rsidR="00BF08D6">
        <w:rPr>
          <w:rFonts w:asciiTheme="minorHAnsi" w:hAnsiTheme="minorHAnsi"/>
          <w:color w:val="auto"/>
          <w:szCs w:val="24"/>
        </w:rPr>
        <w:t>p</w:t>
      </w:r>
      <w:r w:rsidR="00063F1A" w:rsidRPr="00E622B5">
        <w:rPr>
          <w:rFonts w:asciiTheme="minorHAnsi" w:hAnsiTheme="minorHAnsi"/>
          <w:color w:val="auto"/>
          <w:szCs w:val="24"/>
        </w:rPr>
        <w:t xml:space="preserve">lantar </w:t>
      </w:r>
      <w:r w:rsidR="00BF08D6">
        <w:rPr>
          <w:rFonts w:asciiTheme="minorHAnsi" w:hAnsiTheme="minorHAnsi"/>
          <w:color w:val="auto"/>
          <w:szCs w:val="24"/>
        </w:rPr>
        <w:t>f</w:t>
      </w:r>
      <w:r w:rsidR="00063F1A" w:rsidRPr="00E622B5">
        <w:rPr>
          <w:rFonts w:asciiTheme="minorHAnsi" w:hAnsiTheme="minorHAnsi"/>
          <w:color w:val="auto"/>
          <w:szCs w:val="24"/>
        </w:rPr>
        <w:t>asciitis w</w:t>
      </w:r>
      <w:r w:rsidR="00BF08D6">
        <w:rPr>
          <w:rFonts w:asciiTheme="minorHAnsi" w:hAnsiTheme="minorHAnsi"/>
          <w:color w:val="auto"/>
          <w:szCs w:val="24"/>
        </w:rPr>
        <w:t>ith c</w:t>
      </w:r>
      <w:r w:rsidR="00063F1A" w:rsidRPr="00E622B5">
        <w:rPr>
          <w:rFonts w:asciiTheme="minorHAnsi" w:hAnsiTheme="minorHAnsi"/>
          <w:color w:val="auto"/>
          <w:szCs w:val="24"/>
        </w:rPr>
        <w:t xml:space="preserve">hronic </w:t>
      </w:r>
      <w:r w:rsidR="00BF08D6">
        <w:rPr>
          <w:rFonts w:asciiTheme="minorHAnsi" w:hAnsiTheme="minorHAnsi"/>
          <w:color w:val="auto"/>
          <w:szCs w:val="24"/>
        </w:rPr>
        <w:t>b</w:t>
      </w:r>
      <w:r w:rsidR="00063F1A" w:rsidRPr="00E622B5">
        <w:rPr>
          <w:rFonts w:asciiTheme="minorHAnsi" w:hAnsiTheme="minorHAnsi"/>
          <w:color w:val="auto"/>
          <w:szCs w:val="24"/>
        </w:rPr>
        <w:t>ilat</w:t>
      </w:r>
      <w:r w:rsidR="00BF08D6">
        <w:rPr>
          <w:rFonts w:asciiTheme="minorHAnsi" w:hAnsiTheme="minorHAnsi"/>
          <w:color w:val="auto"/>
          <w:szCs w:val="24"/>
        </w:rPr>
        <w:t>eral</w:t>
      </w:r>
      <w:r w:rsidR="00063F1A" w:rsidRPr="00E622B5">
        <w:rPr>
          <w:rFonts w:asciiTheme="minorHAnsi" w:hAnsiTheme="minorHAnsi"/>
          <w:color w:val="auto"/>
          <w:szCs w:val="24"/>
        </w:rPr>
        <w:t xml:space="preserve"> </w:t>
      </w:r>
      <w:proofErr w:type="spellStart"/>
      <w:r w:rsidR="00BF08D6">
        <w:rPr>
          <w:rFonts w:asciiTheme="minorHAnsi" w:hAnsiTheme="minorHAnsi"/>
          <w:color w:val="auto"/>
          <w:szCs w:val="24"/>
        </w:rPr>
        <w:t>s</w:t>
      </w:r>
      <w:r w:rsidR="00063F1A" w:rsidRPr="00E622B5">
        <w:rPr>
          <w:rFonts w:asciiTheme="minorHAnsi" w:hAnsiTheme="minorHAnsi"/>
          <w:color w:val="auto"/>
          <w:szCs w:val="24"/>
        </w:rPr>
        <w:t>esamoiditis</w:t>
      </w:r>
      <w:proofErr w:type="spellEnd"/>
      <w:r w:rsidR="00063F1A" w:rsidRPr="00E622B5">
        <w:rPr>
          <w:rFonts w:asciiTheme="minorHAnsi" w:hAnsiTheme="minorHAnsi"/>
          <w:color w:val="auto"/>
          <w:szCs w:val="24"/>
        </w:rPr>
        <w:t xml:space="preserve"> w</w:t>
      </w:r>
      <w:r w:rsidR="00BF08D6">
        <w:rPr>
          <w:rFonts w:asciiTheme="minorHAnsi" w:hAnsiTheme="minorHAnsi"/>
          <w:color w:val="auto"/>
          <w:szCs w:val="24"/>
        </w:rPr>
        <w:t xml:space="preserve">ith history of left </w:t>
      </w:r>
      <w:proofErr w:type="spellStart"/>
      <w:r w:rsidR="00BF08D6">
        <w:rPr>
          <w:rFonts w:asciiTheme="minorHAnsi" w:hAnsiTheme="minorHAnsi"/>
          <w:color w:val="auto"/>
          <w:szCs w:val="24"/>
        </w:rPr>
        <w:t>s</w:t>
      </w:r>
      <w:r w:rsidR="00063F1A" w:rsidRPr="00E622B5">
        <w:rPr>
          <w:rFonts w:asciiTheme="minorHAnsi" w:hAnsiTheme="minorHAnsi"/>
          <w:color w:val="auto"/>
          <w:szCs w:val="24"/>
        </w:rPr>
        <w:t>esamoid</w:t>
      </w:r>
      <w:proofErr w:type="spellEnd"/>
      <w:r w:rsidR="00063F1A" w:rsidRPr="00E622B5">
        <w:rPr>
          <w:rFonts w:asciiTheme="minorHAnsi" w:hAnsiTheme="minorHAnsi"/>
          <w:color w:val="auto"/>
          <w:szCs w:val="24"/>
        </w:rPr>
        <w:t xml:space="preserve"> </w:t>
      </w:r>
      <w:r w:rsidR="00BF08D6">
        <w:rPr>
          <w:rFonts w:asciiTheme="minorHAnsi" w:hAnsiTheme="minorHAnsi"/>
          <w:color w:val="auto"/>
          <w:szCs w:val="24"/>
        </w:rPr>
        <w:t>fracture</w:t>
      </w:r>
      <w:r w:rsidR="00063F1A" w:rsidRPr="00E622B5">
        <w:rPr>
          <w:rFonts w:asciiTheme="minorHAnsi" w:hAnsiTheme="minorHAnsi"/>
          <w:color w:val="auto"/>
          <w:szCs w:val="24"/>
        </w:rPr>
        <w:t xml:space="preserve"> and </w:t>
      </w:r>
      <w:r w:rsidR="00BF08D6">
        <w:rPr>
          <w:rFonts w:asciiTheme="minorHAnsi" w:hAnsiTheme="minorHAnsi"/>
          <w:color w:val="auto"/>
          <w:szCs w:val="24"/>
        </w:rPr>
        <w:t>b</w:t>
      </w:r>
      <w:r w:rsidR="00063F1A" w:rsidRPr="00E622B5">
        <w:rPr>
          <w:rFonts w:asciiTheme="minorHAnsi" w:hAnsiTheme="minorHAnsi"/>
          <w:color w:val="auto"/>
          <w:szCs w:val="24"/>
        </w:rPr>
        <w:t>ilat</w:t>
      </w:r>
      <w:r w:rsidR="00BF08D6">
        <w:rPr>
          <w:rFonts w:asciiTheme="minorHAnsi" w:hAnsiTheme="minorHAnsi"/>
          <w:color w:val="auto"/>
          <w:szCs w:val="24"/>
        </w:rPr>
        <w:t>eral</w:t>
      </w:r>
      <w:r w:rsidR="00063F1A" w:rsidRPr="00E622B5">
        <w:rPr>
          <w:rFonts w:asciiTheme="minorHAnsi" w:hAnsiTheme="minorHAnsi"/>
          <w:color w:val="auto"/>
          <w:szCs w:val="24"/>
        </w:rPr>
        <w:t xml:space="preserve"> </w:t>
      </w:r>
      <w:r w:rsidR="00BF08D6">
        <w:rPr>
          <w:rFonts w:asciiTheme="minorHAnsi" w:hAnsiTheme="minorHAnsi"/>
          <w:color w:val="auto"/>
          <w:szCs w:val="24"/>
        </w:rPr>
        <w:t>t</w:t>
      </w:r>
      <w:r w:rsidR="00063F1A" w:rsidRPr="00E622B5">
        <w:rPr>
          <w:rFonts w:asciiTheme="minorHAnsi" w:hAnsiTheme="minorHAnsi"/>
          <w:color w:val="auto"/>
          <w:szCs w:val="24"/>
        </w:rPr>
        <w:t xml:space="preserve">alus </w:t>
      </w:r>
      <w:r w:rsidR="00B91FCB">
        <w:rPr>
          <w:rFonts w:asciiTheme="minorHAnsi" w:hAnsiTheme="minorHAnsi"/>
          <w:color w:val="auto"/>
          <w:szCs w:val="24"/>
        </w:rPr>
        <w:t>degenerative disc disease (</w:t>
      </w:r>
      <w:r w:rsidR="00063F1A" w:rsidRPr="00E622B5">
        <w:rPr>
          <w:rFonts w:asciiTheme="minorHAnsi" w:hAnsiTheme="minorHAnsi"/>
          <w:color w:val="auto"/>
          <w:szCs w:val="24"/>
        </w:rPr>
        <w:t>DDD</w:t>
      </w:r>
      <w:r w:rsidR="00B91FCB">
        <w:rPr>
          <w:rFonts w:asciiTheme="minorHAnsi" w:hAnsiTheme="minorHAnsi"/>
          <w:color w:val="auto"/>
          <w:szCs w:val="24"/>
        </w:rPr>
        <w:t>)</w:t>
      </w:r>
      <w:r w:rsidR="00BF08D6">
        <w:rPr>
          <w:rFonts w:asciiTheme="minorHAnsi" w:hAnsiTheme="minorHAnsi"/>
          <w:color w:val="auto"/>
          <w:szCs w:val="24"/>
        </w:rPr>
        <w:t>.</w:t>
      </w:r>
      <w:r w:rsidR="00063F1A" w:rsidRPr="00E622B5">
        <w:rPr>
          <w:rFonts w:asciiTheme="minorHAnsi" w:hAnsiTheme="minorHAnsi"/>
          <w:color w:val="auto"/>
          <w:szCs w:val="24"/>
        </w:rPr>
        <w:t xml:space="preserve"> </w:t>
      </w:r>
      <w:r w:rsidR="00B2129D" w:rsidRPr="00E622B5">
        <w:rPr>
          <w:rFonts w:asciiTheme="minorHAnsi" w:hAnsiTheme="minorHAnsi"/>
          <w:color w:val="auto"/>
          <w:szCs w:val="24"/>
        </w:rPr>
        <w:t xml:space="preserve"> </w:t>
      </w:r>
      <w:r w:rsidR="00B41B8C" w:rsidRPr="00E622B5">
        <w:rPr>
          <w:rFonts w:asciiTheme="minorHAnsi" w:hAnsiTheme="minorHAnsi"/>
          <w:color w:val="auto"/>
          <w:szCs w:val="24"/>
        </w:rPr>
        <w:t>The VA and PEB chose different coding options for the CI’s bilateral foot condition</w:t>
      </w:r>
      <w:r w:rsidR="005711D6" w:rsidRPr="00E622B5">
        <w:rPr>
          <w:rFonts w:asciiTheme="minorHAnsi" w:hAnsiTheme="minorHAnsi"/>
          <w:color w:val="auto"/>
          <w:szCs w:val="24"/>
        </w:rPr>
        <w:t>s</w:t>
      </w:r>
      <w:r w:rsidR="00B41B8C" w:rsidRPr="00E622B5">
        <w:rPr>
          <w:rFonts w:asciiTheme="minorHAnsi" w:hAnsiTheme="minorHAnsi"/>
          <w:color w:val="auto"/>
          <w:szCs w:val="24"/>
        </w:rPr>
        <w:t xml:space="preserve"> which </w:t>
      </w:r>
      <w:r w:rsidR="00C13034" w:rsidRPr="00E622B5">
        <w:rPr>
          <w:rFonts w:asciiTheme="minorHAnsi" w:hAnsiTheme="minorHAnsi"/>
          <w:color w:val="auto"/>
          <w:szCs w:val="24"/>
        </w:rPr>
        <w:t>materially</w:t>
      </w:r>
      <w:r w:rsidR="00B41B8C" w:rsidRPr="00E622B5">
        <w:rPr>
          <w:rFonts w:asciiTheme="minorHAnsi" w:hAnsiTheme="minorHAnsi"/>
          <w:color w:val="auto"/>
          <w:szCs w:val="24"/>
        </w:rPr>
        <w:t xml:space="preserve"> impacted </w:t>
      </w:r>
      <w:r w:rsidR="00C13034" w:rsidRPr="00E622B5">
        <w:rPr>
          <w:rFonts w:asciiTheme="minorHAnsi" w:hAnsiTheme="minorHAnsi"/>
          <w:color w:val="auto"/>
          <w:szCs w:val="24"/>
        </w:rPr>
        <w:t>t</w:t>
      </w:r>
      <w:r w:rsidR="00B41B8C" w:rsidRPr="00E622B5">
        <w:rPr>
          <w:rFonts w:asciiTheme="minorHAnsi" w:hAnsiTheme="minorHAnsi"/>
          <w:color w:val="auto"/>
          <w:szCs w:val="24"/>
        </w:rPr>
        <w:t xml:space="preserve">he level of disability rating.  The PEB used the VA </w:t>
      </w:r>
      <w:r w:rsidR="00C13034" w:rsidRPr="00E622B5">
        <w:rPr>
          <w:rFonts w:asciiTheme="minorHAnsi" w:hAnsiTheme="minorHAnsi"/>
          <w:color w:val="auto"/>
          <w:szCs w:val="24"/>
        </w:rPr>
        <w:t xml:space="preserve">Schedule </w:t>
      </w:r>
      <w:r w:rsidR="00531597">
        <w:rPr>
          <w:rFonts w:asciiTheme="minorHAnsi" w:hAnsiTheme="minorHAnsi"/>
          <w:color w:val="auto"/>
          <w:szCs w:val="24"/>
        </w:rPr>
        <w:t xml:space="preserve">for Rating Disabilities (VASRD) </w:t>
      </w:r>
      <w:r w:rsidR="00C13034" w:rsidRPr="00E622B5">
        <w:rPr>
          <w:rFonts w:asciiTheme="minorHAnsi" w:hAnsiTheme="minorHAnsi"/>
          <w:color w:val="auto"/>
          <w:szCs w:val="24"/>
        </w:rPr>
        <w:t>as per §4.73</w:t>
      </w:r>
      <w:r w:rsidR="007A50E2" w:rsidRPr="00E622B5">
        <w:rPr>
          <w:rFonts w:asciiTheme="minorHAnsi" w:hAnsiTheme="minorHAnsi"/>
          <w:color w:val="auto"/>
          <w:szCs w:val="24"/>
        </w:rPr>
        <w:t xml:space="preserve">, code 5311 </w:t>
      </w:r>
      <w:r w:rsidR="00B91FCB">
        <w:rPr>
          <w:rFonts w:asciiTheme="minorHAnsi" w:hAnsiTheme="minorHAnsi"/>
          <w:color w:val="auto"/>
          <w:szCs w:val="24"/>
        </w:rPr>
        <w:t>g</w:t>
      </w:r>
      <w:r w:rsidR="007A50E2" w:rsidRPr="00E622B5">
        <w:rPr>
          <w:rFonts w:asciiTheme="minorHAnsi" w:hAnsiTheme="minorHAnsi"/>
          <w:color w:val="auto"/>
          <w:szCs w:val="24"/>
        </w:rPr>
        <w:t xml:space="preserve">roup XI </w:t>
      </w:r>
      <w:r w:rsidR="00531597">
        <w:rPr>
          <w:rFonts w:asciiTheme="minorHAnsi" w:hAnsiTheme="minorHAnsi"/>
          <w:color w:val="auto"/>
          <w:szCs w:val="24"/>
        </w:rPr>
        <w:t>f</w:t>
      </w:r>
      <w:r w:rsidR="00C13034" w:rsidRPr="00E622B5">
        <w:rPr>
          <w:rFonts w:asciiTheme="minorHAnsi" w:hAnsiTheme="minorHAnsi"/>
          <w:color w:val="auto"/>
          <w:szCs w:val="24"/>
        </w:rPr>
        <w:t>unction</w:t>
      </w:r>
      <w:r w:rsidR="00B91FCB">
        <w:rPr>
          <w:rFonts w:asciiTheme="minorHAnsi" w:hAnsiTheme="minorHAnsi"/>
          <w:color w:val="auto"/>
          <w:szCs w:val="24"/>
        </w:rPr>
        <w:t>,</w:t>
      </w:r>
      <w:r w:rsidR="00C13034" w:rsidRPr="00E622B5">
        <w:rPr>
          <w:rFonts w:asciiTheme="minorHAnsi" w:hAnsiTheme="minorHAnsi"/>
          <w:color w:val="auto"/>
          <w:szCs w:val="24"/>
        </w:rPr>
        <w:t xml:space="preserve"> </w:t>
      </w:r>
      <w:r w:rsidR="00B91FCB">
        <w:rPr>
          <w:rFonts w:asciiTheme="minorHAnsi" w:hAnsiTheme="minorHAnsi"/>
          <w:color w:val="auto"/>
          <w:szCs w:val="24"/>
        </w:rPr>
        <w:t>p</w:t>
      </w:r>
      <w:r w:rsidR="00C13034" w:rsidRPr="00E622B5">
        <w:rPr>
          <w:rFonts w:asciiTheme="minorHAnsi" w:hAnsiTheme="minorHAnsi"/>
          <w:color w:val="auto"/>
          <w:szCs w:val="24"/>
        </w:rPr>
        <w:t>ropulsion, plantar flexion of foot</w:t>
      </w:r>
      <w:r w:rsidR="007A6B74" w:rsidRPr="00E622B5">
        <w:rPr>
          <w:rFonts w:asciiTheme="minorHAnsi" w:hAnsiTheme="minorHAnsi"/>
          <w:color w:val="auto"/>
          <w:szCs w:val="24"/>
        </w:rPr>
        <w:t>, stabilization of arch and flexion of toes</w:t>
      </w:r>
      <w:r w:rsidR="007A50E2" w:rsidRPr="00E622B5">
        <w:rPr>
          <w:rFonts w:asciiTheme="minorHAnsi" w:hAnsiTheme="minorHAnsi"/>
          <w:color w:val="auto"/>
          <w:szCs w:val="24"/>
        </w:rPr>
        <w:t>,</w:t>
      </w:r>
      <w:r w:rsidR="007A6B74" w:rsidRPr="00E622B5">
        <w:rPr>
          <w:rFonts w:asciiTheme="minorHAnsi" w:hAnsiTheme="minorHAnsi"/>
          <w:color w:val="auto"/>
          <w:szCs w:val="24"/>
        </w:rPr>
        <w:t xml:space="preserve"> and a </w:t>
      </w:r>
      <w:r w:rsidR="00933FF0" w:rsidRPr="00E622B5">
        <w:rPr>
          <w:rFonts w:asciiTheme="minorHAnsi" w:hAnsiTheme="minorHAnsi"/>
          <w:color w:val="auto"/>
          <w:szCs w:val="24"/>
        </w:rPr>
        <w:t>10% for each foot (combined</w:t>
      </w:r>
      <w:r w:rsidR="007A6B74" w:rsidRPr="00E622B5">
        <w:rPr>
          <w:rFonts w:asciiTheme="minorHAnsi" w:hAnsiTheme="minorHAnsi"/>
          <w:color w:val="auto"/>
          <w:szCs w:val="24"/>
        </w:rPr>
        <w:t xml:space="preserve"> 20%</w:t>
      </w:r>
      <w:r w:rsidR="00933FF0" w:rsidRPr="00E622B5">
        <w:rPr>
          <w:rFonts w:asciiTheme="minorHAnsi" w:hAnsiTheme="minorHAnsi"/>
          <w:color w:val="auto"/>
          <w:szCs w:val="24"/>
        </w:rPr>
        <w:t>)</w:t>
      </w:r>
      <w:r w:rsidR="005711D6" w:rsidRPr="00E622B5">
        <w:rPr>
          <w:rFonts w:asciiTheme="minorHAnsi" w:hAnsiTheme="minorHAnsi"/>
          <w:color w:val="auto"/>
          <w:szCs w:val="24"/>
        </w:rPr>
        <w:t xml:space="preserve">.  </w:t>
      </w:r>
      <w:r w:rsidR="007A6B74" w:rsidRPr="00E622B5">
        <w:rPr>
          <w:rFonts w:asciiTheme="minorHAnsi" w:hAnsiTheme="minorHAnsi"/>
          <w:color w:val="auto"/>
          <w:szCs w:val="24"/>
        </w:rPr>
        <w:t>The VA considered the CI’s foot conditions (</w:t>
      </w:r>
      <w:r w:rsidR="00EF600F">
        <w:rPr>
          <w:rFonts w:asciiTheme="minorHAnsi" w:hAnsiTheme="minorHAnsi"/>
          <w:color w:val="auto"/>
          <w:szCs w:val="24"/>
        </w:rPr>
        <w:t>b</w:t>
      </w:r>
      <w:r w:rsidR="000C7BB1" w:rsidRPr="00E622B5">
        <w:rPr>
          <w:rFonts w:asciiTheme="minorHAnsi" w:hAnsiTheme="minorHAnsi"/>
          <w:color w:val="auto"/>
          <w:szCs w:val="24"/>
        </w:rPr>
        <w:t xml:space="preserve">ilateral </w:t>
      </w:r>
      <w:r w:rsidR="00EF600F">
        <w:rPr>
          <w:rFonts w:asciiTheme="minorHAnsi" w:hAnsiTheme="minorHAnsi"/>
          <w:color w:val="auto"/>
          <w:szCs w:val="24"/>
        </w:rPr>
        <w:t>p</w:t>
      </w:r>
      <w:r w:rsidR="000C7BB1" w:rsidRPr="00E622B5">
        <w:rPr>
          <w:rFonts w:asciiTheme="minorHAnsi" w:hAnsiTheme="minorHAnsi"/>
          <w:color w:val="auto"/>
          <w:szCs w:val="24"/>
        </w:rPr>
        <w:t xml:space="preserve">lantar </w:t>
      </w:r>
      <w:r w:rsidR="00EF600F">
        <w:rPr>
          <w:rFonts w:asciiTheme="minorHAnsi" w:hAnsiTheme="minorHAnsi"/>
          <w:color w:val="auto"/>
          <w:szCs w:val="24"/>
        </w:rPr>
        <w:t>f</w:t>
      </w:r>
      <w:r w:rsidR="000C7BB1" w:rsidRPr="00E622B5">
        <w:rPr>
          <w:rFonts w:asciiTheme="minorHAnsi" w:hAnsiTheme="minorHAnsi"/>
          <w:color w:val="auto"/>
          <w:szCs w:val="24"/>
        </w:rPr>
        <w:t xml:space="preserve">asciitis </w:t>
      </w:r>
      <w:r w:rsidR="002713BB">
        <w:rPr>
          <w:rFonts w:asciiTheme="minorHAnsi" w:hAnsiTheme="minorHAnsi"/>
          <w:color w:val="auto"/>
          <w:szCs w:val="24"/>
        </w:rPr>
        <w:t xml:space="preserve">with </w:t>
      </w:r>
      <w:r w:rsidR="00EF600F">
        <w:rPr>
          <w:rFonts w:asciiTheme="minorHAnsi" w:hAnsiTheme="minorHAnsi"/>
          <w:color w:val="auto"/>
          <w:szCs w:val="24"/>
        </w:rPr>
        <w:t>c</w:t>
      </w:r>
      <w:r w:rsidR="000C7BB1" w:rsidRPr="00E622B5">
        <w:rPr>
          <w:rFonts w:asciiTheme="minorHAnsi" w:hAnsiTheme="minorHAnsi"/>
          <w:color w:val="auto"/>
          <w:szCs w:val="24"/>
        </w:rPr>
        <w:t xml:space="preserve">hronic </w:t>
      </w:r>
      <w:r w:rsidR="00EF600F">
        <w:rPr>
          <w:rFonts w:asciiTheme="minorHAnsi" w:hAnsiTheme="minorHAnsi"/>
          <w:color w:val="auto"/>
          <w:szCs w:val="24"/>
        </w:rPr>
        <w:t>b</w:t>
      </w:r>
      <w:r w:rsidR="000C7BB1" w:rsidRPr="00E622B5">
        <w:rPr>
          <w:rFonts w:asciiTheme="minorHAnsi" w:hAnsiTheme="minorHAnsi"/>
          <w:color w:val="auto"/>
          <w:szCs w:val="24"/>
        </w:rPr>
        <w:t>ilater</w:t>
      </w:r>
      <w:r w:rsidR="000C7BB1" w:rsidRPr="000C7BB1">
        <w:rPr>
          <w:rFonts w:asciiTheme="minorHAnsi" w:hAnsiTheme="minorHAnsi"/>
          <w:color w:val="auto"/>
          <w:szCs w:val="24"/>
        </w:rPr>
        <w:t xml:space="preserve">al </w:t>
      </w:r>
      <w:proofErr w:type="spellStart"/>
      <w:r w:rsidR="00EF600F">
        <w:rPr>
          <w:rFonts w:asciiTheme="minorHAnsi" w:hAnsiTheme="minorHAnsi"/>
          <w:color w:val="auto"/>
          <w:szCs w:val="24"/>
        </w:rPr>
        <w:t>s</w:t>
      </w:r>
      <w:r w:rsidR="000C7BB1" w:rsidRPr="000C7BB1">
        <w:rPr>
          <w:rFonts w:asciiTheme="minorHAnsi" w:hAnsiTheme="minorHAnsi"/>
          <w:color w:val="auto"/>
          <w:szCs w:val="24"/>
        </w:rPr>
        <w:t>esamoiditis</w:t>
      </w:r>
      <w:proofErr w:type="spellEnd"/>
      <w:r w:rsidR="000C7BB1" w:rsidRPr="000C7BB1">
        <w:rPr>
          <w:rFonts w:asciiTheme="minorHAnsi" w:hAnsiTheme="minorHAnsi"/>
          <w:color w:val="auto"/>
          <w:szCs w:val="24"/>
        </w:rPr>
        <w:t xml:space="preserve"> with </w:t>
      </w:r>
      <w:r w:rsidR="00E266F1" w:rsidRPr="000C7BB1">
        <w:rPr>
          <w:rFonts w:asciiTheme="minorHAnsi" w:hAnsiTheme="minorHAnsi"/>
          <w:color w:val="auto"/>
          <w:szCs w:val="24"/>
        </w:rPr>
        <w:t>h</w:t>
      </w:r>
      <w:r w:rsidR="00E266F1">
        <w:rPr>
          <w:rFonts w:asciiTheme="minorHAnsi" w:hAnsiTheme="minorHAnsi"/>
          <w:color w:val="auto"/>
          <w:szCs w:val="24"/>
        </w:rPr>
        <w:t>istory</w:t>
      </w:r>
      <w:r w:rsidR="002713BB">
        <w:rPr>
          <w:rFonts w:asciiTheme="minorHAnsi" w:hAnsiTheme="minorHAnsi"/>
          <w:color w:val="auto"/>
          <w:szCs w:val="24"/>
        </w:rPr>
        <w:t>,</w:t>
      </w:r>
      <w:r w:rsidR="00E266F1">
        <w:rPr>
          <w:rFonts w:asciiTheme="minorHAnsi" w:hAnsiTheme="minorHAnsi"/>
          <w:color w:val="auto"/>
          <w:szCs w:val="24"/>
        </w:rPr>
        <w:t xml:space="preserve"> </w:t>
      </w:r>
      <w:r w:rsidR="00B91FCB">
        <w:rPr>
          <w:rFonts w:asciiTheme="minorHAnsi" w:hAnsiTheme="minorHAnsi"/>
          <w:color w:val="auto"/>
          <w:szCs w:val="24"/>
        </w:rPr>
        <w:t>l</w:t>
      </w:r>
      <w:r w:rsidR="003D2EE4">
        <w:rPr>
          <w:rFonts w:asciiTheme="minorHAnsi" w:hAnsiTheme="minorHAnsi"/>
          <w:color w:val="auto"/>
          <w:szCs w:val="24"/>
        </w:rPr>
        <w:t>eft</w:t>
      </w:r>
      <w:r w:rsidR="000C7BB1" w:rsidRPr="000C7BB1">
        <w:rPr>
          <w:rFonts w:asciiTheme="minorHAnsi" w:hAnsiTheme="minorHAnsi"/>
          <w:color w:val="auto"/>
          <w:szCs w:val="24"/>
        </w:rPr>
        <w:t xml:space="preserve"> </w:t>
      </w:r>
      <w:proofErr w:type="spellStart"/>
      <w:r w:rsidR="00B91FCB">
        <w:rPr>
          <w:rFonts w:asciiTheme="minorHAnsi" w:hAnsiTheme="minorHAnsi"/>
          <w:color w:val="auto"/>
          <w:szCs w:val="24"/>
        </w:rPr>
        <w:t>s</w:t>
      </w:r>
      <w:r w:rsidR="000C7BB1" w:rsidRPr="000C7BB1">
        <w:rPr>
          <w:rFonts w:asciiTheme="minorHAnsi" w:hAnsiTheme="minorHAnsi"/>
          <w:color w:val="auto"/>
          <w:szCs w:val="24"/>
        </w:rPr>
        <w:t>esamoid</w:t>
      </w:r>
      <w:proofErr w:type="spellEnd"/>
      <w:r w:rsidR="000C7BB1" w:rsidRPr="000C7BB1">
        <w:rPr>
          <w:rFonts w:asciiTheme="minorHAnsi" w:hAnsiTheme="minorHAnsi"/>
          <w:color w:val="auto"/>
          <w:szCs w:val="24"/>
        </w:rPr>
        <w:t xml:space="preserve"> </w:t>
      </w:r>
      <w:proofErr w:type="spellStart"/>
      <w:r w:rsidR="00B91FCB">
        <w:rPr>
          <w:rFonts w:asciiTheme="minorHAnsi" w:hAnsiTheme="minorHAnsi"/>
          <w:color w:val="auto"/>
          <w:szCs w:val="24"/>
        </w:rPr>
        <w:t>f</w:t>
      </w:r>
      <w:r w:rsidR="000C7BB1" w:rsidRPr="000C7BB1">
        <w:rPr>
          <w:rFonts w:asciiTheme="minorHAnsi" w:hAnsiTheme="minorHAnsi"/>
          <w:color w:val="auto"/>
          <w:szCs w:val="24"/>
        </w:rPr>
        <w:t>x</w:t>
      </w:r>
      <w:proofErr w:type="spellEnd"/>
      <w:r w:rsidR="000C7BB1" w:rsidRPr="000C7BB1">
        <w:rPr>
          <w:rFonts w:asciiTheme="minorHAnsi" w:hAnsiTheme="minorHAnsi"/>
          <w:color w:val="auto"/>
          <w:szCs w:val="24"/>
        </w:rPr>
        <w:t xml:space="preserve"> and </w:t>
      </w:r>
      <w:r w:rsidR="00B91FCB">
        <w:rPr>
          <w:rFonts w:asciiTheme="minorHAnsi" w:hAnsiTheme="minorHAnsi"/>
          <w:color w:val="auto"/>
          <w:szCs w:val="24"/>
        </w:rPr>
        <w:t>b</w:t>
      </w:r>
      <w:r w:rsidR="000C7BB1" w:rsidRPr="000C7BB1">
        <w:rPr>
          <w:rFonts w:asciiTheme="minorHAnsi" w:hAnsiTheme="minorHAnsi"/>
          <w:color w:val="auto"/>
          <w:szCs w:val="24"/>
        </w:rPr>
        <w:t xml:space="preserve">ilateral </w:t>
      </w:r>
      <w:r w:rsidR="00B91FCB">
        <w:rPr>
          <w:rFonts w:asciiTheme="minorHAnsi" w:hAnsiTheme="minorHAnsi"/>
          <w:color w:val="auto"/>
          <w:szCs w:val="24"/>
        </w:rPr>
        <w:t>t</w:t>
      </w:r>
      <w:r w:rsidR="000C7BB1" w:rsidRPr="000C7BB1">
        <w:rPr>
          <w:rFonts w:asciiTheme="minorHAnsi" w:hAnsiTheme="minorHAnsi"/>
          <w:color w:val="auto"/>
          <w:szCs w:val="24"/>
        </w:rPr>
        <w:t xml:space="preserve">alus </w:t>
      </w:r>
      <w:r w:rsidR="00B91FCB">
        <w:rPr>
          <w:rFonts w:asciiTheme="minorHAnsi" w:hAnsiTheme="minorHAnsi"/>
          <w:color w:val="auto"/>
          <w:szCs w:val="24"/>
        </w:rPr>
        <w:t>DDD</w:t>
      </w:r>
      <w:r w:rsidR="000C7BB1">
        <w:rPr>
          <w:rFonts w:asciiTheme="minorHAnsi" w:hAnsiTheme="minorHAnsi"/>
          <w:color w:val="auto"/>
          <w:szCs w:val="24"/>
        </w:rPr>
        <w:t xml:space="preserve">) </w:t>
      </w:r>
      <w:r w:rsidR="00CB05FD">
        <w:rPr>
          <w:rFonts w:asciiTheme="minorHAnsi" w:hAnsiTheme="minorHAnsi"/>
          <w:color w:val="auto"/>
          <w:szCs w:val="24"/>
        </w:rPr>
        <w:t>as combining for f</w:t>
      </w:r>
      <w:r w:rsidR="007A50E2">
        <w:rPr>
          <w:rFonts w:asciiTheme="minorHAnsi" w:hAnsiTheme="minorHAnsi"/>
          <w:color w:val="auto"/>
          <w:szCs w:val="24"/>
        </w:rPr>
        <w:t>oot disability IAW VASRD §4.71a</w:t>
      </w:r>
      <w:r w:rsidR="00CB05FD">
        <w:rPr>
          <w:rFonts w:asciiTheme="minorHAnsi" w:hAnsiTheme="minorHAnsi"/>
          <w:color w:val="auto"/>
          <w:szCs w:val="24"/>
        </w:rPr>
        <w:t xml:space="preserve"> </w:t>
      </w:r>
      <w:r w:rsidR="007A50E2">
        <w:rPr>
          <w:rFonts w:asciiTheme="minorHAnsi" w:hAnsiTheme="minorHAnsi"/>
          <w:color w:val="auto"/>
          <w:szCs w:val="24"/>
        </w:rPr>
        <w:t>u</w:t>
      </w:r>
      <w:r w:rsidR="00CB05FD">
        <w:rPr>
          <w:rFonts w:asciiTheme="minorHAnsi" w:hAnsiTheme="minorHAnsi"/>
          <w:color w:val="auto"/>
          <w:szCs w:val="24"/>
        </w:rPr>
        <w:t>s</w:t>
      </w:r>
      <w:r w:rsidR="007A50E2">
        <w:rPr>
          <w:rFonts w:asciiTheme="minorHAnsi" w:hAnsiTheme="minorHAnsi"/>
          <w:color w:val="auto"/>
          <w:szCs w:val="24"/>
        </w:rPr>
        <w:t xml:space="preserve">ing rating </w:t>
      </w:r>
      <w:r w:rsidR="005711D6">
        <w:rPr>
          <w:rFonts w:asciiTheme="minorHAnsi" w:hAnsiTheme="minorHAnsi"/>
          <w:color w:val="auto"/>
          <w:szCs w:val="24"/>
        </w:rPr>
        <w:t xml:space="preserve">analogously to </w:t>
      </w:r>
      <w:r w:rsidR="00B91FCB">
        <w:rPr>
          <w:rFonts w:asciiTheme="minorHAnsi" w:hAnsiTheme="minorHAnsi"/>
          <w:color w:val="auto"/>
          <w:szCs w:val="24"/>
        </w:rPr>
        <w:t>c</w:t>
      </w:r>
      <w:r w:rsidR="007A50E2">
        <w:rPr>
          <w:rFonts w:asciiTheme="minorHAnsi" w:hAnsiTheme="minorHAnsi"/>
          <w:color w:val="auto"/>
          <w:szCs w:val="24"/>
        </w:rPr>
        <w:t>ode 5276</w:t>
      </w:r>
      <w:r w:rsidR="002713BB">
        <w:rPr>
          <w:rFonts w:asciiTheme="minorHAnsi" w:hAnsiTheme="minorHAnsi"/>
          <w:color w:val="auto"/>
          <w:szCs w:val="24"/>
        </w:rPr>
        <w:t xml:space="preserve"> (</w:t>
      </w:r>
      <w:r w:rsidR="00B91FCB">
        <w:rPr>
          <w:rFonts w:asciiTheme="minorHAnsi" w:hAnsiTheme="minorHAnsi"/>
          <w:color w:val="auto"/>
          <w:szCs w:val="24"/>
        </w:rPr>
        <w:t>f</w:t>
      </w:r>
      <w:r w:rsidR="007A50E2">
        <w:rPr>
          <w:rFonts w:asciiTheme="minorHAnsi" w:hAnsiTheme="minorHAnsi"/>
          <w:color w:val="auto"/>
          <w:szCs w:val="24"/>
        </w:rPr>
        <w:t>latfoot</w:t>
      </w:r>
      <w:r w:rsidR="002713BB">
        <w:rPr>
          <w:rFonts w:asciiTheme="minorHAnsi" w:hAnsiTheme="minorHAnsi"/>
          <w:color w:val="auto"/>
          <w:szCs w:val="24"/>
        </w:rPr>
        <w:t>,</w:t>
      </w:r>
      <w:r w:rsidR="00CB05FD">
        <w:rPr>
          <w:rFonts w:asciiTheme="minorHAnsi" w:hAnsiTheme="minorHAnsi"/>
          <w:color w:val="auto"/>
          <w:szCs w:val="24"/>
        </w:rPr>
        <w:t xml:space="preserve"> acquired</w:t>
      </w:r>
      <w:r w:rsidR="002713BB">
        <w:rPr>
          <w:rFonts w:asciiTheme="minorHAnsi" w:hAnsiTheme="minorHAnsi"/>
          <w:color w:val="auto"/>
          <w:szCs w:val="24"/>
        </w:rPr>
        <w:t>),</w:t>
      </w:r>
      <w:r w:rsidR="00CB05FD">
        <w:rPr>
          <w:rFonts w:asciiTheme="minorHAnsi" w:hAnsiTheme="minorHAnsi"/>
          <w:color w:val="auto"/>
          <w:szCs w:val="24"/>
        </w:rPr>
        <w:t xml:space="preserve"> and awarded the CI a rat</w:t>
      </w:r>
      <w:r w:rsidR="005711D6">
        <w:rPr>
          <w:rFonts w:asciiTheme="minorHAnsi" w:hAnsiTheme="minorHAnsi"/>
          <w:color w:val="auto"/>
          <w:szCs w:val="24"/>
        </w:rPr>
        <w:t>ing of 30% (severe, bilateral) indicating t</w:t>
      </w:r>
      <w:r w:rsidR="00CB05FD">
        <w:rPr>
          <w:rFonts w:asciiTheme="minorHAnsi" w:hAnsiTheme="minorHAnsi"/>
          <w:color w:val="auto"/>
          <w:szCs w:val="24"/>
        </w:rPr>
        <w:t xml:space="preserve">he 5276 criteria of “objective evidence of marked deformity; pain on </w:t>
      </w:r>
      <w:r w:rsidR="00E266F1">
        <w:rPr>
          <w:rFonts w:asciiTheme="minorHAnsi" w:hAnsiTheme="minorHAnsi"/>
          <w:color w:val="auto"/>
          <w:szCs w:val="24"/>
        </w:rPr>
        <w:t>manipulation</w:t>
      </w:r>
      <w:r w:rsidR="00CB05FD">
        <w:rPr>
          <w:rFonts w:asciiTheme="minorHAnsi" w:hAnsiTheme="minorHAnsi"/>
          <w:color w:val="auto"/>
          <w:szCs w:val="24"/>
        </w:rPr>
        <w:t xml:space="preserve">” were </w:t>
      </w:r>
      <w:r w:rsidR="007A50E2">
        <w:rPr>
          <w:rFonts w:asciiTheme="minorHAnsi" w:hAnsiTheme="minorHAnsi"/>
          <w:color w:val="auto"/>
          <w:szCs w:val="24"/>
        </w:rPr>
        <w:t xml:space="preserve">present </w:t>
      </w:r>
      <w:r w:rsidR="00CB05FD">
        <w:rPr>
          <w:rFonts w:asciiTheme="minorHAnsi" w:hAnsiTheme="minorHAnsi"/>
          <w:color w:val="auto"/>
          <w:szCs w:val="24"/>
        </w:rPr>
        <w:t>along with swelling</w:t>
      </w:r>
      <w:r w:rsidR="00931D2C">
        <w:rPr>
          <w:rFonts w:asciiTheme="minorHAnsi" w:hAnsiTheme="minorHAnsi"/>
          <w:color w:val="auto"/>
          <w:szCs w:val="24"/>
        </w:rPr>
        <w:t xml:space="preserve"> </w:t>
      </w:r>
      <w:r w:rsidR="00CB05FD">
        <w:rPr>
          <w:rFonts w:asciiTheme="minorHAnsi" w:hAnsiTheme="minorHAnsi"/>
          <w:color w:val="auto"/>
          <w:szCs w:val="24"/>
        </w:rPr>
        <w:t xml:space="preserve">on use.  </w:t>
      </w:r>
      <w:r w:rsidR="005711D6">
        <w:rPr>
          <w:rFonts w:asciiTheme="minorHAnsi" w:hAnsiTheme="minorHAnsi"/>
          <w:color w:val="auto"/>
          <w:szCs w:val="24"/>
        </w:rPr>
        <w:t xml:space="preserve">The VA </w:t>
      </w:r>
      <w:r w:rsidR="005711D6" w:rsidRPr="00063F1A">
        <w:rPr>
          <w:rFonts w:asciiTheme="minorHAnsi" w:hAnsiTheme="minorHAnsi"/>
          <w:color w:val="auto"/>
          <w:szCs w:val="24"/>
        </w:rPr>
        <w:t>additional</w:t>
      </w:r>
      <w:r w:rsidR="005711D6">
        <w:rPr>
          <w:rFonts w:asciiTheme="minorHAnsi" w:hAnsiTheme="minorHAnsi"/>
          <w:color w:val="auto"/>
          <w:szCs w:val="24"/>
        </w:rPr>
        <w:t xml:space="preserve">ly rated </w:t>
      </w:r>
      <w:r w:rsidR="00BF08D6">
        <w:rPr>
          <w:rFonts w:asciiTheme="minorHAnsi" w:hAnsiTheme="minorHAnsi"/>
          <w:color w:val="auto"/>
          <w:szCs w:val="24"/>
        </w:rPr>
        <w:t xml:space="preserve">the right foot at </w:t>
      </w:r>
      <w:r w:rsidR="005711D6" w:rsidRPr="00063F1A">
        <w:rPr>
          <w:rFonts w:asciiTheme="minorHAnsi" w:hAnsiTheme="minorHAnsi"/>
          <w:color w:val="auto"/>
          <w:szCs w:val="24"/>
        </w:rPr>
        <w:t xml:space="preserve">10% </w:t>
      </w:r>
      <w:r w:rsidR="00BF08D6">
        <w:rPr>
          <w:rFonts w:asciiTheme="minorHAnsi" w:hAnsiTheme="minorHAnsi"/>
          <w:color w:val="auto"/>
          <w:szCs w:val="24"/>
        </w:rPr>
        <w:t>(</w:t>
      </w:r>
      <w:r w:rsidR="00B91FCB">
        <w:rPr>
          <w:rFonts w:asciiTheme="minorHAnsi" w:hAnsiTheme="minorHAnsi"/>
          <w:color w:val="auto"/>
          <w:szCs w:val="24"/>
        </w:rPr>
        <w:t xml:space="preserve">code </w:t>
      </w:r>
      <w:r w:rsidR="00BF08D6" w:rsidRPr="00BF08D6">
        <w:rPr>
          <w:rFonts w:asciiTheme="minorHAnsi" w:hAnsiTheme="minorHAnsi"/>
          <w:color w:val="auto"/>
          <w:szCs w:val="24"/>
        </w:rPr>
        <w:t>5280</w:t>
      </w:r>
      <w:r w:rsidR="00BF08D6">
        <w:rPr>
          <w:rFonts w:asciiTheme="minorHAnsi" w:hAnsiTheme="minorHAnsi"/>
          <w:color w:val="auto"/>
          <w:szCs w:val="24"/>
        </w:rPr>
        <w:t xml:space="preserve">) </w:t>
      </w:r>
      <w:r w:rsidR="005711D6" w:rsidRPr="00063F1A">
        <w:rPr>
          <w:rFonts w:asciiTheme="minorHAnsi" w:hAnsiTheme="minorHAnsi"/>
          <w:color w:val="auto"/>
          <w:szCs w:val="24"/>
        </w:rPr>
        <w:t xml:space="preserve">for </w:t>
      </w:r>
      <w:r w:rsidR="005711D6">
        <w:rPr>
          <w:rFonts w:asciiTheme="minorHAnsi" w:hAnsiTheme="minorHAnsi"/>
          <w:color w:val="auto"/>
          <w:szCs w:val="24"/>
        </w:rPr>
        <w:t>status post</w:t>
      </w:r>
      <w:r w:rsidR="002713BB">
        <w:rPr>
          <w:rFonts w:asciiTheme="minorHAnsi" w:hAnsiTheme="minorHAnsi"/>
          <w:color w:val="auto"/>
          <w:szCs w:val="24"/>
        </w:rPr>
        <w:t>-</w:t>
      </w:r>
      <w:proofErr w:type="spellStart"/>
      <w:r w:rsidR="005711D6">
        <w:rPr>
          <w:rFonts w:asciiTheme="minorHAnsi" w:hAnsiTheme="minorHAnsi"/>
          <w:color w:val="auto"/>
          <w:szCs w:val="24"/>
        </w:rPr>
        <w:t>b</w:t>
      </w:r>
      <w:r w:rsidR="005711D6" w:rsidRPr="00063F1A">
        <w:rPr>
          <w:rFonts w:asciiTheme="minorHAnsi" w:hAnsiTheme="minorHAnsi"/>
          <w:color w:val="auto"/>
          <w:szCs w:val="24"/>
        </w:rPr>
        <w:t>unionectomy</w:t>
      </w:r>
      <w:proofErr w:type="spellEnd"/>
      <w:r w:rsidR="005711D6" w:rsidRPr="00063F1A">
        <w:rPr>
          <w:rFonts w:asciiTheme="minorHAnsi" w:hAnsiTheme="minorHAnsi"/>
          <w:color w:val="auto"/>
          <w:szCs w:val="24"/>
        </w:rPr>
        <w:t>.</w:t>
      </w:r>
    </w:p>
    <w:p w:rsidR="005711D6" w:rsidRDefault="005711D6" w:rsidP="003D2EE4">
      <w:pPr>
        <w:tabs>
          <w:tab w:val="left" w:pos="288"/>
          <w:tab w:val="left" w:pos="4752"/>
        </w:tabs>
        <w:spacing w:line="240" w:lineRule="exact"/>
        <w:jc w:val="both"/>
        <w:rPr>
          <w:rFonts w:asciiTheme="minorHAnsi" w:hAnsiTheme="minorHAnsi"/>
          <w:color w:val="auto"/>
          <w:szCs w:val="24"/>
        </w:rPr>
      </w:pPr>
    </w:p>
    <w:p w:rsidR="007C477A" w:rsidRPr="00B2129D" w:rsidRDefault="00931D2C" w:rsidP="003D2EE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Board deliberated on the overlap of symptoms of the CI’s unfitting “</w:t>
      </w:r>
      <w:r w:rsidR="00B91FCB">
        <w:rPr>
          <w:rFonts w:asciiTheme="minorHAnsi" w:hAnsiTheme="minorHAnsi"/>
          <w:color w:val="auto"/>
          <w:szCs w:val="24"/>
        </w:rPr>
        <w:t>c</w:t>
      </w:r>
      <w:r w:rsidRPr="00931D2C">
        <w:rPr>
          <w:rFonts w:asciiTheme="minorHAnsi" w:hAnsiTheme="minorHAnsi"/>
          <w:color w:val="auto"/>
          <w:szCs w:val="24"/>
        </w:rPr>
        <w:t xml:space="preserve">hronic </w:t>
      </w:r>
      <w:r w:rsidR="00B91FCB">
        <w:rPr>
          <w:rFonts w:asciiTheme="minorHAnsi" w:hAnsiTheme="minorHAnsi"/>
          <w:color w:val="auto"/>
          <w:szCs w:val="24"/>
        </w:rPr>
        <w:t>b</w:t>
      </w:r>
      <w:r w:rsidRPr="00931D2C">
        <w:rPr>
          <w:rFonts w:asciiTheme="minorHAnsi" w:hAnsiTheme="minorHAnsi"/>
          <w:color w:val="auto"/>
          <w:szCs w:val="24"/>
        </w:rPr>
        <w:t xml:space="preserve">ilateral </w:t>
      </w:r>
      <w:r w:rsidR="00B91FCB">
        <w:rPr>
          <w:rFonts w:asciiTheme="minorHAnsi" w:hAnsiTheme="minorHAnsi"/>
          <w:color w:val="auto"/>
          <w:szCs w:val="24"/>
        </w:rPr>
        <w:t>p</w:t>
      </w:r>
      <w:r w:rsidRPr="00931D2C">
        <w:rPr>
          <w:rFonts w:asciiTheme="minorHAnsi" w:hAnsiTheme="minorHAnsi"/>
          <w:color w:val="auto"/>
          <w:szCs w:val="24"/>
        </w:rPr>
        <w:t xml:space="preserve">lantar </w:t>
      </w:r>
      <w:r w:rsidR="00B91FCB">
        <w:rPr>
          <w:rFonts w:asciiTheme="minorHAnsi" w:hAnsiTheme="minorHAnsi"/>
          <w:color w:val="auto"/>
          <w:szCs w:val="24"/>
        </w:rPr>
        <w:t>f</w:t>
      </w:r>
      <w:r w:rsidRPr="00931D2C">
        <w:rPr>
          <w:rFonts w:asciiTheme="minorHAnsi" w:hAnsiTheme="minorHAnsi"/>
          <w:color w:val="auto"/>
          <w:szCs w:val="24"/>
        </w:rPr>
        <w:t>asciitis</w:t>
      </w:r>
      <w:r>
        <w:rPr>
          <w:rFonts w:asciiTheme="minorHAnsi" w:hAnsiTheme="minorHAnsi"/>
          <w:color w:val="auto"/>
          <w:szCs w:val="24"/>
        </w:rPr>
        <w:t>” versus the service</w:t>
      </w:r>
      <w:r w:rsidR="00B91FCB">
        <w:rPr>
          <w:rFonts w:asciiTheme="minorHAnsi" w:hAnsiTheme="minorHAnsi"/>
          <w:color w:val="auto"/>
          <w:szCs w:val="24"/>
        </w:rPr>
        <w:t>-</w:t>
      </w:r>
      <w:r>
        <w:rPr>
          <w:rFonts w:asciiTheme="minorHAnsi" w:hAnsiTheme="minorHAnsi"/>
          <w:color w:val="auto"/>
          <w:szCs w:val="24"/>
        </w:rPr>
        <w:t xml:space="preserve">aggravated </w:t>
      </w:r>
      <w:r w:rsidR="00B91FCB">
        <w:rPr>
          <w:rFonts w:asciiTheme="minorHAnsi" w:hAnsiTheme="minorHAnsi"/>
          <w:color w:val="auto"/>
          <w:szCs w:val="24"/>
        </w:rPr>
        <w:t>c</w:t>
      </w:r>
      <w:r w:rsidR="00856DE0" w:rsidRPr="00856DE0">
        <w:rPr>
          <w:rFonts w:asciiTheme="minorHAnsi" w:hAnsiTheme="minorHAnsi"/>
          <w:color w:val="auto"/>
          <w:szCs w:val="24"/>
        </w:rPr>
        <w:t xml:space="preserve">hronic </w:t>
      </w:r>
      <w:r w:rsidR="00B91FCB">
        <w:rPr>
          <w:rFonts w:asciiTheme="minorHAnsi" w:hAnsiTheme="minorHAnsi"/>
          <w:color w:val="auto"/>
          <w:szCs w:val="24"/>
        </w:rPr>
        <w:t>b</w:t>
      </w:r>
      <w:r w:rsidR="00856DE0" w:rsidRPr="00856DE0">
        <w:rPr>
          <w:rFonts w:asciiTheme="minorHAnsi" w:hAnsiTheme="minorHAnsi"/>
          <w:color w:val="auto"/>
          <w:szCs w:val="24"/>
        </w:rPr>
        <w:t xml:space="preserve">ilateral </w:t>
      </w:r>
      <w:proofErr w:type="spellStart"/>
      <w:r w:rsidR="00B91FCB">
        <w:rPr>
          <w:rFonts w:asciiTheme="minorHAnsi" w:hAnsiTheme="minorHAnsi"/>
          <w:color w:val="auto"/>
          <w:szCs w:val="24"/>
        </w:rPr>
        <w:t>s</w:t>
      </w:r>
      <w:r w:rsidR="00856DE0" w:rsidRPr="00856DE0">
        <w:rPr>
          <w:rFonts w:asciiTheme="minorHAnsi" w:hAnsiTheme="minorHAnsi"/>
          <w:color w:val="auto"/>
          <w:szCs w:val="24"/>
        </w:rPr>
        <w:t>esamoiditis</w:t>
      </w:r>
      <w:proofErr w:type="spellEnd"/>
      <w:r w:rsidR="00856DE0" w:rsidRPr="00856DE0">
        <w:rPr>
          <w:rFonts w:asciiTheme="minorHAnsi" w:hAnsiTheme="minorHAnsi"/>
          <w:color w:val="auto"/>
          <w:szCs w:val="24"/>
        </w:rPr>
        <w:t xml:space="preserve"> </w:t>
      </w:r>
      <w:r w:rsidR="002713BB">
        <w:rPr>
          <w:rFonts w:asciiTheme="minorHAnsi" w:hAnsiTheme="minorHAnsi"/>
          <w:color w:val="auto"/>
          <w:szCs w:val="24"/>
        </w:rPr>
        <w:t>with l</w:t>
      </w:r>
      <w:r w:rsidR="00B91FCB">
        <w:rPr>
          <w:rFonts w:asciiTheme="minorHAnsi" w:hAnsiTheme="minorHAnsi"/>
          <w:color w:val="auto"/>
          <w:szCs w:val="24"/>
        </w:rPr>
        <w:t>e</w:t>
      </w:r>
      <w:r w:rsidR="003D2EE4">
        <w:rPr>
          <w:rFonts w:asciiTheme="minorHAnsi" w:hAnsiTheme="minorHAnsi"/>
          <w:color w:val="auto"/>
          <w:szCs w:val="24"/>
        </w:rPr>
        <w:t>ft</w:t>
      </w:r>
      <w:r w:rsidR="00856DE0" w:rsidRPr="00856DE0">
        <w:rPr>
          <w:rFonts w:asciiTheme="minorHAnsi" w:hAnsiTheme="minorHAnsi"/>
          <w:color w:val="auto"/>
          <w:szCs w:val="24"/>
        </w:rPr>
        <w:t xml:space="preserve"> </w:t>
      </w:r>
      <w:r w:rsidR="00B91FCB">
        <w:rPr>
          <w:rFonts w:asciiTheme="minorHAnsi" w:hAnsiTheme="minorHAnsi"/>
          <w:color w:val="auto"/>
          <w:szCs w:val="24"/>
        </w:rPr>
        <w:t>f</w:t>
      </w:r>
      <w:r w:rsidR="00856DE0" w:rsidRPr="00856DE0">
        <w:rPr>
          <w:rFonts w:asciiTheme="minorHAnsi" w:hAnsiTheme="minorHAnsi"/>
          <w:color w:val="auto"/>
          <w:szCs w:val="24"/>
        </w:rPr>
        <w:t xml:space="preserve">oot </w:t>
      </w:r>
      <w:proofErr w:type="spellStart"/>
      <w:r w:rsidR="00B91FCB">
        <w:rPr>
          <w:rFonts w:asciiTheme="minorHAnsi" w:hAnsiTheme="minorHAnsi"/>
          <w:color w:val="auto"/>
          <w:szCs w:val="24"/>
        </w:rPr>
        <w:t>s</w:t>
      </w:r>
      <w:r w:rsidR="00856DE0" w:rsidRPr="00856DE0">
        <w:rPr>
          <w:rFonts w:asciiTheme="minorHAnsi" w:hAnsiTheme="minorHAnsi"/>
          <w:color w:val="auto"/>
          <w:szCs w:val="24"/>
        </w:rPr>
        <w:t>esamoid</w:t>
      </w:r>
      <w:proofErr w:type="spellEnd"/>
      <w:r w:rsidR="00856DE0" w:rsidRPr="00856DE0">
        <w:rPr>
          <w:rFonts w:asciiTheme="minorHAnsi" w:hAnsiTheme="minorHAnsi"/>
          <w:color w:val="auto"/>
          <w:szCs w:val="24"/>
        </w:rPr>
        <w:t xml:space="preserve"> </w:t>
      </w:r>
      <w:r w:rsidR="00B91FCB">
        <w:rPr>
          <w:rFonts w:asciiTheme="minorHAnsi" w:hAnsiTheme="minorHAnsi"/>
          <w:color w:val="auto"/>
          <w:szCs w:val="24"/>
        </w:rPr>
        <w:t>s</w:t>
      </w:r>
      <w:r w:rsidR="00856DE0" w:rsidRPr="00856DE0">
        <w:rPr>
          <w:rFonts w:asciiTheme="minorHAnsi" w:hAnsiTheme="minorHAnsi"/>
          <w:color w:val="auto"/>
          <w:szCs w:val="24"/>
        </w:rPr>
        <w:t>hift</w:t>
      </w:r>
      <w:r w:rsidR="005711D6">
        <w:rPr>
          <w:rFonts w:asciiTheme="minorHAnsi" w:hAnsiTheme="minorHAnsi"/>
          <w:color w:val="auto"/>
          <w:szCs w:val="24"/>
        </w:rPr>
        <w:t xml:space="preserve">, </w:t>
      </w:r>
      <w:r w:rsidR="005711D6" w:rsidRPr="00E622B5">
        <w:rPr>
          <w:rFonts w:asciiTheme="minorHAnsi" w:hAnsiTheme="minorHAnsi"/>
          <w:color w:val="auto"/>
          <w:szCs w:val="24"/>
        </w:rPr>
        <w:t>and if “</w:t>
      </w:r>
      <w:proofErr w:type="spellStart"/>
      <w:r w:rsidR="005711D6" w:rsidRPr="00E622B5">
        <w:rPr>
          <w:rFonts w:asciiTheme="minorHAnsi" w:hAnsiTheme="minorHAnsi"/>
          <w:color w:val="auto"/>
          <w:szCs w:val="24"/>
        </w:rPr>
        <w:t>hallux</w:t>
      </w:r>
      <w:proofErr w:type="spellEnd"/>
      <w:r w:rsidR="005711D6" w:rsidRPr="00E622B5">
        <w:rPr>
          <w:rFonts w:asciiTheme="minorHAnsi" w:hAnsiTheme="minorHAnsi"/>
          <w:color w:val="auto"/>
          <w:szCs w:val="24"/>
        </w:rPr>
        <w:t xml:space="preserve"> </w:t>
      </w:r>
      <w:proofErr w:type="spellStart"/>
      <w:r w:rsidR="005711D6" w:rsidRPr="00E622B5">
        <w:rPr>
          <w:rFonts w:asciiTheme="minorHAnsi" w:hAnsiTheme="minorHAnsi"/>
          <w:color w:val="auto"/>
          <w:szCs w:val="24"/>
        </w:rPr>
        <w:t>limitus</w:t>
      </w:r>
      <w:proofErr w:type="spellEnd"/>
      <w:r w:rsidR="005711D6" w:rsidRPr="00E622B5">
        <w:rPr>
          <w:rFonts w:asciiTheme="minorHAnsi" w:hAnsiTheme="minorHAnsi"/>
          <w:color w:val="auto"/>
          <w:szCs w:val="24"/>
        </w:rPr>
        <w:t xml:space="preserve"> with right more severe than the left” (following </w:t>
      </w:r>
      <w:proofErr w:type="spellStart"/>
      <w:r w:rsidR="005711D6" w:rsidRPr="00E622B5">
        <w:rPr>
          <w:rFonts w:asciiTheme="minorHAnsi" w:hAnsiTheme="minorHAnsi"/>
          <w:color w:val="auto"/>
          <w:szCs w:val="24"/>
        </w:rPr>
        <w:t>bunionectomy</w:t>
      </w:r>
      <w:proofErr w:type="spellEnd"/>
      <w:r w:rsidR="005711D6" w:rsidRPr="00E622B5">
        <w:rPr>
          <w:rFonts w:asciiTheme="minorHAnsi" w:hAnsiTheme="minorHAnsi"/>
          <w:color w:val="auto"/>
          <w:szCs w:val="24"/>
        </w:rPr>
        <w:t>) were part of the CI’s disability picture and rating</w:t>
      </w:r>
      <w:r w:rsidR="00B2129D" w:rsidRPr="00E622B5">
        <w:rPr>
          <w:rFonts w:asciiTheme="minorHAnsi" w:hAnsiTheme="minorHAnsi"/>
          <w:color w:val="auto"/>
          <w:szCs w:val="24"/>
        </w:rPr>
        <w:t xml:space="preserve"> considerations.</w:t>
      </w:r>
      <w:r w:rsidR="00B2129D">
        <w:rPr>
          <w:rFonts w:asciiTheme="minorHAnsi" w:hAnsiTheme="minorHAnsi"/>
          <w:color w:val="auto"/>
          <w:szCs w:val="24"/>
        </w:rPr>
        <w:t xml:space="preserve">  </w:t>
      </w:r>
      <w:r w:rsidR="00856DE0" w:rsidRPr="004C1F41">
        <w:rPr>
          <w:rFonts w:asciiTheme="minorHAnsi" w:hAnsiTheme="minorHAnsi"/>
          <w:color w:val="auto"/>
          <w:szCs w:val="24"/>
        </w:rPr>
        <w:t xml:space="preserve">The Board </w:t>
      </w:r>
      <w:r w:rsidR="00805CB8">
        <w:rPr>
          <w:rFonts w:asciiTheme="minorHAnsi" w:hAnsiTheme="minorHAnsi"/>
          <w:color w:val="auto"/>
          <w:szCs w:val="24"/>
        </w:rPr>
        <w:t>considered</w:t>
      </w:r>
      <w:r w:rsidR="007C477A" w:rsidRPr="004C1F41">
        <w:rPr>
          <w:rFonts w:asciiTheme="minorHAnsi" w:hAnsiTheme="minorHAnsi"/>
          <w:color w:val="auto"/>
          <w:szCs w:val="24"/>
        </w:rPr>
        <w:t xml:space="preserve"> the</w:t>
      </w:r>
      <w:r w:rsidR="00856DE0" w:rsidRPr="004C1F41">
        <w:rPr>
          <w:rFonts w:asciiTheme="minorHAnsi" w:hAnsiTheme="minorHAnsi"/>
          <w:color w:val="auto"/>
          <w:szCs w:val="24"/>
        </w:rPr>
        <w:t xml:space="preserve"> PEB’s </w:t>
      </w:r>
      <w:r w:rsidR="00331FF5" w:rsidRPr="004C1F41">
        <w:rPr>
          <w:rFonts w:asciiTheme="minorHAnsi" w:hAnsiTheme="minorHAnsi"/>
          <w:color w:val="auto"/>
          <w:szCs w:val="24"/>
        </w:rPr>
        <w:t xml:space="preserve">analogous </w:t>
      </w:r>
      <w:r w:rsidR="00DF31C4" w:rsidRPr="00EB241F">
        <w:rPr>
          <w:rFonts w:asciiTheme="minorHAnsi" w:hAnsiTheme="minorHAnsi"/>
          <w:color w:val="auto"/>
          <w:szCs w:val="24"/>
        </w:rPr>
        <w:t xml:space="preserve">coding 5399-5311 </w:t>
      </w:r>
      <w:r w:rsidR="007C477A" w:rsidRPr="00EB241F">
        <w:rPr>
          <w:rFonts w:asciiTheme="minorHAnsi" w:hAnsiTheme="minorHAnsi"/>
          <w:color w:val="auto"/>
          <w:szCs w:val="24"/>
        </w:rPr>
        <w:t>under</w:t>
      </w:r>
      <w:r w:rsidR="00DF31C4" w:rsidRPr="00EB241F">
        <w:rPr>
          <w:rFonts w:asciiTheme="minorHAnsi" w:hAnsiTheme="minorHAnsi"/>
          <w:color w:val="auto"/>
          <w:szCs w:val="24"/>
        </w:rPr>
        <w:t xml:space="preserve"> </w:t>
      </w:r>
      <w:r w:rsidR="00331FF5" w:rsidRPr="00EB241F">
        <w:rPr>
          <w:rFonts w:asciiTheme="minorHAnsi" w:hAnsiTheme="minorHAnsi"/>
          <w:color w:val="auto"/>
          <w:szCs w:val="24"/>
        </w:rPr>
        <w:t xml:space="preserve">§4.73 </w:t>
      </w:r>
      <w:r w:rsidR="00DF31C4" w:rsidRPr="00EB241F">
        <w:rPr>
          <w:rFonts w:asciiTheme="minorHAnsi" w:hAnsiTheme="minorHAnsi"/>
          <w:color w:val="auto"/>
          <w:szCs w:val="24"/>
        </w:rPr>
        <w:t xml:space="preserve">did not </w:t>
      </w:r>
      <w:r w:rsidR="00805CB8" w:rsidRPr="00EB241F">
        <w:rPr>
          <w:rFonts w:asciiTheme="minorHAnsi" w:hAnsiTheme="minorHAnsi"/>
          <w:color w:val="auto"/>
          <w:szCs w:val="24"/>
        </w:rPr>
        <w:t xml:space="preserve">easily </w:t>
      </w:r>
      <w:r w:rsidR="00DF31C4" w:rsidRPr="00EB241F">
        <w:rPr>
          <w:rFonts w:asciiTheme="minorHAnsi" w:hAnsiTheme="minorHAnsi"/>
          <w:color w:val="auto"/>
          <w:szCs w:val="24"/>
        </w:rPr>
        <w:t xml:space="preserve">encompass </w:t>
      </w:r>
      <w:r w:rsidR="00805CB8" w:rsidRPr="00EB241F">
        <w:rPr>
          <w:rFonts w:asciiTheme="minorHAnsi" w:hAnsiTheme="minorHAnsi"/>
          <w:color w:val="auto"/>
          <w:szCs w:val="24"/>
        </w:rPr>
        <w:t>the CI’s complex feet pathology</w:t>
      </w:r>
      <w:r w:rsidR="00805CB8">
        <w:rPr>
          <w:rFonts w:asciiTheme="minorHAnsi" w:hAnsiTheme="minorHAnsi"/>
          <w:color w:val="auto"/>
          <w:szCs w:val="24"/>
        </w:rPr>
        <w:t xml:space="preserve">.  The Board considered </w:t>
      </w:r>
      <w:r w:rsidR="00EB241F">
        <w:rPr>
          <w:rFonts w:asciiTheme="minorHAnsi" w:hAnsiTheme="minorHAnsi"/>
          <w:color w:val="auto"/>
          <w:szCs w:val="24"/>
        </w:rPr>
        <w:t xml:space="preserve">that </w:t>
      </w:r>
      <w:r w:rsidR="00805CB8">
        <w:rPr>
          <w:rFonts w:asciiTheme="minorHAnsi" w:hAnsiTheme="minorHAnsi"/>
          <w:color w:val="auto"/>
          <w:szCs w:val="24"/>
        </w:rPr>
        <w:t>“</w:t>
      </w:r>
      <w:r w:rsidR="00805CB8" w:rsidRPr="00805CB8">
        <w:rPr>
          <w:rFonts w:asciiTheme="minorHAnsi" w:hAnsiTheme="minorHAnsi"/>
          <w:color w:val="auto"/>
          <w:szCs w:val="24"/>
        </w:rPr>
        <w:t xml:space="preserve">evidence of inability to keep up with work </w:t>
      </w:r>
      <w:r w:rsidR="00805CB8" w:rsidRPr="00EB241F">
        <w:rPr>
          <w:rFonts w:asciiTheme="minorHAnsi" w:hAnsiTheme="minorHAnsi"/>
          <w:color w:val="auto"/>
          <w:szCs w:val="24"/>
        </w:rPr>
        <w:t>requirements” IAW §4.56</w:t>
      </w:r>
      <w:r w:rsidR="00EB241F" w:rsidRPr="00EB241F">
        <w:rPr>
          <w:rFonts w:asciiTheme="minorHAnsi" w:hAnsiTheme="minorHAnsi"/>
          <w:color w:val="auto"/>
          <w:szCs w:val="24"/>
        </w:rPr>
        <w:t xml:space="preserve"> (moderately severe)</w:t>
      </w:r>
      <w:r w:rsidR="00B91FCB">
        <w:rPr>
          <w:rFonts w:asciiTheme="minorHAnsi" w:hAnsiTheme="minorHAnsi"/>
          <w:color w:val="auto"/>
          <w:szCs w:val="24"/>
        </w:rPr>
        <w:t xml:space="preserve"> </w:t>
      </w:r>
      <w:r w:rsidR="00EB241F" w:rsidRPr="00EB241F">
        <w:rPr>
          <w:rFonts w:asciiTheme="minorHAnsi" w:hAnsiTheme="minorHAnsi"/>
          <w:color w:val="auto"/>
          <w:szCs w:val="24"/>
        </w:rPr>
        <w:t xml:space="preserve">may have provided a higher rating, but </w:t>
      </w:r>
      <w:r w:rsidR="00EB241F" w:rsidRPr="00EB241F">
        <w:rPr>
          <w:rFonts w:asciiTheme="minorHAnsi" w:hAnsiTheme="minorHAnsi"/>
          <w:color w:val="auto"/>
          <w:szCs w:val="24"/>
        </w:rPr>
        <w:lastRenderedPageBreak/>
        <w:t>could not be apportioned to either the left or right foot condition</w:t>
      </w:r>
      <w:r w:rsidR="004C1F41" w:rsidRPr="00EB241F">
        <w:rPr>
          <w:rFonts w:asciiTheme="minorHAnsi" w:hAnsiTheme="minorHAnsi"/>
          <w:color w:val="auto"/>
          <w:szCs w:val="24"/>
        </w:rPr>
        <w:t>.</w:t>
      </w:r>
      <w:r w:rsidR="00DF31C4" w:rsidRPr="00EB241F">
        <w:rPr>
          <w:rFonts w:asciiTheme="minorHAnsi" w:hAnsiTheme="minorHAnsi"/>
          <w:color w:val="auto"/>
          <w:szCs w:val="24"/>
        </w:rPr>
        <w:t xml:space="preserve">  The VA’s analogous coding 5099-5276 under </w:t>
      </w:r>
      <w:r w:rsidR="00B91FCB">
        <w:rPr>
          <w:rFonts w:asciiTheme="minorHAnsi" w:hAnsiTheme="minorHAnsi"/>
          <w:color w:val="auto"/>
          <w:szCs w:val="24"/>
        </w:rPr>
        <w:t>f</w:t>
      </w:r>
      <w:r w:rsidR="00DF31C4" w:rsidRPr="00EB241F">
        <w:rPr>
          <w:rFonts w:asciiTheme="minorHAnsi" w:hAnsiTheme="minorHAnsi"/>
          <w:color w:val="auto"/>
          <w:szCs w:val="24"/>
        </w:rPr>
        <w:t>latfoot, acquired (pes planus)</w:t>
      </w:r>
      <w:r w:rsidR="006F5E9B">
        <w:rPr>
          <w:rFonts w:asciiTheme="minorHAnsi" w:hAnsiTheme="minorHAnsi"/>
          <w:color w:val="auto"/>
          <w:szCs w:val="24"/>
        </w:rPr>
        <w:t>,</w:t>
      </w:r>
      <w:r w:rsidR="00DF31C4" w:rsidRPr="00EB241F">
        <w:rPr>
          <w:rFonts w:asciiTheme="minorHAnsi" w:hAnsiTheme="minorHAnsi"/>
          <w:color w:val="auto"/>
          <w:szCs w:val="24"/>
        </w:rPr>
        <w:t xml:space="preserve"> allow</w:t>
      </w:r>
      <w:r w:rsidR="007C477A" w:rsidRPr="00EB241F">
        <w:rPr>
          <w:rFonts w:asciiTheme="minorHAnsi" w:hAnsiTheme="minorHAnsi"/>
          <w:color w:val="auto"/>
          <w:szCs w:val="24"/>
        </w:rPr>
        <w:t>ed</w:t>
      </w:r>
      <w:r w:rsidR="00DF31C4" w:rsidRPr="00EB241F">
        <w:rPr>
          <w:rFonts w:asciiTheme="minorHAnsi" w:hAnsiTheme="minorHAnsi"/>
          <w:color w:val="auto"/>
          <w:szCs w:val="24"/>
        </w:rPr>
        <w:t xml:space="preserve"> for coding both feet under a single rating</w:t>
      </w:r>
      <w:r w:rsidR="00B91FCB">
        <w:rPr>
          <w:rFonts w:asciiTheme="minorHAnsi" w:hAnsiTheme="minorHAnsi"/>
          <w:color w:val="auto"/>
          <w:szCs w:val="24"/>
        </w:rPr>
        <w:t>;</w:t>
      </w:r>
      <w:r w:rsidR="00DF31C4" w:rsidRPr="00EB241F">
        <w:rPr>
          <w:rFonts w:asciiTheme="minorHAnsi" w:hAnsiTheme="minorHAnsi"/>
          <w:color w:val="auto"/>
          <w:szCs w:val="24"/>
        </w:rPr>
        <w:t xml:space="preserve"> however, it did not </w:t>
      </w:r>
      <w:r w:rsidR="007C477A" w:rsidRPr="00EB241F">
        <w:rPr>
          <w:rFonts w:asciiTheme="minorHAnsi" w:hAnsiTheme="minorHAnsi"/>
          <w:color w:val="auto"/>
          <w:szCs w:val="24"/>
        </w:rPr>
        <w:t xml:space="preserve">appear to </w:t>
      </w:r>
      <w:r w:rsidR="00DF31C4" w:rsidRPr="00EB241F">
        <w:rPr>
          <w:rFonts w:asciiTheme="minorHAnsi" w:hAnsiTheme="minorHAnsi"/>
          <w:color w:val="auto"/>
          <w:szCs w:val="24"/>
        </w:rPr>
        <w:t>represent the CI’s foot pathology.  The Board agreed that the</w:t>
      </w:r>
      <w:r w:rsidR="00DF31C4" w:rsidRPr="004C1F41">
        <w:rPr>
          <w:rFonts w:asciiTheme="minorHAnsi" w:hAnsiTheme="minorHAnsi"/>
          <w:color w:val="auto"/>
          <w:szCs w:val="24"/>
        </w:rPr>
        <w:t xml:space="preserve"> </w:t>
      </w:r>
      <w:r w:rsidR="007C477A" w:rsidRPr="004C1F41">
        <w:rPr>
          <w:rFonts w:asciiTheme="minorHAnsi" w:hAnsiTheme="minorHAnsi"/>
          <w:color w:val="auto"/>
          <w:szCs w:val="24"/>
        </w:rPr>
        <w:t xml:space="preserve">most </w:t>
      </w:r>
      <w:r w:rsidR="00DF31C4" w:rsidRPr="004C1F41">
        <w:rPr>
          <w:rFonts w:asciiTheme="minorHAnsi" w:hAnsiTheme="minorHAnsi"/>
          <w:color w:val="auto"/>
          <w:szCs w:val="24"/>
        </w:rPr>
        <w:t xml:space="preserve">appropriate coding was under 5284 </w:t>
      </w:r>
      <w:r w:rsidR="00B91FCB">
        <w:rPr>
          <w:rFonts w:asciiTheme="minorHAnsi" w:hAnsiTheme="minorHAnsi"/>
          <w:color w:val="auto"/>
          <w:szCs w:val="24"/>
        </w:rPr>
        <w:t>f</w:t>
      </w:r>
      <w:r w:rsidR="00DF31C4" w:rsidRPr="004C1F41">
        <w:rPr>
          <w:rFonts w:asciiTheme="minorHAnsi" w:hAnsiTheme="minorHAnsi"/>
          <w:color w:val="auto"/>
          <w:szCs w:val="24"/>
        </w:rPr>
        <w:t xml:space="preserve">oot injuries, other.  The Board deliberations focused on each foot on either moderate (10%) or severe (20%).  </w:t>
      </w:r>
      <w:r w:rsidR="00856DE0" w:rsidRPr="004C1F41">
        <w:rPr>
          <w:rFonts w:asciiTheme="minorHAnsi" w:hAnsiTheme="minorHAnsi"/>
          <w:color w:val="auto"/>
          <w:szCs w:val="24"/>
        </w:rPr>
        <w:t xml:space="preserve">After due deliberation considering all evidence and mindful of VASRD §4.3 (reasonable doubt), the Board </w:t>
      </w:r>
      <w:r w:rsidR="00B2129D" w:rsidRPr="004C1F41">
        <w:rPr>
          <w:rFonts w:asciiTheme="minorHAnsi" w:hAnsiTheme="minorHAnsi"/>
          <w:color w:val="auto"/>
          <w:szCs w:val="24"/>
        </w:rPr>
        <w:t xml:space="preserve">recommends: a </w:t>
      </w:r>
      <w:r w:rsidR="007C477A" w:rsidRPr="004C1F41">
        <w:rPr>
          <w:rFonts w:asciiTheme="minorHAnsi" w:hAnsiTheme="minorHAnsi"/>
          <w:color w:val="auto"/>
          <w:szCs w:val="24"/>
        </w:rPr>
        <w:t xml:space="preserve">separation rating of 10% for the </w:t>
      </w:r>
      <w:r w:rsidR="00B91FCB">
        <w:rPr>
          <w:rFonts w:asciiTheme="minorHAnsi" w:hAnsiTheme="minorHAnsi"/>
          <w:color w:val="auto"/>
          <w:szCs w:val="24"/>
        </w:rPr>
        <w:t>l</w:t>
      </w:r>
      <w:r w:rsidR="007C477A" w:rsidRPr="004C1F41">
        <w:rPr>
          <w:rFonts w:asciiTheme="minorHAnsi" w:hAnsiTheme="minorHAnsi"/>
          <w:color w:val="auto"/>
          <w:szCs w:val="24"/>
        </w:rPr>
        <w:t>eft chronic plantar fasciitis/</w:t>
      </w:r>
      <w:proofErr w:type="spellStart"/>
      <w:r w:rsidR="007C477A" w:rsidRPr="004C1F41">
        <w:rPr>
          <w:rFonts w:asciiTheme="minorHAnsi" w:hAnsiTheme="minorHAnsi"/>
          <w:color w:val="auto"/>
          <w:szCs w:val="24"/>
        </w:rPr>
        <w:t>sesamoiditis</w:t>
      </w:r>
      <w:proofErr w:type="spellEnd"/>
      <w:r w:rsidR="007C477A" w:rsidRPr="004C1F41">
        <w:rPr>
          <w:rFonts w:asciiTheme="minorHAnsi" w:hAnsiTheme="minorHAnsi"/>
          <w:color w:val="auto"/>
          <w:szCs w:val="24"/>
        </w:rPr>
        <w:t xml:space="preserve"> with </w:t>
      </w:r>
      <w:proofErr w:type="spellStart"/>
      <w:r w:rsidR="007C477A" w:rsidRPr="004C1F41">
        <w:rPr>
          <w:rFonts w:asciiTheme="minorHAnsi" w:hAnsiTheme="minorHAnsi"/>
          <w:color w:val="auto"/>
          <w:szCs w:val="24"/>
        </w:rPr>
        <w:t>sesamoid</w:t>
      </w:r>
      <w:proofErr w:type="spellEnd"/>
      <w:r w:rsidR="007C477A" w:rsidRPr="004C1F41">
        <w:rPr>
          <w:rFonts w:asciiTheme="minorHAnsi" w:hAnsiTheme="minorHAnsi"/>
          <w:color w:val="auto"/>
          <w:szCs w:val="24"/>
        </w:rPr>
        <w:t xml:space="preserve"> shift condition coded 5284</w:t>
      </w:r>
      <w:r w:rsidR="00B91FCB">
        <w:rPr>
          <w:rFonts w:asciiTheme="minorHAnsi" w:hAnsiTheme="minorHAnsi"/>
          <w:color w:val="auto"/>
          <w:szCs w:val="24"/>
        </w:rPr>
        <w:t>,</w:t>
      </w:r>
      <w:r w:rsidR="007C477A" w:rsidRPr="004C1F41">
        <w:rPr>
          <w:rFonts w:asciiTheme="minorHAnsi" w:hAnsiTheme="minorHAnsi"/>
          <w:color w:val="auto"/>
          <w:szCs w:val="24"/>
        </w:rPr>
        <w:t xml:space="preserve"> and a</w:t>
      </w:r>
      <w:r w:rsidR="007C477A" w:rsidRPr="00B2129D">
        <w:rPr>
          <w:rFonts w:asciiTheme="minorHAnsi" w:hAnsiTheme="minorHAnsi"/>
          <w:color w:val="auto"/>
          <w:szCs w:val="24"/>
        </w:rPr>
        <w:t xml:space="preserve"> separation rating of 20% for the</w:t>
      </w:r>
      <w:r w:rsidR="007C477A" w:rsidRPr="007C477A">
        <w:rPr>
          <w:rFonts w:asciiTheme="minorHAnsi" w:hAnsiTheme="minorHAnsi"/>
          <w:color w:val="auto"/>
          <w:szCs w:val="24"/>
        </w:rPr>
        <w:t xml:space="preserve"> </w:t>
      </w:r>
      <w:r w:rsidR="00B91FCB">
        <w:rPr>
          <w:rFonts w:asciiTheme="minorHAnsi" w:hAnsiTheme="minorHAnsi"/>
          <w:color w:val="auto"/>
          <w:szCs w:val="24"/>
        </w:rPr>
        <w:t>r</w:t>
      </w:r>
      <w:r w:rsidR="007C477A" w:rsidRPr="00E24B44">
        <w:rPr>
          <w:rFonts w:asciiTheme="minorHAnsi" w:hAnsiTheme="minorHAnsi"/>
          <w:color w:val="auto"/>
          <w:szCs w:val="24"/>
        </w:rPr>
        <w:t xml:space="preserve">ight </w:t>
      </w:r>
      <w:r w:rsidR="007C477A">
        <w:rPr>
          <w:rFonts w:asciiTheme="minorHAnsi" w:hAnsiTheme="minorHAnsi"/>
          <w:color w:val="auto"/>
          <w:szCs w:val="24"/>
        </w:rPr>
        <w:t>c</w:t>
      </w:r>
      <w:r w:rsidR="007C477A" w:rsidRPr="00E24B44">
        <w:rPr>
          <w:rFonts w:asciiTheme="minorHAnsi" w:hAnsiTheme="minorHAnsi"/>
          <w:color w:val="auto"/>
          <w:szCs w:val="24"/>
        </w:rPr>
        <w:t xml:space="preserve">hronic </w:t>
      </w:r>
      <w:r w:rsidR="007C477A">
        <w:rPr>
          <w:rFonts w:asciiTheme="minorHAnsi" w:hAnsiTheme="minorHAnsi"/>
          <w:color w:val="auto"/>
          <w:szCs w:val="24"/>
        </w:rPr>
        <w:t>p</w:t>
      </w:r>
      <w:r w:rsidR="007C477A" w:rsidRPr="00E24B44">
        <w:rPr>
          <w:rFonts w:asciiTheme="minorHAnsi" w:hAnsiTheme="minorHAnsi"/>
          <w:color w:val="auto"/>
          <w:szCs w:val="24"/>
        </w:rPr>
        <w:t xml:space="preserve">lantar </w:t>
      </w:r>
      <w:r w:rsidR="007C477A">
        <w:rPr>
          <w:rFonts w:asciiTheme="minorHAnsi" w:hAnsiTheme="minorHAnsi"/>
          <w:color w:val="auto"/>
          <w:szCs w:val="24"/>
        </w:rPr>
        <w:t>f</w:t>
      </w:r>
      <w:r w:rsidR="007C477A" w:rsidRPr="00E24B44">
        <w:rPr>
          <w:rFonts w:asciiTheme="minorHAnsi" w:hAnsiTheme="minorHAnsi"/>
          <w:color w:val="auto"/>
          <w:szCs w:val="24"/>
        </w:rPr>
        <w:t xml:space="preserve">asciitis </w:t>
      </w:r>
      <w:r w:rsidR="007C477A">
        <w:rPr>
          <w:rFonts w:asciiTheme="minorHAnsi" w:hAnsiTheme="minorHAnsi"/>
          <w:color w:val="auto"/>
          <w:szCs w:val="24"/>
        </w:rPr>
        <w:t xml:space="preserve">/ </w:t>
      </w:r>
      <w:proofErr w:type="spellStart"/>
      <w:r w:rsidR="007C477A">
        <w:rPr>
          <w:rFonts w:asciiTheme="minorHAnsi" w:hAnsiTheme="minorHAnsi"/>
          <w:color w:val="auto"/>
          <w:szCs w:val="24"/>
        </w:rPr>
        <w:t>s</w:t>
      </w:r>
      <w:r w:rsidR="007C477A" w:rsidRPr="00E24B44">
        <w:rPr>
          <w:rFonts w:asciiTheme="minorHAnsi" w:hAnsiTheme="minorHAnsi"/>
          <w:color w:val="auto"/>
          <w:szCs w:val="24"/>
        </w:rPr>
        <w:t>esamoiditis</w:t>
      </w:r>
      <w:proofErr w:type="spellEnd"/>
      <w:r w:rsidR="007C477A" w:rsidRPr="00E24B44">
        <w:rPr>
          <w:rFonts w:asciiTheme="minorHAnsi" w:hAnsiTheme="minorHAnsi"/>
          <w:color w:val="auto"/>
          <w:szCs w:val="24"/>
        </w:rPr>
        <w:t xml:space="preserve"> </w:t>
      </w:r>
      <w:r w:rsidR="007C477A">
        <w:rPr>
          <w:rFonts w:asciiTheme="minorHAnsi" w:hAnsiTheme="minorHAnsi"/>
          <w:color w:val="auto"/>
          <w:szCs w:val="24"/>
        </w:rPr>
        <w:t>with surgical residuals</w:t>
      </w:r>
      <w:r w:rsidR="00B91FCB">
        <w:rPr>
          <w:rFonts w:asciiTheme="minorHAnsi" w:hAnsiTheme="minorHAnsi"/>
          <w:color w:val="auto"/>
          <w:szCs w:val="24"/>
        </w:rPr>
        <w:t>,</w:t>
      </w:r>
      <w:r w:rsidR="00B2129D">
        <w:rPr>
          <w:rFonts w:asciiTheme="minorHAnsi" w:hAnsiTheme="minorHAnsi"/>
          <w:color w:val="auto"/>
          <w:szCs w:val="24"/>
        </w:rPr>
        <w:t xml:space="preserve"> coded 5284</w:t>
      </w:r>
      <w:r w:rsidR="007C477A" w:rsidRPr="00B2129D">
        <w:rPr>
          <w:rFonts w:asciiTheme="minorHAnsi" w:hAnsiTheme="minorHAnsi"/>
          <w:color w:val="auto"/>
          <w:szCs w:val="24"/>
        </w:rPr>
        <w:t>.</w:t>
      </w:r>
    </w:p>
    <w:p w:rsidR="00531384" w:rsidRDefault="00531384" w:rsidP="003D2EE4">
      <w:pPr>
        <w:tabs>
          <w:tab w:val="left" w:pos="288"/>
          <w:tab w:val="left" w:pos="4752"/>
        </w:tabs>
        <w:spacing w:line="240" w:lineRule="exact"/>
        <w:jc w:val="both"/>
        <w:rPr>
          <w:rFonts w:asciiTheme="minorHAnsi" w:hAnsiTheme="minorHAnsi"/>
          <w:color w:val="auto"/>
          <w:u w:val="single"/>
        </w:rPr>
      </w:pPr>
    </w:p>
    <w:p w:rsidR="00531384" w:rsidRDefault="00490F81" w:rsidP="003D2EE4">
      <w:pPr>
        <w:tabs>
          <w:tab w:val="left" w:pos="288"/>
          <w:tab w:val="left" w:pos="4752"/>
        </w:tabs>
        <w:spacing w:line="240" w:lineRule="exact"/>
        <w:jc w:val="both"/>
        <w:rPr>
          <w:rFonts w:asciiTheme="minorHAnsi" w:hAnsiTheme="minorHAnsi"/>
          <w:color w:val="auto"/>
        </w:rPr>
      </w:pPr>
      <w:proofErr w:type="gramStart"/>
      <w:r w:rsidRPr="00490F81">
        <w:rPr>
          <w:rFonts w:asciiTheme="minorHAnsi" w:hAnsiTheme="minorHAnsi"/>
          <w:color w:val="auto"/>
          <w:u w:val="single"/>
        </w:rPr>
        <w:t>Herpes Simplex</w:t>
      </w:r>
      <w:r w:rsidR="0056707E">
        <w:rPr>
          <w:rFonts w:asciiTheme="minorHAnsi" w:hAnsiTheme="minorHAnsi"/>
          <w:color w:val="auto"/>
          <w:u w:val="single"/>
        </w:rPr>
        <w:t>.</w:t>
      </w:r>
      <w:proofErr w:type="gramEnd"/>
      <w:r>
        <w:rPr>
          <w:rFonts w:asciiTheme="minorHAnsi" w:hAnsiTheme="minorHAnsi"/>
          <w:color w:val="auto"/>
        </w:rPr>
        <w:t xml:space="preserve"> </w:t>
      </w:r>
      <w:r w:rsidR="004D6159">
        <w:rPr>
          <w:rFonts w:asciiTheme="minorHAnsi" w:hAnsiTheme="minorHAnsi"/>
          <w:color w:val="auto"/>
        </w:rPr>
        <w:t xml:space="preserve"> </w:t>
      </w:r>
      <w:r w:rsidR="00510C65">
        <w:rPr>
          <w:rFonts w:asciiTheme="minorHAnsi" w:hAnsiTheme="minorHAnsi"/>
          <w:color w:val="auto"/>
        </w:rPr>
        <w:t xml:space="preserve">The </w:t>
      </w:r>
      <w:r w:rsidR="0056707E">
        <w:rPr>
          <w:rFonts w:asciiTheme="minorHAnsi" w:hAnsiTheme="minorHAnsi"/>
          <w:color w:val="auto"/>
        </w:rPr>
        <w:t>h</w:t>
      </w:r>
      <w:r w:rsidR="00510C65">
        <w:rPr>
          <w:rFonts w:asciiTheme="minorHAnsi" w:hAnsiTheme="minorHAnsi"/>
          <w:color w:val="auto"/>
        </w:rPr>
        <w:t xml:space="preserve">erpes </w:t>
      </w:r>
      <w:r w:rsidR="0056707E">
        <w:rPr>
          <w:rFonts w:asciiTheme="minorHAnsi" w:hAnsiTheme="minorHAnsi"/>
          <w:color w:val="auto"/>
        </w:rPr>
        <w:t>s</w:t>
      </w:r>
      <w:r w:rsidR="00510C65">
        <w:rPr>
          <w:rFonts w:asciiTheme="minorHAnsi" w:hAnsiTheme="minorHAnsi"/>
          <w:color w:val="auto"/>
        </w:rPr>
        <w:t xml:space="preserve">implex was </w:t>
      </w:r>
      <w:r w:rsidR="00E266F1">
        <w:rPr>
          <w:rFonts w:asciiTheme="minorHAnsi" w:hAnsiTheme="minorHAnsi"/>
          <w:color w:val="auto"/>
        </w:rPr>
        <w:t>rated by</w:t>
      </w:r>
      <w:r w:rsidR="00510C65">
        <w:rPr>
          <w:rFonts w:asciiTheme="minorHAnsi" w:hAnsiTheme="minorHAnsi"/>
          <w:color w:val="auto"/>
        </w:rPr>
        <w:t xml:space="preserve"> the VA at 60% within seven months after separation.  Herpes </w:t>
      </w:r>
      <w:r w:rsidR="0056707E">
        <w:rPr>
          <w:rFonts w:asciiTheme="minorHAnsi" w:hAnsiTheme="minorHAnsi"/>
          <w:color w:val="auto"/>
        </w:rPr>
        <w:t>s</w:t>
      </w:r>
      <w:r w:rsidR="00510C65">
        <w:rPr>
          <w:rFonts w:asciiTheme="minorHAnsi" w:hAnsiTheme="minorHAnsi"/>
          <w:color w:val="auto"/>
        </w:rPr>
        <w:t xml:space="preserve">implex was </w:t>
      </w:r>
      <w:r w:rsidR="00510C65" w:rsidRPr="00B2129D">
        <w:rPr>
          <w:rFonts w:asciiTheme="minorHAnsi" w:hAnsiTheme="minorHAnsi"/>
          <w:color w:val="auto"/>
        </w:rPr>
        <w:t xml:space="preserve">noted on the MEB </w:t>
      </w:r>
      <w:r w:rsidR="00B91FCB">
        <w:rPr>
          <w:rFonts w:asciiTheme="minorHAnsi" w:hAnsiTheme="minorHAnsi"/>
          <w:color w:val="auto"/>
        </w:rPr>
        <w:t>h</w:t>
      </w:r>
      <w:r w:rsidR="00510C65" w:rsidRPr="00B2129D">
        <w:rPr>
          <w:rFonts w:asciiTheme="minorHAnsi" w:hAnsiTheme="minorHAnsi"/>
          <w:color w:val="auto"/>
        </w:rPr>
        <w:t xml:space="preserve">istory and </w:t>
      </w:r>
      <w:r w:rsidR="00B91FCB">
        <w:rPr>
          <w:rFonts w:asciiTheme="minorHAnsi" w:hAnsiTheme="minorHAnsi"/>
          <w:color w:val="auto"/>
        </w:rPr>
        <w:t>p</w:t>
      </w:r>
      <w:r w:rsidR="00510C65" w:rsidRPr="00B2129D">
        <w:rPr>
          <w:rFonts w:asciiTheme="minorHAnsi" w:hAnsiTheme="minorHAnsi"/>
          <w:color w:val="auto"/>
        </w:rPr>
        <w:t xml:space="preserve">hysical </w:t>
      </w:r>
      <w:r w:rsidR="0056707E">
        <w:rPr>
          <w:rFonts w:asciiTheme="minorHAnsi" w:hAnsiTheme="minorHAnsi"/>
          <w:color w:val="auto"/>
        </w:rPr>
        <w:t xml:space="preserve">(H&amp;P) </w:t>
      </w:r>
      <w:r w:rsidR="00510C65" w:rsidRPr="00B2129D">
        <w:rPr>
          <w:rFonts w:asciiTheme="minorHAnsi" w:hAnsiTheme="minorHAnsi"/>
          <w:color w:val="auto"/>
        </w:rPr>
        <w:t xml:space="preserve">exam in the DES package as part of the past medical history.  </w:t>
      </w:r>
      <w:r w:rsidR="00E702E3" w:rsidRPr="00B2129D">
        <w:rPr>
          <w:rFonts w:asciiTheme="minorHAnsi" w:hAnsiTheme="minorHAnsi"/>
          <w:color w:val="auto"/>
        </w:rPr>
        <w:t xml:space="preserve">Treatment records and a later VA evaluation </w:t>
      </w:r>
      <w:r w:rsidR="00AC38DB" w:rsidRPr="00B2129D">
        <w:rPr>
          <w:rFonts w:asciiTheme="minorHAnsi" w:hAnsiTheme="minorHAnsi"/>
          <w:color w:val="auto"/>
        </w:rPr>
        <w:t>indicated</w:t>
      </w:r>
      <w:r w:rsidR="00E702E3" w:rsidRPr="00B2129D">
        <w:rPr>
          <w:rFonts w:asciiTheme="minorHAnsi" w:hAnsiTheme="minorHAnsi"/>
          <w:color w:val="auto"/>
        </w:rPr>
        <w:t xml:space="preserve"> that the condition was stable with medication for control</w:t>
      </w:r>
      <w:r w:rsidR="00510C65" w:rsidRPr="00B2129D">
        <w:rPr>
          <w:rFonts w:asciiTheme="minorHAnsi" w:hAnsiTheme="minorHAnsi"/>
          <w:color w:val="auto"/>
        </w:rPr>
        <w:t xml:space="preserve">. </w:t>
      </w:r>
      <w:r w:rsidR="004D6159" w:rsidRPr="00B2129D">
        <w:rPr>
          <w:rFonts w:asciiTheme="minorHAnsi" w:hAnsiTheme="minorHAnsi"/>
          <w:color w:val="auto"/>
        </w:rPr>
        <w:t xml:space="preserve"> </w:t>
      </w:r>
      <w:r w:rsidR="00510C65" w:rsidRPr="00B2129D">
        <w:rPr>
          <w:rFonts w:asciiTheme="minorHAnsi" w:hAnsiTheme="minorHAnsi"/>
          <w:color w:val="auto"/>
        </w:rPr>
        <w:t>There was no indication that this condition contributed to the CI’</w:t>
      </w:r>
      <w:r w:rsidR="00063F5F" w:rsidRPr="00B2129D">
        <w:rPr>
          <w:rFonts w:asciiTheme="minorHAnsi" w:hAnsiTheme="minorHAnsi"/>
          <w:color w:val="auto"/>
        </w:rPr>
        <w:t>s LIMDU</w:t>
      </w:r>
      <w:r w:rsidR="00510C65" w:rsidRPr="00B2129D">
        <w:rPr>
          <w:rFonts w:asciiTheme="minorHAnsi" w:hAnsiTheme="minorHAnsi"/>
          <w:color w:val="auto"/>
        </w:rPr>
        <w:t xml:space="preserve">s for her foot condition. </w:t>
      </w:r>
      <w:r w:rsidR="007A50E2" w:rsidRPr="00B2129D">
        <w:rPr>
          <w:rFonts w:asciiTheme="minorHAnsi" w:hAnsiTheme="minorHAnsi"/>
          <w:color w:val="auto"/>
        </w:rPr>
        <w:t xml:space="preserve"> </w:t>
      </w:r>
      <w:r w:rsidR="00510C65" w:rsidRPr="00B2129D">
        <w:rPr>
          <w:rFonts w:asciiTheme="minorHAnsi" w:hAnsiTheme="minorHAnsi"/>
          <w:color w:val="auto"/>
        </w:rPr>
        <w:t>No</w:t>
      </w:r>
      <w:r w:rsidR="00510C65">
        <w:rPr>
          <w:rFonts w:asciiTheme="minorHAnsi" w:hAnsiTheme="minorHAnsi"/>
          <w:color w:val="auto"/>
        </w:rPr>
        <w:t xml:space="preserve"> link for fitness can be drawn for the </w:t>
      </w:r>
      <w:r w:rsidR="0056707E">
        <w:rPr>
          <w:rFonts w:asciiTheme="minorHAnsi" w:hAnsiTheme="minorHAnsi"/>
          <w:color w:val="auto"/>
        </w:rPr>
        <w:t>h</w:t>
      </w:r>
      <w:r w:rsidR="00510C65">
        <w:rPr>
          <w:rFonts w:asciiTheme="minorHAnsi" w:hAnsiTheme="minorHAnsi"/>
          <w:color w:val="auto"/>
        </w:rPr>
        <w:t xml:space="preserve">erpes condition.  </w:t>
      </w:r>
      <w:r w:rsidR="00E266F1">
        <w:rPr>
          <w:rFonts w:asciiTheme="minorHAnsi" w:hAnsiTheme="minorHAnsi"/>
          <w:color w:val="auto"/>
        </w:rPr>
        <w:t>All evidence considered</w:t>
      </w:r>
      <w:proofErr w:type="gramStart"/>
      <w:r w:rsidR="00E266F1">
        <w:rPr>
          <w:rFonts w:asciiTheme="minorHAnsi" w:hAnsiTheme="minorHAnsi"/>
          <w:color w:val="auto"/>
        </w:rPr>
        <w:t>,</w:t>
      </w:r>
      <w:proofErr w:type="gramEnd"/>
      <w:r w:rsidR="00E266F1">
        <w:rPr>
          <w:rFonts w:asciiTheme="minorHAnsi" w:hAnsiTheme="minorHAnsi"/>
          <w:color w:val="auto"/>
        </w:rPr>
        <w:t xml:space="preserve"> there is not reasonable doubt in the CI’s favor supporting addition of </w:t>
      </w:r>
      <w:r w:rsidR="0056707E">
        <w:rPr>
          <w:rFonts w:asciiTheme="minorHAnsi" w:hAnsiTheme="minorHAnsi"/>
          <w:color w:val="auto"/>
        </w:rPr>
        <w:t>h</w:t>
      </w:r>
      <w:r w:rsidR="00E266F1">
        <w:rPr>
          <w:rFonts w:asciiTheme="minorHAnsi" w:hAnsiTheme="minorHAnsi"/>
          <w:color w:val="auto"/>
        </w:rPr>
        <w:t xml:space="preserve">erpes </w:t>
      </w:r>
      <w:r w:rsidR="0056707E">
        <w:rPr>
          <w:rFonts w:asciiTheme="minorHAnsi" w:hAnsiTheme="minorHAnsi"/>
          <w:color w:val="auto"/>
        </w:rPr>
        <w:t>s</w:t>
      </w:r>
      <w:r w:rsidR="00E266F1">
        <w:rPr>
          <w:rFonts w:asciiTheme="minorHAnsi" w:hAnsiTheme="minorHAnsi"/>
          <w:color w:val="auto"/>
        </w:rPr>
        <w:t>implex as an unfitting condition for separation rating.</w:t>
      </w:r>
    </w:p>
    <w:p w:rsidR="005127EA" w:rsidRDefault="005127EA" w:rsidP="003D2EE4">
      <w:pPr>
        <w:tabs>
          <w:tab w:val="left" w:pos="288"/>
          <w:tab w:val="left" w:pos="4752"/>
        </w:tabs>
        <w:spacing w:line="240" w:lineRule="exact"/>
        <w:jc w:val="both"/>
        <w:rPr>
          <w:rFonts w:asciiTheme="minorHAnsi" w:hAnsiTheme="minorHAnsi"/>
          <w:color w:val="auto"/>
        </w:rPr>
      </w:pPr>
    </w:p>
    <w:p w:rsidR="005127EA" w:rsidRDefault="005127EA" w:rsidP="003D2EE4">
      <w:pPr>
        <w:tabs>
          <w:tab w:val="left" w:pos="288"/>
          <w:tab w:val="left" w:pos="4752"/>
        </w:tabs>
        <w:spacing w:line="240" w:lineRule="exact"/>
        <w:jc w:val="both"/>
        <w:rPr>
          <w:rFonts w:asciiTheme="minorHAnsi" w:hAnsiTheme="minorHAnsi"/>
          <w:color w:val="auto"/>
        </w:rPr>
      </w:pPr>
      <w:proofErr w:type="gramStart"/>
      <w:r>
        <w:rPr>
          <w:rFonts w:asciiTheme="minorHAnsi" w:hAnsiTheme="minorHAnsi"/>
          <w:color w:val="auto"/>
          <w:u w:val="single"/>
        </w:rPr>
        <w:t xml:space="preserve">Facial </w:t>
      </w:r>
      <w:proofErr w:type="spellStart"/>
      <w:r>
        <w:rPr>
          <w:rFonts w:asciiTheme="minorHAnsi" w:hAnsiTheme="minorHAnsi"/>
          <w:color w:val="auto"/>
          <w:u w:val="single"/>
        </w:rPr>
        <w:t>Melasma</w:t>
      </w:r>
      <w:proofErr w:type="spellEnd"/>
      <w:r w:rsidR="0056707E">
        <w:rPr>
          <w:rFonts w:asciiTheme="minorHAnsi" w:hAnsiTheme="minorHAnsi"/>
          <w:color w:val="auto"/>
          <w:u w:val="single"/>
        </w:rPr>
        <w:t>.</w:t>
      </w:r>
      <w:proofErr w:type="gramEnd"/>
      <w:r>
        <w:rPr>
          <w:rFonts w:asciiTheme="minorHAnsi" w:hAnsiTheme="minorHAnsi"/>
          <w:color w:val="auto"/>
        </w:rPr>
        <w:t xml:space="preserve">  The </w:t>
      </w:r>
      <w:r w:rsidR="0056707E">
        <w:rPr>
          <w:rFonts w:asciiTheme="minorHAnsi" w:hAnsiTheme="minorHAnsi"/>
          <w:color w:val="auto"/>
        </w:rPr>
        <w:t>f</w:t>
      </w:r>
      <w:r>
        <w:rPr>
          <w:rFonts w:asciiTheme="minorHAnsi" w:hAnsiTheme="minorHAnsi"/>
          <w:color w:val="auto"/>
        </w:rPr>
        <w:t xml:space="preserve">acial </w:t>
      </w:r>
      <w:proofErr w:type="spellStart"/>
      <w:r w:rsidR="0056707E">
        <w:rPr>
          <w:rFonts w:asciiTheme="minorHAnsi" w:hAnsiTheme="minorHAnsi"/>
          <w:color w:val="auto"/>
        </w:rPr>
        <w:t>m</w:t>
      </w:r>
      <w:r>
        <w:rPr>
          <w:rFonts w:asciiTheme="minorHAnsi" w:hAnsiTheme="minorHAnsi"/>
          <w:color w:val="auto"/>
        </w:rPr>
        <w:t>elasma</w:t>
      </w:r>
      <w:proofErr w:type="spellEnd"/>
      <w:r w:rsidRPr="005127EA">
        <w:rPr>
          <w:rFonts w:asciiTheme="minorHAnsi" w:hAnsiTheme="minorHAnsi"/>
          <w:color w:val="auto"/>
        </w:rPr>
        <w:t xml:space="preserve"> </w:t>
      </w:r>
      <w:r>
        <w:rPr>
          <w:rFonts w:asciiTheme="minorHAnsi" w:hAnsiTheme="minorHAnsi"/>
          <w:color w:val="auto"/>
        </w:rPr>
        <w:t xml:space="preserve">was </w:t>
      </w:r>
      <w:r w:rsidR="00E266F1">
        <w:rPr>
          <w:rFonts w:asciiTheme="minorHAnsi" w:hAnsiTheme="minorHAnsi"/>
          <w:color w:val="auto"/>
        </w:rPr>
        <w:t>rated by</w:t>
      </w:r>
      <w:r>
        <w:rPr>
          <w:rFonts w:asciiTheme="minorHAnsi" w:hAnsiTheme="minorHAnsi"/>
          <w:color w:val="auto"/>
        </w:rPr>
        <w:t xml:space="preserve"> the VA at 30% within seven months after separation.  Facial </w:t>
      </w:r>
      <w:proofErr w:type="spellStart"/>
      <w:r w:rsidR="00B91FCB">
        <w:rPr>
          <w:rFonts w:asciiTheme="minorHAnsi" w:hAnsiTheme="minorHAnsi"/>
          <w:color w:val="auto"/>
        </w:rPr>
        <w:t>m</w:t>
      </w:r>
      <w:r>
        <w:rPr>
          <w:rFonts w:asciiTheme="minorHAnsi" w:hAnsiTheme="minorHAnsi"/>
          <w:color w:val="auto"/>
        </w:rPr>
        <w:t>elasma</w:t>
      </w:r>
      <w:proofErr w:type="spellEnd"/>
      <w:r>
        <w:rPr>
          <w:rFonts w:asciiTheme="minorHAnsi" w:hAnsiTheme="minorHAnsi"/>
          <w:color w:val="auto"/>
        </w:rPr>
        <w:t xml:space="preserve"> was noted on the MEB H</w:t>
      </w:r>
      <w:r w:rsidR="0056707E">
        <w:rPr>
          <w:rFonts w:asciiTheme="minorHAnsi" w:hAnsiTheme="minorHAnsi"/>
          <w:color w:val="auto"/>
        </w:rPr>
        <w:t>&amp;P</w:t>
      </w:r>
      <w:r>
        <w:rPr>
          <w:rFonts w:asciiTheme="minorHAnsi" w:hAnsiTheme="minorHAnsi"/>
          <w:color w:val="auto"/>
        </w:rPr>
        <w:t xml:space="preserve"> exam in the DES package as part of the past medical history.  The </w:t>
      </w:r>
      <w:r w:rsidR="0056707E">
        <w:rPr>
          <w:rFonts w:asciiTheme="minorHAnsi" w:hAnsiTheme="minorHAnsi"/>
          <w:color w:val="auto"/>
        </w:rPr>
        <w:t>NARSUM</w:t>
      </w:r>
      <w:r>
        <w:rPr>
          <w:rFonts w:asciiTheme="minorHAnsi" w:hAnsiTheme="minorHAnsi"/>
          <w:color w:val="auto"/>
        </w:rPr>
        <w:t xml:space="preserve"> focused </w:t>
      </w:r>
      <w:r w:rsidR="00325756">
        <w:rPr>
          <w:rFonts w:asciiTheme="minorHAnsi" w:hAnsiTheme="minorHAnsi"/>
          <w:color w:val="auto"/>
        </w:rPr>
        <w:t xml:space="preserve">predominately </w:t>
      </w:r>
      <w:r>
        <w:rPr>
          <w:rFonts w:asciiTheme="minorHAnsi" w:hAnsiTheme="minorHAnsi"/>
          <w:color w:val="auto"/>
        </w:rPr>
        <w:t xml:space="preserve">on the foot conditions. </w:t>
      </w:r>
      <w:r w:rsidR="00325756">
        <w:rPr>
          <w:rFonts w:asciiTheme="minorHAnsi" w:hAnsiTheme="minorHAnsi"/>
          <w:color w:val="auto"/>
        </w:rPr>
        <w:t xml:space="preserve"> </w:t>
      </w:r>
      <w:r>
        <w:rPr>
          <w:rFonts w:asciiTheme="minorHAnsi" w:hAnsiTheme="minorHAnsi"/>
          <w:color w:val="auto"/>
        </w:rPr>
        <w:t>There was no indication that this condition contributed to the CI’</w:t>
      </w:r>
      <w:r w:rsidR="00063F5F">
        <w:rPr>
          <w:rFonts w:asciiTheme="minorHAnsi" w:hAnsiTheme="minorHAnsi"/>
          <w:color w:val="auto"/>
        </w:rPr>
        <w:t>s LIMDU</w:t>
      </w:r>
      <w:r>
        <w:rPr>
          <w:rFonts w:asciiTheme="minorHAnsi" w:hAnsiTheme="minorHAnsi"/>
          <w:color w:val="auto"/>
        </w:rPr>
        <w:t>s for her foot condition.</w:t>
      </w:r>
      <w:r w:rsidR="00325756">
        <w:rPr>
          <w:rFonts w:asciiTheme="minorHAnsi" w:hAnsiTheme="minorHAnsi"/>
          <w:color w:val="auto"/>
        </w:rPr>
        <w:t xml:space="preserve"> </w:t>
      </w:r>
      <w:r>
        <w:rPr>
          <w:rFonts w:asciiTheme="minorHAnsi" w:hAnsiTheme="minorHAnsi"/>
          <w:color w:val="auto"/>
        </w:rPr>
        <w:t xml:space="preserve"> No link for fitness can be drawn for </w:t>
      </w:r>
      <w:r w:rsidR="00E266F1">
        <w:rPr>
          <w:rFonts w:asciiTheme="minorHAnsi" w:hAnsiTheme="minorHAnsi"/>
          <w:color w:val="auto"/>
        </w:rPr>
        <w:t xml:space="preserve">the </w:t>
      </w:r>
      <w:r w:rsidR="0056707E">
        <w:rPr>
          <w:rFonts w:asciiTheme="minorHAnsi" w:hAnsiTheme="minorHAnsi"/>
          <w:color w:val="auto"/>
        </w:rPr>
        <w:t>f</w:t>
      </w:r>
      <w:r w:rsidR="00E266F1">
        <w:rPr>
          <w:rFonts w:asciiTheme="minorHAnsi" w:hAnsiTheme="minorHAnsi"/>
          <w:color w:val="auto"/>
        </w:rPr>
        <w:t>acial</w:t>
      </w:r>
      <w:r>
        <w:rPr>
          <w:rFonts w:asciiTheme="minorHAnsi" w:hAnsiTheme="minorHAnsi"/>
          <w:color w:val="auto"/>
        </w:rPr>
        <w:t xml:space="preserve"> </w:t>
      </w:r>
      <w:proofErr w:type="spellStart"/>
      <w:r w:rsidR="0056707E">
        <w:rPr>
          <w:rFonts w:asciiTheme="minorHAnsi" w:hAnsiTheme="minorHAnsi"/>
          <w:color w:val="auto"/>
        </w:rPr>
        <w:t>m</w:t>
      </w:r>
      <w:r>
        <w:rPr>
          <w:rFonts w:asciiTheme="minorHAnsi" w:hAnsiTheme="minorHAnsi"/>
          <w:color w:val="auto"/>
        </w:rPr>
        <w:t>elasma</w:t>
      </w:r>
      <w:proofErr w:type="spellEnd"/>
      <w:r>
        <w:rPr>
          <w:rFonts w:asciiTheme="minorHAnsi" w:hAnsiTheme="minorHAnsi"/>
          <w:color w:val="auto"/>
        </w:rPr>
        <w:t xml:space="preserve"> condition.  </w:t>
      </w:r>
      <w:r w:rsidR="00E266F1">
        <w:rPr>
          <w:rFonts w:asciiTheme="minorHAnsi" w:hAnsiTheme="minorHAnsi"/>
          <w:color w:val="auto"/>
        </w:rPr>
        <w:t>All evidence considered</w:t>
      </w:r>
      <w:proofErr w:type="gramStart"/>
      <w:r w:rsidR="00E266F1">
        <w:rPr>
          <w:rFonts w:asciiTheme="minorHAnsi" w:hAnsiTheme="minorHAnsi"/>
          <w:color w:val="auto"/>
        </w:rPr>
        <w:t>,</w:t>
      </w:r>
      <w:proofErr w:type="gramEnd"/>
      <w:r w:rsidR="00E266F1">
        <w:rPr>
          <w:rFonts w:asciiTheme="minorHAnsi" w:hAnsiTheme="minorHAnsi"/>
          <w:color w:val="auto"/>
        </w:rPr>
        <w:t xml:space="preserve"> there is not reasonable doubt in the CI’s favor supporting addition of </w:t>
      </w:r>
      <w:r w:rsidR="0056707E">
        <w:rPr>
          <w:rFonts w:asciiTheme="minorHAnsi" w:hAnsiTheme="minorHAnsi"/>
          <w:color w:val="auto"/>
        </w:rPr>
        <w:t>f</w:t>
      </w:r>
      <w:r w:rsidR="00E266F1">
        <w:rPr>
          <w:rFonts w:asciiTheme="minorHAnsi" w:hAnsiTheme="minorHAnsi"/>
          <w:color w:val="auto"/>
        </w:rPr>
        <w:t xml:space="preserve">acial </w:t>
      </w:r>
      <w:proofErr w:type="spellStart"/>
      <w:r w:rsidR="0056707E">
        <w:rPr>
          <w:rFonts w:asciiTheme="minorHAnsi" w:hAnsiTheme="minorHAnsi"/>
          <w:color w:val="auto"/>
        </w:rPr>
        <w:t>m</w:t>
      </w:r>
      <w:r w:rsidR="00E266F1">
        <w:rPr>
          <w:rFonts w:asciiTheme="minorHAnsi" w:hAnsiTheme="minorHAnsi"/>
          <w:color w:val="auto"/>
        </w:rPr>
        <w:t>elasma</w:t>
      </w:r>
      <w:proofErr w:type="spellEnd"/>
      <w:r w:rsidR="00E266F1">
        <w:rPr>
          <w:rFonts w:asciiTheme="minorHAnsi" w:hAnsiTheme="minorHAnsi"/>
          <w:color w:val="auto"/>
        </w:rPr>
        <w:t xml:space="preserve"> as an unfitting condition for separation rating.</w:t>
      </w:r>
    </w:p>
    <w:p w:rsidR="005127EA" w:rsidRDefault="005127EA" w:rsidP="003D2EE4">
      <w:pPr>
        <w:tabs>
          <w:tab w:val="left" w:pos="288"/>
          <w:tab w:val="left" w:pos="4752"/>
        </w:tabs>
        <w:spacing w:line="240" w:lineRule="exact"/>
        <w:jc w:val="both"/>
        <w:rPr>
          <w:rFonts w:asciiTheme="minorHAnsi" w:hAnsiTheme="minorHAnsi"/>
          <w:color w:val="auto"/>
        </w:rPr>
      </w:pPr>
    </w:p>
    <w:p w:rsidR="00AB6628" w:rsidRDefault="005127EA" w:rsidP="003D2EE4">
      <w:pPr>
        <w:tabs>
          <w:tab w:val="left" w:pos="288"/>
          <w:tab w:val="left" w:pos="4752"/>
        </w:tabs>
        <w:spacing w:line="240" w:lineRule="exact"/>
        <w:jc w:val="both"/>
        <w:rPr>
          <w:rFonts w:asciiTheme="minorHAnsi" w:hAnsiTheme="minorHAnsi"/>
          <w:color w:val="auto"/>
        </w:rPr>
      </w:pPr>
      <w:r w:rsidRPr="003D2EE4">
        <w:rPr>
          <w:rFonts w:asciiTheme="minorHAnsi" w:hAnsiTheme="minorHAnsi"/>
          <w:color w:val="auto"/>
          <w:szCs w:val="24"/>
          <w:u w:val="single"/>
        </w:rPr>
        <w:t xml:space="preserve">PTSD </w:t>
      </w:r>
      <w:r w:rsidR="0056707E">
        <w:rPr>
          <w:rFonts w:asciiTheme="minorHAnsi" w:hAnsiTheme="minorHAnsi"/>
          <w:color w:val="auto"/>
          <w:szCs w:val="24"/>
          <w:u w:val="single"/>
        </w:rPr>
        <w:t xml:space="preserve">With </w:t>
      </w:r>
      <w:r w:rsidRPr="003D2EE4">
        <w:rPr>
          <w:rFonts w:asciiTheme="minorHAnsi" w:hAnsiTheme="minorHAnsi"/>
          <w:color w:val="auto"/>
          <w:szCs w:val="24"/>
          <w:u w:val="single"/>
        </w:rPr>
        <w:t>Depressive Disorder, N</w:t>
      </w:r>
      <w:r w:rsidR="00B91FCB">
        <w:rPr>
          <w:rFonts w:asciiTheme="minorHAnsi" w:hAnsiTheme="minorHAnsi"/>
          <w:color w:val="auto"/>
          <w:szCs w:val="24"/>
          <w:u w:val="single"/>
        </w:rPr>
        <w:t>ot Otherwise Specified (N</w:t>
      </w:r>
      <w:r w:rsidRPr="003D2EE4">
        <w:rPr>
          <w:rFonts w:asciiTheme="minorHAnsi" w:hAnsiTheme="minorHAnsi"/>
          <w:color w:val="auto"/>
          <w:szCs w:val="24"/>
          <w:u w:val="single"/>
        </w:rPr>
        <w:t>OS</w:t>
      </w:r>
      <w:r w:rsidR="00B91FCB">
        <w:rPr>
          <w:rFonts w:asciiTheme="minorHAnsi" w:hAnsiTheme="minorHAnsi"/>
          <w:color w:val="auto"/>
          <w:szCs w:val="24"/>
          <w:u w:val="single"/>
        </w:rPr>
        <w:t>)</w:t>
      </w:r>
      <w:r w:rsidR="0056707E">
        <w:rPr>
          <w:rFonts w:asciiTheme="minorHAnsi" w:hAnsiTheme="minorHAnsi"/>
          <w:color w:val="auto"/>
          <w:szCs w:val="24"/>
          <w:u w:val="single"/>
        </w:rPr>
        <w:t>.</w:t>
      </w:r>
      <w:r>
        <w:rPr>
          <w:rFonts w:asciiTheme="minorHAnsi" w:hAnsiTheme="minorHAnsi"/>
          <w:color w:val="auto"/>
          <w:szCs w:val="24"/>
        </w:rPr>
        <w:t xml:space="preserve">  The PTSD </w:t>
      </w:r>
      <w:r w:rsidR="002713BB">
        <w:rPr>
          <w:rFonts w:asciiTheme="minorHAnsi" w:hAnsiTheme="minorHAnsi"/>
          <w:color w:val="auto"/>
          <w:szCs w:val="24"/>
        </w:rPr>
        <w:t xml:space="preserve">with </w:t>
      </w:r>
      <w:r w:rsidR="00B91FCB">
        <w:rPr>
          <w:rFonts w:asciiTheme="minorHAnsi" w:hAnsiTheme="minorHAnsi"/>
          <w:color w:val="auto"/>
          <w:szCs w:val="24"/>
        </w:rPr>
        <w:t>d</w:t>
      </w:r>
      <w:r>
        <w:rPr>
          <w:rFonts w:asciiTheme="minorHAnsi" w:hAnsiTheme="minorHAnsi"/>
          <w:color w:val="auto"/>
          <w:szCs w:val="24"/>
        </w:rPr>
        <w:t xml:space="preserve">epressive </w:t>
      </w:r>
      <w:r w:rsidR="00B91FCB">
        <w:rPr>
          <w:rFonts w:asciiTheme="minorHAnsi" w:hAnsiTheme="minorHAnsi"/>
          <w:color w:val="auto"/>
          <w:szCs w:val="24"/>
        </w:rPr>
        <w:t>d</w:t>
      </w:r>
      <w:r>
        <w:rPr>
          <w:rFonts w:asciiTheme="minorHAnsi" w:hAnsiTheme="minorHAnsi"/>
          <w:color w:val="auto"/>
          <w:szCs w:val="24"/>
        </w:rPr>
        <w:t xml:space="preserve">isorder, NOS was rated by the VA at 30% within seven months after separation.  </w:t>
      </w:r>
      <w:r w:rsidR="00063F5F">
        <w:rPr>
          <w:rFonts w:asciiTheme="minorHAnsi" w:hAnsiTheme="minorHAnsi"/>
          <w:color w:val="auto"/>
          <w:szCs w:val="24"/>
        </w:rPr>
        <w:t xml:space="preserve">PTSD </w:t>
      </w:r>
      <w:r w:rsidR="002713BB">
        <w:rPr>
          <w:rFonts w:asciiTheme="minorHAnsi" w:hAnsiTheme="minorHAnsi"/>
          <w:color w:val="auto"/>
          <w:szCs w:val="24"/>
        </w:rPr>
        <w:t xml:space="preserve">with </w:t>
      </w:r>
      <w:r w:rsidR="00B91FCB">
        <w:rPr>
          <w:rFonts w:asciiTheme="minorHAnsi" w:hAnsiTheme="minorHAnsi"/>
          <w:color w:val="auto"/>
          <w:szCs w:val="24"/>
        </w:rPr>
        <w:t>d</w:t>
      </w:r>
      <w:r w:rsidR="00063F5F">
        <w:rPr>
          <w:rFonts w:asciiTheme="minorHAnsi" w:hAnsiTheme="minorHAnsi"/>
          <w:color w:val="auto"/>
          <w:szCs w:val="24"/>
        </w:rPr>
        <w:t xml:space="preserve">epressive </w:t>
      </w:r>
      <w:r w:rsidR="00B91FCB">
        <w:rPr>
          <w:rFonts w:asciiTheme="minorHAnsi" w:hAnsiTheme="minorHAnsi"/>
          <w:color w:val="auto"/>
          <w:szCs w:val="24"/>
        </w:rPr>
        <w:t>d</w:t>
      </w:r>
      <w:r w:rsidR="00063F5F">
        <w:rPr>
          <w:rFonts w:asciiTheme="minorHAnsi" w:hAnsiTheme="minorHAnsi"/>
          <w:color w:val="auto"/>
          <w:szCs w:val="24"/>
        </w:rPr>
        <w:t xml:space="preserve">isorder, NOS </w:t>
      </w:r>
      <w:r w:rsidR="00063F5F">
        <w:rPr>
          <w:rFonts w:asciiTheme="minorHAnsi" w:hAnsiTheme="minorHAnsi"/>
          <w:color w:val="auto"/>
        </w:rPr>
        <w:t>was noted on the MEB H</w:t>
      </w:r>
      <w:r w:rsidR="00B91FCB">
        <w:rPr>
          <w:rFonts w:asciiTheme="minorHAnsi" w:hAnsiTheme="minorHAnsi"/>
          <w:color w:val="auto"/>
        </w:rPr>
        <w:t>&amp;P</w:t>
      </w:r>
      <w:r w:rsidR="00063F5F">
        <w:rPr>
          <w:rFonts w:asciiTheme="minorHAnsi" w:hAnsiTheme="minorHAnsi"/>
          <w:color w:val="auto"/>
        </w:rPr>
        <w:t xml:space="preserve"> exam in the </w:t>
      </w:r>
      <w:r w:rsidR="00B91FCB">
        <w:rPr>
          <w:rFonts w:asciiTheme="minorHAnsi" w:hAnsiTheme="minorHAnsi"/>
          <w:color w:val="auto"/>
        </w:rPr>
        <w:t>D</w:t>
      </w:r>
      <w:r w:rsidR="00063F5F">
        <w:rPr>
          <w:rFonts w:asciiTheme="minorHAnsi" w:hAnsiTheme="minorHAnsi"/>
          <w:color w:val="auto"/>
        </w:rPr>
        <w:t>ES package as part of the past medical history.</w:t>
      </w:r>
      <w:r w:rsidR="00063F5F" w:rsidRPr="00063F5F">
        <w:rPr>
          <w:rFonts w:asciiTheme="minorHAnsi" w:hAnsiTheme="minorHAnsi"/>
          <w:color w:val="auto"/>
        </w:rPr>
        <w:t xml:space="preserve"> </w:t>
      </w:r>
      <w:r w:rsidR="00325756">
        <w:rPr>
          <w:rFonts w:asciiTheme="minorHAnsi" w:hAnsiTheme="minorHAnsi"/>
          <w:color w:val="auto"/>
        </w:rPr>
        <w:t xml:space="preserve"> </w:t>
      </w:r>
      <w:r w:rsidR="00063F5F">
        <w:rPr>
          <w:rFonts w:asciiTheme="minorHAnsi" w:hAnsiTheme="minorHAnsi"/>
          <w:color w:val="auto"/>
        </w:rPr>
        <w:t>The N</w:t>
      </w:r>
      <w:r w:rsidR="00B91FCB">
        <w:rPr>
          <w:rFonts w:asciiTheme="minorHAnsi" w:hAnsiTheme="minorHAnsi"/>
          <w:color w:val="auto"/>
        </w:rPr>
        <w:t>ARSUM</w:t>
      </w:r>
      <w:r w:rsidR="00063F5F">
        <w:rPr>
          <w:rFonts w:asciiTheme="minorHAnsi" w:hAnsiTheme="minorHAnsi"/>
          <w:color w:val="auto"/>
        </w:rPr>
        <w:t xml:space="preserve"> focused </w:t>
      </w:r>
      <w:r w:rsidR="00325756">
        <w:rPr>
          <w:rFonts w:asciiTheme="minorHAnsi" w:hAnsiTheme="minorHAnsi"/>
          <w:color w:val="auto"/>
        </w:rPr>
        <w:t xml:space="preserve">predominately </w:t>
      </w:r>
      <w:r w:rsidR="00063F5F">
        <w:rPr>
          <w:rFonts w:asciiTheme="minorHAnsi" w:hAnsiTheme="minorHAnsi"/>
          <w:color w:val="auto"/>
        </w:rPr>
        <w:t xml:space="preserve">on the foot conditions. </w:t>
      </w:r>
      <w:r w:rsidR="00325756">
        <w:rPr>
          <w:rFonts w:asciiTheme="minorHAnsi" w:hAnsiTheme="minorHAnsi"/>
          <w:color w:val="auto"/>
        </w:rPr>
        <w:t xml:space="preserve"> </w:t>
      </w:r>
      <w:r w:rsidR="00063F5F">
        <w:rPr>
          <w:rFonts w:asciiTheme="minorHAnsi" w:hAnsiTheme="minorHAnsi"/>
          <w:color w:val="auto"/>
        </w:rPr>
        <w:t>There was no indication that this condition contributed to the CI’s LIMDUs for her foot condition. No link for fitness can be drawn for the PTSD</w:t>
      </w:r>
      <w:r w:rsidR="00063F5F">
        <w:rPr>
          <w:rFonts w:asciiTheme="minorHAnsi" w:hAnsiTheme="minorHAnsi"/>
          <w:color w:val="auto"/>
          <w:szCs w:val="24"/>
        </w:rPr>
        <w:t xml:space="preserve"> </w:t>
      </w:r>
      <w:r w:rsidR="002713BB">
        <w:rPr>
          <w:rFonts w:asciiTheme="minorHAnsi" w:hAnsiTheme="minorHAnsi"/>
          <w:color w:val="auto"/>
          <w:szCs w:val="24"/>
        </w:rPr>
        <w:t xml:space="preserve">with </w:t>
      </w:r>
      <w:r w:rsidR="00B91FCB">
        <w:rPr>
          <w:rFonts w:asciiTheme="minorHAnsi" w:hAnsiTheme="minorHAnsi"/>
          <w:color w:val="auto"/>
          <w:szCs w:val="24"/>
        </w:rPr>
        <w:t>d</w:t>
      </w:r>
      <w:r w:rsidR="00063F5F">
        <w:rPr>
          <w:rFonts w:asciiTheme="minorHAnsi" w:hAnsiTheme="minorHAnsi"/>
          <w:color w:val="auto"/>
          <w:szCs w:val="24"/>
        </w:rPr>
        <w:t xml:space="preserve">epressive </w:t>
      </w:r>
      <w:r w:rsidR="00B91FCB">
        <w:rPr>
          <w:rFonts w:asciiTheme="minorHAnsi" w:hAnsiTheme="minorHAnsi"/>
          <w:color w:val="auto"/>
          <w:szCs w:val="24"/>
        </w:rPr>
        <w:t>d</w:t>
      </w:r>
      <w:r w:rsidR="00063F5F">
        <w:rPr>
          <w:rFonts w:asciiTheme="minorHAnsi" w:hAnsiTheme="minorHAnsi"/>
          <w:color w:val="auto"/>
          <w:szCs w:val="24"/>
        </w:rPr>
        <w:t xml:space="preserve">isorder, NOS.  A VA C&amp;P examination for PTSD was </w:t>
      </w:r>
      <w:r w:rsidR="00B91FCB">
        <w:rPr>
          <w:rFonts w:asciiTheme="minorHAnsi" w:hAnsiTheme="minorHAnsi"/>
          <w:color w:val="auto"/>
          <w:szCs w:val="24"/>
        </w:rPr>
        <w:t>performed</w:t>
      </w:r>
      <w:r w:rsidR="00063F5F">
        <w:rPr>
          <w:rFonts w:asciiTheme="minorHAnsi" w:hAnsiTheme="minorHAnsi"/>
          <w:color w:val="auto"/>
          <w:szCs w:val="24"/>
        </w:rPr>
        <w:t xml:space="preserve"> seven months after separation</w:t>
      </w:r>
      <w:r w:rsidR="00B91FCB">
        <w:rPr>
          <w:rFonts w:asciiTheme="minorHAnsi" w:hAnsiTheme="minorHAnsi"/>
          <w:color w:val="auto"/>
          <w:szCs w:val="24"/>
        </w:rPr>
        <w:t xml:space="preserve"> on 3 January </w:t>
      </w:r>
      <w:r w:rsidR="00063F5F">
        <w:rPr>
          <w:rFonts w:asciiTheme="minorHAnsi" w:hAnsiTheme="minorHAnsi"/>
          <w:color w:val="auto"/>
          <w:szCs w:val="24"/>
        </w:rPr>
        <w:t>2007, in which the examiner documented the CI was not receiving treatment for PTSD</w:t>
      </w:r>
      <w:r w:rsidR="00CA6749">
        <w:rPr>
          <w:rFonts w:asciiTheme="minorHAnsi" w:hAnsiTheme="minorHAnsi"/>
          <w:color w:val="auto"/>
          <w:szCs w:val="24"/>
        </w:rPr>
        <w:t xml:space="preserve"> (</w:t>
      </w:r>
      <w:r w:rsidR="00063F5F">
        <w:rPr>
          <w:rFonts w:asciiTheme="minorHAnsi" w:hAnsiTheme="minorHAnsi"/>
          <w:color w:val="auto"/>
          <w:szCs w:val="24"/>
        </w:rPr>
        <w:t>no psychotherapy</w:t>
      </w:r>
      <w:r w:rsidR="00CA6749">
        <w:rPr>
          <w:rFonts w:asciiTheme="minorHAnsi" w:hAnsiTheme="minorHAnsi"/>
          <w:color w:val="auto"/>
          <w:szCs w:val="24"/>
        </w:rPr>
        <w:t xml:space="preserve"> or</w:t>
      </w:r>
      <w:r w:rsidR="00063F5F">
        <w:rPr>
          <w:rFonts w:asciiTheme="minorHAnsi" w:hAnsiTheme="minorHAnsi"/>
          <w:color w:val="auto"/>
          <w:szCs w:val="24"/>
        </w:rPr>
        <w:t xml:space="preserve"> medications</w:t>
      </w:r>
      <w:r w:rsidR="00CA6749">
        <w:rPr>
          <w:rFonts w:asciiTheme="minorHAnsi" w:hAnsiTheme="minorHAnsi"/>
          <w:color w:val="auto"/>
          <w:szCs w:val="24"/>
        </w:rPr>
        <w:t>)</w:t>
      </w:r>
      <w:r w:rsidR="00063F5F">
        <w:rPr>
          <w:rFonts w:asciiTheme="minorHAnsi" w:hAnsiTheme="minorHAnsi"/>
          <w:color w:val="auto"/>
          <w:szCs w:val="24"/>
        </w:rPr>
        <w:t>, nor did she have any emergency room visits for this condition.  The examiner further opined that the CI was “able to maintain activities of daily living including personal hygiene</w:t>
      </w:r>
      <w:r w:rsidR="00325756">
        <w:rPr>
          <w:rFonts w:asciiTheme="minorHAnsi" w:hAnsiTheme="minorHAnsi"/>
          <w:color w:val="auto"/>
          <w:szCs w:val="24"/>
        </w:rPr>
        <w:t>.</w:t>
      </w:r>
      <w:r w:rsidR="00063F5F">
        <w:rPr>
          <w:rFonts w:asciiTheme="minorHAnsi" w:hAnsiTheme="minorHAnsi"/>
          <w:color w:val="auto"/>
          <w:szCs w:val="24"/>
        </w:rPr>
        <w:t>”</w:t>
      </w:r>
      <w:r w:rsidR="00325756">
        <w:rPr>
          <w:rFonts w:asciiTheme="minorHAnsi" w:hAnsiTheme="minorHAnsi"/>
          <w:color w:val="auto"/>
          <w:szCs w:val="24"/>
        </w:rPr>
        <w:t xml:space="preserve"> </w:t>
      </w:r>
      <w:r w:rsidR="00063F5F">
        <w:rPr>
          <w:rFonts w:asciiTheme="minorHAnsi" w:hAnsiTheme="minorHAnsi"/>
          <w:color w:val="auto"/>
          <w:szCs w:val="24"/>
        </w:rPr>
        <w:t xml:space="preserve"> </w:t>
      </w:r>
      <w:r w:rsidR="00B54416">
        <w:rPr>
          <w:rFonts w:asciiTheme="minorHAnsi" w:hAnsiTheme="minorHAnsi"/>
          <w:color w:val="auto"/>
          <w:szCs w:val="24"/>
        </w:rPr>
        <w:t xml:space="preserve">Regarding the </w:t>
      </w:r>
      <w:r w:rsidR="00B91FCB">
        <w:rPr>
          <w:rFonts w:asciiTheme="minorHAnsi" w:hAnsiTheme="minorHAnsi"/>
          <w:color w:val="auto"/>
          <w:szCs w:val="24"/>
        </w:rPr>
        <w:t>d</w:t>
      </w:r>
      <w:r w:rsidR="00B54416">
        <w:rPr>
          <w:rFonts w:asciiTheme="minorHAnsi" w:hAnsiTheme="minorHAnsi"/>
          <w:color w:val="auto"/>
          <w:szCs w:val="24"/>
        </w:rPr>
        <w:t xml:space="preserve">epression, the examiner noted that the CI had many ongoing symptoms of depression which began following her first childbirth.  The </w:t>
      </w:r>
      <w:r w:rsidR="00B91FCB">
        <w:rPr>
          <w:rFonts w:asciiTheme="minorHAnsi" w:hAnsiTheme="minorHAnsi"/>
          <w:color w:val="auto"/>
          <w:szCs w:val="24"/>
        </w:rPr>
        <w:t>g</w:t>
      </w:r>
      <w:r w:rsidR="00B54416">
        <w:rPr>
          <w:rFonts w:asciiTheme="minorHAnsi" w:hAnsiTheme="minorHAnsi"/>
          <w:color w:val="auto"/>
          <w:szCs w:val="24"/>
        </w:rPr>
        <w:t xml:space="preserve">lobal </w:t>
      </w:r>
      <w:r w:rsidR="00B91FCB">
        <w:rPr>
          <w:rFonts w:asciiTheme="minorHAnsi" w:hAnsiTheme="minorHAnsi"/>
          <w:color w:val="auto"/>
          <w:szCs w:val="24"/>
        </w:rPr>
        <w:t>a</w:t>
      </w:r>
      <w:r w:rsidR="00B54416">
        <w:rPr>
          <w:rFonts w:asciiTheme="minorHAnsi" w:hAnsiTheme="minorHAnsi"/>
          <w:color w:val="auto"/>
          <w:szCs w:val="24"/>
        </w:rPr>
        <w:t xml:space="preserve">ssessment </w:t>
      </w:r>
      <w:r w:rsidR="00B91FCB">
        <w:rPr>
          <w:rFonts w:asciiTheme="minorHAnsi" w:hAnsiTheme="minorHAnsi"/>
          <w:color w:val="auto"/>
          <w:szCs w:val="24"/>
        </w:rPr>
        <w:t>f</w:t>
      </w:r>
      <w:r w:rsidR="00B54416">
        <w:rPr>
          <w:rFonts w:asciiTheme="minorHAnsi" w:hAnsiTheme="minorHAnsi"/>
          <w:color w:val="auto"/>
          <w:szCs w:val="24"/>
        </w:rPr>
        <w:t>unctioning (GAF) was in the range of moderate difficulty in social and occupation impairment (GAF=58)</w:t>
      </w:r>
      <w:r w:rsidR="00B91FCB">
        <w:rPr>
          <w:rFonts w:asciiTheme="minorHAnsi" w:hAnsiTheme="minorHAnsi"/>
          <w:color w:val="auto"/>
          <w:szCs w:val="24"/>
        </w:rPr>
        <w:t>;</w:t>
      </w:r>
      <w:r w:rsidR="00B54416">
        <w:rPr>
          <w:rFonts w:asciiTheme="minorHAnsi" w:hAnsiTheme="minorHAnsi"/>
          <w:color w:val="auto"/>
          <w:szCs w:val="24"/>
        </w:rPr>
        <w:t xml:space="preserve"> however</w:t>
      </w:r>
      <w:r w:rsidR="00325756">
        <w:rPr>
          <w:rFonts w:asciiTheme="minorHAnsi" w:hAnsiTheme="minorHAnsi"/>
          <w:color w:val="auto"/>
          <w:szCs w:val="24"/>
        </w:rPr>
        <w:t>,</w:t>
      </w:r>
      <w:r w:rsidR="00B54416">
        <w:rPr>
          <w:rFonts w:asciiTheme="minorHAnsi" w:hAnsiTheme="minorHAnsi"/>
          <w:color w:val="auto"/>
          <w:szCs w:val="24"/>
        </w:rPr>
        <w:t xml:space="preserve"> the examiner opined that the GAF score was for combined diagnoses on Axis I and represented functioning for the prior three months.  </w:t>
      </w:r>
      <w:r w:rsidR="00E266F1">
        <w:rPr>
          <w:rFonts w:asciiTheme="minorHAnsi" w:hAnsiTheme="minorHAnsi"/>
          <w:color w:val="auto"/>
          <w:szCs w:val="24"/>
        </w:rPr>
        <w:t>All evidence considered</w:t>
      </w:r>
      <w:proofErr w:type="gramStart"/>
      <w:r w:rsidR="00E266F1">
        <w:rPr>
          <w:rFonts w:asciiTheme="minorHAnsi" w:hAnsiTheme="minorHAnsi"/>
          <w:color w:val="auto"/>
          <w:szCs w:val="24"/>
        </w:rPr>
        <w:t>,</w:t>
      </w:r>
      <w:proofErr w:type="gramEnd"/>
      <w:r w:rsidR="00E266F1">
        <w:rPr>
          <w:rFonts w:asciiTheme="minorHAnsi" w:hAnsiTheme="minorHAnsi"/>
          <w:color w:val="auto"/>
          <w:szCs w:val="24"/>
        </w:rPr>
        <w:t xml:space="preserve"> there is not reasonable doubt </w:t>
      </w:r>
      <w:r w:rsidR="00E266F1">
        <w:rPr>
          <w:rFonts w:asciiTheme="minorHAnsi" w:hAnsiTheme="minorHAnsi"/>
          <w:color w:val="auto"/>
        </w:rPr>
        <w:t>in the CI’s favor supporting addition of</w:t>
      </w:r>
      <w:r w:rsidR="00E266F1" w:rsidRPr="00AB6628">
        <w:rPr>
          <w:rFonts w:asciiTheme="minorHAnsi" w:hAnsiTheme="minorHAnsi"/>
          <w:color w:val="auto"/>
          <w:szCs w:val="24"/>
        </w:rPr>
        <w:t xml:space="preserve"> </w:t>
      </w:r>
      <w:r w:rsidR="00E266F1">
        <w:rPr>
          <w:rFonts w:asciiTheme="minorHAnsi" w:hAnsiTheme="minorHAnsi"/>
          <w:color w:val="auto"/>
          <w:szCs w:val="24"/>
        </w:rPr>
        <w:t>PTSD w</w:t>
      </w:r>
      <w:r w:rsidR="00B91FCB">
        <w:rPr>
          <w:rFonts w:asciiTheme="minorHAnsi" w:hAnsiTheme="minorHAnsi"/>
          <w:color w:val="auto"/>
          <w:szCs w:val="24"/>
        </w:rPr>
        <w:t>ith d</w:t>
      </w:r>
      <w:r w:rsidR="00E266F1">
        <w:rPr>
          <w:rFonts w:asciiTheme="minorHAnsi" w:hAnsiTheme="minorHAnsi"/>
          <w:color w:val="auto"/>
          <w:szCs w:val="24"/>
        </w:rPr>
        <w:t xml:space="preserve">epressive </w:t>
      </w:r>
      <w:r w:rsidR="00B91FCB">
        <w:rPr>
          <w:rFonts w:asciiTheme="minorHAnsi" w:hAnsiTheme="minorHAnsi"/>
          <w:color w:val="auto"/>
          <w:szCs w:val="24"/>
        </w:rPr>
        <w:t>d</w:t>
      </w:r>
      <w:r w:rsidR="00E266F1">
        <w:rPr>
          <w:rFonts w:asciiTheme="minorHAnsi" w:hAnsiTheme="minorHAnsi"/>
          <w:color w:val="auto"/>
          <w:szCs w:val="24"/>
        </w:rPr>
        <w:t>isorder, NOS</w:t>
      </w:r>
      <w:r w:rsidR="00E266F1">
        <w:rPr>
          <w:rFonts w:asciiTheme="minorHAnsi" w:hAnsiTheme="minorHAnsi"/>
          <w:color w:val="auto"/>
        </w:rPr>
        <w:t xml:space="preserve"> as an unfitting condition for separation rating.</w:t>
      </w:r>
    </w:p>
    <w:p w:rsidR="00AB6628" w:rsidRDefault="00AB6628" w:rsidP="003D2EE4">
      <w:pPr>
        <w:tabs>
          <w:tab w:val="left" w:pos="288"/>
          <w:tab w:val="left" w:pos="4752"/>
        </w:tabs>
        <w:spacing w:line="240" w:lineRule="exact"/>
        <w:jc w:val="both"/>
        <w:rPr>
          <w:rFonts w:asciiTheme="minorHAnsi" w:hAnsiTheme="minorHAnsi"/>
          <w:color w:val="auto"/>
        </w:rPr>
      </w:pPr>
    </w:p>
    <w:p w:rsidR="002A6E77" w:rsidRDefault="00E266F1" w:rsidP="003D2EE4">
      <w:pPr>
        <w:tabs>
          <w:tab w:val="left" w:pos="288"/>
          <w:tab w:val="left" w:pos="4752"/>
        </w:tabs>
        <w:spacing w:line="240" w:lineRule="exact"/>
        <w:jc w:val="both"/>
        <w:rPr>
          <w:rFonts w:asciiTheme="minorHAnsi" w:hAnsiTheme="minorHAnsi"/>
          <w:color w:val="auto"/>
        </w:rPr>
      </w:pPr>
      <w:proofErr w:type="gramStart"/>
      <w:r w:rsidRPr="004025EC">
        <w:rPr>
          <w:rFonts w:asciiTheme="minorHAnsi" w:hAnsiTheme="minorHAnsi"/>
          <w:color w:val="auto"/>
          <w:szCs w:val="24"/>
          <w:u w:val="single"/>
        </w:rPr>
        <w:t>L</w:t>
      </w:r>
      <w:r w:rsidR="003D2EE4">
        <w:rPr>
          <w:rFonts w:asciiTheme="minorHAnsi" w:hAnsiTheme="minorHAnsi"/>
          <w:color w:val="auto"/>
          <w:szCs w:val="24"/>
          <w:u w:val="single"/>
        </w:rPr>
        <w:t>eft</w:t>
      </w:r>
      <w:r w:rsidRPr="004025EC">
        <w:rPr>
          <w:rFonts w:asciiTheme="minorHAnsi" w:hAnsiTheme="minorHAnsi"/>
          <w:color w:val="auto"/>
          <w:szCs w:val="24"/>
          <w:u w:val="single"/>
        </w:rPr>
        <w:t xml:space="preserve"> Upper Extremity Thoracic Outlet Syndrome</w:t>
      </w:r>
      <w:r w:rsidR="00B91FCB">
        <w:rPr>
          <w:rFonts w:asciiTheme="minorHAnsi" w:hAnsiTheme="minorHAnsi"/>
          <w:color w:val="auto"/>
          <w:szCs w:val="24"/>
          <w:u w:val="single"/>
        </w:rPr>
        <w:t>.</w:t>
      </w:r>
      <w:proofErr w:type="gramEnd"/>
      <w:r w:rsidRPr="004025EC">
        <w:rPr>
          <w:rFonts w:asciiTheme="minorHAnsi" w:hAnsiTheme="minorHAnsi"/>
          <w:color w:val="auto"/>
          <w:szCs w:val="24"/>
        </w:rPr>
        <w:t xml:space="preserve">  The</w:t>
      </w:r>
      <w:r w:rsidRPr="00EB241F">
        <w:rPr>
          <w:rFonts w:asciiTheme="minorHAnsi" w:hAnsiTheme="minorHAnsi"/>
          <w:color w:val="auto"/>
          <w:szCs w:val="24"/>
        </w:rPr>
        <w:t xml:space="preserve"> </w:t>
      </w:r>
      <w:r w:rsidR="00B91FCB">
        <w:rPr>
          <w:rFonts w:asciiTheme="minorHAnsi" w:hAnsiTheme="minorHAnsi"/>
          <w:color w:val="auto"/>
          <w:szCs w:val="24"/>
        </w:rPr>
        <w:t>l</w:t>
      </w:r>
      <w:r w:rsidRPr="00EB241F">
        <w:rPr>
          <w:rFonts w:asciiTheme="minorHAnsi" w:hAnsiTheme="minorHAnsi"/>
          <w:color w:val="auto"/>
          <w:szCs w:val="24"/>
        </w:rPr>
        <w:t>eft</w:t>
      </w:r>
      <w:r w:rsidRPr="004025EC">
        <w:rPr>
          <w:rFonts w:asciiTheme="minorHAnsi" w:hAnsiTheme="minorHAnsi"/>
          <w:color w:val="auto"/>
          <w:szCs w:val="24"/>
        </w:rPr>
        <w:t xml:space="preserve"> </w:t>
      </w:r>
      <w:r w:rsidR="00B91FCB">
        <w:rPr>
          <w:rFonts w:asciiTheme="minorHAnsi" w:hAnsiTheme="minorHAnsi"/>
          <w:color w:val="auto"/>
          <w:szCs w:val="24"/>
        </w:rPr>
        <w:t>u</w:t>
      </w:r>
      <w:r w:rsidRPr="004025EC">
        <w:rPr>
          <w:rFonts w:asciiTheme="minorHAnsi" w:hAnsiTheme="minorHAnsi"/>
          <w:color w:val="auto"/>
          <w:szCs w:val="24"/>
        </w:rPr>
        <w:t xml:space="preserve">pper </w:t>
      </w:r>
      <w:r w:rsidR="00B91FCB">
        <w:rPr>
          <w:rFonts w:asciiTheme="minorHAnsi" w:hAnsiTheme="minorHAnsi"/>
          <w:color w:val="auto"/>
          <w:szCs w:val="24"/>
        </w:rPr>
        <w:t>e</w:t>
      </w:r>
      <w:r w:rsidRPr="004025EC">
        <w:rPr>
          <w:rFonts w:asciiTheme="minorHAnsi" w:hAnsiTheme="minorHAnsi"/>
          <w:color w:val="auto"/>
          <w:szCs w:val="24"/>
        </w:rPr>
        <w:t xml:space="preserve">xtremity </w:t>
      </w:r>
      <w:r w:rsidR="00B91FCB">
        <w:rPr>
          <w:rFonts w:asciiTheme="minorHAnsi" w:hAnsiTheme="minorHAnsi"/>
          <w:color w:val="auto"/>
          <w:szCs w:val="24"/>
        </w:rPr>
        <w:t>t</w:t>
      </w:r>
      <w:r w:rsidRPr="004025EC">
        <w:rPr>
          <w:rFonts w:asciiTheme="minorHAnsi" w:hAnsiTheme="minorHAnsi"/>
          <w:color w:val="auto"/>
          <w:szCs w:val="24"/>
        </w:rPr>
        <w:t xml:space="preserve">horacic </w:t>
      </w:r>
      <w:r w:rsidR="00B91FCB">
        <w:rPr>
          <w:rFonts w:asciiTheme="minorHAnsi" w:hAnsiTheme="minorHAnsi"/>
          <w:color w:val="auto"/>
          <w:szCs w:val="24"/>
        </w:rPr>
        <w:t>o</w:t>
      </w:r>
      <w:r w:rsidRPr="004025EC">
        <w:rPr>
          <w:rFonts w:asciiTheme="minorHAnsi" w:hAnsiTheme="minorHAnsi"/>
          <w:color w:val="auto"/>
          <w:szCs w:val="24"/>
        </w:rPr>
        <w:t xml:space="preserve">utlet </w:t>
      </w:r>
      <w:r w:rsidR="00B91FCB">
        <w:rPr>
          <w:rFonts w:asciiTheme="minorHAnsi" w:hAnsiTheme="minorHAnsi"/>
          <w:color w:val="auto"/>
          <w:szCs w:val="24"/>
        </w:rPr>
        <w:t>s</w:t>
      </w:r>
      <w:r w:rsidRPr="004025EC">
        <w:rPr>
          <w:rFonts w:asciiTheme="minorHAnsi" w:hAnsiTheme="minorHAnsi"/>
          <w:color w:val="auto"/>
          <w:szCs w:val="24"/>
        </w:rPr>
        <w:t>yndrome condition was rated by the VA at 30% within seven months of separation</w:t>
      </w:r>
      <w:r w:rsidR="00EB241F">
        <w:rPr>
          <w:rFonts w:asciiTheme="minorHAnsi" w:hAnsiTheme="minorHAnsi"/>
          <w:color w:val="auto"/>
          <w:szCs w:val="24"/>
        </w:rPr>
        <w:t xml:space="preserve"> and </w:t>
      </w:r>
      <w:r w:rsidRPr="004025EC">
        <w:rPr>
          <w:rFonts w:asciiTheme="minorHAnsi" w:hAnsiTheme="minorHAnsi"/>
          <w:color w:val="auto"/>
          <w:szCs w:val="24"/>
        </w:rPr>
        <w:t>was noted</w:t>
      </w:r>
      <w:r>
        <w:rPr>
          <w:rFonts w:asciiTheme="minorHAnsi" w:hAnsiTheme="minorHAnsi"/>
          <w:color w:val="auto"/>
          <w:szCs w:val="24"/>
        </w:rPr>
        <w:t xml:space="preserve"> </w:t>
      </w:r>
      <w:r>
        <w:rPr>
          <w:rFonts w:asciiTheme="minorHAnsi" w:hAnsiTheme="minorHAnsi"/>
          <w:color w:val="auto"/>
        </w:rPr>
        <w:t>in the DES package.</w:t>
      </w:r>
      <w:r w:rsidRPr="00063F5F">
        <w:rPr>
          <w:rFonts w:asciiTheme="minorHAnsi" w:hAnsiTheme="minorHAnsi"/>
          <w:color w:val="auto"/>
        </w:rPr>
        <w:t xml:space="preserve"> </w:t>
      </w:r>
      <w:r w:rsidR="00325756">
        <w:rPr>
          <w:rFonts w:asciiTheme="minorHAnsi" w:hAnsiTheme="minorHAnsi"/>
          <w:color w:val="auto"/>
        </w:rPr>
        <w:t xml:space="preserve"> </w:t>
      </w:r>
      <w:r w:rsidR="004025EC">
        <w:rPr>
          <w:rFonts w:asciiTheme="minorHAnsi" w:hAnsiTheme="minorHAnsi"/>
          <w:color w:val="auto"/>
        </w:rPr>
        <w:t>There was no indication that this condition contributed to the CI’s LIMDUs for her foot condition.</w:t>
      </w:r>
      <w:r w:rsidR="004025EC" w:rsidRPr="004025EC">
        <w:rPr>
          <w:rFonts w:asciiTheme="minorHAnsi" w:hAnsiTheme="minorHAnsi"/>
          <w:color w:val="auto"/>
          <w:szCs w:val="24"/>
        </w:rPr>
        <w:t xml:space="preserve"> </w:t>
      </w:r>
      <w:r w:rsidR="00325756">
        <w:rPr>
          <w:rFonts w:asciiTheme="minorHAnsi" w:hAnsiTheme="minorHAnsi"/>
          <w:color w:val="auto"/>
          <w:szCs w:val="24"/>
        </w:rPr>
        <w:t xml:space="preserve"> </w:t>
      </w:r>
      <w:r w:rsidR="004025EC">
        <w:rPr>
          <w:rFonts w:asciiTheme="minorHAnsi" w:hAnsiTheme="minorHAnsi"/>
          <w:color w:val="auto"/>
          <w:szCs w:val="24"/>
        </w:rPr>
        <w:t>A</w:t>
      </w:r>
      <w:r w:rsidR="00CA6749">
        <w:rPr>
          <w:rFonts w:asciiTheme="minorHAnsi" w:hAnsiTheme="minorHAnsi"/>
          <w:color w:val="auto"/>
          <w:szCs w:val="24"/>
        </w:rPr>
        <w:t>t the</w:t>
      </w:r>
      <w:r w:rsidR="004025EC">
        <w:rPr>
          <w:rFonts w:asciiTheme="minorHAnsi" w:hAnsiTheme="minorHAnsi"/>
          <w:color w:val="auto"/>
          <w:szCs w:val="24"/>
        </w:rPr>
        <w:t xml:space="preserve"> VA C&amp;P examination for</w:t>
      </w:r>
      <w:r w:rsidR="004025EC" w:rsidRPr="004025EC">
        <w:rPr>
          <w:rFonts w:asciiTheme="minorHAnsi" w:hAnsiTheme="minorHAnsi"/>
          <w:color w:val="auto"/>
          <w:szCs w:val="24"/>
        </w:rPr>
        <w:t xml:space="preserve"> </w:t>
      </w:r>
      <w:r w:rsidR="00CA6749">
        <w:rPr>
          <w:rFonts w:asciiTheme="minorHAnsi" w:hAnsiTheme="minorHAnsi"/>
          <w:color w:val="auto"/>
          <w:szCs w:val="24"/>
        </w:rPr>
        <w:t>n</w:t>
      </w:r>
      <w:r w:rsidR="002A6E77">
        <w:rPr>
          <w:rFonts w:asciiTheme="minorHAnsi" w:hAnsiTheme="minorHAnsi"/>
          <w:color w:val="auto"/>
          <w:szCs w:val="24"/>
        </w:rPr>
        <w:t>eurology</w:t>
      </w:r>
      <w:r w:rsidR="00CA6749">
        <w:rPr>
          <w:rFonts w:asciiTheme="minorHAnsi" w:hAnsiTheme="minorHAnsi"/>
          <w:color w:val="auto"/>
          <w:szCs w:val="24"/>
        </w:rPr>
        <w:t>,</w:t>
      </w:r>
      <w:r w:rsidR="004025EC">
        <w:rPr>
          <w:rFonts w:asciiTheme="minorHAnsi" w:hAnsiTheme="minorHAnsi"/>
          <w:color w:val="auto"/>
          <w:szCs w:val="24"/>
        </w:rPr>
        <w:t xml:space="preserve"> the examiner documented a positive </w:t>
      </w:r>
      <w:proofErr w:type="spellStart"/>
      <w:r w:rsidR="004025EC">
        <w:rPr>
          <w:rFonts w:asciiTheme="minorHAnsi" w:hAnsiTheme="minorHAnsi"/>
          <w:color w:val="auto"/>
          <w:szCs w:val="24"/>
        </w:rPr>
        <w:t>Adson’s</w:t>
      </w:r>
      <w:proofErr w:type="spellEnd"/>
      <w:r w:rsidR="004025EC">
        <w:rPr>
          <w:rFonts w:asciiTheme="minorHAnsi" w:hAnsiTheme="minorHAnsi"/>
          <w:color w:val="auto"/>
          <w:szCs w:val="24"/>
        </w:rPr>
        <w:t xml:space="preserve"> </w:t>
      </w:r>
      <w:r w:rsidR="002A6E77">
        <w:rPr>
          <w:rFonts w:asciiTheme="minorHAnsi" w:hAnsiTheme="minorHAnsi"/>
          <w:color w:val="auto"/>
          <w:szCs w:val="24"/>
        </w:rPr>
        <w:t>maneuver</w:t>
      </w:r>
      <w:r w:rsidR="004025EC">
        <w:rPr>
          <w:rFonts w:asciiTheme="minorHAnsi" w:hAnsiTheme="minorHAnsi"/>
          <w:color w:val="auto"/>
          <w:szCs w:val="24"/>
        </w:rPr>
        <w:t xml:space="preserve"> bilaterally which produced paresthesias in her hands resulting in a sensorimotor peripheral neuropathy with hypothenar and thenar wasting with only a mild hand weakness.</w:t>
      </w:r>
      <w:r w:rsidR="002A6E77" w:rsidRPr="002A6E77">
        <w:rPr>
          <w:rFonts w:asciiTheme="minorHAnsi" w:hAnsiTheme="minorHAnsi"/>
          <w:color w:val="auto"/>
        </w:rPr>
        <w:t xml:space="preserve"> </w:t>
      </w:r>
      <w:r w:rsidR="00325756">
        <w:rPr>
          <w:rFonts w:asciiTheme="minorHAnsi" w:hAnsiTheme="minorHAnsi"/>
          <w:color w:val="auto"/>
        </w:rPr>
        <w:t xml:space="preserve"> </w:t>
      </w:r>
      <w:r>
        <w:rPr>
          <w:rFonts w:asciiTheme="minorHAnsi" w:hAnsiTheme="minorHAnsi"/>
          <w:color w:val="auto"/>
        </w:rPr>
        <w:t>All evidence considered</w:t>
      </w:r>
      <w:proofErr w:type="gramStart"/>
      <w:r>
        <w:rPr>
          <w:rFonts w:asciiTheme="minorHAnsi" w:hAnsiTheme="minorHAnsi"/>
          <w:color w:val="auto"/>
        </w:rPr>
        <w:t>,</w:t>
      </w:r>
      <w:proofErr w:type="gramEnd"/>
      <w:r>
        <w:rPr>
          <w:rFonts w:asciiTheme="minorHAnsi" w:hAnsiTheme="minorHAnsi"/>
          <w:color w:val="auto"/>
        </w:rPr>
        <w:t xml:space="preserve"> there is not reasonable doubt in the CI’s favor supporting addition of</w:t>
      </w:r>
      <w:r w:rsidRPr="002A6E77">
        <w:rPr>
          <w:rFonts w:asciiTheme="minorHAnsi" w:hAnsiTheme="minorHAnsi"/>
          <w:color w:val="auto"/>
          <w:szCs w:val="24"/>
        </w:rPr>
        <w:t xml:space="preserve"> </w:t>
      </w:r>
      <w:r w:rsidR="00EB241F">
        <w:rPr>
          <w:rFonts w:asciiTheme="minorHAnsi" w:hAnsiTheme="minorHAnsi"/>
          <w:color w:val="auto"/>
          <w:szCs w:val="24"/>
        </w:rPr>
        <w:t>left</w:t>
      </w:r>
      <w:r w:rsidRPr="004025EC">
        <w:rPr>
          <w:rFonts w:asciiTheme="minorHAnsi" w:hAnsiTheme="minorHAnsi"/>
          <w:color w:val="auto"/>
          <w:szCs w:val="24"/>
        </w:rPr>
        <w:t xml:space="preserve"> </w:t>
      </w:r>
      <w:r w:rsidR="00EB241F">
        <w:rPr>
          <w:rFonts w:asciiTheme="minorHAnsi" w:hAnsiTheme="minorHAnsi"/>
          <w:color w:val="auto"/>
          <w:szCs w:val="24"/>
        </w:rPr>
        <w:t>u</w:t>
      </w:r>
      <w:r w:rsidRPr="004025EC">
        <w:rPr>
          <w:rFonts w:asciiTheme="minorHAnsi" w:hAnsiTheme="minorHAnsi"/>
          <w:color w:val="auto"/>
          <w:szCs w:val="24"/>
        </w:rPr>
        <w:t xml:space="preserve">pper </w:t>
      </w:r>
      <w:r w:rsidR="00EB241F">
        <w:rPr>
          <w:rFonts w:asciiTheme="minorHAnsi" w:hAnsiTheme="minorHAnsi"/>
          <w:color w:val="auto"/>
          <w:szCs w:val="24"/>
        </w:rPr>
        <w:t>e</w:t>
      </w:r>
      <w:r w:rsidRPr="004025EC">
        <w:rPr>
          <w:rFonts w:asciiTheme="minorHAnsi" w:hAnsiTheme="minorHAnsi"/>
          <w:color w:val="auto"/>
          <w:szCs w:val="24"/>
        </w:rPr>
        <w:t xml:space="preserve">xtremity </w:t>
      </w:r>
      <w:r w:rsidR="00EB241F">
        <w:rPr>
          <w:rFonts w:asciiTheme="minorHAnsi" w:hAnsiTheme="minorHAnsi"/>
          <w:color w:val="auto"/>
          <w:szCs w:val="24"/>
        </w:rPr>
        <w:t>t</w:t>
      </w:r>
      <w:r w:rsidRPr="004025EC">
        <w:rPr>
          <w:rFonts w:asciiTheme="minorHAnsi" w:hAnsiTheme="minorHAnsi"/>
          <w:color w:val="auto"/>
          <w:szCs w:val="24"/>
        </w:rPr>
        <w:t xml:space="preserve">horacic </w:t>
      </w:r>
      <w:r w:rsidR="00EB241F">
        <w:rPr>
          <w:rFonts w:asciiTheme="minorHAnsi" w:hAnsiTheme="minorHAnsi"/>
          <w:color w:val="auto"/>
          <w:szCs w:val="24"/>
        </w:rPr>
        <w:t>o</w:t>
      </w:r>
      <w:r w:rsidRPr="004025EC">
        <w:rPr>
          <w:rFonts w:asciiTheme="minorHAnsi" w:hAnsiTheme="minorHAnsi"/>
          <w:color w:val="auto"/>
          <w:szCs w:val="24"/>
        </w:rPr>
        <w:t xml:space="preserve">utlet </w:t>
      </w:r>
      <w:r w:rsidR="00EB241F">
        <w:rPr>
          <w:rFonts w:asciiTheme="minorHAnsi" w:hAnsiTheme="minorHAnsi"/>
          <w:color w:val="auto"/>
          <w:szCs w:val="24"/>
        </w:rPr>
        <w:t>s</w:t>
      </w:r>
      <w:r w:rsidRPr="004025EC">
        <w:rPr>
          <w:rFonts w:asciiTheme="minorHAnsi" w:hAnsiTheme="minorHAnsi"/>
          <w:color w:val="auto"/>
          <w:szCs w:val="24"/>
        </w:rPr>
        <w:t xml:space="preserve">yndrome </w:t>
      </w:r>
      <w:r>
        <w:rPr>
          <w:rFonts w:asciiTheme="minorHAnsi" w:hAnsiTheme="minorHAnsi"/>
          <w:color w:val="auto"/>
        </w:rPr>
        <w:t>as an unfitting condition for separation rating.</w:t>
      </w:r>
    </w:p>
    <w:p w:rsidR="002A6E77" w:rsidRDefault="002A6E77" w:rsidP="003D2EE4">
      <w:pPr>
        <w:tabs>
          <w:tab w:val="left" w:pos="288"/>
          <w:tab w:val="left" w:pos="4752"/>
        </w:tabs>
        <w:spacing w:line="240" w:lineRule="exact"/>
        <w:jc w:val="both"/>
        <w:rPr>
          <w:rFonts w:asciiTheme="minorHAnsi" w:hAnsiTheme="minorHAnsi"/>
          <w:color w:val="auto"/>
        </w:rPr>
      </w:pPr>
      <w:proofErr w:type="gramStart"/>
      <w:r w:rsidRPr="002A6E77">
        <w:rPr>
          <w:rFonts w:asciiTheme="minorHAnsi" w:hAnsiTheme="minorHAnsi"/>
          <w:color w:val="auto"/>
          <w:szCs w:val="24"/>
          <w:u w:val="single"/>
        </w:rPr>
        <w:lastRenderedPageBreak/>
        <w:t>R</w:t>
      </w:r>
      <w:r w:rsidR="00EB241F">
        <w:rPr>
          <w:rFonts w:asciiTheme="minorHAnsi" w:hAnsiTheme="minorHAnsi"/>
          <w:color w:val="auto"/>
          <w:szCs w:val="24"/>
          <w:u w:val="single"/>
        </w:rPr>
        <w:t>ight</w:t>
      </w:r>
      <w:r w:rsidRPr="002A6E77">
        <w:rPr>
          <w:rFonts w:asciiTheme="minorHAnsi" w:hAnsiTheme="minorHAnsi"/>
          <w:color w:val="auto"/>
          <w:szCs w:val="24"/>
          <w:u w:val="single"/>
        </w:rPr>
        <w:t xml:space="preserve"> Upper Extremity Thoracic Outlet Syndrome</w:t>
      </w:r>
      <w:r w:rsidR="00CA6749">
        <w:rPr>
          <w:rFonts w:asciiTheme="minorHAnsi" w:hAnsiTheme="minorHAnsi"/>
          <w:color w:val="auto"/>
          <w:szCs w:val="24"/>
          <w:u w:val="single"/>
        </w:rPr>
        <w:t>.</w:t>
      </w:r>
      <w:proofErr w:type="gramEnd"/>
      <w:r>
        <w:rPr>
          <w:rFonts w:asciiTheme="minorHAnsi" w:hAnsiTheme="minorHAnsi"/>
          <w:color w:val="auto"/>
          <w:szCs w:val="24"/>
        </w:rPr>
        <w:t xml:space="preserve">  The </w:t>
      </w:r>
      <w:r w:rsidR="00CA6749">
        <w:rPr>
          <w:rFonts w:asciiTheme="minorHAnsi" w:hAnsiTheme="minorHAnsi"/>
          <w:color w:val="auto"/>
          <w:szCs w:val="24"/>
        </w:rPr>
        <w:t>r</w:t>
      </w:r>
      <w:r w:rsidR="00EB241F">
        <w:rPr>
          <w:rFonts w:asciiTheme="minorHAnsi" w:hAnsiTheme="minorHAnsi"/>
          <w:color w:val="auto"/>
          <w:szCs w:val="24"/>
        </w:rPr>
        <w:t>ight</w:t>
      </w:r>
      <w:r w:rsidRPr="002A6E77">
        <w:rPr>
          <w:rFonts w:asciiTheme="minorHAnsi" w:hAnsiTheme="minorHAnsi"/>
          <w:color w:val="auto"/>
          <w:szCs w:val="24"/>
        </w:rPr>
        <w:t xml:space="preserve"> </w:t>
      </w:r>
      <w:r w:rsidR="00CA6749">
        <w:rPr>
          <w:rFonts w:asciiTheme="minorHAnsi" w:hAnsiTheme="minorHAnsi"/>
          <w:color w:val="auto"/>
          <w:szCs w:val="24"/>
        </w:rPr>
        <w:t>u</w:t>
      </w:r>
      <w:r w:rsidRPr="002A6E77">
        <w:rPr>
          <w:rFonts w:asciiTheme="minorHAnsi" w:hAnsiTheme="minorHAnsi"/>
          <w:color w:val="auto"/>
          <w:szCs w:val="24"/>
        </w:rPr>
        <w:t xml:space="preserve">pper </w:t>
      </w:r>
      <w:r w:rsidR="00CA6749">
        <w:rPr>
          <w:rFonts w:asciiTheme="minorHAnsi" w:hAnsiTheme="minorHAnsi"/>
          <w:color w:val="auto"/>
          <w:szCs w:val="24"/>
        </w:rPr>
        <w:t>e</w:t>
      </w:r>
      <w:r w:rsidRPr="002A6E77">
        <w:rPr>
          <w:rFonts w:asciiTheme="minorHAnsi" w:hAnsiTheme="minorHAnsi"/>
          <w:color w:val="auto"/>
          <w:szCs w:val="24"/>
        </w:rPr>
        <w:t xml:space="preserve">xtremity </w:t>
      </w:r>
      <w:r w:rsidR="00CA6749">
        <w:rPr>
          <w:rFonts w:asciiTheme="minorHAnsi" w:hAnsiTheme="minorHAnsi"/>
          <w:color w:val="auto"/>
          <w:szCs w:val="24"/>
        </w:rPr>
        <w:t>t</w:t>
      </w:r>
      <w:r w:rsidRPr="002A6E77">
        <w:rPr>
          <w:rFonts w:asciiTheme="minorHAnsi" w:hAnsiTheme="minorHAnsi"/>
          <w:color w:val="auto"/>
          <w:szCs w:val="24"/>
        </w:rPr>
        <w:t xml:space="preserve">horacic </w:t>
      </w:r>
      <w:r w:rsidR="00CA6749">
        <w:rPr>
          <w:rFonts w:asciiTheme="minorHAnsi" w:hAnsiTheme="minorHAnsi"/>
          <w:color w:val="auto"/>
          <w:szCs w:val="24"/>
        </w:rPr>
        <w:t>o</w:t>
      </w:r>
      <w:r w:rsidRPr="002A6E77">
        <w:rPr>
          <w:rFonts w:asciiTheme="minorHAnsi" w:hAnsiTheme="minorHAnsi"/>
          <w:color w:val="auto"/>
          <w:szCs w:val="24"/>
        </w:rPr>
        <w:t xml:space="preserve">utlet </w:t>
      </w:r>
      <w:r w:rsidR="00CA6749">
        <w:rPr>
          <w:rFonts w:asciiTheme="minorHAnsi" w:hAnsiTheme="minorHAnsi"/>
          <w:color w:val="auto"/>
          <w:szCs w:val="24"/>
        </w:rPr>
        <w:t>s</w:t>
      </w:r>
      <w:r w:rsidRPr="002A6E77">
        <w:rPr>
          <w:rFonts w:asciiTheme="minorHAnsi" w:hAnsiTheme="minorHAnsi"/>
          <w:color w:val="auto"/>
          <w:szCs w:val="24"/>
        </w:rPr>
        <w:t xml:space="preserve">yndrome </w:t>
      </w:r>
      <w:r w:rsidRPr="004025EC">
        <w:rPr>
          <w:rFonts w:asciiTheme="minorHAnsi" w:hAnsiTheme="minorHAnsi"/>
          <w:color w:val="auto"/>
          <w:szCs w:val="24"/>
        </w:rPr>
        <w:t xml:space="preserve">condition was rated by the VA at </w:t>
      </w:r>
      <w:r>
        <w:rPr>
          <w:rFonts w:asciiTheme="minorHAnsi" w:hAnsiTheme="minorHAnsi"/>
          <w:color w:val="auto"/>
          <w:szCs w:val="24"/>
        </w:rPr>
        <w:t>2</w:t>
      </w:r>
      <w:r w:rsidRPr="004025EC">
        <w:rPr>
          <w:rFonts w:asciiTheme="minorHAnsi" w:hAnsiTheme="minorHAnsi"/>
          <w:color w:val="auto"/>
          <w:szCs w:val="24"/>
        </w:rPr>
        <w:t>0% within seven months of separation</w:t>
      </w:r>
      <w:r w:rsidR="00EB241F">
        <w:rPr>
          <w:rFonts w:asciiTheme="minorHAnsi" w:hAnsiTheme="minorHAnsi"/>
          <w:color w:val="auto"/>
          <w:szCs w:val="24"/>
        </w:rPr>
        <w:t xml:space="preserve"> and</w:t>
      </w:r>
      <w:r w:rsidRPr="004025EC">
        <w:rPr>
          <w:rFonts w:asciiTheme="minorHAnsi" w:hAnsiTheme="minorHAnsi"/>
          <w:color w:val="auto"/>
          <w:szCs w:val="24"/>
        </w:rPr>
        <w:t xml:space="preserve"> was noted</w:t>
      </w:r>
      <w:r>
        <w:rPr>
          <w:rFonts w:asciiTheme="minorHAnsi" w:hAnsiTheme="minorHAnsi"/>
          <w:color w:val="auto"/>
          <w:szCs w:val="24"/>
        </w:rPr>
        <w:t xml:space="preserve"> </w:t>
      </w:r>
      <w:r w:rsidR="00EB241F">
        <w:rPr>
          <w:rFonts w:asciiTheme="minorHAnsi" w:hAnsiTheme="minorHAnsi"/>
          <w:color w:val="auto"/>
          <w:szCs w:val="24"/>
        </w:rPr>
        <w:t>i</w:t>
      </w:r>
      <w:r>
        <w:rPr>
          <w:rFonts w:asciiTheme="minorHAnsi" w:hAnsiTheme="minorHAnsi"/>
          <w:color w:val="auto"/>
          <w:szCs w:val="24"/>
        </w:rPr>
        <w:t xml:space="preserve">n </w:t>
      </w:r>
      <w:r w:rsidR="00E266F1">
        <w:rPr>
          <w:rFonts w:asciiTheme="minorHAnsi" w:hAnsiTheme="minorHAnsi"/>
          <w:color w:val="auto"/>
          <w:szCs w:val="24"/>
        </w:rPr>
        <w:t xml:space="preserve">the </w:t>
      </w:r>
      <w:r>
        <w:rPr>
          <w:rFonts w:asciiTheme="minorHAnsi" w:hAnsiTheme="minorHAnsi"/>
          <w:color w:val="auto"/>
        </w:rPr>
        <w:t>DES package.</w:t>
      </w:r>
      <w:r w:rsidR="00325756">
        <w:rPr>
          <w:rFonts w:asciiTheme="minorHAnsi" w:hAnsiTheme="minorHAnsi"/>
          <w:color w:val="auto"/>
        </w:rPr>
        <w:t xml:space="preserve"> </w:t>
      </w:r>
      <w:r>
        <w:rPr>
          <w:rFonts w:asciiTheme="minorHAnsi" w:hAnsiTheme="minorHAnsi"/>
          <w:color w:val="auto"/>
        </w:rPr>
        <w:t xml:space="preserve"> There was no indication that this condition contributed to the CI’s LIMDUs for her foot condition.</w:t>
      </w:r>
      <w:r w:rsidRPr="004025EC">
        <w:rPr>
          <w:rFonts w:asciiTheme="minorHAnsi" w:hAnsiTheme="minorHAnsi"/>
          <w:color w:val="auto"/>
          <w:szCs w:val="24"/>
        </w:rPr>
        <w:t xml:space="preserve"> </w:t>
      </w:r>
      <w:r w:rsidR="00325756">
        <w:rPr>
          <w:rFonts w:asciiTheme="minorHAnsi" w:hAnsiTheme="minorHAnsi"/>
          <w:color w:val="auto"/>
          <w:szCs w:val="24"/>
        </w:rPr>
        <w:t xml:space="preserve"> </w:t>
      </w:r>
      <w:r w:rsidR="00CA6749">
        <w:rPr>
          <w:rFonts w:asciiTheme="minorHAnsi" w:hAnsiTheme="minorHAnsi"/>
          <w:color w:val="auto"/>
          <w:szCs w:val="24"/>
        </w:rPr>
        <w:t xml:space="preserve">During the </w:t>
      </w:r>
      <w:r>
        <w:rPr>
          <w:rFonts w:asciiTheme="minorHAnsi" w:hAnsiTheme="minorHAnsi"/>
          <w:color w:val="auto"/>
          <w:szCs w:val="24"/>
        </w:rPr>
        <w:t xml:space="preserve">VA C&amp;P examination for </w:t>
      </w:r>
      <w:r w:rsidR="00CA6749">
        <w:rPr>
          <w:rFonts w:asciiTheme="minorHAnsi" w:hAnsiTheme="minorHAnsi"/>
          <w:color w:val="auto"/>
          <w:szCs w:val="24"/>
        </w:rPr>
        <w:t>neurology,</w:t>
      </w:r>
      <w:r>
        <w:rPr>
          <w:rFonts w:asciiTheme="minorHAnsi" w:hAnsiTheme="minorHAnsi"/>
          <w:color w:val="auto"/>
          <w:szCs w:val="24"/>
        </w:rPr>
        <w:t xml:space="preserve"> the examiner documented a positive </w:t>
      </w:r>
      <w:proofErr w:type="spellStart"/>
      <w:r>
        <w:rPr>
          <w:rFonts w:asciiTheme="minorHAnsi" w:hAnsiTheme="minorHAnsi"/>
          <w:color w:val="auto"/>
          <w:szCs w:val="24"/>
        </w:rPr>
        <w:t>Adson’s</w:t>
      </w:r>
      <w:proofErr w:type="spellEnd"/>
      <w:r>
        <w:rPr>
          <w:rFonts w:asciiTheme="minorHAnsi" w:hAnsiTheme="minorHAnsi"/>
          <w:color w:val="auto"/>
          <w:szCs w:val="24"/>
        </w:rPr>
        <w:t xml:space="preserve"> maneuver bilaterally which produced paresthesias in her hands resulting in a sensorimotor peripheral neuropathy with hypothenar and thenar wasting with only a mild hand weakness which was less on the </w:t>
      </w:r>
      <w:r w:rsidR="00E266F1">
        <w:rPr>
          <w:rFonts w:asciiTheme="minorHAnsi" w:hAnsiTheme="minorHAnsi"/>
          <w:color w:val="auto"/>
          <w:szCs w:val="24"/>
        </w:rPr>
        <w:t>right side</w:t>
      </w:r>
      <w:r>
        <w:rPr>
          <w:rFonts w:asciiTheme="minorHAnsi" w:hAnsiTheme="minorHAnsi"/>
          <w:color w:val="auto"/>
          <w:szCs w:val="24"/>
        </w:rPr>
        <w:t>.</w:t>
      </w:r>
      <w:r w:rsidRPr="002A6E77">
        <w:rPr>
          <w:rFonts w:asciiTheme="minorHAnsi" w:hAnsiTheme="minorHAnsi"/>
          <w:color w:val="auto"/>
        </w:rPr>
        <w:t xml:space="preserve"> </w:t>
      </w:r>
      <w:r w:rsidR="00325756">
        <w:rPr>
          <w:rFonts w:asciiTheme="minorHAnsi" w:hAnsiTheme="minorHAnsi"/>
          <w:color w:val="auto"/>
        </w:rPr>
        <w:t xml:space="preserve"> </w:t>
      </w:r>
      <w:r w:rsidR="00E266F1">
        <w:rPr>
          <w:rFonts w:asciiTheme="minorHAnsi" w:hAnsiTheme="minorHAnsi"/>
          <w:color w:val="auto"/>
        </w:rPr>
        <w:t>All evidence considered</w:t>
      </w:r>
      <w:proofErr w:type="gramStart"/>
      <w:r w:rsidR="00E266F1">
        <w:rPr>
          <w:rFonts w:asciiTheme="minorHAnsi" w:hAnsiTheme="minorHAnsi"/>
          <w:color w:val="auto"/>
        </w:rPr>
        <w:t>,</w:t>
      </w:r>
      <w:proofErr w:type="gramEnd"/>
      <w:r w:rsidR="00E266F1">
        <w:rPr>
          <w:rFonts w:asciiTheme="minorHAnsi" w:hAnsiTheme="minorHAnsi"/>
          <w:color w:val="auto"/>
        </w:rPr>
        <w:t xml:space="preserve"> there is not reasonable doubt in the CI’s favor supporting addition of</w:t>
      </w:r>
      <w:r w:rsidR="00E266F1" w:rsidRPr="002A6E77">
        <w:rPr>
          <w:rFonts w:asciiTheme="minorHAnsi" w:hAnsiTheme="minorHAnsi"/>
          <w:color w:val="auto"/>
          <w:szCs w:val="24"/>
        </w:rPr>
        <w:t xml:space="preserve"> </w:t>
      </w:r>
      <w:r w:rsidR="00CA6749">
        <w:rPr>
          <w:rFonts w:asciiTheme="minorHAnsi" w:hAnsiTheme="minorHAnsi"/>
          <w:color w:val="auto"/>
          <w:szCs w:val="24"/>
        </w:rPr>
        <w:t>right</w:t>
      </w:r>
      <w:r w:rsidR="00E266F1">
        <w:rPr>
          <w:rFonts w:asciiTheme="minorHAnsi" w:hAnsiTheme="minorHAnsi"/>
          <w:color w:val="auto"/>
          <w:szCs w:val="24"/>
        </w:rPr>
        <w:t xml:space="preserve"> </w:t>
      </w:r>
      <w:r w:rsidR="00CA6749">
        <w:rPr>
          <w:rFonts w:asciiTheme="minorHAnsi" w:hAnsiTheme="minorHAnsi"/>
          <w:color w:val="auto"/>
          <w:szCs w:val="24"/>
        </w:rPr>
        <w:t>u</w:t>
      </w:r>
      <w:r w:rsidR="00E266F1" w:rsidRPr="004025EC">
        <w:rPr>
          <w:rFonts w:asciiTheme="minorHAnsi" w:hAnsiTheme="minorHAnsi"/>
          <w:color w:val="auto"/>
          <w:szCs w:val="24"/>
        </w:rPr>
        <w:t xml:space="preserve">pper </w:t>
      </w:r>
      <w:r w:rsidR="00CA6749">
        <w:rPr>
          <w:rFonts w:asciiTheme="minorHAnsi" w:hAnsiTheme="minorHAnsi"/>
          <w:color w:val="auto"/>
          <w:szCs w:val="24"/>
        </w:rPr>
        <w:t>e</w:t>
      </w:r>
      <w:r w:rsidR="00E266F1" w:rsidRPr="004025EC">
        <w:rPr>
          <w:rFonts w:asciiTheme="minorHAnsi" w:hAnsiTheme="minorHAnsi"/>
          <w:color w:val="auto"/>
          <w:szCs w:val="24"/>
        </w:rPr>
        <w:t xml:space="preserve">xtremity </w:t>
      </w:r>
      <w:r w:rsidR="00CA6749">
        <w:rPr>
          <w:rFonts w:asciiTheme="minorHAnsi" w:hAnsiTheme="minorHAnsi"/>
          <w:color w:val="auto"/>
          <w:szCs w:val="24"/>
        </w:rPr>
        <w:t>t</w:t>
      </w:r>
      <w:r w:rsidR="00E266F1" w:rsidRPr="004025EC">
        <w:rPr>
          <w:rFonts w:asciiTheme="minorHAnsi" w:hAnsiTheme="minorHAnsi"/>
          <w:color w:val="auto"/>
          <w:szCs w:val="24"/>
        </w:rPr>
        <w:t xml:space="preserve">horacic </w:t>
      </w:r>
      <w:r w:rsidR="00CA6749">
        <w:rPr>
          <w:rFonts w:asciiTheme="minorHAnsi" w:hAnsiTheme="minorHAnsi"/>
          <w:color w:val="auto"/>
          <w:szCs w:val="24"/>
        </w:rPr>
        <w:t>o</w:t>
      </w:r>
      <w:r w:rsidR="00E266F1" w:rsidRPr="004025EC">
        <w:rPr>
          <w:rFonts w:asciiTheme="minorHAnsi" w:hAnsiTheme="minorHAnsi"/>
          <w:color w:val="auto"/>
          <w:szCs w:val="24"/>
        </w:rPr>
        <w:t xml:space="preserve">utlet </w:t>
      </w:r>
      <w:r w:rsidR="00CA6749">
        <w:rPr>
          <w:rFonts w:asciiTheme="minorHAnsi" w:hAnsiTheme="minorHAnsi"/>
          <w:color w:val="auto"/>
          <w:szCs w:val="24"/>
        </w:rPr>
        <w:t>s</w:t>
      </w:r>
      <w:r w:rsidR="00E266F1" w:rsidRPr="004025EC">
        <w:rPr>
          <w:rFonts w:asciiTheme="minorHAnsi" w:hAnsiTheme="minorHAnsi"/>
          <w:color w:val="auto"/>
          <w:szCs w:val="24"/>
        </w:rPr>
        <w:t xml:space="preserve">yndrome </w:t>
      </w:r>
      <w:r w:rsidR="00E266F1">
        <w:rPr>
          <w:rFonts w:asciiTheme="minorHAnsi" w:hAnsiTheme="minorHAnsi"/>
          <w:color w:val="auto"/>
        </w:rPr>
        <w:t>as an unfitting condition for separation rating.</w:t>
      </w:r>
    </w:p>
    <w:p w:rsidR="002A6E77" w:rsidRDefault="002A6E77" w:rsidP="003D2EE4">
      <w:pPr>
        <w:tabs>
          <w:tab w:val="left" w:pos="288"/>
          <w:tab w:val="left" w:pos="4752"/>
        </w:tabs>
        <w:spacing w:line="240" w:lineRule="exact"/>
        <w:jc w:val="both"/>
        <w:rPr>
          <w:rFonts w:asciiTheme="minorHAnsi" w:hAnsiTheme="minorHAnsi"/>
          <w:color w:val="auto"/>
        </w:rPr>
      </w:pPr>
    </w:p>
    <w:p w:rsidR="006361FA" w:rsidRDefault="002A6E77" w:rsidP="003D2EE4">
      <w:pPr>
        <w:tabs>
          <w:tab w:val="left" w:pos="288"/>
          <w:tab w:val="left" w:pos="4752"/>
        </w:tabs>
        <w:spacing w:line="240" w:lineRule="exact"/>
        <w:jc w:val="both"/>
        <w:rPr>
          <w:rFonts w:asciiTheme="minorHAnsi" w:hAnsiTheme="minorHAnsi"/>
          <w:color w:val="auto"/>
        </w:rPr>
      </w:pPr>
      <w:proofErr w:type="gramStart"/>
      <w:r>
        <w:rPr>
          <w:rFonts w:asciiTheme="minorHAnsi" w:hAnsiTheme="minorHAnsi"/>
          <w:color w:val="auto"/>
          <w:u w:val="single"/>
        </w:rPr>
        <w:t>Other Conditions</w:t>
      </w:r>
      <w:r w:rsidR="00CA6749">
        <w:rPr>
          <w:rFonts w:asciiTheme="minorHAnsi" w:hAnsiTheme="minorHAnsi"/>
          <w:color w:val="auto"/>
          <w:u w:val="single"/>
        </w:rPr>
        <w:t>.</w:t>
      </w:r>
      <w:proofErr w:type="gramEnd"/>
      <w:r w:rsidRPr="002A6E77">
        <w:rPr>
          <w:color w:val="auto"/>
          <w:sz w:val="20"/>
        </w:rPr>
        <w:t xml:space="preserve"> </w:t>
      </w:r>
      <w:r w:rsidR="004D6159">
        <w:rPr>
          <w:color w:val="auto"/>
          <w:sz w:val="20"/>
        </w:rPr>
        <w:t xml:space="preserve"> </w:t>
      </w:r>
      <w:r w:rsidRPr="002A6E77">
        <w:rPr>
          <w:rFonts w:asciiTheme="minorHAnsi" w:hAnsiTheme="minorHAnsi"/>
          <w:color w:val="auto"/>
          <w:szCs w:val="24"/>
        </w:rPr>
        <w:t xml:space="preserve">Thoracolumbar </w:t>
      </w:r>
      <w:r w:rsidR="00CA6749">
        <w:rPr>
          <w:rFonts w:asciiTheme="minorHAnsi" w:hAnsiTheme="minorHAnsi"/>
          <w:color w:val="auto"/>
          <w:szCs w:val="24"/>
        </w:rPr>
        <w:t>b</w:t>
      </w:r>
      <w:r w:rsidRPr="002A6E77">
        <w:rPr>
          <w:rFonts w:asciiTheme="minorHAnsi" w:hAnsiTheme="minorHAnsi"/>
          <w:color w:val="auto"/>
          <w:szCs w:val="24"/>
        </w:rPr>
        <w:t xml:space="preserve">ack </w:t>
      </w:r>
      <w:r w:rsidR="00CA6749">
        <w:rPr>
          <w:rFonts w:asciiTheme="minorHAnsi" w:hAnsiTheme="minorHAnsi"/>
          <w:color w:val="auto"/>
          <w:szCs w:val="24"/>
        </w:rPr>
        <w:t>s</w:t>
      </w:r>
      <w:r w:rsidRPr="002A6E77">
        <w:rPr>
          <w:rFonts w:asciiTheme="minorHAnsi" w:hAnsiTheme="minorHAnsi"/>
          <w:color w:val="auto"/>
          <w:szCs w:val="24"/>
        </w:rPr>
        <w:t xml:space="preserve">train </w:t>
      </w:r>
      <w:r w:rsidR="002713BB">
        <w:rPr>
          <w:rFonts w:asciiTheme="minorHAnsi" w:hAnsiTheme="minorHAnsi"/>
          <w:color w:val="auto"/>
          <w:szCs w:val="24"/>
        </w:rPr>
        <w:t xml:space="preserve">with </w:t>
      </w:r>
      <w:r w:rsidRPr="002A6E77">
        <w:rPr>
          <w:rFonts w:asciiTheme="minorHAnsi" w:hAnsiTheme="minorHAnsi"/>
          <w:color w:val="auto"/>
          <w:szCs w:val="24"/>
        </w:rPr>
        <w:t xml:space="preserve">DDD and T4-T5 sensory </w:t>
      </w:r>
      <w:r w:rsidR="00CA6749">
        <w:rPr>
          <w:rFonts w:asciiTheme="minorHAnsi" w:hAnsiTheme="minorHAnsi"/>
          <w:color w:val="auto"/>
          <w:szCs w:val="24"/>
        </w:rPr>
        <w:t>i</w:t>
      </w:r>
      <w:r w:rsidRPr="002A6E77">
        <w:rPr>
          <w:rFonts w:asciiTheme="minorHAnsi" w:hAnsiTheme="minorHAnsi"/>
          <w:color w:val="auto"/>
          <w:szCs w:val="24"/>
        </w:rPr>
        <w:t xml:space="preserve">mpairment, </w:t>
      </w:r>
      <w:r w:rsidR="00CA6749">
        <w:rPr>
          <w:rFonts w:asciiTheme="minorHAnsi" w:hAnsiTheme="minorHAnsi"/>
          <w:color w:val="auto"/>
          <w:szCs w:val="24"/>
        </w:rPr>
        <w:t>c</w:t>
      </w:r>
      <w:r w:rsidRPr="002A6E77">
        <w:rPr>
          <w:rFonts w:asciiTheme="minorHAnsi" w:hAnsiTheme="minorHAnsi"/>
          <w:color w:val="auto"/>
          <w:szCs w:val="24"/>
        </w:rPr>
        <w:t xml:space="preserve">ervical </w:t>
      </w:r>
      <w:r w:rsidR="00CA6749">
        <w:rPr>
          <w:rFonts w:asciiTheme="minorHAnsi" w:hAnsiTheme="minorHAnsi"/>
          <w:color w:val="auto"/>
          <w:szCs w:val="24"/>
        </w:rPr>
        <w:t>s</w:t>
      </w:r>
      <w:r w:rsidR="00E266F1" w:rsidRPr="002A6E77">
        <w:rPr>
          <w:rFonts w:asciiTheme="minorHAnsi" w:hAnsiTheme="minorHAnsi"/>
          <w:color w:val="auto"/>
          <w:szCs w:val="24"/>
        </w:rPr>
        <w:t>train</w:t>
      </w:r>
      <w:r w:rsidRPr="002A6E77">
        <w:rPr>
          <w:rFonts w:asciiTheme="minorHAnsi" w:hAnsiTheme="minorHAnsi"/>
          <w:color w:val="auto"/>
          <w:szCs w:val="24"/>
        </w:rPr>
        <w:t xml:space="preserve">, </w:t>
      </w:r>
      <w:r w:rsidR="00CA6749">
        <w:rPr>
          <w:rFonts w:asciiTheme="minorHAnsi" w:hAnsiTheme="minorHAnsi"/>
          <w:color w:val="auto"/>
          <w:szCs w:val="24"/>
        </w:rPr>
        <w:t>r</w:t>
      </w:r>
      <w:r w:rsidR="003D2EE4">
        <w:rPr>
          <w:rFonts w:asciiTheme="minorHAnsi" w:hAnsiTheme="minorHAnsi"/>
          <w:color w:val="auto"/>
          <w:szCs w:val="24"/>
        </w:rPr>
        <w:t>ight</w:t>
      </w:r>
      <w:r w:rsidRPr="002A6E77">
        <w:rPr>
          <w:rFonts w:asciiTheme="minorHAnsi" w:hAnsiTheme="minorHAnsi"/>
          <w:color w:val="auto"/>
          <w:szCs w:val="24"/>
        </w:rPr>
        <w:t xml:space="preserve"> </w:t>
      </w:r>
      <w:r w:rsidR="00CA6749">
        <w:rPr>
          <w:rFonts w:asciiTheme="minorHAnsi" w:hAnsiTheme="minorHAnsi"/>
          <w:color w:val="auto"/>
          <w:szCs w:val="24"/>
        </w:rPr>
        <w:t>l</w:t>
      </w:r>
      <w:r w:rsidRPr="002A6E77">
        <w:rPr>
          <w:rFonts w:asciiTheme="minorHAnsi" w:hAnsiTheme="minorHAnsi"/>
          <w:color w:val="auto"/>
          <w:szCs w:val="24"/>
        </w:rPr>
        <w:t xml:space="preserve">ower </w:t>
      </w:r>
      <w:r w:rsidR="00CA6749">
        <w:rPr>
          <w:rFonts w:asciiTheme="minorHAnsi" w:hAnsiTheme="minorHAnsi"/>
          <w:color w:val="auto"/>
          <w:szCs w:val="24"/>
        </w:rPr>
        <w:t>e</w:t>
      </w:r>
      <w:r w:rsidRPr="002A6E77">
        <w:rPr>
          <w:rFonts w:asciiTheme="minorHAnsi" w:hAnsiTheme="minorHAnsi"/>
          <w:color w:val="auto"/>
          <w:szCs w:val="24"/>
        </w:rPr>
        <w:t xml:space="preserve">xtremity </w:t>
      </w:r>
      <w:r w:rsidR="00CA6749">
        <w:rPr>
          <w:rFonts w:asciiTheme="minorHAnsi" w:hAnsiTheme="minorHAnsi"/>
          <w:color w:val="auto"/>
          <w:szCs w:val="24"/>
        </w:rPr>
        <w:t>r</w:t>
      </w:r>
      <w:r w:rsidRPr="002A6E77">
        <w:rPr>
          <w:rFonts w:asciiTheme="minorHAnsi" w:hAnsiTheme="minorHAnsi"/>
          <w:color w:val="auto"/>
          <w:szCs w:val="24"/>
        </w:rPr>
        <w:t xml:space="preserve">adiculopathy </w:t>
      </w:r>
      <w:r w:rsidR="002713BB">
        <w:rPr>
          <w:rFonts w:asciiTheme="minorHAnsi" w:hAnsiTheme="minorHAnsi"/>
          <w:color w:val="auto"/>
          <w:szCs w:val="24"/>
        </w:rPr>
        <w:t xml:space="preserve">with </w:t>
      </w:r>
      <w:r w:rsidR="00CA6749">
        <w:rPr>
          <w:rFonts w:asciiTheme="minorHAnsi" w:hAnsiTheme="minorHAnsi"/>
          <w:color w:val="auto"/>
          <w:szCs w:val="24"/>
        </w:rPr>
        <w:t>d</w:t>
      </w:r>
      <w:r w:rsidRPr="002A6E77">
        <w:rPr>
          <w:rFonts w:asciiTheme="minorHAnsi" w:hAnsiTheme="minorHAnsi"/>
          <w:color w:val="auto"/>
          <w:szCs w:val="24"/>
        </w:rPr>
        <w:t xml:space="preserve">istal </w:t>
      </w:r>
      <w:proofErr w:type="spellStart"/>
      <w:r w:rsidR="00CA6749">
        <w:rPr>
          <w:rFonts w:asciiTheme="minorHAnsi" w:hAnsiTheme="minorHAnsi"/>
          <w:color w:val="auto"/>
          <w:szCs w:val="24"/>
        </w:rPr>
        <w:t>p</w:t>
      </w:r>
      <w:r w:rsidRPr="002A6E77">
        <w:rPr>
          <w:rFonts w:asciiTheme="minorHAnsi" w:hAnsiTheme="minorHAnsi"/>
          <w:color w:val="auto"/>
          <w:szCs w:val="24"/>
        </w:rPr>
        <w:t>olyneuropathy</w:t>
      </w:r>
      <w:proofErr w:type="spellEnd"/>
      <w:r w:rsidRPr="002A6E77">
        <w:rPr>
          <w:rFonts w:asciiTheme="minorHAnsi" w:hAnsiTheme="minorHAnsi"/>
          <w:color w:val="auto"/>
          <w:szCs w:val="24"/>
        </w:rPr>
        <w:t xml:space="preserve"> </w:t>
      </w:r>
      <w:r w:rsidR="00CA6749">
        <w:rPr>
          <w:rFonts w:asciiTheme="minorHAnsi" w:hAnsiTheme="minorHAnsi"/>
          <w:color w:val="auto"/>
          <w:szCs w:val="24"/>
        </w:rPr>
        <w:t>hy</w:t>
      </w:r>
      <w:r w:rsidRPr="002A6E77">
        <w:rPr>
          <w:rFonts w:asciiTheme="minorHAnsi" w:hAnsiTheme="minorHAnsi"/>
          <w:color w:val="auto"/>
          <w:szCs w:val="24"/>
        </w:rPr>
        <w:t xml:space="preserve">pothyroidism, </w:t>
      </w:r>
      <w:r w:rsidR="00CA6749">
        <w:rPr>
          <w:rFonts w:asciiTheme="minorHAnsi" w:hAnsiTheme="minorHAnsi"/>
          <w:color w:val="auto"/>
          <w:szCs w:val="24"/>
        </w:rPr>
        <w:t>and l</w:t>
      </w:r>
      <w:r w:rsidR="003D2EE4">
        <w:rPr>
          <w:rFonts w:asciiTheme="minorHAnsi" w:hAnsiTheme="minorHAnsi"/>
          <w:color w:val="auto"/>
          <w:szCs w:val="24"/>
        </w:rPr>
        <w:t>eft</w:t>
      </w:r>
      <w:r w:rsidRPr="002A6E77">
        <w:rPr>
          <w:rFonts w:asciiTheme="minorHAnsi" w:hAnsiTheme="minorHAnsi"/>
          <w:color w:val="auto"/>
          <w:szCs w:val="24"/>
        </w:rPr>
        <w:t xml:space="preserve"> </w:t>
      </w:r>
      <w:r w:rsidR="00CA6749">
        <w:rPr>
          <w:rFonts w:asciiTheme="minorHAnsi" w:hAnsiTheme="minorHAnsi"/>
          <w:color w:val="auto"/>
          <w:szCs w:val="24"/>
        </w:rPr>
        <w:t>l</w:t>
      </w:r>
      <w:r w:rsidRPr="002A6E77">
        <w:rPr>
          <w:rFonts w:asciiTheme="minorHAnsi" w:hAnsiTheme="minorHAnsi"/>
          <w:color w:val="auto"/>
          <w:szCs w:val="24"/>
        </w:rPr>
        <w:t xml:space="preserve">ower </w:t>
      </w:r>
      <w:r w:rsidR="00CA6749">
        <w:rPr>
          <w:rFonts w:asciiTheme="minorHAnsi" w:hAnsiTheme="minorHAnsi"/>
          <w:color w:val="auto"/>
          <w:szCs w:val="24"/>
        </w:rPr>
        <w:t>e</w:t>
      </w:r>
      <w:r w:rsidRPr="002A6E77">
        <w:rPr>
          <w:rFonts w:asciiTheme="minorHAnsi" w:hAnsiTheme="minorHAnsi"/>
          <w:color w:val="auto"/>
          <w:szCs w:val="24"/>
        </w:rPr>
        <w:t xml:space="preserve">xtremity </w:t>
      </w:r>
      <w:proofErr w:type="spellStart"/>
      <w:r w:rsidR="00CA6749">
        <w:rPr>
          <w:rFonts w:asciiTheme="minorHAnsi" w:hAnsiTheme="minorHAnsi"/>
          <w:color w:val="auto"/>
          <w:szCs w:val="24"/>
        </w:rPr>
        <w:t>p</w:t>
      </w:r>
      <w:r w:rsidRPr="002A6E77">
        <w:rPr>
          <w:rFonts w:asciiTheme="minorHAnsi" w:hAnsiTheme="minorHAnsi"/>
          <w:color w:val="auto"/>
          <w:szCs w:val="24"/>
        </w:rPr>
        <w:t>olyneuropathy</w:t>
      </w:r>
      <w:proofErr w:type="spellEnd"/>
      <w:r w:rsidRPr="002A6E77">
        <w:rPr>
          <w:rFonts w:asciiTheme="minorHAnsi" w:hAnsiTheme="minorHAnsi"/>
          <w:color w:val="auto"/>
          <w:szCs w:val="24"/>
        </w:rPr>
        <w:t xml:space="preserve"> </w:t>
      </w:r>
      <w:r w:rsidR="00CA6749">
        <w:rPr>
          <w:rFonts w:asciiTheme="minorHAnsi" w:hAnsiTheme="minorHAnsi"/>
          <w:color w:val="auto"/>
          <w:szCs w:val="24"/>
        </w:rPr>
        <w:t>associated with hy</w:t>
      </w:r>
      <w:r w:rsidRPr="00B2129D">
        <w:rPr>
          <w:rFonts w:asciiTheme="minorHAnsi" w:hAnsiTheme="minorHAnsi"/>
          <w:color w:val="auto"/>
          <w:szCs w:val="24"/>
        </w:rPr>
        <w:t>pothyroidism</w:t>
      </w:r>
      <w:r w:rsidR="006361FA" w:rsidRPr="00B2129D">
        <w:rPr>
          <w:rFonts w:asciiTheme="minorHAnsi" w:hAnsiTheme="minorHAnsi"/>
          <w:color w:val="auto"/>
          <w:szCs w:val="24"/>
        </w:rPr>
        <w:t xml:space="preserve">.  These conditions were </w:t>
      </w:r>
      <w:r w:rsidR="00972ED1" w:rsidRPr="00B2129D">
        <w:rPr>
          <w:rFonts w:asciiTheme="minorHAnsi" w:hAnsiTheme="minorHAnsi"/>
          <w:color w:val="auto"/>
          <w:szCs w:val="24"/>
        </w:rPr>
        <w:t xml:space="preserve">each </w:t>
      </w:r>
      <w:r w:rsidR="006361FA" w:rsidRPr="00B2129D">
        <w:rPr>
          <w:rFonts w:asciiTheme="minorHAnsi" w:hAnsiTheme="minorHAnsi"/>
          <w:color w:val="auto"/>
          <w:szCs w:val="24"/>
        </w:rPr>
        <w:t xml:space="preserve">rated 10% by the VA.  </w:t>
      </w:r>
      <w:r w:rsidR="00972ED1" w:rsidRPr="00B2129D">
        <w:rPr>
          <w:rFonts w:asciiTheme="minorHAnsi" w:hAnsiTheme="minorHAnsi"/>
          <w:color w:val="auto"/>
          <w:szCs w:val="24"/>
        </w:rPr>
        <w:t>T</w:t>
      </w:r>
      <w:r w:rsidR="006361FA" w:rsidRPr="00B2129D">
        <w:rPr>
          <w:rFonts w:asciiTheme="minorHAnsi" w:hAnsiTheme="minorHAnsi"/>
          <w:color w:val="auto"/>
          <w:szCs w:val="24"/>
        </w:rPr>
        <w:t xml:space="preserve">hese conditions </w:t>
      </w:r>
      <w:r w:rsidR="00E266F1" w:rsidRPr="00B2129D">
        <w:rPr>
          <w:rFonts w:asciiTheme="minorHAnsi" w:hAnsiTheme="minorHAnsi"/>
          <w:color w:val="auto"/>
          <w:szCs w:val="24"/>
        </w:rPr>
        <w:t>were</w:t>
      </w:r>
      <w:r w:rsidR="006361FA" w:rsidRPr="00B2129D">
        <w:rPr>
          <w:rFonts w:asciiTheme="minorHAnsi" w:hAnsiTheme="minorHAnsi"/>
          <w:color w:val="auto"/>
          <w:szCs w:val="24"/>
        </w:rPr>
        <w:t xml:space="preserve"> noted </w:t>
      </w:r>
      <w:r w:rsidR="006361FA" w:rsidRPr="00B2129D">
        <w:rPr>
          <w:rFonts w:asciiTheme="minorHAnsi" w:hAnsiTheme="minorHAnsi"/>
          <w:color w:val="auto"/>
        </w:rPr>
        <w:t xml:space="preserve">in the DES package. </w:t>
      </w:r>
      <w:r w:rsidR="00325756" w:rsidRPr="00B2129D">
        <w:rPr>
          <w:rFonts w:asciiTheme="minorHAnsi" w:hAnsiTheme="minorHAnsi"/>
          <w:color w:val="auto"/>
        </w:rPr>
        <w:t xml:space="preserve"> </w:t>
      </w:r>
      <w:r w:rsidR="00972ED1" w:rsidRPr="00B2129D">
        <w:rPr>
          <w:rFonts w:asciiTheme="minorHAnsi" w:hAnsiTheme="minorHAnsi"/>
          <w:color w:val="auto"/>
        </w:rPr>
        <w:t>The CI also contended for “</w:t>
      </w:r>
      <w:r w:rsidR="00CA6749">
        <w:rPr>
          <w:rFonts w:asciiTheme="minorHAnsi" w:hAnsiTheme="minorHAnsi"/>
          <w:color w:val="auto"/>
        </w:rPr>
        <w:t>u</w:t>
      </w:r>
      <w:r w:rsidR="00972ED1" w:rsidRPr="00B2129D">
        <w:rPr>
          <w:rFonts w:asciiTheme="minorHAnsi" w:hAnsiTheme="minorHAnsi"/>
          <w:color w:val="auto"/>
        </w:rPr>
        <w:t xml:space="preserve">nequal </w:t>
      </w:r>
      <w:r w:rsidR="00CA6749">
        <w:rPr>
          <w:rFonts w:asciiTheme="minorHAnsi" w:hAnsiTheme="minorHAnsi"/>
          <w:color w:val="auto"/>
        </w:rPr>
        <w:t>l</w:t>
      </w:r>
      <w:r w:rsidR="00972ED1" w:rsidRPr="00B2129D">
        <w:rPr>
          <w:rFonts w:asciiTheme="minorHAnsi" w:hAnsiTheme="minorHAnsi"/>
          <w:color w:val="auto"/>
        </w:rPr>
        <w:t xml:space="preserve">eg </w:t>
      </w:r>
      <w:r w:rsidR="00CA6749">
        <w:rPr>
          <w:rFonts w:asciiTheme="minorHAnsi" w:hAnsiTheme="minorHAnsi"/>
          <w:color w:val="auto"/>
        </w:rPr>
        <w:t>l</w:t>
      </w:r>
      <w:r w:rsidR="00972ED1" w:rsidRPr="00B2129D">
        <w:rPr>
          <w:rFonts w:asciiTheme="minorHAnsi" w:hAnsiTheme="minorHAnsi"/>
          <w:color w:val="auto"/>
        </w:rPr>
        <w:t>ength (acquired)</w:t>
      </w:r>
      <w:r w:rsidR="00CA6749">
        <w:rPr>
          <w:rFonts w:asciiTheme="minorHAnsi" w:hAnsiTheme="minorHAnsi"/>
          <w:color w:val="auto"/>
        </w:rPr>
        <w:t>;</w:t>
      </w:r>
      <w:r w:rsidR="00972ED1" w:rsidRPr="00B2129D">
        <w:rPr>
          <w:rFonts w:asciiTheme="minorHAnsi" w:hAnsiTheme="minorHAnsi"/>
          <w:color w:val="auto"/>
        </w:rPr>
        <w:t xml:space="preserve">” however, this is not a ratable disability.  </w:t>
      </w:r>
      <w:r w:rsidR="006361FA" w:rsidRPr="00B2129D">
        <w:rPr>
          <w:rFonts w:asciiTheme="minorHAnsi" w:hAnsiTheme="minorHAnsi"/>
          <w:color w:val="auto"/>
        </w:rPr>
        <w:t xml:space="preserve">There was no </w:t>
      </w:r>
      <w:r w:rsidR="00325756" w:rsidRPr="00B2129D">
        <w:rPr>
          <w:rFonts w:asciiTheme="minorHAnsi" w:hAnsiTheme="minorHAnsi"/>
          <w:color w:val="auto"/>
        </w:rPr>
        <w:t xml:space="preserve">specific </w:t>
      </w:r>
      <w:r w:rsidR="006361FA" w:rsidRPr="00B2129D">
        <w:rPr>
          <w:rFonts w:asciiTheme="minorHAnsi" w:hAnsiTheme="minorHAnsi"/>
          <w:color w:val="auto"/>
        </w:rPr>
        <w:t>indication that th</w:t>
      </w:r>
      <w:r w:rsidR="00325756" w:rsidRPr="00B2129D">
        <w:rPr>
          <w:rFonts w:asciiTheme="minorHAnsi" w:hAnsiTheme="minorHAnsi"/>
          <w:color w:val="auto"/>
        </w:rPr>
        <w:t>ese</w:t>
      </w:r>
      <w:r w:rsidR="006361FA" w:rsidRPr="00B2129D">
        <w:rPr>
          <w:rFonts w:asciiTheme="minorHAnsi" w:hAnsiTheme="minorHAnsi"/>
          <w:color w:val="auto"/>
        </w:rPr>
        <w:t xml:space="preserve"> condition contributed to the CI’s LIMDUs for her foot condition</w:t>
      </w:r>
      <w:r w:rsidR="00CA6749">
        <w:rPr>
          <w:rFonts w:asciiTheme="minorHAnsi" w:hAnsiTheme="minorHAnsi"/>
          <w:color w:val="auto"/>
        </w:rPr>
        <w:t>;</w:t>
      </w:r>
      <w:r w:rsidR="00325756" w:rsidRPr="00B2129D">
        <w:rPr>
          <w:rFonts w:asciiTheme="minorHAnsi" w:hAnsiTheme="minorHAnsi"/>
          <w:color w:val="auto"/>
        </w:rPr>
        <w:t xml:space="preserve"> however</w:t>
      </w:r>
      <w:r w:rsidR="00832555" w:rsidRPr="00B2129D">
        <w:rPr>
          <w:rFonts w:asciiTheme="minorHAnsi" w:hAnsiTheme="minorHAnsi"/>
          <w:color w:val="auto"/>
        </w:rPr>
        <w:t xml:space="preserve">, any overlap with the disability of the feet was considered in the CI’s primary unfitting diagnoses.  There was speculation by the CI’s provider post-separation, that the CI’s thyroid condition and multiple joint and soft tissue complaints were linked to a connective tissue disease.  However, there was no definitive diagnosis or indication that any symptom complex other than the feet rose to the level of being unfitting at the time of separation.  </w:t>
      </w:r>
      <w:r w:rsidR="00E266F1" w:rsidRPr="00B2129D">
        <w:rPr>
          <w:rFonts w:asciiTheme="minorHAnsi" w:hAnsiTheme="minorHAnsi"/>
          <w:color w:val="auto"/>
        </w:rPr>
        <w:t>All evidence considered</w:t>
      </w:r>
      <w:proofErr w:type="gramStart"/>
      <w:r w:rsidR="00E266F1" w:rsidRPr="00B2129D">
        <w:rPr>
          <w:rFonts w:asciiTheme="minorHAnsi" w:hAnsiTheme="minorHAnsi"/>
          <w:color w:val="auto"/>
        </w:rPr>
        <w:t>,</w:t>
      </w:r>
      <w:proofErr w:type="gramEnd"/>
      <w:r w:rsidR="00E266F1" w:rsidRPr="00B2129D">
        <w:rPr>
          <w:rFonts w:asciiTheme="minorHAnsi" w:hAnsiTheme="minorHAnsi"/>
          <w:color w:val="auto"/>
        </w:rPr>
        <w:t xml:space="preserve"> there is not reasonable doubt in the CI’s favor supporting addition of</w:t>
      </w:r>
      <w:r w:rsidR="00E266F1" w:rsidRPr="00B2129D">
        <w:rPr>
          <w:rFonts w:asciiTheme="minorHAnsi" w:hAnsiTheme="minorHAnsi"/>
          <w:color w:val="auto"/>
          <w:szCs w:val="24"/>
        </w:rPr>
        <w:t xml:space="preserve"> any of these conditions </w:t>
      </w:r>
      <w:r w:rsidR="00E266F1" w:rsidRPr="00B2129D">
        <w:rPr>
          <w:rFonts w:asciiTheme="minorHAnsi" w:hAnsiTheme="minorHAnsi"/>
          <w:color w:val="auto"/>
        </w:rPr>
        <w:t>as an unfitting condition for separation rating.</w:t>
      </w:r>
    </w:p>
    <w:p w:rsidR="00A90D55" w:rsidRPr="004D6159" w:rsidRDefault="008B5D31" w:rsidP="003D2EE4">
      <w:pPr>
        <w:tabs>
          <w:tab w:val="left" w:pos="288"/>
          <w:tab w:val="left" w:pos="4752"/>
        </w:tabs>
        <w:spacing w:line="240" w:lineRule="exact"/>
        <w:jc w:val="both"/>
        <w:rPr>
          <w:rFonts w:asciiTheme="minorHAnsi" w:hAnsiTheme="minorHAnsi"/>
          <w:color w:val="auto"/>
        </w:rPr>
      </w:pPr>
      <w:r w:rsidRPr="004D6159">
        <w:rPr>
          <w:rFonts w:asciiTheme="minorHAnsi" w:hAnsiTheme="minorHAnsi"/>
          <w:color w:val="auto"/>
          <w:u w:val="single"/>
        </w:rPr>
        <w:t>_______________________________________________________________</w:t>
      </w:r>
      <w:r w:rsidRPr="004D6159">
        <w:rPr>
          <w:rFonts w:asciiTheme="minorHAnsi" w:hAnsiTheme="minorHAnsi"/>
          <w:color w:val="auto"/>
        </w:rPr>
        <w:t>_</w:t>
      </w:r>
      <w:r w:rsidR="00AC713F" w:rsidRPr="004D6159">
        <w:rPr>
          <w:rFonts w:asciiTheme="minorHAnsi" w:hAnsiTheme="minorHAnsi"/>
          <w:color w:val="auto"/>
        </w:rPr>
        <w:t>_____________</w:t>
      </w:r>
    </w:p>
    <w:p w:rsidR="00A90D55" w:rsidRPr="004D6159" w:rsidRDefault="00A90D55" w:rsidP="003D2EE4">
      <w:pPr>
        <w:tabs>
          <w:tab w:val="left" w:pos="288"/>
          <w:tab w:val="left" w:pos="4752"/>
        </w:tabs>
        <w:spacing w:line="240" w:lineRule="exact"/>
        <w:jc w:val="both"/>
        <w:rPr>
          <w:color w:val="auto"/>
        </w:rPr>
      </w:pPr>
    </w:p>
    <w:p w:rsidR="004000CE" w:rsidRPr="004D6159" w:rsidRDefault="00C56FC8" w:rsidP="003D2EE4">
      <w:pPr>
        <w:spacing w:line="240" w:lineRule="exact"/>
        <w:jc w:val="both"/>
        <w:rPr>
          <w:rFonts w:asciiTheme="minorHAnsi" w:eastAsiaTheme="minorHAnsi" w:hAnsiTheme="minorHAnsi"/>
          <w:b/>
          <w:color w:val="auto"/>
          <w:szCs w:val="24"/>
        </w:rPr>
      </w:pPr>
      <w:r w:rsidRPr="004D6159">
        <w:rPr>
          <w:rFonts w:asciiTheme="minorHAnsi" w:hAnsiTheme="minorHAnsi"/>
          <w:color w:val="auto"/>
          <w:szCs w:val="24"/>
          <w:u w:val="single"/>
        </w:rPr>
        <w:t>BOARD FINDINGS</w:t>
      </w:r>
      <w:r w:rsidRPr="004D6159">
        <w:rPr>
          <w:rFonts w:asciiTheme="minorHAnsi" w:hAnsiTheme="minorHAnsi"/>
          <w:color w:val="auto"/>
          <w:szCs w:val="24"/>
        </w:rPr>
        <w:t>:</w:t>
      </w:r>
      <w:r w:rsidRPr="004D6159">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4D6159">
        <w:rPr>
          <w:rFonts w:asciiTheme="minorHAnsi" w:eastAsiaTheme="minorHAnsi" w:hAnsiTheme="minorHAnsi"/>
          <w:color w:val="auto"/>
          <w:szCs w:val="24"/>
        </w:rPr>
        <w:t xml:space="preserve"> </w:t>
      </w:r>
      <w:r w:rsidR="006361FA" w:rsidRPr="004D6159">
        <w:rPr>
          <w:rFonts w:asciiTheme="minorHAnsi" w:eastAsiaTheme="minorHAnsi" w:hAnsiTheme="minorHAnsi"/>
          <w:color w:val="auto"/>
          <w:szCs w:val="24"/>
        </w:rPr>
        <w:t xml:space="preserve">As discussed above, the PEB may have </w:t>
      </w:r>
      <w:r w:rsidR="006361FA">
        <w:rPr>
          <w:rFonts w:asciiTheme="minorHAnsi" w:eastAsiaTheme="minorHAnsi" w:hAnsiTheme="minorHAnsi"/>
          <w:color w:val="auto"/>
          <w:szCs w:val="24"/>
        </w:rPr>
        <w:t xml:space="preserve">relied upon SECNAVINST 1850.4E or DoDI 1332.39 for rating the CI’s foot conditions and the conditions were adjudicated independently of those regulations by the Board.  </w:t>
      </w:r>
      <w:r w:rsidR="00E266F1">
        <w:rPr>
          <w:rFonts w:asciiTheme="minorHAnsi" w:eastAsiaTheme="minorHAnsi" w:hAnsiTheme="minorHAnsi"/>
          <w:color w:val="auto"/>
          <w:szCs w:val="24"/>
        </w:rPr>
        <w:t xml:space="preserve">In the matter of the </w:t>
      </w:r>
      <w:r w:rsidR="00CA6749">
        <w:rPr>
          <w:rFonts w:asciiTheme="minorHAnsi" w:eastAsiaTheme="minorHAnsi" w:hAnsiTheme="minorHAnsi"/>
          <w:color w:val="auto"/>
          <w:szCs w:val="24"/>
        </w:rPr>
        <w:t>b</w:t>
      </w:r>
      <w:r w:rsidR="00E266F1">
        <w:rPr>
          <w:rFonts w:asciiTheme="minorHAnsi" w:eastAsiaTheme="minorHAnsi" w:hAnsiTheme="minorHAnsi"/>
          <w:color w:val="auto"/>
          <w:szCs w:val="24"/>
        </w:rPr>
        <w:t xml:space="preserve">ilateral </w:t>
      </w:r>
      <w:r w:rsidR="00CA6749">
        <w:rPr>
          <w:rFonts w:asciiTheme="minorHAnsi" w:eastAsiaTheme="minorHAnsi" w:hAnsiTheme="minorHAnsi"/>
          <w:color w:val="auto"/>
          <w:szCs w:val="24"/>
        </w:rPr>
        <w:t>p</w:t>
      </w:r>
      <w:r w:rsidR="00E266F1">
        <w:rPr>
          <w:rFonts w:asciiTheme="minorHAnsi" w:eastAsiaTheme="minorHAnsi" w:hAnsiTheme="minorHAnsi"/>
          <w:color w:val="auto"/>
          <w:szCs w:val="24"/>
        </w:rPr>
        <w:t xml:space="preserve">lantar </w:t>
      </w:r>
      <w:r w:rsidR="00CA6749">
        <w:rPr>
          <w:rFonts w:asciiTheme="minorHAnsi" w:eastAsiaTheme="minorHAnsi" w:hAnsiTheme="minorHAnsi"/>
          <w:color w:val="auto"/>
          <w:szCs w:val="24"/>
        </w:rPr>
        <w:t>fa</w:t>
      </w:r>
      <w:r w:rsidR="00E266F1">
        <w:rPr>
          <w:rFonts w:asciiTheme="minorHAnsi" w:eastAsiaTheme="minorHAnsi" w:hAnsiTheme="minorHAnsi"/>
          <w:color w:val="auto"/>
          <w:szCs w:val="24"/>
        </w:rPr>
        <w:t xml:space="preserve">sciitis condition, the Board unanimously recommends </w:t>
      </w:r>
      <w:r w:rsidR="00E266F1" w:rsidRPr="00B2129D">
        <w:rPr>
          <w:rFonts w:asciiTheme="minorHAnsi" w:eastAsiaTheme="minorHAnsi" w:hAnsiTheme="minorHAnsi"/>
          <w:color w:val="auto"/>
          <w:szCs w:val="24"/>
        </w:rPr>
        <w:t>combining the</w:t>
      </w:r>
      <w:r w:rsidR="00832555" w:rsidRPr="00B2129D">
        <w:rPr>
          <w:rFonts w:asciiTheme="minorHAnsi" w:eastAsiaTheme="minorHAnsi" w:hAnsiTheme="minorHAnsi"/>
          <w:color w:val="auto"/>
          <w:szCs w:val="24"/>
        </w:rPr>
        <w:t xml:space="preserve"> condition and rating with the </w:t>
      </w:r>
      <w:r w:rsidR="00CA6749">
        <w:rPr>
          <w:rFonts w:asciiTheme="minorHAnsi" w:eastAsiaTheme="minorHAnsi" w:hAnsiTheme="minorHAnsi"/>
          <w:color w:val="auto"/>
          <w:szCs w:val="24"/>
        </w:rPr>
        <w:t>c</w:t>
      </w:r>
      <w:r w:rsidR="00E266F1" w:rsidRPr="00B2129D">
        <w:rPr>
          <w:rFonts w:asciiTheme="minorHAnsi" w:hAnsiTheme="minorHAnsi"/>
          <w:color w:val="auto"/>
          <w:szCs w:val="24"/>
        </w:rPr>
        <w:t xml:space="preserve">hronic </w:t>
      </w:r>
      <w:r w:rsidR="00CA6749">
        <w:rPr>
          <w:rFonts w:asciiTheme="minorHAnsi" w:hAnsiTheme="minorHAnsi"/>
          <w:color w:val="auto"/>
          <w:szCs w:val="24"/>
        </w:rPr>
        <w:t>b</w:t>
      </w:r>
      <w:r w:rsidR="00E266F1" w:rsidRPr="00B2129D">
        <w:rPr>
          <w:rFonts w:asciiTheme="minorHAnsi" w:hAnsiTheme="minorHAnsi"/>
          <w:color w:val="auto"/>
          <w:szCs w:val="24"/>
        </w:rPr>
        <w:t xml:space="preserve">ilateral </w:t>
      </w:r>
      <w:proofErr w:type="spellStart"/>
      <w:r w:rsidR="00CA6749">
        <w:rPr>
          <w:rFonts w:asciiTheme="minorHAnsi" w:hAnsiTheme="minorHAnsi"/>
          <w:color w:val="auto"/>
          <w:szCs w:val="24"/>
        </w:rPr>
        <w:t>s</w:t>
      </w:r>
      <w:r w:rsidR="00E266F1" w:rsidRPr="00B2129D">
        <w:rPr>
          <w:rFonts w:asciiTheme="minorHAnsi" w:hAnsiTheme="minorHAnsi"/>
          <w:color w:val="auto"/>
          <w:szCs w:val="24"/>
        </w:rPr>
        <w:t>esamoiditis</w:t>
      </w:r>
      <w:proofErr w:type="spellEnd"/>
      <w:r w:rsidR="00E266F1" w:rsidRPr="00B2129D">
        <w:rPr>
          <w:rFonts w:asciiTheme="minorHAnsi" w:hAnsiTheme="minorHAnsi"/>
          <w:color w:val="auto"/>
          <w:szCs w:val="24"/>
        </w:rPr>
        <w:t xml:space="preserve"> with </w:t>
      </w:r>
      <w:r w:rsidR="00850374">
        <w:rPr>
          <w:rFonts w:asciiTheme="minorHAnsi" w:hAnsiTheme="minorHAnsi"/>
          <w:color w:val="auto"/>
          <w:szCs w:val="24"/>
        </w:rPr>
        <w:t>l</w:t>
      </w:r>
      <w:r w:rsidR="00E266F1" w:rsidRPr="00B2129D">
        <w:rPr>
          <w:rFonts w:asciiTheme="minorHAnsi" w:hAnsiTheme="minorHAnsi"/>
          <w:color w:val="auto"/>
          <w:szCs w:val="24"/>
        </w:rPr>
        <w:t xml:space="preserve">eft </w:t>
      </w:r>
      <w:r w:rsidR="00850374">
        <w:rPr>
          <w:rFonts w:asciiTheme="minorHAnsi" w:hAnsiTheme="minorHAnsi"/>
          <w:color w:val="auto"/>
          <w:szCs w:val="24"/>
        </w:rPr>
        <w:t>f</w:t>
      </w:r>
      <w:r w:rsidR="00E266F1" w:rsidRPr="00B2129D">
        <w:rPr>
          <w:rFonts w:asciiTheme="minorHAnsi" w:hAnsiTheme="minorHAnsi"/>
          <w:color w:val="auto"/>
          <w:szCs w:val="24"/>
        </w:rPr>
        <w:t xml:space="preserve">oot </w:t>
      </w:r>
      <w:proofErr w:type="spellStart"/>
      <w:r w:rsidR="00850374">
        <w:rPr>
          <w:rFonts w:asciiTheme="minorHAnsi" w:hAnsiTheme="minorHAnsi"/>
          <w:color w:val="auto"/>
          <w:szCs w:val="24"/>
        </w:rPr>
        <w:t>s</w:t>
      </w:r>
      <w:r w:rsidR="00E266F1" w:rsidRPr="00B2129D">
        <w:rPr>
          <w:rFonts w:asciiTheme="minorHAnsi" w:hAnsiTheme="minorHAnsi"/>
          <w:color w:val="auto"/>
          <w:szCs w:val="24"/>
        </w:rPr>
        <w:t>esamoid</w:t>
      </w:r>
      <w:proofErr w:type="spellEnd"/>
      <w:r w:rsidR="00E266F1" w:rsidRPr="00B2129D">
        <w:rPr>
          <w:rFonts w:asciiTheme="minorHAnsi" w:hAnsiTheme="minorHAnsi"/>
          <w:color w:val="auto"/>
          <w:szCs w:val="24"/>
        </w:rPr>
        <w:t xml:space="preserve"> </w:t>
      </w:r>
      <w:r w:rsidR="00850374">
        <w:rPr>
          <w:rFonts w:asciiTheme="minorHAnsi" w:hAnsiTheme="minorHAnsi"/>
          <w:color w:val="auto"/>
          <w:szCs w:val="24"/>
        </w:rPr>
        <w:t>s</w:t>
      </w:r>
      <w:r w:rsidR="00E266F1" w:rsidRPr="00B2129D">
        <w:rPr>
          <w:rFonts w:asciiTheme="minorHAnsi" w:hAnsiTheme="minorHAnsi"/>
          <w:color w:val="auto"/>
          <w:szCs w:val="24"/>
        </w:rPr>
        <w:t>hift condition as a combined unfitting condition</w:t>
      </w:r>
      <w:r w:rsidR="00850374">
        <w:rPr>
          <w:rFonts w:asciiTheme="minorHAnsi" w:hAnsiTheme="minorHAnsi"/>
          <w:color w:val="auto"/>
          <w:szCs w:val="24"/>
        </w:rPr>
        <w:t>,</w:t>
      </w:r>
      <w:r w:rsidR="00E266F1" w:rsidRPr="00B2129D">
        <w:rPr>
          <w:rFonts w:asciiTheme="minorHAnsi" w:hAnsiTheme="minorHAnsi"/>
          <w:color w:val="auto"/>
          <w:szCs w:val="24"/>
        </w:rPr>
        <w:t xml:space="preserve"> and the Board unanimously recommends that these conditions be coded </w:t>
      </w:r>
      <w:r w:rsidR="00B2129D" w:rsidRPr="00B2129D">
        <w:rPr>
          <w:rFonts w:asciiTheme="minorHAnsi" w:hAnsiTheme="minorHAnsi"/>
          <w:color w:val="auto"/>
          <w:szCs w:val="24"/>
        </w:rPr>
        <w:t xml:space="preserve">as a separation rating of 10% for the </w:t>
      </w:r>
      <w:r w:rsidR="00850374">
        <w:rPr>
          <w:rFonts w:asciiTheme="minorHAnsi" w:hAnsiTheme="minorHAnsi"/>
          <w:color w:val="auto"/>
          <w:szCs w:val="24"/>
        </w:rPr>
        <w:t>l</w:t>
      </w:r>
      <w:r w:rsidR="00B2129D" w:rsidRPr="00B2129D">
        <w:rPr>
          <w:rFonts w:asciiTheme="minorHAnsi" w:hAnsiTheme="minorHAnsi"/>
          <w:color w:val="auto"/>
          <w:szCs w:val="24"/>
        </w:rPr>
        <w:t>eft chronic plantar</w:t>
      </w:r>
      <w:r w:rsidR="00B2129D" w:rsidRPr="00E24B44">
        <w:rPr>
          <w:rFonts w:asciiTheme="minorHAnsi" w:hAnsiTheme="minorHAnsi"/>
          <w:color w:val="auto"/>
          <w:szCs w:val="24"/>
        </w:rPr>
        <w:t xml:space="preserve"> </w:t>
      </w:r>
      <w:r w:rsidR="00B2129D">
        <w:rPr>
          <w:rFonts w:asciiTheme="minorHAnsi" w:hAnsiTheme="minorHAnsi"/>
          <w:color w:val="auto"/>
          <w:szCs w:val="24"/>
        </w:rPr>
        <w:t>f</w:t>
      </w:r>
      <w:r w:rsidR="00B2129D" w:rsidRPr="00E24B44">
        <w:rPr>
          <w:rFonts w:asciiTheme="minorHAnsi" w:hAnsiTheme="minorHAnsi"/>
          <w:color w:val="auto"/>
          <w:szCs w:val="24"/>
        </w:rPr>
        <w:t>asciitis</w:t>
      </w:r>
      <w:r w:rsidR="00B2129D">
        <w:rPr>
          <w:rFonts w:asciiTheme="minorHAnsi" w:hAnsiTheme="minorHAnsi"/>
          <w:color w:val="auto"/>
          <w:szCs w:val="24"/>
        </w:rPr>
        <w:t>/</w:t>
      </w:r>
      <w:proofErr w:type="spellStart"/>
      <w:r w:rsidR="00B2129D">
        <w:rPr>
          <w:rFonts w:asciiTheme="minorHAnsi" w:hAnsiTheme="minorHAnsi"/>
          <w:color w:val="auto"/>
          <w:szCs w:val="24"/>
        </w:rPr>
        <w:t>s</w:t>
      </w:r>
      <w:r w:rsidR="00B2129D" w:rsidRPr="00E24B44">
        <w:rPr>
          <w:rFonts w:asciiTheme="minorHAnsi" w:hAnsiTheme="minorHAnsi"/>
          <w:color w:val="auto"/>
          <w:szCs w:val="24"/>
        </w:rPr>
        <w:t>esamoiditis</w:t>
      </w:r>
      <w:proofErr w:type="spellEnd"/>
      <w:r w:rsidR="00B2129D" w:rsidRPr="00E24B44">
        <w:rPr>
          <w:rFonts w:asciiTheme="minorHAnsi" w:hAnsiTheme="minorHAnsi"/>
          <w:color w:val="auto"/>
          <w:szCs w:val="24"/>
        </w:rPr>
        <w:t xml:space="preserve"> with </w:t>
      </w:r>
      <w:proofErr w:type="spellStart"/>
      <w:r w:rsidR="00B2129D">
        <w:rPr>
          <w:rFonts w:asciiTheme="minorHAnsi" w:hAnsiTheme="minorHAnsi"/>
          <w:color w:val="auto"/>
          <w:szCs w:val="24"/>
        </w:rPr>
        <w:t>s</w:t>
      </w:r>
      <w:r w:rsidR="00B2129D" w:rsidRPr="00E24B44">
        <w:rPr>
          <w:rFonts w:asciiTheme="minorHAnsi" w:hAnsiTheme="minorHAnsi"/>
          <w:color w:val="auto"/>
          <w:szCs w:val="24"/>
        </w:rPr>
        <w:t>esamoid</w:t>
      </w:r>
      <w:proofErr w:type="spellEnd"/>
      <w:r w:rsidR="00B2129D" w:rsidRPr="00E24B44">
        <w:rPr>
          <w:rFonts w:asciiTheme="minorHAnsi" w:hAnsiTheme="minorHAnsi"/>
          <w:color w:val="auto"/>
          <w:szCs w:val="24"/>
        </w:rPr>
        <w:t xml:space="preserve"> </w:t>
      </w:r>
      <w:r w:rsidR="00B2129D">
        <w:rPr>
          <w:rFonts w:asciiTheme="minorHAnsi" w:hAnsiTheme="minorHAnsi"/>
          <w:color w:val="auto"/>
          <w:szCs w:val="24"/>
        </w:rPr>
        <w:t>s</w:t>
      </w:r>
      <w:r w:rsidR="00B2129D" w:rsidRPr="00E24B44">
        <w:rPr>
          <w:rFonts w:asciiTheme="minorHAnsi" w:hAnsiTheme="minorHAnsi"/>
          <w:color w:val="auto"/>
          <w:szCs w:val="24"/>
        </w:rPr>
        <w:t>hift</w:t>
      </w:r>
      <w:r w:rsidR="00B2129D" w:rsidRPr="00B2129D">
        <w:rPr>
          <w:rFonts w:asciiTheme="minorHAnsi" w:hAnsiTheme="minorHAnsi"/>
          <w:color w:val="auto"/>
          <w:szCs w:val="24"/>
        </w:rPr>
        <w:t xml:space="preserve"> condition coded 5284</w:t>
      </w:r>
      <w:r w:rsidR="00850374">
        <w:rPr>
          <w:rFonts w:asciiTheme="minorHAnsi" w:hAnsiTheme="minorHAnsi"/>
          <w:color w:val="auto"/>
          <w:szCs w:val="24"/>
        </w:rPr>
        <w:t>,</w:t>
      </w:r>
      <w:r w:rsidR="00B2129D" w:rsidRPr="00B2129D">
        <w:rPr>
          <w:rFonts w:asciiTheme="minorHAnsi" w:hAnsiTheme="minorHAnsi"/>
          <w:color w:val="auto"/>
          <w:szCs w:val="24"/>
        </w:rPr>
        <w:t xml:space="preserve"> and a separation rating of 20% for the</w:t>
      </w:r>
      <w:r w:rsidR="00B2129D" w:rsidRPr="007C477A">
        <w:rPr>
          <w:rFonts w:asciiTheme="minorHAnsi" w:hAnsiTheme="minorHAnsi"/>
          <w:color w:val="auto"/>
          <w:szCs w:val="24"/>
        </w:rPr>
        <w:t xml:space="preserve"> </w:t>
      </w:r>
      <w:r w:rsidR="00850374">
        <w:rPr>
          <w:rFonts w:asciiTheme="minorHAnsi" w:hAnsiTheme="minorHAnsi"/>
          <w:color w:val="auto"/>
          <w:szCs w:val="24"/>
        </w:rPr>
        <w:t>r</w:t>
      </w:r>
      <w:r w:rsidR="00B2129D" w:rsidRPr="00E24B44">
        <w:rPr>
          <w:rFonts w:asciiTheme="minorHAnsi" w:hAnsiTheme="minorHAnsi"/>
          <w:color w:val="auto"/>
          <w:szCs w:val="24"/>
        </w:rPr>
        <w:t xml:space="preserve">ight </w:t>
      </w:r>
      <w:r w:rsidR="00B2129D">
        <w:rPr>
          <w:rFonts w:asciiTheme="minorHAnsi" w:hAnsiTheme="minorHAnsi"/>
          <w:color w:val="auto"/>
          <w:szCs w:val="24"/>
        </w:rPr>
        <w:t>c</w:t>
      </w:r>
      <w:r w:rsidR="00B2129D" w:rsidRPr="00E24B44">
        <w:rPr>
          <w:rFonts w:asciiTheme="minorHAnsi" w:hAnsiTheme="minorHAnsi"/>
          <w:color w:val="auto"/>
          <w:szCs w:val="24"/>
        </w:rPr>
        <w:t xml:space="preserve">hronic </w:t>
      </w:r>
      <w:r w:rsidR="00B2129D">
        <w:rPr>
          <w:rFonts w:asciiTheme="minorHAnsi" w:hAnsiTheme="minorHAnsi"/>
          <w:color w:val="auto"/>
          <w:szCs w:val="24"/>
        </w:rPr>
        <w:t>p</w:t>
      </w:r>
      <w:r w:rsidR="00B2129D" w:rsidRPr="00E24B44">
        <w:rPr>
          <w:rFonts w:asciiTheme="minorHAnsi" w:hAnsiTheme="minorHAnsi"/>
          <w:color w:val="auto"/>
          <w:szCs w:val="24"/>
        </w:rPr>
        <w:t xml:space="preserve">lantar </w:t>
      </w:r>
      <w:r w:rsidR="00B2129D">
        <w:rPr>
          <w:rFonts w:asciiTheme="minorHAnsi" w:hAnsiTheme="minorHAnsi"/>
          <w:color w:val="auto"/>
          <w:szCs w:val="24"/>
        </w:rPr>
        <w:t>f</w:t>
      </w:r>
      <w:r w:rsidR="00B2129D" w:rsidRPr="00E24B44">
        <w:rPr>
          <w:rFonts w:asciiTheme="minorHAnsi" w:hAnsiTheme="minorHAnsi"/>
          <w:color w:val="auto"/>
          <w:szCs w:val="24"/>
        </w:rPr>
        <w:t>asciitis</w:t>
      </w:r>
      <w:r w:rsidR="00B2129D">
        <w:rPr>
          <w:rFonts w:asciiTheme="minorHAnsi" w:hAnsiTheme="minorHAnsi"/>
          <w:color w:val="auto"/>
          <w:szCs w:val="24"/>
        </w:rPr>
        <w:t>/</w:t>
      </w:r>
      <w:proofErr w:type="spellStart"/>
      <w:r w:rsidR="00B2129D">
        <w:rPr>
          <w:rFonts w:asciiTheme="minorHAnsi" w:hAnsiTheme="minorHAnsi"/>
          <w:color w:val="auto"/>
          <w:szCs w:val="24"/>
        </w:rPr>
        <w:t>s</w:t>
      </w:r>
      <w:r w:rsidR="00B2129D" w:rsidRPr="00E24B44">
        <w:rPr>
          <w:rFonts w:asciiTheme="minorHAnsi" w:hAnsiTheme="minorHAnsi"/>
          <w:color w:val="auto"/>
          <w:szCs w:val="24"/>
        </w:rPr>
        <w:t>esamoiditis</w:t>
      </w:r>
      <w:proofErr w:type="spellEnd"/>
      <w:r w:rsidR="00B2129D" w:rsidRPr="00E24B44">
        <w:rPr>
          <w:rFonts w:asciiTheme="minorHAnsi" w:hAnsiTheme="minorHAnsi"/>
          <w:color w:val="auto"/>
          <w:szCs w:val="24"/>
        </w:rPr>
        <w:t xml:space="preserve"> </w:t>
      </w:r>
      <w:r w:rsidR="00B2129D">
        <w:rPr>
          <w:rFonts w:asciiTheme="minorHAnsi" w:hAnsiTheme="minorHAnsi"/>
          <w:color w:val="auto"/>
          <w:szCs w:val="24"/>
        </w:rPr>
        <w:t xml:space="preserve">with surgical residuals coded 5284, both IAW </w:t>
      </w:r>
      <w:r w:rsidR="00B2129D" w:rsidRPr="00B2129D">
        <w:rPr>
          <w:rFonts w:asciiTheme="minorHAnsi" w:hAnsiTheme="minorHAnsi"/>
          <w:color w:val="auto"/>
          <w:szCs w:val="24"/>
        </w:rPr>
        <w:t>§4.71a.</w:t>
      </w:r>
      <w:r w:rsidR="00B2129D">
        <w:rPr>
          <w:rFonts w:asciiTheme="minorHAnsi" w:hAnsiTheme="minorHAnsi"/>
          <w:color w:val="auto"/>
          <w:szCs w:val="24"/>
        </w:rPr>
        <w:t xml:space="preserve">  </w:t>
      </w:r>
      <w:r w:rsidR="004000CE">
        <w:rPr>
          <w:rFonts w:asciiTheme="minorHAnsi" w:hAnsiTheme="minorHAnsi"/>
          <w:color w:val="auto"/>
          <w:szCs w:val="24"/>
        </w:rPr>
        <w:t xml:space="preserve">In the matter of </w:t>
      </w:r>
      <w:r w:rsidR="00850374">
        <w:rPr>
          <w:rFonts w:asciiTheme="minorHAnsi" w:hAnsiTheme="minorHAnsi"/>
          <w:color w:val="auto"/>
          <w:szCs w:val="24"/>
        </w:rPr>
        <w:t>h</w:t>
      </w:r>
      <w:r w:rsidR="004000CE">
        <w:rPr>
          <w:rFonts w:asciiTheme="minorHAnsi" w:hAnsiTheme="minorHAnsi"/>
          <w:color w:val="auto"/>
        </w:rPr>
        <w:t xml:space="preserve">erpes </w:t>
      </w:r>
      <w:r w:rsidR="00850374">
        <w:rPr>
          <w:rFonts w:asciiTheme="minorHAnsi" w:hAnsiTheme="minorHAnsi"/>
          <w:color w:val="auto"/>
        </w:rPr>
        <w:t>s</w:t>
      </w:r>
      <w:r w:rsidR="004000CE">
        <w:rPr>
          <w:rFonts w:asciiTheme="minorHAnsi" w:hAnsiTheme="minorHAnsi"/>
          <w:color w:val="auto"/>
        </w:rPr>
        <w:t xml:space="preserve">implex, </w:t>
      </w:r>
      <w:r w:rsidR="00850374">
        <w:rPr>
          <w:rFonts w:asciiTheme="minorHAnsi" w:hAnsiTheme="minorHAnsi"/>
          <w:color w:val="auto"/>
        </w:rPr>
        <w:t>f</w:t>
      </w:r>
      <w:r w:rsidR="004000CE">
        <w:rPr>
          <w:rFonts w:asciiTheme="minorHAnsi" w:hAnsiTheme="minorHAnsi"/>
          <w:color w:val="auto"/>
        </w:rPr>
        <w:t xml:space="preserve">acial </w:t>
      </w:r>
      <w:proofErr w:type="spellStart"/>
      <w:r w:rsidR="00850374">
        <w:rPr>
          <w:rFonts w:asciiTheme="minorHAnsi" w:hAnsiTheme="minorHAnsi"/>
          <w:color w:val="auto"/>
        </w:rPr>
        <w:t>m</w:t>
      </w:r>
      <w:r w:rsidR="004000CE">
        <w:rPr>
          <w:rFonts w:asciiTheme="minorHAnsi" w:hAnsiTheme="minorHAnsi"/>
          <w:color w:val="auto"/>
        </w:rPr>
        <w:t>elasma</w:t>
      </w:r>
      <w:proofErr w:type="spellEnd"/>
      <w:r w:rsidR="004E7719">
        <w:rPr>
          <w:rFonts w:asciiTheme="minorHAnsi" w:hAnsiTheme="minorHAnsi"/>
          <w:color w:val="auto"/>
        </w:rPr>
        <w:t>,</w:t>
      </w:r>
      <w:r w:rsidR="004000CE" w:rsidRPr="004000CE">
        <w:rPr>
          <w:rFonts w:asciiTheme="minorHAnsi" w:hAnsiTheme="minorHAnsi"/>
          <w:color w:val="auto"/>
          <w:szCs w:val="24"/>
        </w:rPr>
        <w:t xml:space="preserve"> </w:t>
      </w:r>
      <w:r w:rsidR="004000CE">
        <w:rPr>
          <w:rFonts w:asciiTheme="minorHAnsi" w:hAnsiTheme="minorHAnsi"/>
          <w:color w:val="auto"/>
          <w:szCs w:val="24"/>
        </w:rPr>
        <w:t xml:space="preserve">PTSD </w:t>
      </w:r>
      <w:r w:rsidR="002713BB">
        <w:rPr>
          <w:rFonts w:asciiTheme="minorHAnsi" w:hAnsiTheme="minorHAnsi"/>
          <w:color w:val="auto"/>
          <w:szCs w:val="24"/>
        </w:rPr>
        <w:t xml:space="preserve">with </w:t>
      </w:r>
      <w:r w:rsidR="00850374">
        <w:rPr>
          <w:rFonts w:asciiTheme="minorHAnsi" w:hAnsiTheme="minorHAnsi"/>
          <w:color w:val="auto"/>
          <w:szCs w:val="24"/>
        </w:rPr>
        <w:t>d</w:t>
      </w:r>
      <w:r w:rsidR="004000CE">
        <w:rPr>
          <w:rFonts w:asciiTheme="minorHAnsi" w:hAnsiTheme="minorHAnsi"/>
          <w:color w:val="auto"/>
          <w:szCs w:val="24"/>
        </w:rPr>
        <w:t xml:space="preserve">epressive </w:t>
      </w:r>
      <w:r w:rsidR="00850374">
        <w:rPr>
          <w:rFonts w:asciiTheme="minorHAnsi" w:hAnsiTheme="minorHAnsi"/>
          <w:color w:val="auto"/>
          <w:szCs w:val="24"/>
        </w:rPr>
        <w:t>d</w:t>
      </w:r>
      <w:r w:rsidR="004000CE">
        <w:rPr>
          <w:rFonts w:asciiTheme="minorHAnsi" w:hAnsiTheme="minorHAnsi"/>
          <w:color w:val="auto"/>
          <w:szCs w:val="24"/>
        </w:rPr>
        <w:t>isorder, NOS</w:t>
      </w:r>
      <w:r w:rsidR="004000CE">
        <w:rPr>
          <w:rFonts w:asciiTheme="minorHAnsi" w:hAnsiTheme="minorHAnsi"/>
          <w:color w:val="auto"/>
        </w:rPr>
        <w:t xml:space="preserve">, </w:t>
      </w:r>
      <w:r w:rsidR="00850374">
        <w:rPr>
          <w:rFonts w:asciiTheme="minorHAnsi" w:hAnsiTheme="minorHAnsi"/>
          <w:color w:val="auto"/>
        </w:rPr>
        <w:t>l</w:t>
      </w:r>
      <w:r w:rsidR="003D2EE4">
        <w:rPr>
          <w:rFonts w:asciiTheme="minorHAnsi" w:hAnsiTheme="minorHAnsi"/>
          <w:color w:val="auto"/>
          <w:szCs w:val="24"/>
        </w:rPr>
        <w:t>eft</w:t>
      </w:r>
      <w:r w:rsidR="004000CE" w:rsidRPr="004025EC">
        <w:rPr>
          <w:rFonts w:asciiTheme="minorHAnsi" w:hAnsiTheme="minorHAnsi"/>
          <w:color w:val="auto"/>
          <w:szCs w:val="24"/>
        </w:rPr>
        <w:t xml:space="preserve"> </w:t>
      </w:r>
      <w:r w:rsidR="00972ED1">
        <w:rPr>
          <w:rFonts w:asciiTheme="minorHAnsi" w:hAnsiTheme="minorHAnsi"/>
          <w:color w:val="auto"/>
          <w:szCs w:val="24"/>
        </w:rPr>
        <w:t>and</w:t>
      </w:r>
      <w:r w:rsidR="004000CE">
        <w:rPr>
          <w:rFonts w:asciiTheme="minorHAnsi" w:hAnsiTheme="minorHAnsi"/>
          <w:color w:val="auto"/>
          <w:szCs w:val="24"/>
        </w:rPr>
        <w:t xml:space="preserve"> </w:t>
      </w:r>
      <w:r w:rsidR="00850374">
        <w:rPr>
          <w:rFonts w:asciiTheme="minorHAnsi" w:hAnsiTheme="minorHAnsi"/>
          <w:color w:val="auto"/>
          <w:szCs w:val="24"/>
        </w:rPr>
        <w:t>r</w:t>
      </w:r>
      <w:r w:rsidR="003D2EE4">
        <w:rPr>
          <w:rFonts w:asciiTheme="minorHAnsi" w:hAnsiTheme="minorHAnsi"/>
          <w:color w:val="auto"/>
          <w:szCs w:val="24"/>
        </w:rPr>
        <w:t>ight</w:t>
      </w:r>
      <w:r w:rsidR="004000CE" w:rsidRPr="002A6E77">
        <w:rPr>
          <w:rFonts w:asciiTheme="minorHAnsi" w:hAnsiTheme="minorHAnsi"/>
          <w:color w:val="auto"/>
          <w:szCs w:val="24"/>
        </w:rPr>
        <w:t xml:space="preserve"> </w:t>
      </w:r>
      <w:r w:rsidR="00850374">
        <w:rPr>
          <w:rFonts w:asciiTheme="minorHAnsi" w:hAnsiTheme="minorHAnsi"/>
          <w:color w:val="auto"/>
          <w:szCs w:val="24"/>
        </w:rPr>
        <w:t>u</w:t>
      </w:r>
      <w:r w:rsidR="004000CE" w:rsidRPr="002A6E77">
        <w:rPr>
          <w:rFonts w:asciiTheme="minorHAnsi" w:hAnsiTheme="minorHAnsi"/>
          <w:color w:val="auto"/>
          <w:szCs w:val="24"/>
        </w:rPr>
        <w:t xml:space="preserve">pper </w:t>
      </w:r>
      <w:r w:rsidR="00850374">
        <w:rPr>
          <w:rFonts w:asciiTheme="minorHAnsi" w:hAnsiTheme="minorHAnsi"/>
          <w:color w:val="auto"/>
          <w:szCs w:val="24"/>
        </w:rPr>
        <w:t>e</w:t>
      </w:r>
      <w:r w:rsidR="004000CE" w:rsidRPr="002A6E77">
        <w:rPr>
          <w:rFonts w:asciiTheme="minorHAnsi" w:hAnsiTheme="minorHAnsi"/>
          <w:color w:val="auto"/>
          <w:szCs w:val="24"/>
        </w:rPr>
        <w:t xml:space="preserve">xtremity </w:t>
      </w:r>
      <w:r w:rsidR="00850374">
        <w:rPr>
          <w:rFonts w:asciiTheme="minorHAnsi" w:hAnsiTheme="minorHAnsi"/>
          <w:color w:val="auto"/>
          <w:szCs w:val="24"/>
        </w:rPr>
        <w:t>t</w:t>
      </w:r>
      <w:r w:rsidR="004000CE" w:rsidRPr="002A6E77">
        <w:rPr>
          <w:rFonts w:asciiTheme="minorHAnsi" w:hAnsiTheme="minorHAnsi"/>
          <w:color w:val="auto"/>
          <w:szCs w:val="24"/>
        </w:rPr>
        <w:t xml:space="preserve">horacic </w:t>
      </w:r>
      <w:r w:rsidR="00850374">
        <w:rPr>
          <w:rFonts w:asciiTheme="minorHAnsi" w:hAnsiTheme="minorHAnsi"/>
          <w:color w:val="auto"/>
          <w:szCs w:val="24"/>
        </w:rPr>
        <w:t>o</w:t>
      </w:r>
      <w:r w:rsidR="004000CE" w:rsidRPr="002A6E77">
        <w:rPr>
          <w:rFonts w:asciiTheme="minorHAnsi" w:hAnsiTheme="minorHAnsi"/>
          <w:color w:val="auto"/>
          <w:szCs w:val="24"/>
        </w:rPr>
        <w:t xml:space="preserve">utlet </w:t>
      </w:r>
      <w:r w:rsidR="00850374">
        <w:rPr>
          <w:rFonts w:asciiTheme="minorHAnsi" w:hAnsiTheme="minorHAnsi"/>
          <w:color w:val="auto"/>
          <w:szCs w:val="24"/>
        </w:rPr>
        <w:t>s</w:t>
      </w:r>
      <w:r w:rsidR="004000CE" w:rsidRPr="002A6E77">
        <w:rPr>
          <w:rFonts w:asciiTheme="minorHAnsi" w:hAnsiTheme="minorHAnsi"/>
          <w:color w:val="auto"/>
          <w:szCs w:val="24"/>
        </w:rPr>
        <w:t>yndrome</w:t>
      </w:r>
      <w:r w:rsidR="00972ED1">
        <w:rPr>
          <w:rFonts w:asciiTheme="minorHAnsi" w:hAnsiTheme="minorHAnsi"/>
          <w:color w:val="auto"/>
          <w:szCs w:val="24"/>
        </w:rPr>
        <w:t>s</w:t>
      </w:r>
      <w:r w:rsidR="004000CE">
        <w:rPr>
          <w:rFonts w:asciiTheme="minorHAnsi" w:hAnsiTheme="minorHAnsi"/>
          <w:color w:val="auto"/>
          <w:szCs w:val="24"/>
        </w:rPr>
        <w:t xml:space="preserve">, </w:t>
      </w:r>
      <w:r w:rsidR="00850374">
        <w:rPr>
          <w:rFonts w:asciiTheme="minorHAnsi" w:hAnsiTheme="minorHAnsi"/>
          <w:color w:val="auto"/>
          <w:szCs w:val="24"/>
        </w:rPr>
        <w:t>t</w:t>
      </w:r>
      <w:r w:rsidR="004000CE" w:rsidRPr="002A6E77">
        <w:rPr>
          <w:rFonts w:asciiTheme="minorHAnsi" w:hAnsiTheme="minorHAnsi"/>
          <w:color w:val="auto"/>
          <w:szCs w:val="24"/>
        </w:rPr>
        <w:t xml:space="preserve">horacolumbar </w:t>
      </w:r>
      <w:r w:rsidR="00850374">
        <w:rPr>
          <w:rFonts w:asciiTheme="minorHAnsi" w:hAnsiTheme="minorHAnsi"/>
          <w:color w:val="auto"/>
          <w:szCs w:val="24"/>
        </w:rPr>
        <w:t>b</w:t>
      </w:r>
      <w:r w:rsidR="004000CE" w:rsidRPr="002A6E77">
        <w:rPr>
          <w:rFonts w:asciiTheme="minorHAnsi" w:hAnsiTheme="minorHAnsi"/>
          <w:color w:val="auto"/>
          <w:szCs w:val="24"/>
        </w:rPr>
        <w:t xml:space="preserve">ack </w:t>
      </w:r>
      <w:r w:rsidR="00850374">
        <w:rPr>
          <w:rFonts w:asciiTheme="minorHAnsi" w:hAnsiTheme="minorHAnsi"/>
          <w:color w:val="auto"/>
          <w:szCs w:val="24"/>
        </w:rPr>
        <w:t>st</w:t>
      </w:r>
      <w:r w:rsidR="004000CE" w:rsidRPr="002A6E77">
        <w:rPr>
          <w:rFonts w:asciiTheme="minorHAnsi" w:hAnsiTheme="minorHAnsi"/>
          <w:color w:val="auto"/>
          <w:szCs w:val="24"/>
        </w:rPr>
        <w:t xml:space="preserve">rain </w:t>
      </w:r>
      <w:r w:rsidR="002713BB">
        <w:rPr>
          <w:rFonts w:asciiTheme="minorHAnsi" w:hAnsiTheme="minorHAnsi"/>
          <w:color w:val="auto"/>
          <w:szCs w:val="24"/>
        </w:rPr>
        <w:t xml:space="preserve">with </w:t>
      </w:r>
      <w:r w:rsidR="004000CE" w:rsidRPr="002A6E77">
        <w:rPr>
          <w:rFonts w:asciiTheme="minorHAnsi" w:hAnsiTheme="minorHAnsi"/>
          <w:color w:val="auto"/>
          <w:szCs w:val="24"/>
        </w:rPr>
        <w:t xml:space="preserve">DDD and T4-T5 </w:t>
      </w:r>
      <w:r w:rsidR="004000CE" w:rsidRPr="00B2129D">
        <w:rPr>
          <w:rFonts w:asciiTheme="minorHAnsi" w:hAnsiTheme="minorHAnsi"/>
          <w:color w:val="auto"/>
          <w:szCs w:val="24"/>
        </w:rPr>
        <w:t xml:space="preserve">sensory Impairment, </w:t>
      </w:r>
      <w:r w:rsidR="00850374">
        <w:rPr>
          <w:rFonts w:asciiTheme="minorHAnsi" w:hAnsiTheme="minorHAnsi"/>
          <w:color w:val="auto"/>
          <w:szCs w:val="24"/>
        </w:rPr>
        <w:t>c</w:t>
      </w:r>
      <w:r w:rsidR="004000CE" w:rsidRPr="00B2129D">
        <w:rPr>
          <w:rFonts w:asciiTheme="minorHAnsi" w:hAnsiTheme="minorHAnsi"/>
          <w:color w:val="auto"/>
          <w:szCs w:val="24"/>
        </w:rPr>
        <w:t xml:space="preserve">ervical </w:t>
      </w:r>
      <w:r w:rsidR="00850374">
        <w:rPr>
          <w:rFonts w:asciiTheme="minorHAnsi" w:hAnsiTheme="minorHAnsi"/>
          <w:color w:val="auto"/>
          <w:szCs w:val="24"/>
        </w:rPr>
        <w:t>s</w:t>
      </w:r>
      <w:r w:rsidR="00E266F1" w:rsidRPr="00B2129D">
        <w:rPr>
          <w:rFonts w:asciiTheme="minorHAnsi" w:hAnsiTheme="minorHAnsi"/>
          <w:color w:val="auto"/>
          <w:szCs w:val="24"/>
        </w:rPr>
        <w:t>train</w:t>
      </w:r>
      <w:r w:rsidR="004000CE" w:rsidRPr="00B2129D">
        <w:rPr>
          <w:rFonts w:asciiTheme="minorHAnsi" w:hAnsiTheme="minorHAnsi"/>
          <w:color w:val="auto"/>
          <w:szCs w:val="24"/>
        </w:rPr>
        <w:t xml:space="preserve">, </w:t>
      </w:r>
      <w:r w:rsidR="00850374">
        <w:rPr>
          <w:rFonts w:asciiTheme="minorHAnsi" w:hAnsiTheme="minorHAnsi"/>
          <w:color w:val="auto"/>
          <w:szCs w:val="24"/>
        </w:rPr>
        <w:t>right</w:t>
      </w:r>
      <w:r w:rsidR="004000CE" w:rsidRPr="00B2129D">
        <w:rPr>
          <w:rFonts w:asciiTheme="minorHAnsi" w:hAnsiTheme="minorHAnsi"/>
          <w:color w:val="auto"/>
          <w:szCs w:val="24"/>
        </w:rPr>
        <w:t xml:space="preserve"> </w:t>
      </w:r>
      <w:r w:rsidR="00850374">
        <w:rPr>
          <w:rFonts w:asciiTheme="minorHAnsi" w:hAnsiTheme="minorHAnsi"/>
          <w:color w:val="auto"/>
          <w:szCs w:val="24"/>
        </w:rPr>
        <w:t>l</w:t>
      </w:r>
      <w:r w:rsidR="004000CE" w:rsidRPr="00B2129D">
        <w:rPr>
          <w:rFonts w:asciiTheme="minorHAnsi" w:hAnsiTheme="minorHAnsi"/>
          <w:color w:val="auto"/>
          <w:szCs w:val="24"/>
        </w:rPr>
        <w:t xml:space="preserve">ower </w:t>
      </w:r>
      <w:r w:rsidR="00850374">
        <w:rPr>
          <w:rFonts w:asciiTheme="minorHAnsi" w:hAnsiTheme="minorHAnsi"/>
          <w:color w:val="auto"/>
          <w:szCs w:val="24"/>
        </w:rPr>
        <w:t>e</w:t>
      </w:r>
      <w:r w:rsidR="004000CE" w:rsidRPr="00B2129D">
        <w:rPr>
          <w:rFonts w:asciiTheme="minorHAnsi" w:hAnsiTheme="minorHAnsi"/>
          <w:color w:val="auto"/>
          <w:szCs w:val="24"/>
        </w:rPr>
        <w:t xml:space="preserve">xtremity </w:t>
      </w:r>
      <w:r w:rsidR="00850374">
        <w:rPr>
          <w:rFonts w:asciiTheme="minorHAnsi" w:hAnsiTheme="minorHAnsi"/>
          <w:color w:val="auto"/>
          <w:szCs w:val="24"/>
        </w:rPr>
        <w:t>r</w:t>
      </w:r>
      <w:r w:rsidR="004000CE" w:rsidRPr="00B2129D">
        <w:rPr>
          <w:rFonts w:asciiTheme="minorHAnsi" w:hAnsiTheme="minorHAnsi"/>
          <w:color w:val="auto"/>
          <w:szCs w:val="24"/>
        </w:rPr>
        <w:t xml:space="preserve">adiculopathy </w:t>
      </w:r>
      <w:r w:rsidR="002713BB">
        <w:rPr>
          <w:rFonts w:asciiTheme="minorHAnsi" w:hAnsiTheme="minorHAnsi"/>
          <w:color w:val="auto"/>
          <w:szCs w:val="24"/>
        </w:rPr>
        <w:t xml:space="preserve">with </w:t>
      </w:r>
      <w:r w:rsidR="00850374">
        <w:rPr>
          <w:rFonts w:asciiTheme="minorHAnsi" w:hAnsiTheme="minorHAnsi"/>
          <w:color w:val="auto"/>
          <w:szCs w:val="24"/>
        </w:rPr>
        <w:t>d</w:t>
      </w:r>
      <w:r w:rsidR="004000CE" w:rsidRPr="00B2129D">
        <w:rPr>
          <w:rFonts w:asciiTheme="minorHAnsi" w:hAnsiTheme="minorHAnsi"/>
          <w:color w:val="auto"/>
          <w:szCs w:val="24"/>
        </w:rPr>
        <w:t xml:space="preserve">istal </w:t>
      </w:r>
      <w:proofErr w:type="spellStart"/>
      <w:r w:rsidR="00850374">
        <w:rPr>
          <w:rFonts w:asciiTheme="minorHAnsi" w:hAnsiTheme="minorHAnsi"/>
          <w:color w:val="auto"/>
          <w:szCs w:val="24"/>
        </w:rPr>
        <w:t>p</w:t>
      </w:r>
      <w:r w:rsidR="004000CE" w:rsidRPr="00B2129D">
        <w:rPr>
          <w:rFonts w:asciiTheme="minorHAnsi" w:hAnsiTheme="minorHAnsi"/>
          <w:color w:val="auto"/>
          <w:szCs w:val="24"/>
        </w:rPr>
        <w:t>olyneuropathy</w:t>
      </w:r>
      <w:proofErr w:type="spellEnd"/>
      <w:r w:rsidR="00972ED1" w:rsidRPr="00B2129D">
        <w:rPr>
          <w:rFonts w:asciiTheme="minorHAnsi" w:hAnsiTheme="minorHAnsi"/>
          <w:color w:val="auto"/>
          <w:szCs w:val="24"/>
        </w:rPr>
        <w:t>,</w:t>
      </w:r>
      <w:r w:rsidR="004000CE" w:rsidRPr="00B2129D">
        <w:rPr>
          <w:rFonts w:asciiTheme="minorHAnsi" w:hAnsiTheme="minorHAnsi"/>
          <w:color w:val="auto"/>
          <w:szCs w:val="24"/>
        </w:rPr>
        <w:t xml:space="preserve"> </w:t>
      </w:r>
      <w:r w:rsidR="00850374">
        <w:rPr>
          <w:rFonts w:asciiTheme="minorHAnsi" w:hAnsiTheme="minorHAnsi"/>
          <w:color w:val="auto"/>
          <w:szCs w:val="24"/>
        </w:rPr>
        <w:t>h</w:t>
      </w:r>
      <w:r w:rsidR="004000CE" w:rsidRPr="00B2129D">
        <w:rPr>
          <w:rFonts w:asciiTheme="minorHAnsi" w:hAnsiTheme="minorHAnsi"/>
          <w:color w:val="auto"/>
          <w:szCs w:val="24"/>
        </w:rPr>
        <w:t xml:space="preserve">ypothyroidism, </w:t>
      </w:r>
      <w:r w:rsidR="004E7719">
        <w:rPr>
          <w:rFonts w:asciiTheme="minorHAnsi" w:hAnsiTheme="minorHAnsi"/>
          <w:color w:val="auto"/>
          <w:szCs w:val="24"/>
        </w:rPr>
        <w:t>left</w:t>
      </w:r>
      <w:r w:rsidR="004000CE" w:rsidRPr="00B2129D">
        <w:rPr>
          <w:rFonts w:asciiTheme="minorHAnsi" w:hAnsiTheme="minorHAnsi"/>
          <w:color w:val="auto"/>
          <w:szCs w:val="24"/>
        </w:rPr>
        <w:t xml:space="preserve"> </w:t>
      </w:r>
      <w:r w:rsidR="00850374">
        <w:rPr>
          <w:rFonts w:asciiTheme="minorHAnsi" w:hAnsiTheme="minorHAnsi"/>
          <w:color w:val="auto"/>
          <w:szCs w:val="24"/>
        </w:rPr>
        <w:t>l</w:t>
      </w:r>
      <w:r w:rsidR="004000CE" w:rsidRPr="00B2129D">
        <w:rPr>
          <w:rFonts w:asciiTheme="minorHAnsi" w:hAnsiTheme="minorHAnsi"/>
          <w:color w:val="auto"/>
          <w:szCs w:val="24"/>
        </w:rPr>
        <w:t xml:space="preserve">ower </w:t>
      </w:r>
      <w:r w:rsidR="00850374">
        <w:rPr>
          <w:rFonts w:asciiTheme="minorHAnsi" w:hAnsiTheme="minorHAnsi"/>
          <w:color w:val="auto"/>
          <w:szCs w:val="24"/>
        </w:rPr>
        <w:t>e</w:t>
      </w:r>
      <w:r w:rsidR="004000CE" w:rsidRPr="00B2129D">
        <w:rPr>
          <w:rFonts w:asciiTheme="minorHAnsi" w:hAnsiTheme="minorHAnsi"/>
          <w:color w:val="auto"/>
          <w:szCs w:val="24"/>
        </w:rPr>
        <w:t xml:space="preserve">xtremity </w:t>
      </w:r>
      <w:proofErr w:type="spellStart"/>
      <w:r w:rsidR="00850374">
        <w:rPr>
          <w:rFonts w:asciiTheme="minorHAnsi" w:hAnsiTheme="minorHAnsi"/>
          <w:color w:val="auto"/>
          <w:szCs w:val="24"/>
        </w:rPr>
        <w:t>p</w:t>
      </w:r>
      <w:r w:rsidR="004000CE" w:rsidRPr="00B2129D">
        <w:rPr>
          <w:rFonts w:asciiTheme="minorHAnsi" w:hAnsiTheme="minorHAnsi"/>
          <w:color w:val="auto"/>
          <w:szCs w:val="24"/>
        </w:rPr>
        <w:t>olyneuropathy</w:t>
      </w:r>
      <w:proofErr w:type="spellEnd"/>
      <w:r w:rsidR="004000CE" w:rsidRPr="00B2129D">
        <w:rPr>
          <w:rFonts w:asciiTheme="minorHAnsi" w:hAnsiTheme="minorHAnsi"/>
          <w:color w:val="auto"/>
          <w:szCs w:val="24"/>
        </w:rPr>
        <w:t xml:space="preserve"> </w:t>
      </w:r>
      <w:r w:rsidR="00850374">
        <w:rPr>
          <w:rFonts w:asciiTheme="minorHAnsi" w:hAnsiTheme="minorHAnsi"/>
          <w:color w:val="auto"/>
          <w:szCs w:val="24"/>
        </w:rPr>
        <w:t>a</w:t>
      </w:r>
      <w:r w:rsidR="004000CE" w:rsidRPr="00B2129D">
        <w:rPr>
          <w:rFonts w:asciiTheme="minorHAnsi" w:hAnsiTheme="minorHAnsi"/>
          <w:color w:val="auto"/>
          <w:szCs w:val="24"/>
        </w:rPr>
        <w:t>ssoc</w:t>
      </w:r>
      <w:r w:rsidR="00850374">
        <w:rPr>
          <w:rFonts w:asciiTheme="minorHAnsi" w:hAnsiTheme="minorHAnsi"/>
          <w:color w:val="auto"/>
          <w:szCs w:val="24"/>
        </w:rPr>
        <w:t>iated with h</w:t>
      </w:r>
      <w:r w:rsidR="004000CE" w:rsidRPr="00B2129D">
        <w:rPr>
          <w:rFonts w:asciiTheme="minorHAnsi" w:hAnsiTheme="minorHAnsi"/>
          <w:color w:val="auto"/>
          <w:szCs w:val="24"/>
        </w:rPr>
        <w:t xml:space="preserve">ypothyroidism conditions or any other medical conditions eligible for </w:t>
      </w:r>
      <w:r w:rsidR="00E266F1" w:rsidRPr="00B2129D">
        <w:rPr>
          <w:rFonts w:asciiTheme="minorHAnsi" w:hAnsiTheme="minorHAnsi"/>
          <w:color w:val="auto"/>
          <w:szCs w:val="24"/>
        </w:rPr>
        <w:t>Board</w:t>
      </w:r>
      <w:r w:rsidR="00972ED1" w:rsidRPr="00B2129D">
        <w:rPr>
          <w:rFonts w:asciiTheme="minorHAnsi" w:hAnsiTheme="minorHAnsi"/>
          <w:color w:val="auto"/>
          <w:szCs w:val="24"/>
        </w:rPr>
        <w:t xml:space="preserve"> consideration</w:t>
      </w:r>
      <w:r w:rsidR="00850374">
        <w:rPr>
          <w:rFonts w:asciiTheme="minorHAnsi" w:hAnsiTheme="minorHAnsi"/>
          <w:color w:val="auto"/>
          <w:szCs w:val="24"/>
        </w:rPr>
        <w:t>,</w:t>
      </w:r>
      <w:r w:rsidR="004000CE" w:rsidRPr="00B2129D">
        <w:rPr>
          <w:rFonts w:asciiTheme="minorHAnsi" w:hAnsiTheme="minorHAnsi"/>
          <w:color w:val="auto"/>
          <w:szCs w:val="24"/>
        </w:rPr>
        <w:t xml:space="preserve"> the Board unanimously a</w:t>
      </w:r>
      <w:r w:rsidR="004000CE" w:rsidRPr="004D6159">
        <w:rPr>
          <w:rFonts w:asciiTheme="minorHAnsi" w:hAnsiTheme="minorHAnsi"/>
          <w:color w:val="auto"/>
          <w:szCs w:val="24"/>
        </w:rPr>
        <w:t>grees that it cannot recommend any findings of unfit for additional rating at separation.</w:t>
      </w:r>
    </w:p>
    <w:p w:rsidR="00FB593A" w:rsidRPr="004D6159" w:rsidRDefault="008B5D31" w:rsidP="003D2EE4">
      <w:pPr>
        <w:spacing w:line="240" w:lineRule="exact"/>
        <w:jc w:val="both"/>
        <w:rPr>
          <w:rFonts w:asciiTheme="minorHAnsi" w:eastAsiaTheme="minorHAnsi" w:hAnsiTheme="minorHAnsi"/>
          <w:b/>
          <w:color w:val="auto"/>
          <w:szCs w:val="24"/>
        </w:rPr>
      </w:pPr>
      <w:r w:rsidRPr="004D6159">
        <w:rPr>
          <w:rFonts w:asciiTheme="minorHAnsi" w:hAnsiTheme="minorHAnsi"/>
          <w:color w:val="auto"/>
          <w:u w:val="single"/>
        </w:rPr>
        <w:t>_______________________________________________________________</w:t>
      </w:r>
      <w:r w:rsidRPr="004D6159">
        <w:rPr>
          <w:rFonts w:asciiTheme="minorHAnsi" w:hAnsiTheme="minorHAnsi"/>
          <w:color w:val="auto"/>
        </w:rPr>
        <w:t>_</w:t>
      </w:r>
      <w:r w:rsidR="00AC713F" w:rsidRPr="004D6159">
        <w:rPr>
          <w:rFonts w:asciiTheme="minorHAnsi" w:hAnsiTheme="minorHAnsi"/>
          <w:color w:val="auto"/>
        </w:rPr>
        <w:t>_____________</w:t>
      </w:r>
    </w:p>
    <w:p w:rsidR="00FB593A" w:rsidRPr="004D6159" w:rsidRDefault="00FB593A" w:rsidP="003D2EE4">
      <w:pPr>
        <w:tabs>
          <w:tab w:val="left" w:pos="288"/>
          <w:tab w:val="left" w:pos="4752"/>
        </w:tabs>
        <w:spacing w:line="240" w:lineRule="exact"/>
        <w:jc w:val="both"/>
        <w:rPr>
          <w:color w:val="auto"/>
        </w:rPr>
      </w:pPr>
    </w:p>
    <w:p w:rsidR="00FB593A" w:rsidRPr="004C1F41" w:rsidRDefault="00C56FC8" w:rsidP="004C1F41">
      <w:pPr>
        <w:spacing w:line="240" w:lineRule="exact"/>
        <w:jc w:val="both"/>
        <w:rPr>
          <w:rFonts w:asciiTheme="minorHAnsi" w:eastAsiaTheme="minorHAnsi" w:hAnsiTheme="minorHAnsi"/>
          <w:b/>
          <w:color w:val="auto"/>
          <w:szCs w:val="24"/>
        </w:rPr>
      </w:pPr>
      <w:r w:rsidRPr="004D6159">
        <w:rPr>
          <w:rFonts w:asciiTheme="minorHAnsi" w:hAnsiTheme="minorHAnsi"/>
          <w:color w:val="auto"/>
          <w:szCs w:val="24"/>
          <w:u w:val="single"/>
        </w:rPr>
        <w:t>RECOMMENDATION</w:t>
      </w:r>
      <w:r w:rsidRPr="004D6159">
        <w:rPr>
          <w:rFonts w:asciiTheme="minorHAnsi" w:hAnsiTheme="minorHAnsi"/>
          <w:color w:val="auto"/>
          <w:szCs w:val="24"/>
        </w:rPr>
        <w:t xml:space="preserve">: </w:t>
      </w:r>
      <w:r w:rsidR="004D6159">
        <w:rPr>
          <w:rFonts w:asciiTheme="minorHAnsi" w:hAnsiTheme="minorHAnsi"/>
          <w:color w:val="auto"/>
          <w:szCs w:val="24"/>
        </w:rPr>
        <w:t xml:space="preserve"> </w:t>
      </w:r>
      <w:r w:rsidRPr="004D6159">
        <w:rPr>
          <w:rFonts w:asciiTheme="minorHAnsi" w:hAnsiTheme="minorHAnsi"/>
          <w:color w:val="auto"/>
          <w:szCs w:val="24"/>
        </w:rPr>
        <w:t xml:space="preserve">The Board recommends that the CI’s prior determination be modified as follows and that the discharge with severance pay be recharacterized to reflect permanent disability retirement, effective as of the date of </w:t>
      </w:r>
      <w:r w:rsidR="004000CE" w:rsidRPr="004D6159">
        <w:rPr>
          <w:rFonts w:asciiTheme="minorHAnsi" w:hAnsiTheme="minorHAnsi"/>
          <w:color w:val="auto"/>
          <w:szCs w:val="24"/>
        </w:rPr>
        <w:t xml:space="preserve">her </w:t>
      </w:r>
      <w:r w:rsidRPr="004D6159">
        <w:rPr>
          <w:rFonts w:asciiTheme="minorHAnsi" w:hAnsiTheme="minorHAnsi"/>
          <w:color w:val="auto"/>
          <w:szCs w:val="24"/>
        </w:rPr>
        <w:t>prior medical separation.</w:t>
      </w:r>
    </w:p>
    <w:p w:rsidR="00902968" w:rsidRDefault="00902968" w:rsidP="00933FF0">
      <w:pPr>
        <w:tabs>
          <w:tab w:val="left" w:pos="720"/>
          <w:tab w:val="left" w:pos="1080"/>
          <w:tab w:val="left" w:pos="1340"/>
          <w:tab w:val="left" w:pos="1620"/>
          <w:tab w:val="right" w:leader="dot" w:pos="9180"/>
        </w:tabs>
        <w:overflowPunct w:val="0"/>
        <w:autoSpaceDE w:val="0"/>
        <w:autoSpaceDN w:val="0"/>
        <w:adjustRightInd w:val="0"/>
        <w:spacing w:line="240" w:lineRule="exact"/>
        <w:ind w:right="-720"/>
        <w:textAlignment w:val="baseline"/>
        <w:rPr>
          <w:rFonts w:ascii="Janson Text" w:hAnsi="Janson Text"/>
          <w:color w:val="auto"/>
          <w:szCs w:val="24"/>
        </w:rPr>
      </w:pPr>
    </w:p>
    <w:p w:rsidR="00850374" w:rsidRDefault="00850374" w:rsidP="00933FF0">
      <w:pPr>
        <w:tabs>
          <w:tab w:val="left" w:pos="720"/>
          <w:tab w:val="left" w:pos="1080"/>
          <w:tab w:val="left" w:pos="1340"/>
          <w:tab w:val="left" w:pos="1620"/>
          <w:tab w:val="right" w:leader="dot" w:pos="9180"/>
        </w:tabs>
        <w:overflowPunct w:val="0"/>
        <w:autoSpaceDE w:val="0"/>
        <w:autoSpaceDN w:val="0"/>
        <w:adjustRightInd w:val="0"/>
        <w:spacing w:line="240" w:lineRule="exact"/>
        <w:ind w:right="-720"/>
        <w:textAlignment w:val="baseline"/>
        <w:rPr>
          <w:rFonts w:ascii="Janson Text" w:hAnsi="Janson Text"/>
          <w:color w:val="auto"/>
          <w:szCs w:val="24"/>
        </w:rPr>
      </w:pPr>
    </w:p>
    <w:p w:rsidR="00850374" w:rsidRDefault="00850374" w:rsidP="00933FF0">
      <w:pPr>
        <w:tabs>
          <w:tab w:val="left" w:pos="720"/>
          <w:tab w:val="left" w:pos="1080"/>
          <w:tab w:val="left" w:pos="1340"/>
          <w:tab w:val="left" w:pos="1620"/>
          <w:tab w:val="right" w:leader="dot" w:pos="9180"/>
        </w:tabs>
        <w:overflowPunct w:val="0"/>
        <w:autoSpaceDE w:val="0"/>
        <w:autoSpaceDN w:val="0"/>
        <w:adjustRightInd w:val="0"/>
        <w:spacing w:line="240" w:lineRule="exact"/>
        <w:ind w:right="-720"/>
        <w:textAlignment w:val="baseline"/>
        <w:rPr>
          <w:rFonts w:ascii="Janson Text" w:hAnsi="Janson Text"/>
          <w:color w:val="auto"/>
          <w:szCs w:val="24"/>
        </w:rPr>
      </w:pPr>
    </w:p>
    <w:p w:rsidR="00850374" w:rsidRDefault="00850374" w:rsidP="00933FF0">
      <w:pPr>
        <w:tabs>
          <w:tab w:val="left" w:pos="720"/>
          <w:tab w:val="left" w:pos="1080"/>
          <w:tab w:val="left" w:pos="1340"/>
          <w:tab w:val="left" w:pos="1620"/>
          <w:tab w:val="right" w:leader="dot" w:pos="9180"/>
        </w:tabs>
        <w:overflowPunct w:val="0"/>
        <w:autoSpaceDE w:val="0"/>
        <w:autoSpaceDN w:val="0"/>
        <w:adjustRightInd w:val="0"/>
        <w:spacing w:line="240" w:lineRule="exact"/>
        <w:ind w:right="-720"/>
        <w:textAlignment w:val="baseline"/>
        <w:rPr>
          <w:rFonts w:ascii="Janson Text" w:hAnsi="Janson Text"/>
          <w:color w:val="auto"/>
          <w:szCs w:val="24"/>
        </w:rPr>
      </w:pPr>
    </w:p>
    <w:p w:rsidR="00850374" w:rsidRPr="00E24B44" w:rsidRDefault="00850374" w:rsidP="00933FF0">
      <w:pPr>
        <w:tabs>
          <w:tab w:val="left" w:pos="720"/>
          <w:tab w:val="left" w:pos="1080"/>
          <w:tab w:val="left" w:pos="1340"/>
          <w:tab w:val="left" w:pos="1620"/>
          <w:tab w:val="right" w:leader="dot" w:pos="9180"/>
        </w:tabs>
        <w:overflowPunct w:val="0"/>
        <w:autoSpaceDE w:val="0"/>
        <w:autoSpaceDN w:val="0"/>
        <w:adjustRightInd w:val="0"/>
        <w:spacing w:line="240" w:lineRule="exact"/>
        <w:ind w:right="-720"/>
        <w:textAlignment w:val="baseline"/>
        <w:rPr>
          <w:rFonts w:ascii="Janson Text" w:hAnsi="Janson Text"/>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6"/>
        <w:gridCol w:w="1778"/>
        <w:gridCol w:w="1084"/>
      </w:tblGrid>
      <w:tr w:rsidR="00902968" w:rsidRPr="00E24B44" w:rsidTr="00E343C6">
        <w:trPr>
          <w:trHeight w:val="287"/>
          <w:jc w:val="center"/>
        </w:trPr>
        <w:tc>
          <w:tcPr>
            <w:tcW w:w="6606" w:type="dxa"/>
            <w:tcBorders>
              <w:right w:val="single" w:sz="4" w:space="0" w:color="auto"/>
            </w:tcBorders>
            <w:shd w:val="clear" w:color="auto" w:fill="D9D9D9"/>
          </w:tcPr>
          <w:p w:rsidR="00902968" w:rsidRPr="00E24B44" w:rsidRDefault="00902968" w:rsidP="00E343C6">
            <w:pPr>
              <w:tabs>
                <w:tab w:val="left" w:pos="288"/>
                <w:tab w:val="left" w:pos="4752"/>
              </w:tabs>
              <w:spacing w:line="240" w:lineRule="exact"/>
              <w:jc w:val="both"/>
              <w:rPr>
                <w:rFonts w:asciiTheme="minorHAnsi" w:hAnsiTheme="minorHAnsi"/>
                <w:b/>
                <w:color w:val="auto"/>
                <w:szCs w:val="24"/>
              </w:rPr>
            </w:pPr>
            <w:r w:rsidRPr="00E24B44">
              <w:rPr>
                <w:rFonts w:asciiTheme="minorHAnsi" w:hAnsiTheme="minorHAnsi"/>
                <w:b/>
                <w:color w:val="auto"/>
                <w:szCs w:val="24"/>
              </w:rPr>
              <w:lastRenderedPageBreak/>
              <w:t>UNFITTING CONDITION</w:t>
            </w:r>
          </w:p>
        </w:tc>
        <w:tc>
          <w:tcPr>
            <w:tcW w:w="1778" w:type="dxa"/>
            <w:tcBorders>
              <w:left w:val="single" w:sz="4" w:space="0" w:color="auto"/>
            </w:tcBorders>
            <w:shd w:val="clear" w:color="auto" w:fill="D9D9D9"/>
          </w:tcPr>
          <w:p w:rsidR="00902968" w:rsidRPr="00E24B44" w:rsidRDefault="00902968" w:rsidP="00E343C6">
            <w:pPr>
              <w:tabs>
                <w:tab w:val="left" w:pos="288"/>
                <w:tab w:val="left" w:pos="4752"/>
              </w:tabs>
              <w:spacing w:line="240" w:lineRule="exact"/>
              <w:jc w:val="center"/>
              <w:rPr>
                <w:rFonts w:asciiTheme="minorHAnsi" w:hAnsiTheme="minorHAnsi"/>
                <w:b/>
                <w:color w:val="auto"/>
                <w:szCs w:val="24"/>
              </w:rPr>
            </w:pPr>
            <w:r w:rsidRPr="00E24B44">
              <w:rPr>
                <w:rFonts w:asciiTheme="minorHAnsi" w:hAnsiTheme="minorHAnsi"/>
                <w:b/>
                <w:color w:val="auto"/>
                <w:szCs w:val="24"/>
              </w:rPr>
              <w:t>VASRD CODE</w:t>
            </w:r>
          </w:p>
        </w:tc>
        <w:tc>
          <w:tcPr>
            <w:tcW w:w="1084" w:type="dxa"/>
            <w:shd w:val="clear" w:color="auto" w:fill="D9D9D9"/>
          </w:tcPr>
          <w:p w:rsidR="00902968" w:rsidRPr="00E24B44" w:rsidRDefault="00902968" w:rsidP="00E343C6">
            <w:pPr>
              <w:tabs>
                <w:tab w:val="left" w:pos="288"/>
                <w:tab w:val="left" w:pos="4752"/>
              </w:tabs>
              <w:spacing w:line="240" w:lineRule="exact"/>
              <w:jc w:val="center"/>
              <w:rPr>
                <w:rFonts w:asciiTheme="minorHAnsi" w:hAnsiTheme="minorHAnsi"/>
                <w:b/>
                <w:color w:val="auto"/>
                <w:szCs w:val="24"/>
              </w:rPr>
            </w:pPr>
            <w:r w:rsidRPr="00E24B44">
              <w:rPr>
                <w:rFonts w:asciiTheme="minorHAnsi" w:hAnsiTheme="minorHAnsi"/>
                <w:b/>
                <w:color w:val="auto"/>
                <w:szCs w:val="24"/>
              </w:rPr>
              <w:t>RATING</w:t>
            </w:r>
          </w:p>
        </w:tc>
      </w:tr>
      <w:tr w:rsidR="00902968" w:rsidRPr="00E24B44" w:rsidTr="00E343C6">
        <w:trPr>
          <w:jc w:val="center"/>
        </w:trPr>
        <w:tc>
          <w:tcPr>
            <w:tcW w:w="6606" w:type="dxa"/>
            <w:tcBorders>
              <w:right w:val="single" w:sz="4" w:space="0" w:color="auto"/>
            </w:tcBorders>
          </w:tcPr>
          <w:p w:rsidR="00902968" w:rsidRPr="00E24B44" w:rsidRDefault="00902968" w:rsidP="00850374">
            <w:pPr>
              <w:tabs>
                <w:tab w:val="left" w:pos="288"/>
                <w:tab w:val="left" w:pos="4752"/>
              </w:tabs>
              <w:spacing w:line="240" w:lineRule="exact"/>
              <w:jc w:val="both"/>
              <w:rPr>
                <w:rFonts w:asciiTheme="minorHAnsi" w:hAnsiTheme="minorHAnsi"/>
                <w:color w:val="auto"/>
                <w:szCs w:val="24"/>
              </w:rPr>
            </w:pPr>
            <w:r w:rsidRPr="00E24B44">
              <w:rPr>
                <w:rFonts w:asciiTheme="minorHAnsi" w:hAnsiTheme="minorHAnsi"/>
                <w:color w:val="auto"/>
                <w:szCs w:val="24"/>
              </w:rPr>
              <w:t xml:space="preserve">Left </w:t>
            </w:r>
            <w:r w:rsidR="00850374">
              <w:rPr>
                <w:rFonts w:asciiTheme="minorHAnsi" w:hAnsiTheme="minorHAnsi"/>
                <w:color w:val="auto"/>
                <w:szCs w:val="24"/>
              </w:rPr>
              <w:t>C</w:t>
            </w:r>
            <w:r w:rsidRPr="00E24B44">
              <w:rPr>
                <w:rFonts w:asciiTheme="minorHAnsi" w:hAnsiTheme="minorHAnsi"/>
                <w:color w:val="auto"/>
                <w:szCs w:val="24"/>
              </w:rPr>
              <w:t xml:space="preserve">hronic </w:t>
            </w:r>
            <w:r w:rsidR="00850374">
              <w:rPr>
                <w:rFonts w:asciiTheme="minorHAnsi" w:hAnsiTheme="minorHAnsi"/>
                <w:color w:val="auto"/>
                <w:szCs w:val="24"/>
              </w:rPr>
              <w:t>P</w:t>
            </w:r>
            <w:r w:rsidRPr="00E24B44">
              <w:rPr>
                <w:rFonts w:asciiTheme="minorHAnsi" w:hAnsiTheme="minorHAnsi"/>
                <w:color w:val="auto"/>
                <w:szCs w:val="24"/>
              </w:rPr>
              <w:t xml:space="preserve">lantar </w:t>
            </w:r>
            <w:r w:rsidR="00850374">
              <w:rPr>
                <w:rFonts w:asciiTheme="minorHAnsi" w:hAnsiTheme="minorHAnsi"/>
                <w:color w:val="auto"/>
                <w:szCs w:val="24"/>
              </w:rPr>
              <w:t>F</w:t>
            </w:r>
            <w:r w:rsidRPr="00E24B44">
              <w:rPr>
                <w:rFonts w:asciiTheme="minorHAnsi" w:hAnsiTheme="minorHAnsi"/>
                <w:color w:val="auto"/>
                <w:szCs w:val="24"/>
              </w:rPr>
              <w:t>asciitis</w:t>
            </w:r>
            <w:r w:rsidR="00E24B44">
              <w:rPr>
                <w:rFonts w:asciiTheme="minorHAnsi" w:hAnsiTheme="minorHAnsi"/>
                <w:color w:val="auto"/>
                <w:szCs w:val="24"/>
              </w:rPr>
              <w:t>/</w:t>
            </w:r>
            <w:proofErr w:type="spellStart"/>
            <w:r w:rsidR="00850374">
              <w:rPr>
                <w:rFonts w:asciiTheme="minorHAnsi" w:hAnsiTheme="minorHAnsi"/>
                <w:color w:val="auto"/>
                <w:szCs w:val="24"/>
              </w:rPr>
              <w:t>S</w:t>
            </w:r>
            <w:r w:rsidRPr="00E24B44">
              <w:rPr>
                <w:rFonts w:asciiTheme="minorHAnsi" w:hAnsiTheme="minorHAnsi"/>
                <w:color w:val="auto"/>
                <w:szCs w:val="24"/>
              </w:rPr>
              <w:t>esamoiditis</w:t>
            </w:r>
            <w:proofErr w:type="spellEnd"/>
            <w:r w:rsidRPr="00E24B44">
              <w:rPr>
                <w:rFonts w:asciiTheme="minorHAnsi" w:hAnsiTheme="minorHAnsi"/>
                <w:color w:val="auto"/>
                <w:szCs w:val="24"/>
              </w:rPr>
              <w:t xml:space="preserve"> with </w:t>
            </w:r>
            <w:r w:rsidR="00850374">
              <w:rPr>
                <w:rFonts w:asciiTheme="minorHAnsi" w:hAnsiTheme="minorHAnsi"/>
                <w:color w:val="auto"/>
                <w:szCs w:val="24"/>
              </w:rPr>
              <w:t>S</w:t>
            </w:r>
            <w:r w:rsidRPr="00E24B44">
              <w:rPr>
                <w:rFonts w:asciiTheme="minorHAnsi" w:hAnsiTheme="minorHAnsi"/>
                <w:color w:val="auto"/>
                <w:szCs w:val="24"/>
              </w:rPr>
              <w:t xml:space="preserve">esamoid </w:t>
            </w:r>
            <w:r w:rsidR="00850374">
              <w:rPr>
                <w:rFonts w:asciiTheme="minorHAnsi" w:hAnsiTheme="minorHAnsi"/>
                <w:color w:val="auto"/>
                <w:szCs w:val="24"/>
              </w:rPr>
              <w:t>S</w:t>
            </w:r>
            <w:r w:rsidRPr="00E24B44">
              <w:rPr>
                <w:rFonts w:asciiTheme="minorHAnsi" w:hAnsiTheme="minorHAnsi"/>
                <w:color w:val="auto"/>
                <w:szCs w:val="24"/>
              </w:rPr>
              <w:t>hift</w:t>
            </w:r>
          </w:p>
        </w:tc>
        <w:tc>
          <w:tcPr>
            <w:tcW w:w="1778" w:type="dxa"/>
            <w:tcBorders>
              <w:left w:val="single" w:sz="4" w:space="0" w:color="auto"/>
            </w:tcBorders>
          </w:tcPr>
          <w:p w:rsidR="00902968" w:rsidRPr="00E24B44" w:rsidRDefault="00902968" w:rsidP="00E343C6">
            <w:pPr>
              <w:tabs>
                <w:tab w:val="left" w:pos="288"/>
                <w:tab w:val="left" w:pos="4752"/>
              </w:tabs>
              <w:spacing w:line="240" w:lineRule="exact"/>
              <w:jc w:val="center"/>
              <w:rPr>
                <w:rFonts w:asciiTheme="minorHAnsi" w:hAnsiTheme="minorHAnsi"/>
                <w:color w:val="auto"/>
                <w:szCs w:val="24"/>
              </w:rPr>
            </w:pPr>
            <w:r w:rsidRPr="00E24B44">
              <w:rPr>
                <w:rFonts w:asciiTheme="minorHAnsi" w:hAnsiTheme="minorHAnsi"/>
                <w:color w:val="auto"/>
                <w:szCs w:val="24"/>
              </w:rPr>
              <w:t>5284</w:t>
            </w:r>
          </w:p>
        </w:tc>
        <w:tc>
          <w:tcPr>
            <w:tcW w:w="1084" w:type="dxa"/>
          </w:tcPr>
          <w:p w:rsidR="00902968" w:rsidRPr="00E24B44" w:rsidRDefault="00E24B44" w:rsidP="00E343C6">
            <w:pPr>
              <w:tabs>
                <w:tab w:val="left" w:pos="288"/>
                <w:tab w:val="left" w:pos="4752"/>
              </w:tabs>
              <w:spacing w:line="240" w:lineRule="exact"/>
              <w:jc w:val="center"/>
              <w:rPr>
                <w:rFonts w:asciiTheme="minorHAnsi" w:hAnsiTheme="minorHAnsi"/>
                <w:color w:val="auto"/>
                <w:szCs w:val="24"/>
              </w:rPr>
            </w:pPr>
            <w:r w:rsidRPr="00E24B44">
              <w:rPr>
                <w:rFonts w:asciiTheme="minorHAnsi" w:hAnsiTheme="minorHAnsi"/>
                <w:color w:val="auto"/>
                <w:szCs w:val="24"/>
              </w:rPr>
              <w:t>1</w:t>
            </w:r>
            <w:r w:rsidR="00902968" w:rsidRPr="00E24B44">
              <w:rPr>
                <w:rFonts w:asciiTheme="minorHAnsi" w:hAnsiTheme="minorHAnsi"/>
                <w:color w:val="auto"/>
                <w:szCs w:val="24"/>
              </w:rPr>
              <w:t>0%</w:t>
            </w:r>
          </w:p>
        </w:tc>
      </w:tr>
      <w:tr w:rsidR="00902968" w:rsidRPr="00E24B44" w:rsidTr="00E343C6">
        <w:trPr>
          <w:jc w:val="center"/>
        </w:trPr>
        <w:tc>
          <w:tcPr>
            <w:tcW w:w="6606" w:type="dxa"/>
            <w:tcBorders>
              <w:right w:val="single" w:sz="4" w:space="0" w:color="auto"/>
            </w:tcBorders>
          </w:tcPr>
          <w:p w:rsidR="00902968" w:rsidRPr="00E24B44" w:rsidRDefault="00902968" w:rsidP="00850374">
            <w:pPr>
              <w:tabs>
                <w:tab w:val="left" w:pos="288"/>
                <w:tab w:val="left" w:pos="4752"/>
              </w:tabs>
              <w:spacing w:line="240" w:lineRule="exact"/>
              <w:jc w:val="both"/>
              <w:rPr>
                <w:rFonts w:asciiTheme="minorHAnsi" w:hAnsiTheme="minorHAnsi"/>
                <w:color w:val="auto"/>
                <w:szCs w:val="24"/>
              </w:rPr>
            </w:pPr>
            <w:r w:rsidRPr="00E24B44">
              <w:rPr>
                <w:rFonts w:asciiTheme="minorHAnsi" w:hAnsiTheme="minorHAnsi"/>
                <w:color w:val="auto"/>
                <w:szCs w:val="24"/>
              </w:rPr>
              <w:t xml:space="preserve">Right </w:t>
            </w:r>
            <w:r w:rsidR="00850374">
              <w:rPr>
                <w:rFonts w:asciiTheme="minorHAnsi" w:hAnsiTheme="minorHAnsi"/>
                <w:color w:val="auto"/>
                <w:szCs w:val="24"/>
              </w:rPr>
              <w:t>C</w:t>
            </w:r>
            <w:r w:rsidRPr="00E24B44">
              <w:rPr>
                <w:rFonts w:asciiTheme="minorHAnsi" w:hAnsiTheme="minorHAnsi"/>
                <w:color w:val="auto"/>
                <w:szCs w:val="24"/>
              </w:rPr>
              <w:t xml:space="preserve">hronic </w:t>
            </w:r>
            <w:r w:rsidR="00850374">
              <w:rPr>
                <w:rFonts w:asciiTheme="minorHAnsi" w:hAnsiTheme="minorHAnsi"/>
                <w:color w:val="auto"/>
                <w:szCs w:val="24"/>
              </w:rPr>
              <w:t>P</w:t>
            </w:r>
            <w:r w:rsidRPr="00E24B44">
              <w:rPr>
                <w:rFonts w:asciiTheme="minorHAnsi" w:hAnsiTheme="minorHAnsi"/>
                <w:color w:val="auto"/>
                <w:szCs w:val="24"/>
              </w:rPr>
              <w:t xml:space="preserve">lantar </w:t>
            </w:r>
            <w:r w:rsidR="00850374">
              <w:rPr>
                <w:rFonts w:asciiTheme="minorHAnsi" w:hAnsiTheme="minorHAnsi"/>
                <w:color w:val="auto"/>
                <w:szCs w:val="24"/>
              </w:rPr>
              <w:t>F</w:t>
            </w:r>
            <w:r w:rsidRPr="00E24B44">
              <w:rPr>
                <w:rFonts w:asciiTheme="minorHAnsi" w:hAnsiTheme="minorHAnsi"/>
                <w:color w:val="auto"/>
                <w:szCs w:val="24"/>
              </w:rPr>
              <w:t>asciitis</w:t>
            </w:r>
            <w:r w:rsidR="00E24B44">
              <w:rPr>
                <w:rFonts w:asciiTheme="minorHAnsi" w:hAnsiTheme="minorHAnsi"/>
                <w:color w:val="auto"/>
                <w:szCs w:val="24"/>
              </w:rPr>
              <w:t>/</w:t>
            </w:r>
            <w:proofErr w:type="spellStart"/>
            <w:r w:rsidR="00850374">
              <w:rPr>
                <w:rFonts w:asciiTheme="minorHAnsi" w:hAnsiTheme="minorHAnsi"/>
                <w:color w:val="auto"/>
                <w:szCs w:val="24"/>
              </w:rPr>
              <w:t>S</w:t>
            </w:r>
            <w:r w:rsidRPr="00E24B44">
              <w:rPr>
                <w:rFonts w:asciiTheme="minorHAnsi" w:hAnsiTheme="minorHAnsi"/>
                <w:color w:val="auto"/>
                <w:szCs w:val="24"/>
              </w:rPr>
              <w:t>esamoiditis</w:t>
            </w:r>
            <w:proofErr w:type="spellEnd"/>
            <w:r w:rsidR="00E24B44" w:rsidRPr="00E24B44">
              <w:rPr>
                <w:rFonts w:asciiTheme="minorHAnsi" w:hAnsiTheme="minorHAnsi"/>
                <w:color w:val="auto"/>
                <w:szCs w:val="24"/>
              </w:rPr>
              <w:t xml:space="preserve"> </w:t>
            </w:r>
            <w:r w:rsidR="00E24B44">
              <w:rPr>
                <w:rFonts w:asciiTheme="minorHAnsi" w:hAnsiTheme="minorHAnsi"/>
                <w:color w:val="auto"/>
                <w:szCs w:val="24"/>
              </w:rPr>
              <w:t xml:space="preserve">with </w:t>
            </w:r>
            <w:r w:rsidR="00850374">
              <w:rPr>
                <w:rFonts w:asciiTheme="minorHAnsi" w:hAnsiTheme="minorHAnsi"/>
                <w:color w:val="auto"/>
                <w:szCs w:val="24"/>
              </w:rPr>
              <w:t>S</w:t>
            </w:r>
            <w:r w:rsidR="00E24B44">
              <w:rPr>
                <w:rFonts w:asciiTheme="minorHAnsi" w:hAnsiTheme="minorHAnsi"/>
                <w:color w:val="auto"/>
                <w:szCs w:val="24"/>
              </w:rPr>
              <w:t xml:space="preserve">urgical </w:t>
            </w:r>
            <w:r w:rsidR="00850374">
              <w:rPr>
                <w:rFonts w:asciiTheme="minorHAnsi" w:hAnsiTheme="minorHAnsi"/>
                <w:color w:val="auto"/>
                <w:szCs w:val="24"/>
              </w:rPr>
              <w:t>R</w:t>
            </w:r>
            <w:r w:rsidR="00E24B44">
              <w:rPr>
                <w:rFonts w:asciiTheme="minorHAnsi" w:hAnsiTheme="minorHAnsi"/>
                <w:color w:val="auto"/>
                <w:szCs w:val="24"/>
              </w:rPr>
              <w:t>esiduals</w:t>
            </w:r>
          </w:p>
        </w:tc>
        <w:tc>
          <w:tcPr>
            <w:tcW w:w="1778" w:type="dxa"/>
            <w:tcBorders>
              <w:left w:val="single" w:sz="4" w:space="0" w:color="auto"/>
            </w:tcBorders>
          </w:tcPr>
          <w:p w:rsidR="00902968" w:rsidRPr="00E24B44" w:rsidRDefault="00902968" w:rsidP="00E343C6">
            <w:pPr>
              <w:tabs>
                <w:tab w:val="left" w:pos="288"/>
                <w:tab w:val="left" w:pos="4752"/>
              </w:tabs>
              <w:spacing w:line="240" w:lineRule="exact"/>
              <w:jc w:val="center"/>
              <w:rPr>
                <w:rFonts w:asciiTheme="minorHAnsi" w:hAnsiTheme="minorHAnsi"/>
                <w:color w:val="auto"/>
                <w:szCs w:val="24"/>
              </w:rPr>
            </w:pPr>
            <w:r w:rsidRPr="00E24B44">
              <w:rPr>
                <w:rFonts w:asciiTheme="minorHAnsi" w:hAnsiTheme="minorHAnsi"/>
                <w:color w:val="auto"/>
                <w:szCs w:val="24"/>
              </w:rPr>
              <w:t>5284</w:t>
            </w:r>
          </w:p>
        </w:tc>
        <w:tc>
          <w:tcPr>
            <w:tcW w:w="1084" w:type="dxa"/>
          </w:tcPr>
          <w:p w:rsidR="00902968" w:rsidRPr="00E24B44" w:rsidRDefault="00E24B44" w:rsidP="00E343C6">
            <w:pPr>
              <w:tabs>
                <w:tab w:val="left" w:pos="288"/>
                <w:tab w:val="left" w:pos="4752"/>
              </w:tabs>
              <w:spacing w:line="240" w:lineRule="exact"/>
              <w:jc w:val="center"/>
              <w:rPr>
                <w:rFonts w:asciiTheme="minorHAnsi" w:hAnsiTheme="minorHAnsi"/>
                <w:color w:val="auto"/>
                <w:szCs w:val="24"/>
              </w:rPr>
            </w:pPr>
            <w:r w:rsidRPr="00E24B44">
              <w:rPr>
                <w:rFonts w:asciiTheme="minorHAnsi" w:hAnsiTheme="minorHAnsi"/>
                <w:color w:val="auto"/>
                <w:szCs w:val="24"/>
              </w:rPr>
              <w:t>2</w:t>
            </w:r>
            <w:r w:rsidR="00902968" w:rsidRPr="00E24B44">
              <w:rPr>
                <w:rFonts w:asciiTheme="minorHAnsi" w:hAnsiTheme="minorHAnsi"/>
                <w:color w:val="auto"/>
                <w:szCs w:val="24"/>
              </w:rPr>
              <w:t>0%</w:t>
            </w:r>
          </w:p>
        </w:tc>
      </w:tr>
      <w:tr w:rsidR="00902968" w:rsidRPr="00E24B44" w:rsidTr="00E343C6">
        <w:tblPrEx>
          <w:tblLook w:val="0000"/>
        </w:tblPrEx>
        <w:trPr>
          <w:gridBefore w:val="1"/>
          <w:wBefore w:w="6606" w:type="dxa"/>
          <w:trHeight w:val="287"/>
          <w:jc w:val="center"/>
        </w:trPr>
        <w:tc>
          <w:tcPr>
            <w:tcW w:w="1778" w:type="dxa"/>
            <w:tcBorders>
              <w:left w:val="single" w:sz="4" w:space="0" w:color="auto"/>
              <w:bottom w:val="single" w:sz="4" w:space="0" w:color="auto"/>
            </w:tcBorders>
            <w:shd w:val="clear" w:color="auto" w:fill="D9D9D9" w:themeFill="background1" w:themeFillShade="D9"/>
          </w:tcPr>
          <w:p w:rsidR="00902968" w:rsidRPr="00E24B44" w:rsidRDefault="00902968" w:rsidP="00331FF5">
            <w:pPr>
              <w:tabs>
                <w:tab w:val="left" w:pos="288"/>
                <w:tab w:val="left" w:pos="4752"/>
              </w:tabs>
              <w:spacing w:line="200" w:lineRule="exact"/>
              <w:jc w:val="center"/>
              <w:rPr>
                <w:rFonts w:asciiTheme="minorHAnsi" w:hAnsiTheme="minorHAnsi"/>
                <w:b/>
                <w:color w:val="auto"/>
                <w:szCs w:val="24"/>
              </w:rPr>
            </w:pPr>
            <w:r w:rsidRPr="00E24B44">
              <w:rPr>
                <w:rFonts w:asciiTheme="minorHAnsi" w:hAnsiTheme="minorHAnsi"/>
                <w:b/>
                <w:color w:val="auto"/>
                <w:szCs w:val="24"/>
              </w:rPr>
              <w:t>COMBINED</w:t>
            </w:r>
          </w:p>
        </w:tc>
        <w:tc>
          <w:tcPr>
            <w:tcW w:w="1084" w:type="dxa"/>
            <w:tcBorders>
              <w:bottom w:val="single" w:sz="4" w:space="0" w:color="000000"/>
            </w:tcBorders>
            <w:shd w:val="clear" w:color="auto" w:fill="D9D9D9" w:themeFill="background1" w:themeFillShade="D9"/>
          </w:tcPr>
          <w:p w:rsidR="00902968" w:rsidRPr="00E24B44" w:rsidRDefault="00902968" w:rsidP="00E343C6">
            <w:pPr>
              <w:tabs>
                <w:tab w:val="left" w:pos="288"/>
                <w:tab w:val="left" w:pos="4752"/>
              </w:tabs>
              <w:spacing w:line="240" w:lineRule="exact"/>
              <w:jc w:val="center"/>
              <w:rPr>
                <w:rFonts w:asciiTheme="minorHAnsi" w:hAnsiTheme="minorHAnsi"/>
                <w:b/>
                <w:color w:val="auto"/>
                <w:szCs w:val="24"/>
              </w:rPr>
            </w:pPr>
            <w:r w:rsidRPr="00E24B44">
              <w:rPr>
                <w:rFonts w:asciiTheme="minorHAnsi" w:hAnsiTheme="minorHAnsi"/>
                <w:b/>
                <w:color w:val="auto"/>
                <w:szCs w:val="24"/>
              </w:rPr>
              <w:t>30%</w:t>
            </w:r>
          </w:p>
        </w:tc>
      </w:tr>
    </w:tbl>
    <w:p w:rsidR="00B522CD" w:rsidRPr="00E24B44" w:rsidRDefault="008B5D31" w:rsidP="00190E48">
      <w:pPr>
        <w:tabs>
          <w:tab w:val="left" w:pos="288"/>
          <w:tab w:val="left" w:pos="4752"/>
        </w:tabs>
        <w:spacing w:line="240" w:lineRule="exact"/>
        <w:jc w:val="both"/>
        <w:rPr>
          <w:rFonts w:asciiTheme="minorHAnsi" w:hAnsiTheme="minorHAnsi"/>
          <w:color w:val="auto"/>
        </w:rPr>
      </w:pPr>
      <w:r w:rsidRPr="00E24B44">
        <w:rPr>
          <w:rFonts w:asciiTheme="minorHAnsi" w:hAnsiTheme="minorHAnsi"/>
          <w:color w:val="auto"/>
          <w:u w:val="single"/>
        </w:rPr>
        <w:t>_______________________________________________________________</w:t>
      </w:r>
      <w:r w:rsidRPr="00E24B44">
        <w:rPr>
          <w:rFonts w:asciiTheme="minorHAnsi" w:hAnsiTheme="minorHAnsi"/>
          <w:color w:val="auto"/>
        </w:rPr>
        <w:t>_</w:t>
      </w:r>
      <w:r w:rsidR="00AC713F" w:rsidRPr="00E24B44">
        <w:rPr>
          <w:rFonts w:asciiTheme="minorHAnsi" w:hAnsiTheme="minorHAnsi"/>
          <w:color w:val="auto"/>
        </w:rPr>
        <w:t>______________</w:t>
      </w:r>
    </w:p>
    <w:p w:rsidR="00D91DA6" w:rsidRPr="00E24B44" w:rsidRDefault="00D91DA6" w:rsidP="00190E48">
      <w:pPr>
        <w:tabs>
          <w:tab w:val="left" w:pos="288"/>
          <w:tab w:val="left" w:pos="4752"/>
        </w:tabs>
        <w:spacing w:line="240" w:lineRule="exact"/>
        <w:jc w:val="both"/>
        <w:rPr>
          <w:rFonts w:asciiTheme="minorHAnsi" w:hAnsiTheme="minorHAnsi"/>
          <w:color w:val="auto"/>
        </w:rPr>
      </w:pPr>
    </w:p>
    <w:p w:rsidR="00D91DA6" w:rsidRPr="00E24B44" w:rsidRDefault="00114F20" w:rsidP="00190E48">
      <w:pPr>
        <w:tabs>
          <w:tab w:val="left" w:pos="288"/>
          <w:tab w:val="left" w:pos="4752"/>
        </w:tabs>
        <w:spacing w:line="240" w:lineRule="exact"/>
        <w:jc w:val="both"/>
        <w:rPr>
          <w:rFonts w:asciiTheme="minorHAnsi" w:hAnsiTheme="minorHAnsi"/>
          <w:color w:val="auto"/>
        </w:rPr>
      </w:pPr>
      <w:r w:rsidRPr="00E24B44">
        <w:rPr>
          <w:rFonts w:asciiTheme="minorHAnsi" w:hAnsiTheme="minorHAnsi"/>
          <w:color w:val="auto"/>
        </w:rPr>
        <w:t>The following documentary evidence was considered:</w:t>
      </w:r>
    </w:p>
    <w:p w:rsidR="00EB5EFD" w:rsidRPr="00E24B44" w:rsidRDefault="00EB5EFD" w:rsidP="00190E48">
      <w:pPr>
        <w:tabs>
          <w:tab w:val="left" w:pos="288"/>
          <w:tab w:val="left" w:pos="4752"/>
        </w:tabs>
        <w:spacing w:line="240" w:lineRule="exact"/>
        <w:jc w:val="both"/>
        <w:rPr>
          <w:rFonts w:asciiTheme="minorHAnsi" w:hAnsiTheme="minorHAnsi"/>
          <w:color w:val="auto"/>
        </w:rPr>
      </w:pPr>
    </w:p>
    <w:p w:rsidR="00114F20" w:rsidRPr="00E24B44" w:rsidRDefault="0051146C" w:rsidP="00190E48">
      <w:pPr>
        <w:tabs>
          <w:tab w:val="left" w:pos="288"/>
          <w:tab w:val="left" w:pos="4752"/>
        </w:tabs>
        <w:spacing w:line="240" w:lineRule="exact"/>
        <w:jc w:val="both"/>
        <w:rPr>
          <w:rFonts w:asciiTheme="minorHAnsi" w:hAnsiTheme="minorHAnsi"/>
          <w:color w:val="auto"/>
        </w:rPr>
      </w:pPr>
      <w:r w:rsidRPr="00E24B44">
        <w:rPr>
          <w:rFonts w:asciiTheme="minorHAnsi" w:hAnsiTheme="minorHAnsi"/>
          <w:color w:val="auto"/>
        </w:rPr>
        <w:t xml:space="preserve">Exhibit A.  DD Form </w:t>
      </w:r>
      <w:proofErr w:type="gramStart"/>
      <w:r w:rsidRPr="00E24B44">
        <w:rPr>
          <w:rFonts w:asciiTheme="minorHAnsi" w:hAnsiTheme="minorHAnsi"/>
          <w:color w:val="auto"/>
        </w:rPr>
        <w:t>294,</w:t>
      </w:r>
      <w:proofErr w:type="gramEnd"/>
      <w:r w:rsidRPr="00E24B44">
        <w:rPr>
          <w:rFonts w:asciiTheme="minorHAnsi" w:hAnsiTheme="minorHAnsi"/>
          <w:color w:val="auto"/>
        </w:rPr>
        <w:t xml:space="preserve"> dated </w:t>
      </w:r>
      <w:r w:rsidR="0019273F" w:rsidRPr="00E24B44">
        <w:rPr>
          <w:rFonts w:asciiTheme="minorHAnsi" w:hAnsiTheme="minorHAnsi"/>
          <w:color w:val="auto"/>
        </w:rPr>
        <w:t>20</w:t>
      </w:r>
      <w:r w:rsidR="0015331C" w:rsidRPr="00E24B44">
        <w:rPr>
          <w:rFonts w:asciiTheme="minorHAnsi" w:hAnsiTheme="minorHAnsi"/>
          <w:color w:val="auto"/>
        </w:rPr>
        <w:t>090921</w:t>
      </w:r>
      <w:r w:rsidR="00114F20" w:rsidRPr="00E24B44">
        <w:rPr>
          <w:rFonts w:asciiTheme="minorHAnsi" w:hAnsiTheme="minorHAnsi"/>
          <w:color w:val="auto"/>
        </w:rPr>
        <w:t>, w/</w:t>
      </w:r>
      <w:proofErr w:type="spellStart"/>
      <w:r w:rsidR="00114F20" w:rsidRPr="00E24B44">
        <w:rPr>
          <w:rFonts w:asciiTheme="minorHAnsi" w:hAnsiTheme="minorHAnsi"/>
          <w:color w:val="auto"/>
        </w:rPr>
        <w:t>atchs</w:t>
      </w:r>
      <w:proofErr w:type="spellEnd"/>
      <w:r w:rsidR="00114F20" w:rsidRPr="00E24B44">
        <w:rPr>
          <w:rFonts w:asciiTheme="minorHAnsi" w:hAnsiTheme="minorHAnsi"/>
          <w:color w:val="auto"/>
        </w:rPr>
        <w:t>.</w:t>
      </w:r>
    </w:p>
    <w:p w:rsidR="00114F20" w:rsidRPr="00E24B44" w:rsidRDefault="00114F20" w:rsidP="00190E48">
      <w:pPr>
        <w:tabs>
          <w:tab w:val="left" w:pos="288"/>
          <w:tab w:val="left" w:pos="4752"/>
        </w:tabs>
        <w:spacing w:line="240" w:lineRule="exact"/>
        <w:jc w:val="both"/>
        <w:rPr>
          <w:rFonts w:asciiTheme="minorHAnsi" w:hAnsiTheme="minorHAnsi"/>
          <w:color w:val="auto"/>
        </w:rPr>
      </w:pPr>
      <w:r w:rsidRPr="00E24B44">
        <w:rPr>
          <w:rFonts w:asciiTheme="minorHAnsi" w:hAnsiTheme="minorHAnsi"/>
          <w:color w:val="auto"/>
        </w:rPr>
        <w:t xml:space="preserve">Exhibit B.  </w:t>
      </w:r>
      <w:proofErr w:type="gramStart"/>
      <w:r w:rsidRPr="00E24B44">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Default="00D91DA6" w:rsidP="00190E48">
      <w:pPr>
        <w:tabs>
          <w:tab w:val="left" w:pos="288"/>
          <w:tab w:val="left" w:pos="4752"/>
        </w:tabs>
        <w:spacing w:line="240" w:lineRule="exact"/>
        <w:jc w:val="both"/>
        <w:rPr>
          <w:rFonts w:asciiTheme="minorHAnsi" w:hAnsiTheme="minorHAnsi"/>
          <w:color w:val="auto"/>
        </w:rPr>
      </w:pPr>
    </w:p>
    <w:p w:rsidR="004D6159" w:rsidRDefault="004D6159" w:rsidP="00190E48">
      <w:pPr>
        <w:tabs>
          <w:tab w:val="left" w:pos="288"/>
          <w:tab w:val="left" w:pos="4752"/>
        </w:tabs>
        <w:spacing w:line="240" w:lineRule="exact"/>
        <w:jc w:val="both"/>
        <w:rPr>
          <w:rFonts w:asciiTheme="minorHAnsi" w:hAnsiTheme="minorHAnsi"/>
          <w:color w:val="auto"/>
        </w:rPr>
      </w:pPr>
    </w:p>
    <w:p w:rsidR="004D6159" w:rsidRDefault="004D6159" w:rsidP="00190E48">
      <w:pPr>
        <w:tabs>
          <w:tab w:val="left" w:pos="288"/>
          <w:tab w:val="left" w:pos="4752"/>
        </w:tabs>
        <w:spacing w:line="240" w:lineRule="exact"/>
        <w:jc w:val="both"/>
        <w:rPr>
          <w:rFonts w:asciiTheme="minorHAnsi" w:hAnsiTheme="minorHAnsi"/>
          <w:color w:val="auto"/>
        </w:rPr>
      </w:pPr>
    </w:p>
    <w:p w:rsidR="004D6159" w:rsidRPr="0085089F" w:rsidRDefault="004D6159" w:rsidP="00190E48">
      <w:pPr>
        <w:tabs>
          <w:tab w:val="left" w:pos="288"/>
          <w:tab w:val="left" w:pos="4752"/>
        </w:tabs>
        <w:spacing w:line="240" w:lineRule="exact"/>
        <w:jc w:val="both"/>
        <w:rPr>
          <w:rFonts w:asciiTheme="minorHAnsi" w:hAnsiTheme="minorHAnsi"/>
          <w:color w:val="auto"/>
        </w:rPr>
      </w:pPr>
    </w:p>
    <w:p w:rsidR="004D6159" w:rsidRPr="004D6159" w:rsidRDefault="004D6159" w:rsidP="004D615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6159">
        <w:rPr>
          <w:rFonts w:asciiTheme="minorHAnsi" w:hAnsiTheme="minorHAnsi"/>
          <w:color w:val="auto"/>
        </w:rPr>
        <w:t xml:space="preserve">                             </w:t>
      </w:r>
      <w:r w:rsidRPr="004D6159">
        <w:rPr>
          <w:rFonts w:asciiTheme="minorHAnsi" w:hAnsiTheme="minorHAnsi"/>
          <w:color w:val="auto"/>
        </w:rPr>
        <w:tab/>
      </w:r>
    </w:p>
    <w:p w:rsidR="004D6159" w:rsidRPr="004D6159" w:rsidRDefault="004D6159" w:rsidP="004D615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6159">
        <w:rPr>
          <w:rFonts w:asciiTheme="minorHAnsi" w:hAnsiTheme="minorHAnsi"/>
          <w:color w:val="auto"/>
        </w:rPr>
        <w:t xml:space="preserve">                             </w:t>
      </w:r>
      <w:r w:rsidRPr="004D6159">
        <w:rPr>
          <w:rFonts w:asciiTheme="minorHAnsi" w:hAnsiTheme="minorHAnsi"/>
          <w:color w:val="auto"/>
        </w:rPr>
        <w:tab/>
      </w:r>
      <w:r w:rsidRPr="004D6159">
        <w:rPr>
          <w:rFonts w:asciiTheme="minorHAnsi" w:hAnsiTheme="minorHAnsi"/>
          <w:color w:val="auto"/>
        </w:rPr>
        <w:tab/>
      </w:r>
      <w:r>
        <w:rPr>
          <w:rFonts w:asciiTheme="minorHAnsi" w:hAnsiTheme="minorHAnsi"/>
          <w:color w:val="auto"/>
        </w:rPr>
        <w:tab/>
      </w:r>
      <w:r>
        <w:rPr>
          <w:rFonts w:asciiTheme="minorHAnsi" w:hAnsiTheme="minorHAnsi"/>
          <w:color w:val="auto"/>
        </w:rPr>
        <w:tab/>
      </w:r>
      <w:r w:rsidRPr="004D6159">
        <w:rPr>
          <w:rFonts w:asciiTheme="minorHAnsi" w:hAnsiTheme="minorHAnsi"/>
          <w:color w:val="auto"/>
        </w:rPr>
        <w:t>Deputy Director</w:t>
      </w:r>
    </w:p>
    <w:p w:rsidR="00E622B5" w:rsidRDefault="004D6159" w:rsidP="00E622B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4D6159">
        <w:rPr>
          <w:rFonts w:asciiTheme="minorHAnsi" w:hAnsiTheme="minorHAnsi"/>
          <w:color w:val="auto"/>
        </w:rPr>
        <w:tab/>
        <w:t>Physical Disability Board of Review</w:t>
      </w:r>
    </w:p>
    <w:p w:rsidR="00A66200" w:rsidRDefault="00A66200" w:rsidP="00E622B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66200" w:rsidRDefault="00A66200">
      <w:pPr>
        <w:rPr>
          <w:color w:val="auto"/>
        </w:rPr>
      </w:pPr>
      <w:r>
        <w:rPr>
          <w:color w:val="auto"/>
        </w:rPr>
        <w:br w:type="page"/>
      </w:r>
    </w:p>
    <w:p w:rsidR="00A66200" w:rsidRPr="00A66200" w:rsidRDefault="00A66200" w:rsidP="00A66200">
      <w:pPr>
        <w:rPr>
          <w:color w:val="auto"/>
        </w:rPr>
      </w:pPr>
    </w:p>
    <w:p w:rsidR="00A66200" w:rsidRPr="00A66200" w:rsidRDefault="00A66200" w:rsidP="00A66200">
      <w:pPr>
        <w:rPr>
          <w:color w:val="auto"/>
        </w:rPr>
      </w:pPr>
      <w:r w:rsidRPr="00A66200">
        <w:rPr>
          <w:color w:val="auto"/>
        </w:rPr>
        <w:t>MEMORANDUM FOR DEPUTY COMMANDANT, MANPOWER &amp; RESERVE AFFAIRS</w:t>
      </w:r>
    </w:p>
    <w:p w:rsidR="00A66200" w:rsidRPr="00A66200" w:rsidRDefault="00A66200" w:rsidP="00A66200">
      <w:pPr>
        <w:rPr>
          <w:color w:val="auto"/>
        </w:rPr>
      </w:pPr>
    </w:p>
    <w:p w:rsidR="00A66200" w:rsidRPr="00A66200" w:rsidRDefault="00A66200" w:rsidP="00A66200">
      <w:pPr>
        <w:rPr>
          <w:color w:val="auto"/>
        </w:rPr>
      </w:pPr>
      <w:proofErr w:type="spellStart"/>
      <w:r w:rsidRPr="00A66200">
        <w:rPr>
          <w:color w:val="auto"/>
        </w:rPr>
        <w:t>Subj</w:t>
      </w:r>
      <w:proofErr w:type="spellEnd"/>
      <w:r w:rsidRPr="00A66200">
        <w:rPr>
          <w:color w:val="auto"/>
        </w:rPr>
        <w:t>:  PHYSICAL DISABILITY BOARD OF REVIEW (PDBR) RECOMMENDATION</w:t>
      </w:r>
    </w:p>
    <w:p w:rsidR="00A66200" w:rsidRPr="00A66200" w:rsidRDefault="00A66200" w:rsidP="00A66200">
      <w:pPr>
        <w:tabs>
          <w:tab w:val="left" w:pos="630"/>
        </w:tabs>
        <w:rPr>
          <w:color w:val="auto"/>
        </w:rPr>
      </w:pPr>
      <w:r w:rsidRPr="00A66200">
        <w:rPr>
          <w:color w:val="auto"/>
        </w:rPr>
        <w:t xml:space="preserve">          </w:t>
      </w:r>
      <w:r w:rsidRPr="00A66200">
        <w:rPr>
          <w:color w:val="auto"/>
        </w:rPr>
        <w:tab/>
        <w:t xml:space="preserve">ICO </w:t>
      </w:r>
      <w:r>
        <w:rPr>
          <w:color w:val="auto"/>
        </w:rPr>
        <w:t>XXXXXX</w:t>
      </w:r>
      <w:r w:rsidRPr="00A66200">
        <w:rPr>
          <w:color w:val="auto"/>
        </w:rPr>
        <w:t xml:space="preserve">, FORMER USMC, XXX XX </w:t>
      </w:r>
      <w:r>
        <w:rPr>
          <w:color w:val="auto"/>
        </w:rPr>
        <w:t>XXXX</w:t>
      </w:r>
    </w:p>
    <w:p w:rsidR="00A66200" w:rsidRPr="00A66200" w:rsidRDefault="00A66200" w:rsidP="00A66200">
      <w:pPr>
        <w:rPr>
          <w:color w:val="auto"/>
        </w:rPr>
      </w:pPr>
    </w:p>
    <w:p w:rsidR="00A66200" w:rsidRPr="00A66200" w:rsidRDefault="00A66200" w:rsidP="00A66200">
      <w:pPr>
        <w:rPr>
          <w:color w:val="auto"/>
        </w:rPr>
      </w:pPr>
      <w:r w:rsidRPr="00A66200">
        <w:rPr>
          <w:color w:val="auto"/>
        </w:rPr>
        <w:t>Ref:   (a) DoDI 6040.44</w:t>
      </w:r>
    </w:p>
    <w:p w:rsidR="00A66200" w:rsidRPr="00A66200" w:rsidRDefault="00A66200" w:rsidP="00A66200">
      <w:pPr>
        <w:rPr>
          <w:color w:val="auto"/>
        </w:rPr>
      </w:pPr>
      <w:r w:rsidRPr="00A66200">
        <w:rPr>
          <w:color w:val="auto"/>
        </w:rPr>
        <w:t xml:space="preserve">          (b) PDBR </w:t>
      </w:r>
      <w:proofErr w:type="spellStart"/>
      <w:r w:rsidRPr="00A66200">
        <w:rPr>
          <w:color w:val="auto"/>
        </w:rPr>
        <w:t>ltr</w:t>
      </w:r>
      <w:proofErr w:type="spellEnd"/>
      <w:r w:rsidRPr="00A66200">
        <w:rPr>
          <w:color w:val="auto"/>
        </w:rPr>
        <w:t xml:space="preserve"> </w:t>
      </w:r>
      <w:proofErr w:type="spellStart"/>
      <w:r w:rsidRPr="00A66200">
        <w:rPr>
          <w:color w:val="auto"/>
        </w:rPr>
        <w:t>dtd</w:t>
      </w:r>
      <w:proofErr w:type="spellEnd"/>
      <w:r w:rsidRPr="00A66200">
        <w:rPr>
          <w:color w:val="auto"/>
        </w:rPr>
        <w:t xml:space="preserve"> 11 May 11</w:t>
      </w:r>
    </w:p>
    <w:p w:rsidR="00A66200" w:rsidRPr="00A66200" w:rsidRDefault="00A66200" w:rsidP="00A66200">
      <w:pPr>
        <w:rPr>
          <w:color w:val="auto"/>
        </w:rPr>
      </w:pPr>
    </w:p>
    <w:p w:rsidR="00A66200" w:rsidRPr="00A66200" w:rsidRDefault="00A66200" w:rsidP="00A66200">
      <w:pPr>
        <w:rPr>
          <w:color w:val="auto"/>
        </w:rPr>
      </w:pPr>
      <w:r w:rsidRPr="00A66200">
        <w:rPr>
          <w:color w:val="auto"/>
        </w:rPr>
        <w:t>1.  I have reviewed the subject case pursuant to reference (a) and approve the recommendation of the Physical Disability Board of Review (reference (b)).</w:t>
      </w:r>
    </w:p>
    <w:p w:rsidR="00A66200" w:rsidRPr="00A66200" w:rsidRDefault="00A66200" w:rsidP="00A66200">
      <w:pPr>
        <w:rPr>
          <w:color w:val="auto"/>
        </w:rPr>
      </w:pPr>
    </w:p>
    <w:p w:rsidR="00A66200" w:rsidRPr="00A66200" w:rsidRDefault="00A66200" w:rsidP="00A66200">
      <w:pPr>
        <w:rPr>
          <w:color w:val="auto"/>
        </w:rPr>
      </w:pPr>
      <w:r w:rsidRPr="00A66200">
        <w:rPr>
          <w:color w:val="auto"/>
        </w:rPr>
        <w:t>2.  The subject member’s official records are to be corrected to reflect the following disposition:</w:t>
      </w:r>
    </w:p>
    <w:p w:rsidR="00A66200" w:rsidRPr="00A66200" w:rsidRDefault="00A66200" w:rsidP="00A66200">
      <w:pPr>
        <w:rPr>
          <w:color w:val="auto"/>
        </w:rPr>
      </w:pPr>
    </w:p>
    <w:p w:rsidR="00A66200" w:rsidRPr="00A66200" w:rsidRDefault="00A66200" w:rsidP="00A66200">
      <w:pPr>
        <w:rPr>
          <w:color w:val="auto"/>
        </w:rPr>
      </w:pPr>
      <w:r w:rsidRPr="00A66200">
        <w:rPr>
          <w:color w:val="auto"/>
        </w:rPr>
        <w:tab/>
        <w:t>a. Separation from the naval service due to physical disability rated at 30 percent (increased from 20 percent) with transfer to the Permanent Disability Retired List effective 15 April 2006.</w:t>
      </w:r>
    </w:p>
    <w:p w:rsidR="00A66200" w:rsidRPr="00A66200" w:rsidRDefault="00A66200" w:rsidP="00A66200">
      <w:pPr>
        <w:rPr>
          <w:color w:val="auto"/>
        </w:rPr>
      </w:pPr>
    </w:p>
    <w:p w:rsidR="00A66200" w:rsidRPr="00A66200" w:rsidRDefault="00A66200" w:rsidP="00A66200">
      <w:pPr>
        <w:rPr>
          <w:color w:val="auto"/>
        </w:rPr>
      </w:pPr>
      <w:r w:rsidRPr="00A66200">
        <w:rPr>
          <w:color w:val="auto"/>
        </w:rPr>
        <w:t>3.  Please ensure all necessary actions are taken to implement this decision, including the recoupment of previously paid disability separation pay if warranted, and notification to the subject member once those actions are completed.</w:t>
      </w:r>
    </w:p>
    <w:p w:rsidR="00A66200" w:rsidRPr="00A66200" w:rsidRDefault="00A66200" w:rsidP="00A66200">
      <w:pPr>
        <w:rPr>
          <w:color w:val="auto"/>
        </w:rPr>
      </w:pPr>
    </w:p>
    <w:p w:rsidR="00A66200" w:rsidRPr="00A66200" w:rsidRDefault="00A66200" w:rsidP="00A66200">
      <w:pPr>
        <w:rPr>
          <w:color w:val="auto"/>
        </w:rPr>
      </w:pPr>
    </w:p>
    <w:p w:rsidR="00A66200" w:rsidRPr="00A66200" w:rsidRDefault="00A66200" w:rsidP="00A66200">
      <w:pPr>
        <w:rPr>
          <w:color w:val="auto"/>
        </w:rPr>
      </w:pPr>
    </w:p>
    <w:p w:rsidR="00A66200" w:rsidRPr="00A66200" w:rsidRDefault="00A66200" w:rsidP="00A66200">
      <w:pPr>
        <w:rPr>
          <w:color w:val="auto"/>
        </w:rPr>
      </w:pPr>
      <w:r w:rsidRPr="00A66200">
        <w:rPr>
          <w:color w:val="auto"/>
        </w:rPr>
        <w:tab/>
      </w:r>
      <w:r w:rsidRPr="00A66200">
        <w:rPr>
          <w:color w:val="auto"/>
        </w:rPr>
        <w:tab/>
      </w:r>
      <w:r w:rsidRPr="00A66200">
        <w:rPr>
          <w:color w:val="auto"/>
        </w:rPr>
        <w:tab/>
      </w:r>
      <w:r w:rsidRPr="00A66200">
        <w:rPr>
          <w:color w:val="auto"/>
        </w:rPr>
        <w:tab/>
      </w:r>
      <w:r w:rsidRPr="00A66200">
        <w:rPr>
          <w:color w:val="auto"/>
        </w:rPr>
        <w:tab/>
      </w:r>
      <w:r w:rsidRPr="00A66200">
        <w:rPr>
          <w:color w:val="auto"/>
        </w:rPr>
        <w:tab/>
        <w:t xml:space="preserve">      Principal Deputy</w:t>
      </w:r>
    </w:p>
    <w:p w:rsidR="00A66200" w:rsidRPr="00A66200" w:rsidRDefault="00A66200" w:rsidP="00A66200">
      <w:pPr>
        <w:rPr>
          <w:color w:val="auto"/>
        </w:rPr>
      </w:pPr>
      <w:r w:rsidRPr="00A66200">
        <w:rPr>
          <w:color w:val="auto"/>
        </w:rPr>
        <w:tab/>
      </w:r>
      <w:r w:rsidRPr="00A66200">
        <w:rPr>
          <w:color w:val="auto"/>
        </w:rPr>
        <w:tab/>
      </w:r>
      <w:r w:rsidRPr="00A66200">
        <w:rPr>
          <w:color w:val="auto"/>
        </w:rPr>
        <w:tab/>
      </w:r>
      <w:r w:rsidRPr="00A66200">
        <w:rPr>
          <w:color w:val="auto"/>
        </w:rPr>
        <w:tab/>
      </w:r>
      <w:r w:rsidRPr="00A66200">
        <w:rPr>
          <w:color w:val="auto"/>
        </w:rPr>
        <w:tab/>
      </w:r>
      <w:r w:rsidRPr="00A66200">
        <w:rPr>
          <w:color w:val="auto"/>
        </w:rPr>
        <w:tab/>
        <w:t xml:space="preserve">      Assistant Secretary of the Navy</w:t>
      </w:r>
    </w:p>
    <w:p w:rsidR="00A66200" w:rsidRPr="00A66200" w:rsidRDefault="00A66200" w:rsidP="00A66200">
      <w:pPr>
        <w:rPr>
          <w:color w:val="auto"/>
        </w:rPr>
      </w:pPr>
      <w:r w:rsidRPr="00A66200">
        <w:rPr>
          <w:color w:val="auto"/>
        </w:rPr>
        <w:tab/>
      </w:r>
      <w:r w:rsidRPr="00A66200">
        <w:rPr>
          <w:color w:val="auto"/>
        </w:rPr>
        <w:tab/>
      </w:r>
      <w:r w:rsidRPr="00A66200">
        <w:rPr>
          <w:color w:val="auto"/>
        </w:rPr>
        <w:tab/>
      </w:r>
      <w:r w:rsidRPr="00A66200">
        <w:rPr>
          <w:color w:val="auto"/>
        </w:rPr>
        <w:tab/>
      </w:r>
      <w:r w:rsidRPr="00A66200">
        <w:rPr>
          <w:color w:val="auto"/>
        </w:rPr>
        <w:tab/>
      </w:r>
      <w:r w:rsidRPr="00A66200">
        <w:rPr>
          <w:color w:val="auto"/>
        </w:rPr>
        <w:tab/>
        <w:t xml:space="preserve">        (Manpower &amp; Reserve Affairs)</w:t>
      </w:r>
    </w:p>
    <w:p w:rsidR="00A66200" w:rsidRDefault="00A66200" w:rsidP="00A66200"/>
    <w:p w:rsidR="00A66200" w:rsidRPr="004D6159" w:rsidRDefault="00A66200" w:rsidP="00E622B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66200" w:rsidRPr="004D6159" w:rsidSect="005000AB">
      <w:headerReference w:type="default" r:id="rId7"/>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E7" w:rsidRDefault="00E15BE7">
      <w:r>
        <w:separator/>
      </w:r>
    </w:p>
  </w:endnote>
  <w:endnote w:type="continuationSeparator" w:id="0">
    <w:p w:rsidR="00E15BE7" w:rsidRDefault="00E15BE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Janson Tex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F1" w:rsidRDefault="006B2575">
    <w:pPr>
      <w:pStyle w:val="Footer"/>
      <w:framePr w:wrap="around" w:vAnchor="text" w:hAnchor="margin" w:xAlign="center" w:y="1"/>
      <w:rPr>
        <w:rStyle w:val="PageNumber"/>
      </w:rPr>
    </w:pPr>
    <w:r>
      <w:rPr>
        <w:rStyle w:val="PageNumber"/>
      </w:rPr>
      <w:fldChar w:fldCharType="begin"/>
    </w:r>
    <w:r w:rsidR="00E266F1">
      <w:rPr>
        <w:rStyle w:val="PageNumber"/>
      </w:rPr>
      <w:instrText xml:space="preserve">PAGE  </w:instrText>
    </w:r>
    <w:r>
      <w:rPr>
        <w:rStyle w:val="PageNumber"/>
      </w:rPr>
      <w:fldChar w:fldCharType="separate"/>
    </w:r>
    <w:r w:rsidR="00E266F1">
      <w:rPr>
        <w:rStyle w:val="PageNumber"/>
        <w:noProof/>
      </w:rPr>
      <w:t>2</w:t>
    </w:r>
    <w:r>
      <w:rPr>
        <w:rStyle w:val="PageNumber"/>
      </w:rPr>
      <w:fldChar w:fldCharType="end"/>
    </w:r>
  </w:p>
  <w:p w:rsidR="00E266F1" w:rsidRDefault="00E266F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F1" w:rsidRPr="00AC713F" w:rsidRDefault="006B257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E266F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66200">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E266F1" w:rsidRPr="00ED0863" w:rsidRDefault="00E266F1" w:rsidP="002B0749">
    <w:pPr>
      <w:pStyle w:val="Footer"/>
      <w:jc w:val="right"/>
      <w:rPr>
        <w:rFonts w:asciiTheme="minorHAnsi" w:hAnsiTheme="minorHAnsi"/>
        <w:color w:val="auto"/>
      </w:rPr>
    </w:pPr>
    <w:r>
      <w:tab/>
    </w:r>
    <w:r>
      <w:tab/>
    </w:r>
    <w:r w:rsidRPr="00ED0863">
      <w:rPr>
        <w:rFonts w:asciiTheme="minorHAnsi" w:hAnsiTheme="minorHAnsi"/>
        <w:caps/>
        <w:color w:val="auto"/>
      </w:rPr>
      <w:t>PD200900579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E7" w:rsidRDefault="00E15BE7">
      <w:r>
        <w:separator/>
      </w:r>
    </w:p>
  </w:footnote>
  <w:footnote w:type="continuationSeparator" w:id="0">
    <w:p w:rsidR="00E15BE7" w:rsidRDefault="00E15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F1" w:rsidRDefault="00E266F1">
    <w:pPr>
      <w:pStyle w:val="Header"/>
    </w:pPr>
  </w:p>
  <w:p w:rsidR="00E266F1" w:rsidRDefault="00E266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2594"/>
  </w:hdrShapeDefaults>
  <w:footnotePr>
    <w:numRestart w:val="eachSect"/>
    <w:footnote w:id="-1"/>
    <w:footnote w:id="0"/>
  </w:footnotePr>
  <w:endnotePr>
    <w:endnote w:id="-1"/>
    <w:endnote w:id="0"/>
  </w:endnotePr>
  <w:compat/>
  <w:rsids>
    <w:rsidRoot w:val="001C28D1"/>
    <w:rsid w:val="00001F44"/>
    <w:rsid w:val="000059FA"/>
    <w:rsid w:val="00006971"/>
    <w:rsid w:val="00006F87"/>
    <w:rsid w:val="00010ABA"/>
    <w:rsid w:val="00011171"/>
    <w:rsid w:val="00012428"/>
    <w:rsid w:val="00013417"/>
    <w:rsid w:val="000145C2"/>
    <w:rsid w:val="0001473F"/>
    <w:rsid w:val="00014A9E"/>
    <w:rsid w:val="00021361"/>
    <w:rsid w:val="00023913"/>
    <w:rsid w:val="00023D43"/>
    <w:rsid w:val="000251A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3F1A"/>
    <w:rsid w:val="00063F5F"/>
    <w:rsid w:val="0006431E"/>
    <w:rsid w:val="00067DAE"/>
    <w:rsid w:val="00072433"/>
    <w:rsid w:val="00075702"/>
    <w:rsid w:val="0007625B"/>
    <w:rsid w:val="000775C2"/>
    <w:rsid w:val="00077AC1"/>
    <w:rsid w:val="000806AD"/>
    <w:rsid w:val="00082482"/>
    <w:rsid w:val="00085744"/>
    <w:rsid w:val="0008708B"/>
    <w:rsid w:val="000876A1"/>
    <w:rsid w:val="00092619"/>
    <w:rsid w:val="00092C66"/>
    <w:rsid w:val="000933C1"/>
    <w:rsid w:val="00094E4F"/>
    <w:rsid w:val="000A2BCE"/>
    <w:rsid w:val="000A41E3"/>
    <w:rsid w:val="000A4BBA"/>
    <w:rsid w:val="000A5071"/>
    <w:rsid w:val="000B30D0"/>
    <w:rsid w:val="000B4C99"/>
    <w:rsid w:val="000C06F6"/>
    <w:rsid w:val="000C1D34"/>
    <w:rsid w:val="000C2362"/>
    <w:rsid w:val="000C3C13"/>
    <w:rsid w:val="000C53F9"/>
    <w:rsid w:val="000C5813"/>
    <w:rsid w:val="000C75CF"/>
    <w:rsid w:val="000C7BB1"/>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42EBA"/>
    <w:rsid w:val="00143B79"/>
    <w:rsid w:val="00150B8A"/>
    <w:rsid w:val="00150DCB"/>
    <w:rsid w:val="00151912"/>
    <w:rsid w:val="0015331C"/>
    <w:rsid w:val="00153740"/>
    <w:rsid w:val="001541C5"/>
    <w:rsid w:val="0015623F"/>
    <w:rsid w:val="00156585"/>
    <w:rsid w:val="00156BA9"/>
    <w:rsid w:val="00161761"/>
    <w:rsid w:val="00165E3D"/>
    <w:rsid w:val="00166182"/>
    <w:rsid w:val="00171481"/>
    <w:rsid w:val="001744C9"/>
    <w:rsid w:val="001745DD"/>
    <w:rsid w:val="001772F4"/>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6156"/>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4B8A"/>
    <w:rsid w:val="002060B6"/>
    <w:rsid w:val="002066B5"/>
    <w:rsid w:val="00210C1B"/>
    <w:rsid w:val="0021315A"/>
    <w:rsid w:val="00215ED6"/>
    <w:rsid w:val="00216049"/>
    <w:rsid w:val="00217606"/>
    <w:rsid w:val="00217C09"/>
    <w:rsid w:val="00220F5C"/>
    <w:rsid w:val="00225196"/>
    <w:rsid w:val="00225CB4"/>
    <w:rsid w:val="0022737E"/>
    <w:rsid w:val="0023049F"/>
    <w:rsid w:val="002316F6"/>
    <w:rsid w:val="00232C9B"/>
    <w:rsid w:val="00232F09"/>
    <w:rsid w:val="002335D5"/>
    <w:rsid w:val="002338CA"/>
    <w:rsid w:val="00233CAA"/>
    <w:rsid w:val="00233FE5"/>
    <w:rsid w:val="00234B3B"/>
    <w:rsid w:val="002403B7"/>
    <w:rsid w:val="0024174E"/>
    <w:rsid w:val="0024227D"/>
    <w:rsid w:val="00242D14"/>
    <w:rsid w:val="00246860"/>
    <w:rsid w:val="00246DFF"/>
    <w:rsid w:val="00246E89"/>
    <w:rsid w:val="0025183C"/>
    <w:rsid w:val="002528EC"/>
    <w:rsid w:val="00255049"/>
    <w:rsid w:val="00257DE5"/>
    <w:rsid w:val="00260531"/>
    <w:rsid w:val="0026318D"/>
    <w:rsid w:val="00266F9A"/>
    <w:rsid w:val="00270864"/>
    <w:rsid w:val="002712F7"/>
    <w:rsid w:val="002713BB"/>
    <w:rsid w:val="0027159C"/>
    <w:rsid w:val="00274549"/>
    <w:rsid w:val="00274E46"/>
    <w:rsid w:val="00275C8D"/>
    <w:rsid w:val="00276C86"/>
    <w:rsid w:val="002810A4"/>
    <w:rsid w:val="00284A26"/>
    <w:rsid w:val="00287006"/>
    <w:rsid w:val="00294437"/>
    <w:rsid w:val="00295CF6"/>
    <w:rsid w:val="002A3237"/>
    <w:rsid w:val="002A58B7"/>
    <w:rsid w:val="002A685E"/>
    <w:rsid w:val="002A6E77"/>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2D9B"/>
    <w:rsid w:val="00303612"/>
    <w:rsid w:val="0030678B"/>
    <w:rsid w:val="00310CD7"/>
    <w:rsid w:val="0032136A"/>
    <w:rsid w:val="00323E70"/>
    <w:rsid w:val="00325756"/>
    <w:rsid w:val="00325BA2"/>
    <w:rsid w:val="00326F7F"/>
    <w:rsid w:val="00331FF5"/>
    <w:rsid w:val="003320E8"/>
    <w:rsid w:val="0033555E"/>
    <w:rsid w:val="00336805"/>
    <w:rsid w:val="00337351"/>
    <w:rsid w:val="00341A54"/>
    <w:rsid w:val="0034669F"/>
    <w:rsid w:val="00351498"/>
    <w:rsid w:val="00352B22"/>
    <w:rsid w:val="00354547"/>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3C65"/>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6068"/>
    <w:rsid w:val="003D2BA3"/>
    <w:rsid w:val="003D2EE4"/>
    <w:rsid w:val="003D3C22"/>
    <w:rsid w:val="003D7089"/>
    <w:rsid w:val="003D7DDB"/>
    <w:rsid w:val="003E02C7"/>
    <w:rsid w:val="003E0543"/>
    <w:rsid w:val="003E0B5A"/>
    <w:rsid w:val="003E31E3"/>
    <w:rsid w:val="003E46BC"/>
    <w:rsid w:val="003E46D1"/>
    <w:rsid w:val="003F58B0"/>
    <w:rsid w:val="004000CE"/>
    <w:rsid w:val="004007E9"/>
    <w:rsid w:val="00401825"/>
    <w:rsid w:val="00401BBC"/>
    <w:rsid w:val="004025EC"/>
    <w:rsid w:val="00402F18"/>
    <w:rsid w:val="00403BFB"/>
    <w:rsid w:val="00404B45"/>
    <w:rsid w:val="00406CC5"/>
    <w:rsid w:val="004074A4"/>
    <w:rsid w:val="00407F18"/>
    <w:rsid w:val="004101B2"/>
    <w:rsid w:val="004123D7"/>
    <w:rsid w:val="00412658"/>
    <w:rsid w:val="004172DB"/>
    <w:rsid w:val="00421485"/>
    <w:rsid w:val="00422B75"/>
    <w:rsid w:val="00424779"/>
    <w:rsid w:val="004248AC"/>
    <w:rsid w:val="00433F36"/>
    <w:rsid w:val="0043503A"/>
    <w:rsid w:val="0044384F"/>
    <w:rsid w:val="00444F80"/>
    <w:rsid w:val="00446018"/>
    <w:rsid w:val="004543BC"/>
    <w:rsid w:val="0045645D"/>
    <w:rsid w:val="004574C6"/>
    <w:rsid w:val="00457BCF"/>
    <w:rsid w:val="00457DCE"/>
    <w:rsid w:val="00460E3F"/>
    <w:rsid w:val="00462320"/>
    <w:rsid w:val="00466CED"/>
    <w:rsid w:val="00467592"/>
    <w:rsid w:val="00467690"/>
    <w:rsid w:val="004718E7"/>
    <w:rsid w:val="00472535"/>
    <w:rsid w:val="004761CC"/>
    <w:rsid w:val="00480D4A"/>
    <w:rsid w:val="0048170B"/>
    <w:rsid w:val="00481DA1"/>
    <w:rsid w:val="00483CA0"/>
    <w:rsid w:val="00486E7B"/>
    <w:rsid w:val="00490F81"/>
    <w:rsid w:val="0049255F"/>
    <w:rsid w:val="0049445D"/>
    <w:rsid w:val="00495350"/>
    <w:rsid w:val="00496CF6"/>
    <w:rsid w:val="00497156"/>
    <w:rsid w:val="004A24D2"/>
    <w:rsid w:val="004A3214"/>
    <w:rsid w:val="004A4136"/>
    <w:rsid w:val="004A417B"/>
    <w:rsid w:val="004B03F3"/>
    <w:rsid w:val="004B2536"/>
    <w:rsid w:val="004B6AF3"/>
    <w:rsid w:val="004B715E"/>
    <w:rsid w:val="004B7169"/>
    <w:rsid w:val="004B79C9"/>
    <w:rsid w:val="004C1F41"/>
    <w:rsid w:val="004C5E33"/>
    <w:rsid w:val="004C6CDA"/>
    <w:rsid w:val="004D10D4"/>
    <w:rsid w:val="004D16BD"/>
    <w:rsid w:val="004D2AAB"/>
    <w:rsid w:val="004D6159"/>
    <w:rsid w:val="004D6F2B"/>
    <w:rsid w:val="004E0248"/>
    <w:rsid w:val="004E21A3"/>
    <w:rsid w:val="004E32EA"/>
    <w:rsid w:val="004E6866"/>
    <w:rsid w:val="004E7719"/>
    <w:rsid w:val="004F3222"/>
    <w:rsid w:val="004F3BFA"/>
    <w:rsid w:val="005000AB"/>
    <w:rsid w:val="005014DE"/>
    <w:rsid w:val="005025EE"/>
    <w:rsid w:val="00506FEB"/>
    <w:rsid w:val="00510588"/>
    <w:rsid w:val="00510C65"/>
    <w:rsid w:val="0051146C"/>
    <w:rsid w:val="005127EA"/>
    <w:rsid w:val="00514449"/>
    <w:rsid w:val="005222E7"/>
    <w:rsid w:val="00523A8B"/>
    <w:rsid w:val="00523E04"/>
    <w:rsid w:val="005243A0"/>
    <w:rsid w:val="0052590B"/>
    <w:rsid w:val="00526591"/>
    <w:rsid w:val="00527178"/>
    <w:rsid w:val="005278CB"/>
    <w:rsid w:val="00531384"/>
    <w:rsid w:val="00531597"/>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66010"/>
    <w:rsid w:val="0056707E"/>
    <w:rsid w:val="005709F7"/>
    <w:rsid w:val="005710A9"/>
    <w:rsid w:val="005711D6"/>
    <w:rsid w:val="00571D1B"/>
    <w:rsid w:val="00575E77"/>
    <w:rsid w:val="00584229"/>
    <w:rsid w:val="00593043"/>
    <w:rsid w:val="00595BF0"/>
    <w:rsid w:val="005A1846"/>
    <w:rsid w:val="005A1AAE"/>
    <w:rsid w:val="005A258C"/>
    <w:rsid w:val="005A3560"/>
    <w:rsid w:val="005A6C99"/>
    <w:rsid w:val="005A7D5D"/>
    <w:rsid w:val="005B011A"/>
    <w:rsid w:val="005B14FC"/>
    <w:rsid w:val="005B1D8F"/>
    <w:rsid w:val="005B1E94"/>
    <w:rsid w:val="005B3068"/>
    <w:rsid w:val="005B5B3D"/>
    <w:rsid w:val="005B7916"/>
    <w:rsid w:val="005B7F53"/>
    <w:rsid w:val="005C0361"/>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1A3B"/>
    <w:rsid w:val="00613E26"/>
    <w:rsid w:val="00615641"/>
    <w:rsid w:val="00616959"/>
    <w:rsid w:val="006211D0"/>
    <w:rsid w:val="00624D0C"/>
    <w:rsid w:val="006307BA"/>
    <w:rsid w:val="006315BA"/>
    <w:rsid w:val="00634C4A"/>
    <w:rsid w:val="0063532E"/>
    <w:rsid w:val="006361FA"/>
    <w:rsid w:val="00637BDC"/>
    <w:rsid w:val="006418C9"/>
    <w:rsid w:val="00642BD6"/>
    <w:rsid w:val="00645046"/>
    <w:rsid w:val="0064527A"/>
    <w:rsid w:val="00645EA2"/>
    <w:rsid w:val="00646253"/>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2575"/>
    <w:rsid w:val="006B3923"/>
    <w:rsid w:val="006B3F3E"/>
    <w:rsid w:val="006B5923"/>
    <w:rsid w:val="006B67D9"/>
    <w:rsid w:val="006B6C14"/>
    <w:rsid w:val="006B715E"/>
    <w:rsid w:val="006C0864"/>
    <w:rsid w:val="006C1D6E"/>
    <w:rsid w:val="006C232B"/>
    <w:rsid w:val="006C3A68"/>
    <w:rsid w:val="006C6AB1"/>
    <w:rsid w:val="006D2D39"/>
    <w:rsid w:val="006D4E0E"/>
    <w:rsid w:val="006D5CE2"/>
    <w:rsid w:val="006E06D1"/>
    <w:rsid w:val="006E1313"/>
    <w:rsid w:val="006E2DC8"/>
    <w:rsid w:val="006E508E"/>
    <w:rsid w:val="006E7356"/>
    <w:rsid w:val="006E77C8"/>
    <w:rsid w:val="006F149D"/>
    <w:rsid w:val="006F1A46"/>
    <w:rsid w:val="006F4396"/>
    <w:rsid w:val="006F5A4E"/>
    <w:rsid w:val="006F5E9B"/>
    <w:rsid w:val="00703B6C"/>
    <w:rsid w:val="00705C40"/>
    <w:rsid w:val="00706482"/>
    <w:rsid w:val="00706BEF"/>
    <w:rsid w:val="007116BC"/>
    <w:rsid w:val="007155F9"/>
    <w:rsid w:val="007165CE"/>
    <w:rsid w:val="00720968"/>
    <w:rsid w:val="00721D12"/>
    <w:rsid w:val="00721F8B"/>
    <w:rsid w:val="007237CE"/>
    <w:rsid w:val="00724688"/>
    <w:rsid w:val="0073062D"/>
    <w:rsid w:val="0073254D"/>
    <w:rsid w:val="00736A49"/>
    <w:rsid w:val="00740D9C"/>
    <w:rsid w:val="00743B71"/>
    <w:rsid w:val="00743C2D"/>
    <w:rsid w:val="00743E36"/>
    <w:rsid w:val="007446F7"/>
    <w:rsid w:val="00744EBB"/>
    <w:rsid w:val="00745B0A"/>
    <w:rsid w:val="007468AC"/>
    <w:rsid w:val="00746AE2"/>
    <w:rsid w:val="00750C82"/>
    <w:rsid w:val="0076100C"/>
    <w:rsid w:val="007651ED"/>
    <w:rsid w:val="00766C87"/>
    <w:rsid w:val="007779DA"/>
    <w:rsid w:val="00781BD4"/>
    <w:rsid w:val="00781E20"/>
    <w:rsid w:val="00784832"/>
    <w:rsid w:val="00785D77"/>
    <w:rsid w:val="00786111"/>
    <w:rsid w:val="00791F1E"/>
    <w:rsid w:val="00794F3D"/>
    <w:rsid w:val="00796045"/>
    <w:rsid w:val="007968AC"/>
    <w:rsid w:val="007969AB"/>
    <w:rsid w:val="007A0B39"/>
    <w:rsid w:val="007A14A4"/>
    <w:rsid w:val="007A168F"/>
    <w:rsid w:val="007A28E4"/>
    <w:rsid w:val="007A3BB3"/>
    <w:rsid w:val="007A50E2"/>
    <w:rsid w:val="007A5AD1"/>
    <w:rsid w:val="007A5B7B"/>
    <w:rsid w:val="007A6B74"/>
    <w:rsid w:val="007B0A06"/>
    <w:rsid w:val="007B5C5C"/>
    <w:rsid w:val="007B7B37"/>
    <w:rsid w:val="007B7C41"/>
    <w:rsid w:val="007C433E"/>
    <w:rsid w:val="007C4452"/>
    <w:rsid w:val="007C477A"/>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3850"/>
    <w:rsid w:val="00804385"/>
    <w:rsid w:val="00805AFD"/>
    <w:rsid w:val="00805CB8"/>
    <w:rsid w:val="008078D8"/>
    <w:rsid w:val="00811D5B"/>
    <w:rsid w:val="00817713"/>
    <w:rsid w:val="008220F1"/>
    <w:rsid w:val="00822B6C"/>
    <w:rsid w:val="0082340B"/>
    <w:rsid w:val="00827DB6"/>
    <w:rsid w:val="008304B2"/>
    <w:rsid w:val="00830999"/>
    <w:rsid w:val="00830D5E"/>
    <w:rsid w:val="00830F69"/>
    <w:rsid w:val="00832555"/>
    <w:rsid w:val="00833418"/>
    <w:rsid w:val="00834458"/>
    <w:rsid w:val="00835841"/>
    <w:rsid w:val="00837465"/>
    <w:rsid w:val="00841243"/>
    <w:rsid w:val="00841457"/>
    <w:rsid w:val="0084374E"/>
    <w:rsid w:val="00844842"/>
    <w:rsid w:val="00844DD0"/>
    <w:rsid w:val="00850374"/>
    <w:rsid w:val="0085089F"/>
    <w:rsid w:val="0085206E"/>
    <w:rsid w:val="008520C3"/>
    <w:rsid w:val="00852AD4"/>
    <w:rsid w:val="00852BA8"/>
    <w:rsid w:val="00853718"/>
    <w:rsid w:val="008541EF"/>
    <w:rsid w:val="00856AC7"/>
    <w:rsid w:val="00856DE0"/>
    <w:rsid w:val="00856FA4"/>
    <w:rsid w:val="0086162B"/>
    <w:rsid w:val="00861D5C"/>
    <w:rsid w:val="008649C3"/>
    <w:rsid w:val="00865207"/>
    <w:rsid w:val="008656A7"/>
    <w:rsid w:val="00871262"/>
    <w:rsid w:val="00871D4E"/>
    <w:rsid w:val="00871E7B"/>
    <w:rsid w:val="00875B51"/>
    <w:rsid w:val="00875F2D"/>
    <w:rsid w:val="008764DC"/>
    <w:rsid w:val="00882CC2"/>
    <w:rsid w:val="00883930"/>
    <w:rsid w:val="00883A1C"/>
    <w:rsid w:val="00896535"/>
    <w:rsid w:val="00896683"/>
    <w:rsid w:val="00897589"/>
    <w:rsid w:val="008A63A9"/>
    <w:rsid w:val="008A65A5"/>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744D"/>
    <w:rsid w:val="008F1E08"/>
    <w:rsid w:val="00900D8F"/>
    <w:rsid w:val="009014E3"/>
    <w:rsid w:val="009026E8"/>
    <w:rsid w:val="00902968"/>
    <w:rsid w:val="00906EB7"/>
    <w:rsid w:val="009079A5"/>
    <w:rsid w:val="009102BF"/>
    <w:rsid w:val="009115F2"/>
    <w:rsid w:val="00914ADB"/>
    <w:rsid w:val="00923B25"/>
    <w:rsid w:val="0092402E"/>
    <w:rsid w:val="009259BA"/>
    <w:rsid w:val="00926FCB"/>
    <w:rsid w:val="00931D2C"/>
    <w:rsid w:val="0093211D"/>
    <w:rsid w:val="0093311A"/>
    <w:rsid w:val="00933FF0"/>
    <w:rsid w:val="00940DDE"/>
    <w:rsid w:val="00942645"/>
    <w:rsid w:val="00950A3A"/>
    <w:rsid w:val="0095340A"/>
    <w:rsid w:val="00954581"/>
    <w:rsid w:val="0095466C"/>
    <w:rsid w:val="00954E5B"/>
    <w:rsid w:val="009576BC"/>
    <w:rsid w:val="00960357"/>
    <w:rsid w:val="0096168C"/>
    <w:rsid w:val="00961840"/>
    <w:rsid w:val="00962F2D"/>
    <w:rsid w:val="009672CD"/>
    <w:rsid w:val="00972996"/>
    <w:rsid w:val="00972ED1"/>
    <w:rsid w:val="009732B8"/>
    <w:rsid w:val="00975C72"/>
    <w:rsid w:val="00976869"/>
    <w:rsid w:val="00977740"/>
    <w:rsid w:val="00977CB4"/>
    <w:rsid w:val="009809B8"/>
    <w:rsid w:val="0098222D"/>
    <w:rsid w:val="009842F0"/>
    <w:rsid w:val="00985099"/>
    <w:rsid w:val="0099421F"/>
    <w:rsid w:val="009A0DE3"/>
    <w:rsid w:val="009A1643"/>
    <w:rsid w:val="009A215A"/>
    <w:rsid w:val="009A4F1B"/>
    <w:rsid w:val="009A66C5"/>
    <w:rsid w:val="009A68A9"/>
    <w:rsid w:val="009A79BA"/>
    <w:rsid w:val="009B04E4"/>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E7CB2"/>
    <w:rsid w:val="009F7809"/>
    <w:rsid w:val="009F7AF5"/>
    <w:rsid w:val="00A00158"/>
    <w:rsid w:val="00A00D14"/>
    <w:rsid w:val="00A01408"/>
    <w:rsid w:val="00A02457"/>
    <w:rsid w:val="00A03190"/>
    <w:rsid w:val="00A0404B"/>
    <w:rsid w:val="00A0798C"/>
    <w:rsid w:val="00A07BDD"/>
    <w:rsid w:val="00A1105B"/>
    <w:rsid w:val="00A11181"/>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222"/>
    <w:rsid w:val="00A54A47"/>
    <w:rsid w:val="00A56D26"/>
    <w:rsid w:val="00A571A7"/>
    <w:rsid w:val="00A608FB"/>
    <w:rsid w:val="00A60D83"/>
    <w:rsid w:val="00A60F68"/>
    <w:rsid w:val="00A63DF3"/>
    <w:rsid w:val="00A640C1"/>
    <w:rsid w:val="00A65C78"/>
    <w:rsid w:val="00A660A8"/>
    <w:rsid w:val="00A66200"/>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B6628"/>
    <w:rsid w:val="00AC36EB"/>
    <w:rsid w:val="00AC38DB"/>
    <w:rsid w:val="00AC439D"/>
    <w:rsid w:val="00AC6333"/>
    <w:rsid w:val="00AC655A"/>
    <w:rsid w:val="00AC713F"/>
    <w:rsid w:val="00AD067E"/>
    <w:rsid w:val="00AD2801"/>
    <w:rsid w:val="00AD6160"/>
    <w:rsid w:val="00AD6870"/>
    <w:rsid w:val="00AD68C5"/>
    <w:rsid w:val="00AD7937"/>
    <w:rsid w:val="00AE1273"/>
    <w:rsid w:val="00AE2D29"/>
    <w:rsid w:val="00AE4624"/>
    <w:rsid w:val="00AE5E14"/>
    <w:rsid w:val="00AE6115"/>
    <w:rsid w:val="00AE625B"/>
    <w:rsid w:val="00AF1668"/>
    <w:rsid w:val="00AF4FA5"/>
    <w:rsid w:val="00B0014C"/>
    <w:rsid w:val="00B0168B"/>
    <w:rsid w:val="00B07955"/>
    <w:rsid w:val="00B14FAA"/>
    <w:rsid w:val="00B15D30"/>
    <w:rsid w:val="00B20624"/>
    <w:rsid w:val="00B2129D"/>
    <w:rsid w:val="00B23436"/>
    <w:rsid w:val="00B255D3"/>
    <w:rsid w:val="00B26354"/>
    <w:rsid w:val="00B26CA0"/>
    <w:rsid w:val="00B32179"/>
    <w:rsid w:val="00B331A9"/>
    <w:rsid w:val="00B35283"/>
    <w:rsid w:val="00B36569"/>
    <w:rsid w:val="00B40A05"/>
    <w:rsid w:val="00B40A3E"/>
    <w:rsid w:val="00B41B8C"/>
    <w:rsid w:val="00B46AD1"/>
    <w:rsid w:val="00B50227"/>
    <w:rsid w:val="00B50510"/>
    <w:rsid w:val="00B522CD"/>
    <w:rsid w:val="00B54416"/>
    <w:rsid w:val="00B55143"/>
    <w:rsid w:val="00B55917"/>
    <w:rsid w:val="00B643A6"/>
    <w:rsid w:val="00B64DD6"/>
    <w:rsid w:val="00B6710C"/>
    <w:rsid w:val="00B72076"/>
    <w:rsid w:val="00B72303"/>
    <w:rsid w:val="00B80B01"/>
    <w:rsid w:val="00B82277"/>
    <w:rsid w:val="00B91676"/>
    <w:rsid w:val="00B91FCB"/>
    <w:rsid w:val="00B95010"/>
    <w:rsid w:val="00B95833"/>
    <w:rsid w:val="00BA1824"/>
    <w:rsid w:val="00BA2D98"/>
    <w:rsid w:val="00BA30D1"/>
    <w:rsid w:val="00BA4609"/>
    <w:rsid w:val="00BA5BE2"/>
    <w:rsid w:val="00BA7F46"/>
    <w:rsid w:val="00BB0A0A"/>
    <w:rsid w:val="00BB4412"/>
    <w:rsid w:val="00BB45B5"/>
    <w:rsid w:val="00BB6064"/>
    <w:rsid w:val="00BC09D1"/>
    <w:rsid w:val="00BC1CF3"/>
    <w:rsid w:val="00BC7F82"/>
    <w:rsid w:val="00BD0563"/>
    <w:rsid w:val="00BD40AB"/>
    <w:rsid w:val="00BD6297"/>
    <w:rsid w:val="00BD6806"/>
    <w:rsid w:val="00BD7433"/>
    <w:rsid w:val="00BD7831"/>
    <w:rsid w:val="00BD7C10"/>
    <w:rsid w:val="00BE046F"/>
    <w:rsid w:val="00BE0DEB"/>
    <w:rsid w:val="00BE2FC1"/>
    <w:rsid w:val="00BE6365"/>
    <w:rsid w:val="00BF08D6"/>
    <w:rsid w:val="00BF0B7F"/>
    <w:rsid w:val="00BF4720"/>
    <w:rsid w:val="00BF7B63"/>
    <w:rsid w:val="00C021D1"/>
    <w:rsid w:val="00C038EC"/>
    <w:rsid w:val="00C05C6D"/>
    <w:rsid w:val="00C1122B"/>
    <w:rsid w:val="00C13034"/>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3792"/>
    <w:rsid w:val="00C74D3A"/>
    <w:rsid w:val="00C80511"/>
    <w:rsid w:val="00C826F5"/>
    <w:rsid w:val="00C83740"/>
    <w:rsid w:val="00C84AD1"/>
    <w:rsid w:val="00C85579"/>
    <w:rsid w:val="00C863E5"/>
    <w:rsid w:val="00C86AA7"/>
    <w:rsid w:val="00C931FC"/>
    <w:rsid w:val="00C932C5"/>
    <w:rsid w:val="00C9650E"/>
    <w:rsid w:val="00CA068D"/>
    <w:rsid w:val="00CA1228"/>
    <w:rsid w:val="00CA282D"/>
    <w:rsid w:val="00CA4670"/>
    <w:rsid w:val="00CA6749"/>
    <w:rsid w:val="00CA6B1A"/>
    <w:rsid w:val="00CB05FD"/>
    <w:rsid w:val="00CB20DC"/>
    <w:rsid w:val="00CB23DC"/>
    <w:rsid w:val="00CB2487"/>
    <w:rsid w:val="00CB28E2"/>
    <w:rsid w:val="00CB7A3E"/>
    <w:rsid w:val="00CB7FF7"/>
    <w:rsid w:val="00CC0D0E"/>
    <w:rsid w:val="00CC19B3"/>
    <w:rsid w:val="00CC2044"/>
    <w:rsid w:val="00CC39D2"/>
    <w:rsid w:val="00CC49ED"/>
    <w:rsid w:val="00CC69EC"/>
    <w:rsid w:val="00CC6E3A"/>
    <w:rsid w:val="00CD15BE"/>
    <w:rsid w:val="00CD1EF2"/>
    <w:rsid w:val="00CD32BD"/>
    <w:rsid w:val="00CD34C7"/>
    <w:rsid w:val="00CD5653"/>
    <w:rsid w:val="00CD5E6D"/>
    <w:rsid w:val="00CD63C8"/>
    <w:rsid w:val="00CF158D"/>
    <w:rsid w:val="00CF4394"/>
    <w:rsid w:val="00D000A9"/>
    <w:rsid w:val="00D0028E"/>
    <w:rsid w:val="00D005DB"/>
    <w:rsid w:val="00D0064E"/>
    <w:rsid w:val="00D00981"/>
    <w:rsid w:val="00D0280D"/>
    <w:rsid w:val="00D07A72"/>
    <w:rsid w:val="00D10577"/>
    <w:rsid w:val="00D1323B"/>
    <w:rsid w:val="00D14BAE"/>
    <w:rsid w:val="00D1648B"/>
    <w:rsid w:val="00D16819"/>
    <w:rsid w:val="00D20AC0"/>
    <w:rsid w:val="00D2321B"/>
    <w:rsid w:val="00D23DE4"/>
    <w:rsid w:val="00D26455"/>
    <w:rsid w:val="00D26873"/>
    <w:rsid w:val="00D26AD3"/>
    <w:rsid w:val="00D31683"/>
    <w:rsid w:val="00D336C8"/>
    <w:rsid w:val="00D339E8"/>
    <w:rsid w:val="00D3662E"/>
    <w:rsid w:val="00D40B1F"/>
    <w:rsid w:val="00D40D75"/>
    <w:rsid w:val="00D414B1"/>
    <w:rsid w:val="00D449F0"/>
    <w:rsid w:val="00D451C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6D4E"/>
    <w:rsid w:val="00D87788"/>
    <w:rsid w:val="00D877C8"/>
    <w:rsid w:val="00D910C2"/>
    <w:rsid w:val="00D9168C"/>
    <w:rsid w:val="00D9189B"/>
    <w:rsid w:val="00D91DA6"/>
    <w:rsid w:val="00D9706F"/>
    <w:rsid w:val="00D972D4"/>
    <w:rsid w:val="00DA195B"/>
    <w:rsid w:val="00DA6B55"/>
    <w:rsid w:val="00DB0015"/>
    <w:rsid w:val="00DB2AAD"/>
    <w:rsid w:val="00DB6119"/>
    <w:rsid w:val="00DB626D"/>
    <w:rsid w:val="00DB6365"/>
    <w:rsid w:val="00DC0BF1"/>
    <w:rsid w:val="00DC41C3"/>
    <w:rsid w:val="00DD3593"/>
    <w:rsid w:val="00DE0C67"/>
    <w:rsid w:val="00DE6952"/>
    <w:rsid w:val="00DE7E74"/>
    <w:rsid w:val="00DF31C4"/>
    <w:rsid w:val="00DF6EF8"/>
    <w:rsid w:val="00E00A69"/>
    <w:rsid w:val="00E017F0"/>
    <w:rsid w:val="00E01A0E"/>
    <w:rsid w:val="00E041E4"/>
    <w:rsid w:val="00E05C13"/>
    <w:rsid w:val="00E05E46"/>
    <w:rsid w:val="00E1012B"/>
    <w:rsid w:val="00E103C8"/>
    <w:rsid w:val="00E1085B"/>
    <w:rsid w:val="00E12EB4"/>
    <w:rsid w:val="00E1308B"/>
    <w:rsid w:val="00E14581"/>
    <w:rsid w:val="00E15539"/>
    <w:rsid w:val="00E15BE7"/>
    <w:rsid w:val="00E16541"/>
    <w:rsid w:val="00E2212A"/>
    <w:rsid w:val="00E24B44"/>
    <w:rsid w:val="00E2536E"/>
    <w:rsid w:val="00E25B8A"/>
    <w:rsid w:val="00E2632B"/>
    <w:rsid w:val="00E266F1"/>
    <w:rsid w:val="00E322F7"/>
    <w:rsid w:val="00E3369B"/>
    <w:rsid w:val="00E36557"/>
    <w:rsid w:val="00E36D76"/>
    <w:rsid w:val="00E405EA"/>
    <w:rsid w:val="00E408B7"/>
    <w:rsid w:val="00E41637"/>
    <w:rsid w:val="00E42789"/>
    <w:rsid w:val="00E43F59"/>
    <w:rsid w:val="00E464F0"/>
    <w:rsid w:val="00E50BEB"/>
    <w:rsid w:val="00E54077"/>
    <w:rsid w:val="00E548FA"/>
    <w:rsid w:val="00E6092F"/>
    <w:rsid w:val="00E62049"/>
    <w:rsid w:val="00E622B5"/>
    <w:rsid w:val="00E629DA"/>
    <w:rsid w:val="00E6469F"/>
    <w:rsid w:val="00E67FAC"/>
    <w:rsid w:val="00E702E3"/>
    <w:rsid w:val="00E7200B"/>
    <w:rsid w:val="00E738CB"/>
    <w:rsid w:val="00E73C88"/>
    <w:rsid w:val="00E74437"/>
    <w:rsid w:val="00E7443D"/>
    <w:rsid w:val="00E76DF9"/>
    <w:rsid w:val="00E81C3E"/>
    <w:rsid w:val="00E82B6D"/>
    <w:rsid w:val="00EA1177"/>
    <w:rsid w:val="00EA118B"/>
    <w:rsid w:val="00EA11B6"/>
    <w:rsid w:val="00EA2181"/>
    <w:rsid w:val="00EA230C"/>
    <w:rsid w:val="00EA2DD8"/>
    <w:rsid w:val="00EA4475"/>
    <w:rsid w:val="00EA681F"/>
    <w:rsid w:val="00EB241F"/>
    <w:rsid w:val="00EB2BCA"/>
    <w:rsid w:val="00EB3823"/>
    <w:rsid w:val="00EB47D8"/>
    <w:rsid w:val="00EB57D3"/>
    <w:rsid w:val="00EB5EFD"/>
    <w:rsid w:val="00EB679F"/>
    <w:rsid w:val="00EB76E4"/>
    <w:rsid w:val="00EC0E65"/>
    <w:rsid w:val="00EC2938"/>
    <w:rsid w:val="00EC50C9"/>
    <w:rsid w:val="00EC58B4"/>
    <w:rsid w:val="00EC5BB2"/>
    <w:rsid w:val="00ED0863"/>
    <w:rsid w:val="00ED12F0"/>
    <w:rsid w:val="00ED3947"/>
    <w:rsid w:val="00ED4773"/>
    <w:rsid w:val="00ED664B"/>
    <w:rsid w:val="00ED6A61"/>
    <w:rsid w:val="00EE03BB"/>
    <w:rsid w:val="00EE0B44"/>
    <w:rsid w:val="00EE567D"/>
    <w:rsid w:val="00EE6FE0"/>
    <w:rsid w:val="00EE704A"/>
    <w:rsid w:val="00EE7840"/>
    <w:rsid w:val="00EF4C74"/>
    <w:rsid w:val="00EF5268"/>
    <w:rsid w:val="00EF600F"/>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271C3"/>
    <w:rsid w:val="00F3197A"/>
    <w:rsid w:val="00F32139"/>
    <w:rsid w:val="00F3342B"/>
    <w:rsid w:val="00F33D56"/>
    <w:rsid w:val="00F34E08"/>
    <w:rsid w:val="00F41D91"/>
    <w:rsid w:val="00F42363"/>
    <w:rsid w:val="00F46964"/>
    <w:rsid w:val="00F46F9A"/>
    <w:rsid w:val="00F5126A"/>
    <w:rsid w:val="00F6035A"/>
    <w:rsid w:val="00F661E2"/>
    <w:rsid w:val="00F6636A"/>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70E3"/>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2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5569018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85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53BD-1A1D-4343-9F60-798AEE26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2011-05-05T17:46:00Z</cp:lastPrinted>
  <dcterms:created xsi:type="dcterms:W3CDTF">2012-03-06T21:00:00Z</dcterms:created>
  <dcterms:modified xsi:type="dcterms:W3CDTF">2012-03-06T21:00:00Z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