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D5" w:rsidRDefault="00F169D5" w:rsidP="00F169D5">
      <w:pPr>
        <w:tabs>
          <w:tab w:val="left" w:pos="288"/>
          <w:tab w:val="left" w:pos="4752"/>
        </w:tabs>
        <w:spacing w:line="240" w:lineRule="exact"/>
        <w:jc w:val="center"/>
        <w:rPr>
          <w:rFonts w:asciiTheme="minorHAnsi" w:hAnsiTheme="minorHAnsi"/>
          <w:color w:val="auto"/>
        </w:rPr>
      </w:pPr>
      <w:r>
        <w:rPr>
          <w:rFonts w:asciiTheme="minorHAnsi" w:hAnsiTheme="minorHAnsi"/>
          <w:color w:val="auto"/>
        </w:rPr>
        <w:t>RECORD OF PROCEEDINGS</w:t>
      </w:r>
    </w:p>
    <w:p w:rsidR="00F169D5" w:rsidRDefault="00F169D5" w:rsidP="00F169D5">
      <w:pPr>
        <w:tabs>
          <w:tab w:val="left" w:pos="288"/>
          <w:tab w:val="left" w:pos="4752"/>
        </w:tabs>
        <w:spacing w:line="240" w:lineRule="exact"/>
        <w:jc w:val="center"/>
        <w:rPr>
          <w:rFonts w:asciiTheme="minorHAnsi" w:hAnsiTheme="minorHAnsi"/>
          <w:color w:val="auto"/>
        </w:rPr>
      </w:pPr>
      <w:r>
        <w:rPr>
          <w:rFonts w:asciiTheme="minorHAnsi" w:hAnsiTheme="minorHAnsi"/>
          <w:color w:val="auto"/>
        </w:rPr>
        <w:t>PHYSICAL DISABILITY BOARD OF REVIEW</w:t>
      </w:r>
    </w:p>
    <w:p w:rsidR="00F169D5" w:rsidRDefault="00F169D5" w:rsidP="00F169D5">
      <w:pPr>
        <w:tabs>
          <w:tab w:val="left" w:pos="288"/>
          <w:tab w:val="left" w:pos="4752"/>
        </w:tabs>
        <w:spacing w:line="240" w:lineRule="exact"/>
        <w:jc w:val="both"/>
        <w:rPr>
          <w:rFonts w:asciiTheme="minorHAnsi" w:hAnsiTheme="minorHAnsi"/>
          <w:caps/>
          <w:color w:val="auto"/>
        </w:rPr>
      </w:pPr>
    </w:p>
    <w:p w:rsidR="00F169D5" w:rsidRDefault="00F169D5" w:rsidP="00F169D5">
      <w:pPr>
        <w:tabs>
          <w:tab w:val="left" w:pos="288"/>
          <w:tab w:val="left" w:pos="5400"/>
        </w:tabs>
        <w:spacing w:line="240" w:lineRule="exact"/>
        <w:ind w:right="-1260"/>
        <w:jc w:val="both"/>
        <w:rPr>
          <w:rFonts w:asciiTheme="minorHAnsi" w:hAnsiTheme="minorHAnsi"/>
          <w:caps/>
          <w:color w:val="auto"/>
        </w:rPr>
      </w:pPr>
      <w:r>
        <w:rPr>
          <w:rFonts w:asciiTheme="minorHAnsi" w:hAnsiTheme="minorHAnsi"/>
          <w:caps/>
          <w:color w:val="auto"/>
        </w:rPr>
        <w:t>NAME: XXXXXXXXXXX</w:t>
      </w:r>
      <w:r>
        <w:rPr>
          <w:rFonts w:asciiTheme="minorHAnsi" w:hAnsiTheme="minorHAnsi"/>
          <w:caps/>
          <w:color w:val="auto"/>
        </w:rPr>
        <w:tab/>
        <w:t xml:space="preserve">BRANCH OF SERVICE:  marine corps </w:t>
      </w:r>
    </w:p>
    <w:p w:rsidR="00F169D5" w:rsidRDefault="00F169D5" w:rsidP="00F169D5">
      <w:pPr>
        <w:tabs>
          <w:tab w:val="left" w:pos="288"/>
          <w:tab w:val="left" w:pos="5400"/>
        </w:tabs>
        <w:spacing w:line="240" w:lineRule="exact"/>
        <w:ind w:right="-900"/>
        <w:jc w:val="both"/>
        <w:rPr>
          <w:rFonts w:asciiTheme="minorHAnsi" w:hAnsiTheme="minorHAnsi"/>
          <w:caps/>
          <w:color w:val="auto"/>
        </w:rPr>
      </w:pPr>
      <w:r>
        <w:rPr>
          <w:rFonts w:asciiTheme="minorHAnsi" w:hAnsiTheme="minorHAnsi"/>
          <w:caps/>
          <w:color w:val="auto"/>
        </w:rPr>
        <w:t>CASE NUMBER:  PD0900571</w:t>
      </w:r>
      <w:r>
        <w:rPr>
          <w:rFonts w:asciiTheme="minorHAnsi" w:hAnsiTheme="minorHAnsi"/>
          <w:caps/>
          <w:color w:val="auto"/>
        </w:rPr>
        <w:tab/>
        <w:t>SEPARATION DATE:  20020315</w:t>
      </w:r>
    </w:p>
    <w:p w:rsidR="00F169D5" w:rsidRDefault="00F169D5" w:rsidP="00F169D5">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BOARD DATE:  20101104</w:t>
      </w:r>
      <w:r>
        <w:rPr>
          <w:rFonts w:asciiTheme="minorHAnsi" w:hAnsiTheme="minorHAnsi"/>
          <w:caps/>
          <w:color w:val="auto"/>
        </w:rPr>
        <w:tab/>
      </w:r>
      <w:r>
        <w:rPr>
          <w:rFonts w:asciiTheme="minorHAnsi" w:hAnsiTheme="minorHAnsi"/>
          <w:caps/>
          <w:color w:val="auto"/>
        </w:rPr>
        <w:tab/>
      </w:r>
    </w:p>
    <w:p w:rsidR="00F169D5" w:rsidRDefault="00F169D5" w:rsidP="00F169D5">
      <w:pPr>
        <w:pBdr>
          <w:bottom w:val="single" w:sz="12" w:space="1" w:color="auto"/>
        </w:pBdr>
        <w:tabs>
          <w:tab w:val="left" w:pos="288"/>
          <w:tab w:val="left" w:pos="4752"/>
        </w:tabs>
        <w:spacing w:line="240" w:lineRule="exact"/>
        <w:jc w:val="both"/>
        <w:rPr>
          <w:color w:val="000080"/>
        </w:rPr>
      </w:pPr>
    </w:p>
    <w:p w:rsidR="00F169D5" w:rsidRDefault="00F169D5" w:rsidP="00F169D5">
      <w:pPr>
        <w:tabs>
          <w:tab w:val="left" w:pos="288"/>
          <w:tab w:val="left" w:pos="4752"/>
        </w:tabs>
        <w:spacing w:line="240" w:lineRule="exact"/>
        <w:jc w:val="both"/>
        <w:rPr>
          <w:rFonts w:ascii="Calibri" w:hAnsi="Calibri"/>
          <w:color w:val="auto"/>
          <w:u w:val="single"/>
        </w:rPr>
      </w:pPr>
    </w:p>
    <w:p w:rsidR="00F169D5" w:rsidRDefault="00F169D5" w:rsidP="00F169D5">
      <w:pPr>
        <w:tabs>
          <w:tab w:val="left" w:pos="288"/>
          <w:tab w:val="left" w:pos="4752"/>
        </w:tabs>
        <w:spacing w:line="240" w:lineRule="exact"/>
        <w:jc w:val="both"/>
        <w:rPr>
          <w:rFonts w:asciiTheme="minorHAnsi" w:hAnsiTheme="minorHAnsi"/>
          <w:color w:val="auto"/>
        </w:rPr>
      </w:pPr>
      <w:r>
        <w:rPr>
          <w:rFonts w:ascii="Calibri" w:hAnsi="Calibri"/>
          <w:color w:val="auto"/>
          <w:u w:val="single"/>
        </w:rPr>
        <w:t>SUMMARY OF CASE</w:t>
      </w:r>
      <w:r>
        <w:rPr>
          <w:rFonts w:ascii="Calibri" w:hAnsi="Calibri"/>
          <w:color w:val="auto"/>
        </w:rPr>
        <w:t xml:space="preserve">:  </w:t>
      </w:r>
      <w:r>
        <w:rPr>
          <w:rFonts w:ascii="Calibri" w:hAnsi="Calibri"/>
          <w:color w:val="auto"/>
          <w:szCs w:val="24"/>
        </w:rPr>
        <w:t xml:space="preserve">Data extracted from the available records reflects that this covered individual (CI) was an active duty E-5/Sgt (6124, Helicopter Power Plant Mechanic) medically separated from the Marine Corp in 2002 after ~5 years of service.  The medical basis for the separation was a lumbar spine condition (Herniated Nucleus </w:t>
      </w:r>
      <w:proofErr w:type="spellStart"/>
      <w:r>
        <w:rPr>
          <w:rFonts w:ascii="Calibri" w:hAnsi="Calibri"/>
          <w:color w:val="auto"/>
          <w:szCs w:val="24"/>
        </w:rPr>
        <w:t>Pulposus</w:t>
      </w:r>
      <w:proofErr w:type="spellEnd"/>
      <w:r>
        <w:rPr>
          <w:rFonts w:ascii="Calibri" w:hAnsi="Calibri"/>
          <w:color w:val="auto"/>
          <w:szCs w:val="24"/>
        </w:rPr>
        <w:t xml:space="preserve"> L5/S1 [HNP]).  The CI was seen in December 2000 and placed on a 30-day Limited Duty (LIMDU) for right-sided low back pain.  CI was treated with medications and was evaluated by a Chiropractor and a Sports Medicine specialist. In April 2001 he was placed on LIMDU for eight months.  The CI was unable to maintain his physical readiness requirements consistent with his duty and was referred to a Medical Evaluation Board (MEB).  HNP with Bilateral Lower Extremity </w:t>
      </w:r>
      <w:proofErr w:type="spellStart"/>
      <w:r>
        <w:rPr>
          <w:rFonts w:ascii="Calibri" w:hAnsi="Calibri"/>
          <w:color w:val="auto"/>
          <w:szCs w:val="24"/>
        </w:rPr>
        <w:t>Radiculopathy</w:t>
      </w:r>
      <w:proofErr w:type="spellEnd"/>
      <w:r>
        <w:rPr>
          <w:rFonts w:ascii="Calibri" w:hAnsi="Calibri"/>
          <w:color w:val="auto"/>
          <w:szCs w:val="24"/>
        </w:rPr>
        <w:t xml:space="preserve"> was addressed in the narrative summary (NARSUM) and listed on the NAVMED 6100/1 forwarded to the Informal Physical Evaluation Board (IPEB).  The IPEB adjudicated the HNP condition as unfitting, rated 20%; with application of the </w:t>
      </w:r>
      <w:proofErr w:type="spellStart"/>
      <w:r>
        <w:rPr>
          <w:rFonts w:ascii="Calibri" w:hAnsi="Calibri"/>
          <w:color w:val="auto"/>
          <w:szCs w:val="24"/>
        </w:rPr>
        <w:t>DoDI</w:t>
      </w:r>
      <w:proofErr w:type="spellEnd"/>
      <w:r>
        <w:rPr>
          <w:rFonts w:ascii="Calibri" w:hAnsi="Calibri"/>
          <w:color w:val="auto"/>
          <w:szCs w:val="24"/>
        </w:rPr>
        <w:t xml:space="preserve"> 1332.39.  Bilateral Lower Extremity </w:t>
      </w:r>
      <w:proofErr w:type="spellStart"/>
      <w:r>
        <w:rPr>
          <w:rFonts w:ascii="Calibri" w:hAnsi="Calibri"/>
          <w:color w:val="auto"/>
          <w:szCs w:val="24"/>
        </w:rPr>
        <w:t>Radiculopathy</w:t>
      </w:r>
      <w:proofErr w:type="spellEnd"/>
      <w:r>
        <w:rPr>
          <w:rFonts w:ascii="Calibri" w:hAnsi="Calibri"/>
          <w:color w:val="auto"/>
          <w:szCs w:val="24"/>
        </w:rPr>
        <w:t xml:space="preserve"> was found not separately unfitting.  The CI made no appeal at the time and was separated at 20% disability.  The CI later made an </w:t>
      </w:r>
      <w:r>
        <w:rPr>
          <w:rFonts w:asciiTheme="minorHAnsi" w:hAnsiTheme="minorHAnsi"/>
          <w:color w:val="auto"/>
        </w:rPr>
        <w:t>appeal to the Board of Correction of Naval Records (BCNR) in June 2006 requesting that his military discharge code be changed to a RE code that would not require a waiver for enlistment and that the reason for discharge and separation be changed to an Administrative Discharge. The CI stated that his health was “excellent” and that his past medical condition was healed.</w:t>
      </w:r>
    </w:p>
    <w:p w:rsidR="00F169D5" w:rsidRDefault="00F169D5" w:rsidP="00F169D5">
      <w:pPr>
        <w:pBdr>
          <w:bottom w:val="single" w:sz="12" w:space="1" w:color="auto"/>
        </w:pBdr>
        <w:tabs>
          <w:tab w:val="left" w:pos="288"/>
          <w:tab w:val="left" w:pos="4752"/>
        </w:tabs>
        <w:spacing w:line="240" w:lineRule="exact"/>
        <w:jc w:val="both"/>
        <w:rPr>
          <w:color w:val="000080"/>
        </w:rPr>
      </w:pPr>
    </w:p>
    <w:p w:rsidR="00F169D5" w:rsidRDefault="00F169D5" w:rsidP="00F169D5">
      <w:pPr>
        <w:tabs>
          <w:tab w:val="left" w:pos="288"/>
          <w:tab w:val="left" w:pos="4752"/>
        </w:tabs>
        <w:spacing w:line="240" w:lineRule="exact"/>
        <w:jc w:val="both"/>
        <w:rPr>
          <w:rFonts w:ascii="Calibri" w:hAnsi="Calibri"/>
          <w:color w:val="auto"/>
          <w:u w:val="single"/>
        </w:rPr>
      </w:pPr>
    </w:p>
    <w:p w:rsidR="00F169D5" w:rsidRDefault="00F169D5" w:rsidP="00F169D5">
      <w:pPr>
        <w:tabs>
          <w:tab w:val="left" w:pos="288"/>
          <w:tab w:val="left" w:pos="4752"/>
        </w:tabs>
        <w:spacing w:line="240" w:lineRule="exact"/>
        <w:jc w:val="both"/>
        <w:rPr>
          <w:rFonts w:ascii="Calibri" w:hAnsi="Calibri"/>
          <w:color w:val="auto"/>
          <w:szCs w:val="24"/>
        </w:rPr>
      </w:pPr>
      <w:r>
        <w:rPr>
          <w:rFonts w:ascii="Calibri" w:hAnsi="Calibri"/>
          <w:color w:val="auto"/>
          <w:u w:val="single"/>
        </w:rPr>
        <w:t>CI CONTENTION</w:t>
      </w:r>
      <w:r>
        <w:rPr>
          <w:rFonts w:ascii="Calibri" w:hAnsi="Calibri"/>
          <w:color w:val="auto"/>
        </w:rPr>
        <w:t>:</w:t>
      </w:r>
      <w:r>
        <w:rPr>
          <w:rFonts w:ascii="Calibri" w:hAnsi="Calibri"/>
          <w:color w:val="000080"/>
        </w:rPr>
        <w:t xml:space="preserve">  </w:t>
      </w:r>
      <w:r>
        <w:rPr>
          <w:rFonts w:ascii="Calibri" w:hAnsi="Calibri"/>
          <w:color w:val="auto"/>
          <w:szCs w:val="24"/>
        </w:rPr>
        <w:t xml:space="preserve">The CI states: “After being discharged from the Marine Corps I attempted to enlist in the National Guard and was advised I could have a disability of up to 30% and still enlist; however, my enlistment was denied several times because of my service related disability and I was told not to submit any further paperwork for enlistment in any branch of military service. I request my service connected disabilities be considered for more than 20%. The VA has rated an additional disability, being bilateral lumbar </w:t>
      </w:r>
      <w:proofErr w:type="spellStart"/>
      <w:r>
        <w:rPr>
          <w:rFonts w:ascii="Calibri" w:hAnsi="Calibri"/>
          <w:color w:val="auto"/>
          <w:szCs w:val="24"/>
        </w:rPr>
        <w:t>radiculopathy</w:t>
      </w:r>
      <w:proofErr w:type="spellEnd"/>
      <w:r>
        <w:rPr>
          <w:rFonts w:ascii="Calibri" w:hAnsi="Calibri"/>
          <w:color w:val="auto"/>
          <w:szCs w:val="24"/>
        </w:rPr>
        <w:t xml:space="preserve"> at 10%, which is related to the herniated disc disability. A total disability rating from the VA at discharge totaled 20% and is now rated at a total of 60%. I respectfully request my service connected disability rating be considered for a higher rating.”  He additionally lists all of his VA conditions and ratings as per the rating chart below.  A contention for their inclusion in the separation rating is therefore implied.  </w:t>
      </w:r>
    </w:p>
    <w:p w:rsidR="00F169D5" w:rsidRDefault="00F169D5" w:rsidP="00F169D5">
      <w:pPr>
        <w:pBdr>
          <w:bottom w:val="single" w:sz="12" w:space="1" w:color="auto"/>
        </w:pBdr>
        <w:tabs>
          <w:tab w:val="left" w:pos="288"/>
          <w:tab w:val="left" w:pos="4752"/>
        </w:tabs>
        <w:spacing w:line="240" w:lineRule="exact"/>
        <w:jc w:val="both"/>
        <w:rPr>
          <w:color w:val="000080"/>
        </w:rPr>
      </w:pPr>
    </w:p>
    <w:p w:rsidR="00F169D5" w:rsidRDefault="00F169D5" w:rsidP="00F169D5">
      <w:pPr>
        <w:tabs>
          <w:tab w:val="left" w:pos="288"/>
          <w:tab w:val="left" w:pos="4752"/>
        </w:tabs>
        <w:spacing w:line="240" w:lineRule="exact"/>
        <w:jc w:val="both"/>
        <w:rPr>
          <w:rFonts w:ascii="Calibri" w:hAnsi="Calibri"/>
          <w:color w:val="auto"/>
          <w:u w:val="single"/>
        </w:rPr>
      </w:pPr>
    </w:p>
    <w:p w:rsidR="00F169D5" w:rsidRDefault="00F169D5" w:rsidP="00F169D5">
      <w:pPr>
        <w:rPr>
          <w:rFonts w:ascii="Calibri" w:hAnsi="Calibri"/>
          <w:color w:val="auto"/>
          <w:u w:val="single"/>
        </w:rPr>
      </w:pPr>
      <w:r>
        <w:rPr>
          <w:rFonts w:ascii="Calibri" w:hAnsi="Calibri"/>
          <w:color w:val="auto"/>
        </w:rPr>
        <w:t>** Rating Comparison Table located on the next page.</w:t>
      </w:r>
      <w:r>
        <w:rPr>
          <w:rFonts w:ascii="Calibri" w:hAnsi="Calibri"/>
          <w:color w:val="auto"/>
          <w:u w:val="single"/>
        </w:rPr>
        <w:br w:type="page"/>
      </w:r>
    </w:p>
    <w:p w:rsidR="00F169D5" w:rsidRDefault="00F169D5" w:rsidP="00F169D5">
      <w:pPr>
        <w:spacing w:line="240" w:lineRule="exact"/>
        <w:jc w:val="both"/>
        <w:rPr>
          <w:rFonts w:ascii="Calibri" w:hAnsi="Calibri"/>
          <w:color w:val="auto"/>
        </w:rPr>
      </w:pPr>
      <w:r>
        <w:rPr>
          <w:rFonts w:ascii="Calibri" w:hAnsi="Calibri"/>
          <w:color w:val="auto"/>
          <w:u w:val="single"/>
        </w:rPr>
        <w:lastRenderedPageBreak/>
        <w:t>RATING COMPARISON</w:t>
      </w:r>
      <w:r>
        <w:rPr>
          <w:rFonts w:ascii="Calibri" w:hAnsi="Calibri"/>
          <w:color w:val="auto"/>
        </w:rPr>
        <w:t>:</w:t>
      </w:r>
    </w:p>
    <w:p w:rsidR="00F169D5" w:rsidRDefault="00F169D5" w:rsidP="00F169D5">
      <w:pPr>
        <w:spacing w:line="240" w:lineRule="exact"/>
        <w:jc w:val="both"/>
        <w:rPr>
          <w:rFonts w:ascii="Calibri" w:hAnsi="Calibri"/>
          <w:color w:val="auto"/>
        </w:rPr>
      </w:pPr>
    </w:p>
    <w:tbl>
      <w:tblPr>
        <w:tblStyle w:val="TableGrid"/>
        <w:tblW w:w="9270" w:type="dxa"/>
        <w:jc w:val="center"/>
        <w:tblLayout w:type="fixed"/>
        <w:tblLook w:val="04A0"/>
      </w:tblPr>
      <w:tblGrid>
        <w:gridCol w:w="2385"/>
        <w:gridCol w:w="720"/>
        <w:gridCol w:w="945"/>
        <w:gridCol w:w="2385"/>
        <w:gridCol w:w="1035"/>
        <w:gridCol w:w="810"/>
        <w:gridCol w:w="990"/>
      </w:tblGrid>
      <w:tr w:rsidR="00F169D5" w:rsidTr="00F169D5">
        <w:trPr>
          <w:trHeight w:val="233"/>
          <w:jc w:val="center"/>
        </w:trPr>
        <w:tc>
          <w:tcPr>
            <w:tcW w:w="405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Service IPEB – Dated 20020201</w:t>
            </w:r>
          </w:p>
        </w:tc>
        <w:tc>
          <w:tcPr>
            <w:tcW w:w="522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VA (1 Mo. After Separation) – All Effective 20020316*</w:t>
            </w:r>
          </w:p>
        </w:tc>
      </w:tr>
      <w:tr w:rsidR="00F169D5" w:rsidTr="00F169D5">
        <w:trPr>
          <w:trHeight w:val="23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both"/>
              <w:rPr>
                <w:rFonts w:cs="Times New Roman"/>
                <w:b/>
                <w:sz w:val="20"/>
                <w:szCs w:val="20"/>
              </w:rPr>
            </w:pPr>
            <w:r>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Code</w:t>
            </w:r>
          </w:p>
        </w:tc>
        <w:tc>
          <w:tcPr>
            <w:tcW w:w="945"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Rating</w:t>
            </w: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both"/>
              <w:rPr>
                <w:rFonts w:cs="Times New Roman"/>
                <w:b/>
                <w:sz w:val="20"/>
                <w:szCs w:val="20"/>
              </w:rPr>
            </w:pPr>
            <w:r>
              <w:rPr>
                <w:rFonts w:cs="Times New Roman"/>
                <w:b/>
                <w:sz w:val="20"/>
                <w:szCs w:val="20"/>
              </w:rPr>
              <w:t>Condition</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Exam</w:t>
            </w:r>
          </w:p>
        </w:tc>
      </w:tr>
      <w:tr w:rsidR="00F169D5" w:rsidTr="00F169D5">
        <w:trPr>
          <w:trHeight w:val="287"/>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HNP L5/S1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5293</w:t>
            </w:r>
          </w:p>
        </w:tc>
        <w:tc>
          <w:tcPr>
            <w:tcW w:w="945"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20%</w:t>
            </w: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Residuals, HNP L5/S1</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5293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20020226</w:t>
            </w:r>
          </w:p>
        </w:tc>
      </w:tr>
      <w:tr w:rsidR="00F169D5" w:rsidTr="00F169D5">
        <w:trPr>
          <w:trHeight w:val="125"/>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 xml:space="preserve">Bilateral Lower Extremity </w:t>
            </w:r>
            <w:proofErr w:type="spellStart"/>
            <w:r>
              <w:rPr>
                <w:rFonts w:cs="Times New Roman"/>
                <w:sz w:val="18"/>
                <w:szCs w:val="18"/>
              </w:rPr>
              <w:t>Radiculopathy</w:t>
            </w:r>
            <w:proofErr w:type="spellEnd"/>
          </w:p>
        </w:tc>
        <w:tc>
          <w:tcPr>
            <w:tcW w:w="1665"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Not separately unfitting</w:t>
            </w: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F169D5" w:rsidRDefault="00F169D5">
            <w:pPr>
              <w:pStyle w:val="ListParagraph"/>
              <w:spacing w:after="0" w:line="240" w:lineRule="exact"/>
              <w:ind w:left="0"/>
              <w:rPr>
                <w:rFonts w:cs="Times New Roman"/>
                <w:sz w:val="18"/>
                <w:szCs w:val="18"/>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169D5" w:rsidRDefault="00F169D5">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169D5" w:rsidRDefault="00F169D5">
            <w:pPr>
              <w:pStyle w:val="ListParagraph"/>
              <w:spacing w:after="0" w:line="240" w:lineRule="exact"/>
              <w:ind w:left="0"/>
              <w:jc w:val="center"/>
              <w:rPr>
                <w:rFonts w:cs="Times New Roman"/>
                <w:sz w:val="18"/>
                <w:szCs w:val="18"/>
              </w:rPr>
            </w:pPr>
          </w:p>
        </w:tc>
      </w:tr>
      <w:tr w:rsidR="00F169D5" w:rsidTr="00F169D5">
        <w:trPr>
          <w:trHeight w:val="125"/>
          <w:jc w:val="center"/>
        </w:trPr>
        <w:tc>
          <w:tcPr>
            <w:tcW w:w="4050" w:type="dxa"/>
            <w:gridSpan w:val="3"/>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169D5" w:rsidRDefault="00F169D5">
            <w:pPr>
              <w:pStyle w:val="ListParagraph"/>
              <w:spacing w:line="240" w:lineRule="exact"/>
              <w:ind w:left="0" w:firstLine="720"/>
              <w:jc w:val="both"/>
              <w:rPr>
                <w:rFonts w:cs="Times New Roman"/>
                <w:sz w:val="18"/>
                <w:szCs w:val="18"/>
              </w:rPr>
            </w:pPr>
            <w:r>
              <w:rPr>
                <w:rFonts w:cs="Times New Roman"/>
                <w:sz w:val="18"/>
                <w:szCs w:val="18"/>
              </w:rPr>
              <w:t xml:space="preserve">↓No Additional MEB Entries↓ </w:t>
            </w: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Tinnitus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20020226</w:t>
            </w:r>
          </w:p>
        </w:tc>
      </w:tr>
      <w:tr w:rsidR="00F169D5" w:rsidTr="00F169D5">
        <w:trPr>
          <w:trHeight w:val="125"/>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 xml:space="preserve">T- Spine </w:t>
            </w:r>
            <w:proofErr w:type="spellStart"/>
            <w:r>
              <w:rPr>
                <w:rFonts w:cs="Times New Roman"/>
                <w:sz w:val="18"/>
                <w:szCs w:val="18"/>
              </w:rPr>
              <w:t>Schmorl’s</w:t>
            </w:r>
            <w:proofErr w:type="spellEnd"/>
            <w:r>
              <w:rPr>
                <w:rFonts w:cs="Times New Roman"/>
                <w:sz w:val="18"/>
                <w:szCs w:val="18"/>
              </w:rPr>
              <w:t xml:space="preserve"> Node</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5299-5291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20020226</w:t>
            </w:r>
          </w:p>
        </w:tc>
      </w:tr>
      <w:tr w:rsidR="00F169D5" w:rsidTr="00F169D5">
        <w:trPr>
          <w:trHeight w:val="125"/>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Tonsillectomy</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6599-6516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rPr>
                <w:color w:val="auto"/>
              </w:rPr>
            </w:pPr>
            <w:r>
              <w:rPr>
                <w:rFonts w:cs="Times New Roman"/>
                <w:color w:val="auto"/>
                <w:sz w:val="18"/>
                <w:szCs w:val="18"/>
              </w:rPr>
              <w:t>20020226</w:t>
            </w:r>
          </w:p>
        </w:tc>
      </w:tr>
      <w:tr w:rsidR="00F169D5" w:rsidTr="00F169D5">
        <w:trPr>
          <w:trHeight w:val="125"/>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Sinusitis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6512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rPr>
                <w:color w:val="auto"/>
              </w:rPr>
            </w:pPr>
            <w:r>
              <w:rPr>
                <w:rFonts w:cs="Times New Roman"/>
                <w:color w:val="auto"/>
                <w:sz w:val="18"/>
                <w:szCs w:val="18"/>
              </w:rPr>
              <w:t>20020226</w:t>
            </w:r>
          </w:p>
        </w:tc>
      </w:tr>
      <w:tr w:rsidR="00F169D5" w:rsidTr="00F169D5">
        <w:trPr>
          <w:trHeight w:val="125"/>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Left Foot Plantar Fasciitis …</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5280-5284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rPr>
                <w:color w:val="auto"/>
              </w:rPr>
            </w:pPr>
            <w:r>
              <w:rPr>
                <w:rFonts w:cs="Times New Roman"/>
                <w:color w:val="auto"/>
                <w:sz w:val="18"/>
                <w:szCs w:val="18"/>
              </w:rPr>
              <w:t>20020226</w:t>
            </w:r>
          </w:p>
        </w:tc>
      </w:tr>
      <w:tr w:rsidR="00F169D5" w:rsidTr="00F169D5">
        <w:trPr>
          <w:trHeight w:val="125"/>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Right Foot Plantar Fasciitis …</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5280-5284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rPr>
                <w:color w:val="auto"/>
              </w:rPr>
            </w:pPr>
            <w:r>
              <w:rPr>
                <w:rFonts w:cs="Times New Roman"/>
                <w:color w:val="auto"/>
                <w:sz w:val="18"/>
                <w:szCs w:val="18"/>
              </w:rPr>
              <w:t>20020226</w:t>
            </w:r>
          </w:p>
        </w:tc>
      </w:tr>
      <w:tr w:rsidR="00F169D5" w:rsidTr="00F169D5">
        <w:trPr>
          <w:trHeight w:val="125"/>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Left Plantar Tendonitis…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5099-5024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20020226</w:t>
            </w:r>
          </w:p>
        </w:tc>
      </w:tr>
      <w:tr w:rsidR="00F169D5" w:rsidTr="00F169D5">
        <w:trPr>
          <w:trHeight w:val="125"/>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238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Right Plantar Tendonitis…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5099-5024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rPr>
                <w:color w:val="auto"/>
              </w:rPr>
            </w:pPr>
            <w:r>
              <w:rPr>
                <w:rFonts w:cs="Times New Roman"/>
                <w:color w:val="auto"/>
                <w:sz w:val="18"/>
                <w:szCs w:val="18"/>
              </w:rPr>
              <w:t>20020226</w:t>
            </w:r>
          </w:p>
        </w:tc>
      </w:tr>
      <w:tr w:rsidR="00F169D5" w:rsidTr="00F169D5">
        <w:trPr>
          <w:trHeight w:val="179"/>
          <w:jc w:val="center"/>
        </w:trPr>
        <w:tc>
          <w:tcPr>
            <w:tcW w:w="6660"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69D5" w:rsidRDefault="00F169D5">
            <w:pPr>
              <w:rPr>
                <w:color w:val="auto"/>
                <w:sz w:val="18"/>
                <w:szCs w:val="18"/>
              </w:rPr>
            </w:pPr>
          </w:p>
        </w:tc>
        <w:tc>
          <w:tcPr>
            <w:tcW w:w="342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rPr>
                <w:rFonts w:cs="Times New Roman"/>
                <w:sz w:val="18"/>
                <w:szCs w:val="18"/>
              </w:rPr>
            </w:pPr>
            <w:r>
              <w:rPr>
                <w:rFonts w:cs="Times New Roman"/>
                <w:sz w:val="18"/>
                <w:szCs w:val="18"/>
              </w:rPr>
              <w:t>Asbestos, Nose, Left Knee &amp; Hearing</w:t>
            </w:r>
            <w:r>
              <w:rPr>
                <w:sz w:val="14"/>
                <w:szCs w:val="14"/>
              </w:rPr>
              <w:t xml:space="preserve"> </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169D5" w:rsidRDefault="00F169D5">
            <w:pPr>
              <w:pStyle w:val="ListParagraph"/>
              <w:spacing w:after="0" w:line="240" w:lineRule="exact"/>
              <w:ind w:left="0"/>
              <w:jc w:val="center"/>
              <w:rPr>
                <w:rFonts w:cs="Times New Roman"/>
                <w:sz w:val="18"/>
                <w:szCs w:val="18"/>
              </w:rPr>
            </w:pPr>
            <w:r>
              <w:rPr>
                <w:rFonts w:cs="Times New Roman"/>
                <w:sz w:val="18"/>
                <w:szCs w:val="18"/>
              </w:rPr>
              <w:t>NSC</w:t>
            </w:r>
          </w:p>
        </w:tc>
      </w:tr>
      <w:tr w:rsidR="00F169D5" w:rsidTr="00F169D5">
        <w:trPr>
          <w:trHeight w:val="242"/>
          <w:jc w:val="center"/>
        </w:trPr>
        <w:tc>
          <w:tcPr>
            <w:tcW w:w="405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TOTAL Combined:  20%</w:t>
            </w:r>
          </w:p>
        </w:tc>
        <w:tc>
          <w:tcPr>
            <w:tcW w:w="522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69D5" w:rsidRDefault="00F169D5">
            <w:pPr>
              <w:pStyle w:val="ListParagraph"/>
              <w:spacing w:after="0" w:line="240" w:lineRule="exact"/>
              <w:ind w:left="0"/>
              <w:jc w:val="center"/>
              <w:rPr>
                <w:rFonts w:cs="Times New Roman"/>
                <w:b/>
                <w:sz w:val="20"/>
                <w:szCs w:val="20"/>
              </w:rPr>
            </w:pPr>
            <w:r>
              <w:rPr>
                <w:rFonts w:cs="Times New Roman"/>
                <w:b/>
                <w:sz w:val="20"/>
                <w:szCs w:val="20"/>
              </w:rPr>
              <w:t>TOTAL Combined:  20%*</w:t>
            </w:r>
          </w:p>
        </w:tc>
      </w:tr>
    </w:tbl>
    <w:p w:rsidR="00F169D5" w:rsidRDefault="00F169D5" w:rsidP="00F169D5">
      <w:pPr>
        <w:tabs>
          <w:tab w:val="left" w:pos="288"/>
          <w:tab w:val="left" w:pos="4752"/>
        </w:tabs>
        <w:spacing w:line="240" w:lineRule="exact"/>
        <w:rPr>
          <w:rFonts w:asciiTheme="minorHAnsi" w:hAnsiTheme="minorHAnsi"/>
          <w:color w:val="auto"/>
          <w:sz w:val="22"/>
        </w:rPr>
      </w:pPr>
      <w:r>
        <w:rPr>
          <w:rFonts w:asciiTheme="minorHAnsi" w:hAnsiTheme="minorHAnsi"/>
          <w:color w:val="auto"/>
          <w:sz w:val="22"/>
        </w:rPr>
        <w:t xml:space="preserve">*VA added 10% L. &amp; 10% R. Leg </w:t>
      </w:r>
      <w:proofErr w:type="spellStart"/>
      <w:r>
        <w:rPr>
          <w:rFonts w:asciiTheme="minorHAnsi" w:hAnsiTheme="minorHAnsi"/>
          <w:color w:val="auto"/>
          <w:sz w:val="22"/>
        </w:rPr>
        <w:t>Radiculopathies</w:t>
      </w:r>
      <w:proofErr w:type="spellEnd"/>
      <w:r>
        <w:rPr>
          <w:rFonts w:asciiTheme="minorHAnsi" w:hAnsiTheme="minorHAnsi"/>
          <w:color w:val="auto"/>
          <w:sz w:val="22"/>
        </w:rPr>
        <w:t>; 30% MH Disorder (60% combined) from 20080714</w:t>
      </w:r>
    </w:p>
    <w:p w:rsidR="00F169D5" w:rsidRDefault="00F169D5" w:rsidP="00F169D5">
      <w:pPr>
        <w:pBdr>
          <w:bottom w:val="single" w:sz="12" w:space="1" w:color="auto"/>
        </w:pBdr>
        <w:tabs>
          <w:tab w:val="left" w:pos="288"/>
          <w:tab w:val="left" w:pos="4752"/>
        </w:tabs>
        <w:spacing w:line="240" w:lineRule="exact"/>
        <w:jc w:val="both"/>
        <w:rPr>
          <w:color w:val="000080"/>
        </w:rPr>
      </w:pPr>
    </w:p>
    <w:p w:rsidR="00F169D5" w:rsidRDefault="00F169D5" w:rsidP="00F169D5">
      <w:pPr>
        <w:tabs>
          <w:tab w:val="left" w:pos="288"/>
          <w:tab w:val="left" w:pos="4752"/>
        </w:tabs>
        <w:spacing w:line="240" w:lineRule="exact"/>
        <w:jc w:val="both"/>
        <w:rPr>
          <w:rFonts w:ascii="Calibri" w:hAnsi="Calibri"/>
          <w:color w:val="auto"/>
          <w:u w:val="single"/>
        </w:rPr>
      </w:pPr>
    </w:p>
    <w:p w:rsidR="00F169D5" w:rsidRDefault="00F169D5" w:rsidP="00F169D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ANALYSIS SUMMARY</w:t>
      </w:r>
      <w:r>
        <w:rPr>
          <w:rFonts w:asciiTheme="minorHAnsi" w:hAnsiTheme="minorHAnsi"/>
          <w:color w:val="auto"/>
          <w:szCs w:val="24"/>
        </w:rPr>
        <w:t xml:space="preserve">:  </w:t>
      </w:r>
    </w:p>
    <w:p w:rsidR="00F169D5" w:rsidRDefault="00F169D5" w:rsidP="00F169D5">
      <w:pPr>
        <w:tabs>
          <w:tab w:val="left" w:pos="288"/>
          <w:tab w:val="left" w:pos="4752"/>
        </w:tabs>
        <w:spacing w:line="240" w:lineRule="exact"/>
        <w:jc w:val="both"/>
        <w:rPr>
          <w:rFonts w:asciiTheme="minorHAnsi" w:hAnsiTheme="minorHAnsi"/>
          <w:color w:val="auto"/>
          <w:szCs w:val="24"/>
          <w:u w:val="single"/>
        </w:rPr>
      </w:pPr>
    </w:p>
    <w:p w:rsidR="00F169D5" w:rsidRDefault="00F169D5" w:rsidP="00F169D5">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HNP (Lumbar Spine) Condition</w:t>
      </w:r>
      <w:r>
        <w:rPr>
          <w:rFonts w:asciiTheme="minorHAnsi" w:hAnsiTheme="minorHAnsi"/>
          <w:color w:val="auto"/>
          <w:szCs w:val="24"/>
        </w:rPr>
        <w:t>.</w:t>
      </w:r>
      <w:proofErr w:type="gramEnd"/>
      <w:r>
        <w:rPr>
          <w:rFonts w:asciiTheme="minorHAnsi" w:hAnsiTheme="minorHAnsi"/>
          <w:color w:val="auto"/>
          <w:szCs w:val="24"/>
        </w:rPr>
        <w:t xml:space="preserve">  The HNP condition was rated IAW 2003 VASRD standards which are no longer in effect.  The current spine formula is based on range of motion (ROM) measurements and, therefore, more objective.  The 2003 ratings were based on the examiner’s or rater’s opinion as to whether the disability was mild, moderate or severe.  The MEB and VA examinations were similar, thus the different ratings were based on the PEB opinion that disability was moderate (20%) versus the VA rater’s opinion that disability was mild (10%).  Many cases rated under the old rules do not provide the ROM criteria required for rating under the current formula.  In these cases, the Board must base its recommendation on its own opinion as to severity of disability.  This case, however, does document all elements required to rate under current VASRD </w:t>
      </w:r>
      <w:r>
        <w:rPr>
          <w:rFonts w:asciiTheme="minorHAnsi" w:eastAsiaTheme="minorHAnsi" w:hAnsiTheme="minorHAnsi"/>
          <w:color w:val="auto"/>
          <w:szCs w:val="24"/>
        </w:rPr>
        <w:t xml:space="preserve">§4.71a spine rating criteria.  Although a default to the VASRD criteria in effect at the time is mandated by </w:t>
      </w:r>
      <w:proofErr w:type="spellStart"/>
      <w:r>
        <w:rPr>
          <w:rFonts w:asciiTheme="minorHAnsi" w:eastAsiaTheme="minorHAnsi" w:hAnsiTheme="minorHAnsi"/>
          <w:color w:val="auto"/>
          <w:szCs w:val="24"/>
        </w:rPr>
        <w:t>DoDI</w:t>
      </w:r>
      <w:proofErr w:type="spellEnd"/>
      <w:r>
        <w:rPr>
          <w:rFonts w:asciiTheme="minorHAnsi" w:eastAsiaTheme="minorHAnsi" w:hAnsiTheme="minorHAnsi"/>
          <w:color w:val="auto"/>
          <w:szCs w:val="24"/>
        </w:rPr>
        <w:t xml:space="preserve"> 6040.44, the Board sees no reason why current criteria cannot be used as a guide to its recommendation regarding estimated disability under the old standards.  Since the objective elements applied to our recommendations for the majority of our back cases are present in this case, it allows us to use the same ‘yardstick’ for purposes of uniformity and equity.  </w:t>
      </w:r>
      <w:r>
        <w:rPr>
          <w:rFonts w:asciiTheme="minorHAnsi" w:hAnsiTheme="minorHAnsi"/>
          <w:color w:val="auto"/>
          <w:szCs w:val="24"/>
        </w:rPr>
        <w:t>There were three ROM exams that were documented in the Disability Evaluation System (DES) file which the Board weighed in arriving at its rating recommendation.  All three of these exams are summarized in the chart below.</w:t>
      </w:r>
    </w:p>
    <w:p w:rsidR="00F169D5" w:rsidRDefault="00F169D5" w:rsidP="00F169D5">
      <w:pPr>
        <w:tabs>
          <w:tab w:val="left" w:pos="288"/>
          <w:tab w:val="left" w:pos="4752"/>
        </w:tabs>
        <w:spacing w:line="240" w:lineRule="exact"/>
        <w:rPr>
          <w:rFonts w:asciiTheme="minorHAnsi" w:hAnsiTheme="minorHAnsi"/>
          <w:color w:val="auto"/>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5"/>
        <w:gridCol w:w="1575"/>
        <w:gridCol w:w="2295"/>
        <w:gridCol w:w="2250"/>
      </w:tblGrid>
      <w:tr w:rsidR="00F169D5" w:rsidTr="00F169D5">
        <w:trPr>
          <w:jc w:val="center"/>
        </w:trPr>
        <w:tc>
          <w:tcPr>
            <w:tcW w:w="2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69D5" w:rsidRDefault="00F169D5">
            <w:pPr>
              <w:spacing w:line="240" w:lineRule="exact"/>
              <w:jc w:val="center"/>
              <w:rPr>
                <w:rFonts w:ascii="Calibri" w:eastAsia="Calibri" w:hAnsi="Calibri"/>
                <w:color w:val="auto"/>
                <w:sz w:val="22"/>
                <w:szCs w:val="22"/>
              </w:rPr>
            </w:pPr>
            <w:proofErr w:type="spellStart"/>
            <w:r>
              <w:rPr>
                <w:rFonts w:ascii="Calibri" w:eastAsia="Calibri" w:hAnsi="Calibri"/>
                <w:color w:val="auto"/>
                <w:sz w:val="22"/>
                <w:szCs w:val="22"/>
              </w:rPr>
              <w:t>Thoracolumbar</w:t>
            </w:r>
            <w:proofErr w:type="spellEnd"/>
          </w:p>
        </w:tc>
        <w:tc>
          <w:tcPr>
            <w:tcW w:w="612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Separation Date:  20020315</w:t>
            </w:r>
          </w:p>
        </w:tc>
      </w:tr>
      <w:tr w:rsidR="00F169D5" w:rsidTr="00F169D5">
        <w:trPr>
          <w:jc w:val="center"/>
        </w:trPr>
        <w:tc>
          <w:tcPr>
            <w:tcW w:w="2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Goniometric ROM</w:t>
            </w:r>
          </w:p>
        </w:tc>
        <w:tc>
          <w:tcPr>
            <w:tcW w:w="15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PT - 20010506</w:t>
            </w:r>
          </w:p>
        </w:tc>
        <w:tc>
          <w:tcPr>
            <w:tcW w:w="22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MEB - 20011207</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69D5" w:rsidRDefault="00F169D5">
            <w:pPr>
              <w:spacing w:line="240" w:lineRule="exact"/>
              <w:jc w:val="center"/>
              <w:rPr>
                <w:rFonts w:ascii="Calibri" w:eastAsiaTheme="minorHAnsi" w:hAnsi="Calibri" w:cstheme="minorBidi"/>
                <w:color w:val="auto"/>
                <w:sz w:val="22"/>
                <w:szCs w:val="22"/>
              </w:rPr>
            </w:pPr>
            <w:r>
              <w:rPr>
                <w:rFonts w:ascii="Calibri" w:eastAsia="Calibri" w:hAnsi="Calibri"/>
                <w:color w:val="auto"/>
                <w:sz w:val="22"/>
                <w:szCs w:val="22"/>
              </w:rPr>
              <w:t>VA</w:t>
            </w:r>
            <w:r>
              <w:rPr>
                <w:rFonts w:ascii="Calibri" w:eastAsiaTheme="minorHAnsi" w:hAnsi="Calibri" w:cstheme="minorBidi"/>
                <w:color w:val="auto"/>
                <w:sz w:val="22"/>
                <w:szCs w:val="22"/>
              </w:rPr>
              <w:t xml:space="preserve"> C&amp;P -20020225</w:t>
            </w:r>
          </w:p>
        </w:tc>
      </w:tr>
      <w:tr w:rsidR="00F169D5" w:rsidTr="00F169D5">
        <w:trPr>
          <w:jc w:val="center"/>
        </w:trPr>
        <w:tc>
          <w:tcPr>
            <w:tcW w:w="2385"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Flexion 0-90⁰ normal</w:t>
            </w:r>
          </w:p>
        </w:tc>
        <w:tc>
          <w:tcPr>
            <w:tcW w:w="1575"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90⁰</w:t>
            </w:r>
          </w:p>
        </w:tc>
        <w:tc>
          <w:tcPr>
            <w:tcW w:w="2295"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90⁰</w:t>
            </w:r>
          </w:p>
        </w:tc>
        <w:tc>
          <w:tcPr>
            <w:tcW w:w="2250"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85⁰</w:t>
            </w:r>
          </w:p>
        </w:tc>
      </w:tr>
      <w:tr w:rsidR="00F169D5" w:rsidTr="00F169D5">
        <w:trPr>
          <w:jc w:val="center"/>
        </w:trPr>
        <w:tc>
          <w:tcPr>
            <w:tcW w:w="2385"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Combined 240⁰ normal</w:t>
            </w:r>
          </w:p>
        </w:tc>
        <w:tc>
          <w:tcPr>
            <w:tcW w:w="1575" w:type="dxa"/>
            <w:tcBorders>
              <w:top w:val="single" w:sz="4" w:space="0" w:color="000000"/>
              <w:left w:val="single" w:sz="4" w:space="0" w:color="000000"/>
              <w:bottom w:val="single" w:sz="4" w:space="0" w:color="000000"/>
              <w:right w:val="single" w:sz="4" w:space="0" w:color="000000"/>
            </w:tcBorders>
          </w:tcPr>
          <w:p w:rsidR="00F169D5" w:rsidRDefault="00F169D5">
            <w:pPr>
              <w:spacing w:line="240" w:lineRule="exact"/>
              <w:jc w:val="center"/>
              <w:rPr>
                <w:rFonts w:ascii="Calibri" w:eastAsia="Calibri" w:hAnsi="Calibri"/>
                <w:color w:val="auto"/>
                <w:sz w:val="22"/>
                <w:szCs w:val="22"/>
              </w:rPr>
            </w:pPr>
          </w:p>
        </w:tc>
        <w:tc>
          <w:tcPr>
            <w:tcW w:w="2295"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240⁰</w:t>
            </w:r>
          </w:p>
        </w:tc>
        <w:tc>
          <w:tcPr>
            <w:tcW w:w="2250"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jc w:val="center"/>
              <w:rPr>
                <w:rFonts w:ascii="Calibri" w:eastAsia="Calibri" w:hAnsi="Calibri"/>
                <w:color w:val="auto"/>
                <w:sz w:val="22"/>
                <w:szCs w:val="22"/>
              </w:rPr>
            </w:pPr>
            <w:r>
              <w:rPr>
                <w:rFonts w:ascii="Calibri" w:eastAsia="Calibri" w:hAnsi="Calibri"/>
                <w:color w:val="auto"/>
                <w:sz w:val="22"/>
                <w:szCs w:val="22"/>
              </w:rPr>
              <w:t>235⁰</w:t>
            </w:r>
          </w:p>
        </w:tc>
      </w:tr>
      <w:tr w:rsidR="00F169D5" w:rsidTr="00F169D5">
        <w:trPr>
          <w:jc w:val="center"/>
        </w:trPr>
        <w:tc>
          <w:tcPr>
            <w:tcW w:w="2385" w:type="dxa"/>
            <w:tcBorders>
              <w:top w:val="single" w:sz="4" w:space="0" w:color="000000"/>
              <w:left w:val="single" w:sz="4" w:space="0" w:color="000000"/>
              <w:bottom w:val="single" w:sz="4" w:space="0" w:color="000000"/>
              <w:right w:val="single" w:sz="4" w:space="0" w:color="000000"/>
            </w:tcBorders>
            <w:hideMark/>
          </w:tcPr>
          <w:p w:rsidR="00F169D5" w:rsidRDefault="00F169D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§4.71a Rating</w:t>
            </w:r>
          </w:p>
        </w:tc>
        <w:tc>
          <w:tcPr>
            <w:tcW w:w="1575" w:type="dxa"/>
            <w:tcBorders>
              <w:top w:val="single" w:sz="4" w:space="0" w:color="000000"/>
              <w:left w:val="single" w:sz="4" w:space="0" w:color="000000"/>
              <w:bottom w:val="single" w:sz="4" w:space="0" w:color="000000"/>
              <w:right w:val="single" w:sz="4" w:space="0" w:color="000000"/>
            </w:tcBorders>
            <w:hideMark/>
          </w:tcPr>
          <w:p w:rsidR="00F169D5" w:rsidRDefault="00F169D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p>
        </w:tc>
        <w:tc>
          <w:tcPr>
            <w:tcW w:w="2295" w:type="dxa"/>
            <w:tcBorders>
              <w:top w:val="single" w:sz="4" w:space="0" w:color="000000"/>
              <w:left w:val="single" w:sz="4" w:space="0" w:color="000000"/>
              <w:bottom w:val="single" w:sz="4" w:space="0" w:color="000000"/>
              <w:right w:val="single" w:sz="4" w:space="0" w:color="000000"/>
            </w:tcBorders>
            <w:hideMark/>
          </w:tcPr>
          <w:p w:rsidR="00F169D5" w:rsidRDefault="00F169D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p>
        </w:tc>
        <w:tc>
          <w:tcPr>
            <w:tcW w:w="2250" w:type="dxa"/>
            <w:tcBorders>
              <w:top w:val="single" w:sz="4" w:space="0" w:color="000000"/>
              <w:left w:val="single" w:sz="4" w:space="0" w:color="000000"/>
              <w:bottom w:val="single" w:sz="4" w:space="0" w:color="000000"/>
              <w:right w:val="single" w:sz="4" w:space="0" w:color="000000"/>
            </w:tcBorders>
            <w:hideMark/>
          </w:tcPr>
          <w:p w:rsidR="00F169D5" w:rsidRDefault="00F169D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p>
        </w:tc>
      </w:tr>
      <w:tr w:rsidR="00F169D5" w:rsidTr="00F169D5">
        <w:trPr>
          <w:trHeight w:val="70"/>
          <w:jc w:val="center"/>
        </w:trPr>
        <w:tc>
          <w:tcPr>
            <w:tcW w:w="2385" w:type="dxa"/>
            <w:tcBorders>
              <w:top w:val="single" w:sz="4" w:space="0" w:color="000000"/>
              <w:left w:val="single" w:sz="4" w:space="0" w:color="000000"/>
              <w:bottom w:val="single" w:sz="4" w:space="0" w:color="000000"/>
              <w:right w:val="single" w:sz="4" w:space="0" w:color="000000"/>
            </w:tcBorders>
            <w:hideMark/>
          </w:tcPr>
          <w:p w:rsidR="00F169D5" w:rsidRDefault="00F169D5">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1575" w:type="dxa"/>
            <w:tcBorders>
              <w:top w:val="single" w:sz="4" w:space="0" w:color="000000"/>
              <w:left w:val="single" w:sz="4" w:space="0" w:color="000000"/>
              <w:bottom w:val="single" w:sz="4" w:space="0" w:color="000000"/>
              <w:right w:val="single" w:sz="4" w:space="0" w:color="000000"/>
            </w:tcBorders>
            <w:hideMark/>
          </w:tcPr>
          <w:p w:rsidR="00F169D5" w:rsidRDefault="00F169D5">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TTP, +SLR</w:t>
            </w:r>
          </w:p>
        </w:tc>
        <w:tc>
          <w:tcPr>
            <w:tcW w:w="2295" w:type="dxa"/>
            <w:tcBorders>
              <w:top w:val="single" w:sz="4" w:space="0" w:color="000000"/>
              <w:left w:val="single" w:sz="4" w:space="0" w:color="000000"/>
              <w:bottom w:val="single" w:sz="4" w:space="0" w:color="000000"/>
              <w:right w:val="single" w:sz="4" w:space="0" w:color="000000"/>
            </w:tcBorders>
            <w:hideMark/>
          </w:tcPr>
          <w:p w:rsidR="00F169D5" w:rsidRDefault="00F169D5">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Spasm; tenderness; painful motion; -SLR; recurring LBP/sciatica</w:t>
            </w:r>
          </w:p>
        </w:tc>
        <w:tc>
          <w:tcPr>
            <w:tcW w:w="2250" w:type="dxa"/>
            <w:tcBorders>
              <w:top w:val="single" w:sz="4" w:space="0" w:color="000000"/>
              <w:left w:val="single" w:sz="4" w:space="0" w:color="000000"/>
              <w:bottom w:val="single" w:sz="4" w:space="0" w:color="000000"/>
              <w:right w:val="single" w:sz="4" w:space="0" w:color="000000"/>
            </w:tcBorders>
            <w:hideMark/>
          </w:tcPr>
          <w:p w:rsidR="00F169D5" w:rsidRDefault="00F169D5">
            <w:pPr>
              <w:spacing w:line="240" w:lineRule="exact"/>
              <w:rPr>
                <w:rFonts w:asciiTheme="minorHAnsi" w:eastAsiaTheme="minorHAnsi" w:hAnsiTheme="minorHAnsi"/>
                <w:color w:val="auto"/>
                <w:sz w:val="22"/>
                <w:szCs w:val="22"/>
              </w:rPr>
            </w:pPr>
            <w:r>
              <w:rPr>
                <w:rFonts w:ascii="Calibri" w:eastAsia="Calibri" w:hAnsi="Calibri"/>
                <w:color w:val="auto"/>
                <w:sz w:val="22"/>
                <w:szCs w:val="22"/>
              </w:rPr>
              <w:t xml:space="preserve">abnormal posture; pelvic tilt; </w:t>
            </w:r>
            <w:proofErr w:type="spellStart"/>
            <w:r>
              <w:rPr>
                <w:rFonts w:ascii="Calibri" w:eastAsia="Calibri" w:hAnsi="Calibri"/>
                <w:color w:val="auto"/>
                <w:sz w:val="22"/>
                <w:szCs w:val="22"/>
              </w:rPr>
              <w:t>antalgic</w:t>
            </w:r>
            <w:proofErr w:type="spellEnd"/>
            <w:r>
              <w:rPr>
                <w:rFonts w:ascii="Calibri" w:eastAsia="Calibri" w:hAnsi="Calibri"/>
                <w:color w:val="auto"/>
                <w:sz w:val="22"/>
                <w:szCs w:val="22"/>
              </w:rPr>
              <w:t xml:space="preserve"> gait; VA rating 10%</w:t>
            </w:r>
          </w:p>
        </w:tc>
      </w:tr>
    </w:tbl>
    <w:p w:rsidR="00F169D5" w:rsidRDefault="00F169D5" w:rsidP="00F169D5">
      <w:pPr>
        <w:tabs>
          <w:tab w:val="left" w:pos="288"/>
          <w:tab w:val="left" w:pos="4752"/>
        </w:tabs>
        <w:spacing w:line="240" w:lineRule="exact"/>
        <w:jc w:val="both"/>
        <w:rPr>
          <w:rFonts w:asciiTheme="minorHAnsi" w:hAnsiTheme="minorHAnsi"/>
          <w:color w:val="auto"/>
          <w:szCs w:val="24"/>
        </w:rPr>
      </w:pPr>
    </w:p>
    <w:p w:rsidR="00F169D5" w:rsidRDefault="00F169D5" w:rsidP="00F169D5">
      <w:pPr>
        <w:tabs>
          <w:tab w:val="left" w:pos="288"/>
          <w:tab w:val="left" w:pos="4752"/>
        </w:tabs>
        <w:spacing w:line="240" w:lineRule="exact"/>
        <w:jc w:val="both"/>
        <w:rPr>
          <w:rFonts w:asciiTheme="minorHAnsi" w:hAnsiTheme="minorHAnsi"/>
          <w:caps/>
          <w:color w:val="auto"/>
          <w:szCs w:val="24"/>
        </w:rPr>
      </w:pPr>
      <w:r>
        <w:rPr>
          <w:rFonts w:asciiTheme="minorHAnsi" w:hAnsiTheme="minorHAnsi"/>
          <w:color w:val="auto"/>
          <w:szCs w:val="24"/>
        </w:rPr>
        <w:t xml:space="preserve">All examinations yielded an independent </w:t>
      </w:r>
      <w:r>
        <w:rPr>
          <w:rFonts w:asciiTheme="minorHAnsi" w:eastAsiaTheme="minorHAnsi" w:hAnsiTheme="minorHAnsi"/>
          <w:color w:val="auto"/>
          <w:szCs w:val="24"/>
        </w:rPr>
        <w:t xml:space="preserve">20% rating under the </w:t>
      </w:r>
      <w:r>
        <w:rPr>
          <w:rFonts w:asciiTheme="minorHAnsi" w:hAnsiTheme="minorHAnsi"/>
          <w:color w:val="auto"/>
          <w:szCs w:val="24"/>
        </w:rPr>
        <w:t xml:space="preserve">existing </w:t>
      </w:r>
      <w:r>
        <w:rPr>
          <w:rFonts w:asciiTheme="minorHAnsi" w:eastAsiaTheme="minorHAnsi" w:hAnsiTheme="minorHAnsi"/>
          <w:color w:val="auto"/>
          <w:szCs w:val="24"/>
        </w:rPr>
        <w:t xml:space="preserve">§4.71a formula which underpins the majority of Board recommendations for back cases.  The Board also evaluated application of the 2003 VASRD codes and ratings disregarding the current standards.  The 5293 </w:t>
      </w:r>
      <w:r>
        <w:rPr>
          <w:rFonts w:asciiTheme="minorHAnsi" w:eastAsiaTheme="minorHAnsi" w:hAnsiTheme="minorHAnsi"/>
          <w:color w:val="auto"/>
          <w:szCs w:val="24"/>
        </w:rPr>
        <w:lastRenderedPageBreak/>
        <w:t>code applied by the PEB “</w:t>
      </w:r>
      <w:proofErr w:type="spellStart"/>
      <w:r>
        <w:rPr>
          <w:rFonts w:asciiTheme="minorHAnsi" w:eastAsiaTheme="minorHAnsi" w:hAnsiTheme="minorHAnsi"/>
          <w:color w:val="auto"/>
          <w:szCs w:val="24"/>
        </w:rPr>
        <w:t>lumbosacral</w:t>
      </w:r>
      <w:proofErr w:type="spellEnd"/>
      <w:r>
        <w:rPr>
          <w:rFonts w:asciiTheme="minorHAnsi" w:eastAsiaTheme="minorHAnsi" w:hAnsiTheme="minorHAnsi"/>
          <w:color w:val="auto"/>
          <w:szCs w:val="24"/>
        </w:rPr>
        <w:t xml:space="preserve"> strain shows with muscle spasm on extreme forward bending, loss of lateral spine motion, unilateral, in standing position” rated 20%.   The 20% rating for 5295 lumbar spine required ‘muscle spasm on extreme forward bending, loss of lateral spine motion, unilateral, in standing position’.  The CI’s condition clearly did not meet that threshold, so coding under 5293 was predominate; the PEB rating was consistent with the 5293 code and included characteristic sciatic pain.  On the CI’s BCNR application, he stated that his back was well-healed and that he was requesting an administrative discharge code be changed to a code that does not require a waiver to serve in the National Guard.  He further stated that his “back is well-healed” and there is no herniated disc.  The Board cannot deduct, nor increase the CI’s rating for either apparent clinical improvement, or worsening post-separation that does not reflect on his condition at the time of separation.  The VA applied the code 5293 for </w:t>
      </w:r>
      <w:proofErr w:type="spellStart"/>
      <w:r>
        <w:rPr>
          <w:rFonts w:asciiTheme="minorHAnsi" w:eastAsiaTheme="minorHAnsi" w:hAnsiTheme="minorHAnsi"/>
          <w:color w:val="auto"/>
          <w:szCs w:val="24"/>
        </w:rPr>
        <w:t>intervertebral</w:t>
      </w:r>
      <w:proofErr w:type="spellEnd"/>
      <w:r>
        <w:rPr>
          <w:rFonts w:asciiTheme="minorHAnsi" w:eastAsiaTheme="minorHAnsi" w:hAnsiTheme="minorHAnsi"/>
          <w:color w:val="auto"/>
          <w:szCs w:val="24"/>
        </w:rPr>
        <w:t xml:space="preserve"> disc syndrome.  The Board reviewed the </w:t>
      </w:r>
      <w:proofErr w:type="spellStart"/>
      <w:r>
        <w:rPr>
          <w:rFonts w:asciiTheme="minorHAnsi" w:eastAsiaTheme="minorHAnsi" w:hAnsiTheme="minorHAnsi"/>
          <w:color w:val="auto"/>
          <w:szCs w:val="24"/>
        </w:rPr>
        <w:t>symptomatology</w:t>
      </w:r>
      <w:proofErr w:type="spellEnd"/>
      <w:r>
        <w:rPr>
          <w:rFonts w:asciiTheme="minorHAnsi" w:eastAsiaTheme="minorHAnsi" w:hAnsiTheme="minorHAnsi"/>
          <w:color w:val="auto"/>
          <w:szCs w:val="24"/>
        </w:rPr>
        <w:t xml:space="preserve"> that CI exhibited along with the various coding options and agreed that the rating of 5293 at 20% for moderate recurring attacks was a fair and accurate disability determination and was justifiable by the record.  All evidence considered</w:t>
      </w:r>
      <w:proofErr w:type="gramStart"/>
      <w:r>
        <w:rPr>
          <w:rFonts w:asciiTheme="minorHAnsi" w:eastAsiaTheme="minorHAnsi" w:hAnsiTheme="minorHAnsi"/>
          <w:color w:val="auto"/>
          <w:szCs w:val="24"/>
        </w:rPr>
        <w:t>,</w:t>
      </w:r>
      <w:proofErr w:type="gramEnd"/>
      <w:r>
        <w:rPr>
          <w:rFonts w:asciiTheme="minorHAnsi" w:eastAsiaTheme="minorHAnsi" w:hAnsiTheme="minorHAnsi"/>
          <w:color w:val="auto"/>
          <w:szCs w:val="24"/>
        </w:rPr>
        <w:t xml:space="preserve"> there is not reasonable doubt in the CI’s favor for recommending an increase in the rating for the lumbar spine condition.</w:t>
      </w:r>
    </w:p>
    <w:p w:rsidR="00F169D5" w:rsidRDefault="00F169D5" w:rsidP="00F169D5">
      <w:pPr>
        <w:tabs>
          <w:tab w:val="left" w:pos="288"/>
          <w:tab w:val="left" w:pos="4752"/>
        </w:tabs>
        <w:spacing w:line="240" w:lineRule="exact"/>
        <w:jc w:val="both"/>
        <w:rPr>
          <w:rFonts w:asciiTheme="minorHAnsi" w:hAnsiTheme="minorHAnsi"/>
          <w:color w:val="auto"/>
          <w:szCs w:val="24"/>
        </w:rPr>
      </w:pPr>
    </w:p>
    <w:p w:rsidR="00F169D5" w:rsidRDefault="00F169D5" w:rsidP="00F169D5">
      <w:pPr>
        <w:tabs>
          <w:tab w:val="left" w:pos="288"/>
          <w:tab w:val="left" w:pos="4752"/>
        </w:tabs>
        <w:spacing w:line="240" w:lineRule="exact"/>
        <w:jc w:val="both"/>
        <w:rPr>
          <w:rFonts w:asciiTheme="minorHAnsi" w:eastAsiaTheme="minorHAnsi" w:hAnsiTheme="minorHAnsi"/>
          <w:color w:val="auto"/>
          <w:szCs w:val="24"/>
        </w:rPr>
      </w:pPr>
      <w:proofErr w:type="gramStart"/>
      <w:r>
        <w:rPr>
          <w:rFonts w:asciiTheme="minorHAnsi" w:hAnsiTheme="minorHAnsi"/>
          <w:color w:val="auto"/>
          <w:szCs w:val="24"/>
          <w:u w:val="single"/>
        </w:rPr>
        <w:t xml:space="preserve">Bilateral Lower Extremity </w:t>
      </w:r>
      <w:proofErr w:type="spellStart"/>
      <w:r>
        <w:rPr>
          <w:rFonts w:asciiTheme="minorHAnsi" w:hAnsiTheme="minorHAnsi"/>
          <w:color w:val="auto"/>
          <w:szCs w:val="24"/>
          <w:u w:val="single"/>
        </w:rPr>
        <w:t>Radiculopathy</w:t>
      </w:r>
      <w:proofErr w:type="spellEnd"/>
      <w:r>
        <w:rPr>
          <w:rFonts w:asciiTheme="minorHAnsi" w:hAnsiTheme="minorHAnsi"/>
          <w:color w:val="auto"/>
          <w:szCs w:val="24"/>
        </w:rPr>
        <w:t>.</w:t>
      </w:r>
      <w:proofErr w:type="gramEnd"/>
      <w:r>
        <w:rPr>
          <w:rFonts w:asciiTheme="minorHAnsi" w:hAnsiTheme="minorHAnsi"/>
          <w:color w:val="auto"/>
          <w:szCs w:val="24"/>
        </w:rPr>
        <w:t xml:space="preserve">  The PEB found the “Bilateral Lower Extremity </w:t>
      </w:r>
      <w:proofErr w:type="spellStart"/>
      <w:r>
        <w:rPr>
          <w:rFonts w:asciiTheme="minorHAnsi" w:hAnsiTheme="minorHAnsi"/>
          <w:color w:val="auto"/>
          <w:szCs w:val="24"/>
        </w:rPr>
        <w:t>Radiculopathy</w:t>
      </w:r>
      <w:proofErr w:type="spellEnd"/>
      <w:r>
        <w:rPr>
          <w:rFonts w:asciiTheme="minorHAnsi" w:hAnsiTheme="minorHAnsi"/>
          <w:color w:val="auto"/>
          <w:szCs w:val="24"/>
        </w:rPr>
        <w:t xml:space="preserve">” as a Category II condition (conditions that contribute to the unfitting conditions).  The CI’s LIMDU referenced this condition.  The NARSUM noted that the CI had “on/off </w:t>
      </w:r>
      <w:proofErr w:type="spellStart"/>
      <w:r>
        <w:rPr>
          <w:rFonts w:asciiTheme="minorHAnsi" w:hAnsiTheme="minorHAnsi"/>
          <w:color w:val="auto"/>
          <w:szCs w:val="24"/>
        </w:rPr>
        <w:t>paresthesias</w:t>
      </w:r>
      <w:proofErr w:type="spellEnd"/>
      <w:r>
        <w:rPr>
          <w:rFonts w:asciiTheme="minorHAnsi" w:hAnsiTheme="minorHAnsi"/>
          <w:color w:val="auto"/>
          <w:szCs w:val="24"/>
        </w:rPr>
        <w:t xml:space="preserve"> bilateral legs” although there were no abnormal electrophysiological studies.  The CI had the diagnosis of bilateral lower extremity (LE) L5-S1 </w:t>
      </w:r>
      <w:proofErr w:type="spellStart"/>
      <w:r>
        <w:rPr>
          <w:rFonts w:asciiTheme="minorHAnsi" w:hAnsiTheme="minorHAnsi"/>
          <w:color w:val="auto"/>
          <w:szCs w:val="24"/>
        </w:rPr>
        <w:t>radiculopathy</w:t>
      </w:r>
      <w:proofErr w:type="spellEnd"/>
      <w:r>
        <w:rPr>
          <w:rFonts w:asciiTheme="minorHAnsi" w:hAnsiTheme="minorHAnsi"/>
          <w:color w:val="auto"/>
          <w:szCs w:val="24"/>
        </w:rPr>
        <w:t xml:space="preserve">.  </w:t>
      </w:r>
      <w:r>
        <w:rPr>
          <w:rFonts w:asciiTheme="minorHAnsi" w:eastAsiaTheme="minorHAnsi" w:hAnsiTheme="minorHAnsi"/>
          <w:color w:val="auto"/>
          <w:szCs w:val="24"/>
        </w:rPr>
        <w:t xml:space="preserve">The MEB Orthopedist found on examination 18 days prior to separation that the pain in CI’s posterior legs is “worse on the right than the left.  The tingling travels from time to time down to both calves and into the right heel.”  The MEB Orthopedist described intact sensation, normal motor strength and reflexes.  The MEB internist‘s exam documented the same findings.  The VA C&amp;P exam confirmed the same findings along with mentioning the bilateral </w:t>
      </w:r>
      <w:proofErr w:type="spellStart"/>
      <w:r>
        <w:rPr>
          <w:rFonts w:asciiTheme="minorHAnsi" w:eastAsiaTheme="minorHAnsi" w:hAnsiTheme="minorHAnsi"/>
          <w:color w:val="auto"/>
          <w:szCs w:val="24"/>
        </w:rPr>
        <w:t>paresthesias</w:t>
      </w:r>
      <w:proofErr w:type="spellEnd"/>
      <w:r>
        <w:rPr>
          <w:rFonts w:asciiTheme="minorHAnsi" w:eastAsiaTheme="minorHAnsi" w:hAnsiTheme="minorHAnsi"/>
          <w:color w:val="auto"/>
          <w:szCs w:val="24"/>
        </w:rPr>
        <w:t xml:space="preserve"> and </w:t>
      </w:r>
      <w:proofErr w:type="spellStart"/>
      <w:r>
        <w:rPr>
          <w:rFonts w:asciiTheme="minorHAnsi" w:eastAsiaTheme="minorHAnsi" w:hAnsiTheme="minorHAnsi"/>
          <w:color w:val="auto"/>
          <w:szCs w:val="24"/>
        </w:rPr>
        <w:t>antalgic</w:t>
      </w:r>
      <w:proofErr w:type="spellEnd"/>
      <w:r>
        <w:rPr>
          <w:rFonts w:asciiTheme="minorHAnsi" w:eastAsiaTheme="minorHAnsi" w:hAnsiTheme="minorHAnsi"/>
          <w:color w:val="auto"/>
          <w:szCs w:val="24"/>
        </w:rPr>
        <w:t xml:space="preserve"> gait with a pelvic tilt to the right.  As was documented in all of the exams, there was a leg length discrepancy of two centimeters.  The CI did not require narcotic pain medications, did not have motor deficits, and did not have fixed sensory deficits that would interfere with performance duty.  Pain-</w:t>
      </w:r>
      <w:proofErr w:type="spellStart"/>
      <w:r>
        <w:rPr>
          <w:rFonts w:asciiTheme="minorHAnsi" w:eastAsiaTheme="minorHAnsi" w:hAnsiTheme="minorHAnsi"/>
          <w:color w:val="auto"/>
          <w:szCs w:val="24"/>
        </w:rPr>
        <w:t>radiculopathy</w:t>
      </w:r>
      <w:proofErr w:type="spellEnd"/>
      <w:r>
        <w:rPr>
          <w:rFonts w:asciiTheme="minorHAnsi" w:eastAsiaTheme="minorHAnsi" w:hAnsiTheme="minorHAnsi"/>
          <w:color w:val="auto"/>
          <w:szCs w:val="24"/>
        </w:rPr>
        <w:t xml:space="preserve"> from spine conditions was not a part of every back rating IAW the VASRD in effect at the time of separation; however, for the CI’s unfitting HNP coded 5293 sciatic pain was specifically included as “symptoms compatible with sciatic neuropathy”.  The Board discussed in detail if this condition should be found separately unfitting and ratable at the time of </w:t>
      </w:r>
      <w:proofErr w:type="gramStart"/>
      <w:r>
        <w:rPr>
          <w:rFonts w:asciiTheme="minorHAnsi" w:eastAsiaTheme="minorHAnsi" w:hAnsiTheme="minorHAnsi"/>
          <w:color w:val="auto"/>
          <w:szCs w:val="24"/>
        </w:rPr>
        <w:t>separation,</w:t>
      </w:r>
      <w:proofErr w:type="gramEnd"/>
      <w:r>
        <w:rPr>
          <w:rFonts w:asciiTheme="minorHAnsi" w:eastAsiaTheme="minorHAnsi" w:hAnsiTheme="minorHAnsi"/>
          <w:color w:val="auto"/>
          <w:szCs w:val="24"/>
        </w:rPr>
        <w:t xml:space="preserve"> or if the leg pains were included in the HNP rating or not unfitting.  The first time that the VA noted ratable bilateral </w:t>
      </w:r>
      <w:proofErr w:type="spellStart"/>
      <w:r>
        <w:rPr>
          <w:rFonts w:asciiTheme="minorHAnsi" w:eastAsiaTheme="minorHAnsi" w:hAnsiTheme="minorHAnsi"/>
          <w:color w:val="auto"/>
          <w:szCs w:val="24"/>
        </w:rPr>
        <w:t>radiculopathy</w:t>
      </w:r>
      <w:proofErr w:type="spellEnd"/>
      <w:r>
        <w:rPr>
          <w:rFonts w:asciiTheme="minorHAnsi" w:eastAsiaTheme="minorHAnsi" w:hAnsiTheme="minorHAnsi"/>
          <w:color w:val="auto"/>
          <w:szCs w:val="24"/>
        </w:rPr>
        <w:t xml:space="preserve"> was in 2008, and was for 8520 at 10% each leg (Mild).  This may demonstrate worsening of the CI’s condition, but is not an indicator for increased disability at the time of separation.  The Board determined that the record of disability attributable to the bilateral leg </w:t>
      </w:r>
      <w:proofErr w:type="spellStart"/>
      <w:r>
        <w:rPr>
          <w:rFonts w:asciiTheme="minorHAnsi" w:eastAsiaTheme="minorHAnsi" w:hAnsiTheme="minorHAnsi"/>
          <w:color w:val="auto"/>
          <w:szCs w:val="24"/>
        </w:rPr>
        <w:t>radiculopathy</w:t>
      </w:r>
      <w:proofErr w:type="spellEnd"/>
      <w:r>
        <w:rPr>
          <w:rFonts w:asciiTheme="minorHAnsi" w:eastAsiaTheme="minorHAnsi" w:hAnsiTheme="minorHAnsi"/>
          <w:color w:val="auto"/>
          <w:szCs w:val="24"/>
        </w:rPr>
        <w:t>, absent the back pain, was insufficient to overturn the PEB’s determination of Category II (not separately unfitting).  All evidence considered</w:t>
      </w:r>
      <w:proofErr w:type="gramStart"/>
      <w:r>
        <w:rPr>
          <w:rFonts w:asciiTheme="minorHAnsi" w:eastAsiaTheme="minorHAnsi" w:hAnsiTheme="minorHAnsi"/>
          <w:color w:val="auto"/>
          <w:szCs w:val="24"/>
        </w:rPr>
        <w:t>,</w:t>
      </w:r>
      <w:proofErr w:type="gramEnd"/>
      <w:r>
        <w:rPr>
          <w:rFonts w:asciiTheme="minorHAnsi" w:eastAsiaTheme="minorHAnsi" w:hAnsiTheme="minorHAnsi"/>
          <w:color w:val="auto"/>
          <w:szCs w:val="24"/>
        </w:rPr>
        <w:t xml:space="preserve"> there is not reasonable doubt in the CI’s favor supporting </w:t>
      </w:r>
      <w:proofErr w:type="spellStart"/>
      <w:r>
        <w:rPr>
          <w:rFonts w:asciiTheme="minorHAnsi" w:eastAsiaTheme="minorHAnsi" w:hAnsiTheme="minorHAnsi"/>
          <w:color w:val="auto"/>
          <w:szCs w:val="24"/>
        </w:rPr>
        <w:t>recharacterization</w:t>
      </w:r>
      <w:proofErr w:type="spellEnd"/>
      <w:r>
        <w:rPr>
          <w:rFonts w:asciiTheme="minorHAnsi" w:eastAsiaTheme="minorHAnsi" w:hAnsiTheme="minorHAnsi"/>
          <w:color w:val="auto"/>
          <w:szCs w:val="24"/>
        </w:rPr>
        <w:t xml:space="preserve"> of the PEB fitness adjudication for the Bilateral Lower Extremity </w:t>
      </w:r>
      <w:proofErr w:type="spellStart"/>
      <w:r>
        <w:rPr>
          <w:rFonts w:asciiTheme="minorHAnsi" w:eastAsiaTheme="minorHAnsi" w:hAnsiTheme="minorHAnsi"/>
          <w:color w:val="auto"/>
          <w:szCs w:val="24"/>
        </w:rPr>
        <w:t>Radiculopathy</w:t>
      </w:r>
      <w:proofErr w:type="spellEnd"/>
      <w:r>
        <w:rPr>
          <w:rFonts w:asciiTheme="minorHAnsi" w:eastAsiaTheme="minorHAnsi" w:hAnsiTheme="minorHAnsi"/>
          <w:color w:val="auto"/>
          <w:szCs w:val="24"/>
        </w:rPr>
        <w:t xml:space="preserve"> condition.  </w:t>
      </w:r>
    </w:p>
    <w:p w:rsidR="00F169D5" w:rsidRDefault="00F169D5" w:rsidP="00F169D5">
      <w:pPr>
        <w:tabs>
          <w:tab w:val="left" w:pos="288"/>
          <w:tab w:val="left" w:pos="4752"/>
        </w:tabs>
        <w:spacing w:line="240" w:lineRule="exact"/>
        <w:jc w:val="both"/>
        <w:rPr>
          <w:rFonts w:asciiTheme="minorHAnsi" w:eastAsiaTheme="minorHAnsi" w:hAnsiTheme="minorHAnsi"/>
          <w:color w:val="auto"/>
          <w:szCs w:val="24"/>
        </w:rPr>
      </w:pPr>
    </w:p>
    <w:p w:rsidR="00F169D5" w:rsidRDefault="00F169D5" w:rsidP="00F169D5">
      <w:pPr>
        <w:tabs>
          <w:tab w:val="left" w:pos="288"/>
          <w:tab w:val="left" w:pos="4752"/>
        </w:tabs>
        <w:spacing w:line="240" w:lineRule="exact"/>
        <w:jc w:val="both"/>
        <w:rPr>
          <w:rFonts w:asciiTheme="minorHAnsi" w:eastAsiaTheme="minorHAnsi" w:hAnsiTheme="minorHAnsi"/>
          <w:color w:val="auto"/>
          <w:szCs w:val="24"/>
        </w:rPr>
      </w:pPr>
      <w:proofErr w:type="gramStart"/>
      <w:r>
        <w:rPr>
          <w:rFonts w:asciiTheme="minorHAnsi" w:hAnsiTheme="minorHAnsi"/>
          <w:color w:val="auto"/>
          <w:szCs w:val="24"/>
          <w:u w:val="single"/>
        </w:rPr>
        <w:t>Other DES-Noted Conditions (</w:t>
      </w:r>
      <w:r>
        <w:rPr>
          <w:rFonts w:asciiTheme="minorHAnsi" w:eastAsiaTheme="minorHAnsi" w:hAnsiTheme="minorHAnsi"/>
          <w:color w:val="auto"/>
          <w:szCs w:val="24"/>
          <w:u w:val="single"/>
        </w:rPr>
        <w:t xml:space="preserve">Tinnitus, Thoracic </w:t>
      </w:r>
      <w:proofErr w:type="spellStart"/>
      <w:r>
        <w:rPr>
          <w:rFonts w:asciiTheme="minorHAnsi" w:eastAsiaTheme="minorHAnsi" w:hAnsiTheme="minorHAnsi"/>
          <w:color w:val="auto"/>
          <w:szCs w:val="24"/>
          <w:u w:val="single"/>
        </w:rPr>
        <w:t>Schmorl’s</w:t>
      </w:r>
      <w:proofErr w:type="spellEnd"/>
      <w:r>
        <w:rPr>
          <w:rFonts w:asciiTheme="minorHAnsi" w:eastAsiaTheme="minorHAnsi" w:hAnsiTheme="minorHAnsi"/>
          <w:color w:val="auto"/>
          <w:szCs w:val="24"/>
          <w:u w:val="single"/>
        </w:rPr>
        <w:t xml:space="preserve"> Node, Tonsillectomy, Sinusitis, Left Foot Plantar Fasciitis, Right Foot Plantar Fasciitis)</w:t>
      </w:r>
      <w:r>
        <w:rPr>
          <w:rFonts w:asciiTheme="minorHAnsi" w:eastAsiaTheme="minorHAnsi" w:hAnsiTheme="minorHAnsi"/>
          <w:color w:val="auto"/>
          <w:szCs w:val="24"/>
        </w:rPr>
        <w:t>.</w:t>
      </w:r>
      <w:proofErr w:type="gramEnd"/>
      <w:r>
        <w:rPr>
          <w:rFonts w:asciiTheme="minorHAnsi" w:eastAsiaTheme="minorHAnsi" w:hAnsiTheme="minorHAnsi"/>
          <w:color w:val="auto"/>
          <w:szCs w:val="24"/>
        </w:rPr>
        <w:t xml:space="preserve">  These conditions were mentioned in the DES file, including the MEB physical.  Although not specifically mentioned by diagnosis, the symptoms attributable to b</w:t>
      </w:r>
      <w:r>
        <w:rPr>
          <w:rFonts w:asciiTheme="minorHAnsi" w:hAnsiTheme="minorHAnsi"/>
          <w:color w:val="auto"/>
          <w:szCs w:val="24"/>
        </w:rPr>
        <w:t xml:space="preserve">ilateral plantar tendonitis were noted with the bilateral plantar fasciitis and the condition was adjudged to be within the purview of the Board for adjudication.  </w:t>
      </w:r>
      <w:r>
        <w:rPr>
          <w:rFonts w:asciiTheme="minorHAnsi" w:eastAsiaTheme="minorHAnsi" w:hAnsiTheme="minorHAnsi"/>
          <w:color w:val="auto"/>
          <w:szCs w:val="24"/>
        </w:rPr>
        <w:t xml:space="preserve">None of the conditions were considered to interfere with duty; they did not restrict the CI from duty, and were not noted in the non-medical assessment.  No link to fitness is in evidence for any of the conditions.  The only documented physical limitations were those attributed to the adjudicated conditions.  No link to fitness can be drawn for the tinnitus, thoracic </w:t>
      </w:r>
      <w:proofErr w:type="spellStart"/>
      <w:r>
        <w:rPr>
          <w:rFonts w:asciiTheme="minorHAnsi" w:eastAsiaTheme="minorHAnsi" w:hAnsiTheme="minorHAnsi"/>
          <w:color w:val="auto"/>
          <w:szCs w:val="24"/>
        </w:rPr>
        <w:t>Schmorl’s</w:t>
      </w:r>
      <w:proofErr w:type="spellEnd"/>
      <w:r>
        <w:rPr>
          <w:rFonts w:asciiTheme="minorHAnsi" w:eastAsiaTheme="minorHAnsi" w:hAnsiTheme="minorHAnsi"/>
          <w:color w:val="auto"/>
          <w:szCs w:val="24"/>
        </w:rPr>
        <w:t xml:space="preserve"> node, tonsillectomy, sinusitis, left foot plantar fasciitis, right foot plantar fasciitis or b</w:t>
      </w:r>
      <w:r>
        <w:rPr>
          <w:rFonts w:asciiTheme="minorHAnsi" w:hAnsiTheme="minorHAnsi"/>
          <w:color w:val="auto"/>
          <w:szCs w:val="24"/>
        </w:rPr>
        <w:t xml:space="preserve">ilateral </w:t>
      </w:r>
      <w:r>
        <w:rPr>
          <w:rFonts w:asciiTheme="minorHAnsi" w:hAnsiTheme="minorHAnsi"/>
          <w:color w:val="auto"/>
          <w:szCs w:val="24"/>
        </w:rPr>
        <w:lastRenderedPageBreak/>
        <w:t xml:space="preserve">plantar tendonitis </w:t>
      </w:r>
      <w:r>
        <w:rPr>
          <w:rFonts w:asciiTheme="minorHAnsi" w:eastAsiaTheme="minorHAnsi" w:hAnsiTheme="minorHAnsi"/>
          <w:color w:val="auto"/>
          <w:szCs w:val="24"/>
        </w:rPr>
        <w:t>conditions.  These conditions were reviewed by the action officer and considered by the Board.  All evidence considered</w:t>
      </w:r>
      <w:proofErr w:type="gramStart"/>
      <w:r>
        <w:rPr>
          <w:rFonts w:asciiTheme="minorHAnsi" w:eastAsiaTheme="minorHAnsi" w:hAnsiTheme="minorHAnsi"/>
          <w:color w:val="auto"/>
          <w:szCs w:val="24"/>
        </w:rPr>
        <w:t>,</w:t>
      </w:r>
      <w:proofErr w:type="gramEnd"/>
      <w:r>
        <w:rPr>
          <w:rFonts w:asciiTheme="minorHAnsi" w:eastAsiaTheme="minorHAnsi" w:hAnsiTheme="minorHAnsi"/>
          <w:color w:val="auto"/>
          <w:szCs w:val="24"/>
        </w:rPr>
        <w:t xml:space="preserve"> there is not reasonable doubt in the CI’s favor supporting addition of any of these conditions as unfitting for separation rating.  There were no other conditions (than those noted above) that had a bearing on fitness noted in the DES or VA ratings.  The Board, therefore, has no reasonable basis for recommending any additional unfitting conditions for separation rating.</w:t>
      </w:r>
    </w:p>
    <w:p w:rsidR="00F169D5" w:rsidRDefault="00F169D5" w:rsidP="00F169D5">
      <w:pPr>
        <w:tabs>
          <w:tab w:val="left" w:pos="288"/>
          <w:tab w:val="left" w:pos="4752"/>
        </w:tabs>
        <w:spacing w:line="240" w:lineRule="exact"/>
        <w:jc w:val="both"/>
        <w:rPr>
          <w:rFonts w:asciiTheme="minorHAnsi" w:eastAsiaTheme="minorHAnsi" w:hAnsiTheme="minorHAnsi"/>
          <w:color w:val="auto"/>
          <w:szCs w:val="24"/>
        </w:rPr>
      </w:pPr>
    </w:p>
    <w:p w:rsidR="00F169D5" w:rsidRDefault="00F169D5" w:rsidP="00F169D5">
      <w:pPr>
        <w:tabs>
          <w:tab w:val="left" w:pos="288"/>
          <w:tab w:val="left" w:pos="4752"/>
        </w:tabs>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u w:val="single"/>
        </w:rPr>
        <w:t>Mood Disorder Condition</w:t>
      </w:r>
      <w:r>
        <w:rPr>
          <w:rFonts w:asciiTheme="minorHAnsi" w:eastAsiaTheme="minorHAnsi" w:hAnsiTheme="minorHAnsi"/>
          <w:color w:val="auto"/>
          <w:szCs w:val="24"/>
        </w:rPr>
        <w:t>:  The CI contended for ratings similar to his VA rating which included Mood Disorder coded 9435 at 30% effective from 20080714.  The CI did not have a mental health diagnosis noted within the DES file, nor any indication of impairment related to any potentially missed mental health diagnosis at the time of separation.  T</w:t>
      </w:r>
      <w:r>
        <w:rPr>
          <w:rFonts w:ascii="Calibri" w:hAnsi="Calibri"/>
          <w:color w:val="auto"/>
          <w:szCs w:val="24"/>
        </w:rPr>
        <w:t xml:space="preserve">he Board does not have the authority under </w:t>
      </w:r>
      <w:proofErr w:type="spellStart"/>
      <w:r>
        <w:rPr>
          <w:rFonts w:ascii="Calibri" w:hAnsi="Calibri"/>
          <w:color w:val="auto"/>
          <w:szCs w:val="24"/>
        </w:rPr>
        <w:t>DoDI</w:t>
      </w:r>
      <w:proofErr w:type="spellEnd"/>
      <w:r>
        <w:rPr>
          <w:rFonts w:ascii="Calibri" w:hAnsi="Calibri"/>
          <w:color w:val="auto"/>
          <w:szCs w:val="24"/>
        </w:rPr>
        <w:t xml:space="preserve"> </w:t>
      </w:r>
      <w:r>
        <w:rPr>
          <w:rFonts w:asciiTheme="minorHAnsi" w:eastAsiaTheme="minorHAnsi" w:hAnsiTheme="minorHAnsi"/>
          <w:color w:val="auto"/>
          <w:szCs w:val="24"/>
        </w:rPr>
        <w:t xml:space="preserve">6040.44 to render fitness or rating recommendations for any conditions not considered by the DES.  The Mood Disorder condition not covered above remains eligible for Board for Correction of Naval Records (BCNR) consideration.  </w:t>
      </w:r>
    </w:p>
    <w:p w:rsidR="00F169D5" w:rsidRDefault="00F169D5" w:rsidP="00F169D5">
      <w:pPr>
        <w:pBdr>
          <w:bottom w:val="single" w:sz="12" w:space="1" w:color="auto"/>
        </w:pBdr>
        <w:tabs>
          <w:tab w:val="left" w:pos="288"/>
          <w:tab w:val="left" w:pos="4752"/>
        </w:tabs>
        <w:spacing w:line="240" w:lineRule="exact"/>
        <w:jc w:val="both"/>
        <w:rPr>
          <w:color w:val="000080"/>
        </w:rPr>
      </w:pPr>
    </w:p>
    <w:p w:rsidR="00F169D5" w:rsidRDefault="00F169D5" w:rsidP="00F169D5">
      <w:pPr>
        <w:tabs>
          <w:tab w:val="left" w:pos="288"/>
          <w:tab w:val="left" w:pos="4752"/>
        </w:tabs>
        <w:spacing w:line="240" w:lineRule="exact"/>
        <w:jc w:val="both"/>
        <w:rPr>
          <w:rFonts w:ascii="Calibri" w:hAnsi="Calibri"/>
          <w:color w:val="auto"/>
          <w:u w:val="single"/>
        </w:rPr>
      </w:pPr>
    </w:p>
    <w:p w:rsidR="00F169D5" w:rsidRDefault="00F169D5" w:rsidP="00F169D5">
      <w:pPr>
        <w:spacing w:line="240" w:lineRule="exact"/>
        <w:jc w:val="both"/>
        <w:rPr>
          <w:rFonts w:asciiTheme="minorHAnsi" w:hAnsiTheme="minorHAnsi"/>
          <w:color w:val="auto"/>
          <w:szCs w:val="24"/>
        </w:rPr>
      </w:pPr>
      <w:r>
        <w:rPr>
          <w:rFonts w:asciiTheme="minorHAnsi" w:hAnsiTheme="minorHAnsi"/>
          <w:color w:val="auto"/>
          <w:szCs w:val="24"/>
          <w:u w:val="single"/>
        </w:rPr>
        <w:t>BOARD FINDINGS</w:t>
      </w:r>
      <w:r>
        <w:rPr>
          <w:rFonts w:asciiTheme="minorHAnsi" w:hAnsiTheme="minorHAnsi"/>
          <w:color w:val="auto"/>
          <w:szCs w:val="24"/>
        </w:rPr>
        <w:t>:</w:t>
      </w:r>
      <w:r>
        <w:rPr>
          <w:rFonts w:asciiTheme="minorHAnsi" w:eastAsiaTheme="minorHAnsi" w:hAnsiTheme="minorHAnsi"/>
          <w:color w:val="auto"/>
          <w:szCs w:val="24"/>
        </w:rPr>
        <w:t xml:space="preserve">  IAW </w:t>
      </w:r>
      <w:proofErr w:type="spellStart"/>
      <w:r>
        <w:rPr>
          <w:rFonts w:asciiTheme="minorHAnsi" w:eastAsiaTheme="minorHAnsi" w:hAnsiTheme="minorHAnsi"/>
          <w:color w:val="auto"/>
          <w:szCs w:val="24"/>
        </w:rPr>
        <w:t>DoDI</w:t>
      </w:r>
      <w:proofErr w:type="spellEnd"/>
      <w:r>
        <w:rPr>
          <w:rFonts w:asciiTheme="minorHAnsi" w:eastAsiaTheme="minorHAnsi" w:hAnsiTheme="minorHAnsi"/>
          <w:color w:val="auto"/>
          <w:szCs w:val="24"/>
        </w:rPr>
        <w:t xml:space="preserve"> 6040.44, provisions of </w:t>
      </w:r>
      <w:proofErr w:type="spellStart"/>
      <w:r>
        <w:rPr>
          <w:rFonts w:asciiTheme="minorHAnsi" w:eastAsiaTheme="minorHAnsi" w:hAnsiTheme="minorHAnsi"/>
          <w:color w:val="auto"/>
          <w:szCs w:val="24"/>
        </w:rPr>
        <w:t>DoD</w:t>
      </w:r>
      <w:proofErr w:type="spellEnd"/>
      <w:r>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  In the matter of the HNP (Lumbar spine) condition and IAW VASRD §4.71a, the Board unanimously recommends no change in the PEB adjudication.  In the matter of the left and right lower extremity </w:t>
      </w:r>
      <w:proofErr w:type="spellStart"/>
      <w:r>
        <w:rPr>
          <w:rFonts w:asciiTheme="minorHAnsi" w:eastAsiaTheme="minorHAnsi" w:hAnsiTheme="minorHAnsi"/>
          <w:color w:val="auto"/>
          <w:szCs w:val="24"/>
        </w:rPr>
        <w:t>radiculopathy</w:t>
      </w:r>
      <w:proofErr w:type="spellEnd"/>
      <w:r>
        <w:rPr>
          <w:rFonts w:asciiTheme="minorHAnsi" w:eastAsiaTheme="minorHAnsi" w:hAnsiTheme="minorHAnsi"/>
          <w:color w:val="auto"/>
          <w:szCs w:val="24"/>
        </w:rPr>
        <w:t xml:space="preserve"> conditions, the Board unanimously recommends no </w:t>
      </w:r>
      <w:proofErr w:type="spellStart"/>
      <w:r>
        <w:rPr>
          <w:rFonts w:asciiTheme="minorHAnsi" w:eastAsiaTheme="minorHAnsi" w:hAnsiTheme="minorHAnsi"/>
          <w:color w:val="auto"/>
          <w:szCs w:val="24"/>
        </w:rPr>
        <w:t>recharacterization</w:t>
      </w:r>
      <w:proofErr w:type="spellEnd"/>
      <w:r>
        <w:rPr>
          <w:rFonts w:asciiTheme="minorHAnsi" w:eastAsiaTheme="minorHAnsi" w:hAnsiTheme="minorHAnsi"/>
          <w:color w:val="auto"/>
          <w:szCs w:val="24"/>
        </w:rPr>
        <w:t xml:space="preserve"> of the PEB adjudications as not unfitting.  In the matter of the tinnitus, thoracic </w:t>
      </w:r>
      <w:proofErr w:type="spellStart"/>
      <w:r>
        <w:rPr>
          <w:rFonts w:asciiTheme="minorHAnsi" w:eastAsiaTheme="minorHAnsi" w:hAnsiTheme="minorHAnsi"/>
          <w:color w:val="auto"/>
          <w:szCs w:val="24"/>
        </w:rPr>
        <w:t>Schmorl’s</w:t>
      </w:r>
      <w:proofErr w:type="spellEnd"/>
      <w:r>
        <w:rPr>
          <w:rFonts w:asciiTheme="minorHAnsi" w:eastAsiaTheme="minorHAnsi" w:hAnsiTheme="minorHAnsi"/>
          <w:color w:val="auto"/>
          <w:szCs w:val="24"/>
        </w:rPr>
        <w:t xml:space="preserve"> node, tonsillectomy, sinusitis, left foot plantar fasciitis, and right foot plantar fasciitis conditions, or any other medical conditions eligible for Board consideration, the Board unanimously agrees that it cannot recommend any findings of unfit for additional rating at separation.  </w:t>
      </w:r>
      <w:r>
        <w:rPr>
          <w:rFonts w:asciiTheme="minorHAnsi" w:hAnsiTheme="minorHAnsi"/>
          <w:color w:val="auto"/>
          <w:szCs w:val="24"/>
        </w:rPr>
        <w:t xml:space="preserve">       </w:t>
      </w:r>
    </w:p>
    <w:p w:rsidR="00F169D5" w:rsidRDefault="00F169D5" w:rsidP="00F169D5">
      <w:pPr>
        <w:pBdr>
          <w:bottom w:val="single" w:sz="12" w:space="1" w:color="auto"/>
        </w:pBdr>
        <w:tabs>
          <w:tab w:val="left" w:pos="288"/>
          <w:tab w:val="left" w:pos="4752"/>
        </w:tabs>
        <w:spacing w:line="240" w:lineRule="exact"/>
        <w:jc w:val="both"/>
        <w:rPr>
          <w:color w:val="000080"/>
        </w:rPr>
      </w:pPr>
    </w:p>
    <w:p w:rsidR="00F169D5" w:rsidRDefault="00F169D5" w:rsidP="00F169D5">
      <w:pPr>
        <w:tabs>
          <w:tab w:val="left" w:pos="288"/>
          <w:tab w:val="left" w:pos="4752"/>
        </w:tabs>
        <w:spacing w:line="240" w:lineRule="exact"/>
        <w:jc w:val="both"/>
        <w:rPr>
          <w:rFonts w:ascii="Calibri" w:hAnsi="Calibri"/>
          <w:color w:val="auto"/>
          <w:u w:val="single"/>
        </w:rPr>
      </w:pPr>
    </w:p>
    <w:p w:rsidR="00F169D5" w:rsidRDefault="00F169D5" w:rsidP="00F169D5">
      <w:pPr>
        <w:spacing w:line="240" w:lineRule="exact"/>
        <w:rPr>
          <w:rFonts w:asciiTheme="minorHAnsi" w:hAnsiTheme="minorHAnsi"/>
          <w:color w:val="auto"/>
          <w:szCs w:val="24"/>
          <w:u w:val="single"/>
        </w:rPr>
      </w:pPr>
      <w:r>
        <w:rPr>
          <w:rFonts w:asciiTheme="minorHAnsi" w:hAnsiTheme="minorHAnsi"/>
          <w:color w:val="auto"/>
          <w:szCs w:val="24"/>
          <w:u w:val="single"/>
        </w:rPr>
        <w:t>RECOMMENDATION</w:t>
      </w:r>
      <w:r>
        <w:rPr>
          <w:rFonts w:asciiTheme="minorHAnsi" w:hAnsiTheme="minorHAnsi"/>
          <w:color w:val="auto"/>
          <w:szCs w:val="24"/>
        </w:rPr>
        <w:t xml:space="preserve">:  The Board therefore recommends that there be no </w:t>
      </w:r>
      <w:proofErr w:type="spellStart"/>
      <w:r>
        <w:rPr>
          <w:rFonts w:asciiTheme="minorHAnsi" w:hAnsiTheme="minorHAnsi"/>
          <w:color w:val="auto"/>
          <w:szCs w:val="24"/>
        </w:rPr>
        <w:t>recharacterization</w:t>
      </w:r>
      <w:proofErr w:type="spellEnd"/>
      <w:r>
        <w:rPr>
          <w:rFonts w:asciiTheme="minorHAnsi" w:hAnsiTheme="minorHAnsi"/>
          <w:color w:val="auto"/>
          <w:szCs w:val="24"/>
        </w:rPr>
        <w:t xml:space="preserve"> of the CI’s disability and separation determination.</w:t>
      </w:r>
    </w:p>
    <w:p w:rsidR="00F169D5" w:rsidRDefault="00F169D5" w:rsidP="00F169D5">
      <w:pPr>
        <w:pBdr>
          <w:bottom w:val="single" w:sz="12" w:space="1" w:color="auto"/>
        </w:pBdr>
        <w:tabs>
          <w:tab w:val="left" w:pos="288"/>
          <w:tab w:val="left" w:pos="4752"/>
        </w:tabs>
        <w:spacing w:line="240" w:lineRule="exact"/>
        <w:jc w:val="both"/>
        <w:rPr>
          <w:color w:val="000080"/>
        </w:rPr>
      </w:pPr>
    </w:p>
    <w:p w:rsidR="00F169D5" w:rsidRDefault="00F169D5" w:rsidP="00F169D5">
      <w:pPr>
        <w:tabs>
          <w:tab w:val="left" w:pos="288"/>
          <w:tab w:val="left" w:pos="4752"/>
        </w:tabs>
        <w:spacing w:line="240" w:lineRule="exact"/>
        <w:jc w:val="both"/>
        <w:rPr>
          <w:rFonts w:asciiTheme="minorHAnsi" w:hAnsiTheme="minorHAnsi"/>
          <w:color w:val="auto"/>
        </w:rPr>
      </w:pPr>
    </w:p>
    <w:p w:rsidR="00F169D5" w:rsidRDefault="00F169D5" w:rsidP="00F169D5">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F169D5" w:rsidRDefault="00F169D5" w:rsidP="00F169D5">
      <w:pPr>
        <w:tabs>
          <w:tab w:val="left" w:pos="288"/>
          <w:tab w:val="left" w:pos="4752"/>
        </w:tabs>
        <w:spacing w:line="240" w:lineRule="exact"/>
        <w:jc w:val="both"/>
        <w:rPr>
          <w:rFonts w:asciiTheme="minorHAnsi" w:hAnsiTheme="minorHAnsi"/>
          <w:color w:val="auto"/>
        </w:rPr>
      </w:pPr>
    </w:p>
    <w:p w:rsidR="00F169D5" w:rsidRDefault="00F169D5" w:rsidP="00F169D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20090917, w/</w:t>
      </w:r>
      <w:proofErr w:type="spellStart"/>
      <w:r>
        <w:rPr>
          <w:rFonts w:asciiTheme="minorHAnsi" w:hAnsiTheme="minorHAnsi"/>
          <w:color w:val="auto"/>
        </w:rPr>
        <w:t>atchs</w:t>
      </w:r>
      <w:proofErr w:type="spellEnd"/>
      <w:r>
        <w:rPr>
          <w:rFonts w:asciiTheme="minorHAnsi" w:hAnsiTheme="minorHAnsi"/>
          <w:color w:val="auto"/>
        </w:rPr>
        <w:t>.</w:t>
      </w:r>
    </w:p>
    <w:p w:rsidR="00F169D5" w:rsidRDefault="00F169D5" w:rsidP="00F169D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F169D5" w:rsidRDefault="00F169D5" w:rsidP="00F169D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F169D5" w:rsidRDefault="00F169D5" w:rsidP="00F169D5">
      <w:pPr>
        <w:tabs>
          <w:tab w:val="left" w:pos="288"/>
          <w:tab w:val="left" w:pos="4752"/>
        </w:tabs>
        <w:spacing w:line="240" w:lineRule="exact"/>
        <w:jc w:val="both"/>
        <w:rPr>
          <w:rFonts w:asciiTheme="minorHAnsi" w:hAnsiTheme="minorHAnsi"/>
          <w:color w:val="auto"/>
        </w:rPr>
      </w:pPr>
    </w:p>
    <w:p w:rsidR="00F169D5" w:rsidRDefault="00F169D5" w:rsidP="00F169D5">
      <w:pPr>
        <w:tabs>
          <w:tab w:val="left" w:pos="288"/>
          <w:tab w:val="left" w:pos="4752"/>
        </w:tabs>
        <w:spacing w:line="240" w:lineRule="exact"/>
        <w:jc w:val="both"/>
        <w:rPr>
          <w:rFonts w:asciiTheme="minorHAnsi" w:hAnsiTheme="minorHAnsi"/>
          <w:color w:val="auto"/>
        </w:rPr>
      </w:pPr>
    </w:p>
    <w:p w:rsidR="00F169D5" w:rsidRDefault="00F169D5" w:rsidP="00F169D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F169D5" w:rsidRDefault="00F169D5" w:rsidP="00F169D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Physical Disability Board of Review  </w:t>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8E7A22" w:rsidRDefault="008E7A22">
      <w:pPr>
        <w:rPr>
          <w:color w:val="auto"/>
        </w:rPr>
      </w:pPr>
      <w:r>
        <w:rPr>
          <w:color w:val="auto"/>
        </w:rPr>
        <w:br w:type="page"/>
      </w:r>
    </w:p>
    <w:p w:rsidR="008E7A22" w:rsidRPr="008E7A22" w:rsidRDefault="008E7A22" w:rsidP="008E7A22">
      <w:pPr>
        <w:jc w:val="both"/>
        <w:rPr>
          <w:color w:val="auto"/>
        </w:rPr>
      </w:pPr>
      <w:r w:rsidRPr="008E7A22">
        <w:rPr>
          <w:color w:val="auto"/>
        </w:rPr>
        <w:lastRenderedPageBreak/>
        <w:t>MEMORANDUM FOR DIRECTOR, SECRETARY OF THE NAVY COUNCIL</w:t>
      </w:r>
    </w:p>
    <w:p w:rsidR="008E7A22" w:rsidRPr="008E7A22" w:rsidRDefault="008E7A22" w:rsidP="008E7A22">
      <w:pPr>
        <w:tabs>
          <w:tab w:val="left" w:pos="0"/>
          <w:tab w:val="left" w:pos="2430"/>
        </w:tabs>
        <w:jc w:val="both"/>
        <w:rPr>
          <w:color w:val="auto"/>
        </w:rPr>
      </w:pPr>
      <w:r w:rsidRPr="008E7A22">
        <w:rPr>
          <w:color w:val="auto"/>
        </w:rPr>
        <w:t xml:space="preserve">                                  </w:t>
      </w:r>
      <w:r w:rsidRPr="008E7A22">
        <w:rPr>
          <w:color w:val="auto"/>
        </w:rPr>
        <w:tab/>
        <w:t xml:space="preserve">OF REVIEW BOARDS </w:t>
      </w:r>
    </w:p>
    <w:p w:rsidR="008E7A22" w:rsidRPr="008E7A22" w:rsidRDefault="008E7A22" w:rsidP="008E7A22">
      <w:pPr>
        <w:jc w:val="both"/>
        <w:rPr>
          <w:color w:val="auto"/>
        </w:rPr>
      </w:pPr>
    </w:p>
    <w:p w:rsidR="008E7A22" w:rsidRPr="008E7A22" w:rsidRDefault="008E7A22" w:rsidP="008E7A22">
      <w:pPr>
        <w:jc w:val="both"/>
        <w:rPr>
          <w:color w:val="auto"/>
        </w:rPr>
      </w:pPr>
      <w:proofErr w:type="spellStart"/>
      <w:r w:rsidRPr="008E7A22">
        <w:rPr>
          <w:color w:val="auto"/>
        </w:rPr>
        <w:t>Subj</w:t>
      </w:r>
      <w:proofErr w:type="spellEnd"/>
      <w:r w:rsidRPr="008E7A22">
        <w:rPr>
          <w:color w:val="auto"/>
        </w:rPr>
        <w:t>:  PHYSICAL DISABILITY BOARD OF REVIEW (PDBR) RECOMMENDATION</w:t>
      </w:r>
    </w:p>
    <w:p w:rsidR="008E7A22" w:rsidRPr="008E7A22" w:rsidRDefault="008E7A22" w:rsidP="008E7A22">
      <w:pPr>
        <w:jc w:val="both"/>
        <w:rPr>
          <w:color w:val="auto"/>
        </w:rPr>
      </w:pPr>
      <w:r w:rsidRPr="008E7A22">
        <w:rPr>
          <w:color w:val="auto"/>
        </w:rPr>
        <w:t xml:space="preserve">    ICO </w:t>
      </w:r>
      <w:r>
        <w:rPr>
          <w:color w:val="auto"/>
        </w:rPr>
        <w:t>XXXXXX</w:t>
      </w:r>
      <w:r w:rsidRPr="008E7A22">
        <w:rPr>
          <w:color w:val="auto"/>
        </w:rPr>
        <w:t xml:space="preserve">, FORMER USMC, XXX XX </w:t>
      </w:r>
      <w:r>
        <w:rPr>
          <w:color w:val="auto"/>
        </w:rPr>
        <w:t>XXXX</w:t>
      </w:r>
    </w:p>
    <w:p w:rsidR="008E7A22" w:rsidRPr="008E7A22" w:rsidRDefault="008E7A22" w:rsidP="008E7A22">
      <w:pPr>
        <w:jc w:val="both"/>
        <w:rPr>
          <w:color w:val="auto"/>
        </w:rPr>
      </w:pPr>
    </w:p>
    <w:p w:rsidR="008E7A22" w:rsidRPr="008E7A22" w:rsidRDefault="008E7A22" w:rsidP="008E7A22">
      <w:pPr>
        <w:jc w:val="both"/>
        <w:rPr>
          <w:color w:val="auto"/>
        </w:rPr>
      </w:pPr>
      <w:r w:rsidRPr="008E7A22">
        <w:rPr>
          <w:color w:val="auto"/>
        </w:rPr>
        <w:t>Ref:   (a) DoDI 6040.44</w:t>
      </w:r>
    </w:p>
    <w:p w:rsidR="008E7A22" w:rsidRPr="008E7A22" w:rsidRDefault="008E7A22" w:rsidP="008E7A22">
      <w:pPr>
        <w:jc w:val="both"/>
        <w:rPr>
          <w:color w:val="auto"/>
        </w:rPr>
      </w:pPr>
      <w:r w:rsidRPr="008E7A22">
        <w:rPr>
          <w:color w:val="auto"/>
        </w:rPr>
        <w:t xml:space="preserve">             (b) PDBR </w:t>
      </w:r>
      <w:proofErr w:type="spellStart"/>
      <w:r w:rsidRPr="008E7A22">
        <w:rPr>
          <w:color w:val="auto"/>
        </w:rPr>
        <w:t>ltr</w:t>
      </w:r>
      <w:proofErr w:type="spellEnd"/>
      <w:r w:rsidRPr="008E7A22">
        <w:rPr>
          <w:color w:val="auto"/>
        </w:rPr>
        <w:t xml:space="preserve"> </w:t>
      </w:r>
      <w:proofErr w:type="spellStart"/>
      <w:r w:rsidRPr="008E7A22">
        <w:rPr>
          <w:color w:val="auto"/>
        </w:rPr>
        <w:t>dtd</w:t>
      </w:r>
      <w:proofErr w:type="spellEnd"/>
      <w:r w:rsidRPr="008E7A22">
        <w:rPr>
          <w:color w:val="auto"/>
        </w:rPr>
        <w:t xml:space="preserve"> 21Feb 11</w:t>
      </w:r>
    </w:p>
    <w:p w:rsidR="008E7A22" w:rsidRPr="008E7A22" w:rsidRDefault="008E7A22" w:rsidP="008E7A22">
      <w:pPr>
        <w:jc w:val="both"/>
        <w:rPr>
          <w:color w:val="auto"/>
        </w:rPr>
      </w:pPr>
    </w:p>
    <w:p w:rsidR="008E7A22" w:rsidRPr="008E7A22" w:rsidRDefault="008E7A22" w:rsidP="008E7A22">
      <w:pPr>
        <w:jc w:val="both"/>
        <w:rPr>
          <w:color w:val="auto"/>
        </w:rPr>
      </w:pPr>
      <w:r w:rsidRPr="008E7A22">
        <w:rPr>
          <w:color w:val="auto"/>
        </w:rPr>
        <w:t xml:space="preserve">      I have reviewed the subject case pursuant to reference (a) and, for the reasons set forth in reference (b), approve the recommendation of the Physical Disability Board of Review that Mr. </w:t>
      </w:r>
      <w:r>
        <w:rPr>
          <w:color w:val="auto"/>
        </w:rPr>
        <w:t>XXXX</w:t>
      </w:r>
      <w:r w:rsidRPr="008E7A22">
        <w:rPr>
          <w:color w:val="auto"/>
        </w:rPr>
        <w:t>’s records not be corrected to reflect a change in either his characterization of separation or in the disability rating previously assigned by the Department of the Navy’s Physical Evaluation Board.</w:t>
      </w:r>
    </w:p>
    <w:p w:rsidR="008E7A22" w:rsidRPr="008E7A22" w:rsidRDefault="008E7A22" w:rsidP="008E7A22">
      <w:pPr>
        <w:jc w:val="both"/>
        <w:rPr>
          <w:color w:val="auto"/>
        </w:rPr>
      </w:pPr>
    </w:p>
    <w:p w:rsidR="008E7A22" w:rsidRPr="008E7A22" w:rsidRDefault="008E7A22" w:rsidP="008E7A22">
      <w:pPr>
        <w:jc w:val="both"/>
        <w:rPr>
          <w:color w:val="auto"/>
        </w:rPr>
      </w:pPr>
    </w:p>
    <w:p w:rsidR="008E7A22" w:rsidRPr="008E7A22" w:rsidRDefault="008E7A22" w:rsidP="008E7A22">
      <w:pPr>
        <w:jc w:val="both"/>
        <w:rPr>
          <w:color w:val="auto"/>
        </w:rPr>
      </w:pPr>
    </w:p>
    <w:p w:rsidR="008E7A22" w:rsidRPr="008E7A22" w:rsidRDefault="008E7A22" w:rsidP="008E7A22">
      <w:pPr>
        <w:jc w:val="both"/>
        <w:rPr>
          <w:color w:val="auto"/>
        </w:rPr>
      </w:pPr>
      <w:r w:rsidRPr="008E7A22">
        <w:rPr>
          <w:color w:val="auto"/>
        </w:rPr>
        <w:tab/>
      </w:r>
      <w:r w:rsidRPr="008E7A22">
        <w:rPr>
          <w:color w:val="auto"/>
        </w:rPr>
        <w:tab/>
      </w:r>
      <w:r w:rsidRPr="008E7A22">
        <w:rPr>
          <w:color w:val="auto"/>
        </w:rPr>
        <w:tab/>
      </w:r>
      <w:r w:rsidRPr="008E7A22">
        <w:rPr>
          <w:color w:val="auto"/>
        </w:rPr>
        <w:tab/>
      </w:r>
      <w:r w:rsidRPr="008E7A22">
        <w:rPr>
          <w:color w:val="auto"/>
        </w:rPr>
        <w:tab/>
      </w:r>
      <w:r w:rsidRPr="008E7A22">
        <w:rPr>
          <w:color w:val="auto"/>
        </w:rPr>
        <w:tab/>
        <w:t xml:space="preserve">      Principal Deputy</w:t>
      </w:r>
    </w:p>
    <w:p w:rsidR="008E7A22" w:rsidRPr="008E7A22" w:rsidRDefault="008E7A22" w:rsidP="008E7A22">
      <w:pPr>
        <w:jc w:val="both"/>
        <w:rPr>
          <w:color w:val="auto"/>
        </w:rPr>
      </w:pPr>
      <w:r w:rsidRPr="008E7A22">
        <w:rPr>
          <w:color w:val="auto"/>
        </w:rPr>
        <w:tab/>
      </w:r>
      <w:r w:rsidRPr="008E7A22">
        <w:rPr>
          <w:color w:val="auto"/>
        </w:rPr>
        <w:tab/>
      </w:r>
      <w:r w:rsidRPr="008E7A22">
        <w:rPr>
          <w:color w:val="auto"/>
        </w:rPr>
        <w:tab/>
      </w:r>
      <w:r w:rsidRPr="008E7A22">
        <w:rPr>
          <w:color w:val="auto"/>
        </w:rPr>
        <w:tab/>
      </w:r>
      <w:r w:rsidRPr="008E7A22">
        <w:rPr>
          <w:color w:val="auto"/>
        </w:rPr>
        <w:tab/>
      </w:r>
      <w:r w:rsidRPr="008E7A22">
        <w:rPr>
          <w:color w:val="auto"/>
        </w:rPr>
        <w:tab/>
        <w:t xml:space="preserve">      Assistant Secretary of the Navy </w:t>
      </w:r>
    </w:p>
    <w:p w:rsidR="008E7A22" w:rsidRPr="008E7A22" w:rsidRDefault="008E7A22" w:rsidP="008E7A22">
      <w:pPr>
        <w:jc w:val="both"/>
        <w:rPr>
          <w:color w:val="auto"/>
        </w:rPr>
      </w:pPr>
      <w:r w:rsidRPr="008E7A22">
        <w:rPr>
          <w:color w:val="auto"/>
        </w:rPr>
        <w:tab/>
      </w:r>
      <w:r w:rsidRPr="008E7A22">
        <w:rPr>
          <w:color w:val="auto"/>
        </w:rPr>
        <w:tab/>
      </w:r>
      <w:r w:rsidRPr="008E7A22">
        <w:rPr>
          <w:color w:val="auto"/>
        </w:rPr>
        <w:tab/>
      </w:r>
      <w:r w:rsidRPr="008E7A22">
        <w:rPr>
          <w:color w:val="auto"/>
        </w:rPr>
        <w:tab/>
      </w:r>
      <w:r w:rsidRPr="008E7A22">
        <w:rPr>
          <w:color w:val="auto"/>
        </w:rPr>
        <w:tab/>
      </w:r>
      <w:r w:rsidRPr="008E7A22">
        <w:rPr>
          <w:color w:val="auto"/>
        </w:rPr>
        <w:tab/>
        <w:t xml:space="preserve">        (Manpower &amp; Reserve Affairs)</w:t>
      </w:r>
    </w:p>
    <w:p w:rsidR="008E7A22" w:rsidRPr="008E7A22" w:rsidRDefault="008E7A22" w:rsidP="008E7A22">
      <w:pPr>
        <w:jc w:val="both"/>
        <w:rPr>
          <w:color w:val="auto"/>
        </w:rPr>
      </w:pPr>
      <w:r w:rsidRPr="008E7A22">
        <w:rPr>
          <w:color w:val="auto"/>
        </w:rPr>
        <w:tab/>
      </w:r>
      <w:r w:rsidRPr="008E7A22">
        <w:rPr>
          <w:color w:val="auto"/>
        </w:rPr>
        <w:tab/>
      </w:r>
      <w:r w:rsidRPr="008E7A22">
        <w:rPr>
          <w:color w:val="auto"/>
        </w:rPr>
        <w:tab/>
      </w:r>
      <w:r w:rsidRPr="008E7A22">
        <w:rPr>
          <w:color w:val="auto"/>
        </w:rPr>
        <w:tab/>
      </w:r>
      <w:r w:rsidRPr="008E7A22">
        <w:rPr>
          <w:color w:val="auto"/>
        </w:rPr>
        <w:tab/>
      </w:r>
      <w:r w:rsidRPr="008E7A22">
        <w:rPr>
          <w:color w:val="auto"/>
        </w:rPr>
        <w:tab/>
        <w:t xml:space="preserve">  </w:t>
      </w:r>
    </w:p>
    <w:p w:rsidR="008E7A22" w:rsidRPr="008E7A22" w:rsidRDefault="008E7A22" w:rsidP="008E7A22">
      <w:pPr>
        <w:jc w:val="both"/>
        <w:rPr>
          <w:color w:val="auto"/>
        </w:rPr>
      </w:pPr>
    </w:p>
    <w:p w:rsidR="00782F20" w:rsidRDefault="00782F20" w:rsidP="00782F20">
      <w:pPr>
        <w:autoSpaceDE w:val="0"/>
        <w:autoSpaceDN w:val="0"/>
        <w:adjustRightInd w:val="0"/>
        <w:rPr>
          <w:rFonts w:asciiTheme="minorHAnsi" w:hAnsiTheme="minorHAnsi"/>
          <w:color w:val="002060"/>
          <w:sz w:val="18"/>
          <w:szCs w:val="18"/>
          <w:u w:val="single"/>
        </w:rPr>
      </w:pPr>
    </w:p>
    <w:sectPr w:rsidR="00782F20"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11" w:rsidRDefault="005C5311">
      <w:r>
        <w:separator/>
      </w:r>
    </w:p>
  </w:endnote>
  <w:endnote w:type="continuationSeparator" w:id="0">
    <w:p w:rsidR="005C5311" w:rsidRDefault="005C5311">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D5" w:rsidRDefault="00751D10">
    <w:pPr>
      <w:pStyle w:val="Footer"/>
      <w:framePr w:wrap="around" w:vAnchor="text" w:hAnchor="margin" w:xAlign="center" w:y="1"/>
      <w:rPr>
        <w:rStyle w:val="PageNumber"/>
      </w:rPr>
    </w:pPr>
    <w:r>
      <w:rPr>
        <w:rStyle w:val="PageNumber"/>
      </w:rPr>
      <w:fldChar w:fldCharType="begin"/>
    </w:r>
    <w:r w:rsidR="009003D5">
      <w:rPr>
        <w:rStyle w:val="PageNumber"/>
      </w:rPr>
      <w:instrText xml:space="preserve">PAGE  </w:instrText>
    </w:r>
    <w:r>
      <w:rPr>
        <w:rStyle w:val="PageNumber"/>
      </w:rPr>
      <w:fldChar w:fldCharType="separate"/>
    </w:r>
    <w:r w:rsidR="009003D5">
      <w:rPr>
        <w:rStyle w:val="PageNumber"/>
        <w:noProof/>
      </w:rPr>
      <w:t>2</w:t>
    </w:r>
    <w:r>
      <w:rPr>
        <w:rStyle w:val="PageNumber"/>
      </w:rPr>
      <w:fldChar w:fldCharType="end"/>
    </w:r>
  </w:p>
  <w:p w:rsidR="009003D5" w:rsidRDefault="009003D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D5" w:rsidRPr="00AC713F" w:rsidRDefault="00751D1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003D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169D5">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9003D5" w:rsidRPr="000078BE" w:rsidRDefault="009003D5" w:rsidP="002B0749">
    <w:pPr>
      <w:pStyle w:val="Footer"/>
      <w:jc w:val="right"/>
      <w:rPr>
        <w:rFonts w:asciiTheme="minorHAnsi" w:hAnsiTheme="minorHAnsi"/>
        <w:color w:val="auto"/>
      </w:rPr>
    </w:pPr>
    <w:r>
      <w:tab/>
    </w:r>
    <w:r>
      <w:tab/>
    </w:r>
    <w:r w:rsidRPr="000078BE">
      <w:rPr>
        <w:rFonts w:asciiTheme="minorHAnsi" w:hAnsiTheme="minorHAnsi"/>
        <w:caps/>
        <w:color w:val="auto"/>
      </w:rPr>
      <w:t>PD0900571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11" w:rsidRDefault="005C5311">
      <w:r>
        <w:separator/>
      </w:r>
    </w:p>
  </w:footnote>
  <w:footnote w:type="continuationSeparator" w:id="0">
    <w:p w:rsidR="005C5311" w:rsidRDefault="005C5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6993"/>
  </w:hdrShapeDefaults>
  <w:footnotePr>
    <w:numRestart w:val="eachSect"/>
    <w:footnote w:id="-1"/>
    <w:footnote w:id="0"/>
  </w:footnotePr>
  <w:endnotePr>
    <w:endnote w:id="-1"/>
    <w:endnote w:id="0"/>
  </w:endnotePr>
  <w:compat/>
  <w:rsids>
    <w:rsidRoot w:val="001C28D1"/>
    <w:rsid w:val="000059FA"/>
    <w:rsid w:val="00006F87"/>
    <w:rsid w:val="000078BE"/>
    <w:rsid w:val="00010ABA"/>
    <w:rsid w:val="00012428"/>
    <w:rsid w:val="00013417"/>
    <w:rsid w:val="000145C2"/>
    <w:rsid w:val="0001473F"/>
    <w:rsid w:val="00014A9E"/>
    <w:rsid w:val="00021361"/>
    <w:rsid w:val="00023913"/>
    <w:rsid w:val="00023D43"/>
    <w:rsid w:val="000248C4"/>
    <w:rsid w:val="00032E07"/>
    <w:rsid w:val="000332CA"/>
    <w:rsid w:val="0003374E"/>
    <w:rsid w:val="000344E6"/>
    <w:rsid w:val="00035C3A"/>
    <w:rsid w:val="00036E4B"/>
    <w:rsid w:val="000379D0"/>
    <w:rsid w:val="00040FC4"/>
    <w:rsid w:val="000416F8"/>
    <w:rsid w:val="00042C26"/>
    <w:rsid w:val="00043382"/>
    <w:rsid w:val="00044C33"/>
    <w:rsid w:val="000473E2"/>
    <w:rsid w:val="00051622"/>
    <w:rsid w:val="00052234"/>
    <w:rsid w:val="00053D7C"/>
    <w:rsid w:val="000577C9"/>
    <w:rsid w:val="0006198A"/>
    <w:rsid w:val="0006431E"/>
    <w:rsid w:val="00072433"/>
    <w:rsid w:val="00075702"/>
    <w:rsid w:val="000775C2"/>
    <w:rsid w:val="000806AD"/>
    <w:rsid w:val="00082482"/>
    <w:rsid w:val="000840F1"/>
    <w:rsid w:val="0008708B"/>
    <w:rsid w:val="00092619"/>
    <w:rsid w:val="00092C66"/>
    <w:rsid w:val="00094E4F"/>
    <w:rsid w:val="000A0699"/>
    <w:rsid w:val="000A2BCE"/>
    <w:rsid w:val="000A41E3"/>
    <w:rsid w:val="000A4BBA"/>
    <w:rsid w:val="000A5071"/>
    <w:rsid w:val="000B2411"/>
    <w:rsid w:val="000B4C99"/>
    <w:rsid w:val="000C06F6"/>
    <w:rsid w:val="000C1D34"/>
    <w:rsid w:val="000C2362"/>
    <w:rsid w:val="000C337C"/>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E7506"/>
    <w:rsid w:val="000F02BE"/>
    <w:rsid w:val="000F053B"/>
    <w:rsid w:val="000F427B"/>
    <w:rsid w:val="000F7181"/>
    <w:rsid w:val="001008C1"/>
    <w:rsid w:val="001023DB"/>
    <w:rsid w:val="00103CCF"/>
    <w:rsid w:val="0010417F"/>
    <w:rsid w:val="001042D2"/>
    <w:rsid w:val="001045F3"/>
    <w:rsid w:val="0010530E"/>
    <w:rsid w:val="00105C07"/>
    <w:rsid w:val="00107EC5"/>
    <w:rsid w:val="0011024C"/>
    <w:rsid w:val="001103CD"/>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28C"/>
    <w:rsid w:val="001B4EC2"/>
    <w:rsid w:val="001B5B59"/>
    <w:rsid w:val="001B60E0"/>
    <w:rsid w:val="001B7C8C"/>
    <w:rsid w:val="001C12F9"/>
    <w:rsid w:val="001C181A"/>
    <w:rsid w:val="001C1877"/>
    <w:rsid w:val="001C2053"/>
    <w:rsid w:val="001C252F"/>
    <w:rsid w:val="001C28D1"/>
    <w:rsid w:val="001C3679"/>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1F0"/>
    <w:rsid w:val="002712F7"/>
    <w:rsid w:val="0027159C"/>
    <w:rsid w:val="00274549"/>
    <w:rsid w:val="00274E46"/>
    <w:rsid w:val="00276C86"/>
    <w:rsid w:val="002810A4"/>
    <w:rsid w:val="00284A26"/>
    <w:rsid w:val="00287006"/>
    <w:rsid w:val="00292600"/>
    <w:rsid w:val="00294437"/>
    <w:rsid w:val="002A3237"/>
    <w:rsid w:val="002A58B7"/>
    <w:rsid w:val="002A685E"/>
    <w:rsid w:val="002A72C7"/>
    <w:rsid w:val="002B03B2"/>
    <w:rsid w:val="002B0749"/>
    <w:rsid w:val="002B1C2F"/>
    <w:rsid w:val="002B1E4C"/>
    <w:rsid w:val="002B2645"/>
    <w:rsid w:val="002B6FA0"/>
    <w:rsid w:val="002C3D0D"/>
    <w:rsid w:val="002C5F10"/>
    <w:rsid w:val="002C6E5B"/>
    <w:rsid w:val="002D18B4"/>
    <w:rsid w:val="002D231A"/>
    <w:rsid w:val="002D443F"/>
    <w:rsid w:val="002E1877"/>
    <w:rsid w:val="002E1C31"/>
    <w:rsid w:val="002E333A"/>
    <w:rsid w:val="002E3474"/>
    <w:rsid w:val="002E400C"/>
    <w:rsid w:val="002E49C3"/>
    <w:rsid w:val="002E5114"/>
    <w:rsid w:val="002E7570"/>
    <w:rsid w:val="002E764B"/>
    <w:rsid w:val="002F0E28"/>
    <w:rsid w:val="002F287E"/>
    <w:rsid w:val="002F2A7F"/>
    <w:rsid w:val="002F2D63"/>
    <w:rsid w:val="002F7F81"/>
    <w:rsid w:val="00300A36"/>
    <w:rsid w:val="0030678B"/>
    <w:rsid w:val="00310CD7"/>
    <w:rsid w:val="0032136A"/>
    <w:rsid w:val="00323E70"/>
    <w:rsid w:val="00325BA2"/>
    <w:rsid w:val="00326F7F"/>
    <w:rsid w:val="003320E8"/>
    <w:rsid w:val="0033555E"/>
    <w:rsid w:val="00336805"/>
    <w:rsid w:val="00337351"/>
    <w:rsid w:val="00341A54"/>
    <w:rsid w:val="0034669F"/>
    <w:rsid w:val="00351498"/>
    <w:rsid w:val="00352B22"/>
    <w:rsid w:val="00353E35"/>
    <w:rsid w:val="00354547"/>
    <w:rsid w:val="003567DE"/>
    <w:rsid w:val="003574F3"/>
    <w:rsid w:val="0036198E"/>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6439"/>
    <w:rsid w:val="00387095"/>
    <w:rsid w:val="00390092"/>
    <w:rsid w:val="00391EC2"/>
    <w:rsid w:val="00393651"/>
    <w:rsid w:val="00395E12"/>
    <w:rsid w:val="00397DB7"/>
    <w:rsid w:val="003A27B2"/>
    <w:rsid w:val="003A40B4"/>
    <w:rsid w:val="003A41BA"/>
    <w:rsid w:val="003A6A99"/>
    <w:rsid w:val="003A7FF8"/>
    <w:rsid w:val="003B17AC"/>
    <w:rsid w:val="003B227A"/>
    <w:rsid w:val="003B5854"/>
    <w:rsid w:val="003B6764"/>
    <w:rsid w:val="003C6068"/>
    <w:rsid w:val="003C76D5"/>
    <w:rsid w:val="003D197F"/>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11CD"/>
    <w:rsid w:val="004123D7"/>
    <w:rsid w:val="00412658"/>
    <w:rsid w:val="004172DB"/>
    <w:rsid w:val="00421485"/>
    <w:rsid w:val="00422B75"/>
    <w:rsid w:val="00433F36"/>
    <w:rsid w:val="0043503A"/>
    <w:rsid w:val="0044384F"/>
    <w:rsid w:val="00444F80"/>
    <w:rsid w:val="00446018"/>
    <w:rsid w:val="004543BC"/>
    <w:rsid w:val="00455B48"/>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2FEE"/>
    <w:rsid w:val="0049445D"/>
    <w:rsid w:val="00495350"/>
    <w:rsid w:val="00497156"/>
    <w:rsid w:val="004A24D2"/>
    <w:rsid w:val="004A3214"/>
    <w:rsid w:val="004A4136"/>
    <w:rsid w:val="004A417B"/>
    <w:rsid w:val="004B03F3"/>
    <w:rsid w:val="004B2536"/>
    <w:rsid w:val="004B6AF3"/>
    <w:rsid w:val="004B715E"/>
    <w:rsid w:val="004B7169"/>
    <w:rsid w:val="004B79C9"/>
    <w:rsid w:val="004C0AE4"/>
    <w:rsid w:val="004C5E33"/>
    <w:rsid w:val="004C6CDA"/>
    <w:rsid w:val="004D10D4"/>
    <w:rsid w:val="004D16BD"/>
    <w:rsid w:val="004D2AAB"/>
    <w:rsid w:val="004D6F2B"/>
    <w:rsid w:val="004E0248"/>
    <w:rsid w:val="004E21A3"/>
    <w:rsid w:val="004E32EA"/>
    <w:rsid w:val="004E6866"/>
    <w:rsid w:val="004F316C"/>
    <w:rsid w:val="004F3222"/>
    <w:rsid w:val="004F3BFA"/>
    <w:rsid w:val="005000AB"/>
    <w:rsid w:val="005014DE"/>
    <w:rsid w:val="005025EE"/>
    <w:rsid w:val="00510588"/>
    <w:rsid w:val="0051146C"/>
    <w:rsid w:val="00514449"/>
    <w:rsid w:val="00514D10"/>
    <w:rsid w:val="005222E7"/>
    <w:rsid w:val="00523A8B"/>
    <w:rsid w:val="00523E04"/>
    <w:rsid w:val="0052590B"/>
    <w:rsid w:val="00526591"/>
    <w:rsid w:val="00527178"/>
    <w:rsid w:val="005273A9"/>
    <w:rsid w:val="005278CB"/>
    <w:rsid w:val="00531B9D"/>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9185C"/>
    <w:rsid w:val="00593043"/>
    <w:rsid w:val="00595BF0"/>
    <w:rsid w:val="005A1846"/>
    <w:rsid w:val="005A258C"/>
    <w:rsid w:val="005A3560"/>
    <w:rsid w:val="005A6C99"/>
    <w:rsid w:val="005A7D5D"/>
    <w:rsid w:val="005B011A"/>
    <w:rsid w:val="005B1D8F"/>
    <w:rsid w:val="005B1E94"/>
    <w:rsid w:val="005B5B3D"/>
    <w:rsid w:val="005C16F3"/>
    <w:rsid w:val="005C3758"/>
    <w:rsid w:val="005C5311"/>
    <w:rsid w:val="005D6603"/>
    <w:rsid w:val="005E3064"/>
    <w:rsid w:val="005E72B2"/>
    <w:rsid w:val="005F1115"/>
    <w:rsid w:val="005F1AB6"/>
    <w:rsid w:val="005F27F2"/>
    <w:rsid w:val="005F3AFE"/>
    <w:rsid w:val="005F424D"/>
    <w:rsid w:val="005F6B6D"/>
    <w:rsid w:val="005F6C4B"/>
    <w:rsid w:val="00605AAB"/>
    <w:rsid w:val="00606BEB"/>
    <w:rsid w:val="0061014A"/>
    <w:rsid w:val="0061054B"/>
    <w:rsid w:val="00612D6B"/>
    <w:rsid w:val="00613E26"/>
    <w:rsid w:val="00615641"/>
    <w:rsid w:val="00616959"/>
    <w:rsid w:val="006211D0"/>
    <w:rsid w:val="00624D0C"/>
    <w:rsid w:val="006307BA"/>
    <w:rsid w:val="006315BA"/>
    <w:rsid w:val="00634C4A"/>
    <w:rsid w:val="0063532E"/>
    <w:rsid w:val="00637BDC"/>
    <w:rsid w:val="006418C9"/>
    <w:rsid w:val="00641DA6"/>
    <w:rsid w:val="00642BD6"/>
    <w:rsid w:val="00645046"/>
    <w:rsid w:val="0064527A"/>
    <w:rsid w:val="00645EA2"/>
    <w:rsid w:val="0065210C"/>
    <w:rsid w:val="006573F2"/>
    <w:rsid w:val="00660E8A"/>
    <w:rsid w:val="00661A68"/>
    <w:rsid w:val="00662F08"/>
    <w:rsid w:val="00663589"/>
    <w:rsid w:val="00665F01"/>
    <w:rsid w:val="00667318"/>
    <w:rsid w:val="006700F7"/>
    <w:rsid w:val="0067037C"/>
    <w:rsid w:val="006708E3"/>
    <w:rsid w:val="00670DDC"/>
    <w:rsid w:val="00671EB4"/>
    <w:rsid w:val="00673DB3"/>
    <w:rsid w:val="0067443B"/>
    <w:rsid w:val="00674DF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3B6D"/>
    <w:rsid w:val="006C6AB1"/>
    <w:rsid w:val="006C73B9"/>
    <w:rsid w:val="006D2D39"/>
    <w:rsid w:val="006D4E0E"/>
    <w:rsid w:val="006D5CE2"/>
    <w:rsid w:val="006E06D1"/>
    <w:rsid w:val="006E1313"/>
    <w:rsid w:val="006E2DC8"/>
    <w:rsid w:val="006E7356"/>
    <w:rsid w:val="006E77C8"/>
    <w:rsid w:val="006F149D"/>
    <w:rsid w:val="006F1A46"/>
    <w:rsid w:val="006F5A4E"/>
    <w:rsid w:val="0070322C"/>
    <w:rsid w:val="00703B6C"/>
    <w:rsid w:val="00705C40"/>
    <w:rsid w:val="00706482"/>
    <w:rsid w:val="00706BEF"/>
    <w:rsid w:val="007116BC"/>
    <w:rsid w:val="007165CE"/>
    <w:rsid w:val="00720968"/>
    <w:rsid w:val="00721D12"/>
    <w:rsid w:val="00721F8B"/>
    <w:rsid w:val="007237CE"/>
    <w:rsid w:val="00723DCA"/>
    <w:rsid w:val="00724688"/>
    <w:rsid w:val="0072491E"/>
    <w:rsid w:val="00724C0A"/>
    <w:rsid w:val="0073062D"/>
    <w:rsid w:val="0073254D"/>
    <w:rsid w:val="00736A49"/>
    <w:rsid w:val="00742277"/>
    <w:rsid w:val="00743B71"/>
    <w:rsid w:val="00743C2D"/>
    <w:rsid w:val="00743E36"/>
    <w:rsid w:val="007446F7"/>
    <w:rsid w:val="00744EBB"/>
    <w:rsid w:val="00745B0A"/>
    <w:rsid w:val="007468AC"/>
    <w:rsid w:val="00746AE2"/>
    <w:rsid w:val="00750C82"/>
    <w:rsid w:val="00751D10"/>
    <w:rsid w:val="0076100C"/>
    <w:rsid w:val="00764E1B"/>
    <w:rsid w:val="007651ED"/>
    <w:rsid w:val="00766C87"/>
    <w:rsid w:val="00781BD4"/>
    <w:rsid w:val="00781E20"/>
    <w:rsid w:val="00782F20"/>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57B29"/>
    <w:rsid w:val="0086162B"/>
    <w:rsid w:val="00861D5C"/>
    <w:rsid w:val="00865207"/>
    <w:rsid w:val="008656A7"/>
    <w:rsid w:val="00871262"/>
    <w:rsid w:val="00871D4E"/>
    <w:rsid w:val="00871E7B"/>
    <w:rsid w:val="00874429"/>
    <w:rsid w:val="00875B51"/>
    <w:rsid w:val="00875F2D"/>
    <w:rsid w:val="008764DC"/>
    <w:rsid w:val="00882CC2"/>
    <w:rsid w:val="00883930"/>
    <w:rsid w:val="00885DD4"/>
    <w:rsid w:val="00896535"/>
    <w:rsid w:val="00896683"/>
    <w:rsid w:val="00897589"/>
    <w:rsid w:val="008A63A9"/>
    <w:rsid w:val="008A7F7E"/>
    <w:rsid w:val="008B04DB"/>
    <w:rsid w:val="008B27FD"/>
    <w:rsid w:val="008B3AF2"/>
    <w:rsid w:val="008B515D"/>
    <w:rsid w:val="008B5D31"/>
    <w:rsid w:val="008B6705"/>
    <w:rsid w:val="008C22F3"/>
    <w:rsid w:val="008C3E2B"/>
    <w:rsid w:val="008D0244"/>
    <w:rsid w:val="008D2A6F"/>
    <w:rsid w:val="008D795D"/>
    <w:rsid w:val="008D7B07"/>
    <w:rsid w:val="008E1E94"/>
    <w:rsid w:val="008E2D99"/>
    <w:rsid w:val="008E44CB"/>
    <w:rsid w:val="008E4A60"/>
    <w:rsid w:val="008E5102"/>
    <w:rsid w:val="008E744D"/>
    <w:rsid w:val="008E7A22"/>
    <w:rsid w:val="008F1E08"/>
    <w:rsid w:val="009003D5"/>
    <w:rsid w:val="00900D8F"/>
    <w:rsid w:val="009014E3"/>
    <w:rsid w:val="009026E8"/>
    <w:rsid w:val="00906EB7"/>
    <w:rsid w:val="009102BF"/>
    <w:rsid w:val="009115F2"/>
    <w:rsid w:val="00914ADB"/>
    <w:rsid w:val="00923B25"/>
    <w:rsid w:val="0092402E"/>
    <w:rsid w:val="009259BA"/>
    <w:rsid w:val="00926FCB"/>
    <w:rsid w:val="0093311A"/>
    <w:rsid w:val="00942645"/>
    <w:rsid w:val="00942FD2"/>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6AC6"/>
    <w:rsid w:val="00977740"/>
    <w:rsid w:val="00977CB4"/>
    <w:rsid w:val="009809B8"/>
    <w:rsid w:val="0098222D"/>
    <w:rsid w:val="00985099"/>
    <w:rsid w:val="0099421F"/>
    <w:rsid w:val="009A0DE3"/>
    <w:rsid w:val="009A1643"/>
    <w:rsid w:val="009A215A"/>
    <w:rsid w:val="009A4F1B"/>
    <w:rsid w:val="009A591A"/>
    <w:rsid w:val="009A66C5"/>
    <w:rsid w:val="009A79BA"/>
    <w:rsid w:val="009B14D1"/>
    <w:rsid w:val="009B1534"/>
    <w:rsid w:val="009B4A3B"/>
    <w:rsid w:val="009B69D3"/>
    <w:rsid w:val="009B7BA7"/>
    <w:rsid w:val="009C0938"/>
    <w:rsid w:val="009C1FEB"/>
    <w:rsid w:val="009C22C8"/>
    <w:rsid w:val="009C3F82"/>
    <w:rsid w:val="009C72DD"/>
    <w:rsid w:val="009C7DF5"/>
    <w:rsid w:val="009D056C"/>
    <w:rsid w:val="009D060F"/>
    <w:rsid w:val="009D1ADE"/>
    <w:rsid w:val="009E09D0"/>
    <w:rsid w:val="009E1283"/>
    <w:rsid w:val="009E3A7F"/>
    <w:rsid w:val="009E4D74"/>
    <w:rsid w:val="009E57B1"/>
    <w:rsid w:val="009E6379"/>
    <w:rsid w:val="009F02FF"/>
    <w:rsid w:val="009F53DF"/>
    <w:rsid w:val="009F7809"/>
    <w:rsid w:val="009F7AF5"/>
    <w:rsid w:val="00A00D14"/>
    <w:rsid w:val="00A01408"/>
    <w:rsid w:val="00A02457"/>
    <w:rsid w:val="00A03190"/>
    <w:rsid w:val="00A0404B"/>
    <w:rsid w:val="00A07497"/>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439D"/>
    <w:rsid w:val="00AC713F"/>
    <w:rsid w:val="00AD067E"/>
    <w:rsid w:val="00AD2801"/>
    <w:rsid w:val="00AD6870"/>
    <w:rsid w:val="00AD68C5"/>
    <w:rsid w:val="00AE1273"/>
    <w:rsid w:val="00AE2D29"/>
    <w:rsid w:val="00AE3696"/>
    <w:rsid w:val="00AE4624"/>
    <w:rsid w:val="00AE5E14"/>
    <w:rsid w:val="00AE6115"/>
    <w:rsid w:val="00AE625B"/>
    <w:rsid w:val="00AF1668"/>
    <w:rsid w:val="00AF4FA5"/>
    <w:rsid w:val="00AF7759"/>
    <w:rsid w:val="00B07955"/>
    <w:rsid w:val="00B14A56"/>
    <w:rsid w:val="00B14FAA"/>
    <w:rsid w:val="00B15D30"/>
    <w:rsid w:val="00B20624"/>
    <w:rsid w:val="00B23436"/>
    <w:rsid w:val="00B26354"/>
    <w:rsid w:val="00B26CA0"/>
    <w:rsid w:val="00B32179"/>
    <w:rsid w:val="00B331A9"/>
    <w:rsid w:val="00B36569"/>
    <w:rsid w:val="00B40A05"/>
    <w:rsid w:val="00B40A3E"/>
    <w:rsid w:val="00B4509D"/>
    <w:rsid w:val="00B50227"/>
    <w:rsid w:val="00B50510"/>
    <w:rsid w:val="00B522CD"/>
    <w:rsid w:val="00B55143"/>
    <w:rsid w:val="00B55917"/>
    <w:rsid w:val="00B604B5"/>
    <w:rsid w:val="00B643A6"/>
    <w:rsid w:val="00B64DD6"/>
    <w:rsid w:val="00B6710C"/>
    <w:rsid w:val="00B72076"/>
    <w:rsid w:val="00B72303"/>
    <w:rsid w:val="00B82277"/>
    <w:rsid w:val="00B87126"/>
    <w:rsid w:val="00B91676"/>
    <w:rsid w:val="00B95833"/>
    <w:rsid w:val="00BA1824"/>
    <w:rsid w:val="00BA2D98"/>
    <w:rsid w:val="00BA30D1"/>
    <w:rsid w:val="00BA4609"/>
    <w:rsid w:val="00BA5BE2"/>
    <w:rsid w:val="00BA7F46"/>
    <w:rsid w:val="00BB0A0A"/>
    <w:rsid w:val="00BB45B5"/>
    <w:rsid w:val="00BB6064"/>
    <w:rsid w:val="00BB799D"/>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0E20"/>
    <w:rsid w:val="00C038EC"/>
    <w:rsid w:val="00C05C6D"/>
    <w:rsid w:val="00C1122B"/>
    <w:rsid w:val="00C13B34"/>
    <w:rsid w:val="00C13F26"/>
    <w:rsid w:val="00C16E9F"/>
    <w:rsid w:val="00C1713D"/>
    <w:rsid w:val="00C177F1"/>
    <w:rsid w:val="00C178E9"/>
    <w:rsid w:val="00C22F3A"/>
    <w:rsid w:val="00C25978"/>
    <w:rsid w:val="00C261C6"/>
    <w:rsid w:val="00C26E7C"/>
    <w:rsid w:val="00C30A97"/>
    <w:rsid w:val="00C31DDC"/>
    <w:rsid w:val="00C34326"/>
    <w:rsid w:val="00C36201"/>
    <w:rsid w:val="00C368E8"/>
    <w:rsid w:val="00C36C3D"/>
    <w:rsid w:val="00C37160"/>
    <w:rsid w:val="00C372C7"/>
    <w:rsid w:val="00C42443"/>
    <w:rsid w:val="00C42CBA"/>
    <w:rsid w:val="00C5019E"/>
    <w:rsid w:val="00C5377C"/>
    <w:rsid w:val="00C53E8A"/>
    <w:rsid w:val="00C54DF3"/>
    <w:rsid w:val="00C560A7"/>
    <w:rsid w:val="00C56FC8"/>
    <w:rsid w:val="00C60F23"/>
    <w:rsid w:val="00C62EB2"/>
    <w:rsid w:val="00C71BEC"/>
    <w:rsid w:val="00C72FC7"/>
    <w:rsid w:val="00C74D3A"/>
    <w:rsid w:val="00C80511"/>
    <w:rsid w:val="00C826F5"/>
    <w:rsid w:val="00C83740"/>
    <w:rsid w:val="00C84AD1"/>
    <w:rsid w:val="00C85579"/>
    <w:rsid w:val="00C863E5"/>
    <w:rsid w:val="00C931FC"/>
    <w:rsid w:val="00C932C5"/>
    <w:rsid w:val="00C9650E"/>
    <w:rsid w:val="00CA0310"/>
    <w:rsid w:val="00CA068D"/>
    <w:rsid w:val="00CA1228"/>
    <w:rsid w:val="00CA282D"/>
    <w:rsid w:val="00CA4670"/>
    <w:rsid w:val="00CA6B1A"/>
    <w:rsid w:val="00CB20DC"/>
    <w:rsid w:val="00CB23DC"/>
    <w:rsid w:val="00CB2487"/>
    <w:rsid w:val="00CB28E2"/>
    <w:rsid w:val="00CB5B9D"/>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2F6E"/>
    <w:rsid w:val="00D0415E"/>
    <w:rsid w:val="00D07A72"/>
    <w:rsid w:val="00D10577"/>
    <w:rsid w:val="00D1323B"/>
    <w:rsid w:val="00D14BAE"/>
    <w:rsid w:val="00D1648B"/>
    <w:rsid w:val="00D16819"/>
    <w:rsid w:val="00D17447"/>
    <w:rsid w:val="00D20AC0"/>
    <w:rsid w:val="00D2321B"/>
    <w:rsid w:val="00D23DE4"/>
    <w:rsid w:val="00D26873"/>
    <w:rsid w:val="00D31683"/>
    <w:rsid w:val="00D336C8"/>
    <w:rsid w:val="00D339E8"/>
    <w:rsid w:val="00D33CD4"/>
    <w:rsid w:val="00D34B90"/>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3954"/>
    <w:rsid w:val="00D73A42"/>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9369D"/>
    <w:rsid w:val="00EA1177"/>
    <w:rsid w:val="00EA118B"/>
    <w:rsid w:val="00EA11B6"/>
    <w:rsid w:val="00EA2181"/>
    <w:rsid w:val="00EA2DD8"/>
    <w:rsid w:val="00EA4475"/>
    <w:rsid w:val="00EA681F"/>
    <w:rsid w:val="00EA76D4"/>
    <w:rsid w:val="00EB3823"/>
    <w:rsid w:val="00EB47D8"/>
    <w:rsid w:val="00EB57D3"/>
    <w:rsid w:val="00EB5EFD"/>
    <w:rsid w:val="00EB679F"/>
    <w:rsid w:val="00EB76E4"/>
    <w:rsid w:val="00EC0E65"/>
    <w:rsid w:val="00EC2938"/>
    <w:rsid w:val="00EC50C9"/>
    <w:rsid w:val="00EC58B4"/>
    <w:rsid w:val="00EC5BB2"/>
    <w:rsid w:val="00ED0D01"/>
    <w:rsid w:val="00ED12F0"/>
    <w:rsid w:val="00ED4773"/>
    <w:rsid w:val="00ED664B"/>
    <w:rsid w:val="00ED6A61"/>
    <w:rsid w:val="00EE03BB"/>
    <w:rsid w:val="00EE0B44"/>
    <w:rsid w:val="00EE6FE0"/>
    <w:rsid w:val="00EE704A"/>
    <w:rsid w:val="00EE7840"/>
    <w:rsid w:val="00EF2942"/>
    <w:rsid w:val="00EF4C74"/>
    <w:rsid w:val="00EF5268"/>
    <w:rsid w:val="00EF608E"/>
    <w:rsid w:val="00F0044B"/>
    <w:rsid w:val="00F04957"/>
    <w:rsid w:val="00F05807"/>
    <w:rsid w:val="00F07052"/>
    <w:rsid w:val="00F0706C"/>
    <w:rsid w:val="00F11EBE"/>
    <w:rsid w:val="00F12BA8"/>
    <w:rsid w:val="00F130D0"/>
    <w:rsid w:val="00F14933"/>
    <w:rsid w:val="00F1516A"/>
    <w:rsid w:val="00F1597B"/>
    <w:rsid w:val="00F169D5"/>
    <w:rsid w:val="00F22A26"/>
    <w:rsid w:val="00F236CE"/>
    <w:rsid w:val="00F24072"/>
    <w:rsid w:val="00F26432"/>
    <w:rsid w:val="00F313BF"/>
    <w:rsid w:val="00F3197A"/>
    <w:rsid w:val="00F32139"/>
    <w:rsid w:val="00F32C55"/>
    <w:rsid w:val="00F33D56"/>
    <w:rsid w:val="00F34E08"/>
    <w:rsid w:val="00F41D91"/>
    <w:rsid w:val="00F42363"/>
    <w:rsid w:val="00F46964"/>
    <w:rsid w:val="00F46F9A"/>
    <w:rsid w:val="00F5126A"/>
    <w:rsid w:val="00F57C4A"/>
    <w:rsid w:val="00F6636A"/>
    <w:rsid w:val="00F667C5"/>
    <w:rsid w:val="00F67E31"/>
    <w:rsid w:val="00F70287"/>
    <w:rsid w:val="00F718A8"/>
    <w:rsid w:val="00F72183"/>
    <w:rsid w:val="00F76D01"/>
    <w:rsid w:val="00F81C35"/>
    <w:rsid w:val="00F82981"/>
    <w:rsid w:val="00F8311F"/>
    <w:rsid w:val="00F83248"/>
    <w:rsid w:val="00F83376"/>
    <w:rsid w:val="00F83A07"/>
    <w:rsid w:val="00F853AE"/>
    <w:rsid w:val="00F93B25"/>
    <w:rsid w:val="00F93C74"/>
    <w:rsid w:val="00F93DCC"/>
    <w:rsid w:val="00F9435D"/>
    <w:rsid w:val="00F95041"/>
    <w:rsid w:val="00F97740"/>
    <w:rsid w:val="00FA2F7B"/>
    <w:rsid w:val="00FB09FE"/>
    <w:rsid w:val="00FB1794"/>
    <w:rsid w:val="00FB593A"/>
    <w:rsid w:val="00FB6410"/>
    <w:rsid w:val="00FB6E82"/>
    <w:rsid w:val="00FC0042"/>
    <w:rsid w:val="00FC2A13"/>
    <w:rsid w:val="00FC4284"/>
    <w:rsid w:val="00FC4576"/>
    <w:rsid w:val="00FC7DBC"/>
    <w:rsid w:val="00FD076A"/>
    <w:rsid w:val="00FD0AA0"/>
    <w:rsid w:val="00FD1D5A"/>
    <w:rsid w:val="00FD5059"/>
    <w:rsid w:val="00FD554D"/>
    <w:rsid w:val="00FE27BB"/>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6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06513991">
      <w:bodyDiv w:val="1"/>
      <w:marLeft w:val="0"/>
      <w:marRight w:val="0"/>
      <w:marTop w:val="0"/>
      <w:marBottom w:val="0"/>
      <w:divBdr>
        <w:top w:val="none" w:sz="0" w:space="0" w:color="auto"/>
        <w:left w:val="none" w:sz="0" w:space="0" w:color="auto"/>
        <w:bottom w:val="none" w:sz="0" w:space="0" w:color="auto"/>
        <w:right w:val="none" w:sz="0" w:space="0" w:color="auto"/>
      </w:divBdr>
    </w:div>
    <w:div w:id="116341995">
      <w:bodyDiv w:val="1"/>
      <w:marLeft w:val="0"/>
      <w:marRight w:val="0"/>
      <w:marTop w:val="0"/>
      <w:marBottom w:val="0"/>
      <w:divBdr>
        <w:top w:val="none" w:sz="0" w:space="0" w:color="auto"/>
        <w:left w:val="none" w:sz="0" w:space="0" w:color="auto"/>
        <w:bottom w:val="none" w:sz="0" w:space="0" w:color="auto"/>
        <w:right w:val="none" w:sz="0" w:space="0" w:color="auto"/>
      </w:divBdr>
    </w:div>
    <w:div w:id="179511723">
      <w:bodyDiv w:val="1"/>
      <w:marLeft w:val="0"/>
      <w:marRight w:val="0"/>
      <w:marTop w:val="0"/>
      <w:marBottom w:val="0"/>
      <w:divBdr>
        <w:top w:val="none" w:sz="0" w:space="0" w:color="auto"/>
        <w:left w:val="none" w:sz="0" w:space="0" w:color="auto"/>
        <w:bottom w:val="none" w:sz="0" w:space="0" w:color="auto"/>
        <w:right w:val="none" w:sz="0" w:space="0" w:color="auto"/>
      </w:divBdr>
    </w:div>
    <w:div w:id="353120845">
      <w:bodyDiv w:val="1"/>
      <w:marLeft w:val="0"/>
      <w:marRight w:val="0"/>
      <w:marTop w:val="0"/>
      <w:marBottom w:val="0"/>
      <w:divBdr>
        <w:top w:val="none" w:sz="0" w:space="0" w:color="auto"/>
        <w:left w:val="none" w:sz="0" w:space="0" w:color="auto"/>
        <w:bottom w:val="none" w:sz="0" w:space="0" w:color="auto"/>
        <w:right w:val="none" w:sz="0" w:space="0" w:color="auto"/>
      </w:divBdr>
    </w:div>
    <w:div w:id="529102104">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7162183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2731028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429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F227-5351-4C1E-9165-9C01BC83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2149</Words>
  <Characters>11934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2000-06-02T14:59:00Z</cp:lastPrinted>
  <dcterms:created xsi:type="dcterms:W3CDTF">2012-03-06T20:38:00Z</dcterms:created>
  <dcterms:modified xsi:type="dcterms:W3CDTF">2012-03-08T14:41:00Z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