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8B446D" w:rsidRDefault="008B446D" w:rsidP="00E627C6">
      <w:pPr>
        <w:tabs>
          <w:tab w:val="left" w:pos="288"/>
          <w:tab w:val="left" w:pos="6120"/>
        </w:tabs>
        <w:spacing w:line="240" w:lineRule="exact"/>
        <w:ind w:right="-1260"/>
        <w:jc w:val="both"/>
        <w:rPr>
          <w:rFonts w:asciiTheme="minorHAnsi" w:hAnsiTheme="minorHAnsi"/>
          <w:caps/>
          <w:color w:val="auto"/>
        </w:rPr>
      </w:pPr>
      <w:r>
        <w:rPr>
          <w:rFonts w:asciiTheme="minorHAnsi" w:hAnsiTheme="minorHAnsi"/>
          <w:caps/>
          <w:color w:val="auto"/>
        </w:rPr>
        <w:t>NAME:</w:t>
      </w:r>
      <w:r w:rsidR="00CB2FD6">
        <w:rPr>
          <w:rFonts w:asciiTheme="minorHAnsi" w:hAnsiTheme="minorHAnsi"/>
          <w:caps/>
          <w:color w:val="auto"/>
        </w:rPr>
        <w:t xml:space="preserve">  </w:t>
      </w:r>
      <w:r w:rsidR="007525D8">
        <w:rPr>
          <w:rFonts w:asciiTheme="minorHAnsi" w:hAnsiTheme="minorHAnsi"/>
          <w:caps/>
          <w:color w:val="auto"/>
        </w:rPr>
        <w:t>XXXX</w:t>
      </w:r>
      <w:r w:rsidR="00E627C6">
        <w:rPr>
          <w:rFonts w:asciiTheme="minorHAnsi" w:hAnsiTheme="minorHAnsi"/>
          <w:caps/>
          <w:color w:val="auto"/>
        </w:rPr>
        <w:tab/>
      </w:r>
      <w:r>
        <w:rPr>
          <w:rFonts w:asciiTheme="minorHAnsi" w:hAnsiTheme="minorHAnsi"/>
          <w:caps/>
          <w:color w:val="auto"/>
        </w:rPr>
        <w:t>BRANCH OF SERVICE:</w:t>
      </w:r>
      <w:r w:rsidR="00CB2FD6">
        <w:rPr>
          <w:rFonts w:asciiTheme="minorHAnsi" w:hAnsiTheme="minorHAnsi"/>
          <w:caps/>
          <w:color w:val="auto"/>
        </w:rPr>
        <w:t xml:space="preserve"> </w:t>
      </w:r>
      <w:r>
        <w:rPr>
          <w:rFonts w:asciiTheme="minorHAnsi" w:hAnsiTheme="minorHAnsi"/>
          <w:caps/>
          <w:color w:val="auto"/>
        </w:rPr>
        <w:t xml:space="preserve"> </w:t>
      </w:r>
      <w:r w:rsidR="00B17FE9">
        <w:rPr>
          <w:rFonts w:asciiTheme="minorHAnsi" w:hAnsiTheme="minorHAnsi"/>
          <w:caps/>
          <w:color w:val="auto"/>
        </w:rPr>
        <w:t>usmc</w:t>
      </w:r>
    </w:p>
    <w:p w:rsidR="008B446D" w:rsidRDefault="008B446D" w:rsidP="00E627C6">
      <w:pPr>
        <w:tabs>
          <w:tab w:val="left" w:pos="288"/>
          <w:tab w:val="left" w:pos="6120"/>
        </w:tabs>
        <w:spacing w:line="240" w:lineRule="exact"/>
        <w:ind w:right="-900"/>
        <w:jc w:val="both"/>
        <w:rPr>
          <w:rFonts w:asciiTheme="minorHAnsi" w:hAnsiTheme="minorHAnsi"/>
          <w:caps/>
          <w:color w:val="auto"/>
        </w:rPr>
      </w:pPr>
      <w:r>
        <w:rPr>
          <w:rFonts w:asciiTheme="minorHAnsi" w:hAnsiTheme="minorHAnsi"/>
          <w:caps/>
          <w:color w:val="auto"/>
        </w:rPr>
        <w:t xml:space="preserve">CASE NUMBER: </w:t>
      </w:r>
      <w:r w:rsidR="00CB2FD6">
        <w:rPr>
          <w:rFonts w:asciiTheme="minorHAnsi" w:hAnsiTheme="minorHAnsi"/>
          <w:caps/>
          <w:color w:val="auto"/>
        </w:rPr>
        <w:t xml:space="preserve"> </w:t>
      </w:r>
      <w:r>
        <w:rPr>
          <w:rFonts w:asciiTheme="minorHAnsi" w:hAnsiTheme="minorHAnsi"/>
          <w:caps/>
          <w:color w:val="auto"/>
        </w:rPr>
        <w:t>PD</w:t>
      </w:r>
      <w:r w:rsidR="00B17FE9">
        <w:rPr>
          <w:rFonts w:asciiTheme="minorHAnsi" w:hAnsiTheme="minorHAnsi"/>
          <w:caps/>
          <w:color w:val="auto"/>
        </w:rPr>
        <w:t>09-00567</w:t>
      </w:r>
      <w:r w:rsidR="00E627C6">
        <w:rPr>
          <w:rFonts w:asciiTheme="minorHAnsi" w:hAnsiTheme="minorHAnsi"/>
          <w:caps/>
          <w:color w:val="auto"/>
        </w:rPr>
        <w:tab/>
      </w:r>
      <w:r w:rsidRPr="00211510">
        <w:rPr>
          <w:rFonts w:asciiTheme="minorHAnsi" w:hAnsiTheme="minorHAnsi"/>
          <w:caps/>
          <w:color w:val="auto"/>
        </w:rPr>
        <w:t xml:space="preserve">SEPARATION DATE: </w:t>
      </w:r>
      <w:r w:rsidR="00CB2FD6" w:rsidRPr="00211510">
        <w:rPr>
          <w:rFonts w:asciiTheme="minorHAnsi" w:hAnsiTheme="minorHAnsi"/>
          <w:caps/>
          <w:color w:val="auto"/>
        </w:rPr>
        <w:t xml:space="preserve"> </w:t>
      </w:r>
      <w:r w:rsidRPr="00211510">
        <w:rPr>
          <w:rFonts w:asciiTheme="minorHAnsi" w:hAnsiTheme="minorHAnsi"/>
          <w:caps/>
          <w:color w:val="auto"/>
        </w:rPr>
        <w:t>200</w:t>
      </w:r>
      <w:r w:rsidR="00B17FE9" w:rsidRPr="00211510">
        <w:rPr>
          <w:rFonts w:asciiTheme="minorHAnsi" w:hAnsiTheme="minorHAnsi"/>
          <w:caps/>
          <w:color w:val="auto"/>
        </w:rPr>
        <w:t>90830</w:t>
      </w:r>
    </w:p>
    <w:p w:rsidR="006D15F7" w:rsidRDefault="008B446D" w:rsidP="008B446D">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 xml:space="preserve">BOARD DATE: </w:t>
      </w:r>
      <w:r w:rsidR="00CB2FD6">
        <w:rPr>
          <w:rFonts w:asciiTheme="minorHAnsi" w:hAnsiTheme="minorHAnsi"/>
          <w:caps/>
          <w:color w:val="auto"/>
        </w:rPr>
        <w:t xml:space="preserve"> </w:t>
      </w:r>
      <w:r>
        <w:rPr>
          <w:rFonts w:asciiTheme="minorHAnsi" w:hAnsiTheme="minorHAnsi"/>
          <w:caps/>
          <w:color w:val="auto"/>
        </w:rPr>
        <w:t>201</w:t>
      </w:r>
      <w:r w:rsidR="00CB2FD6">
        <w:rPr>
          <w:rFonts w:asciiTheme="minorHAnsi" w:hAnsiTheme="minorHAnsi"/>
          <w:caps/>
          <w:color w:val="auto"/>
        </w:rPr>
        <w:t>1</w:t>
      </w:r>
      <w:r w:rsidR="00E627C6">
        <w:rPr>
          <w:rFonts w:asciiTheme="minorHAnsi" w:hAnsiTheme="minorHAnsi"/>
          <w:caps/>
          <w:color w:val="auto"/>
        </w:rPr>
        <w:t>0120</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r>
    </w:p>
    <w:p w:rsidR="00E627C6" w:rsidRPr="00CB2FD6" w:rsidRDefault="00E627C6" w:rsidP="00E627C6">
      <w:pPr>
        <w:pBdr>
          <w:bottom w:val="single" w:sz="12" w:space="1" w:color="auto"/>
        </w:pBdr>
        <w:tabs>
          <w:tab w:val="left" w:pos="288"/>
          <w:tab w:val="left" w:pos="4752"/>
        </w:tabs>
        <w:spacing w:line="240" w:lineRule="exact"/>
        <w:jc w:val="both"/>
        <w:rPr>
          <w:rFonts w:asciiTheme="minorHAnsi" w:hAnsiTheme="minorHAnsi"/>
          <w:caps/>
          <w:color w:val="auto"/>
        </w:rPr>
      </w:pPr>
    </w:p>
    <w:p w:rsidR="00E627C6" w:rsidRDefault="00E627C6" w:rsidP="00581F5C">
      <w:pPr>
        <w:autoSpaceDE w:val="0"/>
        <w:autoSpaceDN w:val="0"/>
        <w:adjustRightInd w:val="0"/>
        <w:spacing w:line="240" w:lineRule="exact"/>
        <w:rPr>
          <w:rFonts w:asciiTheme="minorHAnsi" w:hAnsiTheme="minorHAnsi"/>
          <w:color w:val="auto"/>
          <w:u w:val="single"/>
        </w:rPr>
      </w:pPr>
    </w:p>
    <w:p w:rsidR="00B20624" w:rsidRPr="00CB2FD6" w:rsidRDefault="002C6E5B" w:rsidP="00E627C6">
      <w:pPr>
        <w:autoSpaceDE w:val="0"/>
        <w:autoSpaceDN w:val="0"/>
        <w:adjustRightInd w:val="0"/>
        <w:spacing w:line="240" w:lineRule="exact"/>
        <w:jc w:val="both"/>
        <w:rPr>
          <w:rFonts w:asciiTheme="minorHAnsi" w:hAnsiTheme="minorHAnsi"/>
          <w:color w:val="auto"/>
          <w:szCs w:val="24"/>
        </w:rPr>
      </w:pPr>
      <w:r w:rsidRPr="00CB2FD6">
        <w:rPr>
          <w:rFonts w:asciiTheme="minorHAnsi" w:hAnsiTheme="minorHAnsi"/>
          <w:color w:val="auto"/>
          <w:u w:val="single"/>
        </w:rPr>
        <w:t>SUMMARY OF C</w:t>
      </w:r>
      <w:r w:rsidRPr="00396779">
        <w:rPr>
          <w:rFonts w:asciiTheme="minorHAnsi" w:hAnsiTheme="minorHAnsi"/>
          <w:color w:val="auto"/>
          <w:u w:val="single"/>
        </w:rPr>
        <w:t>ASE</w:t>
      </w:r>
      <w:r w:rsidRPr="00396779">
        <w:rPr>
          <w:rFonts w:asciiTheme="minorHAnsi" w:hAnsiTheme="minorHAnsi"/>
          <w:color w:val="auto"/>
        </w:rPr>
        <w:t xml:space="preserve">:  </w:t>
      </w:r>
      <w:r w:rsidR="00797916" w:rsidRPr="00EC337D">
        <w:rPr>
          <w:rFonts w:asciiTheme="minorHAnsi" w:hAnsiTheme="minorHAnsi"/>
          <w:color w:val="auto"/>
        </w:rPr>
        <w:t xml:space="preserve">Data extracted from the available evidence of record reflects that this covered individual (CI) </w:t>
      </w:r>
      <w:r w:rsidRPr="004113DE">
        <w:rPr>
          <w:rFonts w:asciiTheme="minorHAnsi" w:hAnsiTheme="minorHAnsi"/>
          <w:color w:val="auto"/>
          <w:szCs w:val="24"/>
        </w:rPr>
        <w:t xml:space="preserve">was </w:t>
      </w:r>
      <w:r w:rsidR="00E322F7" w:rsidRPr="004113DE">
        <w:rPr>
          <w:rFonts w:asciiTheme="minorHAnsi" w:hAnsiTheme="minorHAnsi"/>
          <w:color w:val="auto"/>
          <w:szCs w:val="24"/>
        </w:rPr>
        <w:t>an active duty</w:t>
      </w:r>
      <w:r w:rsidR="006D4E0E" w:rsidRPr="004113DE">
        <w:rPr>
          <w:rFonts w:asciiTheme="minorHAnsi" w:hAnsiTheme="minorHAnsi"/>
          <w:color w:val="auto"/>
          <w:szCs w:val="24"/>
        </w:rPr>
        <w:t xml:space="preserve"> </w:t>
      </w:r>
      <w:r w:rsidR="00084708" w:rsidRPr="004113DE">
        <w:rPr>
          <w:rFonts w:asciiTheme="minorHAnsi" w:hAnsiTheme="minorHAnsi"/>
          <w:color w:val="auto"/>
          <w:szCs w:val="24"/>
        </w:rPr>
        <w:t>Lance Corporal/E3</w:t>
      </w:r>
      <w:r w:rsidR="00CB2FD6">
        <w:rPr>
          <w:rFonts w:asciiTheme="minorHAnsi" w:hAnsiTheme="minorHAnsi"/>
          <w:color w:val="auto"/>
          <w:szCs w:val="24"/>
        </w:rPr>
        <w:t xml:space="preserve"> (</w:t>
      </w:r>
      <w:r w:rsidR="00084708" w:rsidRPr="004113DE">
        <w:rPr>
          <w:rFonts w:asciiTheme="minorHAnsi" w:hAnsiTheme="minorHAnsi"/>
          <w:color w:val="auto"/>
          <w:szCs w:val="24"/>
        </w:rPr>
        <w:t xml:space="preserve">0351, </w:t>
      </w:r>
      <w:proofErr w:type="spellStart"/>
      <w:r w:rsidR="00084708" w:rsidRPr="004113DE">
        <w:rPr>
          <w:rFonts w:asciiTheme="minorHAnsi" w:hAnsiTheme="minorHAnsi"/>
          <w:color w:val="auto"/>
          <w:szCs w:val="24"/>
        </w:rPr>
        <w:t>Assaultman</w:t>
      </w:r>
      <w:proofErr w:type="spellEnd"/>
      <w:r w:rsidR="00CB2FD6">
        <w:rPr>
          <w:rFonts w:asciiTheme="minorHAnsi" w:hAnsiTheme="minorHAnsi"/>
          <w:color w:val="auto"/>
          <w:szCs w:val="24"/>
        </w:rPr>
        <w:t>)</w:t>
      </w:r>
      <w:r w:rsidR="00084708" w:rsidRPr="004113DE">
        <w:rPr>
          <w:rFonts w:asciiTheme="minorHAnsi" w:hAnsiTheme="minorHAnsi"/>
          <w:color w:val="auto"/>
          <w:szCs w:val="24"/>
        </w:rPr>
        <w:t xml:space="preserve">, </w:t>
      </w:r>
      <w:r w:rsidRPr="004113DE">
        <w:rPr>
          <w:rFonts w:asciiTheme="minorHAnsi" w:hAnsiTheme="minorHAnsi"/>
          <w:color w:val="auto"/>
          <w:szCs w:val="24"/>
        </w:rPr>
        <w:t xml:space="preserve">medically separated from the </w:t>
      </w:r>
      <w:r w:rsidR="00084708" w:rsidRPr="004113DE">
        <w:rPr>
          <w:rFonts w:asciiTheme="minorHAnsi" w:hAnsiTheme="minorHAnsi"/>
          <w:color w:val="auto"/>
          <w:szCs w:val="24"/>
        </w:rPr>
        <w:t xml:space="preserve">USMC </w:t>
      </w:r>
      <w:r w:rsidRPr="004113DE">
        <w:rPr>
          <w:rFonts w:asciiTheme="minorHAnsi" w:hAnsiTheme="minorHAnsi"/>
          <w:color w:val="auto"/>
          <w:szCs w:val="24"/>
        </w:rPr>
        <w:t>in 200</w:t>
      </w:r>
      <w:r w:rsidR="00084708" w:rsidRPr="004113DE">
        <w:rPr>
          <w:rFonts w:asciiTheme="minorHAnsi" w:hAnsiTheme="minorHAnsi"/>
          <w:color w:val="auto"/>
          <w:szCs w:val="24"/>
        </w:rPr>
        <w:t>9</w:t>
      </w:r>
      <w:r w:rsidR="00D56768">
        <w:rPr>
          <w:rFonts w:asciiTheme="minorHAnsi" w:hAnsiTheme="minorHAnsi"/>
          <w:color w:val="auto"/>
          <w:szCs w:val="24"/>
        </w:rPr>
        <w:t>.</w:t>
      </w:r>
      <w:r w:rsidR="00084708" w:rsidRPr="004113DE">
        <w:rPr>
          <w:rFonts w:asciiTheme="minorHAnsi" w:hAnsiTheme="minorHAnsi"/>
          <w:color w:val="auto"/>
          <w:szCs w:val="24"/>
        </w:rPr>
        <w:t xml:space="preserve"> </w:t>
      </w:r>
      <w:r w:rsidRPr="004113DE">
        <w:rPr>
          <w:rFonts w:asciiTheme="minorHAnsi" w:hAnsiTheme="minorHAnsi"/>
          <w:color w:val="auto"/>
          <w:szCs w:val="24"/>
        </w:rPr>
        <w:t xml:space="preserve"> The medical basis for the separation was </w:t>
      </w:r>
      <w:r w:rsidR="008F6CDD">
        <w:rPr>
          <w:rFonts w:asciiTheme="minorHAnsi" w:hAnsiTheme="minorHAnsi"/>
          <w:color w:val="auto"/>
          <w:szCs w:val="24"/>
        </w:rPr>
        <w:t>Lumbago (</w:t>
      </w:r>
      <w:r w:rsidR="00084708" w:rsidRPr="004113DE">
        <w:rPr>
          <w:rFonts w:asciiTheme="minorHAnsi" w:hAnsiTheme="minorHAnsi"/>
          <w:color w:val="auto"/>
          <w:szCs w:val="24"/>
        </w:rPr>
        <w:t>back pain</w:t>
      </w:r>
      <w:r w:rsidR="008F6CDD">
        <w:rPr>
          <w:rFonts w:asciiTheme="minorHAnsi" w:hAnsiTheme="minorHAnsi"/>
          <w:color w:val="auto"/>
          <w:szCs w:val="24"/>
        </w:rPr>
        <w:t>/LBP)</w:t>
      </w:r>
      <w:r w:rsidR="00084708" w:rsidRPr="004113DE">
        <w:rPr>
          <w:rFonts w:asciiTheme="minorHAnsi" w:hAnsiTheme="minorHAnsi"/>
          <w:color w:val="auto"/>
          <w:szCs w:val="24"/>
        </w:rPr>
        <w:t xml:space="preserve">. </w:t>
      </w:r>
      <w:r w:rsidR="00CB2FD6">
        <w:rPr>
          <w:rFonts w:asciiTheme="minorHAnsi" w:hAnsiTheme="minorHAnsi"/>
          <w:color w:val="auto"/>
          <w:szCs w:val="24"/>
        </w:rPr>
        <w:t xml:space="preserve"> The CI </w:t>
      </w:r>
      <w:r w:rsidR="00084708" w:rsidRPr="004113DE">
        <w:rPr>
          <w:rFonts w:asciiTheme="minorHAnsi" w:hAnsiTheme="minorHAnsi"/>
          <w:color w:val="auto"/>
          <w:szCs w:val="24"/>
        </w:rPr>
        <w:t>first noticed back pain in Jan</w:t>
      </w:r>
      <w:r w:rsidR="00D56768">
        <w:rPr>
          <w:rFonts w:asciiTheme="minorHAnsi" w:hAnsiTheme="minorHAnsi"/>
          <w:color w:val="auto"/>
          <w:szCs w:val="24"/>
        </w:rPr>
        <w:t>uary 20</w:t>
      </w:r>
      <w:r w:rsidR="00084708" w:rsidRPr="004113DE">
        <w:rPr>
          <w:rFonts w:asciiTheme="minorHAnsi" w:hAnsiTheme="minorHAnsi"/>
          <w:color w:val="auto"/>
          <w:szCs w:val="24"/>
        </w:rPr>
        <w:t xml:space="preserve">08 while </w:t>
      </w:r>
      <w:r w:rsidR="00084708" w:rsidRPr="00211510">
        <w:rPr>
          <w:rFonts w:asciiTheme="minorHAnsi" w:hAnsiTheme="minorHAnsi"/>
          <w:color w:val="auto"/>
          <w:szCs w:val="24"/>
        </w:rPr>
        <w:t xml:space="preserve">deployed to Iraq. </w:t>
      </w:r>
      <w:r w:rsidR="00CB2FD6" w:rsidRPr="00211510">
        <w:rPr>
          <w:rFonts w:asciiTheme="minorHAnsi" w:hAnsiTheme="minorHAnsi"/>
          <w:color w:val="auto"/>
          <w:szCs w:val="24"/>
        </w:rPr>
        <w:t xml:space="preserve"> </w:t>
      </w:r>
      <w:r w:rsidR="00084708" w:rsidRPr="00211510">
        <w:rPr>
          <w:rFonts w:asciiTheme="minorHAnsi" w:hAnsiTheme="minorHAnsi"/>
          <w:color w:val="auto"/>
          <w:szCs w:val="24"/>
        </w:rPr>
        <w:t xml:space="preserve">He sought treatment while deployed and was able to complete the deployment. </w:t>
      </w:r>
      <w:r w:rsidR="00CB2FD6" w:rsidRPr="00211510">
        <w:rPr>
          <w:rFonts w:asciiTheme="minorHAnsi" w:hAnsiTheme="minorHAnsi"/>
          <w:color w:val="auto"/>
          <w:szCs w:val="24"/>
        </w:rPr>
        <w:t xml:space="preserve"> </w:t>
      </w:r>
      <w:r w:rsidR="00084708" w:rsidRPr="00211510">
        <w:rPr>
          <w:rFonts w:asciiTheme="minorHAnsi" w:hAnsiTheme="minorHAnsi"/>
          <w:color w:val="auto"/>
          <w:szCs w:val="24"/>
        </w:rPr>
        <w:t>Upon returning to CONUS</w:t>
      </w:r>
      <w:r w:rsidR="00CB2FD6" w:rsidRPr="00211510">
        <w:rPr>
          <w:rFonts w:asciiTheme="minorHAnsi" w:hAnsiTheme="minorHAnsi"/>
          <w:color w:val="auto"/>
          <w:szCs w:val="24"/>
        </w:rPr>
        <w:t>,</w:t>
      </w:r>
      <w:r w:rsidR="00084708" w:rsidRPr="00211510">
        <w:rPr>
          <w:rFonts w:asciiTheme="minorHAnsi" w:hAnsiTheme="minorHAnsi"/>
          <w:color w:val="auto"/>
          <w:szCs w:val="24"/>
        </w:rPr>
        <w:t xml:space="preserve"> he sought further care</w:t>
      </w:r>
      <w:r w:rsidR="004113DE" w:rsidRPr="00211510">
        <w:rPr>
          <w:rFonts w:asciiTheme="minorHAnsi" w:hAnsiTheme="minorHAnsi"/>
          <w:color w:val="auto"/>
          <w:szCs w:val="24"/>
        </w:rPr>
        <w:t xml:space="preserve"> which consisted of physical therapy, three epidural </w:t>
      </w:r>
      <w:r w:rsidR="00CB2FD6" w:rsidRPr="00211510">
        <w:rPr>
          <w:rFonts w:asciiTheme="minorHAnsi" w:hAnsiTheme="minorHAnsi"/>
          <w:color w:val="auto"/>
          <w:szCs w:val="24"/>
        </w:rPr>
        <w:t xml:space="preserve">steroid </w:t>
      </w:r>
      <w:r w:rsidR="004113DE" w:rsidRPr="00211510">
        <w:rPr>
          <w:rFonts w:asciiTheme="minorHAnsi" w:hAnsiTheme="minorHAnsi"/>
          <w:color w:val="auto"/>
          <w:szCs w:val="24"/>
        </w:rPr>
        <w:t>injections</w:t>
      </w:r>
      <w:r w:rsidR="00CB2FD6" w:rsidRPr="00211510">
        <w:rPr>
          <w:rFonts w:asciiTheme="minorHAnsi" w:hAnsiTheme="minorHAnsi"/>
          <w:color w:val="auto"/>
          <w:szCs w:val="24"/>
        </w:rPr>
        <w:t xml:space="preserve"> (ESI)</w:t>
      </w:r>
      <w:r w:rsidR="004113DE" w:rsidRPr="00211510">
        <w:rPr>
          <w:rFonts w:asciiTheme="minorHAnsi" w:hAnsiTheme="minorHAnsi"/>
          <w:color w:val="auto"/>
          <w:szCs w:val="24"/>
        </w:rPr>
        <w:t>, a facet block</w:t>
      </w:r>
      <w:r w:rsidR="00CB2FD6" w:rsidRPr="00211510">
        <w:rPr>
          <w:rFonts w:asciiTheme="minorHAnsi" w:hAnsiTheme="minorHAnsi"/>
          <w:color w:val="auto"/>
          <w:szCs w:val="24"/>
        </w:rPr>
        <w:t xml:space="preserve"> (injection for pain relief)</w:t>
      </w:r>
      <w:r w:rsidR="008F6CDD" w:rsidRPr="00211510">
        <w:rPr>
          <w:rFonts w:asciiTheme="minorHAnsi" w:hAnsiTheme="minorHAnsi"/>
          <w:color w:val="auto"/>
          <w:szCs w:val="24"/>
        </w:rPr>
        <w:t xml:space="preserve">, acupuncture, and </w:t>
      </w:r>
      <w:r w:rsidR="00986498" w:rsidRPr="00211510">
        <w:rPr>
          <w:rFonts w:asciiTheme="minorHAnsi" w:hAnsiTheme="minorHAnsi"/>
          <w:color w:val="auto"/>
          <w:szCs w:val="24"/>
        </w:rPr>
        <w:t>narcotic pain medications</w:t>
      </w:r>
      <w:r w:rsidR="004113DE" w:rsidRPr="00211510">
        <w:rPr>
          <w:rFonts w:asciiTheme="minorHAnsi" w:hAnsiTheme="minorHAnsi"/>
          <w:color w:val="auto"/>
          <w:szCs w:val="24"/>
        </w:rPr>
        <w:t>.</w:t>
      </w:r>
      <w:r w:rsidR="008F6CDD" w:rsidRPr="00211510">
        <w:rPr>
          <w:rFonts w:asciiTheme="minorHAnsi" w:hAnsiTheme="minorHAnsi"/>
          <w:color w:val="auto"/>
          <w:szCs w:val="24"/>
        </w:rPr>
        <w:t xml:space="preserve"> </w:t>
      </w:r>
      <w:r w:rsidR="00CB2FD6" w:rsidRPr="00211510">
        <w:rPr>
          <w:rFonts w:asciiTheme="minorHAnsi" w:hAnsiTheme="minorHAnsi"/>
          <w:color w:val="auto"/>
          <w:szCs w:val="24"/>
        </w:rPr>
        <w:t xml:space="preserve"> </w:t>
      </w:r>
      <w:r w:rsidR="004113DE" w:rsidRPr="00211510">
        <w:rPr>
          <w:rFonts w:asciiTheme="minorHAnsi" w:hAnsiTheme="minorHAnsi"/>
          <w:color w:val="auto"/>
          <w:szCs w:val="24"/>
        </w:rPr>
        <w:t>He ha</w:t>
      </w:r>
      <w:r w:rsidR="00777946" w:rsidRPr="00211510">
        <w:rPr>
          <w:rFonts w:asciiTheme="minorHAnsi" w:hAnsiTheme="minorHAnsi"/>
          <w:color w:val="auto"/>
          <w:szCs w:val="24"/>
        </w:rPr>
        <w:t>d</w:t>
      </w:r>
      <w:r w:rsidR="004113DE" w:rsidRPr="00211510">
        <w:rPr>
          <w:rFonts w:asciiTheme="minorHAnsi" w:hAnsiTheme="minorHAnsi"/>
          <w:color w:val="auto"/>
          <w:szCs w:val="24"/>
        </w:rPr>
        <w:t xml:space="preserve"> engaged in pain management and had an orthopedic consultation, but declined operative intervention as it was not likely to improve his condition. </w:t>
      </w:r>
      <w:r w:rsidR="00777946" w:rsidRPr="00211510">
        <w:rPr>
          <w:rFonts w:asciiTheme="minorHAnsi" w:hAnsiTheme="minorHAnsi"/>
          <w:color w:val="auto"/>
          <w:szCs w:val="24"/>
        </w:rPr>
        <w:t xml:space="preserve"> </w:t>
      </w:r>
      <w:r w:rsidR="00E627C6" w:rsidRPr="00211510">
        <w:rPr>
          <w:rFonts w:asciiTheme="minorHAnsi" w:hAnsiTheme="minorHAnsi"/>
          <w:color w:val="auto"/>
          <w:szCs w:val="24"/>
        </w:rPr>
        <w:t>Magnetic resonance imaging (</w:t>
      </w:r>
      <w:r w:rsidR="008F6CDD" w:rsidRPr="00211510">
        <w:rPr>
          <w:rFonts w:asciiTheme="minorHAnsi" w:hAnsiTheme="minorHAnsi"/>
          <w:color w:val="auto"/>
          <w:szCs w:val="24"/>
        </w:rPr>
        <w:t>MRI</w:t>
      </w:r>
      <w:r w:rsidR="00E627C6" w:rsidRPr="00211510">
        <w:rPr>
          <w:rFonts w:asciiTheme="minorHAnsi" w:hAnsiTheme="minorHAnsi"/>
          <w:color w:val="auto"/>
          <w:szCs w:val="24"/>
        </w:rPr>
        <w:t>)</w:t>
      </w:r>
      <w:r w:rsidR="008F6CDD" w:rsidRPr="00211510">
        <w:rPr>
          <w:rFonts w:asciiTheme="minorHAnsi" w:hAnsiTheme="minorHAnsi"/>
          <w:color w:val="auto"/>
          <w:szCs w:val="24"/>
        </w:rPr>
        <w:t xml:space="preserve"> demonstrated facet joint hypertrophy, with L4-L5 and T11-12 disc protrusions.  </w:t>
      </w:r>
      <w:r w:rsidR="00986498" w:rsidRPr="00211510">
        <w:rPr>
          <w:rFonts w:asciiTheme="minorHAnsi" w:hAnsiTheme="minorHAnsi"/>
          <w:color w:val="auto"/>
          <w:szCs w:val="24"/>
        </w:rPr>
        <w:t xml:space="preserve">Despite complaints of right leg numbness, </w:t>
      </w:r>
      <w:proofErr w:type="spellStart"/>
      <w:r w:rsidR="00986498" w:rsidRPr="00211510">
        <w:rPr>
          <w:rFonts w:asciiTheme="minorHAnsi" w:hAnsiTheme="minorHAnsi"/>
          <w:color w:val="auto"/>
          <w:szCs w:val="24"/>
        </w:rPr>
        <w:t>electrodiagnostic</w:t>
      </w:r>
      <w:proofErr w:type="spellEnd"/>
      <w:r w:rsidR="00986498" w:rsidRPr="00211510">
        <w:rPr>
          <w:rFonts w:asciiTheme="minorHAnsi" w:hAnsiTheme="minorHAnsi"/>
          <w:color w:val="auto"/>
          <w:szCs w:val="24"/>
        </w:rPr>
        <w:t xml:space="preserve"> study </w:t>
      </w:r>
      <w:r w:rsidR="00D56768">
        <w:rPr>
          <w:rFonts w:asciiTheme="minorHAnsi" w:hAnsiTheme="minorHAnsi"/>
          <w:color w:val="auto"/>
          <w:szCs w:val="24"/>
        </w:rPr>
        <w:t>conducted</w:t>
      </w:r>
      <w:r w:rsidR="00986498" w:rsidRPr="00211510">
        <w:rPr>
          <w:rFonts w:asciiTheme="minorHAnsi" w:hAnsiTheme="minorHAnsi"/>
          <w:color w:val="auto"/>
          <w:szCs w:val="24"/>
        </w:rPr>
        <w:t xml:space="preserve"> Nov</w:t>
      </w:r>
      <w:r w:rsidR="00D56768">
        <w:rPr>
          <w:rFonts w:asciiTheme="minorHAnsi" w:hAnsiTheme="minorHAnsi"/>
          <w:color w:val="auto"/>
          <w:szCs w:val="24"/>
        </w:rPr>
        <w:t>ember 20</w:t>
      </w:r>
      <w:r w:rsidR="00986498" w:rsidRPr="00211510">
        <w:rPr>
          <w:rFonts w:asciiTheme="minorHAnsi" w:hAnsiTheme="minorHAnsi"/>
          <w:color w:val="auto"/>
          <w:szCs w:val="24"/>
        </w:rPr>
        <w:t>08 was normal with no evidence of radiculopathy</w:t>
      </w:r>
      <w:r w:rsidR="00581F5C" w:rsidRPr="00211510">
        <w:rPr>
          <w:rFonts w:asciiTheme="minorHAnsi" w:hAnsiTheme="minorHAnsi"/>
          <w:color w:val="auto"/>
          <w:szCs w:val="24"/>
        </w:rPr>
        <w:t xml:space="preserve">.  </w:t>
      </w:r>
      <w:r w:rsidR="00E322F7" w:rsidRPr="00211510">
        <w:rPr>
          <w:rFonts w:asciiTheme="minorHAnsi" w:hAnsiTheme="minorHAnsi"/>
          <w:color w:val="auto"/>
          <w:szCs w:val="24"/>
        </w:rPr>
        <w:t>He did not respond ade</w:t>
      </w:r>
      <w:r w:rsidR="00E322F7" w:rsidRPr="00CB2FD6">
        <w:rPr>
          <w:rFonts w:asciiTheme="minorHAnsi" w:hAnsiTheme="minorHAnsi"/>
          <w:color w:val="auto"/>
          <w:szCs w:val="24"/>
        </w:rPr>
        <w:t xml:space="preserve">quately to perform within his </w:t>
      </w:r>
      <w:r w:rsidR="00705C40" w:rsidRPr="00CB2FD6">
        <w:rPr>
          <w:rFonts w:asciiTheme="minorHAnsi" w:hAnsiTheme="minorHAnsi"/>
          <w:color w:val="auto"/>
          <w:szCs w:val="24"/>
        </w:rPr>
        <w:t xml:space="preserve">military occupational </w:t>
      </w:r>
      <w:r w:rsidR="003A40B4" w:rsidRPr="00CB2FD6">
        <w:rPr>
          <w:rFonts w:asciiTheme="minorHAnsi" w:hAnsiTheme="minorHAnsi"/>
          <w:color w:val="auto"/>
          <w:szCs w:val="24"/>
        </w:rPr>
        <w:t xml:space="preserve">specialty </w:t>
      </w:r>
      <w:r w:rsidR="00E322F7" w:rsidRPr="00CB2FD6">
        <w:rPr>
          <w:rFonts w:asciiTheme="minorHAnsi" w:hAnsiTheme="minorHAnsi"/>
          <w:color w:val="auto"/>
          <w:szCs w:val="24"/>
        </w:rPr>
        <w:t xml:space="preserve">or participate in </w:t>
      </w:r>
      <w:r w:rsidR="003A40B4" w:rsidRPr="00CB2FD6">
        <w:rPr>
          <w:rFonts w:asciiTheme="minorHAnsi" w:hAnsiTheme="minorHAnsi"/>
          <w:color w:val="auto"/>
          <w:szCs w:val="24"/>
        </w:rPr>
        <w:t>a physical fitness test</w:t>
      </w:r>
      <w:r w:rsidR="00777946">
        <w:rPr>
          <w:rFonts w:asciiTheme="minorHAnsi" w:hAnsiTheme="minorHAnsi"/>
          <w:color w:val="auto"/>
          <w:szCs w:val="24"/>
        </w:rPr>
        <w:t>,</w:t>
      </w:r>
      <w:r w:rsidR="003A40B4" w:rsidRPr="00CB2FD6">
        <w:rPr>
          <w:rFonts w:asciiTheme="minorHAnsi" w:hAnsiTheme="minorHAnsi"/>
          <w:color w:val="auto"/>
          <w:szCs w:val="24"/>
        </w:rPr>
        <w:t xml:space="preserve"> </w:t>
      </w:r>
      <w:r w:rsidR="00777946">
        <w:rPr>
          <w:rFonts w:asciiTheme="minorHAnsi" w:hAnsiTheme="minorHAnsi"/>
          <w:color w:val="auto"/>
          <w:szCs w:val="24"/>
        </w:rPr>
        <w:t xml:space="preserve">and </w:t>
      </w:r>
      <w:r w:rsidR="00E322F7" w:rsidRPr="00CB2FD6">
        <w:rPr>
          <w:rFonts w:asciiTheme="minorHAnsi" w:hAnsiTheme="minorHAnsi"/>
          <w:color w:val="auto"/>
          <w:szCs w:val="24"/>
        </w:rPr>
        <w:t xml:space="preserve">was </w:t>
      </w:r>
      <w:r w:rsidR="00121849" w:rsidRPr="00CB2FD6">
        <w:rPr>
          <w:rFonts w:asciiTheme="minorHAnsi" w:hAnsiTheme="minorHAnsi"/>
          <w:color w:val="auto"/>
          <w:szCs w:val="24"/>
        </w:rPr>
        <w:t xml:space="preserve">placed on several </w:t>
      </w:r>
      <w:r w:rsidR="00777946">
        <w:rPr>
          <w:rFonts w:asciiTheme="minorHAnsi" w:hAnsiTheme="minorHAnsi"/>
          <w:color w:val="auto"/>
          <w:szCs w:val="24"/>
        </w:rPr>
        <w:t>periods of limited duty (</w:t>
      </w:r>
      <w:r w:rsidR="00121849" w:rsidRPr="00CB2FD6">
        <w:rPr>
          <w:rFonts w:asciiTheme="minorHAnsi" w:hAnsiTheme="minorHAnsi"/>
          <w:color w:val="auto"/>
          <w:szCs w:val="24"/>
        </w:rPr>
        <w:t>LIMDU</w:t>
      </w:r>
      <w:r w:rsidR="00777946">
        <w:rPr>
          <w:rFonts w:asciiTheme="minorHAnsi" w:hAnsiTheme="minorHAnsi"/>
          <w:color w:val="auto"/>
          <w:szCs w:val="24"/>
        </w:rPr>
        <w:t>)</w:t>
      </w:r>
      <w:r w:rsidR="00121849" w:rsidRPr="00CB2FD6">
        <w:rPr>
          <w:rFonts w:asciiTheme="minorHAnsi" w:hAnsiTheme="minorHAnsi"/>
          <w:color w:val="auto"/>
          <w:szCs w:val="24"/>
        </w:rPr>
        <w:t xml:space="preserve"> prior to undergoing a </w:t>
      </w:r>
      <w:r w:rsidR="00705C40" w:rsidRPr="00CB2FD6">
        <w:rPr>
          <w:rFonts w:asciiTheme="minorHAnsi" w:hAnsiTheme="minorHAnsi"/>
          <w:color w:val="auto"/>
          <w:szCs w:val="24"/>
        </w:rPr>
        <w:t>Medical Evaluation Board (</w:t>
      </w:r>
      <w:r w:rsidR="00E322F7" w:rsidRPr="00CB2FD6">
        <w:rPr>
          <w:rFonts w:asciiTheme="minorHAnsi" w:hAnsiTheme="minorHAnsi"/>
          <w:color w:val="auto"/>
          <w:szCs w:val="24"/>
        </w:rPr>
        <w:t>MEB</w:t>
      </w:r>
      <w:r w:rsidR="00705C40" w:rsidRPr="00CB2FD6">
        <w:rPr>
          <w:rFonts w:asciiTheme="minorHAnsi" w:hAnsiTheme="minorHAnsi"/>
          <w:color w:val="auto"/>
          <w:szCs w:val="24"/>
        </w:rPr>
        <w:t>)</w:t>
      </w:r>
      <w:r w:rsidR="00E322F7" w:rsidRPr="00CB2FD6">
        <w:rPr>
          <w:rFonts w:asciiTheme="minorHAnsi" w:hAnsiTheme="minorHAnsi"/>
          <w:color w:val="auto"/>
          <w:szCs w:val="24"/>
        </w:rPr>
        <w:t>.</w:t>
      </w:r>
      <w:r w:rsidR="00581F5C">
        <w:rPr>
          <w:rFonts w:asciiTheme="minorHAnsi" w:hAnsiTheme="minorHAnsi"/>
          <w:color w:val="auto"/>
          <w:szCs w:val="24"/>
        </w:rPr>
        <w:t xml:space="preserve">  </w:t>
      </w:r>
      <w:r w:rsidR="00951304" w:rsidRPr="00CB2FD6">
        <w:rPr>
          <w:rFonts w:asciiTheme="minorHAnsi" w:hAnsiTheme="minorHAnsi"/>
          <w:color w:val="auto"/>
          <w:szCs w:val="24"/>
        </w:rPr>
        <w:t xml:space="preserve">Back pain (Lumbago, displacement of lumbar intervertebral disc without </w:t>
      </w:r>
      <w:proofErr w:type="spellStart"/>
      <w:r w:rsidR="00951304" w:rsidRPr="00CB2FD6">
        <w:rPr>
          <w:rFonts w:asciiTheme="minorHAnsi" w:hAnsiTheme="minorHAnsi"/>
          <w:color w:val="auto"/>
          <w:szCs w:val="24"/>
        </w:rPr>
        <w:t>myelopathy</w:t>
      </w:r>
      <w:proofErr w:type="spellEnd"/>
      <w:r w:rsidR="00951304" w:rsidRPr="00CB2FD6">
        <w:rPr>
          <w:rFonts w:asciiTheme="minorHAnsi" w:hAnsiTheme="minorHAnsi"/>
          <w:color w:val="auto"/>
          <w:szCs w:val="24"/>
        </w:rPr>
        <w:t xml:space="preserve"> and other symptoms referable to the back) were addressed in</w:t>
      </w:r>
      <w:r w:rsidR="00AE5E14" w:rsidRPr="00CB2FD6">
        <w:rPr>
          <w:rFonts w:asciiTheme="minorHAnsi" w:hAnsiTheme="minorHAnsi"/>
          <w:color w:val="auto"/>
          <w:szCs w:val="24"/>
        </w:rPr>
        <w:t xml:space="preserve"> the </w:t>
      </w:r>
      <w:r w:rsidR="00705C40" w:rsidRPr="00CB2FD6">
        <w:rPr>
          <w:rFonts w:asciiTheme="minorHAnsi" w:hAnsiTheme="minorHAnsi"/>
          <w:color w:val="auto"/>
          <w:szCs w:val="24"/>
        </w:rPr>
        <w:t>narrative summary (</w:t>
      </w:r>
      <w:r w:rsidR="00AE5E14" w:rsidRPr="00CB2FD6">
        <w:rPr>
          <w:rFonts w:asciiTheme="minorHAnsi" w:hAnsiTheme="minorHAnsi"/>
          <w:color w:val="auto"/>
          <w:szCs w:val="24"/>
        </w:rPr>
        <w:t>NARSUM</w:t>
      </w:r>
      <w:r w:rsidR="00705C40" w:rsidRPr="00CB2FD6">
        <w:rPr>
          <w:rFonts w:asciiTheme="minorHAnsi" w:hAnsiTheme="minorHAnsi"/>
          <w:color w:val="auto"/>
          <w:szCs w:val="24"/>
        </w:rPr>
        <w:t>)</w:t>
      </w:r>
      <w:r w:rsidR="00AE5E14" w:rsidRPr="00CB2FD6">
        <w:rPr>
          <w:rFonts w:asciiTheme="minorHAnsi" w:hAnsiTheme="minorHAnsi"/>
          <w:color w:val="auto"/>
          <w:szCs w:val="24"/>
        </w:rPr>
        <w:t xml:space="preserve"> and forwarded</w:t>
      </w:r>
      <w:r w:rsidR="00AE5E14" w:rsidRPr="0013525F">
        <w:rPr>
          <w:rFonts w:asciiTheme="minorHAnsi" w:hAnsiTheme="minorHAnsi"/>
          <w:color w:val="auto"/>
          <w:szCs w:val="24"/>
        </w:rPr>
        <w:t xml:space="preserve"> to the </w:t>
      </w:r>
      <w:r w:rsidR="00B20624" w:rsidRPr="00396779">
        <w:rPr>
          <w:rFonts w:asciiTheme="minorHAnsi" w:hAnsiTheme="minorHAnsi"/>
          <w:color w:val="auto"/>
          <w:szCs w:val="24"/>
        </w:rPr>
        <w:t>Physical Evaluation Board (</w:t>
      </w:r>
      <w:r w:rsidR="00AE5E14" w:rsidRPr="00396779">
        <w:rPr>
          <w:rFonts w:asciiTheme="minorHAnsi" w:hAnsiTheme="minorHAnsi"/>
          <w:color w:val="auto"/>
          <w:szCs w:val="24"/>
        </w:rPr>
        <w:t>PEB</w:t>
      </w:r>
      <w:r w:rsidR="00B20624" w:rsidRPr="00396779">
        <w:rPr>
          <w:rFonts w:asciiTheme="minorHAnsi" w:hAnsiTheme="minorHAnsi"/>
          <w:color w:val="auto"/>
          <w:szCs w:val="24"/>
        </w:rPr>
        <w:t>)</w:t>
      </w:r>
      <w:r w:rsidR="00AE5E14" w:rsidRPr="00396779">
        <w:rPr>
          <w:rFonts w:asciiTheme="minorHAnsi" w:hAnsiTheme="minorHAnsi"/>
          <w:color w:val="auto"/>
          <w:szCs w:val="24"/>
        </w:rPr>
        <w:t xml:space="preserve"> </w:t>
      </w:r>
      <w:r w:rsidR="00065E21" w:rsidRPr="00951304">
        <w:rPr>
          <w:rFonts w:asciiTheme="minorHAnsi" w:hAnsiTheme="minorHAnsi"/>
          <w:color w:val="auto"/>
          <w:szCs w:val="24"/>
        </w:rPr>
        <w:t>on the NAVMED 6</w:t>
      </w:r>
      <w:r w:rsidR="00DD286D" w:rsidRPr="00951304">
        <w:rPr>
          <w:rFonts w:asciiTheme="minorHAnsi" w:hAnsiTheme="minorHAnsi"/>
          <w:color w:val="auto"/>
          <w:szCs w:val="24"/>
        </w:rPr>
        <w:t>1</w:t>
      </w:r>
      <w:r w:rsidR="00065E21" w:rsidRPr="00951304">
        <w:rPr>
          <w:rFonts w:asciiTheme="minorHAnsi" w:hAnsiTheme="minorHAnsi"/>
          <w:color w:val="auto"/>
          <w:szCs w:val="24"/>
        </w:rPr>
        <w:t>00/1</w:t>
      </w:r>
      <w:r w:rsidR="00AE5E14" w:rsidRPr="00951304">
        <w:rPr>
          <w:rFonts w:asciiTheme="minorHAnsi" w:hAnsiTheme="minorHAnsi"/>
          <w:color w:val="auto"/>
          <w:szCs w:val="24"/>
        </w:rPr>
        <w:t>.</w:t>
      </w:r>
      <w:r w:rsidR="00777946">
        <w:rPr>
          <w:rFonts w:asciiTheme="minorHAnsi" w:hAnsiTheme="minorHAnsi"/>
          <w:color w:val="auto"/>
          <w:szCs w:val="24"/>
        </w:rPr>
        <w:t xml:space="preserve">  </w:t>
      </w:r>
      <w:r w:rsidR="001A5E62" w:rsidRPr="00396779">
        <w:rPr>
          <w:rFonts w:asciiTheme="minorHAnsi" w:hAnsiTheme="minorHAnsi"/>
          <w:color w:val="auto"/>
          <w:szCs w:val="24"/>
        </w:rPr>
        <w:t xml:space="preserve">No other conditions appeared on the MEB’s </w:t>
      </w:r>
      <w:r w:rsidR="00951304" w:rsidRPr="00951304">
        <w:rPr>
          <w:rFonts w:asciiTheme="minorHAnsi" w:hAnsiTheme="minorHAnsi"/>
          <w:color w:val="auto"/>
          <w:szCs w:val="24"/>
        </w:rPr>
        <w:t>NAVMED 6100/1.</w:t>
      </w:r>
      <w:r w:rsidR="001A5E62" w:rsidRPr="00396779">
        <w:rPr>
          <w:rFonts w:asciiTheme="minorHAnsi" w:hAnsiTheme="minorHAnsi"/>
          <w:color w:val="auto"/>
          <w:szCs w:val="24"/>
        </w:rPr>
        <w:t xml:space="preserve">  Other conditions included in the </w:t>
      </w:r>
      <w:r w:rsidR="00F14891">
        <w:rPr>
          <w:rFonts w:asciiTheme="minorHAnsi" w:hAnsiTheme="minorHAnsi"/>
          <w:color w:val="auto"/>
          <w:szCs w:val="24"/>
        </w:rPr>
        <w:t>N</w:t>
      </w:r>
      <w:r w:rsidR="001A5E62" w:rsidRPr="00396779">
        <w:rPr>
          <w:rFonts w:asciiTheme="minorHAnsi" w:hAnsiTheme="minorHAnsi"/>
          <w:color w:val="auto"/>
          <w:szCs w:val="24"/>
        </w:rPr>
        <w:t xml:space="preserve">ARSUM and </w:t>
      </w:r>
      <w:r w:rsidR="00E627C6">
        <w:rPr>
          <w:rFonts w:asciiTheme="minorHAnsi" w:hAnsiTheme="minorHAnsi"/>
          <w:color w:val="auto"/>
          <w:szCs w:val="24"/>
        </w:rPr>
        <w:t>Disability Evaluation System (</w:t>
      </w:r>
      <w:r w:rsidR="001A5E62" w:rsidRPr="00396779">
        <w:rPr>
          <w:rFonts w:asciiTheme="minorHAnsi" w:hAnsiTheme="minorHAnsi"/>
          <w:color w:val="auto"/>
          <w:szCs w:val="24"/>
        </w:rPr>
        <w:t>DES</w:t>
      </w:r>
      <w:r w:rsidR="00E627C6">
        <w:rPr>
          <w:rFonts w:asciiTheme="minorHAnsi" w:hAnsiTheme="minorHAnsi"/>
          <w:color w:val="auto"/>
          <w:szCs w:val="24"/>
        </w:rPr>
        <w:t>)</w:t>
      </w:r>
      <w:r w:rsidR="001A5E62" w:rsidRPr="00396779">
        <w:rPr>
          <w:rFonts w:asciiTheme="minorHAnsi" w:hAnsiTheme="minorHAnsi"/>
          <w:color w:val="auto"/>
          <w:szCs w:val="24"/>
        </w:rPr>
        <w:t xml:space="preserve"> packet will be discussed below.</w:t>
      </w:r>
      <w:r w:rsidR="00777946">
        <w:rPr>
          <w:rFonts w:asciiTheme="minorHAnsi" w:hAnsiTheme="minorHAnsi"/>
          <w:color w:val="auto"/>
          <w:szCs w:val="24"/>
        </w:rPr>
        <w:t xml:space="preserve">  </w:t>
      </w:r>
      <w:r w:rsidR="00B20624" w:rsidRPr="00396779">
        <w:rPr>
          <w:rFonts w:asciiTheme="minorHAnsi" w:hAnsiTheme="minorHAnsi"/>
          <w:color w:val="auto"/>
          <w:szCs w:val="24"/>
        </w:rPr>
        <w:t xml:space="preserve">The PEB adjudicated the </w:t>
      </w:r>
      <w:r w:rsidR="00F14891">
        <w:rPr>
          <w:rFonts w:asciiTheme="minorHAnsi" w:hAnsiTheme="minorHAnsi"/>
          <w:color w:val="auto"/>
          <w:szCs w:val="24"/>
        </w:rPr>
        <w:t xml:space="preserve">lumbago </w:t>
      </w:r>
      <w:r w:rsidR="00B20624" w:rsidRPr="00396779">
        <w:rPr>
          <w:rFonts w:asciiTheme="minorHAnsi" w:hAnsiTheme="minorHAnsi"/>
          <w:color w:val="auto"/>
          <w:szCs w:val="24"/>
        </w:rPr>
        <w:t xml:space="preserve">condition as unfitting, rated </w:t>
      </w:r>
      <w:r w:rsidR="00F14891">
        <w:rPr>
          <w:rFonts w:asciiTheme="minorHAnsi" w:hAnsiTheme="minorHAnsi"/>
          <w:color w:val="auto"/>
          <w:szCs w:val="24"/>
        </w:rPr>
        <w:t>at 20%</w:t>
      </w:r>
      <w:r w:rsidR="00581F5C">
        <w:rPr>
          <w:rFonts w:asciiTheme="minorHAnsi" w:hAnsiTheme="minorHAnsi"/>
          <w:color w:val="auto"/>
          <w:szCs w:val="24"/>
        </w:rPr>
        <w:t xml:space="preserve"> with associated back diagnoses as (Category 2).  </w:t>
      </w:r>
      <w:r w:rsidR="00B20624" w:rsidRPr="00F14891">
        <w:rPr>
          <w:rFonts w:asciiTheme="minorHAnsi" w:hAnsiTheme="minorHAnsi"/>
          <w:color w:val="auto"/>
        </w:rPr>
        <w:t xml:space="preserve">The </w:t>
      </w:r>
      <w:r w:rsidR="00B20624" w:rsidRPr="00CB2FD6">
        <w:rPr>
          <w:rFonts w:asciiTheme="minorHAnsi" w:hAnsiTheme="minorHAnsi"/>
          <w:color w:val="auto"/>
        </w:rPr>
        <w:t xml:space="preserve">CI </w:t>
      </w:r>
      <w:r w:rsidR="00190E48" w:rsidRPr="00CB2FD6">
        <w:rPr>
          <w:rFonts w:asciiTheme="minorHAnsi" w:hAnsiTheme="minorHAnsi"/>
          <w:color w:val="auto"/>
        </w:rPr>
        <w:t xml:space="preserve">made no appeals, </w:t>
      </w:r>
      <w:r w:rsidR="00B20624" w:rsidRPr="00CB2FD6">
        <w:rPr>
          <w:rFonts w:asciiTheme="minorHAnsi" w:hAnsiTheme="minorHAnsi"/>
          <w:color w:val="auto"/>
        </w:rPr>
        <w:t xml:space="preserve">and was </w:t>
      </w:r>
      <w:r w:rsidR="00C87F76" w:rsidRPr="00CB2FD6">
        <w:rPr>
          <w:rFonts w:asciiTheme="minorHAnsi" w:hAnsiTheme="minorHAnsi"/>
          <w:color w:val="auto"/>
        </w:rPr>
        <w:t xml:space="preserve">then </w:t>
      </w:r>
      <w:r w:rsidR="00B20624" w:rsidRPr="00CB2FD6">
        <w:rPr>
          <w:rFonts w:asciiTheme="minorHAnsi" w:hAnsiTheme="minorHAnsi"/>
          <w:color w:val="auto"/>
        </w:rPr>
        <w:t xml:space="preserve">medically separated with a </w:t>
      </w:r>
      <w:r w:rsidR="00F14891" w:rsidRPr="00CB2FD6">
        <w:rPr>
          <w:rFonts w:asciiTheme="minorHAnsi" w:hAnsiTheme="minorHAnsi"/>
          <w:color w:val="auto"/>
        </w:rPr>
        <w:t>20</w:t>
      </w:r>
      <w:r w:rsidR="00B20624" w:rsidRPr="00CB2FD6">
        <w:rPr>
          <w:rFonts w:asciiTheme="minorHAnsi" w:hAnsiTheme="minorHAnsi"/>
          <w:color w:val="auto"/>
        </w:rPr>
        <w:t>%</w:t>
      </w:r>
      <w:r w:rsidR="00F14891" w:rsidRPr="00CB2FD6">
        <w:rPr>
          <w:rFonts w:asciiTheme="minorHAnsi" w:hAnsiTheme="minorHAnsi"/>
          <w:color w:val="auto"/>
        </w:rPr>
        <w:t xml:space="preserve"> </w:t>
      </w:r>
      <w:r w:rsidR="00B20624" w:rsidRPr="00CB2FD6">
        <w:rPr>
          <w:rFonts w:asciiTheme="minorHAnsi" w:hAnsiTheme="minorHAnsi"/>
          <w:color w:val="auto"/>
        </w:rPr>
        <w:t xml:space="preserve">disability rating.  </w:t>
      </w:r>
    </w:p>
    <w:p w:rsidR="00106AD8" w:rsidRPr="00CB2FD6"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B2FD6" w:rsidRDefault="00106AD8" w:rsidP="00106AD8">
      <w:pPr>
        <w:tabs>
          <w:tab w:val="left" w:pos="288"/>
          <w:tab w:val="left" w:pos="4752"/>
        </w:tabs>
        <w:spacing w:line="240" w:lineRule="exact"/>
        <w:rPr>
          <w:rFonts w:ascii="Calibri" w:hAnsi="Calibri"/>
          <w:color w:val="auto"/>
          <w:szCs w:val="24"/>
        </w:rPr>
      </w:pPr>
    </w:p>
    <w:p w:rsidR="00122ABE" w:rsidRPr="00CB2FD6" w:rsidRDefault="002C6E5B" w:rsidP="00DD64E0">
      <w:pPr>
        <w:tabs>
          <w:tab w:val="left" w:pos="288"/>
          <w:tab w:val="left" w:pos="4752"/>
        </w:tabs>
        <w:spacing w:line="240" w:lineRule="exact"/>
        <w:jc w:val="both"/>
        <w:rPr>
          <w:rFonts w:asciiTheme="minorHAnsi" w:hAnsiTheme="minorHAnsi"/>
          <w:color w:val="auto"/>
          <w:szCs w:val="24"/>
        </w:rPr>
      </w:pPr>
      <w:r w:rsidRPr="00CB2FD6">
        <w:rPr>
          <w:rFonts w:asciiTheme="minorHAnsi" w:hAnsiTheme="minorHAnsi"/>
          <w:color w:val="auto"/>
          <w:u w:val="single"/>
        </w:rPr>
        <w:t>CI CONTENTION</w:t>
      </w:r>
      <w:r w:rsidRPr="00CB2FD6">
        <w:rPr>
          <w:rFonts w:asciiTheme="minorHAnsi" w:hAnsiTheme="minorHAnsi"/>
          <w:color w:val="auto"/>
        </w:rPr>
        <w:t xml:space="preserve">: </w:t>
      </w:r>
      <w:r w:rsidR="00CB2FD6">
        <w:rPr>
          <w:rFonts w:asciiTheme="minorHAnsi" w:hAnsiTheme="minorHAnsi"/>
          <w:color w:val="auto"/>
        </w:rPr>
        <w:t xml:space="preserve"> </w:t>
      </w:r>
      <w:r w:rsidRPr="00CB2FD6">
        <w:rPr>
          <w:rFonts w:asciiTheme="minorHAnsi" w:hAnsiTheme="minorHAnsi"/>
          <w:color w:val="auto"/>
          <w:szCs w:val="24"/>
        </w:rPr>
        <w:t>The CI states:</w:t>
      </w:r>
      <w:r w:rsidR="00C932C5" w:rsidRPr="00CB2FD6">
        <w:rPr>
          <w:rFonts w:asciiTheme="minorHAnsi" w:hAnsiTheme="minorHAnsi"/>
          <w:color w:val="auto"/>
          <w:szCs w:val="24"/>
        </w:rPr>
        <w:t xml:space="preserve"> </w:t>
      </w:r>
      <w:r w:rsidR="00CB2FD6">
        <w:rPr>
          <w:rFonts w:asciiTheme="minorHAnsi" w:hAnsiTheme="minorHAnsi"/>
          <w:color w:val="auto"/>
          <w:szCs w:val="24"/>
        </w:rPr>
        <w:t xml:space="preserve"> </w:t>
      </w:r>
      <w:r w:rsidR="00C932C5" w:rsidRPr="00CB2FD6">
        <w:rPr>
          <w:rFonts w:asciiTheme="minorHAnsi" w:hAnsiTheme="minorHAnsi"/>
          <w:color w:val="auto"/>
          <w:szCs w:val="24"/>
        </w:rPr>
        <w:t>‘’</w:t>
      </w:r>
      <w:r w:rsidR="00B17FE9" w:rsidRPr="00CB2FD6">
        <w:rPr>
          <w:rFonts w:asciiTheme="minorHAnsi" w:hAnsiTheme="minorHAnsi"/>
          <w:color w:val="auto"/>
          <w:szCs w:val="24"/>
        </w:rPr>
        <w:t xml:space="preserve">I feel </w:t>
      </w:r>
      <w:r w:rsidR="00B17FE9" w:rsidRPr="00211510">
        <w:rPr>
          <w:rFonts w:asciiTheme="minorHAnsi" w:hAnsiTheme="minorHAnsi"/>
          <w:color w:val="auto"/>
          <w:szCs w:val="24"/>
        </w:rPr>
        <w:t>that I am more disabled than 20% (not all symptoms were taken into consideration</w:t>
      </w:r>
      <w:r w:rsidR="00CB2FD6" w:rsidRPr="00211510">
        <w:rPr>
          <w:rFonts w:asciiTheme="minorHAnsi" w:hAnsiTheme="minorHAnsi"/>
          <w:color w:val="auto"/>
          <w:szCs w:val="24"/>
        </w:rPr>
        <w:t>)</w:t>
      </w:r>
      <w:r w:rsidR="00B17FE9" w:rsidRPr="00211510">
        <w:rPr>
          <w:rFonts w:asciiTheme="minorHAnsi" w:hAnsiTheme="minorHAnsi"/>
          <w:color w:val="auto"/>
          <w:szCs w:val="24"/>
        </w:rPr>
        <w:t xml:space="preserve">. </w:t>
      </w:r>
      <w:r w:rsidR="00CB2FD6" w:rsidRPr="00211510">
        <w:rPr>
          <w:rFonts w:asciiTheme="minorHAnsi" w:hAnsiTheme="minorHAnsi"/>
          <w:color w:val="auto"/>
          <w:szCs w:val="24"/>
        </w:rPr>
        <w:t xml:space="preserve"> </w:t>
      </w:r>
      <w:r w:rsidR="00B17FE9" w:rsidRPr="00211510">
        <w:rPr>
          <w:rFonts w:asciiTheme="minorHAnsi" w:hAnsiTheme="minorHAnsi"/>
          <w:color w:val="auto"/>
          <w:szCs w:val="24"/>
        </w:rPr>
        <w:t xml:space="preserve">I was injured due to a deployment, but was told it was not combat related. </w:t>
      </w:r>
      <w:r w:rsidR="00CB2FD6" w:rsidRPr="00211510">
        <w:rPr>
          <w:rFonts w:asciiTheme="minorHAnsi" w:hAnsiTheme="minorHAnsi"/>
          <w:color w:val="auto"/>
          <w:szCs w:val="24"/>
        </w:rPr>
        <w:t xml:space="preserve"> </w:t>
      </w:r>
      <w:r w:rsidR="00B17FE9" w:rsidRPr="00211510">
        <w:rPr>
          <w:rFonts w:asciiTheme="minorHAnsi" w:hAnsiTheme="minorHAnsi"/>
          <w:color w:val="auto"/>
          <w:szCs w:val="24"/>
        </w:rPr>
        <w:t>New symptoms have occurred because of my injury and its effects.</w:t>
      </w:r>
      <w:r w:rsidR="00CB2FD6" w:rsidRPr="00211510">
        <w:rPr>
          <w:rFonts w:asciiTheme="minorHAnsi" w:hAnsiTheme="minorHAnsi"/>
          <w:color w:val="auto"/>
          <w:szCs w:val="24"/>
        </w:rPr>
        <w:t xml:space="preserve">”  </w:t>
      </w:r>
      <w:r w:rsidR="00122ABE" w:rsidRPr="00211510">
        <w:rPr>
          <w:rFonts w:asciiTheme="minorHAnsi" w:hAnsiTheme="minorHAnsi"/>
          <w:color w:val="auto"/>
          <w:szCs w:val="24"/>
        </w:rPr>
        <w:t>As a matter of policy, all service con</w:t>
      </w:r>
      <w:r w:rsidR="00122ABE" w:rsidRPr="00CB2FD6">
        <w:rPr>
          <w:rFonts w:asciiTheme="minorHAnsi" w:hAnsiTheme="minorHAnsi"/>
          <w:color w:val="auto"/>
          <w:szCs w:val="24"/>
        </w:rPr>
        <w:t xml:space="preserve">ditions are reviewed by the Board for their potential contribution to its rating recommendations. </w:t>
      </w:r>
      <w:r w:rsidR="00CB2FD6">
        <w:rPr>
          <w:rFonts w:asciiTheme="minorHAnsi" w:hAnsiTheme="minorHAnsi"/>
          <w:color w:val="auto"/>
          <w:szCs w:val="24"/>
        </w:rPr>
        <w:t xml:space="preserve"> </w:t>
      </w:r>
    </w:p>
    <w:p w:rsidR="00106AD8" w:rsidRPr="00CB2FD6"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B2FD6" w:rsidRDefault="00106AD8" w:rsidP="00106AD8">
      <w:pPr>
        <w:tabs>
          <w:tab w:val="left" w:pos="288"/>
          <w:tab w:val="left" w:pos="4752"/>
        </w:tabs>
        <w:spacing w:line="240" w:lineRule="exact"/>
        <w:rPr>
          <w:rFonts w:ascii="Calibri" w:hAnsi="Calibri"/>
          <w:color w:val="auto"/>
          <w:szCs w:val="24"/>
        </w:rPr>
      </w:pPr>
    </w:p>
    <w:p w:rsidR="002338CA" w:rsidRDefault="002C6E5B" w:rsidP="00D17DD9">
      <w:pPr>
        <w:rPr>
          <w:rFonts w:asciiTheme="minorHAnsi" w:hAnsiTheme="minorHAnsi"/>
          <w:color w:val="auto"/>
        </w:rPr>
      </w:pPr>
      <w:r w:rsidRPr="00027BF5">
        <w:rPr>
          <w:rFonts w:asciiTheme="minorHAnsi" w:hAnsiTheme="minorHAnsi"/>
          <w:color w:val="auto"/>
          <w:u w:val="single"/>
        </w:rPr>
        <w:t>RATING COMPARISON</w:t>
      </w:r>
      <w:r w:rsidRPr="00027BF5">
        <w:rPr>
          <w:rFonts w:asciiTheme="minorHAnsi" w:hAnsiTheme="minorHAnsi"/>
          <w:color w:val="auto"/>
        </w:rPr>
        <w:t>:</w:t>
      </w:r>
      <w:r w:rsidR="005B2595">
        <w:rPr>
          <w:rFonts w:asciiTheme="minorHAnsi" w:hAnsiTheme="minorHAnsi"/>
          <w:color w:val="auto"/>
        </w:rPr>
        <w:t xml:space="preserve">  </w:t>
      </w:r>
    </w:p>
    <w:p w:rsidR="00E627C6" w:rsidRPr="00027BF5" w:rsidRDefault="00E627C6" w:rsidP="00D17DD9">
      <w:pPr>
        <w:rPr>
          <w:rFonts w:asciiTheme="minorHAnsi" w:hAnsiTheme="minorHAnsi"/>
          <w:color w:val="auto"/>
        </w:rPr>
      </w:pPr>
    </w:p>
    <w:tbl>
      <w:tblPr>
        <w:tblStyle w:val="TableGrid"/>
        <w:tblW w:w="9270" w:type="dxa"/>
        <w:jc w:val="center"/>
        <w:tblLayout w:type="fixed"/>
        <w:tblLook w:val="04A0"/>
      </w:tblPr>
      <w:tblGrid>
        <w:gridCol w:w="236"/>
        <w:gridCol w:w="2419"/>
        <w:gridCol w:w="720"/>
        <w:gridCol w:w="810"/>
        <w:gridCol w:w="2250"/>
        <w:gridCol w:w="360"/>
        <w:gridCol w:w="720"/>
        <w:gridCol w:w="765"/>
        <w:gridCol w:w="405"/>
        <w:gridCol w:w="585"/>
      </w:tblGrid>
      <w:tr w:rsidR="00E627C6" w:rsidRPr="00027BF5" w:rsidTr="005A44E7">
        <w:trPr>
          <w:trHeight w:val="233"/>
          <w:jc w:val="center"/>
        </w:trPr>
        <w:tc>
          <w:tcPr>
            <w:tcW w:w="4185" w:type="dxa"/>
            <w:gridSpan w:val="4"/>
            <w:tcBorders>
              <w:right w:val="thinThickThinSmallGap" w:sz="24" w:space="0" w:color="auto"/>
            </w:tcBorders>
            <w:shd w:val="clear" w:color="auto" w:fill="D9D9D9" w:themeFill="background1" w:themeFillShade="D9"/>
          </w:tcPr>
          <w:p w:rsidR="00E627C6" w:rsidRPr="00027BF5" w:rsidRDefault="00E627C6" w:rsidP="005A44E7">
            <w:pPr>
              <w:pStyle w:val="ListParagraph"/>
              <w:spacing w:after="0" w:line="240" w:lineRule="exact"/>
              <w:ind w:left="0"/>
              <w:jc w:val="center"/>
              <w:rPr>
                <w:rFonts w:cs="Times New Roman"/>
                <w:b/>
                <w:sz w:val="20"/>
                <w:szCs w:val="20"/>
              </w:rPr>
            </w:pPr>
            <w:r w:rsidRPr="00027BF5">
              <w:rPr>
                <w:rFonts w:cs="Times New Roman"/>
                <w:b/>
                <w:sz w:val="20"/>
                <w:szCs w:val="20"/>
              </w:rPr>
              <w:t>Service IPEB – Dated 20090630</w:t>
            </w:r>
          </w:p>
        </w:tc>
        <w:tc>
          <w:tcPr>
            <w:tcW w:w="5085" w:type="dxa"/>
            <w:gridSpan w:val="6"/>
            <w:tcBorders>
              <w:left w:val="thinThickThinSmallGap" w:sz="24" w:space="0" w:color="auto"/>
            </w:tcBorders>
            <w:shd w:val="clear" w:color="auto" w:fill="D9D9D9" w:themeFill="background1" w:themeFillShade="D9"/>
          </w:tcPr>
          <w:p w:rsidR="00E627C6" w:rsidRPr="00027BF5" w:rsidRDefault="00E627C6" w:rsidP="005A44E7">
            <w:pPr>
              <w:pStyle w:val="ListParagraph"/>
              <w:spacing w:after="0" w:line="240" w:lineRule="exact"/>
              <w:ind w:left="0"/>
              <w:jc w:val="center"/>
              <w:rPr>
                <w:rFonts w:cs="Times New Roman"/>
                <w:b/>
                <w:sz w:val="20"/>
                <w:szCs w:val="20"/>
              </w:rPr>
            </w:pPr>
            <w:r w:rsidRPr="00027BF5">
              <w:rPr>
                <w:rFonts w:cs="Times New Roman"/>
                <w:b/>
                <w:sz w:val="20"/>
                <w:szCs w:val="20"/>
              </w:rPr>
              <w:t>VA (3.5  Mo. after Separation) – All Effective 20090831</w:t>
            </w:r>
          </w:p>
        </w:tc>
      </w:tr>
      <w:tr w:rsidR="00E627C6" w:rsidRPr="00027BF5" w:rsidTr="005A44E7">
        <w:trPr>
          <w:trHeight w:val="233"/>
          <w:jc w:val="center"/>
        </w:trPr>
        <w:tc>
          <w:tcPr>
            <w:tcW w:w="2655" w:type="dxa"/>
            <w:gridSpan w:val="2"/>
            <w:tcBorders>
              <w:bottom w:val="single" w:sz="4" w:space="0" w:color="000000" w:themeColor="text1"/>
            </w:tcBorders>
            <w:shd w:val="clear" w:color="auto" w:fill="D9D9D9" w:themeFill="background1" w:themeFillShade="D9"/>
          </w:tcPr>
          <w:p w:rsidR="00E627C6" w:rsidRPr="00027BF5" w:rsidRDefault="00E627C6" w:rsidP="005A44E7">
            <w:pPr>
              <w:pStyle w:val="ListParagraph"/>
              <w:spacing w:after="0" w:line="240" w:lineRule="exact"/>
              <w:ind w:left="0"/>
              <w:jc w:val="both"/>
              <w:rPr>
                <w:rFonts w:cs="Times New Roman"/>
                <w:b/>
                <w:sz w:val="20"/>
                <w:szCs w:val="20"/>
              </w:rPr>
            </w:pPr>
            <w:r w:rsidRPr="00027BF5">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E627C6" w:rsidRPr="00027BF5" w:rsidRDefault="00E627C6" w:rsidP="005A44E7">
            <w:pPr>
              <w:pStyle w:val="ListParagraph"/>
              <w:spacing w:after="0" w:line="240" w:lineRule="exact"/>
              <w:ind w:left="0"/>
              <w:jc w:val="center"/>
              <w:rPr>
                <w:rFonts w:cs="Times New Roman"/>
                <w:b/>
                <w:sz w:val="20"/>
                <w:szCs w:val="20"/>
              </w:rPr>
            </w:pPr>
            <w:r w:rsidRPr="00027BF5">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E627C6" w:rsidRPr="00027BF5" w:rsidRDefault="00E627C6" w:rsidP="005A44E7">
            <w:pPr>
              <w:pStyle w:val="ListParagraph"/>
              <w:spacing w:after="0" w:line="240" w:lineRule="exact"/>
              <w:ind w:left="0"/>
              <w:jc w:val="center"/>
              <w:rPr>
                <w:rFonts w:cs="Times New Roman"/>
                <w:b/>
                <w:sz w:val="20"/>
                <w:szCs w:val="20"/>
              </w:rPr>
            </w:pPr>
            <w:r w:rsidRPr="00027BF5">
              <w:rPr>
                <w:rFonts w:cs="Times New Roman"/>
                <w:b/>
                <w:sz w:val="20"/>
                <w:szCs w:val="20"/>
              </w:rPr>
              <w:t>Rating</w:t>
            </w:r>
          </w:p>
        </w:tc>
        <w:tc>
          <w:tcPr>
            <w:tcW w:w="2610" w:type="dxa"/>
            <w:gridSpan w:val="2"/>
            <w:tcBorders>
              <w:left w:val="thinThickThinSmallGap" w:sz="24" w:space="0" w:color="auto"/>
              <w:bottom w:val="single" w:sz="4" w:space="0" w:color="000000" w:themeColor="text1"/>
            </w:tcBorders>
            <w:shd w:val="clear" w:color="auto" w:fill="D9D9D9" w:themeFill="background1" w:themeFillShade="D9"/>
          </w:tcPr>
          <w:p w:rsidR="00E627C6" w:rsidRPr="00027BF5" w:rsidRDefault="00E627C6" w:rsidP="005A44E7">
            <w:pPr>
              <w:pStyle w:val="ListParagraph"/>
              <w:spacing w:after="0" w:line="240" w:lineRule="exact"/>
              <w:ind w:left="0"/>
              <w:jc w:val="both"/>
              <w:rPr>
                <w:rFonts w:cs="Times New Roman"/>
                <w:b/>
                <w:sz w:val="20"/>
                <w:szCs w:val="20"/>
              </w:rPr>
            </w:pPr>
            <w:r w:rsidRPr="00027BF5">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E627C6" w:rsidRPr="00027BF5" w:rsidRDefault="00E627C6" w:rsidP="005A44E7">
            <w:pPr>
              <w:pStyle w:val="ListParagraph"/>
              <w:spacing w:after="0" w:line="240" w:lineRule="exact"/>
              <w:ind w:left="0"/>
              <w:jc w:val="center"/>
              <w:rPr>
                <w:rFonts w:cs="Times New Roman"/>
                <w:b/>
                <w:sz w:val="20"/>
                <w:szCs w:val="20"/>
              </w:rPr>
            </w:pPr>
            <w:r w:rsidRPr="00027BF5">
              <w:rPr>
                <w:rFonts w:cs="Times New Roman"/>
                <w:b/>
                <w:sz w:val="20"/>
                <w:szCs w:val="20"/>
              </w:rPr>
              <w:t>Code</w:t>
            </w:r>
          </w:p>
        </w:tc>
        <w:tc>
          <w:tcPr>
            <w:tcW w:w="765" w:type="dxa"/>
            <w:tcBorders>
              <w:bottom w:val="single" w:sz="4" w:space="0" w:color="000000" w:themeColor="text1"/>
            </w:tcBorders>
            <w:shd w:val="clear" w:color="auto" w:fill="D9D9D9" w:themeFill="background1" w:themeFillShade="D9"/>
          </w:tcPr>
          <w:p w:rsidR="00E627C6" w:rsidRPr="00027BF5" w:rsidRDefault="00E627C6" w:rsidP="005A44E7">
            <w:pPr>
              <w:pStyle w:val="ListParagraph"/>
              <w:spacing w:after="0" w:line="240" w:lineRule="exact"/>
              <w:ind w:left="0"/>
              <w:jc w:val="center"/>
              <w:rPr>
                <w:rFonts w:cs="Times New Roman"/>
                <w:b/>
                <w:sz w:val="20"/>
                <w:szCs w:val="20"/>
              </w:rPr>
            </w:pPr>
            <w:r w:rsidRPr="00027BF5">
              <w:rPr>
                <w:rFonts w:cs="Times New Roman"/>
                <w:b/>
                <w:sz w:val="20"/>
                <w:szCs w:val="20"/>
              </w:rPr>
              <w:t>Rating</w:t>
            </w:r>
          </w:p>
        </w:tc>
        <w:tc>
          <w:tcPr>
            <w:tcW w:w="990" w:type="dxa"/>
            <w:gridSpan w:val="2"/>
            <w:tcBorders>
              <w:bottom w:val="single" w:sz="4" w:space="0" w:color="000000" w:themeColor="text1"/>
            </w:tcBorders>
            <w:shd w:val="clear" w:color="auto" w:fill="D9D9D9" w:themeFill="background1" w:themeFillShade="D9"/>
          </w:tcPr>
          <w:p w:rsidR="00E627C6" w:rsidRPr="00027BF5" w:rsidRDefault="00E627C6" w:rsidP="005A44E7">
            <w:pPr>
              <w:pStyle w:val="ListParagraph"/>
              <w:spacing w:after="0" w:line="240" w:lineRule="exact"/>
              <w:ind w:left="0"/>
              <w:jc w:val="center"/>
              <w:rPr>
                <w:rFonts w:cs="Times New Roman"/>
                <w:b/>
                <w:sz w:val="20"/>
                <w:szCs w:val="20"/>
              </w:rPr>
            </w:pPr>
            <w:r w:rsidRPr="00027BF5">
              <w:rPr>
                <w:rFonts w:cs="Times New Roman"/>
                <w:b/>
                <w:sz w:val="20"/>
                <w:szCs w:val="20"/>
              </w:rPr>
              <w:t>Exam</w:t>
            </w:r>
          </w:p>
        </w:tc>
      </w:tr>
      <w:tr w:rsidR="00E627C6" w:rsidRPr="00027BF5" w:rsidTr="005A44E7">
        <w:trPr>
          <w:trHeight w:val="215"/>
          <w:jc w:val="center"/>
        </w:trPr>
        <w:tc>
          <w:tcPr>
            <w:tcW w:w="2655" w:type="dxa"/>
            <w:gridSpan w:val="2"/>
            <w:shd w:val="clear" w:color="auto" w:fill="FFFFFF" w:themeFill="background1"/>
          </w:tcPr>
          <w:p w:rsidR="00E627C6" w:rsidRPr="00027BF5" w:rsidRDefault="00E627C6" w:rsidP="005A44E7">
            <w:pPr>
              <w:pStyle w:val="ListParagraph"/>
              <w:spacing w:after="0" w:line="220" w:lineRule="exact"/>
              <w:ind w:left="0"/>
              <w:jc w:val="both"/>
              <w:rPr>
                <w:rFonts w:cs="Times New Roman"/>
                <w:sz w:val="18"/>
                <w:szCs w:val="18"/>
              </w:rPr>
            </w:pPr>
            <w:r w:rsidRPr="00027BF5">
              <w:rPr>
                <w:rFonts w:cs="Times New Roman"/>
                <w:sz w:val="18"/>
                <w:szCs w:val="18"/>
              </w:rPr>
              <w:t>Lumbago</w:t>
            </w:r>
          </w:p>
        </w:tc>
        <w:tc>
          <w:tcPr>
            <w:tcW w:w="720" w:type="dxa"/>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r w:rsidRPr="00027BF5">
              <w:rPr>
                <w:rFonts w:cs="Times New Roman"/>
                <w:sz w:val="18"/>
                <w:szCs w:val="18"/>
              </w:rPr>
              <w:t>5237</w:t>
            </w:r>
          </w:p>
        </w:tc>
        <w:tc>
          <w:tcPr>
            <w:tcW w:w="810" w:type="dxa"/>
            <w:tcBorders>
              <w:right w:val="thinThickThinSmallGap" w:sz="24" w:space="0" w:color="auto"/>
            </w:tcBorders>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r w:rsidRPr="00027BF5">
              <w:rPr>
                <w:rFonts w:cs="Times New Roman"/>
                <w:sz w:val="18"/>
                <w:szCs w:val="18"/>
              </w:rPr>
              <w:t>20%</w:t>
            </w:r>
          </w:p>
        </w:tc>
        <w:tc>
          <w:tcPr>
            <w:tcW w:w="2610" w:type="dxa"/>
            <w:gridSpan w:val="2"/>
            <w:vMerge w:val="restart"/>
            <w:tcBorders>
              <w:left w:val="thinThickThinSmallGap" w:sz="24" w:space="0" w:color="auto"/>
            </w:tcBorders>
            <w:shd w:val="clear" w:color="auto" w:fill="FFFFFF" w:themeFill="background1"/>
          </w:tcPr>
          <w:p w:rsidR="00E627C6" w:rsidRPr="00027BF5" w:rsidRDefault="00E627C6" w:rsidP="005A44E7">
            <w:pPr>
              <w:pStyle w:val="ListParagraph"/>
              <w:spacing w:after="0" w:line="220" w:lineRule="exact"/>
              <w:ind w:left="0"/>
              <w:jc w:val="both"/>
              <w:rPr>
                <w:rFonts w:cs="Times New Roman"/>
                <w:sz w:val="18"/>
                <w:szCs w:val="18"/>
              </w:rPr>
            </w:pPr>
            <w:r w:rsidRPr="00027BF5">
              <w:rPr>
                <w:rFonts w:cs="Times New Roman"/>
                <w:sz w:val="18"/>
                <w:szCs w:val="18"/>
              </w:rPr>
              <w:t xml:space="preserve">Thoracic Disc </w:t>
            </w:r>
            <w:proofErr w:type="spellStart"/>
            <w:r w:rsidRPr="00027BF5">
              <w:rPr>
                <w:rFonts w:cs="Times New Roman"/>
                <w:sz w:val="18"/>
                <w:szCs w:val="18"/>
              </w:rPr>
              <w:t>Herniation</w:t>
            </w:r>
            <w:proofErr w:type="spellEnd"/>
            <w:r w:rsidRPr="00027BF5">
              <w:rPr>
                <w:rFonts w:cs="Times New Roman"/>
                <w:sz w:val="18"/>
                <w:szCs w:val="18"/>
              </w:rPr>
              <w:t xml:space="preserve"> &amp; Lumbar Disc Bulge</w:t>
            </w:r>
          </w:p>
        </w:tc>
        <w:tc>
          <w:tcPr>
            <w:tcW w:w="720" w:type="dxa"/>
            <w:vMerge w:val="restart"/>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r w:rsidRPr="00027BF5">
              <w:rPr>
                <w:rFonts w:cs="Times New Roman"/>
                <w:sz w:val="18"/>
                <w:szCs w:val="18"/>
              </w:rPr>
              <w:t>5243</w:t>
            </w:r>
          </w:p>
        </w:tc>
        <w:tc>
          <w:tcPr>
            <w:tcW w:w="765" w:type="dxa"/>
            <w:vMerge w:val="restart"/>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highlight w:val="yellow"/>
              </w:rPr>
            </w:pPr>
            <w:r w:rsidRPr="00027BF5">
              <w:rPr>
                <w:rFonts w:cs="Times New Roman"/>
                <w:sz w:val="18"/>
                <w:szCs w:val="18"/>
              </w:rPr>
              <w:t>40%</w:t>
            </w:r>
          </w:p>
        </w:tc>
        <w:tc>
          <w:tcPr>
            <w:tcW w:w="990" w:type="dxa"/>
            <w:gridSpan w:val="2"/>
            <w:vMerge w:val="restart"/>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highlight w:val="yellow"/>
              </w:rPr>
            </w:pPr>
            <w:r w:rsidRPr="00027BF5">
              <w:rPr>
                <w:rFonts w:cs="Times New Roman"/>
                <w:sz w:val="18"/>
                <w:szCs w:val="18"/>
              </w:rPr>
              <w:t>20091218</w:t>
            </w:r>
          </w:p>
        </w:tc>
      </w:tr>
      <w:tr w:rsidR="00E627C6" w:rsidRPr="00027BF5" w:rsidTr="005A44E7">
        <w:trPr>
          <w:trHeight w:val="260"/>
          <w:jc w:val="center"/>
        </w:trPr>
        <w:tc>
          <w:tcPr>
            <w:tcW w:w="236" w:type="dxa"/>
            <w:shd w:val="clear" w:color="auto" w:fill="FFFFFF" w:themeFill="background1"/>
          </w:tcPr>
          <w:p w:rsidR="00E627C6" w:rsidRPr="00027BF5" w:rsidRDefault="00E627C6" w:rsidP="005A44E7">
            <w:pPr>
              <w:pStyle w:val="ListParagraph"/>
              <w:spacing w:after="0" w:line="220" w:lineRule="exact"/>
              <w:ind w:left="0"/>
              <w:jc w:val="both"/>
              <w:rPr>
                <w:rFonts w:cs="Times New Roman"/>
                <w:sz w:val="18"/>
                <w:szCs w:val="18"/>
              </w:rPr>
            </w:pPr>
            <w:r w:rsidRPr="00027BF5">
              <w:rPr>
                <w:rFonts w:cs="Times New Roman"/>
                <w:sz w:val="18"/>
                <w:szCs w:val="18"/>
              </w:rPr>
              <w:t>-</w:t>
            </w:r>
          </w:p>
        </w:tc>
        <w:tc>
          <w:tcPr>
            <w:tcW w:w="2419" w:type="dxa"/>
            <w:shd w:val="clear" w:color="auto" w:fill="FFFFFF" w:themeFill="background1"/>
          </w:tcPr>
          <w:p w:rsidR="00E627C6" w:rsidRPr="00027BF5" w:rsidRDefault="00E627C6" w:rsidP="005A44E7">
            <w:pPr>
              <w:pStyle w:val="ListParagraph"/>
              <w:spacing w:after="0" w:line="220" w:lineRule="exact"/>
              <w:ind w:left="0"/>
              <w:jc w:val="both"/>
              <w:rPr>
                <w:rFonts w:cs="Times New Roman"/>
                <w:sz w:val="18"/>
                <w:szCs w:val="18"/>
              </w:rPr>
            </w:pPr>
            <w:r w:rsidRPr="00027BF5">
              <w:rPr>
                <w:rFonts w:cs="Times New Roman"/>
                <w:sz w:val="18"/>
                <w:szCs w:val="18"/>
              </w:rPr>
              <w:t>Facet Syndrome</w:t>
            </w:r>
          </w:p>
        </w:tc>
        <w:tc>
          <w:tcPr>
            <w:tcW w:w="1530" w:type="dxa"/>
            <w:gridSpan w:val="2"/>
            <w:tcBorders>
              <w:right w:val="thinThickThinSmallGap" w:sz="24" w:space="0" w:color="auto"/>
            </w:tcBorders>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r w:rsidRPr="00027BF5">
              <w:rPr>
                <w:rFonts w:cs="Times New Roman"/>
                <w:sz w:val="18"/>
                <w:szCs w:val="18"/>
              </w:rPr>
              <w:t>Category 2</w:t>
            </w:r>
          </w:p>
        </w:tc>
        <w:tc>
          <w:tcPr>
            <w:tcW w:w="2610" w:type="dxa"/>
            <w:gridSpan w:val="2"/>
            <w:vMerge/>
            <w:tcBorders>
              <w:left w:val="thinThickThinSmallGap" w:sz="24" w:space="0" w:color="auto"/>
            </w:tcBorders>
            <w:shd w:val="clear" w:color="auto" w:fill="FFFFFF" w:themeFill="background1"/>
          </w:tcPr>
          <w:p w:rsidR="00E627C6" w:rsidRPr="00027BF5" w:rsidRDefault="00E627C6" w:rsidP="005A44E7">
            <w:pPr>
              <w:pStyle w:val="ListParagraph"/>
              <w:spacing w:after="0" w:line="220" w:lineRule="exact"/>
              <w:ind w:left="0"/>
              <w:jc w:val="both"/>
              <w:rPr>
                <w:rFonts w:cs="Times New Roman"/>
                <w:sz w:val="18"/>
                <w:szCs w:val="18"/>
              </w:rPr>
            </w:pPr>
          </w:p>
        </w:tc>
        <w:tc>
          <w:tcPr>
            <w:tcW w:w="720" w:type="dxa"/>
            <w:vMerge/>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p>
        </w:tc>
        <w:tc>
          <w:tcPr>
            <w:tcW w:w="765" w:type="dxa"/>
            <w:vMerge/>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p>
        </w:tc>
        <w:tc>
          <w:tcPr>
            <w:tcW w:w="990" w:type="dxa"/>
            <w:gridSpan w:val="2"/>
            <w:vMerge/>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p>
        </w:tc>
      </w:tr>
      <w:tr w:rsidR="00E627C6" w:rsidRPr="00027BF5" w:rsidTr="005A44E7">
        <w:trPr>
          <w:trHeight w:val="170"/>
          <w:jc w:val="center"/>
        </w:trPr>
        <w:tc>
          <w:tcPr>
            <w:tcW w:w="236" w:type="dxa"/>
            <w:shd w:val="clear" w:color="auto" w:fill="FFFFFF" w:themeFill="background1"/>
          </w:tcPr>
          <w:p w:rsidR="00E627C6" w:rsidRPr="00027BF5" w:rsidRDefault="00E627C6" w:rsidP="005A44E7">
            <w:pPr>
              <w:pStyle w:val="ListParagraph"/>
              <w:spacing w:after="0" w:line="220" w:lineRule="exact"/>
              <w:ind w:left="0"/>
              <w:jc w:val="both"/>
              <w:rPr>
                <w:rFonts w:cs="Times New Roman"/>
                <w:sz w:val="18"/>
                <w:szCs w:val="18"/>
              </w:rPr>
            </w:pPr>
            <w:r w:rsidRPr="00027BF5">
              <w:rPr>
                <w:rFonts w:cs="Times New Roman"/>
                <w:sz w:val="18"/>
                <w:szCs w:val="18"/>
              </w:rPr>
              <w:t>-</w:t>
            </w:r>
          </w:p>
        </w:tc>
        <w:tc>
          <w:tcPr>
            <w:tcW w:w="2419" w:type="dxa"/>
            <w:shd w:val="clear" w:color="auto" w:fill="FFFFFF" w:themeFill="background1"/>
          </w:tcPr>
          <w:p w:rsidR="00E627C6" w:rsidRPr="00027BF5" w:rsidRDefault="00E627C6" w:rsidP="005A44E7">
            <w:pPr>
              <w:pStyle w:val="ListParagraph"/>
              <w:spacing w:after="0" w:line="220" w:lineRule="exact"/>
              <w:ind w:left="0"/>
              <w:jc w:val="both"/>
              <w:rPr>
                <w:rFonts w:cs="Times New Roman"/>
                <w:sz w:val="18"/>
                <w:szCs w:val="18"/>
              </w:rPr>
            </w:pPr>
            <w:r w:rsidRPr="00027BF5">
              <w:rPr>
                <w:rFonts w:cs="Times New Roman"/>
                <w:sz w:val="18"/>
                <w:szCs w:val="18"/>
              </w:rPr>
              <w:t>Bulging Disc (L4-L5)(T11-T12)</w:t>
            </w:r>
          </w:p>
        </w:tc>
        <w:tc>
          <w:tcPr>
            <w:tcW w:w="1530" w:type="dxa"/>
            <w:gridSpan w:val="2"/>
            <w:tcBorders>
              <w:right w:val="thinThickThinSmallGap" w:sz="24" w:space="0" w:color="auto"/>
            </w:tcBorders>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r w:rsidRPr="00027BF5">
              <w:rPr>
                <w:rFonts w:cs="Times New Roman"/>
                <w:sz w:val="18"/>
                <w:szCs w:val="18"/>
              </w:rPr>
              <w:t>Category 2</w:t>
            </w:r>
          </w:p>
        </w:tc>
        <w:tc>
          <w:tcPr>
            <w:tcW w:w="2610" w:type="dxa"/>
            <w:gridSpan w:val="2"/>
            <w:vMerge/>
            <w:tcBorders>
              <w:left w:val="thinThickThinSmallGap" w:sz="24" w:space="0" w:color="auto"/>
            </w:tcBorders>
            <w:shd w:val="clear" w:color="auto" w:fill="FFFFFF" w:themeFill="background1"/>
          </w:tcPr>
          <w:p w:rsidR="00E627C6" w:rsidRPr="00027BF5" w:rsidRDefault="00E627C6" w:rsidP="005A44E7">
            <w:pPr>
              <w:pStyle w:val="ListParagraph"/>
              <w:spacing w:after="0" w:line="220" w:lineRule="exact"/>
              <w:ind w:left="0"/>
              <w:jc w:val="both"/>
              <w:rPr>
                <w:rFonts w:cs="Times New Roman"/>
                <w:sz w:val="18"/>
                <w:szCs w:val="18"/>
              </w:rPr>
            </w:pPr>
          </w:p>
        </w:tc>
        <w:tc>
          <w:tcPr>
            <w:tcW w:w="720" w:type="dxa"/>
            <w:vMerge/>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p>
        </w:tc>
        <w:tc>
          <w:tcPr>
            <w:tcW w:w="765" w:type="dxa"/>
            <w:vMerge/>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p>
        </w:tc>
        <w:tc>
          <w:tcPr>
            <w:tcW w:w="990" w:type="dxa"/>
            <w:gridSpan w:val="2"/>
            <w:vMerge/>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p>
        </w:tc>
      </w:tr>
      <w:tr w:rsidR="00E627C6" w:rsidRPr="00027BF5" w:rsidTr="005A44E7">
        <w:trPr>
          <w:trHeight w:val="125"/>
          <w:jc w:val="center"/>
        </w:trPr>
        <w:tc>
          <w:tcPr>
            <w:tcW w:w="4185" w:type="dxa"/>
            <w:gridSpan w:val="4"/>
            <w:vMerge w:val="restart"/>
            <w:tcBorders>
              <w:right w:val="thinThickThinSmallGap" w:sz="24" w:space="0" w:color="auto"/>
            </w:tcBorders>
            <w:shd w:val="clear" w:color="auto" w:fill="FFFFFF" w:themeFill="background1"/>
          </w:tcPr>
          <w:p w:rsidR="00E627C6" w:rsidRPr="00027BF5" w:rsidRDefault="00E627C6" w:rsidP="005A44E7">
            <w:pPr>
              <w:pStyle w:val="ListParagraph"/>
              <w:spacing w:line="220" w:lineRule="exact"/>
              <w:ind w:left="0"/>
              <w:jc w:val="center"/>
              <w:rPr>
                <w:rFonts w:cs="Times New Roman"/>
                <w:sz w:val="18"/>
                <w:szCs w:val="18"/>
                <w:highlight w:val="yellow"/>
              </w:rPr>
            </w:pPr>
            <w:r w:rsidRPr="00027BF5">
              <w:rPr>
                <w:rFonts w:cs="Times New Roman"/>
                <w:sz w:val="18"/>
                <w:szCs w:val="18"/>
              </w:rPr>
              <w:t>↓No Additional MEB Entries↓</w:t>
            </w:r>
          </w:p>
        </w:tc>
        <w:tc>
          <w:tcPr>
            <w:tcW w:w="2610" w:type="dxa"/>
            <w:gridSpan w:val="2"/>
            <w:tcBorders>
              <w:left w:val="thinThickThinSmallGap" w:sz="24" w:space="0" w:color="auto"/>
            </w:tcBorders>
            <w:shd w:val="clear" w:color="auto" w:fill="FFFFFF" w:themeFill="background1"/>
          </w:tcPr>
          <w:p w:rsidR="00E627C6" w:rsidRPr="00027BF5" w:rsidRDefault="00E627C6" w:rsidP="005A44E7">
            <w:pPr>
              <w:pStyle w:val="ListParagraph"/>
              <w:spacing w:after="0" w:line="220" w:lineRule="exact"/>
              <w:ind w:left="0"/>
              <w:jc w:val="both"/>
              <w:rPr>
                <w:rFonts w:cs="Times New Roman"/>
                <w:sz w:val="18"/>
                <w:szCs w:val="18"/>
              </w:rPr>
            </w:pPr>
            <w:r w:rsidRPr="00027BF5">
              <w:rPr>
                <w:rFonts w:cs="Times New Roman"/>
                <w:sz w:val="18"/>
                <w:szCs w:val="18"/>
              </w:rPr>
              <w:t xml:space="preserve">RLE </w:t>
            </w:r>
            <w:proofErr w:type="spellStart"/>
            <w:r w:rsidRPr="00027BF5">
              <w:rPr>
                <w:rFonts w:cs="Times New Roman"/>
                <w:sz w:val="18"/>
                <w:szCs w:val="18"/>
              </w:rPr>
              <w:t>Radiculpathy</w:t>
            </w:r>
            <w:proofErr w:type="spellEnd"/>
            <w:r w:rsidRPr="00027BF5">
              <w:rPr>
                <w:rFonts w:cs="Times New Roman"/>
                <w:sz w:val="18"/>
                <w:szCs w:val="18"/>
              </w:rPr>
              <w:t xml:space="preserve"> </w:t>
            </w:r>
          </w:p>
        </w:tc>
        <w:tc>
          <w:tcPr>
            <w:tcW w:w="720" w:type="dxa"/>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r w:rsidRPr="00027BF5">
              <w:rPr>
                <w:rFonts w:cs="Times New Roman"/>
                <w:sz w:val="18"/>
                <w:szCs w:val="18"/>
              </w:rPr>
              <w:t>8520</w:t>
            </w:r>
          </w:p>
        </w:tc>
        <w:tc>
          <w:tcPr>
            <w:tcW w:w="765" w:type="dxa"/>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r w:rsidRPr="00027BF5">
              <w:rPr>
                <w:rFonts w:cs="Times New Roman"/>
                <w:sz w:val="18"/>
                <w:szCs w:val="18"/>
              </w:rPr>
              <w:t>20%</w:t>
            </w:r>
          </w:p>
        </w:tc>
        <w:tc>
          <w:tcPr>
            <w:tcW w:w="990" w:type="dxa"/>
            <w:gridSpan w:val="2"/>
            <w:shd w:val="clear" w:color="auto" w:fill="FFFFFF" w:themeFill="background1"/>
          </w:tcPr>
          <w:p w:rsidR="00E627C6" w:rsidRPr="00027BF5" w:rsidRDefault="00E627C6" w:rsidP="005A44E7">
            <w:pPr>
              <w:pStyle w:val="ListParagraph"/>
              <w:spacing w:after="0" w:line="220" w:lineRule="exact"/>
              <w:ind w:left="0"/>
              <w:rPr>
                <w:rFonts w:cs="Times New Roman"/>
                <w:sz w:val="18"/>
                <w:szCs w:val="18"/>
              </w:rPr>
            </w:pPr>
            <w:r>
              <w:rPr>
                <w:rFonts w:cs="Times New Roman"/>
                <w:sz w:val="18"/>
                <w:szCs w:val="18"/>
              </w:rPr>
              <w:t>20100414</w:t>
            </w:r>
          </w:p>
        </w:tc>
      </w:tr>
      <w:tr w:rsidR="00E627C6" w:rsidRPr="00027BF5" w:rsidTr="005A44E7">
        <w:trPr>
          <w:trHeight w:val="125"/>
          <w:jc w:val="center"/>
        </w:trPr>
        <w:tc>
          <w:tcPr>
            <w:tcW w:w="4185" w:type="dxa"/>
            <w:gridSpan w:val="4"/>
            <w:vMerge/>
            <w:tcBorders>
              <w:right w:val="thinThickThinSmallGap" w:sz="24" w:space="0" w:color="auto"/>
            </w:tcBorders>
            <w:shd w:val="clear" w:color="auto" w:fill="FFFFFF" w:themeFill="background1"/>
          </w:tcPr>
          <w:p w:rsidR="00E627C6" w:rsidRPr="00027BF5" w:rsidRDefault="00E627C6" w:rsidP="005A44E7">
            <w:pPr>
              <w:pStyle w:val="ListParagraph"/>
              <w:spacing w:line="220" w:lineRule="exact"/>
              <w:ind w:left="0"/>
              <w:jc w:val="center"/>
              <w:rPr>
                <w:rFonts w:cs="Times New Roman"/>
                <w:sz w:val="18"/>
                <w:szCs w:val="18"/>
                <w:highlight w:val="yellow"/>
              </w:rPr>
            </w:pPr>
          </w:p>
        </w:tc>
        <w:tc>
          <w:tcPr>
            <w:tcW w:w="2610" w:type="dxa"/>
            <w:gridSpan w:val="2"/>
            <w:tcBorders>
              <w:left w:val="thinThickThinSmallGap" w:sz="24" w:space="0" w:color="auto"/>
            </w:tcBorders>
            <w:shd w:val="clear" w:color="auto" w:fill="FFFFFF" w:themeFill="background1"/>
          </w:tcPr>
          <w:p w:rsidR="00E627C6" w:rsidRPr="00027BF5" w:rsidRDefault="00E627C6" w:rsidP="005A44E7">
            <w:pPr>
              <w:spacing w:line="220" w:lineRule="exact"/>
              <w:jc w:val="both"/>
              <w:rPr>
                <w:color w:val="auto"/>
                <w:sz w:val="18"/>
                <w:szCs w:val="18"/>
              </w:rPr>
            </w:pPr>
            <w:r w:rsidRPr="00027BF5">
              <w:rPr>
                <w:color w:val="auto"/>
                <w:sz w:val="18"/>
                <w:szCs w:val="18"/>
              </w:rPr>
              <w:t>LLE radiculopathy</w:t>
            </w:r>
          </w:p>
        </w:tc>
        <w:tc>
          <w:tcPr>
            <w:tcW w:w="720" w:type="dxa"/>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r w:rsidRPr="00027BF5">
              <w:rPr>
                <w:rFonts w:cs="Times New Roman"/>
                <w:sz w:val="18"/>
                <w:szCs w:val="18"/>
              </w:rPr>
              <w:t>8520</w:t>
            </w:r>
          </w:p>
        </w:tc>
        <w:tc>
          <w:tcPr>
            <w:tcW w:w="765" w:type="dxa"/>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r w:rsidRPr="00027BF5">
              <w:rPr>
                <w:rFonts w:cs="Times New Roman"/>
                <w:sz w:val="18"/>
                <w:szCs w:val="18"/>
              </w:rPr>
              <w:t>10%</w:t>
            </w:r>
          </w:p>
        </w:tc>
        <w:tc>
          <w:tcPr>
            <w:tcW w:w="990" w:type="dxa"/>
            <w:gridSpan w:val="2"/>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r>
              <w:rPr>
                <w:rFonts w:cs="Times New Roman"/>
                <w:sz w:val="18"/>
                <w:szCs w:val="18"/>
              </w:rPr>
              <w:t>20100414</w:t>
            </w:r>
          </w:p>
        </w:tc>
      </w:tr>
      <w:tr w:rsidR="00E627C6" w:rsidRPr="00027BF5" w:rsidTr="005A44E7">
        <w:trPr>
          <w:trHeight w:val="125"/>
          <w:jc w:val="center"/>
        </w:trPr>
        <w:tc>
          <w:tcPr>
            <w:tcW w:w="4185" w:type="dxa"/>
            <w:gridSpan w:val="4"/>
            <w:vMerge/>
            <w:tcBorders>
              <w:right w:val="thinThickThinSmallGap" w:sz="24" w:space="0" w:color="auto"/>
            </w:tcBorders>
            <w:shd w:val="clear" w:color="auto" w:fill="FFFFFF" w:themeFill="background1"/>
          </w:tcPr>
          <w:p w:rsidR="00E627C6" w:rsidRPr="00027BF5" w:rsidRDefault="00E627C6" w:rsidP="005A44E7">
            <w:pPr>
              <w:pStyle w:val="ListParagraph"/>
              <w:spacing w:line="220" w:lineRule="exact"/>
              <w:ind w:left="0"/>
              <w:jc w:val="center"/>
              <w:rPr>
                <w:rFonts w:cs="Times New Roman"/>
                <w:sz w:val="18"/>
                <w:szCs w:val="18"/>
                <w:highlight w:val="yellow"/>
              </w:rPr>
            </w:pPr>
          </w:p>
        </w:tc>
        <w:tc>
          <w:tcPr>
            <w:tcW w:w="2250" w:type="dxa"/>
            <w:tcBorders>
              <w:left w:val="thinThickThinSmallGap" w:sz="24" w:space="0" w:color="auto"/>
            </w:tcBorders>
            <w:shd w:val="clear" w:color="auto" w:fill="FFFFFF" w:themeFill="background1"/>
          </w:tcPr>
          <w:p w:rsidR="00E627C6" w:rsidRPr="00027BF5" w:rsidRDefault="00E627C6" w:rsidP="005A44E7">
            <w:pPr>
              <w:pStyle w:val="ListParagraph"/>
              <w:spacing w:after="0" w:line="220" w:lineRule="exact"/>
              <w:ind w:left="0"/>
              <w:jc w:val="both"/>
              <w:rPr>
                <w:rFonts w:cs="Times New Roman"/>
                <w:sz w:val="18"/>
                <w:szCs w:val="18"/>
              </w:rPr>
            </w:pPr>
            <w:r w:rsidRPr="00027BF5">
              <w:rPr>
                <w:rFonts w:cs="Times New Roman"/>
                <w:sz w:val="18"/>
                <w:szCs w:val="18"/>
              </w:rPr>
              <w:t xml:space="preserve">Depressive disorder </w:t>
            </w:r>
            <w:r>
              <w:rPr>
                <w:rFonts w:cs="Times New Roman"/>
                <w:sz w:val="18"/>
                <w:szCs w:val="18"/>
              </w:rPr>
              <w:t>…</w:t>
            </w:r>
          </w:p>
        </w:tc>
        <w:tc>
          <w:tcPr>
            <w:tcW w:w="1080" w:type="dxa"/>
            <w:gridSpan w:val="2"/>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r w:rsidRPr="00027BF5">
              <w:rPr>
                <w:rFonts w:cs="Times New Roman"/>
                <w:sz w:val="18"/>
                <w:szCs w:val="18"/>
              </w:rPr>
              <w:t>9499-9432</w:t>
            </w:r>
          </w:p>
        </w:tc>
        <w:tc>
          <w:tcPr>
            <w:tcW w:w="765" w:type="dxa"/>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r w:rsidRPr="00027BF5">
              <w:rPr>
                <w:rFonts w:cs="Times New Roman"/>
                <w:sz w:val="18"/>
                <w:szCs w:val="18"/>
              </w:rPr>
              <w:t>30%</w:t>
            </w:r>
          </w:p>
        </w:tc>
        <w:tc>
          <w:tcPr>
            <w:tcW w:w="990" w:type="dxa"/>
            <w:gridSpan w:val="2"/>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r>
              <w:rPr>
                <w:rFonts w:cs="Times New Roman"/>
                <w:sz w:val="18"/>
                <w:szCs w:val="18"/>
              </w:rPr>
              <w:t>20091218</w:t>
            </w:r>
          </w:p>
        </w:tc>
      </w:tr>
      <w:tr w:rsidR="00E627C6" w:rsidRPr="00027BF5" w:rsidTr="005A44E7">
        <w:trPr>
          <w:trHeight w:val="125"/>
          <w:jc w:val="center"/>
        </w:trPr>
        <w:tc>
          <w:tcPr>
            <w:tcW w:w="4185" w:type="dxa"/>
            <w:gridSpan w:val="4"/>
            <w:vMerge/>
            <w:tcBorders>
              <w:right w:val="thinThickThinSmallGap" w:sz="24" w:space="0" w:color="auto"/>
            </w:tcBorders>
            <w:shd w:val="clear" w:color="auto" w:fill="FFFFFF" w:themeFill="background1"/>
          </w:tcPr>
          <w:p w:rsidR="00E627C6" w:rsidRPr="00027BF5" w:rsidRDefault="00E627C6" w:rsidP="005A44E7">
            <w:pPr>
              <w:pStyle w:val="ListParagraph"/>
              <w:spacing w:line="220" w:lineRule="exact"/>
              <w:ind w:left="0"/>
              <w:jc w:val="center"/>
              <w:rPr>
                <w:rFonts w:cs="Times New Roman"/>
                <w:sz w:val="18"/>
                <w:szCs w:val="18"/>
              </w:rPr>
            </w:pPr>
          </w:p>
        </w:tc>
        <w:tc>
          <w:tcPr>
            <w:tcW w:w="2610" w:type="dxa"/>
            <w:gridSpan w:val="2"/>
            <w:tcBorders>
              <w:left w:val="thinThickThinSmallGap" w:sz="24" w:space="0" w:color="auto"/>
            </w:tcBorders>
            <w:shd w:val="clear" w:color="auto" w:fill="FFFFFF" w:themeFill="background1"/>
          </w:tcPr>
          <w:p w:rsidR="00E627C6" w:rsidRPr="00027BF5" w:rsidRDefault="00E627C6" w:rsidP="005A44E7">
            <w:pPr>
              <w:spacing w:line="220" w:lineRule="exact"/>
              <w:rPr>
                <w:rFonts w:cs="Times New Roman"/>
                <w:color w:val="auto"/>
                <w:sz w:val="18"/>
                <w:szCs w:val="18"/>
              </w:rPr>
            </w:pPr>
            <w:r w:rsidRPr="00027BF5">
              <w:rPr>
                <w:rFonts w:cs="Times New Roman"/>
                <w:color w:val="auto"/>
                <w:sz w:val="18"/>
                <w:szCs w:val="18"/>
              </w:rPr>
              <w:t>Tinnitus</w:t>
            </w:r>
          </w:p>
        </w:tc>
        <w:tc>
          <w:tcPr>
            <w:tcW w:w="720" w:type="dxa"/>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r w:rsidRPr="00027BF5">
              <w:rPr>
                <w:rFonts w:cs="Times New Roman"/>
                <w:sz w:val="18"/>
                <w:szCs w:val="18"/>
              </w:rPr>
              <w:t>6260</w:t>
            </w:r>
          </w:p>
        </w:tc>
        <w:tc>
          <w:tcPr>
            <w:tcW w:w="765" w:type="dxa"/>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r w:rsidRPr="00027BF5">
              <w:rPr>
                <w:rFonts w:cs="Times New Roman"/>
                <w:sz w:val="18"/>
                <w:szCs w:val="18"/>
              </w:rPr>
              <w:t>10%</w:t>
            </w:r>
          </w:p>
        </w:tc>
        <w:tc>
          <w:tcPr>
            <w:tcW w:w="990" w:type="dxa"/>
            <w:gridSpan w:val="2"/>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r>
              <w:rPr>
                <w:rFonts w:cs="Times New Roman"/>
                <w:sz w:val="18"/>
                <w:szCs w:val="18"/>
              </w:rPr>
              <w:t>20100304</w:t>
            </w:r>
          </w:p>
        </w:tc>
      </w:tr>
      <w:tr w:rsidR="00E627C6" w:rsidRPr="00027BF5" w:rsidTr="005A44E7">
        <w:trPr>
          <w:trHeight w:val="188"/>
          <w:jc w:val="center"/>
        </w:trPr>
        <w:tc>
          <w:tcPr>
            <w:tcW w:w="4185" w:type="dxa"/>
            <w:gridSpan w:val="4"/>
            <w:vMerge/>
            <w:tcBorders>
              <w:right w:val="thinThickThinSmallGap" w:sz="24" w:space="0" w:color="auto"/>
            </w:tcBorders>
            <w:shd w:val="clear" w:color="auto" w:fill="FFFFFF" w:themeFill="background1"/>
          </w:tcPr>
          <w:p w:rsidR="00E627C6" w:rsidRPr="00027BF5" w:rsidRDefault="00E627C6" w:rsidP="005A44E7">
            <w:pPr>
              <w:pStyle w:val="ListParagraph"/>
              <w:spacing w:line="220" w:lineRule="exact"/>
              <w:ind w:left="0"/>
              <w:jc w:val="center"/>
              <w:rPr>
                <w:rFonts w:cs="Times New Roman"/>
                <w:sz w:val="18"/>
                <w:szCs w:val="18"/>
              </w:rPr>
            </w:pPr>
          </w:p>
        </w:tc>
        <w:tc>
          <w:tcPr>
            <w:tcW w:w="2610" w:type="dxa"/>
            <w:gridSpan w:val="2"/>
            <w:tcBorders>
              <w:left w:val="thinThickThinSmallGap" w:sz="24" w:space="0" w:color="auto"/>
            </w:tcBorders>
            <w:shd w:val="clear" w:color="auto" w:fill="FFFFFF" w:themeFill="background1"/>
          </w:tcPr>
          <w:p w:rsidR="00E627C6" w:rsidRPr="00027BF5" w:rsidRDefault="00E627C6" w:rsidP="005A44E7">
            <w:pPr>
              <w:spacing w:line="220" w:lineRule="exact"/>
              <w:jc w:val="both"/>
              <w:rPr>
                <w:color w:val="auto"/>
                <w:sz w:val="18"/>
                <w:szCs w:val="18"/>
              </w:rPr>
            </w:pPr>
            <w:r w:rsidRPr="00027BF5">
              <w:rPr>
                <w:color w:val="auto"/>
                <w:sz w:val="18"/>
                <w:szCs w:val="18"/>
              </w:rPr>
              <w:t>Irritable Bowel Syndrome</w:t>
            </w:r>
          </w:p>
        </w:tc>
        <w:tc>
          <w:tcPr>
            <w:tcW w:w="720" w:type="dxa"/>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r w:rsidRPr="00027BF5">
              <w:rPr>
                <w:rFonts w:cs="Times New Roman"/>
                <w:sz w:val="18"/>
                <w:szCs w:val="18"/>
              </w:rPr>
              <w:t>7319</w:t>
            </w:r>
          </w:p>
        </w:tc>
        <w:tc>
          <w:tcPr>
            <w:tcW w:w="765" w:type="dxa"/>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r w:rsidRPr="00027BF5">
              <w:rPr>
                <w:rFonts w:cs="Times New Roman"/>
                <w:sz w:val="18"/>
                <w:szCs w:val="18"/>
              </w:rPr>
              <w:t>10%</w:t>
            </w:r>
          </w:p>
        </w:tc>
        <w:tc>
          <w:tcPr>
            <w:tcW w:w="990" w:type="dxa"/>
            <w:gridSpan w:val="2"/>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r>
              <w:rPr>
                <w:rFonts w:cs="Times New Roman"/>
                <w:sz w:val="18"/>
                <w:szCs w:val="18"/>
              </w:rPr>
              <w:t>20100414</w:t>
            </w:r>
          </w:p>
        </w:tc>
      </w:tr>
      <w:tr w:rsidR="00E627C6" w:rsidRPr="00027BF5" w:rsidTr="005A44E7">
        <w:trPr>
          <w:trHeight w:val="170"/>
          <w:jc w:val="center"/>
        </w:trPr>
        <w:tc>
          <w:tcPr>
            <w:tcW w:w="4185" w:type="dxa"/>
            <w:gridSpan w:val="4"/>
            <w:vMerge/>
            <w:tcBorders>
              <w:right w:val="thinThickThinSmallGap" w:sz="24" w:space="0" w:color="auto"/>
            </w:tcBorders>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highlight w:val="yellow"/>
              </w:rPr>
            </w:pPr>
          </w:p>
        </w:tc>
        <w:tc>
          <w:tcPr>
            <w:tcW w:w="4500" w:type="dxa"/>
            <w:gridSpan w:val="5"/>
            <w:tcBorders>
              <w:left w:val="thinThickThinSmallGap" w:sz="24" w:space="0" w:color="auto"/>
            </w:tcBorders>
            <w:shd w:val="clear" w:color="auto" w:fill="FFFFFF" w:themeFill="background1"/>
          </w:tcPr>
          <w:p w:rsidR="00E627C6" w:rsidRPr="00027BF5" w:rsidRDefault="00E627C6" w:rsidP="005A44E7">
            <w:pPr>
              <w:pStyle w:val="ListParagraph"/>
              <w:spacing w:after="0" w:line="220" w:lineRule="exact"/>
              <w:ind w:left="0"/>
              <w:rPr>
                <w:rFonts w:cs="Times New Roman"/>
                <w:sz w:val="18"/>
                <w:szCs w:val="18"/>
              </w:rPr>
            </w:pPr>
            <w:r w:rsidRPr="00027BF5">
              <w:rPr>
                <w:sz w:val="18"/>
                <w:szCs w:val="18"/>
              </w:rPr>
              <w:t>Cervical</w:t>
            </w:r>
            <w:r>
              <w:rPr>
                <w:sz w:val="18"/>
                <w:szCs w:val="18"/>
              </w:rPr>
              <w:t>;</w:t>
            </w:r>
            <w:r w:rsidRPr="00027BF5">
              <w:rPr>
                <w:sz w:val="18"/>
                <w:szCs w:val="18"/>
              </w:rPr>
              <w:t xml:space="preserve"> </w:t>
            </w:r>
            <w:r>
              <w:rPr>
                <w:sz w:val="18"/>
                <w:szCs w:val="18"/>
              </w:rPr>
              <w:t>H</w:t>
            </w:r>
            <w:r w:rsidRPr="00027BF5">
              <w:rPr>
                <w:sz w:val="18"/>
                <w:szCs w:val="18"/>
              </w:rPr>
              <w:t>earing</w:t>
            </w:r>
            <w:r>
              <w:rPr>
                <w:sz w:val="18"/>
                <w:szCs w:val="18"/>
              </w:rPr>
              <w:t>;</w:t>
            </w:r>
            <w:r w:rsidRPr="00027BF5">
              <w:rPr>
                <w:sz w:val="18"/>
                <w:szCs w:val="18"/>
              </w:rPr>
              <w:t xml:space="preserve"> </w:t>
            </w:r>
            <w:r>
              <w:rPr>
                <w:sz w:val="18"/>
                <w:szCs w:val="18"/>
              </w:rPr>
              <w:t>Chg</w:t>
            </w:r>
            <w:r w:rsidRPr="00027BF5">
              <w:rPr>
                <w:sz w:val="18"/>
                <w:szCs w:val="18"/>
              </w:rPr>
              <w:t xml:space="preserve"> </w:t>
            </w:r>
            <w:r>
              <w:rPr>
                <w:sz w:val="18"/>
                <w:szCs w:val="18"/>
              </w:rPr>
              <w:t>smell/</w:t>
            </w:r>
            <w:r w:rsidRPr="00027BF5">
              <w:rPr>
                <w:sz w:val="18"/>
                <w:szCs w:val="18"/>
              </w:rPr>
              <w:t xml:space="preserve">taste, TBI, </w:t>
            </w:r>
            <w:r>
              <w:rPr>
                <w:sz w:val="18"/>
                <w:szCs w:val="18"/>
              </w:rPr>
              <w:t>M</w:t>
            </w:r>
            <w:r w:rsidRPr="00027BF5">
              <w:rPr>
                <w:sz w:val="18"/>
                <w:szCs w:val="18"/>
              </w:rPr>
              <w:t xml:space="preserve">igraine </w:t>
            </w:r>
            <w:r>
              <w:rPr>
                <w:sz w:val="18"/>
                <w:szCs w:val="18"/>
              </w:rPr>
              <w:t>HA</w:t>
            </w:r>
            <w:r w:rsidRPr="00027BF5">
              <w:rPr>
                <w:sz w:val="18"/>
                <w:szCs w:val="18"/>
              </w:rPr>
              <w:t>, PTSD</w:t>
            </w:r>
          </w:p>
        </w:tc>
        <w:tc>
          <w:tcPr>
            <w:tcW w:w="585" w:type="dxa"/>
            <w:shd w:val="clear" w:color="auto" w:fill="FFFFFF" w:themeFill="background1"/>
          </w:tcPr>
          <w:p w:rsidR="00E627C6" w:rsidRPr="00027BF5" w:rsidRDefault="00E627C6" w:rsidP="005A44E7">
            <w:pPr>
              <w:pStyle w:val="ListParagraph"/>
              <w:spacing w:after="0" w:line="220" w:lineRule="exact"/>
              <w:ind w:left="0"/>
              <w:jc w:val="center"/>
              <w:rPr>
                <w:rFonts w:cs="Times New Roman"/>
                <w:sz w:val="18"/>
                <w:szCs w:val="18"/>
              </w:rPr>
            </w:pPr>
            <w:r w:rsidRPr="00027BF5">
              <w:rPr>
                <w:rFonts w:cs="Times New Roman"/>
                <w:sz w:val="18"/>
                <w:szCs w:val="18"/>
              </w:rPr>
              <w:t>NSC</w:t>
            </w:r>
          </w:p>
        </w:tc>
      </w:tr>
      <w:tr w:rsidR="00E627C6" w:rsidRPr="00027BF5" w:rsidTr="005A44E7">
        <w:trPr>
          <w:trHeight w:val="242"/>
          <w:jc w:val="center"/>
        </w:trPr>
        <w:tc>
          <w:tcPr>
            <w:tcW w:w="4185" w:type="dxa"/>
            <w:gridSpan w:val="4"/>
            <w:tcBorders>
              <w:right w:val="thinThickThinSmallGap" w:sz="24" w:space="0" w:color="auto"/>
            </w:tcBorders>
            <w:shd w:val="clear" w:color="auto" w:fill="D9D9D9" w:themeFill="background1" w:themeFillShade="D9"/>
          </w:tcPr>
          <w:p w:rsidR="00E627C6" w:rsidRPr="00027BF5" w:rsidRDefault="00E627C6" w:rsidP="005A44E7">
            <w:pPr>
              <w:pStyle w:val="ListParagraph"/>
              <w:spacing w:after="0" w:line="240" w:lineRule="exact"/>
              <w:ind w:left="0"/>
              <w:jc w:val="center"/>
              <w:rPr>
                <w:rFonts w:cs="Times New Roman"/>
                <w:b/>
                <w:sz w:val="20"/>
                <w:szCs w:val="20"/>
              </w:rPr>
            </w:pPr>
            <w:r w:rsidRPr="00027BF5">
              <w:rPr>
                <w:rFonts w:cs="Times New Roman"/>
                <w:b/>
                <w:sz w:val="20"/>
                <w:szCs w:val="20"/>
              </w:rPr>
              <w:t>TOTAL Combined:  20%</w:t>
            </w:r>
          </w:p>
        </w:tc>
        <w:tc>
          <w:tcPr>
            <w:tcW w:w="5085" w:type="dxa"/>
            <w:gridSpan w:val="6"/>
            <w:tcBorders>
              <w:left w:val="thinThickThinSmallGap" w:sz="24" w:space="0" w:color="auto"/>
            </w:tcBorders>
            <w:shd w:val="clear" w:color="auto" w:fill="D9D9D9" w:themeFill="background1" w:themeFillShade="D9"/>
          </w:tcPr>
          <w:p w:rsidR="00E627C6" w:rsidRPr="00027BF5" w:rsidRDefault="00E627C6" w:rsidP="005A44E7">
            <w:pPr>
              <w:pStyle w:val="ListParagraph"/>
              <w:spacing w:after="0" w:line="240" w:lineRule="exact"/>
              <w:ind w:left="0"/>
              <w:jc w:val="center"/>
              <w:rPr>
                <w:rFonts w:cs="Times New Roman"/>
                <w:b/>
                <w:sz w:val="20"/>
                <w:szCs w:val="20"/>
              </w:rPr>
            </w:pPr>
            <w:r w:rsidRPr="00027BF5">
              <w:rPr>
                <w:rFonts w:cs="Times New Roman"/>
                <w:b/>
                <w:sz w:val="20"/>
                <w:szCs w:val="20"/>
              </w:rPr>
              <w:t>TOTAL Combined (</w:t>
            </w:r>
            <w:r w:rsidRPr="00027BF5">
              <w:rPr>
                <w:rFonts w:cs="Times New Roman"/>
                <w:b/>
                <w:i/>
                <w:sz w:val="20"/>
                <w:szCs w:val="20"/>
              </w:rPr>
              <w:t>Includes Non-PEB Conditions</w:t>
            </w:r>
            <w:r w:rsidRPr="00027BF5">
              <w:rPr>
                <w:rFonts w:cs="Times New Roman"/>
                <w:b/>
                <w:sz w:val="20"/>
                <w:szCs w:val="20"/>
              </w:rPr>
              <w:t>):  80%</w:t>
            </w:r>
          </w:p>
        </w:tc>
      </w:tr>
    </w:tbl>
    <w:p w:rsidR="005B2595" w:rsidRPr="004B483F" w:rsidRDefault="002C6E5B" w:rsidP="00211510">
      <w:pPr>
        <w:tabs>
          <w:tab w:val="left" w:pos="288"/>
          <w:tab w:val="left" w:pos="4752"/>
        </w:tabs>
        <w:spacing w:line="240" w:lineRule="exact"/>
        <w:jc w:val="both"/>
        <w:rPr>
          <w:rFonts w:asciiTheme="minorHAnsi" w:hAnsiTheme="minorHAnsi"/>
          <w:color w:val="auto"/>
          <w:szCs w:val="24"/>
        </w:rPr>
      </w:pPr>
      <w:r w:rsidRPr="00027BF5">
        <w:rPr>
          <w:rFonts w:asciiTheme="minorHAnsi" w:hAnsiTheme="minorHAnsi"/>
          <w:color w:val="auto"/>
          <w:szCs w:val="24"/>
          <w:u w:val="single"/>
        </w:rPr>
        <w:lastRenderedPageBreak/>
        <w:t>ANALYSIS SUMMARY</w:t>
      </w:r>
      <w:r w:rsidRPr="00027BF5">
        <w:rPr>
          <w:rFonts w:asciiTheme="minorHAnsi" w:hAnsiTheme="minorHAnsi"/>
          <w:color w:val="auto"/>
          <w:szCs w:val="24"/>
        </w:rPr>
        <w:t>:</w:t>
      </w:r>
      <w:r w:rsidR="00C276CD" w:rsidRPr="00027BF5">
        <w:rPr>
          <w:rFonts w:asciiTheme="minorHAnsi" w:hAnsiTheme="minorHAnsi"/>
          <w:color w:val="auto"/>
          <w:szCs w:val="24"/>
        </w:rPr>
        <w:t xml:space="preserve">  </w:t>
      </w:r>
      <w:r w:rsidR="009E3DA5" w:rsidRPr="00027BF5">
        <w:rPr>
          <w:rFonts w:asciiTheme="minorHAnsi" w:hAnsiTheme="minorHAnsi"/>
          <w:color w:val="auto"/>
          <w:szCs w:val="24"/>
        </w:rPr>
        <w:t>We note the applicant implicitly asks the Board for changing his back condition to “combat</w:t>
      </w:r>
      <w:r w:rsidR="009E3DA5">
        <w:rPr>
          <w:rFonts w:asciiTheme="minorHAnsi" w:hAnsiTheme="minorHAnsi"/>
          <w:color w:val="auto"/>
          <w:szCs w:val="24"/>
        </w:rPr>
        <w:t>-related</w:t>
      </w:r>
      <w:r w:rsidR="009E3DA5" w:rsidRPr="009E3DA5">
        <w:rPr>
          <w:rFonts w:asciiTheme="minorHAnsi" w:hAnsiTheme="minorHAnsi"/>
          <w:color w:val="auto"/>
          <w:szCs w:val="24"/>
        </w:rPr>
        <w:t>.</w:t>
      </w:r>
      <w:r w:rsidR="009E3DA5">
        <w:rPr>
          <w:rFonts w:asciiTheme="minorHAnsi" w:hAnsiTheme="minorHAnsi"/>
          <w:color w:val="auto"/>
          <w:szCs w:val="24"/>
        </w:rPr>
        <w:t>”</w:t>
      </w:r>
      <w:r w:rsidR="009E3DA5" w:rsidRPr="009E3DA5">
        <w:rPr>
          <w:rFonts w:asciiTheme="minorHAnsi" w:hAnsiTheme="minorHAnsi"/>
          <w:color w:val="auto"/>
          <w:szCs w:val="24"/>
        </w:rPr>
        <w:t xml:space="preserve"> By law the Board authority is limited to making recommendation on correcting disability determinations. </w:t>
      </w:r>
      <w:r w:rsidR="00E627C6">
        <w:rPr>
          <w:rFonts w:asciiTheme="minorHAnsi" w:hAnsiTheme="minorHAnsi"/>
          <w:color w:val="auto"/>
          <w:szCs w:val="24"/>
        </w:rPr>
        <w:t xml:space="preserve"> </w:t>
      </w:r>
      <w:r w:rsidR="009E3DA5" w:rsidRPr="009E3DA5">
        <w:rPr>
          <w:rFonts w:asciiTheme="minorHAnsi" w:hAnsiTheme="minorHAnsi"/>
          <w:color w:val="auto"/>
          <w:szCs w:val="24"/>
        </w:rPr>
        <w:t xml:space="preserve">The actual </w:t>
      </w:r>
      <w:r w:rsidR="009E3DA5">
        <w:rPr>
          <w:rFonts w:asciiTheme="minorHAnsi" w:hAnsiTheme="minorHAnsi"/>
          <w:color w:val="auto"/>
          <w:szCs w:val="24"/>
        </w:rPr>
        <w:t xml:space="preserve">categorization of injuries/illnesses as combat related </w:t>
      </w:r>
      <w:r w:rsidR="009E3DA5" w:rsidRPr="009E3DA5">
        <w:rPr>
          <w:rFonts w:asciiTheme="minorHAnsi" w:hAnsiTheme="minorHAnsi"/>
          <w:color w:val="auto"/>
          <w:szCs w:val="24"/>
        </w:rPr>
        <w:t>is the responsibility of the applicable Secretary.  The applicant's request will of course remain with the application as it is processed.</w:t>
      </w:r>
      <w:r w:rsidR="009E3DA5">
        <w:rPr>
          <w:rFonts w:asciiTheme="minorHAnsi" w:hAnsiTheme="minorHAnsi"/>
          <w:color w:val="auto"/>
          <w:szCs w:val="24"/>
        </w:rPr>
        <w:t xml:space="preserve">  </w:t>
      </w:r>
      <w:r w:rsidR="009E3DA5" w:rsidRPr="009E3DA5">
        <w:rPr>
          <w:rFonts w:asciiTheme="minorHAnsi" w:hAnsiTheme="minorHAnsi"/>
          <w:color w:val="auto"/>
          <w:szCs w:val="24"/>
        </w:rPr>
        <w:t xml:space="preserve">The Board </w:t>
      </w:r>
      <w:r w:rsidR="009E3DA5">
        <w:rPr>
          <w:rFonts w:asciiTheme="minorHAnsi" w:hAnsiTheme="minorHAnsi"/>
          <w:color w:val="auto"/>
          <w:szCs w:val="24"/>
        </w:rPr>
        <w:t xml:space="preserve">also </w:t>
      </w:r>
      <w:r w:rsidR="009E3DA5" w:rsidRPr="009E3DA5">
        <w:rPr>
          <w:rFonts w:asciiTheme="minorHAnsi" w:hAnsiTheme="minorHAnsi"/>
          <w:color w:val="auto"/>
          <w:szCs w:val="24"/>
        </w:rPr>
        <w:t>acknowledges the sentiment expressed in the CI’s application regarding the significant impact that his service-incurred condition has had on his current earning ability and quality of life.  It is a fact, however, that the DES has neither the role nor the authority to compensate service members for anticipated future severity or potential complications of conditions resulting in medical separation.  This role and authority is granted by Congress to the Veterans Administration.</w:t>
      </w:r>
      <w:r w:rsidR="009E3DA5">
        <w:rPr>
          <w:rFonts w:asciiTheme="minorHAnsi" w:hAnsiTheme="minorHAnsi"/>
          <w:color w:val="auto"/>
          <w:szCs w:val="24"/>
        </w:rPr>
        <w:t xml:space="preserve">  </w:t>
      </w:r>
      <w:r w:rsidR="009E3DA5" w:rsidRPr="009E3DA5">
        <w:rPr>
          <w:rFonts w:asciiTheme="minorHAnsi" w:hAnsiTheme="minorHAnsi"/>
          <w:color w:val="auto"/>
          <w:szCs w:val="24"/>
        </w:rPr>
        <w:t>A ‘crystal ball’ requirement is not imposed on the service PEB’s by the Board; and, the 12 month window specified in DoDI 6040.44 is appropriate for rating comparisons but not for new developments after separation</w:t>
      </w:r>
      <w:r w:rsidR="009E3DA5">
        <w:rPr>
          <w:rFonts w:asciiTheme="minorHAnsi" w:hAnsiTheme="minorHAnsi"/>
          <w:color w:val="auto"/>
          <w:szCs w:val="24"/>
        </w:rPr>
        <w:t xml:space="preserve"> for increased rating</w:t>
      </w:r>
      <w:r w:rsidR="009E3DA5" w:rsidRPr="009E3DA5">
        <w:rPr>
          <w:rFonts w:asciiTheme="minorHAnsi" w:hAnsiTheme="minorHAnsi"/>
          <w:color w:val="auto"/>
          <w:szCs w:val="24"/>
        </w:rPr>
        <w:t>.</w:t>
      </w:r>
      <w:r w:rsidR="00027BF5">
        <w:rPr>
          <w:rFonts w:asciiTheme="minorHAnsi" w:hAnsiTheme="minorHAnsi"/>
          <w:color w:val="auto"/>
          <w:szCs w:val="24"/>
        </w:rPr>
        <w:t xml:space="preserve">  </w:t>
      </w:r>
    </w:p>
    <w:p w:rsidR="005B2595" w:rsidRPr="00396779" w:rsidRDefault="005B2595" w:rsidP="004B483F">
      <w:pPr>
        <w:tabs>
          <w:tab w:val="left" w:pos="288"/>
          <w:tab w:val="left" w:pos="4752"/>
        </w:tabs>
        <w:spacing w:line="240" w:lineRule="exact"/>
        <w:jc w:val="both"/>
        <w:rPr>
          <w:rFonts w:asciiTheme="minorHAnsi" w:hAnsiTheme="minorHAnsi"/>
          <w:color w:val="auto"/>
          <w:szCs w:val="24"/>
        </w:rPr>
      </w:pPr>
    </w:p>
    <w:p w:rsidR="009259BA" w:rsidRDefault="00926FCB" w:rsidP="00E627C6">
      <w:pPr>
        <w:tabs>
          <w:tab w:val="left" w:pos="288"/>
          <w:tab w:val="left" w:pos="4752"/>
        </w:tabs>
        <w:spacing w:line="240" w:lineRule="exact"/>
        <w:jc w:val="both"/>
        <w:rPr>
          <w:rFonts w:asciiTheme="minorHAnsi" w:hAnsiTheme="minorHAnsi"/>
          <w:color w:val="auto"/>
          <w:szCs w:val="24"/>
        </w:rPr>
      </w:pPr>
      <w:r w:rsidRPr="005D7E6C">
        <w:rPr>
          <w:rFonts w:asciiTheme="minorHAnsi" w:hAnsiTheme="minorHAnsi"/>
          <w:color w:val="auto"/>
          <w:szCs w:val="24"/>
          <w:u w:val="single"/>
        </w:rPr>
        <w:t>Back</w:t>
      </w:r>
      <w:r w:rsidR="002C6E5B" w:rsidRPr="005D7E6C">
        <w:rPr>
          <w:rFonts w:asciiTheme="minorHAnsi" w:hAnsiTheme="minorHAnsi"/>
          <w:color w:val="auto"/>
          <w:szCs w:val="24"/>
          <w:u w:val="single"/>
        </w:rPr>
        <w:t xml:space="preserve"> C</w:t>
      </w:r>
      <w:r w:rsidR="002C6E5B" w:rsidRPr="00396779">
        <w:rPr>
          <w:rFonts w:asciiTheme="minorHAnsi" w:hAnsiTheme="minorHAnsi"/>
          <w:color w:val="auto"/>
          <w:szCs w:val="24"/>
          <w:u w:val="single"/>
        </w:rPr>
        <w:t>ondition</w:t>
      </w:r>
      <w:r w:rsidR="002C6E5B" w:rsidRPr="00396779">
        <w:rPr>
          <w:rFonts w:asciiTheme="minorHAnsi" w:hAnsiTheme="minorHAnsi"/>
          <w:color w:val="auto"/>
          <w:szCs w:val="24"/>
        </w:rPr>
        <w:t xml:space="preserve">.  </w:t>
      </w:r>
      <w:r w:rsidR="00D62054">
        <w:rPr>
          <w:rFonts w:asciiTheme="minorHAnsi" w:hAnsiTheme="minorHAnsi"/>
          <w:color w:val="auto"/>
          <w:szCs w:val="24"/>
        </w:rPr>
        <w:t xml:space="preserve">All of the CI’s lower back MEB diagnoses </w:t>
      </w:r>
      <w:r w:rsidR="00A54DD8">
        <w:rPr>
          <w:rFonts w:asciiTheme="minorHAnsi" w:hAnsiTheme="minorHAnsi"/>
          <w:color w:val="auto"/>
          <w:szCs w:val="24"/>
        </w:rPr>
        <w:t>[</w:t>
      </w:r>
      <w:r w:rsidR="00D62054" w:rsidRPr="00D62054">
        <w:rPr>
          <w:rFonts w:asciiTheme="minorHAnsi" w:hAnsiTheme="minorHAnsi"/>
          <w:color w:val="auto"/>
          <w:szCs w:val="24"/>
        </w:rPr>
        <w:t>Lumbago</w:t>
      </w:r>
      <w:r w:rsidR="00D62054">
        <w:rPr>
          <w:rFonts w:asciiTheme="minorHAnsi" w:hAnsiTheme="minorHAnsi"/>
          <w:color w:val="auto"/>
          <w:szCs w:val="24"/>
        </w:rPr>
        <w:t xml:space="preserve">, </w:t>
      </w:r>
      <w:r w:rsidR="00D62054" w:rsidRPr="00D62054">
        <w:rPr>
          <w:rFonts w:asciiTheme="minorHAnsi" w:hAnsiTheme="minorHAnsi"/>
          <w:color w:val="auto"/>
          <w:szCs w:val="24"/>
        </w:rPr>
        <w:t>Facet Syndrome</w:t>
      </w:r>
      <w:r w:rsidR="00D62054">
        <w:rPr>
          <w:rFonts w:asciiTheme="minorHAnsi" w:hAnsiTheme="minorHAnsi"/>
          <w:color w:val="auto"/>
          <w:szCs w:val="24"/>
        </w:rPr>
        <w:t xml:space="preserve">, </w:t>
      </w:r>
      <w:r w:rsidR="00D62054" w:rsidRPr="00D62054">
        <w:rPr>
          <w:rFonts w:asciiTheme="minorHAnsi" w:hAnsiTheme="minorHAnsi"/>
          <w:color w:val="auto"/>
          <w:szCs w:val="24"/>
        </w:rPr>
        <w:t>Bulging Disc (L4-L5)(T11-T12)</w:t>
      </w:r>
      <w:r w:rsidR="00A54DD8">
        <w:rPr>
          <w:rFonts w:asciiTheme="minorHAnsi" w:hAnsiTheme="minorHAnsi"/>
          <w:color w:val="auto"/>
          <w:szCs w:val="24"/>
        </w:rPr>
        <w:t>]</w:t>
      </w:r>
      <w:r w:rsidR="00D62054">
        <w:rPr>
          <w:rFonts w:asciiTheme="minorHAnsi" w:hAnsiTheme="minorHAnsi"/>
          <w:color w:val="auto"/>
          <w:szCs w:val="24"/>
        </w:rPr>
        <w:t xml:space="preserve"> and </w:t>
      </w:r>
      <w:r w:rsidR="00A54DD8">
        <w:rPr>
          <w:rFonts w:asciiTheme="minorHAnsi" w:hAnsiTheme="minorHAnsi"/>
          <w:color w:val="auto"/>
          <w:szCs w:val="24"/>
        </w:rPr>
        <w:t xml:space="preserve">all </w:t>
      </w:r>
      <w:r w:rsidR="00D62054">
        <w:rPr>
          <w:rFonts w:asciiTheme="minorHAnsi" w:hAnsiTheme="minorHAnsi"/>
          <w:color w:val="auto"/>
          <w:szCs w:val="24"/>
        </w:rPr>
        <w:t xml:space="preserve">back symptoms were considered in a single back rating IAW </w:t>
      </w:r>
      <w:r w:rsidR="002709A7">
        <w:rPr>
          <w:rFonts w:asciiTheme="minorHAnsi" w:hAnsiTheme="minorHAnsi"/>
          <w:color w:val="auto"/>
          <w:szCs w:val="24"/>
        </w:rPr>
        <w:t>Veterans Administration Schedule for Rating Disabilities (</w:t>
      </w:r>
      <w:r w:rsidR="00D62054">
        <w:rPr>
          <w:rFonts w:asciiTheme="minorHAnsi" w:hAnsiTheme="minorHAnsi"/>
          <w:color w:val="auto"/>
          <w:szCs w:val="24"/>
        </w:rPr>
        <w:t>VASRD</w:t>
      </w:r>
      <w:r w:rsidR="002709A7">
        <w:rPr>
          <w:rFonts w:asciiTheme="minorHAnsi" w:hAnsiTheme="minorHAnsi"/>
          <w:color w:val="auto"/>
          <w:szCs w:val="24"/>
        </w:rPr>
        <w:t>)</w:t>
      </w:r>
      <w:r w:rsidR="00D62054">
        <w:rPr>
          <w:rFonts w:asciiTheme="minorHAnsi" w:hAnsiTheme="minorHAnsi"/>
          <w:color w:val="auto"/>
          <w:szCs w:val="24"/>
        </w:rPr>
        <w:t xml:space="preserve"> </w:t>
      </w:r>
      <w:r w:rsidR="00D62054" w:rsidRPr="00E72485">
        <w:rPr>
          <w:rFonts w:asciiTheme="minorHAnsi" w:hAnsiTheme="minorHAnsi"/>
          <w:color w:val="auto"/>
          <w:szCs w:val="24"/>
        </w:rPr>
        <w:t>§</w:t>
      </w:r>
      <w:r w:rsidR="00D62054">
        <w:rPr>
          <w:rFonts w:asciiTheme="minorHAnsi" w:hAnsiTheme="minorHAnsi"/>
          <w:color w:val="auto"/>
          <w:szCs w:val="24"/>
        </w:rPr>
        <w:t xml:space="preserve">4.71a.  </w:t>
      </w:r>
      <w:r w:rsidR="007C6046" w:rsidRPr="00396779">
        <w:rPr>
          <w:rFonts w:asciiTheme="minorHAnsi" w:hAnsiTheme="minorHAnsi"/>
          <w:color w:val="auto"/>
          <w:szCs w:val="24"/>
        </w:rPr>
        <w:t xml:space="preserve">There were </w:t>
      </w:r>
      <w:r w:rsidR="005D7E6C">
        <w:rPr>
          <w:rFonts w:asciiTheme="minorHAnsi" w:hAnsiTheme="minorHAnsi"/>
          <w:color w:val="auto"/>
          <w:szCs w:val="24"/>
        </w:rPr>
        <w:t xml:space="preserve">two </w:t>
      </w:r>
      <w:r w:rsidR="007C6046" w:rsidRPr="005D7E6C">
        <w:rPr>
          <w:rFonts w:asciiTheme="minorHAnsi" w:hAnsiTheme="minorHAnsi"/>
          <w:color w:val="auto"/>
          <w:szCs w:val="24"/>
        </w:rPr>
        <w:t>goniometric</w:t>
      </w:r>
      <w:r w:rsidR="007C6046" w:rsidRPr="00396779">
        <w:rPr>
          <w:rFonts w:asciiTheme="minorHAnsi" w:hAnsiTheme="minorHAnsi"/>
          <w:color w:val="auto"/>
          <w:szCs w:val="24"/>
        </w:rPr>
        <w:t xml:space="preserve"> range-of-motion (ROM) evaluations in evidence which the Board </w:t>
      </w:r>
      <w:r w:rsidR="00743E36" w:rsidRPr="00396779">
        <w:rPr>
          <w:rFonts w:asciiTheme="minorHAnsi" w:hAnsiTheme="minorHAnsi"/>
          <w:color w:val="auto"/>
          <w:szCs w:val="24"/>
        </w:rPr>
        <w:t xml:space="preserve">weighed in </w:t>
      </w:r>
      <w:r w:rsidR="00743E36" w:rsidRPr="00CB2FD6">
        <w:rPr>
          <w:rFonts w:asciiTheme="minorHAnsi" w:hAnsiTheme="minorHAnsi"/>
          <w:color w:val="auto"/>
          <w:szCs w:val="24"/>
        </w:rPr>
        <w:t>arriving at its rating recommendation</w:t>
      </w:r>
      <w:r w:rsidR="007C6046" w:rsidRPr="00CB2FD6">
        <w:rPr>
          <w:rFonts w:asciiTheme="minorHAnsi" w:hAnsiTheme="minorHAnsi"/>
          <w:color w:val="auto"/>
          <w:szCs w:val="24"/>
        </w:rPr>
        <w:t>.</w:t>
      </w:r>
      <w:r w:rsidR="00743E36" w:rsidRPr="00CB2FD6">
        <w:rPr>
          <w:rFonts w:asciiTheme="minorHAnsi" w:hAnsiTheme="minorHAnsi"/>
          <w:color w:val="auto"/>
          <w:szCs w:val="24"/>
        </w:rPr>
        <w:t xml:space="preserve"> </w:t>
      </w:r>
      <w:r w:rsidR="00986498">
        <w:rPr>
          <w:rFonts w:asciiTheme="minorHAnsi" w:hAnsiTheme="minorHAnsi"/>
          <w:color w:val="auto"/>
          <w:szCs w:val="24"/>
        </w:rPr>
        <w:t xml:space="preserve"> </w:t>
      </w:r>
      <w:r w:rsidR="009C22C8" w:rsidRPr="00CB2FD6">
        <w:rPr>
          <w:rFonts w:asciiTheme="minorHAnsi" w:hAnsiTheme="minorHAnsi"/>
          <w:color w:val="auto"/>
          <w:szCs w:val="24"/>
        </w:rPr>
        <w:t>Both of these exams are summarized in the chart below</w:t>
      </w:r>
      <w:r w:rsidR="00027BF5">
        <w:rPr>
          <w:rFonts w:asciiTheme="minorHAnsi" w:hAnsiTheme="minorHAnsi"/>
          <w:color w:val="auto"/>
          <w:szCs w:val="24"/>
        </w:rPr>
        <w:t>, along with an orthopedic consultant’s exam.</w:t>
      </w:r>
      <w:r w:rsidR="00CB2FD6">
        <w:rPr>
          <w:rFonts w:asciiTheme="minorHAnsi" w:hAnsiTheme="minorHAnsi"/>
          <w:color w:val="auto"/>
          <w:szCs w:val="24"/>
        </w:rPr>
        <w:t xml:space="preserve">  </w:t>
      </w:r>
    </w:p>
    <w:p w:rsidR="00973542" w:rsidRPr="00CB2FD6" w:rsidRDefault="00973542" w:rsidP="00973542">
      <w:pPr>
        <w:tabs>
          <w:tab w:val="left" w:pos="288"/>
          <w:tab w:val="left" w:pos="4752"/>
        </w:tabs>
        <w:spacing w:line="240" w:lineRule="exact"/>
        <w:jc w:val="both"/>
        <w:rPr>
          <w:rFonts w:asciiTheme="minorHAnsi" w:hAnsiTheme="minorHAnsi"/>
          <w:color w:val="auto"/>
          <w:szCs w:val="24"/>
        </w:rPr>
      </w:pP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63"/>
        <w:gridCol w:w="1980"/>
        <w:gridCol w:w="2790"/>
        <w:gridCol w:w="2272"/>
      </w:tblGrid>
      <w:tr w:rsidR="007552CB" w:rsidRPr="00CB2FD6" w:rsidTr="007552CB">
        <w:trPr>
          <w:jc w:val="center"/>
        </w:trPr>
        <w:tc>
          <w:tcPr>
            <w:tcW w:w="2363" w:type="dxa"/>
            <w:shd w:val="clear" w:color="auto" w:fill="D9D9D9" w:themeFill="background1" w:themeFillShade="D9"/>
          </w:tcPr>
          <w:p w:rsidR="007552CB" w:rsidRPr="00CB2FD6" w:rsidRDefault="007552CB" w:rsidP="005709F7">
            <w:pPr>
              <w:spacing w:line="240" w:lineRule="exact"/>
              <w:contextualSpacing/>
              <w:jc w:val="center"/>
              <w:rPr>
                <w:rFonts w:asciiTheme="minorHAnsi" w:eastAsia="Calibri" w:hAnsiTheme="minorHAnsi"/>
                <w:color w:val="auto"/>
                <w:sz w:val="22"/>
                <w:szCs w:val="22"/>
              </w:rPr>
            </w:pPr>
            <w:r w:rsidRPr="00CB2FD6">
              <w:rPr>
                <w:rFonts w:asciiTheme="minorHAnsi" w:eastAsia="Calibri" w:hAnsiTheme="minorHAnsi"/>
                <w:color w:val="auto"/>
                <w:sz w:val="22"/>
                <w:szCs w:val="22"/>
              </w:rPr>
              <w:t>Thoracolumbar</w:t>
            </w:r>
          </w:p>
        </w:tc>
        <w:tc>
          <w:tcPr>
            <w:tcW w:w="7042" w:type="dxa"/>
            <w:gridSpan w:val="3"/>
            <w:shd w:val="clear" w:color="auto" w:fill="D9D9D9" w:themeFill="background1" w:themeFillShade="D9"/>
          </w:tcPr>
          <w:p w:rsidR="007552CB" w:rsidRPr="00CB2FD6" w:rsidRDefault="007552CB" w:rsidP="0073610D">
            <w:pPr>
              <w:spacing w:line="240" w:lineRule="exact"/>
              <w:contextualSpacing/>
              <w:jc w:val="center"/>
              <w:rPr>
                <w:rFonts w:asciiTheme="minorHAnsi" w:eastAsia="Calibri" w:hAnsiTheme="minorHAnsi"/>
                <w:color w:val="auto"/>
                <w:sz w:val="22"/>
                <w:szCs w:val="22"/>
              </w:rPr>
            </w:pPr>
            <w:r w:rsidRPr="00CB2FD6">
              <w:rPr>
                <w:rFonts w:asciiTheme="minorHAnsi" w:eastAsia="Calibri" w:hAnsiTheme="minorHAnsi"/>
                <w:color w:val="auto"/>
                <w:sz w:val="22"/>
                <w:szCs w:val="22"/>
              </w:rPr>
              <w:t>Separation Date:  20090830</w:t>
            </w:r>
          </w:p>
        </w:tc>
      </w:tr>
      <w:tr w:rsidR="007552CB" w:rsidRPr="00CB2FD6" w:rsidTr="00AE4D77">
        <w:trPr>
          <w:jc w:val="center"/>
        </w:trPr>
        <w:tc>
          <w:tcPr>
            <w:tcW w:w="2363" w:type="dxa"/>
            <w:shd w:val="clear" w:color="auto" w:fill="D9D9D9" w:themeFill="background1" w:themeFillShade="D9"/>
          </w:tcPr>
          <w:p w:rsidR="007552CB" w:rsidRPr="00CB2FD6" w:rsidRDefault="007552CB" w:rsidP="005709F7">
            <w:pPr>
              <w:spacing w:line="240" w:lineRule="exact"/>
              <w:contextualSpacing/>
              <w:jc w:val="center"/>
              <w:rPr>
                <w:rFonts w:asciiTheme="minorHAnsi" w:eastAsia="Calibri" w:hAnsiTheme="minorHAnsi"/>
                <w:color w:val="auto"/>
                <w:sz w:val="22"/>
                <w:szCs w:val="22"/>
              </w:rPr>
            </w:pPr>
            <w:r w:rsidRPr="00CB2FD6">
              <w:rPr>
                <w:rFonts w:asciiTheme="minorHAnsi" w:eastAsia="Calibri" w:hAnsiTheme="minorHAnsi"/>
                <w:color w:val="auto"/>
                <w:sz w:val="22"/>
                <w:szCs w:val="22"/>
              </w:rPr>
              <w:t>Goniometric ROM</w:t>
            </w:r>
          </w:p>
        </w:tc>
        <w:tc>
          <w:tcPr>
            <w:tcW w:w="1980" w:type="dxa"/>
            <w:shd w:val="clear" w:color="auto" w:fill="D9D9D9" w:themeFill="background1" w:themeFillShade="D9"/>
          </w:tcPr>
          <w:p w:rsidR="007552CB" w:rsidRPr="00CB2FD6" w:rsidRDefault="007552CB" w:rsidP="0073610D">
            <w:pPr>
              <w:spacing w:line="240" w:lineRule="exact"/>
              <w:contextualSpacing/>
              <w:jc w:val="center"/>
              <w:rPr>
                <w:rFonts w:asciiTheme="minorHAnsi" w:eastAsia="Calibri" w:hAnsiTheme="minorHAnsi"/>
                <w:color w:val="auto"/>
                <w:sz w:val="22"/>
                <w:szCs w:val="22"/>
              </w:rPr>
            </w:pPr>
            <w:r w:rsidRPr="00CB2FD6">
              <w:rPr>
                <w:rFonts w:asciiTheme="minorHAnsi" w:eastAsia="Calibri" w:hAnsiTheme="minorHAnsi"/>
                <w:color w:val="auto"/>
                <w:sz w:val="22"/>
                <w:szCs w:val="22"/>
              </w:rPr>
              <w:t xml:space="preserve">MEB </w:t>
            </w:r>
            <w:r>
              <w:rPr>
                <w:rFonts w:asciiTheme="minorHAnsi" w:eastAsia="Calibri" w:hAnsiTheme="minorHAnsi"/>
                <w:color w:val="auto"/>
                <w:sz w:val="22"/>
                <w:szCs w:val="22"/>
              </w:rPr>
              <w:t xml:space="preserve">PT </w:t>
            </w:r>
            <w:r w:rsidR="00211510">
              <w:rPr>
                <w:rFonts w:asciiTheme="minorHAnsi" w:eastAsia="Calibri" w:hAnsiTheme="minorHAnsi"/>
                <w:color w:val="auto"/>
                <w:sz w:val="22"/>
                <w:szCs w:val="22"/>
              </w:rPr>
              <w:t>-</w:t>
            </w:r>
            <w:r w:rsidRPr="00CB2FD6">
              <w:rPr>
                <w:rFonts w:asciiTheme="minorHAnsi" w:eastAsia="Calibri" w:hAnsiTheme="minorHAnsi"/>
                <w:color w:val="auto"/>
                <w:sz w:val="22"/>
                <w:szCs w:val="22"/>
              </w:rPr>
              <w:t>20090323</w:t>
            </w:r>
          </w:p>
        </w:tc>
        <w:tc>
          <w:tcPr>
            <w:tcW w:w="2790" w:type="dxa"/>
            <w:shd w:val="clear" w:color="auto" w:fill="D9D9D9" w:themeFill="background1" w:themeFillShade="D9"/>
          </w:tcPr>
          <w:p w:rsidR="007552CB" w:rsidRPr="00CB2FD6" w:rsidRDefault="007552CB" w:rsidP="0073610D">
            <w:pPr>
              <w:spacing w:line="240" w:lineRule="exact"/>
              <w:contextualSpacing/>
              <w:jc w:val="center"/>
              <w:rPr>
                <w:rFonts w:asciiTheme="minorHAnsi" w:eastAsia="Calibri" w:hAnsiTheme="minorHAnsi"/>
                <w:color w:val="auto"/>
                <w:sz w:val="22"/>
                <w:szCs w:val="22"/>
              </w:rPr>
            </w:pPr>
            <w:r>
              <w:rPr>
                <w:rFonts w:asciiTheme="minorHAnsi" w:eastAsia="Calibri" w:hAnsiTheme="minorHAnsi"/>
                <w:color w:val="auto"/>
                <w:sz w:val="22"/>
                <w:szCs w:val="22"/>
              </w:rPr>
              <w:t>Ortho – 20090428*</w:t>
            </w:r>
          </w:p>
        </w:tc>
        <w:tc>
          <w:tcPr>
            <w:tcW w:w="2272" w:type="dxa"/>
            <w:shd w:val="clear" w:color="auto" w:fill="D9D9D9" w:themeFill="background1" w:themeFillShade="D9"/>
          </w:tcPr>
          <w:p w:rsidR="007552CB" w:rsidRPr="00CB2FD6" w:rsidRDefault="007552CB" w:rsidP="0073610D">
            <w:pPr>
              <w:spacing w:line="240" w:lineRule="exact"/>
              <w:contextualSpacing/>
              <w:jc w:val="center"/>
              <w:rPr>
                <w:rFonts w:asciiTheme="minorHAnsi" w:eastAsiaTheme="minorHAnsi" w:hAnsiTheme="minorHAnsi" w:cstheme="minorBidi"/>
                <w:color w:val="auto"/>
                <w:sz w:val="22"/>
                <w:szCs w:val="22"/>
              </w:rPr>
            </w:pPr>
            <w:r w:rsidRPr="00CB2FD6">
              <w:rPr>
                <w:rFonts w:asciiTheme="minorHAnsi" w:eastAsia="Calibri" w:hAnsiTheme="minorHAnsi"/>
                <w:color w:val="auto"/>
                <w:sz w:val="22"/>
                <w:szCs w:val="22"/>
              </w:rPr>
              <w:t>VA</w:t>
            </w:r>
            <w:r w:rsidRPr="00CB2FD6">
              <w:rPr>
                <w:rFonts w:asciiTheme="minorHAnsi" w:eastAsiaTheme="minorHAnsi" w:hAnsiTheme="minorHAnsi" w:cstheme="minorBidi"/>
                <w:color w:val="auto"/>
                <w:sz w:val="22"/>
                <w:szCs w:val="22"/>
              </w:rPr>
              <w:t xml:space="preserve"> C&amp;P -20091218</w:t>
            </w:r>
          </w:p>
        </w:tc>
      </w:tr>
      <w:tr w:rsidR="007552CB" w:rsidRPr="00CB2FD6" w:rsidTr="00AE4D77">
        <w:trPr>
          <w:jc w:val="center"/>
        </w:trPr>
        <w:tc>
          <w:tcPr>
            <w:tcW w:w="2363" w:type="dxa"/>
          </w:tcPr>
          <w:p w:rsidR="007552CB" w:rsidRPr="00CB2FD6" w:rsidRDefault="007552CB" w:rsidP="005709F7">
            <w:pPr>
              <w:spacing w:line="240" w:lineRule="exact"/>
              <w:contextualSpacing/>
              <w:jc w:val="center"/>
              <w:rPr>
                <w:rFonts w:asciiTheme="minorHAnsi" w:eastAsia="Calibri" w:hAnsiTheme="minorHAnsi"/>
                <w:color w:val="auto"/>
                <w:sz w:val="22"/>
                <w:szCs w:val="22"/>
              </w:rPr>
            </w:pPr>
            <w:r w:rsidRPr="00CB2FD6">
              <w:rPr>
                <w:rFonts w:asciiTheme="minorHAnsi" w:eastAsia="Calibri" w:hAnsiTheme="minorHAnsi"/>
                <w:color w:val="auto"/>
                <w:sz w:val="22"/>
                <w:szCs w:val="22"/>
              </w:rPr>
              <w:t>Flexion 0-90⁰ normal</w:t>
            </w:r>
          </w:p>
        </w:tc>
        <w:tc>
          <w:tcPr>
            <w:tcW w:w="1980" w:type="dxa"/>
          </w:tcPr>
          <w:p w:rsidR="007552CB" w:rsidRPr="004B483F" w:rsidRDefault="007552CB" w:rsidP="0073610D">
            <w:pPr>
              <w:spacing w:line="240" w:lineRule="exact"/>
              <w:contextualSpacing/>
              <w:jc w:val="center"/>
              <w:rPr>
                <w:rFonts w:asciiTheme="minorHAnsi" w:eastAsia="Calibri" w:hAnsiTheme="minorHAnsi"/>
                <w:color w:val="auto"/>
                <w:sz w:val="22"/>
                <w:szCs w:val="22"/>
              </w:rPr>
            </w:pPr>
            <w:r w:rsidRPr="004B483F">
              <w:rPr>
                <w:rFonts w:asciiTheme="minorHAnsi" w:eastAsia="Calibri" w:hAnsiTheme="minorHAnsi"/>
                <w:color w:val="auto"/>
                <w:sz w:val="22"/>
                <w:szCs w:val="22"/>
              </w:rPr>
              <w:t>0⁰-75⁰</w:t>
            </w:r>
          </w:p>
        </w:tc>
        <w:tc>
          <w:tcPr>
            <w:tcW w:w="2790" w:type="dxa"/>
          </w:tcPr>
          <w:p w:rsidR="007552CB" w:rsidRPr="00CB2FD6" w:rsidRDefault="007552CB" w:rsidP="007552CB">
            <w:pPr>
              <w:spacing w:line="240" w:lineRule="exact"/>
              <w:contextualSpacing/>
              <w:jc w:val="center"/>
              <w:rPr>
                <w:rFonts w:asciiTheme="minorHAnsi" w:eastAsia="Calibri" w:hAnsiTheme="minorHAnsi"/>
                <w:color w:val="auto"/>
                <w:sz w:val="22"/>
                <w:szCs w:val="22"/>
              </w:rPr>
            </w:pPr>
            <w:r w:rsidRPr="00CB2FD6">
              <w:rPr>
                <w:rFonts w:asciiTheme="minorHAnsi" w:eastAsia="Calibri" w:hAnsiTheme="minorHAnsi"/>
                <w:color w:val="auto"/>
                <w:sz w:val="22"/>
                <w:szCs w:val="22"/>
              </w:rPr>
              <w:t>0⁰-</w:t>
            </w:r>
            <w:r>
              <w:rPr>
                <w:rFonts w:asciiTheme="minorHAnsi" w:eastAsia="Calibri" w:hAnsiTheme="minorHAnsi"/>
                <w:color w:val="auto"/>
                <w:sz w:val="22"/>
                <w:szCs w:val="22"/>
              </w:rPr>
              <w:t>1</w:t>
            </w:r>
            <w:r w:rsidRPr="00CB2FD6">
              <w:rPr>
                <w:rFonts w:asciiTheme="minorHAnsi" w:eastAsia="Calibri" w:hAnsiTheme="minorHAnsi"/>
                <w:color w:val="auto"/>
                <w:sz w:val="22"/>
                <w:szCs w:val="22"/>
              </w:rPr>
              <w:t>5⁰</w:t>
            </w:r>
          </w:p>
        </w:tc>
        <w:tc>
          <w:tcPr>
            <w:tcW w:w="2272" w:type="dxa"/>
          </w:tcPr>
          <w:p w:rsidR="007552CB" w:rsidRPr="00CB2FD6" w:rsidRDefault="007552CB" w:rsidP="0073610D">
            <w:pPr>
              <w:spacing w:line="240" w:lineRule="exact"/>
              <w:contextualSpacing/>
              <w:jc w:val="center"/>
              <w:rPr>
                <w:rFonts w:asciiTheme="minorHAnsi" w:eastAsia="Calibri" w:hAnsiTheme="minorHAnsi"/>
                <w:color w:val="auto"/>
                <w:sz w:val="22"/>
                <w:szCs w:val="22"/>
              </w:rPr>
            </w:pPr>
            <w:r w:rsidRPr="00CB2FD6">
              <w:rPr>
                <w:rFonts w:asciiTheme="minorHAnsi" w:eastAsia="Calibri" w:hAnsiTheme="minorHAnsi"/>
                <w:color w:val="auto"/>
                <w:sz w:val="22"/>
                <w:szCs w:val="22"/>
              </w:rPr>
              <w:t>0⁰-15⁰</w:t>
            </w:r>
          </w:p>
        </w:tc>
      </w:tr>
      <w:tr w:rsidR="007552CB" w:rsidRPr="00CB2FD6" w:rsidTr="00AE4D77">
        <w:trPr>
          <w:jc w:val="center"/>
        </w:trPr>
        <w:tc>
          <w:tcPr>
            <w:tcW w:w="2363" w:type="dxa"/>
          </w:tcPr>
          <w:p w:rsidR="007552CB" w:rsidRPr="00CB2FD6" w:rsidRDefault="007552CB" w:rsidP="005709F7">
            <w:pPr>
              <w:spacing w:line="240" w:lineRule="exact"/>
              <w:contextualSpacing/>
              <w:jc w:val="center"/>
              <w:rPr>
                <w:rFonts w:asciiTheme="minorHAnsi" w:eastAsia="Calibri" w:hAnsiTheme="minorHAnsi"/>
                <w:color w:val="auto"/>
                <w:sz w:val="22"/>
                <w:szCs w:val="22"/>
              </w:rPr>
            </w:pPr>
            <w:r w:rsidRPr="00CB2FD6">
              <w:rPr>
                <w:rFonts w:asciiTheme="minorHAnsi" w:eastAsia="Calibri" w:hAnsiTheme="minorHAnsi"/>
                <w:color w:val="auto"/>
                <w:sz w:val="22"/>
                <w:szCs w:val="22"/>
              </w:rPr>
              <w:t>Combined 240⁰ normal</w:t>
            </w:r>
          </w:p>
        </w:tc>
        <w:tc>
          <w:tcPr>
            <w:tcW w:w="1980" w:type="dxa"/>
          </w:tcPr>
          <w:p w:rsidR="007552CB" w:rsidRPr="004B483F" w:rsidRDefault="007552CB" w:rsidP="00DA7F6E">
            <w:pPr>
              <w:spacing w:line="240" w:lineRule="exact"/>
              <w:contextualSpacing/>
              <w:jc w:val="center"/>
              <w:rPr>
                <w:rFonts w:asciiTheme="minorHAnsi" w:eastAsia="Calibri" w:hAnsiTheme="minorHAnsi"/>
                <w:color w:val="auto"/>
                <w:sz w:val="22"/>
                <w:szCs w:val="22"/>
              </w:rPr>
            </w:pPr>
            <w:r w:rsidRPr="004B483F">
              <w:rPr>
                <w:rFonts w:asciiTheme="minorHAnsi" w:eastAsia="Calibri" w:hAnsiTheme="minorHAnsi"/>
                <w:color w:val="auto"/>
                <w:sz w:val="22"/>
                <w:szCs w:val="22"/>
              </w:rPr>
              <w:t>195⁰</w:t>
            </w:r>
          </w:p>
        </w:tc>
        <w:tc>
          <w:tcPr>
            <w:tcW w:w="2790" w:type="dxa"/>
          </w:tcPr>
          <w:p w:rsidR="007552CB" w:rsidRPr="00CB2FD6" w:rsidRDefault="00AE4D77" w:rsidP="00E72485">
            <w:pPr>
              <w:spacing w:line="240" w:lineRule="exact"/>
              <w:contextualSpacing/>
              <w:jc w:val="center"/>
              <w:rPr>
                <w:rFonts w:asciiTheme="minorHAnsi" w:eastAsia="Calibri" w:hAnsiTheme="minorHAnsi"/>
                <w:color w:val="auto"/>
                <w:sz w:val="22"/>
                <w:szCs w:val="22"/>
              </w:rPr>
            </w:pPr>
            <w:r>
              <w:rPr>
                <w:rFonts w:asciiTheme="minorHAnsi" w:eastAsia="Calibri" w:hAnsiTheme="minorHAnsi"/>
                <w:color w:val="auto"/>
                <w:sz w:val="22"/>
                <w:szCs w:val="22"/>
              </w:rPr>
              <w:t>-</w:t>
            </w:r>
            <w:r w:rsidR="00E72485">
              <w:rPr>
                <w:rFonts w:asciiTheme="minorHAnsi" w:eastAsia="Calibri" w:hAnsiTheme="minorHAnsi"/>
                <w:color w:val="auto"/>
                <w:sz w:val="22"/>
                <w:szCs w:val="22"/>
              </w:rPr>
              <w:t>-</w:t>
            </w:r>
          </w:p>
        </w:tc>
        <w:tc>
          <w:tcPr>
            <w:tcW w:w="2272" w:type="dxa"/>
          </w:tcPr>
          <w:p w:rsidR="007552CB" w:rsidRPr="00CB2FD6" w:rsidRDefault="007552CB" w:rsidP="0073610D">
            <w:pPr>
              <w:spacing w:line="240" w:lineRule="exact"/>
              <w:contextualSpacing/>
              <w:jc w:val="center"/>
              <w:rPr>
                <w:rFonts w:asciiTheme="minorHAnsi" w:eastAsia="Calibri" w:hAnsiTheme="minorHAnsi"/>
                <w:color w:val="auto"/>
                <w:sz w:val="22"/>
                <w:szCs w:val="22"/>
              </w:rPr>
            </w:pPr>
            <w:r w:rsidRPr="00CB2FD6">
              <w:rPr>
                <w:rFonts w:asciiTheme="minorHAnsi" w:eastAsia="Calibri" w:hAnsiTheme="minorHAnsi"/>
                <w:color w:val="auto"/>
                <w:sz w:val="22"/>
                <w:szCs w:val="22"/>
              </w:rPr>
              <w:t>90⁰</w:t>
            </w:r>
          </w:p>
        </w:tc>
      </w:tr>
      <w:tr w:rsidR="007552CB" w:rsidRPr="00CB2FD6" w:rsidTr="00AE4D77">
        <w:trPr>
          <w:jc w:val="center"/>
        </w:trPr>
        <w:tc>
          <w:tcPr>
            <w:tcW w:w="2363" w:type="dxa"/>
          </w:tcPr>
          <w:p w:rsidR="007552CB" w:rsidRPr="00CB2FD6" w:rsidRDefault="007552CB" w:rsidP="005709F7">
            <w:pPr>
              <w:tabs>
                <w:tab w:val="left" w:pos="288"/>
                <w:tab w:val="left" w:pos="4752"/>
              </w:tabs>
              <w:spacing w:line="240" w:lineRule="exact"/>
              <w:jc w:val="center"/>
              <w:rPr>
                <w:rFonts w:asciiTheme="minorHAnsi" w:eastAsiaTheme="minorHAnsi" w:hAnsiTheme="minorHAnsi"/>
                <w:color w:val="auto"/>
                <w:sz w:val="22"/>
                <w:szCs w:val="22"/>
              </w:rPr>
            </w:pPr>
            <w:r w:rsidRPr="00CB2FD6">
              <w:rPr>
                <w:rFonts w:asciiTheme="minorHAnsi" w:eastAsiaTheme="minorHAnsi" w:hAnsiTheme="minorHAnsi"/>
                <w:color w:val="auto"/>
                <w:sz w:val="22"/>
                <w:szCs w:val="22"/>
              </w:rPr>
              <w:t>§4.71a Rating</w:t>
            </w:r>
          </w:p>
        </w:tc>
        <w:tc>
          <w:tcPr>
            <w:tcW w:w="1980" w:type="dxa"/>
          </w:tcPr>
          <w:p w:rsidR="007552CB" w:rsidRPr="00CB2FD6" w:rsidRDefault="007552CB" w:rsidP="00DA7F6E">
            <w:pPr>
              <w:tabs>
                <w:tab w:val="left" w:pos="288"/>
                <w:tab w:val="left" w:pos="4752"/>
              </w:tabs>
              <w:spacing w:line="240" w:lineRule="exact"/>
              <w:jc w:val="center"/>
              <w:rPr>
                <w:rFonts w:asciiTheme="minorHAnsi" w:eastAsiaTheme="minorHAnsi" w:hAnsiTheme="minorHAnsi"/>
                <w:color w:val="auto"/>
                <w:sz w:val="22"/>
                <w:szCs w:val="22"/>
              </w:rPr>
            </w:pPr>
            <w:r w:rsidRPr="00CB2FD6">
              <w:rPr>
                <w:rFonts w:asciiTheme="minorHAnsi" w:eastAsiaTheme="minorHAnsi" w:hAnsiTheme="minorHAnsi"/>
                <w:color w:val="auto"/>
                <w:sz w:val="22"/>
                <w:szCs w:val="22"/>
              </w:rPr>
              <w:t>10%</w:t>
            </w:r>
          </w:p>
        </w:tc>
        <w:tc>
          <w:tcPr>
            <w:tcW w:w="2790" w:type="dxa"/>
          </w:tcPr>
          <w:p w:rsidR="007552CB" w:rsidRPr="00CB2FD6" w:rsidRDefault="007552CB" w:rsidP="00DA7F6E">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40%</w:t>
            </w:r>
          </w:p>
        </w:tc>
        <w:tc>
          <w:tcPr>
            <w:tcW w:w="2272" w:type="dxa"/>
          </w:tcPr>
          <w:p w:rsidR="007552CB" w:rsidRPr="00CB2FD6" w:rsidRDefault="007552CB" w:rsidP="00DA7F6E">
            <w:pPr>
              <w:tabs>
                <w:tab w:val="left" w:pos="288"/>
                <w:tab w:val="left" w:pos="4752"/>
              </w:tabs>
              <w:spacing w:line="240" w:lineRule="exact"/>
              <w:jc w:val="center"/>
              <w:rPr>
                <w:rFonts w:asciiTheme="minorHAnsi" w:eastAsiaTheme="minorHAnsi" w:hAnsiTheme="minorHAnsi"/>
                <w:color w:val="auto"/>
                <w:sz w:val="22"/>
                <w:szCs w:val="22"/>
              </w:rPr>
            </w:pPr>
            <w:r w:rsidRPr="00CB2FD6">
              <w:rPr>
                <w:rFonts w:asciiTheme="minorHAnsi" w:eastAsiaTheme="minorHAnsi" w:hAnsiTheme="minorHAnsi"/>
                <w:color w:val="auto"/>
                <w:sz w:val="22"/>
                <w:szCs w:val="22"/>
              </w:rPr>
              <w:t>40%</w:t>
            </w:r>
          </w:p>
        </w:tc>
      </w:tr>
      <w:tr w:rsidR="007552CB" w:rsidRPr="00CB2FD6" w:rsidTr="00AE4D77">
        <w:trPr>
          <w:trHeight w:val="70"/>
          <w:jc w:val="center"/>
        </w:trPr>
        <w:tc>
          <w:tcPr>
            <w:tcW w:w="2363" w:type="dxa"/>
          </w:tcPr>
          <w:p w:rsidR="007552CB" w:rsidRPr="00CB2FD6" w:rsidRDefault="007552CB" w:rsidP="007552CB">
            <w:pPr>
              <w:tabs>
                <w:tab w:val="left" w:pos="288"/>
                <w:tab w:val="left" w:pos="4752"/>
              </w:tabs>
              <w:spacing w:line="240" w:lineRule="exact"/>
              <w:rPr>
                <w:rFonts w:asciiTheme="minorHAnsi" w:eastAsiaTheme="minorHAnsi" w:hAnsiTheme="minorHAnsi"/>
                <w:color w:val="auto"/>
                <w:sz w:val="22"/>
                <w:szCs w:val="22"/>
              </w:rPr>
            </w:pPr>
            <w:r w:rsidRPr="00CB2FD6">
              <w:rPr>
                <w:rFonts w:asciiTheme="minorHAnsi" w:eastAsiaTheme="minorHAnsi" w:hAnsiTheme="minorHAnsi"/>
                <w:color w:val="auto"/>
                <w:sz w:val="22"/>
                <w:szCs w:val="22"/>
              </w:rPr>
              <w:t>Comments</w:t>
            </w:r>
          </w:p>
        </w:tc>
        <w:tc>
          <w:tcPr>
            <w:tcW w:w="1980" w:type="dxa"/>
          </w:tcPr>
          <w:p w:rsidR="007552CB" w:rsidRPr="00CB2FD6" w:rsidRDefault="00971037" w:rsidP="007552CB">
            <w:pPr>
              <w:tabs>
                <w:tab w:val="left" w:pos="288"/>
                <w:tab w:val="left" w:pos="4752"/>
              </w:tabs>
              <w:spacing w:line="240" w:lineRule="exact"/>
              <w:rPr>
                <w:rFonts w:asciiTheme="minorHAnsi" w:eastAsiaTheme="minorHAnsi" w:hAnsiTheme="minorHAnsi"/>
                <w:color w:val="auto"/>
                <w:sz w:val="22"/>
                <w:szCs w:val="22"/>
              </w:rPr>
            </w:pPr>
            <w:r>
              <w:rPr>
                <w:rFonts w:asciiTheme="minorHAnsi" w:eastAsiaTheme="minorHAnsi" w:hAnsiTheme="minorHAnsi"/>
                <w:color w:val="auto"/>
                <w:sz w:val="22"/>
                <w:szCs w:val="22"/>
              </w:rPr>
              <w:t>+TTP and spasm; abnormal motion; pain with motion</w:t>
            </w:r>
          </w:p>
        </w:tc>
        <w:tc>
          <w:tcPr>
            <w:tcW w:w="2790" w:type="dxa"/>
          </w:tcPr>
          <w:p w:rsidR="007552CB" w:rsidRPr="00CB2FD6" w:rsidRDefault="007552CB" w:rsidP="00C53F5A">
            <w:pPr>
              <w:tabs>
                <w:tab w:val="left" w:pos="288"/>
                <w:tab w:val="left" w:pos="4752"/>
              </w:tabs>
              <w:spacing w:line="240" w:lineRule="exact"/>
              <w:rPr>
                <w:rFonts w:asciiTheme="minorHAnsi" w:eastAsiaTheme="minorHAnsi" w:hAnsiTheme="minorHAnsi"/>
                <w:color w:val="auto"/>
                <w:sz w:val="22"/>
                <w:szCs w:val="22"/>
              </w:rPr>
            </w:pPr>
            <w:r>
              <w:rPr>
                <w:rFonts w:asciiTheme="minorHAnsi" w:eastAsiaTheme="minorHAnsi" w:hAnsiTheme="minorHAnsi"/>
                <w:color w:val="auto"/>
                <w:sz w:val="22"/>
                <w:szCs w:val="22"/>
              </w:rPr>
              <w:t>*</w:t>
            </w:r>
            <w:r w:rsidR="00C53F5A">
              <w:rPr>
                <w:rFonts w:asciiTheme="minorHAnsi" w:eastAsiaTheme="minorHAnsi" w:hAnsiTheme="minorHAnsi"/>
                <w:color w:val="auto"/>
                <w:sz w:val="22"/>
                <w:szCs w:val="22"/>
              </w:rPr>
              <w:t>N</w:t>
            </w:r>
            <w:r>
              <w:rPr>
                <w:rFonts w:asciiTheme="minorHAnsi" w:eastAsiaTheme="minorHAnsi" w:hAnsiTheme="minorHAnsi"/>
                <w:color w:val="auto"/>
                <w:sz w:val="22"/>
                <w:szCs w:val="22"/>
              </w:rPr>
              <w:t xml:space="preserve">on-goniometric; pain limited; </w:t>
            </w:r>
            <w:r w:rsidR="00E72485" w:rsidRPr="00E72485">
              <w:rPr>
                <w:rFonts w:asciiTheme="minorHAnsi" w:eastAsiaTheme="minorHAnsi" w:hAnsiTheme="minorHAnsi"/>
                <w:color w:val="auto"/>
                <w:sz w:val="22"/>
                <w:szCs w:val="22"/>
              </w:rPr>
              <w:t xml:space="preserve">Ext 0⁰-10⁰; </w:t>
            </w:r>
            <w:r>
              <w:rPr>
                <w:rFonts w:asciiTheme="minorHAnsi" w:eastAsiaTheme="minorHAnsi" w:hAnsiTheme="minorHAnsi"/>
                <w:color w:val="auto"/>
                <w:sz w:val="22"/>
                <w:szCs w:val="22"/>
              </w:rPr>
              <w:t xml:space="preserve">+R L5 decreased sensation; tender R L4-5 &amp; R SI </w:t>
            </w:r>
            <w:proofErr w:type="spellStart"/>
            <w:r>
              <w:rPr>
                <w:rFonts w:asciiTheme="minorHAnsi" w:eastAsiaTheme="minorHAnsi" w:hAnsiTheme="minorHAnsi"/>
                <w:color w:val="auto"/>
                <w:sz w:val="22"/>
                <w:szCs w:val="22"/>
              </w:rPr>
              <w:t>jt</w:t>
            </w:r>
            <w:proofErr w:type="spellEnd"/>
            <w:r>
              <w:rPr>
                <w:rFonts w:asciiTheme="minorHAnsi" w:eastAsiaTheme="minorHAnsi" w:hAnsiTheme="minorHAnsi"/>
                <w:color w:val="auto"/>
                <w:sz w:val="22"/>
                <w:szCs w:val="22"/>
              </w:rPr>
              <w:t xml:space="preserve">; +R SLR </w:t>
            </w:r>
          </w:p>
        </w:tc>
        <w:tc>
          <w:tcPr>
            <w:tcW w:w="2272" w:type="dxa"/>
          </w:tcPr>
          <w:p w:rsidR="007552CB" w:rsidRPr="00CB2FD6" w:rsidRDefault="007552CB" w:rsidP="007552CB">
            <w:pPr>
              <w:tabs>
                <w:tab w:val="left" w:pos="288"/>
                <w:tab w:val="left" w:pos="4752"/>
              </w:tabs>
              <w:spacing w:line="240" w:lineRule="exact"/>
              <w:rPr>
                <w:rFonts w:asciiTheme="minorHAnsi" w:eastAsiaTheme="minorHAnsi" w:hAnsiTheme="minorHAnsi"/>
                <w:color w:val="auto"/>
                <w:sz w:val="22"/>
                <w:szCs w:val="22"/>
              </w:rPr>
            </w:pPr>
            <w:r>
              <w:rPr>
                <w:rFonts w:asciiTheme="minorHAnsi" w:eastAsiaTheme="minorHAnsi" w:hAnsiTheme="minorHAnsi"/>
                <w:color w:val="auto"/>
                <w:sz w:val="22"/>
                <w:szCs w:val="22"/>
              </w:rPr>
              <w:t xml:space="preserve">+ tender, spasm, SLR </w:t>
            </w:r>
            <w:proofErr w:type="spellStart"/>
            <w:r>
              <w:rPr>
                <w:rFonts w:asciiTheme="minorHAnsi" w:eastAsiaTheme="minorHAnsi" w:hAnsiTheme="minorHAnsi"/>
                <w:color w:val="auto"/>
                <w:sz w:val="22"/>
                <w:szCs w:val="22"/>
              </w:rPr>
              <w:t>bilat</w:t>
            </w:r>
            <w:proofErr w:type="spellEnd"/>
            <w:r>
              <w:rPr>
                <w:rFonts w:asciiTheme="minorHAnsi" w:eastAsiaTheme="minorHAnsi" w:hAnsiTheme="minorHAnsi"/>
                <w:color w:val="auto"/>
                <w:sz w:val="22"/>
                <w:szCs w:val="22"/>
              </w:rPr>
              <w:t xml:space="preserve">; </w:t>
            </w:r>
            <w:proofErr w:type="spellStart"/>
            <w:r>
              <w:rPr>
                <w:rFonts w:asciiTheme="minorHAnsi" w:eastAsiaTheme="minorHAnsi" w:hAnsiTheme="minorHAnsi"/>
                <w:color w:val="auto"/>
                <w:sz w:val="22"/>
                <w:szCs w:val="22"/>
              </w:rPr>
              <w:t>levoscoliosis</w:t>
            </w:r>
            <w:proofErr w:type="spellEnd"/>
            <w:r>
              <w:rPr>
                <w:rFonts w:asciiTheme="minorHAnsi" w:eastAsiaTheme="minorHAnsi" w:hAnsiTheme="minorHAnsi"/>
                <w:color w:val="auto"/>
                <w:sz w:val="22"/>
                <w:szCs w:val="22"/>
              </w:rPr>
              <w:t xml:space="preserve">; motor sym; </w:t>
            </w:r>
            <w:proofErr w:type="spellStart"/>
            <w:r>
              <w:rPr>
                <w:rFonts w:asciiTheme="minorHAnsi" w:eastAsiaTheme="minorHAnsi" w:hAnsiTheme="minorHAnsi"/>
                <w:color w:val="auto"/>
                <w:sz w:val="22"/>
                <w:szCs w:val="22"/>
              </w:rPr>
              <w:t>dec</w:t>
            </w:r>
            <w:proofErr w:type="spellEnd"/>
            <w:r>
              <w:rPr>
                <w:rFonts w:asciiTheme="minorHAnsi" w:eastAsiaTheme="minorHAnsi" w:hAnsiTheme="minorHAnsi"/>
                <w:color w:val="auto"/>
                <w:sz w:val="22"/>
                <w:szCs w:val="22"/>
              </w:rPr>
              <w:t xml:space="preserve"> RLE light touch &amp; vibration </w:t>
            </w:r>
          </w:p>
        </w:tc>
      </w:tr>
    </w:tbl>
    <w:p w:rsidR="00213BD0" w:rsidRPr="00CB2FD6" w:rsidRDefault="00213BD0" w:rsidP="00DA7F6E">
      <w:pPr>
        <w:tabs>
          <w:tab w:val="left" w:pos="288"/>
          <w:tab w:val="left" w:pos="4752"/>
        </w:tabs>
        <w:spacing w:line="240" w:lineRule="exact"/>
        <w:jc w:val="both"/>
        <w:rPr>
          <w:rFonts w:asciiTheme="minorHAnsi" w:hAnsiTheme="minorHAnsi"/>
          <w:color w:val="auto"/>
          <w:szCs w:val="24"/>
        </w:rPr>
      </w:pPr>
    </w:p>
    <w:p w:rsidR="00A13CC0" w:rsidRPr="00396779" w:rsidRDefault="0047659F" w:rsidP="00A13CC0">
      <w:pPr>
        <w:spacing w:line="240" w:lineRule="exact"/>
        <w:jc w:val="both"/>
        <w:rPr>
          <w:rFonts w:asciiTheme="minorHAnsi" w:hAnsiTheme="minorHAnsi"/>
          <w:color w:val="auto"/>
          <w:szCs w:val="24"/>
        </w:rPr>
      </w:pPr>
      <w:r>
        <w:rPr>
          <w:rFonts w:asciiTheme="minorHAnsi" w:hAnsiTheme="minorHAnsi"/>
          <w:color w:val="auto"/>
          <w:szCs w:val="24"/>
        </w:rPr>
        <w:t>T</w:t>
      </w:r>
      <w:r w:rsidR="007612A5" w:rsidRPr="001844D8">
        <w:rPr>
          <w:rFonts w:asciiTheme="minorHAnsi" w:hAnsiTheme="minorHAnsi"/>
          <w:color w:val="auto"/>
          <w:szCs w:val="24"/>
        </w:rPr>
        <w:t>he</w:t>
      </w:r>
      <w:r>
        <w:rPr>
          <w:rFonts w:asciiTheme="minorHAnsi" w:hAnsiTheme="minorHAnsi"/>
          <w:color w:val="auto"/>
          <w:szCs w:val="24"/>
        </w:rPr>
        <w:t xml:space="preserve"> CI had non-duty limiting subjective right leg numbness </w:t>
      </w:r>
      <w:r w:rsidR="00027BF5">
        <w:rPr>
          <w:rFonts w:asciiTheme="minorHAnsi" w:hAnsiTheme="minorHAnsi"/>
          <w:color w:val="auto"/>
          <w:szCs w:val="24"/>
        </w:rPr>
        <w:t xml:space="preserve">and </w:t>
      </w:r>
      <w:r w:rsidR="00A54DD8">
        <w:rPr>
          <w:rFonts w:asciiTheme="minorHAnsi" w:hAnsiTheme="minorHAnsi"/>
          <w:color w:val="auto"/>
          <w:szCs w:val="24"/>
        </w:rPr>
        <w:t xml:space="preserve">also had right lower extremity </w:t>
      </w:r>
      <w:r w:rsidR="00027BF5">
        <w:rPr>
          <w:rFonts w:asciiTheme="minorHAnsi" w:hAnsiTheme="minorHAnsi"/>
          <w:color w:val="auto"/>
          <w:szCs w:val="24"/>
        </w:rPr>
        <w:t>radiating pain symptoms.  However, the numbness was intermittent and not to the level to interfere with duty.  S</w:t>
      </w:r>
      <w:r w:rsidR="00027BF5" w:rsidRPr="00027BF5">
        <w:rPr>
          <w:rFonts w:asciiTheme="minorHAnsi" w:hAnsiTheme="minorHAnsi"/>
          <w:color w:val="auto"/>
          <w:szCs w:val="24"/>
        </w:rPr>
        <w:t>ymptoms such as pain (whether or not it radiates), stiffness, or aching in the area of the spine affected by residuals of injury or disease</w:t>
      </w:r>
      <w:r w:rsidR="00027BF5">
        <w:rPr>
          <w:rFonts w:asciiTheme="minorHAnsi" w:hAnsiTheme="minorHAnsi"/>
          <w:color w:val="auto"/>
          <w:szCs w:val="24"/>
        </w:rPr>
        <w:t xml:space="preserve"> is rated IAW the </w:t>
      </w:r>
      <w:r w:rsidR="00027BF5" w:rsidRPr="00027BF5">
        <w:rPr>
          <w:rFonts w:asciiTheme="minorHAnsi" w:hAnsiTheme="minorHAnsi"/>
          <w:color w:val="auto"/>
          <w:szCs w:val="24"/>
        </w:rPr>
        <w:t>General Rating Formula for Diseases and Injuries of the Spine</w:t>
      </w:r>
      <w:r w:rsidR="00027BF5">
        <w:rPr>
          <w:rFonts w:asciiTheme="minorHAnsi" w:hAnsiTheme="minorHAnsi"/>
          <w:color w:val="auto"/>
          <w:szCs w:val="24"/>
        </w:rPr>
        <w:t>.  There was</w:t>
      </w:r>
      <w:r>
        <w:rPr>
          <w:rFonts w:asciiTheme="minorHAnsi" w:hAnsiTheme="minorHAnsi"/>
          <w:color w:val="auto"/>
          <w:szCs w:val="24"/>
        </w:rPr>
        <w:t xml:space="preserve"> no evidence of </w:t>
      </w:r>
      <w:r w:rsidR="00027BF5">
        <w:rPr>
          <w:rFonts w:asciiTheme="minorHAnsi" w:hAnsiTheme="minorHAnsi"/>
          <w:color w:val="auto"/>
          <w:szCs w:val="24"/>
        </w:rPr>
        <w:t xml:space="preserve">non-pain </w:t>
      </w:r>
      <w:r>
        <w:rPr>
          <w:rFonts w:asciiTheme="minorHAnsi" w:hAnsiTheme="minorHAnsi"/>
          <w:color w:val="auto"/>
          <w:szCs w:val="24"/>
        </w:rPr>
        <w:t xml:space="preserve">radiculopathy by electrophysiological studies (EMG/NCV was normal).  There </w:t>
      </w:r>
      <w:r w:rsidR="007612A5" w:rsidRPr="001844D8">
        <w:rPr>
          <w:rFonts w:asciiTheme="minorHAnsi" w:hAnsiTheme="minorHAnsi"/>
          <w:color w:val="auto"/>
          <w:szCs w:val="24"/>
        </w:rPr>
        <w:t xml:space="preserve">was </w:t>
      </w:r>
      <w:r w:rsidR="00027BF5">
        <w:rPr>
          <w:rFonts w:asciiTheme="minorHAnsi" w:hAnsiTheme="minorHAnsi"/>
          <w:color w:val="auto"/>
          <w:szCs w:val="24"/>
        </w:rPr>
        <w:t xml:space="preserve">therefore </w:t>
      </w:r>
      <w:r w:rsidR="007612A5" w:rsidRPr="00B77C08">
        <w:rPr>
          <w:rFonts w:asciiTheme="minorHAnsi" w:hAnsiTheme="minorHAnsi"/>
          <w:color w:val="auto"/>
          <w:szCs w:val="24"/>
        </w:rPr>
        <w:t>no evidence of ratable peripheral nerve</w:t>
      </w:r>
      <w:r w:rsidR="007612A5" w:rsidRPr="001844D8">
        <w:rPr>
          <w:rFonts w:asciiTheme="minorHAnsi" w:hAnsiTheme="minorHAnsi"/>
          <w:color w:val="auto"/>
          <w:szCs w:val="24"/>
        </w:rPr>
        <w:t xml:space="preserve"> impairment in this case.  </w:t>
      </w:r>
      <w:r w:rsidR="00370B60">
        <w:rPr>
          <w:rFonts w:asciiTheme="minorHAnsi" w:hAnsiTheme="minorHAnsi"/>
          <w:color w:val="auto"/>
          <w:szCs w:val="24"/>
        </w:rPr>
        <w:t>The CI met or exceed</w:t>
      </w:r>
      <w:r w:rsidR="00C25DA4">
        <w:rPr>
          <w:rFonts w:asciiTheme="minorHAnsi" w:hAnsiTheme="minorHAnsi"/>
          <w:color w:val="auto"/>
          <w:szCs w:val="24"/>
        </w:rPr>
        <w:t>ed</w:t>
      </w:r>
      <w:r w:rsidR="00370B60">
        <w:rPr>
          <w:rFonts w:asciiTheme="minorHAnsi" w:hAnsiTheme="minorHAnsi"/>
          <w:color w:val="auto"/>
          <w:szCs w:val="24"/>
        </w:rPr>
        <w:t xml:space="preserve"> a number of the 20% rating criteria.  </w:t>
      </w:r>
      <w:r w:rsidR="00C25DA4">
        <w:rPr>
          <w:rFonts w:asciiTheme="minorHAnsi" w:hAnsiTheme="minorHAnsi"/>
          <w:color w:val="auto"/>
          <w:szCs w:val="24"/>
        </w:rPr>
        <w:t xml:space="preserve">Despite </w:t>
      </w:r>
      <w:r w:rsidR="008C5C29">
        <w:rPr>
          <w:rFonts w:asciiTheme="minorHAnsi" w:hAnsiTheme="minorHAnsi"/>
          <w:color w:val="auto"/>
          <w:szCs w:val="24"/>
        </w:rPr>
        <w:t xml:space="preserve">hospital </w:t>
      </w:r>
      <w:r w:rsidR="00C25DA4">
        <w:rPr>
          <w:rFonts w:asciiTheme="minorHAnsi" w:hAnsiTheme="minorHAnsi"/>
          <w:color w:val="auto"/>
          <w:szCs w:val="24"/>
        </w:rPr>
        <w:t xml:space="preserve">emergency </w:t>
      </w:r>
      <w:r w:rsidR="00C25DA4" w:rsidRPr="004B483F">
        <w:rPr>
          <w:rFonts w:asciiTheme="minorHAnsi" w:hAnsiTheme="minorHAnsi"/>
          <w:color w:val="auto"/>
          <w:szCs w:val="24"/>
        </w:rPr>
        <w:t xml:space="preserve">room visits, the NMA statement of “being placed SIQ </w:t>
      </w:r>
      <w:r w:rsidR="00E627C6" w:rsidRPr="004B483F">
        <w:rPr>
          <w:rFonts w:asciiTheme="minorHAnsi" w:hAnsiTheme="minorHAnsi"/>
          <w:color w:val="auto"/>
          <w:szCs w:val="24"/>
        </w:rPr>
        <w:t xml:space="preserve">(sick in quarters) </w:t>
      </w:r>
      <w:r w:rsidR="00C25DA4" w:rsidRPr="004B483F">
        <w:rPr>
          <w:rFonts w:asciiTheme="minorHAnsi" w:hAnsiTheme="minorHAnsi"/>
          <w:color w:val="auto"/>
          <w:szCs w:val="24"/>
        </w:rPr>
        <w:t>on several different occasions” and the CI’s reported</w:t>
      </w:r>
      <w:r w:rsidR="00C25DA4">
        <w:rPr>
          <w:rFonts w:asciiTheme="minorHAnsi" w:hAnsiTheme="minorHAnsi"/>
          <w:color w:val="auto"/>
          <w:szCs w:val="24"/>
        </w:rPr>
        <w:t>ly being told to stay at home due to his command not wanting him to drive while on narcotics; t</w:t>
      </w:r>
      <w:r w:rsidR="00370B60">
        <w:rPr>
          <w:rFonts w:asciiTheme="minorHAnsi" w:hAnsiTheme="minorHAnsi"/>
          <w:color w:val="auto"/>
          <w:szCs w:val="24"/>
        </w:rPr>
        <w:t>here was insufficient evidence in the record to support “</w:t>
      </w:r>
      <w:r w:rsidR="00370B60" w:rsidRPr="00370B60">
        <w:rPr>
          <w:rFonts w:asciiTheme="minorHAnsi" w:hAnsiTheme="minorHAnsi"/>
          <w:color w:val="auto"/>
          <w:szCs w:val="24"/>
        </w:rPr>
        <w:t>incapacitating episodes having a total duration of at least 4 weeks but less than 6 weeks during the past 12 months</w:t>
      </w:r>
      <w:r w:rsidR="00370B60">
        <w:rPr>
          <w:rFonts w:asciiTheme="minorHAnsi" w:hAnsiTheme="minorHAnsi"/>
          <w:color w:val="auto"/>
          <w:szCs w:val="24"/>
        </w:rPr>
        <w:t xml:space="preserve">” for a higher (40%) rating under code 5243 outside of the </w:t>
      </w:r>
      <w:r w:rsidR="00370B60" w:rsidRPr="00027BF5">
        <w:rPr>
          <w:rFonts w:asciiTheme="minorHAnsi" w:hAnsiTheme="minorHAnsi"/>
          <w:color w:val="auto"/>
          <w:szCs w:val="24"/>
        </w:rPr>
        <w:t>General Rating Formula</w:t>
      </w:r>
      <w:r w:rsidR="00370B60">
        <w:rPr>
          <w:rFonts w:asciiTheme="minorHAnsi" w:hAnsiTheme="minorHAnsi"/>
          <w:color w:val="auto"/>
          <w:szCs w:val="24"/>
        </w:rPr>
        <w:t xml:space="preserve">.  Therefore, rating deliberations in this case focused on </w:t>
      </w:r>
      <w:r w:rsidR="00C25DA4">
        <w:rPr>
          <w:rFonts w:asciiTheme="minorHAnsi" w:hAnsiTheme="minorHAnsi"/>
          <w:color w:val="auto"/>
          <w:szCs w:val="24"/>
        </w:rPr>
        <w:t>whether</w:t>
      </w:r>
      <w:r w:rsidR="00370B60">
        <w:rPr>
          <w:rFonts w:asciiTheme="minorHAnsi" w:hAnsiTheme="minorHAnsi"/>
          <w:color w:val="auto"/>
          <w:szCs w:val="24"/>
        </w:rPr>
        <w:t xml:space="preserve"> the pain-limited forward flexion of the </w:t>
      </w:r>
      <w:r w:rsidR="00027BF5" w:rsidRPr="00027BF5">
        <w:rPr>
          <w:rFonts w:asciiTheme="minorHAnsi" w:hAnsiTheme="minorHAnsi"/>
          <w:color w:val="auto"/>
          <w:szCs w:val="24"/>
        </w:rPr>
        <w:t xml:space="preserve">thoracolumbar spine </w:t>
      </w:r>
      <w:r w:rsidR="00370B60">
        <w:rPr>
          <w:rFonts w:asciiTheme="minorHAnsi" w:hAnsiTheme="minorHAnsi"/>
          <w:color w:val="auto"/>
          <w:szCs w:val="24"/>
        </w:rPr>
        <w:t>was “</w:t>
      </w:r>
      <w:r w:rsidR="00027BF5" w:rsidRPr="00027BF5">
        <w:rPr>
          <w:rFonts w:asciiTheme="minorHAnsi" w:hAnsiTheme="minorHAnsi"/>
          <w:color w:val="auto"/>
          <w:szCs w:val="24"/>
        </w:rPr>
        <w:t xml:space="preserve">greater than 30 degrees but not </w:t>
      </w:r>
      <w:r w:rsidR="00027BF5">
        <w:rPr>
          <w:rFonts w:asciiTheme="minorHAnsi" w:hAnsiTheme="minorHAnsi"/>
          <w:color w:val="auto"/>
          <w:szCs w:val="24"/>
        </w:rPr>
        <w:t>greater than 60 degrees</w:t>
      </w:r>
      <w:r w:rsidR="00370B60">
        <w:rPr>
          <w:rFonts w:asciiTheme="minorHAnsi" w:hAnsiTheme="minorHAnsi"/>
          <w:color w:val="auto"/>
          <w:szCs w:val="24"/>
        </w:rPr>
        <w:t>” (20%); or “</w:t>
      </w:r>
      <w:r w:rsidR="00370B60" w:rsidRPr="00370B60">
        <w:rPr>
          <w:rFonts w:asciiTheme="minorHAnsi" w:hAnsiTheme="minorHAnsi"/>
          <w:color w:val="auto"/>
          <w:szCs w:val="24"/>
        </w:rPr>
        <w:t>30 degrees or less</w:t>
      </w:r>
      <w:r w:rsidR="00370B60">
        <w:rPr>
          <w:rFonts w:asciiTheme="minorHAnsi" w:hAnsiTheme="minorHAnsi"/>
          <w:color w:val="auto"/>
          <w:szCs w:val="24"/>
        </w:rPr>
        <w:t>” (</w:t>
      </w:r>
      <w:r w:rsidR="00370B60" w:rsidRPr="00370B60">
        <w:rPr>
          <w:rFonts w:asciiTheme="minorHAnsi" w:hAnsiTheme="minorHAnsi"/>
          <w:color w:val="auto"/>
          <w:szCs w:val="24"/>
        </w:rPr>
        <w:t>40</w:t>
      </w:r>
      <w:r w:rsidR="00370B60">
        <w:rPr>
          <w:rFonts w:asciiTheme="minorHAnsi" w:hAnsiTheme="minorHAnsi"/>
          <w:color w:val="auto"/>
          <w:szCs w:val="24"/>
        </w:rPr>
        <w:t xml:space="preserve">%).  The MEB physical therapy ROMs were five months pre-separation and did not support a higher rating.  </w:t>
      </w:r>
      <w:r w:rsidR="00211510">
        <w:rPr>
          <w:rFonts w:asciiTheme="minorHAnsi" w:hAnsiTheme="minorHAnsi"/>
          <w:color w:val="auto"/>
          <w:szCs w:val="24"/>
        </w:rPr>
        <w:t>The Board noted numerous other notes related to the back flexion that were not complete or ratable, that preceded the MEB ROMs indicated were to “50% flexion.”  There were rare notes that indicated either 75% flexion or flexion limited to 30</w:t>
      </w:r>
      <w:r w:rsidR="00D56768">
        <w:rPr>
          <w:rFonts w:asciiTheme="minorHAnsi" w:hAnsiTheme="minorHAnsi"/>
          <w:color w:val="auto"/>
          <w:szCs w:val="24"/>
        </w:rPr>
        <w:t> </w:t>
      </w:r>
      <w:r w:rsidR="00211510">
        <w:rPr>
          <w:rFonts w:asciiTheme="minorHAnsi" w:hAnsiTheme="minorHAnsi"/>
          <w:color w:val="auto"/>
          <w:szCs w:val="24"/>
        </w:rPr>
        <w:t xml:space="preserve">degrees.  </w:t>
      </w:r>
      <w:r w:rsidR="00370B60">
        <w:rPr>
          <w:rFonts w:asciiTheme="minorHAnsi" w:hAnsiTheme="minorHAnsi"/>
          <w:color w:val="auto"/>
          <w:szCs w:val="24"/>
        </w:rPr>
        <w:t xml:space="preserve">However, </w:t>
      </w:r>
      <w:r w:rsidR="00E72485">
        <w:rPr>
          <w:rFonts w:asciiTheme="minorHAnsi" w:hAnsiTheme="minorHAnsi"/>
          <w:color w:val="auto"/>
          <w:szCs w:val="24"/>
        </w:rPr>
        <w:t>an</w:t>
      </w:r>
      <w:r w:rsidR="00E627C6">
        <w:rPr>
          <w:rFonts w:asciiTheme="minorHAnsi" w:hAnsiTheme="minorHAnsi"/>
          <w:color w:val="auto"/>
          <w:szCs w:val="24"/>
        </w:rPr>
        <w:t xml:space="preserve"> orthopedic consultation perfor</w:t>
      </w:r>
      <w:r w:rsidR="00E72485">
        <w:rPr>
          <w:rFonts w:asciiTheme="minorHAnsi" w:hAnsiTheme="minorHAnsi"/>
          <w:color w:val="auto"/>
          <w:szCs w:val="24"/>
        </w:rPr>
        <w:t xml:space="preserve">med four months pre-separation indicated forward flexion of only 15 degrees without a complete goniometric </w:t>
      </w:r>
      <w:r w:rsidR="00E72485" w:rsidRPr="00211510">
        <w:rPr>
          <w:rFonts w:asciiTheme="minorHAnsi" w:hAnsiTheme="minorHAnsi"/>
          <w:color w:val="auto"/>
          <w:szCs w:val="24"/>
        </w:rPr>
        <w:t xml:space="preserve">exam for all planes of movement:  “He is able to forward-flex from approximately 0 to 15 degrees, limited by pain. He is able to extend from about 0 to 10 degrees, limited by pain.”  </w:t>
      </w:r>
      <w:r w:rsidR="004B483F">
        <w:rPr>
          <w:rFonts w:asciiTheme="minorHAnsi" w:hAnsiTheme="minorHAnsi"/>
          <w:color w:val="auto"/>
          <w:szCs w:val="24"/>
        </w:rPr>
        <w:t xml:space="preserve">There was a single </w:t>
      </w:r>
      <w:r w:rsidR="004B483F">
        <w:rPr>
          <w:rFonts w:asciiTheme="minorHAnsi" w:hAnsiTheme="minorHAnsi"/>
          <w:color w:val="auto"/>
          <w:szCs w:val="24"/>
        </w:rPr>
        <w:lastRenderedPageBreak/>
        <w:t xml:space="preserve">VA clinical note that indicated positive Waddell’s that were not noted anywhere else in the VA or service record.  </w:t>
      </w:r>
      <w:r w:rsidR="004B483F" w:rsidRPr="00211510">
        <w:rPr>
          <w:rFonts w:asciiTheme="minorHAnsi" w:hAnsiTheme="minorHAnsi"/>
          <w:color w:val="auto"/>
          <w:szCs w:val="24"/>
        </w:rPr>
        <w:t xml:space="preserve">The VA </w:t>
      </w:r>
      <w:r w:rsidR="004B483F">
        <w:rPr>
          <w:rFonts w:asciiTheme="minorHAnsi" w:hAnsiTheme="minorHAnsi"/>
          <w:color w:val="auto"/>
          <w:szCs w:val="24"/>
        </w:rPr>
        <w:t>rating examination performed four months post-</w:t>
      </w:r>
      <w:r w:rsidR="004B483F" w:rsidRPr="00211510">
        <w:rPr>
          <w:rFonts w:asciiTheme="minorHAnsi" w:hAnsiTheme="minorHAnsi"/>
          <w:color w:val="auto"/>
          <w:szCs w:val="24"/>
        </w:rPr>
        <w:t xml:space="preserve">separation indicated forward flexion limited to 15 degrees.  </w:t>
      </w:r>
      <w:r w:rsidR="00D62054" w:rsidRPr="00211510">
        <w:rPr>
          <w:rFonts w:asciiTheme="minorHAnsi" w:hAnsiTheme="minorHAnsi"/>
          <w:color w:val="auto"/>
          <w:szCs w:val="24"/>
        </w:rPr>
        <w:t>The VA exam was the most comprehensive</w:t>
      </w:r>
      <w:r w:rsidR="004B483F">
        <w:rPr>
          <w:rFonts w:asciiTheme="minorHAnsi" w:hAnsiTheme="minorHAnsi"/>
          <w:color w:val="auto"/>
          <w:szCs w:val="24"/>
        </w:rPr>
        <w:t>, closest to separation,</w:t>
      </w:r>
      <w:r w:rsidR="00D62054" w:rsidRPr="00211510">
        <w:rPr>
          <w:rFonts w:asciiTheme="minorHAnsi" w:hAnsiTheme="minorHAnsi"/>
          <w:color w:val="auto"/>
          <w:szCs w:val="24"/>
        </w:rPr>
        <w:t xml:space="preserve"> and adjudged to have the highest probative value.  </w:t>
      </w:r>
      <w:r w:rsidR="00E72485" w:rsidRPr="00211510">
        <w:rPr>
          <w:rFonts w:asciiTheme="minorHAnsi" w:hAnsiTheme="minorHAnsi"/>
          <w:color w:val="auto"/>
          <w:szCs w:val="24"/>
        </w:rPr>
        <w:t xml:space="preserve">The Board considered that the CI had numerous clinical visits; multiple non-surgical treatment modalities for his back pain (ESIs, TENS, facet injection, physical therapy, </w:t>
      </w:r>
      <w:r w:rsidR="00D62054" w:rsidRPr="00211510">
        <w:rPr>
          <w:rFonts w:asciiTheme="minorHAnsi" w:hAnsiTheme="minorHAnsi"/>
          <w:color w:val="auto"/>
          <w:szCs w:val="24"/>
        </w:rPr>
        <w:t xml:space="preserve">back brace, </w:t>
      </w:r>
      <w:r w:rsidR="00E72485" w:rsidRPr="00211510">
        <w:rPr>
          <w:rFonts w:asciiTheme="minorHAnsi" w:hAnsiTheme="minorHAnsi"/>
          <w:color w:val="auto"/>
          <w:szCs w:val="24"/>
        </w:rPr>
        <w:t>acupuncture, and pain management)</w:t>
      </w:r>
      <w:r w:rsidR="00C25DA4" w:rsidRPr="00211510">
        <w:rPr>
          <w:rFonts w:asciiTheme="minorHAnsi" w:hAnsiTheme="minorHAnsi"/>
          <w:color w:val="auto"/>
          <w:szCs w:val="24"/>
        </w:rPr>
        <w:t xml:space="preserve">, abnormal spine imaging consistent with symptoms, </w:t>
      </w:r>
      <w:r w:rsidR="00E72485" w:rsidRPr="00211510">
        <w:rPr>
          <w:rFonts w:asciiTheme="minorHAnsi" w:hAnsiTheme="minorHAnsi"/>
          <w:color w:val="auto"/>
          <w:szCs w:val="24"/>
        </w:rPr>
        <w:t xml:space="preserve">flares of symptoms </w:t>
      </w:r>
      <w:r w:rsidR="00C25DA4" w:rsidRPr="00211510">
        <w:rPr>
          <w:rFonts w:asciiTheme="minorHAnsi" w:hAnsiTheme="minorHAnsi"/>
          <w:color w:val="auto"/>
          <w:szCs w:val="24"/>
        </w:rPr>
        <w:t>including not-unfitting radicular symptoms, and long-term narcotic medications</w:t>
      </w:r>
      <w:r w:rsidR="00E72485" w:rsidRPr="00211510">
        <w:rPr>
          <w:rFonts w:asciiTheme="minorHAnsi" w:hAnsiTheme="minorHAnsi"/>
          <w:color w:val="auto"/>
          <w:szCs w:val="24"/>
        </w:rPr>
        <w:t xml:space="preserve">.  </w:t>
      </w:r>
      <w:r w:rsidR="004B483F">
        <w:rPr>
          <w:rFonts w:asciiTheme="minorHAnsi" w:hAnsiTheme="minorHAnsi"/>
          <w:color w:val="auto"/>
          <w:szCs w:val="24"/>
        </w:rPr>
        <w:t xml:space="preserve">The flares and indications of “good days and bad days” with lower back conditions </w:t>
      </w:r>
      <w:proofErr w:type="gramStart"/>
      <w:r w:rsidR="004B483F">
        <w:rPr>
          <w:rFonts w:asciiTheme="minorHAnsi" w:hAnsiTheme="minorHAnsi"/>
          <w:color w:val="auto"/>
          <w:szCs w:val="24"/>
        </w:rPr>
        <w:t>was</w:t>
      </w:r>
      <w:proofErr w:type="gramEnd"/>
      <w:r w:rsidR="004B483F">
        <w:rPr>
          <w:rFonts w:asciiTheme="minorHAnsi" w:hAnsiTheme="minorHAnsi"/>
          <w:color w:val="auto"/>
          <w:szCs w:val="24"/>
        </w:rPr>
        <w:t xml:space="preserve"> considered.  </w:t>
      </w:r>
      <w:r w:rsidR="00C25DA4" w:rsidRPr="00211510">
        <w:rPr>
          <w:rFonts w:asciiTheme="minorHAnsi" w:hAnsiTheme="minorHAnsi"/>
          <w:color w:val="auto"/>
          <w:szCs w:val="24"/>
        </w:rPr>
        <w:t>After due deliberation, considering all of the evidence and mindful of VASRD §4.3 (reasonable doubt), §4.6 (evaluation of evidence) and §4.7 (higher of two evaluations);</w:t>
      </w:r>
      <w:r w:rsidR="00D62054" w:rsidRPr="00211510">
        <w:rPr>
          <w:rFonts w:asciiTheme="minorHAnsi" w:hAnsiTheme="minorHAnsi"/>
          <w:color w:val="auto"/>
          <w:szCs w:val="24"/>
        </w:rPr>
        <w:t xml:space="preserve"> </w:t>
      </w:r>
      <w:r w:rsidR="00C25DA4" w:rsidRPr="00211510">
        <w:rPr>
          <w:rFonts w:asciiTheme="minorHAnsi" w:hAnsiTheme="minorHAnsi"/>
          <w:color w:val="auto"/>
          <w:szCs w:val="24"/>
        </w:rPr>
        <w:t xml:space="preserve">the Board recommends a separation rating of 40% for the back condition.  </w:t>
      </w:r>
      <w:r w:rsidR="00A13CC0" w:rsidRPr="00211510">
        <w:rPr>
          <w:rFonts w:asciiTheme="minorHAnsi" w:hAnsiTheme="minorHAnsi"/>
          <w:color w:val="auto"/>
          <w:szCs w:val="24"/>
        </w:rPr>
        <w:t>All evidence considered</w:t>
      </w:r>
      <w:proofErr w:type="gramStart"/>
      <w:r w:rsidR="00A13CC0" w:rsidRPr="00211510">
        <w:rPr>
          <w:rFonts w:asciiTheme="minorHAnsi" w:hAnsiTheme="minorHAnsi"/>
          <w:color w:val="auto"/>
          <w:szCs w:val="24"/>
        </w:rPr>
        <w:t>,</w:t>
      </w:r>
      <w:proofErr w:type="gramEnd"/>
      <w:r w:rsidR="00A13CC0" w:rsidRPr="00211510">
        <w:rPr>
          <w:rFonts w:asciiTheme="minorHAnsi" w:hAnsiTheme="minorHAnsi"/>
          <w:color w:val="auto"/>
          <w:szCs w:val="24"/>
        </w:rPr>
        <w:t xml:space="preserve"> there is not reasonable doubt in the CI’s favor supporting addition</w:t>
      </w:r>
      <w:r w:rsidR="00A13CC0" w:rsidRPr="00396779">
        <w:rPr>
          <w:rFonts w:asciiTheme="minorHAnsi" w:hAnsiTheme="minorHAnsi"/>
          <w:color w:val="auto"/>
          <w:szCs w:val="24"/>
        </w:rPr>
        <w:t xml:space="preserve"> of </w:t>
      </w:r>
      <w:r w:rsidR="00A13CC0">
        <w:rPr>
          <w:rFonts w:asciiTheme="minorHAnsi" w:hAnsiTheme="minorHAnsi"/>
          <w:color w:val="auto"/>
          <w:szCs w:val="24"/>
        </w:rPr>
        <w:t>right lower extremity radiculopathy</w:t>
      </w:r>
      <w:r w:rsidR="00A13CC0" w:rsidRPr="00396779">
        <w:rPr>
          <w:rFonts w:asciiTheme="minorHAnsi" w:hAnsiTheme="minorHAnsi"/>
          <w:color w:val="auto"/>
          <w:szCs w:val="24"/>
        </w:rPr>
        <w:t xml:space="preserve"> as an unfitting condition for separation rating.</w:t>
      </w:r>
      <w:r w:rsidR="00A13CC0">
        <w:rPr>
          <w:rFonts w:asciiTheme="minorHAnsi" w:hAnsiTheme="minorHAnsi"/>
          <w:color w:val="auto"/>
          <w:szCs w:val="24"/>
        </w:rPr>
        <w:t xml:space="preserve">  </w:t>
      </w:r>
    </w:p>
    <w:p w:rsidR="0073254D" w:rsidRDefault="0073254D" w:rsidP="00D62054">
      <w:pPr>
        <w:tabs>
          <w:tab w:val="left" w:pos="288"/>
          <w:tab w:val="left" w:pos="4752"/>
        </w:tabs>
        <w:spacing w:line="240" w:lineRule="exact"/>
        <w:jc w:val="both"/>
        <w:rPr>
          <w:rFonts w:asciiTheme="minorHAnsi" w:hAnsiTheme="minorHAnsi"/>
          <w:color w:val="auto"/>
          <w:szCs w:val="24"/>
          <w:u w:val="single"/>
        </w:rPr>
      </w:pPr>
    </w:p>
    <w:p w:rsidR="007612A5" w:rsidRPr="008C5C29" w:rsidRDefault="002C6E5B" w:rsidP="008C5C29">
      <w:pPr>
        <w:tabs>
          <w:tab w:val="left" w:pos="288"/>
          <w:tab w:val="left" w:pos="4752"/>
        </w:tabs>
        <w:spacing w:line="240" w:lineRule="exact"/>
        <w:jc w:val="both"/>
        <w:rPr>
          <w:rFonts w:asciiTheme="minorHAnsi" w:eastAsiaTheme="minorHAnsi" w:hAnsiTheme="minorHAnsi"/>
          <w:color w:val="auto"/>
          <w:szCs w:val="24"/>
        </w:rPr>
      </w:pPr>
      <w:proofErr w:type="gramStart"/>
      <w:r w:rsidRPr="00C276CD">
        <w:rPr>
          <w:rFonts w:asciiTheme="minorHAnsi" w:hAnsiTheme="minorHAnsi"/>
          <w:color w:val="auto"/>
          <w:szCs w:val="24"/>
          <w:u w:val="single"/>
        </w:rPr>
        <w:t>Other</w:t>
      </w:r>
      <w:r w:rsidRPr="00396779">
        <w:rPr>
          <w:rFonts w:asciiTheme="minorHAnsi" w:hAnsiTheme="minorHAnsi"/>
          <w:color w:val="auto"/>
          <w:szCs w:val="24"/>
          <w:u w:val="single"/>
        </w:rPr>
        <w:t xml:space="preserve"> Conditions</w:t>
      </w:r>
      <w:r w:rsidRPr="00396779">
        <w:rPr>
          <w:rFonts w:asciiTheme="minorHAnsi" w:hAnsiTheme="minorHAnsi"/>
          <w:color w:val="auto"/>
          <w:szCs w:val="24"/>
        </w:rPr>
        <w:t>.</w:t>
      </w:r>
      <w:proofErr w:type="gramEnd"/>
      <w:r w:rsidRPr="00396779">
        <w:rPr>
          <w:rFonts w:asciiTheme="minorHAnsi" w:hAnsiTheme="minorHAnsi"/>
          <w:color w:val="auto"/>
          <w:szCs w:val="24"/>
        </w:rPr>
        <w:t xml:space="preserve">  </w:t>
      </w:r>
      <w:r w:rsidR="008C5C29">
        <w:rPr>
          <w:rFonts w:asciiTheme="minorHAnsi" w:hAnsiTheme="minorHAnsi"/>
          <w:color w:val="auto"/>
          <w:szCs w:val="24"/>
        </w:rPr>
        <w:t xml:space="preserve">The right lower extremity radiculopathy was noted in the DES file and included in the discussion and rating consideration above.  The VA additionally rated the following conditions at 10% or greater within 12 months of separation:  Left lower extremity radiculopathy, </w:t>
      </w:r>
      <w:r w:rsidR="00D56768">
        <w:rPr>
          <w:rFonts w:asciiTheme="minorHAnsi" w:hAnsiTheme="minorHAnsi"/>
          <w:color w:val="auto"/>
          <w:szCs w:val="24"/>
        </w:rPr>
        <w:t>d</w:t>
      </w:r>
      <w:r w:rsidR="008C5C29">
        <w:rPr>
          <w:rFonts w:asciiTheme="minorHAnsi" w:hAnsiTheme="minorHAnsi"/>
          <w:color w:val="auto"/>
          <w:szCs w:val="24"/>
        </w:rPr>
        <w:t xml:space="preserve">epressive disorder, </w:t>
      </w:r>
      <w:r w:rsidR="00D56768">
        <w:rPr>
          <w:rFonts w:asciiTheme="minorHAnsi" w:hAnsiTheme="minorHAnsi"/>
          <w:color w:val="auto"/>
          <w:szCs w:val="24"/>
        </w:rPr>
        <w:t>t</w:t>
      </w:r>
      <w:r w:rsidR="008C5C29">
        <w:rPr>
          <w:rFonts w:asciiTheme="minorHAnsi" w:hAnsiTheme="minorHAnsi"/>
          <w:color w:val="auto"/>
          <w:szCs w:val="24"/>
        </w:rPr>
        <w:t xml:space="preserve">innitus, and Irritable Bowel Syndrome (IBS).  However, none of these conditions were noted in the DES package.  </w:t>
      </w:r>
      <w:r w:rsidR="008C5C29" w:rsidRPr="00396779">
        <w:rPr>
          <w:rFonts w:asciiTheme="minorHAnsi" w:eastAsiaTheme="minorHAnsi" w:hAnsiTheme="minorHAnsi"/>
          <w:color w:val="auto"/>
          <w:szCs w:val="24"/>
        </w:rPr>
        <w:t>T</w:t>
      </w:r>
      <w:r w:rsidR="008C5C29" w:rsidRPr="00396779">
        <w:rPr>
          <w:rFonts w:asciiTheme="minorHAnsi" w:hAnsiTheme="minorHAnsi"/>
          <w:color w:val="auto"/>
          <w:szCs w:val="24"/>
        </w:rPr>
        <w:t xml:space="preserve">he Board does not have the authority under DoDI </w:t>
      </w:r>
      <w:r w:rsidR="008C5C29" w:rsidRPr="00396779">
        <w:rPr>
          <w:rFonts w:asciiTheme="minorHAnsi" w:eastAsiaTheme="minorHAnsi" w:hAnsiTheme="minorHAnsi"/>
          <w:color w:val="auto"/>
          <w:szCs w:val="24"/>
        </w:rPr>
        <w:t xml:space="preserve">6040.44 to render fitness or rating recommendations for any conditions not considered by the DES.  The </w:t>
      </w:r>
      <w:r w:rsidR="00D56768">
        <w:rPr>
          <w:rFonts w:asciiTheme="minorHAnsi" w:eastAsiaTheme="minorHAnsi" w:hAnsiTheme="minorHAnsi"/>
          <w:color w:val="auto"/>
          <w:szCs w:val="24"/>
        </w:rPr>
        <w:t>l</w:t>
      </w:r>
      <w:r w:rsidR="008C5C29">
        <w:rPr>
          <w:rFonts w:asciiTheme="minorHAnsi" w:hAnsiTheme="minorHAnsi"/>
          <w:color w:val="auto"/>
          <w:szCs w:val="24"/>
        </w:rPr>
        <w:t xml:space="preserve">eft lower extremity radiculopathy, </w:t>
      </w:r>
      <w:r w:rsidR="00D56768">
        <w:rPr>
          <w:rFonts w:asciiTheme="minorHAnsi" w:hAnsiTheme="minorHAnsi"/>
          <w:color w:val="auto"/>
          <w:szCs w:val="24"/>
        </w:rPr>
        <w:t>d</w:t>
      </w:r>
      <w:r w:rsidR="008C5C29">
        <w:rPr>
          <w:rFonts w:asciiTheme="minorHAnsi" w:hAnsiTheme="minorHAnsi"/>
          <w:color w:val="auto"/>
          <w:szCs w:val="24"/>
        </w:rPr>
        <w:t xml:space="preserve">epressive disorder, </w:t>
      </w:r>
      <w:r w:rsidR="00D56768">
        <w:rPr>
          <w:rFonts w:asciiTheme="minorHAnsi" w:hAnsiTheme="minorHAnsi"/>
          <w:color w:val="auto"/>
          <w:szCs w:val="24"/>
        </w:rPr>
        <w:t>t</w:t>
      </w:r>
      <w:r w:rsidR="008C5C29">
        <w:rPr>
          <w:rFonts w:asciiTheme="minorHAnsi" w:hAnsiTheme="minorHAnsi"/>
          <w:color w:val="auto"/>
          <w:szCs w:val="24"/>
        </w:rPr>
        <w:t>innitus, IBS</w:t>
      </w:r>
      <w:r w:rsidR="008C5C29" w:rsidRPr="00396779">
        <w:rPr>
          <w:rFonts w:asciiTheme="minorHAnsi" w:eastAsiaTheme="minorHAnsi" w:hAnsiTheme="minorHAnsi"/>
          <w:color w:val="auto"/>
          <w:szCs w:val="24"/>
        </w:rPr>
        <w:t xml:space="preserve"> and any contended conditions not covered above remain eligible for </w:t>
      </w:r>
      <w:r w:rsidR="008C5C29" w:rsidRPr="005D7E6C">
        <w:rPr>
          <w:rFonts w:asciiTheme="minorHAnsi" w:eastAsiaTheme="minorHAnsi" w:hAnsiTheme="minorHAnsi"/>
          <w:color w:val="auto"/>
          <w:szCs w:val="24"/>
        </w:rPr>
        <w:t>Board for Corrections of Naval Records (BCNR) consideration.</w:t>
      </w:r>
      <w:r w:rsidR="008C5C29" w:rsidRPr="00396779">
        <w:rPr>
          <w:rFonts w:asciiTheme="minorHAnsi" w:eastAsiaTheme="minorHAnsi" w:hAnsiTheme="minorHAnsi"/>
          <w:color w:val="auto"/>
          <w:szCs w:val="24"/>
        </w:rPr>
        <w:t xml:space="preserve"> </w:t>
      </w:r>
      <w:r w:rsidR="008C5C29">
        <w:rPr>
          <w:rFonts w:asciiTheme="minorHAnsi" w:eastAsiaTheme="minorHAnsi" w:hAnsiTheme="minorHAnsi"/>
          <w:color w:val="auto"/>
          <w:szCs w:val="24"/>
        </w:rPr>
        <w:t xml:space="preserve"> </w:t>
      </w:r>
      <w:r w:rsidR="007612A5" w:rsidRPr="00F50F30">
        <w:rPr>
          <w:rFonts w:asciiTheme="minorHAnsi" w:hAnsiTheme="minorHAnsi"/>
          <w:color w:val="auto"/>
          <w:szCs w:val="24"/>
        </w:rPr>
        <w:t>The Board therefore has no basis for consideration of any other conditions eligible for additional rating at separation</w:t>
      </w:r>
    </w:p>
    <w:p w:rsidR="00931AAC" w:rsidRPr="00CB2FD6" w:rsidRDefault="00931AAC" w:rsidP="00931AAC">
      <w:pPr>
        <w:pBdr>
          <w:bottom w:val="single" w:sz="12" w:space="1" w:color="auto"/>
        </w:pBdr>
        <w:tabs>
          <w:tab w:val="left" w:pos="288"/>
          <w:tab w:val="left" w:pos="4752"/>
        </w:tabs>
        <w:spacing w:line="240" w:lineRule="exact"/>
        <w:jc w:val="both"/>
        <w:rPr>
          <w:rFonts w:ascii="Calibri" w:hAnsi="Calibri"/>
          <w:color w:val="auto"/>
          <w:szCs w:val="24"/>
        </w:rPr>
      </w:pPr>
    </w:p>
    <w:p w:rsidR="007612A5" w:rsidRPr="00396779" w:rsidRDefault="007612A5" w:rsidP="00122ABE">
      <w:pPr>
        <w:tabs>
          <w:tab w:val="left" w:pos="288"/>
          <w:tab w:val="left" w:pos="4752"/>
        </w:tabs>
        <w:spacing w:line="240" w:lineRule="exact"/>
        <w:rPr>
          <w:rFonts w:asciiTheme="minorHAnsi" w:hAnsiTheme="minorHAnsi"/>
          <w:color w:val="auto"/>
          <w:szCs w:val="24"/>
        </w:rPr>
      </w:pPr>
    </w:p>
    <w:p w:rsidR="00412658" w:rsidRPr="00B427BB" w:rsidRDefault="00C56FC8" w:rsidP="00DD64E0">
      <w:pPr>
        <w:spacing w:line="240" w:lineRule="exact"/>
        <w:jc w:val="both"/>
        <w:rPr>
          <w:rFonts w:asciiTheme="minorHAnsi" w:hAnsiTheme="minorHAnsi"/>
          <w:color w:val="auto"/>
          <w:szCs w:val="24"/>
        </w:rPr>
      </w:pPr>
      <w:r w:rsidRPr="00CB2FD6">
        <w:rPr>
          <w:rFonts w:asciiTheme="minorHAnsi" w:hAnsiTheme="minorHAnsi"/>
          <w:color w:val="auto"/>
          <w:szCs w:val="24"/>
          <w:u w:val="single"/>
        </w:rPr>
        <w:t>BOARD</w:t>
      </w:r>
      <w:r w:rsidRPr="00C276CD">
        <w:rPr>
          <w:rFonts w:asciiTheme="minorHAnsi" w:hAnsiTheme="minorHAnsi"/>
          <w:color w:val="auto"/>
          <w:szCs w:val="24"/>
          <w:u w:val="single"/>
        </w:rPr>
        <w:t xml:space="preserve"> FINDINGS</w:t>
      </w:r>
      <w:r w:rsidRPr="00C276CD">
        <w:rPr>
          <w:rFonts w:asciiTheme="minorHAnsi" w:hAnsiTheme="minorHAnsi"/>
          <w:color w:val="auto"/>
          <w:szCs w:val="24"/>
        </w:rPr>
        <w:t>:</w:t>
      </w:r>
      <w:r w:rsidRPr="00C276CD">
        <w:rPr>
          <w:rFonts w:asciiTheme="minorHAnsi" w:eastAsiaTheme="minorHAnsi" w:hAnsiTheme="minorHAnsi"/>
          <w:color w:val="auto"/>
          <w:szCs w:val="24"/>
        </w:rPr>
        <w:t xml:space="preserve">  IAW DoDI 6040.44, provisions </w:t>
      </w:r>
      <w:r w:rsidRPr="00396779">
        <w:rPr>
          <w:rFonts w:asciiTheme="minorHAnsi" w:eastAsiaTheme="minorHAnsi" w:hAnsiTheme="minorHAnsi"/>
          <w:color w:val="auto"/>
          <w:szCs w:val="24"/>
        </w:rPr>
        <w:t xml:space="preserve">of DoD or Military Department regulations or guidelines </w:t>
      </w:r>
      <w:r w:rsidRPr="004B483F">
        <w:rPr>
          <w:rFonts w:asciiTheme="minorHAnsi" w:eastAsiaTheme="minorHAnsi" w:hAnsiTheme="minorHAnsi"/>
          <w:color w:val="auto"/>
          <w:szCs w:val="24"/>
        </w:rPr>
        <w:t xml:space="preserve">relied upon by the PEB will not be considered by the Board to the extent they were inconsistent with the VASRD in effect at the time of the adjudication. </w:t>
      </w:r>
      <w:r w:rsidR="008052F9" w:rsidRPr="004B483F">
        <w:rPr>
          <w:rFonts w:asciiTheme="minorHAnsi" w:eastAsiaTheme="minorHAnsi" w:hAnsiTheme="minorHAnsi"/>
          <w:color w:val="auto"/>
          <w:szCs w:val="24"/>
        </w:rPr>
        <w:t xml:space="preserve"> </w:t>
      </w:r>
      <w:r w:rsidRPr="004B483F">
        <w:rPr>
          <w:rFonts w:asciiTheme="minorHAnsi" w:eastAsiaTheme="minorHAnsi" w:hAnsiTheme="minorHAnsi"/>
          <w:color w:val="auto"/>
          <w:szCs w:val="24"/>
        </w:rPr>
        <w:t xml:space="preserve">The Board </w:t>
      </w:r>
      <w:r w:rsidR="00A13CC0" w:rsidRPr="004B483F">
        <w:rPr>
          <w:rFonts w:asciiTheme="minorHAnsi" w:eastAsiaTheme="minorHAnsi" w:hAnsiTheme="minorHAnsi"/>
          <w:color w:val="auto"/>
          <w:szCs w:val="24"/>
        </w:rPr>
        <w:t xml:space="preserve">was unsure if there was PEB reliance on SECNAVINST 1850.4E for rating the back condition was operant in this case, and the condition was adjudicated independently of that regulation by the Board.  </w:t>
      </w:r>
      <w:r w:rsidR="00412658" w:rsidRPr="004B483F">
        <w:rPr>
          <w:rFonts w:asciiTheme="minorHAnsi" w:eastAsiaTheme="minorHAnsi" w:hAnsiTheme="minorHAnsi"/>
          <w:color w:val="auto"/>
          <w:szCs w:val="24"/>
        </w:rPr>
        <w:t xml:space="preserve">In the matter of the </w:t>
      </w:r>
      <w:r w:rsidR="00A13CC0" w:rsidRPr="004B483F">
        <w:rPr>
          <w:rFonts w:asciiTheme="minorHAnsi" w:hAnsiTheme="minorHAnsi"/>
          <w:color w:val="auto"/>
          <w:szCs w:val="24"/>
        </w:rPr>
        <w:t>back</w:t>
      </w:r>
      <w:r w:rsidR="00A13CC0" w:rsidRPr="004B483F">
        <w:rPr>
          <w:rFonts w:asciiTheme="minorHAnsi" w:eastAsiaTheme="minorHAnsi" w:hAnsiTheme="minorHAnsi"/>
          <w:color w:val="auto"/>
          <w:szCs w:val="24"/>
        </w:rPr>
        <w:t xml:space="preserve"> </w:t>
      </w:r>
      <w:r w:rsidR="004B483F" w:rsidRPr="004B483F">
        <w:rPr>
          <w:rFonts w:asciiTheme="minorHAnsi" w:eastAsiaTheme="minorHAnsi" w:hAnsiTheme="minorHAnsi"/>
          <w:color w:val="auto"/>
          <w:szCs w:val="24"/>
        </w:rPr>
        <w:t xml:space="preserve">condition, the Board, by a vote of 2:1 </w:t>
      </w:r>
      <w:r w:rsidR="00412658" w:rsidRPr="004B483F">
        <w:rPr>
          <w:rFonts w:asciiTheme="minorHAnsi" w:eastAsiaTheme="minorHAnsi" w:hAnsiTheme="minorHAnsi"/>
          <w:color w:val="auto"/>
          <w:szCs w:val="24"/>
        </w:rPr>
        <w:t xml:space="preserve">recommends a rating of </w:t>
      </w:r>
      <w:r w:rsidR="00A13CC0" w:rsidRPr="004B483F">
        <w:rPr>
          <w:rFonts w:asciiTheme="minorHAnsi" w:eastAsiaTheme="minorHAnsi" w:hAnsiTheme="minorHAnsi"/>
          <w:color w:val="auto"/>
          <w:szCs w:val="24"/>
        </w:rPr>
        <w:t>4</w:t>
      </w:r>
      <w:r w:rsidR="00412658" w:rsidRPr="004B483F">
        <w:rPr>
          <w:rFonts w:asciiTheme="minorHAnsi" w:eastAsiaTheme="minorHAnsi" w:hAnsiTheme="minorHAnsi"/>
          <w:color w:val="auto"/>
          <w:szCs w:val="24"/>
        </w:rPr>
        <w:t xml:space="preserve">0% coded </w:t>
      </w:r>
      <w:r w:rsidR="00A13CC0" w:rsidRPr="004B483F">
        <w:rPr>
          <w:rFonts w:asciiTheme="minorHAnsi" w:eastAsiaTheme="minorHAnsi" w:hAnsiTheme="minorHAnsi"/>
          <w:color w:val="auto"/>
          <w:szCs w:val="24"/>
        </w:rPr>
        <w:t>5237</w:t>
      </w:r>
      <w:r w:rsidR="00412658" w:rsidRPr="004B483F">
        <w:rPr>
          <w:rFonts w:asciiTheme="minorHAnsi" w:eastAsiaTheme="minorHAnsi" w:hAnsiTheme="minorHAnsi"/>
          <w:color w:val="auto"/>
          <w:szCs w:val="24"/>
        </w:rPr>
        <w:t xml:space="preserve"> </w:t>
      </w:r>
      <w:r w:rsidR="00412658" w:rsidRPr="004B483F">
        <w:rPr>
          <w:rFonts w:asciiTheme="minorHAnsi" w:hAnsiTheme="minorHAnsi"/>
          <w:color w:val="auto"/>
          <w:szCs w:val="24"/>
        </w:rPr>
        <w:t xml:space="preserve">IAW VASRD §4.71a.  </w:t>
      </w:r>
      <w:r w:rsidR="004B483F" w:rsidRPr="004B483F">
        <w:rPr>
          <w:rFonts w:asciiTheme="minorHAnsi" w:hAnsiTheme="minorHAnsi"/>
          <w:color w:val="auto"/>
          <w:szCs w:val="24"/>
        </w:rPr>
        <w:t xml:space="preserve">The single voter for dissent (who recommended a 20% rating) submitted the </w:t>
      </w:r>
      <w:proofErr w:type="spellStart"/>
      <w:r w:rsidR="004B483F" w:rsidRPr="004B483F">
        <w:rPr>
          <w:rFonts w:asciiTheme="minorHAnsi" w:hAnsiTheme="minorHAnsi"/>
          <w:color w:val="auto"/>
          <w:szCs w:val="24"/>
        </w:rPr>
        <w:t>addended</w:t>
      </w:r>
      <w:proofErr w:type="spellEnd"/>
      <w:r w:rsidR="004B483F" w:rsidRPr="004B483F">
        <w:rPr>
          <w:rFonts w:asciiTheme="minorHAnsi" w:hAnsiTheme="minorHAnsi"/>
          <w:color w:val="auto"/>
          <w:szCs w:val="24"/>
        </w:rPr>
        <w:t xml:space="preserve"> minority opinion.  </w:t>
      </w:r>
      <w:r w:rsidR="00412658" w:rsidRPr="004B483F">
        <w:rPr>
          <w:rFonts w:asciiTheme="minorHAnsi" w:hAnsiTheme="minorHAnsi"/>
          <w:color w:val="auto"/>
          <w:szCs w:val="24"/>
        </w:rPr>
        <w:t xml:space="preserve">In the matter of the </w:t>
      </w:r>
      <w:r w:rsidR="00A13CC0" w:rsidRPr="004B483F">
        <w:rPr>
          <w:rFonts w:asciiTheme="minorHAnsi" w:hAnsiTheme="minorHAnsi"/>
          <w:color w:val="auto"/>
          <w:szCs w:val="24"/>
        </w:rPr>
        <w:t>right lower extremity radiculopathy</w:t>
      </w:r>
      <w:r w:rsidR="00412658" w:rsidRPr="004B483F">
        <w:rPr>
          <w:rFonts w:asciiTheme="minorHAnsi" w:hAnsiTheme="minorHAnsi"/>
          <w:color w:val="auto"/>
          <w:szCs w:val="24"/>
        </w:rPr>
        <w:t xml:space="preserve"> condition, the Board unanimously agrees that it cannot</w:t>
      </w:r>
      <w:r w:rsidR="00412658" w:rsidRPr="004B483F">
        <w:rPr>
          <w:rFonts w:asciiTheme="minorHAnsi" w:hAnsiTheme="minorHAnsi"/>
          <w:color w:val="000080"/>
          <w:szCs w:val="24"/>
        </w:rPr>
        <w:t xml:space="preserve"> </w:t>
      </w:r>
      <w:r w:rsidR="00412658" w:rsidRPr="004B483F">
        <w:rPr>
          <w:rFonts w:asciiTheme="minorHAnsi" w:hAnsiTheme="minorHAnsi"/>
          <w:color w:val="auto"/>
          <w:szCs w:val="24"/>
        </w:rPr>
        <w:t>recommend a finding of unfit for additional rating at separation.  The Board unanimously agrees that there were no other conditions eligible for Board consideration which could be recommended</w:t>
      </w:r>
      <w:r w:rsidR="00412658" w:rsidRPr="00B427BB">
        <w:rPr>
          <w:rFonts w:asciiTheme="minorHAnsi" w:hAnsiTheme="minorHAnsi"/>
          <w:color w:val="auto"/>
          <w:szCs w:val="24"/>
        </w:rPr>
        <w:t xml:space="preserve"> as additionally unfitting for rating at separation.</w:t>
      </w:r>
      <w:r w:rsidR="008052F9">
        <w:rPr>
          <w:rFonts w:asciiTheme="minorHAnsi" w:hAnsiTheme="minorHAnsi"/>
          <w:color w:val="auto"/>
          <w:szCs w:val="24"/>
        </w:rPr>
        <w:t xml:space="preserve">  </w:t>
      </w:r>
    </w:p>
    <w:p w:rsidR="00106AD8" w:rsidRPr="00CB2FD6"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B2FD6" w:rsidRDefault="00106AD8" w:rsidP="00106AD8">
      <w:pPr>
        <w:tabs>
          <w:tab w:val="left" w:pos="288"/>
          <w:tab w:val="left" w:pos="4752"/>
        </w:tabs>
        <w:spacing w:line="240" w:lineRule="exact"/>
        <w:rPr>
          <w:rFonts w:ascii="Calibri" w:hAnsi="Calibri"/>
          <w:color w:val="auto"/>
          <w:szCs w:val="24"/>
        </w:rPr>
      </w:pPr>
    </w:p>
    <w:p w:rsidR="00FB593A" w:rsidRPr="00B427BB" w:rsidRDefault="00C56FC8" w:rsidP="00DD64E0">
      <w:pPr>
        <w:tabs>
          <w:tab w:val="left" w:pos="288"/>
          <w:tab w:val="left" w:pos="4752"/>
        </w:tabs>
        <w:spacing w:line="240" w:lineRule="exact"/>
        <w:jc w:val="both"/>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8052F9">
        <w:rPr>
          <w:rFonts w:asciiTheme="minorHAnsi" w:hAnsiTheme="minorHAnsi"/>
          <w:color w:val="000080"/>
          <w:szCs w:val="24"/>
        </w:rPr>
        <w:t xml:space="preserve"> </w:t>
      </w:r>
      <w:r w:rsidRPr="00396779">
        <w:rPr>
          <w:rFonts w:asciiTheme="minorHAnsi" w:hAnsiTheme="minorHAnsi"/>
          <w:color w:val="auto"/>
          <w:szCs w:val="24"/>
        </w:rPr>
        <w:t xml:space="preserve">The Board recommends that the CI’s prior determination be modified as follows and that the discharge with severance pay be recharacterized to reflect </w:t>
      </w:r>
      <w:r w:rsidRPr="00B427BB">
        <w:rPr>
          <w:rFonts w:asciiTheme="minorHAnsi" w:hAnsiTheme="minorHAnsi"/>
          <w:color w:val="auto"/>
          <w:szCs w:val="24"/>
        </w:rPr>
        <w:t>permanent disability retirement, effective as of the date of his prior medical separation.</w:t>
      </w:r>
    </w:p>
    <w:p w:rsidR="004101B2" w:rsidRPr="00396779" w:rsidRDefault="004101B2" w:rsidP="00190E48">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396779" w:rsidTr="00911490">
        <w:trPr>
          <w:trHeight w:val="233"/>
          <w:jc w:val="center"/>
        </w:trPr>
        <w:tc>
          <w:tcPr>
            <w:tcW w:w="6480" w:type="dxa"/>
            <w:shd w:val="clear" w:color="auto" w:fill="D9D9D9"/>
          </w:tcPr>
          <w:p w:rsidR="00A95BBA" w:rsidRPr="00396779" w:rsidRDefault="00A95BBA" w:rsidP="00106AD8">
            <w:pPr>
              <w:tabs>
                <w:tab w:val="left" w:pos="288"/>
                <w:tab w:val="left" w:pos="4752"/>
              </w:tabs>
              <w:spacing w:before="20" w:line="240" w:lineRule="exact"/>
              <w:jc w:val="both"/>
              <w:rPr>
                <w:rFonts w:asciiTheme="minorHAnsi" w:hAnsiTheme="minorHAnsi"/>
                <w:b/>
                <w:color w:val="auto"/>
                <w:szCs w:val="24"/>
              </w:rPr>
            </w:pPr>
            <w:r w:rsidRPr="00396779">
              <w:rPr>
                <w:rFonts w:asciiTheme="minorHAnsi" w:hAnsiTheme="minorHAnsi"/>
                <w:b/>
                <w:color w:val="auto"/>
                <w:szCs w:val="24"/>
              </w:rPr>
              <w:t>UNFITTING CONDITION</w:t>
            </w:r>
          </w:p>
        </w:tc>
        <w:tc>
          <w:tcPr>
            <w:tcW w:w="1710" w:type="dxa"/>
            <w:shd w:val="clear" w:color="auto" w:fill="D9D9D9"/>
          </w:tcPr>
          <w:p w:rsidR="00A95BBA" w:rsidRPr="00396779" w:rsidRDefault="00A95BBA" w:rsidP="00911490">
            <w:pPr>
              <w:tabs>
                <w:tab w:val="left" w:pos="288"/>
                <w:tab w:val="left" w:pos="4752"/>
              </w:tabs>
              <w:spacing w:before="20" w:line="240" w:lineRule="exact"/>
              <w:jc w:val="center"/>
              <w:rPr>
                <w:rFonts w:asciiTheme="minorHAnsi" w:hAnsiTheme="minorHAnsi"/>
                <w:b/>
                <w:color w:val="auto"/>
                <w:szCs w:val="24"/>
              </w:rPr>
            </w:pPr>
            <w:r w:rsidRPr="00396779">
              <w:rPr>
                <w:rFonts w:asciiTheme="minorHAnsi" w:hAnsiTheme="minorHAnsi"/>
                <w:b/>
                <w:color w:val="auto"/>
                <w:szCs w:val="24"/>
              </w:rPr>
              <w:t>VASRD CODE</w:t>
            </w:r>
          </w:p>
        </w:tc>
        <w:tc>
          <w:tcPr>
            <w:tcW w:w="1170" w:type="dxa"/>
            <w:shd w:val="clear" w:color="auto" w:fill="D9D9D9"/>
          </w:tcPr>
          <w:p w:rsidR="00A95BBA" w:rsidRPr="00396779" w:rsidRDefault="00A95BBA" w:rsidP="00911490">
            <w:pPr>
              <w:tabs>
                <w:tab w:val="left" w:pos="288"/>
                <w:tab w:val="left" w:pos="4752"/>
              </w:tabs>
              <w:spacing w:before="20" w:line="240" w:lineRule="exact"/>
              <w:jc w:val="center"/>
              <w:rPr>
                <w:rFonts w:asciiTheme="minorHAnsi" w:hAnsiTheme="minorHAnsi"/>
                <w:b/>
                <w:color w:val="auto"/>
                <w:szCs w:val="24"/>
              </w:rPr>
            </w:pPr>
            <w:r w:rsidRPr="00396779">
              <w:rPr>
                <w:rFonts w:asciiTheme="minorHAnsi" w:hAnsiTheme="minorHAnsi"/>
                <w:b/>
                <w:color w:val="auto"/>
                <w:szCs w:val="24"/>
              </w:rPr>
              <w:t>RATING</w:t>
            </w:r>
          </w:p>
        </w:tc>
      </w:tr>
      <w:tr w:rsidR="00A95BBA" w:rsidRPr="00396779" w:rsidTr="0085089F">
        <w:trPr>
          <w:jc w:val="center"/>
        </w:trPr>
        <w:tc>
          <w:tcPr>
            <w:tcW w:w="6480" w:type="dxa"/>
          </w:tcPr>
          <w:p w:rsidR="00A95BBA" w:rsidRPr="00396779" w:rsidRDefault="005B2595"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Lumbago, </w:t>
            </w:r>
            <w:r w:rsidRPr="00D62054">
              <w:rPr>
                <w:rFonts w:asciiTheme="minorHAnsi" w:hAnsiTheme="minorHAnsi"/>
                <w:color w:val="auto"/>
                <w:szCs w:val="24"/>
              </w:rPr>
              <w:t>Facet Syndrome</w:t>
            </w:r>
            <w:r>
              <w:rPr>
                <w:rFonts w:asciiTheme="minorHAnsi" w:hAnsiTheme="minorHAnsi"/>
                <w:color w:val="auto"/>
                <w:szCs w:val="24"/>
              </w:rPr>
              <w:t xml:space="preserve">, and </w:t>
            </w:r>
            <w:r w:rsidRPr="00D62054">
              <w:rPr>
                <w:rFonts w:asciiTheme="minorHAnsi" w:hAnsiTheme="minorHAnsi"/>
                <w:color w:val="auto"/>
                <w:szCs w:val="24"/>
              </w:rPr>
              <w:t>Bulging Disc (L4-L5)(T11-T12)</w:t>
            </w:r>
            <w:r>
              <w:rPr>
                <w:rFonts w:asciiTheme="minorHAnsi" w:hAnsiTheme="minorHAnsi"/>
                <w:color w:val="auto"/>
                <w:szCs w:val="24"/>
              </w:rPr>
              <w:t xml:space="preserve"> </w:t>
            </w:r>
          </w:p>
        </w:tc>
        <w:tc>
          <w:tcPr>
            <w:tcW w:w="1710" w:type="dxa"/>
          </w:tcPr>
          <w:p w:rsidR="00A95BBA" w:rsidRPr="00396779" w:rsidRDefault="00AE4D77" w:rsidP="00A13CC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w:t>
            </w:r>
            <w:r w:rsidR="00A13CC0">
              <w:rPr>
                <w:rFonts w:asciiTheme="minorHAnsi" w:hAnsiTheme="minorHAnsi"/>
                <w:color w:val="auto"/>
                <w:szCs w:val="24"/>
              </w:rPr>
              <w:t>37</w:t>
            </w:r>
          </w:p>
        </w:tc>
        <w:tc>
          <w:tcPr>
            <w:tcW w:w="1170" w:type="dxa"/>
          </w:tcPr>
          <w:p w:rsidR="00A95BBA" w:rsidRPr="004B483F" w:rsidRDefault="00AE4D77" w:rsidP="00911490">
            <w:pPr>
              <w:tabs>
                <w:tab w:val="left" w:pos="288"/>
                <w:tab w:val="left" w:pos="4752"/>
              </w:tabs>
              <w:spacing w:line="240" w:lineRule="exact"/>
              <w:jc w:val="center"/>
              <w:rPr>
                <w:rFonts w:asciiTheme="minorHAnsi" w:hAnsiTheme="minorHAnsi"/>
                <w:color w:val="auto"/>
                <w:szCs w:val="24"/>
              </w:rPr>
            </w:pPr>
            <w:r w:rsidRPr="004B483F">
              <w:rPr>
                <w:rFonts w:asciiTheme="minorHAnsi" w:hAnsiTheme="minorHAnsi"/>
                <w:color w:val="auto"/>
                <w:szCs w:val="24"/>
              </w:rPr>
              <w:t>4</w:t>
            </w:r>
            <w:r w:rsidR="00A95BBA" w:rsidRPr="004B483F">
              <w:rPr>
                <w:rFonts w:asciiTheme="minorHAnsi" w:hAnsiTheme="minorHAnsi"/>
                <w:color w:val="auto"/>
                <w:szCs w:val="24"/>
              </w:rPr>
              <w:t>0%</w:t>
            </w:r>
          </w:p>
        </w:tc>
      </w:tr>
      <w:tr w:rsidR="00A95BBA" w:rsidRPr="00396779" w:rsidTr="00911490">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A95BBA" w:rsidRPr="00396779" w:rsidRDefault="00A95BBA" w:rsidP="00911490">
            <w:pPr>
              <w:tabs>
                <w:tab w:val="left" w:pos="288"/>
                <w:tab w:val="left" w:pos="4752"/>
              </w:tabs>
              <w:spacing w:before="20" w:line="240" w:lineRule="exact"/>
              <w:jc w:val="center"/>
              <w:rPr>
                <w:rFonts w:asciiTheme="minorHAnsi" w:hAnsiTheme="minorHAnsi"/>
                <w:b/>
                <w:color w:val="auto"/>
                <w:szCs w:val="24"/>
              </w:rPr>
            </w:pPr>
            <w:r w:rsidRPr="00396779">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4B483F" w:rsidRDefault="00AE4D77" w:rsidP="00911490">
            <w:pPr>
              <w:tabs>
                <w:tab w:val="left" w:pos="288"/>
                <w:tab w:val="left" w:pos="4752"/>
              </w:tabs>
              <w:spacing w:before="20" w:line="240" w:lineRule="exact"/>
              <w:jc w:val="center"/>
              <w:rPr>
                <w:rFonts w:asciiTheme="minorHAnsi" w:hAnsiTheme="minorHAnsi"/>
                <w:b/>
                <w:color w:val="auto"/>
                <w:szCs w:val="24"/>
              </w:rPr>
            </w:pPr>
            <w:r w:rsidRPr="004B483F">
              <w:rPr>
                <w:rFonts w:asciiTheme="minorHAnsi" w:hAnsiTheme="minorHAnsi"/>
                <w:b/>
                <w:color w:val="auto"/>
                <w:szCs w:val="24"/>
              </w:rPr>
              <w:t>4</w:t>
            </w:r>
            <w:r w:rsidR="00A95BBA" w:rsidRPr="004B483F">
              <w:rPr>
                <w:rFonts w:asciiTheme="minorHAnsi" w:hAnsiTheme="minorHAnsi"/>
                <w:b/>
                <w:color w:val="auto"/>
                <w:szCs w:val="24"/>
              </w:rPr>
              <w:t>0%</w:t>
            </w:r>
          </w:p>
        </w:tc>
      </w:tr>
    </w:tbl>
    <w:p w:rsidR="00CB2FD6" w:rsidRPr="00CB2FD6" w:rsidRDefault="00CB2FD6" w:rsidP="00CB2FD6">
      <w:pPr>
        <w:pBdr>
          <w:bottom w:val="single" w:sz="12" w:space="1" w:color="auto"/>
        </w:pBdr>
        <w:tabs>
          <w:tab w:val="left" w:pos="288"/>
          <w:tab w:val="left" w:pos="4752"/>
        </w:tabs>
        <w:spacing w:line="240" w:lineRule="exact"/>
        <w:jc w:val="both"/>
        <w:rPr>
          <w:rFonts w:ascii="Calibri" w:hAnsi="Calibri"/>
          <w:color w:val="auto"/>
          <w:szCs w:val="24"/>
        </w:rPr>
      </w:pPr>
    </w:p>
    <w:p w:rsidR="00D56768" w:rsidRDefault="00D56768">
      <w:pPr>
        <w:rPr>
          <w:rFonts w:ascii="Calibri" w:hAnsi="Calibri"/>
          <w:color w:val="auto"/>
          <w:szCs w:val="24"/>
        </w:rPr>
      </w:pPr>
      <w:r>
        <w:rPr>
          <w:rFonts w:ascii="Calibri" w:hAnsi="Calibri"/>
          <w:color w:val="auto"/>
          <w:szCs w:val="24"/>
        </w:rPr>
        <w:br w:type="page"/>
      </w:r>
    </w:p>
    <w:p w:rsidR="00CB2FD6" w:rsidRPr="00CB2FD6" w:rsidRDefault="00CB2FD6" w:rsidP="00CB2FD6">
      <w:pPr>
        <w:tabs>
          <w:tab w:val="left" w:pos="288"/>
          <w:tab w:val="left" w:pos="4752"/>
        </w:tabs>
        <w:spacing w:line="240" w:lineRule="exact"/>
        <w:rPr>
          <w:rFonts w:ascii="Calibri" w:hAnsi="Calibri"/>
          <w:color w:val="auto"/>
          <w:szCs w:val="24"/>
        </w:rPr>
      </w:pPr>
    </w:p>
    <w:p w:rsidR="00D91DA6" w:rsidRPr="00CB2FD6" w:rsidRDefault="00FB1725" w:rsidP="00190E48">
      <w:pPr>
        <w:tabs>
          <w:tab w:val="left" w:pos="288"/>
          <w:tab w:val="left" w:pos="4752"/>
        </w:tabs>
        <w:spacing w:line="240" w:lineRule="exact"/>
        <w:jc w:val="both"/>
        <w:rPr>
          <w:rFonts w:asciiTheme="minorHAnsi" w:hAnsiTheme="minorHAnsi"/>
          <w:color w:val="auto"/>
        </w:rPr>
      </w:pPr>
      <w:r w:rsidRPr="00CB2FD6">
        <w:rPr>
          <w:rFonts w:asciiTheme="minorHAnsi" w:hAnsiTheme="minorHAnsi"/>
          <w:color w:val="auto"/>
        </w:rPr>
        <w:t>The following documentary evidence was considered:</w:t>
      </w:r>
    </w:p>
    <w:p w:rsidR="00EB5EFD" w:rsidRPr="00CB2FD6" w:rsidRDefault="00EB5EFD" w:rsidP="00190E48">
      <w:pPr>
        <w:tabs>
          <w:tab w:val="left" w:pos="288"/>
          <w:tab w:val="left" w:pos="4752"/>
        </w:tabs>
        <w:spacing w:line="240" w:lineRule="exact"/>
        <w:jc w:val="both"/>
        <w:rPr>
          <w:rFonts w:asciiTheme="minorHAnsi" w:hAnsiTheme="minorHAnsi"/>
          <w:color w:val="auto"/>
        </w:rPr>
      </w:pP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B17FE9">
        <w:rPr>
          <w:rFonts w:asciiTheme="minorHAnsi" w:hAnsiTheme="minorHAnsi"/>
          <w:color w:val="auto"/>
        </w:rPr>
        <w:t>090914</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D91DA6" w:rsidRPr="00006186" w:rsidRDefault="00FB1725"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5B2595" w:rsidRDefault="00FB1725"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r w:rsidR="00CB2FD6">
        <w:rPr>
          <w:rFonts w:asciiTheme="minorHAnsi" w:hAnsiTheme="minorHAnsi"/>
          <w:color w:val="auto"/>
        </w:rPr>
        <w:t xml:space="preserve">  </w:t>
      </w:r>
    </w:p>
    <w:p w:rsidR="007525D8" w:rsidRDefault="007525D8"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525D8" w:rsidRDefault="007525D8">
      <w:pPr>
        <w:rPr>
          <w:color w:val="auto"/>
          <w:sz w:val="20"/>
        </w:rPr>
      </w:pPr>
      <w:r>
        <w:rPr>
          <w:color w:val="auto"/>
          <w:sz w:val="20"/>
        </w:rPr>
        <w:br w:type="page"/>
      </w:r>
    </w:p>
    <w:p w:rsidR="007525D8" w:rsidRPr="007525D8" w:rsidRDefault="007525D8" w:rsidP="007525D8">
      <w:pPr>
        <w:ind w:left="-360"/>
        <w:jc w:val="both"/>
        <w:rPr>
          <w:color w:val="auto"/>
          <w:sz w:val="20"/>
        </w:rPr>
      </w:pPr>
      <w:r w:rsidRPr="007525D8">
        <w:rPr>
          <w:color w:val="auto"/>
          <w:sz w:val="20"/>
        </w:rPr>
        <w:lastRenderedPageBreak/>
        <w:t xml:space="preserve">MEMORANDUM FOR DIRECTOR, SECRETARY OF THE NAVY COUNCIL OF REVIEW BOARDS </w:t>
      </w:r>
    </w:p>
    <w:p w:rsidR="007525D8" w:rsidRPr="007525D8" w:rsidRDefault="007525D8" w:rsidP="007525D8">
      <w:pPr>
        <w:jc w:val="both"/>
        <w:rPr>
          <w:color w:val="auto"/>
          <w:sz w:val="20"/>
        </w:rPr>
      </w:pPr>
    </w:p>
    <w:p w:rsidR="007525D8" w:rsidRPr="007525D8" w:rsidRDefault="007525D8" w:rsidP="007525D8">
      <w:pPr>
        <w:ind w:left="-360"/>
        <w:jc w:val="both"/>
        <w:rPr>
          <w:color w:val="auto"/>
          <w:sz w:val="20"/>
        </w:rPr>
      </w:pPr>
      <w:proofErr w:type="spellStart"/>
      <w:r w:rsidRPr="007525D8">
        <w:rPr>
          <w:color w:val="auto"/>
          <w:sz w:val="20"/>
        </w:rPr>
        <w:t>Subj</w:t>
      </w:r>
      <w:proofErr w:type="spellEnd"/>
      <w:r w:rsidRPr="007525D8">
        <w:rPr>
          <w:color w:val="auto"/>
          <w:sz w:val="20"/>
        </w:rPr>
        <w:t xml:space="preserve">:  PHYSICAL DISABILITY BOARD OF REVIEW (PDBR) RECOMMENDATION ICO </w:t>
      </w:r>
      <w:r>
        <w:rPr>
          <w:color w:val="auto"/>
          <w:sz w:val="20"/>
        </w:rPr>
        <w:t>XX</w:t>
      </w:r>
      <w:r w:rsidRPr="007525D8">
        <w:rPr>
          <w:color w:val="auto"/>
          <w:sz w:val="20"/>
        </w:rPr>
        <w:t xml:space="preserve">, FORMER USMC, XXX XX </w:t>
      </w:r>
      <w:r>
        <w:rPr>
          <w:color w:val="auto"/>
          <w:sz w:val="20"/>
        </w:rPr>
        <w:t>XXXX</w:t>
      </w:r>
    </w:p>
    <w:p w:rsidR="007525D8" w:rsidRPr="007525D8" w:rsidRDefault="007525D8" w:rsidP="007525D8">
      <w:pPr>
        <w:jc w:val="both"/>
        <w:rPr>
          <w:color w:val="auto"/>
          <w:sz w:val="20"/>
        </w:rPr>
      </w:pPr>
    </w:p>
    <w:p w:rsidR="007525D8" w:rsidRPr="007525D8" w:rsidRDefault="007525D8" w:rsidP="007525D8">
      <w:pPr>
        <w:ind w:left="-360"/>
        <w:jc w:val="both"/>
        <w:rPr>
          <w:color w:val="auto"/>
          <w:sz w:val="20"/>
        </w:rPr>
      </w:pPr>
      <w:r w:rsidRPr="007525D8">
        <w:rPr>
          <w:color w:val="auto"/>
          <w:sz w:val="20"/>
        </w:rPr>
        <w:t>Ref:   (a) DoDI 6040.44</w:t>
      </w:r>
    </w:p>
    <w:p w:rsidR="007525D8" w:rsidRPr="007525D8" w:rsidRDefault="007525D8" w:rsidP="007525D8">
      <w:pPr>
        <w:ind w:left="-540"/>
        <w:jc w:val="both"/>
        <w:rPr>
          <w:color w:val="auto"/>
          <w:sz w:val="20"/>
        </w:rPr>
      </w:pPr>
      <w:r w:rsidRPr="007525D8">
        <w:rPr>
          <w:color w:val="auto"/>
          <w:sz w:val="20"/>
        </w:rPr>
        <w:t xml:space="preserve">             (b) PDBR </w:t>
      </w:r>
      <w:proofErr w:type="spellStart"/>
      <w:r w:rsidRPr="007525D8">
        <w:rPr>
          <w:color w:val="auto"/>
          <w:sz w:val="20"/>
        </w:rPr>
        <w:t>ltr</w:t>
      </w:r>
      <w:proofErr w:type="spellEnd"/>
      <w:r w:rsidRPr="007525D8">
        <w:rPr>
          <w:color w:val="auto"/>
          <w:sz w:val="20"/>
        </w:rPr>
        <w:t xml:space="preserve"> </w:t>
      </w:r>
      <w:proofErr w:type="spellStart"/>
      <w:r w:rsidRPr="007525D8">
        <w:rPr>
          <w:color w:val="auto"/>
          <w:sz w:val="20"/>
        </w:rPr>
        <w:t>dtd</w:t>
      </w:r>
      <w:proofErr w:type="spellEnd"/>
      <w:r w:rsidRPr="007525D8">
        <w:rPr>
          <w:color w:val="auto"/>
          <w:sz w:val="20"/>
        </w:rPr>
        <w:t xml:space="preserve"> 22 Feb 11</w:t>
      </w:r>
    </w:p>
    <w:p w:rsidR="007525D8" w:rsidRPr="007525D8" w:rsidRDefault="007525D8" w:rsidP="007525D8">
      <w:pPr>
        <w:ind w:left="-540"/>
        <w:jc w:val="both"/>
        <w:rPr>
          <w:color w:val="auto"/>
          <w:sz w:val="20"/>
        </w:rPr>
      </w:pPr>
    </w:p>
    <w:p w:rsidR="007525D8" w:rsidRPr="007525D8" w:rsidRDefault="007525D8" w:rsidP="007525D8">
      <w:pPr>
        <w:ind w:left="-360"/>
        <w:jc w:val="both"/>
        <w:rPr>
          <w:color w:val="auto"/>
          <w:sz w:val="20"/>
        </w:rPr>
      </w:pPr>
      <w:r w:rsidRPr="007525D8">
        <w:rPr>
          <w:color w:val="auto"/>
          <w:sz w:val="20"/>
        </w:rPr>
        <w:t xml:space="preserve">      I have reviewed the subject case pursuant to reference (a) and, for the reasons set forth in reference (b), I approve the recommendation of the Physical Disability Board of Review Mr. </w:t>
      </w:r>
      <w:r>
        <w:rPr>
          <w:color w:val="auto"/>
          <w:sz w:val="20"/>
        </w:rPr>
        <w:t>XXXX</w:t>
      </w:r>
      <w:r w:rsidRPr="007525D8">
        <w:rPr>
          <w:color w:val="auto"/>
          <w:sz w:val="20"/>
        </w:rPr>
        <w:t>’s records not be corrected to reflect a change in either his characterization of separation or in the disability rating previously assigned by the Department of the Navy’s Physical Evaluation Board.</w:t>
      </w:r>
    </w:p>
    <w:p w:rsidR="007525D8" w:rsidRPr="007525D8" w:rsidRDefault="007525D8" w:rsidP="007525D8">
      <w:pPr>
        <w:ind w:left="-360"/>
        <w:jc w:val="both"/>
        <w:rPr>
          <w:color w:val="auto"/>
          <w:sz w:val="20"/>
        </w:rPr>
      </w:pPr>
    </w:p>
    <w:p w:rsidR="007525D8" w:rsidRPr="007525D8" w:rsidRDefault="007525D8" w:rsidP="007525D8">
      <w:pPr>
        <w:ind w:left="-360"/>
        <w:jc w:val="both"/>
        <w:rPr>
          <w:color w:val="auto"/>
          <w:sz w:val="20"/>
        </w:rPr>
      </w:pPr>
    </w:p>
    <w:p w:rsidR="007525D8" w:rsidRPr="007525D8" w:rsidRDefault="007525D8" w:rsidP="007525D8">
      <w:pPr>
        <w:ind w:left="-360"/>
        <w:jc w:val="both"/>
        <w:rPr>
          <w:color w:val="auto"/>
          <w:sz w:val="20"/>
        </w:rPr>
      </w:pPr>
    </w:p>
    <w:p w:rsidR="007525D8" w:rsidRPr="007525D8" w:rsidRDefault="007525D8" w:rsidP="007525D8">
      <w:pPr>
        <w:tabs>
          <w:tab w:val="left" w:pos="4680"/>
        </w:tabs>
        <w:ind w:left="-360"/>
        <w:jc w:val="both"/>
        <w:rPr>
          <w:color w:val="auto"/>
          <w:sz w:val="20"/>
        </w:rPr>
      </w:pPr>
      <w:r w:rsidRPr="007525D8">
        <w:rPr>
          <w:color w:val="auto"/>
          <w:sz w:val="20"/>
        </w:rPr>
        <w:tab/>
        <w:t>Principal Deputy</w:t>
      </w:r>
    </w:p>
    <w:p w:rsidR="007525D8" w:rsidRPr="007525D8" w:rsidRDefault="007525D8" w:rsidP="007525D8">
      <w:pPr>
        <w:tabs>
          <w:tab w:val="left" w:pos="4680"/>
        </w:tabs>
        <w:jc w:val="both"/>
        <w:rPr>
          <w:color w:val="auto"/>
          <w:sz w:val="20"/>
        </w:rPr>
      </w:pPr>
      <w:r w:rsidRPr="007525D8">
        <w:rPr>
          <w:color w:val="auto"/>
          <w:sz w:val="20"/>
        </w:rPr>
        <w:tab/>
        <w:t xml:space="preserve">Assistant Secretary of the Navy </w:t>
      </w:r>
    </w:p>
    <w:p w:rsidR="007525D8" w:rsidRPr="007525D8" w:rsidRDefault="007525D8" w:rsidP="007525D8">
      <w:pPr>
        <w:tabs>
          <w:tab w:val="left" w:pos="4680"/>
        </w:tabs>
        <w:jc w:val="both"/>
        <w:rPr>
          <w:color w:val="auto"/>
          <w:sz w:val="20"/>
        </w:rPr>
      </w:pPr>
      <w:r w:rsidRPr="007525D8">
        <w:rPr>
          <w:color w:val="auto"/>
          <w:sz w:val="20"/>
        </w:rPr>
        <w:tab/>
        <w:t xml:space="preserve">  (Manpower &amp; Reserve Affairs)</w:t>
      </w:r>
    </w:p>
    <w:p w:rsidR="007525D8" w:rsidRDefault="007525D8" w:rsidP="007525D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7525D8" w:rsidRDefault="007525D8" w:rsidP="007525D8">
      <w:pPr>
        <w:jc w:val="both"/>
        <w:rPr>
          <w:sz w:val="22"/>
          <w:szCs w:val="22"/>
        </w:rPr>
      </w:pPr>
    </w:p>
    <w:p w:rsidR="007525D8" w:rsidRDefault="007525D8"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4B483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07D53" w:rsidRDefault="00307D53" w:rsidP="00D10E9E">
      <w:pPr>
        <w:autoSpaceDE w:val="0"/>
        <w:autoSpaceDN w:val="0"/>
        <w:adjustRightInd w:val="0"/>
        <w:jc w:val="center"/>
        <w:rPr>
          <w:rFonts w:asciiTheme="minorHAnsi" w:hAnsiTheme="minorHAnsi" w:cs="Arial"/>
          <w:color w:val="auto"/>
          <w:szCs w:val="24"/>
        </w:rPr>
      </w:pPr>
      <w:r>
        <w:rPr>
          <w:rFonts w:asciiTheme="minorHAnsi" w:hAnsiTheme="minorHAnsi" w:cs="Arial"/>
          <w:color w:val="auto"/>
          <w:szCs w:val="24"/>
        </w:rPr>
        <w:t>Minority Opinion</w:t>
      </w:r>
    </w:p>
    <w:p w:rsidR="00307D53" w:rsidRDefault="00307D53" w:rsidP="00307D53">
      <w:pPr>
        <w:autoSpaceDE w:val="0"/>
        <w:autoSpaceDN w:val="0"/>
        <w:adjustRightInd w:val="0"/>
        <w:rPr>
          <w:rFonts w:asciiTheme="minorHAnsi" w:hAnsiTheme="minorHAnsi" w:cs="Arial"/>
          <w:color w:val="auto"/>
          <w:szCs w:val="24"/>
        </w:rPr>
      </w:pPr>
    </w:p>
    <w:p w:rsidR="00307D53" w:rsidRDefault="00BC1CD8" w:rsidP="00307D53">
      <w:pPr>
        <w:autoSpaceDE w:val="0"/>
        <w:autoSpaceDN w:val="0"/>
        <w:adjustRightInd w:val="0"/>
        <w:rPr>
          <w:rFonts w:asciiTheme="minorHAnsi" w:hAnsiTheme="minorHAnsi" w:cs="Arial"/>
          <w:color w:val="auto"/>
          <w:szCs w:val="24"/>
        </w:rPr>
      </w:pPr>
      <w:r w:rsidRPr="00BC1CD8">
        <w:rPr>
          <w:rFonts w:asciiTheme="minorHAnsi" w:hAnsiTheme="minorHAnsi" w:cs="Arial"/>
          <w:color w:val="auto"/>
          <w:szCs w:val="24"/>
        </w:rPr>
        <w:t xml:space="preserve">The VA and the Service used different codes, but both used the same general rating formula for diseases and injuries of the spine (based on range of motion [ROM]), and there are several documented ROMs in evidence for the Board to consider.  The MEB PT exam done on 23 Mar 2009 measured active flexion of the lumbosacral spine as 75 degrees on three of three attempts.  These would be compensable at the 10% level using the general rating formula.   Prior to this the CI had measurements done on 30 Jan 2009, where his lumbar spine flexion was 50%, and on 02 Feb 2009 there was a reduction in ROM which was mainly limited into extension due to pain.  Then on 03 Feb 2009 his flexion went to 50% before onset of pain.  Lastly, on 09 Feb 2009 lumbar motion was assessed as flexion 50%.    Any one of these (non-goniometric measurement) ROMs (assuming 50% = 45⁰) would have rated closer to 20%, in agreement with the Service PEB (for painful motion greater than 30 degrees, but not greater than 60 degrees).  Then one month later, 28 Apr 2009, the ROMs were dramatically reduced with flexion from approximately 0-15 degrees (non-goniometric measurement) by an orthopedic surgeon consult.  Three months post separation at the VA C&amp;P </w:t>
      </w:r>
      <w:proofErr w:type="gramStart"/>
      <w:r w:rsidRPr="00BC1CD8">
        <w:rPr>
          <w:rFonts w:asciiTheme="minorHAnsi" w:hAnsiTheme="minorHAnsi" w:cs="Arial"/>
          <w:color w:val="auto"/>
          <w:szCs w:val="24"/>
        </w:rPr>
        <w:t>exam,</w:t>
      </w:r>
      <w:proofErr w:type="gramEnd"/>
      <w:r w:rsidRPr="00BC1CD8">
        <w:rPr>
          <w:rFonts w:asciiTheme="minorHAnsi" w:hAnsiTheme="minorHAnsi" w:cs="Arial"/>
          <w:color w:val="auto"/>
          <w:szCs w:val="24"/>
        </w:rPr>
        <w:t xml:space="preserve"> the ROMs were again dramatically reduced with flexion at 0-15 degrees.    Such a drastic reduction of range of motion cannot, in my mind, be attributed to normal progression of the condition, and there were no injuries, surgeries or other facts in evidence that might suggest how or why the ROMs could have worsened so quickly.  Additionally, I find no reason to dispute or discount the measurements and findings of the MEB PT ROM examination done on 23 Mar 2009, which were consistent with several others taken in the same timeframe.  I assign a higher probative value to the MEB exam measurements, over the C&amp;P exam measurements which were not consistent with the well documented history.   I recommend no recharacterization (5237 at 20%) as a fair and accurate rating of his condition and disability at the time of separation.</w:t>
      </w:r>
    </w:p>
    <w:p w:rsidR="00307D53" w:rsidRDefault="00307D53" w:rsidP="00307D53">
      <w:pPr>
        <w:autoSpaceDE w:val="0"/>
        <w:autoSpaceDN w:val="0"/>
        <w:adjustRightInd w:val="0"/>
        <w:rPr>
          <w:rFonts w:asciiTheme="minorHAnsi" w:hAnsiTheme="minorHAnsi" w:cs="Arial"/>
          <w:color w:val="auto"/>
          <w:szCs w:val="24"/>
        </w:rPr>
      </w:pPr>
    </w:p>
    <w:sectPr w:rsidR="00307D53" w:rsidSect="00E627C6">
      <w:footerReference w:type="even" r:id="rId8"/>
      <w:footerReference w:type="default" r:id="rId9"/>
      <w:footnotePr>
        <w:numRestart w:val="eachSect"/>
      </w:footnotePr>
      <w:pgSz w:w="12240" w:h="15840" w:code="1"/>
      <w:pgMar w:top="1440" w:right="1440" w:bottom="1296"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7CF" w:rsidRDefault="007967CF">
      <w:r>
        <w:separator/>
      </w:r>
    </w:p>
  </w:endnote>
  <w:endnote w:type="continuationSeparator" w:id="0">
    <w:p w:rsidR="007967CF" w:rsidRDefault="007967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08" w:rsidRDefault="00BE6921">
    <w:pPr>
      <w:pStyle w:val="Footer"/>
      <w:framePr w:wrap="around" w:vAnchor="text" w:hAnchor="margin" w:xAlign="center" w:y="1"/>
      <w:rPr>
        <w:rStyle w:val="PageNumber"/>
      </w:rPr>
    </w:pPr>
    <w:r>
      <w:rPr>
        <w:rStyle w:val="PageNumber"/>
      </w:rPr>
      <w:fldChar w:fldCharType="begin"/>
    </w:r>
    <w:r w:rsidR="00084708">
      <w:rPr>
        <w:rStyle w:val="PageNumber"/>
      </w:rPr>
      <w:instrText xml:space="preserve">PAGE  </w:instrText>
    </w:r>
    <w:r>
      <w:rPr>
        <w:rStyle w:val="PageNumber"/>
      </w:rPr>
      <w:fldChar w:fldCharType="separate"/>
    </w:r>
    <w:r w:rsidR="00084708">
      <w:rPr>
        <w:rStyle w:val="PageNumber"/>
        <w:noProof/>
      </w:rPr>
      <w:t>2</w:t>
    </w:r>
    <w:r>
      <w:rPr>
        <w:rStyle w:val="PageNumber"/>
      </w:rPr>
      <w:fldChar w:fldCharType="end"/>
    </w:r>
  </w:p>
  <w:p w:rsidR="00084708" w:rsidRDefault="0008470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08" w:rsidRPr="00AC713F" w:rsidRDefault="00BE6921">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084708"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7525D8">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084708" w:rsidRPr="00396779" w:rsidRDefault="00084708" w:rsidP="002B0749">
    <w:pPr>
      <w:pStyle w:val="Footer"/>
      <w:jc w:val="right"/>
      <w:rPr>
        <w:rFonts w:asciiTheme="minorHAnsi" w:hAnsiTheme="minorHAnsi"/>
        <w:color w:val="auto"/>
      </w:rPr>
    </w:pPr>
    <w:r>
      <w:tab/>
    </w:r>
    <w:r>
      <w:tab/>
    </w:r>
    <w:r w:rsidRPr="00B17FE9">
      <w:rPr>
        <w:rFonts w:asciiTheme="minorHAnsi" w:hAnsiTheme="minorHAnsi"/>
        <w:caps/>
        <w:color w:val="auto"/>
      </w:rPr>
      <w:t>PD0900567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7CF" w:rsidRDefault="007967CF">
      <w:r>
        <w:separator/>
      </w:r>
    </w:p>
  </w:footnote>
  <w:footnote w:type="continuationSeparator" w:id="0">
    <w:p w:rsidR="007967CF" w:rsidRDefault="007967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9634"/>
  </w:hdrShapeDefaults>
  <w:footnotePr>
    <w:numRestart w:val="eachSect"/>
    <w:footnote w:id="-1"/>
    <w:footnote w:id="0"/>
  </w:footnotePr>
  <w:endnotePr>
    <w:endnote w:id="-1"/>
    <w:endnote w:id="0"/>
  </w:endnotePr>
  <w:compat/>
  <w:rsids>
    <w:rsidRoot w:val="001C28D1"/>
    <w:rsid w:val="000059FA"/>
    <w:rsid w:val="00006186"/>
    <w:rsid w:val="00006F87"/>
    <w:rsid w:val="00010ABA"/>
    <w:rsid w:val="00012428"/>
    <w:rsid w:val="00013417"/>
    <w:rsid w:val="000145C2"/>
    <w:rsid w:val="0001473F"/>
    <w:rsid w:val="00014A9E"/>
    <w:rsid w:val="00021361"/>
    <w:rsid w:val="00022CF3"/>
    <w:rsid w:val="00023913"/>
    <w:rsid w:val="00023C52"/>
    <w:rsid w:val="00023D43"/>
    <w:rsid w:val="00027BF5"/>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D7C"/>
    <w:rsid w:val="000574D9"/>
    <w:rsid w:val="000577C9"/>
    <w:rsid w:val="0006431E"/>
    <w:rsid w:val="00065E21"/>
    <w:rsid w:val="00072433"/>
    <w:rsid w:val="00072B73"/>
    <w:rsid w:val="00075702"/>
    <w:rsid w:val="000775C2"/>
    <w:rsid w:val="000806AD"/>
    <w:rsid w:val="00081265"/>
    <w:rsid w:val="00082482"/>
    <w:rsid w:val="00084708"/>
    <w:rsid w:val="0008708B"/>
    <w:rsid w:val="00092619"/>
    <w:rsid w:val="00092C66"/>
    <w:rsid w:val="00094E4F"/>
    <w:rsid w:val="000A2BCE"/>
    <w:rsid w:val="000A41E3"/>
    <w:rsid w:val="000A4BBA"/>
    <w:rsid w:val="000A5071"/>
    <w:rsid w:val="000B4C99"/>
    <w:rsid w:val="000B770A"/>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4E04"/>
    <w:rsid w:val="000D6457"/>
    <w:rsid w:val="000D7D55"/>
    <w:rsid w:val="000E0993"/>
    <w:rsid w:val="000E0EFC"/>
    <w:rsid w:val="000E37E0"/>
    <w:rsid w:val="000E7034"/>
    <w:rsid w:val="000F02BE"/>
    <w:rsid w:val="000F427B"/>
    <w:rsid w:val="000F7181"/>
    <w:rsid w:val="001008C1"/>
    <w:rsid w:val="001023DB"/>
    <w:rsid w:val="00103CCF"/>
    <w:rsid w:val="0010417F"/>
    <w:rsid w:val="001042D2"/>
    <w:rsid w:val="0010530E"/>
    <w:rsid w:val="00105C07"/>
    <w:rsid w:val="00106AD8"/>
    <w:rsid w:val="00107EC5"/>
    <w:rsid w:val="001103CD"/>
    <w:rsid w:val="00114F20"/>
    <w:rsid w:val="001211AF"/>
    <w:rsid w:val="00121849"/>
    <w:rsid w:val="001219DF"/>
    <w:rsid w:val="00122ABE"/>
    <w:rsid w:val="001231DC"/>
    <w:rsid w:val="001272AE"/>
    <w:rsid w:val="001306D5"/>
    <w:rsid w:val="001315DD"/>
    <w:rsid w:val="0013525F"/>
    <w:rsid w:val="00135385"/>
    <w:rsid w:val="001364D1"/>
    <w:rsid w:val="00142EBA"/>
    <w:rsid w:val="00143B79"/>
    <w:rsid w:val="00150B8A"/>
    <w:rsid w:val="00150DCB"/>
    <w:rsid w:val="00151912"/>
    <w:rsid w:val="00153740"/>
    <w:rsid w:val="001541C5"/>
    <w:rsid w:val="00155161"/>
    <w:rsid w:val="0015623F"/>
    <w:rsid w:val="00156585"/>
    <w:rsid w:val="00156BA9"/>
    <w:rsid w:val="00161761"/>
    <w:rsid w:val="00166182"/>
    <w:rsid w:val="001745DD"/>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5320"/>
    <w:rsid w:val="001A5E62"/>
    <w:rsid w:val="001A6848"/>
    <w:rsid w:val="001A7538"/>
    <w:rsid w:val="001B0B1A"/>
    <w:rsid w:val="001B4EC2"/>
    <w:rsid w:val="001B5B59"/>
    <w:rsid w:val="001B60E0"/>
    <w:rsid w:val="001B7C8C"/>
    <w:rsid w:val="001C181A"/>
    <w:rsid w:val="001C1877"/>
    <w:rsid w:val="001C2053"/>
    <w:rsid w:val="001C23D0"/>
    <w:rsid w:val="001C252F"/>
    <w:rsid w:val="001C28D1"/>
    <w:rsid w:val="001C5CFC"/>
    <w:rsid w:val="001C7418"/>
    <w:rsid w:val="001C7EBE"/>
    <w:rsid w:val="001D0051"/>
    <w:rsid w:val="001D2224"/>
    <w:rsid w:val="001D31AA"/>
    <w:rsid w:val="001D4F88"/>
    <w:rsid w:val="001D5DB8"/>
    <w:rsid w:val="001D67C5"/>
    <w:rsid w:val="001D68CF"/>
    <w:rsid w:val="001D6A8C"/>
    <w:rsid w:val="001D7A56"/>
    <w:rsid w:val="001E15C0"/>
    <w:rsid w:val="001E18E0"/>
    <w:rsid w:val="001E18E2"/>
    <w:rsid w:val="001E19D0"/>
    <w:rsid w:val="001E2A30"/>
    <w:rsid w:val="00200AA0"/>
    <w:rsid w:val="00202325"/>
    <w:rsid w:val="00202736"/>
    <w:rsid w:val="00203652"/>
    <w:rsid w:val="00205B4F"/>
    <w:rsid w:val="002060B6"/>
    <w:rsid w:val="002066B5"/>
    <w:rsid w:val="00211510"/>
    <w:rsid w:val="002119B6"/>
    <w:rsid w:val="00212B40"/>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313A"/>
    <w:rsid w:val="0026318D"/>
    <w:rsid w:val="00270864"/>
    <w:rsid w:val="002709A7"/>
    <w:rsid w:val="002712F7"/>
    <w:rsid w:val="0027159C"/>
    <w:rsid w:val="00274549"/>
    <w:rsid w:val="00274E46"/>
    <w:rsid w:val="00276C86"/>
    <w:rsid w:val="002810A4"/>
    <w:rsid w:val="00284A26"/>
    <w:rsid w:val="00287006"/>
    <w:rsid w:val="00292AB2"/>
    <w:rsid w:val="00294437"/>
    <w:rsid w:val="002A3237"/>
    <w:rsid w:val="002A58B7"/>
    <w:rsid w:val="002A5943"/>
    <w:rsid w:val="002A5C3C"/>
    <w:rsid w:val="002A685E"/>
    <w:rsid w:val="002A72C7"/>
    <w:rsid w:val="002B03B2"/>
    <w:rsid w:val="002B0749"/>
    <w:rsid w:val="002B2645"/>
    <w:rsid w:val="002B6FA0"/>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07D53"/>
    <w:rsid w:val="00310CD7"/>
    <w:rsid w:val="00311896"/>
    <w:rsid w:val="0032136A"/>
    <w:rsid w:val="00323E70"/>
    <w:rsid w:val="00325BA2"/>
    <w:rsid w:val="00326C08"/>
    <w:rsid w:val="00326F7F"/>
    <w:rsid w:val="003320E8"/>
    <w:rsid w:val="0033334F"/>
    <w:rsid w:val="0033555E"/>
    <w:rsid w:val="00336805"/>
    <w:rsid w:val="00337351"/>
    <w:rsid w:val="00341A54"/>
    <w:rsid w:val="0034669F"/>
    <w:rsid w:val="00351498"/>
    <w:rsid w:val="00352B22"/>
    <w:rsid w:val="00354547"/>
    <w:rsid w:val="003567DE"/>
    <w:rsid w:val="003574F3"/>
    <w:rsid w:val="0036319E"/>
    <w:rsid w:val="003632A4"/>
    <w:rsid w:val="00363362"/>
    <w:rsid w:val="00367D4F"/>
    <w:rsid w:val="00370743"/>
    <w:rsid w:val="00370B60"/>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4DFA"/>
    <w:rsid w:val="003A6A99"/>
    <w:rsid w:val="003A7FF8"/>
    <w:rsid w:val="003B17AC"/>
    <w:rsid w:val="003B227A"/>
    <w:rsid w:val="003B5854"/>
    <w:rsid w:val="003B5FED"/>
    <w:rsid w:val="003B6764"/>
    <w:rsid w:val="003C6068"/>
    <w:rsid w:val="003D2BA3"/>
    <w:rsid w:val="003D3C22"/>
    <w:rsid w:val="003D7089"/>
    <w:rsid w:val="003D7DDB"/>
    <w:rsid w:val="003E02C7"/>
    <w:rsid w:val="003E0543"/>
    <w:rsid w:val="003E0B5A"/>
    <w:rsid w:val="003E31E3"/>
    <w:rsid w:val="003E46D1"/>
    <w:rsid w:val="003E6214"/>
    <w:rsid w:val="003F070E"/>
    <w:rsid w:val="003F58B0"/>
    <w:rsid w:val="004007E9"/>
    <w:rsid w:val="004009CE"/>
    <w:rsid w:val="004011B2"/>
    <w:rsid w:val="00401825"/>
    <w:rsid w:val="00401BBC"/>
    <w:rsid w:val="00403BFB"/>
    <w:rsid w:val="00404B45"/>
    <w:rsid w:val="00406CC5"/>
    <w:rsid w:val="004074A4"/>
    <w:rsid w:val="00407F8E"/>
    <w:rsid w:val="004101B2"/>
    <w:rsid w:val="004113DE"/>
    <w:rsid w:val="004123D7"/>
    <w:rsid w:val="00412658"/>
    <w:rsid w:val="004172DB"/>
    <w:rsid w:val="00421485"/>
    <w:rsid w:val="00422B75"/>
    <w:rsid w:val="00433F36"/>
    <w:rsid w:val="004344F8"/>
    <w:rsid w:val="0043503A"/>
    <w:rsid w:val="0043698E"/>
    <w:rsid w:val="0044384F"/>
    <w:rsid w:val="00444F80"/>
    <w:rsid w:val="00446018"/>
    <w:rsid w:val="004543BC"/>
    <w:rsid w:val="0045645D"/>
    <w:rsid w:val="004574C6"/>
    <w:rsid w:val="00457BCF"/>
    <w:rsid w:val="00457DCE"/>
    <w:rsid w:val="00460E3F"/>
    <w:rsid w:val="00462F68"/>
    <w:rsid w:val="00466CED"/>
    <w:rsid w:val="00467592"/>
    <w:rsid w:val="00467690"/>
    <w:rsid w:val="004718E7"/>
    <w:rsid w:val="00472535"/>
    <w:rsid w:val="004761CC"/>
    <w:rsid w:val="0047659F"/>
    <w:rsid w:val="00480D4A"/>
    <w:rsid w:val="00481DA1"/>
    <w:rsid w:val="0048259C"/>
    <w:rsid w:val="00484212"/>
    <w:rsid w:val="0049255F"/>
    <w:rsid w:val="0049445D"/>
    <w:rsid w:val="00495350"/>
    <w:rsid w:val="00497156"/>
    <w:rsid w:val="004A0C79"/>
    <w:rsid w:val="004A24D2"/>
    <w:rsid w:val="004A3214"/>
    <w:rsid w:val="004A4136"/>
    <w:rsid w:val="004A417B"/>
    <w:rsid w:val="004B03F3"/>
    <w:rsid w:val="004B0CC9"/>
    <w:rsid w:val="004B2536"/>
    <w:rsid w:val="004B483F"/>
    <w:rsid w:val="004B6AF3"/>
    <w:rsid w:val="004B715E"/>
    <w:rsid w:val="004B7169"/>
    <w:rsid w:val="004B79C9"/>
    <w:rsid w:val="004C5E33"/>
    <w:rsid w:val="004C6CDA"/>
    <w:rsid w:val="004D10D4"/>
    <w:rsid w:val="004D16BD"/>
    <w:rsid w:val="004D1881"/>
    <w:rsid w:val="004D2AAB"/>
    <w:rsid w:val="004D6F2B"/>
    <w:rsid w:val="004E0248"/>
    <w:rsid w:val="004E21A3"/>
    <w:rsid w:val="004E32EA"/>
    <w:rsid w:val="004E6866"/>
    <w:rsid w:val="004F3222"/>
    <w:rsid w:val="004F3BFA"/>
    <w:rsid w:val="005000AB"/>
    <w:rsid w:val="005025EE"/>
    <w:rsid w:val="00510588"/>
    <w:rsid w:val="0051146C"/>
    <w:rsid w:val="00514449"/>
    <w:rsid w:val="005157BD"/>
    <w:rsid w:val="005214A3"/>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2A94"/>
    <w:rsid w:val="005709F7"/>
    <w:rsid w:val="005710A9"/>
    <w:rsid w:val="00571D1B"/>
    <w:rsid w:val="005738F5"/>
    <w:rsid w:val="0058039C"/>
    <w:rsid w:val="00581F5C"/>
    <w:rsid w:val="00593043"/>
    <w:rsid w:val="00595BF0"/>
    <w:rsid w:val="005A1846"/>
    <w:rsid w:val="005A258C"/>
    <w:rsid w:val="005A3560"/>
    <w:rsid w:val="005A464E"/>
    <w:rsid w:val="005A6C99"/>
    <w:rsid w:val="005A7D5D"/>
    <w:rsid w:val="005B011A"/>
    <w:rsid w:val="005B1D8F"/>
    <w:rsid w:val="005B1E94"/>
    <w:rsid w:val="005B2595"/>
    <w:rsid w:val="005B5B3D"/>
    <w:rsid w:val="005B64CF"/>
    <w:rsid w:val="005C16F3"/>
    <w:rsid w:val="005C3758"/>
    <w:rsid w:val="005D7E6C"/>
    <w:rsid w:val="005E3064"/>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274B4"/>
    <w:rsid w:val="006307BA"/>
    <w:rsid w:val="006315BA"/>
    <w:rsid w:val="00634C4A"/>
    <w:rsid w:val="0063532E"/>
    <w:rsid w:val="00637BDC"/>
    <w:rsid w:val="006418C9"/>
    <w:rsid w:val="00642BD6"/>
    <w:rsid w:val="00645046"/>
    <w:rsid w:val="0064527A"/>
    <w:rsid w:val="00645EA2"/>
    <w:rsid w:val="00653D2D"/>
    <w:rsid w:val="006573F2"/>
    <w:rsid w:val="00662F08"/>
    <w:rsid w:val="00663589"/>
    <w:rsid w:val="006708E3"/>
    <w:rsid w:val="00670DDC"/>
    <w:rsid w:val="00671EB4"/>
    <w:rsid w:val="0067443B"/>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15F7"/>
    <w:rsid w:val="006D2D39"/>
    <w:rsid w:val="006D4E0E"/>
    <w:rsid w:val="006D5CE2"/>
    <w:rsid w:val="006E06D1"/>
    <w:rsid w:val="006E1313"/>
    <w:rsid w:val="006E2DC8"/>
    <w:rsid w:val="006E4D1C"/>
    <w:rsid w:val="006E7356"/>
    <w:rsid w:val="006E77C8"/>
    <w:rsid w:val="006F149D"/>
    <w:rsid w:val="006F1A46"/>
    <w:rsid w:val="006F4F06"/>
    <w:rsid w:val="006F5A4E"/>
    <w:rsid w:val="006F6005"/>
    <w:rsid w:val="00703B6C"/>
    <w:rsid w:val="00705C40"/>
    <w:rsid w:val="00706482"/>
    <w:rsid w:val="00706BEF"/>
    <w:rsid w:val="00707ECE"/>
    <w:rsid w:val="00710CE8"/>
    <w:rsid w:val="007116BC"/>
    <w:rsid w:val="007165CE"/>
    <w:rsid w:val="00720968"/>
    <w:rsid w:val="00721705"/>
    <w:rsid w:val="00721D12"/>
    <w:rsid w:val="00721F8B"/>
    <w:rsid w:val="007237CE"/>
    <w:rsid w:val="00724688"/>
    <w:rsid w:val="0073062D"/>
    <w:rsid w:val="0073254D"/>
    <w:rsid w:val="0073610D"/>
    <w:rsid w:val="00736A49"/>
    <w:rsid w:val="007419A1"/>
    <w:rsid w:val="00742BFC"/>
    <w:rsid w:val="00743B71"/>
    <w:rsid w:val="00743C2D"/>
    <w:rsid w:val="00743E36"/>
    <w:rsid w:val="007446F7"/>
    <w:rsid w:val="00744EBB"/>
    <w:rsid w:val="00745B0A"/>
    <w:rsid w:val="007468AC"/>
    <w:rsid w:val="00746AE2"/>
    <w:rsid w:val="00750C82"/>
    <w:rsid w:val="007525D8"/>
    <w:rsid w:val="00754BCB"/>
    <w:rsid w:val="007552CB"/>
    <w:rsid w:val="0076100C"/>
    <w:rsid w:val="007612A5"/>
    <w:rsid w:val="00763F95"/>
    <w:rsid w:val="007651ED"/>
    <w:rsid w:val="00766C87"/>
    <w:rsid w:val="00777946"/>
    <w:rsid w:val="00780378"/>
    <w:rsid w:val="00781BD4"/>
    <w:rsid w:val="00784832"/>
    <w:rsid w:val="00785D77"/>
    <w:rsid w:val="00786111"/>
    <w:rsid w:val="00791F1E"/>
    <w:rsid w:val="00794F3D"/>
    <w:rsid w:val="00796045"/>
    <w:rsid w:val="007967CF"/>
    <w:rsid w:val="007968AC"/>
    <w:rsid w:val="007969AB"/>
    <w:rsid w:val="00797916"/>
    <w:rsid w:val="007A0B39"/>
    <w:rsid w:val="007A14A4"/>
    <w:rsid w:val="007A168F"/>
    <w:rsid w:val="007A28E4"/>
    <w:rsid w:val="007A3BB3"/>
    <w:rsid w:val="007A5AD1"/>
    <w:rsid w:val="007A5B7B"/>
    <w:rsid w:val="007B0A06"/>
    <w:rsid w:val="007B5C5C"/>
    <w:rsid w:val="007B7B37"/>
    <w:rsid w:val="007B7C41"/>
    <w:rsid w:val="007C11E9"/>
    <w:rsid w:val="007C433E"/>
    <w:rsid w:val="007C4452"/>
    <w:rsid w:val="007C4B3C"/>
    <w:rsid w:val="007C4DB1"/>
    <w:rsid w:val="007C6046"/>
    <w:rsid w:val="007D0292"/>
    <w:rsid w:val="007D097D"/>
    <w:rsid w:val="007D21AC"/>
    <w:rsid w:val="007D3882"/>
    <w:rsid w:val="007D568A"/>
    <w:rsid w:val="007D574E"/>
    <w:rsid w:val="007D6BFE"/>
    <w:rsid w:val="007E2046"/>
    <w:rsid w:val="007E3883"/>
    <w:rsid w:val="007E4FBB"/>
    <w:rsid w:val="007E55BF"/>
    <w:rsid w:val="007E71B1"/>
    <w:rsid w:val="007E7B4E"/>
    <w:rsid w:val="007F0CE2"/>
    <w:rsid w:val="007F0EFF"/>
    <w:rsid w:val="007F1375"/>
    <w:rsid w:val="00803850"/>
    <w:rsid w:val="00804385"/>
    <w:rsid w:val="008052F9"/>
    <w:rsid w:val="0080532B"/>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5715B"/>
    <w:rsid w:val="0086162B"/>
    <w:rsid w:val="00861D5C"/>
    <w:rsid w:val="00865207"/>
    <w:rsid w:val="008656A7"/>
    <w:rsid w:val="00866231"/>
    <w:rsid w:val="00871262"/>
    <w:rsid w:val="00871D4E"/>
    <w:rsid w:val="00871E7B"/>
    <w:rsid w:val="00875B51"/>
    <w:rsid w:val="00875F2D"/>
    <w:rsid w:val="008764DC"/>
    <w:rsid w:val="00882CC2"/>
    <w:rsid w:val="00883930"/>
    <w:rsid w:val="00896535"/>
    <w:rsid w:val="00896683"/>
    <w:rsid w:val="0089750B"/>
    <w:rsid w:val="00897589"/>
    <w:rsid w:val="008A63A9"/>
    <w:rsid w:val="008A7F7E"/>
    <w:rsid w:val="008B04DB"/>
    <w:rsid w:val="008B27FD"/>
    <w:rsid w:val="008B3AF2"/>
    <w:rsid w:val="008B446D"/>
    <w:rsid w:val="008B515D"/>
    <w:rsid w:val="008B5D31"/>
    <w:rsid w:val="008B6705"/>
    <w:rsid w:val="008C22F3"/>
    <w:rsid w:val="008C5C29"/>
    <w:rsid w:val="008D0670"/>
    <w:rsid w:val="008D795D"/>
    <w:rsid w:val="008D7B07"/>
    <w:rsid w:val="008E1E94"/>
    <w:rsid w:val="008E2D99"/>
    <w:rsid w:val="008E4A60"/>
    <w:rsid w:val="008E744D"/>
    <w:rsid w:val="008F1E08"/>
    <w:rsid w:val="008F6CDD"/>
    <w:rsid w:val="00900D8F"/>
    <w:rsid w:val="009014E3"/>
    <w:rsid w:val="009026E8"/>
    <w:rsid w:val="00906EB7"/>
    <w:rsid w:val="009102BF"/>
    <w:rsid w:val="00911490"/>
    <w:rsid w:val="009115F2"/>
    <w:rsid w:val="00914ADB"/>
    <w:rsid w:val="00923B25"/>
    <w:rsid w:val="0092402E"/>
    <w:rsid w:val="009259BA"/>
    <w:rsid w:val="009268AC"/>
    <w:rsid w:val="00926FCB"/>
    <w:rsid w:val="00931AAC"/>
    <w:rsid w:val="0093311A"/>
    <w:rsid w:val="00942645"/>
    <w:rsid w:val="00950A3A"/>
    <w:rsid w:val="00951304"/>
    <w:rsid w:val="0095340A"/>
    <w:rsid w:val="00954581"/>
    <w:rsid w:val="0095466C"/>
    <w:rsid w:val="00954E5B"/>
    <w:rsid w:val="009576BC"/>
    <w:rsid w:val="00960357"/>
    <w:rsid w:val="0096168C"/>
    <w:rsid w:val="00961840"/>
    <w:rsid w:val="00962F2D"/>
    <w:rsid w:val="009672CD"/>
    <w:rsid w:val="00971037"/>
    <w:rsid w:val="00972996"/>
    <w:rsid w:val="009732B8"/>
    <w:rsid w:val="00973542"/>
    <w:rsid w:val="00975C72"/>
    <w:rsid w:val="00976869"/>
    <w:rsid w:val="00977740"/>
    <w:rsid w:val="00977CB4"/>
    <w:rsid w:val="009809B8"/>
    <w:rsid w:val="0098222D"/>
    <w:rsid w:val="00985099"/>
    <w:rsid w:val="00986498"/>
    <w:rsid w:val="0099421F"/>
    <w:rsid w:val="009A0DE3"/>
    <w:rsid w:val="009A1643"/>
    <w:rsid w:val="009A215A"/>
    <w:rsid w:val="009A49D3"/>
    <w:rsid w:val="009A4F1B"/>
    <w:rsid w:val="009A66C5"/>
    <w:rsid w:val="009A79BA"/>
    <w:rsid w:val="009B14D1"/>
    <w:rsid w:val="009B1534"/>
    <w:rsid w:val="009B4963"/>
    <w:rsid w:val="009B4A3B"/>
    <w:rsid w:val="009B4BFC"/>
    <w:rsid w:val="009B69D3"/>
    <w:rsid w:val="009B7BA7"/>
    <w:rsid w:val="009C0938"/>
    <w:rsid w:val="009C22C8"/>
    <w:rsid w:val="009C3F82"/>
    <w:rsid w:val="009C72DD"/>
    <w:rsid w:val="009C7DF5"/>
    <w:rsid w:val="009D056C"/>
    <w:rsid w:val="009D060F"/>
    <w:rsid w:val="009D1ADE"/>
    <w:rsid w:val="009D37CA"/>
    <w:rsid w:val="009E0124"/>
    <w:rsid w:val="009E09D0"/>
    <w:rsid w:val="009E1283"/>
    <w:rsid w:val="009E3A7F"/>
    <w:rsid w:val="009E3DA5"/>
    <w:rsid w:val="009E57B1"/>
    <w:rsid w:val="009E6379"/>
    <w:rsid w:val="009F7809"/>
    <w:rsid w:val="009F7AF5"/>
    <w:rsid w:val="00A00D14"/>
    <w:rsid w:val="00A01408"/>
    <w:rsid w:val="00A02457"/>
    <w:rsid w:val="00A03190"/>
    <w:rsid w:val="00A0404B"/>
    <w:rsid w:val="00A0798C"/>
    <w:rsid w:val="00A07BDD"/>
    <w:rsid w:val="00A1105B"/>
    <w:rsid w:val="00A1213C"/>
    <w:rsid w:val="00A130E8"/>
    <w:rsid w:val="00A13CC0"/>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4A47"/>
    <w:rsid w:val="00A54DD8"/>
    <w:rsid w:val="00A56D26"/>
    <w:rsid w:val="00A571A7"/>
    <w:rsid w:val="00A608FB"/>
    <w:rsid w:val="00A60D83"/>
    <w:rsid w:val="00A60F68"/>
    <w:rsid w:val="00A61A21"/>
    <w:rsid w:val="00A63DF3"/>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1864"/>
    <w:rsid w:val="00AA1ED0"/>
    <w:rsid w:val="00AA28EF"/>
    <w:rsid w:val="00AA3593"/>
    <w:rsid w:val="00AA38CA"/>
    <w:rsid w:val="00AA493E"/>
    <w:rsid w:val="00AA73AF"/>
    <w:rsid w:val="00AB0A8A"/>
    <w:rsid w:val="00AB1754"/>
    <w:rsid w:val="00AB27DD"/>
    <w:rsid w:val="00AC439D"/>
    <w:rsid w:val="00AC713F"/>
    <w:rsid w:val="00AD067E"/>
    <w:rsid w:val="00AD2801"/>
    <w:rsid w:val="00AD6870"/>
    <w:rsid w:val="00AD68C5"/>
    <w:rsid w:val="00AE1273"/>
    <w:rsid w:val="00AE2D29"/>
    <w:rsid w:val="00AE4624"/>
    <w:rsid w:val="00AE4D77"/>
    <w:rsid w:val="00AE5E14"/>
    <w:rsid w:val="00AE6115"/>
    <w:rsid w:val="00AE625B"/>
    <w:rsid w:val="00AF1668"/>
    <w:rsid w:val="00AF4FA5"/>
    <w:rsid w:val="00B046D8"/>
    <w:rsid w:val="00B07955"/>
    <w:rsid w:val="00B140B8"/>
    <w:rsid w:val="00B14FAA"/>
    <w:rsid w:val="00B15D30"/>
    <w:rsid w:val="00B17FE9"/>
    <w:rsid w:val="00B20624"/>
    <w:rsid w:val="00B23436"/>
    <w:rsid w:val="00B237F1"/>
    <w:rsid w:val="00B24F33"/>
    <w:rsid w:val="00B26354"/>
    <w:rsid w:val="00B26CA0"/>
    <w:rsid w:val="00B32179"/>
    <w:rsid w:val="00B33007"/>
    <w:rsid w:val="00B331A9"/>
    <w:rsid w:val="00B36569"/>
    <w:rsid w:val="00B40A05"/>
    <w:rsid w:val="00B40A3E"/>
    <w:rsid w:val="00B427BB"/>
    <w:rsid w:val="00B449EE"/>
    <w:rsid w:val="00B50227"/>
    <w:rsid w:val="00B50510"/>
    <w:rsid w:val="00B522CD"/>
    <w:rsid w:val="00B55143"/>
    <w:rsid w:val="00B555C8"/>
    <w:rsid w:val="00B55917"/>
    <w:rsid w:val="00B643A6"/>
    <w:rsid w:val="00B64DD6"/>
    <w:rsid w:val="00B6710C"/>
    <w:rsid w:val="00B67E84"/>
    <w:rsid w:val="00B72076"/>
    <w:rsid w:val="00B72303"/>
    <w:rsid w:val="00B72C72"/>
    <w:rsid w:val="00B77C08"/>
    <w:rsid w:val="00B82277"/>
    <w:rsid w:val="00B91676"/>
    <w:rsid w:val="00B95833"/>
    <w:rsid w:val="00BA1824"/>
    <w:rsid w:val="00BA2D98"/>
    <w:rsid w:val="00BA30D1"/>
    <w:rsid w:val="00BA30E1"/>
    <w:rsid w:val="00BA4609"/>
    <w:rsid w:val="00BA5BE2"/>
    <w:rsid w:val="00BA7F46"/>
    <w:rsid w:val="00BB0A0A"/>
    <w:rsid w:val="00BB133C"/>
    <w:rsid w:val="00BB45B5"/>
    <w:rsid w:val="00BB6064"/>
    <w:rsid w:val="00BC09D1"/>
    <w:rsid w:val="00BC1CD8"/>
    <w:rsid w:val="00BC1CF3"/>
    <w:rsid w:val="00BC3573"/>
    <w:rsid w:val="00BC7F82"/>
    <w:rsid w:val="00BD40AB"/>
    <w:rsid w:val="00BD6297"/>
    <w:rsid w:val="00BD6806"/>
    <w:rsid w:val="00BD7433"/>
    <w:rsid w:val="00BD7831"/>
    <w:rsid w:val="00BD7C10"/>
    <w:rsid w:val="00BE046F"/>
    <w:rsid w:val="00BE0DEB"/>
    <w:rsid w:val="00BE2FC1"/>
    <w:rsid w:val="00BE6365"/>
    <w:rsid w:val="00BE6921"/>
    <w:rsid w:val="00BF0B7F"/>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2F3A"/>
    <w:rsid w:val="00C23311"/>
    <w:rsid w:val="00C25978"/>
    <w:rsid w:val="00C25DA4"/>
    <w:rsid w:val="00C261C6"/>
    <w:rsid w:val="00C26E7C"/>
    <w:rsid w:val="00C276CD"/>
    <w:rsid w:val="00C30A97"/>
    <w:rsid w:val="00C31DDC"/>
    <w:rsid w:val="00C34326"/>
    <w:rsid w:val="00C36201"/>
    <w:rsid w:val="00C368E8"/>
    <w:rsid w:val="00C36C3D"/>
    <w:rsid w:val="00C372C7"/>
    <w:rsid w:val="00C42443"/>
    <w:rsid w:val="00C42CBA"/>
    <w:rsid w:val="00C5019E"/>
    <w:rsid w:val="00C5377C"/>
    <w:rsid w:val="00C53E8A"/>
    <w:rsid w:val="00C53F5A"/>
    <w:rsid w:val="00C54DF3"/>
    <w:rsid w:val="00C560A7"/>
    <w:rsid w:val="00C56FC8"/>
    <w:rsid w:val="00C60F23"/>
    <w:rsid w:val="00C62EB2"/>
    <w:rsid w:val="00C71BEC"/>
    <w:rsid w:val="00C74D3A"/>
    <w:rsid w:val="00C80511"/>
    <w:rsid w:val="00C826F5"/>
    <w:rsid w:val="00C83740"/>
    <w:rsid w:val="00C84AD1"/>
    <w:rsid w:val="00C85579"/>
    <w:rsid w:val="00C863E5"/>
    <w:rsid w:val="00C87BE6"/>
    <w:rsid w:val="00C87F76"/>
    <w:rsid w:val="00C931FC"/>
    <w:rsid w:val="00C932C5"/>
    <w:rsid w:val="00C9650E"/>
    <w:rsid w:val="00CA068D"/>
    <w:rsid w:val="00CA1228"/>
    <w:rsid w:val="00CA282D"/>
    <w:rsid w:val="00CA4670"/>
    <w:rsid w:val="00CA6B1A"/>
    <w:rsid w:val="00CB20DC"/>
    <w:rsid w:val="00CB23DC"/>
    <w:rsid w:val="00CB2487"/>
    <w:rsid w:val="00CB28E2"/>
    <w:rsid w:val="00CB2FD6"/>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58D"/>
    <w:rsid w:val="00CF4394"/>
    <w:rsid w:val="00D000A9"/>
    <w:rsid w:val="00D005DB"/>
    <w:rsid w:val="00D0064E"/>
    <w:rsid w:val="00D00981"/>
    <w:rsid w:val="00D02596"/>
    <w:rsid w:val="00D0280D"/>
    <w:rsid w:val="00D0706E"/>
    <w:rsid w:val="00D07A72"/>
    <w:rsid w:val="00D10577"/>
    <w:rsid w:val="00D10E9E"/>
    <w:rsid w:val="00D1323B"/>
    <w:rsid w:val="00D14BAE"/>
    <w:rsid w:val="00D1648B"/>
    <w:rsid w:val="00D16819"/>
    <w:rsid w:val="00D17DD9"/>
    <w:rsid w:val="00D20AC0"/>
    <w:rsid w:val="00D2321B"/>
    <w:rsid w:val="00D23DE4"/>
    <w:rsid w:val="00D26025"/>
    <w:rsid w:val="00D26873"/>
    <w:rsid w:val="00D31683"/>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560DC"/>
    <w:rsid w:val="00D56768"/>
    <w:rsid w:val="00D60483"/>
    <w:rsid w:val="00D61ABB"/>
    <w:rsid w:val="00D62054"/>
    <w:rsid w:val="00D630CF"/>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A6B97"/>
    <w:rsid w:val="00DA7F6E"/>
    <w:rsid w:val="00DB0015"/>
    <w:rsid w:val="00DB2AAD"/>
    <w:rsid w:val="00DB626D"/>
    <w:rsid w:val="00DB6365"/>
    <w:rsid w:val="00DC0BF1"/>
    <w:rsid w:val="00DC41C3"/>
    <w:rsid w:val="00DD286D"/>
    <w:rsid w:val="00DD2CAF"/>
    <w:rsid w:val="00DD3593"/>
    <w:rsid w:val="00DD64E0"/>
    <w:rsid w:val="00DE0C67"/>
    <w:rsid w:val="00DE1213"/>
    <w:rsid w:val="00DE6952"/>
    <w:rsid w:val="00DE7E74"/>
    <w:rsid w:val="00DF071B"/>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789"/>
    <w:rsid w:val="00E43F59"/>
    <w:rsid w:val="00E464F0"/>
    <w:rsid w:val="00E50BEB"/>
    <w:rsid w:val="00E51433"/>
    <w:rsid w:val="00E548FA"/>
    <w:rsid w:val="00E57ED4"/>
    <w:rsid w:val="00E6092F"/>
    <w:rsid w:val="00E62049"/>
    <w:rsid w:val="00E627C6"/>
    <w:rsid w:val="00E629DA"/>
    <w:rsid w:val="00E6469F"/>
    <w:rsid w:val="00E670F8"/>
    <w:rsid w:val="00E67FAC"/>
    <w:rsid w:val="00E7200B"/>
    <w:rsid w:val="00E72485"/>
    <w:rsid w:val="00E738CB"/>
    <w:rsid w:val="00E73C88"/>
    <w:rsid w:val="00E74437"/>
    <w:rsid w:val="00E7443D"/>
    <w:rsid w:val="00E81C3E"/>
    <w:rsid w:val="00E82B6D"/>
    <w:rsid w:val="00EA1177"/>
    <w:rsid w:val="00EA118B"/>
    <w:rsid w:val="00EA11B6"/>
    <w:rsid w:val="00EA2181"/>
    <w:rsid w:val="00EA2DD8"/>
    <w:rsid w:val="00EA4475"/>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D12F0"/>
    <w:rsid w:val="00ED4773"/>
    <w:rsid w:val="00ED664B"/>
    <w:rsid w:val="00ED6A61"/>
    <w:rsid w:val="00EE03BB"/>
    <w:rsid w:val="00EE0B44"/>
    <w:rsid w:val="00EE2DC6"/>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891"/>
    <w:rsid w:val="00F14933"/>
    <w:rsid w:val="00F1516A"/>
    <w:rsid w:val="00F22A26"/>
    <w:rsid w:val="00F24072"/>
    <w:rsid w:val="00F26432"/>
    <w:rsid w:val="00F3197A"/>
    <w:rsid w:val="00F32139"/>
    <w:rsid w:val="00F33D56"/>
    <w:rsid w:val="00F34E08"/>
    <w:rsid w:val="00F41D91"/>
    <w:rsid w:val="00F42363"/>
    <w:rsid w:val="00F45F6F"/>
    <w:rsid w:val="00F46964"/>
    <w:rsid w:val="00F46F9A"/>
    <w:rsid w:val="00F470FD"/>
    <w:rsid w:val="00F50F30"/>
    <w:rsid w:val="00F5126A"/>
    <w:rsid w:val="00F5126E"/>
    <w:rsid w:val="00F6636A"/>
    <w:rsid w:val="00F667C5"/>
    <w:rsid w:val="00F67E31"/>
    <w:rsid w:val="00F718A8"/>
    <w:rsid w:val="00F72183"/>
    <w:rsid w:val="00F76D01"/>
    <w:rsid w:val="00F81C35"/>
    <w:rsid w:val="00F82981"/>
    <w:rsid w:val="00F8311F"/>
    <w:rsid w:val="00F83248"/>
    <w:rsid w:val="00F83376"/>
    <w:rsid w:val="00F853AE"/>
    <w:rsid w:val="00F93C74"/>
    <w:rsid w:val="00F93DCC"/>
    <w:rsid w:val="00F9435D"/>
    <w:rsid w:val="00F97740"/>
    <w:rsid w:val="00FA2F7B"/>
    <w:rsid w:val="00FA3C97"/>
    <w:rsid w:val="00FA78C8"/>
    <w:rsid w:val="00FB09FE"/>
    <w:rsid w:val="00FB101D"/>
    <w:rsid w:val="00FB1725"/>
    <w:rsid w:val="00FB593A"/>
    <w:rsid w:val="00FB6410"/>
    <w:rsid w:val="00FB6E82"/>
    <w:rsid w:val="00FC0042"/>
    <w:rsid w:val="00FC2A13"/>
    <w:rsid w:val="00FC4284"/>
    <w:rsid w:val="00FC4576"/>
    <w:rsid w:val="00FC68C9"/>
    <w:rsid w:val="00FC78FB"/>
    <w:rsid w:val="00FC7DBC"/>
    <w:rsid w:val="00FD076A"/>
    <w:rsid w:val="00FD0AA0"/>
    <w:rsid w:val="00FD1D5A"/>
    <w:rsid w:val="00FD5059"/>
    <w:rsid w:val="00FD554D"/>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6547975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56150663">
      <w:bodyDiv w:val="1"/>
      <w:marLeft w:val="0"/>
      <w:marRight w:val="0"/>
      <w:marTop w:val="0"/>
      <w:marBottom w:val="0"/>
      <w:divBdr>
        <w:top w:val="none" w:sz="0" w:space="0" w:color="auto"/>
        <w:left w:val="none" w:sz="0" w:space="0" w:color="auto"/>
        <w:bottom w:val="none" w:sz="0" w:space="0" w:color="auto"/>
        <w:right w:val="none" w:sz="0" w:space="0" w:color="auto"/>
      </w:divBdr>
    </w:div>
    <w:div w:id="79803701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74CE-AFC0-4D75-97E1-D9682E4A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3</cp:revision>
  <cp:lastPrinted>2011-02-16T15:22:00Z</cp:lastPrinted>
  <dcterms:created xsi:type="dcterms:W3CDTF">2012-02-29T17:06:00Z</dcterms:created>
  <dcterms:modified xsi:type="dcterms:W3CDTF">2012-02-29T17:07:00Z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