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70" w:rsidRPr="00396779" w:rsidRDefault="00540BEF" w:rsidP="00190E48">
      <w:pPr>
        <w:tabs>
          <w:tab w:val="left" w:pos="288"/>
          <w:tab w:val="left" w:pos="4752"/>
        </w:tabs>
        <w:spacing w:line="240" w:lineRule="exact"/>
        <w:jc w:val="center"/>
        <w:rPr>
          <w:rFonts w:asciiTheme="minorHAnsi" w:hAnsiTheme="minorHAnsi"/>
          <w:color w:val="auto"/>
        </w:rPr>
      </w:pPr>
      <w:r w:rsidRPr="00396779">
        <w:rPr>
          <w:rFonts w:asciiTheme="minorHAnsi" w:hAnsiTheme="minorHAnsi"/>
          <w:color w:val="auto"/>
        </w:rPr>
        <w:t>RECORD OF PROCEEDINGS</w:t>
      </w:r>
    </w:p>
    <w:p w:rsidR="00540BEF" w:rsidRPr="00396779" w:rsidRDefault="00540BEF" w:rsidP="00190E48">
      <w:pPr>
        <w:tabs>
          <w:tab w:val="left" w:pos="288"/>
          <w:tab w:val="left" w:pos="4752"/>
        </w:tabs>
        <w:spacing w:line="240" w:lineRule="exact"/>
        <w:jc w:val="center"/>
        <w:rPr>
          <w:rFonts w:asciiTheme="minorHAnsi" w:hAnsiTheme="minorHAnsi"/>
          <w:color w:val="auto"/>
        </w:rPr>
      </w:pPr>
      <w:r w:rsidRPr="00396779">
        <w:rPr>
          <w:rFonts w:asciiTheme="minorHAnsi" w:hAnsiTheme="minorHAnsi"/>
          <w:color w:val="auto"/>
        </w:rPr>
        <w:t>PHYSICAL DISABILITY BOARD OF REVIEW</w:t>
      </w:r>
    </w:p>
    <w:p w:rsidR="00540BEF" w:rsidRPr="00396779" w:rsidRDefault="00540BEF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aps/>
          <w:color w:val="auto"/>
        </w:rPr>
      </w:pPr>
    </w:p>
    <w:p w:rsidR="00540BEF" w:rsidRPr="00396779" w:rsidRDefault="00540BEF" w:rsidP="00190E48">
      <w:pPr>
        <w:tabs>
          <w:tab w:val="left" w:pos="288"/>
          <w:tab w:val="left" w:pos="4752"/>
        </w:tabs>
        <w:spacing w:line="240" w:lineRule="exact"/>
        <w:ind w:right="-1260"/>
        <w:jc w:val="both"/>
        <w:rPr>
          <w:rFonts w:asciiTheme="minorHAnsi" w:hAnsiTheme="minorHAnsi"/>
          <w:caps/>
          <w:color w:val="auto"/>
        </w:rPr>
      </w:pPr>
      <w:r w:rsidRPr="00396779">
        <w:rPr>
          <w:rFonts w:asciiTheme="minorHAnsi" w:hAnsiTheme="minorHAnsi"/>
          <w:caps/>
          <w:color w:val="auto"/>
        </w:rPr>
        <w:t>NAME:</w:t>
      </w:r>
      <w:r w:rsidR="00326C08">
        <w:rPr>
          <w:rFonts w:asciiTheme="minorHAnsi" w:hAnsiTheme="minorHAnsi"/>
          <w:caps/>
          <w:color w:val="auto"/>
        </w:rPr>
        <w:t xml:space="preserve"> </w:t>
      </w:r>
      <w:r w:rsidR="00750ADA">
        <w:rPr>
          <w:rFonts w:asciiTheme="minorHAnsi" w:hAnsiTheme="minorHAnsi"/>
          <w:color w:val="auto"/>
          <w:szCs w:val="24"/>
        </w:rPr>
        <w:t>XXXXXXX</w:t>
      </w:r>
      <w:r w:rsidRPr="00396779">
        <w:rPr>
          <w:rFonts w:asciiTheme="minorHAnsi" w:hAnsiTheme="minorHAnsi"/>
          <w:caps/>
          <w:color w:val="auto"/>
        </w:rPr>
        <w:tab/>
      </w:r>
      <w:r w:rsidRPr="00396779">
        <w:rPr>
          <w:rFonts w:asciiTheme="minorHAnsi" w:hAnsiTheme="minorHAnsi"/>
          <w:caps/>
          <w:color w:val="auto"/>
        </w:rPr>
        <w:tab/>
      </w:r>
      <w:r w:rsidR="00B427BB">
        <w:rPr>
          <w:rFonts w:asciiTheme="minorHAnsi" w:hAnsiTheme="minorHAnsi"/>
          <w:caps/>
          <w:color w:val="auto"/>
        </w:rPr>
        <w:tab/>
      </w:r>
      <w:r w:rsidRPr="00396779">
        <w:rPr>
          <w:rFonts w:asciiTheme="minorHAnsi" w:hAnsiTheme="minorHAnsi"/>
          <w:caps/>
          <w:color w:val="auto"/>
        </w:rPr>
        <w:t xml:space="preserve">BRANCH OF SERVICE: </w:t>
      </w:r>
      <w:r w:rsidR="00D00981" w:rsidRPr="00397030">
        <w:rPr>
          <w:rFonts w:asciiTheme="minorHAnsi" w:hAnsiTheme="minorHAnsi"/>
          <w:caps/>
          <w:color w:val="auto"/>
        </w:rPr>
        <w:t>marine corps</w:t>
      </w:r>
    </w:p>
    <w:p w:rsidR="00540BEF" w:rsidRPr="008752BE" w:rsidRDefault="00396779" w:rsidP="00190E48">
      <w:pPr>
        <w:tabs>
          <w:tab w:val="left" w:pos="288"/>
          <w:tab w:val="left" w:pos="4752"/>
        </w:tabs>
        <w:spacing w:line="240" w:lineRule="exact"/>
        <w:ind w:right="-900"/>
        <w:jc w:val="both"/>
        <w:rPr>
          <w:rFonts w:asciiTheme="minorHAnsi" w:hAnsiTheme="minorHAnsi"/>
          <w:caps/>
          <w:color w:val="auto"/>
        </w:rPr>
      </w:pPr>
      <w:r w:rsidRPr="00396779">
        <w:rPr>
          <w:rFonts w:asciiTheme="minorHAnsi" w:hAnsiTheme="minorHAnsi"/>
          <w:caps/>
          <w:color w:val="auto"/>
        </w:rPr>
        <w:t xml:space="preserve">CASE NUMBER: </w:t>
      </w:r>
      <w:r w:rsidR="00540BEF" w:rsidRPr="00396779">
        <w:rPr>
          <w:rFonts w:asciiTheme="minorHAnsi" w:hAnsiTheme="minorHAnsi"/>
          <w:caps/>
          <w:color w:val="auto"/>
        </w:rPr>
        <w:t>PD</w:t>
      </w:r>
      <w:r w:rsidR="003A3F1C">
        <w:rPr>
          <w:rFonts w:asciiTheme="minorHAnsi" w:hAnsiTheme="minorHAnsi"/>
          <w:caps/>
          <w:color w:val="auto"/>
        </w:rPr>
        <w:t>0900538</w:t>
      </w:r>
      <w:r w:rsidR="00540BEF" w:rsidRPr="00396779">
        <w:rPr>
          <w:rFonts w:asciiTheme="minorHAnsi" w:hAnsiTheme="minorHAnsi"/>
          <w:caps/>
          <w:color w:val="auto"/>
        </w:rPr>
        <w:tab/>
      </w:r>
      <w:r w:rsidR="00540BEF" w:rsidRPr="00396779">
        <w:rPr>
          <w:rFonts w:asciiTheme="minorHAnsi" w:hAnsiTheme="minorHAnsi"/>
          <w:caps/>
          <w:color w:val="auto"/>
        </w:rPr>
        <w:tab/>
      </w:r>
      <w:r w:rsidR="00B427BB">
        <w:rPr>
          <w:rFonts w:asciiTheme="minorHAnsi" w:hAnsiTheme="minorHAnsi"/>
          <w:caps/>
          <w:color w:val="auto"/>
        </w:rPr>
        <w:tab/>
      </w:r>
      <w:r w:rsidR="00C22F3A" w:rsidRPr="00396779">
        <w:rPr>
          <w:rFonts w:asciiTheme="minorHAnsi" w:hAnsiTheme="minorHAnsi"/>
          <w:caps/>
          <w:color w:val="auto"/>
        </w:rPr>
        <w:t xml:space="preserve">SEPARATION DATE: </w:t>
      </w:r>
      <w:r w:rsidR="003A3F1C" w:rsidRPr="008752BE">
        <w:rPr>
          <w:rFonts w:asciiTheme="minorHAnsi" w:hAnsiTheme="minorHAnsi"/>
          <w:caps/>
          <w:color w:val="auto"/>
        </w:rPr>
        <w:t xml:space="preserve">O/A </w:t>
      </w:r>
      <w:r w:rsidR="00C22F3A" w:rsidRPr="008752BE">
        <w:rPr>
          <w:rFonts w:asciiTheme="minorHAnsi" w:hAnsiTheme="minorHAnsi"/>
          <w:caps/>
          <w:color w:val="auto"/>
        </w:rPr>
        <w:t>200</w:t>
      </w:r>
      <w:r w:rsidR="003A3F1C" w:rsidRPr="008752BE">
        <w:rPr>
          <w:rFonts w:asciiTheme="minorHAnsi" w:hAnsiTheme="minorHAnsi"/>
          <w:caps/>
          <w:color w:val="auto"/>
        </w:rPr>
        <w:t xml:space="preserve">80723 </w:t>
      </w:r>
    </w:p>
    <w:p w:rsidR="00540BEF" w:rsidRPr="00396779" w:rsidRDefault="00540BEF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aps/>
          <w:color w:val="auto"/>
        </w:rPr>
      </w:pPr>
      <w:r w:rsidRPr="008752BE">
        <w:rPr>
          <w:rFonts w:asciiTheme="minorHAnsi" w:hAnsiTheme="minorHAnsi"/>
          <w:caps/>
          <w:color w:val="auto"/>
        </w:rPr>
        <w:t xml:space="preserve">BOARD DATE: </w:t>
      </w:r>
      <w:r w:rsidR="000F02BE" w:rsidRPr="008752BE">
        <w:rPr>
          <w:rFonts w:asciiTheme="minorHAnsi" w:hAnsiTheme="minorHAnsi"/>
          <w:caps/>
          <w:color w:val="auto"/>
        </w:rPr>
        <w:t>2010</w:t>
      </w:r>
      <w:r w:rsidR="00C477A3" w:rsidRPr="008752BE">
        <w:rPr>
          <w:rFonts w:asciiTheme="minorHAnsi" w:hAnsiTheme="minorHAnsi"/>
          <w:caps/>
          <w:color w:val="auto"/>
        </w:rPr>
        <w:t>1110</w:t>
      </w:r>
      <w:r w:rsidRPr="008752BE">
        <w:rPr>
          <w:rFonts w:asciiTheme="minorHAnsi" w:hAnsiTheme="minorHAnsi"/>
          <w:caps/>
          <w:color w:val="auto"/>
        </w:rPr>
        <w:tab/>
      </w:r>
      <w:r w:rsidRPr="008752BE">
        <w:rPr>
          <w:rFonts w:asciiTheme="minorHAnsi" w:hAnsiTheme="minorHAnsi"/>
          <w:caps/>
          <w:color w:val="auto"/>
        </w:rPr>
        <w:tab/>
      </w:r>
      <w:r w:rsidR="00B427BB" w:rsidRPr="008752BE">
        <w:rPr>
          <w:rFonts w:asciiTheme="minorHAnsi" w:hAnsiTheme="minorHAnsi"/>
          <w:caps/>
          <w:color w:val="auto"/>
        </w:rPr>
        <w:tab/>
      </w:r>
      <w:r w:rsidR="00C22F3A" w:rsidRPr="008752BE">
        <w:rPr>
          <w:rFonts w:asciiTheme="minorHAnsi" w:hAnsiTheme="minorHAnsi"/>
          <w:color w:val="auto"/>
        </w:rPr>
        <w:t>TDRL DATE:</w:t>
      </w:r>
      <w:r w:rsidR="003A3F1C" w:rsidRPr="008752BE">
        <w:rPr>
          <w:rFonts w:asciiTheme="minorHAnsi" w:hAnsiTheme="minorHAnsi"/>
          <w:color w:val="auto"/>
        </w:rPr>
        <w:t xml:space="preserve"> 20041115</w:t>
      </w:r>
    </w:p>
    <w:p w:rsidR="00B427BB" w:rsidRPr="00721705" w:rsidRDefault="00B427BB" w:rsidP="00721705">
      <w:pPr>
        <w:pStyle w:val="Footer"/>
        <w:jc w:val="center"/>
        <w:rPr>
          <w:color w:val="auto"/>
        </w:rPr>
      </w:pPr>
      <w:r w:rsidRPr="00721705">
        <w:rPr>
          <w:rFonts w:asciiTheme="minorHAnsi" w:hAnsiTheme="minorHAnsi"/>
          <w:color w:val="auto"/>
        </w:rPr>
        <w:t>______________________________________________________________________________</w:t>
      </w:r>
    </w:p>
    <w:p w:rsidR="00B522CD" w:rsidRPr="00396779" w:rsidRDefault="00B522CD" w:rsidP="003E300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3A3F1C" w:rsidRPr="003A3F1C" w:rsidRDefault="002C6E5B" w:rsidP="003E300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396779">
        <w:rPr>
          <w:rFonts w:asciiTheme="minorHAnsi" w:hAnsiTheme="minorHAnsi"/>
          <w:color w:val="auto"/>
          <w:u w:val="single"/>
        </w:rPr>
        <w:t>SUMMARY OF CASE</w:t>
      </w:r>
      <w:r w:rsidRPr="00396779">
        <w:rPr>
          <w:rFonts w:asciiTheme="minorHAnsi" w:hAnsiTheme="minorHAnsi"/>
          <w:color w:val="auto"/>
        </w:rPr>
        <w:t xml:space="preserve">:  </w:t>
      </w:r>
      <w:r w:rsidR="003A3F1C" w:rsidRPr="003A3F1C">
        <w:rPr>
          <w:rFonts w:asciiTheme="minorHAnsi" w:hAnsiTheme="minorHAnsi" w:cs="Courier New"/>
          <w:color w:val="auto"/>
          <w:szCs w:val="24"/>
        </w:rPr>
        <w:t>This covered individual (CI) was a P</w:t>
      </w:r>
      <w:r w:rsidR="0012018C">
        <w:rPr>
          <w:rFonts w:asciiTheme="minorHAnsi" w:hAnsiTheme="minorHAnsi" w:cs="Courier New"/>
          <w:color w:val="auto"/>
          <w:szCs w:val="24"/>
        </w:rPr>
        <w:t>rivate</w:t>
      </w:r>
      <w:r w:rsidR="003A3F1C" w:rsidRPr="003A3F1C">
        <w:rPr>
          <w:rFonts w:asciiTheme="minorHAnsi" w:hAnsiTheme="minorHAnsi" w:cs="Courier New"/>
          <w:color w:val="auto"/>
          <w:szCs w:val="24"/>
        </w:rPr>
        <w:t>, E</w:t>
      </w:r>
      <w:r w:rsidR="0012018C">
        <w:rPr>
          <w:rFonts w:asciiTheme="minorHAnsi" w:hAnsiTheme="minorHAnsi" w:cs="Courier New"/>
          <w:color w:val="auto"/>
          <w:szCs w:val="24"/>
        </w:rPr>
        <w:t>-</w:t>
      </w:r>
      <w:r w:rsidR="003A3F1C" w:rsidRPr="003A3F1C">
        <w:rPr>
          <w:rFonts w:asciiTheme="minorHAnsi" w:hAnsiTheme="minorHAnsi" w:cs="Courier New"/>
          <w:color w:val="auto"/>
          <w:szCs w:val="24"/>
        </w:rPr>
        <w:t xml:space="preserve">1, recruit who was placed on the </w:t>
      </w:r>
      <w:r w:rsidR="00CE6819" w:rsidRPr="003A3F1C">
        <w:rPr>
          <w:rFonts w:asciiTheme="minorHAnsi" w:hAnsiTheme="minorHAnsi"/>
          <w:color w:val="auto"/>
          <w:szCs w:val="24"/>
        </w:rPr>
        <w:t xml:space="preserve">Temporary Disability Retired List </w:t>
      </w:r>
      <w:r w:rsidR="00CE6819">
        <w:rPr>
          <w:rFonts w:asciiTheme="minorHAnsi" w:hAnsiTheme="minorHAnsi" w:cs="Courier New"/>
          <w:color w:val="auto"/>
          <w:szCs w:val="24"/>
        </w:rPr>
        <w:t>(</w:t>
      </w:r>
      <w:r w:rsidR="003A3F1C" w:rsidRPr="003A3F1C">
        <w:rPr>
          <w:rFonts w:asciiTheme="minorHAnsi" w:hAnsiTheme="minorHAnsi" w:cs="Courier New"/>
          <w:color w:val="auto"/>
          <w:szCs w:val="24"/>
        </w:rPr>
        <w:t>TDRL</w:t>
      </w:r>
      <w:r w:rsidR="00CE6819">
        <w:rPr>
          <w:rFonts w:asciiTheme="minorHAnsi" w:hAnsiTheme="minorHAnsi" w:cs="Courier New"/>
          <w:color w:val="auto"/>
          <w:szCs w:val="24"/>
        </w:rPr>
        <w:t>)</w:t>
      </w:r>
      <w:r w:rsidR="00435242">
        <w:rPr>
          <w:rFonts w:asciiTheme="minorHAnsi" w:hAnsiTheme="minorHAnsi" w:cs="Courier New"/>
          <w:color w:val="auto"/>
          <w:szCs w:val="24"/>
        </w:rPr>
        <w:t xml:space="preserve"> on 15 Nov 04</w:t>
      </w:r>
      <w:r w:rsidR="003A3F1C" w:rsidRPr="003A3F1C">
        <w:rPr>
          <w:rFonts w:asciiTheme="minorHAnsi" w:hAnsiTheme="minorHAnsi" w:cs="Courier New"/>
          <w:color w:val="auto"/>
          <w:szCs w:val="24"/>
        </w:rPr>
        <w:t xml:space="preserve">, </w:t>
      </w:r>
      <w:r w:rsidR="003A3F1C">
        <w:rPr>
          <w:rFonts w:asciiTheme="minorHAnsi" w:hAnsiTheme="minorHAnsi" w:cs="Courier New"/>
          <w:color w:val="auto"/>
          <w:szCs w:val="24"/>
        </w:rPr>
        <w:t>after almost five</w:t>
      </w:r>
      <w:r w:rsidR="003A3F1C" w:rsidRPr="003A3F1C">
        <w:rPr>
          <w:rFonts w:asciiTheme="minorHAnsi" w:hAnsiTheme="minorHAnsi" w:cs="Courier New"/>
          <w:color w:val="auto"/>
          <w:szCs w:val="24"/>
        </w:rPr>
        <w:t xml:space="preserve"> months of active service. </w:t>
      </w:r>
      <w:r w:rsidR="00CE6819">
        <w:rPr>
          <w:rFonts w:asciiTheme="minorHAnsi" w:hAnsiTheme="minorHAnsi" w:cs="Courier New"/>
          <w:color w:val="auto"/>
          <w:szCs w:val="24"/>
        </w:rPr>
        <w:t xml:space="preserve"> </w:t>
      </w:r>
      <w:r w:rsidR="003A3F1C" w:rsidRPr="003A3F1C">
        <w:rPr>
          <w:rFonts w:asciiTheme="minorHAnsi" w:hAnsiTheme="minorHAnsi" w:cs="Courier New"/>
          <w:color w:val="auto"/>
          <w:szCs w:val="24"/>
        </w:rPr>
        <w:t xml:space="preserve">The medical basis for the placement on TDRL </w:t>
      </w:r>
      <w:r w:rsidR="00CE6819">
        <w:rPr>
          <w:rFonts w:asciiTheme="minorHAnsi" w:hAnsiTheme="minorHAnsi" w:cs="Courier New"/>
          <w:color w:val="auto"/>
          <w:szCs w:val="24"/>
        </w:rPr>
        <w:t xml:space="preserve">and separation </w:t>
      </w:r>
      <w:r w:rsidR="003A3F1C" w:rsidRPr="003A3F1C">
        <w:rPr>
          <w:rFonts w:asciiTheme="minorHAnsi" w:hAnsiTheme="minorHAnsi" w:cs="Courier New"/>
          <w:color w:val="auto"/>
          <w:szCs w:val="24"/>
        </w:rPr>
        <w:t xml:space="preserve">was </w:t>
      </w:r>
      <w:r w:rsidR="00D919C4">
        <w:rPr>
          <w:rFonts w:asciiTheme="minorHAnsi" w:hAnsiTheme="minorHAnsi" w:cs="Courier New"/>
          <w:color w:val="auto"/>
          <w:szCs w:val="24"/>
        </w:rPr>
        <w:t xml:space="preserve">a </w:t>
      </w:r>
      <w:r w:rsidR="00605447">
        <w:rPr>
          <w:rFonts w:asciiTheme="minorHAnsi" w:hAnsiTheme="minorHAnsi" w:cs="Courier New"/>
          <w:color w:val="auto"/>
          <w:szCs w:val="24"/>
        </w:rPr>
        <w:t xml:space="preserve">right ankle fracture that was surgically repaired.  </w:t>
      </w:r>
      <w:r w:rsidR="003A3F1C" w:rsidRPr="003A3F1C">
        <w:rPr>
          <w:rFonts w:asciiTheme="minorHAnsi" w:hAnsiTheme="minorHAnsi" w:cs="Courier New"/>
          <w:color w:val="auto"/>
          <w:szCs w:val="24"/>
        </w:rPr>
        <w:t xml:space="preserve">The CI was on day 46 of training when she fell 8 feet while on the obstacle course. </w:t>
      </w:r>
      <w:r w:rsidR="00CE6819">
        <w:rPr>
          <w:rFonts w:asciiTheme="minorHAnsi" w:hAnsiTheme="minorHAnsi" w:cs="Courier New"/>
          <w:color w:val="auto"/>
          <w:szCs w:val="24"/>
        </w:rPr>
        <w:t xml:space="preserve"> </w:t>
      </w:r>
      <w:r w:rsidR="003A3F1C" w:rsidRPr="003A3F1C">
        <w:rPr>
          <w:rFonts w:asciiTheme="minorHAnsi" w:hAnsiTheme="minorHAnsi" w:cs="Courier New"/>
          <w:color w:val="auto"/>
          <w:szCs w:val="24"/>
        </w:rPr>
        <w:t>She sustained a fracture of t</w:t>
      </w:r>
      <w:r w:rsidR="003A3F1C">
        <w:rPr>
          <w:rFonts w:asciiTheme="minorHAnsi" w:hAnsiTheme="minorHAnsi" w:cs="Courier New"/>
          <w:color w:val="auto"/>
          <w:szCs w:val="24"/>
        </w:rPr>
        <w:t xml:space="preserve">he </w:t>
      </w:r>
      <w:r w:rsidR="00605447" w:rsidRPr="003A3F1C">
        <w:rPr>
          <w:rFonts w:asciiTheme="minorHAnsi" w:hAnsiTheme="minorHAnsi" w:cs="Courier New"/>
          <w:color w:val="auto"/>
          <w:szCs w:val="24"/>
        </w:rPr>
        <w:t>right ankle</w:t>
      </w:r>
      <w:r w:rsidR="003A3F1C" w:rsidRPr="003A3F1C">
        <w:rPr>
          <w:rFonts w:asciiTheme="minorHAnsi" w:hAnsiTheme="minorHAnsi" w:cs="Courier New"/>
          <w:color w:val="auto"/>
          <w:szCs w:val="24"/>
        </w:rPr>
        <w:t>.</w:t>
      </w:r>
      <w:r w:rsidR="003A3F1C">
        <w:rPr>
          <w:rFonts w:asciiTheme="minorHAnsi" w:hAnsiTheme="minorHAnsi" w:cs="Courier New"/>
          <w:color w:val="auto"/>
          <w:szCs w:val="24"/>
        </w:rPr>
        <w:t xml:space="preserve">  </w:t>
      </w:r>
      <w:r w:rsidR="001A4F88">
        <w:rPr>
          <w:rFonts w:asciiTheme="minorHAnsi" w:hAnsiTheme="minorHAnsi" w:cs="Courier New"/>
          <w:color w:val="auto"/>
          <w:szCs w:val="24"/>
        </w:rPr>
        <w:t>The ankle fracture was treated with open reduction i</w:t>
      </w:r>
      <w:r w:rsidR="00435242">
        <w:rPr>
          <w:rFonts w:asciiTheme="minorHAnsi" w:hAnsiTheme="minorHAnsi" w:cs="Courier New"/>
          <w:color w:val="auto"/>
          <w:szCs w:val="24"/>
        </w:rPr>
        <w:t xml:space="preserve">nternal fixation (ORIF) in Aug </w:t>
      </w:r>
      <w:r w:rsidR="001A4F88">
        <w:rPr>
          <w:rFonts w:asciiTheme="minorHAnsi" w:hAnsiTheme="minorHAnsi" w:cs="Courier New"/>
          <w:color w:val="auto"/>
          <w:szCs w:val="24"/>
        </w:rPr>
        <w:t>04, with o</w:t>
      </w:r>
      <w:r w:rsidR="00435242">
        <w:rPr>
          <w:rFonts w:asciiTheme="minorHAnsi" w:hAnsiTheme="minorHAnsi" w:cs="Courier New"/>
          <w:color w:val="auto"/>
          <w:szCs w:val="24"/>
        </w:rPr>
        <w:t xml:space="preserve">ne screw removed in Nov </w:t>
      </w:r>
      <w:r w:rsidR="00357809">
        <w:rPr>
          <w:rFonts w:asciiTheme="minorHAnsi" w:hAnsiTheme="minorHAnsi" w:cs="Courier New"/>
          <w:color w:val="auto"/>
          <w:szCs w:val="24"/>
        </w:rPr>
        <w:t xml:space="preserve">04.  </w:t>
      </w:r>
      <w:r w:rsidR="001A4F88">
        <w:rPr>
          <w:rFonts w:asciiTheme="minorHAnsi" w:hAnsiTheme="minorHAnsi" w:cs="Courier New"/>
          <w:color w:val="auto"/>
          <w:szCs w:val="24"/>
        </w:rPr>
        <w:t xml:space="preserve">The CI </w:t>
      </w:r>
      <w:r w:rsidR="003A3F1C">
        <w:rPr>
          <w:rFonts w:asciiTheme="minorHAnsi" w:hAnsiTheme="minorHAnsi" w:cs="Courier New"/>
          <w:color w:val="auto"/>
          <w:szCs w:val="24"/>
        </w:rPr>
        <w:t>was unable to complete basic training</w:t>
      </w:r>
      <w:r w:rsidR="001A4F88">
        <w:rPr>
          <w:rFonts w:asciiTheme="minorHAnsi" w:hAnsiTheme="minorHAnsi" w:cs="Courier New"/>
          <w:color w:val="auto"/>
          <w:szCs w:val="24"/>
        </w:rPr>
        <w:t xml:space="preserve">, </w:t>
      </w:r>
      <w:r w:rsidR="001A4F88">
        <w:rPr>
          <w:rFonts w:asciiTheme="minorHAnsi" w:hAnsiTheme="minorHAnsi"/>
          <w:color w:val="auto"/>
          <w:szCs w:val="24"/>
        </w:rPr>
        <w:t xml:space="preserve">referred to the </w:t>
      </w:r>
      <w:r w:rsidR="001A4F88">
        <w:rPr>
          <w:rFonts w:asciiTheme="minorHAnsi" w:hAnsiTheme="minorHAnsi" w:cs="Courier New"/>
          <w:color w:val="auto"/>
          <w:szCs w:val="24"/>
        </w:rPr>
        <w:t>Informal</w:t>
      </w:r>
      <w:r w:rsidR="001A4F88">
        <w:rPr>
          <w:rFonts w:asciiTheme="minorHAnsi" w:hAnsiTheme="minorHAnsi"/>
          <w:color w:val="auto"/>
          <w:szCs w:val="24"/>
        </w:rPr>
        <w:t xml:space="preserve"> Physical Evaluation Board (IPEB)</w:t>
      </w:r>
      <w:r w:rsidR="007A6995">
        <w:rPr>
          <w:rFonts w:asciiTheme="minorHAnsi" w:hAnsiTheme="minorHAnsi"/>
          <w:color w:val="auto"/>
          <w:szCs w:val="24"/>
        </w:rPr>
        <w:t xml:space="preserve"> </w:t>
      </w:r>
      <w:r w:rsidR="003A3F1C">
        <w:rPr>
          <w:rFonts w:asciiTheme="minorHAnsi" w:hAnsiTheme="minorHAnsi" w:cs="Courier New"/>
          <w:color w:val="auto"/>
          <w:szCs w:val="24"/>
        </w:rPr>
        <w:t xml:space="preserve">and placed </w:t>
      </w:r>
      <w:r w:rsidR="00D919C4">
        <w:rPr>
          <w:rFonts w:asciiTheme="minorHAnsi" w:hAnsiTheme="minorHAnsi" w:cs="Courier New"/>
          <w:color w:val="auto"/>
          <w:szCs w:val="24"/>
        </w:rPr>
        <w:t>on</w:t>
      </w:r>
      <w:r w:rsidR="003A3F1C">
        <w:rPr>
          <w:rFonts w:asciiTheme="minorHAnsi" w:hAnsiTheme="minorHAnsi" w:cs="Courier New"/>
          <w:color w:val="auto"/>
          <w:szCs w:val="24"/>
        </w:rPr>
        <w:t xml:space="preserve"> </w:t>
      </w:r>
      <w:r w:rsidR="003A3F1C" w:rsidRPr="003A3F1C">
        <w:rPr>
          <w:rFonts w:asciiTheme="minorHAnsi" w:hAnsiTheme="minorHAnsi"/>
          <w:color w:val="auto"/>
          <w:szCs w:val="24"/>
        </w:rPr>
        <w:t>TDRL</w:t>
      </w:r>
      <w:r w:rsidR="00CE6819">
        <w:rPr>
          <w:rFonts w:asciiTheme="minorHAnsi" w:hAnsiTheme="minorHAnsi"/>
          <w:color w:val="auto"/>
          <w:szCs w:val="24"/>
        </w:rPr>
        <w:t xml:space="preserve"> </w:t>
      </w:r>
      <w:r w:rsidR="003A3F1C">
        <w:rPr>
          <w:rFonts w:asciiTheme="minorHAnsi" w:hAnsiTheme="minorHAnsi"/>
          <w:color w:val="auto"/>
          <w:szCs w:val="24"/>
        </w:rPr>
        <w:t>status</w:t>
      </w:r>
      <w:r w:rsidR="001A4F88">
        <w:rPr>
          <w:rFonts w:asciiTheme="minorHAnsi" w:hAnsiTheme="minorHAnsi"/>
          <w:color w:val="auto"/>
          <w:szCs w:val="24"/>
        </w:rPr>
        <w:t xml:space="preserve"> at 30% disability</w:t>
      </w:r>
      <w:r w:rsidR="003A3F1C">
        <w:rPr>
          <w:rFonts w:asciiTheme="minorHAnsi" w:hAnsiTheme="minorHAnsi"/>
          <w:color w:val="auto"/>
          <w:szCs w:val="24"/>
        </w:rPr>
        <w:t>.</w:t>
      </w:r>
      <w:r w:rsidR="001A4F88">
        <w:rPr>
          <w:rFonts w:asciiTheme="minorHAnsi" w:hAnsiTheme="minorHAnsi"/>
          <w:color w:val="auto"/>
          <w:szCs w:val="24"/>
        </w:rPr>
        <w:t xml:space="preserve"> </w:t>
      </w:r>
      <w:r w:rsidR="003A3F1C">
        <w:rPr>
          <w:rFonts w:asciiTheme="minorHAnsi" w:hAnsiTheme="minorHAnsi"/>
          <w:color w:val="auto"/>
          <w:szCs w:val="24"/>
        </w:rPr>
        <w:t xml:space="preserve"> </w:t>
      </w:r>
      <w:r w:rsidR="001A4F88" w:rsidRPr="005F618D">
        <w:rPr>
          <w:rFonts w:asciiTheme="minorHAnsi" w:hAnsiTheme="minorHAnsi"/>
          <w:color w:val="auto"/>
          <w:szCs w:val="24"/>
        </w:rPr>
        <w:t xml:space="preserve">On </w:t>
      </w:r>
      <w:r w:rsidR="007A6995" w:rsidRPr="005F618D">
        <w:rPr>
          <w:rFonts w:asciiTheme="minorHAnsi" w:hAnsiTheme="minorHAnsi"/>
          <w:color w:val="auto"/>
          <w:szCs w:val="24"/>
        </w:rPr>
        <w:t xml:space="preserve">TDRL </w:t>
      </w:r>
      <w:r w:rsidR="001A4F88" w:rsidRPr="005F618D">
        <w:rPr>
          <w:rFonts w:asciiTheme="minorHAnsi" w:hAnsiTheme="minorHAnsi"/>
          <w:color w:val="auto"/>
          <w:szCs w:val="24"/>
        </w:rPr>
        <w:t>re-examination o</w:t>
      </w:r>
      <w:r w:rsidR="007A6995" w:rsidRPr="005F618D">
        <w:rPr>
          <w:rFonts w:asciiTheme="minorHAnsi" w:hAnsiTheme="minorHAnsi"/>
          <w:color w:val="auto"/>
          <w:szCs w:val="24"/>
        </w:rPr>
        <w:t>f</w:t>
      </w:r>
      <w:r w:rsidR="001A4F88" w:rsidRPr="005F618D">
        <w:rPr>
          <w:rFonts w:asciiTheme="minorHAnsi" w:hAnsiTheme="minorHAnsi"/>
          <w:color w:val="auto"/>
          <w:szCs w:val="24"/>
        </w:rPr>
        <w:t xml:space="preserve"> 20070613, t</w:t>
      </w:r>
      <w:r w:rsidR="00357809" w:rsidRPr="005F618D">
        <w:rPr>
          <w:rFonts w:asciiTheme="minorHAnsi" w:hAnsiTheme="minorHAnsi"/>
          <w:color w:val="auto"/>
          <w:szCs w:val="24"/>
        </w:rPr>
        <w:t xml:space="preserve">he examining physician recommended that </w:t>
      </w:r>
      <w:r w:rsidR="001A4F88" w:rsidRPr="005F618D">
        <w:rPr>
          <w:rFonts w:asciiTheme="minorHAnsi" w:hAnsiTheme="minorHAnsi"/>
          <w:color w:val="auto"/>
          <w:szCs w:val="24"/>
        </w:rPr>
        <w:t>the CI</w:t>
      </w:r>
      <w:r w:rsidR="00357809" w:rsidRPr="005F618D">
        <w:rPr>
          <w:rFonts w:asciiTheme="minorHAnsi" w:hAnsiTheme="minorHAnsi"/>
          <w:color w:val="auto"/>
          <w:szCs w:val="24"/>
        </w:rPr>
        <w:t xml:space="preserve"> be returned to active duty.  </w:t>
      </w:r>
      <w:r w:rsidR="001A4F88" w:rsidRPr="005F618D">
        <w:rPr>
          <w:rFonts w:asciiTheme="minorHAnsi" w:hAnsiTheme="minorHAnsi"/>
          <w:color w:val="auto"/>
          <w:szCs w:val="24"/>
        </w:rPr>
        <w:t xml:space="preserve">It appears that the CI </w:t>
      </w:r>
      <w:r w:rsidR="00357809" w:rsidRPr="005F618D">
        <w:rPr>
          <w:rFonts w:asciiTheme="minorHAnsi" w:hAnsiTheme="minorHAnsi"/>
          <w:color w:val="auto"/>
          <w:szCs w:val="24"/>
        </w:rPr>
        <w:t xml:space="preserve">met a Medical Evaluation Board (MEB) 20070618 and was determined to be unfit and referred to </w:t>
      </w:r>
      <w:r w:rsidR="00CE6819" w:rsidRPr="005F618D">
        <w:rPr>
          <w:rFonts w:asciiTheme="minorHAnsi" w:hAnsiTheme="minorHAnsi"/>
          <w:color w:val="auto"/>
          <w:szCs w:val="24"/>
        </w:rPr>
        <w:t xml:space="preserve">the </w:t>
      </w:r>
      <w:r w:rsidR="001A4F88" w:rsidRPr="005F618D">
        <w:rPr>
          <w:rFonts w:asciiTheme="minorHAnsi" w:hAnsiTheme="minorHAnsi"/>
          <w:color w:val="auto"/>
          <w:szCs w:val="24"/>
        </w:rPr>
        <w:t>I</w:t>
      </w:r>
      <w:r w:rsidR="00357809" w:rsidRPr="005F618D">
        <w:rPr>
          <w:rFonts w:asciiTheme="minorHAnsi" w:hAnsiTheme="minorHAnsi"/>
          <w:color w:val="auto"/>
          <w:szCs w:val="24"/>
        </w:rPr>
        <w:t xml:space="preserve">PEB.  </w:t>
      </w:r>
      <w:r w:rsidR="003A3F1C" w:rsidRPr="005F618D">
        <w:rPr>
          <w:rFonts w:asciiTheme="minorHAnsi" w:hAnsiTheme="minorHAnsi" w:cs="Courier New"/>
          <w:color w:val="auto"/>
          <w:szCs w:val="24"/>
        </w:rPr>
        <w:t xml:space="preserve">The right ankle fracture was the only condition submitted </w:t>
      </w:r>
      <w:r w:rsidR="00357809" w:rsidRPr="005F618D">
        <w:rPr>
          <w:rFonts w:asciiTheme="minorHAnsi" w:hAnsiTheme="minorHAnsi" w:cs="Courier New"/>
          <w:color w:val="auto"/>
          <w:szCs w:val="24"/>
        </w:rPr>
        <w:t xml:space="preserve">to the </w:t>
      </w:r>
      <w:r w:rsidR="001A4F88" w:rsidRPr="005F618D">
        <w:rPr>
          <w:rFonts w:asciiTheme="minorHAnsi" w:hAnsiTheme="minorHAnsi" w:cs="Courier New"/>
          <w:color w:val="auto"/>
          <w:szCs w:val="24"/>
        </w:rPr>
        <w:t>I</w:t>
      </w:r>
      <w:r w:rsidR="00357809" w:rsidRPr="005F618D">
        <w:rPr>
          <w:rFonts w:asciiTheme="minorHAnsi" w:hAnsiTheme="minorHAnsi" w:cs="Courier New"/>
          <w:color w:val="auto"/>
          <w:szCs w:val="24"/>
        </w:rPr>
        <w:t>PEB</w:t>
      </w:r>
      <w:r w:rsidR="003A3F1C" w:rsidRPr="005F618D">
        <w:rPr>
          <w:rFonts w:asciiTheme="minorHAnsi" w:hAnsiTheme="minorHAnsi" w:cs="Courier New"/>
          <w:color w:val="auto"/>
          <w:szCs w:val="24"/>
        </w:rPr>
        <w:t xml:space="preserve">. </w:t>
      </w:r>
      <w:r w:rsidR="00CE6819" w:rsidRPr="005F618D">
        <w:rPr>
          <w:rFonts w:asciiTheme="minorHAnsi" w:hAnsiTheme="minorHAnsi" w:cs="Courier New"/>
          <w:color w:val="auto"/>
          <w:szCs w:val="24"/>
        </w:rPr>
        <w:t xml:space="preserve"> </w:t>
      </w:r>
      <w:r w:rsidR="003A3F1C" w:rsidRPr="005F618D">
        <w:rPr>
          <w:rFonts w:asciiTheme="minorHAnsi" w:hAnsiTheme="minorHAnsi" w:cs="Courier New"/>
          <w:color w:val="auto"/>
          <w:szCs w:val="24"/>
        </w:rPr>
        <w:t xml:space="preserve">The </w:t>
      </w:r>
      <w:r w:rsidR="00357809" w:rsidRPr="005F618D">
        <w:rPr>
          <w:rFonts w:asciiTheme="minorHAnsi" w:hAnsiTheme="minorHAnsi" w:cs="Courier New"/>
          <w:color w:val="auto"/>
          <w:szCs w:val="24"/>
        </w:rPr>
        <w:t xml:space="preserve">IPEB </w:t>
      </w:r>
      <w:r w:rsidR="003A3F1C" w:rsidRPr="005F618D">
        <w:rPr>
          <w:rFonts w:asciiTheme="minorHAnsi" w:hAnsiTheme="minorHAnsi" w:cs="Courier New"/>
          <w:color w:val="auto"/>
          <w:szCs w:val="24"/>
        </w:rPr>
        <w:t xml:space="preserve">determined </w:t>
      </w:r>
      <w:r w:rsidR="00357809" w:rsidRPr="005F618D">
        <w:rPr>
          <w:rFonts w:asciiTheme="minorHAnsi" w:hAnsiTheme="minorHAnsi" w:cs="Courier New"/>
          <w:color w:val="auto"/>
          <w:szCs w:val="24"/>
        </w:rPr>
        <w:t xml:space="preserve">the right ankle fracture </w:t>
      </w:r>
      <w:r w:rsidR="003A3F1C" w:rsidRPr="005F618D">
        <w:rPr>
          <w:rFonts w:asciiTheme="minorHAnsi" w:hAnsiTheme="minorHAnsi" w:cs="Courier New"/>
          <w:color w:val="auto"/>
          <w:szCs w:val="24"/>
        </w:rPr>
        <w:t>to be</w:t>
      </w:r>
      <w:r w:rsidR="003A3F1C" w:rsidRPr="003A3F1C">
        <w:rPr>
          <w:rFonts w:asciiTheme="minorHAnsi" w:hAnsiTheme="minorHAnsi" w:cs="Courier New"/>
          <w:color w:val="auto"/>
          <w:szCs w:val="24"/>
        </w:rPr>
        <w:t xml:space="preserve"> Category I</w:t>
      </w:r>
      <w:r w:rsidR="001A4F88">
        <w:rPr>
          <w:rFonts w:asciiTheme="minorHAnsi" w:hAnsiTheme="minorHAnsi" w:cs="Courier New"/>
          <w:color w:val="auto"/>
          <w:szCs w:val="24"/>
        </w:rPr>
        <w:t xml:space="preserve">, </w:t>
      </w:r>
      <w:r w:rsidR="00636992">
        <w:rPr>
          <w:rFonts w:asciiTheme="minorHAnsi" w:hAnsiTheme="minorHAnsi" w:cs="Courier New"/>
          <w:color w:val="auto"/>
          <w:szCs w:val="24"/>
        </w:rPr>
        <w:t>unfit and ratable</w:t>
      </w:r>
      <w:r w:rsidR="001A4F88">
        <w:rPr>
          <w:rFonts w:asciiTheme="minorHAnsi" w:hAnsiTheme="minorHAnsi" w:cs="Courier New"/>
          <w:color w:val="auto"/>
          <w:szCs w:val="24"/>
        </w:rPr>
        <w:t xml:space="preserve"> </w:t>
      </w:r>
      <w:r w:rsidR="007A6995">
        <w:rPr>
          <w:rFonts w:asciiTheme="minorHAnsi" w:hAnsiTheme="minorHAnsi" w:cs="Courier New"/>
          <w:color w:val="auto"/>
          <w:szCs w:val="24"/>
        </w:rPr>
        <w:t xml:space="preserve">at 10% disability </w:t>
      </w:r>
      <w:r w:rsidR="003A3F1C" w:rsidRPr="003A3F1C">
        <w:rPr>
          <w:rFonts w:asciiTheme="minorHAnsi" w:hAnsiTheme="minorHAnsi" w:cs="Courier New"/>
          <w:color w:val="auto"/>
          <w:szCs w:val="24"/>
        </w:rPr>
        <w:t>by Nav</w:t>
      </w:r>
      <w:r w:rsidR="0012018C">
        <w:rPr>
          <w:rFonts w:asciiTheme="minorHAnsi" w:hAnsiTheme="minorHAnsi" w:cs="Courier New"/>
          <w:color w:val="auto"/>
          <w:szCs w:val="24"/>
        </w:rPr>
        <w:t xml:space="preserve">al </w:t>
      </w:r>
      <w:r w:rsidR="003A3F1C" w:rsidRPr="003A3F1C">
        <w:rPr>
          <w:rFonts w:asciiTheme="minorHAnsi" w:hAnsiTheme="minorHAnsi" w:cs="Courier New"/>
          <w:color w:val="auto"/>
          <w:szCs w:val="24"/>
        </w:rPr>
        <w:t>and Department of Defense regulations.</w:t>
      </w:r>
      <w:r w:rsidR="00636992">
        <w:rPr>
          <w:rFonts w:asciiTheme="minorHAnsi" w:hAnsiTheme="minorHAnsi" w:cs="Courier New"/>
          <w:color w:val="auto"/>
          <w:szCs w:val="24"/>
        </w:rPr>
        <w:t xml:space="preserve">  </w:t>
      </w:r>
      <w:r w:rsidR="002276A1">
        <w:rPr>
          <w:rFonts w:asciiTheme="minorHAnsi" w:hAnsiTheme="minorHAnsi" w:cs="Courier New"/>
          <w:color w:val="auto"/>
          <w:szCs w:val="24"/>
        </w:rPr>
        <w:t>T</w:t>
      </w:r>
      <w:r w:rsidR="003A3F1C" w:rsidRPr="003A3F1C">
        <w:rPr>
          <w:rFonts w:asciiTheme="minorHAnsi" w:hAnsiTheme="minorHAnsi" w:cs="Courier New"/>
          <w:color w:val="auto"/>
          <w:szCs w:val="24"/>
        </w:rPr>
        <w:t xml:space="preserve">he </w:t>
      </w:r>
      <w:r w:rsidR="00636992">
        <w:rPr>
          <w:rFonts w:asciiTheme="minorHAnsi" w:hAnsiTheme="minorHAnsi" w:cs="Courier New"/>
          <w:color w:val="auto"/>
          <w:szCs w:val="24"/>
        </w:rPr>
        <w:t xml:space="preserve">IPEB </w:t>
      </w:r>
      <w:r w:rsidR="003A3F1C" w:rsidRPr="003A3F1C">
        <w:rPr>
          <w:rFonts w:asciiTheme="minorHAnsi" w:hAnsiTheme="minorHAnsi" w:cs="Courier New"/>
          <w:color w:val="auto"/>
          <w:szCs w:val="24"/>
        </w:rPr>
        <w:t>recommended removal from the TDRL and separation with severance pay</w:t>
      </w:r>
      <w:r w:rsidR="002276A1">
        <w:rPr>
          <w:rFonts w:asciiTheme="minorHAnsi" w:hAnsiTheme="minorHAnsi" w:cs="Courier New"/>
          <w:color w:val="auto"/>
          <w:szCs w:val="24"/>
        </w:rPr>
        <w:t xml:space="preserve"> on 20071001</w:t>
      </w:r>
      <w:r w:rsidR="003A3F1C" w:rsidRPr="003A3F1C">
        <w:rPr>
          <w:rFonts w:asciiTheme="minorHAnsi" w:hAnsiTheme="minorHAnsi"/>
          <w:color w:val="auto"/>
          <w:szCs w:val="24"/>
        </w:rPr>
        <w:t>.</w:t>
      </w:r>
      <w:r w:rsidR="00636992">
        <w:rPr>
          <w:rFonts w:asciiTheme="minorHAnsi" w:hAnsiTheme="minorHAnsi"/>
          <w:color w:val="auto"/>
          <w:szCs w:val="24"/>
        </w:rPr>
        <w:t xml:space="preserve">  The CI initially appealed the decision, but subsequently accepted the recommendation which the Formal PEB upheld.  </w:t>
      </w:r>
      <w:r w:rsidR="008E5330">
        <w:rPr>
          <w:rFonts w:asciiTheme="minorHAnsi" w:hAnsiTheme="minorHAnsi"/>
          <w:color w:val="auto"/>
          <w:szCs w:val="24"/>
        </w:rPr>
        <w:t>Note: the exact date of separation cannot be determined from the record, but there is a note in the record dated 20080723</w:t>
      </w:r>
      <w:r w:rsidR="00086751">
        <w:rPr>
          <w:rFonts w:asciiTheme="minorHAnsi" w:hAnsiTheme="minorHAnsi"/>
          <w:color w:val="auto"/>
          <w:szCs w:val="24"/>
        </w:rPr>
        <w:t xml:space="preserve"> directing this separation be executed.</w:t>
      </w:r>
      <w:r w:rsidR="0030741D">
        <w:rPr>
          <w:rFonts w:asciiTheme="minorHAnsi" w:hAnsiTheme="minorHAnsi"/>
          <w:color w:val="auto"/>
          <w:szCs w:val="24"/>
        </w:rPr>
        <w:t xml:space="preserve">  </w:t>
      </w:r>
      <w:r w:rsidR="001A4F88">
        <w:rPr>
          <w:rFonts w:asciiTheme="minorHAnsi" w:hAnsiTheme="minorHAnsi"/>
          <w:color w:val="auto"/>
          <w:szCs w:val="24"/>
        </w:rPr>
        <w:t xml:space="preserve"> </w:t>
      </w:r>
    </w:p>
    <w:p w:rsidR="00B427BB" w:rsidRPr="00326C08" w:rsidRDefault="00B427BB" w:rsidP="003E300B">
      <w:pPr>
        <w:jc w:val="both"/>
        <w:rPr>
          <w:color w:val="auto"/>
        </w:rPr>
      </w:pPr>
      <w:r w:rsidRPr="00326C08">
        <w:rPr>
          <w:rFonts w:asciiTheme="minorHAnsi" w:hAnsiTheme="minorHAnsi"/>
          <w:color w:val="auto"/>
        </w:rPr>
        <w:t>______________________________________________________________________________</w:t>
      </w:r>
    </w:p>
    <w:p w:rsidR="00B427BB" w:rsidRPr="00326C08" w:rsidRDefault="00B427BB" w:rsidP="003E300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636992" w:rsidRPr="005F618D" w:rsidRDefault="002C6E5B" w:rsidP="003E300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 w:cs="Courier New"/>
          <w:color w:val="auto"/>
          <w:szCs w:val="24"/>
        </w:rPr>
      </w:pPr>
      <w:r w:rsidRPr="00326C08">
        <w:rPr>
          <w:rFonts w:asciiTheme="minorHAnsi" w:hAnsiTheme="minorHAnsi"/>
          <w:color w:val="auto"/>
          <w:u w:val="single"/>
        </w:rPr>
        <w:t>CI CONTENTION</w:t>
      </w:r>
      <w:r w:rsidRPr="00326C08">
        <w:rPr>
          <w:rFonts w:asciiTheme="minorHAnsi" w:hAnsiTheme="minorHAnsi"/>
          <w:color w:val="auto"/>
        </w:rPr>
        <w:t xml:space="preserve">:  </w:t>
      </w:r>
      <w:r w:rsidR="00636992" w:rsidRPr="00636992">
        <w:rPr>
          <w:rFonts w:asciiTheme="minorHAnsi" w:hAnsiTheme="minorHAnsi" w:cs="Courier New"/>
          <w:color w:val="auto"/>
          <w:szCs w:val="24"/>
        </w:rPr>
        <w:t xml:space="preserve">The CI states: “I </w:t>
      </w:r>
      <w:r w:rsidR="00636992" w:rsidRPr="005F618D">
        <w:rPr>
          <w:rFonts w:asciiTheme="minorHAnsi" w:hAnsiTheme="minorHAnsi" w:cs="Courier New"/>
          <w:color w:val="auto"/>
          <w:szCs w:val="24"/>
        </w:rPr>
        <w:t xml:space="preserve">still do not have full movement in my ankle. After I had my second surgery I asked the physician if I would need physical therapy and I was told that I would be fine. I never had a follow up appointment and the only reason that I am able to walk </w:t>
      </w:r>
      <w:r w:rsidR="00C477A3" w:rsidRPr="005F618D">
        <w:rPr>
          <w:rFonts w:asciiTheme="minorHAnsi" w:hAnsiTheme="minorHAnsi" w:cs="Courier New"/>
          <w:color w:val="auto"/>
          <w:szCs w:val="24"/>
        </w:rPr>
        <w:t xml:space="preserve">is </w:t>
      </w:r>
      <w:r w:rsidR="00636992" w:rsidRPr="005F618D">
        <w:rPr>
          <w:rFonts w:asciiTheme="minorHAnsi" w:hAnsiTheme="minorHAnsi" w:cs="Courier New"/>
          <w:color w:val="auto"/>
          <w:szCs w:val="24"/>
        </w:rPr>
        <w:t>because I finally just put down my crutches and did what I could to walk. After a while my ankle still was not working well and I still did not have full motion so I set up an appointment on my own and went to physical therapy. I was told that there I would probably not ever have full motion like I did prior to the accident due to how long it was before I attended therapy.”</w:t>
      </w:r>
    </w:p>
    <w:p w:rsidR="00B427BB" w:rsidRPr="00326C08" w:rsidRDefault="00B427BB" w:rsidP="003E300B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5F618D">
        <w:rPr>
          <w:rFonts w:asciiTheme="minorHAnsi" w:hAnsiTheme="minorHAnsi"/>
          <w:color w:val="auto"/>
        </w:rPr>
        <w:t>______________________________________________________________________________</w:t>
      </w:r>
    </w:p>
    <w:p w:rsidR="00CD1EF2" w:rsidRPr="003E300B" w:rsidRDefault="00CD1EF2" w:rsidP="003E300B">
      <w:pPr>
        <w:spacing w:line="240" w:lineRule="exact"/>
        <w:jc w:val="both"/>
        <w:rPr>
          <w:rFonts w:asciiTheme="minorHAnsi" w:hAnsiTheme="minorHAnsi"/>
          <w:color w:val="auto"/>
          <w:u w:val="single"/>
        </w:rPr>
      </w:pPr>
    </w:p>
    <w:p w:rsidR="002338CA" w:rsidRPr="003E300B" w:rsidRDefault="002C6E5B" w:rsidP="003E300B">
      <w:pPr>
        <w:jc w:val="both"/>
        <w:rPr>
          <w:rFonts w:asciiTheme="minorHAnsi" w:hAnsiTheme="minorHAnsi"/>
          <w:color w:val="auto"/>
        </w:rPr>
      </w:pPr>
      <w:r w:rsidRPr="003E300B">
        <w:rPr>
          <w:rFonts w:asciiTheme="minorHAnsi" w:hAnsiTheme="minorHAnsi"/>
          <w:color w:val="auto"/>
          <w:u w:val="single"/>
        </w:rPr>
        <w:t>RATING COMPARISON</w:t>
      </w:r>
      <w:r w:rsidRPr="003E300B">
        <w:rPr>
          <w:rFonts w:asciiTheme="minorHAnsi" w:hAnsiTheme="minorHAnsi"/>
          <w:color w:val="auto"/>
        </w:rPr>
        <w:t>:</w:t>
      </w:r>
      <w:r w:rsidR="0030741D" w:rsidRPr="003E300B">
        <w:rPr>
          <w:rFonts w:asciiTheme="minorHAnsi" w:hAnsiTheme="minorHAnsi"/>
          <w:color w:val="auto"/>
        </w:rPr>
        <w:t xml:space="preserve">  </w:t>
      </w:r>
    </w:p>
    <w:p w:rsidR="00F82981" w:rsidRPr="003E300B" w:rsidRDefault="00F82981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tbl>
      <w:tblPr>
        <w:tblStyle w:val="TableGrid"/>
        <w:tblW w:w="9270" w:type="dxa"/>
        <w:jc w:val="center"/>
        <w:tblLayout w:type="fixed"/>
        <w:tblLook w:val="04A0"/>
      </w:tblPr>
      <w:tblGrid>
        <w:gridCol w:w="1890"/>
        <w:gridCol w:w="1080"/>
        <w:gridCol w:w="630"/>
        <w:gridCol w:w="630"/>
        <w:gridCol w:w="2520"/>
        <w:gridCol w:w="765"/>
        <w:gridCol w:w="765"/>
        <w:gridCol w:w="990"/>
      </w:tblGrid>
      <w:tr w:rsidR="00CE6819" w:rsidRPr="003E300B" w:rsidTr="00D379B5">
        <w:trPr>
          <w:trHeight w:val="233"/>
          <w:jc w:val="center"/>
        </w:trPr>
        <w:tc>
          <w:tcPr>
            <w:tcW w:w="4230" w:type="dxa"/>
            <w:gridSpan w:val="4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CE6819" w:rsidRPr="003E300B" w:rsidRDefault="00CE6819" w:rsidP="0009515F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00B">
              <w:rPr>
                <w:rFonts w:cs="Times New Roman"/>
                <w:b/>
                <w:sz w:val="20"/>
                <w:szCs w:val="20"/>
              </w:rPr>
              <w:t xml:space="preserve">Service </w:t>
            </w:r>
            <w:r w:rsidR="0009515F" w:rsidRPr="003E300B">
              <w:rPr>
                <w:rFonts w:cs="Times New Roman"/>
                <w:b/>
                <w:sz w:val="20"/>
                <w:szCs w:val="20"/>
              </w:rPr>
              <w:t>I</w:t>
            </w:r>
            <w:r w:rsidRPr="003E300B">
              <w:rPr>
                <w:rFonts w:cs="Times New Roman"/>
                <w:b/>
                <w:sz w:val="20"/>
                <w:szCs w:val="20"/>
              </w:rPr>
              <w:t xml:space="preserve">PEB – Dated </w:t>
            </w:r>
            <w:r w:rsidR="0009515F" w:rsidRPr="003E300B">
              <w:rPr>
                <w:rFonts w:cs="Times New Roman"/>
                <w:b/>
                <w:sz w:val="20"/>
                <w:szCs w:val="20"/>
              </w:rPr>
              <w:t>20071001</w:t>
            </w:r>
          </w:p>
        </w:tc>
        <w:tc>
          <w:tcPr>
            <w:tcW w:w="5040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CE6819" w:rsidRPr="003E300B" w:rsidRDefault="00CE6819" w:rsidP="007A6995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00B">
              <w:rPr>
                <w:rFonts w:cs="Times New Roman"/>
                <w:b/>
                <w:sz w:val="20"/>
                <w:szCs w:val="20"/>
              </w:rPr>
              <w:t>VA (</w:t>
            </w:r>
            <w:r w:rsidR="007A6995" w:rsidRPr="003E300B">
              <w:rPr>
                <w:rFonts w:cs="Times New Roman"/>
                <w:b/>
                <w:sz w:val="20"/>
                <w:szCs w:val="20"/>
              </w:rPr>
              <w:t>3 yr</w:t>
            </w:r>
            <w:r w:rsidRPr="003E300B">
              <w:rPr>
                <w:rFonts w:cs="Times New Roman"/>
                <w:b/>
                <w:sz w:val="20"/>
                <w:szCs w:val="20"/>
              </w:rPr>
              <w:t>.</w:t>
            </w:r>
            <w:r w:rsidR="0012018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A6995" w:rsidRPr="003E300B">
              <w:rPr>
                <w:rFonts w:cs="Times New Roman"/>
                <w:b/>
                <w:sz w:val="20"/>
                <w:szCs w:val="20"/>
              </w:rPr>
              <w:t>Pre-Separation</w:t>
            </w:r>
            <w:r w:rsidRPr="003E300B">
              <w:rPr>
                <w:rFonts w:cs="Times New Roman"/>
                <w:b/>
                <w:sz w:val="20"/>
                <w:szCs w:val="20"/>
              </w:rPr>
              <w:t>) – All Effective</w:t>
            </w:r>
            <w:r w:rsidR="0009515F" w:rsidRPr="003E300B">
              <w:rPr>
                <w:rFonts w:cs="Times New Roman"/>
                <w:b/>
                <w:sz w:val="20"/>
                <w:szCs w:val="20"/>
              </w:rPr>
              <w:t xml:space="preserve"> 20041115</w:t>
            </w:r>
          </w:p>
        </w:tc>
      </w:tr>
      <w:tr w:rsidR="00CE6819" w:rsidRPr="003E300B" w:rsidTr="007A6995">
        <w:trPr>
          <w:trHeight w:val="233"/>
          <w:jc w:val="center"/>
        </w:trPr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E6819" w:rsidRPr="003E300B" w:rsidRDefault="00CE6819" w:rsidP="00D379B5">
            <w:pPr>
              <w:pStyle w:val="ListParagraph"/>
              <w:spacing w:after="0" w:line="240" w:lineRule="exact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3E300B">
              <w:rPr>
                <w:rFonts w:cs="Times New Roman"/>
                <w:b/>
                <w:sz w:val="18"/>
                <w:szCs w:val="18"/>
              </w:rPr>
              <w:t>Condition</w:t>
            </w:r>
          </w:p>
        </w:tc>
        <w:tc>
          <w:tcPr>
            <w:tcW w:w="1080" w:type="dxa"/>
            <w:vMerge w:val="restar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E6819" w:rsidRPr="003E300B" w:rsidRDefault="00CE6819" w:rsidP="00D379B5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300B">
              <w:rPr>
                <w:rFonts w:cs="Times New Roman"/>
                <w:b/>
                <w:sz w:val="18"/>
                <w:szCs w:val="18"/>
              </w:rPr>
              <w:t>Code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CE6819" w:rsidRPr="003E300B" w:rsidRDefault="00CE6819" w:rsidP="00D379B5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300B">
              <w:rPr>
                <w:rFonts w:cs="Times New Roman"/>
                <w:b/>
                <w:sz w:val="18"/>
                <w:szCs w:val="18"/>
              </w:rPr>
              <w:t>Rating</w:t>
            </w:r>
          </w:p>
        </w:tc>
        <w:tc>
          <w:tcPr>
            <w:tcW w:w="2520" w:type="dxa"/>
            <w:tcBorders>
              <w:left w:val="thinThickThinSmallGap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E6819" w:rsidRPr="003E300B" w:rsidRDefault="00CE6819" w:rsidP="00D379B5">
            <w:pPr>
              <w:pStyle w:val="ListParagraph"/>
              <w:spacing w:after="0" w:line="240" w:lineRule="exact"/>
              <w:ind w:left="0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E300B">
              <w:rPr>
                <w:rFonts w:cs="Times New Roman"/>
                <w:b/>
                <w:sz w:val="18"/>
                <w:szCs w:val="18"/>
              </w:rPr>
              <w:t>Condition</w:t>
            </w:r>
          </w:p>
        </w:tc>
        <w:tc>
          <w:tcPr>
            <w:tcW w:w="765" w:type="dxa"/>
            <w:vMerge w:val="restart"/>
            <w:shd w:val="clear" w:color="auto" w:fill="D9D9D9" w:themeFill="background1" w:themeFillShade="D9"/>
          </w:tcPr>
          <w:p w:rsidR="00CE6819" w:rsidRPr="003E300B" w:rsidRDefault="00CE6819" w:rsidP="00D379B5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300B">
              <w:rPr>
                <w:rFonts w:cs="Times New Roman"/>
                <w:b/>
                <w:sz w:val="18"/>
                <w:szCs w:val="18"/>
              </w:rPr>
              <w:t>Code</w:t>
            </w:r>
          </w:p>
        </w:tc>
        <w:tc>
          <w:tcPr>
            <w:tcW w:w="765" w:type="dxa"/>
            <w:vMerge w:val="restart"/>
            <w:shd w:val="clear" w:color="auto" w:fill="D9D9D9" w:themeFill="background1" w:themeFillShade="D9"/>
          </w:tcPr>
          <w:p w:rsidR="00CE6819" w:rsidRPr="003E300B" w:rsidRDefault="00CE6819" w:rsidP="00D379B5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300B">
              <w:rPr>
                <w:rFonts w:cs="Times New Roman"/>
                <w:b/>
                <w:sz w:val="18"/>
                <w:szCs w:val="18"/>
              </w:rPr>
              <w:t>Rating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CE6819" w:rsidRPr="003E300B" w:rsidRDefault="00CE6819" w:rsidP="00D379B5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300B">
              <w:rPr>
                <w:rFonts w:cs="Times New Roman"/>
                <w:b/>
                <w:sz w:val="18"/>
                <w:szCs w:val="18"/>
              </w:rPr>
              <w:t>Exam</w:t>
            </w:r>
          </w:p>
        </w:tc>
      </w:tr>
      <w:tr w:rsidR="00CE6819" w:rsidRPr="003E300B" w:rsidTr="007A6995">
        <w:trPr>
          <w:trHeight w:val="152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CE6819" w:rsidRPr="003E300B" w:rsidRDefault="00CE6819" w:rsidP="0009515F">
            <w:pPr>
              <w:pStyle w:val="ListParagraph"/>
              <w:spacing w:after="0" w:line="240" w:lineRule="exact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3E300B">
              <w:rPr>
                <w:rFonts w:cs="Times New Roman"/>
                <w:b/>
                <w:sz w:val="18"/>
                <w:szCs w:val="18"/>
              </w:rPr>
              <w:t>On TDRL - 200</w:t>
            </w:r>
            <w:r w:rsidR="0009515F" w:rsidRPr="003E300B">
              <w:rPr>
                <w:rFonts w:cs="Times New Roman"/>
                <w:b/>
                <w:sz w:val="18"/>
                <w:szCs w:val="18"/>
              </w:rPr>
              <w:t>41115</w:t>
            </w: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CE6819" w:rsidRPr="003E300B" w:rsidRDefault="00CE6819" w:rsidP="00D379B5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E6819" w:rsidRPr="003E300B" w:rsidRDefault="00CE6819" w:rsidP="00D379B5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300B">
              <w:rPr>
                <w:rFonts w:cs="Times New Roman"/>
                <w:b/>
                <w:sz w:val="18"/>
                <w:szCs w:val="18"/>
              </w:rPr>
              <w:t>TDRL</w:t>
            </w:r>
          </w:p>
        </w:tc>
        <w:tc>
          <w:tcPr>
            <w:tcW w:w="63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CE6819" w:rsidRPr="003E300B" w:rsidRDefault="00CE6819" w:rsidP="00D379B5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300B">
              <w:rPr>
                <w:rFonts w:cs="Times New Roman"/>
                <w:b/>
                <w:sz w:val="18"/>
                <w:szCs w:val="18"/>
              </w:rPr>
              <w:t>Sep.</w:t>
            </w:r>
          </w:p>
        </w:tc>
        <w:tc>
          <w:tcPr>
            <w:tcW w:w="2520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CE6819" w:rsidRPr="003E300B" w:rsidRDefault="00CE6819" w:rsidP="00D379B5">
            <w:pPr>
              <w:pStyle w:val="ListParagraph"/>
              <w:spacing w:after="0" w:line="240" w:lineRule="exact"/>
              <w:ind w:left="0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E300B">
              <w:rPr>
                <w:rFonts w:cs="Times New Roman"/>
                <w:b/>
                <w:sz w:val="18"/>
                <w:szCs w:val="18"/>
              </w:rPr>
              <w:t>No VA Rating at time of TDRL.</w:t>
            </w:r>
          </w:p>
        </w:tc>
        <w:tc>
          <w:tcPr>
            <w:tcW w:w="765" w:type="dxa"/>
            <w:vMerge/>
            <w:shd w:val="clear" w:color="auto" w:fill="C6D9F1" w:themeFill="text2" w:themeFillTint="33"/>
          </w:tcPr>
          <w:p w:rsidR="00CE6819" w:rsidRPr="003E300B" w:rsidRDefault="00CE6819" w:rsidP="00D379B5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C6D9F1" w:themeFill="text2" w:themeFillTint="33"/>
          </w:tcPr>
          <w:p w:rsidR="00CE6819" w:rsidRPr="003E300B" w:rsidRDefault="00CE6819" w:rsidP="00D379B5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C6D9F1" w:themeFill="text2" w:themeFillTint="33"/>
          </w:tcPr>
          <w:p w:rsidR="00CE6819" w:rsidRPr="003E300B" w:rsidRDefault="00CE6819" w:rsidP="00D379B5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15F" w:rsidRPr="003E300B" w:rsidTr="007A6995">
        <w:trPr>
          <w:trHeight w:val="125"/>
          <w:jc w:val="center"/>
        </w:trPr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9515F" w:rsidRPr="003E300B" w:rsidRDefault="0009515F" w:rsidP="00F45ACA">
            <w:pPr>
              <w:pStyle w:val="ListParagraph"/>
              <w:spacing w:after="0" w:line="200" w:lineRule="exact"/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3E300B">
              <w:rPr>
                <w:rFonts w:cs="Times New Roman"/>
                <w:sz w:val="18"/>
                <w:szCs w:val="18"/>
              </w:rPr>
              <w:t>Right ankle fracture, s</w:t>
            </w:r>
            <w:r w:rsidR="007A6995" w:rsidRPr="003E300B">
              <w:rPr>
                <w:rFonts w:cs="Times New Roman"/>
                <w:sz w:val="18"/>
                <w:szCs w:val="18"/>
              </w:rPr>
              <w:t>/</w:t>
            </w:r>
            <w:r w:rsidRPr="003E300B">
              <w:rPr>
                <w:rFonts w:cs="Times New Roman"/>
                <w:sz w:val="18"/>
                <w:szCs w:val="18"/>
              </w:rPr>
              <w:t>p surgical treatment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9515F" w:rsidRPr="003E300B" w:rsidRDefault="0009515F" w:rsidP="00F45ACA">
            <w:pPr>
              <w:pStyle w:val="ListParagraph"/>
              <w:spacing w:after="0" w:line="20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3E300B">
              <w:rPr>
                <w:rFonts w:cs="Times New Roman"/>
                <w:sz w:val="18"/>
                <w:szCs w:val="18"/>
              </w:rPr>
              <w:t>5284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9515F" w:rsidRPr="003E300B" w:rsidRDefault="0009515F" w:rsidP="00F45ACA">
            <w:pPr>
              <w:pStyle w:val="ListParagraph"/>
              <w:spacing w:after="0" w:line="20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3E300B">
              <w:rPr>
                <w:rFonts w:cs="Times New Roman"/>
                <w:sz w:val="18"/>
                <w:szCs w:val="18"/>
              </w:rPr>
              <w:t>30%</w:t>
            </w:r>
          </w:p>
        </w:tc>
        <w:tc>
          <w:tcPr>
            <w:tcW w:w="63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09515F" w:rsidRPr="003E300B" w:rsidRDefault="0009515F" w:rsidP="00F45ACA">
            <w:pPr>
              <w:pStyle w:val="ListParagraph"/>
              <w:spacing w:after="0" w:line="20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3E300B"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252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09515F" w:rsidRPr="003E300B" w:rsidRDefault="0009515F" w:rsidP="00F45ACA">
            <w:pPr>
              <w:pStyle w:val="ListParagraph"/>
              <w:spacing w:after="0" w:line="200" w:lineRule="exact"/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3E300B">
              <w:rPr>
                <w:rFonts w:cs="Times New Roman"/>
                <w:sz w:val="18"/>
                <w:szCs w:val="18"/>
              </w:rPr>
              <w:t>Residual right ankle, chronic knee and hip pain</w:t>
            </w:r>
            <w:r w:rsidR="007A6995" w:rsidRPr="003E300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shd w:val="clear" w:color="auto" w:fill="FFFFFF" w:themeFill="background1"/>
          </w:tcPr>
          <w:p w:rsidR="0009515F" w:rsidRPr="003E300B" w:rsidRDefault="0009515F" w:rsidP="00F45ACA">
            <w:pPr>
              <w:pStyle w:val="ListParagraph"/>
              <w:spacing w:after="0" w:line="20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3E300B">
              <w:rPr>
                <w:rFonts w:cs="Times New Roman"/>
                <w:sz w:val="18"/>
                <w:szCs w:val="18"/>
              </w:rPr>
              <w:t>5299-5271</w:t>
            </w:r>
          </w:p>
        </w:tc>
        <w:tc>
          <w:tcPr>
            <w:tcW w:w="765" w:type="dxa"/>
            <w:shd w:val="clear" w:color="auto" w:fill="FFFFFF" w:themeFill="background1"/>
          </w:tcPr>
          <w:p w:rsidR="0009515F" w:rsidRPr="003E300B" w:rsidRDefault="0009515F" w:rsidP="00F45ACA">
            <w:pPr>
              <w:pStyle w:val="ListParagraph"/>
              <w:spacing w:after="0" w:line="200" w:lineRule="exact"/>
              <w:ind w:left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3E300B">
              <w:rPr>
                <w:rFonts w:cs="Times New Roman"/>
                <w:sz w:val="18"/>
                <w:szCs w:val="18"/>
              </w:rPr>
              <w:t>20%</w:t>
            </w:r>
          </w:p>
        </w:tc>
        <w:tc>
          <w:tcPr>
            <w:tcW w:w="990" w:type="dxa"/>
            <w:shd w:val="clear" w:color="auto" w:fill="FFFFFF" w:themeFill="background1"/>
          </w:tcPr>
          <w:p w:rsidR="0009515F" w:rsidRPr="003E300B" w:rsidRDefault="0009515F" w:rsidP="00F45ACA">
            <w:pPr>
              <w:pStyle w:val="ListParagraph"/>
              <w:spacing w:after="0" w:line="200" w:lineRule="exact"/>
              <w:ind w:left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3E300B">
              <w:rPr>
                <w:rFonts w:cs="Times New Roman"/>
                <w:sz w:val="18"/>
                <w:szCs w:val="18"/>
              </w:rPr>
              <w:t>20050405</w:t>
            </w:r>
          </w:p>
        </w:tc>
      </w:tr>
      <w:tr w:rsidR="0009515F" w:rsidRPr="003E300B" w:rsidTr="007A6995">
        <w:trPr>
          <w:trHeight w:val="188"/>
          <w:jc w:val="center"/>
        </w:trPr>
        <w:tc>
          <w:tcPr>
            <w:tcW w:w="4230" w:type="dxa"/>
            <w:gridSpan w:val="4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09515F" w:rsidRPr="003E300B" w:rsidRDefault="0009515F" w:rsidP="00F45ACA">
            <w:pPr>
              <w:pStyle w:val="ListParagraph"/>
              <w:spacing w:after="0" w:line="20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3E300B">
              <w:rPr>
                <w:rFonts w:cs="Times New Roman"/>
                <w:sz w:val="18"/>
                <w:szCs w:val="18"/>
              </w:rPr>
              <w:t>↓No Additional MEB Entries↓</w:t>
            </w:r>
          </w:p>
        </w:tc>
        <w:tc>
          <w:tcPr>
            <w:tcW w:w="252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09515F" w:rsidRPr="003E300B" w:rsidRDefault="0009515F" w:rsidP="00F45ACA">
            <w:pPr>
              <w:spacing w:line="200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3E300B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FFFFFF" w:themeFill="background1"/>
          </w:tcPr>
          <w:p w:rsidR="0009515F" w:rsidRPr="003E300B" w:rsidRDefault="0009515F" w:rsidP="00F45ACA">
            <w:pPr>
              <w:pStyle w:val="ListParagraph"/>
              <w:spacing w:after="0" w:line="200" w:lineRule="exact"/>
              <w:ind w:left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09515F" w:rsidRPr="003E300B" w:rsidRDefault="0009515F" w:rsidP="00F45ACA">
            <w:pPr>
              <w:pStyle w:val="ListParagraph"/>
              <w:spacing w:after="0" w:line="200" w:lineRule="exact"/>
              <w:ind w:left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9515F" w:rsidRPr="003E300B" w:rsidRDefault="0009515F" w:rsidP="00F45ACA">
            <w:pPr>
              <w:pStyle w:val="ListParagraph"/>
              <w:spacing w:after="0" w:line="200" w:lineRule="exact"/>
              <w:ind w:left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CE6819" w:rsidRPr="003E300B" w:rsidTr="00D379B5">
        <w:trPr>
          <w:trHeight w:val="242"/>
          <w:jc w:val="center"/>
        </w:trPr>
        <w:tc>
          <w:tcPr>
            <w:tcW w:w="4230" w:type="dxa"/>
            <w:gridSpan w:val="4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CE6819" w:rsidRPr="003E300B" w:rsidRDefault="00CE6819" w:rsidP="0009515F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00B">
              <w:rPr>
                <w:rFonts w:cs="Times New Roman"/>
                <w:b/>
                <w:sz w:val="20"/>
                <w:szCs w:val="20"/>
              </w:rPr>
              <w:t>TOTAL Combined:</w:t>
            </w:r>
            <w:r w:rsidR="0009515F" w:rsidRPr="003E300B">
              <w:rPr>
                <w:rFonts w:cs="Times New Roman"/>
                <w:b/>
                <w:sz w:val="20"/>
                <w:szCs w:val="20"/>
              </w:rPr>
              <w:t xml:space="preserve">  1</w:t>
            </w:r>
            <w:r w:rsidRPr="003E300B">
              <w:rPr>
                <w:rFonts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5040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CE6819" w:rsidRPr="003E300B" w:rsidRDefault="00CE6819" w:rsidP="0009515F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00B">
              <w:rPr>
                <w:rFonts w:cs="Times New Roman"/>
                <w:b/>
                <w:sz w:val="20"/>
                <w:szCs w:val="20"/>
              </w:rPr>
              <w:t xml:space="preserve">TOTAL Combined: </w:t>
            </w:r>
            <w:r w:rsidR="0009515F" w:rsidRPr="003E300B">
              <w:rPr>
                <w:rFonts w:cs="Times New Roman"/>
                <w:b/>
                <w:sz w:val="20"/>
                <w:szCs w:val="20"/>
              </w:rPr>
              <w:t xml:space="preserve"> 2</w:t>
            </w:r>
            <w:r w:rsidRPr="003E300B">
              <w:rPr>
                <w:rFonts w:cs="Times New Roman"/>
                <w:b/>
                <w:sz w:val="20"/>
                <w:szCs w:val="20"/>
              </w:rPr>
              <w:t>0%</w:t>
            </w:r>
          </w:p>
        </w:tc>
      </w:tr>
    </w:tbl>
    <w:p w:rsidR="00B427BB" w:rsidRPr="003E300B" w:rsidRDefault="00B427BB" w:rsidP="00B427BB">
      <w:pPr>
        <w:rPr>
          <w:color w:val="auto"/>
        </w:rPr>
      </w:pPr>
      <w:r w:rsidRPr="003E300B">
        <w:rPr>
          <w:rFonts w:asciiTheme="minorHAnsi" w:hAnsiTheme="minorHAnsi"/>
          <w:color w:val="auto"/>
        </w:rPr>
        <w:t>______________________________________________________________________________</w:t>
      </w:r>
    </w:p>
    <w:p w:rsidR="00A90D55" w:rsidRPr="003E300B" w:rsidRDefault="00A90D55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3E300B" w:rsidRPr="003E300B" w:rsidRDefault="003E300B">
      <w:pPr>
        <w:rPr>
          <w:rFonts w:asciiTheme="minorHAnsi" w:hAnsiTheme="minorHAnsi"/>
          <w:color w:val="auto"/>
          <w:szCs w:val="24"/>
          <w:u w:val="single"/>
        </w:rPr>
      </w:pPr>
      <w:r w:rsidRPr="003E300B">
        <w:rPr>
          <w:rFonts w:asciiTheme="minorHAnsi" w:hAnsiTheme="minorHAnsi"/>
          <w:color w:val="auto"/>
          <w:szCs w:val="24"/>
          <w:u w:val="single"/>
        </w:rPr>
        <w:br w:type="page"/>
      </w:r>
    </w:p>
    <w:p w:rsidR="00D3662E" w:rsidRDefault="002C6E5B" w:rsidP="00AF1668">
      <w:pPr>
        <w:tabs>
          <w:tab w:val="left" w:pos="288"/>
          <w:tab w:val="left" w:pos="4752"/>
        </w:tabs>
        <w:spacing w:line="240" w:lineRule="exact"/>
        <w:rPr>
          <w:rFonts w:asciiTheme="minorHAnsi" w:hAnsiTheme="minorHAnsi"/>
          <w:color w:val="auto"/>
          <w:szCs w:val="24"/>
        </w:rPr>
      </w:pPr>
      <w:r w:rsidRPr="00396779">
        <w:rPr>
          <w:rFonts w:asciiTheme="minorHAnsi" w:hAnsiTheme="minorHAnsi"/>
          <w:color w:val="auto"/>
          <w:szCs w:val="24"/>
          <w:u w:val="single"/>
        </w:rPr>
        <w:lastRenderedPageBreak/>
        <w:t>ANALYSIS SUMMARY</w:t>
      </w:r>
      <w:r w:rsidRPr="00396779">
        <w:rPr>
          <w:rFonts w:asciiTheme="minorHAnsi" w:hAnsiTheme="minorHAnsi"/>
          <w:color w:val="auto"/>
          <w:szCs w:val="24"/>
        </w:rPr>
        <w:t>:</w:t>
      </w:r>
      <w:r w:rsidR="007A6995">
        <w:rPr>
          <w:rFonts w:asciiTheme="minorHAnsi" w:hAnsiTheme="minorHAnsi"/>
          <w:color w:val="auto"/>
          <w:szCs w:val="24"/>
        </w:rPr>
        <w:t xml:space="preserve">  </w:t>
      </w:r>
    </w:p>
    <w:p w:rsidR="005F618D" w:rsidRPr="00396779" w:rsidRDefault="005F618D" w:rsidP="00AF1668">
      <w:pPr>
        <w:tabs>
          <w:tab w:val="left" w:pos="288"/>
          <w:tab w:val="left" w:pos="4752"/>
        </w:tabs>
        <w:spacing w:line="240" w:lineRule="exact"/>
        <w:rPr>
          <w:rFonts w:asciiTheme="minorHAnsi" w:hAnsiTheme="minorHAnsi"/>
          <w:color w:val="auto"/>
          <w:szCs w:val="24"/>
        </w:rPr>
      </w:pPr>
    </w:p>
    <w:p w:rsidR="0030741D" w:rsidRDefault="00CD320B" w:rsidP="008E5330">
      <w:pPr>
        <w:tabs>
          <w:tab w:val="left" w:pos="288"/>
          <w:tab w:val="left" w:pos="4752"/>
        </w:tabs>
        <w:spacing w:line="240" w:lineRule="exact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  <w:u w:val="single"/>
        </w:rPr>
        <w:t>Right ankle</w:t>
      </w:r>
      <w:r w:rsidR="002C6E5B" w:rsidRPr="00396779">
        <w:rPr>
          <w:rFonts w:asciiTheme="minorHAnsi" w:hAnsiTheme="minorHAnsi"/>
          <w:color w:val="auto"/>
          <w:szCs w:val="24"/>
          <w:u w:val="single"/>
        </w:rPr>
        <w:t xml:space="preserve"> Condition</w:t>
      </w:r>
      <w:r w:rsidRPr="00CD320B">
        <w:rPr>
          <w:rFonts w:asciiTheme="minorHAnsi" w:hAnsiTheme="minorHAnsi"/>
          <w:color w:val="auto"/>
          <w:szCs w:val="24"/>
        </w:rPr>
        <w:t>:</w:t>
      </w:r>
      <w:r w:rsidR="002C6E5B" w:rsidRPr="00CD320B">
        <w:rPr>
          <w:rFonts w:asciiTheme="minorHAnsi" w:hAnsiTheme="minorHAnsi"/>
          <w:color w:val="auto"/>
          <w:szCs w:val="24"/>
        </w:rPr>
        <w:t xml:space="preserve"> </w:t>
      </w:r>
      <w:r w:rsidR="002C6E5B" w:rsidRPr="00396779">
        <w:rPr>
          <w:rFonts w:asciiTheme="minorHAnsi" w:hAnsiTheme="minorHAnsi"/>
          <w:color w:val="auto"/>
          <w:szCs w:val="24"/>
        </w:rPr>
        <w:t xml:space="preserve"> </w:t>
      </w:r>
      <w:r>
        <w:rPr>
          <w:rFonts w:asciiTheme="minorHAnsi" w:hAnsiTheme="minorHAnsi"/>
          <w:color w:val="auto"/>
          <w:szCs w:val="24"/>
        </w:rPr>
        <w:t xml:space="preserve">There </w:t>
      </w:r>
      <w:r w:rsidR="00EE2520">
        <w:rPr>
          <w:rFonts w:asciiTheme="minorHAnsi" w:hAnsiTheme="minorHAnsi"/>
          <w:color w:val="auto"/>
          <w:szCs w:val="24"/>
        </w:rPr>
        <w:t>were two</w:t>
      </w:r>
      <w:r w:rsidR="007C6046" w:rsidRPr="00CD320B">
        <w:rPr>
          <w:rFonts w:asciiTheme="minorHAnsi" w:hAnsiTheme="minorHAnsi"/>
          <w:color w:val="auto"/>
          <w:szCs w:val="24"/>
        </w:rPr>
        <w:t xml:space="preserve"> goniometric</w:t>
      </w:r>
      <w:r w:rsidR="007C6046" w:rsidRPr="00396779">
        <w:rPr>
          <w:rFonts w:asciiTheme="minorHAnsi" w:hAnsiTheme="minorHAnsi"/>
          <w:color w:val="auto"/>
          <w:szCs w:val="24"/>
        </w:rPr>
        <w:t xml:space="preserve"> range-of-motion (ROM) evaluations in evidence which the Board </w:t>
      </w:r>
      <w:r w:rsidR="00743E36" w:rsidRPr="00396779">
        <w:rPr>
          <w:rFonts w:asciiTheme="minorHAnsi" w:hAnsiTheme="minorHAnsi"/>
          <w:color w:val="auto"/>
          <w:szCs w:val="24"/>
        </w:rPr>
        <w:t>weighed in arriving at its rating recommendation</w:t>
      </w:r>
      <w:r w:rsidR="007C6046" w:rsidRPr="00396779">
        <w:rPr>
          <w:rFonts w:asciiTheme="minorHAnsi" w:hAnsiTheme="minorHAnsi"/>
          <w:color w:val="auto"/>
          <w:szCs w:val="24"/>
        </w:rPr>
        <w:t>.</w:t>
      </w:r>
      <w:r w:rsidR="00743E36" w:rsidRPr="00396779">
        <w:rPr>
          <w:rFonts w:asciiTheme="minorHAnsi" w:hAnsiTheme="minorHAnsi"/>
          <w:color w:val="auto"/>
          <w:szCs w:val="24"/>
        </w:rPr>
        <w:t xml:space="preserve"> </w:t>
      </w:r>
      <w:r w:rsidR="009C22C8" w:rsidRPr="00EE2520">
        <w:rPr>
          <w:rFonts w:asciiTheme="minorHAnsi" w:hAnsiTheme="minorHAnsi"/>
          <w:color w:val="auto"/>
          <w:szCs w:val="24"/>
        </w:rPr>
        <w:t>Both</w:t>
      </w:r>
      <w:r w:rsidR="009C22C8" w:rsidRPr="00396779">
        <w:rPr>
          <w:rFonts w:asciiTheme="minorHAnsi" w:hAnsiTheme="minorHAnsi"/>
          <w:color w:val="auto"/>
          <w:szCs w:val="24"/>
        </w:rPr>
        <w:t xml:space="preserve"> of these exams are summarized in the chart below.</w:t>
      </w:r>
      <w:r w:rsidR="00C26661">
        <w:rPr>
          <w:rFonts w:asciiTheme="minorHAnsi" w:hAnsiTheme="minorHAnsi"/>
          <w:color w:val="auto"/>
          <w:szCs w:val="24"/>
        </w:rPr>
        <w:t xml:space="preserve">  </w:t>
      </w:r>
    </w:p>
    <w:p w:rsidR="0030741D" w:rsidRDefault="0030741D" w:rsidP="008E5330">
      <w:pPr>
        <w:tabs>
          <w:tab w:val="left" w:pos="288"/>
          <w:tab w:val="left" w:pos="4752"/>
        </w:tabs>
        <w:spacing w:line="240" w:lineRule="exact"/>
        <w:rPr>
          <w:rFonts w:asciiTheme="minorHAnsi" w:hAnsiTheme="minorHAnsi"/>
          <w:color w:val="auto"/>
          <w:szCs w:val="24"/>
        </w:rPr>
      </w:pPr>
    </w:p>
    <w:tbl>
      <w:tblPr>
        <w:tblW w:w="47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0"/>
        <w:gridCol w:w="2695"/>
        <w:gridCol w:w="1984"/>
        <w:gridCol w:w="2365"/>
      </w:tblGrid>
      <w:tr w:rsidR="00B72E96" w:rsidRPr="00396779" w:rsidTr="003E300B">
        <w:trPr>
          <w:jc w:val="center"/>
        </w:trPr>
        <w:tc>
          <w:tcPr>
            <w:tcW w:w="1119" w:type="pct"/>
            <w:shd w:val="clear" w:color="auto" w:fill="D9D9D9" w:themeFill="background1" w:themeFillShade="D9"/>
          </w:tcPr>
          <w:p w:rsidR="00B72E96" w:rsidRPr="00396779" w:rsidRDefault="00342A2A" w:rsidP="00D379B5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Right Ankle</w:t>
            </w:r>
          </w:p>
        </w:tc>
        <w:tc>
          <w:tcPr>
            <w:tcW w:w="3881" w:type="pct"/>
            <w:gridSpan w:val="3"/>
            <w:shd w:val="clear" w:color="auto" w:fill="D9D9D9" w:themeFill="background1" w:themeFillShade="D9"/>
          </w:tcPr>
          <w:p w:rsidR="00B72E96" w:rsidRPr="00396779" w:rsidRDefault="00B72E96" w:rsidP="00D379B5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396779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Separation Date:  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20080723</w:t>
            </w:r>
          </w:p>
        </w:tc>
      </w:tr>
      <w:tr w:rsidR="003E300B" w:rsidRPr="00396779" w:rsidTr="003E300B">
        <w:trPr>
          <w:jc w:val="center"/>
        </w:trPr>
        <w:tc>
          <w:tcPr>
            <w:tcW w:w="1119" w:type="pct"/>
            <w:shd w:val="clear" w:color="auto" w:fill="D9D9D9" w:themeFill="background1" w:themeFillShade="D9"/>
          </w:tcPr>
          <w:p w:rsidR="00B72E96" w:rsidRPr="005F618D" w:rsidRDefault="00B72E96" w:rsidP="00D379B5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F618D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Goniometric ROM</w:t>
            </w:r>
          </w:p>
        </w:tc>
        <w:tc>
          <w:tcPr>
            <w:tcW w:w="1485" w:type="pct"/>
            <w:shd w:val="clear" w:color="auto" w:fill="D9D9D9" w:themeFill="background1" w:themeFillShade="D9"/>
          </w:tcPr>
          <w:p w:rsidR="00B72E96" w:rsidRPr="005F618D" w:rsidRDefault="00C477A3" w:rsidP="00D379B5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F618D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Entry </w:t>
            </w:r>
            <w:r w:rsidR="00B72E96" w:rsidRPr="005F618D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NARSUM - 2004082</w:t>
            </w:r>
            <w:r w:rsidR="00572F63" w:rsidRPr="005F618D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093" w:type="pct"/>
            <w:shd w:val="clear" w:color="auto" w:fill="D9D9D9" w:themeFill="background1" w:themeFillShade="D9"/>
          </w:tcPr>
          <w:p w:rsidR="00B72E96" w:rsidRPr="00396779" w:rsidRDefault="00B72E96" w:rsidP="00D379B5">
            <w:pPr>
              <w:spacing w:line="240" w:lineRule="exact"/>
              <w:contextualSpacing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396779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VA</w:t>
            </w:r>
            <w:r w:rsidRPr="0039677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C&amp;P -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20050405</w:t>
            </w:r>
          </w:p>
        </w:tc>
        <w:tc>
          <w:tcPr>
            <w:tcW w:w="1303" w:type="pct"/>
            <w:shd w:val="clear" w:color="auto" w:fill="D9D9D9" w:themeFill="background1" w:themeFillShade="D9"/>
          </w:tcPr>
          <w:p w:rsidR="00B72E96" w:rsidRPr="00396779" w:rsidRDefault="00B72E96" w:rsidP="00F127E4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396779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PT - 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20070611</w:t>
            </w:r>
          </w:p>
        </w:tc>
      </w:tr>
      <w:tr w:rsidR="003E300B" w:rsidRPr="00396779" w:rsidTr="003E300B">
        <w:trPr>
          <w:jc w:val="center"/>
        </w:trPr>
        <w:tc>
          <w:tcPr>
            <w:tcW w:w="1119" w:type="pct"/>
          </w:tcPr>
          <w:p w:rsidR="003E300B" w:rsidRDefault="00B72E96" w:rsidP="0030741D">
            <w:pPr>
              <w:spacing w:line="240" w:lineRule="exact"/>
              <w:contextualSpacing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Dorsi</w:t>
            </w:r>
            <w:proofErr w:type="spellEnd"/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 Flexion </w:t>
            </w:r>
          </w:p>
          <w:p w:rsidR="00B72E96" w:rsidRPr="00396779" w:rsidRDefault="00B72E96" w:rsidP="0030741D">
            <w:pPr>
              <w:spacing w:line="240" w:lineRule="exact"/>
              <w:contextualSpacing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0-2</w:t>
            </w:r>
            <w:r w:rsidRPr="00396779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0⁰ normal</w:t>
            </w:r>
          </w:p>
        </w:tc>
        <w:tc>
          <w:tcPr>
            <w:tcW w:w="1485" w:type="pct"/>
          </w:tcPr>
          <w:p w:rsidR="00B72E96" w:rsidRPr="00396779" w:rsidRDefault="00572F63" w:rsidP="0030741D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Surgery 20040824</w:t>
            </w:r>
          </w:p>
        </w:tc>
        <w:tc>
          <w:tcPr>
            <w:tcW w:w="1093" w:type="pct"/>
          </w:tcPr>
          <w:p w:rsidR="00B72E96" w:rsidRPr="00396779" w:rsidRDefault="00B72E96" w:rsidP="0030741D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10</w:t>
            </w:r>
            <w:r w:rsidRPr="00396779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⁰</w:t>
            </w:r>
          </w:p>
        </w:tc>
        <w:tc>
          <w:tcPr>
            <w:tcW w:w="1303" w:type="pct"/>
          </w:tcPr>
          <w:p w:rsidR="00B72E96" w:rsidRPr="00396779" w:rsidRDefault="00B72E96" w:rsidP="00F127E4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0</w:t>
            </w:r>
            <w:r w:rsidRPr="00396779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⁰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  With pain</w:t>
            </w:r>
          </w:p>
        </w:tc>
      </w:tr>
      <w:tr w:rsidR="003E300B" w:rsidRPr="00396779" w:rsidTr="003E300B">
        <w:trPr>
          <w:jc w:val="center"/>
        </w:trPr>
        <w:tc>
          <w:tcPr>
            <w:tcW w:w="1119" w:type="pct"/>
          </w:tcPr>
          <w:p w:rsidR="003E300B" w:rsidRDefault="00B72E96" w:rsidP="0030741D">
            <w:pPr>
              <w:spacing w:line="240" w:lineRule="exact"/>
              <w:contextualSpacing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Plantar flexion </w:t>
            </w:r>
          </w:p>
          <w:p w:rsidR="00B72E96" w:rsidRPr="00396779" w:rsidRDefault="00B72E96" w:rsidP="0030741D">
            <w:pPr>
              <w:spacing w:line="240" w:lineRule="exact"/>
              <w:contextualSpacing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0-</w:t>
            </w:r>
            <w:r w:rsidRPr="00396779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40⁰ normal</w:t>
            </w:r>
          </w:p>
        </w:tc>
        <w:tc>
          <w:tcPr>
            <w:tcW w:w="1485" w:type="pct"/>
          </w:tcPr>
          <w:p w:rsidR="00B72E96" w:rsidRPr="00396779" w:rsidRDefault="00B72E96" w:rsidP="0030741D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</w:tc>
        <w:tc>
          <w:tcPr>
            <w:tcW w:w="1093" w:type="pct"/>
          </w:tcPr>
          <w:p w:rsidR="00B72E96" w:rsidRPr="00396779" w:rsidRDefault="00B72E96" w:rsidP="0030741D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20</w:t>
            </w:r>
            <w:r w:rsidRPr="00396779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⁰</w:t>
            </w:r>
          </w:p>
        </w:tc>
        <w:tc>
          <w:tcPr>
            <w:tcW w:w="1303" w:type="pct"/>
          </w:tcPr>
          <w:p w:rsidR="00B72E96" w:rsidRPr="00396779" w:rsidRDefault="00B72E96" w:rsidP="00F127E4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40</w:t>
            </w:r>
            <w:r w:rsidRPr="00396779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⁰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  With pain</w:t>
            </w:r>
          </w:p>
        </w:tc>
      </w:tr>
      <w:tr w:rsidR="003E300B" w:rsidRPr="00396779" w:rsidTr="003E300B">
        <w:trPr>
          <w:jc w:val="center"/>
        </w:trPr>
        <w:tc>
          <w:tcPr>
            <w:tcW w:w="1119" w:type="pct"/>
          </w:tcPr>
          <w:p w:rsidR="00B72E96" w:rsidRPr="00396779" w:rsidRDefault="00B72E96" w:rsidP="0030741D">
            <w:pPr>
              <w:tabs>
                <w:tab w:val="left" w:pos="288"/>
                <w:tab w:val="left" w:pos="4752"/>
              </w:tabs>
              <w:spacing w:line="240" w:lineRule="exact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 w:rsidRPr="00396779"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§4.71a Rating</w:t>
            </w:r>
          </w:p>
        </w:tc>
        <w:tc>
          <w:tcPr>
            <w:tcW w:w="1485" w:type="pct"/>
          </w:tcPr>
          <w:p w:rsidR="00B72E96" w:rsidRPr="00396779" w:rsidRDefault="00B72E96" w:rsidP="00D379B5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093" w:type="pct"/>
          </w:tcPr>
          <w:p w:rsidR="00B72E96" w:rsidRPr="00396779" w:rsidRDefault="00B72E96" w:rsidP="00D379B5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20</w:t>
            </w:r>
            <w:r w:rsidRPr="00396779"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%</w:t>
            </w:r>
          </w:p>
        </w:tc>
        <w:tc>
          <w:tcPr>
            <w:tcW w:w="1303" w:type="pct"/>
          </w:tcPr>
          <w:p w:rsidR="00B72E96" w:rsidRPr="00396779" w:rsidRDefault="005F618D" w:rsidP="00F127E4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10%</w:t>
            </w:r>
          </w:p>
        </w:tc>
      </w:tr>
      <w:tr w:rsidR="003E300B" w:rsidRPr="00396779" w:rsidTr="003E300B">
        <w:trPr>
          <w:trHeight w:val="70"/>
          <w:jc w:val="center"/>
        </w:trPr>
        <w:tc>
          <w:tcPr>
            <w:tcW w:w="1119" w:type="pct"/>
          </w:tcPr>
          <w:p w:rsidR="00B72E96" w:rsidRPr="00396779" w:rsidRDefault="00B72E96" w:rsidP="00F45ACA">
            <w:pPr>
              <w:tabs>
                <w:tab w:val="left" w:pos="288"/>
                <w:tab w:val="left" w:pos="4752"/>
              </w:tabs>
              <w:spacing w:line="200" w:lineRule="exact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 w:rsidRPr="00396779"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Comments</w:t>
            </w:r>
          </w:p>
        </w:tc>
        <w:tc>
          <w:tcPr>
            <w:tcW w:w="1485" w:type="pct"/>
          </w:tcPr>
          <w:p w:rsidR="00B72E96" w:rsidRPr="00396779" w:rsidRDefault="00B72E96" w:rsidP="00B72E96">
            <w:pPr>
              <w:tabs>
                <w:tab w:val="left" w:pos="288"/>
                <w:tab w:val="left" w:pos="4752"/>
              </w:tabs>
              <w:spacing w:line="200" w:lineRule="exact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 w:rsidRPr="00B72E96"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completely</w:t>
            </w:r>
            <w:r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 xml:space="preserve"> </w:t>
            </w:r>
            <w:r w:rsidRPr="00B72E96"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non-weight bearing on her right lower extremity with a cast and</w:t>
            </w:r>
            <w:r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 xml:space="preserve"> </w:t>
            </w:r>
            <w:r w:rsidRPr="00B72E96"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crutches</w:t>
            </w:r>
          </w:p>
        </w:tc>
        <w:tc>
          <w:tcPr>
            <w:tcW w:w="1093" w:type="pct"/>
          </w:tcPr>
          <w:p w:rsidR="00B72E96" w:rsidRPr="00396779" w:rsidRDefault="00B72E96" w:rsidP="00F45ACA">
            <w:pPr>
              <w:tabs>
                <w:tab w:val="left" w:pos="288"/>
                <w:tab w:val="left" w:pos="4752"/>
              </w:tabs>
              <w:spacing w:line="200" w:lineRule="exact"/>
              <w:jc w:val="center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No pain noted</w:t>
            </w:r>
          </w:p>
        </w:tc>
        <w:tc>
          <w:tcPr>
            <w:tcW w:w="1303" w:type="pct"/>
          </w:tcPr>
          <w:p w:rsidR="00B72E96" w:rsidRPr="00396779" w:rsidRDefault="00B72E96" w:rsidP="00F127E4">
            <w:pPr>
              <w:tabs>
                <w:tab w:val="left" w:pos="288"/>
                <w:tab w:val="left" w:pos="4752"/>
              </w:tabs>
              <w:spacing w:line="200" w:lineRule="exact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ROM with pain; no instability or weakness.  Stiffness secondary to capsular adhesions</w:t>
            </w:r>
          </w:p>
        </w:tc>
      </w:tr>
    </w:tbl>
    <w:p w:rsidR="0030741D" w:rsidRDefault="0030741D" w:rsidP="003E300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B5554E" w:rsidRDefault="00572F63" w:rsidP="003E300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The CI’s initial entry into TDRL was very soon following surgery and the </w:t>
      </w:r>
      <w:r w:rsidR="00D919C4">
        <w:rPr>
          <w:rFonts w:asciiTheme="minorHAnsi" w:hAnsiTheme="minorHAnsi"/>
          <w:color w:val="auto"/>
          <w:szCs w:val="24"/>
        </w:rPr>
        <w:t>Narrative Summary (</w:t>
      </w:r>
      <w:r>
        <w:rPr>
          <w:rFonts w:asciiTheme="minorHAnsi" w:hAnsiTheme="minorHAnsi"/>
          <w:color w:val="auto"/>
          <w:szCs w:val="24"/>
        </w:rPr>
        <w:t>NARSUM</w:t>
      </w:r>
      <w:r w:rsidR="00D919C4">
        <w:rPr>
          <w:rFonts w:asciiTheme="minorHAnsi" w:hAnsiTheme="minorHAnsi"/>
          <w:color w:val="auto"/>
          <w:szCs w:val="24"/>
        </w:rPr>
        <w:t>)</w:t>
      </w:r>
      <w:r>
        <w:rPr>
          <w:rFonts w:asciiTheme="minorHAnsi" w:hAnsiTheme="minorHAnsi"/>
          <w:color w:val="auto"/>
          <w:szCs w:val="24"/>
        </w:rPr>
        <w:t xml:space="preserve"> indicated extensive healing time (over 18 weeks) and “</w:t>
      </w:r>
      <w:r w:rsidRPr="00572F63">
        <w:rPr>
          <w:rFonts w:asciiTheme="minorHAnsi" w:hAnsiTheme="minorHAnsi"/>
          <w:color w:val="auto"/>
          <w:szCs w:val="24"/>
        </w:rPr>
        <w:t>completely non-weight bearing on her right lower extremity with a cast and crutches</w:t>
      </w:r>
      <w:r>
        <w:rPr>
          <w:rFonts w:asciiTheme="minorHAnsi" w:hAnsiTheme="minorHAnsi"/>
          <w:color w:val="auto"/>
          <w:szCs w:val="24"/>
        </w:rPr>
        <w:t>.”  T</w:t>
      </w:r>
      <w:r w:rsidR="00C26661">
        <w:rPr>
          <w:rFonts w:asciiTheme="minorHAnsi" w:hAnsiTheme="minorHAnsi"/>
          <w:color w:val="auto"/>
          <w:szCs w:val="24"/>
        </w:rPr>
        <w:t xml:space="preserve">he VA exam was </w:t>
      </w:r>
      <w:r w:rsidR="0030741D">
        <w:rPr>
          <w:rFonts w:asciiTheme="minorHAnsi" w:hAnsiTheme="minorHAnsi"/>
          <w:color w:val="auto"/>
          <w:szCs w:val="24"/>
        </w:rPr>
        <w:t>3</w:t>
      </w:r>
      <w:r w:rsidR="00C26661">
        <w:rPr>
          <w:rFonts w:asciiTheme="minorHAnsi" w:hAnsiTheme="minorHAnsi"/>
          <w:color w:val="auto"/>
          <w:szCs w:val="24"/>
        </w:rPr>
        <w:t xml:space="preserve"> years prior to </w:t>
      </w:r>
      <w:r w:rsidR="00F45ACA">
        <w:rPr>
          <w:rFonts w:asciiTheme="minorHAnsi" w:hAnsiTheme="minorHAnsi"/>
          <w:color w:val="auto"/>
          <w:szCs w:val="24"/>
        </w:rPr>
        <w:t xml:space="preserve">permanent </w:t>
      </w:r>
      <w:r w:rsidR="00C26661">
        <w:rPr>
          <w:rFonts w:asciiTheme="minorHAnsi" w:hAnsiTheme="minorHAnsi"/>
          <w:color w:val="auto"/>
          <w:szCs w:val="24"/>
        </w:rPr>
        <w:t>separation</w:t>
      </w:r>
      <w:r w:rsidR="00C477A3">
        <w:rPr>
          <w:rFonts w:asciiTheme="minorHAnsi" w:hAnsiTheme="minorHAnsi"/>
          <w:color w:val="auto"/>
          <w:szCs w:val="24"/>
        </w:rPr>
        <w:t>;</w:t>
      </w:r>
      <w:r w:rsidR="00C26661">
        <w:rPr>
          <w:rFonts w:asciiTheme="minorHAnsi" w:hAnsiTheme="minorHAnsi"/>
          <w:color w:val="auto"/>
          <w:szCs w:val="24"/>
        </w:rPr>
        <w:t xml:space="preserve"> </w:t>
      </w:r>
      <w:r>
        <w:rPr>
          <w:rFonts w:asciiTheme="minorHAnsi" w:hAnsiTheme="minorHAnsi"/>
          <w:color w:val="auto"/>
          <w:szCs w:val="24"/>
        </w:rPr>
        <w:t xml:space="preserve">the CI had numbness on the top of the right foot, swelling and pain which increased with weight bearing.  </w:t>
      </w:r>
      <w:proofErr w:type="spellStart"/>
      <w:r>
        <w:rPr>
          <w:rFonts w:asciiTheme="minorHAnsi" w:hAnsiTheme="minorHAnsi"/>
          <w:color w:val="auto"/>
          <w:szCs w:val="24"/>
        </w:rPr>
        <w:t>Osteopenia</w:t>
      </w:r>
      <w:proofErr w:type="spellEnd"/>
      <w:r>
        <w:rPr>
          <w:rFonts w:asciiTheme="minorHAnsi" w:hAnsiTheme="minorHAnsi"/>
          <w:color w:val="auto"/>
          <w:szCs w:val="24"/>
        </w:rPr>
        <w:t xml:space="preserve"> (less calcium in the bone) was noted on imaging.</w:t>
      </w:r>
      <w:r w:rsidR="009365ED">
        <w:rPr>
          <w:rFonts w:asciiTheme="minorHAnsi" w:hAnsiTheme="minorHAnsi"/>
          <w:color w:val="auto"/>
          <w:szCs w:val="24"/>
        </w:rPr>
        <w:t xml:space="preserve">  The </w:t>
      </w:r>
      <w:r w:rsidR="00F45ACA">
        <w:rPr>
          <w:rFonts w:asciiTheme="minorHAnsi" w:hAnsiTheme="minorHAnsi"/>
          <w:color w:val="auto"/>
          <w:szCs w:val="24"/>
        </w:rPr>
        <w:t xml:space="preserve">military </w:t>
      </w:r>
      <w:r w:rsidR="00F45ACA" w:rsidRPr="005F618D">
        <w:rPr>
          <w:rFonts w:asciiTheme="minorHAnsi" w:hAnsiTheme="minorHAnsi"/>
          <w:color w:val="auto"/>
          <w:szCs w:val="24"/>
        </w:rPr>
        <w:t xml:space="preserve">physical therapy (PT) </w:t>
      </w:r>
      <w:r w:rsidR="00C26661" w:rsidRPr="005F618D">
        <w:rPr>
          <w:rFonts w:asciiTheme="minorHAnsi" w:hAnsiTheme="minorHAnsi"/>
          <w:color w:val="auto"/>
          <w:szCs w:val="24"/>
        </w:rPr>
        <w:t xml:space="preserve">exam </w:t>
      </w:r>
      <w:r w:rsidR="0030741D" w:rsidRPr="005F618D">
        <w:rPr>
          <w:rFonts w:asciiTheme="minorHAnsi" w:hAnsiTheme="minorHAnsi"/>
          <w:color w:val="auto"/>
          <w:szCs w:val="24"/>
        </w:rPr>
        <w:t xml:space="preserve">was </w:t>
      </w:r>
      <w:r w:rsidR="00C26661" w:rsidRPr="005F618D">
        <w:rPr>
          <w:rFonts w:asciiTheme="minorHAnsi" w:hAnsiTheme="minorHAnsi"/>
          <w:color w:val="auto"/>
          <w:szCs w:val="24"/>
        </w:rPr>
        <w:t>13 months prior to separation</w:t>
      </w:r>
      <w:r w:rsidR="009365ED" w:rsidRPr="005F618D">
        <w:rPr>
          <w:rFonts w:asciiTheme="minorHAnsi" w:hAnsiTheme="minorHAnsi"/>
          <w:color w:val="auto"/>
          <w:szCs w:val="24"/>
        </w:rPr>
        <w:t xml:space="preserve"> and </w:t>
      </w:r>
      <w:r w:rsidR="00B5554E" w:rsidRPr="005F618D">
        <w:rPr>
          <w:rFonts w:asciiTheme="minorHAnsi" w:hAnsiTheme="minorHAnsi"/>
          <w:color w:val="auto"/>
          <w:szCs w:val="24"/>
        </w:rPr>
        <w:t xml:space="preserve">materially </w:t>
      </w:r>
      <w:r w:rsidR="009365ED" w:rsidRPr="005F618D">
        <w:rPr>
          <w:rFonts w:asciiTheme="minorHAnsi" w:hAnsiTheme="minorHAnsi"/>
          <w:color w:val="auto"/>
          <w:szCs w:val="24"/>
        </w:rPr>
        <w:t xml:space="preserve">agreed with the </w:t>
      </w:r>
      <w:r w:rsidR="00B865C0" w:rsidRPr="005F618D">
        <w:rPr>
          <w:rFonts w:asciiTheme="minorHAnsi" w:hAnsiTheme="minorHAnsi"/>
          <w:color w:val="auto"/>
          <w:szCs w:val="24"/>
        </w:rPr>
        <w:t xml:space="preserve">TDRL Exit </w:t>
      </w:r>
      <w:r w:rsidR="009365ED" w:rsidRPr="005F618D">
        <w:rPr>
          <w:rFonts w:asciiTheme="minorHAnsi" w:hAnsiTheme="minorHAnsi"/>
          <w:color w:val="auto"/>
          <w:szCs w:val="24"/>
        </w:rPr>
        <w:t xml:space="preserve">NARSUM accomplished 2 days later.  The examiner stated:  </w:t>
      </w:r>
      <w:r w:rsidR="00D04C15" w:rsidRPr="005F618D">
        <w:rPr>
          <w:rFonts w:asciiTheme="minorHAnsi" w:hAnsiTheme="minorHAnsi"/>
          <w:color w:val="auto"/>
          <w:szCs w:val="24"/>
        </w:rPr>
        <w:t xml:space="preserve">“she has had her pain resolve in her ankle with weight-bearing.  She’s able to do most of her activities of daily living with minimal pain…She denies any weakness, any numbness, tingling throughout her ankles  She has no knee pain, no hip pain.”  </w:t>
      </w:r>
      <w:r w:rsidR="009365ED" w:rsidRPr="005F618D">
        <w:rPr>
          <w:rFonts w:asciiTheme="minorHAnsi" w:hAnsiTheme="minorHAnsi"/>
          <w:color w:val="auto"/>
          <w:szCs w:val="24"/>
        </w:rPr>
        <w:t>Exam demonstrated</w:t>
      </w:r>
      <w:r w:rsidR="00805931" w:rsidRPr="005F618D">
        <w:rPr>
          <w:rFonts w:asciiTheme="minorHAnsi" w:hAnsiTheme="minorHAnsi"/>
          <w:color w:val="auto"/>
          <w:szCs w:val="24"/>
        </w:rPr>
        <w:t xml:space="preserve"> “right ankle is without </w:t>
      </w:r>
      <w:proofErr w:type="gramStart"/>
      <w:r w:rsidR="00805931" w:rsidRPr="005F618D">
        <w:rPr>
          <w:rFonts w:asciiTheme="minorHAnsi" w:hAnsiTheme="minorHAnsi"/>
          <w:color w:val="auto"/>
          <w:szCs w:val="24"/>
        </w:rPr>
        <w:t>swelling…no</w:t>
      </w:r>
      <w:proofErr w:type="gramEnd"/>
      <w:r w:rsidR="00805931" w:rsidRPr="005F618D">
        <w:rPr>
          <w:rFonts w:asciiTheme="minorHAnsi" w:hAnsiTheme="minorHAnsi"/>
          <w:color w:val="auto"/>
          <w:szCs w:val="24"/>
        </w:rPr>
        <w:t xml:space="preserve"> tenderness to palpation…limited dorsiflexion…no instability…no weakness added to her ankle.”  “She has been doing well in her activities of daily living without impairment.”  </w:t>
      </w:r>
      <w:r w:rsidR="009365ED" w:rsidRPr="005F618D">
        <w:rPr>
          <w:rFonts w:asciiTheme="minorHAnsi" w:hAnsiTheme="minorHAnsi"/>
          <w:color w:val="auto"/>
          <w:szCs w:val="24"/>
        </w:rPr>
        <w:t>A</w:t>
      </w:r>
      <w:r w:rsidR="003B4F03" w:rsidRPr="005F618D">
        <w:rPr>
          <w:rFonts w:asciiTheme="minorHAnsi" w:hAnsiTheme="minorHAnsi"/>
          <w:color w:val="auto"/>
          <w:szCs w:val="24"/>
        </w:rPr>
        <w:t xml:space="preserve">t the time of the 2007 NARSUM, neither significant arthritis nor </w:t>
      </w:r>
      <w:proofErr w:type="spellStart"/>
      <w:r w:rsidR="003B4F03" w:rsidRPr="005F618D">
        <w:rPr>
          <w:rFonts w:asciiTheme="minorHAnsi" w:hAnsiTheme="minorHAnsi"/>
          <w:color w:val="auto"/>
          <w:szCs w:val="24"/>
        </w:rPr>
        <w:t>osteopenia</w:t>
      </w:r>
      <w:proofErr w:type="spellEnd"/>
      <w:r w:rsidR="003B4F03" w:rsidRPr="005F618D">
        <w:rPr>
          <w:rFonts w:asciiTheme="minorHAnsi" w:hAnsiTheme="minorHAnsi"/>
          <w:color w:val="auto"/>
          <w:szCs w:val="24"/>
        </w:rPr>
        <w:t xml:space="preserve"> was present</w:t>
      </w:r>
      <w:r w:rsidR="009365ED" w:rsidRPr="005F618D">
        <w:rPr>
          <w:rFonts w:asciiTheme="minorHAnsi" w:hAnsiTheme="minorHAnsi"/>
          <w:color w:val="auto"/>
          <w:szCs w:val="24"/>
        </w:rPr>
        <w:t xml:space="preserve"> and imaging demonstrated “a healed fracture with an intact anatomic mortis.”  </w:t>
      </w:r>
      <w:r w:rsidR="00724EF2" w:rsidRPr="005F618D">
        <w:rPr>
          <w:rFonts w:asciiTheme="minorHAnsi" w:hAnsiTheme="minorHAnsi"/>
          <w:color w:val="auto"/>
          <w:szCs w:val="24"/>
        </w:rPr>
        <w:t xml:space="preserve">The </w:t>
      </w:r>
      <w:r w:rsidR="009365ED" w:rsidRPr="005F618D">
        <w:rPr>
          <w:rFonts w:asciiTheme="minorHAnsi" w:hAnsiTheme="minorHAnsi"/>
          <w:color w:val="auto"/>
          <w:szCs w:val="24"/>
        </w:rPr>
        <w:t xml:space="preserve">CI’s ankle </w:t>
      </w:r>
      <w:r w:rsidR="00724EF2" w:rsidRPr="005F618D">
        <w:rPr>
          <w:rFonts w:asciiTheme="minorHAnsi" w:hAnsiTheme="minorHAnsi"/>
          <w:color w:val="auto"/>
          <w:szCs w:val="24"/>
        </w:rPr>
        <w:t xml:space="preserve">swelling and pain with walking were noted to be resolved.  </w:t>
      </w:r>
      <w:r w:rsidR="00805931" w:rsidRPr="005F618D">
        <w:rPr>
          <w:rFonts w:asciiTheme="minorHAnsi" w:hAnsiTheme="minorHAnsi"/>
          <w:color w:val="auto"/>
          <w:szCs w:val="24"/>
        </w:rPr>
        <w:t xml:space="preserve">The recommendation of the examining physician was for </w:t>
      </w:r>
      <w:r w:rsidR="009365ED" w:rsidRPr="005F618D">
        <w:rPr>
          <w:rFonts w:asciiTheme="minorHAnsi" w:hAnsiTheme="minorHAnsi"/>
          <w:color w:val="auto"/>
          <w:szCs w:val="24"/>
        </w:rPr>
        <w:t>the CI</w:t>
      </w:r>
      <w:r w:rsidR="00805931" w:rsidRPr="005F618D">
        <w:rPr>
          <w:rFonts w:asciiTheme="minorHAnsi" w:hAnsiTheme="minorHAnsi"/>
          <w:color w:val="auto"/>
          <w:szCs w:val="24"/>
        </w:rPr>
        <w:t xml:space="preserve"> to be </w:t>
      </w:r>
      <w:r w:rsidR="00C10C4C" w:rsidRPr="005F618D">
        <w:rPr>
          <w:rFonts w:asciiTheme="minorHAnsi" w:hAnsiTheme="minorHAnsi"/>
          <w:color w:val="auto"/>
          <w:szCs w:val="24"/>
        </w:rPr>
        <w:t xml:space="preserve">either separated from </w:t>
      </w:r>
      <w:r w:rsidR="00805931" w:rsidRPr="005F618D">
        <w:rPr>
          <w:rFonts w:asciiTheme="minorHAnsi" w:hAnsiTheme="minorHAnsi"/>
          <w:color w:val="auto"/>
          <w:szCs w:val="24"/>
        </w:rPr>
        <w:t>TDRL</w:t>
      </w:r>
      <w:r w:rsidR="00C10C4C" w:rsidRPr="005F618D">
        <w:rPr>
          <w:rFonts w:asciiTheme="minorHAnsi" w:hAnsiTheme="minorHAnsi"/>
          <w:color w:val="auto"/>
          <w:szCs w:val="24"/>
        </w:rPr>
        <w:t xml:space="preserve"> status or </w:t>
      </w:r>
      <w:r w:rsidR="00805931" w:rsidRPr="005F618D">
        <w:rPr>
          <w:rFonts w:asciiTheme="minorHAnsi" w:hAnsiTheme="minorHAnsi"/>
          <w:color w:val="auto"/>
          <w:szCs w:val="24"/>
        </w:rPr>
        <w:t xml:space="preserve">returned to active duty.  </w:t>
      </w:r>
      <w:r w:rsidR="00F45ACA" w:rsidRPr="005F618D">
        <w:rPr>
          <w:rFonts w:asciiTheme="minorHAnsi" w:hAnsiTheme="minorHAnsi"/>
          <w:color w:val="auto"/>
          <w:szCs w:val="24"/>
        </w:rPr>
        <w:t xml:space="preserve">The record indicated </w:t>
      </w:r>
      <w:r w:rsidR="00724EF2" w:rsidRPr="005F618D">
        <w:rPr>
          <w:rFonts w:asciiTheme="minorHAnsi" w:hAnsiTheme="minorHAnsi"/>
          <w:color w:val="auto"/>
          <w:szCs w:val="24"/>
        </w:rPr>
        <w:t xml:space="preserve">there had been marked improvement </w:t>
      </w:r>
      <w:r w:rsidR="00F45ACA" w:rsidRPr="005F618D">
        <w:rPr>
          <w:rFonts w:asciiTheme="minorHAnsi" w:hAnsiTheme="minorHAnsi"/>
          <w:color w:val="auto"/>
          <w:szCs w:val="24"/>
        </w:rPr>
        <w:t xml:space="preserve">in the ankle </w:t>
      </w:r>
      <w:r w:rsidR="00724EF2" w:rsidRPr="005F618D">
        <w:rPr>
          <w:rFonts w:asciiTheme="minorHAnsi" w:hAnsiTheme="minorHAnsi"/>
          <w:color w:val="auto"/>
          <w:szCs w:val="24"/>
        </w:rPr>
        <w:t xml:space="preserve">since the VA exam </w:t>
      </w:r>
      <w:r w:rsidR="009365ED" w:rsidRPr="005F618D">
        <w:rPr>
          <w:rFonts w:asciiTheme="minorHAnsi" w:hAnsiTheme="minorHAnsi"/>
          <w:color w:val="auto"/>
          <w:szCs w:val="24"/>
        </w:rPr>
        <w:t>(</w:t>
      </w:r>
      <w:r w:rsidR="00724EF2" w:rsidRPr="005F618D">
        <w:rPr>
          <w:rFonts w:asciiTheme="minorHAnsi" w:hAnsiTheme="minorHAnsi"/>
          <w:color w:val="auto"/>
          <w:szCs w:val="24"/>
        </w:rPr>
        <w:t>20050405</w:t>
      </w:r>
      <w:r w:rsidR="009365ED" w:rsidRPr="005F618D">
        <w:rPr>
          <w:rFonts w:asciiTheme="minorHAnsi" w:hAnsiTheme="minorHAnsi"/>
          <w:color w:val="auto"/>
          <w:szCs w:val="24"/>
        </w:rPr>
        <w:t>)</w:t>
      </w:r>
      <w:r w:rsidR="00724EF2" w:rsidRPr="005F618D">
        <w:rPr>
          <w:rFonts w:asciiTheme="minorHAnsi" w:hAnsiTheme="minorHAnsi"/>
          <w:color w:val="auto"/>
          <w:szCs w:val="24"/>
        </w:rPr>
        <w:t xml:space="preserve">.  </w:t>
      </w:r>
      <w:r w:rsidR="00B72E96" w:rsidRPr="005F618D">
        <w:rPr>
          <w:rFonts w:asciiTheme="minorHAnsi" w:hAnsiTheme="minorHAnsi"/>
          <w:color w:val="auto"/>
          <w:szCs w:val="24"/>
        </w:rPr>
        <w:t>The Board noted that the CI did most of her activities of daily living with minimal pain and that the ROM was limited primarily in dorsiflexion</w:t>
      </w:r>
      <w:r w:rsidR="009365ED" w:rsidRPr="005F618D">
        <w:rPr>
          <w:rFonts w:asciiTheme="minorHAnsi" w:hAnsiTheme="minorHAnsi"/>
          <w:color w:val="auto"/>
          <w:szCs w:val="24"/>
        </w:rPr>
        <w:t>, with no foot drop</w:t>
      </w:r>
      <w:r w:rsidR="00B72E96" w:rsidRPr="005F618D">
        <w:rPr>
          <w:rFonts w:asciiTheme="minorHAnsi" w:hAnsiTheme="minorHAnsi"/>
          <w:color w:val="auto"/>
          <w:szCs w:val="24"/>
        </w:rPr>
        <w:t xml:space="preserve">.  </w:t>
      </w:r>
      <w:r w:rsidR="00F45ACA" w:rsidRPr="005F618D">
        <w:rPr>
          <w:rFonts w:asciiTheme="minorHAnsi" w:hAnsiTheme="minorHAnsi"/>
          <w:color w:val="auto"/>
          <w:szCs w:val="24"/>
        </w:rPr>
        <w:t xml:space="preserve">The Board considered coding using </w:t>
      </w:r>
      <w:r w:rsidR="00177F5A" w:rsidRPr="005F618D">
        <w:rPr>
          <w:rFonts w:asciiTheme="minorHAnsi" w:hAnsiTheme="minorHAnsi"/>
          <w:color w:val="auto"/>
          <w:szCs w:val="24"/>
        </w:rPr>
        <w:t xml:space="preserve">either </w:t>
      </w:r>
      <w:r w:rsidR="00C26661" w:rsidRPr="005F618D">
        <w:rPr>
          <w:rFonts w:asciiTheme="minorHAnsi" w:hAnsiTheme="minorHAnsi"/>
          <w:color w:val="auto"/>
          <w:szCs w:val="24"/>
        </w:rPr>
        <w:t xml:space="preserve">5271 </w:t>
      </w:r>
      <w:r w:rsidR="00F45ACA" w:rsidRPr="005F618D">
        <w:rPr>
          <w:rFonts w:asciiTheme="minorHAnsi" w:hAnsiTheme="minorHAnsi"/>
          <w:color w:val="auto"/>
          <w:szCs w:val="24"/>
        </w:rPr>
        <w:t xml:space="preserve">limited </w:t>
      </w:r>
      <w:proofErr w:type="gramStart"/>
      <w:r w:rsidR="00F45ACA" w:rsidRPr="005F618D">
        <w:rPr>
          <w:rFonts w:asciiTheme="minorHAnsi" w:hAnsiTheme="minorHAnsi"/>
          <w:color w:val="auto"/>
          <w:szCs w:val="24"/>
        </w:rPr>
        <w:t>range</w:t>
      </w:r>
      <w:proofErr w:type="gramEnd"/>
      <w:r w:rsidR="00F45ACA" w:rsidRPr="005F618D">
        <w:rPr>
          <w:rFonts w:asciiTheme="minorHAnsi" w:hAnsiTheme="minorHAnsi"/>
          <w:color w:val="auto"/>
          <w:szCs w:val="24"/>
        </w:rPr>
        <w:t xml:space="preserve"> of motion of the ankle; </w:t>
      </w:r>
      <w:r w:rsidR="00C26661" w:rsidRPr="005F618D">
        <w:rPr>
          <w:rFonts w:asciiTheme="minorHAnsi" w:hAnsiTheme="minorHAnsi"/>
          <w:color w:val="auto"/>
          <w:szCs w:val="24"/>
        </w:rPr>
        <w:t>or 5284</w:t>
      </w:r>
      <w:r w:rsidR="00177F5A" w:rsidRPr="005F618D">
        <w:rPr>
          <w:rFonts w:asciiTheme="minorHAnsi" w:hAnsiTheme="minorHAnsi"/>
          <w:color w:val="auto"/>
          <w:szCs w:val="24"/>
        </w:rPr>
        <w:t>,</w:t>
      </w:r>
      <w:r w:rsidR="00F45ACA" w:rsidRPr="005F618D">
        <w:rPr>
          <w:rFonts w:asciiTheme="minorHAnsi" w:hAnsiTheme="minorHAnsi"/>
          <w:color w:val="auto"/>
          <w:szCs w:val="24"/>
        </w:rPr>
        <w:t xml:space="preserve"> </w:t>
      </w:r>
      <w:r w:rsidR="00177F5A" w:rsidRPr="005F618D">
        <w:rPr>
          <w:rFonts w:asciiTheme="minorHAnsi" w:hAnsiTheme="minorHAnsi"/>
          <w:color w:val="auto"/>
          <w:szCs w:val="24"/>
        </w:rPr>
        <w:t>foot injuries</w:t>
      </w:r>
      <w:r w:rsidR="00B5554E" w:rsidRPr="005F618D">
        <w:rPr>
          <w:rFonts w:asciiTheme="minorHAnsi" w:hAnsiTheme="minorHAnsi"/>
          <w:color w:val="auto"/>
          <w:szCs w:val="24"/>
        </w:rPr>
        <w:t xml:space="preserve"> as equivalent</w:t>
      </w:r>
      <w:r w:rsidR="00177F5A" w:rsidRPr="005F618D">
        <w:rPr>
          <w:rFonts w:asciiTheme="minorHAnsi" w:hAnsiTheme="minorHAnsi"/>
          <w:color w:val="auto"/>
          <w:szCs w:val="24"/>
        </w:rPr>
        <w:t xml:space="preserve">. </w:t>
      </w:r>
      <w:r w:rsidR="00F45ACA" w:rsidRPr="005F618D">
        <w:rPr>
          <w:rFonts w:asciiTheme="minorHAnsi" w:hAnsiTheme="minorHAnsi"/>
          <w:color w:val="auto"/>
          <w:szCs w:val="24"/>
        </w:rPr>
        <w:t xml:space="preserve"> </w:t>
      </w:r>
      <w:r w:rsidR="00E21495" w:rsidRPr="005F618D">
        <w:rPr>
          <w:rFonts w:asciiTheme="minorHAnsi" w:hAnsiTheme="minorHAnsi"/>
          <w:color w:val="auto"/>
          <w:szCs w:val="24"/>
        </w:rPr>
        <w:t xml:space="preserve">The CI’s level of disability did not support </w:t>
      </w:r>
      <w:r w:rsidR="00B72E96" w:rsidRPr="005F618D">
        <w:rPr>
          <w:rFonts w:asciiTheme="minorHAnsi" w:hAnsiTheme="minorHAnsi"/>
          <w:color w:val="auto"/>
          <w:szCs w:val="24"/>
        </w:rPr>
        <w:t>“</w:t>
      </w:r>
      <w:r w:rsidR="00F45ACA" w:rsidRPr="005F618D">
        <w:rPr>
          <w:rFonts w:asciiTheme="minorHAnsi" w:hAnsiTheme="minorHAnsi"/>
          <w:color w:val="auto"/>
          <w:szCs w:val="24"/>
        </w:rPr>
        <w:t>actual loss of use of the foot</w:t>
      </w:r>
      <w:r w:rsidR="00B72E96" w:rsidRPr="005F618D">
        <w:rPr>
          <w:rFonts w:asciiTheme="minorHAnsi" w:hAnsiTheme="minorHAnsi"/>
          <w:color w:val="auto"/>
          <w:szCs w:val="24"/>
        </w:rPr>
        <w:t>”</w:t>
      </w:r>
      <w:r w:rsidR="00F45ACA" w:rsidRPr="005F618D">
        <w:rPr>
          <w:rFonts w:asciiTheme="minorHAnsi" w:hAnsiTheme="minorHAnsi"/>
          <w:color w:val="auto"/>
          <w:szCs w:val="24"/>
        </w:rPr>
        <w:t xml:space="preserve"> </w:t>
      </w:r>
      <w:r w:rsidR="00E21495" w:rsidRPr="005F618D">
        <w:rPr>
          <w:rFonts w:asciiTheme="minorHAnsi" w:hAnsiTheme="minorHAnsi"/>
          <w:color w:val="auto"/>
          <w:szCs w:val="24"/>
        </w:rPr>
        <w:t xml:space="preserve">or </w:t>
      </w:r>
      <w:r w:rsidR="00B72E96" w:rsidRPr="005F618D">
        <w:rPr>
          <w:rFonts w:asciiTheme="minorHAnsi" w:hAnsiTheme="minorHAnsi"/>
          <w:color w:val="auto"/>
          <w:szCs w:val="24"/>
        </w:rPr>
        <w:t>coding under 5284 at the</w:t>
      </w:r>
      <w:r w:rsidR="00E21495" w:rsidRPr="005F618D">
        <w:rPr>
          <w:rFonts w:asciiTheme="minorHAnsi" w:hAnsiTheme="minorHAnsi"/>
          <w:color w:val="auto"/>
          <w:szCs w:val="24"/>
        </w:rPr>
        <w:t xml:space="preserve"> severe criteria level.  </w:t>
      </w:r>
      <w:r w:rsidR="00B5554E" w:rsidRPr="005F618D">
        <w:rPr>
          <w:rFonts w:asciiTheme="minorHAnsi" w:hAnsiTheme="minorHAnsi"/>
          <w:color w:val="auto"/>
          <w:szCs w:val="24"/>
        </w:rPr>
        <w:t>All evidence considered</w:t>
      </w:r>
      <w:proofErr w:type="gramStart"/>
      <w:r w:rsidR="00B5554E" w:rsidRPr="005F618D">
        <w:rPr>
          <w:rFonts w:asciiTheme="minorHAnsi" w:hAnsiTheme="minorHAnsi"/>
          <w:color w:val="auto"/>
          <w:szCs w:val="24"/>
        </w:rPr>
        <w:t>,</w:t>
      </w:r>
      <w:proofErr w:type="gramEnd"/>
      <w:r w:rsidR="00B5554E" w:rsidRPr="005F618D">
        <w:rPr>
          <w:rFonts w:asciiTheme="minorHAnsi" w:hAnsiTheme="minorHAnsi"/>
          <w:color w:val="auto"/>
          <w:szCs w:val="24"/>
        </w:rPr>
        <w:t xml:space="preserve"> there is not reasonable doubt in the CI’s favor supporting re</w:t>
      </w:r>
      <w:r w:rsidR="005F618D">
        <w:rPr>
          <w:rFonts w:asciiTheme="minorHAnsi" w:hAnsiTheme="minorHAnsi"/>
          <w:color w:val="auto"/>
          <w:szCs w:val="24"/>
        </w:rPr>
        <w:t>-</w:t>
      </w:r>
      <w:r w:rsidR="00B5554E" w:rsidRPr="005F618D">
        <w:rPr>
          <w:rFonts w:asciiTheme="minorHAnsi" w:hAnsiTheme="minorHAnsi"/>
          <w:color w:val="auto"/>
          <w:szCs w:val="24"/>
        </w:rPr>
        <w:t xml:space="preserve">characterization of the PEB fitness adjudication for the right ankle condition as </w:t>
      </w:r>
      <w:r w:rsidR="00B5554E" w:rsidRPr="005F618D">
        <w:rPr>
          <w:rFonts w:asciiTheme="minorHAnsi" w:hAnsiTheme="minorHAnsi"/>
          <w:color w:val="auto"/>
        </w:rPr>
        <w:t>5284 at 10% (Moderate)</w:t>
      </w:r>
      <w:r w:rsidR="00B5554E" w:rsidRPr="005F618D">
        <w:rPr>
          <w:rFonts w:asciiTheme="minorHAnsi" w:hAnsiTheme="minorHAnsi"/>
          <w:color w:val="auto"/>
          <w:szCs w:val="24"/>
        </w:rPr>
        <w:t>.</w:t>
      </w:r>
      <w:r w:rsidR="00B5554E">
        <w:rPr>
          <w:rFonts w:asciiTheme="minorHAnsi" w:hAnsiTheme="minorHAnsi"/>
          <w:color w:val="auto"/>
          <w:szCs w:val="24"/>
        </w:rPr>
        <w:t xml:space="preserve">  </w:t>
      </w:r>
    </w:p>
    <w:p w:rsidR="00B72E96" w:rsidRDefault="00B72E96" w:rsidP="003E300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7612A5" w:rsidRDefault="002C6E5B" w:rsidP="003E300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C276CD">
        <w:rPr>
          <w:rFonts w:asciiTheme="minorHAnsi" w:hAnsiTheme="minorHAnsi"/>
          <w:color w:val="auto"/>
          <w:szCs w:val="24"/>
          <w:u w:val="single"/>
        </w:rPr>
        <w:t>Other</w:t>
      </w:r>
      <w:r w:rsidRPr="00396779">
        <w:rPr>
          <w:rFonts w:asciiTheme="minorHAnsi" w:hAnsiTheme="minorHAnsi"/>
          <w:color w:val="auto"/>
          <w:szCs w:val="24"/>
          <w:u w:val="single"/>
        </w:rPr>
        <w:t xml:space="preserve"> Conditions</w:t>
      </w:r>
      <w:r w:rsidR="00086751">
        <w:rPr>
          <w:rFonts w:asciiTheme="minorHAnsi" w:hAnsiTheme="minorHAnsi"/>
          <w:color w:val="auto"/>
          <w:szCs w:val="24"/>
        </w:rPr>
        <w:t>:</w:t>
      </w:r>
      <w:r w:rsidRPr="00396779">
        <w:rPr>
          <w:rFonts w:asciiTheme="minorHAnsi" w:hAnsiTheme="minorHAnsi"/>
          <w:color w:val="auto"/>
          <w:szCs w:val="24"/>
        </w:rPr>
        <w:t xml:space="preserve">  </w:t>
      </w:r>
      <w:r w:rsidR="00086751">
        <w:rPr>
          <w:rFonts w:asciiTheme="minorHAnsi" w:hAnsiTheme="minorHAnsi"/>
          <w:color w:val="auto"/>
          <w:szCs w:val="24"/>
        </w:rPr>
        <w:t>N</w:t>
      </w:r>
      <w:r w:rsidR="007612A5" w:rsidRPr="00086751">
        <w:rPr>
          <w:rFonts w:asciiTheme="minorHAnsi" w:hAnsiTheme="minorHAnsi"/>
          <w:color w:val="auto"/>
          <w:szCs w:val="24"/>
        </w:rPr>
        <w:t>o other conditions</w:t>
      </w:r>
      <w:r w:rsidR="007612A5" w:rsidRPr="00F50F30">
        <w:rPr>
          <w:rFonts w:asciiTheme="minorHAnsi" w:hAnsiTheme="minorHAnsi"/>
          <w:color w:val="auto"/>
          <w:szCs w:val="24"/>
        </w:rPr>
        <w:t xml:space="preserve"> were noted in the NARSUM, identified by the CI on the MEB physical or found elsewhere in the </w:t>
      </w:r>
      <w:r w:rsidR="00D919C4">
        <w:rPr>
          <w:rFonts w:asciiTheme="minorHAnsi" w:hAnsiTheme="minorHAnsi"/>
          <w:color w:val="auto"/>
          <w:szCs w:val="24"/>
        </w:rPr>
        <w:t>Disability Evaluation System (</w:t>
      </w:r>
      <w:r w:rsidR="007612A5" w:rsidRPr="00F50F30">
        <w:rPr>
          <w:rFonts w:asciiTheme="minorHAnsi" w:hAnsiTheme="minorHAnsi"/>
          <w:color w:val="auto"/>
          <w:szCs w:val="24"/>
        </w:rPr>
        <w:t>DES</w:t>
      </w:r>
      <w:r w:rsidR="00D919C4">
        <w:rPr>
          <w:rFonts w:asciiTheme="minorHAnsi" w:hAnsiTheme="minorHAnsi"/>
          <w:color w:val="auto"/>
          <w:szCs w:val="24"/>
        </w:rPr>
        <w:t>)</w:t>
      </w:r>
      <w:r w:rsidR="007612A5" w:rsidRPr="00F50F30">
        <w:rPr>
          <w:rFonts w:asciiTheme="minorHAnsi" w:hAnsiTheme="minorHAnsi"/>
          <w:color w:val="auto"/>
          <w:szCs w:val="24"/>
        </w:rPr>
        <w:t xml:space="preserve"> file.  No other conditions were contended in the application or identified by the VA within 12 months of separation.  </w:t>
      </w:r>
      <w:r w:rsidR="0088425B" w:rsidRPr="005F618D">
        <w:rPr>
          <w:rFonts w:asciiTheme="minorHAnsi" w:hAnsiTheme="minorHAnsi"/>
          <w:color w:val="auto"/>
          <w:szCs w:val="24"/>
        </w:rPr>
        <w:t xml:space="preserve">A note in the record indicating unspecified surgery (20080305) was confirmed as not related to any orthopedic/TDRL condition.  </w:t>
      </w:r>
      <w:r w:rsidR="007612A5" w:rsidRPr="005F618D">
        <w:rPr>
          <w:rFonts w:asciiTheme="minorHAnsi" w:hAnsiTheme="minorHAnsi"/>
          <w:color w:val="auto"/>
          <w:szCs w:val="24"/>
        </w:rPr>
        <w:t>The Board therefore has no basis for consideration of any other conditions eligible for additional rating at separation</w:t>
      </w:r>
      <w:r w:rsidR="0088425B" w:rsidRPr="005F618D">
        <w:rPr>
          <w:rFonts w:asciiTheme="minorHAnsi" w:hAnsiTheme="minorHAnsi"/>
          <w:color w:val="auto"/>
          <w:szCs w:val="24"/>
        </w:rPr>
        <w:t>.</w:t>
      </w:r>
      <w:r w:rsidR="0088425B">
        <w:rPr>
          <w:rFonts w:asciiTheme="minorHAnsi" w:hAnsiTheme="minorHAnsi"/>
          <w:color w:val="auto"/>
          <w:szCs w:val="24"/>
        </w:rPr>
        <w:t xml:space="preserve">  </w:t>
      </w:r>
    </w:p>
    <w:p w:rsidR="00B427BB" w:rsidRPr="00C276CD" w:rsidRDefault="00B427BB" w:rsidP="003E300B">
      <w:pPr>
        <w:jc w:val="both"/>
        <w:rPr>
          <w:color w:val="auto"/>
        </w:rPr>
      </w:pPr>
      <w:r w:rsidRPr="00C276CD">
        <w:rPr>
          <w:rFonts w:asciiTheme="minorHAnsi" w:hAnsiTheme="minorHAnsi"/>
          <w:color w:val="auto"/>
        </w:rPr>
        <w:t>______________________________________________________________________________</w:t>
      </w:r>
    </w:p>
    <w:p w:rsidR="00A90D55" w:rsidRPr="00C276CD" w:rsidRDefault="00A90D55" w:rsidP="003E300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6E4E5C" w:rsidRDefault="006E4E5C">
      <w:pPr>
        <w:rPr>
          <w:rFonts w:asciiTheme="minorHAnsi" w:hAnsiTheme="minorHAnsi"/>
          <w:color w:val="auto"/>
          <w:szCs w:val="24"/>
          <w:u w:val="single"/>
        </w:rPr>
      </w:pPr>
      <w:r>
        <w:rPr>
          <w:rFonts w:asciiTheme="minorHAnsi" w:hAnsiTheme="minorHAnsi"/>
          <w:color w:val="auto"/>
          <w:szCs w:val="24"/>
          <w:u w:val="single"/>
        </w:rPr>
        <w:br w:type="page"/>
      </w:r>
    </w:p>
    <w:p w:rsidR="00B5554E" w:rsidRPr="00B5554E" w:rsidRDefault="00C56FC8" w:rsidP="003E300B">
      <w:pPr>
        <w:spacing w:line="240" w:lineRule="exact"/>
        <w:jc w:val="both"/>
        <w:rPr>
          <w:rFonts w:asciiTheme="minorHAnsi" w:eastAsiaTheme="minorHAnsi" w:hAnsiTheme="minorHAnsi"/>
          <w:color w:val="auto"/>
          <w:szCs w:val="24"/>
        </w:rPr>
      </w:pPr>
      <w:r w:rsidRPr="00C276CD">
        <w:rPr>
          <w:rFonts w:asciiTheme="minorHAnsi" w:hAnsiTheme="minorHAnsi"/>
          <w:color w:val="auto"/>
          <w:szCs w:val="24"/>
          <w:u w:val="single"/>
        </w:rPr>
        <w:lastRenderedPageBreak/>
        <w:t>BOARD FINDINGS</w:t>
      </w:r>
      <w:r w:rsidRPr="00C276CD">
        <w:rPr>
          <w:rFonts w:asciiTheme="minorHAnsi" w:hAnsiTheme="minorHAnsi"/>
          <w:color w:val="auto"/>
          <w:szCs w:val="24"/>
        </w:rPr>
        <w:t>:</w:t>
      </w:r>
      <w:r w:rsidRPr="00C276CD">
        <w:rPr>
          <w:rFonts w:asciiTheme="minorHAnsi" w:eastAsiaTheme="minorHAnsi" w:hAnsiTheme="minorHAnsi"/>
          <w:color w:val="auto"/>
          <w:szCs w:val="24"/>
        </w:rPr>
        <w:t xml:space="preserve">  IAW DoDI 6040.44, provisions </w:t>
      </w:r>
      <w:r w:rsidRPr="00396779">
        <w:rPr>
          <w:rFonts w:asciiTheme="minorHAnsi" w:eastAsiaTheme="minorHAnsi" w:hAnsiTheme="minorHAnsi"/>
          <w:color w:val="auto"/>
          <w:szCs w:val="24"/>
        </w:rPr>
        <w:t xml:space="preserve">of DoD or Military Department regulations or guidelines relied upon by the PEB will not be considered by the Board to the extent they were inconsistent with the </w:t>
      </w:r>
      <w:r w:rsidR="004475CB">
        <w:rPr>
          <w:rFonts w:asciiTheme="minorHAnsi" w:eastAsiaTheme="minorHAnsi" w:hAnsiTheme="minorHAnsi"/>
          <w:color w:val="auto"/>
          <w:szCs w:val="24"/>
        </w:rPr>
        <w:t>Veterans Administration Schedule for Rating Disabilities (</w:t>
      </w:r>
      <w:r w:rsidRPr="00396779">
        <w:rPr>
          <w:rFonts w:asciiTheme="minorHAnsi" w:eastAsiaTheme="minorHAnsi" w:hAnsiTheme="minorHAnsi"/>
          <w:color w:val="auto"/>
          <w:szCs w:val="24"/>
        </w:rPr>
        <w:t>VASRD</w:t>
      </w:r>
      <w:r w:rsidR="004475CB">
        <w:rPr>
          <w:rFonts w:asciiTheme="minorHAnsi" w:eastAsiaTheme="minorHAnsi" w:hAnsiTheme="minorHAnsi"/>
          <w:color w:val="auto"/>
          <w:szCs w:val="24"/>
        </w:rPr>
        <w:t>)</w:t>
      </w:r>
      <w:r w:rsidRPr="00396779">
        <w:rPr>
          <w:rFonts w:asciiTheme="minorHAnsi" w:eastAsiaTheme="minorHAnsi" w:hAnsiTheme="minorHAnsi"/>
          <w:color w:val="auto"/>
          <w:szCs w:val="24"/>
        </w:rPr>
        <w:t xml:space="preserve"> in effect at the time of the adjudication. </w:t>
      </w:r>
      <w:r w:rsidR="001D68CF" w:rsidRPr="00396779">
        <w:rPr>
          <w:rFonts w:asciiTheme="minorHAnsi" w:eastAsiaTheme="minorHAnsi" w:hAnsiTheme="minorHAnsi"/>
          <w:color w:val="auto"/>
          <w:szCs w:val="24"/>
        </w:rPr>
        <w:t xml:space="preserve"> </w:t>
      </w:r>
      <w:r w:rsidR="002276A1" w:rsidRPr="002276A1">
        <w:rPr>
          <w:rFonts w:asciiTheme="minorHAnsi" w:eastAsiaTheme="minorHAnsi" w:hAnsiTheme="minorHAnsi"/>
          <w:color w:val="auto"/>
          <w:szCs w:val="24"/>
        </w:rPr>
        <w:t xml:space="preserve">The Board did not surmise from the record or PEB ruling in this case that any prerogatives outside the VASRD were exercised.  </w:t>
      </w:r>
      <w:r w:rsidR="00B5554E" w:rsidRPr="00B5554E">
        <w:rPr>
          <w:rFonts w:asciiTheme="minorHAnsi" w:hAnsiTheme="minorHAnsi"/>
          <w:color w:val="auto"/>
        </w:rPr>
        <w:t xml:space="preserve">In the matter of ankle condition and IAW VASRD §4.71a, the Board </w:t>
      </w:r>
      <w:r w:rsidR="00B5554E" w:rsidRPr="005F618D">
        <w:rPr>
          <w:rFonts w:asciiTheme="minorHAnsi" w:hAnsiTheme="minorHAnsi"/>
          <w:color w:val="auto"/>
        </w:rPr>
        <w:t>unanimously recommends no change in the PEB</w:t>
      </w:r>
      <w:r w:rsidR="00B5554E" w:rsidRPr="00B5554E">
        <w:rPr>
          <w:rFonts w:asciiTheme="minorHAnsi" w:hAnsiTheme="minorHAnsi"/>
          <w:color w:val="auto"/>
        </w:rPr>
        <w:t xml:space="preserve"> adjudication of 5284 at 10% as the permanent separation rating.</w:t>
      </w:r>
      <w:r w:rsidR="00B5554E" w:rsidRPr="00E21495">
        <w:rPr>
          <w:rFonts w:asciiTheme="minorHAnsi" w:hAnsiTheme="minorHAnsi"/>
          <w:color w:val="auto"/>
        </w:rPr>
        <w:t xml:space="preserve">  </w:t>
      </w:r>
    </w:p>
    <w:p w:rsidR="00B427BB" w:rsidRPr="00C276CD" w:rsidRDefault="00B427BB" w:rsidP="003E300B">
      <w:pPr>
        <w:jc w:val="both"/>
        <w:rPr>
          <w:color w:val="auto"/>
        </w:rPr>
      </w:pPr>
      <w:r w:rsidRPr="00C276CD">
        <w:rPr>
          <w:rFonts w:asciiTheme="minorHAnsi" w:hAnsiTheme="minorHAnsi"/>
          <w:color w:val="auto"/>
        </w:rPr>
        <w:t>______________________________________________________________________________</w:t>
      </w:r>
    </w:p>
    <w:p w:rsidR="00FB593A" w:rsidRPr="00C276CD" w:rsidRDefault="00FB593A" w:rsidP="003E300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C56FC8" w:rsidRPr="00B427BB" w:rsidRDefault="00C56FC8" w:rsidP="003E300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396779">
        <w:rPr>
          <w:rFonts w:asciiTheme="minorHAnsi" w:hAnsiTheme="minorHAnsi"/>
          <w:color w:val="auto"/>
          <w:szCs w:val="24"/>
          <w:u w:val="single"/>
        </w:rPr>
        <w:t>RECOMMENDATION</w:t>
      </w:r>
      <w:r w:rsidRPr="00396779">
        <w:rPr>
          <w:rFonts w:asciiTheme="minorHAnsi" w:hAnsiTheme="minorHAnsi"/>
          <w:color w:val="auto"/>
          <w:szCs w:val="24"/>
        </w:rPr>
        <w:t>:</w:t>
      </w:r>
      <w:r w:rsidRPr="00396779">
        <w:rPr>
          <w:rFonts w:asciiTheme="minorHAnsi" w:hAnsiTheme="minorHAnsi"/>
          <w:color w:val="000080"/>
          <w:szCs w:val="24"/>
        </w:rPr>
        <w:t xml:space="preserve"> </w:t>
      </w:r>
      <w:r w:rsidRPr="00396779">
        <w:rPr>
          <w:rFonts w:asciiTheme="minorHAnsi" w:hAnsiTheme="minorHAnsi"/>
          <w:color w:val="FF0000"/>
          <w:szCs w:val="24"/>
        </w:rPr>
        <w:t xml:space="preserve"> </w:t>
      </w:r>
      <w:r w:rsidRPr="00396779">
        <w:rPr>
          <w:rFonts w:asciiTheme="minorHAnsi" w:hAnsiTheme="minorHAnsi"/>
          <w:color w:val="auto"/>
          <w:szCs w:val="24"/>
        </w:rPr>
        <w:t xml:space="preserve">The Board therefore recommends that there be </w:t>
      </w:r>
      <w:r w:rsidRPr="005F618D">
        <w:rPr>
          <w:rFonts w:asciiTheme="minorHAnsi" w:hAnsiTheme="minorHAnsi"/>
          <w:color w:val="auto"/>
          <w:szCs w:val="24"/>
        </w:rPr>
        <w:t>no recharacterization of</w:t>
      </w:r>
      <w:r w:rsidRPr="00396779">
        <w:rPr>
          <w:rFonts w:asciiTheme="minorHAnsi" w:hAnsiTheme="minorHAnsi"/>
          <w:color w:val="auto"/>
          <w:szCs w:val="24"/>
        </w:rPr>
        <w:t xml:space="preserve"> the CI’s </w:t>
      </w:r>
      <w:r w:rsidRPr="00B427BB">
        <w:rPr>
          <w:rFonts w:asciiTheme="minorHAnsi" w:hAnsiTheme="minorHAnsi"/>
          <w:color w:val="auto"/>
          <w:szCs w:val="24"/>
        </w:rPr>
        <w:t>disability and separation determination.</w:t>
      </w:r>
      <w:r w:rsidR="00E21495">
        <w:rPr>
          <w:rFonts w:asciiTheme="minorHAnsi" w:hAnsiTheme="minorHAnsi"/>
          <w:color w:val="auto"/>
          <w:szCs w:val="24"/>
        </w:rPr>
        <w:t xml:space="preserve">  </w:t>
      </w:r>
    </w:p>
    <w:p w:rsidR="004101B2" w:rsidRDefault="004101B2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0"/>
        <w:gridCol w:w="1710"/>
        <w:gridCol w:w="1170"/>
      </w:tblGrid>
      <w:tr w:rsidR="00E21495" w:rsidRPr="00396779" w:rsidTr="00F127E4">
        <w:trPr>
          <w:trHeight w:val="287"/>
          <w:jc w:val="center"/>
        </w:trPr>
        <w:tc>
          <w:tcPr>
            <w:tcW w:w="6480" w:type="dxa"/>
            <w:shd w:val="clear" w:color="auto" w:fill="D9D9D9"/>
          </w:tcPr>
          <w:p w:rsidR="00E21495" w:rsidRPr="00396779" w:rsidRDefault="00E21495" w:rsidP="00F127E4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396779">
              <w:rPr>
                <w:rFonts w:asciiTheme="minorHAnsi" w:hAnsiTheme="minorHAnsi"/>
                <w:b/>
                <w:color w:val="auto"/>
                <w:szCs w:val="24"/>
              </w:rPr>
              <w:t>UNFITTING CONDITION</w:t>
            </w:r>
          </w:p>
        </w:tc>
        <w:tc>
          <w:tcPr>
            <w:tcW w:w="1710" w:type="dxa"/>
            <w:shd w:val="clear" w:color="auto" w:fill="D9D9D9"/>
          </w:tcPr>
          <w:p w:rsidR="00E21495" w:rsidRPr="00396779" w:rsidRDefault="00E21495" w:rsidP="00F127E4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396779">
              <w:rPr>
                <w:rFonts w:asciiTheme="minorHAnsi" w:hAnsiTheme="minorHAnsi"/>
                <w:b/>
                <w:color w:val="auto"/>
                <w:szCs w:val="24"/>
              </w:rPr>
              <w:t>VASRD CODE</w:t>
            </w:r>
          </w:p>
        </w:tc>
        <w:tc>
          <w:tcPr>
            <w:tcW w:w="1170" w:type="dxa"/>
            <w:shd w:val="clear" w:color="auto" w:fill="D9D9D9"/>
          </w:tcPr>
          <w:p w:rsidR="00E21495" w:rsidRPr="00396779" w:rsidRDefault="00E21495" w:rsidP="00F127E4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396779">
              <w:rPr>
                <w:rFonts w:asciiTheme="minorHAnsi" w:hAnsiTheme="minorHAnsi"/>
                <w:b/>
                <w:color w:val="auto"/>
                <w:szCs w:val="24"/>
              </w:rPr>
              <w:t>RATING</w:t>
            </w:r>
          </w:p>
        </w:tc>
      </w:tr>
      <w:tr w:rsidR="00E21495" w:rsidRPr="00396779" w:rsidTr="00F127E4">
        <w:trPr>
          <w:jc w:val="center"/>
        </w:trPr>
        <w:tc>
          <w:tcPr>
            <w:tcW w:w="6480" w:type="dxa"/>
          </w:tcPr>
          <w:p w:rsidR="00E21495" w:rsidRPr="00396779" w:rsidRDefault="00B72E96" w:rsidP="00B72E96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Theme="minorHAnsi" w:hAnsiTheme="minorHAnsi"/>
                <w:color w:val="auto"/>
                <w:szCs w:val="24"/>
              </w:rPr>
            </w:pPr>
            <w:r w:rsidRPr="00B72E96">
              <w:rPr>
                <w:rFonts w:asciiTheme="minorHAnsi" w:hAnsiTheme="minorHAnsi"/>
                <w:color w:val="auto"/>
                <w:szCs w:val="24"/>
              </w:rPr>
              <w:t xml:space="preserve">Right </w:t>
            </w:r>
            <w:r>
              <w:rPr>
                <w:rFonts w:asciiTheme="minorHAnsi" w:hAnsiTheme="minorHAnsi"/>
                <w:color w:val="auto"/>
                <w:szCs w:val="24"/>
              </w:rPr>
              <w:t>A</w:t>
            </w:r>
            <w:r w:rsidRPr="00B72E96">
              <w:rPr>
                <w:rFonts w:asciiTheme="minorHAnsi" w:hAnsiTheme="minorHAnsi"/>
                <w:color w:val="auto"/>
                <w:szCs w:val="24"/>
              </w:rPr>
              <w:t xml:space="preserve">nkle </w:t>
            </w:r>
            <w:r>
              <w:rPr>
                <w:rFonts w:asciiTheme="minorHAnsi" w:hAnsiTheme="minorHAnsi"/>
                <w:color w:val="auto"/>
                <w:szCs w:val="24"/>
              </w:rPr>
              <w:t>F</w:t>
            </w:r>
            <w:r w:rsidRPr="00B72E96">
              <w:rPr>
                <w:rFonts w:asciiTheme="minorHAnsi" w:hAnsiTheme="minorHAnsi"/>
                <w:color w:val="auto"/>
                <w:szCs w:val="24"/>
              </w:rPr>
              <w:t xml:space="preserve">racture, s/p </w:t>
            </w:r>
            <w:r>
              <w:rPr>
                <w:rFonts w:asciiTheme="minorHAnsi" w:hAnsiTheme="minorHAnsi"/>
                <w:color w:val="auto"/>
                <w:szCs w:val="24"/>
              </w:rPr>
              <w:t>S</w:t>
            </w:r>
            <w:r w:rsidRPr="00B72E96">
              <w:rPr>
                <w:rFonts w:asciiTheme="minorHAnsi" w:hAnsiTheme="minorHAnsi"/>
                <w:color w:val="auto"/>
                <w:szCs w:val="24"/>
              </w:rPr>
              <w:t xml:space="preserve">urgical </w:t>
            </w:r>
            <w:r>
              <w:rPr>
                <w:rFonts w:asciiTheme="minorHAnsi" w:hAnsiTheme="minorHAnsi"/>
                <w:color w:val="auto"/>
                <w:szCs w:val="24"/>
              </w:rPr>
              <w:t>T</w:t>
            </w:r>
            <w:r w:rsidRPr="00B72E96">
              <w:rPr>
                <w:rFonts w:asciiTheme="minorHAnsi" w:hAnsiTheme="minorHAnsi"/>
                <w:color w:val="auto"/>
                <w:szCs w:val="24"/>
              </w:rPr>
              <w:t>reatment</w:t>
            </w:r>
          </w:p>
        </w:tc>
        <w:tc>
          <w:tcPr>
            <w:tcW w:w="1710" w:type="dxa"/>
          </w:tcPr>
          <w:p w:rsidR="00E21495" w:rsidRPr="00396779" w:rsidRDefault="00E21495" w:rsidP="00B72E96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52</w:t>
            </w:r>
            <w:r w:rsidR="00B72E96">
              <w:rPr>
                <w:rFonts w:asciiTheme="minorHAnsi" w:hAnsiTheme="minorHAnsi"/>
                <w:color w:val="auto"/>
                <w:szCs w:val="24"/>
              </w:rPr>
              <w:t>84</w:t>
            </w:r>
          </w:p>
        </w:tc>
        <w:tc>
          <w:tcPr>
            <w:tcW w:w="1170" w:type="dxa"/>
          </w:tcPr>
          <w:p w:rsidR="00E21495" w:rsidRPr="005F618D" w:rsidRDefault="00E21495" w:rsidP="00F127E4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5F618D">
              <w:rPr>
                <w:rFonts w:asciiTheme="minorHAnsi" w:hAnsiTheme="minorHAnsi"/>
                <w:color w:val="auto"/>
                <w:szCs w:val="24"/>
              </w:rPr>
              <w:t>10%</w:t>
            </w:r>
          </w:p>
        </w:tc>
      </w:tr>
      <w:tr w:rsidR="00E21495" w:rsidRPr="00396779" w:rsidTr="00F127E4">
        <w:tblPrEx>
          <w:tblLook w:val="0000"/>
        </w:tblPrEx>
        <w:trPr>
          <w:gridBefore w:val="1"/>
          <w:wBefore w:w="6480" w:type="dxa"/>
          <w:trHeight w:val="287"/>
          <w:jc w:val="center"/>
        </w:trPr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E21495" w:rsidRPr="00396779" w:rsidRDefault="00E21495" w:rsidP="00F127E4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396779">
              <w:rPr>
                <w:rFonts w:asciiTheme="minorHAnsi" w:hAnsiTheme="minorHAnsi"/>
                <w:b/>
                <w:color w:val="auto"/>
                <w:szCs w:val="24"/>
              </w:rPr>
              <w:t>COMBINED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21495" w:rsidRPr="005F618D" w:rsidRDefault="00E21495" w:rsidP="00F127E4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5F618D">
              <w:rPr>
                <w:rFonts w:asciiTheme="minorHAnsi" w:hAnsiTheme="minorHAnsi"/>
                <w:b/>
                <w:color w:val="auto"/>
                <w:szCs w:val="24"/>
              </w:rPr>
              <w:t>10%</w:t>
            </w:r>
          </w:p>
        </w:tc>
      </w:tr>
    </w:tbl>
    <w:p w:rsidR="00B427BB" w:rsidRPr="00006186" w:rsidRDefault="00FB1725" w:rsidP="00B427BB">
      <w:pPr>
        <w:rPr>
          <w:color w:val="auto"/>
        </w:rPr>
      </w:pPr>
      <w:r>
        <w:rPr>
          <w:rFonts w:asciiTheme="minorHAnsi" w:hAnsiTheme="minorHAnsi"/>
          <w:color w:val="auto"/>
        </w:rPr>
        <w:t>______________________________________________________________________________</w:t>
      </w:r>
    </w:p>
    <w:p w:rsidR="00D91DA6" w:rsidRPr="00006186" w:rsidRDefault="00D91DA6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D91DA6" w:rsidRPr="00006186" w:rsidRDefault="00FB1725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following documentary evidence was considered:</w:t>
      </w:r>
    </w:p>
    <w:p w:rsidR="00EB5EFD" w:rsidRPr="00006186" w:rsidRDefault="00EB5EFD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114F20" w:rsidRPr="00006186" w:rsidRDefault="00FB1725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Exhibit A.  DD Form </w:t>
      </w:r>
      <w:proofErr w:type="gramStart"/>
      <w:r>
        <w:rPr>
          <w:rFonts w:asciiTheme="minorHAnsi" w:hAnsiTheme="minorHAnsi"/>
          <w:color w:val="auto"/>
        </w:rPr>
        <w:t>294,</w:t>
      </w:r>
      <w:proofErr w:type="gramEnd"/>
      <w:r>
        <w:rPr>
          <w:rFonts w:asciiTheme="minorHAnsi" w:hAnsiTheme="minorHAnsi"/>
          <w:color w:val="auto"/>
        </w:rPr>
        <w:t xml:space="preserve"> dated 20</w:t>
      </w:r>
      <w:r w:rsidR="003A3F1C">
        <w:rPr>
          <w:rFonts w:asciiTheme="minorHAnsi" w:hAnsiTheme="minorHAnsi"/>
          <w:color w:val="auto"/>
        </w:rPr>
        <w:t>090903</w:t>
      </w:r>
      <w:r>
        <w:rPr>
          <w:rFonts w:asciiTheme="minorHAnsi" w:hAnsiTheme="minorHAnsi"/>
          <w:color w:val="auto"/>
        </w:rPr>
        <w:t>, w/</w:t>
      </w:r>
      <w:proofErr w:type="spellStart"/>
      <w:r>
        <w:rPr>
          <w:rFonts w:asciiTheme="minorHAnsi" w:hAnsiTheme="minorHAnsi"/>
          <w:color w:val="auto"/>
        </w:rPr>
        <w:t>atchs</w:t>
      </w:r>
      <w:proofErr w:type="spellEnd"/>
      <w:r>
        <w:rPr>
          <w:rFonts w:asciiTheme="minorHAnsi" w:hAnsiTheme="minorHAnsi"/>
          <w:color w:val="auto"/>
        </w:rPr>
        <w:t>.</w:t>
      </w:r>
    </w:p>
    <w:p w:rsidR="00114F20" w:rsidRPr="00006186" w:rsidRDefault="00FB1725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Exhibit B.  </w:t>
      </w:r>
      <w:proofErr w:type="gramStart"/>
      <w:r>
        <w:rPr>
          <w:rFonts w:asciiTheme="minorHAnsi" w:hAnsiTheme="minorHAnsi"/>
          <w:color w:val="auto"/>
        </w:rPr>
        <w:t>Service Treatment Record.</w:t>
      </w:r>
      <w:proofErr w:type="gramEnd"/>
    </w:p>
    <w:p w:rsidR="00114F20" w:rsidRPr="00006186" w:rsidRDefault="00FB1725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Exhibit C.  </w:t>
      </w:r>
      <w:proofErr w:type="gramStart"/>
      <w:r>
        <w:rPr>
          <w:rFonts w:asciiTheme="minorHAnsi" w:hAnsiTheme="minorHAnsi"/>
          <w:color w:val="auto"/>
        </w:rPr>
        <w:t>Department of Veterans' Affairs Treatment Record.</w:t>
      </w:r>
      <w:proofErr w:type="gramEnd"/>
    </w:p>
    <w:p w:rsidR="00D91DA6" w:rsidRPr="00006186" w:rsidRDefault="00D91DA6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114F20" w:rsidRPr="00006186" w:rsidRDefault="00114F20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114F20" w:rsidRPr="00006186" w:rsidRDefault="00114F20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114F20" w:rsidRPr="00006186" w:rsidRDefault="00114F20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D91DA6" w:rsidRPr="00006186" w:rsidRDefault="00FB1725" w:rsidP="00190E48">
      <w:pPr>
        <w:tabs>
          <w:tab w:val="left" w:pos="0"/>
          <w:tab w:val="left" w:pos="4320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 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</w:p>
    <w:p w:rsidR="00D91DA6" w:rsidRDefault="00FB1725" w:rsidP="00190E48">
      <w:pPr>
        <w:tabs>
          <w:tab w:val="left" w:pos="0"/>
          <w:tab w:val="left" w:pos="4320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 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Deputy Director</w:t>
      </w:r>
    </w:p>
    <w:p w:rsidR="00435242" w:rsidRDefault="00435242" w:rsidP="00190E48">
      <w:pPr>
        <w:tabs>
          <w:tab w:val="left" w:pos="0"/>
          <w:tab w:val="left" w:pos="4320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Physical Disability Board of Review</w:t>
      </w:r>
    </w:p>
    <w:p w:rsidR="00750ADA" w:rsidRDefault="00750ADA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br w:type="page"/>
      </w:r>
    </w:p>
    <w:p w:rsidR="00750ADA" w:rsidRDefault="00750ADA" w:rsidP="00190E48">
      <w:pPr>
        <w:tabs>
          <w:tab w:val="left" w:pos="0"/>
          <w:tab w:val="left" w:pos="4320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750ADA" w:rsidRPr="00750ADA" w:rsidRDefault="00750ADA" w:rsidP="00750ADA">
      <w:pPr>
        <w:jc w:val="both"/>
        <w:rPr>
          <w:color w:val="auto"/>
        </w:rPr>
      </w:pPr>
      <w:r w:rsidRPr="00750ADA">
        <w:rPr>
          <w:color w:val="auto"/>
        </w:rPr>
        <w:t xml:space="preserve">MEMORANDUM FOR DIRECTOR, SECRETARY OF THE NAVY COUNCIL OF REVIEW  </w:t>
      </w:r>
    </w:p>
    <w:p w:rsidR="00750ADA" w:rsidRPr="00750ADA" w:rsidRDefault="00750ADA" w:rsidP="00750ADA">
      <w:pPr>
        <w:tabs>
          <w:tab w:val="left" w:pos="2430"/>
        </w:tabs>
        <w:jc w:val="both"/>
        <w:rPr>
          <w:color w:val="auto"/>
        </w:rPr>
      </w:pPr>
      <w:r w:rsidRPr="00750ADA">
        <w:rPr>
          <w:color w:val="auto"/>
        </w:rPr>
        <w:t xml:space="preserve">                                        </w:t>
      </w:r>
      <w:r w:rsidRPr="00750ADA">
        <w:rPr>
          <w:color w:val="auto"/>
        </w:rPr>
        <w:tab/>
        <w:t xml:space="preserve">BOARDS </w:t>
      </w:r>
    </w:p>
    <w:p w:rsidR="00750ADA" w:rsidRPr="00750ADA" w:rsidRDefault="00750ADA" w:rsidP="00750ADA">
      <w:pPr>
        <w:jc w:val="both"/>
        <w:rPr>
          <w:color w:val="auto"/>
        </w:rPr>
      </w:pPr>
    </w:p>
    <w:p w:rsidR="00750ADA" w:rsidRPr="00750ADA" w:rsidRDefault="00750ADA" w:rsidP="00750ADA">
      <w:pPr>
        <w:jc w:val="both"/>
        <w:rPr>
          <w:color w:val="auto"/>
        </w:rPr>
      </w:pPr>
      <w:proofErr w:type="spellStart"/>
      <w:r w:rsidRPr="00750ADA">
        <w:rPr>
          <w:color w:val="auto"/>
        </w:rPr>
        <w:t>Subj</w:t>
      </w:r>
      <w:proofErr w:type="spellEnd"/>
      <w:r w:rsidRPr="00750ADA">
        <w:rPr>
          <w:color w:val="auto"/>
        </w:rPr>
        <w:t>:  PHYSICAL DISABILITY BOARD OF REVIEW (PDBR) RECOMMENDATION</w:t>
      </w:r>
    </w:p>
    <w:p w:rsidR="00750ADA" w:rsidRPr="00750ADA" w:rsidRDefault="00750ADA" w:rsidP="00750ADA">
      <w:pPr>
        <w:tabs>
          <w:tab w:val="left" w:pos="0"/>
          <w:tab w:val="left" w:pos="630"/>
        </w:tabs>
        <w:jc w:val="both"/>
        <w:rPr>
          <w:color w:val="auto"/>
        </w:rPr>
      </w:pPr>
      <w:r w:rsidRPr="00750ADA">
        <w:rPr>
          <w:color w:val="auto"/>
        </w:rPr>
        <w:t xml:space="preserve">    </w:t>
      </w:r>
      <w:r w:rsidRPr="00750ADA">
        <w:rPr>
          <w:color w:val="auto"/>
        </w:rPr>
        <w:tab/>
        <w:t xml:space="preserve">ICO </w:t>
      </w:r>
      <w:r>
        <w:rPr>
          <w:color w:val="auto"/>
        </w:rPr>
        <w:t>XXXXXX</w:t>
      </w:r>
      <w:r w:rsidRPr="00750ADA">
        <w:rPr>
          <w:color w:val="auto"/>
        </w:rPr>
        <w:t xml:space="preserve">, EX-USMC, XXX XX </w:t>
      </w:r>
      <w:r>
        <w:rPr>
          <w:color w:val="auto"/>
        </w:rPr>
        <w:t>XXXX</w:t>
      </w:r>
    </w:p>
    <w:p w:rsidR="00750ADA" w:rsidRPr="00750ADA" w:rsidRDefault="00750ADA" w:rsidP="00750ADA">
      <w:pPr>
        <w:jc w:val="both"/>
        <w:rPr>
          <w:color w:val="auto"/>
        </w:rPr>
      </w:pPr>
    </w:p>
    <w:p w:rsidR="00750ADA" w:rsidRPr="00750ADA" w:rsidRDefault="00750ADA" w:rsidP="00750ADA">
      <w:pPr>
        <w:jc w:val="both"/>
        <w:rPr>
          <w:color w:val="auto"/>
        </w:rPr>
      </w:pPr>
      <w:r w:rsidRPr="00750ADA">
        <w:rPr>
          <w:color w:val="auto"/>
        </w:rPr>
        <w:t>Ref:   (a) DoDI 6040.44</w:t>
      </w:r>
    </w:p>
    <w:p w:rsidR="00750ADA" w:rsidRPr="00750ADA" w:rsidRDefault="00750ADA" w:rsidP="00750ADA">
      <w:pPr>
        <w:ind w:left="-540"/>
        <w:jc w:val="both"/>
        <w:rPr>
          <w:color w:val="auto"/>
        </w:rPr>
      </w:pPr>
      <w:r w:rsidRPr="00750ADA">
        <w:rPr>
          <w:color w:val="auto"/>
        </w:rPr>
        <w:t xml:space="preserve">                   (b) PDBR </w:t>
      </w:r>
      <w:proofErr w:type="spellStart"/>
      <w:r w:rsidRPr="00750ADA">
        <w:rPr>
          <w:color w:val="auto"/>
        </w:rPr>
        <w:t>ltr</w:t>
      </w:r>
      <w:proofErr w:type="spellEnd"/>
      <w:r w:rsidRPr="00750ADA">
        <w:rPr>
          <w:color w:val="auto"/>
        </w:rPr>
        <w:t xml:space="preserve"> </w:t>
      </w:r>
      <w:proofErr w:type="spellStart"/>
      <w:r w:rsidRPr="00750ADA">
        <w:rPr>
          <w:color w:val="auto"/>
        </w:rPr>
        <w:t>dtd</w:t>
      </w:r>
      <w:proofErr w:type="spellEnd"/>
      <w:r w:rsidRPr="00750ADA">
        <w:rPr>
          <w:color w:val="auto"/>
        </w:rPr>
        <w:t xml:space="preserve"> 18 Nov10</w:t>
      </w:r>
    </w:p>
    <w:p w:rsidR="00750ADA" w:rsidRPr="00750ADA" w:rsidRDefault="00750ADA" w:rsidP="00750ADA">
      <w:pPr>
        <w:ind w:left="-540"/>
        <w:jc w:val="both"/>
        <w:rPr>
          <w:color w:val="auto"/>
        </w:rPr>
      </w:pPr>
    </w:p>
    <w:p w:rsidR="00750ADA" w:rsidRPr="00750ADA" w:rsidRDefault="00750ADA" w:rsidP="00750ADA">
      <w:pPr>
        <w:jc w:val="both"/>
        <w:rPr>
          <w:color w:val="auto"/>
        </w:rPr>
      </w:pPr>
      <w:r w:rsidRPr="00750ADA">
        <w:rPr>
          <w:color w:val="auto"/>
        </w:rPr>
        <w:t xml:space="preserve">      I have reviewed the subject case pursuant to reference (a) and approve the recommendation of the Physical Disability Board of Review (reference (b)) that Ms. </w:t>
      </w:r>
      <w:r>
        <w:rPr>
          <w:color w:val="auto"/>
        </w:rPr>
        <w:t>XXXXX</w:t>
      </w:r>
      <w:r w:rsidRPr="00750ADA">
        <w:rPr>
          <w:color w:val="auto"/>
        </w:rPr>
        <w:t>’ records not be corrected to reflect a change in either her characterization of separation, or in the disability rating previously assigned by the Department of the Navy’s Physical Evaluation Board.</w:t>
      </w:r>
    </w:p>
    <w:p w:rsidR="00750ADA" w:rsidRPr="00750ADA" w:rsidRDefault="00750ADA" w:rsidP="00750ADA">
      <w:pPr>
        <w:jc w:val="both"/>
        <w:rPr>
          <w:color w:val="auto"/>
        </w:rPr>
      </w:pPr>
    </w:p>
    <w:p w:rsidR="00750ADA" w:rsidRPr="00750ADA" w:rsidRDefault="00750ADA" w:rsidP="00750ADA">
      <w:pPr>
        <w:jc w:val="both"/>
        <w:rPr>
          <w:color w:val="auto"/>
        </w:rPr>
      </w:pPr>
    </w:p>
    <w:p w:rsidR="00750ADA" w:rsidRPr="00750ADA" w:rsidRDefault="00750ADA" w:rsidP="00750ADA">
      <w:pPr>
        <w:jc w:val="both"/>
        <w:rPr>
          <w:color w:val="auto"/>
        </w:rPr>
      </w:pPr>
    </w:p>
    <w:p w:rsidR="00750ADA" w:rsidRPr="00750ADA" w:rsidRDefault="00750ADA" w:rsidP="00750ADA">
      <w:pPr>
        <w:tabs>
          <w:tab w:val="left" w:pos="4680"/>
        </w:tabs>
        <w:jc w:val="both"/>
        <w:rPr>
          <w:color w:val="auto"/>
        </w:rPr>
      </w:pPr>
      <w:r w:rsidRPr="00750ADA">
        <w:rPr>
          <w:color w:val="auto"/>
        </w:rPr>
        <w:tab/>
      </w:r>
    </w:p>
    <w:p w:rsidR="00750ADA" w:rsidRPr="00750ADA" w:rsidRDefault="00750ADA" w:rsidP="00750ADA">
      <w:pPr>
        <w:jc w:val="both"/>
        <w:rPr>
          <w:color w:val="auto"/>
        </w:rPr>
      </w:pPr>
      <w:r w:rsidRPr="00750ADA">
        <w:rPr>
          <w:color w:val="auto"/>
        </w:rPr>
        <w:tab/>
      </w:r>
      <w:r w:rsidRPr="00750ADA">
        <w:rPr>
          <w:color w:val="auto"/>
        </w:rPr>
        <w:tab/>
      </w:r>
      <w:r w:rsidRPr="00750ADA">
        <w:rPr>
          <w:color w:val="auto"/>
        </w:rPr>
        <w:tab/>
      </w:r>
      <w:r w:rsidRPr="00750ADA">
        <w:rPr>
          <w:color w:val="auto"/>
        </w:rPr>
        <w:tab/>
      </w:r>
      <w:r w:rsidRPr="00750ADA">
        <w:rPr>
          <w:color w:val="auto"/>
        </w:rPr>
        <w:tab/>
      </w:r>
      <w:r w:rsidRPr="00750ADA">
        <w:rPr>
          <w:color w:val="auto"/>
        </w:rPr>
        <w:tab/>
        <w:t xml:space="preserve">      Principal Deputy</w:t>
      </w:r>
    </w:p>
    <w:p w:rsidR="00750ADA" w:rsidRPr="00750ADA" w:rsidRDefault="00750ADA" w:rsidP="00750ADA">
      <w:pPr>
        <w:jc w:val="both"/>
        <w:rPr>
          <w:color w:val="auto"/>
        </w:rPr>
      </w:pPr>
      <w:r w:rsidRPr="00750ADA">
        <w:rPr>
          <w:color w:val="auto"/>
        </w:rPr>
        <w:tab/>
      </w:r>
      <w:r w:rsidRPr="00750ADA">
        <w:rPr>
          <w:color w:val="auto"/>
        </w:rPr>
        <w:tab/>
      </w:r>
      <w:r w:rsidRPr="00750ADA">
        <w:rPr>
          <w:color w:val="auto"/>
        </w:rPr>
        <w:tab/>
      </w:r>
      <w:r w:rsidRPr="00750ADA">
        <w:rPr>
          <w:color w:val="auto"/>
        </w:rPr>
        <w:tab/>
      </w:r>
      <w:r w:rsidRPr="00750ADA">
        <w:rPr>
          <w:color w:val="auto"/>
        </w:rPr>
        <w:tab/>
      </w:r>
      <w:r w:rsidRPr="00750ADA">
        <w:rPr>
          <w:color w:val="auto"/>
        </w:rPr>
        <w:tab/>
        <w:t xml:space="preserve">      Assistant Secretary of the Navy </w:t>
      </w:r>
    </w:p>
    <w:p w:rsidR="00750ADA" w:rsidRPr="00750ADA" w:rsidRDefault="00750ADA" w:rsidP="00750ADA">
      <w:pPr>
        <w:jc w:val="both"/>
        <w:rPr>
          <w:color w:val="auto"/>
        </w:rPr>
      </w:pPr>
      <w:r w:rsidRPr="00750ADA">
        <w:rPr>
          <w:color w:val="auto"/>
        </w:rPr>
        <w:tab/>
      </w:r>
      <w:r w:rsidRPr="00750ADA">
        <w:rPr>
          <w:color w:val="auto"/>
        </w:rPr>
        <w:tab/>
      </w:r>
      <w:r w:rsidRPr="00750ADA">
        <w:rPr>
          <w:color w:val="auto"/>
        </w:rPr>
        <w:tab/>
      </w:r>
      <w:r w:rsidRPr="00750ADA">
        <w:rPr>
          <w:color w:val="auto"/>
        </w:rPr>
        <w:tab/>
      </w:r>
      <w:r w:rsidRPr="00750ADA">
        <w:rPr>
          <w:color w:val="auto"/>
        </w:rPr>
        <w:tab/>
      </w:r>
      <w:r w:rsidRPr="00750ADA">
        <w:rPr>
          <w:color w:val="auto"/>
        </w:rPr>
        <w:tab/>
        <w:t xml:space="preserve">        (Manpower &amp; Reserve Affairs)</w:t>
      </w:r>
    </w:p>
    <w:p w:rsidR="00750ADA" w:rsidRDefault="00750ADA" w:rsidP="00750A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50ADA" w:rsidRDefault="00750ADA" w:rsidP="00750ADA">
      <w:pPr>
        <w:jc w:val="both"/>
      </w:pPr>
    </w:p>
    <w:p w:rsidR="00750ADA" w:rsidRPr="00006186" w:rsidRDefault="00750ADA" w:rsidP="00190E48">
      <w:pPr>
        <w:tabs>
          <w:tab w:val="left" w:pos="0"/>
          <w:tab w:val="left" w:pos="4320"/>
        </w:tabs>
        <w:spacing w:line="240" w:lineRule="exact"/>
        <w:jc w:val="both"/>
        <w:rPr>
          <w:rFonts w:asciiTheme="minorHAnsi" w:hAnsiTheme="minorHAnsi"/>
          <w:color w:val="auto"/>
        </w:rPr>
      </w:pPr>
    </w:p>
    <w:sectPr w:rsidR="00750ADA" w:rsidRPr="00006186" w:rsidSect="002A5C3C">
      <w:footerReference w:type="even" r:id="rId8"/>
      <w:footerReference w:type="default" r:id="rId9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2F" w:rsidRDefault="0088312F">
      <w:r>
        <w:separator/>
      </w:r>
    </w:p>
  </w:endnote>
  <w:endnote w:type="continuationSeparator" w:id="0">
    <w:p w:rsidR="0088312F" w:rsidRDefault="0088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30" w:rsidRDefault="00C24C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70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030">
      <w:rPr>
        <w:rStyle w:val="PageNumber"/>
        <w:noProof/>
      </w:rPr>
      <w:t>2</w:t>
    </w:r>
    <w:r>
      <w:rPr>
        <w:rStyle w:val="PageNumber"/>
      </w:rPr>
      <w:fldChar w:fldCharType="end"/>
    </w:r>
  </w:p>
  <w:p w:rsidR="00397030" w:rsidRDefault="00397030" w:rsidP="002B0749">
    <w:pPr>
      <w:pStyle w:val="Footer"/>
      <w:jc w:val="right"/>
    </w:pPr>
    <w:r>
      <w:tab/>
    </w:r>
    <w:r>
      <w:tab/>
    </w:r>
    <w:r w:rsidRPr="001D3186">
      <w:rPr>
        <w:caps/>
        <w:color w:val="000080"/>
      </w:rPr>
      <w:t>PD09</w:t>
    </w:r>
    <w:r>
      <w:rPr>
        <w:caps/>
        <w:color w:val="000080"/>
      </w:rPr>
      <w:t>00</w:t>
    </w:r>
    <w:r w:rsidRPr="001D3186">
      <w:rPr>
        <w:caps/>
        <w:color w:val="000080"/>
      </w:rPr>
      <w:t>###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30" w:rsidRPr="00AC713F" w:rsidRDefault="00C24CFD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color w:val="auto"/>
      </w:rPr>
    </w:pPr>
    <w:r w:rsidRPr="00AC713F">
      <w:rPr>
        <w:rStyle w:val="PageNumber"/>
        <w:rFonts w:asciiTheme="minorHAnsi" w:hAnsiTheme="minorHAnsi"/>
        <w:color w:val="auto"/>
      </w:rPr>
      <w:fldChar w:fldCharType="begin"/>
    </w:r>
    <w:r w:rsidR="00397030" w:rsidRPr="00AC713F">
      <w:rPr>
        <w:rStyle w:val="PageNumber"/>
        <w:rFonts w:asciiTheme="minorHAnsi" w:hAnsiTheme="minorHAnsi"/>
        <w:color w:val="auto"/>
      </w:rPr>
      <w:instrText xml:space="preserve">PAGE  </w:instrText>
    </w:r>
    <w:r w:rsidRPr="00AC713F">
      <w:rPr>
        <w:rStyle w:val="PageNumber"/>
        <w:rFonts w:asciiTheme="minorHAnsi" w:hAnsiTheme="minorHAnsi"/>
        <w:color w:val="auto"/>
      </w:rPr>
      <w:fldChar w:fldCharType="separate"/>
    </w:r>
    <w:r w:rsidR="00750ADA">
      <w:rPr>
        <w:rStyle w:val="PageNumber"/>
        <w:rFonts w:asciiTheme="minorHAnsi" w:hAnsiTheme="minorHAnsi"/>
        <w:noProof/>
        <w:color w:val="auto"/>
      </w:rPr>
      <w:t>2</w:t>
    </w:r>
    <w:r w:rsidRPr="00AC713F">
      <w:rPr>
        <w:rStyle w:val="PageNumber"/>
        <w:rFonts w:asciiTheme="minorHAnsi" w:hAnsiTheme="minorHAnsi"/>
        <w:color w:val="auto"/>
      </w:rPr>
      <w:fldChar w:fldCharType="end"/>
    </w:r>
  </w:p>
  <w:p w:rsidR="00397030" w:rsidRPr="00396779" w:rsidRDefault="00397030" w:rsidP="002B0749">
    <w:pPr>
      <w:pStyle w:val="Footer"/>
      <w:jc w:val="right"/>
      <w:rPr>
        <w:rFonts w:asciiTheme="minorHAnsi" w:hAnsiTheme="minorHAnsi"/>
        <w:color w:val="auto"/>
      </w:rPr>
    </w:pPr>
    <w:r>
      <w:tab/>
    </w:r>
    <w:r>
      <w:tab/>
    </w:r>
    <w:r w:rsidRPr="00396779">
      <w:rPr>
        <w:rFonts w:asciiTheme="minorHAnsi" w:hAnsiTheme="minorHAnsi"/>
        <w:caps/>
        <w:color w:val="auto"/>
      </w:rPr>
      <w:t>PD</w:t>
    </w:r>
    <w:r w:rsidR="003A3F1C">
      <w:rPr>
        <w:rFonts w:asciiTheme="minorHAnsi" w:hAnsiTheme="minorHAnsi"/>
        <w:caps/>
        <w:color w:val="auto"/>
      </w:rPr>
      <w:t>0900538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2F" w:rsidRDefault="0088312F">
      <w:r>
        <w:separator/>
      </w:r>
    </w:p>
  </w:footnote>
  <w:footnote w:type="continuationSeparator" w:id="0">
    <w:p w:rsidR="0088312F" w:rsidRDefault="00883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8AC"/>
    <w:multiLevelType w:val="hybridMultilevel"/>
    <w:tmpl w:val="D526C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1821A9"/>
    <w:multiLevelType w:val="hybridMultilevel"/>
    <w:tmpl w:val="100E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3488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59FA"/>
    <w:rsid w:val="00006186"/>
    <w:rsid w:val="00006F87"/>
    <w:rsid w:val="00010ABA"/>
    <w:rsid w:val="00012428"/>
    <w:rsid w:val="00013417"/>
    <w:rsid w:val="000145C2"/>
    <w:rsid w:val="0001473F"/>
    <w:rsid w:val="00014A9E"/>
    <w:rsid w:val="0001715C"/>
    <w:rsid w:val="00020EE7"/>
    <w:rsid w:val="00021361"/>
    <w:rsid w:val="00022CF3"/>
    <w:rsid w:val="00023913"/>
    <w:rsid w:val="00023D43"/>
    <w:rsid w:val="00032E07"/>
    <w:rsid w:val="000332CA"/>
    <w:rsid w:val="0003374E"/>
    <w:rsid w:val="000344E6"/>
    <w:rsid w:val="00035C3A"/>
    <w:rsid w:val="00036E4B"/>
    <w:rsid w:val="000379D0"/>
    <w:rsid w:val="00040FC4"/>
    <w:rsid w:val="000416F8"/>
    <w:rsid w:val="00042C26"/>
    <w:rsid w:val="00043382"/>
    <w:rsid w:val="00051622"/>
    <w:rsid w:val="00052234"/>
    <w:rsid w:val="00053D7C"/>
    <w:rsid w:val="000577C9"/>
    <w:rsid w:val="0006431E"/>
    <w:rsid w:val="00065E21"/>
    <w:rsid w:val="00072433"/>
    <w:rsid w:val="00075702"/>
    <w:rsid w:val="000775C2"/>
    <w:rsid w:val="000806AD"/>
    <w:rsid w:val="00082482"/>
    <w:rsid w:val="00086751"/>
    <w:rsid w:val="0008708B"/>
    <w:rsid w:val="00092619"/>
    <w:rsid w:val="00092C66"/>
    <w:rsid w:val="00094E4F"/>
    <w:rsid w:val="0009515F"/>
    <w:rsid w:val="000A2BCE"/>
    <w:rsid w:val="000A41E3"/>
    <w:rsid w:val="000A4BBA"/>
    <w:rsid w:val="000A5071"/>
    <w:rsid w:val="000B4C99"/>
    <w:rsid w:val="000C06F6"/>
    <w:rsid w:val="000C1D34"/>
    <w:rsid w:val="000C2362"/>
    <w:rsid w:val="000C3C13"/>
    <w:rsid w:val="000C53F9"/>
    <w:rsid w:val="000C5813"/>
    <w:rsid w:val="000C75CF"/>
    <w:rsid w:val="000C7B83"/>
    <w:rsid w:val="000C7DE4"/>
    <w:rsid w:val="000D15E7"/>
    <w:rsid w:val="000D1A24"/>
    <w:rsid w:val="000D21C7"/>
    <w:rsid w:val="000D248A"/>
    <w:rsid w:val="000D35D8"/>
    <w:rsid w:val="000D43F9"/>
    <w:rsid w:val="000D4717"/>
    <w:rsid w:val="000D6457"/>
    <w:rsid w:val="000D7D55"/>
    <w:rsid w:val="000E0993"/>
    <w:rsid w:val="000E37E0"/>
    <w:rsid w:val="000F02BE"/>
    <w:rsid w:val="000F427B"/>
    <w:rsid w:val="000F7181"/>
    <w:rsid w:val="001008C1"/>
    <w:rsid w:val="001023DB"/>
    <w:rsid w:val="00103CCF"/>
    <w:rsid w:val="0010417F"/>
    <w:rsid w:val="001042D2"/>
    <w:rsid w:val="0010530E"/>
    <w:rsid w:val="00105C07"/>
    <w:rsid w:val="00107EC5"/>
    <w:rsid w:val="001103CD"/>
    <w:rsid w:val="0011077C"/>
    <w:rsid w:val="00114F20"/>
    <w:rsid w:val="0012018C"/>
    <w:rsid w:val="001211AF"/>
    <w:rsid w:val="001219DF"/>
    <w:rsid w:val="00121B12"/>
    <w:rsid w:val="00122ABE"/>
    <w:rsid w:val="001231DC"/>
    <w:rsid w:val="001272AE"/>
    <w:rsid w:val="001315DD"/>
    <w:rsid w:val="00135385"/>
    <w:rsid w:val="001364D1"/>
    <w:rsid w:val="00142EBA"/>
    <w:rsid w:val="00143B79"/>
    <w:rsid w:val="00150B8A"/>
    <w:rsid w:val="00150DCB"/>
    <w:rsid w:val="00151912"/>
    <w:rsid w:val="00153740"/>
    <w:rsid w:val="001541C5"/>
    <w:rsid w:val="0015623F"/>
    <w:rsid w:val="00156585"/>
    <w:rsid w:val="00156BA9"/>
    <w:rsid w:val="00161761"/>
    <w:rsid w:val="00166182"/>
    <w:rsid w:val="001745DD"/>
    <w:rsid w:val="00177659"/>
    <w:rsid w:val="001779E5"/>
    <w:rsid w:val="00177F5A"/>
    <w:rsid w:val="00182A4C"/>
    <w:rsid w:val="00183F77"/>
    <w:rsid w:val="001844D8"/>
    <w:rsid w:val="00185DA8"/>
    <w:rsid w:val="00185ECB"/>
    <w:rsid w:val="001865E0"/>
    <w:rsid w:val="001870F0"/>
    <w:rsid w:val="00190E48"/>
    <w:rsid w:val="0019273F"/>
    <w:rsid w:val="00193814"/>
    <w:rsid w:val="00193AD5"/>
    <w:rsid w:val="00194930"/>
    <w:rsid w:val="00194E05"/>
    <w:rsid w:val="001A08CD"/>
    <w:rsid w:val="001A0A1E"/>
    <w:rsid w:val="001A4F88"/>
    <w:rsid w:val="001A5320"/>
    <w:rsid w:val="001A5E62"/>
    <w:rsid w:val="001A6848"/>
    <w:rsid w:val="001A7538"/>
    <w:rsid w:val="001B0B1A"/>
    <w:rsid w:val="001B4EC2"/>
    <w:rsid w:val="001B5B59"/>
    <w:rsid w:val="001B60E0"/>
    <w:rsid w:val="001B7C8C"/>
    <w:rsid w:val="001C181A"/>
    <w:rsid w:val="001C1877"/>
    <w:rsid w:val="001C2053"/>
    <w:rsid w:val="001C252F"/>
    <w:rsid w:val="001C28D1"/>
    <w:rsid w:val="001C5CFC"/>
    <w:rsid w:val="001C7418"/>
    <w:rsid w:val="001C7EBE"/>
    <w:rsid w:val="001D0051"/>
    <w:rsid w:val="001D2224"/>
    <w:rsid w:val="001D31AA"/>
    <w:rsid w:val="001D4F88"/>
    <w:rsid w:val="001D68CF"/>
    <w:rsid w:val="001D6A8C"/>
    <w:rsid w:val="001D7A56"/>
    <w:rsid w:val="001E15C0"/>
    <w:rsid w:val="001E18E0"/>
    <w:rsid w:val="001E18E2"/>
    <w:rsid w:val="001E19D0"/>
    <w:rsid w:val="001E2A30"/>
    <w:rsid w:val="001F6729"/>
    <w:rsid w:val="00200AA0"/>
    <w:rsid w:val="00202325"/>
    <w:rsid w:val="00202736"/>
    <w:rsid w:val="00203652"/>
    <w:rsid w:val="002060B6"/>
    <w:rsid w:val="002066B5"/>
    <w:rsid w:val="002119B6"/>
    <w:rsid w:val="00212B40"/>
    <w:rsid w:val="00215ED6"/>
    <w:rsid w:val="00216049"/>
    <w:rsid w:val="00217606"/>
    <w:rsid w:val="00217C09"/>
    <w:rsid w:val="00220F5C"/>
    <w:rsid w:val="00225196"/>
    <w:rsid w:val="00225CB4"/>
    <w:rsid w:val="002276A1"/>
    <w:rsid w:val="0023049F"/>
    <w:rsid w:val="002316F6"/>
    <w:rsid w:val="00232C9B"/>
    <w:rsid w:val="00232F09"/>
    <w:rsid w:val="002335D5"/>
    <w:rsid w:val="002338CA"/>
    <w:rsid w:val="00233FE5"/>
    <w:rsid w:val="00234B3B"/>
    <w:rsid w:val="0024174E"/>
    <w:rsid w:val="0024227D"/>
    <w:rsid w:val="00242D14"/>
    <w:rsid w:val="00246860"/>
    <w:rsid w:val="00246DFF"/>
    <w:rsid w:val="00246E89"/>
    <w:rsid w:val="0025183C"/>
    <w:rsid w:val="002528EC"/>
    <w:rsid w:val="00255049"/>
    <w:rsid w:val="00257DE5"/>
    <w:rsid w:val="00260531"/>
    <w:rsid w:val="0026318D"/>
    <w:rsid w:val="00270864"/>
    <w:rsid w:val="002712F7"/>
    <w:rsid w:val="0027159C"/>
    <w:rsid w:val="00271E8C"/>
    <w:rsid w:val="00274549"/>
    <w:rsid w:val="00274E46"/>
    <w:rsid w:val="00276C86"/>
    <w:rsid w:val="002810A4"/>
    <w:rsid w:val="00284A26"/>
    <w:rsid w:val="00287006"/>
    <w:rsid w:val="00292AB2"/>
    <w:rsid w:val="00294437"/>
    <w:rsid w:val="002A3237"/>
    <w:rsid w:val="002A58B7"/>
    <w:rsid w:val="002A5943"/>
    <w:rsid w:val="002A5C3C"/>
    <w:rsid w:val="002A685E"/>
    <w:rsid w:val="002A72C7"/>
    <w:rsid w:val="002B03B2"/>
    <w:rsid w:val="002B0749"/>
    <w:rsid w:val="002B2645"/>
    <w:rsid w:val="002B6FA0"/>
    <w:rsid w:val="002C5F10"/>
    <w:rsid w:val="002C6E5B"/>
    <w:rsid w:val="002D18B4"/>
    <w:rsid w:val="002D231A"/>
    <w:rsid w:val="002E1877"/>
    <w:rsid w:val="002E1C31"/>
    <w:rsid w:val="002E333A"/>
    <w:rsid w:val="002E3474"/>
    <w:rsid w:val="002E400C"/>
    <w:rsid w:val="002E49C3"/>
    <w:rsid w:val="002E5114"/>
    <w:rsid w:val="002E7570"/>
    <w:rsid w:val="002E764B"/>
    <w:rsid w:val="002F0E28"/>
    <w:rsid w:val="002F287E"/>
    <w:rsid w:val="002F2D63"/>
    <w:rsid w:val="002F7F81"/>
    <w:rsid w:val="00300A36"/>
    <w:rsid w:val="0030678B"/>
    <w:rsid w:val="0030741D"/>
    <w:rsid w:val="00310CD7"/>
    <w:rsid w:val="0032136A"/>
    <w:rsid w:val="00323E70"/>
    <w:rsid w:val="00325BA2"/>
    <w:rsid w:val="00326C08"/>
    <w:rsid w:val="00326F7F"/>
    <w:rsid w:val="003320E8"/>
    <w:rsid w:val="0033555E"/>
    <w:rsid w:val="00336805"/>
    <w:rsid w:val="00337351"/>
    <w:rsid w:val="00341A54"/>
    <w:rsid w:val="00342A2A"/>
    <w:rsid w:val="0034669F"/>
    <w:rsid w:val="00351498"/>
    <w:rsid w:val="00352B22"/>
    <w:rsid w:val="00354547"/>
    <w:rsid w:val="003567DE"/>
    <w:rsid w:val="003574F3"/>
    <w:rsid w:val="00357809"/>
    <w:rsid w:val="0036319E"/>
    <w:rsid w:val="003632A4"/>
    <w:rsid w:val="00363362"/>
    <w:rsid w:val="00367D4F"/>
    <w:rsid w:val="00370743"/>
    <w:rsid w:val="00370EF5"/>
    <w:rsid w:val="0037135B"/>
    <w:rsid w:val="00372251"/>
    <w:rsid w:val="0037520D"/>
    <w:rsid w:val="00375724"/>
    <w:rsid w:val="00375809"/>
    <w:rsid w:val="0037628C"/>
    <w:rsid w:val="00376B81"/>
    <w:rsid w:val="00377BD2"/>
    <w:rsid w:val="003821E1"/>
    <w:rsid w:val="00384866"/>
    <w:rsid w:val="003857D4"/>
    <w:rsid w:val="00385D6F"/>
    <w:rsid w:val="00387095"/>
    <w:rsid w:val="00390092"/>
    <w:rsid w:val="00393651"/>
    <w:rsid w:val="00395E12"/>
    <w:rsid w:val="00396779"/>
    <w:rsid w:val="00397030"/>
    <w:rsid w:val="00397B94"/>
    <w:rsid w:val="00397DB7"/>
    <w:rsid w:val="003A27B2"/>
    <w:rsid w:val="003A3B74"/>
    <w:rsid w:val="003A3F1C"/>
    <w:rsid w:val="003A40B4"/>
    <w:rsid w:val="003A41BA"/>
    <w:rsid w:val="003A6A99"/>
    <w:rsid w:val="003A7FF8"/>
    <w:rsid w:val="003B17AC"/>
    <w:rsid w:val="003B227A"/>
    <w:rsid w:val="003B4F03"/>
    <w:rsid w:val="003B5854"/>
    <w:rsid w:val="003B6764"/>
    <w:rsid w:val="003C6068"/>
    <w:rsid w:val="003D2BA3"/>
    <w:rsid w:val="003D3C22"/>
    <w:rsid w:val="003D7089"/>
    <w:rsid w:val="003D7DDB"/>
    <w:rsid w:val="003E02C7"/>
    <w:rsid w:val="003E0543"/>
    <w:rsid w:val="003E0B5A"/>
    <w:rsid w:val="003E300B"/>
    <w:rsid w:val="003E31E3"/>
    <w:rsid w:val="003E46D1"/>
    <w:rsid w:val="003E6214"/>
    <w:rsid w:val="003F070E"/>
    <w:rsid w:val="003F58B0"/>
    <w:rsid w:val="004007E9"/>
    <w:rsid w:val="00401825"/>
    <w:rsid w:val="00401BBC"/>
    <w:rsid w:val="00403BFB"/>
    <w:rsid w:val="00404B45"/>
    <w:rsid w:val="00406CC5"/>
    <w:rsid w:val="004074A4"/>
    <w:rsid w:val="004101B2"/>
    <w:rsid w:val="004123D7"/>
    <w:rsid w:val="00412658"/>
    <w:rsid w:val="004172DB"/>
    <w:rsid w:val="00421485"/>
    <w:rsid w:val="00422B75"/>
    <w:rsid w:val="00433F36"/>
    <w:rsid w:val="0043503A"/>
    <w:rsid w:val="00435242"/>
    <w:rsid w:val="0044384F"/>
    <w:rsid w:val="00444F80"/>
    <w:rsid w:val="00446018"/>
    <w:rsid w:val="004475CB"/>
    <w:rsid w:val="004543BC"/>
    <w:rsid w:val="0045645D"/>
    <w:rsid w:val="004574C6"/>
    <w:rsid w:val="00457BCF"/>
    <w:rsid w:val="00457DCE"/>
    <w:rsid w:val="00460E3F"/>
    <w:rsid w:val="00462F68"/>
    <w:rsid w:val="00466CED"/>
    <w:rsid w:val="00467592"/>
    <w:rsid w:val="00467690"/>
    <w:rsid w:val="004718E7"/>
    <w:rsid w:val="00472535"/>
    <w:rsid w:val="004761CC"/>
    <w:rsid w:val="00480D4A"/>
    <w:rsid w:val="00481DA1"/>
    <w:rsid w:val="004923CA"/>
    <w:rsid w:val="0049255F"/>
    <w:rsid w:val="0049445D"/>
    <w:rsid w:val="00495350"/>
    <w:rsid w:val="00497156"/>
    <w:rsid w:val="004A0C79"/>
    <w:rsid w:val="004A24D2"/>
    <w:rsid w:val="004A3214"/>
    <w:rsid w:val="004A4136"/>
    <w:rsid w:val="004A417B"/>
    <w:rsid w:val="004B03F3"/>
    <w:rsid w:val="004B0CC9"/>
    <w:rsid w:val="004B2536"/>
    <w:rsid w:val="004B6AF3"/>
    <w:rsid w:val="004B715E"/>
    <w:rsid w:val="004B7169"/>
    <w:rsid w:val="004B79C9"/>
    <w:rsid w:val="004C383D"/>
    <w:rsid w:val="004C5E33"/>
    <w:rsid w:val="004C6CDA"/>
    <w:rsid w:val="004D10D4"/>
    <w:rsid w:val="004D16BD"/>
    <w:rsid w:val="004D2AAB"/>
    <w:rsid w:val="004D6F2B"/>
    <w:rsid w:val="004E0248"/>
    <w:rsid w:val="004E21A3"/>
    <w:rsid w:val="004E32EA"/>
    <w:rsid w:val="004E6866"/>
    <w:rsid w:val="004F3222"/>
    <w:rsid w:val="004F3BFA"/>
    <w:rsid w:val="005000AB"/>
    <w:rsid w:val="005025EE"/>
    <w:rsid w:val="00510588"/>
    <w:rsid w:val="0051146C"/>
    <w:rsid w:val="00514449"/>
    <w:rsid w:val="005157BD"/>
    <w:rsid w:val="005222E7"/>
    <w:rsid w:val="00523A8B"/>
    <w:rsid w:val="00523E04"/>
    <w:rsid w:val="0052590B"/>
    <w:rsid w:val="00526591"/>
    <w:rsid w:val="00527178"/>
    <w:rsid w:val="005278CB"/>
    <w:rsid w:val="00534D42"/>
    <w:rsid w:val="005350A5"/>
    <w:rsid w:val="00536379"/>
    <w:rsid w:val="00537238"/>
    <w:rsid w:val="005400C5"/>
    <w:rsid w:val="00540BEF"/>
    <w:rsid w:val="00542C9A"/>
    <w:rsid w:val="005436C2"/>
    <w:rsid w:val="005442D4"/>
    <w:rsid w:val="0054586A"/>
    <w:rsid w:val="0054631F"/>
    <w:rsid w:val="0055288D"/>
    <w:rsid w:val="00555259"/>
    <w:rsid w:val="00560D57"/>
    <w:rsid w:val="00562A94"/>
    <w:rsid w:val="005709F7"/>
    <w:rsid w:val="005710A9"/>
    <w:rsid w:val="00571D1B"/>
    <w:rsid w:val="00572F63"/>
    <w:rsid w:val="0058039C"/>
    <w:rsid w:val="00583A0F"/>
    <w:rsid w:val="00593043"/>
    <w:rsid w:val="00595BF0"/>
    <w:rsid w:val="005A1846"/>
    <w:rsid w:val="005A258C"/>
    <w:rsid w:val="005A3560"/>
    <w:rsid w:val="005A464E"/>
    <w:rsid w:val="005A6C99"/>
    <w:rsid w:val="005A7D5D"/>
    <w:rsid w:val="005B011A"/>
    <w:rsid w:val="005B1D8F"/>
    <w:rsid w:val="005B1E94"/>
    <w:rsid w:val="005B5B3D"/>
    <w:rsid w:val="005C16F3"/>
    <w:rsid w:val="005C3758"/>
    <w:rsid w:val="005E3064"/>
    <w:rsid w:val="005E32F4"/>
    <w:rsid w:val="005E72B2"/>
    <w:rsid w:val="005F1115"/>
    <w:rsid w:val="005F1AB6"/>
    <w:rsid w:val="005F27F2"/>
    <w:rsid w:val="005F3AFE"/>
    <w:rsid w:val="005F424D"/>
    <w:rsid w:val="005F618D"/>
    <w:rsid w:val="005F6B6D"/>
    <w:rsid w:val="00605447"/>
    <w:rsid w:val="00605AAB"/>
    <w:rsid w:val="00606BEB"/>
    <w:rsid w:val="0061014A"/>
    <w:rsid w:val="0061054B"/>
    <w:rsid w:val="00613E26"/>
    <w:rsid w:val="00615641"/>
    <w:rsid w:val="00616959"/>
    <w:rsid w:val="006211D0"/>
    <w:rsid w:val="00624D0C"/>
    <w:rsid w:val="006274B4"/>
    <w:rsid w:val="006307BA"/>
    <w:rsid w:val="00631225"/>
    <w:rsid w:val="006315BA"/>
    <w:rsid w:val="00634C4A"/>
    <w:rsid w:val="0063532E"/>
    <w:rsid w:val="00636849"/>
    <w:rsid w:val="00636992"/>
    <w:rsid w:val="00637BDC"/>
    <w:rsid w:val="006418C9"/>
    <w:rsid w:val="00642BD6"/>
    <w:rsid w:val="00645046"/>
    <w:rsid w:val="0064527A"/>
    <w:rsid w:val="00645EA2"/>
    <w:rsid w:val="00653D2D"/>
    <w:rsid w:val="006573F2"/>
    <w:rsid w:val="00662F08"/>
    <w:rsid w:val="00663589"/>
    <w:rsid w:val="006708E3"/>
    <w:rsid w:val="00670DDC"/>
    <w:rsid w:val="00671EB4"/>
    <w:rsid w:val="0067443B"/>
    <w:rsid w:val="00684E2B"/>
    <w:rsid w:val="00690FDA"/>
    <w:rsid w:val="00691E61"/>
    <w:rsid w:val="00693C5E"/>
    <w:rsid w:val="00694EEA"/>
    <w:rsid w:val="006955B4"/>
    <w:rsid w:val="00696476"/>
    <w:rsid w:val="006A10FA"/>
    <w:rsid w:val="006A40E6"/>
    <w:rsid w:val="006A5C07"/>
    <w:rsid w:val="006A75FA"/>
    <w:rsid w:val="006B07D5"/>
    <w:rsid w:val="006B1309"/>
    <w:rsid w:val="006B3923"/>
    <w:rsid w:val="006B3F3E"/>
    <w:rsid w:val="006B5923"/>
    <w:rsid w:val="006B67D9"/>
    <w:rsid w:val="006B6C14"/>
    <w:rsid w:val="006B715E"/>
    <w:rsid w:val="006C1D6E"/>
    <w:rsid w:val="006C2EF6"/>
    <w:rsid w:val="006C3A68"/>
    <w:rsid w:val="006C6AB1"/>
    <w:rsid w:val="006D2D39"/>
    <w:rsid w:val="006D4E0E"/>
    <w:rsid w:val="006D5CE2"/>
    <w:rsid w:val="006E06D1"/>
    <w:rsid w:val="006E1313"/>
    <w:rsid w:val="006E2DC8"/>
    <w:rsid w:val="006E4E5C"/>
    <w:rsid w:val="006E7356"/>
    <w:rsid w:val="006E77C8"/>
    <w:rsid w:val="006F149D"/>
    <w:rsid w:val="006F1A46"/>
    <w:rsid w:val="006F4F06"/>
    <w:rsid w:val="006F5A4E"/>
    <w:rsid w:val="00703AF7"/>
    <w:rsid w:val="00703B6C"/>
    <w:rsid w:val="00705C40"/>
    <w:rsid w:val="00706482"/>
    <w:rsid w:val="00706BEF"/>
    <w:rsid w:val="00707ECE"/>
    <w:rsid w:val="00710CE8"/>
    <w:rsid w:val="007116BC"/>
    <w:rsid w:val="007165CE"/>
    <w:rsid w:val="00720968"/>
    <w:rsid w:val="00721705"/>
    <w:rsid w:val="00721D12"/>
    <w:rsid w:val="00721F8B"/>
    <w:rsid w:val="007237CE"/>
    <w:rsid w:val="00724688"/>
    <w:rsid w:val="00724EF2"/>
    <w:rsid w:val="0073062D"/>
    <w:rsid w:val="00731104"/>
    <w:rsid w:val="0073254D"/>
    <w:rsid w:val="00736A49"/>
    <w:rsid w:val="007419A1"/>
    <w:rsid w:val="00741E6F"/>
    <w:rsid w:val="00743B71"/>
    <w:rsid w:val="00743C2D"/>
    <w:rsid w:val="00743E36"/>
    <w:rsid w:val="007446F7"/>
    <w:rsid w:val="00744EBB"/>
    <w:rsid w:val="00745B0A"/>
    <w:rsid w:val="007468AC"/>
    <w:rsid w:val="00746AE2"/>
    <w:rsid w:val="00750ADA"/>
    <w:rsid w:val="00750C82"/>
    <w:rsid w:val="0076100C"/>
    <w:rsid w:val="007612A5"/>
    <w:rsid w:val="007651ED"/>
    <w:rsid w:val="00766C87"/>
    <w:rsid w:val="00781BD4"/>
    <w:rsid w:val="00784832"/>
    <w:rsid w:val="00785D77"/>
    <w:rsid w:val="00786111"/>
    <w:rsid w:val="00791F1E"/>
    <w:rsid w:val="00794F3D"/>
    <w:rsid w:val="00796045"/>
    <w:rsid w:val="007968AC"/>
    <w:rsid w:val="007969AB"/>
    <w:rsid w:val="007A0B39"/>
    <w:rsid w:val="007A14A4"/>
    <w:rsid w:val="007A168F"/>
    <w:rsid w:val="007A28E4"/>
    <w:rsid w:val="007A3BB3"/>
    <w:rsid w:val="007A5AD1"/>
    <w:rsid w:val="007A5B7B"/>
    <w:rsid w:val="007A6995"/>
    <w:rsid w:val="007B0A06"/>
    <w:rsid w:val="007B5C5C"/>
    <w:rsid w:val="007B7B37"/>
    <w:rsid w:val="007B7C41"/>
    <w:rsid w:val="007C11E9"/>
    <w:rsid w:val="007C433E"/>
    <w:rsid w:val="007C4452"/>
    <w:rsid w:val="007C4B3C"/>
    <w:rsid w:val="007C4DB1"/>
    <w:rsid w:val="007C6046"/>
    <w:rsid w:val="007C7D02"/>
    <w:rsid w:val="007D0292"/>
    <w:rsid w:val="007D21AC"/>
    <w:rsid w:val="007D3882"/>
    <w:rsid w:val="007D568A"/>
    <w:rsid w:val="007D574E"/>
    <w:rsid w:val="007D6BFE"/>
    <w:rsid w:val="007E2046"/>
    <w:rsid w:val="007E3883"/>
    <w:rsid w:val="007E4FBB"/>
    <w:rsid w:val="007E55BF"/>
    <w:rsid w:val="007E71B1"/>
    <w:rsid w:val="007E7B4E"/>
    <w:rsid w:val="007F0A07"/>
    <w:rsid w:val="007F0CE2"/>
    <w:rsid w:val="007F0EFF"/>
    <w:rsid w:val="007F1375"/>
    <w:rsid w:val="00803850"/>
    <w:rsid w:val="00804385"/>
    <w:rsid w:val="00805931"/>
    <w:rsid w:val="00805AFD"/>
    <w:rsid w:val="008078D8"/>
    <w:rsid w:val="00811D5B"/>
    <w:rsid w:val="00817713"/>
    <w:rsid w:val="008220F1"/>
    <w:rsid w:val="0082340B"/>
    <w:rsid w:val="00827DB6"/>
    <w:rsid w:val="008304B2"/>
    <w:rsid w:val="00830999"/>
    <w:rsid w:val="00830D5E"/>
    <w:rsid w:val="00830F69"/>
    <w:rsid w:val="00833418"/>
    <w:rsid w:val="00834458"/>
    <w:rsid w:val="00835841"/>
    <w:rsid w:val="00837465"/>
    <w:rsid w:val="00841243"/>
    <w:rsid w:val="00841457"/>
    <w:rsid w:val="0084374E"/>
    <w:rsid w:val="00844842"/>
    <w:rsid w:val="00844DD0"/>
    <w:rsid w:val="0085089F"/>
    <w:rsid w:val="0085206E"/>
    <w:rsid w:val="00852AD4"/>
    <w:rsid w:val="00852BA8"/>
    <w:rsid w:val="00853718"/>
    <w:rsid w:val="008541EF"/>
    <w:rsid w:val="00856AC7"/>
    <w:rsid w:val="00856FA4"/>
    <w:rsid w:val="0086162B"/>
    <w:rsid w:val="00861D5C"/>
    <w:rsid w:val="00865207"/>
    <w:rsid w:val="008656A7"/>
    <w:rsid w:val="00866231"/>
    <w:rsid w:val="00871262"/>
    <w:rsid w:val="00871D4E"/>
    <w:rsid w:val="00871E7B"/>
    <w:rsid w:val="008752BE"/>
    <w:rsid w:val="008752E7"/>
    <w:rsid w:val="00875B51"/>
    <w:rsid w:val="00875F2D"/>
    <w:rsid w:val="008764DC"/>
    <w:rsid w:val="00882CC2"/>
    <w:rsid w:val="0088312F"/>
    <w:rsid w:val="00883930"/>
    <w:rsid w:val="0088425B"/>
    <w:rsid w:val="00896535"/>
    <w:rsid w:val="00896683"/>
    <w:rsid w:val="0089750B"/>
    <w:rsid w:val="00897589"/>
    <w:rsid w:val="008A63A9"/>
    <w:rsid w:val="008A7F7E"/>
    <w:rsid w:val="008B04DB"/>
    <w:rsid w:val="008B27FD"/>
    <w:rsid w:val="008B3AF2"/>
    <w:rsid w:val="008B515D"/>
    <w:rsid w:val="008B5D31"/>
    <w:rsid w:val="008B6705"/>
    <w:rsid w:val="008C22F3"/>
    <w:rsid w:val="008D795D"/>
    <w:rsid w:val="008D7B07"/>
    <w:rsid w:val="008E1E94"/>
    <w:rsid w:val="008E2D99"/>
    <w:rsid w:val="008E4A60"/>
    <w:rsid w:val="008E5330"/>
    <w:rsid w:val="008E6F5F"/>
    <w:rsid w:val="008E744D"/>
    <w:rsid w:val="008F1E08"/>
    <w:rsid w:val="00900D8F"/>
    <w:rsid w:val="009014E3"/>
    <w:rsid w:val="009026E8"/>
    <w:rsid w:val="00906EB7"/>
    <w:rsid w:val="009102BF"/>
    <w:rsid w:val="009115F2"/>
    <w:rsid w:val="00914ADB"/>
    <w:rsid w:val="00923B25"/>
    <w:rsid w:val="0092402E"/>
    <w:rsid w:val="009259BA"/>
    <w:rsid w:val="00926FCB"/>
    <w:rsid w:val="0093311A"/>
    <w:rsid w:val="009365ED"/>
    <w:rsid w:val="0094111B"/>
    <w:rsid w:val="00942645"/>
    <w:rsid w:val="00950A3A"/>
    <w:rsid w:val="0095340A"/>
    <w:rsid w:val="00954581"/>
    <w:rsid w:val="0095466C"/>
    <w:rsid w:val="00954E5B"/>
    <w:rsid w:val="009576BC"/>
    <w:rsid w:val="00960357"/>
    <w:rsid w:val="0096168C"/>
    <w:rsid w:val="00961840"/>
    <w:rsid w:val="00962F2D"/>
    <w:rsid w:val="009672CD"/>
    <w:rsid w:val="00972996"/>
    <w:rsid w:val="009732B8"/>
    <w:rsid w:val="00975C72"/>
    <w:rsid w:val="00976869"/>
    <w:rsid w:val="00977740"/>
    <w:rsid w:val="00977CB4"/>
    <w:rsid w:val="009809B8"/>
    <w:rsid w:val="0098222D"/>
    <w:rsid w:val="00985099"/>
    <w:rsid w:val="009925A5"/>
    <w:rsid w:val="0099408C"/>
    <w:rsid w:val="0099421F"/>
    <w:rsid w:val="009A0DE3"/>
    <w:rsid w:val="009A1643"/>
    <w:rsid w:val="009A215A"/>
    <w:rsid w:val="009A4F1B"/>
    <w:rsid w:val="009A66C5"/>
    <w:rsid w:val="009A79BA"/>
    <w:rsid w:val="009B14D1"/>
    <w:rsid w:val="009B1534"/>
    <w:rsid w:val="009B4963"/>
    <w:rsid w:val="009B4A3B"/>
    <w:rsid w:val="009B69D3"/>
    <w:rsid w:val="009B7BA7"/>
    <w:rsid w:val="009C0938"/>
    <w:rsid w:val="009C22C8"/>
    <w:rsid w:val="009C3F82"/>
    <w:rsid w:val="009C72DD"/>
    <w:rsid w:val="009C7DF5"/>
    <w:rsid w:val="009D056C"/>
    <w:rsid w:val="009D060F"/>
    <w:rsid w:val="009D1ADE"/>
    <w:rsid w:val="009D37CA"/>
    <w:rsid w:val="009E09D0"/>
    <w:rsid w:val="009E1283"/>
    <w:rsid w:val="009E3A7F"/>
    <w:rsid w:val="009E57B1"/>
    <w:rsid w:val="009E6379"/>
    <w:rsid w:val="009F483A"/>
    <w:rsid w:val="009F7809"/>
    <w:rsid w:val="009F7AF5"/>
    <w:rsid w:val="00A00D14"/>
    <w:rsid w:val="00A01408"/>
    <w:rsid w:val="00A02457"/>
    <w:rsid w:val="00A03190"/>
    <w:rsid w:val="00A0404B"/>
    <w:rsid w:val="00A0798C"/>
    <w:rsid w:val="00A07BDD"/>
    <w:rsid w:val="00A1105B"/>
    <w:rsid w:val="00A1213C"/>
    <w:rsid w:val="00A15B6B"/>
    <w:rsid w:val="00A15EB4"/>
    <w:rsid w:val="00A16876"/>
    <w:rsid w:val="00A200AA"/>
    <w:rsid w:val="00A20558"/>
    <w:rsid w:val="00A2186F"/>
    <w:rsid w:val="00A2270B"/>
    <w:rsid w:val="00A23B89"/>
    <w:rsid w:val="00A23FE3"/>
    <w:rsid w:val="00A248C3"/>
    <w:rsid w:val="00A2496E"/>
    <w:rsid w:val="00A258B7"/>
    <w:rsid w:val="00A32743"/>
    <w:rsid w:val="00A414A9"/>
    <w:rsid w:val="00A42BF0"/>
    <w:rsid w:val="00A44CCA"/>
    <w:rsid w:val="00A44D75"/>
    <w:rsid w:val="00A47CF1"/>
    <w:rsid w:val="00A50418"/>
    <w:rsid w:val="00A54A47"/>
    <w:rsid w:val="00A56D26"/>
    <w:rsid w:val="00A571A7"/>
    <w:rsid w:val="00A608FB"/>
    <w:rsid w:val="00A60D83"/>
    <w:rsid w:val="00A60F68"/>
    <w:rsid w:val="00A63DF3"/>
    <w:rsid w:val="00A65C78"/>
    <w:rsid w:val="00A660A8"/>
    <w:rsid w:val="00A67591"/>
    <w:rsid w:val="00A67CA6"/>
    <w:rsid w:val="00A70E7B"/>
    <w:rsid w:val="00A73B84"/>
    <w:rsid w:val="00A7411D"/>
    <w:rsid w:val="00A76094"/>
    <w:rsid w:val="00A768E2"/>
    <w:rsid w:val="00A82C52"/>
    <w:rsid w:val="00A86CB6"/>
    <w:rsid w:val="00A90D55"/>
    <w:rsid w:val="00A944D8"/>
    <w:rsid w:val="00A959E7"/>
    <w:rsid w:val="00A95BBA"/>
    <w:rsid w:val="00A961EE"/>
    <w:rsid w:val="00AA04B3"/>
    <w:rsid w:val="00AA1253"/>
    <w:rsid w:val="00AA1ED0"/>
    <w:rsid w:val="00AA28EF"/>
    <w:rsid w:val="00AA38CA"/>
    <w:rsid w:val="00AA493E"/>
    <w:rsid w:val="00AA73AF"/>
    <w:rsid w:val="00AB0A8A"/>
    <w:rsid w:val="00AB1754"/>
    <w:rsid w:val="00AB27DD"/>
    <w:rsid w:val="00AC439D"/>
    <w:rsid w:val="00AC713F"/>
    <w:rsid w:val="00AD067E"/>
    <w:rsid w:val="00AD2801"/>
    <w:rsid w:val="00AD6870"/>
    <w:rsid w:val="00AD68C5"/>
    <w:rsid w:val="00AE1273"/>
    <w:rsid w:val="00AE2D29"/>
    <w:rsid w:val="00AE4624"/>
    <w:rsid w:val="00AE5E14"/>
    <w:rsid w:val="00AE6115"/>
    <w:rsid w:val="00AE625B"/>
    <w:rsid w:val="00AF1668"/>
    <w:rsid w:val="00AF4FA5"/>
    <w:rsid w:val="00B07955"/>
    <w:rsid w:val="00B140B8"/>
    <w:rsid w:val="00B14FAA"/>
    <w:rsid w:val="00B15D30"/>
    <w:rsid w:val="00B20624"/>
    <w:rsid w:val="00B23436"/>
    <w:rsid w:val="00B26354"/>
    <w:rsid w:val="00B26CA0"/>
    <w:rsid w:val="00B32179"/>
    <w:rsid w:val="00B33007"/>
    <w:rsid w:val="00B331A9"/>
    <w:rsid w:val="00B36569"/>
    <w:rsid w:val="00B40A05"/>
    <w:rsid w:val="00B40A3E"/>
    <w:rsid w:val="00B427BB"/>
    <w:rsid w:val="00B449EE"/>
    <w:rsid w:val="00B50227"/>
    <w:rsid w:val="00B50510"/>
    <w:rsid w:val="00B522CD"/>
    <w:rsid w:val="00B55143"/>
    <w:rsid w:val="00B5554E"/>
    <w:rsid w:val="00B55917"/>
    <w:rsid w:val="00B56471"/>
    <w:rsid w:val="00B643A6"/>
    <w:rsid w:val="00B64DD6"/>
    <w:rsid w:val="00B6710C"/>
    <w:rsid w:val="00B72076"/>
    <w:rsid w:val="00B72303"/>
    <w:rsid w:val="00B72C72"/>
    <w:rsid w:val="00B72E96"/>
    <w:rsid w:val="00B82277"/>
    <w:rsid w:val="00B865C0"/>
    <w:rsid w:val="00B91676"/>
    <w:rsid w:val="00B95833"/>
    <w:rsid w:val="00BA1824"/>
    <w:rsid w:val="00BA2D98"/>
    <w:rsid w:val="00BA30D1"/>
    <w:rsid w:val="00BA4609"/>
    <w:rsid w:val="00BA5BE2"/>
    <w:rsid w:val="00BA7F46"/>
    <w:rsid w:val="00BB0A0A"/>
    <w:rsid w:val="00BB133C"/>
    <w:rsid w:val="00BB45B5"/>
    <w:rsid w:val="00BB6064"/>
    <w:rsid w:val="00BC09D1"/>
    <w:rsid w:val="00BC1CF3"/>
    <w:rsid w:val="00BC3573"/>
    <w:rsid w:val="00BC4868"/>
    <w:rsid w:val="00BC7F82"/>
    <w:rsid w:val="00BD40AB"/>
    <w:rsid w:val="00BD6297"/>
    <w:rsid w:val="00BD6806"/>
    <w:rsid w:val="00BD7433"/>
    <w:rsid w:val="00BD7831"/>
    <w:rsid w:val="00BD7C10"/>
    <w:rsid w:val="00BE046F"/>
    <w:rsid w:val="00BE0DEB"/>
    <w:rsid w:val="00BE2FC1"/>
    <w:rsid w:val="00BE6365"/>
    <w:rsid w:val="00BF050A"/>
    <w:rsid w:val="00BF0B7F"/>
    <w:rsid w:val="00BF21D9"/>
    <w:rsid w:val="00BF4720"/>
    <w:rsid w:val="00BF4F49"/>
    <w:rsid w:val="00BF7B4F"/>
    <w:rsid w:val="00BF7B63"/>
    <w:rsid w:val="00C038EC"/>
    <w:rsid w:val="00C05C6D"/>
    <w:rsid w:val="00C10C4C"/>
    <w:rsid w:val="00C1122B"/>
    <w:rsid w:val="00C13B34"/>
    <w:rsid w:val="00C13F26"/>
    <w:rsid w:val="00C1474E"/>
    <w:rsid w:val="00C16E9F"/>
    <w:rsid w:val="00C1713D"/>
    <w:rsid w:val="00C177F1"/>
    <w:rsid w:val="00C17EE6"/>
    <w:rsid w:val="00C22F3A"/>
    <w:rsid w:val="00C24CFD"/>
    <w:rsid w:val="00C25978"/>
    <w:rsid w:val="00C261C6"/>
    <w:rsid w:val="00C26661"/>
    <w:rsid w:val="00C26E7C"/>
    <w:rsid w:val="00C276CD"/>
    <w:rsid w:val="00C30A97"/>
    <w:rsid w:val="00C31DDC"/>
    <w:rsid w:val="00C34326"/>
    <w:rsid w:val="00C36201"/>
    <w:rsid w:val="00C368E8"/>
    <w:rsid w:val="00C36C3D"/>
    <w:rsid w:val="00C372C7"/>
    <w:rsid w:val="00C42443"/>
    <w:rsid w:val="00C42CBA"/>
    <w:rsid w:val="00C477A3"/>
    <w:rsid w:val="00C5019E"/>
    <w:rsid w:val="00C5377C"/>
    <w:rsid w:val="00C53E8A"/>
    <w:rsid w:val="00C54DF3"/>
    <w:rsid w:val="00C560A7"/>
    <w:rsid w:val="00C56FC8"/>
    <w:rsid w:val="00C60F23"/>
    <w:rsid w:val="00C62EB2"/>
    <w:rsid w:val="00C71BEC"/>
    <w:rsid w:val="00C74D3A"/>
    <w:rsid w:val="00C80511"/>
    <w:rsid w:val="00C826F5"/>
    <w:rsid w:val="00C83740"/>
    <w:rsid w:val="00C84AD1"/>
    <w:rsid w:val="00C85579"/>
    <w:rsid w:val="00C863E5"/>
    <w:rsid w:val="00C87F76"/>
    <w:rsid w:val="00C931FC"/>
    <w:rsid w:val="00C932C5"/>
    <w:rsid w:val="00C9650E"/>
    <w:rsid w:val="00CA068D"/>
    <w:rsid w:val="00CA1228"/>
    <w:rsid w:val="00CA282D"/>
    <w:rsid w:val="00CA4670"/>
    <w:rsid w:val="00CA6B1A"/>
    <w:rsid w:val="00CB20DC"/>
    <w:rsid w:val="00CB23DC"/>
    <w:rsid w:val="00CB2487"/>
    <w:rsid w:val="00CB28E2"/>
    <w:rsid w:val="00CB7A3E"/>
    <w:rsid w:val="00CB7FF7"/>
    <w:rsid w:val="00CC0D0E"/>
    <w:rsid w:val="00CC19B3"/>
    <w:rsid w:val="00CC2044"/>
    <w:rsid w:val="00CC39D2"/>
    <w:rsid w:val="00CC69EC"/>
    <w:rsid w:val="00CD15BE"/>
    <w:rsid w:val="00CD1EF2"/>
    <w:rsid w:val="00CD320B"/>
    <w:rsid w:val="00CD32BD"/>
    <w:rsid w:val="00CD34C7"/>
    <w:rsid w:val="00CD5653"/>
    <w:rsid w:val="00CD5E6D"/>
    <w:rsid w:val="00CD63C8"/>
    <w:rsid w:val="00CE6819"/>
    <w:rsid w:val="00CF158D"/>
    <w:rsid w:val="00CF4394"/>
    <w:rsid w:val="00D000A9"/>
    <w:rsid w:val="00D005DB"/>
    <w:rsid w:val="00D0064E"/>
    <w:rsid w:val="00D00981"/>
    <w:rsid w:val="00D016CF"/>
    <w:rsid w:val="00D02596"/>
    <w:rsid w:val="00D0280D"/>
    <w:rsid w:val="00D04C15"/>
    <w:rsid w:val="00D07A72"/>
    <w:rsid w:val="00D10577"/>
    <w:rsid w:val="00D1323B"/>
    <w:rsid w:val="00D14BAE"/>
    <w:rsid w:val="00D1648B"/>
    <w:rsid w:val="00D16819"/>
    <w:rsid w:val="00D17DD9"/>
    <w:rsid w:val="00D20AC0"/>
    <w:rsid w:val="00D2321B"/>
    <w:rsid w:val="00D23DE4"/>
    <w:rsid w:val="00D26873"/>
    <w:rsid w:val="00D31683"/>
    <w:rsid w:val="00D336C8"/>
    <w:rsid w:val="00D339E8"/>
    <w:rsid w:val="00D3662E"/>
    <w:rsid w:val="00D40B1F"/>
    <w:rsid w:val="00D40D75"/>
    <w:rsid w:val="00D449F0"/>
    <w:rsid w:val="00D50C8C"/>
    <w:rsid w:val="00D52393"/>
    <w:rsid w:val="00D523E4"/>
    <w:rsid w:val="00D5279D"/>
    <w:rsid w:val="00D52A1B"/>
    <w:rsid w:val="00D52FCC"/>
    <w:rsid w:val="00D53F14"/>
    <w:rsid w:val="00D54BE4"/>
    <w:rsid w:val="00D60483"/>
    <w:rsid w:val="00D61ABB"/>
    <w:rsid w:val="00D63577"/>
    <w:rsid w:val="00D67FD7"/>
    <w:rsid w:val="00D74261"/>
    <w:rsid w:val="00D7441B"/>
    <w:rsid w:val="00D76AB2"/>
    <w:rsid w:val="00D80490"/>
    <w:rsid w:val="00D829AD"/>
    <w:rsid w:val="00D82EE2"/>
    <w:rsid w:val="00D8545C"/>
    <w:rsid w:val="00D87788"/>
    <w:rsid w:val="00D877C8"/>
    <w:rsid w:val="00D910C2"/>
    <w:rsid w:val="00D9168C"/>
    <w:rsid w:val="00D9189B"/>
    <w:rsid w:val="00D919C4"/>
    <w:rsid w:val="00D91DA6"/>
    <w:rsid w:val="00D9706F"/>
    <w:rsid w:val="00D972D4"/>
    <w:rsid w:val="00DA195B"/>
    <w:rsid w:val="00DA6B55"/>
    <w:rsid w:val="00DA6B97"/>
    <w:rsid w:val="00DB0015"/>
    <w:rsid w:val="00DB2AAD"/>
    <w:rsid w:val="00DB626D"/>
    <w:rsid w:val="00DB6365"/>
    <w:rsid w:val="00DC0BF1"/>
    <w:rsid w:val="00DC41C3"/>
    <w:rsid w:val="00DD2CAF"/>
    <w:rsid w:val="00DD3593"/>
    <w:rsid w:val="00DD64E0"/>
    <w:rsid w:val="00DE0C67"/>
    <w:rsid w:val="00DE6952"/>
    <w:rsid w:val="00DE7E74"/>
    <w:rsid w:val="00DF071B"/>
    <w:rsid w:val="00DF6EF8"/>
    <w:rsid w:val="00E00A69"/>
    <w:rsid w:val="00E017F0"/>
    <w:rsid w:val="00E01A0E"/>
    <w:rsid w:val="00E041E4"/>
    <w:rsid w:val="00E1012B"/>
    <w:rsid w:val="00E103C8"/>
    <w:rsid w:val="00E1085B"/>
    <w:rsid w:val="00E1308B"/>
    <w:rsid w:val="00E14581"/>
    <w:rsid w:val="00E15539"/>
    <w:rsid w:val="00E16541"/>
    <w:rsid w:val="00E169C9"/>
    <w:rsid w:val="00E21495"/>
    <w:rsid w:val="00E2536E"/>
    <w:rsid w:val="00E25B8A"/>
    <w:rsid w:val="00E2632B"/>
    <w:rsid w:val="00E322F7"/>
    <w:rsid w:val="00E3369B"/>
    <w:rsid w:val="00E36D76"/>
    <w:rsid w:val="00E405EA"/>
    <w:rsid w:val="00E408B7"/>
    <w:rsid w:val="00E41637"/>
    <w:rsid w:val="00E42789"/>
    <w:rsid w:val="00E43F59"/>
    <w:rsid w:val="00E464F0"/>
    <w:rsid w:val="00E50BEB"/>
    <w:rsid w:val="00E548FA"/>
    <w:rsid w:val="00E6092F"/>
    <w:rsid w:val="00E62049"/>
    <w:rsid w:val="00E629DA"/>
    <w:rsid w:val="00E6469F"/>
    <w:rsid w:val="00E670F8"/>
    <w:rsid w:val="00E67FAC"/>
    <w:rsid w:val="00E7200B"/>
    <w:rsid w:val="00E738CB"/>
    <w:rsid w:val="00E73C88"/>
    <w:rsid w:val="00E74437"/>
    <w:rsid w:val="00E7443D"/>
    <w:rsid w:val="00E77B42"/>
    <w:rsid w:val="00E81C3E"/>
    <w:rsid w:val="00E82B6D"/>
    <w:rsid w:val="00EA1177"/>
    <w:rsid w:val="00EA118B"/>
    <w:rsid w:val="00EA11B6"/>
    <w:rsid w:val="00EA2181"/>
    <w:rsid w:val="00EA2DD8"/>
    <w:rsid w:val="00EA4475"/>
    <w:rsid w:val="00EA681F"/>
    <w:rsid w:val="00EB3307"/>
    <w:rsid w:val="00EB3823"/>
    <w:rsid w:val="00EB47D8"/>
    <w:rsid w:val="00EB57D3"/>
    <w:rsid w:val="00EB5EFD"/>
    <w:rsid w:val="00EB679F"/>
    <w:rsid w:val="00EB76E4"/>
    <w:rsid w:val="00EC0E65"/>
    <w:rsid w:val="00EC2938"/>
    <w:rsid w:val="00EC50C9"/>
    <w:rsid w:val="00EC58B4"/>
    <w:rsid w:val="00EC5BB2"/>
    <w:rsid w:val="00ED0B41"/>
    <w:rsid w:val="00ED12F0"/>
    <w:rsid w:val="00ED4773"/>
    <w:rsid w:val="00ED664B"/>
    <w:rsid w:val="00ED6A61"/>
    <w:rsid w:val="00EE03BB"/>
    <w:rsid w:val="00EE0B44"/>
    <w:rsid w:val="00EE2520"/>
    <w:rsid w:val="00EE6FE0"/>
    <w:rsid w:val="00EE704A"/>
    <w:rsid w:val="00EE7840"/>
    <w:rsid w:val="00EF4C74"/>
    <w:rsid w:val="00EF5268"/>
    <w:rsid w:val="00EF608E"/>
    <w:rsid w:val="00F0044B"/>
    <w:rsid w:val="00F04957"/>
    <w:rsid w:val="00F05807"/>
    <w:rsid w:val="00F07052"/>
    <w:rsid w:val="00F0706C"/>
    <w:rsid w:val="00F11EBE"/>
    <w:rsid w:val="00F12BA8"/>
    <w:rsid w:val="00F130D0"/>
    <w:rsid w:val="00F14933"/>
    <w:rsid w:val="00F1516A"/>
    <w:rsid w:val="00F22A26"/>
    <w:rsid w:val="00F24072"/>
    <w:rsid w:val="00F26432"/>
    <w:rsid w:val="00F3197A"/>
    <w:rsid w:val="00F32139"/>
    <w:rsid w:val="00F33D56"/>
    <w:rsid w:val="00F34E08"/>
    <w:rsid w:val="00F41D91"/>
    <w:rsid w:val="00F42363"/>
    <w:rsid w:val="00F45ACA"/>
    <w:rsid w:val="00F46964"/>
    <w:rsid w:val="00F46F9A"/>
    <w:rsid w:val="00F470FD"/>
    <w:rsid w:val="00F50F30"/>
    <w:rsid w:val="00F5126A"/>
    <w:rsid w:val="00F5126E"/>
    <w:rsid w:val="00F63F9B"/>
    <w:rsid w:val="00F6636A"/>
    <w:rsid w:val="00F667C5"/>
    <w:rsid w:val="00F67E31"/>
    <w:rsid w:val="00F718A8"/>
    <w:rsid w:val="00F72183"/>
    <w:rsid w:val="00F76D01"/>
    <w:rsid w:val="00F81C35"/>
    <w:rsid w:val="00F82981"/>
    <w:rsid w:val="00F8311F"/>
    <w:rsid w:val="00F83248"/>
    <w:rsid w:val="00F83376"/>
    <w:rsid w:val="00F853AE"/>
    <w:rsid w:val="00F93C74"/>
    <w:rsid w:val="00F93DCC"/>
    <w:rsid w:val="00F9435D"/>
    <w:rsid w:val="00F97740"/>
    <w:rsid w:val="00FA2F7B"/>
    <w:rsid w:val="00FA3C97"/>
    <w:rsid w:val="00FB0504"/>
    <w:rsid w:val="00FB09FE"/>
    <w:rsid w:val="00FB101D"/>
    <w:rsid w:val="00FB1725"/>
    <w:rsid w:val="00FB593A"/>
    <w:rsid w:val="00FB6410"/>
    <w:rsid w:val="00FB6E82"/>
    <w:rsid w:val="00FC0042"/>
    <w:rsid w:val="00FC2A13"/>
    <w:rsid w:val="00FC4284"/>
    <w:rsid w:val="00FC4576"/>
    <w:rsid w:val="00FC78FB"/>
    <w:rsid w:val="00FC7DBC"/>
    <w:rsid w:val="00FD076A"/>
    <w:rsid w:val="00FD0AA0"/>
    <w:rsid w:val="00FD1D5A"/>
    <w:rsid w:val="00FD5059"/>
    <w:rsid w:val="00FD554D"/>
    <w:rsid w:val="00FE6469"/>
    <w:rsid w:val="00FF0FF7"/>
    <w:rsid w:val="00FF1438"/>
    <w:rsid w:val="00FF3A38"/>
    <w:rsid w:val="00FF3C25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547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3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6C2"/>
  </w:style>
  <w:style w:type="paragraph" w:styleId="Header">
    <w:name w:val="header"/>
    <w:basedOn w:val="Normal"/>
    <w:rsid w:val="005436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36C2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5436C2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9D0"/>
    <w:rPr>
      <w:color w:val="008080"/>
      <w:sz w:val="24"/>
    </w:rPr>
  </w:style>
  <w:style w:type="paragraph" w:styleId="BalloonText">
    <w:name w:val="Balloon Text"/>
    <w:basedOn w:val="Normal"/>
    <w:link w:val="BalloonTextChar"/>
    <w:rsid w:val="0003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9D0"/>
    <w:rPr>
      <w:rFonts w:ascii="Tahoma" w:hAnsi="Tahoma" w:cs="Tahoma"/>
      <w:color w:val="008080"/>
      <w:sz w:val="16"/>
      <w:szCs w:val="16"/>
    </w:rPr>
  </w:style>
  <w:style w:type="table" w:styleId="TableGrid">
    <w:name w:val="Table Grid"/>
    <w:basedOn w:val="TableNormal"/>
    <w:uiPriority w:val="59"/>
    <w:rsid w:val="006F1A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5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114A-2394-4099-A029-C24EEDC1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Colleen.Toussaint</cp:lastModifiedBy>
  <cp:revision>2</cp:revision>
  <cp:lastPrinted>2000-06-02T14:59:00Z</cp:lastPrinted>
  <dcterms:created xsi:type="dcterms:W3CDTF">2012-03-10T18:11:00Z</dcterms:created>
  <dcterms:modified xsi:type="dcterms:W3CDTF">2012-03-10T18:11:00Z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-1105890195</vt:i4>
  </property>
</Properties>
</file>