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EF" w:rsidRPr="009C09D9" w:rsidRDefault="00540BEF" w:rsidP="001C443B">
      <w:pPr>
        <w:tabs>
          <w:tab w:val="left" w:pos="288"/>
          <w:tab w:val="left" w:pos="4752"/>
        </w:tabs>
        <w:spacing w:line="240" w:lineRule="exact"/>
        <w:jc w:val="center"/>
        <w:rPr>
          <w:rFonts w:asciiTheme="minorHAnsi" w:hAnsiTheme="minorHAnsi"/>
          <w:color w:val="auto"/>
        </w:rPr>
      </w:pPr>
      <w:r w:rsidRPr="009C09D9">
        <w:rPr>
          <w:rFonts w:asciiTheme="minorHAnsi" w:hAnsiTheme="minorHAnsi"/>
          <w:color w:val="auto"/>
        </w:rPr>
        <w:t xml:space="preserve">RECORD OF PROCEEDINGS </w:t>
      </w:r>
    </w:p>
    <w:p w:rsidR="00540BEF" w:rsidRPr="009C09D9" w:rsidRDefault="00540BEF" w:rsidP="001C443B">
      <w:pPr>
        <w:tabs>
          <w:tab w:val="left" w:pos="288"/>
          <w:tab w:val="left" w:pos="4752"/>
        </w:tabs>
        <w:spacing w:line="240" w:lineRule="exact"/>
        <w:jc w:val="center"/>
        <w:rPr>
          <w:rFonts w:asciiTheme="minorHAnsi" w:hAnsiTheme="minorHAnsi"/>
          <w:color w:val="auto"/>
        </w:rPr>
      </w:pPr>
      <w:r w:rsidRPr="009C09D9">
        <w:rPr>
          <w:rFonts w:asciiTheme="minorHAnsi" w:hAnsiTheme="minorHAnsi"/>
          <w:color w:val="auto"/>
        </w:rPr>
        <w:t>PHYSICAL DISABILITY BOARD OF REVIEW</w:t>
      </w:r>
    </w:p>
    <w:p w:rsidR="00540BEF" w:rsidRPr="009C09D9" w:rsidRDefault="00540BEF" w:rsidP="001C443B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</w:rPr>
      </w:pPr>
    </w:p>
    <w:p w:rsidR="00540BEF" w:rsidRPr="009C09D9" w:rsidRDefault="00540BEF" w:rsidP="001C443B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</w:rPr>
      </w:pPr>
      <w:r w:rsidRPr="009C09D9">
        <w:rPr>
          <w:rFonts w:asciiTheme="minorHAnsi" w:hAnsiTheme="minorHAnsi"/>
          <w:color w:val="auto"/>
        </w:rPr>
        <w:t xml:space="preserve">NAME: </w:t>
      </w:r>
      <w:r w:rsidR="005C2FAE">
        <w:rPr>
          <w:rFonts w:asciiTheme="minorHAnsi" w:hAnsiTheme="minorHAnsi"/>
          <w:color w:val="auto"/>
          <w:szCs w:val="24"/>
        </w:rPr>
        <w:t>XXXXXX</w:t>
      </w:r>
      <w:r w:rsidR="00BB7066" w:rsidRPr="009C09D9">
        <w:rPr>
          <w:rFonts w:asciiTheme="minorHAnsi" w:hAnsiTheme="minorHAnsi"/>
          <w:color w:val="auto"/>
        </w:rPr>
        <w:tab/>
      </w:r>
      <w:r w:rsidR="009C09D9">
        <w:rPr>
          <w:rFonts w:asciiTheme="minorHAnsi" w:hAnsiTheme="minorHAnsi"/>
          <w:color w:val="auto"/>
        </w:rPr>
        <w:tab/>
      </w:r>
      <w:r w:rsidRPr="009C09D9">
        <w:rPr>
          <w:rFonts w:asciiTheme="minorHAnsi" w:hAnsiTheme="minorHAnsi"/>
          <w:color w:val="auto"/>
        </w:rPr>
        <w:t xml:space="preserve">BRANCH OF SERVICE: </w:t>
      </w:r>
      <w:r w:rsidR="00BB7066" w:rsidRPr="009C09D9">
        <w:rPr>
          <w:rFonts w:asciiTheme="minorHAnsi" w:hAnsiTheme="minorHAnsi"/>
          <w:color w:val="auto"/>
        </w:rPr>
        <w:t>MARINE CORPS</w:t>
      </w:r>
    </w:p>
    <w:p w:rsidR="009C09D9" w:rsidRDefault="00540BEF" w:rsidP="001C443B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</w:rPr>
      </w:pPr>
      <w:r w:rsidRPr="009C09D9">
        <w:rPr>
          <w:rFonts w:asciiTheme="minorHAnsi" w:hAnsiTheme="minorHAnsi"/>
          <w:color w:val="auto"/>
        </w:rPr>
        <w:t>CASE NUMBER:  PD0900</w:t>
      </w:r>
      <w:r w:rsidR="00871B92" w:rsidRPr="009C09D9">
        <w:rPr>
          <w:rFonts w:asciiTheme="minorHAnsi" w:hAnsiTheme="minorHAnsi"/>
          <w:color w:val="auto"/>
        </w:rPr>
        <w:t>528</w:t>
      </w:r>
      <w:r w:rsidR="00BB7066" w:rsidRPr="009C09D9">
        <w:rPr>
          <w:rFonts w:asciiTheme="minorHAnsi" w:hAnsiTheme="minorHAnsi"/>
          <w:color w:val="auto"/>
        </w:rPr>
        <w:tab/>
      </w:r>
      <w:r w:rsidR="009C09D9">
        <w:rPr>
          <w:rFonts w:asciiTheme="minorHAnsi" w:hAnsiTheme="minorHAnsi"/>
          <w:color w:val="auto"/>
        </w:rPr>
        <w:tab/>
      </w:r>
      <w:r w:rsidRPr="009C09D9">
        <w:rPr>
          <w:rFonts w:asciiTheme="minorHAnsi" w:hAnsiTheme="minorHAnsi"/>
          <w:color w:val="auto"/>
        </w:rPr>
        <w:t xml:space="preserve">BOARD DATE: </w:t>
      </w:r>
      <w:r w:rsidR="00276C86" w:rsidRPr="009C09D9">
        <w:rPr>
          <w:rFonts w:asciiTheme="minorHAnsi" w:hAnsiTheme="minorHAnsi"/>
          <w:color w:val="auto"/>
        </w:rPr>
        <w:t>20</w:t>
      </w:r>
      <w:r w:rsidR="00116FEA" w:rsidRPr="009C09D9">
        <w:rPr>
          <w:rFonts w:asciiTheme="minorHAnsi" w:hAnsiTheme="minorHAnsi"/>
          <w:color w:val="auto"/>
        </w:rPr>
        <w:t>10</w:t>
      </w:r>
      <w:r w:rsidR="00BB7066" w:rsidRPr="009C09D9">
        <w:rPr>
          <w:rFonts w:asciiTheme="minorHAnsi" w:hAnsiTheme="minorHAnsi"/>
          <w:color w:val="auto"/>
        </w:rPr>
        <w:t>0825</w:t>
      </w:r>
    </w:p>
    <w:p w:rsidR="00540BEF" w:rsidRPr="009C09D9" w:rsidRDefault="00540BEF" w:rsidP="001C443B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</w:rPr>
      </w:pPr>
      <w:r w:rsidRPr="009C09D9">
        <w:rPr>
          <w:rFonts w:asciiTheme="minorHAnsi" w:hAnsiTheme="minorHAnsi"/>
          <w:color w:val="auto"/>
        </w:rPr>
        <w:t xml:space="preserve">SEPARATION DATE: </w:t>
      </w:r>
      <w:r w:rsidR="00871B92" w:rsidRPr="009C09D9">
        <w:rPr>
          <w:rFonts w:asciiTheme="minorHAnsi" w:hAnsiTheme="minorHAnsi"/>
          <w:color w:val="auto"/>
        </w:rPr>
        <w:t>20020</w:t>
      </w:r>
      <w:r w:rsidR="00BF1266" w:rsidRPr="009C09D9">
        <w:rPr>
          <w:rFonts w:asciiTheme="minorHAnsi" w:hAnsiTheme="minorHAnsi"/>
          <w:color w:val="auto"/>
        </w:rPr>
        <w:t>731</w:t>
      </w:r>
    </w:p>
    <w:p w:rsidR="00540BEF" w:rsidRPr="009C09D9" w:rsidRDefault="00540BEF" w:rsidP="001C443B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</w:rPr>
      </w:pPr>
      <w:r w:rsidRPr="009C09D9">
        <w:rPr>
          <w:rFonts w:asciiTheme="minorHAnsi" w:hAnsiTheme="minorHAnsi"/>
          <w:color w:val="auto"/>
          <w:u w:val="single"/>
        </w:rPr>
        <w:t>______________________________________________________________</w:t>
      </w:r>
      <w:r w:rsidR="009C09D9">
        <w:rPr>
          <w:rFonts w:asciiTheme="minorHAnsi" w:hAnsiTheme="minorHAnsi"/>
          <w:color w:val="auto"/>
          <w:u w:val="single"/>
        </w:rPr>
        <w:t>_______________</w:t>
      </w:r>
      <w:r w:rsidRPr="009C09D9">
        <w:rPr>
          <w:rFonts w:asciiTheme="minorHAnsi" w:hAnsiTheme="minorHAnsi"/>
          <w:color w:val="auto"/>
        </w:rPr>
        <w:t>_</w:t>
      </w:r>
    </w:p>
    <w:p w:rsidR="00B522CD" w:rsidRPr="009C09D9" w:rsidRDefault="00B522CD" w:rsidP="001C443B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</w:rPr>
      </w:pPr>
    </w:p>
    <w:p w:rsidR="00684E2B" w:rsidRPr="009C09D9" w:rsidRDefault="00811D5B" w:rsidP="001C443B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  <w:szCs w:val="24"/>
        </w:rPr>
      </w:pPr>
      <w:r w:rsidRPr="009C09D9">
        <w:rPr>
          <w:rFonts w:asciiTheme="minorHAnsi" w:hAnsiTheme="minorHAnsi"/>
          <w:color w:val="auto"/>
          <w:u w:val="single"/>
        </w:rPr>
        <w:t>SUMMARY</w:t>
      </w:r>
      <w:r w:rsidR="003D7DDB" w:rsidRPr="009C09D9">
        <w:rPr>
          <w:rFonts w:asciiTheme="minorHAnsi" w:hAnsiTheme="minorHAnsi"/>
          <w:color w:val="auto"/>
          <w:u w:val="single"/>
        </w:rPr>
        <w:t xml:space="preserve"> OF CASE</w:t>
      </w:r>
      <w:r w:rsidR="00B522CD" w:rsidRPr="009C09D9">
        <w:rPr>
          <w:rFonts w:asciiTheme="minorHAnsi" w:hAnsiTheme="minorHAnsi"/>
          <w:color w:val="auto"/>
        </w:rPr>
        <w:t>:</w:t>
      </w:r>
      <w:r w:rsidR="00BA30D1" w:rsidRPr="009C09D9">
        <w:rPr>
          <w:rFonts w:asciiTheme="minorHAnsi" w:hAnsiTheme="minorHAnsi"/>
          <w:color w:val="auto"/>
        </w:rPr>
        <w:t xml:space="preserve"> </w:t>
      </w:r>
      <w:r w:rsidR="00FB6E82" w:rsidRPr="009C09D9">
        <w:rPr>
          <w:rFonts w:asciiTheme="minorHAnsi" w:hAnsiTheme="minorHAnsi"/>
          <w:color w:val="auto"/>
        </w:rPr>
        <w:t xml:space="preserve"> </w:t>
      </w:r>
      <w:r w:rsidR="00684E2B" w:rsidRPr="009C09D9">
        <w:rPr>
          <w:rFonts w:asciiTheme="minorHAnsi" w:hAnsiTheme="minorHAnsi"/>
          <w:color w:val="auto"/>
          <w:szCs w:val="24"/>
        </w:rPr>
        <w:t xml:space="preserve">This covered individual (CI) was </w:t>
      </w:r>
      <w:r w:rsidR="00D37237" w:rsidRPr="009C09D9">
        <w:rPr>
          <w:rFonts w:asciiTheme="minorHAnsi" w:hAnsiTheme="minorHAnsi"/>
          <w:color w:val="auto"/>
          <w:szCs w:val="24"/>
        </w:rPr>
        <w:t>a Corporal Infantry Rifleman</w:t>
      </w:r>
      <w:r w:rsidR="00684E2B" w:rsidRPr="009C09D9">
        <w:rPr>
          <w:rFonts w:asciiTheme="minorHAnsi" w:hAnsiTheme="minorHAnsi"/>
          <w:color w:val="auto"/>
          <w:szCs w:val="24"/>
        </w:rPr>
        <w:t xml:space="preserve"> medically separated from the </w:t>
      </w:r>
      <w:r w:rsidR="00D37237" w:rsidRPr="009C09D9">
        <w:rPr>
          <w:rFonts w:asciiTheme="minorHAnsi" w:hAnsiTheme="minorHAnsi"/>
          <w:color w:val="auto"/>
          <w:szCs w:val="24"/>
        </w:rPr>
        <w:t xml:space="preserve">Marine Corps </w:t>
      </w:r>
      <w:r w:rsidR="00684E2B" w:rsidRPr="009C09D9">
        <w:rPr>
          <w:rFonts w:asciiTheme="minorHAnsi" w:hAnsiTheme="minorHAnsi"/>
          <w:color w:val="auto"/>
          <w:szCs w:val="24"/>
        </w:rPr>
        <w:t>in 200</w:t>
      </w:r>
      <w:r w:rsidR="00D37237" w:rsidRPr="009C09D9">
        <w:rPr>
          <w:rFonts w:asciiTheme="minorHAnsi" w:hAnsiTheme="minorHAnsi"/>
          <w:color w:val="auto"/>
          <w:szCs w:val="24"/>
        </w:rPr>
        <w:t>2</w:t>
      </w:r>
      <w:r w:rsidR="00684E2B" w:rsidRPr="009C09D9">
        <w:rPr>
          <w:rFonts w:asciiTheme="minorHAnsi" w:hAnsiTheme="minorHAnsi"/>
          <w:color w:val="auto"/>
          <w:szCs w:val="24"/>
        </w:rPr>
        <w:t xml:space="preserve"> after </w:t>
      </w:r>
      <w:r w:rsidR="00D37237" w:rsidRPr="009C09D9">
        <w:rPr>
          <w:rFonts w:asciiTheme="minorHAnsi" w:hAnsiTheme="minorHAnsi"/>
          <w:color w:val="auto"/>
          <w:szCs w:val="24"/>
        </w:rPr>
        <w:t xml:space="preserve">approximately </w:t>
      </w:r>
      <w:r w:rsidR="001E568F" w:rsidRPr="009C09D9">
        <w:rPr>
          <w:rFonts w:asciiTheme="minorHAnsi" w:hAnsiTheme="minorHAnsi"/>
          <w:color w:val="auto"/>
          <w:szCs w:val="24"/>
        </w:rPr>
        <w:t>two</w:t>
      </w:r>
      <w:r w:rsidR="00CF5A04" w:rsidRPr="009C09D9">
        <w:rPr>
          <w:rFonts w:asciiTheme="minorHAnsi" w:hAnsiTheme="minorHAnsi"/>
          <w:color w:val="auto"/>
          <w:szCs w:val="24"/>
        </w:rPr>
        <w:t xml:space="preserve"> and a half</w:t>
      </w:r>
      <w:r w:rsidR="00684E2B" w:rsidRPr="009C09D9">
        <w:rPr>
          <w:rFonts w:asciiTheme="minorHAnsi" w:hAnsiTheme="minorHAnsi"/>
          <w:color w:val="auto"/>
          <w:szCs w:val="24"/>
        </w:rPr>
        <w:t xml:space="preserve"> years of service.  The medical basis for the separation was </w:t>
      </w:r>
      <w:r w:rsidR="00D37237" w:rsidRPr="009C09D9">
        <w:rPr>
          <w:rFonts w:asciiTheme="minorHAnsi" w:hAnsiTheme="minorHAnsi"/>
          <w:color w:val="auto"/>
          <w:szCs w:val="24"/>
        </w:rPr>
        <w:t xml:space="preserve">Degenerative Joint Disease Changes to Bilateral Hips.  </w:t>
      </w:r>
      <w:r w:rsidR="00684E2B" w:rsidRPr="009C09D9">
        <w:rPr>
          <w:rFonts w:asciiTheme="minorHAnsi" w:hAnsiTheme="minorHAnsi"/>
          <w:color w:val="auto"/>
          <w:szCs w:val="24"/>
        </w:rPr>
        <w:t xml:space="preserve">The CI was referred to the </w:t>
      </w:r>
      <w:r w:rsidR="000B4ABA" w:rsidRPr="009C09D9">
        <w:rPr>
          <w:rFonts w:asciiTheme="minorHAnsi" w:hAnsiTheme="minorHAnsi"/>
          <w:color w:val="auto"/>
          <w:szCs w:val="24"/>
        </w:rPr>
        <w:t>Physical Evaluation Board (</w:t>
      </w:r>
      <w:r w:rsidR="00684E2B" w:rsidRPr="009C09D9">
        <w:rPr>
          <w:rFonts w:asciiTheme="minorHAnsi" w:hAnsiTheme="minorHAnsi"/>
          <w:color w:val="auto"/>
          <w:szCs w:val="24"/>
        </w:rPr>
        <w:t>PEB</w:t>
      </w:r>
      <w:r w:rsidR="000B4ABA" w:rsidRPr="009C09D9">
        <w:rPr>
          <w:rFonts w:asciiTheme="minorHAnsi" w:hAnsiTheme="minorHAnsi"/>
          <w:color w:val="auto"/>
          <w:szCs w:val="24"/>
        </w:rPr>
        <w:t>)</w:t>
      </w:r>
      <w:r w:rsidR="00684E2B" w:rsidRPr="009C09D9">
        <w:rPr>
          <w:rFonts w:asciiTheme="minorHAnsi" w:hAnsiTheme="minorHAnsi"/>
          <w:color w:val="auto"/>
          <w:szCs w:val="24"/>
        </w:rPr>
        <w:t>, found unfit for the condition</w:t>
      </w:r>
      <w:r w:rsidR="00D37237" w:rsidRPr="009C09D9">
        <w:rPr>
          <w:rFonts w:asciiTheme="minorHAnsi" w:hAnsiTheme="minorHAnsi"/>
          <w:color w:val="auto"/>
          <w:szCs w:val="24"/>
        </w:rPr>
        <w:t>,</w:t>
      </w:r>
      <w:r w:rsidR="00684E2B" w:rsidRPr="009C09D9">
        <w:rPr>
          <w:rFonts w:asciiTheme="minorHAnsi" w:hAnsiTheme="minorHAnsi"/>
          <w:color w:val="auto"/>
          <w:szCs w:val="24"/>
        </w:rPr>
        <w:t xml:space="preserve"> </w:t>
      </w:r>
      <w:r w:rsidR="00E866F8" w:rsidRPr="009C09D9">
        <w:rPr>
          <w:rFonts w:asciiTheme="minorHAnsi" w:hAnsiTheme="minorHAnsi"/>
          <w:color w:val="auto"/>
          <w:szCs w:val="24"/>
        </w:rPr>
        <w:t xml:space="preserve">determined unfit for continued military service </w:t>
      </w:r>
      <w:r w:rsidR="00684E2B" w:rsidRPr="009C09D9">
        <w:rPr>
          <w:rFonts w:asciiTheme="minorHAnsi" w:hAnsiTheme="minorHAnsi"/>
          <w:color w:val="auto"/>
          <w:szCs w:val="24"/>
        </w:rPr>
        <w:t xml:space="preserve">and separated at </w:t>
      </w:r>
      <w:r w:rsidR="00D37237" w:rsidRPr="009C09D9">
        <w:rPr>
          <w:rFonts w:asciiTheme="minorHAnsi" w:hAnsiTheme="minorHAnsi"/>
          <w:color w:val="auto"/>
          <w:szCs w:val="24"/>
        </w:rPr>
        <w:t>1</w:t>
      </w:r>
      <w:r w:rsidR="00684E2B" w:rsidRPr="009C09D9">
        <w:rPr>
          <w:rFonts w:asciiTheme="minorHAnsi" w:hAnsiTheme="minorHAnsi"/>
          <w:color w:val="auto"/>
          <w:szCs w:val="24"/>
        </w:rPr>
        <w:t>0% combined disability</w:t>
      </w:r>
      <w:r w:rsidR="00E866F8" w:rsidRPr="009C09D9">
        <w:rPr>
          <w:rFonts w:asciiTheme="minorHAnsi" w:hAnsiTheme="minorHAnsi"/>
          <w:color w:val="auto"/>
          <w:szCs w:val="24"/>
        </w:rPr>
        <w:t xml:space="preserve"> using the Veterans Affairs Schedule for Ratings Disabilities (VASRD) and applicable </w:t>
      </w:r>
      <w:r w:rsidR="00D37237" w:rsidRPr="009C09D9">
        <w:rPr>
          <w:rFonts w:asciiTheme="minorHAnsi" w:hAnsiTheme="minorHAnsi"/>
          <w:color w:val="auto"/>
          <w:szCs w:val="24"/>
        </w:rPr>
        <w:t>Naval</w:t>
      </w:r>
      <w:r w:rsidR="00D37237" w:rsidRPr="009C09D9">
        <w:rPr>
          <w:rFonts w:asciiTheme="minorHAnsi" w:hAnsiTheme="minorHAnsi"/>
          <w:i/>
          <w:color w:val="auto"/>
          <w:szCs w:val="24"/>
        </w:rPr>
        <w:t xml:space="preserve"> </w:t>
      </w:r>
      <w:r w:rsidR="00E866F8" w:rsidRPr="009C09D9">
        <w:rPr>
          <w:rFonts w:asciiTheme="minorHAnsi" w:hAnsiTheme="minorHAnsi"/>
          <w:color w:val="auto"/>
          <w:szCs w:val="24"/>
        </w:rPr>
        <w:t>and Department of Defense regulations.</w:t>
      </w:r>
    </w:p>
    <w:p w:rsidR="009C09D9" w:rsidRPr="009C09D9" w:rsidRDefault="009C09D9" w:rsidP="009C09D9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</w:rPr>
      </w:pPr>
      <w:r w:rsidRPr="009C09D9">
        <w:rPr>
          <w:rFonts w:asciiTheme="minorHAnsi" w:hAnsiTheme="minorHAnsi"/>
          <w:color w:val="auto"/>
          <w:u w:val="single"/>
        </w:rPr>
        <w:t>______________________________________________________________</w:t>
      </w:r>
      <w:r>
        <w:rPr>
          <w:rFonts w:asciiTheme="minorHAnsi" w:hAnsiTheme="minorHAnsi"/>
          <w:color w:val="auto"/>
          <w:u w:val="single"/>
        </w:rPr>
        <w:t>_______________</w:t>
      </w:r>
      <w:r w:rsidRPr="009C09D9">
        <w:rPr>
          <w:rFonts w:asciiTheme="minorHAnsi" w:hAnsiTheme="minorHAnsi"/>
          <w:color w:val="auto"/>
        </w:rPr>
        <w:t>_</w:t>
      </w:r>
    </w:p>
    <w:p w:rsidR="00923B25" w:rsidRPr="009C09D9" w:rsidRDefault="00923B25" w:rsidP="001C443B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</w:rPr>
      </w:pPr>
    </w:p>
    <w:p w:rsidR="00A90D55" w:rsidRPr="009C09D9" w:rsidRDefault="001C181A" w:rsidP="001C443B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  <w:szCs w:val="24"/>
        </w:rPr>
      </w:pPr>
      <w:r w:rsidRPr="009C09D9">
        <w:rPr>
          <w:rFonts w:asciiTheme="minorHAnsi" w:hAnsiTheme="minorHAnsi"/>
          <w:color w:val="auto"/>
          <w:u w:val="single"/>
        </w:rPr>
        <w:t>CI CONTENTION</w:t>
      </w:r>
      <w:r w:rsidRPr="009C09D9">
        <w:rPr>
          <w:rFonts w:asciiTheme="minorHAnsi" w:hAnsiTheme="minorHAnsi"/>
          <w:color w:val="auto"/>
        </w:rPr>
        <w:t>:</w:t>
      </w:r>
      <w:r w:rsidR="00FB6E82" w:rsidRPr="009C09D9">
        <w:rPr>
          <w:rFonts w:asciiTheme="minorHAnsi" w:hAnsiTheme="minorHAnsi"/>
          <w:color w:val="auto"/>
        </w:rPr>
        <w:t xml:space="preserve">  </w:t>
      </w:r>
      <w:r w:rsidR="009C3F82" w:rsidRPr="009C09D9">
        <w:rPr>
          <w:rFonts w:asciiTheme="minorHAnsi" w:hAnsiTheme="minorHAnsi"/>
          <w:color w:val="auto"/>
          <w:szCs w:val="24"/>
        </w:rPr>
        <w:t>The CI</w:t>
      </w:r>
      <w:r w:rsidR="00E866F8" w:rsidRPr="009C09D9">
        <w:rPr>
          <w:rFonts w:asciiTheme="minorHAnsi" w:hAnsiTheme="minorHAnsi"/>
          <w:color w:val="auto"/>
          <w:szCs w:val="24"/>
        </w:rPr>
        <w:t xml:space="preserve"> states: </w:t>
      </w:r>
      <w:r w:rsidR="00BB7066" w:rsidRPr="009C09D9">
        <w:rPr>
          <w:rFonts w:asciiTheme="minorHAnsi" w:hAnsiTheme="minorHAnsi"/>
          <w:color w:val="auto"/>
          <w:szCs w:val="24"/>
        </w:rPr>
        <w:t>‘</w:t>
      </w:r>
      <w:r w:rsidR="009656B7" w:rsidRPr="009C09D9">
        <w:rPr>
          <w:rFonts w:asciiTheme="minorHAnsi" w:hAnsiTheme="minorHAnsi"/>
          <w:color w:val="auto"/>
          <w:szCs w:val="24"/>
        </w:rPr>
        <w:t>My disability rating from the VA was 50% upon separation, and is currently 70%.</w:t>
      </w:r>
      <w:r w:rsidR="00BB7066" w:rsidRPr="009C09D9">
        <w:rPr>
          <w:rFonts w:asciiTheme="minorHAnsi" w:hAnsiTheme="minorHAnsi"/>
          <w:color w:val="auto"/>
          <w:szCs w:val="24"/>
        </w:rPr>
        <w:t>’</w:t>
      </w:r>
    </w:p>
    <w:p w:rsidR="009C09D9" w:rsidRPr="009C09D9" w:rsidRDefault="009C09D9" w:rsidP="009C09D9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</w:rPr>
      </w:pPr>
      <w:r w:rsidRPr="009C09D9">
        <w:rPr>
          <w:rFonts w:asciiTheme="minorHAnsi" w:hAnsiTheme="minorHAnsi"/>
          <w:color w:val="auto"/>
          <w:u w:val="single"/>
        </w:rPr>
        <w:t>______________________________________________________________</w:t>
      </w:r>
      <w:r>
        <w:rPr>
          <w:rFonts w:asciiTheme="minorHAnsi" w:hAnsiTheme="minorHAnsi"/>
          <w:color w:val="auto"/>
          <w:u w:val="single"/>
        </w:rPr>
        <w:t>_______________</w:t>
      </w:r>
      <w:r w:rsidRPr="009C09D9">
        <w:rPr>
          <w:rFonts w:asciiTheme="minorHAnsi" w:hAnsiTheme="minorHAnsi"/>
          <w:color w:val="auto"/>
        </w:rPr>
        <w:t>_</w:t>
      </w:r>
    </w:p>
    <w:p w:rsidR="00D37237" w:rsidRPr="009C09D9" w:rsidRDefault="00D37237" w:rsidP="001C443B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  <w:u w:val="single"/>
        </w:rPr>
      </w:pPr>
    </w:p>
    <w:p w:rsidR="00871B92" w:rsidRPr="009C09D9" w:rsidRDefault="00A90D55" w:rsidP="001C443B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</w:rPr>
      </w:pPr>
      <w:r w:rsidRPr="009C09D9">
        <w:rPr>
          <w:rFonts w:asciiTheme="minorHAnsi" w:hAnsiTheme="minorHAnsi"/>
          <w:color w:val="auto"/>
          <w:u w:val="single"/>
        </w:rPr>
        <w:t>RATING COMPARISON</w:t>
      </w:r>
      <w:r w:rsidRPr="009C09D9">
        <w:rPr>
          <w:rFonts w:asciiTheme="minorHAnsi" w:hAnsiTheme="minorHAnsi"/>
          <w:color w:val="auto"/>
        </w:rPr>
        <w:t>:</w:t>
      </w:r>
    </w:p>
    <w:p w:rsidR="00D37237" w:rsidRDefault="00D37237" w:rsidP="001C443B">
      <w:pPr>
        <w:tabs>
          <w:tab w:val="left" w:pos="288"/>
          <w:tab w:val="left" w:pos="4752"/>
        </w:tabs>
        <w:spacing w:line="240" w:lineRule="exact"/>
        <w:jc w:val="both"/>
        <w:rPr>
          <w:rFonts w:ascii="Calibri" w:hAnsi="Calibri"/>
          <w:color w:val="000080"/>
        </w:rPr>
      </w:pPr>
    </w:p>
    <w:tbl>
      <w:tblPr>
        <w:tblStyle w:val="TableGrid"/>
        <w:tblW w:w="11160" w:type="dxa"/>
        <w:jc w:val="center"/>
        <w:tblLayout w:type="fixed"/>
        <w:tblLook w:val="04A0"/>
      </w:tblPr>
      <w:tblGrid>
        <w:gridCol w:w="1980"/>
        <w:gridCol w:w="900"/>
        <w:gridCol w:w="90"/>
        <w:gridCol w:w="720"/>
        <w:gridCol w:w="90"/>
        <w:gridCol w:w="990"/>
        <w:gridCol w:w="2700"/>
        <w:gridCol w:w="720"/>
        <w:gridCol w:w="810"/>
        <w:gridCol w:w="1080"/>
        <w:gridCol w:w="1080"/>
      </w:tblGrid>
      <w:tr w:rsidR="00DA3ED0" w:rsidRPr="00473D5C" w:rsidTr="00B36FEB">
        <w:trPr>
          <w:trHeight w:val="233"/>
          <w:jc w:val="center"/>
        </w:trPr>
        <w:tc>
          <w:tcPr>
            <w:tcW w:w="47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SmallGap" w:sz="24" w:space="0" w:color="000000" w:themeColor="text1"/>
            </w:tcBorders>
            <w:shd w:val="clear" w:color="auto" w:fill="EEECE1" w:themeFill="background2"/>
            <w:hideMark/>
          </w:tcPr>
          <w:p w:rsidR="00DA3ED0" w:rsidRPr="00CF5A04" w:rsidRDefault="00DA3ED0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F5A04">
              <w:rPr>
                <w:rFonts w:cs="Times New Roman"/>
                <w:b/>
                <w:sz w:val="20"/>
                <w:szCs w:val="20"/>
              </w:rPr>
              <w:t>Service PEB</w:t>
            </w:r>
          </w:p>
        </w:tc>
        <w:tc>
          <w:tcPr>
            <w:tcW w:w="6390" w:type="dxa"/>
            <w:gridSpan w:val="5"/>
            <w:tcBorders>
              <w:top w:val="single" w:sz="4" w:space="0" w:color="000000" w:themeColor="text1"/>
              <w:left w:val="thinThickThin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A3ED0" w:rsidRPr="00CF5A04" w:rsidRDefault="00DA3ED0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F5A04">
              <w:rPr>
                <w:rFonts w:cs="Times New Roman"/>
                <w:b/>
                <w:sz w:val="20"/>
                <w:szCs w:val="20"/>
              </w:rPr>
              <w:t>VA (</w:t>
            </w:r>
            <w:r w:rsidR="002C2658" w:rsidRPr="00CF5A04">
              <w:rPr>
                <w:rFonts w:cs="Times New Roman"/>
                <w:b/>
                <w:sz w:val="20"/>
                <w:szCs w:val="20"/>
              </w:rPr>
              <w:t>1</w:t>
            </w:r>
            <w:r w:rsidRPr="00CF5A04">
              <w:rPr>
                <w:rFonts w:cs="Times New Roman"/>
                <w:b/>
                <w:sz w:val="20"/>
                <w:szCs w:val="20"/>
              </w:rPr>
              <w:t xml:space="preserve"> Mo</w:t>
            </w:r>
            <w:r w:rsidR="00C775A2" w:rsidRPr="00CF5A04">
              <w:rPr>
                <w:rFonts w:cs="Times New Roman"/>
                <w:b/>
                <w:sz w:val="20"/>
                <w:szCs w:val="20"/>
              </w:rPr>
              <w:t>nth</w:t>
            </w:r>
            <w:r w:rsidRPr="00CF5A04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2C2658" w:rsidRPr="00CF5A04">
              <w:rPr>
                <w:rFonts w:cs="Times New Roman"/>
                <w:b/>
                <w:sz w:val="20"/>
                <w:szCs w:val="20"/>
              </w:rPr>
              <w:t>Pre-</w:t>
            </w:r>
            <w:r w:rsidRPr="00CF5A04">
              <w:rPr>
                <w:rFonts w:cs="Times New Roman"/>
                <w:b/>
                <w:sz w:val="20"/>
                <w:szCs w:val="20"/>
              </w:rPr>
              <w:t>Separation)</w:t>
            </w:r>
          </w:p>
        </w:tc>
      </w:tr>
      <w:tr w:rsidR="001C443B" w:rsidRPr="00473D5C" w:rsidTr="00B36FEB">
        <w:trPr>
          <w:trHeight w:val="233"/>
          <w:jc w:val="center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A3ED0" w:rsidRPr="00CF5A04" w:rsidRDefault="00DA3ED0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F5A04">
              <w:rPr>
                <w:rFonts w:cs="Times New Roman"/>
                <w:b/>
                <w:sz w:val="20"/>
                <w:szCs w:val="20"/>
              </w:rPr>
              <w:t>Unfitting Conditions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A3ED0" w:rsidRPr="00CF5A04" w:rsidRDefault="00DA3ED0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F5A04">
              <w:rPr>
                <w:rFonts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A3ED0" w:rsidRPr="00CF5A04" w:rsidRDefault="00DA3ED0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F5A04">
              <w:rPr>
                <w:rFonts w:cs="Times New Roman"/>
                <w:b/>
                <w:sz w:val="20"/>
                <w:szCs w:val="20"/>
              </w:rPr>
              <w:t>Rating</w:t>
            </w:r>
          </w:p>
        </w:tc>
        <w:tc>
          <w:tcPr>
            <w:tcW w:w="1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SmallGap" w:sz="24" w:space="0" w:color="000000" w:themeColor="text1"/>
            </w:tcBorders>
            <w:shd w:val="clear" w:color="auto" w:fill="EEECE1" w:themeFill="background2"/>
            <w:hideMark/>
          </w:tcPr>
          <w:p w:rsidR="00DA3ED0" w:rsidRPr="00CF5A04" w:rsidRDefault="00DA3ED0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F5A04">
              <w:rPr>
                <w:rFonts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thinThickThin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A3ED0" w:rsidRPr="00CF5A04" w:rsidRDefault="00DA3ED0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F5A04">
              <w:rPr>
                <w:rFonts w:cs="Times New Roman"/>
                <w:b/>
                <w:sz w:val="20"/>
                <w:szCs w:val="20"/>
              </w:rPr>
              <w:t>Condition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A3ED0" w:rsidRPr="00CF5A04" w:rsidRDefault="00DA3ED0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F5A04">
              <w:rPr>
                <w:rFonts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A3ED0" w:rsidRPr="00CF5A04" w:rsidRDefault="00DA3ED0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F5A04">
              <w:rPr>
                <w:rFonts w:cs="Times New Roman"/>
                <w:b/>
                <w:sz w:val="20"/>
                <w:szCs w:val="20"/>
              </w:rPr>
              <w:t>Rating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A3ED0" w:rsidRPr="00CF5A04" w:rsidRDefault="00DA3ED0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F5A04">
              <w:rPr>
                <w:rFonts w:cs="Times New Roman"/>
                <w:b/>
                <w:sz w:val="20"/>
                <w:szCs w:val="20"/>
              </w:rPr>
              <w:t>Exam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A3ED0" w:rsidRPr="00CF5A04" w:rsidRDefault="00DA3ED0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F5A04">
              <w:rPr>
                <w:rFonts w:cs="Times New Roman"/>
                <w:b/>
                <w:sz w:val="20"/>
                <w:szCs w:val="20"/>
              </w:rPr>
              <w:t>Effective</w:t>
            </w:r>
          </w:p>
        </w:tc>
      </w:tr>
      <w:tr w:rsidR="001C1766" w:rsidRPr="00473D5C" w:rsidTr="00B36FEB">
        <w:trPr>
          <w:trHeight w:val="490"/>
          <w:jc w:val="center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766" w:rsidRPr="00BB7066" w:rsidRDefault="001C1766" w:rsidP="001C443B">
            <w:pPr>
              <w:pStyle w:val="ListParagraph"/>
              <w:spacing w:after="0" w:line="240" w:lineRule="exact"/>
              <w:ind w:left="0"/>
              <w:rPr>
                <w:rFonts w:ascii="Calibri" w:hAnsi="Calibri" w:cs="Times New Roman"/>
                <w:sz w:val="20"/>
                <w:szCs w:val="18"/>
              </w:rPr>
            </w:pPr>
            <w:r w:rsidRPr="00BB7066">
              <w:rPr>
                <w:rFonts w:ascii="Calibri" w:hAnsi="Calibri" w:cs="Times New Roman"/>
                <w:sz w:val="20"/>
                <w:szCs w:val="18"/>
              </w:rPr>
              <w:t>Degenerative Joint Disease Changes to Bilateral Hips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1766" w:rsidRPr="00BB7066" w:rsidRDefault="001C1766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sz w:val="20"/>
                <w:szCs w:val="18"/>
              </w:rPr>
            </w:pPr>
            <w:r w:rsidRPr="00BB7066">
              <w:rPr>
                <w:rFonts w:cs="Times New Roman"/>
                <w:sz w:val="20"/>
                <w:szCs w:val="18"/>
              </w:rPr>
              <w:t>5299-5003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1766" w:rsidRPr="00BB7066" w:rsidRDefault="001C1766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sz w:val="20"/>
                <w:szCs w:val="18"/>
              </w:rPr>
            </w:pPr>
            <w:r w:rsidRPr="00BB7066">
              <w:rPr>
                <w:rFonts w:cs="Times New Roman"/>
                <w:sz w:val="20"/>
                <w:szCs w:val="18"/>
              </w:rPr>
              <w:t>10%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hinThickThinSmallGap" w:sz="24" w:space="0" w:color="000000" w:themeColor="text1"/>
            </w:tcBorders>
            <w:hideMark/>
          </w:tcPr>
          <w:p w:rsidR="001C1766" w:rsidRPr="00BB7066" w:rsidRDefault="001C1766" w:rsidP="001C443B">
            <w:pPr>
              <w:pStyle w:val="ListParagraph"/>
              <w:spacing w:after="0" w:line="240" w:lineRule="exact"/>
              <w:ind w:left="0"/>
              <w:rPr>
                <w:rFonts w:cs="Times New Roman"/>
                <w:sz w:val="20"/>
                <w:szCs w:val="18"/>
              </w:rPr>
            </w:pPr>
            <w:r w:rsidRPr="00BB7066">
              <w:rPr>
                <w:rFonts w:cs="Times New Roman"/>
                <w:sz w:val="20"/>
                <w:szCs w:val="18"/>
              </w:rPr>
              <w:t>20020614</w:t>
            </w:r>
          </w:p>
        </w:tc>
        <w:tc>
          <w:tcPr>
            <w:tcW w:w="2700" w:type="dxa"/>
            <w:vMerge w:val="restart"/>
            <w:tcBorders>
              <w:top w:val="single" w:sz="4" w:space="0" w:color="000000" w:themeColor="text1"/>
              <w:left w:val="thinThickThinSmallGap" w:sz="24" w:space="0" w:color="000000" w:themeColor="text1"/>
              <w:right w:val="single" w:sz="4" w:space="0" w:color="000000" w:themeColor="text1"/>
            </w:tcBorders>
            <w:hideMark/>
          </w:tcPr>
          <w:p w:rsidR="001C1766" w:rsidRPr="00BB7066" w:rsidRDefault="001C1766" w:rsidP="001C443B">
            <w:pPr>
              <w:autoSpaceDE w:val="0"/>
              <w:autoSpaceDN w:val="0"/>
              <w:adjustRightInd w:val="0"/>
              <w:spacing w:line="240" w:lineRule="exact"/>
              <w:rPr>
                <w:rFonts w:cs="Times New Roman"/>
                <w:sz w:val="20"/>
                <w:szCs w:val="18"/>
              </w:rPr>
            </w:pPr>
            <w:r w:rsidRPr="00BB7066">
              <w:rPr>
                <w:rFonts w:ascii="Calibri" w:eastAsiaTheme="minorEastAsia" w:hAnsi="Calibri"/>
                <w:color w:val="auto"/>
                <w:sz w:val="20"/>
                <w:szCs w:val="18"/>
              </w:rPr>
              <w:t xml:space="preserve">Residuals, Left Hip De-generative Changes with </w:t>
            </w:r>
            <w:proofErr w:type="spellStart"/>
            <w:r w:rsidRPr="00BB7066">
              <w:rPr>
                <w:rFonts w:ascii="Calibri" w:eastAsiaTheme="minorEastAsia" w:hAnsi="Calibri"/>
                <w:color w:val="auto"/>
                <w:sz w:val="20"/>
                <w:szCs w:val="18"/>
              </w:rPr>
              <w:t>Subchondral</w:t>
            </w:r>
            <w:proofErr w:type="spellEnd"/>
            <w:r w:rsidRPr="00BB7066">
              <w:rPr>
                <w:rFonts w:ascii="Calibri" w:eastAsiaTheme="minorEastAsia" w:hAnsi="Calibri"/>
                <w:color w:val="auto"/>
                <w:sz w:val="20"/>
                <w:szCs w:val="18"/>
              </w:rPr>
              <w:t xml:space="preserve"> Sclerosis in the </w:t>
            </w:r>
            <w:proofErr w:type="spellStart"/>
            <w:r w:rsidRPr="00BB7066">
              <w:rPr>
                <w:rFonts w:ascii="Calibri" w:eastAsiaTheme="minorEastAsia" w:hAnsi="Calibri"/>
                <w:color w:val="auto"/>
                <w:sz w:val="20"/>
                <w:szCs w:val="18"/>
              </w:rPr>
              <w:t>Acetabula</w:t>
            </w:r>
            <w:proofErr w:type="spellEnd"/>
            <w:r w:rsidRPr="00BB7066">
              <w:rPr>
                <w:rFonts w:ascii="Calibri" w:eastAsiaTheme="minorEastAsia" w:hAnsi="Calibri"/>
                <w:color w:val="auto"/>
                <w:sz w:val="20"/>
                <w:szCs w:val="18"/>
              </w:rPr>
              <w:t xml:space="preserve">, Joint Space </w:t>
            </w:r>
            <w:r w:rsidRPr="00BB7066">
              <w:rPr>
                <w:rFonts w:ascii="Calibri" w:eastAsiaTheme="minorEastAsia" w:hAnsi="Calibri" w:cs="Times New Roman"/>
                <w:color w:val="auto"/>
                <w:sz w:val="20"/>
                <w:szCs w:val="18"/>
              </w:rPr>
              <w:t xml:space="preserve">Narrowing and </w:t>
            </w:r>
            <w:proofErr w:type="spellStart"/>
            <w:r w:rsidRPr="00BB7066">
              <w:rPr>
                <w:rFonts w:ascii="Calibri" w:eastAsiaTheme="minorEastAsia" w:hAnsi="Calibri" w:cs="Times New Roman"/>
                <w:color w:val="auto"/>
                <w:sz w:val="20"/>
                <w:szCs w:val="18"/>
              </w:rPr>
              <w:t>Osteophyte</w:t>
            </w:r>
            <w:proofErr w:type="spellEnd"/>
            <w:r w:rsidRPr="00BB7066">
              <w:rPr>
                <w:rFonts w:ascii="Calibri" w:eastAsiaTheme="minorEastAsia" w:hAnsi="Calibri" w:cs="Times New Roman"/>
                <w:color w:val="auto"/>
                <w:sz w:val="20"/>
                <w:szCs w:val="18"/>
              </w:rPr>
              <w:t xml:space="preserve"> Changes</w:t>
            </w:r>
            <w:r w:rsidRPr="00BB7066">
              <w:rPr>
                <w:rFonts w:ascii="Times New Roman" w:eastAsiaTheme="minorEastAsia" w:hAnsi="Times New Roman" w:cs="Times New Roman"/>
                <w:sz w:val="20"/>
                <w:szCs w:val="18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1766" w:rsidRPr="00BB7066" w:rsidRDefault="001C1766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ascii="Calibri" w:hAnsi="Calibri" w:cs="Times New Roman"/>
                <w:sz w:val="20"/>
                <w:szCs w:val="18"/>
              </w:rPr>
            </w:pPr>
            <w:bookmarkStart w:id="0" w:name="OLE_LINK3"/>
            <w:bookmarkStart w:id="1" w:name="OLE_LINK4"/>
            <w:r w:rsidRPr="00BB7066">
              <w:rPr>
                <w:rFonts w:ascii="Calibri" w:hAnsi="Calibri" w:cs="Times New Roman"/>
                <w:sz w:val="20"/>
                <w:szCs w:val="18"/>
              </w:rPr>
              <w:t>5003-5255</w:t>
            </w:r>
            <w:bookmarkEnd w:id="0"/>
            <w:bookmarkEnd w:id="1"/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1766" w:rsidRPr="00BB7066" w:rsidRDefault="001C1766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ascii="Calibri" w:hAnsi="Calibri" w:cs="Times New Roman"/>
                <w:sz w:val="20"/>
                <w:szCs w:val="18"/>
              </w:rPr>
            </w:pPr>
            <w:r w:rsidRPr="00BB7066">
              <w:rPr>
                <w:rFonts w:ascii="Calibri" w:hAnsi="Calibri" w:cs="Times New Roman"/>
                <w:sz w:val="20"/>
                <w:szCs w:val="18"/>
              </w:rPr>
              <w:t>10%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1766" w:rsidRPr="00BB7066" w:rsidRDefault="001C1766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ascii="Calibri" w:hAnsi="Calibri" w:cs="Times New Roman"/>
                <w:sz w:val="20"/>
                <w:szCs w:val="18"/>
              </w:rPr>
            </w:pPr>
            <w:r w:rsidRPr="00BB7066">
              <w:rPr>
                <w:rFonts w:ascii="Calibri" w:hAnsi="Calibri" w:cs="Times New Roman"/>
                <w:sz w:val="20"/>
                <w:szCs w:val="18"/>
              </w:rPr>
              <w:t>20020627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1766" w:rsidRPr="00BB7066" w:rsidRDefault="001C1766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ascii="Calibri" w:hAnsi="Calibri" w:cs="Times New Roman"/>
                <w:sz w:val="20"/>
                <w:szCs w:val="18"/>
              </w:rPr>
            </w:pPr>
            <w:r w:rsidRPr="00BB7066">
              <w:rPr>
                <w:rFonts w:ascii="Calibri" w:hAnsi="Calibri" w:cs="Times New Roman"/>
                <w:sz w:val="20"/>
                <w:szCs w:val="18"/>
              </w:rPr>
              <w:t>20020801</w:t>
            </w:r>
          </w:p>
        </w:tc>
      </w:tr>
      <w:tr w:rsidR="001C1766" w:rsidRPr="00473D5C" w:rsidTr="00B36FEB">
        <w:trPr>
          <w:trHeight w:val="490"/>
          <w:jc w:val="center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766" w:rsidRPr="00BB7066" w:rsidRDefault="001C1766" w:rsidP="001C443B">
            <w:pPr>
              <w:pStyle w:val="ListParagraph"/>
              <w:spacing w:after="0" w:line="240" w:lineRule="exact"/>
              <w:ind w:left="0"/>
              <w:rPr>
                <w:rFonts w:ascii="Calibri" w:hAnsi="Calibri" w:cs="Times New Roman"/>
                <w:sz w:val="20"/>
                <w:szCs w:val="18"/>
              </w:rPr>
            </w:pPr>
            <w:r>
              <w:rPr>
                <w:rFonts w:ascii="Calibri" w:hAnsi="Calibri" w:cs="Times New Roman"/>
                <w:sz w:val="20"/>
                <w:szCs w:val="18"/>
              </w:rPr>
              <w:t>Left Hip</w:t>
            </w: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1766" w:rsidRPr="00BB7066" w:rsidRDefault="001C1766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1766" w:rsidRPr="00BB7066" w:rsidRDefault="001C1766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10%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000000" w:themeColor="text1"/>
              <w:right w:val="thinThickThinSmallGap" w:sz="24" w:space="0" w:color="000000" w:themeColor="text1"/>
            </w:tcBorders>
            <w:hideMark/>
          </w:tcPr>
          <w:p w:rsidR="001C1766" w:rsidRPr="00BB7066" w:rsidRDefault="001C1766" w:rsidP="001C443B">
            <w:pPr>
              <w:pStyle w:val="ListParagraph"/>
              <w:spacing w:after="0" w:line="240" w:lineRule="exact"/>
              <w:ind w:left="0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2700" w:type="dxa"/>
            <w:vMerge/>
            <w:tcBorders>
              <w:left w:val="thinThickThinSmallGap" w:sz="24" w:space="0" w:color="000000" w:themeColor="text1"/>
              <w:right w:val="single" w:sz="4" w:space="0" w:color="000000" w:themeColor="text1"/>
            </w:tcBorders>
            <w:hideMark/>
          </w:tcPr>
          <w:p w:rsidR="001C1766" w:rsidRPr="00BB7066" w:rsidRDefault="001C1766" w:rsidP="001C443B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Theme="minorEastAsia" w:hAnsi="Calibri"/>
                <w:color w:val="auto"/>
                <w:sz w:val="20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1766" w:rsidRPr="00BB7066" w:rsidRDefault="001C1766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ascii="Calibri" w:hAnsi="Calibri" w:cs="Times New Roman"/>
                <w:sz w:val="20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1766" w:rsidRPr="00BB7066" w:rsidRDefault="001C1766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ascii="Calibri" w:hAnsi="Calibri" w:cs="Times New Roman"/>
                <w:sz w:val="20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1766" w:rsidRPr="00BB7066" w:rsidRDefault="001C1766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ascii="Calibri" w:hAnsi="Calibri" w:cs="Times New Roman"/>
                <w:sz w:val="20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1766" w:rsidRPr="00BB7066" w:rsidRDefault="001C1766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ascii="Calibri" w:hAnsi="Calibri" w:cs="Times New Roman"/>
                <w:sz w:val="20"/>
                <w:szCs w:val="18"/>
              </w:rPr>
            </w:pPr>
          </w:p>
        </w:tc>
      </w:tr>
      <w:tr w:rsidR="001C1766" w:rsidRPr="00473D5C" w:rsidTr="00B36FEB">
        <w:trPr>
          <w:trHeight w:val="490"/>
          <w:jc w:val="center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766" w:rsidRPr="00BB7066" w:rsidRDefault="001C1766" w:rsidP="001C443B">
            <w:pPr>
              <w:pStyle w:val="ListParagraph"/>
              <w:spacing w:after="0" w:line="240" w:lineRule="exact"/>
              <w:ind w:left="0"/>
              <w:rPr>
                <w:rFonts w:ascii="Calibri" w:hAnsi="Calibri" w:cs="Times New Roman"/>
                <w:sz w:val="20"/>
                <w:szCs w:val="18"/>
              </w:rPr>
            </w:pPr>
            <w:r>
              <w:rPr>
                <w:rFonts w:ascii="Calibri" w:hAnsi="Calibri" w:cs="Times New Roman"/>
                <w:sz w:val="20"/>
                <w:szCs w:val="18"/>
              </w:rPr>
              <w:t>Right Hip</w:t>
            </w:r>
          </w:p>
        </w:tc>
        <w:tc>
          <w:tcPr>
            <w:tcW w:w="9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766" w:rsidRPr="00BB7066" w:rsidRDefault="001C1766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766" w:rsidRPr="00BB7066" w:rsidRDefault="001C1766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0%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hinThickThinSmallGap" w:sz="24" w:space="0" w:color="000000" w:themeColor="text1"/>
            </w:tcBorders>
            <w:hideMark/>
          </w:tcPr>
          <w:p w:rsidR="001C1766" w:rsidRPr="00BB7066" w:rsidRDefault="001C1766" w:rsidP="001C443B">
            <w:pPr>
              <w:pStyle w:val="ListParagraph"/>
              <w:spacing w:after="0" w:line="240" w:lineRule="exact"/>
              <w:ind w:left="0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left w:val="thinThickThinSmallGap" w:sz="24" w:space="0" w:color="000000" w:themeColor="text1"/>
              <w:right w:val="single" w:sz="4" w:space="0" w:color="000000" w:themeColor="text1"/>
            </w:tcBorders>
            <w:hideMark/>
          </w:tcPr>
          <w:p w:rsidR="001C1766" w:rsidRPr="00BB7066" w:rsidRDefault="001C1766" w:rsidP="001C443B">
            <w:pPr>
              <w:autoSpaceDE w:val="0"/>
              <w:autoSpaceDN w:val="0"/>
              <w:adjustRightInd w:val="0"/>
              <w:spacing w:line="240" w:lineRule="exact"/>
              <w:rPr>
                <w:rFonts w:cs="Times New Roman"/>
                <w:sz w:val="20"/>
                <w:szCs w:val="18"/>
              </w:rPr>
            </w:pPr>
            <w:r w:rsidRPr="00BB7066">
              <w:rPr>
                <w:rFonts w:ascii="Calibri" w:eastAsiaTheme="minorEastAsia" w:hAnsi="Calibri"/>
                <w:color w:val="auto"/>
                <w:sz w:val="20"/>
                <w:szCs w:val="18"/>
              </w:rPr>
              <w:t xml:space="preserve">Residuals, Right Hip Degenerative Changes with </w:t>
            </w:r>
            <w:proofErr w:type="spellStart"/>
            <w:r w:rsidRPr="00BB7066">
              <w:rPr>
                <w:rFonts w:ascii="Calibri" w:eastAsiaTheme="minorEastAsia" w:hAnsi="Calibri"/>
                <w:color w:val="auto"/>
                <w:sz w:val="20"/>
                <w:szCs w:val="18"/>
              </w:rPr>
              <w:t>Subchondral</w:t>
            </w:r>
            <w:proofErr w:type="spellEnd"/>
            <w:r w:rsidRPr="00BB7066">
              <w:rPr>
                <w:rFonts w:ascii="Calibri" w:eastAsiaTheme="minorEastAsia" w:hAnsi="Calibri"/>
                <w:color w:val="auto"/>
                <w:sz w:val="20"/>
                <w:szCs w:val="18"/>
              </w:rPr>
              <w:t xml:space="preserve"> Sclerosis in the </w:t>
            </w:r>
            <w:proofErr w:type="spellStart"/>
            <w:r w:rsidRPr="00BB7066">
              <w:rPr>
                <w:rFonts w:ascii="Calibri" w:eastAsiaTheme="minorEastAsia" w:hAnsi="Calibri"/>
                <w:color w:val="auto"/>
                <w:sz w:val="20"/>
                <w:szCs w:val="18"/>
              </w:rPr>
              <w:t>Acetabula</w:t>
            </w:r>
            <w:proofErr w:type="spellEnd"/>
            <w:r w:rsidRPr="00BB7066">
              <w:rPr>
                <w:rFonts w:ascii="Calibri" w:eastAsiaTheme="minorEastAsia" w:hAnsi="Calibri"/>
                <w:color w:val="auto"/>
                <w:sz w:val="20"/>
                <w:szCs w:val="18"/>
              </w:rPr>
              <w:t xml:space="preserve">, Joint Space </w:t>
            </w:r>
            <w:r w:rsidRPr="00BB7066">
              <w:rPr>
                <w:rFonts w:ascii="Calibri" w:eastAsiaTheme="minorEastAsia" w:hAnsi="Calibri" w:cs="Times New Roman"/>
                <w:color w:val="auto"/>
                <w:sz w:val="20"/>
                <w:szCs w:val="18"/>
              </w:rPr>
              <w:t xml:space="preserve">Narrowing and </w:t>
            </w:r>
            <w:proofErr w:type="spellStart"/>
            <w:r w:rsidRPr="00BB7066">
              <w:rPr>
                <w:rFonts w:ascii="Calibri" w:eastAsiaTheme="minorEastAsia" w:hAnsi="Calibri" w:cs="Times New Roman"/>
                <w:color w:val="auto"/>
                <w:sz w:val="20"/>
                <w:szCs w:val="18"/>
              </w:rPr>
              <w:t>Osteophyte</w:t>
            </w:r>
            <w:proofErr w:type="spellEnd"/>
            <w:r w:rsidRPr="00BB7066">
              <w:rPr>
                <w:rFonts w:ascii="Calibri" w:eastAsiaTheme="minorEastAsia" w:hAnsi="Calibri" w:cs="Times New Roman"/>
                <w:color w:val="auto"/>
                <w:sz w:val="20"/>
                <w:szCs w:val="18"/>
              </w:rPr>
              <w:t xml:space="preserve"> Changes</w:t>
            </w:r>
          </w:p>
        </w:tc>
        <w:tc>
          <w:tcPr>
            <w:tcW w:w="72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1766" w:rsidRPr="00BB7066" w:rsidRDefault="001C1766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ascii="Calibri" w:hAnsi="Calibri" w:cs="Times New Roman"/>
                <w:sz w:val="20"/>
                <w:szCs w:val="18"/>
              </w:rPr>
            </w:pPr>
            <w:r w:rsidRPr="00BB7066">
              <w:rPr>
                <w:rFonts w:ascii="Calibri" w:hAnsi="Calibri" w:cs="Times New Roman"/>
                <w:sz w:val="20"/>
                <w:szCs w:val="18"/>
              </w:rPr>
              <w:t>5003-5255</w:t>
            </w:r>
          </w:p>
        </w:tc>
        <w:tc>
          <w:tcPr>
            <w:tcW w:w="8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1766" w:rsidRPr="00BB7066" w:rsidRDefault="001C1766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ascii="Calibri" w:hAnsi="Calibri" w:cs="Times New Roman"/>
                <w:sz w:val="20"/>
                <w:szCs w:val="18"/>
              </w:rPr>
            </w:pPr>
            <w:r w:rsidRPr="00BB7066">
              <w:rPr>
                <w:rFonts w:ascii="Calibri" w:hAnsi="Calibri" w:cs="Times New Roman"/>
                <w:sz w:val="20"/>
                <w:szCs w:val="18"/>
              </w:rPr>
              <w:t>10%</w:t>
            </w:r>
          </w:p>
        </w:tc>
        <w:tc>
          <w:tcPr>
            <w:tcW w:w="108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1766" w:rsidRPr="00BB7066" w:rsidRDefault="001C1766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ascii="Calibri" w:hAnsi="Calibri" w:cs="Times New Roman"/>
                <w:sz w:val="20"/>
                <w:szCs w:val="18"/>
              </w:rPr>
            </w:pPr>
            <w:r w:rsidRPr="00BB7066">
              <w:rPr>
                <w:rFonts w:ascii="Calibri" w:hAnsi="Calibri" w:cs="Times New Roman"/>
                <w:sz w:val="20"/>
                <w:szCs w:val="18"/>
              </w:rPr>
              <w:t>20020627</w:t>
            </w:r>
          </w:p>
        </w:tc>
        <w:tc>
          <w:tcPr>
            <w:tcW w:w="108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1766" w:rsidRPr="00BB7066" w:rsidRDefault="001C1766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ascii="Calibri" w:hAnsi="Calibri" w:cs="Times New Roman"/>
                <w:sz w:val="20"/>
                <w:szCs w:val="18"/>
              </w:rPr>
            </w:pPr>
            <w:r w:rsidRPr="00BB7066">
              <w:rPr>
                <w:rFonts w:ascii="Calibri" w:hAnsi="Calibri" w:cs="Times New Roman"/>
                <w:sz w:val="20"/>
                <w:szCs w:val="18"/>
              </w:rPr>
              <w:t>20020801</w:t>
            </w:r>
          </w:p>
        </w:tc>
      </w:tr>
      <w:tr w:rsidR="001C1766" w:rsidRPr="00473D5C" w:rsidTr="00B36FEB">
        <w:trPr>
          <w:trHeight w:val="197"/>
          <w:jc w:val="center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766" w:rsidRPr="00BB7066" w:rsidRDefault="001C1766" w:rsidP="001C443B">
            <w:pPr>
              <w:pStyle w:val="ListParagraph"/>
              <w:spacing w:after="0" w:line="240" w:lineRule="exact"/>
              <w:ind w:left="0"/>
              <w:rPr>
                <w:rFonts w:ascii="Calibri" w:hAnsi="Calibri" w:cs="Times New Roman"/>
                <w:sz w:val="20"/>
                <w:szCs w:val="18"/>
              </w:rPr>
            </w:pPr>
            <w:proofErr w:type="spellStart"/>
            <w:r w:rsidRPr="00BB7066">
              <w:rPr>
                <w:rFonts w:ascii="Calibri" w:hAnsi="Calibri" w:cs="Times New Roman"/>
                <w:sz w:val="20"/>
                <w:szCs w:val="18"/>
              </w:rPr>
              <w:t>Ossicle</w:t>
            </w:r>
            <w:proofErr w:type="spellEnd"/>
            <w:r w:rsidRPr="00BB7066">
              <w:rPr>
                <w:rFonts w:ascii="Calibri" w:hAnsi="Calibri" w:cs="Times New Roman"/>
                <w:sz w:val="20"/>
                <w:szCs w:val="18"/>
              </w:rPr>
              <w:t xml:space="preserve"> Over the Left </w:t>
            </w:r>
            <w:proofErr w:type="spellStart"/>
            <w:r w:rsidRPr="00BB7066">
              <w:rPr>
                <w:rFonts w:ascii="Calibri" w:hAnsi="Calibri" w:cs="Times New Roman"/>
                <w:sz w:val="20"/>
                <w:szCs w:val="18"/>
              </w:rPr>
              <w:t>Acetabular</w:t>
            </w:r>
            <w:proofErr w:type="spellEnd"/>
            <w:r w:rsidRPr="00BB7066">
              <w:rPr>
                <w:rFonts w:ascii="Calibri" w:hAnsi="Calibri" w:cs="Times New Roman"/>
                <w:sz w:val="20"/>
                <w:szCs w:val="18"/>
              </w:rPr>
              <w:t xml:space="preserve"> Lip</w:t>
            </w:r>
          </w:p>
        </w:tc>
        <w:tc>
          <w:tcPr>
            <w:tcW w:w="27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SmallGap" w:sz="24" w:space="0" w:color="000000" w:themeColor="text1"/>
            </w:tcBorders>
            <w:hideMark/>
          </w:tcPr>
          <w:p w:rsidR="001C1766" w:rsidRPr="00BB7066" w:rsidRDefault="001C1766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BB7066">
              <w:rPr>
                <w:rFonts w:cs="Times New Roman"/>
                <w:b/>
                <w:sz w:val="20"/>
                <w:szCs w:val="18"/>
              </w:rPr>
              <w:t xml:space="preserve">Category II:  </w:t>
            </w:r>
            <w:r w:rsidRPr="00BB7066">
              <w:rPr>
                <w:rFonts w:cs="Times New Roman"/>
                <w:sz w:val="20"/>
                <w:szCs w:val="18"/>
              </w:rPr>
              <w:t xml:space="preserve">Conditions that contribute to the </w:t>
            </w:r>
            <w:r w:rsidRPr="00BB7066">
              <w:rPr>
                <w:rFonts w:cs="Arial"/>
                <w:sz w:val="20"/>
                <w:szCs w:val="18"/>
              </w:rPr>
              <w:t xml:space="preserve">unfitting </w:t>
            </w:r>
            <w:r w:rsidRPr="00BB7066">
              <w:rPr>
                <w:rFonts w:cs="Times New Roman"/>
                <w:sz w:val="20"/>
                <w:szCs w:val="18"/>
              </w:rPr>
              <w:t>condition(s):</w:t>
            </w:r>
          </w:p>
        </w:tc>
        <w:tc>
          <w:tcPr>
            <w:tcW w:w="2700" w:type="dxa"/>
            <w:vMerge/>
            <w:tcBorders>
              <w:left w:val="thinThickThin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766" w:rsidRPr="00BB7066" w:rsidRDefault="001C1766" w:rsidP="001C443B">
            <w:pPr>
              <w:autoSpaceDE w:val="0"/>
              <w:autoSpaceDN w:val="0"/>
              <w:adjustRightInd w:val="0"/>
              <w:spacing w:line="240" w:lineRule="exact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766" w:rsidRPr="00BB7066" w:rsidRDefault="001C1766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ascii="Calibri" w:hAnsi="Calibri" w:cs="Times New Roman"/>
                <w:sz w:val="20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766" w:rsidRPr="00BB7066" w:rsidRDefault="001C1766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ascii="Calibri" w:hAnsi="Calibri" w:cs="Times New Roman"/>
                <w:sz w:val="20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766" w:rsidRPr="00BB7066" w:rsidRDefault="001C1766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ascii="Calibri" w:hAnsi="Calibri" w:cs="Times New Roman"/>
                <w:sz w:val="20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766" w:rsidRPr="00BB7066" w:rsidRDefault="001C1766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ascii="Calibri" w:hAnsi="Calibri" w:cs="Times New Roman"/>
                <w:sz w:val="20"/>
                <w:szCs w:val="18"/>
              </w:rPr>
            </w:pPr>
          </w:p>
        </w:tc>
      </w:tr>
      <w:tr w:rsidR="001C1766" w:rsidRPr="00473D5C" w:rsidTr="00B36FEB">
        <w:trPr>
          <w:trHeight w:val="197"/>
          <w:jc w:val="center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766" w:rsidRPr="00BB7066" w:rsidRDefault="001C1766" w:rsidP="001C443B">
            <w:pPr>
              <w:pStyle w:val="ListParagraph"/>
              <w:spacing w:after="0" w:line="240" w:lineRule="exact"/>
              <w:ind w:left="0"/>
              <w:rPr>
                <w:rFonts w:cs="Times New Roman"/>
                <w:sz w:val="20"/>
                <w:szCs w:val="18"/>
              </w:rPr>
            </w:pPr>
            <w:r w:rsidRPr="00BB7066">
              <w:rPr>
                <w:rFonts w:cs="Times New Roman"/>
                <w:sz w:val="20"/>
                <w:szCs w:val="18"/>
              </w:rPr>
              <w:t>Asthma</w:t>
            </w: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766" w:rsidRPr="00BB7066" w:rsidRDefault="001C1766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SmallGap" w:sz="24" w:space="0" w:color="000000" w:themeColor="text1"/>
            </w:tcBorders>
          </w:tcPr>
          <w:p w:rsidR="001C1766" w:rsidRPr="00BB7066" w:rsidRDefault="001C1766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sz w:val="20"/>
                <w:szCs w:val="18"/>
              </w:rPr>
            </w:pPr>
            <w:r w:rsidRPr="00BB7066">
              <w:rPr>
                <w:rFonts w:cs="Times New Roman"/>
                <w:sz w:val="20"/>
                <w:szCs w:val="18"/>
              </w:rPr>
              <w:t>NARSUM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thinThickThin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766" w:rsidRPr="00BB7066" w:rsidRDefault="001C1766" w:rsidP="001C443B">
            <w:pPr>
              <w:pStyle w:val="ListParagraph"/>
              <w:spacing w:after="0" w:line="240" w:lineRule="exact"/>
              <w:ind w:left="0"/>
              <w:rPr>
                <w:rFonts w:ascii="Calibri" w:hAnsi="Calibri" w:cs="Times New Roman"/>
                <w:sz w:val="20"/>
                <w:szCs w:val="18"/>
              </w:rPr>
            </w:pPr>
            <w:r w:rsidRPr="00BB7066">
              <w:rPr>
                <w:rFonts w:ascii="Calibri" w:hAnsi="Calibri" w:cs="Times New Roman"/>
                <w:sz w:val="20"/>
                <w:szCs w:val="18"/>
              </w:rPr>
              <w:t>Obstructive Pulmonary Disease (Claimed as Asthma)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766" w:rsidRPr="00BB7066" w:rsidRDefault="001C1766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ascii="Calibri" w:hAnsi="Calibri" w:cs="Times New Roman"/>
                <w:sz w:val="20"/>
                <w:szCs w:val="18"/>
              </w:rPr>
            </w:pPr>
            <w:r w:rsidRPr="00BB7066">
              <w:rPr>
                <w:rFonts w:ascii="Calibri" w:hAnsi="Calibri" w:cs="Times New Roman"/>
                <w:sz w:val="20"/>
                <w:szCs w:val="18"/>
              </w:rPr>
              <w:t>6604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766" w:rsidRDefault="001C1766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ascii="Calibri" w:hAnsi="Calibri" w:cs="Times New Roman"/>
                <w:sz w:val="20"/>
                <w:szCs w:val="18"/>
              </w:rPr>
            </w:pPr>
            <w:r w:rsidRPr="00BB7066">
              <w:rPr>
                <w:rFonts w:ascii="Calibri" w:hAnsi="Calibri" w:cs="Times New Roman"/>
                <w:sz w:val="20"/>
                <w:szCs w:val="18"/>
              </w:rPr>
              <w:t>10%</w:t>
            </w:r>
          </w:p>
          <w:p w:rsidR="001C1766" w:rsidRPr="00BB7066" w:rsidRDefault="001C1766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ascii="Calibri" w:hAnsi="Calibri" w:cs="Times New Roman"/>
                <w:sz w:val="20"/>
                <w:szCs w:val="18"/>
              </w:rPr>
            </w:pPr>
            <w:r>
              <w:rPr>
                <w:rFonts w:ascii="Calibri" w:hAnsi="Calibri" w:cs="Times New Roman"/>
                <w:sz w:val="20"/>
                <w:szCs w:val="18"/>
              </w:rPr>
              <w:t>30%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766" w:rsidRDefault="001C1766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ascii="Calibri" w:hAnsi="Calibri" w:cs="Times New Roman"/>
                <w:sz w:val="20"/>
                <w:szCs w:val="18"/>
              </w:rPr>
            </w:pPr>
            <w:r w:rsidRPr="00BB7066">
              <w:rPr>
                <w:rFonts w:ascii="Calibri" w:hAnsi="Calibri" w:cs="Times New Roman"/>
                <w:sz w:val="20"/>
                <w:szCs w:val="18"/>
              </w:rPr>
              <w:t>20020627</w:t>
            </w:r>
          </w:p>
          <w:p w:rsidR="001C1766" w:rsidRPr="00BB7066" w:rsidRDefault="001C1766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ascii="Calibri" w:hAnsi="Calibri" w:cs="Times New Roman"/>
                <w:sz w:val="20"/>
                <w:szCs w:val="18"/>
              </w:rPr>
            </w:pPr>
            <w:r>
              <w:rPr>
                <w:rFonts w:ascii="Calibri" w:hAnsi="Calibri" w:cs="Times New Roman"/>
                <w:sz w:val="20"/>
                <w:szCs w:val="18"/>
              </w:rPr>
              <w:t>20080311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766" w:rsidRDefault="001C1766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ascii="Calibri" w:hAnsi="Calibri" w:cs="Times New Roman"/>
                <w:sz w:val="20"/>
                <w:szCs w:val="18"/>
              </w:rPr>
            </w:pPr>
            <w:r w:rsidRPr="00BB7066">
              <w:rPr>
                <w:rFonts w:ascii="Calibri" w:hAnsi="Calibri" w:cs="Times New Roman"/>
                <w:sz w:val="20"/>
                <w:szCs w:val="18"/>
              </w:rPr>
              <w:t>20020801</w:t>
            </w:r>
          </w:p>
          <w:p w:rsidR="001C1766" w:rsidRPr="00BB7066" w:rsidRDefault="001C1766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ascii="Calibri" w:hAnsi="Calibri" w:cs="Times New Roman"/>
                <w:sz w:val="20"/>
                <w:szCs w:val="18"/>
              </w:rPr>
            </w:pPr>
            <w:r>
              <w:rPr>
                <w:rFonts w:ascii="Calibri" w:hAnsi="Calibri" w:cs="Times New Roman"/>
                <w:sz w:val="20"/>
                <w:szCs w:val="18"/>
              </w:rPr>
              <w:t>20040513</w:t>
            </w:r>
          </w:p>
        </w:tc>
      </w:tr>
      <w:tr w:rsidR="001C1766" w:rsidRPr="00473D5C" w:rsidTr="00B36FEB">
        <w:trPr>
          <w:trHeight w:val="197"/>
          <w:jc w:val="center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766" w:rsidRPr="00BB7066" w:rsidRDefault="001C1766" w:rsidP="001C443B">
            <w:pPr>
              <w:pStyle w:val="ListParagraph"/>
              <w:spacing w:after="0" w:line="240" w:lineRule="exact"/>
              <w:ind w:left="0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766" w:rsidRPr="00BB7066" w:rsidRDefault="001C1766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SmallGap" w:sz="24" w:space="0" w:color="000000" w:themeColor="text1"/>
            </w:tcBorders>
          </w:tcPr>
          <w:p w:rsidR="001C1766" w:rsidRPr="00BB7066" w:rsidRDefault="001C1766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sz w:val="20"/>
                <w:szCs w:val="18"/>
              </w:rPr>
            </w:pPr>
            <w:r w:rsidRPr="00BB7066">
              <w:rPr>
                <w:rFonts w:cs="Times New Roman"/>
                <w:sz w:val="20"/>
                <w:szCs w:val="18"/>
              </w:rPr>
              <w:t>Not in DES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thinThickThin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766" w:rsidRPr="00BB7066" w:rsidRDefault="001C1766" w:rsidP="001C443B">
            <w:pPr>
              <w:pStyle w:val="ListParagraph"/>
              <w:spacing w:after="0" w:line="240" w:lineRule="exact"/>
              <w:ind w:left="0"/>
              <w:rPr>
                <w:rFonts w:ascii="Calibri" w:hAnsi="Calibri" w:cs="Times New Roman"/>
                <w:sz w:val="20"/>
                <w:szCs w:val="18"/>
              </w:rPr>
            </w:pPr>
            <w:r w:rsidRPr="00BB7066">
              <w:rPr>
                <w:rFonts w:ascii="Calibri" w:hAnsi="Calibri" w:cs="Times New Roman"/>
                <w:sz w:val="20"/>
                <w:szCs w:val="18"/>
              </w:rPr>
              <w:t>Tinnitus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766" w:rsidRPr="00BB7066" w:rsidRDefault="001C1766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ascii="Calibri" w:hAnsi="Calibri" w:cs="Times New Roman"/>
                <w:sz w:val="20"/>
                <w:szCs w:val="18"/>
              </w:rPr>
            </w:pPr>
            <w:r w:rsidRPr="00BB7066">
              <w:rPr>
                <w:rFonts w:ascii="Calibri" w:hAnsi="Calibri" w:cs="Times New Roman"/>
                <w:sz w:val="20"/>
                <w:szCs w:val="18"/>
              </w:rPr>
              <w:t>6260-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766" w:rsidRPr="00BB7066" w:rsidRDefault="001C1766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ascii="Calibri" w:hAnsi="Calibri" w:cs="Times New Roman"/>
                <w:sz w:val="20"/>
                <w:szCs w:val="18"/>
              </w:rPr>
            </w:pPr>
            <w:r w:rsidRPr="00BB7066">
              <w:rPr>
                <w:rFonts w:ascii="Calibri" w:hAnsi="Calibri" w:cs="Times New Roman"/>
                <w:sz w:val="20"/>
                <w:szCs w:val="18"/>
              </w:rPr>
              <w:t>10%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766" w:rsidRPr="00BB7066" w:rsidRDefault="001C1766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ascii="Calibri" w:hAnsi="Calibri" w:cs="Times New Roman"/>
                <w:sz w:val="20"/>
                <w:szCs w:val="18"/>
              </w:rPr>
            </w:pPr>
            <w:r w:rsidRPr="00BB7066">
              <w:rPr>
                <w:rFonts w:ascii="Calibri" w:hAnsi="Calibri" w:cs="Times New Roman"/>
                <w:sz w:val="20"/>
                <w:szCs w:val="18"/>
              </w:rPr>
              <w:t>20020708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766" w:rsidRPr="00BB7066" w:rsidRDefault="001C1766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ascii="Calibri" w:hAnsi="Calibri" w:cs="Times New Roman"/>
                <w:sz w:val="20"/>
                <w:szCs w:val="18"/>
              </w:rPr>
            </w:pPr>
            <w:r w:rsidRPr="00BB7066">
              <w:rPr>
                <w:rFonts w:ascii="Calibri" w:hAnsi="Calibri" w:cs="Times New Roman"/>
                <w:sz w:val="20"/>
                <w:szCs w:val="18"/>
              </w:rPr>
              <w:t>20020801</w:t>
            </w:r>
          </w:p>
        </w:tc>
      </w:tr>
      <w:tr w:rsidR="001C1766" w:rsidRPr="00473D5C" w:rsidTr="00B36FEB">
        <w:trPr>
          <w:trHeight w:val="197"/>
          <w:jc w:val="center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766" w:rsidRPr="00BB7066" w:rsidRDefault="001C1766" w:rsidP="001C443B">
            <w:pPr>
              <w:pStyle w:val="ListParagraph"/>
              <w:spacing w:after="0" w:line="240" w:lineRule="exact"/>
              <w:ind w:left="0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766" w:rsidRPr="00BB7066" w:rsidRDefault="001C1766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SmallGap" w:sz="24" w:space="0" w:color="000000" w:themeColor="text1"/>
            </w:tcBorders>
          </w:tcPr>
          <w:p w:rsidR="001C1766" w:rsidRPr="00BB7066" w:rsidRDefault="001C1766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sz w:val="20"/>
                <w:szCs w:val="18"/>
              </w:rPr>
            </w:pPr>
            <w:r w:rsidRPr="00BB7066">
              <w:rPr>
                <w:rFonts w:cs="Times New Roman"/>
                <w:sz w:val="20"/>
                <w:szCs w:val="18"/>
              </w:rPr>
              <w:t>Not in DES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thinThickThin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766" w:rsidRPr="00BB7066" w:rsidRDefault="001C1766" w:rsidP="001C443B">
            <w:pPr>
              <w:pStyle w:val="ListParagraph"/>
              <w:spacing w:after="0" w:line="240" w:lineRule="exact"/>
              <w:ind w:left="0"/>
              <w:rPr>
                <w:rFonts w:ascii="Calibri" w:hAnsi="Calibri" w:cs="Times New Roman"/>
                <w:sz w:val="20"/>
                <w:szCs w:val="18"/>
              </w:rPr>
            </w:pPr>
            <w:proofErr w:type="spellStart"/>
            <w:r w:rsidRPr="00BB7066">
              <w:rPr>
                <w:rFonts w:ascii="Calibri" w:hAnsi="Calibri" w:cs="Times New Roman"/>
                <w:sz w:val="20"/>
                <w:szCs w:val="18"/>
              </w:rPr>
              <w:t>Folliculitis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766" w:rsidRPr="00BB7066" w:rsidRDefault="001C1766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ascii="Calibri" w:hAnsi="Calibri" w:cs="Times New Roman"/>
                <w:sz w:val="20"/>
                <w:szCs w:val="18"/>
              </w:rPr>
            </w:pPr>
            <w:r w:rsidRPr="00BB7066">
              <w:rPr>
                <w:rFonts w:ascii="Calibri" w:hAnsi="Calibri" w:cs="Times New Roman"/>
                <w:sz w:val="20"/>
                <w:szCs w:val="18"/>
              </w:rPr>
              <w:t>7814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766" w:rsidRDefault="001C1766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ascii="Calibri" w:hAnsi="Calibri" w:cs="Times New Roman"/>
                <w:sz w:val="20"/>
                <w:szCs w:val="18"/>
              </w:rPr>
            </w:pPr>
            <w:r w:rsidRPr="00BB7066">
              <w:rPr>
                <w:rFonts w:ascii="Calibri" w:hAnsi="Calibri" w:cs="Times New Roman"/>
                <w:sz w:val="20"/>
                <w:szCs w:val="18"/>
              </w:rPr>
              <w:t>10%</w:t>
            </w:r>
          </w:p>
          <w:p w:rsidR="001C1766" w:rsidRPr="00BB7066" w:rsidRDefault="001C1766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ascii="Calibri" w:hAnsi="Calibri" w:cs="Times New Roman"/>
                <w:sz w:val="20"/>
                <w:szCs w:val="18"/>
              </w:rPr>
            </w:pPr>
            <w:r>
              <w:rPr>
                <w:rFonts w:ascii="Calibri" w:hAnsi="Calibri" w:cs="Times New Roman"/>
                <w:sz w:val="20"/>
                <w:szCs w:val="18"/>
              </w:rPr>
              <w:t>30%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766" w:rsidRDefault="001C1766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ascii="Calibri" w:hAnsi="Calibri" w:cs="Times New Roman"/>
                <w:sz w:val="20"/>
                <w:szCs w:val="18"/>
              </w:rPr>
            </w:pPr>
            <w:r w:rsidRPr="00BB7066">
              <w:rPr>
                <w:rFonts w:ascii="Calibri" w:hAnsi="Calibri" w:cs="Times New Roman"/>
                <w:sz w:val="20"/>
                <w:szCs w:val="18"/>
              </w:rPr>
              <w:t>20020627</w:t>
            </w:r>
          </w:p>
          <w:p w:rsidR="001C1766" w:rsidRPr="00BB7066" w:rsidRDefault="001C1766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ascii="Calibri" w:hAnsi="Calibri" w:cs="Times New Roman"/>
                <w:sz w:val="20"/>
                <w:szCs w:val="18"/>
              </w:rPr>
            </w:pPr>
            <w:r>
              <w:rPr>
                <w:rFonts w:ascii="Calibri" w:hAnsi="Calibri" w:cs="Times New Roman"/>
                <w:sz w:val="20"/>
                <w:szCs w:val="18"/>
              </w:rPr>
              <w:t>20080116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766" w:rsidRDefault="001C1766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ascii="Calibri" w:hAnsi="Calibri" w:cs="Times New Roman"/>
                <w:sz w:val="20"/>
                <w:szCs w:val="18"/>
              </w:rPr>
            </w:pPr>
            <w:r w:rsidRPr="00BB7066">
              <w:rPr>
                <w:rFonts w:ascii="Calibri" w:hAnsi="Calibri" w:cs="Times New Roman"/>
                <w:sz w:val="20"/>
                <w:szCs w:val="18"/>
              </w:rPr>
              <w:t>20020801</w:t>
            </w:r>
          </w:p>
          <w:p w:rsidR="001C1766" w:rsidRPr="00BB7066" w:rsidRDefault="001C1766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ascii="Calibri" w:hAnsi="Calibri" w:cs="Times New Roman"/>
                <w:sz w:val="20"/>
                <w:szCs w:val="18"/>
              </w:rPr>
            </w:pPr>
            <w:r>
              <w:rPr>
                <w:rFonts w:ascii="Calibri" w:hAnsi="Calibri" w:cs="Times New Roman"/>
                <w:sz w:val="20"/>
                <w:szCs w:val="18"/>
              </w:rPr>
              <w:t>20080116</w:t>
            </w:r>
          </w:p>
        </w:tc>
      </w:tr>
      <w:tr w:rsidR="001C1766" w:rsidRPr="00473D5C" w:rsidTr="00B36FEB">
        <w:trPr>
          <w:trHeight w:val="197"/>
          <w:jc w:val="center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766" w:rsidRPr="00BB7066" w:rsidRDefault="001C1766" w:rsidP="001C443B">
            <w:pPr>
              <w:pStyle w:val="ListParagraph"/>
              <w:spacing w:after="0" w:line="240" w:lineRule="exact"/>
              <w:ind w:left="0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766" w:rsidRPr="00BB7066" w:rsidRDefault="001C1766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SmallGap" w:sz="24" w:space="0" w:color="000000" w:themeColor="text1"/>
            </w:tcBorders>
          </w:tcPr>
          <w:p w:rsidR="001C1766" w:rsidRPr="00BB7066" w:rsidRDefault="001C1766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sz w:val="20"/>
                <w:szCs w:val="18"/>
              </w:rPr>
            </w:pPr>
            <w:r w:rsidRPr="00BB7066">
              <w:rPr>
                <w:rFonts w:cs="Times New Roman"/>
                <w:sz w:val="20"/>
                <w:szCs w:val="18"/>
              </w:rPr>
              <w:t>Not in DES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thinThickThin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766" w:rsidRPr="00BB7066" w:rsidRDefault="001C1766" w:rsidP="001C443B">
            <w:pPr>
              <w:pStyle w:val="ListParagraph"/>
              <w:spacing w:after="0" w:line="240" w:lineRule="exact"/>
              <w:ind w:left="0"/>
              <w:rPr>
                <w:rFonts w:ascii="Calibri" w:hAnsi="Calibri" w:cs="Times New Roman"/>
                <w:sz w:val="20"/>
                <w:szCs w:val="18"/>
              </w:rPr>
            </w:pPr>
            <w:r w:rsidRPr="00BB7066">
              <w:rPr>
                <w:rFonts w:ascii="Calibri" w:hAnsi="Calibri" w:cs="Times New Roman"/>
                <w:sz w:val="20"/>
                <w:szCs w:val="18"/>
              </w:rPr>
              <w:t xml:space="preserve">Lumbar Spine </w:t>
            </w:r>
            <w:proofErr w:type="spellStart"/>
            <w:r w:rsidRPr="00BB7066">
              <w:rPr>
                <w:rFonts w:ascii="Calibri" w:hAnsi="Calibri" w:cs="Times New Roman"/>
                <w:sz w:val="20"/>
                <w:szCs w:val="18"/>
              </w:rPr>
              <w:t>Retrolisthesis</w:t>
            </w:r>
            <w:proofErr w:type="spellEnd"/>
            <w:r w:rsidRPr="00BB7066">
              <w:rPr>
                <w:rFonts w:ascii="Calibri" w:hAnsi="Calibri" w:cs="Times New Roman"/>
                <w:sz w:val="20"/>
                <w:szCs w:val="18"/>
              </w:rPr>
              <w:t xml:space="preserve"> of L5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766" w:rsidRPr="00BB7066" w:rsidRDefault="001C1766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ascii="Calibri" w:hAnsi="Calibri" w:cs="Times New Roman"/>
                <w:sz w:val="20"/>
                <w:szCs w:val="18"/>
              </w:rPr>
            </w:pPr>
            <w:r w:rsidRPr="00BB7066">
              <w:rPr>
                <w:rFonts w:ascii="Calibri" w:hAnsi="Calibri" w:cs="Times New Roman"/>
                <w:sz w:val="20"/>
                <w:szCs w:val="18"/>
              </w:rPr>
              <w:t>5299-5295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766" w:rsidRPr="00BB7066" w:rsidRDefault="001C1766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ascii="Calibri" w:hAnsi="Calibri" w:cs="Times New Roman"/>
                <w:sz w:val="20"/>
                <w:szCs w:val="18"/>
              </w:rPr>
            </w:pPr>
            <w:r w:rsidRPr="00BB7066">
              <w:rPr>
                <w:rFonts w:ascii="Calibri" w:hAnsi="Calibri" w:cs="Times New Roman"/>
                <w:sz w:val="20"/>
                <w:szCs w:val="18"/>
              </w:rPr>
              <w:t>10%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766" w:rsidRPr="00BB7066" w:rsidRDefault="001C1766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ascii="Calibri" w:hAnsi="Calibri" w:cs="Times New Roman"/>
                <w:sz w:val="20"/>
                <w:szCs w:val="18"/>
              </w:rPr>
            </w:pPr>
            <w:r w:rsidRPr="00BB7066">
              <w:rPr>
                <w:rFonts w:ascii="Calibri" w:hAnsi="Calibri" w:cs="Times New Roman"/>
                <w:sz w:val="20"/>
                <w:szCs w:val="18"/>
              </w:rPr>
              <w:t>20020627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766" w:rsidRPr="00BB7066" w:rsidRDefault="001C1766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ascii="Calibri" w:hAnsi="Calibri" w:cs="Times New Roman"/>
                <w:sz w:val="20"/>
                <w:szCs w:val="18"/>
              </w:rPr>
            </w:pPr>
            <w:r w:rsidRPr="00BB7066">
              <w:rPr>
                <w:rFonts w:ascii="Calibri" w:hAnsi="Calibri" w:cs="Times New Roman"/>
                <w:sz w:val="20"/>
                <w:szCs w:val="18"/>
              </w:rPr>
              <w:t>20020801</w:t>
            </w:r>
          </w:p>
        </w:tc>
      </w:tr>
      <w:tr w:rsidR="001C1766" w:rsidRPr="00473D5C" w:rsidTr="00B36FEB">
        <w:trPr>
          <w:trHeight w:val="197"/>
          <w:jc w:val="center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766" w:rsidRPr="00BB7066" w:rsidRDefault="001C1766" w:rsidP="001C443B">
            <w:pPr>
              <w:pStyle w:val="ListParagraph"/>
              <w:spacing w:after="0" w:line="240" w:lineRule="exact"/>
              <w:ind w:left="0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766" w:rsidRPr="00BB7066" w:rsidRDefault="001C1766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SmallGap" w:sz="24" w:space="0" w:color="000000" w:themeColor="text1"/>
            </w:tcBorders>
          </w:tcPr>
          <w:p w:rsidR="001C1766" w:rsidRPr="00BB7066" w:rsidRDefault="001C1766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sz w:val="20"/>
                <w:szCs w:val="18"/>
              </w:rPr>
            </w:pPr>
            <w:r w:rsidRPr="00BB7066">
              <w:rPr>
                <w:rFonts w:cs="Times New Roman"/>
                <w:sz w:val="20"/>
                <w:szCs w:val="18"/>
              </w:rPr>
              <w:t>MEB H&amp;P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thinThickThin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766" w:rsidRPr="00BB7066" w:rsidRDefault="001C1766" w:rsidP="001C443B">
            <w:pPr>
              <w:pStyle w:val="ListParagraph"/>
              <w:spacing w:after="0" w:line="240" w:lineRule="exact"/>
              <w:ind w:left="0"/>
              <w:rPr>
                <w:rFonts w:ascii="Calibri" w:hAnsi="Calibri" w:cs="Times New Roman"/>
                <w:sz w:val="20"/>
                <w:szCs w:val="18"/>
              </w:rPr>
            </w:pPr>
            <w:r w:rsidRPr="00BB7066">
              <w:rPr>
                <w:rFonts w:ascii="Calibri" w:hAnsi="Calibri" w:cs="Times New Roman"/>
                <w:sz w:val="20"/>
                <w:szCs w:val="18"/>
              </w:rPr>
              <w:t>Bilateral Hearing Loss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766" w:rsidRPr="00BB7066" w:rsidRDefault="001C1766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ascii="Calibri" w:hAnsi="Calibri" w:cs="Times New Roman"/>
                <w:sz w:val="20"/>
                <w:szCs w:val="18"/>
              </w:rPr>
            </w:pPr>
            <w:r w:rsidRPr="00BB7066">
              <w:rPr>
                <w:rFonts w:ascii="Calibri" w:hAnsi="Calibri" w:cs="Times New Roman"/>
                <w:sz w:val="20"/>
                <w:szCs w:val="18"/>
              </w:rPr>
              <w:t>6100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766" w:rsidRPr="00BB7066" w:rsidRDefault="001C1766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ascii="Calibri" w:hAnsi="Calibri" w:cs="Times New Roman"/>
                <w:sz w:val="20"/>
                <w:szCs w:val="18"/>
              </w:rPr>
            </w:pPr>
            <w:r w:rsidRPr="00BB7066">
              <w:rPr>
                <w:rFonts w:ascii="Calibri" w:hAnsi="Calibri" w:cs="Times New Roman"/>
                <w:sz w:val="20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766" w:rsidRPr="00BB7066" w:rsidRDefault="001C1766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ascii="Calibri" w:hAnsi="Calibri" w:cs="Times New Roman"/>
                <w:sz w:val="20"/>
                <w:szCs w:val="18"/>
              </w:rPr>
            </w:pPr>
            <w:r w:rsidRPr="00BB7066">
              <w:rPr>
                <w:rFonts w:ascii="Calibri" w:hAnsi="Calibri" w:cs="Times New Roman"/>
                <w:sz w:val="20"/>
                <w:szCs w:val="18"/>
              </w:rPr>
              <w:t>20020708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766" w:rsidRPr="00BB7066" w:rsidRDefault="001C1766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ascii="Calibri" w:hAnsi="Calibri" w:cs="Times New Roman"/>
                <w:sz w:val="20"/>
                <w:szCs w:val="18"/>
              </w:rPr>
            </w:pPr>
            <w:r w:rsidRPr="00BB7066">
              <w:rPr>
                <w:rFonts w:ascii="Calibri" w:hAnsi="Calibri" w:cs="Times New Roman"/>
                <w:sz w:val="20"/>
                <w:szCs w:val="18"/>
              </w:rPr>
              <w:t>20020801</w:t>
            </w:r>
          </w:p>
        </w:tc>
      </w:tr>
      <w:tr w:rsidR="001C1766" w:rsidRPr="00473D5C" w:rsidTr="00B36FEB">
        <w:trPr>
          <w:trHeight w:val="197"/>
          <w:jc w:val="center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766" w:rsidRPr="00BB7066" w:rsidRDefault="001C1766" w:rsidP="001C443B">
            <w:pPr>
              <w:pStyle w:val="ListParagraph"/>
              <w:spacing w:after="0" w:line="240" w:lineRule="exact"/>
              <w:ind w:left="0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766" w:rsidRPr="00BB7066" w:rsidRDefault="001C1766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766" w:rsidRPr="00BB7066" w:rsidRDefault="001C1766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SmallGap" w:sz="24" w:space="0" w:color="000000" w:themeColor="text1"/>
            </w:tcBorders>
          </w:tcPr>
          <w:p w:rsidR="001C1766" w:rsidRPr="00BB7066" w:rsidRDefault="001C1766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thinThickThin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766" w:rsidRPr="00BB7066" w:rsidRDefault="001C1766" w:rsidP="001C443B">
            <w:pPr>
              <w:pStyle w:val="ListParagraph"/>
              <w:spacing w:after="0" w:line="240" w:lineRule="exact"/>
              <w:ind w:left="0"/>
              <w:rPr>
                <w:rFonts w:cs="Times New Roman"/>
                <w:sz w:val="20"/>
                <w:szCs w:val="18"/>
              </w:rPr>
            </w:pPr>
            <w:r w:rsidRPr="00BB7066">
              <w:rPr>
                <w:rFonts w:cs="Times New Roman"/>
                <w:sz w:val="20"/>
                <w:szCs w:val="18"/>
              </w:rPr>
              <w:t>2 other conditions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766" w:rsidRPr="00BB7066" w:rsidRDefault="001C1766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ascii="Calibri" w:hAnsi="Calibri" w:cs="Times New Roman"/>
                <w:sz w:val="20"/>
                <w:szCs w:val="18"/>
              </w:rPr>
            </w:pPr>
            <w:r w:rsidRPr="00BB7066">
              <w:rPr>
                <w:rFonts w:ascii="Calibri" w:hAnsi="Calibri" w:cs="Times New Roman"/>
                <w:sz w:val="20"/>
                <w:szCs w:val="18"/>
              </w:rPr>
              <w:t>NSC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766" w:rsidRPr="00BB7066" w:rsidRDefault="001C1766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ascii="Calibri" w:hAnsi="Calibri" w:cs="Times New Roman"/>
                <w:sz w:val="2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766" w:rsidRPr="00BB7066" w:rsidRDefault="001C1766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ascii="Calibri" w:hAnsi="Calibri" w:cs="Times New Roman"/>
                <w:sz w:val="2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766" w:rsidRPr="00BB7066" w:rsidRDefault="001C1766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ascii="Calibri" w:hAnsi="Calibri" w:cs="Times New Roman"/>
                <w:sz w:val="20"/>
                <w:szCs w:val="18"/>
              </w:rPr>
            </w:pPr>
          </w:p>
        </w:tc>
      </w:tr>
      <w:tr w:rsidR="001C1766" w:rsidRPr="00473D5C" w:rsidTr="00B36FEB">
        <w:trPr>
          <w:trHeight w:val="305"/>
          <w:jc w:val="center"/>
        </w:trPr>
        <w:tc>
          <w:tcPr>
            <w:tcW w:w="47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SmallGap" w:sz="24" w:space="0" w:color="000000" w:themeColor="text1"/>
            </w:tcBorders>
            <w:shd w:val="clear" w:color="auto" w:fill="EEECE1" w:themeFill="background2"/>
            <w:hideMark/>
          </w:tcPr>
          <w:p w:rsidR="001C1766" w:rsidRPr="00BB7066" w:rsidRDefault="001C1766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B7066">
              <w:rPr>
                <w:rFonts w:cs="Times New Roman"/>
                <w:b/>
                <w:sz w:val="20"/>
                <w:szCs w:val="20"/>
              </w:rPr>
              <w:t>TOTAL Combined:  10%</w:t>
            </w:r>
            <w:r>
              <w:rPr>
                <w:rFonts w:cs="Times New Roman"/>
                <w:b/>
                <w:sz w:val="20"/>
                <w:szCs w:val="20"/>
              </w:rPr>
              <w:t xml:space="preserve"> (Bilateral factor </w:t>
            </w:r>
            <w:r w:rsidR="003F1BC0">
              <w:rPr>
                <w:rFonts w:cs="Times New Roman"/>
                <w:b/>
                <w:sz w:val="20"/>
                <w:szCs w:val="20"/>
              </w:rPr>
              <w:t>1)</w:t>
            </w:r>
          </w:p>
        </w:tc>
        <w:tc>
          <w:tcPr>
            <w:tcW w:w="6390" w:type="dxa"/>
            <w:gridSpan w:val="5"/>
            <w:tcBorders>
              <w:top w:val="single" w:sz="4" w:space="0" w:color="000000" w:themeColor="text1"/>
              <w:left w:val="thinThickThin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1C1766" w:rsidRPr="00BB7066" w:rsidRDefault="001C1766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B7066">
              <w:rPr>
                <w:rFonts w:cs="Times New Roman"/>
                <w:b/>
                <w:sz w:val="20"/>
                <w:szCs w:val="20"/>
              </w:rPr>
              <w:t>TOTAL Combined (</w:t>
            </w:r>
            <w:r w:rsidRPr="00BB7066">
              <w:rPr>
                <w:rFonts w:cs="Times New Roman"/>
                <w:b/>
                <w:i/>
                <w:sz w:val="20"/>
                <w:szCs w:val="20"/>
              </w:rPr>
              <w:t>Includes Non-PEB Conditions</w:t>
            </w:r>
            <w:r w:rsidRPr="00BB7066">
              <w:rPr>
                <w:rFonts w:cs="Times New Roman"/>
                <w:b/>
                <w:sz w:val="20"/>
                <w:szCs w:val="20"/>
              </w:rPr>
              <w:t xml:space="preserve">):    </w:t>
            </w:r>
          </w:p>
          <w:p w:rsidR="001C1766" w:rsidRDefault="001C1766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B7066">
              <w:rPr>
                <w:rFonts w:cs="Times New Roman"/>
                <w:b/>
                <w:sz w:val="20"/>
                <w:szCs w:val="20"/>
              </w:rPr>
              <w:t>50%  from 20020801</w:t>
            </w:r>
            <w:r w:rsidR="003F1BC0">
              <w:rPr>
                <w:rFonts w:cs="Times New Roman"/>
                <w:b/>
                <w:sz w:val="20"/>
                <w:szCs w:val="20"/>
              </w:rPr>
              <w:t xml:space="preserve"> (BL 1.9 for 5255, 5255)</w:t>
            </w:r>
          </w:p>
          <w:p w:rsidR="001C1766" w:rsidRDefault="001C1766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60% from 20040513</w:t>
            </w:r>
            <w:r w:rsidR="003F1BC0">
              <w:rPr>
                <w:rFonts w:cs="Times New Roman"/>
                <w:b/>
                <w:sz w:val="20"/>
                <w:szCs w:val="20"/>
              </w:rPr>
              <w:t xml:space="preserve"> (BL 1.9 for 5255, 5255)</w:t>
            </w:r>
          </w:p>
          <w:p w:rsidR="001C1766" w:rsidRPr="00BB7066" w:rsidRDefault="001C1766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70% from 20080116</w:t>
            </w:r>
            <w:r w:rsidR="003F1BC0">
              <w:rPr>
                <w:rFonts w:cs="Times New Roman"/>
                <w:b/>
                <w:sz w:val="20"/>
                <w:szCs w:val="20"/>
              </w:rPr>
              <w:t xml:space="preserve"> (BL 1.9 for 5255, 5255)</w:t>
            </w:r>
          </w:p>
        </w:tc>
      </w:tr>
    </w:tbl>
    <w:p w:rsidR="009C09D9" w:rsidRPr="009C09D9" w:rsidRDefault="009C09D9" w:rsidP="009C09D9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</w:rPr>
      </w:pPr>
      <w:r w:rsidRPr="009C09D9">
        <w:rPr>
          <w:rFonts w:asciiTheme="minorHAnsi" w:hAnsiTheme="minorHAnsi"/>
          <w:color w:val="auto"/>
          <w:u w:val="single"/>
        </w:rPr>
        <w:t>______________________________________________________________</w:t>
      </w:r>
      <w:r>
        <w:rPr>
          <w:rFonts w:asciiTheme="minorHAnsi" w:hAnsiTheme="minorHAnsi"/>
          <w:color w:val="auto"/>
          <w:u w:val="single"/>
        </w:rPr>
        <w:t>_______________</w:t>
      </w:r>
      <w:r w:rsidRPr="009C09D9">
        <w:rPr>
          <w:rFonts w:asciiTheme="minorHAnsi" w:hAnsiTheme="minorHAnsi"/>
          <w:color w:val="auto"/>
        </w:rPr>
        <w:t>_</w:t>
      </w:r>
    </w:p>
    <w:p w:rsidR="00A90D55" w:rsidRPr="00CF5A04" w:rsidRDefault="00A90D55" w:rsidP="001C443B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  <w:szCs w:val="24"/>
        </w:rPr>
      </w:pPr>
    </w:p>
    <w:p w:rsidR="009C09D9" w:rsidRDefault="009C09D9">
      <w:pPr>
        <w:rPr>
          <w:rFonts w:asciiTheme="minorHAnsi" w:hAnsiTheme="minorHAnsi"/>
          <w:color w:val="auto"/>
          <w:szCs w:val="24"/>
          <w:u w:val="single"/>
        </w:rPr>
      </w:pPr>
      <w:r>
        <w:rPr>
          <w:rFonts w:asciiTheme="minorHAnsi" w:hAnsiTheme="minorHAnsi"/>
          <w:color w:val="auto"/>
          <w:szCs w:val="24"/>
          <w:u w:val="single"/>
        </w:rPr>
        <w:br w:type="page"/>
      </w:r>
    </w:p>
    <w:p w:rsidR="00A90D55" w:rsidRPr="009C09D9" w:rsidRDefault="00A90D55" w:rsidP="009C09D9">
      <w:pPr>
        <w:tabs>
          <w:tab w:val="left" w:pos="288"/>
          <w:tab w:val="left" w:pos="5580"/>
        </w:tabs>
        <w:spacing w:line="240" w:lineRule="exact"/>
        <w:jc w:val="both"/>
        <w:rPr>
          <w:rFonts w:asciiTheme="minorHAnsi" w:hAnsiTheme="minorHAnsi"/>
          <w:color w:val="auto"/>
          <w:szCs w:val="24"/>
        </w:rPr>
      </w:pPr>
      <w:r w:rsidRPr="009C09D9">
        <w:rPr>
          <w:rFonts w:asciiTheme="minorHAnsi" w:hAnsiTheme="minorHAnsi"/>
          <w:color w:val="auto"/>
          <w:szCs w:val="24"/>
          <w:u w:val="single"/>
        </w:rPr>
        <w:lastRenderedPageBreak/>
        <w:t>ANALYSIS SUMMARY</w:t>
      </w:r>
      <w:r w:rsidRPr="009C09D9">
        <w:rPr>
          <w:rFonts w:asciiTheme="minorHAnsi" w:hAnsiTheme="minorHAnsi"/>
          <w:color w:val="auto"/>
          <w:szCs w:val="24"/>
        </w:rPr>
        <w:t>:</w:t>
      </w:r>
    </w:p>
    <w:p w:rsidR="009C09D9" w:rsidRDefault="009C09D9" w:rsidP="001C443B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  <w:szCs w:val="24"/>
          <w:u w:val="single"/>
        </w:rPr>
      </w:pPr>
    </w:p>
    <w:p w:rsidR="0071397A" w:rsidRPr="009C09D9" w:rsidRDefault="0071397A" w:rsidP="001C443B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  <w:szCs w:val="24"/>
          <w:u w:val="single"/>
        </w:rPr>
      </w:pPr>
      <w:r w:rsidRPr="009C09D9">
        <w:rPr>
          <w:rFonts w:asciiTheme="minorHAnsi" w:hAnsiTheme="minorHAnsi"/>
          <w:color w:val="auto"/>
          <w:szCs w:val="24"/>
          <w:u w:val="single"/>
        </w:rPr>
        <w:t>Degenerative Joint Disease Changes to Bilateral Hips</w:t>
      </w:r>
    </w:p>
    <w:p w:rsidR="00420537" w:rsidRPr="009C09D9" w:rsidRDefault="00CD4757" w:rsidP="001C443B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  <w:szCs w:val="24"/>
        </w:rPr>
      </w:pPr>
      <w:r w:rsidRPr="009C09D9">
        <w:rPr>
          <w:rFonts w:asciiTheme="minorHAnsi" w:hAnsiTheme="minorHAnsi"/>
          <w:color w:val="auto"/>
          <w:szCs w:val="24"/>
        </w:rPr>
        <w:t xml:space="preserve">While on deployment to Kosovo in 2001, the CI woke up one night after a fast run with severe pain in both hips. </w:t>
      </w:r>
      <w:r w:rsidR="009C09D9">
        <w:rPr>
          <w:rFonts w:asciiTheme="minorHAnsi" w:hAnsiTheme="minorHAnsi"/>
          <w:color w:val="auto"/>
          <w:szCs w:val="24"/>
        </w:rPr>
        <w:t xml:space="preserve"> </w:t>
      </w:r>
      <w:r w:rsidRPr="009C09D9">
        <w:rPr>
          <w:rFonts w:asciiTheme="minorHAnsi" w:hAnsiTheme="minorHAnsi"/>
          <w:color w:val="auto"/>
          <w:szCs w:val="24"/>
        </w:rPr>
        <w:t>The pain was more sever</w:t>
      </w:r>
      <w:r w:rsidR="008E276B" w:rsidRPr="009C09D9">
        <w:rPr>
          <w:rFonts w:asciiTheme="minorHAnsi" w:hAnsiTheme="minorHAnsi"/>
          <w:color w:val="auto"/>
          <w:szCs w:val="24"/>
        </w:rPr>
        <w:t>e</w:t>
      </w:r>
      <w:r w:rsidRPr="009C09D9">
        <w:rPr>
          <w:rFonts w:asciiTheme="minorHAnsi" w:hAnsiTheme="minorHAnsi"/>
          <w:color w:val="auto"/>
          <w:szCs w:val="24"/>
        </w:rPr>
        <w:t xml:space="preserve"> on the left and while it improved somewhat with </w:t>
      </w:r>
      <w:proofErr w:type="spellStart"/>
      <w:r w:rsidRPr="009C09D9">
        <w:rPr>
          <w:rFonts w:asciiTheme="minorHAnsi" w:hAnsiTheme="minorHAnsi"/>
          <w:color w:val="auto"/>
          <w:szCs w:val="24"/>
        </w:rPr>
        <w:t>nonsteroidal</w:t>
      </w:r>
      <w:proofErr w:type="spellEnd"/>
      <w:r w:rsidRPr="009C09D9">
        <w:rPr>
          <w:rFonts w:asciiTheme="minorHAnsi" w:hAnsiTheme="minorHAnsi"/>
          <w:color w:val="auto"/>
          <w:szCs w:val="24"/>
        </w:rPr>
        <w:t xml:space="preserve"> anti-inflammatory medications it never resolved. </w:t>
      </w:r>
      <w:r w:rsidR="009C09D9">
        <w:rPr>
          <w:rFonts w:asciiTheme="minorHAnsi" w:hAnsiTheme="minorHAnsi"/>
          <w:color w:val="auto"/>
          <w:szCs w:val="24"/>
        </w:rPr>
        <w:t xml:space="preserve"> </w:t>
      </w:r>
      <w:r w:rsidRPr="009C09D9">
        <w:rPr>
          <w:rFonts w:asciiTheme="minorHAnsi" w:hAnsiTheme="minorHAnsi"/>
          <w:color w:val="auto"/>
          <w:szCs w:val="24"/>
        </w:rPr>
        <w:t>At times the pain would increase and he required narcotic pain medication.</w:t>
      </w:r>
      <w:r w:rsidR="0088296B" w:rsidRPr="009C09D9">
        <w:rPr>
          <w:rFonts w:asciiTheme="minorHAnsi" w:hAnsiTheme="minorHAnsi"/>
          <w:color w:val="auto"/>
          <w:szCs w:val="24"/>
        </w:rPr>
        <w:t xml:space="preserve"> </w:t>
      </w:r>
      <w:r w:rsidR="009C09D9">
        <w:rPr>
          <w:rFonts w:asciiTheme="minorHAnsi" w:hAnsiTheme="minorHAnsi"/>
          <w:color w:val="auto"/>
          <w:szCs w:val="24"/>
        </w:rPr>
        <w:t xml:space="preserve"> M</w:t>
      </w:r>
      <w:r w:rsidR="009C09D9" w:rsidRPr="009C09D9">
        <w:rPr>
          <w:rFonts w:asciiTheme="minorHAnsi" w:hAnsiTheme="minorHAnsi"/>
          <w:color w:val="auto"/>
          <w:szCs w:val="24"/>
        </w:rPr>
        <w:t xml:space="preserve">agnetic resonance imaging </w:t>
      </w:r>
      <w:r w:rsidR="009C09D9">
        <w:rPr>
          <w:rFonts w:asciiTheme="minorHAnsi" w:hAnsiTheme="minorHAnsi"/>
          <w:color w:val="auto"/>
          <w:szCs w:val="24"/>
        </w:rPr>
        <w:t>(</w:t>
      </w:r>
      <w:r w:rsidR="0088296B" w:rsidRPr="009C09D9">
        <w:rPr>
          <w:rFonts w:asciiTheme="minorHAnsi" w:hAnsiTheme="minorHAnsi"/>
          <w:color w:val="auto"/>
          <w:szCs w:val="24"/>
        </w:rPr>
        <w:t>MRI</w:t>
      </w:r>
      <w:r w:rsidR="009C09D9">
        <w:rPr>
          <w:rFonts w:asciiTheme="minorHAnsi" w:hAnsiTheme="minorHAnsi"/>
          <w:color w:val="auto"/>
          <w:szCs w:val="24"/>
        </w:rPr>
        <w:t>)</w:t>
      </w:r>
      <w:r w:rsidR="0088296B" w:rsidRPr="009C09D9">
        <w:rPr>
          <w:rFonts w:asciiTheme="minorHAnsi" w:hAnsiTheme="minorHAnsi"/>
          <w:color w:val="auto"/>
          <w:szCs w:val="24"/>
        </w:rPr>
        <w:t xml:space="preserve"> showed diffuse degenerative changes to both femoral heads and </w:t>
      </w:r>
      <w:proofErr w:type="spellStart"/>
      <w:r w:rsidR="0088296B" w:rsidRPr="009C09D9">
        <w:rPr>
          <w:rFonts w:asciiTheme="minorHAnsi" w:hAnsiTheme="minorHAnsi"/>
          <w:color w:val="auto"/>
          <w:szCs w:val="24"/>
        </w:rPr>
        <w:t>ossicle</w:t>
      </w:r>
      <w:proofErr w:type="spellEnd"/>
      <w:r w:rsidR="0088296B" w:rsidRPr="009C09D9">
        <w:rPr>
          <w:rFonts w:asciiTheme="minorHAnsi" w:hAnsiTheme="minorHAnsi"/>
          <w:color w:val="auto"/>
          <w:szCs w:val="24"/>
        </w:rPr>
        <w:t xml:space="preserve"> over the left </w:t>
      </w:r>
      <w:proofErr w:type="spellStart"/>
      <w:r w:rsidR="0088296B" w:rsidRPr="009C09D9">
        <w:rPr>
          <w:rFonts w:asciiTheme="minorHAnsi" w:hAnsiTheme="minorHAnsi"/>
          <w:color w:val="auto"/>
          <w:szCs w:val="24"/>
        </w:rPr>
        <w:t>acetabular</w:t>
      </w:r>
      <w:proofErr w:type="spellEnd"/>
      <w:r w:rsidR="0088296B" w:rsidRPr="009C09D9">
        <w:rPr>
          <w:rFonts w:asciiTheme="minorHAnsi" w:hAnsiTheme="minorHAnsi"/>
          <w:color w:val="auto"/>
          <w:szCs w:val="24"/>
        </w:rPr>
        <w:t xml:space="preserve"> lip. </w:t>
      </w:r>
      <w:r w:rsidR="009C09D9">
        <w:rPr>
          <w:rFonts w:asciiTheme="minorHAnsi" w:hAnsiTheme="minorHAnsi"/>
          <w:color w:val="auto"/>
          <w:szCs w:val="24"/>
        </w:rPr>
        <w:t xml:space="preserve"> </w:t>
      </w:r>
      <w:r w:rsidR="0088296B" w:rsidRPr="009C09D9">
        <w:rPr>
          <w:rFonts w:asciiTheme="minorHAnsi" w:hAnsiTheme="minorHAnsi"/>
          <w:color w:val="auto"/>
          <w:szCs w:val="24"/>
        </w:rPr>
        <w:t xml:space="preserve">The CI was limited to no running, no humping, no jumping and no squatting or duck walks. </w:t>
      </w:r>
      <w:r w:rsidR="009C09D9">
        <w:rPr>
          <w:rFonts w:asciiTheme="minorHAnsi" w:hAnsiTheme="minorHAnsi"/>
          <w:color w:val="auto"/>
          <w:szCs w:val="24"/>
        </w:rPr>
        <w:t xml:space="preserve"> </w:t>
      </w:r>
      <w:r w:rsidR="0088296B" w:rsidRPr="009C09D9">
        <w:rPr>
          <w:rFonts w:asciiTheme="minorHAnsi" w:hAnsiTheme="minorHAnsi"/>
          <w:color w:val="auto"/>
          <w:szCs w:val="24"/>
        </w:rPr>
        <w:t xml:space="preserve">He could stand for regular formations but could not perform physical fitness testing and was not deployable. </w:t>
      </w:r>
      <w:r w:rsidR="009C09D9">
        <w:rPr>
          <w:rFonts w:asciiTheme="minorHAnsi" w:hAnsiTheme="minorHAnsi"/>
          <w:color w:val="auto"/>
          <w:szCs w:val="24"/>
        </w:rPr>
        <w:t xml:space="preserve"> </w:t>
      </w:r>
      <w:r w:rsidR="0088296B" w:rsidRPr="009C09D9">
        <w:rPr>
          <w:rFonts w:asciiTheme="minorHAnsi" w:hAnsiTheme="minorHAnsi"/>
          <w:color w:val="auto"/>
          <w:szCs w:val="24"/>
        </w:rPr>
        <w:t xml:space="preserve">No further treatment other than hip replacement was available. </w:t>
      </w:r>
      <w:r w:rsidR="009C09D9">
        <w:rPr>
          <w:rFonts w:asciiTheme="minorHAnsi" w:hAnsiTheme="minorHAnsi"/>
          <w:color w:val="auto"/>
          <w:szCs w:val="24"/>
        </w:rPr>
        <w:t xml:space="preserve"> </w:t>
      </w:r>
      <w:r w:rsidR="000B4ABA" w:rsidRPr="009C09D9">
        <w:rPr>
          <w:rFonts w:asciiTheme="minorHAnsi" w:hAnsiTheme="minorHAnsi"/>
          <w:color w:val="auto"/>
          <w:szCs w:val="24"/>
        </w:rPr>
        <w:t xml:space="preserve">Hip replacement surgery was delayed because of his age. </w:t>
      </w:r>
      <w:r w:rsidR="009C09D9">
        <w:rPr>
          <w:rFonts w:asciiTheme="minorHAnsi" w:hAnsiTheme="minorHAnsi"/>
          <w:color w:val="auto"/>
          <w:szCs w:val="24"/>
        </w:rPr>
        <w:t xml:space="preserve"> </w:t>
      </w:r>
      <w:r w:rsidR="0088296B" w:rsidRPr="009C09D9">
        <w:rPr>
          <w:rFonts w:asciiTheme="minorHAnsi" w:hAnsiTheme="minorHAnsi"/>
          <w:color w:val="auto"/>
          <w:szCs w:val="24"/>
        </w:rPr>
        <w:t xml:space="preserve">Hip </w:t>
      </w:r>
      <w:r w:rsidR="000B4ABA" w:rsidRPr="009C09D9">
        <w:rPr>
          <w:rFonts w:asciiTheme="minorHAnsi" w:hAnsiTheme="minorHAnsi"/>
          <w:color w:val="auto"/>
          <w:szCs w:val="24"/>
        </w:rPr>
        <w:t>ranges of motion (ROM) measurements are</w:t>
      </w:r>
      <w:r w:rsidR="0088296B" w:rsidRPr="009C09D9">
        <w:rPr>
          <w:rFonts w:asciiTheme="minorHAnsi" w:hAnsiTheme="minorHAnsi"/>
          <w:color w:val="auto"/>
          <w:szCs w:val="24"/>
        </w:rPr>
        <w:t xml:space="preserve"> in the chart below. </w:t>
      </w:r>
    </w:p>
    <w:p w:rsidR="000B4ABA" w:rsidRPr="009C09D9" w:rsidRDefault="000B4ABA" w:rsidP="001C443B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000080"/>
          <w:szCs w:val="24"/>
        </w:rPr>
      </w:pPr>
    </w:p>
    <w:p w:rsidR="007F4A0D" w:rsidRPr="009C09D9" w:rsidRDefault="000B4ABA" w:rsidP="001C443B">
      <w:pPr>
        <w:spacing w:line="240" w:lineRule="exact"/>
        <w:rPr>
          <w:rFonts w:asciiTheme="minorHAnsi" w:hAnsiTheme="minorHAnsi"/>
          <w:color w:val="auto"/>
          <w:sz w:val="20"/>
        </w:rPr>
      </w:pPr>
      <w:r w:rsidRPr="009C09D9">
        <w:rPr>
          <w:rFonts w:asciiTheme="minorHAnsi" w:eastAsia="Calibri" w:hAnsiTheme="minorHAnsi"/>
          <w:color w:val="auto"/>
          <w:sz w:val="20"/>
        </w:rPr>
        <w:t xml:space="preserve"> </w:t>
      </w:r>
      <w:r w:rsidR="007F4A0D" w:rsidRPr="009C09D9">
        <w:rPr>
          <w:rFonts w:asciiTheme="minorHAnsi" w:eastAsia="Calibri" w:hAnsiTheme="minorHAnsi"/>
          <w:color w:val="auto"/>
          <w:sz w:val="20"/>
        </w:rPr>
        <w:t>Separation Date 20020801</w:t>
      </w:r>
    </w:p>
    <w:tbl>
      <w:tblPr>
        <w:tblW w:w="92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0"/>
        <w:gridCol w:w="990"/>
        <w:gridCol w:w="1080"/>
        <w:gridCol w:w="1080"/>
        <w:gridCol w:w="990"/>
        <w:gridCol w:w="1080"/>
        <w:gridCol w:w="1350"/>
        <w:gridCol w:w="1260"/>
      </w:tblGrid>
      <w:tr w:rsidR="007F4A0D" w:rsidRPr="009C09D9" w:rsidTr="007F4A0D">
        <w:trPr>
          <w:trHeight w:val="443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A0D" w:rsidRPr="009C09D9" w:rsidRDefault="007F4A0D" w:rsidP="001C443B">
            <w:pPr>
              <w:pStyle w:val="ListParagraph"/>
              <w:spacing w:after="0" w:line="240" w:lineRule="exact"/>
              <w:ind w:left="0"/>
              <w:rPr>
                <w:sz w:val="20"/>
                <w:szCs w:val="20"/>
              </w:rPr>
            </w:pPr>
            <w:r w:rsidRPr="009C09D9">
              <w:rPr>
                <w:sz w:val="20"/>
                <w:szCs w:val="20"/>
              </w:rPr>
              <w:t>Movement</w:t>
            </w:r>
          </w:p>
          <w:p w:rsidR="007F4A0D" w:rsidRPr="009C09D9" w:rsidRDefault="007F4A0D" w:rsidP="001C443B">
            <w:pPr>
              <w:pStyle w:val="ListParagraph"/>
              <w:spacing w:after="0" w:line="240" w:lineRule="exact"/>
              <w:ind w:left="0"/>
              <w:rPr>
                <w:rFonts w:eastAsia="Calibri" w:cs="Times New Roman"/>
                <w:sz w:val="20"/>
                <w:szCs w:val="20"/>
              </w:rPr>
            </w:pPr>
            <w:r w:rsidRPr="009C09D9">
              <w:rPr>
                <w:sz w:val="20"/>
                <w:szCs w:val="20"/>
              </w:rPr>
              <w:t>Hips</w:t>
            </w:r>
          </w:p>
          <w:p w:rsidR="007F4A0D" w:rsidRPr="009C09D9" w:rsidRDefault="007F4A0D" w:rsidP="001C443B">
            <w:pPr>
              <w:pStyle w:val="ListParagraph"/>
              <w:spacing w:after="0" w:line="240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A0D" w:rsidRPr="009C09D9" w:rsidRDefault="007F4A0D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C09D9">
              <w:rPr>
                <w:sz w:val="20"/>
                <w:szCs w:val="20"/>
              </w:rPr>
              <w:t>Normal ROM</w:t>
            </w:r>
          </w:p>
          <w:p w:rsidR="007F4A0D" w:rsidRPr="009C09D9" w:rsidRDefault="007F4A0D" w:rsidP="001C443B">
            <w:pPr>
              <w:pStyle w:val="ListParagraph"/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0D" w:rsidRPr="009C09D9" w:rsidRDefault="007F4A0D" w:rsidP="001C443B">
            <w:pPr>
              <w:pStyle w:val="ListParagraph"/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  <w:r w:rsidRPr="009C09D9">
              <w:rPr>
                <w:sz w:val="20"/>
                <w:szCs w:val="20"/>
              </w:rPr>
              <w:t>ROM PT</w:t>
            </w:r>
          </w:p>
          <w:p w:rsidR="007F4A0D" w:rsidRPr="009C09D9" w:rsidRDefault="007F4A0D" w:rsidP="001C443B">
            <w:pPr>
              <w:pStyle w:val="ListParagraph"/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  <w:r w:rsidRPr="009C09D9">
              <w:rPr>
                <w:sz w:val="20"/>
                <w:szCs w:val="20"/>
              </w:rPr>
              <w:t xml:space="preserve">20020123           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F4A0D" w:rsidRPr="009C09D9" w:rsidRDefault="007F4A0D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C09D9">
              <w:rPr>
                <w:sz w:val="20"/>
                <w:szCs w:val="20"/>
              </w:rPr>
              <w:t>ROM Mil</w:t>
            </w:r>
          </w:p>
          <w:p w:rsidR="007F4A0D" w:rsidRPr="009C09D9" w:rsidRDefault="007F4A0D" w:rsidP="001C443B">
            <w:pPr>
              <w:pStyle w:val="ListParagraph"/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  <w:r w:rsidRPr="009C09D9">
              <w:rPr>
                <w:sz w:val="20"/>
                <w:szCs w:val="20"/>
              </w:rPr>
              <w:t>20020403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A0D" w:rsidRPr="009C09D9" w:rsidRDefault="007F4A0D" w:rsidP="001C443B">
            <w:pPr>
              <w:pStyle w:val="ListParagraph"/>
              <w:spacing w:after="0" w:line="240" w:lineRule="exact"/>
              <w:ind w:left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C09D9">
              <w:rPr>
                <w:sz w:val="20"/>
                <w:szCs w:val="20"/>
              </w:rPr>
              <w:t>ROM VA</w:t>
            </w:r>
          </w:p>
          <w:p w:rsidR="007F4A0D" w:rsidRPr="009C09D9" w:rsidRDefault="007F4A0D" w:rsidP="001C443B">
            <w:pPr>
              <w:pStyle w:val="ListParagraph"/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  <w:r w:rsidRPr="009C09D9">
              <w:rPr>
                <w:sz w:val="20"/>
                <w:szCs w:val="20"/>
              </w:rPr>
              <w:t>20020627</w:t>
            </w:r>
          </w:p>
        </w:tc>
      </w:tr>
      <w:tr w:rsidR="007F4A0D" w:rsidRPr="009C09D9" w:rsidTr="00CF5A04">
        <w:trPr>
          <w:trHeight w:val="442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0D" w:rsidRPr="009C09D9" w:rsidRDefault="007F4A0D" w:rsidP="001C443B">
            <w:pPr>
              <w:pStyle w:val="ListParagraph"/>
              <w:spacing w:after="0" w:line="240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0D" w:rsidRPr="009C09D9" w:rsidRDefault="007F4A0D" w:rsidP="001C443B">
            <w:pPr>
              <w:pStyle w:val="ListParagraph"/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0D" w:rsidRPr="009C09D9" w:rsidRDefault="007F4A0D" w:rsidP="001C443B">
            <w:pPr>
              <w:pStyle w:val="ListParagraph"/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  <w:r w:rsidRPr="009C09D9">
              <w:rPr>
                <w:sz w:val="20"/>
                <w:szCs w:val="20"/>
              </w:rPr>
              <w:t>Right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0D" w:rsidRPr="009C09D9" w:rsidRDefault="007F4A0D" w:rsidP="001C443B">
            <w:pPr>
              <w:pStyle w:val="ListParagraph"/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  <w:r w:rsidRPr="009C09D9">
              <w:rPr>
                <w:sz w:val="20"/>
                <w:szCs w:val="20"/>
              </w:rPr>
              <w:t>Left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F4A0D" w:rsidRPr="009C09D9" w:rsidRDefault="007F4A0D" w:rsidP="001C443B">
            <w:pPr>
              <w:pStyle w:val="ListParagraph"/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  <w:r w:rsidRPr="009C09D9">
              <w:rPr>
                <w:sz w:val="20"/>
                <w:szCs w:val="20"/>
              </w:rPr>
              <w:t>Right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F4A0D" w:rsidRPr="009C09D9" w:rsidRDefault="007F4A0D" w:rsidP="001C443B">
            <w:pPr>
              <w:pStyle w:val="ListParagraph"/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  <w:r w:rsidRPr="009C09D9">
              <w:rPr>
                <w:sz w:val="20"/>
                <w:szCs w:val="20"/>
              </w:rPr>
              <w:t>Left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0D" w:rsidRPr="009C09D9" w:rsidRDefault="007F4A0D" w:rsidP="001C443B">
            <w:pPr>
              <w:pStyle w:val="ListParagraph"/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  <w:r w:rsidRPr="009C09D9">
              <w:rPr>
                <w:sz w:val="20"/>
                <w:szCs w:val="20"/>
              </w:rPr>
              <w:t>Right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0D" w:rsidRPr="009C09D9" w:rsidRDefault="007F4A0D" w:rsidP="001C443B">
            <w:pPr>
              <w:pStyle w:val="ListParagraph"/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  <w:r w:rsidRPr="009C09D9">
              <w:rPr>
                <w:sz w:val="20"/>
                <w:szCs w:val="20"/>
              </w:rPr>
              <w:t>Left</w:t>
            </w:r>
          </w:p>
        </w:tc>
      </w:tr>
      <w:tr w:rsidR="007F4A0D" w:rsidRPr="009C09D9" w:rsidTr="00CF5A04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0D" w:rsidRPr="009C09D9" w:rsidRDefault="007F4A0D" w:rsidP="001C443B">
            <w:pPr>
              <w:pStyle w:val="ListParagraph"/>
              <w:spacing w:after="0" w:line="240" w:lineRule="exact"/>
              <w:ind w:left="0"/>
              <w:rPr>
                <w:sz w:val="20"/>
                <w:szCs w:val="20"/>
              </w:rPr>
            </w:pPr>
            <w:r w:rsidRPr="009C09D9">
              <w:rPr>
                <w:sz w:val="20"/>
                <w:szCs w:val="20"/>
              </w:rPr>
              <w:t>Flex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0D" w:rsidRPr="009C09D9" w:rsidRDefault="007F4A0D" w:rsidP="001C443B">
            <w:pPr>
              <w:pStyle w:val="ListParagraph"/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  <w:r w:rsidRPr="009C09D9">
              <w:rPr>
                <w:sz w:val="20"/>
                <w:szCs w:val="20"/>
              </w:rPr>
              <w:t>0 - 125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0D" w:rsidRPr="009C09D9" w:rsidRDefault="007F4A0D" w:rsidP="001C443B">
            <w:pPr>
              <w:pStyle w:val="ListParagraph"/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  <w:r w:rsidRPr="009C09D9">
              <w:rPr>
                <w:sz w:val="20"/>
                <w:szCs w:val="20"/>
              </w:rPr>
              <w:t>110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0D" w:rsidRPr="009C09D9" w:rsidRDefault="007F4A0D" w:rsidP="001C443B">
            <w:pPr>
              <w:pStyle w:val="ListParagraph"/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  <w:r w:rsidRPr="009C09D9">
              <w:rPr>
                <w:sz w:val="20"/>
                <w:szCs w:val="20"/>
              </w:rPr>
              <w:t>110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F4A0D" w:rsidRPr="009C09D9" w:rsidRDefault="007F4A0D" w:rsidP="001C443B">
            <w:pPr>
              <w:pStyle w:val="ListParagraph"/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  <w:r w:rsidRPr="009C09D9">
              <w:rPr>
                <w:sz w:val="20"/>
                <w:szCs w:val="20"/>
              </w:rPr>
              <w:t>135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F4A0D" w:rsidRPr="009C09D9" w:rsidRDefault="007F4A0D" w:rsidP="001C443B">
            <w:pPr>
              <w:pStyle w:val="ListParagraph"/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  <w:r w:rsidRPr="009C09D9">
              <w:rPr>
                <w:sz w:val="20"/>
                <w:szCs w:val="20"/>
              </w:rPr>
              <w:t>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0D" w:rsidRPr="009C09D9" w:rsidRDefault="007F4A0D" w:rsidP="001C443B">
            <w:pPr>
              <w:pStyle w:val="ListParagraph"/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  <w:r w:rsidRPr="009C09D9">
              <w:rPr>
                <w:sz w:val="20"/>
                <w:szCs w:val="20"/>
              </w:rPr>
              <w:t>0-90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0D" w:rsidRPr="009C09D9" w:rsidRDefault="007F4A0D" w:rsidP="001C443B">
            <w:pPr>
              <w:pStyle w:val="ListParagraph"/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  <w:r w:rsidRPr="009C09D9">
              <w:rPr>
                <w:sz w:val="20"/>
                <w:szCs w:val="20"/>
              </w:rPr>
              <w:t>0-100</w:t>
            </w:r>
          </w:p>
        </w:tc>
      </w:tr>
      <w:tr w:rsidR="007F4A0D" w:rsidRPr="009C09D9" w:rsidTr="00CF5A04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0D" w:rsidRPr="009C09D9" w:rsidRDefault="007F4A0D" w:rsidP="001C443B">
            <w:pPr>
              <w:pStyle w:val="ListParagraph"/>
              <w:spacing w:after="0" w:line="240" w:lineRule="exact"/>
              <w:ind w:left="0"/>
              <w:rPr>
                <w:sz w:val="20"/>
                <w:szCs w:val="20"/>
              </w:rPr>
            </w:pPr>
            <w:r w:rsidRPr="009C09D9">
              <w:rPr>
                <w:sz w:val="20"/>
                <w:szCs w:val="20"/>
              </w:rPr>
              <w:t>Extension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0D" w:rsidRPr="009C09D9" w:rsidRDefault="007F4A0D" w:rsidP="001C443B">
            <w:pPr>
              <w:pStyle w:val="ListParagraph"/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  <w:r w:rsidRPr="009C09D9">
              <w:rPr>
                <w:sz w:val="20"/>
                <w:szCs w:val="20"/>
              </w:rPr>
              <w:t>0-30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0D" w:rsidRPr="009C09D9" w:rsidRDefault="007F4A0D" w:rsidP="001C443B">
            <w:pPr>
              <w:pStyle w:val="ListParagraph"/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0D" w:rsidRPr="009C09D9" w:rsidRDefault="007F4A0D" w:rsidP="001C443B">
            <w:pPr>
              <w:pStyle w:val="ListParagraph"/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F4A0D" w:rsidRPr="009C09D9" w:rsidRDefault="007F4A0D" w:rsidP="001C443B">
            <w:pPr>
              <w:pStyle w:val="ListParagraph"/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F4A0D" w:rsidRPr="009C09D9" w:rsidRDefault="007F4A0D" w:rsidP="001C443B">
            <w:pPr>
              <w:pStyle w:val="ListParagraph"/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0D" w:rsidRPr="009C09D9" w:rsidRDefault="007F4A0D" w:rsidP="001C443B">
            <w:pPr>
              <w:pStyle w:val="ListParagraph"/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  <w:r w:rsidRPr="009C09D9">
              <w:rPr>
                <w:sz w:val="20"/>
                <w:szCs w:val="20"/>
              </w:rPr>
              <w:t>0-15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0D" w:rsidRPr="009C09D9" w:rsidRDefault="007F4A0D" w:rsidP="001C443B">
            <w:pPr>
              <w:pStyle w:val="ListParagraph"/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  <w:r w:rsidRPr="009C09D9">
              <w:rPr>
                <w:sz w:val="20"/>
                <w:szCs w:val="20"/>
              </w:rPr>
              <w:t>0-20</w:t>
            </w:r>
          </w:p>
        </w:tc>
      </w:tr>
      <w:tr w:rsidR="007F4A0D" w:rsidRPr="009C09D9" w:rsidTr="00CF5A04">
        <w:trPr>
          <w:trHeight w:val="54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0D" w:rsidRPr="009C09D9" w:rsidRDefault="007F4A0D" w:rsidP="001C443B">
            <w:pPr>
              <w:pStyle w:val="ListParagraph"/>
              <w:spacing w:after="0" w:line="240" w:lineRule="exact"/>
              <w:ind w:left="0"/>
              <w:rPr>
                <w:sz w:val="20"/>
                <w:szCs w:val="20"/>
              </w:rPr>
            </w:pPr>
            <w:r w:rsidRPr="009C09D9">
              <w:rPr>
                <w:sz w:val="20"/>
                <w:szCs w:val="20"/>
              </w:rPr>
              <w:t>Adduction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0D" w:rsidRPr="009C09D9" w:rsidRDefault="007F4A0D" w:rsidP="001C443B">
            <w:pPr>
              <w:pStyle w:val="ListParagraph"/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  <w:r w:rsidRPr="009C09D9">
              <w:rPr>
                <w:sz w:val="20"/>
                <w:szCs w:val="20"/>
              </w:rPr>
              <w:t>0-25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0D" w:rsidRPr="009C09D9" w:rsidRDefault="007F4A0D" w:rsidP="001C443B">
            <w:pPr>
              <w:pStyle w:val="ListParagraph"/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0D" w:rsidRPr="009C09D9" w:rsidRDefault="007F4A0D" w:rsidP="001C443B">
            <w:pPr>
              <w:pStyle w:val="ListParagraph"/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F4A0D" w:rsidRPr="009C09D9" w:rsidRDefault="007F4A0D" w:rsidP="001C443B">
            <w:pPr>
              <w:pStyle w:val="ListParagraph"/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F4A0D" w:rsidRPr="009C09D9" w:rsidRDefault="007F4A0D" w:rsidP="001C443B">
            <w:pPr>
              <w:pStyle w:val="ListParagraph"/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0D" w:rsidRPr="009C09D9" w:rsidRDefault="007F4A0D" w:rsidP="001C443B">
            <w:pPr>
              <w:pStyle w:val="ListParagraph"/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  <w:r w:rsidRPr="009C09D9">
              <w:rPr>
                <w:sz w:val="20"/>
                <w:szCs w:val="20"/>
              </w:rPr>
              <w:t>0-15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0D" w:rsidRPr="009C09D9" w:rsidRDefault="007F4A0D" w:rsidP="001C443B">
            <w:pPr>
              <w:pStyle w:val="ListParagraph"/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  <w:r w:rsidRPr="009C09D9">
              <w:rPr>
                <w:sz w:val="20"/>
                <w:szCs w:val="20"/>
              </w:rPr>
              <w:t>0-20</w:t>
            </w:r>
          </w:p>
        </w:tc>
      </w:tr>
      <w:tr w:rsidR="007F4A0D" w:rsidRPr="009C09D9" w:rsidTr="00CF5A04">
        <w:trPr>
          <w:trHeight w:val="54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0D" w:rsidRPr="009C09D9" w:rsidRDefault="007F4A0D" w:rsidP="001C443B">
            <w:pPr>
              <w:pStyle w:val="ListParagraph"/>
              <w:spacing w:after="0" w:line="240" w:lineRule="exact"/>
              <w:ind w:left="0"/>
              <w:rPr>
                <w:sz w:val="20"/>
                <w:szCs w:val="20"/>
              </w:rPr>
            </w:pPr>
            <w:r w:rsidRPr="009C09D9">
              <w:rPr>
                <w:sz w:val="20"/>
                <w:szCs w:val="20"/>
              </w:rPr>
              <w:t>Abduction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0D" w:rsidRPr="009C09D9" w:rsidRDefault="007F4A0D" w:rsidP="001C443B">
            <w:pPr>
              <w:pStyle w:val="ListParagraph"/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  <w:r w:rsidRPr="009C09D9">
              <w:rPr>
                <w:sz w:val="20"/>
                <w:szCs w:val="20"/>
              </w:rPr>
              <w:t>0 - 45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0D" w:rsidRPr="009C09D9" w:rsidRDefault="007F4A0D" w:rsidP="001C443B">
            <w:pPr>
              <w:pStyle w:val="ListParagraph"/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  <w:r w:rsidRPr="009C09D9">
              <w:rPr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0D" w:rsidRPr="009C09D9" w:rsidRDefault="007F4A0D" w:rsidP="001C443B">
            <w:pPr>
              <w:pStyle w:val="ListParagraph"/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  <w:r w:rsidRPr="009C09D9">
              <w:rPr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F4A0D" w:rsidRPr="009C09D9" w:rsidRDefault="007F4A0D" w:rsidP="001C443B">
            <w:pPr>
              <w:pStyle w:val="ListParagraph"/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  <w:r w:rsidRPr="009C09D9">
              <w:rPr>
                <w:sz w:val="20"/>
                <w:szCs w:val="20"/>
              </w:rPr>
              <w:t>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F4A0D" w:rsidRPr="009C09D9" w:rsidRDefault="007F4A0D" w:rsidP="001C443B">
            <w:pPr>
              <w:pStyle w:val="ListParagraph"/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  <w:r w:rsidRPr="009C09D9">
              <w:rPr>
                <w:sz w:val="20"/>
                <w:szCs w:val="20"/>
              </w:rPr>
              <w:t>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0D" w:rsidRPr="009C09D9" w:rsidRDefault="007F4A0D" w:rsidP="001C443B">
            <w:pPr>
              <w:pStyle w:val="ListParagraph"/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  <w:r w:rsidRPr="009C09D9">
              <w:rPr>
                <w:sz w:val="20"/>
                <w:szCs w:val="20"/>
              </w:rPr>
              <w:t>0-30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0D" w:rsidRPr="009C09D9" w:rsidRDefault="007F4A0D" w:rsidP="001C443B">
            <w:pPr>
              <w:pStyle w:val="ListParagraph"/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  <w:r w:rsidRPr="009C09D9">
              <w:rPr>
                <w:sz w:val="20"/>
                <w:szCs w:val="20"/>
              </w:rPr>
              <w:t>0-30</w:t>
            </w:r>
          </w:p>
        </w:tc>
      </w:tr>
      <w:tr w:rsidR="007F4A0D" w:rsidRPr="009C09D9" w:rsidTr="00CF5A04">
        <w:trPr>
          <w:trHeight w:val="54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0D" w:rsidRPr="009C09D9" w:rsidRDefault="007F4A0D" w:rsidP="001C443B">
            <w:pPr>
              <w:pStyle w:val="ListParagraph"/>
              <w:spacing w:after="0" w:line="240" w:lineRule="exact"/>
              <w:ind w:left="0"/>
              <w:rPr>
                <w:sz w:val="20"/>
                <w:szCs w:val="20"/>
              </w:rPr>
            </w:pPr>
            <w:r w:rsidRPr="009C09D9">
              <w:rPr>
                <w:sz w:val="20"/>
                <w:szCs w:val="20"/>
              </w:rPr>
              <w:t>External Rotation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0D" w:rsidRPr="009C09D9" w:rsidRDefault="007F4A0D" w:rsidP="001C443B">
            <w:pPr>
              <w:pStyle w:val="ListParagraph"/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  <w:r w:rsidRPr="009C09D9">
              <w:rPr>
                <w:sz w:val="20"/>
                <w:szCs w:val="20"/>
              </w:rPr>
              <w:t>0-60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0D" w:rsidRPr="009C09D9" w:rsidRDefault="007F4A0D" w:rsidP="001C443B">
            <w:pPr>
              <w:pStyle w:val="ListParagraph"/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  <w:r w:rsidRPr="009C09D9">
              <w:rPr>
                <w:sz w:val="20"/>
                <w:szCs w:val="20"/>
              </w:rPr>
              <w:t>normal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0D" w:rsidRPr="009C09D9" w:rsidRDefault="007F4A0D" w:rsidP="001C443B">
            <w:pPr>
              <w:pStyle w:val="ListParagraph"/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  <w:r w:rsidRPr="009C09D9">
              <w:rPr>
                <w:sz w:val="20"/>
                <w:szCs w:val="20"/>
              </w:rPr>
              <w:t>normal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F4A0D" w:rsidRPr="009C09D9" w:rsidRDefault="007F4A0D" w:rsidP="001C443B">
            <w:pPr>
              <w:pStyle w:val="ListParagraph"/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  <w:r w:rsidRPr="009C09D9">
              <w:rPr>
                <w:sz w:val="20"/>
                <w:szCs w:val="20"/>
              </w:rPr>
              <w:t>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F4A0D" w:rsidRPr="009C09D9" w:rsidRDefault="007F4A0D" w:rsidP="001C443B">
            <w:pPr>
              <w:pStyle w:val="ListParagraph"/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  <w:r w:rsidRPr="009C09D9">
              <w:rPr>
                <w:sz w:val="20"/>
                <w:szCs w:val="20"/>
              </w:rPr>
              <w:t>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0D" w:rsidRPr="009C09D9" w:rsidRDefault="007F4A0D" w:rsidP="001C443B">
            <w:pPr>
              <w:pStyle w:val="ListParagraph"/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  <w:r w:rsidRPr="009C09D9">
              <w:rPr>
                <w:sz w:val="20"/>
                <w:szCs w:val="20"/>
              </w:rPr>
              <w:t>0-30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0D" w:rsidRPr="009C09D9" w:rsidRDefault="007F4A0D" w:rsidP="001C443B">
            <w:pPr>
              <w:pStyle w:val="ListParagraph"/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  <w:r w:rsidRPr="009C09D9">
              <w:rPr>
                <w:sz w:val="20"/>
                <w:szCs w:val="20"/>
              </w:rPr>
              <w:t>0-45</w:t>
            </w:r>
          </w:p>
        </w:tc>
      </w:tr>
      <w:tr w:rsidR="007F4A0D" w:rsidRPr="009C09D9" w:rsidTr="00CF5A04">
        <w:trPr>
          <w:trHeight w:val="53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0D" w:rsidRPr="009C09D9" w:rsidRDefault="007F4A0D" w:rsidP="001C443B">
            <w:pPr>
              <w:pStyle w:val="ListParagraph"/>
              <w:spacing w:after="0" w:line="240" w:lineRule="exact"/>
              <w:ind w:left="0"/>
              <w:rPr>
                <w:sz w:val="20"/>
                <w:szCs w:val="20"/>
              </w:rPr>
            </w:pPr>
            <w:r w:rsidRPr="009C09D9">
              <w:rPr>
                <w:sz w:val="20"/>
                <w:szCs w:val="20"/>
              </w:rPr>
              <w:t>Internal Rotation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0D" w:rsidRPr="009C09D9" w:rsidRDefault="007F4A0D" w:rsidP="001C443B">
            <w:pPr>
              <w:pStyle w:val="ListParagraph"/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  <w:r w:rsidRPr="009C09D9">
              <w:rPr>
                <w:sz w:val="20"/>
                <w:szCs w:val="20"/>
              </w:rPr>
              <w:t>0-40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0D" w:rsidRPr="009C09D9" w:rsidRDefault="007F4A0D" w:rsidP="001C443B">
            <w:pPr>
              <w:pStyle w:val="ListParagraph"/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  <w:r w:rsidRPr="009C09D9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0D" w:rsidRPr="009C09D9" w:rsidRDefault="007F4A0D" w:rsidP="001C443B">
            <w:pPr>
              <w:pStyle w:val="ListParagraph"/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  <w:r w:rsidRPr="009C09D9">
              <w:rPr>
                <w:sz w:val="20"/>
                <w:szCs w:val="20"/>
              </w:rPr>
              <w:t>Neutral w/pain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F4A0D" w:rsidRPr="009C09D9" w:rsidRDefault="007F4A0D" w:rsidP="001C443B">
            <w:pPr>
              <w:pStyle w:val="ListParagraph"/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  <w:r w:rsidRPr="009C09D9"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F4A0D" w:rsidRPr="009C09D9" w:rsidRDefault="007F4A0D" w:rsidP="001C443B">
            <w:pPr>
              <w:pStyle w:val="ListParagraph"/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  <w:r w:rsidRPr="009C09D9">
              <w:rPr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0D" w:rsidRPr="009C09D9" w:rsidRDefault="007F4A0D" w:rsidP="001C443B">
            <w:pPr>
              <w:pStyle w:val="ListParagraph"/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  <w:r w:rsidRPr="009C09D9">
              <w:rPr>
                <w:sz w:val="20"/>
                <w:szCs w:val="20"/>
              </w:rPr>
              <w:t>0-20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0D" w:rsidRPr="009C09D9" w:rsidRDefault="007F4A0D" w:rsidP="001C443B">
            <w:pPr>
              <w:pStyle w:val="ListParagraph"/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  <w:r w:rsidRPr="009C09D9">
              <w:rPr>
                <w:sz w:val="20"/>
                <w:szCs w:val="20"/>
              </w:rPr>
              <w:t>0-20</w:t>
            </w:r>
          </w:p>
        </w:tc>
      </w:tr>
    </w:tbl>
    <w:p w:rsidR="00420537" w:rsidRPr="009C09D9" w:rsidRDefault="00420537" w:rsidP="001C443B">
      <w:pPr>
        <w:spacing w:line="240" w:lineRule="exact"/>
        <w:rPr>
          <w:rFonts w:asciiTheme="minorHAnsi" w:hAnsiTheme="minorHAnsi"/>
          <w:color w:val="auto"/>
          <w:szCs w:val="24"/>
        </w:rPr>
      </w:pPr>
    </w:p>
    <w:p w:rsidR="00420537" w:rsidRPr="009C09D9" w:rsidRDefault="0088296B" w:rsidP="001C443B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  <w:szCs w:val="24"/>
        </w:rPr>
      </w:pPr>
      <w:r w:rsidRPr="009C09D9">
        <w:rPr>
          <w:rFonts w:asciiTheme="minorHAnsi" w:hAnsiTheme="minorHAnsi"/>
          <w:color w:val="auto"/>
          <w:szCs w:val="24"/>
        </w:rPr>
        <w:t xml:space="preserve">The Navy </w:t>
      </w:r>
      <w:r w:rsidR="00F30778" w:rsidRPr="009C09D9">
        <w:rPr>
          <w:rFonts w:asciiTheme="minorHAnsi" w:hAnsiTheme="minorHAnsi"/>
          <w:color w:val="auto"/>
          <w:szCs w:val="24"/>
        </w:rPr>
        <w:t xml:space="preserve">rated the condition </w:t>
      </w:r>
      <w:r w:rsidRPr="009C09D9">
        <w:rPr>
          <w:rFonts w:asciiTheme="minorHAnsi" w:hAnsiTheme="minorHAnsi"/>
          <w:color w:val="auto"/>
          <w:szCs w:val="24"/>
        </w:rPr>
        <w:t>us</w:t>
      </w:r>
      <w:r w:rsidR="00F30778" w:rsidRPr="009C09D9">
        <w:rPr>
          <w:rFonts w:asciiTheme="minorHAnsi" w:hAnsiTheme="minorHAnsi"/>
          <w:color w:val="auto"/>
          <w:szCs w:val="24"/>
        </w:rPr>
        <w:t>ing VASRD</w:t>
      </w:r>
      <w:r w:rsidRPr="009C09D9">
        <w:rPr>
          <w:rFonts w:asciiTheme="minorHAnsi" w:hAnsiTheme="minorHAnsi"/>
          <w:color w:val="auto"/>
          <w:szCs w:val="24"/>
        </w:rPr>
        <w:t xml:space="preserve"> 5299-5003 and the VA used 5003-5255. </w:t>
      </w:r>
      <w:r w:rsidR="009C09D9">
        <w:rPr>
          <w:rFonts w:asciiTheme="minorHAnsi" w:hAnsiTheme="minorHAnsi"/>
          <w:color w:val="auto"/>
          <w:szCs w:val="24"/>
        </w:rPr>
        <w:t xml:space="preserve"> </w:t>
      </w:r>
      <w:r w:rsidRPr="009C09D9">
        <w:rPr>
          <w:rFonts w:asciiTheme="minorHAnsi" w:hAnsiTheme="minorHAnsi"/>
          <w:color w:val="auto"/>
          <w:szCs w:val="24"/>
        </w:rPr>
        <w:t xml:space="preserve">In accordance with the 2002 VASRD the rating is based on the limitation of the range of motion. </w:t>
      </w:r>
      <w:r w:rsidR="00F30778" w:rsidRPr="009C09D9">
        <w:rPr>
          <w:rFonts w:asciiTheme="minorHAnsi" w:hAnsiTheme="minorHAnsi"/>
          <w:color w:val="auto"/>
          <w:szCs w:val="24"/>
        </w:rPr>
        <w:t>The ROM limitations did not meet the minimal compensable level</w:t>
      </w:r>
      <w:r w:rsidR="000B4ABA" w:rsidRPr="009C09D9">
        <w:rPr>
          <w:rFonts w:asciiTheme="minorHAnsi" w:hAnsiTheme="minorHAnsi"/>
          <w:color w:val="auto"/>
          <w:szCs w:val="24"/>
        </w:rPr>
        <w:t xml:space="preserve"> for the hip</w:t>
      </w:r>
      <w:r w:rsidR="00F30778" w:rsidRPr="009C09D9">
        <w:rPr>
          <w:rFonts w:asciiTheme="minorHAnsi" w:hAnsiTheme="minorHAnsi"/>
          <w:color w:val="auto"/>
          <w:szCs w:val="24"/>
        </w:rPr>
        <w:t xml:space="preserve">. </w:t>
      </w:r>
      <w:r w:rsidR="009C09D9">
        <w:rPr>
          <w:rFonts w:asciiTheme="minorHAnsi" w:hAnsiTheme="minorHAnsi"/>
          <w:color w:val="auto"/>
          <w:szCs w:val="24"/>
        </w:rPr>
        <w:t xml:space="preserve"> </w:t>
      </w:r>
      <w:r w:rsidR="00F30778" w:rsidRPr="009C09D9">
        <w:rPr>
          <w:rFonts w:asciiTheme="minorHAnsi" w:hAnsiTheme="minorHAnsi"/>
          <w:color w:val="auto"/>
          <w:szCs w:val="24"/>
        </w:rPr>
        <w:t>However, the 2002 VASRD §</w:t>
      </w:r>
      <w:r w:rsidR="00F30778" w:rsidRPr="009C09D9">
        <w:rPr>
          <w:rFonts w:asciiTheme="minorHAnsi" w:eastAsiaTheme="minorHAnsi" w:hAnsiTheme="minorHAnsi"/>
          <w:color w:val="auto"/>
          <w:szCs w:val="24"/>
        </w:rPr>
        <w:t xml:space="preserve">4.59 states: ‘The intent of the schedule is to recognize painful motion with joint or </w:t>
      </w:r>
      <w:proofErr w:type="spellStart"/>
      <w:r w:rsidR="00F30778" w:rsidRPr="009C09D9">
        <w:rPr>
          <w:rFonts w:asciiTheme="minorHAnsi" w:eastAsiaTheme="minorHAnsi" w:hAnsiTheme="minorHAnsi"/>
          <w:color w:val="auto"/>
          <w:szCs w:val="24"/>
        </w:rPr>
        <w:t>periarticular</w:t>
      </w:r>
      <w:proofErr w:type="spellEnd"/>
      <w:r w:rsidR="00F30778" w:rsidRPr="009C09D9">
        <w:rPr>
          <w:rFonts w:asciiTheme="minorHAnsi" w:eastAsiaTheme="minorHAnsi" w:hAnsiTheme="minorHAnsi"/>
          <w:color w:val="auto"/>
          <w:szCs w:val="24"/>
        </w:rPr>
        <w:t xml:space="preserve"> pathology as productive of disability. </w:t>
      </w:r>
      <w:r w:rsidR="009C09D9">
        <w:rPr>
          <w:rFonts w:asciiTheme="minorHAnsi" w:eastAsiaTheme="minorHAnsi" w:hAnsiTheme="minorHAnsi"/>
          <w:color w:val="auto"/>
          <w:szCs w:val="24"/>
        </w:rPr>
        <w:t xml:space="preserve"> </w:t>
      </w:r>
      <w:r w:rsidR="00F30778" w:rsidRPr="009C09D9">
        <w:rPr>
          <w:rFonts w:asciiTheme="minorHAnsi" w:eastAsiaTheme="minorHAnsi" w:hAnsiTheme="minorHAnsi"/>
          <w:color w:val="auto"/>
          <w:szCs w:val="24"/>
        </w:rPr>
        <w:t xml:space="preserve">It is the intention to recognize actually painful, unstable, or </w:t>
      </w:r>
      <w:proofErr w:type="spellStart"/>
      <w:r w:rsidR="00F30778" w:rsidRPr="009C09D9">
        <w:rPr>
          <w:rFonts w:asciiTheme="minorHAnsi" w:eastAsiaTheme="minorHAnsi" w:hAnsiTheme="minorHAnsi"/>
          <w:color w:val="auto"/>
          <w:szCs w:val="24"/>
        </w:rPr>
        <w:t>malaligned</w:t>
      </w:r>
      <w:proofErr w:type="spellEnd"/>
      <w:r w:rsidR="00F30778" w:rsidRPr="009C09D9">
        <w:rPr>
          <w:rFonts w:asciiTheme="minorHAnsi" w:eastAsiaTheme="minorHAnsi" w:hAnsiTheme="minorHAnsi"/>
          <w:color w:val="auto"/>
          <w:szCs w:val="24"/>
        </w:rPr>
        <w:t xml:space="preserve"> joints, due to healed injury, as entitled to at least the minimum compensable rating for the joint.’ </w:t>
      </w:r>
      <w:r w:rsidR="009C09D9">
        <w:rPr>
          <w:rFonts w:asciiTheme="minorHAnsi" w:eastAsiaTheme="minorHAnsi" w:hAnsiTheme="minorHAnsi"/>
          <w:color w:val="auto"/>
          <w:szCs w:val="24"/>
        </w:rPr>
        <w:t xml:space="preserve"> </w:t>
      </w:r>
      <w:r w:rsidR="00F30778" w:rsidRPr="009C09D9">
        <w:rPr>
          <w:rFonts w:asciiTheme="minorHAnsi" w:eastAsiaTheme="minorHAnsi" w:hAnsiTheme="minorHAnsi"/>
          <w:color w:val="auto"/>
          <w:szCs w:val="24"/>
        </w:rPr>
        <w:t>The minimum compensable rating under 5003 or 5255 is 10%.</w:t>
      </w:r>
    </w:p>
    <w:p w:rsidR="00684E2B" w:rsidRPr="009C09D9" w:rsidRDefault="00684E2B" w:rsidP="001C443B">
      <w:pPr>
        <w:tabs>
          <w:tab w:val="left" w:pos="288"/>
          <w:tab w:val="left" w:pos="4752"/>
        </w:tabs>
        <w:spacing w:line="240" w:lineRule="exact"/>
        <w:rPr>
          <w:rFonts w:asciiTheme="minorHAnsi" w:hAnsiTheme="minorHAnsi"/>
          <w:color w:val="auto"/>
          <w:szCs w:val="24"/>
        </w:rPr>
      </w:pPr>
    </w:p>
    <w:p w:rsidR="00420537" w:rsidRPr="009C09D9" w:rsidRDefault="00A258B7" w:rsidP="001C443B">
      <w:pPr>
        <w:tabs>
          <w:tab w:val="left" w:pos="288"/>
          <w:tab w:val="left" w:pos="4752"/>
        </w:tabs>
        <w:spacing w:line="240" w:lineRule="exact"/>
        <w:rPr>
          <w:rFonts w:asciiTheme="minorHAnsi" w:hAnsiTheme="minorHAnsi"/>
          <w:color w:val="auto"/>
          <w:szCs w:val="24"/>
        </w:rPr>
      </w:pPr>
      <w:r w:rsidRPr="009C09D9">
        <w:rPr>
          <w:rFonts w:asciiTheme="minorHAnsi" w:hAnsiTheme="minorHAnsi"/>
          <w:color w:val="auto"/>
          <w:szCs w:val="24"/>
          <w:u w:val="single"/>
        </w:rPr>
        <w:t>Other Conditions</w:t>
      </w:r>
      <w:r w:rsidR="009C09D9">
        <w:rPr>
          <w:rFonts w:asciiTheme="minorHAnsi" w:hAnsiTheme="minorHAnsi"/>
          <w:color w:val="auto"/>
          <w:szCs w:val="24"/>
          <w:u w:val="single"/>
        </w:rPr>
        <w:t>:</w:t>
      </w:r>
      <w:r w:rsidRPr="009C09D9">
        <w:rPr>
          <w:rFonts w:asciiTheme="minorHAnsi" w:hAnsiTheme="minorHAnsi"/>
          <w:color w:val="auto"/>
          <w:szCs w:val="24"/>
        </w:rPr>
        <w:t xml:space="preserve">  </w:t>
      </w:r>
    </w:p>
    <w:p w:rsidR="00FE799D" w:rsidRPr="009C09D9" w:rsidRDefault="00FE799D" w:rsidP="009C09D9">
      <w:pPr>
        <w:tabs>
          <w:tab w:val="left" w:pos="288"/>
          <w:tab w:val="left" w:pos="4752"/>
        </w:tabs>
        <w:spacing w:line="240" w:lineRule="exact"/>
        <w:rPr>
          <w:rFonts w:asciiTheme="minorHAnsi" w:hAnsiTheme="minorHAnsi"/>
          <w:color w:val="auto"/>
          <w:szCs w:val="24"/>
        </w:rPr>
      </w:pPr>
      <w:proofErr w:type="gramStart"/>
      <w:r w:rsidRPr="009C09D9">
        <w:rPr>
          <w:rFonts w:asciiTheme="minorHAnsi" w:hAnsiTheme="minorHAnsi"/>
          <w:color w:val="auto"/>
          <w:szCs w:val="24"/>
        </w:rPr>
        <w:t>Asthma/</w:t>
      </w:r>
      <w:r w:rsidR="000B4ABA" w:rsidRPr="009C09D9">
        <w:rPr>
          <w:rFonts w:asciiTheme="minorHAnsi" w:hAnsiTheme="minorHAnsi"/>
          <w:color w:val="auto"/>
          <w:szCs w:val="24"/>
        </w:rPr>
        <w:t>Obstructive Pulmonary Disease and Bilateral Hearing Loss</w:t>
      </w:r>
      <w:r w:rsidR="009C09D9">
        <w:rPr>
          <w:rFonts w:asciiTheme="minorHAnsi" w:hAnsiTheme="minorHAnsi"/>
          <w:color w:val="auto"/>
          <w:szCs w:val="24"/>
        </w:rPr>
        <w:t>.</w:t>
      </w:r>
      <w:proofErr w:type="gramEnd"/>
      <w:r w:rsidR="009C09D9">
        <w:rPr>
          <w:rFonts w:asciiTheme="minorHAnsi" w:hAnsiTheme="minorHAnsi"/>
          <w:color w:val="auto"/>
          <w:szCs w:val="24"/>
        </w:rPr>
        <w:t xml:space="preserve">  </w:t>
      </w:r>
      <w:r w:rsidRPr="009C09D9">
        <w:rPr>
          <w:rFonts w:asciiTheme="minorHAnsi" w:hAnsiTheme="minorHAnsi"/>
          <w:color w:val="auto"/>
          <w:szCs w:val="24"/>
        </w:rPr>
        <w:t>There is no evidence th</w:t>
      </w:r>
      <w:r w:rsidR="000B4ABA" w:rsidRPr="009C09D9">
        <w:rPr>
          <w:rFonts w:asciiTheme="minorHAnsi" w:hAnsiTheme="minorHAnsi"/>
          <w:color w:val="auto"/>
          <w:szCs w:val="24"/>
        </w:rPr>
        <w:t>ese</w:t>
      </w:r>
      <w:r w:rsidRPr="009C09D9">
        <w:rPr>
          <w:rFonts w:asciiTheme="minorHAnsi" w:hAnsiTheme="minorHAnsi"/>
          <w:color w:val="auto"/>
          <w:szCs w:val="24"/>
        </w:rPr>
        <w:t xml:space="preserve"> condition</w:t>
      </w:r>
      <w:r w:rsidR="000B4ABA" w:rsidRPr="009C09D9">
        <w:rPr>
          <w:rFonts w:asciiTheme="minorHAnsi" w:hAnsiTheme="minorHAnsi"/>
          <w:color w:val="auto"/>
          <w:szCs w:val="24"/>
        </w:rPr>
        <w:t>s</w:t>
      </w:r>
      <w:r w:rsidRPr="009C09D9">
        <w:rPr>
          <w:rFonts w:asciiTheme="minorHAnsi" w:hAnsiTheme="minorHAnsi"/>
          <w:color w:val="auto"/>
          <w:szCs w:val="24"/>
        </w:rPr>
        <w:t xml:space="preserve"> w</w:t>
      </w:r>
      <w:r w:rsidR="000B4ABA" w:rsidRPr="009C09D9">
        <w:rPr>
          <w:rFonts w:asciiTheme="minorHAnsi" w:hAnsiTheme="minorHAnsi"/>
          <w:color w:val="auto"/>
          <w:szCs w:val="24"/>
        </w:rPr>
        <w:t>ere</w:t>
      </w:r>
      <w:r w:rsidRPr="009C09D9">
        <w:rPr>
          <w:rFonts w:asciiTheme="minorHAnsi" w:hAnsiTheme="minorHAnsi"/>
          <w:color w:val="auto"/>
          <w:szCs w:val="24"/>
        </w:rPr>
        <w:t xml:space="preserve"> unfitting at the time of separation from service. </w:t>
      </w:r>
      <w:r w:rsidR="000B4ABA" w:rsidRPr="009C09D9">
        <w:rPr>
          <w:rFonts w:asciiTheme="minorHAnsi" w:hAnsiTheme="minorHAnsi"/>
          <w:color w:val="auto"/>
          <w:szCs w:val="24"/>
        </w:rPr>
        <w:t>Neither</w:t>
      </w:r>
      <w:r w:rsidRPr="009C09D9">
        <w:rPr>
          <w:rFonts w:asciiTheme="minorHAnsi" w:hAnsiTheme="minorHAnsi"/>
          <w:color w:val="auto"/>
          <w:szCs w:val="24"/>
        </w:rPr>
        <w:t xml:space="preserve"> interfere</w:t>
      </w:r>
      <w:r w:rsidR="000B4ABA" w:rsidRPr="009C09D9">
        <w:rPr>
          <w:rFonts w:asciiTheme="minorHAnsi" w:hAnsiTheme="minorHAnsi"/>
          <w:color w:val="auto"/>
          <w:szCs w:val="24"/>
        </w:rPr>
        <w:t>d</w:t>
      </w:r>
      <w:r w:rsidRPr="009C09D9">
        <w:rPr>
          <w:rFonts w:asciiTheme="minorHAnsi" w:hAnsiTheme="minorHAnsi"/>
          <w:color w:val="auto"/>
          <w:szCs w:val="24"/>
        </w:rPr>
        <w:t xml:space="preserve"> with performance of required duties and no duty restrictions are attributed to </w:t>
      </w:r>
      <w:r w:rsidR="000B4ABA" w:rsidRPr="009C09D9">
        <w:rPr>
          <w:rFonts w:asciiTheme="minorHAnsi" w:hAnsiTheme="minorHAnsi"/>
          <w:color w:val="auto"/>
          <w:szCs w:val="24"/>
        </w:rPr>
        <w:t>either</w:t>
      </w:r>
      <w:r w:rsidRPr="009C09D9">
        <w:rPr>
          <w:rFonts w:asciiTheme="minorHAnsi" w:hAnsiTheme="minorHAnsi"/>
          <w:color w:val="auto"/>
          <w:szCs w:val="24"/>
        </w:rPr>
        <w:t xml:space="preserve"> condition.</w:t>
      </w:r>
    </w:p>
    <w:p w:rsidR="0055396A" w:rsidRPr="009C09D9" w:rsidRDefault="0055396A" w:rsidP="001C443B">
      <w:pPr>
        <w:tabs>
          <w:tab w:val="left" w:pos="288"/>
          <w:tab w:val="left" w:pos="4752"/>
        </w:tabs>
        <w:spacing w:line="240" w:lineRule="exact"/>
        <w:rPr>
          <w:rFonts w:asciiTheme="minorHAnsi" w:hAnsiTheme="minorHAnsi"/>
          <w:color w:val="auto"/>
          <w:szCs w:val="24"/>
          <w:u w:val="single"/>
        </w:rPr>
      </w:pPr>
    </w:p>
    <w:p w:rsidR="00420537" w:rsidRPr="009C09D9" w:rsidRDefault="00420537" w:rsidP="001C443B">
      <w:pPr>
        <w:tabs>
          <w:tab w:val="left" w:pos="288"/>
          <w:tab w:val="left" w:pos="4752"/>
        </w:tabs>
        <w:spacing w:line="240" w:lineRule="exact"/>
        <w:rPr>
          <w:rFonts w:asciiTheme="minorHAnsi" w:hAnsiTheme="minorHAnsi"/>
          <w:color w:val="auto"/>
          <w:szCs w:val="24"/>
          <w:u w:val="single"/>
        </w:rPr>
      </w:pPr>
      <w:r w:rsidRPr="009C09D9">
        <w:rPr>
          <w:rFonts w:asciiTheme="minorHAnsi" w:hAnsiTheme="minorHAnsi"/>
          <w:color w:val="auto"/>
          <w:szCs w:val="24"/>
          <w:u w:val="single"/>
        </w:rPr>
        <w:t xml:space="preserve">Other Conditions Not in the </w:t>
      </w:r>
      <w:r w:rsidR="009C09D9">
        <w:rPr>
          <w:rFonts w:asciiTheme="minorHAnsi" w:hAnsiTheme="minorHAnsi"/>
          <w:color w:val="auto"/>
          <w:szCs w:val="24"/>
          <w:u w:val="single"/>
        </w:rPr>
        <w:t>Disability Evaluation System (</w:t>
      </w:r>
      <w:r w:rsidRPr="009C09D9">
        <w:rPr>
          <w:rFonts w:asciiTheme="minorHAnsi" w:hAnsiTheme="minorHAnsi"/>
          <w:color w:val="auto"/>
          <w:szCs w:val="24"/>
          <w:u w:val="single"/>
        </w:rPr>
        <w:t>DES</w:t>
      </w:r>
      <w:r w:rsidR="009C09D9">
        <w:rPr>
          <w:rFonts w:asciiTheme="minorHAnsi" w:hAnsiTheme="minorHAnsi"/>
          <w:color w:val="auto"/>
          <w:szCs w:val="24"/>
          <w:u w:val="single"/>
        </w:rPr>
        <w:t>) Package:</w:t>
      </w:r>
    </w:p>
    <w:p w:rsidR="00A258B7" w:rsidRPr="009C09D9" w:rsidRDefault="00447AB9" w:rsidP="001C443B">
      <w:pPr>
        <w:tabs>
          <w:tab w:val="left" w:pos="288"/>
          <w:tab w:val="left" w:pos="4752"/>
        </w:tabs>
        <w:spacing w:line="240" w:lineRule="exact"/>
        <w:rPr>
          <w:rFonts w:asciiTheme="minorHAnsi" w:hAnsiTheme="minorHAnsi"/>
          <w:color w:val="auto"/>
          <w:szCs w:val="24"/>
        </w:rPr>
      </w:pPr>
      <w:r w:rsidRPr="009C09D9">
        <w:rPr>
          <w:rFonts w:asciiTheme="minorHAnsi" w:hAnsiTheme="minorHAnsi"/>
          <w:color w:val="auto"/>
          <w:szCs w:val="24"/>
        </w:rPr>
        <w:t xml:space="preserve">Tinnitus, </w:t>
      </w:r>
      <w:proofErr w:type="spellStart"/>
      <w:r w:rsidRPr="009C09D9">
        <w:rPr>
          <w:rFonts w:asciiTheme="minorHAnsi" w:hAnsiTheme="minorHAnsi"/>
          <w:color w:val="auto"/>
          <w:szCs w:val="24"/>
        </w:rPr>
        <w:t>Folliculitis</w:t>
      </w:r>
      <w:proofErr w:type="spellEnd"/>
      <w:r w:rsidRPr="009C09D9">
        <w:rPr>
          <w:rFonts w:asciiTheme="minorHAnsi" w:hAnsiTheme="minorHAnsi"/>
          <w:color w:val="auto"/>
          <w:szCs w:val="24"/>
        </w:rPr>
        <w:t xml:space="preserve">, Lumbar Spine </w:t>
      </w:r>
      <w:proofErr w:type="spellStart"/>
      <w:r w:rsidRPr="009C09D9">
        <w:rPr>
          <w:rFonts w:asciiTheme="minorHAnsi" w:hAnsiTheme="minorHAnsi"/>
          <w:color w:val="auto"/>
          <w:szCs w:val="24"/>
        </w:rPr>
        <w:t>Retrolisthesis</w:t>
      </w:r>
      <w:proofErr w:type="spellEnd"/>
      <w:r w:rsidRPr="009C09D9">
        <w:rPr>
          <w:rFonts w:asciiTheme="minorHAnsi" w:hAnsiTheme="minorHAnsi"/>
          <w:color w:val="auto"/>
          <w:szCs w:val="24"/>
        </w:rPr>
        <w:t xml:space="preserve"> of L5,</w:t>
      </w:r>
      <w:r w:rsidR="00420537" w:rsidRPr="009C09D9">
        <w:rPr>
          <w:rFonts w:asciiTheme="minorHAnsi" w:hAnsiTheme="minorHAnsi"/>
          <w:color w:val="auto"/>
          <w:szCs w:val="24"/>
        </w:rPr>
        <w:t xml:space="preserve"> and</w:t>
      </w:r>
      <w:r w:rsidRPr="009C09D9">
        <w:rPr>
          <w:rFonts w:asciiTheme="minorHAnsi" w:hAnsiTheme="minorHAnsi"/>
          <w:color w:val="auto"/>
          <w:szCs w:val="24"/>
        </w:rPr>
        <w:t xml:space="preserve"> Bilateral Hearing Loss </w:t>
      </w:r>
    </w:p>
    <w:p w:rsidR="009C09D9" w:rsidRPr="009C09D9" w:rsidRDefault="009C09D9" w:rsidP="009C09D9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</w:rPr>
      </w:pPr>
      <w:r w:rsidRPr="009C09D9">
        <w:rPr>
          <w:rFonts w:asciiTheme="minorHAnsi" w:hAnsiTheme="minorHAnsi"/>
          <w:color w:val="auto"/>
          <w:u w:val="single"/>
        </w:rPr>
        <w:t>______________________________________________________________</w:t>
      </w:r>
      <w:r>
        <w:rPr>
          <w:rFonts w:asciiTheme="minorHAnsi" w:hAnsiTheme="minorHAnsi"/>
          <w:color w:val="auto"/>
          <w:u w:val="single"/>
        </w:rPr>
        <w:t>_______________</w:t>
      </w:r>
      <w:r w:rsidRPr="009C09D9">
        <w:rPr>
          <w:rFonts w:asciiTheme="minorHAnsi" w:hAnsiTheme="minorHAnsi"/>
          <w:color w:val="auto"/>
        </w:rPr>
        <w:t>_</w:t>
      </w:r>
    </w:p>
    <w:p w:rsidR="00A90D55" w:rsidRPr="009C09D9" w:rsidRDefault="00A90D55" w:rsidP="001C443B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  <w:szCs w:val="24"/>
        </w:rPr>
      </w:pPr>
    </w:p>
    <w:p w:rsidR="00FE799D" w:rsidRPr="009C09D9" w:rsidRDefault="00FB593A" w:rsidP="009C09D9">
      <w:pPr>
        <w:spacing w:line="240" w:lineRule="exact"/>
        <w:jc w:val="both"/>
        <w:rPr>
          <w:rFonts w:asciiTheme="minorHAnsi" w:hAnsiTheme="minorHAnsi"/>
          <w:color w:val="auto"/>
          <w:szCs w:val="24"/>
        </w:rPr>
      </w:pPr>
      <w:r w:rsidRPr="009C09D9">
        <w:rPr>
          <w:rFonts w:asciiTheme="minorHAnsi" w:hAnsiTheme="minorHAnsi"/>
          <w:color w:val="auto"/>
          <w:szCs w:val="24"/>
          <w:u w:val="single"/>
        </w:rPr>
        <w:t>BOARD FINDINGS</w:t>
      </w:r>
      <w:r w:rsidRPr="009C09D9">
        <w:rPr>
          <w:rFonts w:asciiTheme="minorHAnsi" w:hAnsiTheme="minorHAnsi"/>
          <w:color w:val="auto"/>
          <w:szCs w:val="24"/>
        </w:rPr>
        <w:t>:</w:t>
      </w:r>
      <w:r w:rsidRPr="009C09D9">
        <w:rPr>
          <w:rFonts w:asciiTheme="minorHAnsi" w:eastAsiaTheme="minorHAnsi" w:hAnsiTheme="minorHAnsi"/>
          <w:color w:val="auto"/>
          <w:szCs w:val="24"/>
        </w:rPr>
        <w:t xml:space="preserve">  IAW DoDI 6040.44, provisions of DoD or Military Department regulations or guidelines relied upon by the PEB will not be considered by the </w:t>
      </w:r>
      <w:r w:rsidR="007165CE" w:rsidRPr="009C09D9">
        <w:rPr>
          <w:rFonts w:asciiTheme="minorHAnsi" w:eastAsiaTheme="minorHAnsi" w:hAnsiTheme="minorHAnsi"/>
          <w:color w:val="auto"/>
          <w:szCs w:val="24"/>
        </w:rPr>
        <w:t>Board</w:t>
      </w:r>
      <w:r w:rsidRPr="009C09D9">
        <w:rPr>
          <w:rFonts w:asciiTheme="minorHAnsi" w:eastAsiaTheme="minorHAnsi" w:hAnsiTheme="minorHAnsi"/>
          <w:color w:val="auto"/>
          <w:szCs w:val="24"/>
        </w:rPr>
        <w:t xml:space="preserve"> to the extent they were inconsistent with the VASRD in effect at the time of the adjudication. </w:t>
      </w:r>
      <w:r w:rsidR="009C09D9">
        <w:rPr>
          <w:rFonts w:asciiTheme="minorHAnsi" w:eastAsiaTheme="minorHAnsi" w:hAnsiTheme="minorHAnsi"/>
          <w:color w:val="auto"/>
          <w:szCs w:val="24"/>
        </w:rPr>
        <w:t xml:space="preserve"> </w:t>
      </w:r>
      <w:r w:rsidR="00FE799D" w:rsidRPr="009C09D9">
        <w:rPr>
          <w:rFonts w:asciiTheme="minorHAnsi" w:eastAsiaTheme="minorHAnsi" w:hAnsiTheme="minorHAnsi"/>
          <w:color w:val="auto"/>
          <w:szCs w:val="24"/>
        </w:rPr>
        <w:t xml:space="preserve">After careful consideration of all available information the Board unanimously determined that the CI’s hip </w:t>
      </w:r>
      <w:r w:rsidR="00FE799D" w:rsidRPr="009C09D9">
        <w:rPr>
          <w:rFonts w:asciiTheme="minorHAnsi" w:eastAsiaTheme="minorHAnsi" w:hAnsiTheme="minorHAnsi"/>
          <w:color w:val="auto"/>
          <w:szCs w:val="24"/>
        </w:rPr>
        <w:lastRenderedPageBreak/>
        <w:t>condition is most appropriately rated at a combined 20% with 10% for each hip and a bilateral factor of 1.9.</w:t>
      </w:r>
      <w:r w:rsidR="009C09D9">
        <w:rPr>
          <w:rFonts w:asciiTheme="minorHAnsi" w:eastAsiaTheme="minorHAnsi" w:hAnsiTheme="minorHAnsi"/>
          <w:color w:val="auto"/>
          <w:szCs w:val="24"/>
        </w:rPr>
        <w:t xml:space="preserve">  </w:t>
      </w:r>
      <w:r w:rsidR="00FE799D" w:rsidRPr="009C09D9">
        <w:rPr>
          <w:rFonts w:asciiTheme="minorHAnsi" w:hAnsiTheme="minorHAnsi"/>
          <w:color w:val="auto"/>
          <w:szCs w:val="24"/>
        </w:rPr>
        <w:t xml:space="preserve">The CI’s bilateral hip degenerative joint disease resulted in limited range of motion of each hip joint at a level that did not meet the minimum compensable level. </w:t>
      </w:r>
      <w:r w:rsidR="009C09D9">
        <w:rPr>
          <w:rFonts w:asciiTheme="minorHAnsi" w:hAnsiTheme="minorHAnsi"/>
          <w:color w:val="auto"/>
          <w:szCs w:val="24"/>
        </w:rPr>
        <w:t xml:space="preserve"> </w:t>
      </w:r>
      <w:r w:rsidR="00FE799D" w:rsidRPr="009C09D9">
        <w:rPr>
          <w:rFonts w:asciiTheme="minorHAnsi" w:hAnsiTheme="minorHAnsi"/>
          <w:color w:val="auto"/>
          <w:szCs w:val="24"/>
        </w:rPr>
        <w:t>However, the 2002 VASRD §</w:t>
      </w:r>
      <w:r w:rsidR="00FE799D" w:rsidRPr="009C09D9">
        <w:rPr>
          <w:rFonts w:asciiTheme="minorHAnsi" w:eastAsiaTheme="minorHAnsi" w:hAnsiTheme="minorHAnsi"/>
          <w:color w:val="auto"/>
          <w:szCs w:val="24"/>
        </w:rPr>
        <w:t xml:space="preserve">4.59 states: ‘The intent of the schedule is to recognize painful motion with joint or </w:t>
      </w:r>
      <w:proofErr w:type="spellStart"/>
      <w:r w:rsidR="00FE799D" w:rsidRPr="009C09D9">
        <w:rPr>
          <w:rFonts w:asciiTheme="minorHAnsi" w:eastAsiaTheme="minorHAnsi" w:hAnsiTheme="minorHAnsi"/>
          <w:color w:val="auto"/>
          <w:szCs w:val="24"/>
        </w:rPr>
        <w:t>periarticular</w:t>
      </w:r>
      <w:proofErr w:type="spellEnd"/>
      <w:r w:rsidR="00FE799D" w:rsidRPr="009C09D9">
        <w:rPr>
          <w:rFonts w:asciiTheme="minorHAnsi" w:eastAsiaTheme="minorHAnsi" w:hAnsiTheme="minorHAnsi"/>
          <w:color w:val="auto"/>
          <w:szCs w:val="24"/>
        </w:rPr>
        <w:t xml:space="preserve"> pathology as productive of disability. </w:t>
      </w:r>
      <w:r w:rsidR="009C09D9">
        <w:rPr>
          <w:rFonts w:asciiTheme="minorHAnsi" w:eastAsiaTheme="minorHAnsi" w:hAnsiTheme="minorHAnsi"/>
          <w:color w:val="auto"/>
          <w:szCs w:val="24"/>
        </w:rPr>
        <w:t xml:space="preserve"> </w:t>
      </w:r>
      <w:r w:rsidR="00FE799D" w:rsidRPr="009C09D9">
        <w:rPr>
          <w:rFonts w:asciiTheme="minorHAnsi" w:eastAsiaTheme="minorHAnsi" w:hAnsiTheme="minorHAnsi"/>
          <w:color w:val="auto"/>
          <w:szCs w:val="24"/>
        </w:rPr>
        <w:t xml:space="preserve">It is the intention to recognize actually painful, unstable, or </w:t>
      </w:r>
      <w:proofErr w:type="spellStart"/>
      <w:r w:rsidR="00FE799D" w:rsidRPr="009C09D9">
        <w:rPr>
          <w:rFonts w:asciiTheme="minorHAnsi" w:eastAsiaTheme="minorHAnsi" w:hAnsiTheme="minorHAnsi"/>
          <w:color w:val="auto"/>
          <w:szCs w:val="24"/>
        </w:rPr>
        <w:t>malaligned</w:t>
      </w:r>
      <w:proofErr w:type="spellEnd"/>
      <w:r w:rsidR="00FE799D" w:rsidRPr="009C09D9">
        <w:rPr>
          <w:rFonts w:asciiTheme="minorHAnsi" w:eastAsiaTheme="minorHAnsi" w:hAnsiTheme="minorHAnsi"/>
          <w:color w:val="auto"/>
          <w:szCs w:val="24"/>
        </w:rPr>
        <w:t xml:space="preserve"> joints, due to healed injury, as entitled to at least the minimum compensable rating for the joint.’ </w:t>
      </w:r>
      <w:r w:rsidR="009C09D9">
        <w:rPr>
          <w:rFonts w:asciiTheme="minorHAnsi" w:eastAsiaTheme="minorHAnsi" w:hAnsiTheme="minorHAnsi"/>
          <w:color w:val="auto"/>
          <w:szCs w:val="24"/>
        </w:rPr>
        <w:t xml:space="preserve"> </w:t>
      </w:r>
      <w:r w:rsidR="00FE799D" w:rsidRPr="009C09D9">
        <w:rPr>
          <w:rFonts w:asciiTheme="minorHAnsi" w:eastAsiaTheme="minorHAnsi" w:hAnsiTheme="minorHAnsi"/>
          <w:color w:val="auto"/>
          <w:szCs w:val="24"/>
        </w:rPr>
        <w:t xml:space="preserve">The minimum compensable rating under either 5003 or 5255 is 10%. </w:t>
      </w:r>
      <w:r w:rsidR="009C09D9">
        <w:rPr>
          <w:rFonts w:asciiTheme="minorHAnsi" w:eastAsiaTheme="minorHAnsi" w:hAnsiTheme="minorHAnsi"/>
          <w:color w:val="auto"/>
          <w:szCs w:val="24"/>
        </w:rPr>
        <w:t xml:space="preserve"> </w:t>
      </w:r>
      <w:r w:rsidR="00FE799D" w:rsidRPr="009C09D9">
        <w:rPr>
          <w:rFonts w:asciiTheme="minorHAnsi" w:eastAsiaTheme="minorHAnsi" w:hAnsiTheme="minorHAnsi"/>
          <w:color w:val="auto"/>
          <w:szCs w:val="24"/>
        </w:rPr>
        <w:t xml:space="preserve">Therefore each hip warrants a 10% rating. </w:t>
      </w:r>
    </w:p>
    <w:p w:rsidR="00B36FEB" w:rsidRPr="009C09D9" w:rsidRDefault="00C775A2" w:rsidP="001C443B">
      <w:pPr>
        <w:spacing w:line="240" w:lineRule="exact"/>
        <w:jc w:val="both"/>
        <w:rPr>
          <w:rFonts w:asciiTheme="minorHAnsi" w:eastAsiaTheme="minorHAnsi" w:hAnsiTheme="minorHAnsi"/>
          <w:color w:val="auto"/>
          <w:szCs w:val="24"/>
        </w:rPr>
      </w:pPr>
      <w:r w:rsidRPr="009C09D9">
        <w:rPr>
          <w:rFonts w:asciiTheme="minorHAnsi" w:eastAsiaTheme="minorHAnsi" w:hAnsiTheme="minorHAnsi"/>
          <w:color w:val="auto"/>
          <w:szCs w:val="24"/>
        </w:rPr>
        <w:t xml:space="preserve"> </w:t>
      </w:r>
    </w:p>
    <w:p w:rsidR="00B36FEB" w:rsidRPr="009C09D9" w:rsidRDefault="00B36FEB" w:rsidP="001C443B">
      <w:pPr>
        <w:spacing w:line="240" w:lineRule="exact"/>
        <w:jc w:val="both"/>
        <w:rPr>
          <w:rFonts w:asciiTheme="minorHAnsi" w:hAnsiTheme="minorHAnsi"/>
          <w:color w:val="FF0000"/>
          <w:szCs w:val="24"/>
        </w:rPr>
      </w:pPr>
      <w:r w:rsidRPr="009C09D9">
        <w:rPr>
          <w:rFonts w:asciiTheme="minorHAnsi" w:eastAsiaTheme="minorHAnsi" w:hAnsiTheme="minorHAnsi"/>
          <w:color w:val="auto"/>
          <w:szCs w:val="24"/>
        </w:rPr>
        <w:t xml:space="preserve">The Board also considered the condition of Asthma/Obstructive Pulmonary Disease </w:t>
      </w:r>
      <w:r w:rsidR="000B4ABA" w:rsidRPr="009C09D9">
        <w:rPr>
          <w:rFonts w:asciiTheme="minorHAnsi" w:eastAsiaTheme="minorHAnsi" w:hAnsiTheme="minorHAnsi"/>
          <w:color w:val="auto"/>
          <w:szCs w:val="24"/>
        </w:rPr>
        <w:t xml:space="preserve">and Bilateral Hearing Loss </w:t>
      </w:r>
      <w:r w:rsidRPr="009C09D9">
        <w:rPr>
          <w:rFonts w:asciiTheme="minorHAnsi" w:eastAsiaTheme="minorHAnsi" w:hAnsiTheme="minorHAnsi"/>
          <w:color w:val="auto"/>
          <w:szCs w:val="24"/>
        </w:rPr>
        <w:t>and unanimously determined that th</w:t>
      </w:r>
      <w:r w:rsidR="000B4ABA" w:rsidRPr="009C09D9">
        <w:rPr>
          <w:rFonts w:asciiTheme="minorHAnsi" w:eastAsiaTheme="minorHAnsi" w:hAnsiTheme="minorHAnsi"/>
          <w:color w:val="auto"/>
          <w:szCs w:val="24"/>
        </w:rPr>
        <w:t>ese</w:t>
      </w:r>
      <w:r w:rsidRPr="009C09D9">
        <w:rPr>
          <w:rFonts w:asciiTheme="minorHAnsi" w:eastAsiaTheme="minorHAnsi" w:hAnsiTheme="minorHAnsi"/>
          <w:color w:val="auto"/>
          <w:szCs w:val="24"/>
        </w:rPr>
        <w:t xml:space="preserve"> condition</w:t>
      </w:r>
      <w:r w:rsidR="000B4ABA" w:rsidRPr="009C09D9">
        <w:rPr>
          <w:rFonts w:asciiTheme="minorHAnsi" w:eastAsiaTheme="minorHAnsi" w:hAnsiTheme="minorHAnsi"/>
          <w:color w:val="auto"/>
          <w:szCs w:val="24"/>
        </w:rPr>
        <w:t>s</w:t>
      </w:r>
      <w:r w:rsidRPr="009C09D9">
        <w:rPr>
          <w:rFonts w:asciiTheme="minorHAnsi" w:eastAsiaTheme="minorHAnsi" w:hAnsiTheme="minorHAnsi"/>
          <w:color w:val="auto"/>
          <w:szCs w:val="24"/>
        </w:rPr>
        <w:t xml:space="preserve"> w</w:t>
      </w:r>
      <w:r w:rsidR="000B4ABA" w:rsidRPr="009C09D9">
        <w:rPr>
          <w:rFonts w:asciiTheme="minorHAnsi" w:eastAsiaTheme="minorHAnsi" w:hAnsiTheme="minorHAnsi"/>
          <w:color w:val="auto"/>
          <w:szCs w:val="24"/>
        </w:rPr>
        <w:t>ere</w:t>
      </w:r>
      <w:r w:rsidRPr="009C09D9">
        <w:rPr>
          <w:rFonts w:asciiTheme="minorHAnsi" w:eastAsiaTheme="minorHAnsi" w:hAnsiTheme="minorHAnsi"/>
          <w:color w:val="auto"/>
          <w:szCs w:val="24"/>
        </w:rPr>
        <w:t xml:space="preserve"> not unfitting at the time of separation from service and therefore no disability rating can be applied</w:t>
      </w:r>
      <w:r w:rsidR="000B4ABA" w:rsidRPr="009C09D9">
        <w:rPr>
          <w:rFonts w:asciiTheme="minorHAnsi" w:eastAsiaTheme="minorHAnsi" w:hAnsiTheme="minorHAnsi"/>
          <w:color w:val="auto"/>
          <w:szCs w:val="24"/>
        </w:rPr>
        <w:t xml:space="preserve"> to either condition</w:t>
      </w:r>
      <w:r w:rsidRPr="009C09D9">
        <w:rPr>
          <w:rFonts w:asciiTheme="minorHAnsi" w:eastAsiaTheme="minorHAnsi" w:hAnsiTheme="minorHAnsi"/>
          <w:color w:val="auto"/>
          <w:szCs w:val="24"/>
        </w:rPr>
        <w:t>.</w:t>
      </w:r>
      <w:r w:rsidR="009C09D9">
        <w:rPr>
          <w:rFonts w:asciiTheme="minorHAnsi" w:eastAsiaTheme="minorHAnsi" w:hAnsiTheme="minorHAnsi"/>
          <w:color w:val="auto"/>
          <w:szCs w:val="24"/>
        </w:rPr>
        <w:t xml:space="preserve">  </w:t>
      </w:r>
    </w:p>
    <w:p w:rsidR="001E5815" w:rsidRPr="009C09D9" w:rsidRDefault="001E5815" w:rsidP="001C443B">
      <w:pPr>
        <w:spacing w:line="240" w:lineRule="exact"/>
        <w:jc w:val="both"/>
        <w:rPr>
          <w:rFonts w:asciiTheme="minorHAnsi" w:eastAsiaTheme="minorHAnsi" w:hAnsiTheme="minorHAnsi"/>
          <w:color w:val="auto"/>
          <w:szCs w:val="24"/>
        </w:rPr>
      </w:pPr>
    </w:p>
    <w:p w:rsidR="001E5815" w:rsidRPr="009C09D9" w:rsidRDefault="001E5815" w:rsidP="001C443B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  <w:szCs w:val="24"/>
        </w:rPr>
      </w:pPr>
      <w:r w:rsidRPr="009C09D9">
        <w:rPr>
          <w:rFonts w:asciiTheme="minorHAnsi" w:hAnsiTheme="minorHAnsi"/>
          <w:color w:val="auto"/>
          <w:szCs w:val="24"/>
        </w:rPr>
        <w:t xml:space="preserve">The other diagnoses rated by the VA </w:t>
      </w:r>
      <w:r w:rsidR="00C775A2" w:rsidRPr="009C09D9">
        <w:rPr>
          <w:rFonts w:asciiTheme="minorHAnsi" w:hAnsiTheme="minorHAnsi"/>
          <w:color w:val="auto"/>
          <w:szCs w:val="24"/>
        </w:rPr>
        <w:t xml:space="preserve">(Tinnitus, </w:t>
      </w:r>
      <w:proofErr w:type="spellStart"/>
      <w:r w:rsidR="00C775A2" w:rsidRPr="009C09D9">
        <w:rPr>
          <w:rFonts w:asciiTheme="minorHAnsi" w:hAnsiTheme="minorHAnsi"/>
          <w:color w:val="auto"/>
          <w:szCs w:val="24"/>
        </w:rPr>
        <w:t>Folliculitis</w:t>
      </w:r>
      <w:proofErr w:type="spellEnd"/>
      <w:r w:rsidR="00C775A2" w:rsidRPr="009C09D9">
        <w:rPr>
          <w:rFonts w:asciiTheme="minorHAnsi" w:hAnsiTheme="minorHAnsi"/>
          <w:color w:val="auto"/>
          <w:szCs w:val="24"/>
        </w:rPr>
        <w:t xml:space="preserve">, Lumbar Spine </w:t>
      </w:r>
      <w:proofErr w:type="spellStart"/>
      <w:r w:rsidR="00C775A2" w:rsidRPr="009C09D9">
        <w:rPr>
          <w:rFonts w:asciiTheme="minorHAnsi" w:hAnsiTheme="minorHAnsi"/>
          <w:color w:val="auto"/>
          <w:szCs w:val="24"/>
        </w:rPr>
        <w:t>Retrolisthesis</w:t>
      </w:r>
      <w:proofErr w:type="spellEnd"/>
      <w:r w:rsidR="00C775A2" w:rsidRPr="009C09D9">
        <w:rPr>
          <w:rFonts w:asciiTheme="minorHAnsi" w:hAnsiTheme="minorHAnsi"/>
          <w:color w:val="auto"/>
          <w:szCs w:val="24"/>
        </w:rPr>
        <w:t xml:space="preserve"> of L5) </w:t>
      </w:r>
      <w:r w:rsidRPr="009C09D9">
        <w:rPr>
          <w:rFonts w:asciiTheme="minorHAnsi" w:hAnsiTheme="minorHAnsi"/>
          <w:color w:val="auto"/>
          <w:szCs w:val="24"/>
        </w:rPr>
        <w:t>were not mentioned in the Dis</w:t>
      </w:r>
      <w:r w:rsidR="009C09D9">
        <w:rPr>
          <w:rFonts w:asciiTheme="minorHAnsi" w:hAnsiTheme="minorHAnsi"/>
          <w:color w:val="auto"/>
          <w:szCs w:val="24"/>
        </w:rPr>
        <w:t xml:space="preserve">ability Evaluation System </w:t>
      </w:r>
      <w:r w:rsidRPr="009C09D9">
        <w:rPr>
          <w:rFonts w:asciiTheme="minorHAnsi" w:hAnsiTheme="minorHAnsi"/>
          <w:color w:val="auto"/>
          <w:szCs w:val="24"/>
        </w:rPr>
        <w:t xml:space="preserve">package and are therefore outside the scope of the Board. The CI retains the right to request his service Board of Correction for </w:t>
      </w:r>
      <w:r w:rsidR="008E276B" w:rsidRPr="009C09D9">
        <w:rPr>
          <w:rFonts w:asciiTheme="minorHAnsi" w:hAnsiTheme="minorHAnsi"/>
          <w:color w:val="auto"/>
          <w:szCs w:val="24"/>
        </w:rPr>
        <w:t>Naval</w:t>
      </w:r>
      <w:r w:rsidRPr="009C09D9">
        <w:rPr>
          <w:rFonts w:asciiTheme="minorHAnsi" w:hAnsiTheme="minorHAnsi"/>
          <w:color w:val="auto"/>
          <w:szCs w:val="24"/>
        </w:rPr>
        <w:t xml:space="preserve"> Records (BC</w:t>
      </w:r>
      <w:r w:rsidR="008E276B" w:rsidRPr="009C09D9">
        <w:rPr>
          <w:rFonts w:asciiTheme="minorHAnsi" w:hAnsiTheme="minorHAnsi"/>
          <w:color w:val="auto"/>
          <w:szCs w:val="24"/>
        </w:rPr>
        <w:t>N</w:t>
      </w:r>
      <w:r w:rsidRPr="009C09D9">
        <w:rPr>
          <w:rFonts w:asciiTheme="minorHAnsi" w:hAnsiTheme="minorHAnsi"/>
          <w:color w:val="auto"/>
          <w:szCs w:val="24"/>
        </w:rPr>
        <w:t>R) to consider adding these conditions as unfitting.</w:t>
      </w:r>
    </w:p>
    <w:p w:rsidR="009C09D9" w:rsidRPr="009C09D9" w:rsidRDefault="009C09D9" w:rsidP="009C09D9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</w:rPr>
      </w:pPr>
      <w:r w:rsidRPr="009C09D9">
        <w:rPr>
          <w:rFonts w:asciiTheme="minorHAnsi" w:hAnsiTheme="minorHAnsi"/>
          <w:color w:val="auto"/>
          <w:u w:val="single"/>
        </w:rPr>
        <w:t>______________________________________________________________</w:t>
      </w:r>
      <w:r>
        <w:rPr>
          <w:rFonts w:asciiTheme="minorHAnsi" w:hAnsiTheme="minorHAnsi"/>
          <w:color w:val="auto"/>
          <w:u w:val="single"/>
        </w:rPr>
        <w:t>_______________</w:t>
      </w:r>
      <w:r w:rsidRPr="009C09D9">
        <w:rPr>
          <w:rFonts w:asciiTheme="minorHAnsi" w:hAnsiTheme="minorHAnsi"/>
          <w:color w:val="auto"/>
        </w:rPr>
        <w:t>_</w:t>
      </w:r>
    </w:p>
    <w:p w:rsidR="00FB593A" w:rsidRPr="009C09D9" w:rsidRDefault="00FB593A" w:rsidP="001C443B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  <w:szCs w:val="24"/>
        </w:rPr>
      </w:pPr>
    </w:p>
    <w:p w:rsidR="00B36FEB" w:rsidRPr="009C09D9" w:rsidRDefault="00FB593A" w:rsidP="00B36FEB">
      <w:pPr>
        <w:spacing w:line="240" w:lineRule="exact"/>
        <w:jc w:val="both"/>
        <w:rPr>
          <w:rFonts w:asciiTheme="minorHAnsi" w:hAnsiTheme="minorHAnsi"/>
          <w:color w:val="000080"/>
          <w:szCs w:val="24"/>
        </w:rPr>
      </w:pPr>
      <w:r w:rsidRPr="009C09D9">
        <w:rPr>
          <w:rFonts w:asciiTheme="minorHAnsi" w:hAnsiTheme="minorHAnsi"/>
          <w:color w:val="auto"/>
          <w:szCs w:val="24"/>
          <w:u w:val="single"/>
        </w:rPr>
        <w:t>RECOMMENDATION</w:t>
      </w:r>
      <w:r w:rsidRPr="009C09D9">
        <w:rPr>
          <w:rFonts w:asciiTheme="minorHAnsi" w:hAnsiTheme="minorHAnsi"/>
          <w:color w:val="auto"/>
          <w:szCs w:val="24"/>
        </w:rPr>
        <w:t xml:space="preserve">: </w:t>
      </w:r>
      <w:r w:rsidR="00B36FEB" w:rsidRPr="009C09D9">
        <w:rPr>
          <w:rFonts w:asciiTheme="minorHAnsi" w:hAnsiTheme="minorHAnsi"/>
          <w:color w:val="auto"/>
          <w:szCs w:val="24"/>
        </w:rPr>
        <w:t>The Board recommends that the CI’s prior determination be modified as follows, effective as of the date of his prior medical separation.</w:t>
      </w:r>
    </w:p>
    <w:p w:rsidR="00FB593A" w:rsidRPr="009C09D9" w:rsidRDefault="00FB593A" w:rsidP="001C443B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  <w:szCs w:val="24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0"/>
        <w:gridCol w:w="2970"/>
        <w:gridCol w:w="1890"/>
        <w:gridCol w:w="1170"/>
      </w:tblGrid>
      <w:tr w:rsidR="00FB593A" w:rsidRPr="009C09D9" w:rsidTr="00B36FEB">
        <w:trPr>
          <w:trHeight w:val="287"/>
        </w:trPr>
        <w:tc>
          <w:tcPr>
            <w:tcW w:w="5940" w:type="dxa"/>
            <w:gridSpan w:val="2"/>
            <w:shd w:val="clear" w:color="auto" w:fill="D9D9D9"/>
          </w:tcPr>
          <w:p w:rsidR="00FB593A" w:rsidRPr="009C09D9" w:rsidRDefault="00FB593A" w:rsidP="001C443B">
            <w:pPr>
              <w:tabs>
                <w:tab w:val="left" w:pos="288"/>
                <w:tab w:val="left" w:pos="4752"/>
              </w:tabs>
              <w:spacing w:line="240" w:lineRule="exact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  <w:r w:rsidRPr="009C09D9">
              <w:rPr>
                <w:rFonts w:asciiTheme="minorHAnsi" w:hAnsiTheme="minorHAnsi"/>
                <w:b/>
                <w:color w:val="auto"/>
                <w:szCs w:val="24"/>
              </w:rPr>
              <w:t>UNFITTING CONDITION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FB593A" w:rsidRPr="009C09D9" w:rsidRDefault="00FB593A" w:rsidP="00FE799D">
            <w:pPr>
              <w:tabs>
                <w:tab w:val="left" w:pos="288"/>
                <w:tab w:val="left" w:pos="4752"/>
              </w:tabs>
              <w:spacing w:line="240" w:lineRule="exact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  <w:r w:rsidRPr="009C09D9">
              <w:rPr>
                <w:rFonts w:asciiTheme="minorHAnsi" w:hAnsiTheme="minorHAnsi"/>
                <w:b/>
                <w:color w:val="auto"/>
                <w:szCs w:val="24"/>
              </w:rPr>
              <w:t>VASRD CODE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FB593A" w:rsidRPr="009C09D9" w:rsidRDefault="00FB593A" w:rsidP="00FE799D">
            <w:pPr>
              <w:tabs>
                <w:tab w:val="left" w:pos="288"/>
                <w:tab w:val="left" w:pos="4752"/>
              </w:tabs>
              <w:spacing w:line="240" w:lineRule="exact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  <w:r w:rsidRPr="009C09D9">
              <w:rPr>
                <w:rFonts w:asciiTheme="minorHAnsi" w:hAnsiTheme="minorHAnsi"/>
                <w:b/>
                <w:color w:val="auto"/>
                <w:szCs w:val="24"/>
              </w:rPr>
              <w:t>RATING</w:t>
            </w:r>
          </w:p>
        </w:tc>
      </w:tr>
      <w:tr w:rsidR="00FE799D" w:rsidRPr="009C09D9" w:rsidTr="00B36FEB">
        <w:tc>
          <w:tcPr>
            <w:tcW w:w="5940" w:type="dxa"/>
            <w:gridSpan w:val="2"/>
          </w:tcPr>
          <w:p w:rsidR="00FE799D" w:rsidRPr="009C09D9" w:rsidRDefault="00FE799D" w:rsidP="001C443B">
            <w:pPr>
              <w:tabs>
                <w:tab w:val="left" w:pos="288"/>
                <w:tab w:val="left" w:pos="4752"/>
              </w:tabs>
              <w:spacing w:line="240" w:lineRule="exact"/>
              <w:jc w:val="both"/>
              <w:rPr>
                <w:rFonts w:asciiTheme="minorHAnsi" w:hAnsiTheme="minorHAnsi"/>
                <w:color w:val="auto"/>
                <w:szCs w:val="24"/>
              </w:rPr>
            </w:pPr>
            <w:bookmarkStart w:id="2" w:name="OLE_LINK1"/>
            <w:bookmarkStart w:id="3" w:name="OLE_LINK2"/>
            <w:r w:rsidRPr="009C09D9">
              <w:rPr>
                <w:rFonts w:asciiTheme="minorHAnsi" w:hAnsiTheme="minorHAnsi"/>
                <w:color w:val="auto"/>
                <w:szCs w:val="24"/>
              </w:rPr>
              <w:t>Degenerative Joint Disease Changes to Left Hip</w:t>
            </w:r>
            <w:bookmarkEnd w:id="2"/>
            <w:bookmarkEnd w:id="3"/>
          </w:p>
        </w:tc>
        <w:tc>
          <w:tcPr>
            <w:tcW w:w="1890" w:type="dxa"/>
            <w:vAlign w:val="center"/>
          </w:tcPr>
          <w:p w:rsidR="00FE799D" w:rsidRPr="009C09D9" w:rsidRDefault="00FE799D" w:rsidP="00FE799D">
            <w:pPr>
              <w:jc w:val="center"/>
              <w:rPr>
                <w:rFonts w:asciiTheme="minorHAnsi" w:hAnsiTheme="minorHAnsi"/>
                <w:color w:val="auto"/>
              </w:rPr>
            </w:pPr>
            <w:r w:rsidRPr="009C09D9">
              <w:rPr>
                <w:rFonts w:asciiTheme="minorHAnsi" w:hAnsiTheme="minorHAnsi"/>
                <w:color w:val="auto"/>
              </w:rPr>
              <w:t>5299-5003</w:t>
            </w:r>
          </w:p>
        </w:tc>
        <w:tc>
          <w:tcPr>
            <w:tcW w:w="1170" w:type="dxa"/>
            <w:vAlign w:val="center"/>
          </w:tcPr>
          <w:p w:rsidR="00FE799D" w:rsidRPr="009C09D9" w:rsidRDefault="00FE799D" w:rsidP="00FE799D">
            <w:pPr>
              <w:jc w:val="center"/>
              <w:rPr>
                <w:rFonts w:asciiTheme="minorHAnsi" w:hAnsiTheme="minorHAnsi"/>
                <w:color w:val="auto"/>
              </w:rPr>
            </w:pPr>
            <w:r w:rsidRPr="009C09D9">
              <w:rPr>
                <w:rFonts w:asciiTheme="minorHAnsi" w:hAnsiTheme="minorHAnsi"/>
                <w:color w:val="auto"/>
              </w:rPr>
              <w:t>10%</w:t>
            </w:r>
          </w:p>
        </w:tc>
      </w:tr>
      <w:tr w:rsidR="00FE799D" w:rsidRPr="009C09D9" w:rsidTr="00B36FEB">
        <w:tc>
          <w:tcPr>
            <w:tcW w:w="5940" w:type="dxa"/>
            <w:gridSpan w:val="2"/>
          </w:tcPr>
          <w:p w:rsidR="00FE799D" w:rsidRPr="009C09D9" w:rsidRDefault="00FE799D" w:rsidP="001C443B">
            <w:pPr>
              <w:tabs>
                <w:tab w:val="left" w:pos="288"/>
                <w:tab w:val="left" w:pos="4752"/>
              </w:tabs>
              <w:spacing w:line="240" w:lineRule="exact"/>
              <w:jc w:val="both"/>
              <w:rPr>
                <w:rFonts w:asciiTheme="minorHAnsi" w:hAnsiTheme="minorHAnsi"/>
                <w:color w:val="auto"/>
                <w:szCs w:val="24"/>
              </w:rPr>
            </w:pPr>
            <w:r w:rsidRPr="009C09D9">
              <w:rPr>
                <w:rFonts w:asciiTheme="minorHAnsi" w:hAnsiTheme="minorHAnsi"/>
                <w:color w:val="auto"/>
                <w:szCs w:val="24"/>
              </w:rPr>
              <w:t>Degenerative Joint Disease Changes to Right Hip</w:t>
            </w:r>
          </w:p>
        </w:tc>
        <w:tc>
          <w:tcPr>
            <w:tcW w:w="1890" w:type="dxa"/>
            <w:vAlign w:val="center"/>
          </w:tcPr>
          <w:p w:rsidR="00FE799D" w:rsidRPr="009C09D9" w:rsidRDefault="00FE799D" w:rsidP="007B247C">
            <w:pPr>
              <w:jc w:val="center"/>
              <w:rPr>
                <w:rFonts w:asciiTheme="minorHAnsi" w:hAnsiTheme="minorHAnsi"/>
                <w:color w:val="auto"/>
              </w:rPr>
            </w:pPr>
            <w:r w:rsidRPr="009C09D9">
              <w:rPr>
                <w:rFonts w:asciiTheme="minorHAnsi" w:hAnsiTheme="minorHAnsi"/>
                <w:color w:val="auto"/>
              </w:rPr>
              <w:t>5299-5003</w:t>
            </w:r>
          </w:p>
        </w:tc>
        <w:tc>
          <w:tcPr>
            <w:tcW w:w="1170" w:type="dxa"/>
            <w:vAlign w:val="center"/>
          </w:tcPr>
          <w:p w:rsidR="00FE799D" w:rsidRPr="009C09D9" w:rsidRDefault="00FE799D" w:rsidP="007B247C">
            <w:pPr>
              <w:jc w:val="center"/>
              <w:rPr>
                <w:rFonts w:asciiTheme="minorHAnsi" w:hAnsiTheme="minorHAnsi"/>
                <w:color w:val="auto"/>
              </w:rPr>
            </w:pPr>
            <w:r w:rsidRPr="009C09D9">
              <w:rPr>
                <w:rFonts w:asciiTheme="minorHAnsi" w:hAnsiTheme="minorHAnsi"/>
                <w:color w:val="auto"/>
              </w:rPr>
              <w:t>10%</w:t>
            </w:r>
          </w:p>
        </w:tc>
      </w:tr>
      <w:tr w:rsidR="00FB593A" w:rsidRPr="009C09D9" w:rsidTr="00B36FEB">
        <w:tblPrEx>
          <w:tblLook w:val="0000"/>
        </w:tblPrEx>
        <w:trPr>
          <w:gridBefore w:val="1"/>
          <w:wBefore w:w="2970" w:type="dxa"/>
          <w:trHeight w:val="287"/>
        </w:trPr>
        <w:tc>
          <w:tcPr>
            <w:tcW w:w="4860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B593A" w:rsidRPr="009C09D9" w:rsidRDefault="00FB593A" w:rsidP="00B36FEB">
            <w:pPr>
              <w:tabs>
                <w:tab w:val="left" w:pos="288"/>
                <w:tab w:val="left" w:pos="4752"/>
              </w:tabs>
              <w:spacing w:line="240" w:lineRule="exact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  <w:r w:rsidRPr="009C09D9">
              <w:rPr>
                <w:rFonts w:asciiTheme="minorHAnsi" w:hAnsiTheme="minorHAnsi"/>
                <w:b/>
                <w:color w:val="auto"/>
                <w:szCs w:val="24"/>
              </w:rPr>
              <w:t>COMBINED</w:t>
            </w:r>
            <w:r w:rsidR="00B36FEB" w:rsidRPr="009C09D9">
              <w:rPr>
                <w:rFonts w:asciiTheme="minorHAnsi" w:hAnsiTheme="minorHAnsi"/>
                <w:b/>
                <w:color w:val="auto"/>
                <w:szCs w:val="24"/>
              </w:rPr>
              <w:t xml:space="preserve"> (Bilateral Factor 1.9)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B593A" w:rsidRPr="009C09D9" w:rsidRDefault="00FE799D" w:rsidP="00FE799D">
            <w:pPr>
              <w:tabs>
                <w:tab w:val="left" w:pos="288"/>
                <w:tab w:val="left" w:pos="4752"/>
              </w:tabs>
              <w:spacing w:line="240" w:lineRule="exact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  <w:r w:rsidRPr="009C09D9">
              <w:rPr>
                <w:rFonts w:asciiTheme="minorHAnsi" w:hAnsiTheme="minorHAnsi"/>
                <w:b/>
                <w:color w:val="auto"/>
                <w:szCs w:val="24"/>
              </w:rPr>
              <w:t>20</w:t>
            </w:r>
            <w:r w:rsidR="00FB593A" w:rsidRPr="009C09D9">
              <w:rPr>
                <w:rFonts w:asciiTheme="minorHAnsi" w:hAnsiTheme="minorHAnsi"/>
                <w:b/>
                <w:color w:val="auto"/>
                <w:szCs w:val="24"/>
              </w:rPr>
              <w:t>%</w:t>
            </w:r>
          </w:p>
        </w:tc>
      </w:tr>
    </w:tbl>
    <w:p w:rsidR="009C09D9" w:rsidRPr="009C09D9" w:rsidRDefault="009C09D9" w:rsidP="009C09D9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</w:rPr>
      </w:pPr>
      <w:r w:rsidRPr="009C09D9">
        <w:rPr>
          <w:rFonts w:asciiTheme="minorHAnsi" w:hAnsiTheme="minorHAnsi"/>
          <w:color w:val="auto"/>
          <w:u w:val="single"/>
        </w:rPr>
        <w:t>______________________________________________________________</w:t>
      </w:r>
      <w:r>
        <w:rPr>
          <w:rFonts w:asciiTheme="minorHAnsi" w:hAnsiTheme="minorHAnsi"/>
          <w:color w:val="auto"/>
          <w:u w:val="single"/>
        </w:rPr>
        <w:t>_______________</w:t>
      </w:r>
      <w:r w:rsidRPr="009C09D9">
        <w:rPr>
          <w:rFonts w:asciiTheme="minorHAnsi" w:hAnsiTheme="minorHAnsi"/>
          <w:color w:val="auto"/>
        </w:rPr>
        <w:t>_</w:t>
      </w:r>
    </w:p>
    <w:p w:rsidR="00D91DA6" w:rsidRPr="009C09D9" w:rsidRDefault="00D91DA6" w:rsidP="001C443B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  <w:szCs w:val="24"/>
        </w:rPr>
      </w:pPr>
    </w:p>
    <w:p w:rsidR="00D91DA6" w:rsidRPr="009C09D9" w:rsidRDefault="00114F20" w:rsidP="001C443B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  <w:szCs w:val="24"/>
        </w:rPr>
      </w:pPr>
      <w:r w:rsidRPr="009C09D9">
        <w:rPr>
          <w:rFonts w:asciiTheme="minorHAnsi" w:hAnsiTheme="minorHAnsi"/>
          <w:color w:val="auto"/>
          <w:szCs w:val="24"/>
        </w:rPr>
        <w:t>The following documentary evidence was considered:</w:t>
      </w:r>
    </w:p>
    <w:p w:rsidR="00114F20" w:rsidRPr="009C09D9" w:rsidRDefault="00114F20" w:rsidP="001C443B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  <w:szCs w:val="24"/>
        </w:rPr>
      </w:pPr>
    </w:p>
    <w:p w:rsidR="00114F20" w:rsidRPr="009C09D9" w:rsidRDefault="0051146C" w:rsidP="001C443B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  <w:szCs w:val="24"/>
        </w:rPr>
      </w:pPr>
      <w:r w:rsidRPr="009C09D9">
        <w:rPr>
          <w:rFonts w:asciiTheme="minorHAnsi" w:hAnsiTheme="minorHAnsi"/>
          <w:color w:val="auto"/>
          <w:szCs w:val="24"/>
        </w:rPr>
        <w:t xml:space="preserve">Exhibit A.  DD Form </w:t>
      </w:r>
      <w:proofErr w:type="gramStart"/>
      <w:r w:rsidRPr="009C09D9">
        <w:rPr>
          <w:rFonts w:asciiTheme="minorHAnsi" w:hAnsiTheme="minorHAnsi"/>
          <w:color w:val="auto"/>
          <w:szCs w:val="24"/>
        </w:rPr>
        <w:t>294,</w:t>
      </w:r>
      <w:proofErr w:type="gramEnd"/>
      <w:r w:rsidRPr="009C09D9">
        <w:rPr>
          <w:rFonts w:asciiTheme="minorHAnsi" w:hAnsiTheme="minorHAnsi"/>
          <w:color w:val="auto"/>
          <w:szCs w:val="24"/>
        </w:rPr>
        <w:t xml:space="preserve"> dated </w:t>
      </w:r>
      <w:r w:rsidR="00CC0578" w:rsidRPr="009C09D9">
        <w:rPr>
          <w:rFonts w:asciiTheme="minorHAnsi" w:hAnsiTheme="minorHAnsi"/>
          <w:color w:val="auto"/>
          <w:szCs w:val="24"/>
        </w:rPr>
        <w:t>20090831</w:t>
      </w:r>
      <w:r w:rsidR="00114F20" w:rsidRPr="009C09D9">
        <w:rPr>
          <w:rFonts w:asciiTheme="minorHAnsi" w:hAnsiTheme="minorHAnsi"/>
          <w:color w:val="auto"/>
          <w:szCs w:val="24"/>
        </w:rPr>
        <w:t>, w/</w:t>
      </w:r>
      <w:proofErr w:type="spellStart"/>
      <w:r w:rsidR="00114F20" w:rsidRPr="009C09D9">
        <w:rPr>
          <w:rFonts w:asciiTheme="minorHAnsi" w:hAnsiTheme="minorHAnsi"/>
          <w:color w:val="auto"/>
          <w:szCs w:val="24"/>
        </w:rPr>
        <w:t>atchs</w:t>
      </w:r>
      <w:proofErr w:type="spellEnd"/>
      <w:r w:rsidR="00114F20" w:rsidRPr="009C09D9">
        <w:rPr>
          <w:rFonts w:asciiTheme="minorHAnsi" w:hAnsiTheme="minorHAnsi"/>
          <w:color w:val="auto"/>
          <w:szCs w:val="24"/>
        </w:rPr>
        <w:t>.</w:t>
      </w:r>
      <w:r w:rsidR="00CC0578" w:rsidRPr="009C09D9">
        <w:rPr>
          <w:rFonts w:asciiTheme="minorHAnsi" w:hAnsiTheme="minorHAnsi"/>
          <w:color w:val="auto"/>
          <w:szCs w:val="24"/>
        </w:rPr>
        <w:t xml:space="preserve"> </w:t>
      </w:r>
    </w:p>
    <w:p w:rsidR="00114F20" w:rsidRPr="009C09D9" w:rsidRDefault="00114F20" w:rsidP="001C443B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  <w:szCs w:val="24"/>
        </w:rPr>
      </w:pPr>
      <w:r w:rsidRPr="009C09D9">
        <w:rPr>
          <w:rFonts w:asciiTheme="minorHAnsi" w:hAnsiTheme="minorHAnsi"/>
          <w:color w:val="auto"/>
          <w:szCs w:val="24"/>
        </w:rPr>
        <w:t xml:space="preserve">Exhibit B.  </w:t>
      </w:r>
      <w:proofErr w:type="gramStart"/>
      <w:r w:rsidRPr="009C09D9">
        <w:rPr>
          <w:rFonts w:asciiTheme="minorHAnsi" w:hAnsiTheme="minorHAnsi"/>
          <w:color w:val="auto"/>
          <w:szCs w:val="24"/>
        </w:rPr>
        <w:t>Service Treatment Record.</w:t>
      </w:r>
      <w:proofErr w:type="gramEnd"/>
    </w:p>
    <w:p w:rsidR="00114F20" w:rsidRPr="009C09D9" w:rsidRDefault="00114F20" w:rsidP="001C443B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  <w:szCs w:val="24"/>
        </w:rPr>
      </w:pPr>
      <w:r w:rsidRPr="009C09D9">
        <w:rPr>
          <w:rFonts w:asciiTheme="minorHAnsi" w:hAnsiTheme="minorHAnsi"/>
          <w:color w:val="auto"/>
          <w:szCs w:val="24"/>
        </w:rPr>
        <w:t xml:space="preserve">Exhibit C.  </w:t>
      </w:r>
      <w:proofErr w:type="gramStart"/>
      <w:r w:rsidRPr="009C09D9">
        <w:rPr>
          <w:rFonts w:asciiTheme="minorHAnsi" w:hAnsiTheme="minorHAnsi"/>
          <w:color w:val="auto"/>
          <w:szCs w:val="24"/>
        </w:rPr>
        <w:t>Department of Veterans</w:t>
      </w:r>
      <w:r w:rsidR="00385D6F" w:rsidRPr="009C09D9">
        <w:rPr>
          <w:rFonts w:asciiTheme="minorHAnsi" w:hAnsiTheme="minorHAnsi"/>
          <w:color w:val="auto"/>
          <w:szCs w:val="24"/>
        </w:rPr>
        <w:t>'</w:t>
      </w:r>
      <w:r w:rsidRPr="009C09D9">
        <w:rPr>
          <w:rFonts w:asciiTheme="minorHAnsi" w:hAnsiTheme="minorHAnsi"/>
          <w:color w:val="auto"/>
          <w:szCs w:val="24"/>
        </w:rPr>
        <w:t xml:space="preserve"> Affairs Treatment Record.</w:t>
      </w:r>
      <w:proofErr w:type="gramEnd"/>
    </w:p>
    <w:p w:rsidR="00D91DA6" w:rsidRPr="009C09D9" w:rsidRDefault="00D91DA6" w:rsidP="001C443B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  <w:szCs w:val="24"/>
        </w:rPr>
      </w:pPr>
    </w:p>
    <w:p w:rsidR="00114F20" w:rsidRPr="009C09D9" w:rsidRDefault="00114F20" w:rsidP="001C443B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  <w:szCs w:val="24"/>
        </w:rPr>
      </w:pPr>
    </w:p>
    <w:p w:rsidR="00114F20" w:rsidRPr="009C09D9" w:rsidRDefault="00114F20" w:rsidP="009C09D9">
      <w:pPr>
        <w:tabs>
          <w:tab w:val="left" w:pos="288"/>
          <w:tab w:val="left" w:pos="5400"/>
        </w:tabs>
        <w:spacing w:line="240" w:lineRule="exact"/>
        <w:jc w:val="both"/>
        <w:rPr>
          <w:rFonts w:asciiTheme="minorHAnsi" w:hAnsiTheme="minorHAnsi"/>
          <w:color w:val="auto"/>
          <w:szCs w:val="24"/>
        </w:rPr>
      </w:pPr>
    </w:p>
    <w:p w:rsidR="00114F20" w:rsidRPr="009C09D9" w:rsidRDefault="00114F20" w:rsidP="001C443B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  <w:szCs w:val="24"/>
        </w:rPr>
      </w:pPr>
    </w:p>
    <w:p w:rsidR="008E276B" w:rsidRPr="009C09D9" w:rsidRDefault="009C09D9" w:rsidP="008E276B">
      <w:pPr>
        <w:tabs>
          <w:tab w:val="left" w:pos="0"/>
          <w:tab w:val="left" w:pos="4320"/>
        </w:tabs>
        <w:spacing w:line="240" w:lineRule="exac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</w:p>
    <w:p w:rsidR="008E276B" w:rsidRPr="009C09D9" w:rsidRDefault="009C09D9" w:rsidP="008E276B">
      <w:pPr>
        <w:tabs>
          <w:tab w:val="left" w:pos="0"/>
          <w:tab w:val="left" w:pos="4320"/>
        </w:tabs>
        <w:spacing w:line="240" w:lineRule="exac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 w:rsidR="008E276B" w:rsidRPr="009C09D9">
        <w:rPr>
          <w:rFonts w:asciiTheme="minorHAnsi" w:hAnsiTheme="minorHAnsi"/>
          <w:color w:val="auto"/>
        </w:rPr>
        <w:t>Deputy Director</w:t>
      </w:r>
    </w:p>
    <w:p w:rsidR="008E276B" w:rsidRPr="009C09D9" w:rsidRDefault="009C09D9" w:rsidP="009C09D9">
      <w:pPr>
        <w:tabs>
          <w:tab w:val="left" w:pos="288"/>
          <w:tab w:val="left" w:pos="5040"/>
        </w:tabs>
        <w:spacing w:line="240" w:lineRule="exac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 w:rsidR="008E276B" w:rsidRPr="009C09D9">
        <w:rPr>
          <w:rFonts w:asciiTheme="minorHAnsi" w:hAnsiTheme="minorHAnsi"/>
          <w:color w:val="auto"/>
        </w:rPr>
        <w:t>Physical Disability Board of Review</w:t>
      </w:r>
    </w:p>
    <w:p w:rsidR="005C2FAE" w:rsidRDefault="005C2FAE">
      <w:pPr>
        <w:rPr>
          <w:rFonts w:asciiTheme="minorHAnsi" w:hAnsiTheme="minorHAnsi"/>
          <w:color w:val="000080"/>
        </w:rPr>
      </w:pPr>
      <w:r>
        <w:rPr>
          <w:rFonts w:asciiTheme="minorHAnsi" w:hAnsiTheme="minorHAnsi"/>
          <w:color w:val="000080"/>
        </w:rPr>
        <w:br w:type="page"/>
      </w:r>
    </w:p>
    <w:p w:rsidR="00AA04B3" w:rsidRPr="009C09D9" w:rsidRDefault="00AA04B3" w:rsidP="008E276B">
      <w:pPr>
        <w:tabs>
          <w:tab w:val="left" w:pos="0"/>
          <w:tab w:val="left" w:pos="4320"/>
        </w:tabs>
        <w:spacing w:line="240" w:lineRule="exact"/>
        <w:jc w:val="both"/>
        <w:rPr>
          <w:rFonts w:asciiTheme="minorHAnsi" w:hAnsiTheme="minorHAnsi"/>
          <w:color w:val="000080"/>
        </w:rPr>
      </w:pPr>
    </w:p>
    <w:p w:rsidR="005C2FAE" w:rsidRPr="005C2FAE" w:rsidRDefault="005C2FAE" w:rsidP="005C2FAE">
      <w:pPr>
        <w:rPr>
          <w:color w:val="auto"/>
        </w:rPr>
      </w:pPr>
      <w:r w:rsidRPr="005C2FAE">
        <w:rPr>
          <w:color w:val="auto"/>
        </w:rPr>
        <w:t>MEMORANDUM FOR DEPUTY COMMANDANT, MANPOWER &amp; RESERVE AFFAIRS</w:t>
      </w:r>
    </w:p>
    <w:p w:rsidR="005C2FAE" w:rsidRPr="005C2FAE" w:rsidRDefault="005C2FAE" w:rsidP="005C2FAE">
      <w:pPr>
        <w:rPr>
          <w:color w:val="auto"/>
        </w:rPr>
      </w:pPr>
    </w:p>
    <w:p w:rsidR="005C2FAE" w:rsidRPr="005C2FAE" w:rsidRDefault="005C2FAE" w:rsidP="005C2FAE">
      <w:pPr>
        <w:rPr>
          <w:color w:val="auto"/>
        </w:rPr>
      </w:pPr>
      <w:r w:rsidRPr="005C2FAE">
        <w:rPr>
          <w:color w:val="auto"/>
        </w:rPr>
        <w:t xml:space="preserve">SUBJECT:  Physical Disability Board of Review (PDBR) Recommendation ICO </w:t>
      </w:r>
      <w:r>
        <w:rPr>
          <w:color w:val="auto"/>
        </w:rPr>
        <w:t>XXXXXX</w:t>
      </w:r>
      <w:r w:rsidRPr="005C2FAE">
        <w:rPr>
          <w:color w:val="auto"/>
        </w:rPr>
        <w:t xml:space="preserve">, Former USMC, XXX XX </w:t>
      </w:r>
      <w:r>
        <w:rPr>
          <w:color w:val="auto"/>
        </w:rPr>
        <w:t>XXXX</w:t>
      </w:r>
    </w:p>
    <w:p w:rsidR="005C2FAE" w:rsidRPr="005C2FAE" w:rsidRDefault="005C2FAE" w:rsidP="005C2FAE">
      <w:pPr>
        <w:rPr>
          <w:color w:val="auto"/>
        </w:rPr>
      </w:pPr>
    </w:p>
    <w:p w:rsidR="005C2FAE" w:rsidRPr="005C2FAE" w:rsidRDefault="005C2FAE" w:rsidP="005C2FAE">
      <w:pPr>
        <w:rPr>
          <w:color w:val="auto"/>
        </w:rPr>
      </w:pPr>
      <w:r w:rsidRPr="005C2FAE">
        <w:rPr>
          <w:color w:val="auto"/>
        </w:rPr>
        <w:t>Ref:   (a</w:t>
      </w:r>
      <w:proofErr w:type="gramStart"/>
      <w:r w:rsidRPr="005C2FAE">
        <w:rPr>
          <w:color w:val="auto"/>
        </w:rPr>
        <w:t>)  DoDI</w:t>
      </w:r>
      <w:proofErr w:type="gramEnd"/>
      <w:r w:rsidRPr="005C2FAE">
        <w:rPr>
          <w:color w:val="auto"/>
        </w:rPr>
        <w:t xml:space="preserve"> 6040.44</w:t>
      </w:r>
    </w:p>
    <w:p w:rsidR="005C2FAE" w:rsidRPr="005C2FAE" w:rsidRDefault="005C2FAE" w:rsidP="005C2FAE">
      <w:pPr>
        <w:rPr>
          <w:color w:val="auto"/>
        </w:rPr>
      </w:pPr>
    </w:p>
    <w:p w:rsidR="005C2FAE" w:rsidRPr="005C2FAE" w:rsidRDefault="005C2FAE" w:rsidP="005C2FAE">
      <w:pPr>
        <w:rPr>
          <w:color w:val="auto"/>
        </w:rPr>
      </w:pPr>
      <w:r w:rsidRPr="005C2FAE">
        <w:rPr>
          <w:color w:val="auto"/>
        </w:rPr>
        <w:t>Encl:  (1</w:t>
      </w:r>
      <w:proofErr w:type="gramStart"/>
      <w:r w:rsidRPr="005C2FAE">
        <w:rPr>
          <w:color w:val="auto"/>
        </w:rPr>
        <w:t>)  PDBR</w:t>
      </w:r>
      <w:proofErr w:type="gramEnd"/>
      <w:r w:rsidRPr="005C2FAE">
        <w:rPr>
          <w:color w:val="auto"/>
        </w:rPr>
        <w:t xml:space="preserve"> </w:t>
      </w:r>
      <w:proofErr w:type="spellStart"/>
      <w:r w:rsidRPr="005C2FAE">
        <w:rPr>
          <w:color w:val="auto"/>
        </w:rPr>
        <w:t>ltr</w:t>
      </w:r>
      <w:proofErr w:type="spellEnd"/>
      <w:r w:rsidRPr="005C2FAE">
        <w:rPr>
          <w:color w:val="auto"/>
        </w:rPr>
        <w:t xml:space="preserve"> </w:t>
      </w:r>
      <w:proofErr w:type="spellStart"/>
      <w:r w:rsidRPr="005C2FAE">
        <w:rPr>
          <w:color w:val="auto"/>
        </w:rPr>
        <w:t>dtd</w:t>
      </w:r>
      <w:proofErr w:type="spellEnd"/>
      <w:r w:rsidRPr="005C2FAE">
        <w:rPr>
          <w:color w:val="auto"/>
        </w:rPr>
        <w:t xml:space="preserve"> 2 Sep 10 </w:t>
      </w:r>
    </w:p>
    <w:p w:rsidR="005C2FAE" w:rsidRPr="005C2FAE" w:rsidRDefault="005C2FAE" w:rsidP="005C2FAE">
      <w:pPr>
        <w:rPr>
          <w:color w:val="auto"/>
        </w:rPr>
      </w:pPr>
    </w:p>
    <w:p w:rsidR="005C2FAE" w:rsidRPr="005C2FAE" w:rsidRDefault="005C2FAE" w:rsidP="005C2FAE">
      <w:pPr>
        <w:rPr>
          <w:color w:val="auto"/>
        </w:rPr>
      </w:pPr>
      <w:r w:rsidRPr="005C2FAE">
        <w:rPr>
          <w:color w:val="auto"/>
        </w:rPr>
        <w:t>1.  I have reviewed the subject case pursuant to reference (a) and approve the recommendation of the PDBR (enclosure (1)).</w:t>
      </w:r>
    </w:p>
    <w:p w:rsidR="005C2FAE" w:rsidRPr="005C2FAE" w:rsidRDefault="005C2FAE" w:rsidP="005C2FAE">
      <w:pPr>
        <w:rPr>
          <w:color w:val="auto"/>
        </w:rPr>
      </w:pPr>
    </w:p>
    <w:p w:rsidR="005C2FAE" w:rsidRPr="005C2FAE" w:rsidRDefault="005C2FAE" w:rsidP="005C2FAE">
      <w:pPr>
        <w:rPr>
          <w:color w:val="auto"/>
        </w:rPr>
      </w:pPr>
      <w:r w:rsidRPr="005C2FAE">
        <w:rPr>
          <w:color w:val="auto"/>
        </w:rPr>
        <w:t>2.  The subject member’s official records are to be corrected to reflect the following disposition:</w:t>
      </w:r>
    </w:p>
    <w:p w:rsidR="005C2FAE" w:rsidRPr="005C2FAE" w:rsidRDefault="005C2FAE" w:rsidP="005C2FAE">
      <w:pPr>
        <w:rPr>
          <w:color w:val="auto"/>
        </w:rPr>
      </w:pPr>
    </w:p>
    <w:p w:rsidR="005C2FAE" w:rsidRPr="005C2FAE" w:rsidRDefault="005C2FAE" w:rsidP="005C2FAE">
      <w:pPr>
        <w:rPr>
          <w:color w:val="auto"/>
        </w:rPr>
      </w:pPr>
      <w:r w:rsidRPr="005C2FAE">
        <w:rPr>
          <w:color w:val="auto"/>
        </w:rPr>
        <w:tab/>
        <w:t>a. Separation from the naval service due to physical disability rated at 20 percent (increased from 10 percent) effective 1 August 2002.</w:t>
      </w:r>
    </w:p>
    <w:p w:rsidR="005C2FAE" w:rsidRPr="005C2FAE" w:rsidRDefault="005C2FAE" w:rsidP="005C2FAE">
      <w:pPr>
        <w:rPr>
          <w:color w:val="auto"/>
        </w:rPr>
      </w:pPr>
    </w:p>
    <w:p w:rsidR="005C2FAE" w:rsidRPr="005C2FAE" w:rsidRDefault="005C2FAE" w:rsidP="005C2FAE">
      <w:pPr>
        <w:rPr>
          <w:color w:val="auto"/>
        </w:rPr>
      </w:pPr>
      <w:r w:rsidRPr="005C2FAE">
        <w:rPr>
          <w:color w:val="auto"/>
        </w:rPr>
        <w:t>3.  Please ensure all necessary actions are taken to implement this decision, and the subject member is notified once those actions are completed.</w:t>
      </w:r>
    </w:p>
    <w:p w:rsidR="005C2FAE" w:rsidRPr="005C2FAE" w:rsidRDefault="005C2FAE" w:rsidP="005C2FAE">
      <w:pPr>
        <w:rPr>
          <w:color w:val="auto"/>
        </w:rPr>
      </w:pPr>
    </w:p>
    <w:p w:rsidR="005C2FAE" w:rsidRPr="005C2FAE" w:rsidRDefault="005C2FAE" w:rsidP="005C2FAE">
      <w:pPr>
        <w:rPr>
          <w:color w:val="auto"/>
        </w:rPr>
      </w:pPr>
    </w:p>
    <w:p w:rsidR="005C2FAE" w:rsidRPr="005C2FAE" w:rsidRDefault="005C2FAE" w:rsidP="005C2FAE">
      <w:pPr>
        <w:rPr>
          <w:color w:val="auto"/>
        </w:rPr>
      </w:pPr>
    </w:p>
    <w:p w:rsidR="005C2FAE" w:rsidRPr="005C2FAE" w:rsidRDefault="005C2FAE" w:rsidP="005C2FAE">
      <w:pPr>
        <w:tabs>
          <w:tab w:val="left" w:pos="4680"/>
        </w:tabs>
        <w:rPr>
          <w:color w:val="auto"/>
        </w:rPr>
      </w:pPr>
      <w:r w:rsidRPr="005C2FAE">
        <w:rPr>
          <w:color w:val="auto"/>
        </w:rPr>
        <w:tab/>
      </w:r>
      <w:r w:rsidRPr="005C2FAE">
        <w:rPr>
          <w:color w:val="auto"/>
        </w:rPr>
        <w:tab/>
      </w:r>
    </w:p>
    <w:p w:rsidR="005C2FAE" w:rsidRPr="005C2FAE" w:rsidRDefault="005C2FAE" w:rsidP="005C2FAE">
      <w:pPr>
        <w:rPr>
          <w:color w:val="auto"/>
        </w:rPr>
      </w:pPr>
      <w:r w:rsidRPr="005C2FAE">
        <w:rPr>
          <w:color w:val="auto"/>
        </w:rPr>
        <w:tab/>
      </w:r>
      <w:r w:rsidRPr="005C2FAE">
        <w:rPr>
          <w:color w:val="auto"/>
        </w:rPr>
        <w:tab/>
      </w:r>
      <w:r w:rsidRPr="005C2FAE">
        <w:rPr>
          <w:color w:val="auto"/>
        </w:rPr>
        <w:tab/>
      </w:r>
      <w:r w:rsidRPr="005C2FAE">
        <w:rPr>
          <w:color w:val="auto"/>
        </w:rPr>
        <w:tab/>
      </w:r>
      <w:r w:rsidRPr="005C2FAE">
        <w:rPr>
          <w:color w:val="auto"/>
        </w:rPr>
        <w:tab/>
      </w:r>
      <w:r w:rsidRPr="005C2FAE">
        <w:rPr>
          <w:color w:val="auto"/>
        </w:rPr>
        <w:tab/>
      </w:r>
      <w:r>
        <w:rPr>
          <w:color w:val="auto"/>
        </w:rPr>
        <w:t>P</w:t>
      </w:r>
      <w:r w:rsidRPr="005C2FAE">
        <w:rPr>
          <w:color w:val="auto"/>
        </w:rPr>
        <w:t>rincipal Deputy</w:t>
      </w:r>
    </w:p>
    <w:p w:rsidR="005C2FAE" w:rsidRPr="005C2FAE" w:rsidRDefault="005C2FAE" w:rsidP="005C2FAE">
      <w:pPr>
        <w:rPr>
          <w:color w:val="auto"/>
        </w:rPr>
      </w:pPr>
      <w:r w:rsidRPr="005C2FAE">
        <w:rPr>
          <w:color w:val="auto"/>
        </w:rPr>
        <w:tab/>
      </w:r>
      <w:r w:rsidRPr="005C2FAE">
        <w:rPr>
          <w:color w:val="auto"/>
        </w:rPr>
        <w:tab/>
      </w:r>
      <w:r w:rsidRPr="005C2FAE">
        <w:rPr>
          <w:color w:val="auto"/>
        </w:rPr>
        <w:tab/>
      </w:r>
      <w:r w:rsidRPr="005C2FAE">
        <w:rPr>
          <w:color w:val="auto"/>
        </w:rPr>
        <w:tab/>
      </w:r>
      <w:r w:rsidRPr="005C2FAE">
        <w:rPr>
          <w:color w:val="auto"/>
        </w:rPr>
        <w:tab/>
      </w:r>
      <w:r w:rsidRPr="005C2FAE">
        <w:rPr>
          <w:color w:val="auto"/>
        </w:rPr>
        <w:tab/>
      </w:r>
      <w:r>
        <w:rPr>
          <w:color w:val="auto"/>
        </w:rPr>
        <w:t>A</w:t>
      </w:r>
      <w:r w:rsidRPr="005C2FAE">
        <w:rPr>
          <w:color w:val="auto"/>
        </w:rPr>
        <w:t>ssistant Secretary of the Navy</w:t>
      </w:r>
    </w:p>
    <w:p w:rsidR="005C2FAE" w:rsidRPr="005C2FAE" w:rsidRDefault="005C2FAE" w:rsidP="005C2FAE">
      <w:pPr>
        <w:rPr>
          <w:color w:val="auto"/>
        </w:rPr>
      </w:pPr>
      <w:r w:rsidRPr="005C2FAE">
        <w:rPr>
          <w:color w:val="auto"/>
        </w:rPr>
        <w:tab/>
      </w:r>
      <w:r w:rsidRPr="005C2FAE">
        <w:rPr>
          <w:color w:val="auto"/>
        </w:rPr>
        <w:tab/>
      </w:r>
      <w:r w:rsidRPr="005C2FAE">
        <w:rPr>
          <w:color w:val="auto"/>
        </w:rPr>
        <w:tab/>
      </w:r>
      <w:r w:rsidRPr="005C2FAE">
        <w:rPr>
          <w:color w:val="auto"/>
        </w:rPr>
        <w:tab/>
      </w:r>
      <w:r w:rsidRPr="005C2FAE">
        <w:rPr>
          <w:color w:val="auto"/>
        </w:rPr>
        <w:tab/>
      </w:r>
      <w:r w:rsidRPr="005C2FAE">
        <w:rPr>
          <w:color w:val="auto"/>
        </w:rPr>
        <w:tab/>
        <w:t>(Manpower &amp; Reserve Affairs)</w:t>
      </w:r>
    </w:p>
    <w:p w:rsidR="005C2FAE" w:rsidRDefault="005C2FAE" w:rsidP="005C2FAE"/>
    <w:p w:rsidR="008E276B" w:rsidRPr="009C09D9" w:rsidRDefault="008E276B">
      <w:pPr>
        <w:tabs>
          <w:tab w:val="left" w:pos="0"/>
          <w:tab w:val="left" w:pos="4320"/>
        </w:tabs>
        <w:spacing w:line="240" w:lineRule="exact"/>
        <w:jc w:val="both"/>
        <w:rPr>
          <w:rFonts w:asciiTheme="minorHAnsi" w:hAnsiTheme="minorHAnsi"/>
          <w:color w:val="000080"/>
        </w:rPr>
      </w:pPr>
    </w:p>
    <w:sectPr w:rsidR="008E276B" w:rsidRPr="009C09D9" w:rsidSect="006418C9">
      <w:footerReference w:type="even" r:id="rId7"/>
      <w:footerReference w:type="default" r:id="rId8"/>
      <w:footnotePr>
        <w:numRestart w:val="eachSect"/>
      </w:footnotePr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1EB" w:rsidRDefault="007001EB">
      <w:r>
        <w:separator/>
      </w:r>
    </w:p>
  </w:endnote>
  <w:endnote w:type="continuationSeparator" w:id="0">
    <w:p w:rsidR="007001EB" w:rsidRDefault="00700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B48" w:rsidRDefault="00F431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82B4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2B48">
      <w:rPr>
        <w:rStyle w:val="PageNumber"/>
        <w:noProof/>
      </w:rPr>
      <w:t>2</w:t>
    </w:r>
    <w:r>
      <w:rPr>
        <w:rStyle w:val="PageNumber"/>
      </w:rPr>
      <w:fldChar w:fldCharType="end"/>
    </w:r>
  </w:p>
  <w:p w:rsidR="00782B48" w:rsidRDefault="00782B48" w:rsidP="002B0749">
    <w:pPr>
      <w:pStyle w:val="Footer"/>
      <w:jc w:val="right"/>
    </w:pPr>
    <w:r>
      <w:tab/>
    </w:r>
    <w:r>
      <w:tab/>
    </w:r>
    <w:r w:rsidRPr="001D3186">
      <w:rPr>
        <w:caps/>
        <w:color w:val="000080"/>
      </w:rPr>
      <w:t>PD09</w:t>
    </w:r>
    <w:r>
      <w:rPr>
        <w:caps/>
        <w:color w:val="000080"/>
      </w:rPr>
      <w:t>00</w:t>
    </w:r>
    <w:r w:rsidRPr="001D3186">
      <w:rPr>
        <w:caps/>
        <w:color w:val="000080"/>
      </w:rPr>
      <w:t>###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B48" w:rsidRPr="00C775A2" w:rsidRDefault="00F43139">
    <w:pPr>
      <w:pStyle w:val="Footer"/>
      <w:framePr w:wrap="around" w:vAnchor="text" w:hAnchor="margin" w:xAlign="center" w:y="1"/>
      <w:rPr>
        <w:rStyle w:val="PageNumber"/>
        <w:color w:val="auto"/>
      </w:rPr>
    </w:pPr>
    <w:r w:rsidRPr="00C775A2">
      <w:rPr>
        <w:rStyle w:val="PageNumber"/>
        <w:color w:val="auto"/>
      </w:rPr>
      <w:fldChar w:fldCharType="begin"/>
    </w:r>
    <w:r w:rsidR="00782B48" w:rsidRPr="00C775A2">
      <w:rPr>
        <w:rStyle w:val="PageNumber"/>
        <w:color w:val="auto"/>
      </w:rPr>
      <w:instrText xml:space="preserve">PAGE  </w:instrText>
    </w:r>
    <w:r w:rsidRPr="00C775A2">
      <w:rPr>
        <w:rStyle w:val="PageNumber"/>
        <w:color w:val="auto"/>
      </w:rPr>
      <w:fldChar w:fldCharType="separate"/>
    </w:r>
    <w:r w:rsidR="005C2FAE">
      <w:rPr>
        <w:rStyle w:val="PageNumber"/>
        <w:noProof/>
        <w:color w:val="auto"/>
      </w:rPr>
      <w:t>2</w:t>
    </w:r>
    <w:r w:rsidRPr="00C775A2">
      <w:rPr>
        <w:rStyle w:val="PageNumber"/>
        <w:color w:val="auto"/>
      </w:rPr>
      <w:fldChar w:fldCharType="end"/>
    </w:r>
  </w:p>
  <w:p w:rsidR="00782B48" w:rsidRPr="00C775A2" w:rsidRDefault="00782B48" w:rsidP="002B0749">
    <w:pPr>
      <w:pStyle w:val="Footer"/>
      <w:jc w:val="right"/>
      <w:rPr>
        <w:color w:val="auto"/>
      </w:rPr>
    </w:pPr>
    <w:r>
      <w:tab/>
    </w:r>
    <w:r>
      <w:tab/>
    </w:r>
    <w:r w:rsidRPr="00C775A2">
      <w:rPr>
        <w:caps/>
        <w:color w:val="auto"/>
      </w:rPr>
      <w:t>PD0900528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1EB" w:rsidRDefault="007001EB">
      <w:r>
        <w:separator/>
      </w:r>
    </w:p>
  </w:footnote>
  <w:footnote w:type="continuationSeparator" w:id="0">
    <w:p w:rsidR="007001EB" w:rsidRDefault="007001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313EA"/>
    <w:multiLevelType w:val="hybridMultilevel"/>
    <w:tmpl w:val="F3827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intFractionalCharacterWidth/>
  <w:embedSystemFonts/>
  <w:activeWritingStyle w:appName="MSWord" w:lang="en-US" w:vendorID="8" w:dllVersion="513" w:checkStyle="1"/>
  <w:proofState w:spelling="clean" w:grammar="clean"/>
  <w:stylePaneFormatFilter w:val="3F01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1C28D1"/>
    <w:rsid w:val="000059FA"/>
    <w:rsid w:val="00010ABA"/>
    <w:rsid w:val="000145C2"/>
    <w:rsid w:val="00023D43"/>
    <w:rsid w:val="00035C3A"/>
    <w:rsid w:val="000379D0"/>
    <w:rsid w:val="000416F8"/>
    <w:rsid w:val="00051622"/>
    <w:rsid w:val="00072433"/>
    <w:rsid w:val="000A2BCE"/>
    <w:rsid w:val="000A3E5F"/>
    <w:rsid w:val="000A4BBA"/>
    <w:rsid w:val="000B4ABA"/>
    <w:rsid w:val="000C7DE4"/>
    <w:rsid w:val="000D15E7"/>
    <w:rsid w:val="000D43F9"/>
    <w:rsid w:val="000D4717"/>
    <w:rsid w:val="000D7D55"/>
    <w:rsid w:val="000E0D2D"/>
    <w:rsid w:val="000F427B"/>
    <w:rsid w:val="0010417F"/>
    <w:rsid w:val="00104A67"/>
    <w:rsid w:val="0010530E"/>
    <w:rsid w:val="00114F20"/>
    <w:rsid w:val="00116FEA"/>
    <w:rsid w:val="001231DC"/>
    <w:rsid w:val="001315DD"/>
    <w:rsid w:val="00135385"/>
    <w:rsid w:val="001364D1"/>
    <w:rsid w:val="001410AA"/>
    <w:rsid w:val="00144BA5"/>
    <w:rsid w:val="001478E2"/>
    <w:rsid w:val="001541C5"/>
    <w:rsid w:val="00177659"/>
    <w:rsid w:val="00185ECB"/>
    <w:rsid w:val="00187CF2"/>
    <w:rsid w:val="0019273F"/>
    <w:rsid w:val="001A4878"/>
    <w:rsid w:val="001A7538"/>
    <w:rsid w:val="001B5B59"/>
    <w:rsid w:val="001C1766"/>
    <w:rsid w:val="001C181A"/>
    <w:rsid w:val="001C2053"/>
    <w:rsid w:val="001C28D1"/>
    <w:rsid w:val="001C443B"/>
    <w:rsid w:val="001C7418"/>
    <w:rsid w:val="001D0051"/>
    <w:rsid w:val="001D2224"/>
    <w:rsid w:val="001D6A8C"/>
    <w:rsid w:val="001D7A56"/>
    <w:rsid w:val="001E568F"/>
    <w:rsid w:val="001E5815"/>
    <w:rsid w:val="001F38D3"/>
    <w:rsid w:val="002030F7"/>
    <w:rsid w:val="00217C09"/>
    <w:rsid w:val="00225196"/>
    <w:rsid w:val="00225CB4"/>
    <w:rsid w:val="002276EA"/>
    <w:rsid w:val="002338CA"/>
    <w:rsid w:val="0024227D"/>
    <w:rsid w:val="00246860"/>
    <w:rsid w:val="0025183C"/>
    <w:rsid w:val="0026318D"/>
    <w:rsid w:val="0027159C"/>
    <w:rsid w:val="00274549"/>
    <w:rsid w:val="00274E46"/>
    <w:rsid w:val="00276C86"/>
    <w:rsid w:val="002979AD"/>
    <w:rsid w:val="002A6A3C"/>
    <w:rsid w:val="002B03B2"/>
    <w:rsid w:val="002B0749"/>
    <w:rsid w:val="002C2658"/>
    <w:rsid w:val="002D18B4"/>
    <w:rsid w:val="002E1C31"/>
    <w:rsid w:val="002E3474"/>
    <w:rsid w:val="002E764B"/>
    <w:rsid w:val="002F3394"/>
    <w:rsid w:val="002F7F81"/>
    <w:rsid w:val="00323E70"/>
    <w:rsid w:val="0033411B"/>
    <w:rsid w:val="00363362"/>
    <w:rsid w:val="0037520D"/>
    <w:rsid w:val="00377BD2"/>
    <w:rsid w:val="00385D6F"/>
    <w:rsid w:val="00393651"/>
    <w:rsid w:val="003A41BA"/>
    <w:rsid w:val="003A6A99"/>
    <w:rsid w:val="003B227A"/>
    <w:rsid w:val="003D2BA3"/>
    <w:rsid w:val="003D7DDB"/>
    <w:rsid w:val="003E0543"/>
    <w:rsid w:val="003F1BC0"/>
    <w:rsid w:val="003F52EE"/>
    <w:rsid w:val="003F58B0"/>
    <w:rsid w:val="004007E9"/>
    <w:rsid w:val="00401BBC"/>
    <w:rsid w:val="004046A7"/>
    <w:rsid w:val="00404B45"/>
    <w:rsid w:val="00406CC5"/>
    <w:rsid w:val="004074A4"/>
    <w:rsid w:val="004172DB"/>
    <w:rsid w:val="00420537"/>
    <w:rsid w:val="00422B75"/>
    <w:rsid w:val="0043503A"/>
    <w:rsid w:val="0044384F"/>
    <w:rsid w:val="00447AB9"/>
    <w:rsid w:val="004543BC"/>
    <w:rsid w:val="004574C6"/>
    <w:rsid w:val="00457BCF"/>
    <w:rsid w:val="00461AAE"/>
    <w:rsid w:val="0046204E"/>
    <w:rsid w:val="004718E7"/>
    <w:rsid w:val="00473D5C"/>
    <w:rsid w:val="004761CC"/>
    <w:rsid w:val="00497F64"/>
    <w:rsid w:val="004A24D2"/>
    <w:rsid w:val="004A4136"/>
    <w:rsid w:val="004B03F3"/>
    <w:rsid w:val="004B7169"/>
    <w:rsid w:val="004E32EA"/>
    <w:rsid w:val="00510588"/>
    <w:rsid w:val="0051146C"/>
    <w:rsid w:val="0052590B"/>
    <w:rsid w:val="00526591"/>
    <w:rsid w:val="005350A5"/>
    <w:rsid w:val="00536379"/>
    <w:rsid w:val="00540BEF"/>
    <w:rsid w:val="005436C2"/>
    <w:rsid w:val="0055396A"/>
    <w:rsid w:val="00553CA3"/>
    <w:rsid w:val="00572F71"/>
    <w:rsid w:val="005820E3"/>
    <w:rsid w:val="00592358"/>
    <w:rsid w:val="005A258C"/>
    <w:rsid w:val="005A3560"/>
    <w:rsid w:val="005B011A"/>
    <w:rsid w:val="005C2FAE"/>
    <w:rsid w:val="005F1115"/>
    <w:rsid w:val="005F27F2"/>
    <w:rsid w:val="005F424D"/>
    <w:rsid w:val="00601D18"/>
    <w:rsid w:val="00602963"/>
    <w:rsid w:val="00615641"/>
    <w:rsid w:val="00630AFE"/>
    <w:rsid w:val="00634C4A"/>
    <w:rsid w:val="006418C9"/>
    <w:rsid w:val="00645046"/>
    <w:rsid w:val="00662F08"/>
    <w:rsid w:val="00663589"/>
    <w:rsid w:val="0067443B"/>
    <w:rsid w:val="00684E2B"/>
    <w:rsid w:val="00690FDA"/>
    <w:rsid w:val="00696476"/>
    <w:rsid w:val="006A376D"/>
    <w:rsid w:val="006A40E6"/>
    <w:rsid w:val="006A75FA"/>
    <w:rsid w:val="006B5923"/>
    <w:rsid w:val="006D2D39"/>
    <w:rsid w:val="006E06D1"/>
    <w:rsid w:val="006E7356"/>
    <w:rsid w:val="006F1A46"/>
    <w:rsid w:val="007001EB"/>
    <w:rsid w:val="00710529"/>
    <w:rsid w:val="0071397A"/>
    <w:rsid w:val="007165CE"/>
    <w:rsid w:val="00721D12"/>
    <w:rsid w:val="00721F8B"/>
    <w:rsid w:val="00736A49"/>
    <w:rsid w:val="0074171D"/>
    <w:rsid w:val="00744EBB"/>
    <w:rsid w:val="00746AE2"/>
    <w:rsid w:val="0076100C"/>
    <w:rsid w:val="00781BD4"/>
    <w:rsid w:val="00782B48"/>
    <w:rsid w:val="00784832"/>
    <w:rsid w:val="00791F1E"/>
    <w:rsid w:val="00797C1C"/>
    <w:rsid w:val="007A0B39"/>
    <w:rsid w:val="007A168F"/>
    <w:rsid w:val="007A28E4"/>
    <w:rsid w:val="007A5AD1"/>
    <w:rsid w:val="007B0A06"/>
    <w:rsid w:val="007B7C41"/>
    <w:rsid w:val="007C433E"/>
    <w:rsid w:val="007D0292"/>
    <w:rsid w:val="007E2046"/>
    <w:rsid w:val="007E4FBB"/>
    <w:rsid w:val="007F19D5"/>
    <w:rsid w:val="007F4A0D"/>
    <w:rsid w:val="00811D5B"/>
    <w:rsid w:val="00817713"/>
    <w:rsid w:val="00830999"/>
    <w:rsid w:val="00830D5E"/>
    <w:rsid w:val="00830F69"/>
    <w:rsid w:val="00834458"/>
    <w:rsid w:val="00837465"/>
    <w:rsid w:val="00841457"/>
    <w:rsid w:val="0084374E"/>
    <w:rsid w:val="0085206E"/>
    <w:rsid w:val="00853718"/>
    <w:rsid w:val="008541EF"/>
    <w:rsid w:val="00855696"/>
    <w:rsid w:val="0086162B"/>
    <w:rsid w:val="00865207"/>
    <w:rsid w:val="00871262"/>
    <w:rsid w:val="00871B92"/>
    <w:rsid w:val="00875B51"/>
    <w:rsid w:val="00875F2D"/>
    <w:rsid w:val="0088296B"/>
    <w:rsid w:val="0088609E"/>
    <w:rsid w:val="008A3B2E"/>
    <w:rsid w:val="008A63A9"/>
    <w:rsid w:val="008B5D31"/>
    <w:rsid w:val="008D1F33"/>
    <w:rsid w:val="008E276B"/>
    <w:rsid w:val="008E2D99"/>
    <w:rsid w:val="008E4A60"/>
    <w:rsid w:val="009026E8"/>
    <w:rsid w:val="00914ADB"/>
    <w:rsid w:val="00923B25"/>
    <w:rsid w:val="00942645"/>
    <w:rsid w:val="0095340A"/>
    <w:rsid w:val="00954581"/>
    <w:rsid w:val="0095466C"/>
    <w:rsid w:val="0096168C"/>
    <w:rsid w:val="009656B7"/>
    <w:rsid w:val="009732B8"/>
    <w:rsid w:val="00977CB4"/>
    <w:rsid w:val="00985099"/>
    <w:rsid w:val="009A0DE3"/>
    <w:rsid w:val="009B1534"/>
    <w:rsid w:val="009B69D3"/>
    <w:rsid w:val="009B7BA7"/>
    <w:rsid w:val="009C0938"/>
    <w:rsid w:val="009C09D9"/>
    <w:rsid w:val="009C3D79"/>
    <w:rsid w:val="009C3F82"/>
    <w:rsid w:val="009C7DF5"/>
    <w:rsid w:val="009D1ADE"/>
    <w:rsid w:val="009E1283"/>
    <w:rsid w:val="009E72E2"/>
    <w:rsid w:val="00A1105B"/>
    <w:rsid w:val="00A12958"/>
    <w:rsid w:val="00A15CAD"/>
    <w:rsid w:val="00A16876"/>
    <w:rsid w:val="00A200AA"/>
    <w:rsid w:val="00A2186F"/>
    <w:rsid w:val="00A2270B"/>
    <w:rsid w:val="00A2496E"/>
    <w:rsid w:val="00A258B7"/>
    <w:rsid w:val="00A33E44"/>
    <w:rsid w:val="00A47CF1"/>
    <w:rsid w:val="00A50418"/>
    <w:rsid w:val="00A608FB"/>
    <w:rsid w:val="00A70E7B"/>
    <w:rsid w:val="00A76094"/>
    <w:rsid w:val="00A86CB6"/>
    <w:rsid w:val="00A90D55"/>
    <w:rsid w:val="00AA04B3"/>
    <w:rsid w:val="00AC439D"/>
    <w:rsid w:val="00AC4C54"/>
    <w:rsid w:val="00AE2D29"/>
    <w:rsid w:val="00AE3316"/>
    <w:rsid w:val="00AF699F"/>
    <w:rsid w:val="00B01AE0"/>
    <w:rsid w:val="00B03A90"/>
    <w:rsid w:val="00B07781"/>
    <w:rsid w:val="00B32179"/>
    <w:rsid w:val="00B36253"/>
    <w:rsid w:val="00B36FEB"/>
    <w:rsid w:val="00B40A3E"/>
    <w:rsid w:val="00B522CD"/>
    <w:rsid w:val="00B55917"/>
    <w:rsid w:val="00B72303"/>
    <w:rsid w:val="00B80224"/>
    <w:rsid w:val="00B82277"/>
    <w:rsid w:val="00BA2D98"/>
    <w:rsid w:val="00BA30D1"/>
    <w:rsid w:val="00BA5BE2"/>
    <w:rsid w:val="00BA7F46"/>
    <w:rsid w:val="00BB0A0A"/>
    <w:rsid w:val="00BB7066"/>
    <w:rsid w:val="00BD6806"/>
    <w:rsid w:val="00BD7831"/>
    <w:rsid w:val="00BD7C10"/>
    <w:rsid w:val="00BE0DEB"/>
    <w:rsid w:val="00BF1266"/>
    <w:rsid w:val="00C13B34"/>
    <w:rsid w:val="00C261C6"/>
    <w:rsid w:val="00C30A97"/>
    <w:rsid w:val="00C31DDC"/>
    <w:rsid w:val="00C34326"/>
    <w:rsid w:val="00C54DF3"/>
    <w:rsid w:val="00C71BEC"/>
    <w:rsid w:val="00C775A2"/>
    <w:rsid w:val="00C846EA"/>
    <w:rsid w:val="00C84AD1"/>
    <w:rsid w:val="00C85579"/>
    <w:rsid w:val="00CA068D"/>
    <w:rsid w:val="00CA282D"/>
    <w:rsid w:val="00CB23DC"/>
    <w:rsid w:val="00CB28E2"/>
    <w:rsid w:val="00CB7FF7"/>
    <w:rsid w:val="00CC0578"/>
    <w:rsid w:val="00CC2044"/>
    <w:rsid w:val="00CC4E54"/>
    <w:rsid w:val="00CC69EC"/>
    <w:rsid w:val="00CD34C7"/>
    <w:rsid w:val="00CD4757"/>
    <w:rsid w:val="00CD509F"/>
    <w:rsid w:val="00CF4394"/>
    <w:rsid w:val="00CF5A04"/>
    <w:rsid w:val="00D01E06"/>
    <w:rsid w:val="00D1648B"/>
    <w:rsid w:val="00D20AC0"/>
    <w:rsid w:val="00D336C8"/>
    <w:rsid w:val="00D339E8"/>
    <w:rsid w:val="00D37237"/>
    <w:rsid w:val="00D40B1F"/>
    <w:rsid w:val="00D50C8C"/>
    <w:rsid w:val="00D52393"/>
    <w:rsid w:val="00D71918"/>
    <w:rsid w:val="00D76AB2"/>
    <w:rsid w:val="00D829AD"/>
    <w:rsid w:val="00D87788"/>
    <w:rsid w:val="00D902B4"/>
    <w:rsid w:val="00D910C2"/>
    <w:rsid w:val="00D9189B"/>
    <w:rsid w:val="00D91DA6"/>
    <w:rsid w:val="00D9271A"/>
    <w:rsid w:val="00D972D4"/>
    <w:rsid w:val="00DA195B"/>
    <w:rsid w:val="00DA3ED0"/>
    <w:rsid w:val="00DB6FBE"/>
    <w:rsid w:val="00DC233D"/>
    <w:rsid w:val="00DD30C1"/>
    <w:rsid w:val="00DD3593"/>
    <w:rsid w:val="00DE7E74"/>
    <w:rsid w:val="00E017F0"/>
    <w:rsid w:val="00E041E4"/>
    <w:rsid w:val="00E05B8C"/>
    <w:rsid w:val="00E14581"/>
    <w:rsid w:val="00E15539"/>
    <w:rsid w:val="00E16541"/>
    <w:rsid w:val="00E2632B"/>
    <w:rsid w:val="00E405EA"/>
    <w:rsid w:val="00E40F19"/>
    <w:rsid w:val="00E42789"/>
    <w:rsid w:val="00E50BEB"/>
    <w:rsid w:val="00E51C99"/>
    <w:rsid w:val="00E55F25"/>
    <w:rsid w:val="00E635F9"/>
    <w:rsid w:val="00E82B6D"/>
    <w:rsid w:val="00E8398A"/>
    <w:rsid w:val="00E83F78"/>
    <w:rsid w:val="00E866F8"/>
    <w:rsid w:val="00EA11B6"/>
    <w:rsid w:val="00EA2DD8"/>
    <w:rsid w:val="00EA681F"/>
    <w:rsid w:val="00EB76E4"/>
    <w:rsid w:val="00EC0E65"/>
    <w:rsid w:val="00ED59DB"/>
    <w:rsid w:val="00EE0B44"/>
    <w:rsid w:val="00EF4F60"/>
    <w:rsid w:val="00EF608E"/>
    <w:rsid w:val="00F0706C"/>
    <w:rsid w:val="00F1516A"/>
    <w:rsid w:val="00F22A26"/>
    <w:rsid w:val="00F30778"/>
    <w:rsid w:val="00F32139"/>
    <w:rsid w:val="00F34E08"/>
    <w:rsid w:val="00F41D91"/>
    <w:rsid w:val="00F43139"/>
    <w:rsid w:val="00F46964"/>
    <w:rsid w:val="00F5126A"/>
    <w:rsid w:val="00F718A8"/>
    <w:rsid w:val="00F71C7A"/>
    <w:rsid w:val="00F72183"/>
    <w:rsid w:val="00F82981"/>
    <w:rsid w:val="00F8311F"/>
    <w:rsid w:val="00F83248"/>
    <w:rsid w:val="00F853AE"/>
    <w:rsid w:val="00F85CBA"/>
    <w:rsid w:val="00F93DCC"/>
    <w:rsid w:val="00F9435D"/>
    <w:rsid w:val="00FB593A"/>
    <w:rsid w:val="00FB6E82"/>
    <w:rsid w:val="00FC4576"/>
    <w:rsid w:val="00FC7DBC"/>
    <w:rsid w:val="00FD1D5A"/>
    <w:rsid w:val="00FE799D"/>
    <w:rsid w:val="00FF37A2"/>
    <w:rsid w:val="00FF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36C2"/>
    <w:rPr>
      <w:color w:val="008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436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36C2"/>
  </w:style>
  <w:style w:type="paragraph" w:styleId="Header">
    <w:name w:val="header"/>
    <w:basedOn w:val="Normal"/>
    <w:rsid w:val="005436C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436C2"/>
    <w:pPr>
      <w:tabs>
        <w:tab w:val="left" w:pos="720"/>
      </w:tabs>
      <w:spacing w:line="240" w:lineRule="exact"/>
      <w:ind w:right="-360"/>
    </w:pPr>
    <w:rPr>
      <w:rFonts w:ascii="Times New Roman" w:hAnsi="Times New Roman"/>
      <w:color w:val="000080"/>
    </w:rPr>
  </w:style>
  <w:style w:type="paragraph" w:styleId="BodyText3">
    <w:name w:val="Body Text 3"/>
    <w:basedOn w:val="Normal"/>
    <w:rsid w:val="005436C2"/>
    <w:pPr>
      <w:tabs>
        <w:tab w:val="left" w:pos="288"/>
        <w:tab w:val="left" w:pos="4752"/>
      </w:tabs>
      <w:spacing w:line="240" w:lineRule="exact"/>
      <w:ind w:right="-360"/>
      <w:jc w:val="both"/>
    </w:pPr>
    <w:rPr>
      <w:color w:val="000080"/>
    </w:rPr>
  </w:style>
  <w:style w:type="paragraph" w:styleId="PlainText">
    <w:name w:val="Plain Text"/>
    <w:basedOn w:val="Normal"/>
    <w:link w:val="PlainTextChar"/>
    <w:unhideWhenUsed/>
    <w:rsid w:val="00D91DA6"/>
    <w:rPr>
      <w:rFonts w:ascii="Consolas" w:eastAsia="Calibri" w:hAnsi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D91DA6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379D0"/>
    <w:rPr>
      <w:color w:val="008080"/>
      <w:sz w:val="24"/>
    </w:rPr>
  </w:style>
  <w:style w:type="paragraph" w:styleId="BalloonText">
    <w:name w:val="Balloon Text"/>
    <w:basedOn w:val="Normal"/>
    <w:link w:val="BalloonTextChar"/>
    <w:rsid w:val="00037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79D0"/>
    <w:rPr>
      <w:rFonts w:ascii="Tahoma" w:hAnsi="Tahoma" w:cs="Tahoma"/>
      <w:color w:val="008080"/>
      <w:sz w:val="16"/>
      <w:szCs w:val="16"/>
    </w:rPr>
  </w:style>
  <w:style w:type="table" w:styleId="TableGrid">
    <w:name w:val="Table Grid"/>
    <w:basedOn w:val="TableNormal"/>
    <w:uiPriority w:val="59"/>
    <w:rsid w:val="006F1A4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5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Title">
    <w:name w:val="Title"/>
    <w:basedOn w:val="Normal"/>
    <w:link w:val="TitleChar"/>
    <w:qFormat/>
    <w:rsid w:val="00DC233D"/>
    <w:pPr>
      <w:jc w:val="center"/>
    </w:pPr>
    <w:rPr>
      <w:rFonts w:ascii="Verdana" w:hAnsi="Verdana"/>
      <w:b/>
      <w:bCs/>
      <w:color w:val="800000"/>
      <w:szCs w:val="24"/>
    </w:rPr>
  </w:style>
  <w:style w:type="character" w:customStyle="1" w:styleId="TitleChar">
    <w:name w:val="Title Char"/>
    <w:basedOn w:val="DefaultParagraphFont"/>
    <w:link w:val="Title"/>
    <w:rsid w:val="00DC233D"/>
    <w:rPr>
      <w:rFonts w:ascii="Verdana" w:hAnsi="Verdana"/>
      <w:b/>
      <w:bCs/>
      <w:color w:val="8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C2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C233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PROCEEDINGS</vt:lpstr>
    </vt:vector>
  </TitlesOfParts>
  <Company>Pre-installed Company</Company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PROCEEDINGS</dc:title>
  <dc:creator>JOHN J. D'ORAZIO</dc:creator>
  <cp:lastModifiedBy>Colleen.Toussaint</cp:lastModifiedBy>
  <cp:revision>2</cp:revision>
  <cp:lastPrinted>2010-08-31T19:04:00Z</cp:lastPrinted>
  <dcterms:created xsi:type="dcterms:W3CDTF">2012-03-07T01:10:00Z</dcterms:created>
  <dcterms:modified xsi:type="dcterms:W3CDTF">2012-03-07T01:10:00Z</dcterms:modified>
</cp:coreProperties>
</file>