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6A15B6" w:rsidRDefault="00FE3349" w:rsidP="00971382">
      <w:pPr>
        <w:tabs>
          <w:tab w:val="left" w:pos="288"/>
          <w:tab w:val="left" w:pos="4752"/>
        </w:tabs>
        <w:spacing w:line="240" w:lineRule="exact"/>
        <w:jc w:val="center"/>
        <w:rPr>
          <w:color w:val="auto"/>
        </w:rPr>
      </w:pPr>
      <w:r w:rsidRPr="006A15B6">
        <w:rPr>
          <w:color w:val="auto"/>
        </w:rPr>
        <w:t>RECORD OF PROCEEDINGS</w:t>
      </w:r>
    </w:p>
    <w:p w:rsidR="00540BEF" w:rsidRPr="006A15B6" w:rsidRDefault="00540BEF" w:rsidP="00971382">
      <w:pPr>
        <w:tabs>
          <w:tab w:val="left" w:pos="288"/>
          <w:tab w:val="left" w:pos="4752"/>
        </w:tabs>
        <w:spacing w:line="240" w:lineRule="exact"/>
        <w:jc w:val="center"/>
        <w:rPr>
          <w:color w:val="auto"/>
        </w:rPr>
      </w:pPr>
      <w:r w:rsidRPr="006A15B6">
        <w:rPr>
          <w:color w:val="auto"/>
        </w:rPr>
        <w:t>PHYSICAL DISABILITY BOARD OF REVIEW</w:t>
      </w:r>
    </w:p>
    <w:p w:rsidR="00540BEF" w:rsidRPr="006A15B6" w:rsidRDefault="00540BEF" w:rsidP="00971382">
      <w:pPr>
        <w:tabs>
          <w:tab w:val="left" w:pos="288"/>
          <w:tab w:val="left" w:pos="4752"/>
        </w:tabs>
        <w:spacing w:line="240" w:lineRule="exact"/>
        <w:jc w:val="both"/>
        <w:rPr>
          <w:color w:val="auto"/>
        </w:rPr>
      </w:pPr>
    </w:p>
    <w:p w:rsidR="003B17B1" w:rsidRPr="006A15B6" w:rsidRDefault="003B17B1" w:rsidP="00971382">
      <w:pPr>
        <w:tabs>
          <w:tab w:val="left" w:pos="288"/>
          <w:tab w:val="left" w:pos="4752"/>
        </w:tabs>
        <w:spacing w:line="240" w:lineRule="exact"/>
        <w:jc w:val="both"/>
        <w:rPr>
          <w:color w:val="auto"/>
        </w:rPr>
      </w:pPr>
      <w:r w:rsidRPr="006A15B6">
        <w:rPr>
          <w:color w:val="auto"/>
        </w:rPr>
        <w:t xml:space="preserve">NAME: </w:t>
      </w:r>
      <w:r w:rsidR="00C94E5B">
        <w:rPr>
          <w:color w:val="auto"/>
        </w:rPr>
        <w:t>XXXXX</w:t>
      </w:r>
      <w:r w:rsidR="003139AA" w:rsidRPr="006A15B6">
        <w:rPr>
          <w:color w:val="auto"/>
        </w:rPr>
        <w:t xml:space="preserve"> </w:t>
      </w:r>
      <w:r w:rsidR="007600F7">
        <w:rPr>
          <w:color w:val="auto"/>
        </w:rPr>
        <w:tab/>
      </w:r>
      <w:r w:rsidRPr="006A15B6">
        <w:rPr>
          <w:color w:val="auto"/>
        </w:rPr>
        <w:t xml:space="preserve">BRANCH OF SERVICE: </w:t>
      </w:r>
      <w:r w:rsidR="00185351" w:rsidRPr="006A15B6">
        <w:rPr>
          <w:color w:val="auto"/>
        </w:rPr>
        <w:t>MARINE CORPS</w:t>
      </w:r>
    </w:p>
    <w:p w:rsidR="00FD3F64" w:rsidRDefault="003B17B1" w:rsidP="00971382">
      <w:pPr>
        <w:tabs>
          <w:tab w:val="left" w:pos="288"/>
          <w:tab w:val="left" w:pos="4752"/>
        </w:tabs>
        <w:spacing w:line="240" w:lineRule="exact"/>
        <w:ind w:right="-270"/>
        <w:jc w:val="both"/>
        <w:rPr>
          <w:color w:val="auto"/>
        </w:rPr>
      </w:pPr>
      <w:r w:rsidRPr="006A15B6">
        <w:rPr>
          <w:color w:val="auto"/>
        </w:rPr>
        <w:t>CASE NUMBER:  PD0900</w:t>
      </w:r>
      <w:r w:rsidR="003139AA" w:rsidRPr="006A15B6">
        <w:rPr>
          <w:color w:val="auto"/>
        </w:rPr>
        <w:t>502</w:t>
      </w:r>
      <w:r w:rsidR="007600F7">
        <w:rPr>
          <w:color w:val="auto"/>
        </w:rPr>
        <w:tab/>
        <w:t>BOARD DATE: 20100623</w:t>
      </w:r>
    </w:p>
    <w:p w:rsidR="003B17B1" w:rsidRPr="006A15B6" w:rsidRDefault="003B17B1" w:rsidP="00971382">
      <w:pPr>
        <w:tabs>
          <w:tab w:val="left" w:pos="288"/>
          <w:tab w:val="left" w:pos="4752"/>
        </w:tabs>
        <w:spacing w:line="240" w:lineRule="exact"/>
        <w:ind w:right="-270"/>
        <w:jc w:val="both"/>
        <w:rPr>
          <w:color w:val="auto"/>
        </w:rPr>
      </w:pPr>
      <w:r w:rsidRPr="006A15B6">
        <w:rPr>
          <w:color w:val="auto"/>
        </w:rPr>
        <w:t xml:space="preserve">SEPARATION DATE: </w:t>
      </w:r>
      <w:r w:rsidR="004A79E8" w:rsidRPr="006A15B6">
        <w:rPr>
          <w:color w:val="auto"/>
        </w:rPr>
        <w:t>20090226</w:t>
      </w:r>
    </w:p>
    <w:p w:rsidR="00540BEF" w:rsidRPr="006A15B6" w:rsidRDefault="00540BEF" w:rsidP="00971382">
      <w:pPr>
        <w:tabs>
          <w:tab w:val="left" w:pos="288"/>
          <w:tab w:val="left" w:pos="4752"/>
        </w:tabs>
        <w:spacing w:line="240" w:lineRule="exact"/>
        <w:jc w:val="both"/>
        <w:rPr>
          <w:color w:val="auto"/>
        </w:rPr>
      </w:pPr>
      <w:r w:rsidRPr="006A15B6">
        <w:rPr>
          <w:color w:val="auto"/>
          <w:u w:val="single"/>
        </w:rPr>
        <w:t>________________________________</w:t>
      </w:r>
      <w:r w:rsidR="0058789E" w:rsidRPr="006A15B6">
        <w:rPr>
          <w:color w:val="auto"/>
          <w:u w:val="single"/>
        </w:rPr>
        <w:t>_______________</w:t>
      </w:r>
      <w:r w:rsidRPr="006A15B6">
        <w:rPr>
          <w:color w:val="auto"/>
          <w:u w:val="single"/>
        </w:rPr>
        <w:t>________________</w:t>
      </w:r>
      <w:r w:rsidRPr="006A15B6">
        <w:rPr>
          <w:color w:val="auto"/>
        </w:rPr>
        <w:t>_</w:t>
      </w:r>
    </w:p>
    <w:p w:rsidR="00B522CD" w:rsidRPr="006A15B6" w:rsidRDefault="00B522CD" w:rsidP="00971382">
      <w:pPr>
        <w:tabs>
          <w:tab w:val="left" w:pos="288"/>
          <w:tab w:val="left" w:pos="4752"/>
        </w:tabs>
        <w:spacing w:line="240" w:lineRule="exact"/>
        <w:jc w:val="both"/>
        <w:rPr>
          <w:color w:val="auto"/>
        </w:rPr>
      </w:pPr>
    </w:p>
    <w:p w:rsidR="001E1617" w:rsidRPr="006A15B6" w:rsidRDefault="001E1617" w:rsidP="00971382">
      <w:pPr>
        <w:tabs>
          <w:tab w:val="left" w:pos="288"/>
          <w:tab w:val="left" w:pos="4752"/>
        </w:tabs>
        <w:spacing w:line="240" w:lineRule="exact"/>
        <w:jc w:val="both"/>
        <w:rPr>
          <w:color w:val="auto"/>
          <w:szCs w:val="24"/>
        </w:rPr>
      </w:pPr>
      <w:r w:rsidRPr="006A15B6">
        <w:rPr>
          <w:color w:val="auto"/>
          <w:u w:val="single"/>
        </w:rPr>
        <w:t>SUMMARY OF CASE</w:t>
      </w:r>
      <w:r w:rsidRPr="006A15B6">
        <w:rPr>
          <w:color w:val="auto"/>
        </w:rPr>
        <w:t xml:space="preserve">:  </w:t>
      </w:r>
      <w:r w:rsidRPr="006A15B6">
        <w:rPr>
          <w:color w:val="auto"/>
          <w:szCs w:val="24"/>
        </w:rPr>
        <w:t xml:space="preserve">This covered individual (CI) was a </w:t>
      </w:r>
      <w:proofErr w:type="spellStart"/>
      <w:r w:rsidR="00642B5A" w:rsidRPr="006A15B6">
        <w:rPr>
          <w:color w:val="auto"/>
          <w:szCs w:val="24"/>
        </w:rPr>
        <w:t>LCpl</w:t>
      </w:r>
      <w:proofErr w:type="spellEnd"/>
      <w:r w:rsidRPr="006A15B6">
        <w:rPr>
          <w:color w:val="auto"/>
          <w:szCs w:val="24"/>
        </w:rPr>
        <w:t>/</w:t>
      </w:r>
      <w:r w:rsidR="00642B5A" w:rsidRPr="006A15B6">
        <w:rPr>
          <w:color w:val="auto"/>
          <w:szCs w:val="24"/>
        </w:rPr>
        <w:t>E3</w:t>
      </w:r>
      <w:r w:rsidRPr="006A15B6">
        <w:rPr>
          <w:color w:val="auto"/>
          <w:szCs w:val="24"/>
        </w:rPr>
        <w:t xml:space="preserve"> (</w:t>
      </w:r>
      <w:r w:rsidR="00642B5A" w:rsidRPr="006A15B6">
        <w:rPr>
          <w:color w:val="auto"/>
          <w:szCs w:val="24"/>
        </w:rPr>
        <w:t>Small Arms Repairer/Technician</w:t>
      </w:r>
      <w:r w:rsidRPr="006A15B6">
        <w:rPr>
          <w:color w:val="auto"/>
          <w:szCs w:val="24"/>
        </w:rPr>
        <w:t xml:space="preserve">) medically separated from the </w:t>
      </w:r>
      <w:r w:rsidR="00FD3F64">
        <w:rPr>
          <w:color w:val="auto"/>
          <w:szCs w:val="24"/>
        </w:rPr>
        <w:t>Marine Corps</w:t>
      </w:r>
      <w:r w:rsidRPr="006A15B6">
        <w:rPr>
          <w:color w:val="auto"/>
          <w:szCs w:val="24"/>
        </w:rPr>
        <w:t xml:space="preserve"> </w:t>
      </w:r>
      <w:r w:rsidR="004A79E8" w:rsidRPr="006A15B6">
        <w:rPr>
          <w:color w:val="auto"/>
          <w:szCs w:val="24"/>
        </w:rPr>
        <w:t>2</w:t>
      </w:r>
      <w:r w:rsidR="0025666B" w:rsidRPr="006A15B6">
        <w:rPr>
          <w:color w:val="auto"/>
          <w:szCs w:val="24"/>
        </w:rPr>
        <w:t>009</w:t>
      </w:r>
      <w:r w:rsidR="004A79E8" w:rsidRPr="006A15B6">
        <w:rPr>
          <w:color w:val="auto"/>
          <w:szCs w:val="24"/>
        </w:rPr>
        <w:t xml:space="preserve"> </w:t>
      </w:r>
      <w:r w:rsidRPr="006A15B6">
        <w:rPr>
          <w:color w:val="auto"/>
          <w:szCs w:val="24"/>
        </w:rPr>
        <w:t xml:space="preserve">after </w:t>
      </w:r>
      <w:r w:rsidR="0025666B" w:rsidRPr="006A15B6">
        <w:rPr>
          <w:color w:val="auto"/>
          <w:szCs w:val="24"/>
        </w:rPr>
        <w:t xml:space="preserve">1 </w:t>
      </w:r>
      <w:r w:rsidRPr="006A15B6">
        <w:rPr>
          <w:color w:val="auto"/>
          <w:szCs w:val="24"/>
        </w:rPr>
        <w:t xml:space="preserve">year of service.  The medical basis for the separation was </w:t>
      </w:r>
      <w:r w:rsidR="0025666B" w:rsidRPr="006A15B6">
        <w:rPr>
          <w:color w:val="auto"/>
          <w:szCs w:val="24"/>
        </w:rPr>
        <w:t>Patellofemoral Syndrome, Bilateral Knees</w:t>
      </w:r>
      <w:r w:rsidRPr="006A15B6">
        <w:rPr>
          <w:color w:val="auto"/>
          <w:szCs w:val="24"/>
        </w:rPr>
        <w:t>.</w:t>
      </w:r>
      <w:r w:rsidR="00D63F13">
        <w:rPr>
          <w:color w:val="auto"/>
          <w:szCs w:val="24"/>
        </w:rPr>
        <w:t xml:space="preserve"> </w:t>
      </w:r>
      <w:r w:rsidRPr="006A15B6">
        <w:rPr>
          <w:color w:val="auto"/>
          <w:szCs w:val="24"/>
        </w:rPr>
        <w:t xml:space="preserve">The </w:t>
      </w:r>
      <w:r w:rsidR="0025666B" w:rsidRPr="006A15B6">
        <w:rPr>
          <w:color w:val="auto"/>
          <w:szCs w:val="24"/>
        </w:rPr>
        <w:t xml:space="preserve">Patellofemoral Syndrome, Bilateral Knees </w:t>
      </w:r>
      <w:r w:rsidRPr="006A15B6">
        <w:rPr>
          <w:color w:val="auto"/>
          <w:szCs w:val="24"/>
        </w:rPr>
        <w:t>w</w:t>
      </w:r>
      <w:r w:rsidR="0025666B" w:rsidRPr="006A15B6">
        <w:rPr>
          <w:color w:val="auto"/>
          <w:szCs w:val="24"/>
        </w:rPr>
        <w:t xml:space="preserve">as </w:t>
      </w:r>
      <w:r w:rsidRPr="006A15B6">
        <w:rPr>
          <w:color w:val="auto"/>
          <w:szCs w:val="24"/>
        </w:rPr>
        <w:t>determin</w:t>
      </w:r>
      <w:r w:rsidR="007600F7">
        <w:rPr>
          <w:color w:val="auto"/>
          <w:szCs w:val="24"/>
        </w:rPr>
        <w:t xml:space="preserve">ed to be medically unacceptable. </w:t>
      </w:r>
      <w:r w:rsidRPr="006A15B6">
        <w:rPr>
          <w:color w:val="auto"/>
          <w:szCs w:val="24"/>
        </w:rPr>
        <w:t xml:space="preserve">CI was referred to the </w:t>
      </w:r>
      <w:r w:rsidR="00FD3F64">
        <w:rPr>
          <w:color w:val="auto"/>
          <w:szCs w:val="24"/>
        </w:rPr>
        <w:t>Physical Evaluation Board (</w:t>
      </w:r>
      <w:r w:rsidRPr="006A15B6">
        <w:rPr>
          <w:color w:val="auto"/>
          <w:szCs w:val="24"/>
        </w:rPr>
        <w:t>PEB</w:t>
      </w:r>
      <w:r w:rsidR="00FD3F64">
        <w:rPr>
          <w:color w:val="auto"/>
          <w:szCs w:val="24"/>
        </w:rPr>
        <w:t>)</w:t>
      </w:r>
      <w:r w:rsidRPr="006A15B6">
        <w:rPr>
          <w:color w:val="auto"/>
          <w:szCs w:val="24"/>
        </w:rPr>
        <w:t xml:space="preserve">, found unfit </w:t>
      </w:r>
      <w:r w:rsidR="007600F7">
        <w:rPr>
          <w:color w:val="auto"/>
          <w:szCs w:val="24"/>
        </w:rPr>
        <w:t>for</w:t>
      </w:r>
      <w:r w:rsidRPr="006A15B6">
        <w:rPr>
          <w:color w:val="auto"/>
          <w:szCs w:val="24"/>
        </w:rPr>
        <w:t xml:space="preserve"> continued </w:t>
      </w:r>
      <w:r w:rsidR="007600F7">
        <w:rPr>
          <w:color w:val="auto"/>
          <w:szCs w:val="24"/>
        </w:rPr>
        <w:t>naval</w:t>
      </w:r>
      <w:r w:rsidRPr="006A15B6">
        <w:rPr>
          <w:color w:val="auto"/>
          <w:szCs w:val="24"/>
        </w:rPr>
        <w:t xml:space="preserve"> service and separated at </w:t>
      </w:r>
      <w:r w:rsidR="0025666B" w:rsidRPr="006A15B6">
        <w:rPr>
          <w:color w:val="auto"/>
          <w:szCs w:val="24"/>
        </w:rPr>
        <w:t>0</w:t>
      </w:r>
      <w:r w:rsidRPr="006A15B6">
        <w:rPr>
          <w:color w:val="auto"/>
          <w:szCs w:val="24"/>
        </w:rPr>
        <w:t xml:space="preserve">% disability using the Veterans Affairs Schedule for Ratings Disabilities (VASRD) and applicable </w:t>
      </w:r>
      <w:r w:rsidR="0025666B" w:rsidRPr="006A15B6">
        <w:rPr>
          <w:color w:val="auto"/>
          <w:szCs w:val="24"/>
        </w:rPr>
        <w:t xml:space="preserve">Navy </w:t>
      </w:r>
      <w:r w:rsidRPr="006A15B6">
        <w:rPr>
          <w:color w:val="auto"/>
          <w:szCs w:val="24"/>
        </w:rPr>
        <w:t>and Department of Defense regulations.</w:t>
      </w:r>
    </w:p>
    <w:p w:rsidR="00FD3F64" w:rsidRPr="006A15B6" w:rsidRDefault="00FD3F64" w:rsidP="00FD3F64">
      <w:pPr>
        <w:tabs>
          <w:tab w:val="left" w:pos="288"/>
          <w:tab w:val="left" w:pos="4752"/>
        </w:tabs>
        <w:spacing w:line="240" w:lineRule="exact"/>
        <w:jc w:val="both"/>
        <w:rPr>
          <w:color w:val="auto"/>
        </w:rPr>
      </w:pPr>
      <w:r w:rsidRPr="006A15B6">
        <w:rPr>
          <w:color w:val="auto"/>
          <w:u w:val="single"/>
        </w:rPr>
        <w:t>_______________________________________________________________</w:t>
      </w:r>
      <w:r w:rsidRPr="006A15B6">
        <w:rPr>
          <w:color w:val="auto"/>
        </w:rPr>
        <w:t>_</w:t>
      </w:r>
    </w:p>
    <w:p w:rsidR="00923B25" w:rsidRPr="006A15B6" w:rsidRDefault="00923B25" w:rsidP="00971382">
      <w:pPr>
        <w:tabs>
          <w:tab w:val="left" w:pos="288"/>
          <w:tab w:val="left" w:pos="4752"/>
        </w:tabs>
        <w:spacing w:line="240" w:lineRule="exact"/>
        <w:jc w:val="both"/>
        <w:rPr>
          <w:color w:val="auto"/>
        </w:rPr>
      </w:pPr>
    </w:p>
    <w:p w:rsidR="00E866F8" w:rsidRPr="006A15B6" w:rsidRDefault="001C181A" w:rsidP="00971382">
      <w:pPr>
        <w:tabs>
          <w:tab w:val="left" w:pos="288"/>
          <w:tab w:val="left" w:pos="4752"/>
        </w:tabs>
        <w:spacing w:line="240" w:lineRule="exact"/>
        <w:jc w:val="both"/>
        <w:rPr>
          <w:color w:val="auto"/>
          <w:szCs w:val="24"/>
        </w:rPr>
      </w:pPr>
      <w:r w:rsidRPr="006A15B6">
        <w:rPr>
          <w:color w:val="auto"/>
          <w:u w:val="single"/>
        </w:rPr>
        <w:t>CI CONTENTION</w:t>
      </w:r>
      <w:r w:rsidRPr="006A15B6">
        <w:rPr>
          <w:color w:val="auto"/>
        </w:rPr>
        <w:t>:</w:t>
      </w:r>
      <w:r w:rsidR="00FB6E82" w:rsidRPr="006A15B6">
        <w:rPr>
          <w:color w:val="auto"/>
        </w:rPr>
        <w:t xml:space="preserve">  </w:t>
      </w:r>
      <w:r w:rsidR="00A15020" w:rsidRPr="006A15B6">
        <w:rPr>
          <w:rFonts w:hAnsi="Calibri"/>
          <w:color w:val="auto"/>
          <w:szCs w:val="24"/>
        </w:rPr>
        <w:t>“</w:t>
      </w:r>
      <w:r w:rsidR="00185351" w:rsidRPr="006A15B6">
        <w:rPr>
          <w:color w:val="auto"/>
          <w:szCs w:val="24"/>
        </w:rPr>
        <w:t>Received 40% rating from VA for bi-lateral knee condition</w:t>
      </w:r>
      <w:r w:rsidR="009343C9" w:rsidRPr="006A15B6">
        <w:rPr>
          <w:rFonts w:hAnsi="Calibri"/>
          <w:color w:val="auto"/>
          <w:szCs w:val="24"/>
        </w:rPr>
        <w:t>”</w:t>
      </w:r>
    </w:p>
    <w:p w:rsidR="00FD3F64" w:rsidRPr="006A15B6" w:rsidRDefault="00FD3F64" w:rsidP="00FD3F64">
      <w:pPr>
        <w:tabs>
          <w:tab w:val="left" w:pos="288"/>
          <w:tab w:val="left" w:pos="4752"/>
        </w:tabs>
        <w:spacing w:line="240" w:lineRule="exact"/>
        <w:jc w:val="both"/>
        <w:rPr>
          <w:color w:val="auto"/>
        </w:rPr>
      </w:pPr>
      <w:r w:rsidRPr="006A15B6">
        <w:rPr>
          <w:color w:val="auto"/>
          <w:u w:val="single"/>
        </w:rPr>
        <w:t>_______________________________________________________________</w:t>
      </w:r>
      <w:r w:rsidRPr="006A15B6">
        <w:rPr>
          <w:color w:val="auto"/>
        </w:rPr>
        <w:t>_</w:t>
      </w:r>
    </w:p>
    <w:p w:rsidR="006A4B19" w:rsidRPr="006A15B6" w:rsidRDefault="006A4B19" w:rsidP="00971382">
      <w:pPr>
        <w:spacing w:line="240" w:lineRule="exact"/>
        <w:jc w:val="both"/>
        <w:rPr>
          <w:color w:val="auto"/>
          <w:u w:val="single"/>
        </w:rPr>
      </w:pPr>
    </w:p>
    <w:p w:rsidR="002338CA" w:rsidRPr="006A15B6" w:rsidRDefault="00A90D55" w:rsidP="00971382">
      <w:pPr>
        <w:spacing w:line="240" w:lineRule="exact"/>
        <w:jc w:val="both"/>
        <w:rPr>
          <w:color w:val="auto"/>
        </w:rPr>
      </w:pPr>
      <w:r w:rsidRPr="006A15B6">
        <w:rPr>
          <w:color w:val="auto"/>
          <w:u w:val="single"/>
        </w:rPr>
        <w:t>RATING COMPARISON</w:t>
      </w:r>
      <w:r w:rsidRPr="006A15B6">
        <w:rPr>
          <w:color w:val="auto"/>
        </w:rPr>
        <w:t>:</w:t>
      </w:r>
    </w:p>
    <w:p w:rsidR="001E1617" w:rsidRPr="006A15B6" w:rsidRDefault="001E1617" w:rsidP="00971382">
      <w:pPr>
        <w:spacing w:line="240" w:lineRule="exact"/>
        <w:jc w:val="both"/>
        <w:rPr>
          <w:color w:val="auto"/>
        </w:rPr>
      </w:pPr>
    </w:p>
    <w:tbl>
      <w:tblPr>
        <w:tblStyle w:val="TableGrid"/>
        <w:tblW w:w="10980" w:type="dxa"/>
        <w:tblInd w:w="-612" w:type="dxa"/>
        <w:tblLayout w:type="fixed"/>
        <w:tblLook w:val="04A0"/>
      </w:tblPr>
      <w:tblGrid>
        <w:gridCol w:w="2160"/>
        <w:gridCol w:w="900"/>
        <w:gridCol w:w="810"/>
        <w:gridCol w:w="990"/>
        <w:gridCol w:w="2250"/>
        <w:gridCol w:w="810"/>
        <w:gridCol w:w="810"/>
        <w:gridCol w:w="1170"/>
        <w:gridCol w:w="1080"/>
      </w:tblGrid>
      <w:tr w:rsidR="001E1617" w:rsidRPr="00C6325A" w:rsidTr="00375481">
        <w:trPr>
          <w:trHeight w:val="233"/>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1617" w:rsidRPr="005B56E1" w:rsidRDefault="001E1617" w:rsidP="00971382">
            <w:pPr>
              <w:pStyle w:val="ListParagraph"/>
              <w:spacing w:after="0" w:line="240" w:lineRule="exact"/>
              <w:ind w:left="0"/>
              <w:jc w:val="center"/>
              <w:rPr>
                <w:rFonts w:ascii="Calibri" w:hAnsi="Calibri" w:cs="Times New Roman"/>
                <w:b/>
              </w:rPr>
            </w:pPr>
            <w:r w:rsidRPr="005B56E1">
              <w:rPr>
                <w:rFonts w:ascii="Calibri" w:hAnsi="Calibri" w:cs="Times New Roman"/>
                <w:b/>
              </w:rPr>
              <w:t>Service</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971382">
            <w:pPr>
              <w:pStyle w:val="ListParagraph"/>
              <w:spacing w:after="0" w:line="240" w:lineRule="exact"/>
              <w:ind w:left="0"/>
              <w:jc w:val="center"/>
              <w:rPr>
                <w:rFonts w:ascii="Calibri" w:hAnsi="Calibri" w:cs="Times New Roman"/>
                <w:b/>
              </w:rPr>
            </w:pPr>
            <w:r w:rsidRPr="005B56E1">
              <w:rPr>
                <w:rFonts w:ascii="Calibri" w:hAnsi="Calibri" w:cs="Times New Roman"/>
                <w:b/>
              </w:rPr>
              <w:t>VA (</w:t>
            </w:r>
            <w:r w:rsidR="002572CB">
              <w:rPr>
                <w:rFonts w:ascii="Calibri" w:hAnsi="Calibri" w:cs="Times New Roman"/>
                <w:b/>
              </w:rPr>
              <w:t>5</w:t>
            </w:r>
            <w:r w:rsidR="00604523">
              <w:rPr>
                <w:rFonts w:ascii="Calibri" w:hAnsi="Calibri" w:cs="Times New Roman"/>
                <w:b/>
              </w:rPr>
              <w:t xml:space="preserve"> Months A</w:t>
            </w:r>
            <w:r w:rsidRPr="005B56E1">
              <w:rPr>
                <w:rFonts w:ascii="Calibri" w:hAnsi="Calibri" w:cs="Times New Roman"/>
                <w:b/>
              </w:rPr>
              <w:t>fter Separation)</w:t>
            </w:r>
          </w:p>
        </w:tc>
      </w:tr>
      <w:tr w:rsidR="001E1617" w:rsidRPr="00C6325A" w:rsidTr="00375481">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971382">
            <w:pPr>
              <w:pStyle w:val="ListParagraph"/>
              <w:spacing w:after="0" w:line="240" w:lineRule="exact"/>
              <w:ind w:left="0"/>
              <w:jc w:val="center"/>
              <w:rPr>
                <w:rFonts w:ascii="Calibri" w:hAnsi="Calibri" w:cs="Times New Roman"/>
                <w:b/>
              </w:rPr>
            </w:pPr>
            <w:r w:rsidRPr="005B56E1">
              <w:rPr>
                <w:rFonts w:ascii="Calibri" w:hAnsi="Calibri" w:cs="Times New Roman"/>
                <w:b/>
              </w:rPr>
              <w:t>Unfitting Conditions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971382">
            <w:pPr>
              <w:pStyle w:val="ListParagraph"/>
              <w:spacing w:after="0" w:line="240" w:lineRule="exact"/>
              <w:ind w:left="0"/>
              <w:jc w:val="center"/>
              <w:rPr>
                <w:rFonts w:ascii="Calibri" w:hAnsi="Calibri" w:cs="Times New Roman"/>
                <w:b/>
              </w:rPr>
            </w:pPr>
            <w:r w:rsidRPr="005B56E1">
              <w:rPr>
                <w:rFonts w:ascii="Calibri" w:hAnsi="Calibri"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971382">
            <w:pPr>
              <w:pStyle w:val="ListParagraph"/>
              <w:spacing w:after="0" w:line="240" w:lineRule="exact"/>
              <w:ind w:left="0"/>
              <w:jc w:val="center"/>
              <w:rPr>
                <w:rFonts w:ascii="Calibri" w:hAnsi="Calibri" w:cs="Times New Roman"/>
                <w:b/>
              </w:rPr>
            </w:pPr>
            <w:r w:rsidRPr="005B56E1">
              <w:rPr>
                <w:rFonts w:ascii="Calibri" w:hAnsi="Calibri" w:cs="Times New Roman"/>
                <w:b/>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1617" w:rsidRPr="005B56E1" w:rsidRDefault="001E1617" w:rsidP="00971382">
            <w:pPr>
              <w:pStyle w:val="ListParagraph"/>
              <w:spacing w:after="0" w:line="240" w:lineRule="exact"/>
              <w:ind w:left="0"/>
              <w:jc w:val="center"/>
              <w:rPr>
                <w:rFonts w:ascii="Calibri" w:hAnsi="Calibri" w:cs="Times New Roman"/>
                <w:b/>
              </w:rPr>
            </w:pPr>
            <w:r w:rsidRPr="005B56E1">
              <w:rPr>
                <w:rFonts w:ascii="Calibri" w:hAnsi="Calibri" w:cs="Times New Roman"/>
                <w:b/>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971382">
            <w:pPr>
              <w:pStyle w:val="ListParagraph"/>
              <w:spacing w:after="0" w:line="240" w:lineRule="exact"/>
              <w:ind w:left="0"/>
              <w:jc w:val="center"/>
              <w:rPr>
                <w:rFonts w:ascii="Calibri" w:hAnsi="Calibri" w:cs="Times New Roman"/>
                <w:b/>
              </w:rPr>
            </w:pPr>
            <w:r w:rsidRPr="005B56E1">
              <w:rPr>
                <w:rFonts w:ascii="Calibri" w:hAnsi="Calibri" w:cs="Times New Roman"/>
                <w:b/>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971382">
            <w:pPr>
              <w:pStyle w:val="ListParagraph"/>
              <w:spacing w:after="0" w:line="240" w:lineRule="exact"/>
              <w:ind w:left="0"/>
              <w:jc w:val="center"/>
              <w:rPr>
                <w:rFonts w:ascii="Calibri" w:hAnsi="Calibri" w:cs="Times New Roman"/>
                <w:b/>
              </w:rPr>
            </w:pPr>
            <w:r w:rsidRPr="005B56E1">
              <w:rPr>
                <w:rFonts w:ascii="Calibri" w:hAnsi="Calibri"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971382">
            <w:pPr>
              <w:pStyle w:val="ListParagraph"/>
              <w:spacing w:after="0" w:line="240" w:lineRule="exact"/>
              <w:ind w:left="0"/>
              <w:jc w:val="center"/>
              <w:rPr>
                <w:rFonts w:ascii="Calibri" w:hAnsi="Calibri" w:cs="Times New Roman"/>
                <w:b/>
              </w:rPr>
            </w:pPr>
            <w:r w:rsidRPr="005B56E1">
              <w:rPr>
                <w:rFonts w:ascii="Calibri" w:hAnsi="Calibri" w:cs="Times New Roman"/>
                <w:b/>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971382">
            <w:pPr>
              <w:pStyle w:val="ListParagraph"/>
              <w:spacing w:after="0" w:line="240" w:lineRule="exact"/>
              <w:ind w:left="0"/>
              <w:jc w:val="center"/>
              <w:rPr>
                <w:rFonts w:ascii="Calibri" w:hAnsi="Calibri" w:cs="Times New Roman"/>
                <w:b/>
              </w:rPr>
            </w:pPr>
            <w:r w:rsidRPr="005B56E1">
              <w:rPr>
                <w:rFonts w:ascii="Calibri" w:hAnsi="Calibri" w:cs="Times New Roman"/>
                <w:b/>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5B56E1" w:rsidRDefault="001E1617" w:rsidP="00971382">
            <w:pPr>
              <w:pStyle w:val="ListParagraph"/>
              <w:spacing w:after="0" w:line="240" w:lineRule="exact"/>
              <w:ind w:left="0"/>
              <w:jc w:val="center"/>
              <w:rPr>
                <w:rFonts w:ascii="Calibri" w:hAnsi="Calibri" w:cs="Times New Roman"/>
                <w:b/>
              </w:rPr>
            </w:pPr>
            <w:r w:rsidRPr="005B56E1">
              <w:rPr>
                <w:rFonts w:ascii="Calibri" w:hAnsi="Calibri" w:cs="Times New Roman"/>
                <w:b/>
              </w:rPr>
              <w:t>Effective</w:t>
            </w:r>
          </w:p>
        </w:tc>
      </w:tr>
      <w:tr w:rsidR="00BB66B5" w:rsidRPr="00C6325A" w:rsidTr="004842D5">
        <w:trPr>
          <w:trHeight w:val="602"/>
        </w:trPr>
        <w:tc>
          <w:tcPr>
            <w:tcW w:w="2160" w:type="dxa"/>
            <w:vMerge w:val="restart"/>
            <w:tcBorders>
              <w:top w:val="single" w:sz="4" w:space="0" w:color="000000" w:themeColor="text1"/>
              <w:left w:val="single" w:sz="4" w:space="0" w:color="000000" w:themeColor="text1"/>
              <w:right w:val="single" w:sz="4" w:space="0" w:color="000000" w:themeColor="text1"/>
            </w:tcBorders>
            <w:hideMark/>
          </w:tcPr>
          <w:p w:rsidR="00BB66B5" w:rsidRPr="00607A3E" w:rsidRDefault="00BB66B5" w:rsidP="00971382">
            <w:pPr>
              <w:pStyle w:val="ListParagraph"/>
              <w:spacing w:after="0" w:line="240" w:lineRule="exact"/>
              <w:ind w:left="0"/>
              <w:rPr>
                <w:rFonts w:ascii="Calibri" w:hAnsi="Calibri" w:cs="Times New Roman"/>
                <w:sz w:val="18"/>
                <w:szCs w:val="18"/>
                <w:highlight w:val="yellow"/>
              </w:rPr>
            </w:pPr>
            <w:r w:rsidRPr="00607A3E">
              <w:rPr>
                <w:rFonts w:ascii="Calibri" w:hAnsi="Calibri"/>
                <w:sz w:val="18"/>
                <w:szCs w:val="18"/>
              </w:rPr>
              <w:t>Patellofemoral Syndrome, Bilateral Knees</w:t>
            </w:r>
          </w:p>
        </w:tc>
        <w:tc>
          <w:tcPr>
            <w:tcW w:w="900" w:type="dxa"/>
            <w:vMerge w:val="restart"/>
            <w:tcBorders>
              <w:top w:val="single" w:sz="4" w:space="0" w:color="000000" w:themeColor="text1"/>
              <w:left w:val="single" w:sz="4" w:space="0" w:color="000000" w:themeColor="text1"/>
              <w:right w:val="single" w:sz="4" w:space="0" w:color="000000" w:themeColor="text1"/>
            </w:tcBorders>
            <w:hideMark/>
          </w:tcPr>
          <w:p w:rsidR="00BB66B5" w:rsidRPr="00607A3E" w:rsidRDefault="00D63F13" w:rsidP="00971382">
            <w:pPr>
              <w:pStyle w:val="ListParagraph"/>
              <w:spacing w:after="0" w:line="240" w:lineRule="exact"/>
              <w:ind w:left="0"/>
              <w:jc w:val="center"/>
              <w:rPr>
                <w:rFonts w:ascii="Calibri" w:hAnsi="Calibri" w:cs="Times New Roman"/>
                <w:sz w:val="18"/>
                <w:szCs w:val="18"/>
              </w:rPr>
            </w:pPr>
            <w:r>
              <w:rPr>
                <w:rFonts w:ascii="Calibri" w:hAnsi="Calibri" w:cs="Times New Roman"/>
                <w:sz w:val="18"/>
                <w:szCs w:val="18"/>
              </w:rPr>
              <w:t xml:space="preserve"> 509</w:t>
            </w:r>
            <w:r w:rsidR="00BB66B5" w:rsidRPr="00607A3E">
              <w:rPr>
                <w:rFonts w:ascii="Calibri" w:hAnsi="Calibri" w:cs="Times New Roman"/>
                <w:sz w:val="18"/>
                <w:szCs w:val="18"/>
              </w:rPr>
              <w:t>9-5003</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BB66B5" w:rsidRPr="00607A3E" w:rsidRDefault="00BB66B5" w:rsidP="00971382">
            <w:pPr>
              <w:pStyle w:val="ListParagraph"/>
              <w:spacing w:after="0" w:line="240" w:lineRule="exact"/>
              <w:ind w:left="0"/>
              <w:jc w:val="center"/>
              <w:rPr>
                <w:rFonts w:ascii="Calibri" w:hAnsi="Calibri" w:cs="Times New Roman"/>
                <w:sz w:val="18"/>
                <w:szCs w:val="18"/>
              </w:rPr>
            </w:pPr>
            <w:r w:rsidRPr="00607A3E">
              <w:rPr>
                <w:rFonts w:ascii="Calibri" w:hAnsi="Calibri" w:cs="Times New Roman"/>
                <w:sz w:val="18"/>
                <w:szCs w:val="18"/>
              </w:rPr>
              <w:t>0%</w:t>
            </w:r>
          </w:p>
        </w:tc>
        <w:tc>
          <w:tcPr>
            <w:tcW w:w="990" w:type="dxa"/>
            <w:vMerge w:val="restart"/>
            <w:tcBorders>
              <w:top w:val="single" w:sz="4" w:space="0" w:color="000000" w:themeColor="text1"/>
              <w:left w:val="single" w:sz="4" w:space="0" w:color="000000" w:themeColor="text1"/>
              <w:right w:val="thinThickThinSmallGap" w:sz="24" w:space="0" w:color="000000" w:themeColor="text1"/>
            </w:tcBorders>
            <w:hideMark/>
          </w:tcPr>
          <w:p w:rsidR="00BB66B5" w:rsidRPr="00607A3E" w:rsidRDefault="00BB66B5" w:rsidP="00971382">
            <w:pPr>
              <w:pStyle w:val="ListParagraph"/>
              <w:tabs>
                <w:tab w:val="left" w:pos="451"/>
              </w:tabs>
              <w:spacing w:after="0" w:line="240" w:lineRule="exact"/>
              <w:ind w:left="0"/>
              <w:rPr>
                <w:rFonts w:ascii="Calibri" w:hAnsi="Calibri" w:cs="Times New Roman"/>
                <w:sz w:val="18"/>
                <w:szCs w:val="18"/>
              </w:rPr>
            </w:pPr>
            <w:r w:rsidRPr="00607A3E">
              <w:rPr>
                <w:rFonts w:ascii="Calibri" w:hAnsi="Calibri" w:cs="Times New Roman"/>
                <w:sz w:val="18"/>
                <w:szCs w:val="18"/>
              </w:rPr>
              <w:t>20081211</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BB66B5" w:rsidRPr="00BB66B5" w:rsidRDefault="00BB66B5" w:rsidP="00971382">
            <w:pPr>
              <w:pStyle w:val="ListParagraph"/>
              <w:spacing w:after="0" w:line="240" w:lineRule="exact"/>
              <w:ind w:left="0"/>
              <w:rPr>
                <w:rFonts w:ascii="Calibri" w:hAnsi="Calibri" w:cs="Times New Roman"/>
                <w:sz w:val="18"/>
                <w:szCs w:val="18"/>
              </w:rPr>
            </w:pPr>
            <w:r w:rsidRPr="00BB66B5">
              <w:rPr>
                <w:rFonts w:ascii="Calibri" w:hAnsi="Calibri" w:cs="Times New Roman"/>
                <w:sz w:val="18"/>
                <w:szCs w:val="18"/>
              </w:rPr>
              <w:t>Patellofemoral Syndrome, Left Knee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6B5" w:rsidRPr="00BB66B5" w:rsidRDefault="00BB66B5" w:rsidP="00971382">
            <w:pPr>
              <w:spacing w:line="240" w:lineRule="exact"/>
              <w:jc w:val="center"/>
              <w:rPr>
                <w:rFonts w:ascii="Calibri" w:eastAsiaTheme="minorEastAsia" w:hAnsi="Calibri"/>
                <w:color w:val="auto"/>
                <w:sz w:val="18"/>
                <w:szCs w:val="18"/>
              </w:rPr>
            </w:pPr>
            <w:r w:rsidRPr="00BB66B5">
              <w:rPr>
                <w:rFonts w:ascii="Calibri" w:eastAsiaTheme="minorEastAsia" w:hAnsi="Calibri"/>
                <w:color w:val="auto"/>
                <w:sz w:val="18"/>
                <w:szCs w:val="18"/>
              </w:rPr>
              <w:t>5261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6B5" w:rsidRPr="00BB66B5" w:rsidRDefault="00BB66B5" w:rsidP="00971382">
            <w:pPr>
              <w:spacing w:line="240" w:lineRule="exact"/>
              <w:jc w:val="center"/>
              <w:rPr>
                <w:rFonts w:ascii="Calibri" w:eastAsiaTheme="minorEastAsia" w:hAnsi="Calibri"/>
                <w:color w:val="auto"/>
                <w:sz w:val="18"/>
                <w:szCs w:val="18"/>
              </w:rPr>
            </w:pPr>
            <w:r w:rsidRPr="00BB66B5">
              <w:rPr>
                <w:rFonts w:ascii="Calibri" w:eastAsiaTheme="minorEastAsia" w:hAnsi="Calibri"/>
                <w:color w:val="auto"/>
                <w:sz w:val="18"/>
                <w:szCs w:val="1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6B5" w:rsidRPr="00BB66B5" w:rsidRDefault="00BB66B5" w:rsidP="00971382">
            <w:pPr>
              <w:spacing w:line="240" w:lineRule="exact"/>
              <w:jc w:val="center"/>
              <w:rPr>
                <w:rFonts w:ascii="Calibri" w:eastAsiaTheme="minorEastAsia" w:hAnsi="Calibri"/>
                <w:color w:val="auto"/>
                <w:sz w:val="18"/>
                <w:szCs w:val="18"/>
              </w:rPr>
            </w:pPr>
            <w:r w:rsidRPr="00BB66B5">
              <w:rPr>
                <w:rFonts w:ascii="Calibri" w:eastAsiaTheme="minorEastAsia" w:hAnsi="Calibri"/>
                <w:color w:val="auto"/>
                <w:sz w:val="18"/>
                <w:szCs w:val="18"/>
              </w:rPr>
              <w:t>20090721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6B5" w:rsidRPr="00BB66B5" w:rsidRDefault="00BB66B5" w:rsidP="00971382">
            <w:pPr>
              <w:spacing w:line="240" w:lineRule="exact"/>
              <w:jc w:val="center"/>
              <w:rPr>
                <w:rFonts w:ascii="Calibri" w:eastAsiaTheme="minorEastAsia" w:hAnsi="Calibri"/>
                <w:color w:val="auto"/>
                <w:sz w:val="18"/>
                <w:szCs w:val="18"/>
              </w:rPr>
            </w:pPr>
            <w:r w:rsidRPr="00BB66B5">
              <w:rPr>
                <w:rFonts w:ascii="Calibri" w:hAnsi="Calibri"/>
                <w:color w:val="auto"/>
                <w:sz w:val="18"/>
                <w:szCs w:val="18"/>
              </w:rPr>
              <w:t>20090331</w:t>
            </w:r>
          </w:p>
        </w:tc>
      </w:tr>
      <w:tr w:rsidR="004842D5" w:rsidRPr="00C6325A" w:rsidTr="004842D5">
        <w:trPr>
          <w:trHeight w:val="240"/>
        </w:trPr>
        <w:tc>
          <w:tcPr>
            <w:tcW w:w="2160" w:type="dxa"/>
            <w:vMerge/>
            <w:tcBorders>
              <w:left w:val="single" w:sz="4" w:space="0" w:color="000000" w:themeColor="text1"/>
              <w:bottom w:val="single" w:sz="4" w:space="0" w:color="000000" w:themeColor="text1"/>
              <w:right w:val="single" w:sz="4" w:space="0" w:color="000000" w:themeColor="text1"/>
            </w:tcBorders>
            <w:hideMark/>
          </w:tcPr>
          <w:p w:rsidR="004842D5" w:rsidRPr="00607A3E" w:rsidRDefault="004842D5" w:rsidP="00971382">
            <w:pPr>
              <w:pStyle w:val="ListParagraph"/>
              <w:spacing w:after="0" w:line="240" w:lineRule="exact"/>
              <w:ind w:left="0"/>
              <w:rPr>
                <w:rFonts w:ascii="Calibri" w:hAnsi="Calibri" w:cs="Times New Roman"/>
                <w:sz w:val="18"/>
                <w:szCs w:val="18"/>
              </w:rPr>
            </w:pPr>
          </w:p>
        </w:tc>
        <w:tc>
          <w:tcPr>
            <w:tcW w:w="900" w:type="dxa"/>
            <w:vMerge/>
            <w:tcBorders>
              <w:left w:val="single" w:sz="4" w:space="0" w:color="000000" w:themeColor="text1"/>
              <w:bottom w:val="single" w:sz="4" w:space="0" w:color="000000" w:themeColor="text1"/>
              <w:right w:val="single" w:sz="4" w:space="0" w:color="000000" w:themeColor="text1"/>
            </w:tcBorders>
            <w:hideMark/>
          </w:tcPr>
          <w:p w:rsidR="004842D5" w:rsidRPr="00607A3E" w:rsidRDefault="004842D5" w:rsidP="00971382">
            <w:pPr>
              <w:pStyle w:val="ListParagraph"/>
              <w:spacing w:after="0" w:line="240" w:lineRule="exact"/>
              <w:ind w:left="0"/>
              <w:jc w:val="center"/>
              <w:rPr>
                <w:rFonts w:ascii="Calibri" w:hAnsi="Calibri"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4842D5" w:rsidRPr="00607A3E" w:rsidRDefault="004842D5" w:rsidP="00971382">
            <w:pPr>
              <w:pStyle w:val="ListParagraph"/>
              <w:spacing w:after="0" w:line="240" w:lineRule="exact"/>
              <w:ind w:left="0"/>
              <w:jc w:val="center"/>
              <w:rPr>
                <w:rFonts w:ascii="Calibri" w:hAnsi="Calibri" w:cs="Times New Roman"/>
                <w:sz w:val="18"/>
                <w:szCs w:val="18"/>
              </w:rPr>
            </w:pPr>
          </w:p>
        </w:tc>
        <w:tc>
          <w:tcPr>
            <w:tcW w:w="990" w:type="dxa"/>
            <w:vMerge/>
            <w:tcBorders>
              <w:left w:val="single" w:sz="4" w:space="0" w:color="000000" w:themeColor="text1"/>
              <w:bottom w:val="single" w:sz="4" w:space="0" w:color="000000" w:themeColor="text1"/>
              <w:right w:val="thinThickThinSmallGap" w:sz="24" w:space="0" w:color="000000" w:themeColor="text1"/>
            </w:tcBorders>
            <w:hideMark/>
          </w:tcPr>
          <w:p w:rsidR="004842D5" w:rsidRPr="00607A3E" w:rsidRDefault="004842D5" w:rsidP="00971382">
            <w:pPr>
              <w:pStyle w:val="ListParagraph"/>
              <w:tabs>
                <w:tab w:val="left" w:pos="451"/>
              </w:tabs>
              <w:spacing w:after="0" w:line="240" w:lineRule="exact"/>
              <w:ind w:left="0"/>
              <w:rPr>
                <w:rFonts w:ascii="Calibri" w:hAnsi="Calibri" w:cs="Times New Roman"/>
                <w:sz w:val="18"/>
                <w:szCs w:val="18"/>
              </w:rPr>
            </w:pPr>
          </w:p>
        </w:tc>
        <w:tc>
          <w:tcPr>
            <w:tcW w:w="2250" w:type="dxa"/>
            <w:vMerge w:val="restart"/>
            <w:tcBorders>
              <w:top w:val="single" w:sz="4" w:space="0" w:color="000000" w:themeColor="text1"/>
              <w:left w:val="thinThickThinSmallGap" w:sz="24" w:space="0" w:color="000000" w:themeColor="text1"/>
              <w:right w:val="single" w:sz="4" w:space="0" w:color="000000" w:themeColor="text1"/>
            </w:tcBorders>
            <w:hideMark/>
          </w:tcPr>
          <w:p w:rsidR="004842D5" w:rsidRPr="00BB66B5" w:rsidRDefault="004842D5" w:rsidP="00971382">
            <w:pPr>
              <w:pStyle w:val="ListParagraph"/>
              <w:spacing w:after="0" w:line="240" w:lineRule="exact"/>
              <w:ind w:left="0"/>
              <w:rPr>
                <w:rFonts w:ascii="Calibri" w:hAnsi="Calibri" w:cs="Times New Roman"/>
                <w:sz w:val="18"/>
                <w:szCs w:val="18"/>
              </w:rPr>
            </w:pPr>
            <w:r w:rsidRPr="00BB66B5">
              <w:rPr>
                <w:rFonts w:ascii="Calibri" w:hAnsi="Calibri" w:cs="Times New Roman"/>
                <w:sz w:val="18"/>
                <w:szCs w:val="18"/>
              </w:rPr>
              <w:t xml:space="preserve">Patellofemoral Syndrome, </w:t>
            </w:r>
            <w:r>
              <w:rPr>
                <w:rFonts w:ascii="Calibri" w:hAnsi="Calibri" w:cs="Times New Roman"/>
                <w:sz w:val="18"/>
                <w:szCs w:val="18"/>
              </w:rPr>
              <w:t>Right</w:t>
            </w:r>
            <w:r w:rsidRPr="00BB66B5">
              <w:rPr>
                <w:rFonts w:ascii="Calibri" w:hAnsi="Calibri" w:cs="Times New Roman"/>
                <w:sz w:val="18"/>
                <w:szCs w:val="18"/>
              </w:rPr>
              <w:t xml:space="preserve"> Knee</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4842D5" w:rsidRPr="00BB66B5" w:rsidRDefault="004842D5" w:rsidP="00971382">
            <w:pPr>
              <w:spacing w:line="240" w:lineRule="exact"/>
              <w:jc w:val="center"/>
              <w:rPr>
                <w:rFonts w:ascii="Calibri" w:eastAsiaTheme="minorEastAsia" w:hAnsi="Calibri"/>
                <w:color w:val="auto"/>
                <w:sz w:val="18"/>
                <w:szCs w:val="18"/>
              </w:rPr>
            </w:pPr>
            <w:r w:rsidRPr="00BB66B5">
              <w:rPr>
                <w:rFonts w:ascii="Calibri" w:eastAsiaTheme="minorEastAsia" w:hAnsi="Calibri"/>
                <w:color w:val="auto"/>
                <w:sz w:val="18"/>
                <w:szCs w:val="18"/>
              </w:rPr>
              <w:t>5261</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4842D5" w:rsidRPr="00BB66B5" w:rsidRDefault="004842D5" w:rsidP="00971382">
            <w:pPr>
              <w:spacing w:line="240" w:lineRule="exact"/>
              <w:jc w:val="center"/>
              <w:rPr>
                <w:rFonts w:ascii="Calibri" w:eastAsiaTheme="minorEastAsia" w:hAnsi="Calibri"/>
                <w:color w:val="auto"/>
                <w:sz w:val="18"/>
                <w:szCs w:val="18"/>
              </w:rPr>
            </w:pPr>
            <w:r w:rsidRPr="00BB66B5">
              <w:rPr>
                <w:rFonts w:ascii="Calibri" w:eastAsiaTheme="minorEastAsia" w:hAnsi="Calibri"/>
                <w:color w:val="auto"/>
                <w:sz w:val="18"/>
                <w:szCs w:val="18"/>
              </w:rPr>
              <w:t>20%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4842D5" w:rsidRPr="00BB66B5" w:rsidRDefault="004842D5" w:rsidP="00971382">
            <w:pPr>
              <w:spacing w:line="240" w:lineRule="exact"/>
              <w:jc w:val="center"/>
              <w:rPr>
                <w:rFonts w:ascii="Calibri" w:eastAsiaTheme="minorEastAsia" w:hAnsi="Calibri"/>
                <w:color w:val="auto"/>
                <w:sz w:val="18"/>
                <w:szCs w:val="18"/>
              </w:rPr>
            </w:pPr>
            <w:r w:rsidRPr="00BB66B5">
              <w:rPr>
                <w:rFonts w:ascii="Calibri" w:eastAsiaTheme="minorEastAsia" w:hAnsi="Calibri"/>
                <w:color w:val="auto"/>
                <w:sz w:val="18"/>
                <w:szCs w:val="18"/>
              </w:rPr>
              <w:t>20090721</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4842D5" w:rsidRPr="00BB66B5" w:rsidRDefault="004842D5" w:rsidP="00971382">
            <w:pPr>
              <w:spacing w:line="240" w:lineRule="exact"/>
              <w:jc w:val="center"/>
              <w:rPr>
                <w:rFonts w:ascii="Calibri" w:eastAsiaTheme="minorEastAsia" w:hAnsi="Calibri"/>
                <w:color w:val="auto"/>
                <w:sz w:val="18"/>
                <w:szCs w:val="18"/>
              </w:rPr>
            </w:pPr>
            <w:r w:rsidRPr="00BB66B5">
              <w:rPr>
                <w:rFonts w:ascii="Calibri" w:hAnsi="Calibri"/>
                <w:color w:val="auto"/>
                <w:sz w:val="18"/>
                <w:szCs w:val="18"/>
              </w:rPr>
              <w:t>20090331</w:t>
            </w:r>
          </w:p>
        </w:tc>
      </w:tr>
      <w:tr w:rsidR="004842D5" w:rsidRPr="00C6325A" w:rsidTr="006F5E2B">
        <w:trPr>
          <w:trHeight w:val="197"/>
        </w:trPr>
        <w:tc>
          <w:tcPr>
            <w:tcW w:w="216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842D5" w:rsidRPr="00607A3E" w:rsidRDefault="004842D5" w:rsidP="00971382">
            <w:pPr>
              <w:pStyle w:val="ListParagraph"/>
              <w:spacing w:after="0" w:line="240" w:lineRule="exact"/>
              <w:ind w:left="0"/>
              <w:rPr>
                <w:rFonts w:ascii="Calibri" w:hAnsi="Calibri" w:cs="Times New Roman"/>
                <w:sz w:val="18"/>
                <w:szCs w:val="18"/>
              </w:rPr>
            </w:pPr>
            <w:r w:rsidRPr="00607A3E">
              <w:rPr>
                <w:rFonts w:ascii="Calibri" w:hAnsi="Calibri"/>
                <w:sz w:val="18"/>
                <w:szCs w:val="18"/>
              </w:rPr>
              <w:t>Chronic Bilateral Anterior Knee Pain</w:t>
            </w:r>
          </w:p>
        </w:tc>
        <w:tc>
          <w:tcPr>
            <w:tcW w:w="90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842D5" w:rsidRPr="00607A3E" w:rsidRDefault="004842D5" w:rsidP="00971382">
            <w:pPr>
              <w:pStyle w:val="ListParagraph"/>
              <w:spacing w:after="0" w:line="240" w:lineRule="exact"/>
              <w:ind w:left="0"/>
              <w:jc w:val="center"/>
              <w:rPr>
                <w:rFonts w:ascii="Calibri" w:hAnsi="Calibri" w:cs="Times New Roman"/>
                <w:sz w:val="18"/>
                <w:szCs w:val="18"/>
              </w:rPr>
            </w:pPr>
            <w:r w:rsidRPr="00607A3E">
              <w:rPr>
                <w:rFonts w:ascii="Calibri" w:hAnsi="Calibri" w:cs="Times New Roman"/>
                <w:sz w:val="18"/>
                <w:szCs w:val="18"/>
              </w:rPr>
              <w:t>CAT II</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842D5" w:rsidRPr="00607A3E" w:rsidRDefault="004842D5" w:rsidP="00971382">
            <w:pPr>
              <w:pStyle w:val="ListParagraph"/>
              <w:spacing w:after="0" w:line="240" w:lineRule="exact"/>
              <w:ind w:left="0"/>
              <w:jc w:val="center"/>
              <w:rPr>
                <w:rFonts w:ascii="Calibri" w:hAnsi="Calibri" w:cs="Times New Roman"/>
                <w:sz w:val="18"/>
                <w:szCs w:val="18"/>
              </w:rPr>
            </w:pPr>
          </w:p>
        </w:tc>
        <w:tc>
          <w:tcPr>
            <w:tcW w:w="990" w:type="dxa"/>
            <w:tcBorders>
              <w:top w:val="single" w:sz="4" w:space="0" w:color="000000" w:themeColor="text1"/>
              <w:left w:val="single" w:sz="4" w:space="0" w:color="000000" w:themeColor="text1"/>
              <w:bottom w:val="double" w:sz="4" w:space="0" w:color="auto"/>
              <w:right w:val="thinThickThinSmallGap" w:sz="24" w:space="0" w:color="000000" w:themeColor="text1"/>
            </w:tcBorders>
            <w:hideMark/>
          </w:tcPr>
          <w:p w:rsidR="004842D5" w:rsidRPr="00607A3E" w:rsidRDefault="004842D5" w:rsidP="00971382">
            <w:pPr>
              <w:pStyle w:val="ListParagraph"/>
              <w:tabs>
                <w:tab w:val="left" w:pos="451"/>
              </w:tabs>
              <w:spacing w:after="0" w:line="240" w:lineRule="exact"/>
              <w:ind w:left="0"/>
              <w:rPr>
                <w:rFonts w:ascii="Calibri" w:hAnsi="Calibri" w:cs="Times New Roman"/>
                <w:sz w:val="18"/>
                <w:szCs w:val="18"/>
              </w:rPr>
            </w:pPr>
            <w:r w:rsidRPr="00607A3E">
              <w:rPr>
                <w:rFonts w:ascii="Calibri" w:hAnsi="Calibri" w:cs="Times New Roman"/>
                <w:sz w:val="18"/>
                <w:szCs w:val="18"/>
              </w:rPr>
              <w:t>20081211</w:t>
            </w:r>
          </w:p>
        </w:tc>
        <w:tc>
          <w:tcPr>
            <w:tcW w:w="2250" w:type="dxa"/>
            <w:vMerge/>
            <w:tcBorders>
              <w:left w:val="thinThickThinSmallGap" w:sz="24" w:space="0" w:color="000000" w:themeColor="text1"/>
              <w:bottom w:val="double" w:sz="4" w:space="0" w:color="auto"/>
              <w:right w:val="single" w:sz="4" w:space="0" w:color="000000" w:themeColor="text1"/>
            </w:tcBorders>
            <w:hideMark/>
          </w:tcPr>
          <w:p w:rsidR="004842D5" w:rsidRPr="00BB66B5" w:rsidRDefault="004842D5" w:rsidP="00971382">
            <w:pPr>
              <w:pStyle w:val="ListParagraph"/>
              <w:spacing w:after="0" w:line="240" w:lineRule="exact"/>
              <w:ind w:left="0"/>
              <w:rPr>
                <w:rFonts w:ascii="Calibri" w:hAnsi="Calibri" w:cs="Times New Roman"/>
                <w:sz w:val="18"/>
                <w:szCs w:val="18"/>
              </w:rPr>
            </w:pPr>
          </w:p>
        </w:tc>
        <w:tc>
          <w:tcPr>
            <w:tcW w:w="810" w:type="dxa"/>
            <w:vMerge/>
            <w:tcBorders>
              <w:left w:val="single" w:sz="4" w:space="0" w:color="000000" w:themeColor="text1"/>
              <w:bottom w:val="double" w:sz="4" w:space="0" w:color="auto"/>
              <w:right w:val="single" w:sz="4" w:space="0" w:color="000000" w:themeColor="text1"/>
            </w:tcBorders>
            <w:hideMark/>
          </w:tcPr>
          <w:p w:rsidR="004842D5" w:rsidRPr="00BB66B5" w:rsidRDefault="004842D5" w:rsidP="00971382">
            <w:pPr>
              <w:spacing w:line="240" w:lineRule="exact"/>
              <w:jc w:val="center"/>
              <w:rPr>
                <w:rFonts w:ascii="Calibri" w:eastAsiaTheme="minorEastAsia" w:hAnsi="Calibri"/>
                <w:color w:val="auto"/>
                <w:sz w:val="18"/>
                <w:szCs w:val="18"/>
              </w:rPr>
            </w:pPr>
          </w:p>
        </w:tc>
        <w:tc>
          <w:tcPr>
            <w:tcW w:w="810" w:type="dxa"/>
            <w:vMerge/>
            <w:tcBorders>
              <w:left w:val="single" w:sz="4" w:space="0" w:color="000000" w:themeColor="text1"/>
              <w:bottom w:val="double" w:sz="4" w:space="0" w:color="auto"/>
              <w:right w:val="single" w:sz="4" w:space="0" w:color="000000" w:themeColor="text1"/>
            </w:tcBorders>
            <w:hideMark/>
          </w:tcPr>
          <w:p w:rsidR="004842D5" w:rsidRPr="00BB66B5" w:rsidRDefault="004842D5" w:rsidP="00971382">
            <w:pPr>
              <w:spacing w:line="240" w:lineRule="exact"/>
              <w:jc w:val="center"/>
              <w:rPr>
                <w:rFonts w:ascii="Calibri" w:eastAsiaTheme="minorEastAsia" w:hAnsi="Calibri"/>
                <w:color w:val="auto"/>
                <w:sz w:val="18"/>
                <w:szCs w:val="18"/>
              </w:rPr>
            </w:pPr>
          </w:p>
        </w:tc>
        <w:tc>
          <w:tcPr>
            <w:tcW w:w="1170" w:type="dxa"/>
            <w:vMerge/>
            <w:tcBorders>
              <w:left w:val="single" w:sz="4" w:space="0" w:color="000000" w:themeColor="text1"/>
              <w:bottom w:val="double" w:sz="4" w:space="0" w:color="auto"/>
              <w:right w:val="single" w:sz="4" w:space="0" w:color="000000" w:themeColor="text1"/>
            </w:tcBorders>
            <w:hideMark/>
          </w:tcPr>
          <w:p w:rsidR="004842D5" w:rsidRPr="00BB66B5" w:rsidRDefault="004842D5" w:rsidP="00971382">
            <w:pPr>
              <w:spacing w:line="240" w:lineRule="exact"/>
              <w:jc w:val="center"/>
              <w:rPr>
                <w:rFonts w:ascii="Calibri" w:eastAsiaTheme="minorEastAsia" w:hAnsi="Calibri"/>
                <w:color w:val="auto"/>
                <w:sz w:val="18"/>
                <w:szCs w:val="18"/>
              </w:rPr>
            </w:pPr>
          </w:p>
        </w:tc>
        <w:tc>
          <w:tcPr>
            <w:tcW w:w="1080" w:type="dxa"/>
            <w:vMerge/>
            <w:tcBorders>
              <w:left w:val="single" w:sz="4" w:space="0" w:color="000000" w:themeColor="text1"/>
              <w:bottom w:val="double" w:sz="4" w:space="0" w:color="auto"/>
              <w:right w:val="single" w:sz="4" w:space="0" w:color="000000" w:themeColor="text1"/>
            </w:tcBorders>
            <w:hideMark/>
          </w:tcPr>
          <w:p w:rsidR="004842D5" w:rsidRPr="00BB66B5" w:rsidRDefault="004842D5" w:rsidP="00971382">
            <w:pPr>
              <w:spacing w:line="240" w:lineRule="exact"/>
              <w:jc w:val="center"/>
              <w:rPr>
                <w:rFonts w:ascii="Calibri" w:eastAsiaTheme="minorEastAsia" w:hAnsi="Calibri"/>
                <w:color w:val="auto"/>
                <w:sz w:val="18"/>
                <w:szCs w:val="18"/>
              </w:rPr>
            </w:pPr>
          </w:p>
        </w:tc>
      </w:tr>
      <w:tr w:rsidR="00A74A48" w:rsidRPr="00C6325A" w:rsidTr="00375481">
        <w:trPr>
          <w:trHeight w:val="125"/>
        </w:trPr>
        <w:tc>
          <w:tcPr>
            <w:tcW w:w="216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A74A48" w:rsidRPr="0033438E" w:rsidRDefault="00A74A48" w:rsidP="00971382">
            <w:pPr>
              <w:spacing w:line="240" w:lineRule="exact"/>
              <w:rPr>
                <w:rFonts w:ascii="Calibri" w:eastAsiaTheme="minorEastAsia" w:hAnsi="Calibri"/>
                <w:color w:val="auto"/>
                <w:sz w:val="18"/>
                <w:szCs w:val="18"/>
              </w:rPr>
            </w:pPr>
            <w:r w:rsidRPr="0033438E">
              <w:rPr>
                <w:rFonts w:ascii="Calibri" w:eastAsiaTheme="minorEastAsia" w:hAnsi="Calibri"/>
                <w:color w:val="auto"/>
                <w:sz w:val="18"/>
                <w:szCs w:val="18"/>
              </w:rPr>
              <w:t>No PEB Entry</w:t>
            </w:r>
          </w:p>
        </w:tc>
        <w:tc>
          <w:tcPr>
            <w:tcW w:w="90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74A48" w:rsidRPr="0033438E" w:rsidRDefault="00A74A48" w:rsidP="00971382">
            <w:pPr>
              <w:spacing w:line="240" w:lineRule="exact"/>
              <w:jc w:val="center"/>
              <w:rPr>
                <w:rFonts w:ascii="Calibri" w:eastAsiaTheme="minorEastAsia" w:hAnsi="Calibri"/>
                <w:color w:val="auto"/>
                <w:sz w:val="18"/>
                <w:szCs w:val="18"/>
              </w:rPr>
            </w:pPr>
          </w:p>
        </w:tc>
        <w:tc>
          <w:tcPr>
            <w:tcW w:w="1800" w:type="dxa"/>
            <w:gridSpan w:val="2"/>
            <w:tcBorders>
              <w:top w:val="double" w:sz="4" w:space="0" w:color="auto"/>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74A48" w:rsidRPr="0033438E" w:rsidRDefault="00A74A48" w:rsidP="00971382">
            <w:pPr>
              <w:spacing w:line="240" w:lineRule="exact"/>
              <w:jc w:val="center"/>
              <w:rPr>
                <w:rFonts w:ascii="Calibri" w:eastAsiaTheme="minorEastAsia" w:hAnsi="Calibri"/>
                <w:color w:val="auto"/>
                <w:sz w:val="18"/>
                <w:szCs w:val="18"/>
              </w:rPr>
            </w:pPr>
            <w:r w:rsidRPr="0033438E">
              <w:rPr>
                <w:rFonts w:ascii="Calibri" w:eastAsiaTheme="minorEastAsia" w:hAnsi="Calibri"/>
                <w:color w:val="auto"/>
                <w:sz w:val="18"/>
                <w:szCs w:val="18"/>
              </w:rPr>
              <w:t>Not in DES Package</w:t>
            </w:r>
          </w:p>
        </w:tc>
        <w:tc>
          <w:tcPr>
            <w:tcW w:w="225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A74A48" w:rsidRPr="0033438E" w:rsidRDefault="00A74A48" w:rsidP="00971382">
            <w:pPr>
              <w:spacing w:line="240" w:lineRule="exact"/>
              <w:rPr>
                <w:rFonts w:ascii="Calibri" w:eastAsiaTheme="minorEastAsia" w:hAnsi="Calibri"/>
                <w:color w:val="auto"/>
                <w:sz w:val="18"/>
                <w:szCs w:val="18"/>
              </w:rPr>
            </w:pPr>
            <w:r w:rsidRPr="0033438E">
              <w:rPr>
                <w:rFonts w:ascii="Calibri" w:eastAsiaTheme="minorEastAsia" w:hAnsi="Calibri"/>
                <w:color w:val="auto"/>
                <w:sz w:val="18"/>
                <w:szCs w:val="18"/>
              </w:rPr>
              <w:t>Right Shoulder Strain Associated with Patellofemoral</w:t>
            </w:r>
            <w:r w:rsidR="007600F7">
              <w:rPr>
                <w:rFonts w:ascii="Calibri" w:eastAsiaTheme="minorEastAsia" w:hAnsi="Calibri"/>
                <w:color w:val="auto"/>
                <w:sz w:val="18"/>
                <w:szCs w:val="18"/>
              </w:rPr>
              <w:t xml:space="preserve"> Syndrome, Right Knee</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A74A48" w:rsidRPr="0033438E" w:rsidRDefault="00A74A48" w:rsidP="00971382">
            <w:pPr>
              <w:spacing w:line="240" w:lineRule="exact"/>
              <w:jc w:val="center"/>
              <w:rPr>
                <w:rFonts w:ascii="Calibri" w:eastAsiaTheme="minorEastAsia" w:hAnsi="Calibri"/>
                <w:color w:val="auto"/>
                <w:sz w:val="18"/>
                <w:szCs w:val="18"/>
              </w:rPr>
            </w:pPr>
            <w:r w:rsidRPr="0033438E">
              <w:rPr>
                <w:rFonts w:ascii="Calibri" w:eastAsiaTheme="minorEastAsia" w:hAnsi="Calibri"/>
                <w:color w:val="auto"/>
                <w:sz w:val="18"/>
                <w:szCs w:val="18"/>
              </w:rPr>
              <w:t>5024</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A74A48" w:rsidRPr="0033438E" w:rsidRDefault="00A74A48" w:rsidP="00971382">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10</w:t>
            </w:r>
            <w:r w:rsidRPr="0033438E">
              <w:rPr>
                <w:rFonts w:ascii="Calibri" w:eastAsiaTheme="minorEastAsia" w:hAnsi="Calibri"/>
                <w:color w:val="auto"/>
                <w:sz w:val="18"/>
                <w:szCs w:val="18"/>
              </w:rPr>
              <w:t>%</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A74A48" w:rsidRPr="00BB66B5" w:rsidRDefault="00A74A48" w:rsidP="00971382">
            <w:pPr>
              <w:spacing w:line="240" w:lineRule="exact"/>
              <w:jc w:val="center"/>
              <w:rPr>
                <w:rFonts w:ascii="Calibri" w:eastAsiaTheme="minorEastAsia" w:hAnsi="Calibri"/>
                <w:color w:val="auto"/>
                <w:sz w:val="18"/>
                <w:szCs w:val="18"/>
              </w:rPr>
            </w:pPr>
            <w:r w:rsidRPr="00BB66B5">
              <w:rPr>
                <w:rFonts w:ascii="Calibri" w:eastAsiaTheme="minorEastAsia" w:hAnsi="Calibri"/>
                <w:color w:val="auto"/>
                <w:sz w:val="18"/>
                <w:szCs w:val="18"/>
              </w:rPr>
              <w:t>20090721</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A74A48" w:rsidRPr="00BB66B5" w:rsidRDefault="00A74A48" w:rsidP="00971382">
            <w:pPr>
              <w:spacing w:line="240" w:lineRule="exact"/>
              <w:jc w:val="center"/>
              <w:rPr>
                <w:rFonts w:ascii="Calibri" w:eastAsiaTheme="minorEastAsia" w:hAnsi="Calibri"/>
                <w:color w:val="auto"/>
                <w:sz w:val="18"/>
                <w:szCs w:val="18"/>
              </w:rPr>
            </w:pPr>
            <w:r w:rsidRPr="00BB66B5">
              <w:rPr>
                <w:rFonts w:ascii="Calibri" w:hAnsi="Calibri"/>
                <w:color w:val="auto"/>
                <w:sz w:val="18"/>
                <w:szCs w:val="18"/>
              </w:rPr>
              <w:t>20090331</w:t>
            </w:r>
          </w:p>
        </w:tc>
      </w:tr>
      <w:tr w:rsidR="00A74A48" w:rsidRPr="00C6325A" w:rsidTr="00375481">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74A48" w:rsidRPr="0033438E" w:rsidRDefault="00A74A48" w:rsidP="00971382">
            <w:pPr>
              <w:spacing w:line="240" w:lineRule="exact"/>
              <w:rPr>
                <w:rFonts w:ascii="Calibri" w:eastAsiaTheme="minorEastAsia" w:hAnsi="Calibri"/>
                <w:color w:val="auto"/>
                <w:sz w:val="18"/>
                <w:szCs w:val="18"/>
              </w:rPr>
            </w:pPr>
            <w:r w:rsidRPr="0033438E">
              <w:rPr>
                <w:rFonts w:ascii="Calibri" w:eastAsiaTheme="minorEastAsia" w:hAnsi="Calibri"/>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74A48" w:rsidRPr="0033438E" w:rsidRDefault="00A74A48" w:rsidP="00971382">
            <w:pPr>
              <w:spacing w:line="240" w:lineRule="exact"/>
              <w:jc w:val="center"/>
              <w:rPr>
                <w:rFonts w:ascii="Calibri" w:eastAsiaTheme="minorEastAsia" w:hAnsi="Calibri"/>
                <w:color w:val="auto"/>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74A48" w:rsidRPr="0033438E" w:rsidRDefault="00A74A48" w:rsidP="00971382">
            <w:pPr>
              <w:spacing w:line="240" w:lineRule="exact"/>
              <w:jc w:val="center"/>
              <w:rPr>
                <w:rFonts w:ascii="Calibri" w:eastAsiaTheme="minorEastAsia" w:hAnsi="Calibri"/>
                <w:color w:val="auto"/>
                <w:sz w:val="18"/>
                <w:szCs w:val="18"/>
              </w:rPr>
            </w:pPr>
            <w:r w:rsidRPr="0033438E">
              <w:rPr>
                <w:rFonts w:ascii="Calibri" w:eastAsiaTheme="minorEastAsia" w:hAnsi="Calibri"/>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A74A48" w:rsidRPr="0033438E" w:rsidRDefault="00A74A48" w:rsidP="00971382">
            <w:pPr>
              <w:spacing w:line="240" w:lineRule="exact"/>
              <w:rPr>
                <w:rFonts w:ascii="Calibri" w:eastAsiaTheme="minorEastAsia" w:hAnsi="Calibri"/>
                <w:color w:val="auto"/>
                <w:sz w:val="18"/>
                <w:szCs w:val="18"/>
              </w:rPr>
            </w:pPr>
            <w:r>
              <w:rPr>
                <w:rFonts w:ascii="Calibri" w:eastAsiaTheme="minorEastAsia" w:hAnsi="Calibri"/>
                <w:color w:val="auto"/>
                <w:sz w:val="18"/>
                <w:szCs w:val="18"/>
              </w:rPr>
              <w:t>Residuals, Traumatic Injury, Thoracolumbar</w:t>
            </w:r>
            <w:r w:rsidR="007600F7">
              <w:rPr>
                <w:rFonts w:ascii="Calibri" w:eastAsiaTheme="minorEastAsia" w:hAnsi="Calibri"/>
                <w:color w:val="auto"/>
                <w:sz w:val="18"/>
                <w:szCs w:val="18"/>
              </w:rPr>
              <w:t xml:space="preserve"> </w:t>
            </w:r>
            <w:r w:rsidR="007600F7" w:rsidRPr="0033438E">
              <w:rPr>
                <w:rFonts w:ascii="Calibri" w:eastAsiaTheme="minorEastAsia" w:hAnsi="Calibri"/>
                <w:color w:val="auto"/>
                <w:sz w:val="18"/>
                <w:szCs w:val="18"/>
              </w:rPr>
              <w:t>Associated with Patellofemoral</w:t>
            </w:r>
            <w:r w:rsidR="007600F7">
              <w:rPr>
                <w:rFonts w:ascii="Calibri" w:eastAsiaTheme="minorEastAsia" w:hAnsi="Calibri"/>
                <w:color w:val="auto"/>
                <w:sz w:val="18"/>
                <w:szCs w:val="18"/>
              </w:rPr>
              <w:t xml:space="preserve"> Syndrome, Right Knee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74A48" w:rsidRPr="0033438E" w:rsidRDefault="00A74A48" w:rsidP="00971382">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74A48" w:rsidRPr="0033438E" w:rsidRDefault="00A74A48" w:rsidP="00971382">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10</w:t>
            </w:r>
            <w:r w:rsidRPr="0033438E">
              <w:rPr>
                <w:rFonts w:ascii="Calibri" w:eastAsiaTheme="minorEastAsia" w:hAnsi="Calibri"/>
                <w:color w:val="auto"/>
                <w:sz w:val="18"/>
                <w:szCs w:val="18"/>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74A48" w:rsidRPr="00BB66B5" w:rsidRDefault="00A74A48" w:rsidP="00971382">
            <w:pPr>
              <w:spacing w:line="240" w:lineRule="exact"/>
              <w:jc w:val="center"/>
              <w:rPr>
                <w:rFonts w:ascii="Calibri" w:eastAsiaTheme="minorEastAsia" w:hAnsi="Calibri"/>
                <w:color w:val="auto"/>
                <w:sz w:val="18"/>
                <w:szCs w:val="18"/>
              </w:rPr>
            </w:pPr>
            <w:r w:rsidRPr="00BB66B5">
              <w:rPr>
                <w:rFonts w:ascii="Calibri" w:eastAsiaTheme="minorEastAsia" w:hAnsi="Calibri"/>
                <w:color w:val="auto"/>
                <w:sz w:val="18"/>
                <w:szCs w:val="18"/>
              </w:rPr>
              <w:t>20090721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74A48" w:rsidRPr="00BB66B5" w:rsidRDefault="00A74A48" w:rsidP="00971382">
            <w:pPr>
              <w:spacing w:line="240" w:lineRule="exact"/>
              <w:jc w:val="center"/>
              <w:rPr>
                <w:rFonts w:ascii="Calibri" w:eastAsiaTheme="minorEastAsia" w:hAnsi="Calibri"/>
                <w:color w:val="auto"/>
                <w:sz w:val="18"/>
                <w:szCs w:val="18"/>
              </w:rPr>
            </w:pPr>
            <w:r w:rsidRPr="00BB66B5">
              <w:rPr>
                <w:rFonts w:ascii="Calibri" w:hAnsi="Calibri"/>
                <w:color w:val="auto"/>
                <w:sz w:val="18"/>
                <w:szCs w:val="18"/>
              </w:rPr>
              <w:t>20090331</w:t>
            </w:r>
          </w:p>
        </w:tc>
      </w:tr>
      <w:tr w:rsidR="00A74A48" w:rsidRPr="00C6325A" w:rsidTr="00375481">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74A48" w:rsidRPr="0033438E" w:rsidRDefault="00A74A48" w:rsidP="00971382">
            <w:pPr>
              <w:spacing w:line="240" w:lineRule="exact"/>
              <w:rPr>
                <w:rFonts w:ascii="Calibri" w:eastAsiaTheme="minorEastAsia" w:hAnsi="Calibri"/>
                <w:color w:val="auto"/>
                <w:sz w:val="18"/>
                <w:szCs w:val="18"/>
              </w:rPr>
            </w:pPr>
            <w:r w:rsidRPr="0033438E">
              <w:rPr>
                <w:rFonts w:ascii="Calibri" w:eastAsiaTheme="minorEastAsia" w:hAnsi="Calibri"/>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74A48" w:rsidRPr="0033438E" w:rsidRDefault="00A74A48" w:rsidP="00971382">
            <w:pPr>
              <w:spacing w:line="240" w:lineRule="exact"/>
              <w:jc w:val="center"/>
              <w:rPr>
                <w:rFonts w:ascii="Calibri" w:eastAsiaTheme="minorEastAsia" w:hAnsi="Calibri"/>
                <w:color w:val="auto"/>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74A48" w:rsidRPr="0033438E" w:rsidRDefault="00FF23CE" w:rsidP="00971382">
            <w:pPr>
              <w:spacing w:line="240" w:lineRule="exact"/>
              <w:jc w:val="center"/>
              <w:rPr>
                <w:rFonts w:ascii="Calibri" w:eastAsiaTheme="minorEastAsia" w:hAnsi="Calibri"/>
                <w:color w:val="auto"/>
                <w:sz w:val="18"/>
                <w:szCs w:val="18"/>
              </w:rPr>
            </w:pPr>
            <w:r w:rsidRPr="0033438E">
              <w:rPr>
                <w:rFonts w:ascii="Calibri" w:eastAsiaTheme="minorEastAsia" w:hAnsi="Calibri"/>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A74A48" w:rsidRPr="0033438E" w:rsidRDefault="007600F7" w:rsidP="00971382">
            <w:pPr>
              <w:spacing w:line="240" w:lineRule="exact"/>
              <w:rPr>
                <w:rFonts w:ascii="Calibri" w:eastAsiaTheme="minorEastAsia" w:hAnsi="Calibri"/>
                <w:color w:val="auto"/>
                <w:sz w:val="18"/>
                <w:szCs w:val="18"/>
              </w:rPr>
            </w:pPr>
            <w:r>
              <w:rPr>
                <w:rFonts w:ascii="Calibri" w:eastAsiaTheme="minorEastAsia" w:hAnsi="Calibri"/>
                <w:color w:val="auto"/>
                <w:sz w:val="18"/>
                <w:szCs w:val="18"/>
              </w:rPr>
              <w:t>Right Hip and Groin Strain</w:t>
            </w:r>
            <w:r w:rsidR="004842D5" w:rsidRPr="0033438E">
              <w:rPr>
                <w:rFonts w:ascii="Calibri" w:eastAsiaTheme="minorEastAsia" w:hAnsi="Calibri"/>
                <w:color w:val="auto"/>
                <w:sz w:val="18"/>
                <w:szCs w:val="18"/>
              </w:rPr>
              <w:t xml:space="preserve"> Associated with Patellofemoral</w:t>
            </w:r>
            <w:r w:rsidR="004842D5">
              <w:rPr>
                <w:rFonts w:ascii="Calibri" w:eastAsiaTheme="minorEastAsia" w:hAnsi="Calibri"/>
                <w:color w:val="auto"/>
                <w:sz w:val="18"/>
                <w:szCs w:val="18"/>
              </w:rPr>
              <w:t xml:space="preserve"> Syndrome, Right Knee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74A48" w:rsidRPr="0033438E" w:rsidRDefault="00A74A48" w:rsidP="00971382">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5251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74A48" w:rsidRPr="0033438E" w:rsidRDefault="00A74A48" w:rsidP="00971382">
            <w:pPr>
              <w:spacing w:line="240" w:lineRule="exact"/>
              <w:jc w:val="center"/>
              <w:rPr>
                <w:rFonts w:ascii="Calibri" w:eastAsiaTheme="minorEastAsia" w:hAnsi="Calibri"/>
                <w:color w:val="auto"/>
                <w:sz w:val="18"/>
                <w:szCs w:val="18"/>
              </w:rPr>
            </w:pPr>
            <w:r>
              <w:rPr>
                <w:rFonts w:ascii="Calibri" w:eastAsiaTheme="minorEastAsia" w:hAnsi="Calibri"/>
                <w:color w:val="auto"/>
                <w:sz w:val="18"/>
                <w:szCs w:val="18"/>
              </w:rPr>
              <w:t>10</w:t>
            </w:r>
            <w:r w:rsidRPr="0033438E">
              <w:rPr>
                <w:rFonts w:ascii="Calibri" w:eastAsiaTheme="minorEastAsia" w:hAnsi="Calibri"/>
                <w:color w:val="auto"/>
                <w:sz w:val="18"/>
                <w:szCs w:val="18"/>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74A48" w:rsidRPr="00BB66B5" w:rsidRDefault="00A74A48" w:rsidP="00971382">
            <w:pPr>
              <w:spacing w:line="240" w:lineRule="exact"/>
              <w:jc w:val="center"/>
              <w:rPr>
                <w:rFonts w:ascii="Calibri" w:eastAsiaTheme="minorEastAsia" w:hAnsi="Calibri"/>
                <w:color w:val="auto"/>
                <w:sz w:val="18"/>
                <w:szCs w:val="18"/>
              </w:rPr>
            </w:pPr>
            <w:r w:rsidRPr="00BB66B5">
              <w:rPr>
                <w:rFonts w:ascii="Calibri" w:eastAsiaTheme="minorEastAsia" w:hAnsi="Calibri"/>
                <w:color w:val="auto"/>
                <w:sz w:val="18"/>
                <w:szCs w:val="18"/>
              </w:rPr>
              <w:t>20090721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74A48" w:rsidRPr="00BB66B5" w:rsidRDefault="00A74A48" w:rsidP="00971382">
            <w:pPr>
              <w:spacing w:line="240" w:lineRule="exact"/>
              <w:jc w:val="center"/>
              <w:rPr>
                <w:rFonts w:ascii="Calibri" w:eastAsiaTheme="minorEastAsia" w:hAnsi="Calibri"/>
                <w:color w:val="auto"/>
                <w:sz w:val="18"/>
                <w:szCs w:val="18"/>
              </w:rPr>
            </w:pPr>
            <w:r w:rsidRPr="00BB66B5">
              <w:rPr>
                <w:rFonts w:ascii="Calibri" w:hAnsi="Calibri"/>
                <w:color w:val="auto"/>
                <w:sz w:val="18"/>
                <w:szCs w:val="18"/>
              </w:rPr>
              <w:t>20090331</w:t>
            </w:r>
          </w:p>
        </w:tc>
      </w:tr>
      <w:tr w:rsidR="00BB66B5" w:rsidRPr="00C6325A" w:rsidTr="00375481">
        <w:trPr>
          <w:trHeight w:val="305"/>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B66B5" w:rsidRPr="005B56E1" w:rsidRDefault="00BB66B5" w:rsidP="00971382">
            <w:pPr>
              <w:pStyle w:val="ListParagraph"/>
              <w:spacing w:after="0" w:line="240" w:lineRule="exact"/>
              <w:ind w:left="0"/>
              <w:jc w:val="center"/>
              <w:rPr>
                <w:rFonts w:ascii="Calibri" w:hAnsi="Calibri" w:cs="Times New Roman"/>
                <w:b/>
                <w:sz w:val="24"/>
              </w:rPr>
            </w:pPr>
            <w:r w:rsidRPr="005B56E1">
              <w:rPr>
                <w:rFonts w:ascii="Calibri" w:hAnsi="Calibri" w:cs="Times New Roman"/>
                <w:b/>
                <w:sz w:val="24"/>
              </w:rPr>
              <w:t xml:space="preserve">TOTAL Combined:  </w:t>
            </w:r>
            <w:r w:rsidR="00F41189" w:rsidRPr="00F41189">
              <w:rPr>
                <w:rFonts w:ascii="Calibri" w:hAnsi="Calibri" w:cs="Times New Roman"/>
                <w:b/>
                <w:sz w:val="24"/>
              </w:rPr>
              <w:t>0</w:t>
            </w:r>
            <w:r w:rsidRPr="00F41189">
              <w:rPr>
                <w:rFonts w:ascii="Calibri" w:hAnsi="Calibri" w:cs="Times New Roman"/>
                <w:b/>
                <w:sz w:val="24"/>
              </w:rPr>
              <w:t>%</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B66B5" w:rsidRPr="00911113" w:rsidRDefault="00BB66B5" w:rsidP="00971382">
            <w:pPr>
              <w:pStyle w:val="ListParagraph"/>
              <w:spacing w:after="0" w:line="240" w:lineRule="exact"/>
              <w:ind w:left="0"/>
              <w:jc w:val="center"/>
              <w:rPr>
                <w:rFonts w:ascii="Calibri" w:hAnsi="Calibri" w:cs="Times New Roman"/>
                <w:b/>
                <w:sz w:val="24"/>
              </w:rPr>
            </w:pPr>
            <w:r w:rsidRPr="00911113">
              <w:rPr>
                <w:rFonts w:ascii="Calibri" w:hAnsi="Calibri" w:cs="Times New Roman"/>
                <w:b/>
                <w:sz w:val="24"/>
              </w:rPr>
              <w:t xml:space="preserve">TOTAL Combined (Includes Non-PEB Conditions):    </w:t>
            </w:r>
          </w:p>
          <w:p w:rsidR="00BB66B5" w:rsidRPr="00911113" w:rsidRDefault="00911113" w:rsidP="00971382">
            <w:pPr>
              <w:pStyle w:val="ListParagraph"/>
              <w:spacing w:after="0" w:line="240" w:lineRule="exact"/>
              <w:ind w:left="0"/>
              <w:jc w:val="center"/>
              <w:rPr>
                <w:rFonts w:ascii="Calibri" w:hAnsi="Calibri" w:cs="Times New Roman"/>
                <w:b/>
                <w:sz w:val="24"/>
              </w:rPr>
            </w:pPr>
            <w:r w:rsidRPr="00911113">
              <w:rPr>
                <w:rFonts w:ascii="Calibri" w:hAnsi="Calibri" w:cs="Times New Roman"/>
                <w:b/>
                <w:sz w:val="24"/>
              </w:rPr>
              <w:t>60</w:t>
            </w:r>
            <w:r w:rsidR="00BB66B5" w:rsidRPr="00911113">
              <w:rPr>
                <w:rFonts w:ascii="Calibri" w:hAnsi="Calibri" w:cs="Times New Roman"/>
                <w:b/>
                <w:sz w:val="24"/>
              </w:rPr>
              <w:t xml:space="preserve">%  from </w:t>
            </w:r>
            <w:r w:rsidRPr="00911113">
              <w:rPr>
                <w:rFonts w:ascii="Calibri" w:hAnsi="Calibri" w:cs="Times New Roman"/>
                <w:b/>
                <w:sz w:val="24"/>
              </w:rPr>
              <w:t>20090331</w:t>
            </w:r>
            <w:r w:rsidR="00BB66B5" w:rsidRPr="00911113">
              <w:rPr>
                <w:rFonts w:ascii="Calibri" w:hAnsi="Calibri"/>
                <w:b/>
                <w:sz w:val="24"/>
              </w:rPr>
              <w:t xml:space="preserve"> Bilateral Factor of </w:t>
            </w:r>
            <w:r w:rsidR="00244298">
              <w:rPr>
                <w:rFonts w:ascii="Calibri" w:hAnsi="Calibri"/>
                <w:b/>
                <w:sz w:val="24"/>
              </w:rPr>
              <w:t xml:space="preserve">4.2 for </w:t>
            </w:r>
            <w:r w:rsidRPr="00911113">
              <w:rPr>
                <w:rFonts w:ascii="Calibri" w:hAnsi="Calibri"/>
                <w:b/>
                <w:sz w:val="24"/>
              </w:rPr>
              <w:t>5251, 5261, 5261</w:t>
            </w:r>
          </w:p>
        </w:tc>
      </w:tr>
    </w:tbl>
    <w:p w:rsidR="00FD3F64" w:rsidRPr="006A15B6" w:rsidRDefault="00FD3F64" w:rsidP="00FD3F64">
      <w:pPr>
        <w:tabs>
          <w:tab w:val="left" w:pos="288"/>
          <w:tab w:val="left" w:pos="4752"/>
        </w:tabs>
        <w:spacing w:line="240" w:lineRule="exact"/>
        <w:jc w:val="both"/>
        <w:rPr>
          <w:color w:val="auto"/>
        </w:rPr>
      </w:pPr>
      <w:r w:rsidRPr="006A15B6">
        <w:rPr>
          <w:color w:val="auto"/>
          <w:u w:val="single"/>
        </w:rPr>
        <w:t>_______________________________________________________________</w:t>
      </w:r>
      <w:r w:rsidRPr="006A15B6">
        <w:rPr>
          <w:color w:val="auto"/>
        </w:rPr>
        <w:t>_</w:t>
      </w:r>
    </w:p>
    <w:p w:rsidR="00FD3F64" w:rsidRDefault="00FD3F64">
      <w:pPr>
        <w:rPr>
          <w:color w:val="auto"/>
          <w:szCs w:val="24"/>
          <w:u w:val="single"/>
        </w:rPr>
      </w:pPr>
      <w:r>
        <w:rPr>
          <w:color w:val="auto"/>
          <w:szCs w:val="24"/>
          <w:u w:val="single"/>
        </w:rPr>
        <w:br w:type="page"/>
      </w:r>
    </w:p>
    <w:p w:rsidR="00124778" w:rsidRPr="00244298" w:rsidRDefault="00124778" w:rsidP="00971382">
      <w:pPr>
        <w:spacing w:line="240" w:lineRule="exact"/>
        <w:jc w:val="both"/>
        <w:rPr>
          <w:color w:val="auto"/>
          <w:szCs w:val="24"/>
        </w:rPr>
      </w:pPr>
      <w:r w:rsidRPr="00244298">
        <w:rPr>
          <w:color w:val="auto"/>
          <w:szCs w:val="24"/>
          <w:u w:val="single"/>
        </w:rPr>
        <w:lastRenderedPageBreak/>
        <w:t>ANALYSIS SUMMARY</w:t>
      </w:r>
      <w:r w:rsidRPr="00244298">
        <w:rPr>
          <w:color w:val="auto"/>
          <w:szCs w:val="24"/>
        </w:rPr>
        <w:t>:</w:t>
      </w:r>
    </w:p>
    <w:p w:rsidR="00D63F13" w:rsidRDefault="00D63F13" w:rsidP="00971382">
      <w:pPr>
        <w:tabs>
          <w:tab w:val="left" w:pos="288"/>
          <w:tab w:val="left" w:pos="4752"/>
        </w:tabs>
        <w:spacing w:line="240" w:lineRule="exact"/>
        <w:jc w:val="both"/>
        <w:rPr>
          <w:color w:val="auto"/>
          <w:szCs w:val="24"/>
          <w:u w:val="single"/>
        </w:rPr>
      </w:pPr>
    </w:p>
    <w:p w:rsidR="00244298" w:rsidRDefault="00244298" w:rsidP="00971382">
      <w:pPr>
        <w:tabs>
          <w:tab w:val="left" w:pos="288"/>
          <w:tab w:val="left" w:pos="4752"/>
        </w:tabs>
        <w:spacing w:line="240" w:lineRule="exact"/>
        <w:jc w:val="both"/>
        <w:rPr>
          <w:color w:val="auto"/>
          <w:szCs w:val="24"/>
          <w:u w:val="single"/>
        </w:rPr>
      </w:pPr>
      <w:r w:rsidRPr="00244298">
        <w:rPr>
          <w:color w:val="auto"/>
          <w:szCs w:val="24"/>
          <w:u w:val="single"/>
        </w:rPr>
        <w:t>Bilateral Knees</w:t>
      </w:r>
    </w:p>
    <w:p w:rsidR="00CC1DD6" w:rsidRDefault="00F23F01" w:rsidP="00971382">
      <w:pPr>
        <w:tabs>
          <w:tab w:val="left" w:pos="288"/>
          <w:tab w:val="left" w:pos="4752"/>
        </w:tabs>
        <w:spacing w:line="240" w:lineRule="exact"/>
        <w:jc w:val="both"/>
        <w:rPr>
          <w:color w:val="auto"/>
          <w:szCs w:val="24"/>
        </w:rPr>
      </w:pPr>
      <w:r w:rsidRPr="00F23F01">
        <w:rPr>
          <w:color w:val="auto"/>
          <w:szCs w:val="24"/>
        </w:rPr>
        <w:t xml:space="preserve">The CI </w:t>
      </w:r>
      <w:r>
        <w:rPr>
          <w:color w:val="auto"/>
          <w:szCs w:val="24"/>
        </w:rPr>
        <w:t xml:space="preserve">was found to be unfit as a result of bilateral patellofemoral syndrome. </w:t>
      </w:r>
      <w:r w:rsidR="00FD3F64">
        <w:rPr>
          <w:color w:val="auto"/>
          <w:szCs w:val="24"/>
        </w:rPr>
        <w:t xml:space="preserve"> </w:t>
      </w:r>
      <w:r>
        <w:rPr>
          <w:color w:val="auto"/>
          <w:szCs w:val="24"/>
        </w:rPr>
        <w:t xml:space="preserve">He had chronic bilateral anterior knee pain. </w:t>
      </w:r>
      <w:r w:rsidR="00FD3F64">
        <w:rPr>
          <w:color w:val="auto"/>
          <w:szCs w:val="24"/>
        </w:rPr>
        <w:t xml:space="preserve"> </w:t>
      </w:r>
      <w:r>
        <w:rPr>
          <w:color w:val="auto"/>
          <w:szCs w:val="24"/>
        </w:rPr>
        <w:t xml:space="preserve">There was no inciting incident but the pain started during basic training when he was running seven miles a day. </w:t>
      </w:r>
      <w:r w:rsidR="00FD3F64">
        <w:rPr>
          <w:color w:val="auto"/>
          <w:szCs w:val="24"/>
        </w:rPr>
        <w:t xml:space="preserve"> </w:t>
      </w:r>
      <w:r>
        <w:rPr>
          <w:color w:val="auto"/>
          <w:szCs w:val="24"/>
        </w:rPr>
        <w:t xml:space="preserve">His pain progressed to the point where he could not </w:t>
      </w:r>
      <w:r w:rsidR="003A47B0">
        <w:rPr>
          <w:color w:val="auto"/>
          <w:szCs w:val="24"/>
        </w:rPr>
        <w:t xml:space="preserve">run without significant discomfort. His symptoms did not respond to appropriate treatment of non-steroidal anti-inflammatory medications and physical therapy. </w:t>
      </w:r>
      <w:r w:rsidR="00FD3F64">
        <w:rPr>
          <w:color w:val="auto"/>
          <w:szCs w:val="24"/>
        </w:rPr>
        <w:t xml:space="preserve"> </w:t>
      </w:r>
      <w:r w:rsidR="003A47B0">
        <w:rPr>
          <w:color w:val="auto"/>
          <w:szCs w:val="24"/>
        </w:rPr>
        <w:t xml:space="preserve">He was able to perform the duties of his </w:t>
      </w:r>
      <w:r w:rsidR="00FD3F64">
        <w:rPr>
          <w:color w:val="auto"/>
          <w:szCs w:val="24"/>
        </w:rPr>
        <w:t>military occupation specialty (MOS)</w:t>
      </w:r>
      <w:r w:rsidR="003A47B0">
        <w:rPr>
          <w:color w:val="auto"/>
          <w:szCs w:val="24"/>
        </w:rPr>
        <w:t xml:space="preserve"> in garrison but not in a deployed environment and he was not able to perform fitness testing. </w:t>
      </w:r>
      <w:r w:rsidR="00FD3F64">
        <w:rPr>
          <w:color w:val="auto"/>
          <w:szCs w:val="24"/>
        </w:rPr>
        <w:t xml:space="preserve"> </w:t>
      </w:r>
      <w:r w:rsidR="003A47B0">
        <w:rPr>
          <w:color w:val="auto"/>
          <w:szCs w:val="24"/>
        </w:rPr>
        <w:t>Range</w:t>
      </w:r>
      <w:r w:rsidR="00FD3F64">
        <w:rPr>
          <w:color w:val="auto"/>
          <w:szCs w:val="24"/>
        </w:rPr>
        <w:t>-</w:t>
      </w:r>
      <w:r w:rsidR="003A47B0">
        <w:rPr>
          <w:color w:val="auto"/>
          <w:szCs w:val="24"/>
        </w:rPr>
        <w:t>of</w:t>
      </w:r>
      <w:r w:rsidR="00FD3F64">
        <w:rPr>
          <w:color w:val="auto"/>
          <w:szCs w:val="24"/>
        </w:rPr>
        <w:t>-</w:t>
      </w:r>
      <w:r w:rsidR="003A47B0">
        <w:rPr>
          <w:color w:val="auto"/>
          <w:szCs w:val="24"/>
        </w:rPr>
        <w:t>motion (ROM) examination of both knees is noted in the chart below.</w:t>
      </w:r>
    </w:p>
    <w:p w:rsidR="003A47B0" w:rsidRDefault="003A47B0" w:rsidP="00971382">
      <w:pPr>
        <w:tabs>
          <w:tab w:val="left" w:pos="288"/>
          <w:tab w:val="left" w:pos="4752"/>
        </w:tabs>
        <w:spacing w:line="240" w:lineRule="exact"/>
        <w:jc w:val="both"/>
        <w:rPr>
          <w:color w:val="auto"/>
          <w:szCs w:val="24"/>
        </w:rPr>
      </w:pPr>
    </w:p>
    <w:p w:rsidR="003A47B0" w:rsidRDefault="003A47B0" w:rsidP="00971382">
      <w:pPr>
        <w:tabs>
          <w:tab w:val="left" w:pos="288"/>
          <w:tab w:val="left" w:pos="4752"/>
        </w:tabs>
        <w:spacing w:line="240" w:lineRule="exact"/>
        <w:jc w:val="both"/>
        <w:rPr>
          <w:color w:val="auto"/>
          <w:szCs w:val="24"/>
        </w:rPr>
      </w:pPr>
      <w:r>
        <w:rPr>
          <w:color w:val="auto"/>
          <w:szCs w:val="24"/>
        </w:rPr>
        <w:t xml:space="preserve">He was referred to the Navy PEB and found to be unfit. </w:t>
      </w:r>
      <w:r w:rsidR="00FD3F64">
        <w:rPr>
          <w:color w:val="auto"/>
          <w:szCs w:val="24"/>
        </w:rPr>
        <w:t xml:space="preserve"> </w:t>
      </w:r>
      <w:r>
        <w:rPr>
          <w:color w:val="auto"/>
          <w:szCs w:val="24"/>
        </w:rPr>
        <w:t xml:space="preserve">The PEB rated both knees together analogous to 5003 Arthritis, degenerative. </w:t>
      </w:r>
      <w:r w:rsidR="00FD3F64">
        <w:rPr>
          <w:color w:val="auto"/>
          <w:szCs w:val="24"/>
        </w:rPr>
        <w:t xml:space="preserve"> </w:t>
      </w:r>
      <w:r>
        <w:rPr>
          <w:color w:val="auto"/>
          <w:szCs w:val="24"/>
        </w:rPr>
        <w:t xml:space="preserve">Full ROM was reported for both knees in the </w:t>
      </w:r>
      <w:r w:rsidR="00FD3F64">
        <w:rPr>
          <w:color w:val="auto"/>
          <w:szCs w:val="24"/>
        </w:rPr>
        <w:t>narrative summary (</w:t>
      </w:r>
      <w:r>
        <w:rPr>
          <w:color w:val="auto"/>
          <w:szCs w:val="24"/>
        </w:rPr>
        <w:t>NARSUM</w:t>
      </w:r>
      <w:r w:rsidR="00FD3F64">
        <w:rPr>
          <w:color w:val="auto"/>
          <w:szCs w:val="24"/>
        </w:rPr>
        <w:t>)</w:t>
      </w:r>
      <w:r>
        <w:rPr>
          <w:color w:val="auto"/>
          <w:szCs w:val="24"/>
        </w:rPr>
        <w:t xml:space="preserve"> but do</w:t>
      </w:r>
      <w:r w:rsidR="00A72457">
        <w:rPr>
          <w:color w:val="auto"/>
          <w:szCs w:val="24"/>
        </w:rPr>
        <w:t>es</w:t>
      </w:r>
      <w:r>
        <w:rPr>
          <w:color w:val="auto"/>
          <w:szCs w:val="24"/>
        </w:rPr>
        <w:t xml:space="preserve"> not appear to have been measured with a goniometer</w:t>
      </w:r>
      <w:r w:rsidR="002572CB">
        <w:rPr>
          <w:color w:val="auto"/>
          <w:szCs w:val="24"/>
        </w:rPr>
        <w:t xml:space="preserve">. </w:t>
      </w:r>
      <w:r w:rsidR="00FD3F64">
        <w:rPr>
          <w:color w:val="auto"/>
          <w:szCs w:val="24"/>
        </w:rPr>
        <w:t xml:space="preserve"> </w:t>
      </w:r>
      <w:r w:rsidR="002572CB">
        <w:rPr>
          <w:color w:val="auto"/>
          <w:szCs w:val="24"/>
        </w:rPr>
        <w:t>It is unclear if these are active or passive movements and there is no mention of the degree at which pain occurred.</w:t>
      </w:r>
      <w:r w:rsidR="00FD3F64">
        <w:rPr>
          <w:color w:val="auto"/>
          <w:szCs w:val="24"/>
        </w:rPr>
        <w:t xml:space="preserve"> </w:t>
      </w:r>
      <w:r w:rsidR="002572CB">
        <w:rPr>
          <w:color w:val="auto"/>
          <w:szCs w:val="24"/>
        </w:rPr>
        <w:t xml:space="preserve"> There is no mention of whether or not pain was present during the examination.</w:t>
      </w:r>
      <w:r w:rsidR="00A72457">
        <w:rPr>
          <w:color w:val="auto"/>
          <w:szCs w:val="24"/>
        </w:rPr>
        <w:t xml:space="preserve"> </w:t>
      </w:r>
      <w:r w:rsidR="00FD3F64">
        <w:rPr>
          <w:color w:val="auto"/>
          <w:szCs w:val="24"/>
        </w:rPr>
        <w:t xml:space="preserve"> </w:t>
      </w:r>
      <w:r w:rsidR="00A72457">
        <w:rPr>
          <w:color w:val="auto"/>
          <w:szCs w:val="24"/>
        </w:rPr>
        <w:t xml:space="preserve">The </w:t>
      </w:r>
      <w:r w:rsidR="00FD3F64">
        <w:rPr>
          <w:color w:val="auto"/>
          <w:szCs w:val="24"/>
        </w:rPr>
        <w:t>Medical Evaluation Board (MEB)</w:t>
      </w:r>
      <w:r w:rsidR="00A72457">
        <w:rPr>
          <w:color w:val="auto"/>
          <w:szCs w:val="24"/>
        </w:rPr>
        <w:t xml:space="preserve"> History and Physical reports a ROM of 0-140 degrees for both knees but there is no mention of whether or not pain was present at any degree of movement and it is not clear a goniometer was used.</w:t>
      </w:r>
    </w:p>
    <w:p w:rsidR="002572CB" w:rsidRDefault="002572CB" w:rsidP="00971382">
      <w:pPr>
        <w:tabs>
          <w:tab w:val="left" w:pos="288"/>
          <w:tab w:val="left" w:pos="4752"/>
        </w:tabs>
        <w:spacing w:line="240" w:lineRule="exact"/>
        <w:jc w:val="both"/>
        <w:rPr>
          <w:color w:val="auto"/>
          <w:szCs w:val="24"/>
        </w:rPr>
      </w:pPr>
    </w:p>
    <w:p w:rsidR="00F23F01" w:rsidRDefault="002572CB" w:rsidP="00971382">
      <w:pPr>
        <w:tabs>
          <w:tab w:val="left" w:pos="288"/>
          <w:tab w:val="left" w:pos="4752"/>
        </w:tabs>
        <w:spacing w:line="240" w:lineRule="exact"/>
        <w:jc w:val="both"/>
        <w:rPr>
          <w:color w:val="auto"/>
          <w:szCs w:val="24"/>
        </w:rPr>
      </w:pPr>
      <w:r>
        <w:rPr>
          <w:color w:val="auto"/>
          <w:szCs w:val="24"/>
        </w:rPr>
        <w:t xml:space="preserve">The VASRD </w:t>
      </w:r>
      <w:r w:rsidR="00FD3F64">
        <w:rPr>
          <w:color w:val="auto"/>
        </w:rPr>
        <w:t xml:space="preserve">§4.59 </w:t>
      </w:r>
      <w:r w:rsidRPr="002572CB">
        <w:rPr>
          <w:color w:val="auto"/>
        </w:rPr>
        <w:t xml:space="preserve">Painful motion </w:t>
      </w:r>
      <w:r w:rsidRPr="002572CB">
        <w:rPr>
          <w:color w:val="auto"/>
          <w:szCs w:val="24"/>
        </w:rPr>
        <w:t>recognizes</w:t>
      </w:r>
      <w:r>
        <w:rPr>
          <w:color w:val="auto"/>
          <w:szCs w:val="24"/>
        </w:rPr>
        <w:t xml:space="preserve"> painful motion as productive of disability and states actually painful, unstable or </w:t>
      </w:r>
      <w:proofErr w:type="spellStart"/>
      <w:r>
        <w:rPr>
          <w:color w:val="auto"/>
          <w:szCs w:val="24"/>
        </w:rPr>
        <w:t>malaligned</w:t>
      </w:r>
      <w:proofErr w:type="spellEnd"/>
      <w:r>
        <w:rPr>
          <w:color w:val="auto"/>
          <w:szCs w:val="24"/>
        </w:rPr>
        <w:t xml:space="preserve"> joints, due to healed injury as entitled to at least the minimum compensable rating for the joint. </w:t>
      </w:r>
      <w:r w:rsidR="00FD3F64">
        <w:rPr>
          <w:color w:val="auto"/>
          <w:szCs w:val="24"/>
        </w:rPr>
        <w:t xml:space="preserve"> </w:t>
      </w:r>
      <w:r>
        <w:rPr>
          <w:color w:val="auto"/>
          <w:szCs w:val="24"/>
        </w:rPr>
        <w:t xml:space="preserve">The VA </w:t>
      </w:r>
      <w:r w:rsidR="00FD3F64">
        <w:rPr>
          <w:color w:val="auto"/>
          <w:szCs w:val="24"/>
        </w:rPr>
        <w:t>Compensation and Pension (</w:t>
      </w:r>
      <w:r>
        <w:rPr>
          <w:color w:val="auto"/>
          <w:szCs w:val="24"/>
        </w:rPr>
        <w:t>C&amp;P</w:t>
      </w:r>
      <w:r w:rsidR="00FD3F64">
        <w:rPr>
          <w:color w:val="auto"/>
          <w:szCs w:val="24"/>
        </w:rPr>
        <w:t>)</w:t>
      </w:r>
      <w:r>
        <w:rPr>
          <w:color w:val="auto"/>
          <w:szCs w:val="24"/>
        </w:rPr>
        <w:t xml:space="preserve"> evaluation done </w:t>
      </w:r>
      <w:r w:rsidR="006F5E2B">
        <w:rPr>
          <w:color w:val="auto"/>
          <w:szCs w:val="24"/>
        </w:rPr>
        <w:t>five</w:t>
      </w:r>
      <w:r>
        <w:rPr>
          <w:color w:val="auto"/>
          <w:szCs w:val="24"/>
        </w:rPr>
        <w:t xml:space="preserve"> months after the CI separated from service was a more complete examination. It included measurement of </w:t>
      </w:r>
      <w:r w:rsidR="006F5E2B">
        <w:rPr>
          <w:color w:val="auto"/>
          <w:szCs w:val="24"/>
        </w:rPr>
        <w:t>flexion and extension</w:t>
      </w:r>
      <w:r>
        <w:rPr>
          <w:color w:val="auto"/>
          <w:szCs w:val="24"/>
        </w:rPr>
        <w:t xml:space="preserve"> on active and passive motion and with repeated motion. </w:t>
      </w:r>
      <w:r w:rsidR="00FD3F64">
        <w:rPr>
          <w:color w:val="auto"/>
          <w:szCs w:val="24"/>
        </w:rPr>
        <w:t xml:space="preserve"> </w:t>
      </w:r>
      <w:r>
        <w:rPr>
          <w:color w:val="auto"/>
          <w:szCs w:val="24"/>
        </w:rPr>
        <w:t>In both knees</w:t>
      </w:r>
      <w:r w:rsidR="006F5E2B">
        <w:rPr>
          <w:color w:val="auto"/>
          <w:szCs w:val="24"/>
        </w:rPr>
        <w:t xml:space="preserve">, flexion was limited by 5 degrees by pain and extension was limited by 15 degrees by pain on both active and passive motion. </w:t>
      </w:r>
      <w:r w:rsidR="00FD3F64">
        <w:rPr>
          <w:color w:val="auto"/>
          <w:szCs w:val="24"/>
        </w:rPr>
        <w:t xml:space="preserve"> </w:t>
      </w:r>
      <w:r w:rsidR="006F5E2B">
        <w:rPr>
          <w:color w:val="auto"/>
          <w:szCs w:val="24"/>
        </w:rPr>
        <w:t>Repeated motion did not increase pain or further decrease the ROM. Repeated motion did not result in any additional functional impairment beyond what was noted with the initial ROM testing.</w:t>
      </w:r>
    </w:p>
    <w:p w:rsidR="00ED25F0" w:rsidRDefault="00ED25F0" w:rsidP="00971382">
      <w:pPr>
        <w:tabs>
          <w:tab w:val="left" w:pos="288"/>
          <w:tab w:val="left" w:pos="4752"/>
        </w:tabs>
        <w:spacing w:line="240" w:lineRule="exact"/>
        <w:jc w:val="both"/>
        <w:rPr>
          <w:rFonts w:asciiTheme="minorHAnsi" w:hAnsiTheme="minorHAnsi"/>
          <w:color w:val="auto"/>
          <w:szCs w:val="24"/>
        </w:rPr>
      </w:pPr>
    </w:p>
    <w:p w:rsidR="006F5E2B" w:rsidRDefault="006F5E2B" w:rsidP="00971382">
      <w:pPr>
        <w:tabs>
          <w:tab w:val="left" w:pos="288"/>
          <w:tab w:val="left" w:pos="4752"/>
        </w:tabs>
        <w:spacing w:line="240" w:lineRule="exact"/>
        <w:jc w:val="both"/>
        <w:rPr>
          <w:color w:val="auto"/>
          <w:szCs w:val="24"/>
        </w:rPr>
      </w:pPr>
      <w:r>
        <w:rPr>
          <w:color w:val="auto"/>
          <w:szCs w:val="24"/>
        </w:rPr>
        <w:t xml:space="preserve">Either code 5003 or 5261 could be used for this CI’s bilateral patellofemoral syndrome. </w:t>
      </w:r>
      <w:r w:rsidR="00FD3F64">
        <w:rPr>
          <w:color w:val="auto"/>
          <w:szCs w:val="24"/>
        </w:rPr>
        <w:t xml:space="preserve"> </w:t>
      </w:r>
      <w:r>
        <w:rPr>
          <w:color w:val="auto"/>
          <w:szCs w:val="24"/>
        </w:rPr>
        <w:t>However</w:t>
      </w:r>
      <w:r w:rsidR="00C133A7">
        <w:rPr>
          <w:color w:val="auto"/>
          <w:szCs w:val="24"/>
        </w:rPr>
        <w:t xml:space="preserve"> w</w:t>
      </w:r>
      <w:r w:rsidRPr="006F5E2B">
        <w:rPr>
          <w:color w:val="auto"/>
          <w:szCs w:val="24"/>
        </w:rPr>
        <w:t xml:space="preserve">henever two </w:t>
      </w:r>
      <w:r w:rsidR="00C133A7">
        <w:rPr>
          <w:color w:val="auto"/>
          <w:szCs w:val="24"/>
        </w:rPr>
        <w:t xml:space="preserve">evaluations </w:t>
      </w:r>
      <w:r w:rsidRPr="006F5E2B">
        <w:rPr>
          <w:color w:val="auto"/>
          <w:szCs w:val="24"/>
        </w:rPr>
        <w:t xml:space="preserve">can be applied, the higher evaluation will be assigned if the disability picture more nearly approximates the criteria required for that rating. </w:t>
      </w:r>
      <w:r w:rsidR="00FD3F64">
        <w:rPr>
          <w:color w:val="auto"/>
          <w:szCs w:val="24"/>
        </w:rPr>
        <w:t xml:space="preserve"> </w:t>
      </w:r>
      <w:r w:rsidRPr="006F5E2B">
        <w:rPr>
          <w:color w:val="auto"/>
          <w:szCs w:val="24"/>
        </w:rPr>
        <w:t>The 5261 code more accurately describes the CI</w:t>
      </w:r>
      <w:r w:rsidRPr="006F5E2B">
        <w:rPr>
          <w:rFonts w:hAnsiTheme="minorHAnsi"/>
          <w:color w:val="auto"/>
          <w:szCs w:val="24"/>
        </w:rPr>
        <w:t>’</w:t>
      </w:r>
      <w:r w:rsidRPr="006F5E2B">
        <w:rPr>
          <w:color w:val="auto"/>
          <w:szCs w:val="24"/>
        </w:rPr>
        <w:t>s functional limitation</w:t>
      </w:r>
      <w:r w:rsidR="00C133A7">
        <w:rPr>
          <w:color w:val="auto"/>
          <w:szCs w:val="24"/>
        </w:rPr>
        <w:t xml:space="preserve"> and it should be applied. </w:t>
      </w:r>
      <w:r w:rsidR="00FD3F64">
        <w:rPr>
          <w:color w:val="auto"/>
          <w:szCs w:val="24"/>
        </w:rPr>
        <w:t xml:space="preserve"> </w:t>
      </w:r>
      <w:r w:rsidR="00C133A7">
        <w:rPr>
          <w:color w:val="auto"/>
          <w:szCs w:val="24"/>
        </w:rPr>
        <w:t xml:space="preserve">The CI’s limitation of extension is above the minimal compensable level and the code can be used directly. </w:t>
      </w:r>
      <w:r w:rsidR="00FD3F64">
        <w:rPr>
          <w:color w:val="auto"/>
          <w:szCs w:val="24"/>
        </w:rPr>
        <w:t xml:space="preserve"> </w:t>
      </w:r>
      <w:r w:rsidR="00C133A7">
        <w:rPr>
          <w:color w:val="auto"/>
          <w:szCs w:val="24"/>
        </w:rPr>
        <w:t xml:space="preserve">It is frequently used as an analogous code for patellofemoral syndrome. </w:t>
      </w:r>
      <w:r w:rsidR="00FD3F64">
        <w:rPr>
          <w:color w:val="auto"/>
          <w:szCs w:val="24"/>
        </w:rPr>
        <w:t xml:space="preserve"> </w:t>
      </w:r>
      <w:r w:rsidR="00C133A7">
        <w:rPr>
          <w:color w:val="auto"/>
          <w:szCs w:val="24"/>
        </w:rPr>
        <w:t>A 20% rating is warranted for each knee as extension is limited by 15 degrees in each knee.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984"/>
        <w:gridCol w:w="3330"/>
        <w:gridCol w:w="3330"/>
      </w:tblGrid>
      <w:tr w:rsidR="00A72457" w:rsidRPr="00C02F79" w:rsidTr="00F45BB5">
        <w:trPr>
          <w:trHeight w:val="440"/>
        </w:trPr>
        <w:tc>
          <w:tcPr>
            <w:tcW w:w="1446" w:type="dxa"/>
            <w:tcBorders>
              <w:top w:val="single" w:sz="4" w:space="0" w:color="000000"/>
              <w:left w:val="single" w:sz="4" w:space="0" w:color="000000"/>
              <w:bottom w:val="single" w:sz="4" w:space="0" w:color="000000"/>
              <w:right w:val="single" w:sz="4" w:space="0" w:color="000000"/>
            </w:tcBorders>
          </w:tcPr>
          <w:p w:rsidR="00A72457" w:rsidRPr="00CC1DD6" w:rsidRDefault="00A72457" w:rsidP="00971382">
            <w:pPr>
              <w:pStyle w:val="ListParagraph"/>
              <w:spacing w:after="0" w:line="240" w:lineRule="exact"/>
              <w:ind w:left="0"/>
            </w:pPr>
            <w:r w:rsidRPr="00CC1DD6">
              <w:lastRenderedPageBreak/>
              <w:t>Knee</w:t>
            </w:r>
          </w:p>
          <w:p w:rsidR="00A72457" w:rsidRPr="00CC1DD6" w:rsidRDefault="00A72457" w:rsidP="00971382">
            <w:pPr>
              <w:pStyle w:val="ListParagraph"/>
              <w:spacing w:after="0" w:line="240" w:lineRule="exact"/>
              <w:ind w:left="0"/>
            </w:pPr>
            <w:r w:rsidRPr="00CC1DD6">
              <w:t>Movement</w:t>
            </w:r>
          </w:p>
        </w:tc>
        <w:tc>
          <w:tcPr>
            <w:tcW w:w="984" w:type="dxa"/>
            <w:tcBorders>
              <w:top w:val="single" w:sz="4" w:space="0" w:color="000000"/>
              <w:left w:val="single" w:sz="4" w:space="0" w:color="000000"/>
              <w:bottom w:val="single" w:sz="4" w:space="0" w:color="000000"/>
              <w:right w:val="single" w:sz="4" w:space="0" w:color="000000"/>
            </w:tcBorders>
          </w:tcPr>
          <w:p w:rsidR="00A72457" w:rsidRPr="00CC1DD6" w:rsidRDefault="00A72457" w:rsidP="00971382">
            <w:pPr>
              <w:pStyle w:val="ListParagraph"/>
              <w:spacing w:after="0" w:line="240" w:lineRule="exact"/>
              <w:ind w:left="0"/>
              <w:jc w:val="center"/>
            </w:pPr>
            <w:r w:rsidRPr="00CC1DD6">
              <w:t>Normal ROM</w:t>
            </w:r>
          </w:p>
        </w:tc>
        <w:tc>
          <w:tcPr>
            <w:tcW w:w="3330" w:type="dxa"/>
            <w:tcBorders>
              <w:top w:val="single" w:sz="4" w:space="0" w:color="000000"/>
              <w:left w:val="single" w:sz="4" w:space="0" w:color="000000"/>
              <w:bottom w:val="single" w:sz="4" w:space="0" w:color="000000"/>
              <w:right w:val="single" w:sz="4" w:space="0" w:color="000000"/>
            </w:tcBorders>
            <w:hideMark/>
          </w:tcPr>
          <w:p w:rsidR="00A72457" w:rsidRPr="00CC1DD6" w:rsidRDefault="00A72457" w:rsidP="00971382">
            <w:pPr>
              <w:pStyle w:val="ListParagraph"/>
              <w:spacing w:after="0" w:line="240" w:lineRule="exact"/>
              <w:ind w:left="0"/>
              <w:jc w:val="center"/>
              <w:rPr>
                <w:sz w:val="24"/>
                <w:szCs w:val="24"/>
              </w:rPr>
            </w:pPr>
            <w:r w:rsidRPr="00CC1DD6">
              <w:rPr>
                <w:sz w:val="24"/>
                <w:szCs w:val="24"/>
              </w:rPr>
              <w:t>NARSUM 20080915</w:t>
            </w:r>
          </w:p>
          <w:p w:rsidR="00A72457" w:rsidRPr="00CC1DD6" w:rsidRDefault="00A72457" w:rsidP="00971382">
            <w:pPr>
              <w:pStyle w:val="ListParagraph"/>
              <w:spacing w:after="0" w:line="240" w:lineRule="exact"/>
              <w:ind w:left="0"/>
              <w:jc w:val="center"/>
              <w:rPr>
                <w:sz w:val="24"/>
                <w:szCs w:val="24"/>
              </w:rPr>
            </w:pPr>
          </w:p>
        </w:tc>
        <w:tc>
          <w:tcPr>
            <w:tcW w:w="3330" w:type="dxa"/>
            <w:tcBorders>
              <w:top w:val="single" w:sz="4" w:space="0" w:color="000000"/>
              <w:left w:val="single" w:sz="4" w:space="0" w:color="000000"/>
              <w:bottom w:val="single" w:sz="4" w:space="0" w:color="000000"/>
              <w:right w:val="single" w:sz="4" w:space="0" w:color="000000"/>
            </w:tcBorders>
          </w:tcPr>
          <w:p w:rsidR="00A72457" w:rsidRDefault="00A72457" w:rsidP="00971382">
            <w:pPr>
              <w:pStyle w:val="ListParagraph"/>
              <w:spacing w:after="0" w:line="240" w:lineRule="exact"/>
              <w:ind w:left="0"/>
              <w:jc w:val="center"/>
              <w:rPr>
                <w:sz w:val="24"/>
                <w:szCs w:val="24"/>
              </w:rPr>
            </w:pPr>
            <w:r w:rsidRPr="00CC1DD6">
              <w:rPr>
                <w:sz w:val="24"/>
                <w:szCs w:val="24"/>
              </w:rPr>
              <w:t xml:space="preserve">C&amp;P </w:t>
            </w:r>
            <w:r>
              <w:rPr>
                <w:sz w:val="24"/>
                <w:szCs w:val="24"/>
              </w:rPr>
              <w:t>2</w:t>
            </w:r>
            <w:r w:rsidRPr="00CC1DD6">
              <w:rPr>
                <w:sz w:val="24"/>
                <w:szCs w:val="24"/>
              </w:rPr>
              <w:t>0090721</w:t>
            </w:r>
          </w:p>
          <w:p w:rsidR="00A72457" w:rsidRPr="00CC1DD6" w:rsidRDefault="00A72457" w:rsidP="00971382">
            <w:pPr>
              <w:pStyle w:val="ListParagraph"/>
              <w:spacing w:after="0" w:line="240" w:lineRule="exact"/>
              <w:ind w:left="0"/>
              <w:jc w:val="center"/>
              <w:rPr>
                <w:sz w:val="24"/>
                <w:szCs w:val="24"/>
              </w:rPr>
            </w:pPr>
            <w:r>
              <w:rPr>
                <w:sz w:val="24"/>
                <w:szCs w:val="24"/>
              </w:rPr>
              <w:t>5 months after separation</w:t>
            </w:r>
          </w:p>
        </w:tc>
      </w:tr>
      <w:tr w:rsidR="00A72457" w:rsidRPr="00C02F79" w:rsidTr="00F45BB5">
        <w:trPr>
          <w:trHeight w:val="548"/>
        </w:trPr>
        <w:tc>
          <w:tcPr>
            <w:tcW w:w="1446" w:type="dxa"/>
            <w:tcBorders>
              <w:top w:val="single" w:sz="4" w:space="0" w:color="000000"/>
              <w:left w:val="single" w:sz="4" w:space="0" w:color="000000"/>
              <w:bottom w:val="single" w:sz="4" w:space="0" w:color="000000"/>
              <w:right w:val="single" w:sz="4" w:space="0" w:color="000000"/>
            </w:tcBorders>
            <w:hideMark/>
          </w:tcPr>
          <w:p w:rsidR="00A72457" w:rsidRPr="00CC1DD6" w:rsidRDefault="00A72457" w:rsidP="00971382">
            <w:pPr>
              <w:pStyle w:val="ListParagraph"/>
              <w:spacing w:after="0" w:line="240" w:lineRule="exact"/>
              <w:ind w:left="0"/>
            </w:pPr>
            <w:r w:rsidRPr="00CC1DD6">
              <w:t>Right Flex</w:t>
            </w:r>
          </w:p>
        </w:tc>
        <w:tc>
          <w:tcPr>
            <w:tcW w:w="984" w:type="dxa"/>
            <w:tcBorders>
              <w:top w:val="single" w:sz="4" w:space="0" w:color="000000"/>
              <w:left w:val="single" w:sz="4" w:space="0" w:color="000000"/>
              <w:bottom w:val="single" w:sz="4" w:space="0" w:color="000000"/>
              <w:right w:val="single" w:sz="4" w:space="0" w:color="000000"/>
            </w:tcBorders>
            <w:hideMark/>
          </w:tcPr>
          <w:p w:rsidR="00A72457" w:rsidRPr="00CC1DD6" w:rsidRDefault="00A72457" w:rsidP="00971382">
            <w:pPr>
              <w:pStyle w:val="ListParagraph"/>
              <w:spacing w:after="0" w:line="240" w:lineRule="exact"/>
              <w:ind w:left="0"/>
            </w:pPr>
            <w:r w:rsidRPr="00CC1DD6">
              <w:t>0 - 140</w:t>
            </w: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A72457" w:rsidRPr="00CC1DD6" w:rsidRDefault="00A72457" w:rsidP="00971382">
            <w:pPr>
              <w:pStyle w:val="ListParagraph"/>
              <w:spacing w:after="0" w:line="240" w:lineRule="exact"/>
              <w:ind w:left="0"/>
              <w:rPr>
                <w:sz w:val="24"/>
                <w:szCs w:val="24"/>
              </w:rPr>
            </w:pPr>
            <w:r w:rsidRPr="00CC1DD6">
              <w:rPr>
                <w:sz w:val="24"/>
                <w:szCs w:val="24"/>
              </w:rPr>
              <w:t>Full ROM, but not measured</w:t>
            </w:r>
          </w:p>
        </w:tc>
        <w:tc>
          <w:tcPr>
            <w:tcW w:w="3330" w:type="dxa"/>
            <w:tcBorders>
              <w:top w:val="single" w:sz="4" w:space="0" w:color="000000"/>
              <w:left w:val="single" w:sz="4" w:space="0" w:color="000000"/>
              <w:bottom w:val="single" w:sz="4" w:space="0" w:color="000000"/>
              <w:right w:val="single" w:sz="4" w:space="0" w:color="000000"/>
            </w:tcBorders>
            <w:vAlign w:val="center"/>
          </w:tcPr>
          <w:p w:rsidR="00A72457" w:rsidRPr="00D63F13" w:rsidRDefault="00A72457" w:rsidP="00971382">
            <w:pPr>
              <w:pStyle w:val="ListParagraph"/>
              <w:spacing w:after="0" w:line="240" w:lineRule="exact"/>
              <w:ind w:left="0"/>
              <w:rPr>
                <w:sz w:val="24"/>
                <w:szCs w:val="24"/>
              </w:rPr>
            </w:pPr>
            <w:r w:rsidRPr="00D63F13">
              <w:rPr>
                <w:sz w:val="24"/>
                <w:szCs w:val="24"/>
              </w:rPr>
              <w:t>15 to 135</w:t>
            </w:r>
          </w:p>
        </w:tc>
      </w:tr>
      <w:tr w:rsidR="00A72457" w:rsidRPr="00C02F79" w:rsidTr="00F45BB5">
        <w:trPr>
          <w:trHeight w:val="548"/>
        </w:trPr>
        <w:tc>
          <w:tcPr>
            <w:tcW w:w="1446" w:type="dxa"/>
            <w:tcBorders>
              <w:top w:val="single" w:sz="4" w:space="0" w:color="000000"/>
              <w:left w:val="single" w:sz="4" w:space="0" w:color="000000"/>
              <w:bottom w:val="single" w:sz="4" w:space="0" w:color="000000"/>
              <w:right w:val="single" w:sz="4" w:space="0" w:color="000000"/>
            </w:tcBorders>
            <w:hideMark/>
          </w:tcPr>
          <w:p w:rsidR="00A72457" w:rsidRPr="00C02F79" w:rsidRDefault="00A72457" w:rsidP="00971382">
            <w:pPr>
              <w:pStyle w:val="ListParagraph"/>
              <w:spacing w:after="0" w:line="240" w:lineRule="exact"/>
              <w:ind w:left="0"/>
            </w:pPr>
            <w:r w:rsidRPr="00C02F79">
              <w:t>Right Ext</w:t>
            </w:r>
          </w:p>
        </w:tc>
        <w:tc>
          <w:tcPr>
            <w:tcW w:w="984" w:type="dxa"/>
            <w:tcBorders>
              <w:top w:val="single" w:sz="4" w:space="0" w:color="000000"/>
              <w:left w:val="single" w:sz="4" w:space="0" w:color="000000"/>
              <w:bottom w:val="single" w:sz="4" w:space="0" w:color="000000"/>
              <w:right w:val="single" w:sz="4" w:space="0" w:color="000000"/>
            </w:tcBorders>
            <w:hideMark/>
          </w:tcPr>
          <w:p w:rsidR="00A72457" w:rsidRPr="00C02F79" w:rsidRDefault="00A72457" w:rsidP="00971382">
            <w:pPr>
              <w:pStyle w:val="ListParagraph"/>
              <w:spacing w:after="0" w:line="240" w:lineRule="exact"/>
              <w:ind w:left="0"/>
            </w:pPr>
            <w:r w:rsidRPr="00C02F79">
              <w:t>0 - 0</w:t>
            </w: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A72457" w:rsidRPr="00CC1DD6" w:rsidRDefault="00A72457" w:rsidP="00971382">
            <w:pPr>
              <w:pStyle w:val="ListParagraph"/>
              <w:spacing w:after="0" w:line="240" w:lineRule="exact"/>
              <w:ind w:left="0"/>
              <w:rPr>
                <w:sz w:val="24"/>
                <w:szCs w:val="24"/>
              </w:rPr>
            </w:pPr>
            <w:r w:rsidRPr="00CC1DD6">
              <w:rPr>
                <w:sz w:val="24"/>
                <w:szCs w:val="24"/>
              </w:rPr>
              <w:t>Full ROM, but not measured</w:t>
            </w:r>
          </w:p>
        </w:tc>
        <w:tc>
          <w:tcPr>
            <w:tcW w:w="3330" w:type="dxa"/>
            <w:tcBorders>
              <w:top w:val="single" w:sz="4" w:space="0" w:color="000000"/>
              <w:left w:val="single" w:sz="4" w:space="0" w:color="000000"/>
              <w:bottom w:val="single" w:sz="4" w:space="0" w:color="000000"/>
              <w:right w:val="single" w:sz="4" w:space="0" w:color="000000"/>
            </w:tcBorders>
            <w:vAlign w:val="center"/>
          </w:tcPr>
          <w:p w:rsidR="00A72457" w:rsidRPr="00D63F13" w:rsidRDefault="00A72457" w:rsidP="00971382">
            <w:pPr>
              <w:pStyle w:val="ListParagraph"/>
              <w:spacing w:after="0" w:line="240" w:lineRule="exact"/>
              <w:ind w:left="0"/>
              <w:rPr>
                <w:sz w:val="24"/>
                <w:szCs w:val="24"/>
              </w:rPr>
            </w:pPr>
            <w:r w:rsidRPr="00D63F13">
              <w:rPr>
                <w:sz w:val="24"/>
                <w:szCs w:val="24"/>
              </w:rPr>
              <w:t>Limited by 15 degrees</w:t>
            </w:r>
          </w:p>
        </w:tc>
      </w:tr>
      <w:tr w:rsidR="00A72457" w:rsidRPr="00C02F79" w:rsidTr="00F45BB5">
        <w:trPr>
          <w:trHeight w:val="548"/>
        </w:trPr>
        <w:tc>
          <w:tcPr>
            <w:tcW w:w="1446" w:type="dxa"/>
            <w:tcBorders>
              <w:top w:val="single" w:sz="4" w:space="0" w:color="000000"/>
              <w:left w:val="single" w:sz="4" w:space="0" w:color="000000"/>
              <w:bottom w:val="single" w:sz="4" w:space="0" w:color="000000"/>
              <w:right w:val="single" w:sz="4" w:space="0" w:color="000000"/>
            </w:tcBorders>
            <w:hideMark/>
          </w:tcPr>
          <w:p w:rsidR="00A72457" w:rsidRPr="00C02F79" w:rsidRDefault="00A72457" w:rsidP="00971382">
            <w:pPr>
              <w:pStyle w:val="ListParagraph"/>
              <w:spacing w:after="0" w:line="240" w:lineRule="exact"/>
              <w:ind w:left="0"/>
            </w:pPr>
          </w:p>
        </w:tc>
        <w:tc>
          <w:tcPr>
            <w:tcW w:w="984" w:type="dxa"/>
            <w:tcBorders>
              <w:top w:val="single" w:sz="4" w:space="0" w:color="000000"/>
              <w:left w:val="single" w:sz="4" w:space="0" w:color="000000"/>
              <w:bottom w:val="single" w:sz="4" w:space="0" w:color="000000"/>
              <w:right w:val="single" w:sz="4" w:space="0" w:color="000000"/>
            </w:tcBorders>
            <w:hideMark/>
          </w:tcPr>
          <w:p w:rsidR="00A72457" w:rsidRPr="00C02F79" w:rsidRDefault="00A72457" w:rsidP="00971382">
            <w:pPr>
              <w:pStyle w:val="ListParagraph"/>
              <w:spacing w:after="0" w:line="240" w:lineRule="exact"/>
              <w:ind w:left="0"/>
            </w:pPr>
          </w:p>
        </w:tc>
        <w:tc>
          <w:tcPr>
            <w:tcW w:w="3330" w:type="dxa"/>
            <w:tcBorders>
              <w:top w:val="single" w:sz="4" w:space="0" w:color="000000"/>
              <w:left w:val="single" w:sz="4" w:space="0" w:color="000000"/>
              <w:bottom w:val="single" w:sz="4" w:space="0" w:color="000000"/>
              <w:right w:val="single" w:sz="4" w:space="0" w:color="000000"/>
            </w:tcBorders>
            <w:hideMark/>
          </w:tcPr>
          <w:p w:rsidR="00A72457" w:rsidRDefault="00A72457" w:rsidP="00971382">
            <w:pPr>
              <w:pStyle w:val="ListParagraph"/>
              <w:spacing w:after="0" w:line="240" w:lineRule="exact"/>
              <w:ind w:left="0"/>
              <w:rPr>
                <w:sz w:val="24"/>
                <w:szCs w:val="24"/>
              </w:rPr>
            </w:pPr>
            <w:r>
              <w:rPr>
                <w:sz w:val="24"/>
                <w:szCs w:val="24"/>
              </w:rPr>
              <w:t>-</w:t>
            </w:r>
            <w:r w:rsidRPr="00CC1DD6">
              <w:rPr>
                <w:sz w:val="24"/>
                <w:szCs w:val="24"/>
              </w:rPr>
              <w:t>Negative: Lachman, pivot shift, anterior and posterior drawer, dial test bilaterally</w:t>
            </w:r>
          </w:p>
          <w:p w:rsidR="00A72457" w:rsidRDefault="00A72457" w:rsidP="00971382">
            <w:pPr>
              <w:pStyle w:val="ListParagraph"/>
              <w:spacing w:after="0" w:line="240" w:lineRule="exact"/>
              <w:ind w:left="0"/>
              <w:rPr>
                <w:sz w:val="24"/>
                <w:szCs w:val="24"/>
              </w:rPr>
            </w:pPr>
            <w:r>
              <w:rPr>
                <w:sz w:val="24"/>
                <w:szCs w:val="24"/>
              </w:rPr>
              <w:t>-No mention of degree where pain occurred</w:t>
            </w:r>
          </w:p>
          <w:p w:rsidR="00A72457" w:rsidRPr="00CC1DD6" w:rsidRDefault="00A72457" w:rsidP="00971382">
            <w:pPr>
              <w:pStyle w:val="ListParagraph"/>
              <w:spacing w:after="0" w:line="240" w:lineRule="exact"/>
              <w:ind w:left="0"/>
              <w:rPr>
                <w:sz w:val="24"/>
                <w:szCs w:val="24"/>
              </w:rPr>
            </w:pPr>
            <w:r>
              <w:rPr>
                <w:sz w:val="24"/>
                <w:szCs w:val="24"/>
              </w:rPr>
              <w:t>-Normal X-rays</w:t>
            </w:r>
          </w:p>
        </w:tc>
        <w:tc>
          <w:tcPr>
            <w:tcW w:w="3330" w:type="dxa"/>
            <w:tcBorders>
              <w:top w:val="single" w:sz="4" w:space="0" w:color="000000"/>
              <w:left w:val="single" w:sz="4" w:space="0" w:color="000000"/>
              <w:bottom w:val="single" w:sz="4" w:space="0" w:color="000000"/>
              <w:right w:val="single" w:sz="4" w:space="0" w:color="000000"/>
            </w:tcBorders>
            <w:vAlign w:val="center"/>
          </w:tcPr>
          <w:p w:rsidR="00A72457" w:rsidRPr="00D63F13" w:rsidRDefault="00A72457" w:rsidP="00971382">
            <w:pPr>
              <w:pStyle w:val="ListParagraph"/>
              <w:spacing w:after="0" w:line="240" w:lineRule="exact"/>
              <w:ind w:left="0"/>
              <w:rPr>
                <w:sz w:val="24"/>
                <w:szCs w:val="24"/>
              </w:rPr>
            </w:pPr>
            <w:r w:rsidRPr="00D63F13">
              <w:rPr>
                <w:sz w:val="24"/>
                <w:szCs w:val="24"/>
              </w:rPr>
              <w:t>-Limited by pain</w:t>
            </w:r>
          </w:p>
          <w:p w:rsidR="00A72457" w:rsidRPr="00D63F13" w:rsidRDefault="00A72457" w:rsidP="00971382">
            <w:pPr>
              <w:pStyle w:val="ListParagraph"/>
              <w:spacing w:after="0" w:line="240" w:lineRule="exact"/>
              <w:ind w:left="0"/>
              <w:rPr>
                <w:sz w:val="24"/>
                <w:szCs w:val="24"/>
              </w:rPr>
            </w:pPr>
            <w:r w:rsidRPr="00D63F13">
              <w:rPr>
                <w:sz w:val="24"/>
                <w:szCs w:val="24"/>
              </w:rPr>
              <w:t>- No indication of additional functional impairment during flare-up or secondary to repetitive</w:t>
            </w:r>
          </w:p>
          <w:p w:rsidR="00A72457" w:rsidRPr="00D63F13" w:rsidRDefault="00A72457" w:rsidP="00971382">
            <w:pPr>
              <w:pStyle w:val="ListParagraph"/>
              <w:spacing w:after="0" w:line="240" w:lineRule="exact"/>
              <w:ind w:left="0"/>
              <w:rPr>
                <w:sz w:val="24"/>
                <w:szCs w:val="24"/>
              </w:rPr>
            </w:pPr>
            <w:r w:rsidRPr="00D63F13">
              <w:rPr>
                <w:sz w:val="24"/>
                <w:szCs w:val="24"/>
              </w:rPr>
              <w:t xml:space="preserve">- Strength was slightly reduced a 4 out of 5. </w:t>
            </w:r>
          </w:p>
          <w:p w:rsidR="00A72457" w:rsidRPr="00D63F13" w:rsidRDefault="00A72457" w:rsidP="00971382">
            <w:pPr>
              <w:pStyle w:val="ListParagraph"/>
              <w:spacing w:after="0" w:line="240" w:lineRule="exact"/>
              <w:ind w:left="0"/>
              <w:rPr>
                <w:sz w:val="24"/>
                <w:szCs w:val="24"/>
              </w:rPr>
            </w:pPr>
            <w:r w:rsidRPr="00D63F13">
              <w:rPr>
                <w:sz w:val="24"/>
                <w:szCs w:val="24"/>
              </w:rPr>
              <w:t>-X-rays are within normal limits.</w:t>
            </w:r>
          </w:p>
        </w:tc>
      </w:tr>
      <w:tr w:rsidR="00A72457" w:rsidRPr="00C02F79" w:rsidTr="00F45BB5">
        <w:trPr>
          <w:trHeight w:val="548"/>
        </w:trPr>
        <w:tc>
          <w:tcPr>
            <w:tcW w:w="1446" w:type="dxa"/>
            <w:tcBorders>
              <w:top w:val="single" w:sz="4" w:space="0" w:color="000000"/>
              <w:left w:val="single" w:sz="4" w:space="0" w:color="000000"/>
              <w:bottom w:val="single" w:sz="4" w:space="0" w:color="000000"/>
              <w:right w:val="single" w:sz="4" w:space="0" w:color="000000"/>
            </w:tcBorders>
            <w:hideMark/>
          </w:tcPr>
          <w:p w:rsidR="00A72457" w:rsidRPr="00C02F79" w:rsidRDefault="00A72457" w:rsidP="00971382">
            <w:pPr>
              <w:pStyle w:val="ListParagraph"/>
              <w:spacing w:after="0" w:line="240" w:lineRule="exact"/>
              <w:ind w:left="0"/>
            </w:pPr>
            <w:r w:rsidRPr="00C02F79">
              <w:t>Left Flex</w:t>
            </w:r>
          </w:p>
        </w:tc>
        <w:tc>
          <w:tcPr>
            <w:tcW w:w="984" w:type="dxa"/>
            <w:tcBorders>
              <w:top w:val="single" w:sz="4" w:space="0" w:color="000000"/>
              <w:left w:val="single" w:sz="4" w:space="0" w:color="000000"/>
              <w:bottom w:val="single" w:sz="4" w:space="0" w:color="000000"/>
              <w:right w:val="single" w:sz="4" w:space="0" w:color="000000"/>
            </w:tcBorders>
            <w:hideMark/>
          </w:tcPr>
          <w:p w:rsidR="00A72457" w:rsidRPr="00C02F79" w:rsidRDefault="00A72457" w:rsidP="00971382">
            <w:pPr>
              <w:pStyle w:val="ListParagraph"/>
              <w:spacing w:after="0" w:line="240" w:lineRule="exact"/>
              <w:ind w:left="0"/>
            </w:pPr>
            <w:r w:rsidRPr="00C02F79">
              <w:t>0 - 140</w:t>
            </w: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A72457" w:rsidRPr="00CC1DD6" w:rsidRDefault="00A72457" w:rsidP="00971382">
            <w:pPr>
              <w:pStyle w:val="ListParagraph"/>
              <w:spacing w:after="0" w:line="240" w:lineRule="exact"/>
              <w:ind w:left="0"/>
              <w:rPr>
                <w:sz w:val="24"/>
                <w:szCs w:val="24"/>
              </w:rPr>
            </w:pPr>
            <w:r w:rsidRPr="00CC1DD6">
              <w:rPr>
                <w:sz w:val="24"/>
                <w:szCs w:val="24"/>
              </w:rPr>
              <w:t>Full ROM, but not measured</w:t>
            </w:r>
          </w:p>
        </w:tc>
        <w:tc>
          <w:tcPr>
            <w:tcW w:w="3330" w:type="dxa"/>
            <w:tcBorders>
              <w:top w:val="single" w:sz="4" w:space="0" w:color="000000"/>
              <w:left w:val="single" w:sz="4" w:space="0" w:color="000000"/>
              <w:bottom w:val="single" w:sz="4" w:space="0" w:color="000000"/>
              <w:right w:val="single" w:sz="4" w:space="0" w:color="000000"/>
            </w:tcBorders>
            <w:vAlign w:val="center"/>
          </w:tcPr>
          <w:p w:rsidR="00A72457" w:rsidRPr="00D63F13" w:rsidRDefault="00A72457" w:rsidP="00971382">
            <w:pPr>
              <w:pStyle w:val="ListParagraph"/>
              <w:spacing w:after="0" w:line="240" w:lineRule="exact"/>
              <w:ind w:left="0"/>
              <w:rPr>
                <w:sz w:val="24"/>
                <w:szCs w:val="24"/>
              </w:rPr>
            </w:pPr>
            <w:r w:rsidRPr="00D63F13">
              <w:rPr>
                <w:sz w:val="24"/>
                <w:szCs w:val="24"/>
              </w:rPr>
              <w:t>15 to 135</w:t>
            </w:r>
          </w:p>
        </w:tc>
      </w:tr>
      <w:tr w:rsidR="00A72457" w:rsidRPr="00C02F79" w:rsidTr="00F45BB5">
        <w:trPr>
          <w:trHeight w:val="530"/>
        </w:trPr>
        <w:tc>
          <w:tcPr>
            <w:tcW w:w="1446" w:type="dxa"/>
            <w:tcBorders>
              <w:top w:val="single" w:sz="4" w:space="0" w:color="000000"/>
              <w:left w:val="single" w:sz="4" w:space="0" w:color="000000"/>
              <w:bottom w:val="single" w:sz="4" w:space="0" w:color="000000"/>
              <w:right w:val="single" w:sz="4" w:space="0" w:color="000000"/>
            </w:tcBorders>
            <w:hideMark/>
          </w:tcPr>
          <w:p w:rsidR="00A72457" w:rsidRPr="00C02F79" w:rsidRDefault="00A72457" w:rsidP="00971382">
            <w:pPr>
              <w:pStyle w:val="ListParagraph"/>
              <w:spacing w:after="0" w:line="240" w:lineRule="exact"/>
              <w:ind w:left="0"/>
            </w:pPr>
            <w:r w:rsidRPr="00C02F79">
              <w:t>Left Ext</w:t>
            </w:r>
          </w:p>
        </w:tc>
        <w:tc>
          <w:tcPr>
            <w:tcW w:w="984" w:type="dxa"/>
            <w:tcBorders>
              <w:top w:val="single" w:sz="4" w:space="0" w:color="000000"/>
              <w:left w:val="single" w:sz="4" w:space="0" w:color="000000"/>
              <w:bottom w:val="single" w:sz="4" w:space="0" w:color="000000"/>
              <w:right w:val="single" w:sz="4" w:space="0" w:color="000000"/>
            </w:tcBorders>
            <w:hideMark/>
          </w:tcPr>
          <w:p w:rsidR="00A72457" w:rsidRPr="00C02F79" w:rsidRDefault="00A72457" w:rsidP="00971382">
            <w:pPr>
              <w:pStyle w:val="ListParagraph"/>
              <w:spacing w:after="0" w:line="240" w:lineRule="exact"/>
              <w:ind w:left="0"/>
            </w:pPr>
            <w:r w:rsidRPr="00C02F79">
              <w:t>0 - 0</w:t>
            </w: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A72457" w:rsidRPr="00CC1DD6" w:rsidRDefault="00A72457" w:rsidP="00971382">
            <w:pPr>
              <w:pStyle w:val="ListParagraph"/>
              <w:spacing w:after="0" w:line="240" w:lineRule="exact"/>
              <w:ind w:left="0"/>
              <w:rPr>
                <w:sz w:val="24"/>
                <w:szCs w:val="24"/>
              </w:rPr>
            </w:pPr>
            <w:r w:rsidRPr="00CC1DD6">
              <w:rPr>
                <w:sz w:val="24"/>
                <w:szCs w:val="24"/>
              </w:rPr>
              <w:t>Full ROM, but not measured</w:t>
            </w:r>
          </w:p>
        </w:tc>
        <w:tc>
          <w:tcPr>
            <w:tcW w:w="3330" w:type="dxa"/>
            <w:tcBorders>
              <w:top w:val="single" w:sz="4" w:space="0" w:color="000000"/>
              <w:left w:val="single" w:sz="4" w:space="0" w:color="000000"/>
              <w:bottom w:val="single" w:sz="4" w:space="0" w:color="000000"/>
              <w:right w:val="single" w:sz="4" w:space="0" w:color="000000"/>
            </w:tcBorders>
            <w:vAlign w:val="center"/>
          </w:tcPr>
          <w:p w:rsidR="00A72457" w:rsidRPr="00D63F13" w:rsidRDefault="00A72457" w:rsidP="00971382">
            <w:pPr>
              <w:pStyle w:val="ListParagraph"/>
              <w:spacing w:after="0" w:line="240" w:lineRule="exact"/>
              <w:ind w:left="0"/>
              <w:rPr>
                <w:sz w:val="24"/>
                <w:szCs w:val="24"/>
              </w:rPr>
            </w:pPr>
            <w:r w:rsidRPr="00D63F13">
              <w:rPr>
                <w:sz w:val="24"/>
                <w:szCs w:val="24"/>
              </w:rPr>
              <w:t>Limited by 15 degrees</w:t>
            </w:r>
          </w:p>
        </w:tc>
      </w:tr>
      <w:tr w:rsidR="00A72457" w:rsidRPr="00C02F79" w:rsidTr="00F45BB5">
        <w:trPr>
          <w:trHeight w:val="530"/>
        </w:trPr>
        <w:tc>
          <w:tcPr>
            <w:tcW w:w="1446" w:type="dxa"/>
            <w:tcBorders>
              <w:top w:val="single" w:sz="4" w:space="0" w:color="000000"/>
              <w:left w:val="single" w:sz="4" w:space="0" w:color="000000"/>
              <w:bottom w:val="single" w:sz="4" w:space="0" w:color="000000"/>
              <w:right w:val="single" w:sz="4" w:space="0" w:color="000000"/>
            </w:tcBorders>
            <w:hideMark/>
          </w:tcPr>
          <w:p w:rsidR="00A72457" w:rsidRPr="00C02F79" w:rsidRDefault="00A72457" w:rsidP="00971382">
            <w:pPr>
              <w:pStyle w:val="ListParagraph"/>
              <w:spacing w:after="0" w:line="240" w:lineRule="exact"/>
              <w:ind w:left="0"/>
            </w:pPr>
          </w:p>
        </w:tc>
        <w:tc>
          <w:tcPr>
            <w:tcW w:w="984" w:type="dxa"/>
            <w:tcBorders>
              <w:top w:val="single" w:sz="4" w:space="0" w:color="000000"/>
              <w:left w:val="single" w:sz="4" w:space="0" w:color="000000"/>
              <w:bottom w:val="single" w:sz="4" w:space="0" w:color="000000"/>
              <w:right w:val="single" w:sz="4" w:space="0" w:color="000000"/>
            </w:tcBorders>
            <w:hideMark/>
          </w:tcPr>
          <w:p w:rsidR="00A72457" w:rsidRPr="00C02F79" w:rsidRDefault="00A72457" w:rsidP="00971382">
            <w:pPr>
              <w:pStyle w:val="ListParagraph"/>
              <w:spacing w:after="0" w:line="240" w:lineRule="exact"/>
              <w:ind w:left="0"/>
            </w:pPr>
          </w:p>
        </w:tc>
        <w:tc>
          <w:tcPr>
            <w:tcW w:w="3330" w:type="dxa"/>
            <w:tcBorders>
              <w:top w:val="single" w:sz="4" w:space="0" w:color="000000"/>
              <w:left w:val="single" w:sz="4" w:space="0" w:color="000000"/>
              <w:bottom w:val="single" w:sz="4" w:space="0" w:color="000000"/>
              <w:right w:val="single" w:sz="4" w:space="0" w:color="000000"/>
            </w:tcBorders>
            <w:hideMark/>
          </w:tcPr>
          <w:p w:rsidR="00A72457" w:rsidRDefault="00A72457" w:rsidP="00971382">
            <w:pPr>
              <w:pStyle w:val="ListParagraph"/>
              <w:spacing w:after="0" w:line="240" w:lineRule="exact"/>
              <w:ind w:left="0"/>
              <w:rPr>
                <w:sz w:val="24"/>
                <w:szCs w:val="24"/>
              </w:rPr>
            </w:pPr>
            <w:r>
              <w:rPr>
                <w:sz w:val="24"/>
                <w:szCs w:val="24"/>
              </w:rPr>
              <w:t>-</w:t>
            </w:r>
            <w:r w:rsidRPr="00CC1DD6">
              <w:rPr>
                <w:sz w:val="24"/>
                <w:szCs w:val="24"/>
              </w:rPr>
              <w:t>Negative: Lachman, pivot shift, anterior and posterior drawer, dial test bilaterally</w:t>
            </w:r>
          </w:p>
          <w:p w:rsidR="00A72457" w:rsidRDefault="00A72457" w:rsidP="00971382">
            <w:pPr>
              <w:pStyle w:val="ListParagraph"/>
              <w:spacing w:after="0" w:line="240" w:lineRule="exact"/>
              <w:ind w:left="0"/>
              <w:rPr>
                <w:sz w:val="24"/>
                <w:szCs w:val="24"/>
              </w:rPr>
            </w:pPr>
            <w:r>
              <w:rPr>
                <w:sz w:val="24"/>
                <w:szCs w:val="24"/>
              </w:rPr>
              <w:t>-No mention of degree where pain occurred</w:t>
            </w:r>
          </w:p>
          <w:p w:rsidR="00A72457" w:rsidRPr="00CC1DD6" w:rsidRDefault="00A72457" w:rsidP="00971382">
            <w:pPr>
              <w:pStyle w:val="ListParagraph"/>
              <w:spacing w:after="0" w:line="240" w:lineRule="exact"/>
              <w:ind w:left="0"/>
              <w:rPr>
                <w:sz w:val="24"/>
                <w:szCs w:val="24"/>
              </w:rPr>
            </w:pPr>
            <w:r>
              <w:rPr>
                <w:sz w:val="24"/>
                <w:szCs w:val="24"/>
              </w:rPr>
              <w:t>-Normal X-rays</w:t>
            </w:r>
          </w:p>
        </w:tc>
        <w:tc>
          <w:tcPr>
            <w:tcW w:w="3330" w:type="dxa"/>
            <w:tcBorders>
              <w:top w:val="single" w:sz="4" w:space="0" w:color="000000"/>
              <w:left w:val="single" w:sz="4" w:space="0" w:color="000000"/>
              <w:bottom w:val="single" w:sz="4" w:space="0" w:color="000000"/>
              <w:right w:val="single" w:sz="4" w:space="0" w:color="000000"/>
            </w:tcBorders>
            <w:vAlign w:val="center"/>
          </w:tcPr>
          <w:p w:rsidR="00A72457" w:rsidRPr="00D63F13" w:rsidRDefault="00A72457" w:rsidP="00971382">
            <w:pPr>
              <w:pStyle w:val="ListParagraph"/>
              <w:spacing w:after="0" w:line="240" w:lineRule="exact"/>
              <w:ind w:left="0"/>
              <w:rPr>
                <w:sz w:val="24"/>
                <w:szCs w:val="24"/>
              </w:rPr>
            </w:pPr>
            <w:r w:rsidRPr="00D63F13">
              <w:rPr>
                <w:sz w:val="24"/>
                <w:szCs w:val="24"/>
              </w:rPr>
              <w:t>-Limited by pain</w:t>
            </w:r>
          </w:p>
          <w:p w:rsidR="00A72457" w:rsidRPr="00D63F13" w:rsidRDefault="00A72457" w:rsidP="00971382">
            <w:pPr>
              <w:pStyle w:val="ListParagraph"/>
              <w:spacing w:after="0" w:line="240" w:lineRule="exact"/>
              <w:ind w:left="0"/>
              <w:rPr>
                <w:sz w:val="24"/>
                <w:szCs w:val="24"/>
              </w:rPr>
            </w:pPr>
            <w:r w:rsidRPr="00D63F13">
              <w:rPr>
                <w:sz w:val="24"/>
                <w:szCs w:val="24"/>
              </w:rPr>
              <w:t>- No indication of additional functional impairment during flare-up or secondary to repetitive</w:t>
            </w:r>
          </w:p>
          <w:p w:rsidR="00A72457" w:rsidRPr="00D63F13" w:rsidRDefault="00A72457" w:rsidP="00971382">
            <w:pPr>
              <w:pStyle w:val="ListParagraph"/>
              <w:spacing w:after="0" w:line="240" w:lineRule="exact"/>
              <w:ind w:left="0"/>
              <w:rPr>
                <w:sz w:val="24"/>
                <w:szCs w:val="24"/>
              </w:rPr>
            </w:pPr>
            <w:r w:rsidRPr="00D63F13">
              <w:rPr>
                <w:sz w:val="24"/>
                <w:szCs w:val="24"/>
              </w:rPr>
              <w:t xml:space="preserve">- Strength was normal at 5 out of 5. </w:t>
            </w:r>
          </w:p>
          <w:p w:rsidR="00A72457" w:rsidRPr="00D63F13" w:rsidRDefault="00A72457" w:rsidP="00971382">
            <w:pPr>
              <w:pStyle w:val="ListParagraph"/>
              <w:spacing w:after="0" w:line="240" w:lineRule="exact"/>
              <w:ind w:left="0"/>
              <w:rPr>
                <w:sz w:val="24"/>
                <w:szCs w:val="24"/>
              </w:rPr>
            </w:pPr>
            <w:r w:rsidRPr="00D63F13">
              <w:rPr>
                <w:sz w:val="24"/>
                <w:szCs w:val="24"/>
              </w:rPr>
              <w:t>-X-rays are within normal limits.</w:t>
            </w:r>
          </w:p>
        </w:tc>
      </w:tr>
    </w:tbl>
    <w:p w:rsidR="00A72457" w:rsidRPr="006F5E2B" w:rsidRDefault="00A72457" w:rsidP="00971382">
      <w:pPr>
        <w:tabs>
          <w:tab w:val="left" w:pos="288"/>
          <w:tab w:val="left" w:pos="4752"/>
        </w:tabs>
        <w:spacing w:line="240" w:lineRule="exact"/>
        <w:jc w:val="both"/>
        <w:rPr>
          <w:color w:val="auto"/>
          <w:szCs w:val="24"/>
        </w:rPr>
      </w:pPr>
    </w:p>
    <w:p w:rsidR="007600F7" w:rsidRPr="007600F7" w:rsidRDefault="00375481" w:rsidP="00971382">
      <w:pPr>
        <w:tabs>
          <w:tab w:val="left" w:pos="288"/>
          <w:tab w:val="left" w:pos="4752"/>
        </w:tabs>
        <w:spacing w:line="240" w:lineRule="exact"/>
        <w:jc w:val="both"/>
        <w:rPr>
          <w:color w:val="auto"/>
          <w:szCs w:val="24"/>
        </w:rPr>
      </w:pPr>
      <w:r w:rsidRPr="007600F7">
        <w:rPr>
          <w:color w:val="auto"/>
          <w:szCs w:val="24"/>
          <w:u w:val="single"/>
        </w:rPr>
        <w:t>Other Conditions</w:t>
      </w:r>
      <w:r w:rsidR="007600F7" w:rsidRPr="007600F7">
        <w:rPr>
          <w:color w:val="auto"/>
          <w:szCs w:val="24"/>
          <w:u w:val="single"/>
        </w:rPr>
        <w:t xml:space="preserve"> not in </w:t>
      </w:r>
      <w:r w:rsidR="00FD3F64">
        <w:rPr>
          <w:color w:val="auto"/>
          <w:szCs w:val="24"/>
          <w:u w:val="single"/>
        </w:rPr>
        <w:t>Disability Evaluation System (</w:t>
      </w:r>
      <w:r w:rsidR="007600F7" w:rsidRPr="007600F7">
        <w:rPr>
          <w:color w:val="auto"/>
          <w:szCs w:val="24"/>
          <w:u w:val="single"/>
        </w:rPr>
        <w:t>DES</w:t>
      </w:r>
      <w:r w:rsidR="00FD3F64">
        <w:rPr>
          <w:color w:val="auto"/>
          <w:szCs w:val="24"/>
          <w:u w:val="single"/>
        </w:rPr>
        <w:t xml:space="preserve">) </w:t>
      </w:r>
      <w:proofErr w:type="spellStart"/>
      <w:r w:rsidR="00FD3F64">
        <w:rPr>
          <w:color w:val="auto"/>
          <w:szCs w:val="24"/>
          <w:u w:val="single"/>
        </w:rPr>
        <w:t>pacakage</w:t>
      </w:r>
      <w:proofErr w:type="spellEnd"/>
      <w:r w:rsidR="00FD3F64">
        <w:rPr>
          <w:color w:val="auto"/>
          <w:szCs w:val="24"/>
          <w:u w:val="single"/>
        </w:rPr>
        <w:t>:</w:t>
      </w:r>
      <w:r w:rsidR="00FD3F64" w:rsidRPr="00FD3F64">
        <w:rPr>
          <w:color w:val="auto"/>
          <w:szCs w:val="24"/>
        </w:rPr>
        <w:t xml:space="preserve">  </w:t>
      </w:r>
      <w:r w:rsidR="007600F7" w:rsidRPr="007600F7">
        <w:rPr>
          <w:color w:val="auto"/>
          <w:szCs w:val="24"/>
        </w:rPr>
        <w:t>Right Shoulder Strain Associated with Patellofemoral</w:t>
      </w:r>
      <w:r w:rsidR="007600F7">
        <w:rPr>
          <w:color w:val="auto"/>
          <w:szCs w:val="24"/>
        </w:rPr>
        <w:t xml:space="preserve"> </w:t>
      </w:r>
      <w:r w:rsidR="00D843D3">
        <w:rPr>
          <w:color w:val="auto"/>
          <w:szCs w:val="24"/>
        </w:rPr>
        <w:t xml:space="preserve">Syndrome, Right Knee and </w:t>
      </w:r>
      <w:r w:rsidR="007600F7" w:rsidRPr="007600F7">
        <w:rPr>
          <w:color w:val="auto"/>
          <w:szCs w:val="24"/>
        </w:rPr>
        <w:t>Residuals, Traumatic Injury, Thoracolumbar</w:t>
      </w:r>
      <w:r w:rsidR="00D843D3">
        <w:rPr>
          <w:color w:val="auto"/>
          <w:szCs w:val="24"/>
        </w:rPr>
        <w:t xml:space="preserve"> </w:t>
      </w:r>
      <w:r w:rsidR="00D843D3" w:rsidRPr="007600F7">
        <w:rPr>
          <w:color w:val="auto"/>
          <w:szCs w:val="24"/>
        </w:rPr>
        <w:t>Associated with Patellofemoral</w:t>
      </w:r>
      <w:r w:rsidR="00D843D3">
        <w:rPr>
          <w:color w:val="auto"/>
          <w:szCs w:val="24"/>
        </w:rPr>
        <w:t xml:space="preserve"> Syndrome, Right Knee</w:t>
      </w:r>
    </w:p>
    <w:p w:rsidR="00375481" w:rsidRPr="00D843D3" w:rsidRDefault="00375481" w:rsidP="00971382">
      <w:pPr>
        <w:tabs>
          <w:tab w:val="left" w:pos="288"/>
          <w:tab w:val="left" w:pos="4752"/>
        </w:tabs>
        <w:spacing w:line="240" w:lineRule="exact"/>
        <w:jc w:val="both"/>
        <w:rPr>
          <w:color w:val="auto"/>
          <w:szCs w:val="24"/>
        </w:rPr>
      </w:pPr>
      <w:r w:rsidRPr="00D843D3">
        <w:rPr>
          <w:color w:val="auto"/>
          <w:szCs w:val="24"/>
          <w:u w:val="single"/>
        </w:rPr>
        <w:t>_______________________________________________________________</w:t>
      </w:r>
      <w:r w:rsidRPr="00D843D3">
        <w:rPr>
          <w:color w:val="auto"/>
          <w:szCs w:val="24"/>
        </w:rPr>
        <w:t>_</w:t>
      </w:r>
    </w:p>
    <w:p w:rsidR="00375481" w:rsidRPr="00D843D3" w:rsidRDefault="00375481" w:rsidP="00971382">
      <w:pPr>
        <w:tabs>
          <w:tab w:val="left" w:pos="288"/>
          <w:tab w:val="left" w:pos="4752"/>
        </w:tabs>
        <w:spacing w:line="240" w:lineRule="exact"/>
        <w:jc w:val="both"/>
        <w:rPr>
          <w:color w:val="auto"/>
          <w:szCs w:val="24"/>
        </w:rPr>
      </w:pPr>
    </w:p>
    <w:p w:rsidR="00D63F13" w:rsidRPr="00D843D3" w:rsidRDefault="00375481" w:rsidP="00971382">
      <w:pPr>
        <w:spacing w:line="240" w:lineRule="exact"/>
        <w:jc w:val="both"/>
        <w:rPr>
          <w:rFonts w:eastAsiaTheme="minorHAnsi"/>
          <w:color w:val="auto"/>
          <w:szCs w:val="24"/>
        </w:rPr>
      </w:pPr>
      <w:r w:rsidRPr="00D843D3">
        <w:rPr>
          <w:color w:val="auto"/>
          <w:szCs w:val="24"/>
          <w:u w:val="single"/>
        </w:rPr>
        <w:t>BOARD FINDINGS</w:t>
      </w:r>
      <w:r w:rsidRPr="00D843D3">
        <w:rPr>
          <w:color w:val="auto"/>
          <w:szCs w:val="24"/>
        </w:rPr>
        <w:t>:</w:t>
      </w:r>
      <w:r w:rsidRPr="00D843D3">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FD3F64">
        <w:rPr>
          <w:rFonts w:eastAsiaTheme="minorHAnsi"/>
          <w:color w:val="auto"/>
          <w:szCs w:val="24"/>
        </w:rPr>
        <w:t xml:space="preserve"> </w:t>
      </w:r>
      <w:r w:rsidR="00D843D3">
        <w:rPr>
          <w:rFonts w:eastAsiaTheme="minorHAnsi"/>
          <w:color w:val="auto"/>
          <w:szCs w:val="24"/>
        </w:rPr>
        <w:t xml:space="preserve">After careful consideration of all available information the Board determined </w:t>
      </w:r>
      <w:r w:rsidR="00D843D3" w:rsidRPr="00D63F13">
        <w:rPr>
          <w:rFonts w:eastAsiaTheme="minorHAnsi"/>
          <w:color w:val="auto"/>
          <w:szCs w:val="24"/>
        </w:rPr>
        <w:t>by majority</w:t>
      </w:r>
      <w:r w:rsidR="00D843D3">
        <w:rPr>
          <w:rFonts w:eastAsiaTheme="minorHAnsi"/>
          <w:color w:val="auto"/>
          <w:szCs w:val="24"/>
        </w:rPr>
        <w:t xml:space="preserve"> </w:t>
      </w:r>
      <w:r w:rsidR="00FD3F64">
        <w:rPr>
          <w:rFonts w:eastAsiaTheme="minorHAnsi"/>
          <w:color w:val="auto"/>
          <w:szCs w:val="24"/>
        </w:rPr>
        <w:t xml:space="preserve">vote </w:t>
      </w:r>
      <w:r w:rsidR="00D843D3">
        <w:rPr>
          <w:rFonts w:eastAsiaTheme="minorHAnsi"/>
          <w:color w:val="auto"/>
          <w:szCs w:val="24"/>
        </w:rPr>
        <w:t>that the CI’s condition is most appropriately rated</w:t>
      </w:r>
      <w:r w:rsidR="00244298">
        <w:rPr>
          <w:rFonts w:eastAsiaTheme="minorHAnsi"/>
          <w:color w:val="auto"/>
          <w:szCs w:val="24"/>
        </w:rPr>
        <w:t xml:space="preserve"> at a combined </w:t>
      </w:r>
      <w:r w:rsidR="00FF23CE">
        <w:rPr>
          <w:rFonts w:eastAsiaTheme="minorHAnsi"/>
          <w:color w:val="auto"/>
          <w:szCs w:val="24"/>
        </w:rPr>
        <w:t>40</w:t>
      </w:r>
      <w:r w:rsidR="00D843D3">
        <w:rPr>
          <w:rFonts w:eastAsiaTheme="minorHAnsi"/>
          <w:color w:val="auto"/>
          <w:szCs w:val="24"/>
        </w:rPr>
        <w:t>%</w:t>
      </w:r>
      <w:r w:rsidR="00244298">
        <w:rPr>
          <w:rFonts w:eastAsiaTheme="minorHAnsi"/>
          <w:color w:val="auto"/>
          <w:szCs w:val="24"/>
        </w:rPr>
        <w:t xml:space="preserve"> with </w:t>
      </w:r>
      <w:r w:rsidR="00FF23CE">
        <w:rPr>
          <w:rFonts w:eastAsiaTheme="minorHAnsi"/>
          <w:color w:val="auto"/>
          <w:szCs w:val="24"/>
        </w:rPr>
        <w:t>20</w:t>
      </w:r>
      <w:r w:rsidR="00D843D3">
        <w:rPr>
          <w:rFonts w:eastAsiaTheme="minorHAnsi"/>
          <w:color w:val="auto"/>
          <w:szCs w:val="24"/>
        </w:rPr>
        <w:t xml:space="preserve">% for </w:t>
      </w:r>
      <w:r w:rsidR="00244298">
        <w:rPr>
          <w:rFonts w:eastAsiaTheme="minorHAnsi"/>
          <w:color w:val="auto"/>
          <w:szCs w:val="24"/>
        </w:rPr>
        <w:t>5261 P</w:t>
      </w:r>
      <w:r w:rsidR="00D843D3">
        <w:rPr>
          <w:rFonts w:eastAsiaTheme="minorHAnsi"/>
          <w:color w:val="auto"/>
          <w:szCs w:val="24"/>
        </w:rPr>
        <w:t xml:space="preserve">atellofemoral Syndrome, </w:t>
      </w:r>
      <w:r w:rsidR="00244298">
        <w:rPr>
          <w:rFonts w:eastAsiaTheme="minorHAnsi"/>
          <w:color w:val="auto"/>
          <w:szCs w:val="24"/>
        </w:rPr>
        <w:t xml:space="preserve">Right Knee; </w:t>
      </w:r>
      <w:r w:rsidR="00FF23CE">
        <w:rPr>
          <w:rFonts w:eastAsiaTheme="minorHAnsi"/>
          <w:color w:val="auto"/>
          <w:szCs w:val="24"/>
        </w:rPr>
        <w:t>20</w:t>
      </w:r>
      <w:r w:rsidR="00244298">
        <w:rPr>
          <w:rFonts w:eastAsiaTheme="minorHAnsi"/>
          <w:color w:val="auto"/>
          <w:szCs w:val="24"/>
        </w:rPr>
        <w:t xml:space="preserve">% for 5261 Patellofemoral Syndrome, Left Knee; and a bilateral factor of </w:t>
      </w:r>
      <w:r w:rsidR="00FF23CE">
        <w:rPr>
          <w:rFonts w:eastAsiaTheme="minorHAnsi"/>
          <w:color w:val="auto"/>
          <w:szCs w:val="24"/>
        </w:rPr>
        <w:t>3.6</w:t>
      </w:r>
      <w:r w:rsidR="00244298">
        <w:rPr>
          <w:rFonts w:eastAsiaTheme="minorHAnsi"/>
          <w:color w:val="auto"/>
          <w:szCs w:val="24"/>
        </w:rPr>
        <w:t>.</w:t>
      </w:r>
      <w:r w:rsidR="00D63F13">
        <w:rPr>
          <w:color w:val="auto"/>
        </w:rPr>
        <w:t>The CI had bilateral knees each had fifteen degrees of extension limited by pain</w:t>
      </w:r>
      <w:r w:rsidR="00A72457">
        <w:rPr>
          <w:color w:val="auto"/>
        </w:rPr>
        <w:t xml:space="preserve"> and this warrants a 20% rating under VASRD 5261 for each knee.</w:t>
      </w:r>
    </w:p>
    <w:p w:rsidR="00375481" w:rsidRPr="00D843D3" w:rsidRDefault="00375481" w:rsidP="00971382">
      <w:pPr>
        <w:spacing w:line="240" w:lineRule="exact"/>
        <w:jc w:val="both"/>
        <w:rPr>
          <w:color w:val="auto"/>
          <w:szCs w:val="24"/>
        </w:rPr>
      </w:pPr>
    </w:p>
    <w:p w:rsidR="00375481" w:rsidRPr="00D843D3" w:rsidRDefault="00375481" w:rsidP="00971382">
      <w:pPr>
        <w:spacing w:line="240" w:lineRule="exact"/>
        <w:jc w:val="both"/>
        <w:rPr>
          <w:color w:val="FF0000"/>
          <w:szCs w:val="24"/>
        </w:rPr>
      </w:pPr>
      <w:r w:rsidRPr="00D843D3">
        <w:rPr>
          <w:rFonts w:eastAsiaTheme="minorHAnsi"/>
          <w:color w:val="auto"/>
          <w:szCs w:val="24"/>
        </w:rPr>
        <w:t xml:space="preserve">The single voter for dissent (who recommended </w:t>
      </w:r>
      <w:r w:rsidR="00D63F13">
        <w:rPr>
          <w:rFonts w:eastAsiaTheme="minorHAnsi"/>
          <w:color w:val="auto"/>
          <w:szCs w:val="24"/>
        </w:rPr>
        <w:t xml:space="preserve">a combined 20% with 10% for </w:t>
      </w:r>
      <w:r w:rsidR="00B37087">
        <w:rPr>
          <w:rFonts w:eastAsiaTheme="minorHAnsi"/>
          <w:color w:val="auto"/>
          <w:szCs w:val="24"/>
        </w:rPr>
        <w:t>5099-5003</w:t>
      </w:r>
      <w:r w:rsidR="00D63F13">
        <w:rPr>
          <w:rFonts w:eastAsiaTheme="minorHAnsi"/>
          <w:color w:val="auto"/>
          <w:szCs w:val="24"/>
        </w:rPr>
        <w:t xml:space="preserve"> Patellofemoral Syndrome, Right Knee; 10% for </w:t>
      </w:r>
      <w:r w:rsidR="00B37087">
        <w:rPr>
          <w:rFonts w:eastAsiaTheme="minorHAnsi"/>
          <w:color w:val="auto"/>
          <w:szCs w:val="24"/>
        </w:rPr>
        <w:t>5099-5003</w:t>
      </w:r>
      <w:r w:rsidR="00D63F13">
        <w:rPr>
          <w:rFonts w:eastAsiaTheme="minorHAnsi"/>
          <w:color w:val="auto"/>
          <w:szCs w:val="24"/>
        </w:rPr>
        <w:t xml:space="preserve"> Patellofemoral Syndrome, Left Knee; and a bilateral factor of 1.9.</w:t>
      </w:r>
      <w:r w:rsidRPr="00D843D3">
        <w:rPr>
          <w:rFonts w:eastAsiaTheme="minorHAnsi"/>
          <w:color w:val="auto"/>
          <w:szCs w:val="24"/>
        </w:rPr>
        <w:t xml:space="preserve">) </w:t>
      </w:r>
      <w:r w:rsidRPr="0078472B">
        <w:rPr>
          <w:rFonts w:eastAsiaTheme="minorHAnsi"/>
          <w:color w:val="auto"/>
          <w:szCs w:val="24"/>
        </w:rPr>
        <w:t xml:space="preserve">submitted the </w:t>
      </w:r>
      <w:proofErr w:type="spellStart"/>
      <w:r w:rsidRPr="0078472B">
        <w:rPr>
          <w:rFonts w:eastAsiaTheme="minorHAnsi"/>
          <w:color w:val="auto"/>
          <w:szCs w:val="24"/>
        </w:rPr>
        <w:t>addended</w:t>
      </w:r>
      <w:proofErr w:type="spellEnd"/>
      <w:r w:rsidRPr="0078472B">
        <w:rPr>
          <w:rFonts w:eastAsiaTheme="minorHAnsi"/>
          <w:color w:val="auto"/>
          <w:szCs w:val="24"/>
        </w:rPr>
        <w:t xml:space="preserve"> minority opinion.</w:t>
      </w:r>
      <w:r w:rsidRPr="00D843D3">
        <w:rPr>
          <w:rFonts w:eastAsiaTheme="minorHAnsi"/>
          <w:color w:val="auto"/>
          <w:szCs w:val="24"/>
        </w:rPr>
        <w:t xml:space="preserve"> </w:t>
      </w:r>
    </w:p>
    <w:p w:rsidR="00375481" w:rsidRPr="00D843D3" w:rsidRDefault="00D843D3" w:rsidP="00971382">
      <w:pPr>
        <w:tabs>
          <w:tab w:val="left" w:pos="288"/>
          <w:tab w:val="left" w:pos="4752"/>
        </w:tabs>
        <w:spacing w:line="240" w:lineRule="exact"/>
        <w:jc w:val="both"/>
        <w:rPr>
          <w:color w:val="auto"/>
          <w:szCs w:val="24"/>
        </w:rPr>
      </w:pPr>
      <w:r w:rsidRPr="00D63F13">
        <w:rPr>
          <w:color w:val="auto"/>
        </w:rPr>
        <w:lastRenderedPageBreak/>
        <w:t>The other diagnoses ra</w:t>
      </w:r>
      <w:r w:rsidR="00375481" w:rsidRPr="00D63F13">
        <w:rPr>
          <w:color w:val="auto"/>
        </w:rPr>
        <w:t xml:space="preserve">ted by the VA </w:t>
      </w:r>
      <w:r w:rsidRPr="00D63F13">
        <w:rPr>
          <w:color w:val="auto"/>
        </w:rPr>
        <w:t>(</w:t>
      </w:r>
      <w:r w:rsidR="00D63F13" w:rsidRPr="007600F7">
        <w:rPr>
          <w:color w:val="auto"/>
          <w:szCs w:val="24"/>
        </w:rPr>
        <w:t>Right Shoulder Strain Associated with Patellofemoral</w:t>
      </w:r>
      <w:r w:rsidR="00D63F13">
        <w:rPr>
          <w:color w:val="auto"/>
          <w:szCs w:val="24"/>
        </w:rPr>
        <w:t xml:space="preserve"> Syndrome, Right Knee and </w:t>
      </w:r>
      <w:r w:rsidR="00D63F13" w:rsidRPr="007600F7">
        <w:rPr>
          <w:color w:val="auto"/>
          <w:szCs w:val="24"/>
        </w:rPr>
        <w:t>Residuals, Traumatic Injury, Thoracolumbar</w:t>
      </w:r>
      <w:r w:rsidR="00D63F13">
        <w:rPr>
          <w:color w:val="auto"/>
          <w:szCs w:val="24"/>
        </w:rPr>
        <w:t xml:space="preserve"> </w:t>
      </w:r>
      <w:r w:rsidR="00D63F13" w:rsidRPr="007600F7">
        <w:rPr>
          <w:color w:val="auto"/>
          <w:szCs w:val="24"/>
        </w:rPr>
        <w:t>Associated with Patellofemoral</w:t>
      </w:r>
      <w:r w:rsidR="00D63F13">
        <w:rPr>
          <w:color w:val="auto"/>
          <w:szCs w:val="24"/>
        </w:rPr>
        <w:t xml:space="preserve"> Syndrome, Right Knee</w:t>
      </w:r>
      <w:r w:rsidRPr="00D63F13">
        <w:rPr>
          <w:color w:val="auto"/>
        </w:rPr>
        <w:t xml:space="preserve">) </w:t>
      </w:r>
      <w:r w:rsidR="00375481" w:rsidRPr="00D63F13">
        <w:rPr>
          <w:color w:val="auto"/>
        </w:rPr>
        <w:t xml:space="preserve">were </w:t>
      </w:r>
      <w:r w:rsidR="00375481" w:rsidRPr="00D63F13">
        <w:rPr>
          <w:color w:val="auto"/>
          <w:szCs w:val="24"/>
        </w:rPr>
        <w:t>not mentioned in the Dis</w:t>
      </w:r>
      <w:r w:rsidR="00FD3F64">
        <w:rPr>
          <w:color w:val="auto"/>
          <w:szCs w:val="24"/>
        </w:rPr>
        <w:t xml:space="preserve">ability Evaluation System </w:t>
      </w:r>
      <w:r w:rsidR="00375481" w:rsidRPr="00D63F13">
        <w:rPr>
          <w:color w:val="auto"/>
          <w:szCs w:val="24"/>
        </w:rPr>
        <w:t xml:space="preserve">package and </w:t>
      </w:r>
      <w:r w:rsidR="00375481" w:rsidRPr="00D63F13">
        <w:rPr>
          <w:color w:val="auto"/>
        </w:rPr>
        <w:t>are therefore outside</w:t>
      </w:r>
      <w:r w:rsidR="00375481" w:rsidRPr="00D843D3">
        <w:rPr>
          <w:color w:val="auto"/>
        </w:rPr>
        <w:t xml:space="preserve"> the scope of the Board. </w:t>
      </w:r>
      <w:r w:rsidR="00FD3F64">
        <w:rPr>
          <w:color w:val="auto"/>
        </w:rPr>
        <w:t xml:space="preserve"> </w:t>
      </w:r>
      <w:r w:rsidR="00375481" w:rsidRPr="00D843D3">
        <w:rPr>
          <w:color w:val="auto"/>
        </w:rPr>
        <w:t xml:space="preserve">The CI </w:t>
      </w:r>
      <w:r w:rsidR="00375481" w:rsidRPr="00D63F13">
        <w:rPr>
          <w:color w:val="auto"/>
        </w:rPr>
        <w:t>retains the right to request his service Board of Correction for Naval Records (BCNR) to consider adding these conditions as unfitting.</w:t>
      </w:r>
    </w:p>
    <w:p w:rsidR="00FD3F64" w:rsidRPr="006A15B6" w:rsidRDefault="00FD3F64" w:rsidP="00FD3F64">
      <w:pPr>
        <w:tabs>
          <w:tab w:val="left" w:pos="288"/>
          <w:tab w:val="left" w:pos="4752"/>
        </w:tabs>
        <w:spacing w:line="240" w:lineRule="exact"/>
        <w:jc w:val="both"/>
        <w:rPr>
          <w:color w:val="auto"/>
        </w:rPr>
      </w:pPr>
      <w:r w:rsidRPr="006A15B6">
        <w:rPr>
          <w:color w:val="auto"/>
          <w:u w:val="single"/>
        </w:rPr>
        <w:t>_______________________________________________________________</w:t>
      </w:r>
      <w:r w:rsidRPr="006A15B6">
        <w:rPr>
          <w:color w:val="auto"/>
        </w:rPr>
        <w:t>_</w:t>
      </w:r>
    </w:p>
    <w:p w:rsidR="00375481" w:rsidRPr="00D843D3" w:rsidRDefault="00375481" w:rsidP="00971382">
      <w:pPr>
        <w:tabs>
          <w:tab w:val="left" w:pos="288"/>
          <w:tab w:val="left" w:pos="4752"/>
        </w:tabs>
        <w:spacing w:line="240" w:lineRule="exact"/>
        <w:jc w:val="both"/>
        <w:rPr>
          <w:color w:val="auto"/>
          <w:szCs w:val="24"/>
        </w:rPr>
      </w:pPr>
    </w:p>
    <w:p w:rsidR="00375481" w:rsidRPr="00D843D3" w:rsidRDefault="00375481" w:rsidP="00971382">
      <w:pPr>
        <w:tabs>
          <w:tab w:val="left" w:pos="288"/>
          <w:tab w:val="left" w:pos="4752"/>
        </w:tabs>
        <w:spacing w:line="240" w:lineRule="exact"/>
        <w:jc w:val="both"/>
        <w:rPr>
          <w:color w:val="auto"/>
          <w:szCs w:val="24"/>
        </w:rPr>
      </w:pPr>
      <w:r w:rsidRPr="00D843D3">
        <w:rPr>
          <w:color w:val="auto"/>
          <w:szCs w:val="24"/>
          <w:u w:val="single"/>
        </w:rPr>
        <w:t>RECOMMENDATION</w:t>
      </w:r>
      <w:r w:rsidRPr="00D843D3">
        <w:rPr>
          <w:color w:val="auto"/>
          <w:szCs w:val="24"/>
        </w:rPr>
        <w:t>:</w:t>
      </w:r>
      <w:r w:rsidRPr="00D843D3">
        <w:rPr>
          <w:color w:val="000080"/>
          <w:szCs w:val="24"/>
        </w:rPr>
        <w:t xml:space="preserve"> </w:t>
      </w:r>
      <w:r w:rsidRPr="00D843D3">
        <w:rPr>
          <w:color w:val="auto"/>
          <w:szCs w:val="24"/>
        </w:rPr>
        <w:t>The Board recommends that the CI</w:t>
      </w:r>
      <w:r w:rsidRPr="00D843D3">
        <w:rPr>
          <w:rFonts w:hAnsiTheme="minorHAnsi"/>
          <w:color w:val="auto"/>
          <w:szCs w:val="24"/>
        </w:rPr>
        <w:t>’</w:t>
      </w:r>
      <w:r w:rsidRPr="00D843D3">
        <w:rPr>
          <w:color w:val="auto"/>
          <w:szCs w:val="24"/>
        </w:rPr>
        <w:t xml:space="preserve">s prior determination be modified as follows and that the discharge with severance pay be </w:t>
      </w:r>
      <w:proofErr w:type="spellStart"/>
      <w:r w:rsidRPr="00D843D3">
        <w:rPr>
          <w:color w:val="auto"/>
          <w:szCs w:val="24"/>
        </w:rPr>
        <w:t>recharacterized</w:t>
      </w:r>
      <w:proofErr w:type="spellEnd"/>
      <w:r w:rsidRPr="00D843D3">
        <w:rPr>
          <w:color w:val="auto"/>
          <w:szCs w:val="24"/>
        </w:rPr>
        <w:t xml:space="preserve"> to reflect permanent disability retirement, effective as of the date of his prior medical separation.</w:t>
      </w:r>
    </w:p>
    <w:p w:rsidR="00375481" w:rsidRPr="00D843D3" w:rsidRDefault="00375481" w:rsidP="00971382">
      <w:pPr>
        <w:tabs>
          <w:tab w:val="left" w:pos="288"/>
          <w:tab w:val="left" w:pos="4752"/>
        </w:tabs>
        <w:spacing w:line="240" w:lineRule="exact"/>
        <w:jc w:val="both"/>
        <w:rPr>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3870"/>
        <w:gridCol w:w="1724"/>
        <w:gridCol w:w="1084"/>
      </w:tblGrid>
      <w:tr w:rsidR="00375481" w:rsidRPr="00D843D3" w:rsidTr="00244298">
        <w:trPr>
          <w:trHeight w:val="287"/>
        </w:trPr>
        <w:tc>
          <w:tcPr>
            <w:tcW w:w="6660" w:type="dxa"/>
            <w:gridSpan w:val="2"/>
            <w:tcBorders>
              <w:right w:val="single" w:sz="4" w:space="0" w:color="auto"/>
            </w:tcBorders>
            <w:shd w:val="clear" w:color="auto" w:fill="D9D9D9"/>
            <w:vAlign w:val="center"/>
          </w:tcPr>
          <w:p w:rsidR="00375481" w:rsidRPr="00D843D3" w:rsidRDefault="00375481" w:rsidP="00971382">
            <w:pPr>
              <w:tabs>
                <w:tab w:val="left" w:pos="288"/>
                <w:tab w:val="left" w:pos="4752"/>
              </w:tabs>
              <w:spacing w:line="240" w:lineRule="exact"/>
              <w:rPr>
                <w:b/>
                <w:color w:val="auto"/>
                <w:szCs w:val="24"/>
              </w:rPr>
            </w:pPr>
            <w:r w:rsidRPr="00D843D3">
              <w:rPr>
                <w:b/>
                <w:color w:val="auto"/>
                <w:szCs w:val="24"/>
              </w:rPr>
              <w:t>UNFITTING CONDITION</w:t>
            </w:r>
          </w:p>
        </w:tc>
        <w:tc>
          <w:tcPr>
            <w:tcW w:w="1724" w:type="dxa"/>
            <w:tcBorders>
              <w:left w:val="single" w:sz="4" w:space="0" w:color="auto"/>
            </w:tcBorders>
            <w:shd w:val="clear" w:color="auto" w:fill="D9D9D9"/>
            <w:vAlign w:val="center"/>
          </w:tcPr>
          <w:p w:rsidR="00375481" w:rsidRPr="00D843D3" w:rsidRDefault="00375481" w:rsidP="00971382">
            <w:pPr>
              <w:tabs>
                <w:tab w:val="left" w:pos="288"/>
                <w:tab w:val="left" w:pos="4752"/>
              </w:tabs>
              <w:spacing w:line="240" w:lineRule="exact"/>
              <w:jc w:val="center"/>
              <w:rPr>
                <w:b/>
                <w:color w:val="auto"/>
                <w:szCs w:val="24"/>
              </w:rPr>
            </w:pPr>
            <w:r w:rsidRPr="00D843D3">
              <w:rPr>
                <w:b/>
                <w:color w:val="auto"/>
                <w:szCs w:val="24"/>
              </w:rPr>
              <w:t>VASRD CODE</w:t>
            </w:r>
          </w:p>
        </w:tc>
        <w:tc>
          <w:tcPr>
            <w:tcW w:w="1084" w:type="dxa"/>
            <w:shd w:val="clear" w:color="auto" w:fill="D9D9D9"/>
            <w:vAlign w:val="center"/>
          </w:tcPr>
          <w:p w:rsidR="00375481" w:rsidRPr="00D843D3" w:rsidRDefault="00375481" w:rsidP="00971382">
            <w:pPr>
              <w:tabs>
                <w:tab w:val="left" w:pos="288"/>
                <w:tab w:val="left" w:pos="4752"/>
              </w:tabs>
              <w:spacing w:line="240" w:lineRule="exact"/>
              <w:jc w:val="center"/>
              <w:rPr>
                <w:b/>
                <w:color w:val="auto"/>
                <w:szCs w:val="24"/>
              </w:rPr>
            </w:pPr>
            <w:r w:rsidRPr="00D843D3">
              <w:rPr>
                <w:b/>
                <w:color w:val="auto"/>
                <w:szCs w:val="24"/>
              </w:rPr>
              <w:t>RATING</w:t>
            </w:r>
          </w:p>
        </w:tc>
      </w:tr>
      <w:tr w:rsidR="00244298" w:rsidRPr="00D843D3" w:rsidTr="00244298">
        <w:tc>
          <w:tcPr>
            <w:tcW w:w="6660" w:type="dxa"/>
            <w:gridSpan w:val="2"/>
            <w:tcBorders>
              <w:right w:val="single" w:sz="4" w:space="0" w:color="auto"/>
            </w:tcBorders>
            <w:vAlign w:val="center"/>
          </w:tcPr>
          <w:p w:rsidR="00244298" w:rsidRPr="00244298" w:rsidRDefault="00244298" w:rsidP="00971382">
            <w:pPr>
              <w:pStyle w:val="ListParagraph"/>
              <w:spacing w:after="0" w:line="240" w:lineRule="exact"/>
              <w:ind w:left="0"/>
              <w:rPr>
                <w:rFonts w:ascii="Courier" w:hAnsi="Courier" w:cs="Times New Roman"/>
                <w:sz w:val="24"/>
                <w:szCs w:val="24"/>
              </w:rPr>
            </w:pPr>
            <w:r w:rsidRPr="00244298">
              <w:rPr>
                <w:rFonts w:ascii="Courier" w:hAnsi="Courier" w:cs="Times New Roman"/>
                <w:sz w:val="24"/>
                <w:szCs w:val="24"/>
              </w:rPr>
              <w:t>Patellofemoral Syndrome, Left Knee</w:t>
            </w:r>
          </w:p>
        </w:tc>
        <w:tc>
          <w:tcPr>
            <w:tcW w:w="1724" w:type="dxa"/>
            <w:tcBorders>
              <w:left w:val="single" w:sz="4" w:space="0" w:color="auto"/>
            </w:tcBorders>
            <w:vAlign w:val="center"/>
          </w:tcPr>
          <w:p w:rsidR="00244298" w:rsidRPr="00244298" w:rsidRDefault="00244298" w:rsidP="00971382">
            <w:pPr>
              <w:spacing w:line="240" w:lineRule="exact"/>
              <w:jc w:val="center"/>
              <w:rPr>
                <w:rFonts w:eastAsiaTheme="minorEastAsia"/>
                <w:color w:val="auto"/>
                <w:szCs w:val="24"/>
              </w:rPr>
            </w:pPr>
            <w:r w:rsidRPr="00244298">
              <w:rPr>
                <w:rFonts w:eastAsiaTheme="minorEastAsia"/>
                <w:color w:val="auto"/>
                <w:szCs w:val="24"/>
              </w:rPr>
              <w:t>5261</w:t>
            </w:r>
          </w:p>
        </w:tc>
        <w:tc>
          <w:tcPr>
            <w:tcW w:w="1084" w:type="dxa"/>
            <w:vAlign w:val="center"/>
          </w:tcPr>
          <w:p w:rsidR="00244298" w:rsidRPr="00D843D3" w:rsidRDefault="00FF23CE" w:rsidP="00971382">
            <w:pPr>
              <w:tabs>
                <w:tab w:val="left" w:pos="288"/>
                <w:tab w:val="left" w:pos="4752"/>
              </w:tabs>
              <w:spacing w:line="240" w:lineRule="exact"/>
              <w:jc w:val="center"/>
              <w:rPr>
                <w:color w:val="auto"/>
                <w:szCs w:val="24"/>
              </w:rPr>
            </w:pPr>
            <w:r>
              <w:rPr>
                <w:color w:val="auto"/>
                <w:szCs w:val="24"/>
              </w:rPr>
              <w:t>20</w:t>
            </w:r>
            <w:r w:rsidR="00244298">
              <w:rPr>
                <w:color w:val="auto"/>
                <w:szCs w:val="24"/>
              </w:rPr>
              <w:t>%</w:t>
            </w:r>
          </w:p>
        </w:tc>
      </w:tr>
      <w:tr w:rsidR="00244298" w:rsidRPr="00D843D3" w:rsidTr="00244298">
        <w:tc>
          <w:tcPr>
            <w:tcW w:w="6660" w:type="dxa"/>
            <w:gridSpan w:val="2"/>
            <w:tcBorders>
              <w:right w:val="single" w:sz="4" w:space="0" w:color="auto"/>
            </w:tcBorders>
            <w:vAlign w:val="center"/>
          </w:tcPr>
          <w:p w:rsidR="00244298" w:rsidRPr="00244298" w:rsidRDefault="00244298" w:rsidP="00971382">
            <w:pPr>
              <w:pStyle w:val="ListParagraph"/>
              <w:spacing w:after="0" w:line="240" w:lineRule="exact"/>
              <w:ind w:left="0"/>
              <w:rPr>
                <w:rFonts w:ascii="Courier" w:hAnsi="Courier" w:cs="Times New Roman"/>
                <w:sz w:val="24"/>
                <w:szCs w:val="24"/>
              </w:rPr>
            </w:pPr>
            <w:r w:rsidRPr="00244298">
              <w:rPr>
                <w:rFonts w:ascii="Courier" w:hAnsi="Courier" w:cs="Times New Roman"/>
                <w:sz w:val="24"/>
                <w:szCs w:val="24"/>
              </w:rPr>
              <w:t>Patellofemoral Syndrome, Right Knee</w:t>
            </w:r>
          </w:p>
        </w:tc>
        <w:tc>
          <w:tcPr>
            <w:tcW w:w="1724" w:type="dxa"/>
            <w:tcBorders>
              <w:left w:val="single" w:sz="4" w:space="0" w:color="auto"/>
            </w:tcBorders>
            <w:vAlign w:val="center"/>
          </w:tcPr>
          <w:p w:rsidR="00244298" w:rsidRPr="00244298" w:rsidRDefault="00244298" w:rsidP="00971382">
            <w:pPr>
              <w:spacing w:line="240" w:lineRule="exact"/>
              <w:jc w:val="center"/>
              <w:rPr>
                <w:rFonts w:eastAsiaTheme="minorEastAsia"/>
                <w:color w:val="auto"/>
                <w:szCs w:val="24"/>
              </w:rPr>
            </w:pPr>
            <w:r w:rsidRPr="00244298">
              <w:rPr>
                <w:rFonts w:eastAsiaTheme="minorEastAsia"/>
                <w:color w:val="auto"/>
                <w:szCs w:val="24"/>
              </w:rPr>
              <w:t>5261</w:t>
            </w:r>
          </w:p>
        </w:tc>
        <w:tc>
          <w:tcPr>
            <w:tcW w:w="1084" w:type="dxa"/>
            <w:vAlign w:val="center"/>
          </w:tcPr>
          <w:p w:rsidR="00244298" w:rsidRPr="00D843D3" w:rsidRDefault="00FF23CE" w:rsidP="00971382">
            <w:pPr>
              <w:tabs>
                <w:tab w:val="left" w:pos="288"/>
                <w:tab w:val="left" w:pos="4752"/>
              </w:tabs>
              <w:spacing w:line="240" w:lineRule="exact"/>
              <w:jc w:val="center"/>
              <w:rPr>
                <w:color w:val="auto"/>
                <w:szCs w:val="24"/>
              </w:rPr>
            </w:pPr>
            <w:r>
              <w:rPr>
                <w:color w:val="auto"/>
                <w:szCs w:val="24"/>
              </w:rPr>
              <w:t>20</w:t>
            </w:r>
            <w:r w:rsidR="00244298">
              <w:rPr>
                <w:color w:val="auto"/>
                <w:szCs w:val="24"/>
              </w:rPr>
              <w:t>%</w:t>
            </w:r>
          </w:p>
        </w:tc>
      </w:tr>
      <w:tr w:rsidR="00375481" w:rsidRPr="00D843D3" w:rsidTr="00FF23CE">
        <w:tblPrEx>
          <w:tblLook w:val="0000"/>
        </w:tblPrEx>
        <w:trPr>
          <w:gridBefore w:val="1"/>
          <w:wBefore w:w="2790" w:type="dxa"/>
          <w:trHeight w:val="287"/>
        </w:trPr>
        <w:tc>
          <w:tcPr>
            <w:tcW w:w="5594" w:type="dxa"/>
            <w:gridSpan w:val="2"/>
            <w:tcBorders>
              <w:left w:val="single" w:sz="4" w:space="0" w:color="auto"/>
              <w:bottom w:val="single" w:sz="4" w:space="0" w:color="auto"/>
            </w:tcBorders>
            <w:shd w:val="clear" w:color="auto" w:fill="D9D9D9" w:themeFill="background1" w:themeFillShade="D9"/>
            <w:vAlign w:val="center"/>
          </w:tcPr>
          <w:p w:rsidR="00375481" w:rsidRPr="00D843D3" w:rsidRDefault="00375481" w:rsidP="00971382">
            <w:pPr>
              <w:tabs>
                <w:tab w:val="left" w:pos="288"/>
                <w:tab w:val="left" w:pos="4752"/>
              </w:tabs>
              <w:spacing w:line="240" w:lineRule="exact"/>
              <w:jc w:val="center"/>
              <w:rPr>
                <w:b/>
                <w:color w:val="auto"/>
                <w:szCs w:val="24"/>
              </w:rPr>
            </w:pPr>
            <w:r w:rsidRPr="00D843D3">
              <w:rPr>
                <w:b/>
                <w:color w:val="auto"/>
                <w:szCs w:val="24"/>
              </w:rPr>
              <w:t>COMBINED (Incorporating BLF</w:t>
            </w:r>
            <w:r w:rsidR="00FF23CE">
              <w:rPr>
                <w:b/>
                <w:color w:val="auto"/>
                <w:szCs w:val="24"/>
              </w:rPr>
              <w:t xml:space="preserve"> of 3.6</w:t>
            </w:r>
            <w:r w:rsidRPr="00D843D3">
              <w:rPr>
                <w:b/>
                <w:color w:val="auto"/>
                <w:szCs w:val="24"/>
              </w:rPr>
              <w:t>)</w:t>
            </w:r>
          </w:p>
        </w:tc>
        <w:tc>
          <w:tcPr>
            <w:tcW w:w="1084" w:type="dxa"/>
            <w:tcBorders>
              <w:bottom w:val="single" w:sz="4" w:space="0" w:color="000000"/>
            </w:tcBorders>
            <w:shd w:val="clear" w:color="auto" w:fill="D9D9D9" w:themeFill="background1" w:themeFillShade="D9"/>
            <w:vAlign w:val="center"/>
          </w:tcPr>
          <w:p w:rsidR="00375481" w:rsidRPr="00D843D3" w:rsidRDefault="00FF23CE" w:rsidP="00971382">
            <w:pPr>
              <w:tabs>
                <w:tab w:val="left" w:pos="288"/>
                <w:tab w:val="left" w:pos="4752"/>
              </w:tabs>
              <w:spacing w:line="240" w:lineRule="exact"/>
              <w:jc w:val="center"/>
              <w:rPr>
                <w:b/>
                <w:color w:val="auto"/>
                <w:szCs w:val="24"/>
              </w:rPr>
            </w:pPr>
            <w:r>
              <w:rPr>
                <w:b/>
                <w:color w:val="auto"/>
                <w:szCs w:val="24"/>
              </w:rPr>
              <w:t>40</w:t>
            </w:r>
            <w:r w:rsidR="00375481" w:rsidRPr="00D843D3">
              <w:rPr>
                <w:b/>
                <w:color w:val="auto"/>
                <w:szCs w:val="24"/>
              </w:rPr>
              <w:t>%</w:t>
            </w:r>
          </w:p>
        </w:tc>
      </w:tr>
    </w:tbl>
    <w:p w:rsidR="00FD3F64" w:rsidRPr="006A15B6" w:rsidRDefault="00FD3F64" w:rsidP="00FD3F64">
      <w:pPr>
        <w:tabs>
          <w:tab w:val="left" w:pos="288"/>
          <w:tab w:val="left" w:pos="4752"/>
        </w:tabs>
        <w:spacing w:line="240" w:lineRule="exact"/>
        <w:jc w:val="both"/>
        <w:rPr>
          <w:color w:val="auto"/>
        </w:rPr>
      </w:pPr>
      <w:r w:rsidRPr="006A15B6">
        <w:rPr>
          <w:color w:val="auto"/>
          <w:u w:val="single"/>
        </w:rPr>
        <w:t>_______________________________________________________________</w:t>
      </w:r>
      <w:r w:rsidRPr="006A15B6">
        <w:rPr>
          <w:color w:val="auto"/>
        </w:rPr>
        <w:t>_</w:t>
      </w:r>
    </w:p>
    <w:p w:rsidR="00375481" w:rsidRPr="00D843D3" w:rsidRDefault="00375481" w:rsidP="00971382">
      <w:pPr>
        <w:tabs>
          <w:tab w:val="left" w:pos="288"/>
          <w:tab w:val="left" w:pos="4752"/>
        </w:tabs>
        <w:spacing w:line="240" w:lineRule="exact"/>
        <w:jc w:val="both"/>
        <w:rPr>
          <w:color w:val="auto"/>
          <w:szCs w:val="24"/>
        </w:rPr>
      </w:pPr>
    </w:p>
    <w:p w:rsidR="00375481" w:rsidRPr="00D843D3" w:rsidRDefault="00375481" w:rsidP="00971382">
      <w:pPr>
        <w:tabs>
          <w:tab w:val="left" w:pos="288"/>
          <w:tab w:val="left" w:pos="4752"/>
        </w:tabs>
        <w:spacing w:line="240" w:lineRule="exact"/>
        <w:jc w:val="both"/>
        <w:rPr>
          <w:color w:val="auto"/>
          <w:szCs w:val="24"/>
        </w:rPr>
      </w:pPr>
      <w:r w:rsidRPr="00D843D3">
        <w:rPr>
          <w:color w:val="auto"/>
          <w:szCs w:val="24"/>
        </w:rPr>
        <w:t>The following documentary evidence was considered:</w:t>
      </w:r>
    </w:p>
    <w:p w:rsidR="00375481" w:rsidRPr="00D843D3" w:rsidRDefault="00375481" w:rsidP="00971382">
      <w:pPr>
        <w:tabs>
          <w:tab w:val="left" w:pos="288"/>
          <w:tab w:val="left" w:pos="4752"/>
        </w:tabs>
        <w:spacing w:line="240" w:lineRule="exact"/>
        <w:jc w:val="both"/>
        <w:rPr>
          <w:color w:val="auto"/>
          <w:szCs w:val="24"/>
        </w:rPr>
      </w:pPr>
    </w:p>
    <w:p w:rsidR="00375481" w:rsidRPr="00D843D3" w:rsidRDefault="00375481" w:rsidP="00971382">
      <w:pPr>
        <w:tabs>
          <w:tab w:val="left" w:pos="288"/>
          <w:tab w:val="left" w:pos="4752"/>
        </w:tabs>
        <w:spacing w:line="240" w:lineRule="exact"/>
        <w:jc w:val="both"/>
        <w:rPr>
          <w:color w:val="auto"/>
          <w:szCs w:val="24"/>
        </w:rPr>
      </w:pPr>
      <w:r w:rsidRPr="00D843D3">
        <w:rPr>
          <w:color w:val="auto"/>
          <w:szCs w:val="24"/>
        </w:rPr>
        <w:t xml:space="preserve">Exhibit A.  DD Form </w:t>
      </w:r>
      <w:proofErr w:type="gramStart"/>
      <w:r w:rsidRPr="00D843D3">
        <w:rPr>
          <w:color w:val="auto"/>
          <w:szCs w:val="24"/>
        </w:rPr>
        <w:t>294,</w:t>
      </w:r>
      <w:proofErr w:type="gramEnd"/>
      <w:r w:rsidRPr="00D843D3">
        <w:rPr>
          <w:color w:val="auto"/>
          <w:szCs w:val="24"/>
        </w:rPr>
        <w:t xml:space="preserve"> dated </w:t>
      </w:r>
      <w:r w:rsidR="003139AA" w:rsidRPr="00D843D3">
        <w:rPr>
          <w:color w:val="auto"/>
          <w:szCs w:val="24"/>
        </w:rPr>
        <w:t>20090818</w:t>
      </w:r>
      <w:r w:rsidRPr="00D843D3">
        <w:rPr>
          <w:color w:val="auto"/>
          <w:szCs w:val="24"/>
        </w:rPr>
        <w:t>, w/</w:t>
      </w:r>
      <w:proofErr w:type="spellStart"/>
      <w:r w:rsidRPr="00D843D3">
        <w:rPr>
          <w:color w:val="auto"/>
          <w:szCs w:val="24"/>
        </w:rPr>
        <w:t>atchs</w:t>
      </w:r>
      <w:proofErr w:type="spellEnd"/>
      <w:r w:rsidRPr="00D843D3">
        <w:rPr>
          <w:color w:val="auto"/>
          <w:szCs w:val="24"/>
        </w:rPr>
        <w:t>.</w:t>
      </w:r>
    </w:p>
    <w:p w:rsidR="00375481" w:rsidRPr="00D843D3" w:rsidRDefault="00375481" w:rsidP="00971382">
      <w:pPr>
        <w:tabs>
          <w:tab w:val="left" w:pos="288"/>
          <w:tab w:val="left" w:pos="4752"/>
        </w:tabs>
        <w:spacing w:line="240" w:lineRule="exact"/>
        <w:jc w:val="both"/>
        <w:rPr>
          <w:color w:val="auto"/>
          <w:szCs w:val="24"/>
        </w:rPr>
      </w:pPr>
      <w:r w:rsidRPr="00D843D3">
        <w:rPr>
          <w:color w:val="auto"/>
          <w:szCs w:val="24"/>
        </w:rPr>
        <w:t xml:space="preserve">Exhibit B.  </w:t>
      </w:r>
      <w:proofErr w:type="gramStart"/>
      <w:r w:rsidRPr="00D843D3">
        <w:rPr>
          <w:color w:val="auto"/>
          <w:szCs w:val="24"/>
        </w:rPr>
        <w:t>Service Treatment Record.</w:t>
      </w:r>
      <w:proofErr w:type="gramEnd"/>
    </w:p>
    <w:p w:rsidR="00375481" w:rsidRPr="00D843D3" w:rsidRDefault="00375481" w:rsidP="00971382">
      <w:pPr>
        <w:tabs>
          <w:tab w:val="left" w:pos="288"/>
          <w:tab w:val="left" w:pos="4752"/>
        </w:tabs>
        <w:spacing w:line="240" w:lineRule="exact"/>
        <w:jc w:val="both"/>
        <w:rPr>
          <w:color w:val="auto"/>
          <w:szCs w:val="24"/>
        </w:rPr>
      </w:pPr>
      <w:r w:rsidRPr="00D843D3">
        <w:rPr>
          <w:color w:val="auto"/>
          <w:szCs w:val="24"/>
        </w:rPr>
        <w:t xml:space="preserve">Exhibit C.  </w:t>
      </w:r>
      <w:proofErr w:type="gramStart"/>
      <w:r w:rsidRPr="00D843D3">
        <w:rPr>
          <w:color w:val="auto"/>
          <w:szCs w:val="24"/>
        </w:rPr>
        <w:t>Department of Veterans' Affairs Treatment Record.</w:t>
      </w:r>
      <w:proofErr w:type="gramEnd"/>
    </w:p>
    <w:p w:rsidR="00375481" w:rsidRPr="00D843D3" w:rsidRDefault="00375481" w:rsidP="00971382">
      <w:pPr>
        <w:tabs>
          <w:tab w:val="left" w:pos="288"/>
          <w:tab w:val="left" w:pos="4752"/>
        </w:tabs>
        <w:spacing w:line="240" w:lineRule="exact"/>
        <w:jc w:val="both"/>
        <w:rPr>
          <w:color w:val="auto"/>
          <w:szCs w:val="24"/>
        </w:rPr>
      </w:pPr>
    </w:p>
    <w:p w:rsidR="00375481" w:rsidRPr="00D843D3" w:rsidRDefault="00375481" w:rsidP="00971382">
      <w:pPr>
        <w:tabs>
          <w:tab w:val="left" w:pos="288"/>
          <w:tab w:val="left" w:pos="4752"/>
        </w:tabs>
        <w:spacing w:line="240" w:lineRule="exact"/>
        <w:jc w:val="both"/>
        <w:rPr>
          <w:color w:val="auto"/>
          <w:szCs w:val="24"/>
        </w:rPr>
      </w:pPr>
    </w:p>
    <w:p w:rsidR="00375481" w:rsidRPr="00D843D3" w:rsidRDefault="00375481" w:rsidP="00971382">
      <w:pPr>
        <w:tabs>
          <w:tab w:val="left" w:pos="288"/>
          <w:tab w:val="left" w:pos="4752"/>
        </w:tabs>
        <w:spacing w:line="240" w:lineRule="exact"/>
        <w:jc w:val="both"/>
        <w:rPr>
          <w:color w:val="auto"/>
          <w:szCs w:val="24"/>
        </w:rPr>
      </w:pPr>
    </w:p>
    <w:p w:rsidR="00375481" w:rsidRPr="00D843D3" w:rsidRDefault="00375481" w:rsidP="00971382">
      <w:pPr>
        <w:tabs>
          <w:tab w:val="left" w:pos="0"/>
          <w:tab w:val="left" w:pos="4320"/>
        </w:tabs>
        <w:spacing w:line="240" w:lineRule="exact"/>
        <w:jc w:val="both"/>
        <w:rPr>
          <w:color w:val="auto"/>
          <w:szCs w:val="24"/>
        </w:rPr>
      </w:pPr>
      <w:r w:rsidRPr="00D843D3">
        <w:rPr>
          <w:color w:val="auto"/>
          <w:szCs w:val="24"/>
        </w:rPr>
        <w:t xml:space="preserve">                            </w:t>
      </w:r>
      <w:r w:rsidR="00D843D3">
        <w:rPr>
          <w:color w:val="auto"/>
          <w:szCs w:val="24"/>
        </w:rPr>
        <w:t xml:space="preserve"> </w:t>
      </w:r>
      <w:r w:rsidRPr="00D843D3">
        <w:rPr>
          <w:color w:val="auto"/>
          <w:szCs w:val="24"/>
        </w:rPr>
        <w:t>President</w:t>
      </w:r>
    </w:p>
    <w:p w:rsidR="00375481" w:rsidRPr="00D843D3" w:rsidRDefault="00375481" w:rsidP="00971382">
      <w:pPr>
        <w:tabs>
          <w:tab w:val="left" w:pos="288"/>
          <w:tab w:val="left" w:pos="4320"/>
          <w:tab w:val="left" w:pos="4410"/>
          <w:tab w:val="left" w:pos="4770"/>
          <w:tab w:val="left" w:pos="4860"/>
          <w:tab w:val="left" w:pos="5040"/>
        </w:tabs>
        <w:spacing w:line="240" w:lineRule="exact"/>
        <w:jc w:val="both"/>
        <w:rPr>
          <w:color w:val="auto"/>
          <w:szCs w:val="24"/>
        </w:rPr>
      </w:pPr>
      <w:r w:rsidRPr="00D843D3">
        <w:rPr>
          <w:color w:val="auto"/>
          <w:szCs w:val="24"/>
        </w:rPr>
        <w:tab/>
        <w:t xml:space="preserve">                          </w:t>
      </w:r>
      <w:r w:rsidR="00D843D3">
        <w:rPr>
          <w:color w:val="auto"/>
          <w:szCs w:val="24"/>
        </w:rPr>
        <w:t xml:space="preserve"> </w:t>
      </w:r>
      <w:r w:rsidRPr="00D843D3">
        <w:rPr>
          <w:color w:val="auto"/>
          <w:szCs w:val="24"/>
        </w:rPr>
        <w:t>Physical Disability Board of Review</w:t>
      </w:r>
    </w:p>
    <w:p w:rsidR="00FD3F64" w:rsidRDefault="00FD3F64">
      <w:pPr>
        <w:rPr>
          <w:color w:val="000080"/>
        </w:rPr>
      </w:pPr>
      <w:r>
        <w:rPr>
          <w:color w:val="000080"/>
        </w:rPr>
        <w:br w:type="page"/>
      </w:r>
    </w:p>
    <w:p w:rsidR="0078472B" w:rsidRDefault="0078472B" w:rsidP="00971382">
      <w:pPr>
        <w:pStyle w:val="ListParagraph"/>
        <w:spacing w:after="0" w:line="240" w:lineRule="exact"/>
        <w:ind w:left="0"/>
        <w:rPr>
          <w:rFonts w:ascii="Courier" w:hAnsi="Courier" w:cs="Times New Roman"/>
          <w:sz w:val="24"/>
          <w:szCs w:val="24"/>
          <w:u w:val="single"/>
        </w:rPr>
      </w:pPr>
      <w:r>
        <w:rPr>
          <w:rFonts w:ascii="Courier" w:hAnsi="Courier" w:cs="Times New Roman"/>
          <w:sz w:val="24"/>
          <w:szCs w:val="24"/>
          <w:u w:val="single"/>
        </w:rPr>
        <w:lastRenderedPageBreak/>
        <w:t>Minority Opinion 09-502</w:t>
      </w:r>
    </w:p>
    <w:p w:rsidR="0078472B" w:rsidRDefault="0078472B" w:rsidP="00971382">
      <w:pPr>
        <w:pStyle w:val="ListParagraph"/>
        <w:spacing w:after="0" w:line="240" w:lineRule="exact"/>
        <w:ind w:left="0"/>
        <w:rPr>
          <w:rFonts w:ascii="Courier" w:hAnsi="Courier" w:cs="Times New Roman"/>
          <w:sz w:val="24"/>
          <w:szCs w:val="24"/>
          <w:u w:val="single"/>
        </w:rPr>
      </w:pPr>
    </w:p>
    <w:p w:rsidR="0078472B" w:rsidRDefault="0078472B" w:rsidP="00971382">
      <w:pPr>
        <w:pStyle w:val="ListParagraph"/>
        <w:spacing w:after="0" w:line="240" w:lineRule="exact"/>
        <w:ind w:left="0"/>
        <w:jc w:val="both"/>
        <w:rPr>
          <w:rFonts w:ascii="Courier" w:hAnsi="Courier" w:cs="Times New Roman"/>
          <w:sz w:val="24"/>
          <w:szCs w:val="24"/>
        </w:rPr>
      </w:pPr>
      <w:r>
        <w:rPr>
          <w:rFonts w:ascii="Courier" w:hAnsi="Courier" w:cs="Times New Roman"/>
          <w:sz w:val="24"/>
          <w:szCs w:val="24"/>
        </w:rPr>
        <w:t>The CI suffers from bilateral knee pain, which started at Boot Camp, and was diagnosed as Patellofemoral Syndrome.  There was no specific trauma, and no X-ray evidence of abnormalities.  The MEB Physical Exam conducted on 20081124 showed Full Range of Motion (ROM) bilaterally from 0-140 degrees with no abnormalities, and there is no reason to discount this exam as an accurate representation of the CI’s condition at the time of separation.  Four months earlier on 20080723 his left knee ROM was 140 degrees (with pain), and right knee ROM was at 140 degrees.     On 20080611, his right knee had Full ROM from 0-145 degrees, and on 20071023 these findings were reproduced.</w:t>
      </w:r>
    </w:p>
    <w:p w:rsidR="0078472B" w:rsidRDefault="0078472B" w:rsidP="00971382">
      <w:pPr>
        <w:pStyle w:val="ListParagraph"/>
        <w:spacing w:after="0" w:line="240" w:lineRule="exact"/>
        <w:ind w:left="0"/>
        <w:jc w:val="both"/>
        <w:rPr>
          <w:rFonts w:ascii="Courier" w:hAnsi="Courier" w:cs="Times New Roman"/>
          <w:sz w:val="24"/>
          <w:szCs w:val="24"/>
        </w:rPr>
      </w:pPr>
    </w:p>
    <w:p w:rsidR="0078472B" w:rsidRDefault="0078472B" w:rsidP="00971382">
      <w:pPr>
        <w:pStyle w:val="ListParagraph"/>
        <w:spacing w:after="0" w:line="240" w:lineRule="exact"/>
        <w:ind w:left="0"/>
        <w:jc w:val="both"/>
        <w:rPr>
          <w:rFonts w:ascii="Courier" w:hAnsi="Courier" w:cs="Times New Roman"/>
          <w:sz w:val="24"/>
          <w:szCs w:val="24"/>
        </w:rPr>
      </w:pPr>
      <w:r>
        <w:rPr>
          <w:rFonts w:ascii="Courier" w:hAnsi="Courier" w:cs="Times New Roman"/>
          <w:sz w:val="24"/>
          <w:szCs w:val="24"/>
        </w:rPr>
        <w:t xml:space="preserve">According to the Navy PEB notes (from the Line Officers), it was a close call as to whether the condition was even unfitting, because he was able to do his job and most garrison duties.  The Non Medical Assessment (NMA) says that CI’s job performance is not affected by the diagnosis, and that his limitation was that he was unable to run a </w:t>
      </w:r>
      <w:r w:rsidR="00FD3F64">
        <w:rPr>
          <w:rFonts w:ascii="Courier" w:hAnsi="Courier" w:cs="Times New Roman"/>
          <w:sz w:val="24"/>
          <w:szCs w:val="24"/>
        </w:rPr>
        <w:t xml:space="preserve">physical fitness test.  </w:t>
      </w:r>
      <w:r>
        <w:rPr>
          <w:rFonts w:ascii="Courier" w:hAnsi="Courier" w:cs="Times New Roman"/>
          <w:sz w:val="24"/>
          <w:szCs w:val="24"/>
        </w:rPr>
        <w:t>During this period, there were never any measured limitations to his leg extension.  The first and only documentation of any significant  ROM impairment was at th</w:t>
      </w:r>
      <w:r w:rsidR="006B4ED9">
        <w:rPr>
          <w:rFonts w:ascii="Courier" w:hAnsi="Courier" w:cs="Times New Roman"/>
          <w:sz w:val="24"/>
          <w:szCs w:val="24"/>
        </w:rPr>
        <w:t>e  VA rating examination  done five</w:t>
      </w:r>
      <w:r>
        <w:rPr>
          <w:rFonts w:ascii="Courier" w:hAnsi="Courier" w:cs="Times New Roman"/>
          <w:sz w:val="24"/>
          <w:szCs w:val="24"/>
        </w:rPr>
        <w:t xml:space="preserve"> months after separation, where his left and right flexion were from 15 degrees to 135 degrees, and extension of both knees was limited by 15 degrees.   </w:t>
      </w:r>
    </w:p>
    <w:p w:rsidR="0078472B" w:rsidRDefault="0078472B" w:rsidP="00971382">
      <w:pPr>
        <w:pStyle w:val="ListParagraph"/>
        <w:spacing w:after="0" w:line="240" w:lineRule="exact"/>
        <w:ind w:left="0"/>
        <w:jc w:val="both"/>
        <w:rPr>
          <w:rFonts w:ascii="Courier" w:hAnsi="Courier" w:cs="Times New Roman"/>
          <w:sz w:val="24"/>
          <w:szCs w:val="24"/>
        </w:rPr>
      </w:pPr>
    </w:p>
    <w:p w:rsidR="0078472B" w:rsidRDefault="0078472B" w:rsidP="00971382">
      <w:pPr>
        <w:pStyle w:val="ListParagraph"/>
        <w:spacing w:after="0" w:line="240" w:lineRule="exact"/>
        <w:ind w:left="0"/>
        <w:jc w:val="both"/>
        <w:rPr>
          <w:rFonts w:ascii="Courier" w:hAnsi="Courier" w:cs="Times New Roman"/>
          <w:sz w:val="24"/>
          <w:szCs w:val="24"/>
        </w:rPr>
      </w:pPr>
      <w:r>
        <w:rPr>
          <w:rFonts w:ascii="Courier" w:hAnsi="Courier" w:cs="Times New Roman"/>
          <w:sz w:val="24"/>
          <w:szCs w:val="24"/>
        </w:rPr>
        <w:t xml:space="preserve">There was no apparent new injury reported, or means to explain the development of the ROM impairment displayed at the VA exam.  The diagnosis of Patellofemoral Syndrome is not normally associated with a loss of </w:t>
      </w:r>
      <w:r w:rsidR="0033190B">
        <w:rPr>
          <w:rFonts w:ascii="Courier" w:hAnsi="Courier" w:cs="Times New Roman"/>
          <w:sz w:val="24"/>
          <w:szCs w:val="24"/>
        </w:rPr>
        <w:t>range-of-motion</w:t>
      </w:r>
      <w:r>
        <w:rPr>
          <w:rFonts w:ascii="Courier" w:hAnsi="Courier" w:cs="Times New Roman"/>
          <w:sz w:val="24"/>
          <w:szCs w:val="24"/>
        </w:rPr>
        <w:t xml:space="preserve"> in any plane, especially extension.   A chronic, stable and common joint condition such as this one would not be expected to deteriorate to this degree, especially over the course of only several months.  Resolving this issue in favor of the CI entails a conclusion that the VA exam reflected a ‘bad day’, representative of an exacerbation, not of baseline impairment.  The Board’s decisions should be based on the preponderance of the evidence, not on a single data point that favors the highest rating.  </w:t>
      </w:r>
    </w:p>
    <w:p w:rsidR="0078472B" w:rsidRDefault="0078472B" w:rsidP="00971382">
      <w:pPr>
        <w:pStyle w:val="ListParagraph"/>
        <w:spacing w:after="0" w:line="240" w:lineRule="exact"/>
        <w:ind w:left="0"/>
        <w:jc w:val="both"/>
        <w:rPr>
          <w:rFonts w:ascii="Courier" w:hAnsi="Courier" w:cs="Times New Roman"/>
          <w:sz w:val="24"/>
          <w:szCs w:val="24"/>
        </w:rPr>
      </w:pPr>
    </w:p>
    <w:p w:rsidR="0078472B" w:rsidRDefault="0078472B" w:rsidP="00971382">
      <w:pPr>
        <w:pStyle w:val="ListParagraph"/>
        <w:spacing w:after="0" w:line="240" w:lineRule="exact"/>
        <w:ind w:left="0"/>
        <w:jc w:val="both"/>
        <w:rPr>
          <w:rFonts w:ascii="Courier" w:hAnsi="Courier" w:cs="Times New Roman"/>
          <w:sz w:val="24"/>
          <w:szCs w:val="24"/>
        </w:rPr>
      </w:pPr>
      <w:r>
        <w:rPr>
          <w:rFonts w:ascii="Courier" w:hAnsi="Courier" w:cs="Times New Roman"/>
          <w:sz w:val="24"/>
          <w:szCs w:val="24"/>
        </w:rPr>
        <w:t>I do not believe that the majority opinion is consistent with the preponderance of the evidence, and that 40% is an accurate or reasonable depiction of the disability in this case, based on the factors elaborated above and on the fact that the PEB considere</w:t>
      </w:r>
      <w:r w:rsidR="00FD3F64">
        <w:rPr>
          <w:rFonts w:ascii="Courier" w:hAnsi="Courier" w:cs="Times New Roman"/>
          <w:sz w:val="24"/>
          <w:szCs w:val="24"/>
        </w:rPr>
        <w:t xml:space="preserve">d it close to not unfitting.  </w:t>
      </w:r>
      <w:r>
        <w:rPr>
          <w:rFonts w:ascii="Courier" w:hAnsi="Courier" w:cs="Times New Roman"/>
          <w:sz w:val="24"/>
          <w:szCs w:val="24"/>
        </w:rPr>
        <w:t>I respectfully submit that the most appropriate recommendation is reflected in the chart below.</w:t>
      </w:r>
    </w:p>
    <w:p w:rsidR="0078472B" w:rsidRDefault="0078472B" w:rsidP="00971382">
      <w:pPr>
        <w:spacing w:line="240" w:lineRule="exact"/>
        <w:rPr>
          <w:rFonts w:asciiTheme="minorHAnsi" w:hAnsiTheme="minorHAnsi" w:cstheme="minorBidi"/>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3600"/>
        <w:gridCol w:w="1710"/>
        <w:gridCol w:w="1170"/>
      </w:tblGrid>
      <w:tr w:rsidR="0078472B" w:rsidTr="0078472B">
        <w:trPr>
          <w:trHeight w:val="287"/>
        </w:trPr>
        <w:tc>
          <w:tcPr>
            <w:tcW w:w="6390" w:type="dxa"/>
            <w:gridSpan w:val="2"/>
            <w:tcBorders>
              <w:top w:val="single" w:sz="4" w:space="0" w:color="000000"/>
              <w:left w:val="single" w:sz="4" w:space="0" w:color="000000"/>
              <w:bottom w:val="single" w:sz="4" w:space="0" w:color="000000"/>
              <w:right w:val="single" w:sz="4" w:space="0" w:color="auto"/>
            </w:tcBorders>
            <w:shd w:val="clear" w:color="auto" w:fill="D9D9D9"/>
            <w:vAlign w:val="center"/>
            <w:hideMark/>
          </w:tcPr>
          <w:p w:rsidR="0078472B" w:rsidRDefault="0078472B" w:rsidP="00971382">
            <w:pPr>
              <w:pStyle w:val="ListParagraph"/>
              <w:spacing w:after="0" w:line="240" w:lineRule="exact"/>
              <w:ind w:left="0"/>
              <w:jc w:val="center"/>
              <w:rPr>
                <w:rFonts w:ascii="Courier" w:hAnsi="Courier" w:cs="Times New Roman"/>
                <w:b/>
                <w:sz w:val="24"/>
                <w:szCs w:val="24"/>
              </w:rPr>
            </w:pPr>
            <w:r>
              <w:rPr>
                <w:rFonts w:ascii="Courier" w:hAnsi="Courier" w:cs="Times New Roman"/>
                <w:b/>
                <w:sz w:val="24"/>
                <w:szCs w:val="24"/>
              </w:rPr>
              <w:t>UNFITTING CONDITION</w:t>
            </w:r>
          </w:p>
        </w:tc>
        <w:tc>
          <w:tcPr>
            <w:tcW w:w="171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78472B" w:rsidRDefault="0078472B" w:rsidP="00971382">
            <w:pPr>
              <w:pStyle w:val="ListParagraph"/>
              <w:spacing w:after="0" w:line="240" w:lineRule="exact"/>
              <w:ind w:left="0"/>
              <w:rPr>
                <w:rFonts w:ascii="Courier" w:hAnsi="Courier" w:cs="Times New Roman"/>
                <w:b/>
                <w:sz w:val="24"/>
                <w:szCs w:val="24"/>
              </w:rPr>
            </w:pPr>
            <w:r>
              <w:rPr>
                <w:rFonts w:ascii="Courier" w:hAnsi="Courier" w:cs="Times New Roman"/>
                <w:b/>
                <w:sz w:val="24"/>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8472B" w:rsidRDefault="0078472B" w:rsidP="00971382">
            <w:pPr>
              <w:pStyle w:val="ListParagraph"/>
              <w:spacing w:after="0" w:line="240" w:lineRule="exact"/>
              <w:ind w:left="0"/>
              <w:rPr>
                <w:rFonts w:ascii="Courier" w:hAnsi="Courier" w:cs="Times New Roman"/>
                <w:b/>
                <w:sz w:val="24"/>
                <w:szCs w:val="24"/>
              </w:rPr>
            </w:pPr>
            <w:r>
              <w:rPr>
                <w:rFonts w:ascii="Courier" w:hAnsi="Courier" w:cs="Times New Roman"/>
                <w:b/>
                <w:sz w:val="24"/>
                <w:szCs w:val="24"/>
              </w:rPr>
              <w:t>RATING</w:t>
            </w:r>
          </w:p>
        </w:tc>
      </w:tr>
      <w:tr w:rsidR="0078472B" w:rsidTr="0078472B">
        <w:tc>
          <w:tcPr>
            <w:tcW w:w="6390" w:type="dxa"/>
            <w:gridSpan w:val="2"/>
            <w:tcBorders>
              <w:top w:val="single" w:sz="4" w:space="0" w:color="000000"/>
              <w:left w:val="single" w:sz="4" w:space="0" w:color="000000"/>
              <w:bottom w:val="single" w:sz="4" w:space="0" w:color="000000"/>
              <w:right w:val="single" w:sz="4" w:space="0" w:color="auto"/>
            </w:tcBorders>
            <w:vAlign w:val="center"/>
            <w:hideMark/>
          </w:tcPr>
          <w:p w:rsidR="0078472B" w:rsidRDefault="0078472B" w:rsidP="00971382">
            <w:pPr>
              <w:pStyle w:val="ListParagraph"/>
              <w:spacing w:after="0" w:line="240" w:lineRule="exact"/>
              <w:ind w:left="0"/>
              <w:rPr>
                <w:rFonts w:ascii="Courier" w:hAnsi="Courier" w:cs="Times New Roman"/>
                <w:sz w:val="24"/>
                <w:szCs w:val="24"/>
              </w:rPr>
            </w:pPr>
            <w:r>
              <w:rPr>
                <w:rFonts w:ascii="Courier" w:hAnsi="Courier" w:cs="Times New Roman"/>
                <w:sz w:val="24"/>
                <w:szCs w:val="24"/>
              </w:rPr>
              <w:t>Patellofemoral Syndrome, Left Knee</w:t>
            </w:r>
          </w:p>
        </w:tc>
        <w:tc>
          <w:tcPr>
            <w:tcW w:w="1710" w:type="dxa"/>
            <w:tcBorders>
              <w:top w:val="single" w:sz="4" w:space="0" w:color="000000"/>
              <w:left w:val="single" w:sz="4" w:space="0" w:color="auto"/>
              <w:bottom w:val="single" w:sz="4" w:space="0" w:color="000000"/>
              <w:right w:val="single" w:sz="4" w:space="0" w:color="000000"/>
            </w:tcBorders>
            <w:vAlign w:val="center"/>
            <w:hideMark/>
          </w:tcPr>
          <w:p w:rsidR="0078472B" w:rsidRDefault="0078472B" w:rsidP="00971382">
            <w:pPr>
              <w:pStyle w:val="ListParagraph"/>
              <w:spacing w:after="0" w:line="240" w:lineRule="exact"/>
              <w:ind w:left="0"/>
              <w:jc w:val="center"/>
              <w:rPr>
                <w:rFonts w:ascii="Courier" w:hAnsi="Courier" w:cs="Times New Roman"/>
                <w:sz w:val="24"/>
                <w:szCs w:val="24"/>
              </w:rPr>
            </w:pPr>
            <w:r>
              <w:rPr>
                <w:rFonts w:ascii="Courier" w:hAnsi="Courier" w:cs="Times New Roman"/>
                <w:sz w:val="24"/>
                <w:szCs w:val="24"/>
              </w:rPr>
              <w:t>5099-5003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78472B" w:rsidRDefault="0078472B" w:rsidP="00971382">
            <w:pPr>
              <w:pStyle w:val="ListParagraph"/>
              <w:spacing w:after="0" w:line="240" w:lineRule="exact"/>
              <w:ind w:left="0"/>
              <w:jc w:val="center"/>
              <w:rPr>
                <w:rFonts w:ascii="Courier" w:hAnsi="Courier" w:cs="Times New Roman"/>
                <w:sz w:val="24"/>
                <w:szCs w:val="24"/>
              </w:rPr>
            </w:pPr>
            <w:r>
              <w:rPr>
                <w:rFonts w:ascii="Courier" w:hAnsi="Courier" w:cs="Times New Roman"/>
                <w:sz w:val="24"/>
                <w:szCs w:val="24"/>
              </w:rPr>
              <w:t>10%</w:t>
            </w:r>
          </w:p>
        </w:tc>
      </w:tr>
      <w:tr w:rsidR="0078472B" w:rsidTr="0078472B">
        <w:tc>
          <w:tcPr>
            <w:tcW w:w="6390" w:type="dxa"/>
            <w:gridSpan w:val="2"/>
            <w:tcBorders>
              <w:top w:val="single" w:sz="4" w:space="0" w:color="000000"/>
              <w:left w:val="single" w:sz="4" w:space="0" w:color="000000"/>
              <w:bottom w:val="single" w:sz="4" w:space="0" w:color="000000"/>
              <w:right w:val="single" w:sz="4" w:space="0" w:color="auto"/>
            </w:tcBorders>
            <w:vAlign w:val="center"/>
            <w:hideMark/>
          </w:tcPr>
          <w:p w:rsidR="0078472B" w:rsidRDefault="0078472B" w:rsidP="00971382">
            <w:pPr>
              <w:pStyle w:val="ListParagraph"/>
              <w:spacing w:after="0" w:line="240" w:lineRule="exact"/>
              <w:ind w:left="0"/>
              <w:rPr>
                <w:rFonts w:ascii="Courier" w:hAnsi="Courier" w:cs="Times New Roman"/>
                <w:sz w:val="24"/>
                <w:szCs w:val="24"/>
              </w:rPr>
            </w:pPr>
            <w:r>
              <w:rPr>
                <w:rFonts w:ascii="Courier" w:hAnsi="Courier" w:cs="Times New Roman"/>
                <w:sz w:val="24"/>
                <w:szCs w:val="24"/>
              </w:rPr>
              <w:t>Patellofemoral Syndrome, Right Knee</w:t>
            </w:r>
          </w:p>
        </w:tc>
        <w:tc>
          <w:tcPr>
            <w:tcW w:w="1710" w:type="dxa"/>
            <w:tcBorders>
              <w:top w:val="single" w:sz="4" w:space="0" w:color="000000"/>
              <w:left w:val="single" w:sz="4" w:space="0" w:color="auto"/>
              <w:bottom w:val="single" w:sz="4" w:space="0" w:color="000000"/>
              <w:right w:val="single" w:sz="4" w:space="0" w:color="000000"/>
            </w:tcBorders>
            <w:vAlign w:val="center"/>
            <w:hideMark/>
          </w:tcPr>
          <w:p w:rsidR="0078472B" w:rsidRDefault="0078472B" w:rsidP="00971382">
            <w:pPr>
              <w:pStyle w:val="ListParagraph"/>
              <w:spacing w:after="0" w:line="240" w:lineRule="exact"/>
              <w:ind w:left="0"/>
              <w:jc w:val="center"/>
              <w:rPr>
                <w:rFonts w:ascii="Courier" w:hAnsi="Courier" w:cs="Times New Roman"/>
                <w:sz w:val="24"/>
                <w:szCs w:val="24"/>
              </w:rPr>
            </w:pPr>
            <w:r>
              <w:rPr>
                <w:rFonts w:ascii="Courier" w:hAnsi="Courier" w:cs="Times New Roman"/>
                <w:sz w:val="24"/>
                <w:szCs w:val="24"/>
              </w:rPr>
              <w:t>5099-5003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78472B" w:rsidRDefault="0078472B" w:rsidP="00971382">
            <w:pPr>
              <w:pStyle w:val="ListParagraph"/>
              <w:spacing w:after="0" w:line="240" w:lineRule="exact"/>
              <w:ind w:left="0"/>
              <w:jc w:val="center"/>
              <w:rPr>
                <w:rFonts w:ascii="Courier" w:hAnsi="Courier" w:cs="Times New Roman"/>
                <w:sz w:val="24"/>
                <w:szCs w:val="24"/>
              </w:rPr>
            </w:pPr>
            <w:r>
              <w:rPr>
                <w:rFonts w:ascii="Courier" w:hAnsi="Courier" w:cs="Times New Roman"/>
                <w:sz w:val="24"/>
                <w:szCs w:val="24"/>
              </w:rPr>
              <w:t>10%</w:t>
            </w:r>
          </w:p>
        </w:tc>
      </w:tr>
      <w:tr w:rsidR="0078472B" w:rsidTr="0078472B">
        <w:trPr>
          <w:gridBefore w:val="1"/>
          <w:wBefore w:w="2790" w:type="dxa"/>
          <w:trHeight w:val="287"/>
        </w:trPr>
        <w:tc>
          <w:tcPr>
            <w:tcW w:w="5310"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hideMark/>
          </w:tcPr>
          <w:p w:rsidR="0078472B" w:rsidRDefault="0078472B" w:rsidP="00971382">
            <w:pPr>
              <w:pStyle w:val="ListParagraph"/>
              <w:spacing w:after="0" w:line="240" w:lineRule="exact"/>
              <w:ind w:left="0"/>
              <w:jc w:val="center"/>
              <w:rPr>
                <w:rFonts w:ascii="Courier" w:hAnsi="Courier" w:cs="Times New Roman"/>
                <w:b/>
                <w:sz w:val="24"/>
                <w:szCs w:val="24"/>
              </w:rPr>
            </w:pPr>
            <w:r>
              <w:rPr>
                <w:rFonts w:ascii="Courier" w:hAnsi="Courier" w:cs="Times New Roman"/>
                <w:b/>
                <w:sz w:val="24"/>
                <w:szCs w:val="24"/>
              </w:rPr>
              <w:t>COMBINED (Incorporating BLF of 1.9)</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8472B" w:rsidRDefault="0078472B" w:rsidP="00971382">
            <w:pPr>
              <w:pStyle w:val="ListParagraph"/>
              <w:spacing w:after="0" w:line="240" w:lineRule="exact"/>
              <w:ind w:left="0"/>
              <w:jc w:val="center"/>
              <w:rPr>
                <w:rFonts w:ascii="Courier" w:hAnsi="Courier" w:cs="Times New Roman"/>
                <w:b/>
                <w:sz w:val="24"/>
                <w:szCs w:val="24"/>
              </w:rPr>
            </w:pPr>
            <w:r>
              <w:rPr>
                <w:rFonts w:ascii="Courier" w:hAnsi="Courier" w:cs="Times New Roman"/>
                <w:b/>
                <w:sz w:val="24"/>
                <w:szCs w:val="24"/>
              </w:rPr>
              <w:t>20%</w:t>
            </w:r>
          </w:p>
        </w:tc>
      </w:tr>
    </w:tbl>
    <w:p w:rsidR="00C94E5B" w:rsidRPr="00C94E5B" w:rsidRDefault="00C94E5B" w:rsidP="00C94E5B">
      <w:pPr>
        <w:outlineLvl w:val="0"/>
        <w:rPr>
          <w:color w:val="auto"/>
        </w:rPr>
      </w:pPr>
      <w:r w:rsidRPr="00C94E5B">
        <w:rPr>
          <w:color w:val="auto"/>
        </w:rPr>
        <w:lastRenderedPageBreak/>
        <w:t>MEMORANDUM FOR DEPUTY COMMANDANT, MANPOWER &amp; RESERVE AFFAIRS</w:t>
      </w:r>
    </w:p>
    <w:p w:rsidR="00C94E5B" w:rsidRPr="00C94E5B" w:rsidRDefault="00C94E5B" w:rsidP="00C94E5B">
      <w:pPr>
        <w:rPr>
          <w:color w:val="auto"/>
        </w:rPr>
      </w:pPr>
    </w:p>
    <w:p w:rsidR="00C94E5B" w:rsidRPr="00C94E5B" w:rsidRDefault="00C94E5B" w:rsidP="00C94E5B">
      <w:pPr>
        <w:rPr>
          <w:color w:val="auto"/>
        </w:rPr>
      </w:pPr>
      <w:proofErr w:type="spellStart"/>
      <w:r w:rsidRPr="00C94E5B">
        <w:rPr>
          <w:color w:val="auto"/>
        </w:rPr>
        <w:t>Subj</w:t>
      </w:r>
      <w:proofErr w:type="spellEnd"/>
      <w:r w:rsidRPr="00C94E5B">
        <w:rPr>
          <w:color w:val="auto"/>
        </w:rPr>
        <w:t>:  PHYSICAL DISABILITY BOARD OF REVIEW (PDBR) RECOMMENDATION</w:t>
      </w:r>
    </w:p>
    <w:p w:rsidR="00C94E5B" w:rsidRPr="00C94E5B" w:rsidRDefault="00C94E5B" w:rsidP="00C94E5B">
      <w:pPr>
        <w:outlineLvl w:val="0"/>
        <w:rPr>
          <w:color w:val="auto"/>
        </w:rPr>
      </w:pPr>
      <w:r w:rsidRPr="00C94E5B">
        <w:rPr>
          <w:color w:val="auto"/>
        </w:rPr>
        <w:t xml:space="preserve">          ICO </w:t>
      </w:r>
      <w:r>
        <w:rPr>
          <w:color w:val="auto"/>
        </w:rPr>
        <w:t>XXXX</w:t>
      </w:r>
      <w:r w:rsidRPr="00C94E5B">
        <w:rPr>
          <w:color w:val="auto"/>
        </w:rPr>
        <w:t xml:space="preserve">, FORMER USMC, XXX XX </w:t>
      </w:r>
      <w:r>
        <w:rPr>
          <w:color w:val="auto"/>
        </w:rPr>
        <w:t>XXXX</w:t>
      </w:r>
    </w:p>
    <w:p w:rsidR="00C94E5B" w:rsidRPr="00C94E5B" w:rsidRDefault="00C94E5B" w:rsidP="00C94E5B">
      <w:pPr>
        <w:rPr>
          <w:color w:val="auto"/>
        </w:rPr>
      </w:pPr>
    </w:p>
    <w:p w:rsidR="00C94E5B" w:rsidRPr="00C94E5B" w:rsidRDefault="00C94E5B" w:rsidP="00C94E5B">
      <w:pPr>
        <w:outlineLvl w:val="0"/>
        <w:rPr>
          <w:color w:val="auto"/>
        </w:rPr>
      </w:pPr>
      <w:r w:rsidRPr="00C94E5B">
        <w:rPr>
          <w:color w:val="auto"/>
        </w:rPr>
        <w:t>Ref:   (a) DoDI 6040.44</w:t>
      </w:r>
    </w:p>
    <w:p w:rsidR="00C94E5B" w:rsidRPr="00C94E5B" w:rsidRDefault="00C94E5B" w:rsidP="00C94E5B">
      <w:pPr>
        <w:rPr>
          <w:color w:val="auto"/>
        </w:rPr>
      </w:pPr>
    </w:p>
    <w:p w:rsidR="00C94E5B" w:rsidRPr="00C94E5B" w:rsidRDefault="00C94E5B" w:rsidP="00C94E5B">
      <w:pPr>
        <w:outlineLvl w:val="0"/>
        <w:rPr>
          <w:color w:val="auto"/>
        </w:rPr>
      </w:pPr>
      <w:r w:rsidRPr="00C94E5B">
        <w:rPr>
          <w:color w:val="auto"/>
        </w:rPr>
        <w:t xml:space="preserve">Encl:  (1) PDBR </w:t>
      </w:r>
      <w:proofErr w:type="spellStart"/>
      <w:r w:rsidRPr="00C94E5B">
        <w:rPr>
          <w:color w:val="auto"/>
        </w:rPr>
        <w:t>undtd</w:t>
      </w:r>
      <w:proofErr w:type="spellEnd"/>
      <w:r w:rsidRPr="00C94E5B">
        <w:rPr>
          <w:color w:val="auto"/>
        </w:rPr>
        <w:t xml:space="preserve"> </w:t>
      </w:r>
      <w:proofErr w:type="spellStart"/>
      <w:r w:rsidRPr="00C94E5B">
        <w:rPr>
          <w:color w:val="auto"/>
        </w:rPr>
        <w:t>ltr</w:t>
      </w:r>
      <w:proofErr w:type="spellEnd"/>
    </w:p>
    <w:p w:rsidR="00C94E5B" w:rsidRPr="00C94E5B" w:rsidRDefault="00C94E5B" w:rsidP="00C94E5B">
      <w:pPr>
        <w:rPr>
          <w:color w:val="auto"/>
        </w:rPr>
      </w:pPr>
    </w:p>
    <w:p w:rsidR="00C94E5B" w:rsidRPr="00C94E5B" w:rsidRDefault="00C94E5B" w:rsidP="00C94E5B">
      <w:pPr>
        <w:rPr>
          <w:color w:val="auto"/>
        </w:rPr>
      </w:pPr>
      <w:r w:rsidRPr="00C94E5B">
        <w:rPr>
          <w:color w:val="auto"/>
        </w:rPr>
        <w:t>1.  I have reviewed the subject case pursuant to reference (a) and considered the recommendation of the Physical Disability Board of Review (enclosure (1)).</w:t>
      </w:r>
    </w:p>
    <w:p w:rsidR="00C94E5B" w:rsidRPr="00C94E5B" w:rsidRDefault="00C94E5B" w:rsidP="00C94E5B">
      <w:pPr>
        <w:rPr>
          <w:color w:val="auto"/>
        </w:rPr>
      </w:pPr>
    </w:p>
    <w:p w:rsidR="00C94E5B" w:rsidRPr="00C94E5B" w:rsidRDefault="00C94E5B" w:rsidP="00C94E5B">
      <w:pPr>
        <w:rPr>
          <w:color w:val="auto"/>
        </w:rPr>
      </w:pPr>
      <w:r w:rsidRPr="00C94E5B">
        <w:rPr>
          <w:color w:val="auto"/>
        </w:rPr>
        <w:t>2.  The subject member’s official records are to be corrected to reflect the following disposition:</w:t>
      </w:r>
    </w:p>
    <w:p w:rsidR="00C94E5B" w:rsidRPr="00C94E5B" w:rsidRDefault="00C94E5B" w:rsidP="00C94E5B">
      <w:pPr>
        <w:rPr>
          <w:color w:val="auto"/>
        </w:rPr>
      </w:pPr>
    </w:p>
    <w:p w:rsidR="00C94E5B" w:rsidRPr="00C94E5B" w:rsidRDefault="00C94E5B" w:rsidP="00C94E5B">
      <w:pPr>
        <w:rPr>
          <w:color w:val="auto"/>
        </w:rPr>
      </w:pPr>
      <w:r w:rsidRPr="00C94E5B">
        <w:rPr>
          <w:color w:val="auto"/>
        </w:rPr>
        <w:tab/>
        <w:t>a. Separation from the naval service due to physical disability rated at 20 percent (increased from (10 percent) effective 30 March 2009.</w:t>
      </w:r>
    </w:p>
    <w:p w:rsidR="00C94E5B" w:rsidRPr="00C94E5B" w:rsidRDefault="00C94E5B" w:rsidP="00C94E5B">
      <w:pPr>
        <w:rPr>
          <w:color w:val="auto"/>
        </w:rPr>
      </w:pPr>
    </w:p>
    <w:p w:rsidR="00C94E5B" w:rsidRPr="00C94E5B" w:rsidRDefault="00C94E5B" w:rsidP="00C94E5B">
      <w:pPr>
        <w:rPr>
          <w:color w:val="auto"/>
        </w:rPr>
      </w:pPr>
      <w:r w:rsidRPr="00C94E5B">
        <w:rPr>
          <w:color w:val="auto"/>
        </w:rPr>
        <w:t>3.  Please ensure all necessary actions are taken to implement this decision, including the recoupment of previously paid funds if appropriate, and notification to the subject member once those actions are completed.</w:t>
      </w:r>
    </w:p>
    <w:p w:rsidR="00C94E5B" w:rsidRPr="00C94E5B" w:rsidRDefault="00C94E5B" w:rsidP="00C94E5B">
      <w:pPr>
        <w:rPr>
          <w:color w:val="auto"/>
        </w:rPr>
      </w:pPr>
    </w:p>
    <w:p w:rsidR="00C94E5B" w:rsidRPr="00C94E5B" w:rsidRDefault="00C94E5B" w:rsidP="00C94E5B">
      <w:pPr>
        <w:rPr>
          <w:color w:val="auto"/>
        </w:rPr>
      </w:pPr>
    </w:p>
    <w:p w:rsidR="00C94E5B" w:rsidRPr="00C94E5B" w:rsidRDefault="00C94E5B" w:rsidP="00C94E5B">
      <w:pPr>
        <w:rPr>
          <w:color w:val="auto"/>
        </w:rPr>
      </w:pPr>
      <w:r w:rsidRPr="00C94E5B">
        <w:rPr>
          <w:color w:val="auto"/>
        </w:rPr>
        <w:tab/>
      </w:r>
      <w:r w:rsidRPr="00C94E5B">
        <w:rPr>
          <w:color w:val="auto"/>
        </w:rPr>
        <w:tab/>
      </w:r>
      <w:r w:rsidRPr="00C94E5B">
        <w:rPr>
          <w:color w:val="auto"/>
        </w:rPr>
        <w:tab/>
      </w:r>
      <w:r w:rsidRPr="00C94E5B">
        <w:rPr>
          <w:color w:val="auto"/>
        </w:rPr>
        <w:tab/>
      </w:r>
      <w:r w:rsidRPr="00C94E5B">
        <w:rPr>
          <w:color w:val="auto"/>
        </w:rPr>
        <w:tab/>
      </w:r>
      <w:r w:rsidRPr="00C94E5B">
        <w:rPr>
          <w:color w:val="auto"/>
        </w:rPr>
        <w:tab/>
        <w:t xml:space="preserve">         Principal Deputy</w:t>
      </w:r>
    </w:p>
    <w:p w:rsidR="00C94E5B" w:rsidRPr="00C94E5B" w:rsidRDefault="00C94E5B" w:rsidP="00C94E5B">
      <w:pPr>
        <w:rPr>
          <w:color w:val="auto"/>
        </w:rPr>
      </w:pPr>
      <w:r w:rsidRPr="00C94E5B">
        <w:rPr>
          <w:color w:val="auto"/>
        </w:rPr>
        <w:tab/>
      </w:r>
      <w:r w:rsidRPr="00C94E5B">
        <w:rPr>
          <w:color w:val="auto"/>
        </w:rPr>
        <w:tab/>
      </w:r>
      <w:r w:rsidRPr="00C94E5B">
        <w:rPr>
          <w:color w:val="auto"/>
        </w:rPr>
        <w:tab/>
      </w:r>
      <w:r w:rsidRPr="00C94E5B">
        <w:rPr>
          <w:color w:val="auto"/>
        </w:rPr>
        <w:tab/>
      </w:r>
      <w:r w:rsidRPr="00C94E5B">
        <w:rPr>
          <w:color w:val="auto"/>
        </w:rPr>
        <w:tab/>
      </w:r>
      <w:r w:rsidRPr="00C94E5B">
        <w:rPr>
          <w:color w:val="auto"/>
        </w:rPr>
        <w:tab/>
        <w:t xml:space="preserve">         Assistant Secretary of the Navy</w:t>
      </w:r>
    </w:p>
    <w:p w:rsidR="00C94E5B" w:rsidRPr="00C94E5B" w:rsidRDefault="00C94E5B" w:rsidP="00C94E5B">
      <w:pPr>
        <w:rPr>
          <w:color w:val="auto"/>
        </w:rPr>
      </w:pPr>
      <w:r w:rsidRPr="00C94E5B">
        <w:rPr>
          <w:color w:val="auto"/>
        </w:rPr>
        <w:tab/>
      </w:r>
      <w:r w:rsidRPr="00C94E5B">
        <w:rPr>
          <w:color w:val="auto"/>
        </w:rPr>
        <w:tab/>
      </w:r>
      <w:r w:rsidRPr="00C94E5B">
        <w:rPr>
          <w:color w:val="auto"/>
        </w:rPr>
        <w:tab/>
      </w:r>
      <w:r w:rsidRPr="00C94E5B">
        <w:rPr>
          <w:color w:val="auto"/>
        </w:rPr>
        <w:tab/>
      </w:r>
      <w:r w:rsidRPr="00C94E5B">
        <w:rPr>
          <w:color w:val="auto"/>
        </w:rPr>
        <w:tab/>
      </w:r>
      <w:r w:rsidRPr="00C94E5B">
        <w:rPr>
          <w:color w:val="auto"/>
        </w:rPr>
        <w:tab/>
        <w:t xml:space="preserve">         (Manpower &amp; Reserve Affairs)</w:t>
      </w:r>
    </w:p>
    <w:p w:rsidR="00C94E5B" w:rsidRPr="00C94E5B" w:rsidRDefault="00C94E5B" w:rsidP="00C94E5B">
      <w:pPr>
        <w:rPr>
          <w:color w:val="auto"/>
        </w:rPr>
      </w:pPr>
    </w:p>
    <w:p w:rsidR="0078472B" w:rsidRPr="00C94E5B" w:rsidRDefault="0078472B" w:rsidP="006B4ED9">
      <w:pPr>
        <w:tabs>
          <w:tab w:val="left" w:pos="288"/>
          <w:tab w:val="left" w:pos="4320"/>
          <w:tab w:val="left" w:pos="4410"/>
          <w:tab w:val="left" w:pos="4770"/>
          <w:tab w:val="left" w:pos="4860"/>
          <w:tab w:val="left" w:pos="5040"/>
        </w:tabs>
        <w:spacing w:line="240" w:lineRule="exact"/>
        <w:jc w:val="both"/>
        <w:rPr>
          <w:color w:val="auto"/>
        </w:rPr>
      </w:pPr>
    </w:p>
    <w:sectPr w:rsidR="0078472B" w:rsidRPr="00C94E5B"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84" w:rsidRDefault="00F55F84">
      <w:r>
        <w:separator/>
      </w:r>
    </w:p>
  </w:endnote>
  <w:endnote w:type="continuationSeparator" w:id="0">
    <w:p w:rsidR="00F55F84" w:rsidRDefault="00F55F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2B" w:rsidRDefault="005205AE">
    <w:pPr>
      <w:pStyle w:val="Footer"/>
      <w:framePr w:wrap="around" w:vAnchor="text" w:hAnchor="margin" w:xAlign="center" w:y="1"/>
      <w:rPr>
        <w:rStyle w:val="PageNumber"/>
      </w:rPr>
    </w:pPr>
    <w:r>
      <w:rPr>
        <w:rStyle w:val="PageNumber"/>
      </w:rPr>
      <w:fldChar w:fldCharType="begin"/>
    </w:r>
    <w:r w:rsidR="006F5E2B">
      <w:rPr>
        <w:rStyle w:val="PageNumber"/>
      </w:rPr>
      <w:instrText xml:space="preserve">PAGE  </w:instrText>
    </w:r>
    <w:r>
      <w:rPr>
        <w:rStyle w:val="PageNumber"/>
      </w:rPr>
      <w:fldChar w:fldCharType="separate"/>
    </w:r>
    <w:r w:rsidR="006F5E2B">
      <w:rPr>
        <w:rStyle w:val="PageNumber"/>
        <w:noProof/>
      </w:rPr>
      <w:t>2</w:t>
    </w:r>
    <w:r>
      <w:rPr>
        <w:rStyle w:val="PageNumber"/>
      </w:rPr>
      <w:fldChar w:fldCharType="end"/>
    </w:r>
  </w:p>
  <w:p w:rsidR="006F5E2B" w:rsidRDefault="006F5E2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2B" w:rsidRPr="007600F7" w:rsidRDefault="005205AE">
    <w:pPr>
      <w:pStyle w:val="Footer"/>
      <w:framePr w:wrap="around" w:vAnchor="text" w:hAnchor="margin" w:xAlign="center" w:y="1"/>
      <w:rPr>
        <w:rStyle w:val="PageNumber"/>
        <w:color w:val="auto"/>
      </w:rPr>
    </w:pPr>
    <w:r w:rsidRPr="007600F7">
      <w:rPr>
        <w:rStyle w:val="PageNumber"/>
        <w:color w:val="auto"/>
      </w:rPr>
      <w:fldChar w:fldCharType="begin"/>
    </w:r>
    <w:r w:rsidR="006F5E2B" w:rsidRPr="007600F7">
      <w:rPr>
        <w:rStyle w:val="PageNumber"/>
        <w:color w:val="auto"/>
      </w:rPr>
      <w:instrText xml:space="preserve">PAGE  </w:instrText>
    </w:r>
    <w:r w:rsidRPr="007600F7">
      <w:rPr>
        <w:rStyle w:val="PageNumber"/>
        <w:color w:val="auto"/>
      </w:rPr>
      <w:fldChar w:fldCharType="separate"/>
    </w:r>
    <w:r w:rsidR="00C94E5B">
      <w:rPr>
        <w:rStyle w:val="PageNumber"/>
        <w:noProof/>
        <w:color w:val="auto"/>
      </w:rPr>
      <w:t>2</w:t>
    </w:r>
    <w:r w:rsidRPr="007600F7">
      <w:rPr>
        <w:rStyle w:val="PageNumber"/>
        <w:color w:val="auto"/>
      </w:rPr>
      <w:fldChar w:fldCharType="end"/>
    </w:r>
  </w:p>
  <w:p w:rsidR="006F5E2B" w:rsidRPr="007600F7" w:rsidRDefault="006F5E2B" w:rsidP="002B0749">
    <w:pPr>
      <w:pStyle w:val="Footer"/>
      <w:jc w:val="right"/>
      <w:rPr>
        <w:color w:val="auto"/>
      </w:rPr>
    </w:pPr>
    <w:r>
      <w:tab/>
    </w:r>
    <w:r>
      <w:tab/>
    </w:r>
    <w:r w:rsidRPr="007600F7">
      <w:rPr>
        <w:caps/>
        <w:color w:val="auto"/>
      </w:rPr>
      <w:t>PD0900502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84" w:rsidRDefault="00F55F84">
      <w:r>
        <w:separator/>
      </w:r>
    </w:p>
  </w:footnote>
  <w:footnote w:type="continuationSeparator" w:id="0">
    <w:p w:rsidR="00F55F84" w:rsidRDefault="00F55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9195E"/>
    <w:multiLevelType w:val="hybridMultilevel"/>
    <w:tmpl w:val="45043E6C"/>
    <w:lvl w:ilvl="0" w:tplc="17CC554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6D0"/>
    <w:rsid w:val="000046EA"/>
    <w:rsid w:val="000059FA"/>
    <w:rsid w:val="0000622F"/>
    <w:rsid w:val="0000703B"/>
    <w:rsid w:val="000101C7"/>
    <w:rsid w:val="00010ABA"/>
    <w:rsid w:val="00013DDB"/>
    <w:rsid w:val="000145C2"/>
    <w:rsid w:val="000224E7"/>
    <w:rsid w:val="00023D43"/>
    <w:rsid w:val="0003324F"/>
    <w:rsid w:val="0003492F"/>
    <w:rsid w:val="00035C3A"/>
    <w:rsid w:val="000379D0"/>
    <w:rsid w:val="00037CC6"/>
    <w:rsid w:val="000416F8"/>
    <w:rsid w:val="00051622"/>
    <w:rsid w:val="00051D3F"/>
    <w:rsid w:val="00052C4E"/>
    <w:rsid w:val="000639D6"/>
    <w:rsid w:val="00063CA1"/>
    <w:rsid w:val="0006741E"/>
    <w:rsid w:val="00072433"/>
    <w:rsid w:val="0007500A"/>
    <w:rsid w:val="00076256"/>
    <w:rsid w:val="00080C36"/>
    <w:rsid w:val="0008376F"/>
    <w:rsid w:val="000837D9"/>
    <w:rsid w:val="000858A2"/>
    <w:rsid w:val="000915E1"/>
    <w:rsid w:val="0009762A"/>
    <w:rsid w:val="000A2BCE"/>
    <w:rsid w:val="000A3E5F"/>
    <w:rsid w:val="000A4BBA"/>
    <w:rsid w:val="000C527B"/>
    <w:rsid w:val="000C7DE4"/>
    <w:rsid w:val="000D15E7"/>
    <w:rsid w:val="000D1922"/>
    <w:rsid w:val="000D43F9"/>
    <w:rsid w:val="000D4717"/>
    <w:rsid w:val="000D7084"/>
    <w:rsid w:val="000D7D55"/>
    <w:rsid w:val="000F3009"/>
    <w:rsid w:val="000F427B"/>
    <w:rsid w:val="000F5B4F"/>
    <w:rsid w:val="0010417F"/>
    <w:rsid w:val="0010530E"/>
    <w:rsid w:val="0010580D"/>
    <w:rsid w:val="00114C34"/>
    <w:rsid w:val="00114F20"/>
    <w:rsid w:val="00116804"/>
    <w:rsid w:val="001231DC"/>
    <w:rsid w:val="00124778"/>
    <w:rsid w:val="001315DD"/>
    <w:rsid w:val="00135385"/>
    <w:rsid w:val="001364D1"/>
    <w:rsid w:val="00140584"/>
    <w:rsid w:val="00143FF9"/>
    <w:rsid w:val="00144BF9"/>
    <w:rsid w:val="001453CE"/>
    <w:rsid w:val="00151B6F"/>
    <w:rsid w:val="00151EFC"/>
    <w:rsid w:val="001541C5"/>
    <w:rsid w:val="00156604"/>
    <w:rsid w:val="0016028B"/>
    <w:rsid w:val="00161F5B"/>
    <w:rsid w:val="00162A40"/>
    <w:rsid w:val="00163742"/>
    <w:rsid w:val="00174FAC"/>
    <w:rsid w:val="00177659"/>
    <w:rsid w:val="00181FBE"/>
    <w:rsid w:val="00185351"/>
    <w:rsid w:val="00185ECB"/>
    <w:rsid w:val="0019273F"/>
    <w:rsid w:val="00193569"/>
    <w:rsid w:val="001A7538"/>
    <w:rsid w:val="001A7890"/>
    <w:rsid w:val="001B5B59"/>
    <w:rsid w:val="001C181A"/>
    <w:rsid w:val="001C2053"/>
    <w:rsid w:val="001C28D1"/>
    <w:rsid w:val="001C3EED"/>
    <w:rsid w:val="001C5B1C"/>
    <w:rsid w:val="001C7418"/>
    <w:rsid w:val="001C7CE4"/>
    <w:rsid w:val="001D0051"/>
    <w:rsid w:val="001D1DFE"/>
    <w:rsid w:val="001D2224"/>
    <w:rsid w:val="001D4F8B"/>
    <w:rsid w:val="001D5842"/>
    <w:rsid w:val="001D6A8C"/>
    <w:rsid w:val="001D7A56"/>
    <w:rsid w:val="001E0F3B"/>
    <w:rsid w:val="001E1438"/>
    <w:rsid w:val="001E1617"/>
    <w:rsid w:val="001E1778"/>
    <w:rsid w:val="001E5815"/>
    <w:rsid w:val="0020144F"/>
    <w:rsid w:val="0020237E"/>
    <w:rsid w:val="002039BC"/>
    <w:rsid w:val="00210AEE"/>
    <w:rsid w:val="002172DA"/>
    <w:rsid w:val="00217C09"/>
    <w:rsid w:val="00221F64"/>
    <w:rsid w:val="00225196"/>
    <w:rsid w:val="00225CB4"/>
    <w:rsid w:val="002276EA"/>
    <w:rsid w:val="00232336"/>
    <w:rsid w:val="002338CA"/>
    <w:rsid w:val="00234220"/>
    <w:rsid w:val="00234EA8"/>
    <w:rsid w:val="0024227D"/>
    <w:rsid w:val="00244298"/>
    <w:rsid w:val="00245B8E"/>
    <w:rsid w:val="00246860"/>
    <w:rsid w:val="00247BD0"/>
    <w:rsid w:val="0025183C"/>
    <w:rsid w:val="0025251E"/>
    <w:rsid w:val="0025666B"/>
    <w:rsid w:val="002572CB"/>
    <w:rsid w:val="00260157"/>
    <w:rsid w:val="0026318D"/>
    <w:rsid w:val="0027159C"/>
    <w:rsid w:val="00274549"/>
    <w:rsid w:val="00274C4D"/>
    <w:rsid w:val="00274E46"/>
    <w:rsid w:val="00275D3B"/>
    <w:rsid w:val="00276C86"/>
    <w:rsid w:val="002905AD"/>
    <w:rsid w:val="0029213E"/>
    <w:rsid w:val="00292EB4"/>
    <w:rsid w:val="00293B26"/>
    <w:rsid w:val="002941C1"/>
    <w:rsid w:val="002A2AF3"/>
    <w:rsid w:val="002A6469"/>
    <w:rsid w:val="002B03B2"/>
    <w:rsid w:val="002B0749"/>
    <w:rsid w:val="002B28BF"/>
    <w:rsid w:val="002B41CE"/>
    <w:rsid w:val="002B690E"/>
    <w:rsid w:val="002B7AC4"/>
    <w:rsid w:val="002C0304"/>
    <w:rsid w:val="002C3BEA"/>
    <w:rsid w:val="002C4380"/>
    <w:rsid w:val="002D18B4"/>
    <w:rsid w:val="002D3A10"/>
    <w:rsid w:val="002D45C5"/>
    <w:rsid w:val="002E1C31"/>
    <w:rsid w:val="002E3474"/>
    <w:rsid w:val="002E5CF3"/>
    <w:rsid w:val="002E5DAE"/>
    <w:rsid w:val="002E764B"/>
    <w:rsid w:val="002F37A0"/>
    <w:rsid w:val="002F7F81"/>
    <w:rsid w:val="003000B4"/>
    <w:rsid w:val="00301276"/>
    <w:rsid w:val="003050DD"/>
    <w:rsid w:val="0030748E"/>
    <w:rsid w:val="003079DE"/>
    <w:rsid w:val="003105D3"/>
    <w:rsid w:val="003139AA"/>
    <w:rsid w:val="00314B0C"/>
    <w:rsid w:val="003152F6"/>
    <w:rsid w:val="00323E70"/>
    <w:rsid w:val="00325F8D"/>
    <w:rsid w:val="00330DC6"/>
    <w:rsid w:val="0033190B"/>
    <w:rsid w:val="003325EA"/>
    <w:rsid w:val="0033438E"/>
    <w:rsid w:val="00337EA6"/>
    <w:rsid w:val="00342C93"/>
    <w:rsid w:val="00346AF8"/>
    <w:rsid w:val="00351428"/>
    <w:rsid w:val="00356CAF"/>
    <w:rsid w:val="00363362"/>
    <w:rsid w:val="00367304"/>
    <w:rsid w:val="00367F85"/>
    <w:rsid w:val="003709FF"/>
    <w:rsid w:val="00370DC4"/>
    <w:rsid w:val="00372163"/>
    <w:rsid w:val="0037520D"/>
    <w:rsid w:val="00375481"/>
    <w:rsid w:val="00377BD2"/>
    <w:rsid w:val="00385D6F"/>
    <w:rsid w:val="00386591"/>
    <w:rsid w:val="00393651"/>
    <w:rsid w:val="00394FBA"/>
    <w:rsid w:val="003A41BA"/>
    <w:rsid w:val="003A41F0"/>
    <w:rsid w:val="003A47B0"/>
    <w:rsid w:val="003A6A99"/>
    <w:rsid w:val="003B17B1"/>
    <w:rsid w:val="003B227A"/>
    <w:rsid w:val="003B2B82"/>
    <w:rsid w:val="003C35F7"/>
    <w:rsid w:val="003C44A1"/>
    <w:rsid w:val="003D2BA3"/>
    <w:rsid w:val="003D7B6C"/>
    <w:rsid w:val="003D7DDB"/>
    <w:rsid w:val="003E0543"/>
    <w:rsid w:val="003E3848"/>
    <w:rsid w:val="003E54C0"/>
    <w:rsid w:val="003E7CD1"/>
    <w:rsid w:val="003F58B0"/>
    <w:rsid w:val="003F607E"/>
    <w:rsid w:val="003F6CF3"/>
    <w:rsid w:val="004007E9"/>
    <w:rsid w:val="00401BBC"/>
    <w:rsid w:val="0040330C"/>
    <w:rsid w:val="00404A8B"/>
    <w:rsid w:val="00404B45"/>
    <w:rsid w:val="0040611C"/>
    <w:rsid w:val="00406407"/>
    <w:rsid w:val="00406CC5"/>
    <w:rsid w:val="004074A4"/>
    <w:rsid w:val="00412BE0"/>
    <w:rsid w:val="00415E8F"/>
    <w:rsid w:val="00416543"/>
    <w:rsid w:val="004172DB"/>
    <w:rsid w:val="00422B75"/>
    <w:rsid w:val="0043464E"/>
    <w:rsid w:val="0043503A"/>
    <w:rsid w:val="0044384F"/>
    <w:rsid w:val="004543BC"/>
    <w:rsid w:val="004574C6"/>
    <w:rsid w:val="00457BCF"/>
    <w:rsid w:val="00460BC2"/>
    <w:rsid w:val="00462A51"/>
    <w:rsid w:val="00462CFC"/>
    <w:rsid w:val="004718E7"/>
    <w:rsid w:val="00474785"/>
    <w:rsid w:val="004761CC"/>
    <w:rsid w:val="004806A8"/>
    <w:rsid w:val="004842D5"/>
    <w:rsid w:val="00491EC9"/>
    <w:rsid w:val="00492966"/>
    <w:rsid w:val="004A24D2"/>
    <w:rsid w:val="004A34FC"/>
    <w:rsid w:val="004A4136"/>
    <w:rsid w:val="004A4A19"/>
    <w:rsid w:val="004A79E8"/>
    <w:rsid w:val="004A7DAD"/>
    <w:rsid w:val="004B03F3"/>
    <w:rsid w:val="004B07E2"/>
    <w:rsid w:val="004B61C4"/>
    <w:rsid w:val="004B7169"/>
    <w:rsid w:val="004B7B1F"/>
    <w:rsid w:val="004C2F20"/>
    <w:rsid w:val="004E31C6"/>
    <w:rsid w:val="004E32EA"/>
    <w:rsid w:val="004F0D4F"/>
    <w:rsid w:val="004F56C2"/>
    <w:rsid w:val="0050177B"/>
    <w:rsid w:val="0050363F"/>
    <w:rsid w:val="00510588"/>
    <w:rsid w:val="0051146C"/>
    <w:rsid w:val="005205AE"/>
    <w:rsid w:val="0052279C"/>
    <w:rsid w:val="0052590B"/>
    <w:rsid w:val="00526591"/>
    <w:rsid w:val="00531E3A"/>
    <w:rsid w:val="005350A5"/>
    <w:rsid w:val="00536379"/>
    <w:rsid w:val="00540BEF"/>
    <w:rsid w:val="00541AB6"/>
    <w:rsid w:val="005436C2"/>
    <w:rsid w:val="005479BF"/>
    <w:rsid w:val="00553390"/>
    <w:rsid w:val="005547E5"/>
    <w:rsid w:val="00560759"/>
    <w:rsid w:val="00561D62"/>
    <w:rsid w:val="00573858"/>
    <w:rsid w:val="00573B97"/>
    <w:rsid w:val="0058789E"/>
    <w:rsid w:val="00593444"/>
    <w:rsid w:val="0059557C"/>
    <w:rsid w:val="005956D6"/>
    <w:rsid w:val="005A0275"/>
    <w:rsid w:val="005A1EF9"/>
    <w:rsid w:val="005A258C"/>
    <w:rsid w:val="005A288E"/>
    <w:rsid w:val="005A3560"/>
    <w:rsid w:val="005A6668"/>
    <w:rsid w:val="005B011A"/>
    <w:rsid w:val="005B223E"/>
    <w:rsid w:val="005B56E1"/>
    <w:rsid w:val="005B6F05"/>
    <w:rsid w:val="005C0EA0"/>
    <w:rsid w:val="005E07BB"/>
    <w:rsid w:val="005E6AAE"/>
    <w:rsid w:val="005E7CC5"/>
    <w:rsid w:val="005F00F8"/>
    <w:rsid w:val="005F0C3B"/>
    <w:rsid w:val="005F1115"/>
    <w:rsid w:val="005F27F2"/>
    <w:rsid w:val="005F424D"/>
    <w:rsid w:val="005F531E"/>
    <w:rsid w:val="005F68B0"/>
    <w:rsid w:val="005F6DEC"/>
    <w:rsid w:val="00604523"/>
    <w:rsid w:val="00606D24"/>
    <w:rsid w:val="00607A3E"/>
    <w:rsid w:val="00615641"/>
    <w:rsid w:val="00633D73"/>
    <w:rsid w:val="00634C4A"/>
    <w:rsid w:val="00635369"/>
    <w:rsid w:val="00635712"/>
    <w:rsid w:val="006357C6"/>
    <w:rsid w:val="00636977"/>
    <w:rsid w:val="0063791E"/>
    <w:rsid w:val="006418C9"/>
    <w:rsid w:val="00642B5A"/>
    <w:rsid w:val="00644B5C"/>
    <w:rsid w:val="00645046"/>
    <w:rsid w:val="00646E78"/>
    <w:rsid w:val="0065254A"/>
    <w:rsid w:val="0065451D"/>
    <w:rsid w:val="00662F08"/>
    <w:rsid w:val="00663589"/>
    <w:rsid w:val="0067443B"/>
    <w:rsid w:val="006755D9"/>
    <w:rsid w:val="006804DA"/>
    <w:rsid w:val="006810A9"/>
    <w:rsid w:val="00683939"/>
    <w:rsid w:val="00684E2B"/>
    <w:rsid w:val="0068597A"/>
    <w:rsid w:val="00690FDA"/>
    <w:rsid w:val="00694A59"/>
    <w:rsid w:val="00696476"/>
    <w:rsid w:val="006977CF"/>
    <w:rsid w:val="006A15B6"/>
    <w:rsid w:val="006A376D"/>
    <w:rsid w:val="006A3774"/>
    <w:rsid w:val="006A40E6"/>
    <w:rsid w:val="006A4B19"/>
    <w:rsid w:val="006A51C5"/>
    <w:rsid w:val="006A5B59"/>
    <w:rsid w:val="006A75FA"/>
    <w:rsid w:val="006B31D0"/>
    <w:rsid w:val="006B4BEA"/>
    <w:rsid w:val="006B4ED9"/>
    <w:rsid w:val="006B5923"/>
    <w:rsid w:val="006C2A4F"/>
    <w:rsid w:val="006C52BB"/>
    <w:rsid w:val="006D2D39"/>
    <w:rsid w:val="006E06D1"/>
    <w:rsid w:val="006E220A"/>
    <w:rsid w:val="006E7356"/>
    <w:rsid w:val="006F0EC3"/>
    <w:rsid w:val="006F1761"/>
    <w:rsid w:val="006F1A46"/>
    <w:rsid w:val="006F5E2B"/>
    <w:rsid w:val="00700FB3"/>
    <w:rsid w:val="007018E8"/>
    <w:rsid w:val="00703DE1"/>
    <w:rsid w:val="0070456F"/>
    <w:rsid w:val="00710982"/>
    <w:rsid w:val="00710F30"/>
    <w:rsid w:val="007165CE"/>
    <w:rsid w:val="00716F71"/>
    <w:rsid w:val="00721D12"/>
    <w:rsid w:val="00721F8B"/>
    <w:rsid w:val="00725109"/>
    <w:rsid w:val="00735157"/>
    <w:rsid w:val="00735D2B"/>
    <w:rsid w:val="00736A49"/>
    <w:rsid w:val="00744EBB"/>
    <w:rsid w:val="00746AE2"/>
    <w:rsid w:val="00752A29"/>
    <w:rsid w:val="00754DCF"/>
    <w:rsid w:val="007600F7"/>
    <w:rsid w:val="0076100C"/>
    <w:rsid w:val="00762489"/>
    <w:rsid w:val="007679AC"/>
    <w:rsid w:val="00767EA3"/>
    <w:rsid w:val="007722C3"/>
    <w:rsid w:val="00775293"/>
    <w:rsid w:val="0077560E"/>
    <w:rsid w:val="00780DF0"/>
    <w:rsid w:val="00781BD4"/>
    <w:rsid w:val="007824C7"/>
    <w:rsid w:val="0078472B"/>
    <w:rsid w:val="00784832"/>
    <w:rsid w:val="007874F9"/>
    <w:rsid w:val="00791F1E"/>
    <w:rsid w:val="007927E1"/>
    <w:rsid w:val="00797A6D"/>
    <w:rsid w:val="007A0B39"/>
    <w:rsid w:val="007A168F"/>
    <w:rsid w:val="007A28E4"/>
    <w:rsid w:val="007A5AD1"/>
    <w:rsid w:val="007B0A06"/>
    <w:rsid w:val="007B47C2"/>
    <w:rsid w:val="007B7C41"/>
    <w:rsid w:val="007C0729"/>
    <w:rsid w:val="007C433E"/>
    <w:rsid w:val="007C498E"/>
    <w:rsid w:val="007C75E7"/>
    <w:rsid w:val="007D0292"/>
    <w:rsid w:val="007D7A8C"/>
    <w:rsid w:val="007E13B6"/>
    <w:rsid w:val="007E2046"/>
    <w:rsid w:val="007E4FBB"/>
    <w:rsid w:val="007E6986"/>
    <w:rsid w:val="007F0A43"/>
    <w:rsid w:val="007F6278"/>
    <w:rsid w:val="0080147C"/>
    <w:rsid w:val="00802D35"/>
    <w:rsid w:val="00811D5B"/>
    <w:rsid w:val="00817713"/>
    <w:rsid w:val="008226B4"/>
    <w:rsid w:val="00830999"/>
    <w:rsid w:val="00830D5E"/>
    <w:rsid w:val="00830F69"/>
    <w:rsid w:val="00834458"/>
    <w:rsid w:val="00837465"/>
    <w:rsid w:val="00841457"/>
    <w:rsid w:val="0084374E"/>
    <w:rsid w:val="0085206E"/>
    <w:rsid w:val="00853718"/>
    <w:rsid w:val="008537FD"/>
    <w:rsid w:val="008541EF"/>
    <w:rsid w:val="00854988"/>
    <w:rsid w:val="00855696"/>
    <w:rsid w:val="00855F65"/>
    <w:rsid w:val="008570E4"/>
    <w:rsid w:val="00860C41"/>
    <w:rsid w:val="00860DED"/>
    <w:rsid w:val="0086162B"/>
    <w:rsid w:val="00865207"/>
    <w:rsid w:val="00871262"/>
    <w:rsid w:val="00875B51"/>
    <w:rsid w:val="00875F2D"/>
    <w:rsid w:val="00877377"/>
    <w:rsid w:val="00881D0D"/>
    <w:rsid w:val="00883D2F"/>
    <w:rsid w:val="00885CBF"/>
    <w:rsid w:val="00887BD0"/>
    <w:rsid w:val="008A0470"/>
    <w:rsid w:val="008A45FC"/>
    <w:rsid w:val="008A51CD"/>
    <w:rsid w:val="008A63A9"/>
    <w:rsid w:val="008B2E82"/>
    <w:rsid w:val="008B5D31"/>
    <w:rsid w:val="008C4F87"/>
    <w:rsid w:val="008D0422"/>
    <w:rsid w:val="008D1F33"/>
    <w:rsid w:val="008E2D99"/>
    <w:rsid w:val="008E3FD4"/>
    <w:rsid w:val="008E467D"/>
    <w:rsid w:val="008E4A60"/>
    <w:rsid w:val="008F2153"/>
    <w:rsid w:val="008F6EEA"/>
    <w:rsid w:val="00901E73"/>
    <w:rsid w:val="009026E8"/>
    <w:rsid w:val="00907771"/>
    <w:rsid w:val="00911113"/>
    <w:rsid w:val="00914ADB"/>
    <w:rsid w:val="00920D1F"/>
    <w:rsid w:val="00923B25"/>
    <w:rsid w:val="00926454"/>
    <w:rsid w:val="00930D4A"/>
    <w:rsid w:val="0093416A"/>
    <w:rsid w:val="009343C9"/>
    <w:rsid w:val="00940223"/>
    <w:rsid w:val="00942645"/>
    <w:rsid w:val="0095340A"/>
    <w:rsid w:val="00954581"/>
    <w:rsid w:val="0095466C"/>
    <w:rsid w:val="00954886"/>
    <w:rsid w:val="0096168C"/>
    <w:rsid w:val="00964F53"/>
    <w:rsid w:val="00966F5E"/>
    <w:rsid w:val="009705A7"/>
    <w:rsid w:val="00970A26"/>
    <w:rsid w:val="00971382"/>
    <w:rsid w:val="009732B8"/>
    <w:rsid w:val="009740C3"/>
    <w:rsid w:val="00975043"/>
    <w:rsid w:val="009757EB"/>
    <w:rsid w:val="00977CB4"/>
    <w:rsid w:val="00980CCE"/>
    <w:rsid w:val="00985099"/>
    <w:rsid w:val="0099093C"/>
    <w:rsid w:val="00994B7D"/>
    <w:rsid w:val="00996DDB"/>
    <w:rsid w:val="009A0DE3"/>
    <w:rsid w:val="009A4DD5"/>
    <w:rsid w:val="009B1534"/>
    <w:rsid w:val="009B5C0A"/>
    <w:rsid w:val="009B69D3"/>
    <w:rsid w:val="009B7BA7"/>
    <w:rsid w:val="009C0938"/>
    <w:rsid w:val="009C3203"/>
    <w:rsid w:val="009C321C"/>
    <w:rsid w:val="009C3D79"/>
    <w:rsid w:val="009C3F82"/>
    <w:rsid w:val="009C4C8C"/>
    <w:rsid w:val="009C78BC"/>
    <w:rsid w:val="009C7D6D"/>
    <w:rsid w:val="009C7DF5"/>
    <w:rsid w:val="009D1ADE"/>
    <w:rsid w:val="009D2441"/>
    <w:rsid w:val="009D2892"/>
    <w:rsid w:val="009D3176"/>
    <w:rsid w:val="009D526B"/>
    <w:rsid w:val="009D5EE4"/>
    <w:rsid w:val="009D6487"/>
    <w:rsid w:val="009D6B61"/>
    <w:rsid w:val="009E0007"/>
    <w:rsid w:val="009E1283"/>
    <w:rsid w:val="009E15BF"/>
    <w:rsid w:val="009F29CB"/>
    <w:rsid w:val="009F3691"/>
    <w:rsid w:val="00A01FDE"/>
    <w:rsid w:val="00A029A6"/>
    <w:rsid w:val="00A02D33"/>
    <w:rsid w:val="00A039E3"/>
    <w:rsid w:val="00A05826"/>
    <w:rsid w:val="00A1105B"/>
    <w:rsid w:val="00A1209D"/>
    <w:rsid w:val="00A12AA4"/>
    <w:rsid w:val="00A15020"/>
    <w:rsid w:val="00A15CAD"/>
    <w:rsid w:val="00A16876"/>
    <w:rsid w:val="00A200AA"/>
    <w:rsid w:val="00A2186F"/>
    <w:rsid w:val="00A2270B"/>
    <w:rsid w:val="00A2496E"/>
    <w:rsid w:val="00A258B7"/>
    <w:rsid w:val="00A35A1F"/>
    <w:rsid w:val="00A36454"/>
    <w:rsid w:val="00A443E3"/>
    <w:rsid w:val="00A47AA2"/>
    <w:rsid w:val="00A47CF1"/>
    <w:rsid w:val="00A50418"/>
    <w:rsid w:val="00A52967"/>
    <w:rsid w:val="00A608FB"/>
    <w:rsid w:val="00A610D2"/>
    <w:rsid w:val="00A62C31"/>
    <w:rsid w:val="00A650BB"/>
    <w:rsid w:val="00A67B4D"/>
    <w:rsid w:val="00A70E7B"/>
    <w:rsid w:val="00A72457"/>
    <w:rsid w:val="00A74A48"/>
    <w:rsid w:val="00A76094"/>
    <w:rsid w:val="00A82DD8"/>
    <w:rsid w:val="00A86123"/>
    <w:rsid w:val="00A86CB6"/>
    <w:rsid w:val="00A90D55"/>
    <w:rsid w:val="00AA04B3"/>
    <w:rsid w:val="00AB0380"/>
    <w:rsid w:val="00AB6934"/>
    <w:rsid w:val="00AC439D"/>
    <w:rsid w:val="00AC4C54"/>
    <w:rsid w:val="00AD6613"/>
    <w:rsid w:val="00AE2D29"/>
    <w:rsid w:val="00AE3316"/>
    <w:rsid w:val="00AF479D"/>
    <w:rsid w:val="00AF653F"/>
    <w:rsid w:val="00AF699F"/>
    <w:rsid w:val="00B03A90"/>
    <w:rsid w:val="00B063F5"/>
    <w:rsid w:val="00B06761"/>
    <w:rsid w:val="00B14B2A"/>
    <w:rsid w:val="00B209FF"/>
    <w:rsid w:val="00B20AFC"/>
    <w:rsid w:val="00B227D6"/>
    <w:rsid w:val="00B24F31"/>
    <w:rsid w:val="00B25E6D"/>
    <w:rsid w:val="00B32179"/>
    <w:rsid w:val="00B33970"/>
    <w:rsid w:val="00B37087"/>
    <w:rsid w:val="00B40A3E"/>
    <w:rsid w:val="00B44216"/>
    <w:rsid w:val="00B502FB"/>
    <w:rsid w:val="00B522CD"/>
    <w:rsid w:val="00B52406"/>
    <w:rsid w:val="00B55917"/>
    <w:rsid w:val="00B6259D"/>
    <w:rsid w:val="00B72303"/>
    <w:rsid w:val="00B75477"/>
    <w:rsid w:val="00B80758"/>
    <w:rsid w:val="00B82277"/>
    <w:rsid w:val="00B862E5"/>
    <w:rsid w:val="00B865F6"/>
    <w:rsid w:val="00B866B7"/>
    <w:rsid w:val="00B87636"/>
    <w:rsid w:val="00B911D2"/>
    <w:rsid w:val="00B914E9"/>
    <w:rsid w:val="00B91A6E"/>
    <w:rsid w:val="00B92709"/>
    <w:rsid w:val="00B94282"/>
    <w:rsid w:val="00B96530"/>
    <w:rsid w:val="00BA2D98"/>
    <w:rsid w:val="00BA30D1"/>
    <w:rsid w:val="00BA5BE2"/>
    <w:rsid w:val="00BA7F46"/>
    <w:rsid w:val="00BB0A0A"/>
    <w:rsid w:val="00BB66B5"/>
    <w:rsid w:val="00BB7CF4"/>
    <w:rsid w:val="00BC4A68"/>
    <w:rsid w:val="00BD39CB"/>
    <w:rsid w:val="00BD3F5C"/>
    <w:rsid w:val="00BD41FE"/>
    <w:rsid w:val="00BD59ED"/>
    <w:rsid w:val="00BD6806"/>
    <w:rsid w:val="00BD6E46"/>
    <w:rsid w:val="00BD7831"/>
    <w:rsid w:val="00BD79EA"/>
    <w:rsid w:val="00BD7C10"/>
    <w:rsid w:val="00BE0DEB"/>
    <w:rsid w:val="00BE69D0"/>
    <w:rsid w:val="00BF0EE1"/>
    <w:rsid w:val="00BF6AAF"/>
    <w:rsid w:val="00BF70CD"/>
    <w:rsid w:val="00BF7B4A"/>
    <w:rsid w:val="00C0760D"/>
    <w:rsid w:val="00C113CB"/>
    <w:rsid w:val="00C12D9F"/>
    <w:rsid w:val="00C133A7"/>
    <w:rsid w:val="00C13B34"/>
    <w:rsid w:val="00C20C48"/>
    <w:rsid w:val="00C261C6"/>
    <w:rsid w:val="00C30A97"/>
    <w:rsid w:val="00C31DDC"/>
    <w:rsid w:val="00C34326"/>
    <w:rsid w:val="00C36E6B"/>
    <w:rsid w:val="00C54DF3"/>
    <w:rsid w:val="00C6325A"/>
    <w:rsid w:val="00C71BEC"/>
    <w:rsid w:val="00C81FAB"/>
    <w:rsid w:val="00C846EA"/>
    <w:rsid w:val="00C84AD1"/>
    <w:rsid w:val="00C85579"/>
    <w:rsid w:val="00C85D98"/>
    <w:rsid w:val="00C915C9"/>
    <w:rsid w:val="00C94E5B"/>
    <w:rsid w:val="00C960DC"/>
    <w:rsid w:val="00C960EF"/>
    <w:rsid w:val="00CA068D"/>
    <w:rsid w:val="00CA1DBF"/>
    <w:rsid w:val="00CA282D"/>
    <w:rsid w:val="00CB23DC"/>
    <w:rsid w:val="00CB28E2"/>
    <w:rsid w:val="00CB4813"/>
    <w:rsid w:val="00CB7FF7"/>
    <w:rsid w:val="00CC1DD6"/>
    <w:rsid w:val="00CC2044"/>
    <w:rsid w:val="00CC2FF7"/>
    <w:rsid w:val="00CC399F"/>
    <w:rsid w:val="00CC69EC"/>
    <w:rsid w:val="00CD34C7"/>
    <w:rsid w:val="00CD5CE4"/>
    <w:rsid w:val="00CD6581"/>
    <w:rsid w:val="00CE19B8"/>
    <w:rsid w:val="00CE1AA2"/>
    <w:rsid w:val="00CE4852"/>
    <w:rsid w:val="00CE64FA"/>
    <w:rsid w:val="00CE7412"/>
    <w:rsid w:val="00CF3142"/>
    <w:rsid w:val="00CF4394"/>
    <w:rsid w:val="00D01541"/>
    <w:rsid w:val="00D106D2"/>
    <w:rsid w:val="00D156A5"/>
    <w:rsid w:val="00D1648B"/>
    <w:rsid w:val="00D20AC0"/>
    <w:rsid w:val="00D254FE"/>
    <w:rsid w:val="00D336C8"/>
    <w:rsid w:val="00D339E8"/>
    <w:rsid w:val="00D34952"/>
    <w:rsid w:val="00D353D7"/>
    <w:rsid w:val="00D357AC"/>
    <w:rsid w:val="00D40B1F"/>
    <w:rsid w:val="00D50C8C"/>
    <w:rsid w:val="00D52393"/>
    <w:rsid w:val="00D563A1"/>
    <w:rsid w:val="00D60DBC"/>
    <w:rsid w:val="00D623AD"/>
    <w:rsid w:val="00D63F13"/>
    <w:rsid w:val="00D70153"/>
    <w:rsid w:val="00D734D6"/>
    <w:rsid w:val="00D76AB2"/>
    <w:rsid w:val="00D820A5"/>
    <w:rsid w:val="00D829AD"/>
    <w:rsid w:val="00D836E6"/>
    <w:rsid w:val="00D843D3"/>
    <w:rsid w:val="00D87788"/>
    <w:rsid w:val="00D90DA8"/>
    <w:rsid w:val="00D910C2"/>
    <w:rsid w:val="00D9189B"/>
    <w:rsid w:val="00D91DA6"/>
    <w:rsid w:val="00D9509F"/>
    <w:rsid w:val="00D972D4"/>
    <w:rsid w:val="00DA195B"/>
    <w:rsid w:val="00DA3ED0"/>
    <w:rsid w:val="00DA4E39"/>
    <w:rsid w:val="00DA5C47"/>
    <w:rsid w:val="00DA68CD"/>
    <w:rsid w:val="00DB013D"/>
    <w:rsid w:val="00DB40FF"/>
    <w:rsid w:val="00DB6FBE"/>
    <w:rsid w:val="00DC1655"/>
    <w:rsid w:val="00DC233D"/>
    <w:rsid w:val="00DC2F0A"/>
    <w:rsid w:val="00DC63AA"/>
    <w:rsid w:val="00DD299B"/>
    <w:rsid w:val="00DD3593"/>
    <w:rsid w:val="00DD4067"/>
    <w:rsid w:val="00DD5B8C"/>
    <w:rsid w:val="00DE7E74"/>
    <w:rsid w:val="00DF62A3"/>
    <w:rsid w:val="00E017F0"/>
    <w:rsid w:val="00E041E4"/>
    <w:rsid w:val="00E11812"/>
    <w:rsid w:val="00E14581"/>
    <w:rsid w:val="00E14A45"/>
    <w:rsid w:val="00E15539"/>
    <w:rsid w:val="00E16541"/>
    <w:rsid w:val="00E2632B"/>
    <w:rsid w:val="00E32289"/>
    <w:rsid w:val="00E369B3"/>
    <w:rsid w:val="00E405EA"/>
    <w:rsid w:val="00E40F19"/>
    <w:rsid w:val="00E41669"/>
    <w:rsid w:val="00E42789"/>
    <w:rsid w:val="00E47031"/>
    <w:rsid w:val="00E475C0"/>
    <w:rsid w:val="00E50BEB"/>
    <w:rsid w:val="00E5432F"/>
    <w:rsid w:val="00E55F25"/>
    <w:rsid w:val="00E63FCB"/>
    <w:rsid w:val="00E64129"/>
    <w:rsid w:val="00E66A29"/>
    <w:rsid w:val="00E67234"/>
    <w:rsid w:val="00E67AD9"/>
    <w:rsid w:val="00E73B7C"/>
    <w:rsid w:val="00E74EF3"/>
    <w:rsid w:val="00E779E5"/>
    <w:rsid w:val="00E82B6D"/>
    <w:rsid w:val="00E83F78"/>
    <w:rsid w:val="00E84616"/>
    <w:rsid w:val="00E866F8"/>
    <w:rsid w:val="00E9232C"/>
    <w:rsid w:val="00E93458"/>
    <w:rsid w:val="00E96B79"/>
    <w:rsid w:val="00EA11B6"/>
    <w:rsid w:val="00EA213D"/>
    <w:rsid w:val="00EA2DD8"/>
    <w:rsid w:val="00EA6788"/>
    <w:rsid w:val="00EA681F"/>
    <w:rsid w:val="00EB43DF"/>
    <w:rsid w:val="00EB76E4"/>
    <w:rsid w:val="00EC0E65"/>
    <w:rsid w:val="00EC2004"/>
    <w:rsid w:val="00EC3AA3"/>
    <w:rsid w:val="00EC764B"/>
    <w:rsid w:val="00EC797E"/>
    <w:rsid w:val="00ED25F0"/>
    <w:rsid w:val="00ED3C1A"/>
    <w:rsid w:val="00EE0B44"/>
    <w:rsid w:val="00EE2B19"/>
    <w:rsid w:val="00EF40CA"/>
    <w:rsid w:val="00EF608E"/>
    <w:rsid w:val="00F01B39"/>
    <w:rsid w:val="00F0706C"/>
    <w:rsid w:val="00F11530"/>
    <w:rsid w:val="00F1516A"/>
    <w:rsid w:val="00F22A26"/>
    <w:rsid w:val="00F23F01"/>
    <w:rsid w:val="00F30325"/>
    <w:rsid w:val="00F32139"/>
    <w:rsid w:val="00F32B7C"/>
    <w:rsid w:val="00F33A57"/>
    <w:rsid w:val="00F34E08"/>
    <w:rsid w:val="00F37E52"/>
    <w:rsid w:val="00F41189"/>
    <w:rsid w:val="00F41BD4"/>
    <w:rsid w:val="00F41D91"/>
    <w:rsid w:val="00F41E61"/>
    <w:rsid w:val="00F46964"/>
    <w:rsid w:val="00F501D3"/>
    <w:rsid w:val="00F5126A"/>
    <w:rsid w:val="00F55F84"/>
    <w:rsid w:val="00F647DB"/>
    <w:rsid w:val="00F663BC"/>
    <w:rsid w:val="00F718A8"/>
    <w:rsid w:val="00F72183"/>
    <w:rsid w:val="00F7606A"/>
    <w:rsid w:val="00F82981"/>
    <w:rsid w:val="00F8311F"/>
    <w:rsid w:val="00F83248"/>
    <w:rsid w:val="00F853AE"/>
    <w:rsid w:val="00F93DCC"/>
    <w:rsid w:val="00F9435D"/>
    <w:rsid w:val="00F94814"/>
    <w:rsid w:val="00F94A5D"/>
    <w:rsid w:val="00F97731"/>
    <w:rsid w:val="00FA1F22"/>
    <w:rsid w:val="00FA3391"/>
    <w:rsid w:val="00FB593A"/>
    <w:rsid w:val="00FB6E82"/>
    <w:rsid w:val="00FC07E6"/>
    <w:rsid w:val="00FC1496"/>
    <w:rsid w:val="00FC3D61"/>
    <w:rsid w:val="00FC419A"/>
    <w:rsid w:val="00FC4576"/>
    <w:rsid w:val="00FC7DBC"/>
    <w:rsid w:val="00FD1D5A"/>
    <w:rsid w:val="00FD3F64"/>
    <w:rsid w:val="00FE3349"/>
    <w:rsid w:val="00FE7817"/>
    <w:rsid w:val="00FF23CE"/>
    <w:rsid w:val="00FF3C25"/>
    <w:rsid w:val="00FF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6385366">
      <w:bodyDiv w:val="1"/>
      <w:marLeft w:val="0"/>
      <w:marRight w:val="0"/>
      <w:marTop w:val="0"/>
      <w:marBottom w:val="0"/>
      <w:divBdr>
        <w:top w:val="none" w:sz="0" w:space="0" w:color="auto"/>
        <w:left w:val="none" w:sz="0" w:space="0" w:color="auto"/>
        <w:bottom w:val="none" w:sz="0" w:space="0" w:color="auto"/>
        <w:right w:val="none" w:sz="0" w:space="0" w:color="auto"/>
      </w:divBdr>
    </w:div>
    <w:div w:id="634676572">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2000-06-02T14:59:00Z</cp:lastPrinted>
  <dcterms:created xsi:type="dcterms:W3CDTF">2012-03-06T20:15:00Z</dcterms:created>
  <dcterms:modified xsi:type="dcterms:W3CDTF">2012-03-06T20:15:00Z</dcterms:modified>
</cp:coreProperties>
</file>