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9650A3" w:rsidRDefault="00540BEF" w:rsidP="009650A3">
      <w:pPr>
        <w:tabs>
          <w:tab w:val="left" w:pos="288"/>
          <w:tab w:val="left" w:pos="4752"/>
        </w:tabs>
        <w:spacing w:line="240" w:lineRule="exact"/>
        <w:jc w:val="center"/>
        <w:rPr>
          <w:color w:val="auto"/>
        </w:rPr>
      </w:pPr>
      <w:r w:rsidRPr="009650A3">
        <w:rPr>
          <w:color w:val="auto"/>
        </w:rPr>
        <w:t xml:space="preserve">RECORD OF PROCEEDINGS </w:t>
      </w:r>
    </w:p>
    <w:p w:rsidR="00540BEF" w:rsidRPr="009650A3" w:rsidRDefault="00540BEF" w:rsidP="009650A3">
      <w:pPr>
        <w:tabs>
          <w:tab w:val="left" w:pos="288"/>
          <w:tab w:val="left" w:pos="4752"/>
        </w:tabs>
        <w:spacing w:line="240" w:lineRule="exact"/>
        <w:jc w:val="center"/>
        <w:rPr>
          <w:color w:val="auto"/>
        </w:rPr>
      </w:pPr>
      <w:r w:rsidRPr="009650A3">
        <w:rPr>
          <w:color w:val="auto"/>
        </w:rPr>
        <w:t>PHYSICAL DISABILITY BOARD OF REVIEW</w:t>
      </w:r>
    </w:p>
    <w:p w:rsidR="00540BEF" w:rsidRPr="009650A3" w:rsidRDefault="00540BEF" w:rsidP="009650A3">
      <w:pPr>
        <w:tabs>
          <w:tab w:val="left" w:pos="288"/>
          <w:tab w:val="left" w:pos="4752"/>
        </w:tabs>
        <w:spacing w:line="240" w:lineRule="exact"/>
        <w:jc w:val="both"/>
        <w:rPr>
          <w:color w:val="auto"/>
        </w:rPr>
      </w:pPr>
    </w:p>
    <w:p w:rsidR="00540BEF" w:rsidRPr="009650A3" w:rsidRDefault="00540BEF" w:rsidP="009650A3">
      <w:pPr>
        <w:tabs>
          <w:tab w:val="left" w:pos="288"/>
          <w:tab w:val="left" w:pos="4752"/>
        </w:tabs>
        <w:spacing w:line="240" w:lineRule="exact"/>
        <w:jc w:val="both"/>
        <w:rPr>
          <w:color w:val="auto"/>
        </w:rPr>
      </w:pPr>
      <w:r w:rsidRPr="009650A3">
        <w:rPr>
          <w:color w:val="auto"/>
        </w:rPr>
        <w:t>NAME:</w:t>
      </w:r>
      <w:r w:rsidR="00B10D1D" w:rsidRPr="009650A3">
        <w:rPr>
          <w:color w:val="auto"/>
        </w:rPr>
        <w:t xml:space="preserve"> </w:t>
      </w:r>
      <w:r w:rsidR="0048690F">
        <w:rPr>
          <w:color w:val="auto"/>
        </w:rPr>
        <w:t>XXXXXXXX</w:t>
      </w:r>
      <w:r w:rsidRPr="009650A3">
        <w:rPr>
          <w:color w:val="auto"/>
        </w:rPr>
        <w:tab/>
      </w:r>
      <w:r w:rsidRPr="009650A3">
        <w:rPr>
          <w:color w:val="auto"/>
        </w:rPr>
        <w:tab/>
        <w:t xml:space="preserve">BRANCH OF SERVICE: </w:t>
      </w:r>
      <w:r w:rsidR="00B10D1D" w:rsidRPr="009650A3">
        <w:rPr>
          <w:color w:val="auto"/>
        </w:rPr>
        <w:t>USMC</w:t>
      </w:r>
    </w:p>
    <w:p w:rsidR="00EE3A3D" w:rsidRDefault="00540BEF" w:rsidP="009650A3">
      <w:pPr>
        <w:tabs>
          <w:tab w:val="left" w:pos="288"/>
          <w:tab w:val="left" w:pos="4752"/>
        </w:tabs>
        <w:spacing w:line="240" w:lineRule="exact"/>
        <w:jc w:val="both"/>
        <w:rPr>
          <w:color w:val="auto"/>
        </w:rPr>
      </w:pPr>
      <w:r w:rsidRPr="009650A3">
        <w:rPr>
          <w:color w:val="auto"/>
        </w:rPr>
        <w:t>CASE NUMBER:  PD0900</w:t>
      </w:r>
      <w:r w:rsidR="00397D6C" w:rsidRPr="009650A3">
        <w:rPr>
          <w:color w:val="auto"/>
        </w:rPr>
        <w:t>496</w:t>
      </w:r>
      <w:r w:rsidRPr="009650A3">
        <w:rPr>
          <w:color w:val="auto"/>
        </w:rPr>
        <w:tab/>
      </w:r>
      <w:r w:rsidRPr="009650A3">
        <w:rPr>
          <w:color w:val="auto"/>
        </w:rPr>
        <w:tab/>
        <w:t xml:space="preserve">BOARD DATE: </w:t>
      </w:r>
      <w:r w:rsidR="00276C86" w:rsidRPr="009650A3">
        <w:rPr>
          <w:color w:val="auto"/>
        </w:rPr>
        <w:t>20</w:t>
      </w:r>
      <w:r w:rsidR="00116FEA" w:rsidRPr="009650A3">
        <w:rPr>
          <w:color w:val="auto"/>
        </w:rPr>
        <w:t>10</w:t>
      </w:r>
      <w:r w:rsidR="00DB53CE">
        <w:rPr>
          <w:color w:val="auto"/>
        </w:rPr>
        <w:t>0616</w:t>
      </w:r>
    </w:p>
    <w:p w:rsidR="00764A90" w:rsidRPr="009650A3" w:rsidRDefault="00540BEF" w:rsidP="009650A3">
      <w:pPr>
        <w:tabs>
          <w:tab w:val="left" w:pos="288"/>
          <w:tab w:val="left" w:pos="4752"/>
        </w:tabs>
        <w:spacing w:line="240" w:lineRule="exact"/>
        <w:jc w:val="both"/>
        <w:rPr>
          <w:color w:val="auto"/>
        </w:rPr>
      </w:pPr>
      <w:r w:rsidRPr="009650A3">
        <w:rPr>
          <w:color w:val="auto"/>
        </w:rPr>
        <w:t>SEPARATION DATE:</w:t>
      </w:r>
      <w:r w:rsidR="0057448F" w:rsidRPr="009650A3">
        <w:rPr>
          <w:color w:val="auto"/>
        </w:rPr>
        <w:t xml:space="preserve"> </w:t>
      </w:r>
      <w:r w:rsidR="00654A07" w:rsidRPr="009650A3">
        <w:rPr>
          <w:color w:val="auto"/>
        </w:rPr>
        <w:t>20090530</w:t>
      </w:r>
      <w:r w:rsidR="0017455A" w:rsidRPr="009650A3">
        <w:rPr>
          <w:color w:val="auto"/>
        </w:rPr>
        <w:t xml:space="preserve"> </w:t>
      </w:r>
    </w:p>
    <w:p w:rsidR="00540BEF" w:rsidRPr="009650A3" w:rsidRDefault="00540BEF" w:rsidP="009650A3">
      <w:pPr>
        <w:tabs>
          <w:tab w:val="left" w:pos="288"/>
          <w:tab w:val="left" w:pos="4752"/>
        </w:tabs>
        <w:spacing w:line="240" w:lineRule="exact"/>
        <w:jc w:val="both"/>
        <w:rPr>
          <w:color w:val="auto"/>
        </w:rPr>
      </w:pPr>
      <w:r w:rsidRPr="009650A3">
        <w:rPr>
          <w:color w:val="auto"/>
          <w:u w:val="single"/>
        </w:rPr>
        <w:t>_______________________________________________________________</w:t>
      </w:r>
      <w:r w:rsidRPr="009650A3">
        <w:rPr>
          <w:color w:val="auto"/>
        </w:rPr>
        <w:t>_</w:t>
      </w:r>
    </w:p>
    <w:p w:rsidR="00B522CD" w:rsidRPr="009650A3" w:rsidRDefault="00B522CD" w:rsidP="009650A3">
      <w:pPr>
        <w:tabs>
          <w:tab w:val="left" w:pos="288"/>
          <w:tab w:val="left" w:pos="4752"/>
        </w:tabs>
        <w:spacing w:line="240" w:lineRule="exact"/>
        <w:jc w:val="both"/>
        <w:rPr>
          <w:color w:val="auto"/>
        </w:rPr>
      </w:pPr>
    </w:p>
    <w:p w:rsidR="00684E2B" w:rsidRPr="009650A3" w:rsidRDefault="00811D5B" w:rsidP="009650A3">
      <w:pPr>
        <w:tabs>
          <w:tab w:val="left" w:pos="288"/>
          <w:tab w:val="left" w:pos="4752"/>
        </w:tabs>
        <w:spacing w:line="240" w:lineRule="exact"/>
        <w:jc w:val="both"/>
        <w:rPr>
          <w:color w:val="auto"/>
          <w:szCs w:val="24"/>
        </w:rPr>
      </w:pPr>
      <w:r w:rsidRPr="009650A3">
        <w:rPr>
          <w:color w:val="auto"/>
          <w:u w:val="single"/>
        </w:rPr>
        <w:t>SUMMARY</w:t>
      </w:r>
      <w:r w:rsidR="003D7DDB" w:rsidRPr="009650A3">
        <w:rPr>
          <w:color w:val="auto"/>
          <w:u w:val="single"/>
        </w:rPr>
        <w:t xml:space="preserve"> OF CASE</w:t>
      </w:r>
      <w:r w:rsidR="00B522CD" w:rsidRPr="009650A3">
        <w:rPr>
          <w:color w:val="auto"/>
        </w:rPr>
        <w:t>:</w:t>
      </w:r>
      <w:r w:rsidR="00BA30D1" w:rsidRPr="009650A3">
        <w:rPr>
          <w:color w:val="auto"/>
        </w:rPr>
        <w:t xml:space="preserve"> </w:t>
      </w:r>
      <w:r w:rsidR="00FB6E82" w:rsidRPr="009650A3">
        <w:rPr>
          <w:color w:val="auto"/>
        </w:rPr>
        <w:t xml:space="preserve"> </w:t>
      </w:r>
      <w:r w:rsidR="00684E2B" w:rsidRPr="009650A3">
        <w:rPr>
          <w:color w:val="auto"/>
          <w:szCs w:val="24"/>
        </w:rPr>
        <w:t xml:space="preserve">This covered individual (CI) was </w:t>
      </w:r>
      <w:r w:rsidR="00B10D1D" w:rsidRPr="009650A3">
        <w:rPr>
          <w:color w:val="auto"/>
          <w:szCs w:val="24"/>
        </w:rPr>
        <w:t>2LT/</w:t>
      </w:r>
      <w:r w:rsidR="0057448F" w:rsidRPr="009650A3">
        <w:rPr>
          <w:color w:val="auto"/>
          <w:szCs w:val="24"/>
        </w:rPr>
        <w:t>O-1, Basic Officer/</w:t>
      </w:r>
      <w:r w:rsidR="00B10D1D" w:rsidRPr="009650A3">
        <w:rPr>
          <w:color w:val="auto"/>
          <w:szCs w:val="24"/>
        </w:rPr>
        <w:t>8001 Marine Officer</w:t>
      </w:r>
      <w:r w:rsidR="00684E2B" w:rsidRPr="009650A3">
        <w:rPr>
          <w:color w:val="auto"/>
          <w:szCs w:val="24"/>
        </w:rPr>
        <w:t xml:space="preserve"> medically separated from the </w:t>
      </w:r>
      <w:r w:rsidR="00B10D1D" w:rsidRPr="009650A3">
        <w:rPr>
          <w:color w:val="auto"/>
          <w:szCs w:val="24"/>
        </w:rPr>
        <w:t xml:space="preserve">Marine Corps </w:t>
      </w:r>
      <w:r w:rsidR="00684E2B" w:rsidRPr="009650A3">
        <w:rPr>
          <w:color w:val="auto"/>
          <w:szCs w:val="24"/>
        </w:rPr>
        <w:t>in 200</w:t>
      </w:r>
      <w:r w:rsidR="00B10D1D" w:rsidRPr="009650A3">
        <w:rPr>
          <w:color w:val="auto"/>
          <w:szCs w:val="24"/>
        </w:rPr>
        <w:t>9</w:t>
      </w:r>
      <w:r w:rsidR="00684E2B" w:rsidRPr="009650A3">
        <w:rPr>
          <w:color w:val="auto"/>
          <w:szCs w:val="24"/>
        </w:rPr>
        <w:t xml:space="preserve"> after </w:t>
      </w:r>
      <w:r w:rsidR="00B10D1D" w:rsidRPr="009650A3">
        <w:rPr>
          <w:color w:val="auto"/>
          <w:szCs w:val="24"/>
        </w:rPr>
        <w:t>11</w:t>
      </w:r>
      <w:r w:rsidR="00684E2B" w:rsidRPr="009650A3">
        <w:rPr>
          <w:color w:val="auto"/>
          <w:szCs w:val="24"/>
        </w:rPr>
        <w:t xml:space="preserve"> years of service.  The medical basis for the separation was </w:t>
      </w:r>
      <w:r w:rsidR="00B10D1D" w:rsidRPr="009650A3">
        <w:rPr>
          <w:color w:val="auto"/>
          <w:szCs w:val="24"/>
        </w:rPr>
        <w:t xml:space="preserve">Status Post L5-S1 Fusion. </w:t>
      </w:r>
    </w:p>
    <w:p w:rsidR="00684E2B" w:rsidRPr="009650A3" w:rsidRDefault="00684E2B" w:rsidP="009650A3">
      <w:pPr>
        <w:tabs>
          <w:tab w:val="left" w:pos="288"/>
          <w:tab w:val="left" w:pos="4752"/>
        </w:tabs>
        <w:spacing w:line="240" w:lineRule="exact"/>
        <w:jc w:val="both"/>
        <w:rPr>
          <w:color w:val="auto"/>
          <w:szCs w:val="24"/>
        </w:rPr>
      </w:pPr>
    </w:p>
    <w:p w:rsidR="00684E2B" w:rsidRPr="009650A3" w:rsidRDefault="00684E2B" w:rsidP="009650A3">
      <w:pPr>
        <w:tabs>
          <w:tab w:val="left" w:pos="288"/>
          <w:tab w:val="left" w:pos="4752"/>
        </w:tabs>
        <w:spacing w:line="240" w:lineRule="exact"/>
        <w:jc w:val="both"/>
        <w:rPr>
          <w:color w:val="auto"/>
          <w:szCs w:val="24"/>
        </w:rPr>
      </w:pPr>
      <w:r w:rsidRPr="009650A3">
        <w:rPr>
          <w:color w:val="auto"/>
          <w:szCs w:val="24"/>
        </w:rPr>
        <w:t xml:space="preserve">The </w:t>
      </w:r>
      <w:r w:rsidR="00654A07" w:rsidRPr="009650A3">
        <w:rPr>
          <w:color w:val="auto"/>
          <w:szCs w:val="24"/>
        </w:rPr>
        <w:t>Status Post L5-S1 Fusion condition</w:t>
      </w:r>
      <w:r w:rsidRPr="009650A3">
        <w:rPr>
          <w:color w:val="auto"/>
          <w:szCs w:val="24"/>
        </w:rPr>
        <w:t xml:space="preserve"> was determined to be me</w:t>
      </w:r>
      <w:r w:rsidR="00736A49" w:rsidRPr="009650A3">
        <w:rPr>
          <w:color w:val="auto"/>
          <w:szCs w:val="24"/>
        </w:rPr>
        <w:t>dically unacceptable</w:t>
      </w:r>
      <w:r w:rsidR="00654A07" w:rsidRPr="009650A3">
        <w:rPr>
          <w:color w:val="auto"/>
          <w:szCs w:val="24"/>
        </w:rPr>
        <w:t>.</w:t>
      </w:r>
      <w:r w:rsidRPr="009650A3">
        <w:rPr>
          <w:color w:val="auto"/>
          <w:szCs w:val="24"/>
        </w:rPr>
        <w:t xml:space="preserve"> </w:t>
      </w:r>
      <w:r w:rsidR="00EE3A3D">
        <w:rPr>
          <w:color w:val="auto"/>
          <w:szCs w:val="24"/>
        </w:rPr>
        <w:t xml:space="preserve"> </w:t>
      </w:r>
      <w:r w:rsidR="00764A90" w:rsidRPr="009650A3">
        <w:rPr>
          <w:color w:val="auto"/>
          <w:szCs w:val="24"/>
        </w:rPr>
        <w:t xml:space="preserve">The </w:t>
      </w:r>
      <w:r w:rsidR="00654A07" w:rsidRPr="009650A3">
        <w:rPr>
          <w:color w:val="auto"/>
          <w:szCs w:val="24"/>
        </w:rPr>
        <w:t xml:space="preserve">Partial </w:t>
      </w:r>
      <w:proofErr w:type="spellStart"/>
      <w:r w:rsidR="00654A07" w:rsidRPr="009650A3">
        <w:rPr>
          <w:color w:val="auto"/>
          <w:szCs w:val="24"/>
        </w:rPr>
        <w:t>Hemilaminectomy</w:t>
      </w:r>
      <w:proofErr w:type="spellEnd"/>
      <w:r w:rsidR="00654A07" w:rsidRPr="009650A3">
        <w:rPr>
          <w:color w:val="auto"/>
          <w:szCs w:val="24"/>
        </w:rPr>
        <w:t xml:space="preserve"> with </w:t>
      </w:r>
      <w:proofErr w:type="spellStart"/>
      <w:r w:rsidR="00AD43DD" w:rsidRPr="009650A3">
        <w:rPr>
          <w:color w:val="auto"/>
          <w:szCs w:val="24"/>
        </w:rPr>
        <w:t>Diskectomy</w:t>
      </w:r>
      <w:proofErr w:type="spellEnd"/>
      <w:r w:rsidR="00654A07" w:rsidRPr="009650A3">
        <w:rPr>
          <w:color w:val="auto"/>
          <w:szCs w:val="24"/>
        </w:rPr>
        <w:t xml:space="preserve"> (x2)</w:t>
      </w:r>
      <w:r w:rsidR="00764A90" w:rsidRPr="009650A3">
        <w:rPr>
          <w:color w:val="auto"/>
          <w:szCs w:val="24"/>
        </w:rPr>
        <w:t xml:space="preserve"> was </w:t>
      </w:r>
      <w:r w:rsidR="00654A07" w:rsidRPr="009650A3">
        <w:rPr>
          <w:color w:val="auto"/>
          <w:szCs w:val="24"/>
        </w:rPr>
        <w:t xml:space="preserve">classified as a Category II condition related to the primary condition and </w:t>
      </w:r>
      <w:r w:rsidR="00764A90" w:rsidRPr="009650A3">
        <w:rPr>
          <w:color w:val="auto"/>
          <w:szCs w:val="24"/>
        </w:rPr>
        <w:t>determined t</w:t>
      </w:r>
      <w:r w:rsidRPr="009650A3">
        <w:rPr>
          <w:color w:val="auto"/>
          <w:szCs w:val="24"/>
        </w:rPr>
        <w:t xml:space="preserve">o be medically acceptable.  The CI was referred to the PEB, </w:t>
      </w:r>
      <w:r w:rsidR="00764A90" w:rsidRPr="009650A3">
        <w:rPr>
          <w:color w:val="auto"/>
          <w:szCs w:val="24"/>
        </w:rPr>
        <w:t xml:space="preserve">determined </w:t>
      </w:r>
      <w:r w:rsidRPr="009650A3">
        <w:rPr>
          <w:color w:val="auto"/>
          <w:szCs w:val="24"/>
        </w:rPr>
        <w:t>unfit for the condition</w:t>
      </w:r>
      <w:r w:rsidR="00764A90" w:rsidRPr="009650A3">
        <w:rPr>
          <w:color w:val="auto"/>
          <w:szCs w:val="24"/>
        </w:rPr>
        <w:t>,</w:t>
      </w:r>
      <w:r w:rsidRPr="009650A3">
        <w:rPr>
          <w:color w:val="auto"/>
          <w:szCs w:val="24"/>
        </w:rPr>
        <w:t xml:space="preserve"> </w:t>
      </w:r>
      <w:r w:rsidR="00764A90" w:rsidRPr="009650A3">
        <w:rPr>
          <w:color w:val="auto"/>
          <w:szCs w:val="24"/>
        </w:rPr>
        <w:t>a</w:t>
      </w:r>
      <w:r w:rsidRPr="009650A3">
        <w:rPr>
          <w:color w:val="auto"/>
          <w:szCs w:val="24"/>
        </w:rPr>
        <w:t xml:space="preserve">nd separated at </w:t>
      </w:r>
      <w:r w:rsidR="00654A07" w:rsidRPr="009650A3">
        <w:rPr>
          <w:color w:val="auto"/>
          <w:szCs w:val="24"/>
        </w:rPr>
        <w:t>2</w:t>
      </w:r>
      <w:r w:rsidRPr="009650A3">
        <w:rPr>
          <w:color w:val="auto"/>
          <w:szCs w:val="24"/>
        </w:rPr>
        <w:t>0% disability</w:t>
      </w:r>
      <w:r w:rsidR="00E866F8" w:rsidRPr="009650A3">
        <w:rPr>
          <w:color w:val="auto"/>
          <w:szCs w:val="24"/>
        </w:rPr>
        <w:t xml:space="preserve"> using the Veterans Affairs Schedule for Ratings Disabilities (VASRD) and applicable </w:t>
      </w:r>
      <w:r w:rsidR="00654A07" w:rsidRPr="009650A3">
        <w:rPr>
          <w:color w:val="auto"/>
          <w:szCs w:val="24"/>
        </w:rPr>
        <w:t>Navy, Marine Corps</w:t>
      </w:r>
      <w:r w:rsidR="00E866F8" w:rsidRPr="009650A3">
        <w:rPr>
          <w:color w:val="auto"/>
          <w:szCs w:val="24"/>
        </w:rPr>
        <w:t xml:space="preserve"> and Department of Defense regulations.</w:t>
      </w:r>
    </w:p>
    <w:p w:rsidR="00923B25" w:rsidRPr="009650A3" w:rsidRDefault="008B5D31" w:rsidP="009650A3">
      <w:pPr>
        <w:tabs>
          <w:tab w:val="left" w:pos="288"/>
          <w:tab w:val="left" w:pos="4752"/>
        </w:tabs>
        <w:spacing w:line="240" w:lineRule="exact"/>
        <w:jc w:val="both"/>
        <w:rPr>
          <w:color w:val="auto"/>
        </w:rPr>
      </w:pPr>
      <w:r w:rsidRPr="009650A3">
        <w:rPr>
          <w:color w:val="auto"/>
          <w:u w:val="single"/>
        </w:rPr>
        <w:t>_______________________________________________________________</w:t>
      </w:r>
      <w:r w:rsidRPr="009650A3">
        <w:rPr>
          <w:color w:val="auto"/>
        </w:rPr>
        <w:t>_</w:t>
      </w:r>
    </w:p>
    <w:p w:rsidR="00923B25" w:rsidRPr="009650A3" w:rsidRDefault="00923B25" w:rsidP="009650A3">
      <w:pPr>
        <w:tabs>
          <w:tab w:val="left" w:pos="288"/>
          <w:tab w:val="left" w:pos="4752"/>
        </w:tabs>
        <w:spacing w:line="240" w:lineRule="exact"/>
        <w:jc w:val="both"/>
        <w:rPr>
          <w:color w:val="auto"/>
        </w:rPr>
      </w:pPr>
    </w:p>
    <w:p w:rsidR="00A90D55" w:rsidRDefault="001C181A" w:rsidP="009650A3">
      <w:pPr>
        <w:autoSpaceDE w:val="0"/>
        <w:autoSpaceDN w:val="0"/>
        <w:adjustRightInd w:val="0"/>
        <w:spacing w:line="240" w:lineRule="exact"/>
        <w:jc w:val="both"/>
        <w:rPr>
          <w:color w:val="auto"/>
          <w:szCs w:val="24"/>
        </w:rPr>
      </w:pPr>
      <w:r w:rsidRPr="009650A3">
        <w:rPr>
          <w:color w:val="auto"/>
          <w:u w:val="single"/>
        </w:rPr>
        <w:t>CI CONTENTION</w:t>
      </w:r>
      <w:r w:rsidRPr="009650A3">
        <w:rPr>
          <w:color w:val="auto"/>
        </w:rPr>
        <w:t>:</w:t>
      </w:r>
      <w:r w:rsidR="00FB6E82" w:rsidRPr="009650A3">
        <w:rPr>
          <w:color w:val="auto"/>
        </w:rPr>
        <w:t xml:space="preserve">  </w:t>
      </w:r>
      <w:r w:rsidR="009C3F82" w:rsidRPr="009650A3">
        <w:rPr>
          <w:color w:val="auto"/>
          <w:szCs w:val="24"/>
        </w:rPr>
        <w:t>The CI</w:t>
      </w:r>
      <w:r w:rsidR="00E866F8" w:rsidRPr="009650A3">
        <w:rPr>
          <w:color w:val="auto"/>
          <w:szCs w:val="24"/>
        </w:rPr>
        <w:t xml:space="preserve"> states: </w:t>
      </w:r>
      <w:r w:rsidR="00E40F19" w:rsidRPr="009650A3">
        <w:rPr>
          <w:rFonts w:hAnsi="Calibri"/>
          <w:color w:val="auto"/>
          <w:szCs w:val="24"/>
        </w:rPr>
        <w:t>“</w:t>
      </w:r>
      <w:r w:rsidR="00654A07" w:rsidRPr="009650A3">
        <w:rPr>
          <w:rFonts w:cs="Arial"/>
          <w:color w:val="auto"/>
          <w:szCs w:val="24"/>
        </w:rPr>
        <w:t xml:space="preserve">I have personal knowledge of two other Lieutenants that were separated for the exact same surgery that was conducted on me in November 2007, (which was a partial </w:t>
      </w:r>
      <w:proofErr w:type="spellStart"/>
      <w:r w:rsidR="00654A07" w:rsidRPr="009650A3">
        <w:rPr>
          <w:rFonts w:cs="Arial"/>
          <w:color w:val="auto"/>
          <w:szCs w:val="24"/>
        </w:rPr>
        <w:t>discectomy</w:t>
      </w:r>
      <w:proofErr w:type="spellEnd"/>
      <w:r w:rsidR="00654A07" w:rsidRPr="009650A3">
        <w:rPr>
          <w:rFonts w:cs="Arial"/>
          <w:color w:val="auto"/>
          <w:szCs w:val="24"/>
        </w:rPr>
        <w:t xml:space="preserve"> of L5/S</w:t>
      </w:r>
      <w:r w:rsidR="00654A07" w:rsidRPr="009650A3">
        <w:rPr>
          <w:color w:val="auto"/>
          <w:szCs w:val="24"/>
        </w:rPr>
        <w:t xml:space="preserve">1) </w:t>
      </w:r>
      <w:proofErr w:type="gramStart"/>
      <w:r w:rsidR="00654A07" w:rsidRPr="009650A3">
        <w:rPr>
          <w:rFonts w:cs="Arial"/>
          <w:color w:val="auto"/>
          <w:szCs w:val="24"/>
        </w:rPr>
        <w:t>were</w:t>
      </w:r>
      <w:proofErr w:type="gramEnd"/>
      <w:r w:rsidR="00654A07" w:rsidRPr="009650A3">
        <w:rPr>
          <w:rFonts w:cs="Arial"/>
          <w:color w:val="auto"/>
          <w:szCs w:val="24"/>
        </w:rPr>
        <w:t xml:space="preserve"> separated with higher disability ratings. Both were members of my command who had been</w:t>
      </w:r>
      <w:r w:rsidR="00367A8C">
        <w:rPr>
          <w:rFonts w:cs="Arial"/>
          <w:color w:val="auto"/>
          <w:szCs w:val="24"/>
        </w:rPr>
        <w:t xml:space="preserve"> </w:t>
      </w:r>
      <w:r w:rsidR="00654A07" w:rsidRPr="009650A3">
        <w:rPr>
          <w:rFonts w:cs="Arial"/>
          <w:color w:val="auto"/>
          <w:szCs w:val="24"/>
        </w:rPr>
        <w:t xml:space="preserve">diagnosed with the same condition that I had, and went through the medical evaluation just prior to my own (within a year). </w:t>
      </w:r>
      <w:r w:rsidR="00EE3A3D">
        <w:rPr>
          <w:rFonts w:cs="Arial"/>
          <w:color w:val="auto"/>
          <w:szCs w:val="24"/>
        </w:rPr>
        <w:t xml:space="preserve"> </w:t>
      </w:r>
      <w:r w:rsidR="00654A07" w:rsidRPr="009650A3">
        <w:rPr>
          <w:rFonts w:cs="Arial"/>
          <w:color w:val="auto"/>
          <w:szCs w:val="24"/>
        </w:rPr>
        <w:t>Neither Marine had</w:t>
      </w:r>
      <w:r w:rsidR="00654A07" w:rsidRPr="009650A3">
        <w:rPr>
          <w:color w:val="auto"/>
          <w:szCs w:val="24"/>
        </w:rPr>
        <w:t xml:space="preserve"> more than one medical procedure conducted, whereas I had two more surgeries with the last being a total disc fusion. </w:t>
      </w:r>
      <w:r w:rsidR="00EE3A3D">
        <w:rPr>
          <w:color w:val="auto"/>
          <w:szCs w:val="24"/>
        </w:rPr>
        <w:t xml:space="preserve"> </w:t>
      </w:r>
      <w:r w:rsidR="00654A07" w:rsidRPr="009650A3">
        <w:rPr>
          <w:color w:val="auto"/>
          <w:szCs w:val="24"/>
        </w:rPr>
        <w:t xml:space="preserve">I conducted rigorous physical rehabilitation in an attempt to remain on active duty, before </w:t>
      </w:r>
      <w:r w:rsidR="00654A07" w:rsidRPr="009650A3">
        <w:rPr>
          <w:rFonts w:cs="Arial"/>
          <w:color w:val="auto"/>
          <w:szCs w:val="24"/>
        </w:rPr>
        <w:t xml:space="preserve">I </w:t>
      </w:r>
      <w:r w:rsidR="00654A07" w:rsidRPr="009650A3">
        <w:rPr>
          <w:color w:val="auto"/>
          <w:szCs w:val="24"/>
        </w:rPr>
        <w:t xml:space="preserve">was told by the physical therapist that </w:t>
      </w:r>
      <w:r w:rsidR="00654A07" w:rsidRPr="009650A3">
        <w:rPr>
          <w:rFonts w:cs="Arial"/>
          <w:color w:val="auto"/>
          <w:szCs w:val="24"/>
        </w:rPr>
        <w:t xml:space="preserve">I </w:t>
      </w:r>
      <w:r w:rsidR="00654A07" w:rsidRPr="009650A3">
        <w:rPr>
          <w:color w:val="auto"/>
          <w:szCs w:val="24"/>
        </w:rPr>
        <w:t xml:space="preserve">was most likely doing more damage </w:t>
      </w:r>
      <w:r w:rsidR="00654A07" w:rsidRPr="009650A3">
        <w:rPr>
          <w:rFonts w:cs="Arial"/>
          <w:color w:val="auto"/>
          <w:szCs w:val="24"/>
        </w:rPr>
        <w:t>by</w:t>
      </w:r>
      <w:r w:rsidR="00367A8C">
        <w:rPr>
          <w:rFonts w:cs="Arial"/>
          <w:color w:val="auto"/>
          <w:szCs w:val="24"/>
        </w:rPr>
        <w:t xml:space="preserve"> </w:t>
      </w:r>
      <w:r w:rsidR="00654A07" w:rsidRPr="009650A3">
        <w:rPr>
          <w:color w:val="auto"/>
          <w:szCs w:val="24"/>
        </w:rPr>
        <w:t xml:space="preserve">attempting </w:t>
      </w:r>
      <w:r w:rsidR="00654A07" w:rsidRPr="009650A3">
        <w:rPr>
          <w:rFonts w:cs="Arial"/>
          <w:color w:val="auto"/>
          <w:szCs w:val="24"/>
        </w:rPr>
        <w:t xml:space="preserve">to return </w:t>
      </w:r>
      <w:r w:rsidR="00654A07" w:rsidRPr="009650A3">
        <w:rPr>
          <w:color w:val="auto"/>
          <w:szCs w:val="24"/>
        </w:rPr>
        <w:t xml:space="preserve">to The Basic School for training. Prior to the back injury, my left knee was injured from conducting MCMAP, and should have weighed in on the boards decision also (neither of the two other Lieutenants had secondary injuries or surgery, </w:t>
      </w:r>
      <w:r w:rsidR="00654A07" w:rsidRPr="009650A3">
        <w:rPr>
          <w:rFonts w:cs="Arial"/>
          <w:color w:val="auto"/>
          <w:szCs w:val="24"/>
        </w:rPr>
        <w:t xml:space="preserve">to </w:t>
      </w:r>
      <w:r w:rsidR="00654A07" w:rsidRPr="009650A3">
        <w:rPr>
          <w:color w:val="auto"/>
          <w:szCs w:val="24"/>
        </w:rPr>
        <w:t xml:space="preserve">the best of my knowledge). </w:t>
      </w:r>
      <w:r w:rsidR="00EE3A3D">
        <w:rPr>
          <w:color w:val="auto"/>
          <w:szCs w:val="24"/>
        </w:rPr>
        <w:t xml:space="preserve"> </w:t>
      </w:r>
      <w:r w:rsidR="00654A07" w:rsidRPr="009650A3">
        <w:rPr>
          <w:color w:val="auto"/>
          <w:szCs w:val="24"/>
        </w:rPr>
        <w:t xml:space="preserve">This information was shared </w:t>
      </w:r>
      <w:r w:rsidR="00654A07" w:rsidRPr="009650A3">
        <w:rPr>
          <w:rFonts w:cs="Arial"/>
          <w:color w:val="auto"/>
          <w:szCs w:val="24"/>
        </w:rPr>
        <w:t xml:space="preserve">to </w:t>
      </w:r>
      <w:r w:rsidR="00654A07" w:rsidRPr="009650A3">
        <w:rPr>
          <w:color w:val="auto"/>
          <w:szCs w:val="24"/>
        </w:rPr>
        <w:t>me by Second Lieutenants J</w:t>
      </w:r>
      <w:r w:rsidR="00E95124">
        <w:rPr>
          <w:color w:val="auto"/>
          <w:szCs w:val="24"/>
        </w:rPr>
        <w:t>---</w:t>
      </w:r>
      <w:r w:rsidR="00654A07" w:rsidRPr="009650A3">
        <w:rPr>
          <w:color w:val="auto"/>
          <w:szCs w:val="24"/>
        </w:rPr>
        <w:t xml:space="preserve"> P</w:t>
      </w:r>
      <w:r w:rsidR="00E95124">
        <w:rPr>
          <w:color w:val="auto"/>
          <w:szCs w:val="24"/>
        </w:rPr>
        <w:t>---</w:t>
      </w:r>
      <w:r w:rsidR="00654A07" w:rsidRPr="009650A3">
        <w:rPr>
          <w:color w:val="auto"/>
          <w:szCs w:val="24"/>
        </w:rPr>
        <w:t>, and R</w:t>
      </w:r>
      <w:r w:rsidR="00E95124">
        <w:rPr>
          <w:color w:val="auto"/>
          <w:szCs w:val="24"/>
        </w:rPr>
        <w:t>---</w:t>
      </w:r>
      <w:r w:rsidR="00654A07" w:rsidRPr="009650A3">
        <w:rPr>
          <w:color w:val="auto"/>
          <w:szCs w:val="24"/>
        </w:rPr>
        <w:t xml:space="preserve"> W</w:t>
      </w:r>
      <w:r w:rsidR="00E95124">
        <w:rPr>
          <w:color w:val="auto"/>
          <w:szCs w:val="24"/>
        </w:rPr>
        <w:t>---</w:t>
      </w:r>
      <w:r w:rsidR="00654A07" w:rsidRPr="009650A3">
        <w:rPr>
          <w:color w:val="auto"/>
          <w:szCs w:val="24"/>
        </w:rPr>
        <w:t xml:space="preserve"> who were separated with disability ratings of</w:t>
      </w:r>
      <w:r w:rsidR="00E95124">
        <w:rPr>
          <w:color w:val="auto"/>
          <w:szCs w:val="24"/>
        </w:rPr>
        <w:t xml:space="preserve"> </w:t>
      </w:r>
      <w:r w:rsidR="00654A07" w:rsidRPr="009650A3">
        <w:rPr>
          <w:color w:val="auto"/>
          <w:szCs w:val="24"/>
        </w:rPr>
        <w:t xml:space="preserve">40% and 30% respectively. </w:t>
      </w:r>
      <w:r w:rsidR="00654A07" w:rsidRPr="009650A3">
        <w:rPr>
          <w:rFonts w:cs="Arial"/>
          <w:color w:val="auto"/>
          <w:szCs w:val="24"/>
        </w:rPr>
        <w:t xml:space="preserve">It </w:t>
      </w:r>
      <w:r w:rsidR="00654A07" w:rsidRPr="009650A3">
        <w:rPr>
          <w:color w:val="auto"/>
          <w:szCs w:val="24"/>
        </w:rPr>
        <w:t xml:space="preserve">is for this reason that </w:t>
      </w:r>
      <w:r w:rsidR="00654A07" w:rsidRPr="009650A3">
        <w:rPr>
          <w:rFonts w:cs="Arial"/>
          <w:color w:val="auto"/>
          <w:szCs w:val="24"/>
        </w:rPr>
        <w:t xml:space="preserve">I </w:t>
      </w:r>
      <w:r w:rsidR="00654A07" w:rsidRPr="009650A3">
        <w:rPr>
          <w:color w:val="auto"/>
          <w:szCs w:val="24"/>
        </w:rPr>
        <w:t xml:space="preserve">believe my rating was unfairly rated lower than it should have been, and </w:t>
      </w:r>
      <w:r w:rsidR="00654A07" w:rsidRPr="009650A3">
        <w:rPr>
          <w:rFonts w:cs="Arial"/>
          <w:color w:val="auto"/>
          <w:szCs w:val="24"/>
        </w:rPr>
        <w:t xml:space="preserve">I </w:t>
      </w:r>
      <w:r w:rsidR="00654A07" w:rsidRPr="009650A3">
        <w:rPr>
          <w:color w:val="auto"/>
          <w:szCs w:val="24"/>
        </w:rPr>
        <w:t>respectfully request a secondary review of my case</w:t>
      </w:r>
      <w:r w:rsidR="00E866F8" w:rsidRPr="009650A3">
        <w:rPr>
          <w:rFonts w:hAnsi="Calibri"/>
          <w:color w:val="auto"/>
          <w:szCs w:val="24"/>
        </w:rPr>
        <w:t>”</w:t>
      </w:r>
      <w:r w:rsidR="00654A07" w:rsidRPr="009650A3">
        <w:rPr>
          <w:color w:val="auto"/>
          <w:szCs w:val="24"/>
        </w:rPr>
        <w:t>.</w:t>
      </w:r>
    </w:p>
    <w:p w:rsidR="00DB53CE" w:rsidRDefault="00DB53CE" w:rsidP="009650A3">
      <w:pPr>
        <w:autoSpaceDE w:val="0"/>
        <w:autoSpaceDN w:val="0"/>
        <w:adjustRightInd w:val="0"/>
        <w:spacing w:line="240" w:lineRule="exact"/>
        <w:jc w:val="both"/>
        <w:rPr>
          <w:color w:val="auto"/>
          <w:szCs w:val="24"/>
        </w:rPr>
      </w:pPr>
    </w:p>
    <w:p w:rsidR="00DB53CE" w:rsidRPr="009650A3" w:rsidRDefault="00DB53CE" w:rsidP="009650A3">
      <w:pPr>
        <w:autoSpaceDE w:val="0"/>
        <w:autoSpaceDN w:val="0"/>
        <w:adjustRightInd w:val="0"/>
        <w:spacing w:line="240" w:lineRule="exact"/>
        <w:jc w:val="both"/>
        <w:rPr>
          <w:color w:val="auto"/>
          <w:szCs w:val="24"/>
        </w:rPr>
      </w:pPr>
      <w:r>
        <w:rPr>
          <w:color w:val="auto"/>
          <w:szCs w:val="24"/>
        </w:rPr>
        <w:t>The CI also submitted two letters with his application.</w:t>
      </w:r>
    </w:p>
    <w:p w:rsidR="00A90D55" w:rsidRPr="009650A3" w:rsidRDefault="008B5D31" w:rsidP="009650A3">
      <w:pPr>
        <w:tabs>
          <w:tab w:val="left" w:pos="288"/>
          <w:tab w:val="left" w:pos="4752"/>
        </w:tabs>
        <w:spacing w:line="240" w:lineRule="exact"/>
        <w:jc w:val="both"/>
        <w:rPr>
          <w:color w:val="auto"/>
        </w:rPr>
      </w:pPr>
      <w:r w:rsidRPr="009650A3">
        <w:rPr>
          <w:color w:val="auto"/>
          <w:u w:val="single"/>
        </w:rPr>
        <w:t>______________________________________________________________</w:t>
      </w:r>
      <w:r w:rsidRPr="009650A3">
        <w:rPr>
          <w:color w:val="auto"/>
        </w:rPr>
        <w:t>_</w:t>
      </w:r>
    </w:p>
    <w:p w:rsidR="00EE3A3D" w:rsidRDefault="00EE3A3D">
      <w:pPr>
        <w:rPr>
          <w:color w:val="auto"/>
        </w:rPr>
      </w:pPr>
      <w:r>
        <w:rPr>
          <w:color w:val="auto"/>
        </w:rPr>
        <w:br w:type="page"/>
      </w:r>
    </w:p>
    <w:p w:rsidR="002338CA" w:rsidRPr="009650A3" w:rsidRDefault="00A90D55" w:rsidP="009650A3">
      <w:pPr>
        <w:tabs>
          <w:tab w:val="left" w:pos="288"/>
          <w:tab w:val="left" w:pos="4752"/>
        </w:tabs>
        <w:spacing w:line="240" w:lineRule="exact"/>
        <w:jc w:val="both"/>
        <w:rPr>
          <w:color w:val="auto"/>
        </w:rPr>
      </w:pPr>
      <w:r w:rsidRPr="009650A3">
        <w:rPr>
          <w:color w:val="auto"/>
          <w:u w:val="single"/>
        </w:rPr>
        <w:lastRenderedPageBreak/>
        <w:t>RATING COMPARISON</w:t>
      </w:r>
      <w:r w:rsidRPr="009650A3">
        <w:rPr>
          <w:color w:val="auto"/>
        </w:rPr>
        <w:t>:</w:t>
      </w:r>
    </w:p>
    <w:p w:rsidR="00DB6FBE" w:rsidRPr="009650A3" w:rsidRDefault="00DB6FBE" w:rsidP="009650A3">
      <w:pPr>
        <w:tabs>
          <w:tab w:val="left" w:pos="288"/>
          <w:tab w:val="left" w:pos="4752"/>
        </w:tabs>
        <w:spacing w:line="240" w:lineRule="exact"/>
        <w:jc w:val="both"/>
        <w:rPr>
          <w:color w:val="auto"/>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RPr="00851C3A"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851C3A" w:rsidRDefault="00DA3ED0" w:rsidP="009650A3">
            <w:pPr>
              <w:pStyle w:val="ListParagraph"/>
              <w:spacing w:after="0" w:line="240" w:lineRule="exact"/>
              <w:ind w:left="0"/>
              <w:jc w:val="center"/>
              <w:rPr>
                <w:rFonts w:cs="Times New Roman"/>
                <w:sz w:val="20"/>
                <w:szCs w:val="20"/>
              </w:rPr>
            </w:pPr>
            <w:r w:rsidRPr="00851C3A">
              <w:rPr>
                <w:rFonts w:cs="Times New Roman"/>
                <w:sz w:val="20"/>
                <w:szCs w:val="20"/>
              </w:rPr>
              <w:t>Service PEB</w:t>
            </w:r>
            <w:r w:rsidR="001F68DF" w:rsidRPr="00851C3A">
              <w:rPr>
                <w:rFonts w:cs="Times New Roman"/>
                <w:sz w:val="20"/>
                <w:szCs w:val="20"/>
              </w:rPr>
              <w:t xml:space="preserve"> </w:t>
            </w:r>
            <w:r w:rsidR="001F68DF" w:rsidRPr="00851C3A">
              <w:rPr>
                <w:rFonts w:cs="Times New Roman"/>
                <w:sz w:val="20"/>
                <w:szCs w:val="20"/>
                <w:highlight w:val="yellow"/>
              </w:rPr>
              <w:t xml:space="preserve"> </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851C3A" w:rsidRDefault="00DA3ED0" w:rsidP="00EC464B">
            <w:pPr>
              <w:pStyle w:val="ListParagraph"/>
              <w:spacing w:after="0" w:line="240" w:lineRule="exact"/>
              <w:ind w:left="0"/>
              <w:jc w:val="center"/>
              <w:rPr>
                <w:rFonts w:cs="Times New Roman"/>
                <w:sz w:val="20"/>
                <w:szCs w:val="20"/>
              </w:rPr>
            </w:pPr>
            <w:r w:rsidRPr="00851C3A">
              <w:rPr>
                <w:rFonts w:cs="Times New Roman"/>
                <w:sz w:val="20"/>
                <w:szCs w:val="20"/>
              </w:rPr>
              <w:t>VA (</w:t>
            </w:r>
            <w:r w:rsidR="00654A07" w:rsidRPr="00851C3A">
              <w:rPr>
                <w:rFonts w:cs="Times New Roman"/>
                <w:sz w:val="20"/>
                <w:szCs w:val="20"/>
              </w:rPr>
              <w:t xml:space="preserve">4 </w:t>
            </w:r>
            <w:r w:rsidR="00EC464B" w:rsidRPr="00851C3A">
              <w:rPr>
                <w:rFonts w:cs="Times New Roman"/>
                <w:sz w:val="20"/>
                <w:szCs w:val="20"/>
              </w:rPr>
              <w:t xml:space="preserve">Months Prior to </w:t>
            </w:r>
            <w:r w:rsidRPr="00851C3A">
              <w:rPr>
                <w:rFonts w:cs="Times New Roman"/>
                <w:sz w:val="20"/>
                <w:szCs w:val="20"/>
              </w:rPr>
              <w:t>Separation)</w:t>
            </w:r>
          </w:p>
        </w:tc>
      </w:tr>
      <w:tr w:rsidR="00DA3ED0" w:rsidRPr="00851C3A" w:rsidTr="00DA3ED0">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51C3A" w:rsidRDefault="00DA3ED0" w:rsidP="009650A3">
            <w:pPr>
              <w:pStyle w:val="ListParagraph"/>
              <w:spacing w:after="0" w:line="240" w:lineRule="exact"/>
              <w:ind w:left="0"/>
              <w:jc w:val="center"/>
              <w:rPr>
                <w:rFonts w:cs="Times New Roman"/>
                <w:sz w:val="20"/>
                <w:szCs w:val="20"/>
              </w:rPr>
            </w:pPr>
            <w:r w:rsidRPr="00851C3A">
              <w:rPr>
                <w:rFonts w:cs="Times New Roman"/>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51C3A" w:rsidRDefault="00DA3ED0" w:rsidP="009650A3">
            <w:pPr>
              <w:pStyle w:val="ListParagraph"/>
              <w:spacing w:after="0" w:line="240" w:lineRule="exact"/>
              <w:ind w:left="0"/>
              <w:jc w:val="center"/>
              <w:rPr>
                <w:rFonts w:cs="Times New Roman"/>
                <w:sz w:val="20"/>
                <w:szCs w:val="20"/>
              </w:rPr>
            </w:pPr>
            <w:r w:rsidRPr="00851C3A">
              <w:rPr>
                <w:rFonts w:cs="Times New Roman"/>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51C3A" w:rsidRDefault="00DA3ED0" w:rsidP="009650A3">
            <w:pPr>
              <w:pStyle w:val="ListParagraph"/>
              <w:spacing w:after="0" w:line="240" w:lineRule="exact"/>
              <w:ind w:left="0"/>
              <w:jc w:val="center"/>
              <w:rPr>
                <w:rFonts w:cs="Times New Roman"/>
                <w:sz w:val="20"/>
                <w:szCs w:val="20"/>
              </w:rPr>
            </w:pPr>
            <w:r w:rsidRPr="00851C3A">
              <w:rPr>
                <w:rFonts w:cs="Times New Roman"/>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851C3A" w:rsidRDefault="00DA3ED0" w:rsidP="009650A3">
            <w:pPr>
              <w:pStyle w:val="ListParagraph"/>
              <w:spacing w:after="0" w:line="240" w:lineRule="exact"/>
              <w:ind w:left="0"/>
              <w:jc w:val="center"/>
              <w:rPr>
                <w:rFonts w:cs="Times New Roman"/>
                <w:sz w:val="20"/>
                <w:szCs w:val="20"/>
              </w:rPr>
            </w:pPr>
            <w:r w:rsidRPr="00851C3A">
              <w:rPr>
                <w:rFonts w:cs="Times New Roman"/>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851C3A" w:rsidRDefault="00DA3ED0" w:rsidP="009650A3">
            <w:pPr>
              <w:pStyle w:val="ListParagraph"/>
              <w:spacing w:after="0" w:line="240" w:lineRule="exact"/>
              <w:ind w:left="0"/>
              <w:jc w:val="center"/>
              <w:rPr>
                <w:rFonts w:cs="Times New Roman"/>
                <w:sz w:val="20"/>
                <w:szCs w:val="20"/>
              </w:rPr>
            </w:pPr>
            <w:r w:rsidRPr="00851C3A">
              <w:rPr>
                <w:rFonts w:cs="Times New Roman"/>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51C3A" w:rsidRDefault="00DA3ED0" w:rsidP="009650A3">
            <w:pPr>
              <w:pStyle w:val="ListParagraph"/>
              <w:spacing w:after="0" w:line="240" w:lineRule="exact"/>
              <w:ind w:left="0"/>
              <w:jc w:val="center"/>
              <w:rPr>
                <w:rFonts w:cs="Times New Roman"/>
                <w:sz w:val="20"/>
                <w:szCs w:val="20"/>
              </w:rPr>
            </w:pPr>
            <w:r w:rsidRPr="00851C3A">
              <w:rPr>
                <w:rFonts w:cs="Times New Roman"/>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51C3A" w:rsidRDefault="00DA3ED0" w:rsidP="009650A3">
            <w:pPr>
              <w:pStyle w:val="ListParagraph"/>
              <w:spacing w:after="0" w:line="240" w:lineRule="exact"/>
              <w:ind w:left="0"/>
              <w:jc w:val="center"/>
              <w:rPr>
                <w:rFonts w:cs="Times New Roman"/>
                <w:sz w:val="20"/>
                <w:szCs w:val="20"/>
              </w:rPr>
            </w:pPr>
            <w:r w:rsidRPr="00851C3A">
              <w:rPr>
                <w:rFonts w:cs="Times New Roman"/>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51C3A" w:rsidRDefault="00DA3ED0" w:rsidP="009650A3">
            <w:pPr>
              <w:pStyle w:val="ListParagraph"/>
              <w:spacing w:after="0" w:line="240" w:lineRule="exact"/>
              <w:ind w:left="0"/>
              <w:jc w:val="center"/>
              <w:rPr>
                <w:rFonts w:cs="Times New Roman"/>
                <w:sz w:val="20"/>
                <w:szCs w:val="20"/>
              </w:rPr>
            </w:pPr>
            <w:r w:rsidRPr="00851C3A">
              <w:rPr>
                <w:rFonts w:cs="Times New Roman"/>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851C3A" w:rsidRDefault="00DA3ED0" w:rsidP="009650A3">
            <w:pPr>
              <w:pStyle w:val="ListParagraph"/>
              <w:spacing w:after="0" w:line="240" w:lineRule="exact"/>
              <w:ind w:left="0"/>
              <w:jc w:val="center"/>
              <w:rPr>
                <w:rFonts w:cs="Times New Roman"/>
                <w:sz w:val="20"/>
                <w:szCs w:val="20"/>
              </w:rPr>
            </w:pPr>
            <w:r w:rsidRPr="00851C3A">
              <w:rPr>
                <w:rFonts w:cs="Times New Roman"/>
                <w:sz w:val="20"/>
                <w:szCs w:val="20"/>
              </w:rPr>
              <w:t>Effective</w:t>
            </w:r>
          </w:p>
        </w:tc>
      </w:tr>
      <w:tr w:rsidR="00DA3ED0" w:rsidRPr="00851C3A"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51C3A" w:rsidRDefault="00B10D1D" w:rsidP="009650A3">
            <w:pPr>
              <w:pStyle w:val="ListParagraph"/>
              <w:spacing w:after="0" w:line="240" w:lineRule="exact"/>
              <w:ind w:left="0"/>
              <w:rPr>
                <w:rFonts w:cs="Times New Roman"/>
                <w:sz w:val="18"/>
                <w:szCs w:val="18"/>
              </w:rPr>
            </w:pPr>
            <w:r w:rsidRPr="00851C3A">
              <w:rPr>
                <w:rFonts w:cs="Times New Roman"/>
                <w:sz w:val="18"/>
                <w:szCs w:val="18"/>
              </w:rPr>
              <w:t>Status Post L5-S1 Fusion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51C3A" w:rsidRDefault="00B10D1D" w:rsidP="009650A3">
            <w:pPr>
              <w:pStyle w:val="ListParagraph"/>
              <w:spacing w:after="0" w:line="240" w:lineRule="exact"/>
              <w:ind w:left="0"/>
              <w:jc w:val="center"/>
              <w:rPr>
                <w:rFonts w:cs="Times New Roman"/>
                <w:sz w:val="18"/>
                <w:szCs w:val="18"/>
              </w:rPr>
            </w:pPr>
            <w:r w:rsidRPr="00851C3A">
              <w:rPr>
                <w:rFonts w:cs="Times New Roman"/>
                <w:sz w:val="18"/>
                <w:szCs w:val="18"/>
              </w:rPr>
              <w:t>5241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51C3A" w:rsidRDefault="00B10D1D" w:rsidP="009650A3">
            <w:pPr>
              <w:pStyle w:val="ListParagraph"/>
              <w:spacing w:after="0" w:line="240" w:lineRule="exact"/>
              <w:ind w:left="0"/>
              <w:jc w:val="center"/>
              <w:rPr>
                <w:rFonts w:cs="Times New Roman"/>
                <w:sz w:val="18"/>
                <w:szCs w:val="18"/>
              </w:rPr>
            </w:pPr>
            <w:r w:rsidRPr="00851C3A">
              <w:rPr>
                <w:rFonts w:cs="Times New Roman"/>
                <w:sz w:val="18"/>
                <w:szCs w:val="18"/>
              </w:rPr>
              <w:t>20%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851C3A" w:rsidRDefault="00B10D1D" w:rsidP="009650A3">
            <w:pPr>
              <w:pStyle w:val="ListParagraph"/>
              <w:spacing w:after="0" w:line="240" w:lineRule="exact"/>
              <w:ind w:left="0"/>
              <w:rPr>
                <w:rFonts w:cs="Times New Roman"/>
                <w:sz w:val="18"/>
                <w:szCs w:val="18"/>
              </w:rPr>
            </w:pPr>
            <w:r w:rsidRPr="00851C3A">
              <w:rPr>
                <w:rFonts w:cs="Times New Roman"/>
                <w:sz w:val="18"/>
                <w:szCs w:val="18"/>
              </w:rPr>
              <w:t>20090304</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851C3A" w:rsidRDefault="00367A8C" w:rsidP="009650A3">
            <w:pPr>
              <w:pStyle w:val="ListParagraph"/>
              <w:spacing w:after="0" w:line="240" w:lineRule="exact"/>
              <w:ind w:left="0"/>
              <w:rPr>
                <w:rFonts w:cs="Times New Roman"/>
                <w:sz w:val="18"/>
                <w:szCs w:val="18"/>
              </w:rPr>
            </w:pPr>
            <w:r w:rsidRPr="00851C3A">
              <w:rPr>
                <w:rFonts w:cs="Times New Roman"/>
                <w:sz w:val="18"/>
                <w:szCs w:val="18"/>
              </w:rPr>
              <w:t>Intervertebral</w:t>
            </w:r>
            <w:r w:rsidR="00397D6C" w:rsidRPr="00851C3A">
              <w:rPr>
                <w:rFonts w:cs="Times New Roman"/>
                <w:sz w:val="18"/>
                <w:szCs w:val="18"/>
              </w:rPr>
              <w:t xml:space="preserve"> Disc Syndrome, Lumbar Spine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51C3A" w:rsidRDefault="00397D6C" w:rsidP="009650A3">
            <w:pPr>
              <w:pStyle w:val="ListParagraph"/>
              <w:spacing w:after="0" w:line="240" w:lineRule="exact"/>
              <w:ind w:left="0"/>
              <w:jc w:val="center"/>
              <w:rPr>
                <w:rFonts w:cs="Times New Roman"/>
                <w:sz w:val="18"/>
                <w:szCs w:val="18"/>
              </w:rPr>
            </w:pPr>
            <w:r w:rsidRPr="00851C3A">
              <w:rPr>
                <w:rFonts w:cs="Times New Roman"/>
                <w:sz w:val="18"/>
                <w:szCs w:val="18"/>
              </w:rPr>
              <w:t>5243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51C3A" w:rsidRDefault="00397D6C" w:rsidP="009650A3">
            <w:pPr>
              <w:pStyle w:val="ListParagraph"/>
              <w:spacing w:after="0" w:line="240" w:lineRule="exact"/>
              <w:ind w:left="0"/>
              <w:jc w:val="center"/>
              <w:rPr>
                <w:rFonts w:cs="Times New Roman"/>
                <w:sz w:val="18"/>
                <w:szCs w:val="18"/>
              </w:rPr>
            </w:pPr>
            <w:r w:rsidRPr="00851C3A">
              <w:rPr>
                <w:rFonts w:cs="Times New Roman"/>
                <w:sz w:val="18"/>
                <w:szCs w:val="18"/>
              </w:rPr>
              <w:t>40%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51C3A" w:rsidRDefault="00397D6C" w:rsidP="009650A3">
            <w:pPr>
              <w:pStyle w:val="ListParagraph"/>
              <w:spacing w:after="0" w:line="240" w:lineRule="exact"/>
              <w:ind w:left="0"/>
              <w:jc w:val="center"/>
              <w:rPr>
                <w:rFonts w:cs="Times New Roman"/>
                <w:sz w:val="18"/>
                <w:szCs w:val="18"/>
              </w:rPr>
            </w:pPr>
            <w:r w:rsidRPr="00851C3A">
              <w:rPr>
                <w:rFonts w:cs="Times New Roman"/>
                <w:sz w:val="18"/>
                <w:szCs w:val="18"/>
              </w:rPr>
              <w:t>20090115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851C3A" w:rsidRDefault="00397D6C" w:rsidP="009650A3">
            <w:pPr>
              <w:pStyle w:val="ListParagraph"/>
              <w:spacing w:after="0" w:line="240" w:lineRule="exact"/>
              <w:ind w:left="0"/>
              <w:jc w:val="center"/>
              <w:rPr>
                <w:rFonts w:cs="Times New Roman"/>
                <w:sz w:val="18"/>
                <w:szCs w:val="18"/>
              </w:rPr>
            </w:pPr>
            <w:r w:rsidRPr="00851C3A">
              <w:rPr>
                <w:rFonts w:cs="Times New Roman"/>
                <w:sz w:val="18"/>
                <w:szCs w:val="18"/>
              </w:rPr>
              <w:t>20090531</w:t>
            </w:r>
          </w:p>
        </w:tc>
      </w:tr>
      <w:tr w:rsidR="00AF5A86" w:rsidRPr="00851C3A"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86" w:rsidRPr="00851C3A" w:rsidRDefault="00AF5A86" w:rsidP="00AE58BD">
            <w:pPr>
              <w:pStyle w:val="ListParagraph"/>
              <w:spacing w:after="0" w:line="240" w:lineRule="exact"/>
              <w:ind w:left="0"/>
              <w:rPr>
                <w:rFonts w:cs="Times New Roman"/>
                <w:sz w:val="18"/>
                <w:szCs w:val="18"/>
              </w:rPr>
            </w:pPr>
            <w:r w:rsidRPr="00851C3A">
              <w:rPr>
                <w:rFonts w:cs="Times New Roman"/>
                <w:sz w:val="18"/>
                <w:szCs w:val="18"/>
              </w:rPr>
              <w:t xml:space="preserve">Partial </w:t>
            </w:r>
            <w:proofErr w:type="spellStart"/>
            <w:r w:rsidRPr="00851C3A">
              <w:rPr>
                <w:rFonts w:cs="Times New Roman"/>
                <w:sz w:val="18"/>
                <w:szCs w:val="18"/>
              </w:rPr>
              <w:t>Hemilaminectomy</w:t>
            </w:r>
            <w:proofErr w:type="spellEnd"/>
            <w:r w:rsidRPr="00851C3A">
              <w:rPr>
                <w:rFonts w:cs="Times New Roman"/>
                <w:sz w:val="18"/>
                <w:szCs w:val="18"/>
              </w:rPr>
              <w:t xml:space="preserve"> with </w:t>
            </w:r>
            <w:proofErr w:type="spellStart"/>
            <w:r w:rsidRPr="00851C3A">
              <w:rPr>
                <w:rFonts w:cs="Times New Roman"/>
                <w:sz w:val="18"/>
                <w:szCs w:val="18"/>
              </w:rPr>
              <w:t>Diskectomy</w:t>
            </w:r>
            <w:proofErr w:type="spellEnd"/>
            <w:r w:rsidRPr="00851C3A">
              <w:rPr>
                <w:rFonts w:cs="Times New Roman"/>
                <w:sz w:val="18"/>
                <w:szCs w:val="18"/>
              </w:rPr>
              <w:t xml:space="preserve"> Times Two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86" w:rsidRPr="00851C3A" w:rsidRDefault="00AF5A86" w:rsidP="00AE58BD">
            <w:pPr>
              <w:pStyle w:val="ListParagraph"/>
              <w:spacing w:after="0" w:line="240" w:lineRule="exact"/>
              <w:ind w:left="0"/>
              <w:jc w:val="center"/>
              <w:rPr>
                <w:rFonts w:cs="Times New Roman"/>
                <w:sz w:val="18"/>
                <w:szCs w:val="18"/>
              </w:rPr>
            </w:pPr>
            <w:r w:rsidRPr="00851C3A">
              <w:rPr>
                <w:rFonts w:cs="Times New Roman"/>
                <w:sz w:val="18"/>
                <w:szCs w:val="18"/>
              </w:rPr>
              <w:t>CAT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86" w:rsidRPr="00851C3A" w:rsidRDefault="00AF5A86" w:rsidP="009650A3">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AF5A86" w:rsidRPr="00851C3A" w:rsidRDefault="00AF5A86" w:rsidP="009650A3">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p>
        </w:tc>
      </w:tr>
      <w:tr w:rsidR="00AF5A86" w:rsidRPr="00851C3A" w:rsidTr="00AE58BD">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86" w:rsidRPr="00851C3A" w:rsidRDefault="00AF5A86" w:rsidP="009650A3">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86" w:rsidRPr="00851C3A" w:rsidRDefault="00AF5A86" w:rsidP="009650A3">
            <w:pPr>
              <w:pStyle w:val="ListParagraph"/>
              <w:spacing w:after="0" w:line="240" w:lineRule="exact"/>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AF5A86" w:rsidRPr="00851C3A" w:rsidRDefault="00AF5A86" w:rsidP="00AF5A86">
            <w:pPr>
              <w:pStyle w:val="ListParagraph"/>
              <w:spacing w:after="0" w:line="240" w:lineRule="exact"/>
              <w:ind w:left="0"/>
              <w:jc w:val="center"/>
              <w:rPr>
                <w:rFonts w:cs="Times New Roman"/>
                <w:sz w:val="18"/>
                <w:szCs w:val="18"/>
              </w:rPr>
            </w:pPr>
            <w:r w:rsidRPr="00851C3A">
              <w:rPr>
                <w:rFonts w:cs="Times New Roman"/>
                <w:sz w:val="18"/>
                <w:szCs w:val="18"/>
              </w:rPr>
              <w:t>MEB H&amp;P</w:t>
            </w:r>
          </w:p>
          <w:p w:rsidR="00AF5A86" w:rsidRPr="00851C3A" w:rsidRDefault="00AF5A86" w:rsidP="00AF5A86">
            <w:pPr>
              <w:pStyle w:val="ListParagraph"/>
              <w:spacing w:after="0" w:line="240" w:lineRule="exact"/>
              <w:ind w:left="0"/>
              <w:jc w:val="center"/>
              <w:rPr>
                <w:rFonts w:cs="Times New Roman"/>
                <w:sz w:val="18"/>
                <w:szCs w:val="18"/>
              </w:rPr>
            </w:pPr>
            <w:r w:rsidRPr="00851C3A">
              <w:rPr>
                <w:rFonts w:cs="Times New Roman"/>
                <w:sz w:val="18"/>
                <w:szCs w:val="18"/>
              </w:rPr>
              <w:t>20081216</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rPr>
                <w:rFonts w:cs="Times New Roman"/>
                <w:sz w:val="18"/>
                <w:szCs w:val="18"/>
              </w:rPr>
            </w:pPr>
            <w:r w:rsidRPr="00851C3A">
              <w:rPr>
                <w:rFonts w:cs="Times New Roman"/>
                <w:sz w:val="18"/>
                <w:szCs w:val="18"/>
              </w:rPr>
              <w:t>Neuritis, Left Lower Extremity Associated with Intervertebral Disc Syndrome, Lumbar Spine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r w:rsidRPr="00851C3A">
              <w:rPr>
                <w:rFonts w:cs="Times New Roman"/>
                <w:sz w:val="18"/>
                <w:szCs w:val="18"/>
              </w:rPr>
              <w:t>8620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r w:rsidRPr="00851C3A">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r w:rsidRPr="00851C3A">
              <w:rPr>
                <w:rFonts w:cs="Times New Roman"/>
                <w:sz w:val="18"/>
                <w:szCs w:val="18"/>
              </w:rPr>
              <w:t>20090115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r w:rsidRPr="00851C3A">
              <w:rPr>
                <w:rFonts w:cs="Times New Roman"/>
                <w:sz w:val="18"/>
                <w:szCs w:val="18"/>
              </w:rPr>
              <w:t>20090531</w:t>
            </w:r>
          </w:p>
        </w:tc>
      </w:tr>
      <w:tr w:rsidR="00AF5A86" w:rsidRPr="00851C3A" w:rsidTr="00AE58BD">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86" w:rsidRPr="00851C3A" w:rsidRDefault="00AF5A86" w:rsidP="009650A3">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86" w:rsidRPr="00851C3A" w:rsidRDefault="00AF5A86" w:rsidP="009650A3">
            <w:pPr>
              <w:pStyle w:val="ListParagraph"/>
              <w:spacing w:after="0" w:line="240" w:lineRule="exact"/>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AF5A86" w:rsidRPr="00851C3A" w:rsidRDefault="00AD43DD" w:rsidP="009650A3">
            <w:pPr>
              <w:pStyle w:val="ListParagraph"/>
              <w:spacing w:after="0" w:line="240" w:lineRule="exact"/>
              <w:ind w:left="0"/>
              <w:jc w:val="center"/>
              <w:rPr>
                <w:rFonts w:cs="Times New Roman"/>
                <w:sz w:val="18"/>
                <w:szCs w:val="18"/>
              </w:rPr>
            </w:pPr>
            <w:r w:rsidRPr="00851C3A">
              <w:rPr>
                <w:rFonts w:cs="Times New Roman"/>
                <w:sz w:val="18"/>
                <w:szCs w:val="18"/>
              </w:rPr>
              <w:t>Surgery in NARSUM Scar in MEB H&amp;P 20081216</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rPr>
                <w:rFonts w:cs="Times New Roman"/>
                <w:sz w:val="18"/>
                <w:szCs w:val="18"/>
              </w:rPr>
            </w:pPr>
            <w:r w:rsidRPr="00851C3A">
              <w:rPr>
                <w:rFonts w:cs="Times New Roman"/>
                <w:sz w:val="18"/>
                <w:szCs w:val="18"/>
              </w:rPr>
              <w:t xml:space="preserve">Scar, Status Post L5-S1 </w:t>
            </w:r>
            <w:proofErr w:type="spellStart"/>
            <w:r w:rsidRPr="00851C3A">
              <w:rPr>
                <w:rFonts w:cs="Times New Roman"/>
                <w:sz w:val="18"/>
                <w:szCs w:val="18"/>
              </w:rPr>
              <w:t>Discectomy</w:t>
            </w:r>
            <w:proofErr w:type="spellEnd"/>
            <w:r w:rsidRPr="00851C3A">
              <w:rPr>
                <w:rFonts w:cs="Times New Roman"/>
                <w:sz w:val="18"/>
                <w:szCs w:val="18"/>
              </w:rPr>
              <w:t xml:space="preserve"> and Fusion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r w:rsidRPr="00851C3A">
              <w:rPr>
                <w:rFonts w:cs="Times New Roman"/>
                <w:sz w:val="18"/>
                <w:szCs w:val="18"/>
              </w:rPr>
              <w:t>7804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r w:rsidRPr="00851C3A">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r w:rsidRPr="00851C3A">
              <w:rPr>
                <w:rFonts w:cs="Times New Roman"/>
                <w:sz w:val="18"/>
                <w:szCs w:val="18"/>
              </w:rPr>
              <w:t>20090115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r w:rsidRPr="00851C3A">
              <w:rPr>
                <w:rFonts w:cs="Times New Roman"/>
                <w:sz w:val="18"/>
                <w:szCs w:val="18"/>
              </w:rPr>
              <w:t>20090531</w:t>
            </w:r>
          </w:p>
        </w:tc>
      </w:tr>
      <w:tr w:rsidR="00AF5A86" w:rsidRPr="00851C3A" w:rsidTr="00AE58BD">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86" w:rsidRPr="00851C3A" w:rsidRDefault="00AF5A86" w:rsidP="009650A3">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86" w:rsidRPr="00851C3A" w:rsidRDefault="00AF5A86" w:rsidP="009650A3">
            <w:pPr>
              <w:pStyle w:val="ListParagraph"/>
              <w:spacing w:after="0" w:line="240" w:lineRule="exact"/>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AF5A86" w:rsidRPr="00851C3A" w:rsidRDefault="00AD43DD" w:rsidP="009650A3">
            <w:pPr>
              <w:pStyle w:val="ListParagraph"/>
              <w:spacing w:after="0" w:line="240" w:lineRule="exact"/>
              <w:ind w:left="0"/>
              <w:jc w:val="center"/>
              <w:rPr>
                <w:rFonts w:cs="Times New Roman"/>
                <w:sz w:val="18"/>
                <w:szCs w:val="18"/>
              </w:rPr>
            </w:pPr>
            <w:r w:rsidRPr="00851C3A">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rPr>
                <w:rFonts w:cs="Times New Roman"/>
                <w:sz w:val="18"/>
                <w:szCs w:val="18"/>
              </w:rPr>
            </w:pPr>
            <w:r w:rsidRPr="00851C3A">
              <w:rPr>
                <w:rFonts w:cs="Times New Roman"/>
                <w:sz w:val="18"/>
                <w:szCs w:val="18"/>
              </w:rPr>
              <w:t>Intervertebral Disc Syndrome, Cervical Spine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r w:rsidRPr="00851C3A">
              <w:rPr>
                <w:rFonts w:cs="Times New Roman"/>
                <w:sz w:val="18"/>
                <w:szCs w:val="18"/>
              </w:rPr>
              <w:t>5243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r w:rsidRPr="00851C3A">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r w:rsidRPr="00851C3A">
              <w:rPr>
                <w:rFonts w:cs="Times New Roman"/>
                <w:sz w:val="18"/>
                <w:szCs w:val="18"/>
              </w:rPr>
              <w:t>20090115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r w:rsidRPr="00851C3A">
              <w:rPr>
                <w:rFonts w:cs="Times New Roman"/>
                <w:sz w:val="18"/>
                <w:szCs w:val="18"/>
              </w:rPr>
              <w:t>29900531</w:t>
            </w:r>
          </w:p>
        </w:tc>
      </w:tr>
      <w:tr w:rsidR="00AD43DD" w:rsidRPr="00851C3A" w:rsidTr="00AE58BD">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3DD" w:rsidRPr="00851C3A" w:rsidRDefault="00AD43DD" w:rsidP="009650A3">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3DD" w:rsidRPr="00851C3A" w:rsidRDefault="00AD43DD" w:rsidP="009650A3">
            <w:pPr>
              <w:pStyle w:val="ListParagraph"/>
              <w:spacing w:after="0" w:line="240" w:lineRule="exact"/>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AD43DD" w:rsidRPr="00851C3A" w:rsidRDefault="00AD43DD" w:rsidP="00AD43DD">
            <w:pPr>
              <w:jc w:val="center"/>
              <w:rPr>
                <w:color w:val="auto"/>
              </w:rPr>
            </w:pPr>
            <w:r w:rsidRPr="00851C3A">
              <w:rPr>
                <w:rFonts w:cs="Times New Roman"/>
                <w:color w:val="auto"/>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D43DD" w:rsidRPr="00851C3A" w:rsidRDefault="006F27BA" w:rsidP="009650A3">
            <w:pPr>
              <w:pStyle w:val="ListParagraph"/>
              <w:spacing w:after="0" w:line="240" w:lineRule="exact"/>
              <w:ind w:left="0"/>
              <w:rPr>
                <w:rFonts w:cs="Times New Roman"/>
                <w:sz w:val="18"/>
                <w:szCs w:val="18"/>
              </w:rPr>
            </w:pPr>
            <w:r w:rsidRPr="00851C3A">
              <w:rPr>
                <w:rFonts w:cs="Times New Roman"/>
                <w:sz w:val="18"/>
                <w:szCs w:val="18"/>
              </w:rPr>
              <w:t>Neuropathy</w:t>
            </w:r>
            <w:r w:rsidR="00AD43DD" w:rsidRPr="00851C3A">
              <w:rPr>
                <w:rFonts w:cs="Times New Roman"/>
                <w:sz w:val="18"/>
                <w:szCs w:val="18"/>
              </w:rPr>
              <w:t>, Left Upper Extremity Associated with Intervertebral Disc Syndrome, Cervical Spine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3DD" w:rsidRPr="00851C3A" w:rsidRDefault="00AD43DD" w:rsidP="009650A3">
            <w:pPr>
              <w:pStyle w:val="ListParagraph"/>
              <w:spacing w:after="0" w:line="240" w:lineRule="exact"/>
              <w:ind w:left="0"/>
              <w:jc w:val="center"/>
              <w:rPr>
                <w:rFonts w:cs="Times New Roman"/>
                <w:sz w:val="18"/>
                <w:szCs w:val="18"/>
              </w:rPr>
            </w:pPr>
            <w:r w:rsidRPr="00851C3A">
              <w:rPr>
                <w:rFonts w:cs="Times New Roman"/>
                <w:sz w:val="18"/>
                <w:szCs w:val="18"/>
              </w:rPr>
              <w:t>8519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3DD" w:rsidRPr="00851C3A" w:rsidRDefault="00AD43DD" w:rsidP="009650A3">
            <w:pPr>
              <w:pStyle w:val="ListParagraph"/>
              <w:spacing w:after="0" w:line="240" w:lineRule="exact"/>
              <w:ind w:left="0"/>
              <w:jc w:val="center"/>
              <w:rPr>
                <w:rFonts w:cs="Times New Roman"/>
                <w:sz w:val="18"/>
                <w:szCs w:val="18"/>
              </w:rPr>
            </w:pPr>
            <w:r w:rsidRPr="00851C3A">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3DD" w:rsidRPr="00851C3A" w:rsidRDefault="00AD43DD" w:rsidP="009650A3">
            <w:pPr>
              <w:pStyle w:val="ListParagraph"/>
              <w:spacing w:after="0" w:line="240" w:lineRule="exact"/>
              <w:ind w:left="0"/>
              <w:jc w:val="center"/>
              <w:rPr>
                <w:rFonts w:cs="Times New Roman"/>
                <w:sz w:val="18"/>
                <w:szCs w:val="18"/>
              </w:rPr>
            </w:pPr>
            <w:r w:rsidRPr="00851C3A">
              <w:rPr>
                <w:rFonts w:cs="Times New Roman"/>
                <w:sz w:val="18"/>
                <w:szCs w:val="18"/>
              </w:rPr>
              <w:t>20090115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3DD" w:rsidRPr="00851C3A" w:rsidRDefault="00AD43DD" w:rsidP="009650A3">
            <w:pPr>
              <w:pStyle w:val="ListParagraph"/>
              <w:spacing w:after="0" w:line="240" w:lineRule="exact"/>
              <w:ind w:left="0"/>
              <w:jc w:val="center"/>
              <w:rPr>
                <w:rFonts w:cs="Times New Roman"/>
                <w:sz w:val="18"/>
                <w:szCs w:val="18"/>
              </w:rPr>
            </w:pPr>
            <w:r w:rsidRPr="00851C3A">
              <w:rPr>
                <w:rFonts w:cs="Times New Roman"/>
                <w:sz w:val="18"/>
                <w:szCs w:val="18"/>
              </w:rPr>
              <w:t>29900531</w:t>
            </w:r>
          </w:p>
        </w:tc>
      </w:tr>
      <w:tr w:rsidR="00AD43DD" w:rsidRPr="00851C3A" w:rsidTr="00AE58BD">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3DD" w:rsidRPr="00851C3A" w:rsidRDefault="00AD43DD" w:rsidP="009650A3">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3DD" w:rsidRPr="00851C3A" w:rsidRDefault="00AD43DD" w:rsidP="009650A3">
            <w:pPr>
              <w:pStyle w:val="ListParagraph"/>
              <w:spacing w:after="0" w:line="240" w:lineRule="exact"/>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AD43DD" w:rsidRPr="00851C3A" w:rsidRDefault="00AD43DD" w:rsidP="00AD43DD">
            <w:pPr>
              <w:jc w:val="center"/>
              <w:rPr>
                <w:color w:val="auto"/>
              </w:rPr>
            </w:pPr>
            <w:r w:rsidRPr="00851C3A">
              <w:rPr>
                <w:rFonts w:cs="Times New Roman"/>
                <w:color w:val="auto"/>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D43DD" w:rsidRPr="00851C3A" w:rsidRDefault="006F27BA" w:rsidP="009650A3">
            <w:pPr>
              <w:pStyle w:val="ListParagraph"/>
              <w:spacing w:after="0" w:line="240" w:lineRule="exact"/>
              <w:ind w:left="0"/>
              <w:rPr>
                <w:rFonts w:cs="Times New Roman"/>
                <w:sz w:val="18"/>
                <w:szCs w:val="18"/>
              </w:rPr>
            </w:pPr>
            <w:r w:rsidRPr="00851C3A">
              <w:rPr>
                <w:rFonts w:cs="Times New Roman"/>
                <w:sz w:val="18"/>
                <w:szCs w:val="18"/>
              </w:rPr>
              <w:t>Neuropathy</w:t>
            </w:r>
            <w:r w:rsidR="00AD43DD" w:rsidRPr="00851C3A">
              <w:rPr>
                <w:rFonts w:cs="Times New Roman"/>
                <w:sz w:val="18"/>
                <w:szCs w:val="18"/>
              </w:rPr>
              <w:t>, Right Upper Extremity Associated with Intervertebral Disc Syndrome, Cervical Spine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3DD" w:rsidRPr="00851C3A" w:rsidRDefault="00AD43DD" w:rsidP="009650A3">
            <w:pPr>
              <w:pStyle w:val="ListParagraph"/>
              <w:spacing w:after="0" w:line="240" w:lineRule="exact"/>
              <w:ind w:left="0"/>
              <w:jc w:val="center"/>
              <w:rPr>
                <w:rFonts w:cs="Times New Roman"/>
                <w:sz w:val="18"/>
                <w:szCs w:val="18"/>
              </w:rPr>
            </w:pPr>
            <w:r w:rsidRPr="00851C3A">
              <w:rPr>
                <w:rFonts w:cs="Times New Roman"/>
                <w:sz w:val="18"/>
                <w:szCs w:val="18"/>
              </w:rPr>
              <w:t>8519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3DD" w:rsidRPr="00851C3A" w:rsidRDefault="00AD43DD" w:rsidP="009650A3">
            <w:pPr>
              <w:pStyle w:val="ListParagraph"/>
              <w:spacing w:after="0" w:line="240" w:lineRule="exact"/>
              <w:ind w:left="0"/>
              <w:jc w:val="center"/>
              <w:rPr>
                <w:rFonts w:cs="Times New Roman"/>
                <w:sz w:val="18"/>
                <w:szCs w:val="18"/>
              </w:rPr>
            </w:pPr>
            <w:r w:rsidRPr="00851C3A">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3DD" w:rsidRPr="00851C3A" w:rsidRDefault="00AD43DD" w:rsidP="009650A3">
            <w:pPr>
              <w:pStyle w:val="ListParagraph"/>
              <w:spacing w:after="0" w:line="240" w:lineRule="exact"/>
              <w:ind w:left="0"/>
              <w:jc w:val="center"/>
              <w:rPr>
                <w:rFonts w:cs="Times New Roman"/>
                <w:sz w:val="18"/>
                <w:szCs w:val="18"/>
              </w:rPr>
            </w:pPr>
            <w:r w:rsidRPr="00851C3A">
              <w:rPr>
                <w:rFonts w:cs="Times New Roman"/>
                <w:sz w:val="18"/>
                <w:szCs w:val="18"/>
              </w:rPr>
              <w:t>20090115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3DD" w:rsidRPr="00851C3A" w:rsidRDefault="00AD43DD" w:rsidP="009650A3">
            <w:pPr>
              <w:pStyle w:val="ListParagraph"/>
              <w:spacing w:after="0" w:line="240" w:lineRule="exact"/>
              <w:ind w:left="0"/>
              <w:jc w:val="center"/>
              <w:rPr>
                <w:rFonts w:cs="Times New Roman"/>
                <w:sz w:val="18"/>
                <w:szCs w:val="18"/>
              </w:rPr>
            </w:pPr>
            <w:r w:rsidRPr="00851C3A">
              <w:rPr>
                <w:rFonts w:cs="Times New Roman"/>
                <w:sz w:val="18"/>
                <w:szCs w:val="18"/>
              </w:rPr>
              <w:t>29900531</w:t>
            </w:r>
          </w:p>
        </w:tc>
      </w:tr>
      <w:tr w:rsidR="00AF5A86" w:rsidRPr="00851C3A" w:rsidTr="00AE58BD">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r w:rsidRPr="00851C3A">
              <w:rPr>
                <w:rFonts w:cs="Times New Roman"/>
                <w:sz w:val="18"/>
                <w:szCs w:val="18"/>
              </w:rPr>
              <w:t>MEB H&amp;P</w:t>
            </w:r>
          </w:p>
          <w:p w:rsidR="00AF5A86" w:rsidRPr="00851C3A" w:rsidRDefault="00AF5A86" w:rsidP="009650A3">
            <w:pPr>
              <w:pStyle w:val="ListParagraph"/>
              <w:spacing w:after="0" w:line="240" w:lineRule="exact"/>
              <w:ind w:left="0"/>
              <w:jc w:val="center"/>
              <w:rPr>
                <w:rFonts w:cs="Times New Roman"/>
                <w:sz w:val="18"/>
                <w:szCs w:val="18"/>
              </w:rPr>
            </w:pPr>
            <w:r w:rsidRPr="00851C3A">
              <w:rPr>
                <w:rFonts w:cs="Times New Roman"/>
                <w:sz w:val="18"/>
                <w:szCs w:val="18"/>
              </w:rPr>
              <w:t>20081216</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rPr>
                <w:rFonts w:cs="Times New Roman"/>
                <w:sz w:val="18"/>
                <w:szCs w:val="18"/>
              </w:rPr>
            </w:pPr>
            <w:r w:rsidRPr="00851C3A">
              <w:rPr>
                <w:rFonts w:cs="Times New Roman"/>
                <w:sz w:val="18"/>
                <w:szCs w:val="18"/>
              </w:rPr>
              <w:t>Left Knee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r w:rsidRPr="00851C3A">
              <w:rPr>
                <w:rFonts w:cs="Times New Roman"/>
                <w:sz w:val="18"/>
                <w:szCs w:val="18"/>
              </w:rPr>
              <w:t>5024-5257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r w:rsidRPr="00851C3A">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r w:rsidRPr="00851C3A">
              <w:rPr>
                <w:rFonts w:cs="Times New Roman"/>
                <w:sz w:val="18"/>
                <w:szCs w:val="18"/>
              </w:rPr>
              <w:t>20090115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5A86" w:rsidRPr="00851C3A" w:rsidRDefault="00AF5A86" w:rsidP="009650A3">
            <w:pPr>
              <w:pStyle w:val="ListParagraph"/>
              <w:spacing w:after="0" w:line="240" w:lineRule="exact"/>
              <w:ind w:left="0"/>
              <w:jc w:val="center"/>
              <w:rPr>
                <w:rFonts w:cs="Times New Roman"/>
                <w:sz w:val="18"/>
                <w:szCs w:val="18"/>
              </w:rPr>
            </w:pPr>
            <w:r w:rsidRPr="00851C3A">
              <w:rPr>
                <w:rFonts w:cs="Times New Roman"/>
                <w:sz w:val="18"/>
                <w:szCs w:val="18"/>
              </w:rPr>
              <w:t>29900531</w:t>
            </w:r>
          </w:p>
        </w:tc>
      </w:tr>
      <w:tr w:rsidR="00AD43DD" w:rsidRPr="00851C3A" w:rsidTr="00AE58BD">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3DD" w:rsidRPr="00851C3A" w:rsidRDefault="00AD43DD" w:rsidP="009650A3">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3DD" w:rsidRPr="00851C3A" w:rsidRDefault="00AD43DD" w:rsidP="009650A3">
            <w:pPr>
              <w:pStyle w:val="ListParagraph"/>
              <w:spacing w:after="0" w:line="240" w:lineRule="exact"/>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AD43DD" w:rsidRPr="00851C3A" w:rsidRDefault="00AD43DD" w:rsidP="009650A3">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AD43DD" w:rsidRPr="00851C3A" w:rsidRDefault="00AD43DD" w:rsidP="009650A3">
            <w:pPr>
              <w:pStyle w:val="ListParagraph"/>
              <w:spacing w:after="0" w:line="240" w:lineRule="exact"/>
              <w:ind w:left="0"/>
              <w:rPr>
                <w:rFonts w:cs="Times New Roman"/>
                <w:sz w:val="18"/>
                <w:szCs w:val="18"/>
              </w:rPr>
            </w:pPr>
            <w:r w:rsidRPr="00851C3A">
              <w:rPr>
                <w:rFonts w:cs="Times New Roman"/>
                <w:sz w:val="18"/>
                <w:szCs w:val="18"/>
              </w:rPr>
              <w:t>Plantar Wart Removal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3DD" w:rsidRPr="00851C3A" w:rsidRDefault="00AD43DD" w:rsidP="009650A3">
            <w:pPr>
              <w:pStyle w:val="ListParagraph"/>
              <w:spacing w:after="0" w:line="240" w:lineRule="exact"/>
              <w:ind w:left="0"/>
              <w:jc w:val="center"/>
              <w:rPr>
                <w:rFonts w:cs="Times New Roman"/>
                <w:sz w:val="18"/>
                <w:szCs w:val="18"/>
              </w:rPr>
            </w:pPr>
            <w:r w:rsidRPr="00851C3A">
              <w:rPr>
                <w:rFonts w:cs="Times New Roman"/>
                <w:sz w:val="18"/>
                <w:szCs w:val="18"/>
              </w:rPr>
              <w:t>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3DD" w:rsidRPr="00851C3A" w:rsidRDefault="00AD43DD" w:rsidP="009650A3">
            <w:pPr>
              <w:pStyle w:val="ListParagraph"/>
              <w:spacing w:after="0" w:line="240" w:lineRule="exact"/>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3DD" w:rsidRPr="00851C3A" w:rsidRDefault="00AD43DD" w:rsidP="009650A3">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43DD" w:rsidRPr="00851C3A" w:rsidRDefault="00AD43DD" w:rsidP="009650A3">
            <w:pPr>
              <w:pStyle w:val="ListParagraph"/>
              <w:spacing w:after="0" w:line="240" w:lineRule="exact"/>
              <w:ind w:left="0"/>
              <w:jc w:val="center"/>
              <w:rPr>
                <w:rFonts w:cs="Times New Roman"/>
                <w:sz w:val="18"/>
                <w:szCs w:val="18"/>
              </w:rPr>
            </w:pPr>
          </w:p>
        </w:tc>
      </w:tr>
      <w:tr w:rsidR="004B4D34" w:rsidRPr="00851C3A"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B4D34" w:rsidRPr="00851C3A" w:rsidRDefault="004B4D34" w:rsidP="009650A3">
            <w:pPr>
              <w:pStyle w:val="ListParagraph"/>
              <w:spacing w:after="0" w:line="240" w:lineRule="exact"/>
              <w:ind w:left="0"/>
              <w:jc w:val="center"/>
              <w:rPr>
                <w:rFonts w:cs="Times New Roman"/>
                <w:sz w:val="20"/>
                <w:szCs w:val="20"/>
              </w:rPr>
            </w:pPr>
            <w:r w:rsidRPr="00851C3A">
              <w:rPr>
                <w:rFonts w:cs="Times New Roman"/>
                <w:sz w:val="20"/>
                <w:szCs w:val="20"/>
              </w:rPr>
              <w:t>TOTAL Combined:  20%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B4D34" w:rsidRPr="00851C3A" w:rsidRDefault="004B4D34" w:rsidP="009650A3">
            <w:pPr>
              <w:pStyle w:val="ListParagraph"/>
              <w:spacing w:after="0" w:line="240" w:lineRule="exact"/>
              <w:ind w:left="0"/>
              <w:jc w:val="center"/>
              <w:rPr>
                <w:rFonts w:cs="Times New Roman"/>
                <w:sz w:val="20"/>
                <w:szCs w:val="20"/>
              </w:rPr>
            </w:pPr>
            <w:r w:rsidRPr="00851C3A">
              <w:rPr>
                <w:rFonts w:cs="Times New Roman"/>
                <w:sz w:val="20"/>
                <w:szCs w:val="20"/>
              </w:rPr>
              <w:t>TOTAL Combined (</w:t>
            </w:r>
            <w:r w:rsidRPr="00851C3A">
              <w:rPr>
                <w:rFonts w:cs="Times New Roman"/>
                <w:i/>
                <w:sz w:val="20"/>
                <w:szCs w:val="20"/>
              </w:rPr>
              <w:t>Includes Non-PEB Conditions</w:t>
            </w:r>
            <w:r w:rsidRPr="00851C3A">
              <w:rPr>
                <w:rFonts w:cs="Times New Roman"/>
                <w:sz w:val="20"/>
                <w:szCs w:val="20"/>
              </w:rPr>
              <w:t xml:space="preserve">):    </w:t>
            </w:r>
          </w:p>
          <w:p w:rsidR="004B4D34" w:rsidRPr="00851C3A" w:rsidRDefault="004B4D34" w:rsidP="009650A3">
            <w:pPr>
              <w:pStyle w:val="ListParagraph"/>
              <w:spacing w:after="0" w:line="240" w:lineRule="exact"/>
              <w:ind w:left="0"/>
              <w:jc w:val="center"/>
              <w:rPr>
                <w:rFonts w:cs="Times New Roman"/>
                <w:sz w:val="20"/>
                <w:szCs w:val="20"/>
              </w:rPr>
            </w:pPr>
            <w:r w:rsidRPr="00851C3A">
              <w:rPr>
                <w:rFonts w:cs="Times New Roman"/>
                <w:sz w:val="20"/>
                <w:szCs w:val="20"/>
              </w:rPr>
              <w:t xml:space="preserve">60% from 20090531 </w:t>
            </w:r>
          </w:p>
        </w:tc>
      </w:tr>
    </w:tbl>
    <w:p w:rsidR="00A90D55" w:rsidRPr="00851C3A" w:rsidRDefault="008B5D31" w:rsidP="009650A3">
      <w:pPr>
        <w:tabs>
          <w:tab w:val="left" w:pos="288"/>
          <w:tab w:val="left" w:pos="4752"/>
        </w:tabs>
        <w:spacing w:line="240" w:lineRule="exact"/>
        <w:jc w:val="both"/>
        <w:rPr>
          <w:rFonts w:asciiTheme="minorHAnsi" w:hAnsiTheme="minorHAnsi"/>
          <w:color w:val="auto"/>
          <w:szCs w:val="24"/>
        </w:rPr>
      </w:pPr>
      <w:r w:rsidRPr="00851C3A">
        <w:rPr>
          <w:rFonts w:asciiTheme="minorHAnsi" w:hAnsiTheme="minorHAnsi"/>
          <w:color w:val="auto"/>
          <w:szCs w:val="24"/>
          <w:u w:val="single"/>
        </w:rPr>
        <w:t>___________________________________________________</w:t>
      </w:r>
      <w:r w:rsidR="00851C3A" w:rsidRPr="00851C3A">
        <w:rPr>
          <w:rFonts w:asciiTheme="minorHAnsi" w:hAnsiTheme="minorHAnsi"/>
          <w:color w:val="auto"/>
          <w:szCs w:val="24"/>
          <w:u w:val="single"/>
        </w:rPr>
        <w:t>______________</w:t>
      </w:r>
      <w:r w:rsidRPr="00851C3A">
        <w:rPr>
          <w:rFonts w:asciiTheme="minorHAnsi" w:hAnsiTheme="minorHAnsi"/>
          <w:color w:val="auto"/>
          <w:szCs w:val="24"/>
          <w:u w:val="single"/>
        </w:rPr>
        <w:t>____________</w:t>
      </w:r>
      <w:r w:rsidR="00A90D55" w:rsidRPr="00851C3A">
        <w:rPr>
          <w:rFonts w:asciiTheme="minorHAnsi" w:hAnsiTheme="minorHAnsi"/>
          <w:color w:val="auto"/>
          <w:szCs w:val="24"/>
        </w:rPr>
        <w:t>_</w:t>
      </w:r>
    </w:p>
    <w:p w:rsidR="00A90D55" w:rsidRPr="00851C3A" w:rsidRDefault="00A90D55" w:rsidP="009650A3">
      <w:pPr>
        <w:tabs>
          <w:tab w:val="left" w:pos="288"/>
          <w:tab w:val="left" w:pos="4752"/>
        </w:tabs>
        <w:spacing w:line="240" w:lineRule="exact"/>
        <w:jc w:val="both"/>
        <w:rPr>
          <w:color w:val="auto"/>
          <w:szCs w:val="24"/>
        </w:rPr>
      </w:pPr>
    </w:p>
    <w:p w:rsidR="00A90D55" w:rsidRPr="00141363" w:rsidRDefault="00A90D55" w:rsidP="009650A3">
      <w:pPr>
        <w:tabs>
          <w:tab w:val="left" w:pos="288"/>
          <w:tab w:val="left" w:pos="4752"/>
        </w:tabs>
        <w:spacing w:line="240" w:lineRule="exact"/>
        <w:jc w:val="both"/>
        <w:rPr>
          <w:color w:val="auto"/>
          <w:szCs w:val="24"/>
        </w:rPr>
      </w:pPr>
      <w:r w:rsidRPr="00141363">
        <w:rPr>
          <w:color w:val="auto"/>
          <w:szCs w:val="24"/>
          <w:u w:val="single"/>
        </w:rPr>
        <w:t>ANALYSIS SUMMARY</w:t>
      </w:r>
    </w:p>
    <w:p w:rsidR="00571569" w:rsidRDefault="00571569" w:rsidP="00141363">
      <w:pPr>
        <w:autoSpaceDE w:val="0"/>
        <w:autoSpaceDN w:val="0"/>
        <w:adjustRightInd w:val="0"/>
        <w:spacing w:line="240" w:lineRule="exact"/>
        <w:jc w:val="both"/>
        <w:rPr>
          <w:rFonts w:asciiTheme="minorHAnsi" w:hAnsiTheme="minorHAnsi"/>
          <w:color w:val="auto"/>
          <w:szCs w:val="24"/>
        </w:rPr>
      </w:pPr>
    </w:p>
    <w:p w:rsidR="00571569" w:rsidRPr="00851C3A" w:rsidRDefault="00851C3A" w:rsidP="00141363">
      <w:pPr>
        <w:autoSpaceDE w:val="0"/>
        <w:autoSpaceDN w:val="0"/>
        <w:adjustRightInd w:val="0"/>
        <w:spacing w:line="240" w:lineRule="exact"/>
        <w:jc w:val="both"/>
        <w:rPr>
          <w:color w:val="auto"/>
          <w:szCs w:val="24"/>
          <w:u w:val="single"/>
        </w:rPr>
      </w:pPr>
      <w:r w:rsidRPr="00851C3A">
        <w:rPr>
          <w:color w:val="auto"/>
          <w:szCs w:val="24"/>
          <w:u w:val="single"/>
        </w:rPr>
        <w:t>Back</w:t>
      </w:r>
    </w:p>
    <w:p w:rsidR="0064475D" w:rsidRDefault="000E2DE1" w:rsidP="00141363">
      <w:pPr>
        <w:autoSpaceDE w:val="0"/>
        <w:autoSpaceDN w:val="0"/>
        <w:adjustRightInd w:val="0"/>
        <w:spacing w:line="240" w:lineRule="exact"/>
        <w:jc w:val="both"/>
        <w:rPr>
          <w:color w:val="auto"/>
          <w:szCs w:val="24"/>
        </w:rPr>
      </w:pPr>
      <w:r>
        <w:rPr>
          <w:color w:val="auto"/>
          <w:szCs w:val="24"/>
        </w:rPr>
        <w:t xml:space="preserve">The CI had a long history of back pain, approximately eight years. </w:t>
      </w:r>
      <w:r w:rsidR="00EE3A3D">
        <w:rPr>
          <w:color w:val="auto"/>
          <w:szCs w:val="24"/>
        </w:rPr>
        <w:t xml:space="preserve"> </w:t>
      </w:r>
      <w:r>
        <w:rPr>
          <w:color w:val="auto"/>
          <w:szCs w:val="24"/>
        </w:rPr>
        <w:t xml:space="preserve">Over time he would suffer an acute exacerbation after an event such as lifting, training, physical training, and playing with his daughter. </w:t>
      </w:r>
      <w:r w:rsidR="00EE3A3D">
        <w:rPr>
          <w:color w:val="auto"/>
          <w:szCs w:val="24"/>
        </w:rPr>
        <w:t xml:space="preserve"> </w:t>
      </w:r>
      <w:r>
        <w:rPr>
          <w:color w:val="auto"/>
          <w:szCs w:val="24"/>
        </w:rPr>
        <w:t xml:space="preserve">The acute event would resolve with conservative therapy. </w:t>
      </w:r>
      <w:r w:rsidR="00EE3A3D">
        <w:rPr>
          <w:color w:val="auto"/>
          <w:szCs w:val="24"/>
        </w:rPr>
        <w:t xml:space="preserve"> </w:t>
      </w:r>
      <w:r>
        <w:rPr>
          <w:color w:val="auto"/>
          <w:szCs w:val="24"/>
        </w:rPr>
        <w:t xml:space="preserve">However, he soon began to have increased symptoms that did not respond to conservative treatment and he eventually required three back surgeries. </w:t>
      </w:r>
      <w:r w:rsidR="00EE3A3D">
        <w:rPr>
          <w:color w:val="auto"/>
          <w:szCs w:val="24"/>
        </w:rPr>
        <w:t xml:space="preserve"> </w:t>
      </w:r>
      <w:r>
        <w:rPr>
          <w:color w:val="auto"/>
          <w:szCs w:val="24"/>
        </w:rPr>
        <w:t xml:space="preserve">He had an L5-S1 nerve root decompression in September 2007, a revision of this surgery in April 2008, and a spinal fusion of L5-S1 in October 2008. </w:t>
      </w:r>
      <w:r w:rsidR="00EE3A3D">
        <w:rPr>
          <w:color w:val="auto"/>
          <w:szCs w:val="24"/>
        </w:rPr>
        <w:t xml:space="preserve"> </w:t>
      </w:r>
      <w:r>
        <w:rPr>
          <w:color w:val="auto"/>
          <w:szCs w:val="24"/>
        </w:rPr>
        <w:t>He would initially do well after surgery and was very compliant with all treatment modalities to include physical therapy. However, after each surgery his symptoms of severe pain in his back and legs, stiffness, numbness, loss of bladder control, limited bending and walking, and inability to sit or stand for prolonged periods or lift more than 10 pounds, would return as he attempted to resume normal activities.</w:t>
      </w:r>
      <w:r w:rsidR="00C73D0F">
        <w:rPr>
          <w:color w:val="auto"/>
          <w:szCs w:val="24"/>
        </w:rPr>
        <w:t xml:space="preserve"> After the third surgery, neurosurgery did not believe any further surgery would </w:t>
      </w:r>
      <w:r w:rsidR="00C73D0F">
        <w:rPr>
          <w:color w:val="auto"/>
          <w:szCs w:val="24"/>
        </w:rPr>
        <w:lastRenderedPageBreak/>
        <w:t xml:space="preserve">be helpful. </w:t>
      </w:r>
      <w:r w:rsidR="00EE3A3D">
        <w:rPr>
          <w:color w:val="auto"/>
          <w:szCs w:val="24"/>
        </w:rPr>
        <w:t xml:space="preserve"> </w:t>
      </w:r>
      <w:r w:rsidR="00C73D0F">
        <w:rPr>
          <w:color w:val="auto"/>
          <w:szCs w:val="24"/>
        </w:rPr>
        <w:t>The CI did not respond to any other treatment methods and he was referred to the PEB.</w:t>
      </w:r>
    </w:p>
    <w:p w:rsidR="0064475D" w:rsidRDefault="0064475D" w:rsidP="00141363">
      <w:pPr>
        <w:autoSpaceDE w:val="0"/>
        <w:autoSpaceDN w:val="0"/>
        <w:adjustRightInd w:val="0"/>
        <w:spacing w:line="240" w:lineRule="exact"/>
        <w:jc w:val="both"/>
        <w:rPr>
          <w:color w:val="auto"/>
          <w:szCs w:val="24"/>
        </w:rPr>
      </w:pPr>
    </w:p>
    <w:p w:rsidR="0064475D" w:rsidRPr="00851C3A" w:rsidRDefault="0064475D" w:rsidP="00141363">
      <w:pPr>
        <w:autoSpaceDE w:val="0"/>
        <w:autoSpaceDN w:val="0"/>
        <w:adjustRightInd w:val="0"/>
        <w:spacing w:line="240" w:lineRule="exact"/>
        <w:jc w:val="both"/>
        <w:rPr>
          <w:color w:val="auto"/>
          <w:szCs w:val="24"/>
        </w:rPr>
      </w:pPr>
      <w:r>
        <w:rPr>
          <w:color w:val="auto"/>
          <w:szCs w:val="24"/>
        </w:rPr>
        <w:t xml:space="preserve">The </w:t>
      </w:r>
      <w:r w:rsidR="00EE3A3D">
        <w:rPr>
          <w:color w:val="auto"/>
          <w:szCs w:val="24"/>
        </w:rPr>
        <w:t>narrative summary (</w:t>
      </w:r>
      <w:r>
        <w:rPr>
          <w:color w:val="auto"/>
          <w:szCs w:val="24"/>
        </w:rPr>
        <w:t>NARSUM</w:t>
      </w:r>
      <w:r w:rsidR="00EE3A3D">
        <w:rPr>
          <w:color w:val="auto"/>
          <w:szCs w:val="24"/>
        </w:rPr>
        <w:t>)</w:t>
      </w:r>
      <w:r>
        <w:rPr>
          <w:color w:val="auto"/>
          <w:szCs w:val="24"/>
        </w:rPr>
        <w:t xml:space="preserve"> did not include </w:t>
      </w:r>
      <w:r w:rsidR="00EE3A3D">
        <w:rPr>
          <w:color w:val="auto"/>
          <w:szCs w:val="24"/>
        </w:rPr>
        <w:t>range-of-motion (</w:t>
      </w:r>
      <w:r>
        <w:rPr>
          <w:color w:val="auto"/>
          <w:szCs w:val="24"/>
        </w:rPr>
        <w:t>ROM</w:t>
      </w:r>
      <w:r w:rsidR="00EE3A3D">
        <w:rPr>
          <w:color w:val="auto"/>
          <w:szCs w:val="24"/>
        </w:rPr>
        <w:t>)</w:t>
      </w:r>
      <w:r>
        <w:rPr>
          <w:color w:val="auto"/>
          <w:szCs w:val="24"/>
        </w:rPr>
        <w:t xml:space="preserve"> measurements but two are available in the military treatment record: one from November 2008, one month after surgery, and one from December 2008, two months after surgery. The November exam showed a greater range of motion </w:t>
      </w:r>
      <w:r w:rsidRPr="00851C3A">
        <w:rPr>
          <w:color w:val="auto"/>
          <w:szCs w:val="24"/>
        </w:rPr>
        <w:t xml:space="preserve">but no neurologic exam was documented. </w:t>
      </w:r>
      <w:r w:rsidR="00EE3A3D">
        <w:rPr>
          <w:color w:val="auto"/>
          <w:szCs w:val="24"/>
        </w:rPr>
        <w:t xml:space="preserve"> </w:t>
      </w:r>
      <w:r w:rsidRPr="00851C3A">
        <w:rPr>
          <w:color w:val="auto"/>
          <w:szCs w:val="24"/>
        </w:rPr>
        <w:t>The December exam documented decreased flexion of the thoracolumbar spine as well as an abnormal gait and decreased sensation to pinwheel</w:t>
      </w:r>
      <w:r w:rsidR="00EC464B" w:rsidRPr="00851C3A">
        <w:rPr>
          <w:color w:val="auto"/>
          <w:szCs w:val="24"/>
        </w:rPr>
        <w:t xml:space="preserve"> in the left lower extremity</w:t>
      </w:r>
      <w:r w:rsidRPr="00851C3A">
        <w:rPr>
          <w:color w:val="auto"/>
          <w:szCs w:val="24"/>
        </w:rPr>
        <w:t xml:space="preserve">. </w:t>
      </w:r>
      <w:r w:rsidR="00EE3A3D">
        <w:rPr>
          <w:color w:val="auto"/>
          <w:szCs w:val="24"/>
        </w:rPr>
        <w:t xml:space="preserve"> </w:t>
      </w:r>
      <w:r w:rsidRPr="00851C3A">
        <w:rPr>
          <w:color w:val="auto"/>
          <w:szCs w:val="24"/>
        </w:rPr>
        <w:t xml:space="preserve">The VA </w:t>
      </w:r>
      <w:r w:rsidR="00EE3A3D">
        <w:rPr>
          <w:color w:val="auto"/>
          <w:szCs w:val="24"/>
        </w:rPr>
        <w:t>Compensation and Pension (</w:t>
      </w:r>
      <w:r w:rsidRPr="00851C3A">
        <w:rPr>
          <w:color w:val="auto"/>
          <w:szCs w:val="24"/>
        </w:rPr>
        <w:t>C&amp;P</w:t>
      </w:r>
      <w:r w:rsidR="00EE3A3D">
        <w:rPr>
          <w:color w:val="auto"/>
          <w:szCs w:val="24"/>
        </w:rPr>
        <w:t>)</w:t>
      </w:r>
      <w:r w:rsidRPr="00851C3A">
        <w:rPr>
          <w:color w:val="auto"/>
          <w:szCs w:val="24"/>
        </w:rPr>
        <w:t xml:space="preserve"> exam was done one month later</w:t>
      </w:r>
      <w:r w:rsidR="00EC464B" w:rsidRPr="00851C3A">
        <w:rPr>
          <w:color w:val="auto"/>
          <w:szCs w:val="24"/>
        </w:rPr>
        <w:t xml:space="preserve"> (four months prior to separation from service) and documented pain </w:t>
      </w:r>
      <w:r w:rsidR="0005580D" w:rsidRPr="00851C3A">
        <w:rPr>
          <w:color w:val="auto"/>
          <w:szCs w:val="24"/>
        </w:rPr>
        <w:t>and increased pain with repeated motion</w:t>
      </w:r>
      <w:r w:rsidR="00EC464B" w:rsidRPr="00851C3A">
        <w:rPr>
          <w:color w:val="auto"/>
          <w:szCs w:val="24"/>
        </w:rPr>
        <w:t xml:space="preserve">. </w:t>
      </w:r>
      <w:r w:rsidR="00EE3A3D">
        <w:rPr>
          <w:color w:val="auto"/>
          <w:szCs w:val="24"/>
        </w:rPr>
        <w:t xml:space="preserve"> </w:t>
      </w:r>
      <w:r w:rsidR="00EC464B" w:rsidRPr="00851C3A">
        <w:rPr>
          <w:color w:val="auto"/>
          <w:szCs w:val="24"/>
        </w:rPr>
        <w:t>It also documented decreased sensation of the left lower extremity</w:t>
      </w:r>
      <w:r w:rsidR="00851C3A">
        <w:rPr>
          <w:color w:val="auto"/>
          <w:szCs w:val="24"/>
        </w:rPr>
        <w:t xml:space="preserve"> and an abnormal gait.</w:t>
      </w:r>
    </w:p>
    <w:p w:rsidR="00E44151" w:rsidRPr="00851C3A" w:rsidRDefault="00E44151" w:rsidP="00141363">
      <w:pPr>
        <w:autoSpaceDE w:val="0"/>
        <w:autoSpaceDN w:val="0"/>
        <w:adjustRightInd w:val="0"/>
        <w:spacing w:line="240" w:lineRule="exact"/>
        <w:jc w:val="both"/>
        <w:rPr>
          <w:rFonts w:asciiTheme="minorHAnsi" w:hAnsiTheme="minorHAnsi"/>
          <w:color w:val="auto"/>
          <w:szCs w:val="24"/>
        </w:rPr>
      </w:pPr>
    </w:p>
    <w:p w:rsidR="00E44151" w:rsidRPr="00851C3A" w:rsidRDefault="00E44151" w:rsidP="00E44151">
      <w:pPr>
        <w:pStyle w:val="ListParagraph"/>
        <w:spacing w:after="0" w:line="240" w:lineRule="exact"/>
        <w:rPr>
          <w:rFonts w:ascii="Courier" w:eastAsia="Calibri" w:hAnsi="Courier" w:cs="Times New Roman"/>
          <w:sz w:val="24"/>
          <w:szCs w:val="24"/>
        </w:rPr>
      </w:pPr>
      <w:r w:rsidRPr="00851C3A">
        <w:rPr>
          <w:rFonts w:ascii="Courier" w:eastAsia="Calibri" w:hAnsi="Courier" w:cs="Times New Roman"/>
          <w:sz w:val="24"/>
          <w:szCs w:val="24"/>
        </w:rPr>
        <w:t>(Separation Date: 20090530)</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2"/>
        <w:gridCol w:w="891"/>
        <w:gridCol w:w="1163"/>
        <w:gridCol w:w="1502"/>
        <w:gridCol w:w="1800"/>
        <w:gridCol w:w="1908"/>
      </w:tblGrid>
      <w:tr w:rsidR="00BF1542" w:rsidRPr="00851C3A" w:rsidTr="00BF1542">
        <w:tc>
          <w:tcPr>
            <w:tcW w:w="1592" w:type="dxa"/>
            <w:vAlign w:val="center"/>
          </w:tcPr>
          <w:p w:rsidR="00BF1542" w:rsidRPr="00851C3A" w:rsidRDefault="00BF1542" w:rsidP="0005580D">
            <w:pPr>
              <w:pStyle w:val="ListParagraph"/>
              <w:spacing w:after="0" w:line="240" w:lineRule="exact"/>
              <w:ind w:left="0"/>
              <w:jc w:val="center"/>
              <w:rPr>
                <w:rFonts w:eastAsia="Calibri" w:cs="Times New Roman"/>
              </w:rPr>
            </w:pPr>
            <w:r w:rsidRPr="00851C3A">
              <w:rPr>
                <w:rFonts w:eastAsia="Calibri" w:cs="Times New Roman"/>
              </w:rPr>
              <w:t>Movement</w:t>
            </w:r>
          </w:p>
          <w:p w:rsidR="00BF1542" w:rsidRPr="00851C3A" w:rsidRDefault="00BF1542" w:rsidP="0005580D">
            <w:pPr>
              <w:pStyle w:val="ListParagraph"/>
              <w:spacing w:after="0" w:line="240" w:lineRule="exact"/>
              <w:ind w:left="0"/>
              <w:jc w:val="center"/>
              <w:rPr>
                <w:rFonts w:eastAsia="Calibri" w:cs="Times New Roman"/>
              </w:rPr>
            </w:pPr>
            <w:r w:rsidRPr="00851C3A">
              <w:rPr>
                <w:rFonts w:eastAsia="Calibri" w:cs="Times New Roman"/>
              </w:rPr>
              <w:t>Thoracolumbar</w:t>
            </w:r>
          </w:p>
        </w:tc>
        <w:tc>
          <w:tcPr>
            <w:tcW w:w="891" w:type="dxa"/>
            <w:vAlign w:val="center"/>
          </w:tcPr>
          <w:p w:rsidR="00BF1542" w:rsidRPr="00851C3A" w:rsidRDefault="00BF1542" w:rsidP="0005580D">
            <w:pPr>
              <w:pStyle w:val="ListParagraph"/>
              <w:spacing w:after="0" w:line="240" w:lineRule="exact"/>
              <w:ind w:left="0"/>
              <w:jc w:val="center"/>
              <w:rPr>
                <w:rFonts w:eastAsia="Calibri" w:cs="Times New Roman"/>
              </w:rPr>
            </w:pPr>
            <w:r w:rsidRPr="00851C3A">
              <w:rPr>
                <w:rFonts w:eastAsia="Calibri" w:cs="Times New Roman"/>
              </w:rPr>
              <w:t>Normal ROM</w:t>
            </w:r>
          </w:p>
          <w:p w:rsidR="00BF1542" w:rsidRPr="00851C3A" w:rsidRDefault="00BF1542" w:rsidP="0005580D">
            <w:pPr>
              <w:pStyle w:val="ListParagraph"/>
              <w:spacing w:after="0" w:line="240" w:lineRule="exact"/>
              <w:ind w:left="0"/>
              <w:jc w:val="center"/>
              <w:rPr>
                <w:rFonts w:eastAsia="Calibri" w:cs="Times New Roman"/>
              </w:rPr>
            </w:pPr>
          </w:p>
        </w:tc>
        <w:tc>
          <w:tcPr>
            <w:tcW w:w="1163" w:type="dxa"/>
          </w:tcPr>
          <w:p w:rsidR="00BF1542" w:rsidRPr="00851C3A" w:rsidRDefault="00BF1542" w:rsidP="0005580D">
            <w:pPr>
              <w:pStyle w:val="ListParagraph"/>
              <w:spacing w:after="0" w:line="240" w:lineRule="exact"/>
              <w:ind w:left="0"/>
              <w:jc w:val="center"/>
              <w:rPr>
                <w:rFonts w:eastAsia="Calibri" w:cs="Times New Roman"/>
              </w:rPr>
            </w:pPr>
            <w:r w:rsidRPr="00851C3A">
              <w:rPr>
                <w:rFonts w:eastAsia="Calibri" w:cs="Times New Roman"/>
              </w:rPr>
              <w:t>ROM Military PT</w:t>
            </w:r>
          </w:p>
          <w:p w:rsidR="00BF1542" w:rsidRPr="00851C3A" w:rsidRDefault="00BF1542" w:rsidP="0005580D">
            <w:pPr>
              <w:pStyle w:val="ListParagraph"/>
              <w:spacing w:after="0" w:line="240" w:lineRule="exact"/>
              <w:ind w:left="0"/>
              <w:jc w:val="center"/>
              <w:rPr>
                <w:rFonts w:eastAsia="Calibri" w:cs="Times New Roman"/>
              </w:rPr>
            </w:pPr>
            <w:r w:rsidRPr="00851C3A">
              <w:rPr>
                <w:rFonts w:eastAsia="Calibri" w:cs="Times New Roman"/>
              </w:rPr>
              <w:t>20081117</w:t>
            </w:r>
          </w:p>
        </w:tc>
        <w:tc>
          <w:tcPr>
            <w:tcW w:w="1502" w:type="dxa"/>
          </w:tcPr>
          <w:p w:rsidR="00BF1542" w:rsidRPr="00851C3A" w:rsidRDefault="00BF1542" w:rsidP="0005580D">
            <w:pPr>
              <w:pStyle w:val="ListParagraph"/>
              <w:spacing w:after="0" w:line="240" w:lineRule="exact"/>
              <w:ind w:left="0"/>
              <w:jc w:val="center"/>
              <w:rPr>
                <w:rFonts w:eastAsia="Calibri" w:cs="Times New Roman"/>
              </w:rPr>
            </w:pPr>
            <w:r w:rsidRPr="00851C3A">
              <w:rPr>
                <w:rFonts w:eastAsia="Calibri" w:cs="Times New Roman"/>
              </w:rPr>
              <w:t>NARSUM 20081202</w:t>
            </w:r>
          </w:p>
        </w:tc>
        <w:tc>
          <w:tcPr>
            <w:tcW w:w="1800" w:type="dxa"/>
            <w:vAlign w:val="center"/>
          </w:tcPr>
          <w:p w:rsidR="00BF1542" w:rsidRPr="00851C3A" w:rsidRDefault="00BF1542" w:rsidP="0005580D">
            <w:pPr>
              <w:pStyle w:val="ListParagraph"/>
              <w:spacing w:after="0" w:line="240" w:lineRule="exact"/>
              <w:ind w:left="0"/>
              <w:jc w:val="center"/>
              <w:rPr>
                <w:rFonts w:eastAsia="Calibri" w:cs="Times New Roman"/>
              </w:rPr>
            </w:pPr>
            <w:r w:rsidRPr="00851C3A">
              <w:rPr>
                <w:rFonts w:eastAsia="Calibri" w:cs="Times New Roman"/>
              </w:rPr>
              <w:t>ROM Military</w:t>
            </w:r>
          </w:p>
          <w:p w:rsidR="00BF1542" w:rsidRPr="00851C3A" w:rsidRDefault="00BF1542" w:rsidP="0005580D">
            <w:pPr>
              <w:pStyle w:val="ListParagraph"/>
              <w:spacing w:after="0" w:line="240" w:lineRule="exact"/>
              <w:ind w:left="0"/>
              <w:jc w:val="center"/>
              <w:rPr>
                <w:rFonts w:eastAsia="Calibri" w:cs="Times New Roman"/>
              </w:rPr>
            </w:pPr>
            <w:r w:rsidRPr="00851C3A">
              <w:rPr>
                <w:rFonts w:eastAsia="Calibri" w:cs="Times New Roman"/>
              </w:rPr>
              <w:t>20081215</w:t>
            </w:r>
          </w:p>
          <w:p w:rsidR="008004AE" w:rsidRPr="00851C3A" w:rsidRDefault="008004AE" w:rsidP="008004AE">
            <w:pPr>
              <w:pStyle w:val="ListParagraph"/>
              <w:spacing w:after="0" w:line="240" w:lineRule="exact"/>
              <w:ind w:left="0"/>
              <w:jc w:val="center"/>
              <w:rPr>
                <w:rFonts w:eastAsia="Calibri" w:cs="Times New Roman"/>
              </w:rPr>
            </w:pPr>
            <w:r w:rsidRPr="00851C3A">
              <w:rPr>
                <w:rFonts w:eastAsia="Calibri" w:cs="Times New Roman"/>
              </w:rPr>
              <w:t>(Active Motion)</w:t>
            </w:r>
          </w:p>
        </w:tc>
        <w:tc>
          <w:tcPr>
            <w:tcW w:w="1908" w:type="dxa"/>
            <w:vAlign w:val="center"/>
          </w:tcPr>
          <w:p w:rsidR="00BF1542" w:rsidRPr="00851C3A" w:rsidRDefault="00BF1542" w:rsidP="0005580D">
            <w:pPr>
              <w:pStyle w:val="ListParagraph"/>
              <w:spacing w:after="0" w:line="240" w:lineRule="exact"/>
              <w:ind w:left="0"/>
              <w:jc w:val="center"/>
              <w:rPr>
                <w:rFonts w:eastAsia="Calibri" w:cs="Times New Roman"/>
              </w:rPr>
            </w:pPr>
            <w:r w:rsidRPr="00851C3A">
              <w:rPr>
                <w:rFonts w:eastAsia="Calibri" w:cs="Times New Roman"/>
              </w:rPr>
              <w:t>ROM VA (PAIN)</w:t>
            </w:r>
          </w:p>
          <w:p w:rsidR="00BF1542" w:rsidRPr="00851C3A" w:rsidRDefault="00BF1542" w:rsidP="0005580D">
            <w:pPr>
              <w:pStyle w:val="ListParagraph"/>
              <w:spacing w:after="0" w:line="240" w:lineRule="exact"/>
              <w:ind w:left="0"/>
              <w:jc w:val="center"/>
              <w:rPr>
                <w:rFonts w:eastAsia="Calibri" w:cs="Times New Roman"/>
              </w:rPr>
            </w:pPr>
            <w:r w:rsidRPr="00851C3A">
              <w:rPr>
                <w:rFonts w:eastAsia="Calibri" w:cs="Times New Roman"/>
              </w:rPr>
              <w:t>20090115</w:t>
            </w:r>
          </w:p>
        </w:tc>
      </w:tr>
      <w:tr w:rsidR="00BF1542" w:rsidRPr="00851C3A" w:rsidTr="00BF1542">
        <w:tc>
          <w:tcPr>
            <w:tcW w:w="1592"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Flex</w:t>
            </w:r>
          </w:p>
        </w:tc>
        <w:tc>
          <w:tcPr>
            <w:tcW w:w="891"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0-90</w:t>
            </w:r>
          </w:p>
        </w:tc>
        <w:tc>
          <w:tcPr>
            <w:tcW w:w="1163"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105 (90)</w:t>
            </w:r>
          </w:p>
        </w:tc>
        <w:tc>
          <w:tcPr>
            <w:tcW w:w="1502" w:type="dxa"/>
          </w:tcPr>
          <w:p w:rsidR="00BF1542" w:rsidRPr="00851C3A" w:rsidRDefault="00BF1542" w:rsidP="0005580D">
            <w:pPr>
              <w:pStyle w:val="ListParagraph"/>
              <w:spacing w:after="0" w:line="240" w:lineRule="exact"/>
              <w:ind w:left="0"/>
              <w:rPr>
                <w:rFonts w:eastAsia="Calibri" w:cs="Times New Roman"/>
              </w:rPr>
            </w:pPr>
          </w:p>
        </w:tc>
        <w:tc>
          <w:tcPr>
            <w:tcW w:w="1800"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60</w:t>
            </w:r>
          </w:p>
        </w:tc>
        <w:tc>
          <w:tcPr>
            <w:tcW w:w="1908"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 xml:space="preserve">90 </w:t>
            </w:r>
          </w:p>
        </w:tc>
      </w:tr>
      <w:tr w:rsidR="00BF1542" w:rsidRPr="00851C3A" w:rsidTr="00BF1542">
        <w:tc>
          <w:tcPr>
            <w:tcW w:w="1592"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Ext</w:t>
            </w:r>
          </w:p>
        </w:tc>
        <w:tc>
          <w:tcPr>
            <w:tcW w:w="891"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0-30</w:t>
            </w:r>
          </w:p>
        </w:tc>
        <w:tc>
          <w:tcPr>
            <w:tcW w:w="1163"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NE</w:t>
            </w:r>
          </w:p>
        </w:tc>
        <w:tc>
          <w:tcPr>
            <w:tcW w:w="1502" w:type="dxa"/>
          </w:tcPr>
          <w:p w:rsidR="00BF1542" w:rsidRPr="00851C3A" w:rsidRDefault="00BF1542" w:rsidP="0005580D">
            <w:pPr>
              <w:pStyle w:val="ListParagraph"/>
              <w:spacing w:after="0" w:line="240" w:lineRule="exact"/>
              <w:ind w:left="0"/>
              <w:rPr>
                <w:rFonts w:eastAsia="Calibri" w:cs="Times New Roman"/>
              </w:rPr>
            </w:pPr>
          </w:p>
        </w:tc>
        <w:tc>
          <w:tcPr>
            <w:tcW w:w="1800"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35 (30)</w:t>
            </w:r>
          </w:p>
        </w:tc>
        <w:tc>
          <w:tcPr>
            <w:tcW w:w="1908"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 xml:space="preserve">30 </w:t>
            </w:r>
          </w:p>
        </w:tc>
      </w:tr>
      <w:tr w:rsidR="00BF1542" w:rsidRPr="00851C3A" w:rsidTr="00BF1542">
        <w:trPr>
          <w:trHeight w:val="188"/>
        </w:trPr>
        <w:tc>
          <w:tcPr>
            <w:tcW w:w="1592"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R Lat flex</w:t>
            </w:r>
          </w:p>
        </w:tc>
        <w:tc>
          <w:tcPr>
            <w:tcW w:w="891"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0-30</w:t>
            </w:r>
          </w:p>
        </w:tc>
        <w:tc>
          <w:tcPr>
            <w:tcW w:w="1163"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25</w:t>
            </w:r>
          </w:p>
        </w:tc>
        <w:tc>
          <w:tcPr>
            <w:tcW w:w="1502" w:type="dxa"/>
          </w:tcPr>
          <w:p w:rsidR="00BF1542" w:rsidRPr="00851C3A" w:rsidRDefault="00BF1542" w:rsidP="0005580D">
            <w:pPr>
              <w:pStyle w:val="ListParagraph"/>
              <w:spacing w:after="0" w:line="240" w:lineRule="exact"/>
              <w:ind w:left="0"/>
              <w:rPr>
                <w:rFonts w:eastAsia="Calibri" w:cs="Times New Roman"/>
              </w:rPr>
            </w:pPr>
          </w:p>
        </w:tc>
        <w:tc>
          <w:tcPr>
            <w:tcW w:w="1800"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25</w:t>
            </w:r>
          </w:p>
        </w:tc>
        <w:tc>
          <w:tcPr>
            <w:tcW w:w="1908"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 xml:space="preserve">30 </w:t>
            </w:r>
          </w:p>
        </w:tc>
      </w:tr>
      <w:tr w:rsidR="00BF1542" w:rsidRPr="00851C3A" w:rsidTr="00BF1542">
        <w:tc>
          <w:tcPr>
            <w:tcW w:w="1592"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L lat flex</w:t>
            </w:r>
          </w:p>
        </w:tc>
        <w:tc>
          <w:tcPr>
            <w:tcW w:w="891"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0-30</w:t>
            </w:r>
          </w:p>
        </w:tc>
        <w:tc>
          <w:tcPr>
            <w:tcW w:w="1163"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30</w:t>
            </w:r>
          </w:p>
        </w:tc>
        <w:tc>
          <w:tcPr>
            <w:tcW w:w="1502" w:type="dxa"/>
          </w:tcPr>
          <w:p w:rsidR="00BF1542" w:rsidRPr="00851C3A" w:rsidRDefault="00BF1542" w:rsidP="0005580D">
            <w:pPr>
              <w:pStyle w:val="ListParagraph"/>
              <w:spacing w:after="0" w:line="240" w:lineRule="exact"/>
              <w:ind w:left="0"/>
              <w:rPr>
                <w:rFonts w:eastAsia="Calibri" w:cs="Times New Roman"/>
              </w:rPr>
            </w:pPr>
          </w:p>
        </w:tc>
        <w:tc>
          <w:tcPr>
            <w:tcW w:w="1800"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25</w:t>
            </w:r>
          </w:p>
        </w:tc>
        <w:tc>
          <w:tcPr>
            <w:tcW w:w="1908"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 xml:space="preserve">30 </w:t>
            </w:r>
          </w:p>
        </w:tc>
      </w:tr>
      <w:tr w:rsidR="00BF1542" w:rsidRPr="00851C3A" w:rsidTr="00BF1542">
        <w:tc>
          <w:tcPr>
            <w:tcW w:w="1592"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R rotation</w:t>
            </w:r>
          </w:p>
        </w:tc>
        <w:tc>
          <w:tcPr>
            <w:tcW w:w="891"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0-30</w:t>
            </w:r>
          </w:p>
        </w:tc>
        <w:tc>
          <w:tcPr>
            <w:tcW w:w="1163"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60 (30)</w:t>
            </w:r>
          </w:p>
        </w:tc>
        <w:tc>
          <w:tcPr>
            <w:tcW w:w="1502" w:type="dxa"/>
          </w:tcPr>
          <w:p w:rsidR="00BF1542" w:rsidRPr="00851C3A" w:rsidRDefault="00BF1542" w:rsidP="0005580D">
            <w:pPr>
              <w:pStyle w:val="ListParagraph"/>
              <w:spacing w:after="0" w:line="240" w:lineRule="exact"/>
              <w:ind w:left="0"/>
              <w:rPr>
                <w:rFonts w:eastAsia="Calibri" w:cs="Times New Roman"/>
              </w:rPr>
            </w:pPr>
          </w:p>
        </w:tc>
        <w:tc>
          <w:tcPr>
            <w:tcW w:w="1800"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40 (30)</w:t>
            </w:r>
          </w:p>
        </w:tc>
        <w:tc>
          <w:tcPr>
            <w:tcW w:w="1908"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 xml:space="preserve">30 </w:t>
            </w:r>
          </w:p>
        </w:tc>
      </w:tr>
      <w:tr w:rsidR="00BF1542" w:rsidRPr="00851C3A" w:rsidTr="00BF1542">
        <w:tc>
          <w:tcPr>
            <w:tcW w:w="1592"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L rotation</w:t>
            </w:r>
          </w:p>
        </w:tc>
        <w:tc>
          <w:tcPr>
            <w:tcW w:w="891"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0-30</w:t>
            </w:r>
          </w:p>
        </w:tc>
        <w:tc>
          <w:tcPr>
            <w:tcW w:w="1163"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60 (30)</w:t>
            </w:r>
          </w:p>
        </w:tc>
        <w:tc>
          <w:tcPr>
            <w:tcW w:w="1502" w:type="dxa"/>
          </w:tcPr>
          <w:p w:rsidR="00BF1542" w:rsidRPr="00851C3A" w:rsidRDefault="00BF1542" w:rsidP="0005580D">
            <w:pPr>
              <w:pStyle w:val="ListParagraph"/>
              <w:spacing w:after="0" w:line="240" w:lineRule="exact"/>
              <w:ind w:left="0"/>
              <w:rPr>
                <w:rFonts w:eastAsia="Calibri" w:cs="Times New Roman"/>
              </w:rPr>
            </w:pPr>
          </w:p>
        </w:tc>
        <w:tc>
          <w:tcPr>
            <w:tcW w:w="1800"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40 (30)</w:t>
            </w:r>
          </w:p>
        </w:tc>
        <w:tc>
          <w:tcPr>
            <w:tcW w:w="1908"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 xml:space="preserve">30 </w:t>
            </w:r>
          </w:p>
        </w:tc>
      </w:tr>
      <w:tr w:rsidR="00BF1542" w:rsidRPr="00851C3A" w:rsidTr="00BF1542">
        <w:tc>
          <w:tcPr>
            <w:tcW w:w="1592"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COMBINED</w:t>
            </w:r>
          </w:p>
        </w:tc>
        <w:tc>
          <w:tcPr>
            <w:tcW w:w="891"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 xml:space="preserve"> 240</w:t>
            </w:r>
          </w:p>
        </w:tc>
        <w:tc>
          <w:tcPr>
            <w:tcW w:w="1163"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200-235</w:t>
            </w:r>
          </w:p>
        </w:tc>
        <w:tc>
          <w:tcPr>
            <w:tcW w:w="1502" w:type="dxa"/>
          </w:tcPr>
          <w:p w:rsidR="00BF1542" w:rsidRPr="00851C3A" w:rsidRDefault="00BF1542" w:rsidP="0005580D">
            <w:pPr>
              <w:pStyle w:val="ListParagraph"/>
              <w:spacing w:after="0" w:line="240" w:lineRule="exact"/>
              <w:ind w:left="0"/>
              <w:rPr>
                <w:rFonts w:eastAsia="Calibri" w:cs="Times New Roman"/>
              </w:rPr>
            </w:pPr>
          </w:p>
        </w:tc>
        <w:tc>
          <w:tcPr>
            <w:tcW w:w="1800"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200</w:t>
            </w:r>
          </w:p>
        </w:tc>
        <w:tc>
          <w:tcPr>
            <w:tcW w:w="1908" w:type="dxa"/>
          </w:tcPr>
          <w:p w:rsidR="00BF1542" w:rsidRPr="00851C3A" w:rsidRDefault="00BF1542" w:rsidP="0005580D">
            <w:pPr>
              <w:pStyle w:val="ListParagraph"/>
              <w:spacing w:after="0" w:line="240" w:lineRule="exact"/>
              <w:ind w:left="0"/>
              <w:rPr>
                <w:rFonts w:eastAsia="Calibri" w:cs="Times New Roman"/>
              </w:rPr>
            </w:pPr>
            <w:r w:rsidRPr="00851C3A">
              <w:rPr>
                <w:rFonts w:eastAsia="Calibri" w:cs="Times New Roman"/>
              </w:rPr>
              <w:t xml:space="preserve">240 </w:t>
            </w:r>
          </w:p>
        </w:tc>
      </w:tr>
      <w:tr w:rsidR="0064475D" w:rsidRPr="00473D5C" w:rsidTr="00BF1542">
        <w:tc>
          <w:tcPr>
            <w:tcW w:w="1592" w:type="dxa"/>
          </w:tcPr>
          <w:p w:rsidR="0064475D" w:rsidRPr="00851C3A" w:rsidRDefault="0064475D" w:rsidP="0005580D">
            <w:pPr>
              <w:pStyle w:val="ListParagraph"/>
              <w:spacing w:after="0" w:line="240" w:lineRule="exact"/>
              <w:ind w:left="0"/>
              <w:rPr>
                <w:rFonts w:eastAsia="Calibri" w:cs="Times New Roman"/>
              </w:rPr>
            </w:pPr>
            <w:r w:rsidRPr="00851C3A">
              <w:rPr>
                <w:rFonts w:eastAsia="Calibri" w:cs="Times New Roman"/>
              </w:rPr>
              <w:t>Notes:</w:t>
            </w:r>
          </w:p>
        </w:tc>
        <w:tc>
          <w:tcPr>
            <w:tcW w:w="891" w:type="dxa"/>
          </w:tcPr>
          <w:p w:rsidR="0064475D" w:rsidRPr="00851C3A" w:rsidRDefault="0064475D" w:rsidP="0005580D">
            <w:pPr>
              <w:pStyle w:val="ListParagraph"/>
              <w:spacing w:after="0" w:line="240" w:lineRule="exact"/>
              <w:ind w:left="0"/>
              <w:rPr>
                <w:rFonts w:eastAsia="Calibri" w:cs="Times New Roman"/>
              </w:rPr>
            </w:pPr>
          </w:p>
        </w:tc>
        <w:tc>
          <w:tcPr>
            <w:tcW w:w="1163" w:type="dxa"/>
          </w:tcPr>
          <w:p w:rsidR="0064475D" w:rsidRPr="00851C3A" w:rsidRDefault="00F43A43" w:rsidP="0005580D">
            <w:pPr>
              <w:pStyle w:val="ListParagraph"/>
              <w:spacing w:after="0" w:line="240" w:lineRule="exact"/>
              <w:ind w:left="0"/>
              <w:rPr>
                <w:rFonts w:eastAsia="Calibri" w:cs="Times New Roman"/>
              </w:rPr>
            </w:pPr>
            <w:r w:rsidRPr="00851C3A">
              <w:rPr>
                <w:rFonts w:eastAsia="Calibri" w:cs="Times New Roman"/>
              </w:rPr>
              <w:t xml:space="preserve">DTR’s equal; </w:t>
            </w:r>
            <w:r w:rsidR="0064475D" w:rsidRPr="00851C3A">
              <w:rPr>
                <w:rFonts w:eastAsia="Calibri" w:cs="Times New Roman"/>
              </w:rPr>
              <w:t xml:space="preserve">All </w:t>
            </w:r>
            <w:proofErr w:type="spellStart"/>
            <w:r w:rsidR="0064475D" w:rsidRPr="00851C3A">
              <w:rPr>
                <w:rFonts w:eastAsia="Calibri" w:cs="Times New Roman"/>
              </w:rPr>
              <w:t>Waddells</w:t>
            </w:r>
            <w:proofErr w:type="spellEnd"/>
            <w:r w:rsidR="0064475D" w:rsidRPr="00851C3A">
              <w:rPr>
                <w:rFonts w:eastAsia="Calibri" w:cs="Times New Roman"/>
              </w:rPr>
              <w:t xml:space="preserve"> negative; no mention of neurologic exam</w:t>
            </w:r>
          </w:p>
        </w:tc>
        <w:tc>
          <w:tcPr>
            <w:tcW w:w="1502" w:type="dxa"/>
          </w:tcPr>
          <w:p w:rsidR="0064475D" w:rsidRPr="00851C3A" w:rsidRDefault="0064475D" w:rsidP="0005580D">
            <w:pPr>
              <w:pStyle w:val="ListParagraph"/>
              <w:spacing w:after="0" w:line="240" w:lineRule="exact"/>
              <w:ind w:left="0"/>
              <w:rPr>
                <w:rFonts w:eastAsia="Calibri" w:cs="Times New Roman"/>
              </w:rPr>
            </w:pPr>
            <w:r w:rsidRPr="00851C3A">
              <w:rPr>
                <w:rFonts w:eastAsia="Calibri" w:cs="Times New Roman"/>
              </w:rPr>
              <w:t>Neurologically intact; normal DTRs; motor 5/5; sensory intact</w:t>
            </w:r>
          </w:p>
        </w:tc>
        <w:tc>
          <w:tcPr>
            <w:tcW w:w="1800" w:type="dxa"/>
          </w:tcPr>
          <w:p w:rsidR="0064475D" w:rsidRPr="00851C3A" w:rsidRDefault="0064475D" w:rsidP="0005580D">
            <w:pPr>
              <w:pStyle w:val="ListParagraph"/>
              <w:spacing w:after="0" w:line="240" w:lineRule="exact"/>
              <w:ind w:left="0"/>
              <w:rPr>
                <w:rFonts w:eastAsia="Calibri" w:cs="Times New Roman"/>
              </w:rPr>
            </w:pPr>
            <w:r w:rsidRPr="00851C3A">
              <w:rPr>
                <w:rFonts w:eastAsia="Calibri" w:cs="Times New Roman"/>
              </w:rPr>
              <w:t xml:space="preserve">Limping; DTR equal bilaterally; motor 5/5 bilaterally; decreased sensation to </w:t>
            </w:r>
            <w:proofErr w:type="spellStart"/>
            <w:r w:rsidRPr="00851C3A">
              <w:rPr>
                <w:rFonts w:eastAsia="Calibri" w:cs="Times New Roman"/>
              </w:rPr>
              <w:t>Wartenburg</w:t>
            </w:r>
            <w:proofErr w:type="spellEnd"/>
            <w:r w:rsidRPr="00851C3A">
              <w:rPr>
                <w:rFonts w:eastAsia="Calibri" w:cs="Times New Roman"/>
              </w:rPr>
              <w:t xml:space="preserve"> pinwheel in left thigh, leg, and foot</w:t>
            </w:r>
          </w:p>
        </w:tc>
        <w:tc>
          <w:tcPr>
            <w:tcW w:w="1908" w:type="dxa"/>
          </w:tcPr>
          <w:p w:rsidR="0064475D" w:rsidRPr="006D21F4" w:rsidRDefault="00851C3A" w:rsidP="0005580D">
            <w:pPr>
              <w:pStyle w:val="ListParagraph"/>
              <w:spacing w:after="0" w:line="240" w:lineRule="exact"/>
              <w:ind w:left="0"/>
              <w:rPr>
                <w:rFonts w:eastAsia="Calibri" w:cs="Times New Roman"/>
              </w:rPr>
            </w:pPr>
            <w:r>
              <w:rPr>
                <w:rFonts w:eastAsia="Calibri" w:cs="Times New Roman"/>
              </w:rPr>
              <w:t xml:space="preserve">Limping; </w:t>
            </w:r>
            <w:r w:rsidR="0064475D" w:rsidRPr="00851C3A">
              <w:rPr>
                <w:rFonts w:eastAsia="Calibri" w:cs="Times New Roman"/>
              </w:rPr>
              <w:t xml:space="preserve">Pain </w:t>
            </w:r>
            <w:r w:rsidR="0005580D" w:rsidRPr="00851C3A">
              <w:rPr>
                <w:rFonts w:eastAsia="Calibri" w:cs="Times New Roman"/>
              </w:rPr>
              <w:t>increased with repeated motion</w:t>
            </w:r>
            <w:r w:rsidR="0064475D" w:rsidRPr="00851C3A">
              <w:rPr>
                <w:rFonts w:eastAsia="Calibri" w:cs="Times New Roman"/>
              </w:rPr>
              <w:t>; Loss of sensation in Left lower leg and foot medially</w:t>
            </w:r>
            <w:r w:rsidR="00BF1542" w:rsidRPr="00851C3A">
              <w:rPr>
                <w:rFonts w:eastAsia="Calibri" w:cs="Times New Roman"/>
              </w:rPr>
              <w:t xml:space="preserve"> </w:t>
            </w:r>
            <w:r w:rsidR="00190650" w:rsidRPr="00851C3A">
              <w:rPr>
                <w:rFonts w:eastAsia="Calibri" w:cs="Times New Roman"/>
              </w:rPr>
              <w:t>(measured with a feather)</w:t>
            </w:r>
            <w:r w:rsidR="0064475D" w:rsidRPr="00851C3A">
              <w:rPr>
                <w:rFonts w:eastAsia="Calibri" w:cs="Times New Roman"/>
              </w:rPr>
              <w:t>; No motor abnormality</w:t>
            </w:r>
          </w:p>
        </w:tc>
      </w:tr>
    </w:tbl>
    <w:p w:rsidR="00E866F8" w:rsidRPr="00141363" w:rsidRDefault="00E866F8" w:rsidP="00141363">
      <w:pPr>
        <w:autoSpaceDE w:val="0"/>
        <w:autoSpaceDN w:val="0"/>
        <w:adjustRightInd w:val="0"/>
        <w:spacing w:line="240" w:lineRule="exact"/>
        <w:jc w:val="both"/>
        <w:rPr>
          <w:rFonts w:asciiTheme="minorHAnsi" w:hAnsiTheme="minorHAnsi"/>
          <w:color w:val="auto"/>
          <w:szCs w:val="24"/>
        </w:rPr>
      </w:pPr>
    </w:p>
    <w:p w:rsidR="00E866F8" w:rsidRDefault="00BF1542" w:rsidP="00141363">
      <w:pPr>
        <w:tabs>
          <w:tab w:val="left" w:pos="288"/>
          <w:tab w:val="left" w:pos="4752"/>
        </w:tabs>
        <w:spacing w:line="240" w:lineRule="exact"/>
        <w:jc w:val="both"/>
        <w:rPr>
          <w:color w:val="auto"/>
          <w:szCs w:val="24"/>
        </w:rPr>
      </w:pPr>
      <w:r>
        <w:rPr>
          <w:color w:val="auto"/>
          <w:szCs w:val="24"/>
        </w:rPr>
        <w:t xml:space="preserve">The VA rated the back condition using periods of incapacitation. The C&amp;P exam reported two thirty day periods of incapacitating </w:t>
      </w:r>
      <w:r w:rsidR="007A5C5D">
        <w:rPr>
          <w:color w:val="auto"/>
          <w:szCs w:val="24"/>
        </w:rPr>
        <w:t xml:space="preserve">episodes, one in April 2008 and one in October 2008. </w:t>
      </w:r>
      <w:r w:rsidR="00EE3A3D">
        <w:rPr>
          <w:color w:val="auto"/>
          <w:szCs w:val="24"/>
        </w:rPr>
        <w:t xml:space="preserve"> </w:t>
      </w:r>
      <w:r w:rsidR="007A5C5D">
        <w:rPr>
          <w:color w:val="auto"/>
          <w:szCs w:val="24"/>
        </w:rPr>
        <w:t xml:space="preserve">Both of these occurred after a surgery. </w:t>
      </w:r>
      <w:r w:rsidR="00EE3A3D">
        <w:rPr>
          <w:color w:val="auto"/>
          <w:szCs w:val="24"/>
        </w:rPr>
        <w:t xml:space="preserve"> </w:t>
      </w:r>
      <w:r w:rsidR="007A5C5D">
        <w:rPr>
          <w:color w:val="auto"/>
          <w:szCs w:val="24"/>
        </w:rPr>
        <w:t xml:space="preserve">The exam also reports a period of two days of incapacitation in May 2008 and three days in July 2008. </w:t>
      </w:r>
      <w:r w:rsidR="00EE3A3D">
        <w:rPr>
          <w:color w:val="auto"/>
          <w:szCs w:val="24"/>
        </w:rPr>
        <w:t xml:space="preserve"> </w:t>
      </w:r>
      <w:r w:rsidR="007A5C5D">
        <w:rPr>
          <w:color w:val="auto"/>
          <w:szCs w:val="24"/>
        </w:rPr>
        <w:t xml:space="preserve">However, there is no evidence in the service treatment record (STR) of any incapacitating episodes. </w:t>
      </w:r>
      <w:r w:rsidR="00EE3A3D">
        <w:rPr>
          <w:color w:val="auto"/>
          <w:szCs w:val="24"/>
        </w:rPr>
        <w:t xml:space="preserve"> </w:t>
      </w:r>
      <w:r w:rsidR="007A5C5D">
        <w:rPr>
          <w:color w:val="auto"/>
          <w:szCs w:val="24"/>
        </w:rPr>
        <w:t xml:space="preserve">A discharge note dated 20081003 stated ‘no strenuous exercise or heavy lifting for at least 4 wks’. </w:t>
      </w:r>
      <w:r w:rsidR="00EE3A3D">
        <w:rPr>
          <w:color w:val="auto"/>
          <w:szCs w:val="24"/>
        </w:rPr>
        <w:t xml:space="preserve"> </w:t>
      </w:r>
      <w:r w:rsidR="007A5C5D">
        <w:rPr>
          <w:color w:val="auto"/>
          <w:szCs w:val="24"/>
        </w:rPr>
        <w:t xml:space="preserve">There is no subsequent note describing any more stringent restrictions or any intervening event that might have caused a period of incapacitation. </w:t>
      </w:r>
      <w:r w:rsidR="00EE3A3D">
        <w:rPr>
          <w:color w:val="auto"/>
          <w:szCs w:val="24"/>
        </w:rPr>
        <w:t xml:space="preserve"> </w:t>
      </w:r>
      <w:r w:rsidR="007A5C5D">
        <w:rPr>
          <w:color w:val="auto"/>
          <w:szCs w:val="24"/>
        </w:rPr>
        <w:t xml:space="preserve">There is no evidence of incapacitation in May or July 2008 in the STR. </w:t>
      </w:r>
      <w:r w:rsidR="00EE3A3D">
        <w:rPr>
          <w:color w:val="auto"/>
          <w:szCs w:val="24"/>
        </w:rPr>
        <w:t xml:space="preserve"> </w:t>
      </w:r>
      <w:r w:rsidR="007A5C5D">
        <w:rPr>
          <w:color w:val="auto"/>
          <w:szCs w:val="24"/>
        </w:rPr>
        <w:t xml:space="preserve">Therefore the </w:t>
      </w:r>
      <w:r w:rsidR="007A5C5D">
        <w:rPr>
          <w:color w:val="auto"/>
          <w:szCs w:val="24"/>
        </w:rPr>
        <w:lastRenderedPageBreak/>
        <w:t>back condition should be rated based on the limited range of motion (ROM).</w:t>
      </w:r>
    </w:p>
    <w:p w:rsidR="00EE3A3D" w:rsidRDefault="00EE3A3D" w:rsidP="00141363">
      <w:pPr>
        <w:tabs>
          <w:tab w:val="left" w:pos="288"/>
          <w:tab w:val="left" w:pos="4752"/>
        </w:tabs>
        <w:spacing w:line="240" w:lineRule="exact"/>
        <w:jc w:val="both"/>
        <w:rPr>
          <w:color w:val="auto"/>
          <w:szCs w:val="24"/>
        </w:rPr>
      </w:pPr>
    </w:p>
    <w:p w:rsidR="007A5C5D" w:rsidRDefault="00F43A43" w:rsidP="00141363">
      <w:pPr>
        <w:tabs>
          <w:tab w:val="left" w:pos="288"/>
          <w:tab w:val="left" w:pos="4752"/>
        </w:tabs>
        <w:spacing w:line="240" w:lineRule="exact"/>
        <w:jc w:val="both"/>
        <w:rPr>
          <w:color w:val="auto"/>
          <w:szCs w:val="24"/>
        </w:rPr>
      </w:pPr>
      <w:r>
        <w:rPr>
          <w:color w:val="auto"/>
          <w:szCs w:val="24"/>
        </w:rPr>
        <w:t>The military exam from 20081117 was approximately one month after surgery and does not include information about the degree of movement where pain occurred</w:t>
      </w:r>
      <w:r w:rsidR="008004AE">
        <w:rPr>
          <w:color w:val="auto"/>
          <w:szCs w:val="24"/>
        </w:rPr>
        <w:t xml:space="preserve"> or if the motion was active or passive</w:t>
      </w:r>
      <w:r>
        <w:rPr>
          <w:color w:val="auto"/>
          <w:szCs w:val="24"/>
        </w:rPr>
        <w:t>.</w:t>
      </w:r>
      <w:r w:rsidR="008004AE">
        <w:rPr>
          <w:color w:val="auto"/>
          <w:szCs w:val="24"/>
        </w:rPr>
        <w:t xml:space="preserve"> </w:t>
      </w:r>
      <w:r w:rsidR="00EE3A3D">
        <w:rPr>
          <w:color w:val="auto"/>
          <w:szCs w:val="24"/>
        </w:rPr>
        <w:t xml:space="preserve"> </w:t>
      </w:r>
      <w:r w:rsidR="008004AE">
        <w:rPr>
          <w:color w:val="auto"/>
          <w:szCs w:val="24"/>
        </w:rPr>
        <w:t>Extension was not measured</w:t>
      </w:r>
      <w:r>
        <w:rPr>
          <w:color w:val="auto"/>
          <w:szCs w:val="24"/>
        </w:rPr>
        <w:t xml:space="preserve"> as the neurosurgeon had restricted this type of movement. </w:t>
      </w:r>
      <w:r w:rsidR="00EE3A3D">
        <w:rPr>
          <w:color w:val="auto"/>
          <w:szCs w:val="24"/>
        </w:rPr>
        <w:t xml:space="preserve"> </w:t>
      </w:r>
      <w:r>
        <w:rPr>
          <w:color w:val="auto"/>
          <w:szCs w:val="24"/>
        </w:rPr>
        <w:t xml:space="preserve">The military exam from December 2008 is documented as active motion but again does not include information about pain on motion. </w:t>
      </w:r>
      <w:r w:rsidR="00EE3A3D">
        <w:rPr>
          <w:color w:val="auto"/>
          <w:szCs w:val="24"/>
        </w:rPr>
        <w:t xml:space="preserve"> </w:t>
      </w:r>
      <w:r>
        <w:rPr>
          <w:color w:val="auto"/>
          <w:szCs w:val="24"/>
        </w:rPr>
        <w:t xml:space="preserve">The VA exam documented full ROM but stated pain was present </w:t>
      </w:r>
      <w:r w:rsidR="0005580D">
        <w:rPr>
          <w:color w:val="auto"/>
          <w:szCs w:val="24"/>
        </w:rPr>
        <w:t>at the extent of normal</w:t>
      </w:r>
      <w:r>
        <w:rPr>
          <w:color w:val="auto"/>
          <w:szCs w:val="24"/>
        </w:rPr>
        <w:t xml:space="preserve"> ROM</w:t>
      </w:r>
      <w:r w:rsidR="0005580D">
        <w:rPr>
          <w:color w:val="auto"/>
          <w:szCs w:val="24"/>
        </w:rPr>
        <w:t xml:space="preserve"> and pain increased with repeated motion</w:t>
      </w:r>
      <w:r>
        <w:rPr>
          <w:color w:val="auto"/>
          <w:szCs w:val="24"/>
        </w:rPr>
        <w:t>.</w:t>
      </w:r>
      <w:r w:rsidR="004D7D9F">
        <w:rPr>
          <w:color w:val="auto"/>
          <w:szCs w:val="24"/>
        </w:rPr>
        <w:t xml:space="preserve"> However, there was no decreased ROM with repeated motion, only increased pain.</w:t>
      </w:r>
    </w:p>
    <w:p w:rsidR="0005580D" w:rsidRDefault="0005580D" w:rsidP="00141363">
      <w:pPr>
        <w:tabs>
          <w:tab w:val="left" w:pos="288"/>
          <w:tab w:val="left" w:pos="4752"/>
        </w:tabs>
        <w:spacing w:line="240" w:lineRule="exact"/>
        <w:jc w:val="both"/>
        <w:rPr>
          <w:color w:val="auto"/>
          <w:szCs w:val="24"/>
        </w:rPr>
      </w:pPr>
    </w:p>
    <w:p w:rsidR="0005580D" w:rsidRPr="00873C5A" w:rsidRDefault="0005580D" w:rsidP="00141363">
      <w:pPr>
        <w:tabs>
          <w:tab w:val="left" w:pos="288"/>
          <w:tab w:val="left" w:pos="4752"/>
        </w:tabs>
        <w:spacing w:line="240" w:lineRule="exact"/>
        <w:jc w:val="both"/>
        <w:rPr>
          <w:color w:val="auto"/>
          <w:szCs w:val="24"/>
          <w:u w:val="single"/>
        </w:rPr>
      </w:pPr>
      <w:r w:rsidRPr="00873C5A">
        <w:rPr>
          <w:color w:val="auto"/>
          <w:szCs w:val="24"/>
          <w:u w:val="single"/>
        </w:rPr>
        <w:t>Neuritis</w:t>
      </w:r>
    </w:p>
    <w:p w:rsidR="00BF1542" w:rsidRDefault="0005580D" w:rsidP="00141363">
      <w:pPr>
        <w:tabs>
          <w:tab w:val="left" w:pos="288"/>
          <w:tab w:val="left" w:pos="4752"/>
        </w:tabs>
        <w:spacing w:line="240" w:lineRule="exact"/>
        <w:jc w:val="both"/>
        <w:rPr>
          <w:color w:val="auto"/>
          <w:szCs w:val="24"/>
        </w:rPr>
      </w:pPr>
      <w:r>
        <w:rPr>
          <w:color w:val="auto"/>
          <w:szCs w:val="24"/>
        </w:rPr>
        <w:t xml:space="preserve">Both military and VA exams document abnormal sensory exams with normal strength and </w:t>
      </w:r>
      <w:r w:rsidR="00545EEA">
        <w:rPr>
          <w:color w:val="auto"/>
          <w:szCs w:val="24"/>
        </w:rPr>
        <w:t>Deep Tendon Reflex (</w:t>
      </w:r>
      <w:r>
        <w:rPr>
          <w:color w:val="auto"/>
          <w:szCs w:val="24"/>
        </w:rPr>
        <w:t>DTR</w:t>
      </w:r>
      <w:r w:rsidR="00545EEA">
        <w:rPr>
          <w:color w:val="auto"/>
          <w:szCs w:val="24"/>
        </w:rPr>
        <w:t>)</w:t>
      </w:r>
      <w:r>
        <w:rPr>
          <w:color w:val="auto"/>
          <w:szCs w:val="24"/>
        </w:rPr>
        <w:t xml:space="preserve">. </w:t>
      </w:r>
      <w:r w:rsidR="00EE3A3D">
        <w:rPr>
          <w:color w:val="auto"/>
          <w:szCs w:val="24"/>
        </w:rPr>
        <w:t xml:space="preserve"> </w:t>
      </w:r>
      <w:r>
        <w:rPr>
          <w:color w:val="auto"/>
          <w:szCs w:val="24"/>
        </w:rPr>
        <w:t xml:space="preserve">The November 2008 military exam has no mention of sensory or motor exams but documented DTRs equal bilaterally. </w:t>
      </w:r>
      <w:r w:rsidR="00EE3A3D">
        <w:rPr>
          <w:color w:val="auto"/>
          <w:szCs w:val="24"/>
        </w:rPr>
        <w:t xml:space="preserve"> </w:t>
      </w:r>
      <w:r>
        <w:rPr>
          <w:color w:val="auto"/>
          <w:szCs w:val="24"/>
        </w:rPr>
        <w:t>The NARSUM exam</w:t>
      </w:r>
      <w:r w:rsidR="00873C5A">
        <w:rPr>
          <w:color w:val="auto"/>
          <w:szCs w:val="24"/>
        </w:rPr>
        <w:t xml:space="preserve"> states neurologically intact and sensory intact but does not describe how sensation was tested. It also documents motor function as 5/5 throughout and no reflex alterations. </w:t>
      </w:r>
      <w:r w:rsidR="00EE3A3D">
        <w:rPr>
          <w:color w:val="auto"/>
          <w:szCs w:val="24"/>
        </w:rPr>
        <w:t xml:space="preserve"> </w:t>
      </w:r>
      <w:r w:rsidR="00873C5A">
        <w:rPr>
          <w:color w:val="auto"/>
          <w:szCs w:val="24"/>
        </w:rPr>
        <w:t xml:space="preserve">The December 2008 military exam and the VA C&amp;P of January 2009 both describe how sensation was measured and both document abnormal sensory exams. </w:t>
      </w:r>
      <w:r w:rsidR="00EE3A3D">
        <w:rPr>
          <w:color w:val="auto"/>
          <w:szCs w:val="24"/>
        </w:rPr>
        <w:t xml:space="preserve"> </w:t>
      </w:r>
      <w:r w:rsidR="00873C5A">
        <w:rPr>
          <w:color w:val="auto"/>
          <w:szCs w:val="24"/>
        </w:rPr>
        <w:t xml:space="preserve">One was done with a pinwheel and one with a feather. </w:t>
      </w:r>
      <w:r w:rsidR="00EE3A3D">
        <w:rPr>
          <w:color w:val="auto"/>
          <w:szCs w:val="24"/>
        </w:rPr>
        <w:t xml:space="preserve"> </w:t>
      </w:r>
      <w:r w:rsidR="00873C5A">
        <w:rPr>
          <w:color w:val="auto"/>
          <w:szCs w:val="24"/>
        </w:rPr>
        <w:t>The sensory deficits are consistent with the documented medical problems of a herniated disc at L5-S1 and the three back surgeries.</w:t>
      </w:r>
      <w:r w:rsidR="004D7D9F">
        <w:rPr>
          <w:color w:val="auto"/>
          <w:szCs w:val="24"/>
        </w:rPr>
        <w:t xml:space="preserve"> </w:t>
      </w:r>
      <w:r w:rsidR="00EE3A3D">
        <w:rPr>
          <w:color w:val="auto"/>
          <w:szCs w:val="24"/>
        </w:rPr>
        <w:t xml:space="preserve"> </w:t>
      </w:r>
      <w:r w:rsidR="004D7D9F">
        <w:rPr>
          <w:color w:val="auto"/>
          <w:szCs w:val="24"/>
        </w:rPr>
        <w:t>The exams that documented how sensation was measured are considered more complete.</w:t>
      </w:r>
    </w:p>
    <w:p w:rsidR="00AE58BD" w:rsidRDefault="00AE58BD" w:rsidP="009650A3">
      <w:pPr>
        <w:tabs>
          <w:tab w:val="left" w:pos="288"/>
          <w:tab w:val="left" w:pos="4752"/>
        </w:tabs>
        <w:spacing w:line="240" w:lineRule="exact"/>
        <w:rPr>
          <w:color w:val="000080"/>
          <w:szCs w:val="24"/>
          <w:u w:val="single"/>
        </w:rPr>
      </w:pPr>
    </w:p>
    <w:p w:rsidR="00141363" w:rsidRPr="00851C3A" w:rsidRDefault="00141363" w:rsidP="00141363">
      <w:pPr>
        <w:tabs>
          <w:tab w:val="left" w:pos="288"/>
          <w:tab w:val="left" w:pos="4752"/>
        </w:tabs>
        <w:spacing w:line="240" w:lineRule="exact"/>
        <w:jc w:val="both"/>
        <w:rPr>
          <w:color w:val="auto"/>
          <w:szCs w:val="24"/>
          <w:u w:val="single"/>
        </w:rPr>
      </w:pPr>
      <w:r w:rsidRPr="00851C3A">
        <w:rPr>
          <w:color w:val="auto"/>
          <w:szCs w:val="24"/>
          <w:u w:val="single"/>
        </w:rPr>
        <w:t xml:space="preserve">Other Conditions  </w:t>
      </w:r>
    </w:p>
    <w:p w:rsidR="006F27BA" w:rsidRPr="00851C3A" w:rsidRDefault="006F27BA" w:rsidP="006F27BA">
      <w:pPr>
        <w:tabs>
          <w:tab w:val="left" w:pos="288"/>
          <w:tab w:val="left" w:pos="4752"/>
        </w:tabs>
        <w:spacing w:line="240" w:lineRule="exact"/>
        <w:jc w:val="both"/>
        <w:rPr>
          <w:color w:val="auto"/>
          <w:szCs w:val="24"/>
        </w:rPr>
      </w:pPr>
      <w:r w:rsidRPr="00851C3A">
        <w:rPr>
          <w:color w:val="auto"/>
          <w:szCs w:val="24"/>
        </w:rPr>
        <w:t xml:space="preserve">Neuritis, Left Lower Extremity Associated with Intervertebral Disc Syndrome, Lumbar Spine; Scar, Status Post L5-S1 </w:t>
      </w:r>
      <w:proofErr w:type="spellStart"/>
      <w:r w:rsidRPr="00851C3A">
        <w:rPr>
          <w:color w:val="auto"/>
          <w:szCs w:val="24"/>
        </w:rPr>
        <w:t>Discectomy</w:t>
      </w:r>
      <w:proofErr w:type="spellEnd"/>
      <w:r w:rsidRPr="00851C3A">
        <w:rPr>
          <w:color w:val="auto"/>
          <w:szCs w:val="24"/>
        </w:rPr>
        <w:t xml:space="preserve"> and Fusion; and Left Knee Strain</w:t>
      </w:r>
    </w:p>
    <w:p w:rsidR="00852FC3" w:rsidRPr="00851C3A" w:rsidRDefault="00852FC3" w:rsidP="006F27BA">
      <w:pPr>
        <w:tabs>
          <w:tab w:val="left" w:pos="288"/>
          <w:tab w:val="left" w:pos="4752"/>
        </w:tabs>
        <w:spacing w:line="240" w:lineRule="exact"/>
        <w:jc w:val="both"/>
        <w:rPr>
          <w:color w:val="auto"/>
          <w:szCs w:val="24"/>
        </w:rPr>
      </w:pPr>
    </w:p>
    <w:p w:rsidR="00852FC3" w:rsidRPr="00851C3A" w:rsidRDefault="00852FC3" w:rsidP="006F27BA">
      <w:pPr>
        <w:tabs>
          <w:tab w:val="left" w:pos="288"/>
          <w:tab w:val="left" w:pos="4752"/>
        </w:tabs>
        <w:spacing w:line="240" w:lineRule="exact"/>
        <w:jc w:val="both"/>
        <w:rPr>
          <w:color w:val="auto"/>
          <w:szCs w:val="24"/>
        </w:rPr>
      </w:pPr>
      <w:r w:rsidRPr="00851C3A">
        <w:rPr>
          <w:color w:val="auto"/>
          <w:szCs w:val="24"/>
          <w:u w:val="single"/>
        </w:rPr>
        <w:t>Neuritis</w:t>
      </w:r>
      <w:r w:rsidRPr="00851C3A">
        <w:rPr>
          <w:color w:val="auto"/>
          <w:szCs w:val="24"/>
        </w:rPr>
        <w:t xml:space="preserve"> </w:t>
      </w:r>
      <w:r w:rsidR="00F92CCF">
        <w:rPr>
          <w:color w:val="auto"/>
          <w:szCs w:val="24"/>
        </w:rPr>
        <w:t>S</w:t>
      </w:r>
      <w:r w:rsidRPr="00851C3A">
        <w:rPr>
          <w:color w:val="auto"/>
          <w:szCs w:val="24"/>
        </w:rPr>
        <w:t>ee above</w:t>
      </w:r>
    </w:p>
    <w:p w:rsidR="00852FC3" w:rsidRPr="00851C3A" w:rsidRDefault="00852FC3" w:rsidP="006F27BA">
      <w:pPr>
        <w:tabs>
          <w:tab w:val="left" w:pos="288"/>
          <w:tab w:val="left" w:pos="4752"/>
        </w:tabs>
        <w:spacing w:line="240" w:lineRule="exact"/>
        <w:jc w:val="both"/>
        <w:rPr>
          <w:color w:val="auto"/>
          <w:szCs w:val="24"/>
        </w:rPr>
      </w:pPr>
    </w:p>
    <w:p w:rsidR="00852FC3" w:rsidRDefault="00852FC3" w:rsidP="006F27BA">
      <w:pPr>
        <w:tabs>
          <w:tab w:val="left" w:pos="288"/>
          <w:tab w:val="left" w:pos="4752"/>
        </w:tabs>
        <w:spacing w:line="240" w:lineRule="exact"/>
        <w:jc w:val="both"/>
        <w:rPr>
          <w:color w:val="auto"/>
          <w:szCs w:val="24"/>
        </w:rPr>
      </w:pPr>
      <w:r w:rsidRPr="00851C3A">
        <w:rPr>
          <w:color w:val="auto"/>
          <w:szCs w:val="24"/>
          <w:u w:val="single"/>
        </w:rPr>
        <w:t>Scar and</w:t>
      </w:r>
      <w:r w:rsidRPr="00DB53CE">
        <w:rPr>
          <w:color w:val="auto"/>
          <w:szCs w:val="24"/>
          <w:u w:val="single"/>
        </w:rPr>
        <w:t xml:space="preserve"> left knee strain</w:t>
      </w:r>
    </w:p>
    <w:p w:rsidR="00AE58BD" w:rsidRDefault="00852FC3" w:rsidP="006F27BA">
      <w:pPr>
        <w:tabs>
          <w:tab w:val="left" w:pos="288"/>
          <w:tab w:val="left" w:pos="4752"/>
        </w:tabs>
        <w:spacing w:line="240" w:lineRule="exact"/>
        <w:jc w:val="both"/>
        <w:rPr>
          <w:color w:val="auto"/>
          <w:szCs w:val="24"/>
        </w:rPr>
      </w:pPr>
      <w:r>
        <w:rPr>
          <w:color w:val="auto"/>
          <w:szCs w:val="24"/>
        </w:rPr>
        <w:t>No evidence either one was unfitting. No duty restrictions related to these conditions. No evidence either interfered with ability to perform required duties.</w:t>
      </w:r>
    </w:p>
    <w:p w:rsidR="006F27BA" w:rsidRDefault="006F27BA" w:rsidP="006F27BA">
      <w:pPr>
        <w:tabs>
          <w:tab w:val="left" w:pos="288"/>
          <w:tab w:val="left" w:pos="4752"/>
        </w:tabs>
        <w:spacing w:line="240" w:lineRule="exact"/>
        <w:jc w:val="both"/>
        <w:rPr>
          <w:color w:val="auto"/>
          <w:szCs w:val="24"/>
        </w:rPr>
      </w:pPr>
    </w:p>
    <w:p w:rsidR="00141363" w:rsidRPr="00851C3A" w:rsidRDefault="00141363" w:rsidP="00141363">
      <w:pPr>
        <w:tabs>
          <w:tab w:val="left" w:pos="288"/>
          <w:tab w:val="left" w:pos="4752"/>
        </w:tabs>
        <w:spacing w:line="240" w:lineRule="exact"/>
        <w:jc w:val="both"/>
        <w:rPr>
          <w:color w:val="auto"/>
          <w:szCs w:val="24"/>
          <w:u w:val="single"/>
        </w:rPr>
      </w:pPr>
      <w:r w:rsidRPr="00851C3A">
        <w:rPr>
          <w:color w:val="auto"/>
          <w:szCs w:val="24"/>
          <w:u w:val="single"/>
        </w:rPr>
        <w:t xml:space="preserve">Other Conditions Not in the </w:t>
      </w:r>
      <w:r w:rsidR="00EE3A3D">
        <w:rPr>
          <w:color w:val="auto"/>
          <w:szCs w:val="24"/>
          <w:u w:val="single"/>
        </w:rPr>
        <w:t>Disability Evaluation System (</w:t>
      </w:r>
      <w:r w:rsidRPr="00851C3A">
        <w:rPr>
          <w:color w:val="auto"/>
          <w:szCs w:val="24"/>
          <w:u w:val="single"/>
        </w:rPr>
        <w:t>DES</w:t>
      </w:r>
      <w:r w:rsidR="00EE3A3D">
        <w:rPr>
          <w:color w:val="auto"/>
          <w:szCs w:val="24"/>
          <w:u w:val="single"/>
        </w:rPr>
        <w:t>)</w:t>
      </w:r>
    </w:p>
    <w:p w:rsidR="006F27BA" w:rsidRPr="006F27BA" w:rsidRDefault="006F27BA" w:rsidP="006F27BA">
      <w:pPr>
        <w:tabs>
          <w:tab w:val="left" w:pos="288"/>
          <w:tab w:val="left" w:pos="4752"/>
        </w:tabs>
        <w:spacing w:line="240" w:lineRule="exact"/>
        <w:jc w:val="both"/>
        <w:rPr>
          <w:color w:val="auto"/>
          <w:szCs w:val="24"/>
        </w:rPr>
      </w:pPr>
      <w:r w:rsidRPr="006F27BA">
        <w:rPr>
          <w:color w:val="auto"/>
          <w:szCs w:val="24"/>
        </w:rPr>
        <w:t>Intervertebral Disc Syndrome, Cervical Spine</w:t>
      </w:r>
      <w:r>
        <w:rPr>
          <w:color w:val="auto"/>
          <w:szCs w:val="24"/>
        </w:rPr>
        <w:t xml:space="preserve">; </w:t>
      </w:r>
      <w:r w:rsidRPr="006F27BA">
        <w:rPr>
          <w:color w:val="auto"/>
          <w:szCs w:val="24"/>
        </w:rPr>
        <w:t>Neu</w:t>
      </w:r>
      <w:r>
        <w:rPr>
          <w:color w:val="auto"/>
          <w:szCs w:val="24"/>
        </w:rPr>
        <w:t>r</w:t>
      </w:r>
      <w:r w:rsidRPr="006F27BA">
        <w:rPr>
          <w:color w:val="auto"/>
          <w:szCs w:val="24"/>
        </w:rPr>
        <w:t>opathy, Left Upper Extremity Associated with Intervertebral Disc Syndrome, Cervical Spine</w:t>
      </w:r>
      <w:r>
        <w:rPr>
          <w:color w:val="auto"/>
          <w:szCs w:val="24"/>
        </w:rPr>
        <w:t xml:space="preserve">; and </w:t>
      </w:r>
      <w:r w:rsidRPr="006F27BA">
        <w:rPr>
          <w:color w:val="auto"/>
          <w:szCs w:val="24"/>
        </w:rPr>
        <w:t>Neu</w:t>
      </w:r>
      <w:r>
        <w:rPr>
          <w:color w:val="auto"/>
          <w:szCs w:val="24"/>
        </w:rPr>
        <w:t>r</w:t>
      </w:r>
      <w:r w:rsidRPr="006F27BA">
        <w:rPr>
          <w:color w:val="auto"/>
          <w:szCs w:val="24"/>
        </w:rPr>
        <w:t>opathy, Right Upper Extremity Associated with Intervertebral Disc Syndrome, Cervical Spine</w:t>
      </w:r>
    </w:p>
    <w:p w:rsidR="00A90D55" w:rsidRPr="00141363" w:rsidRDefault="008B5D31" w:rsidP="009650A3">
      <w:pPr>
        <w:tabs>
          <w:tab w:val="left" w:pos="288"/>
          <w:tab w:val="left" w:pos="4752"/>
        </w:tabs>
        <w:spacing w:line="240" w:lineRule="exact"/>
        <w:jc w:val="both"/>
        <w:rPr>
          <w:color w:val="auto"/>
          <w:szCs w:val="24"/>
        </w:rPr>
      </w:pPr>
      <w:r w:rsidRPr="00141363">
        <w:rPr>
          <w:color w:val="auto"/>
          <w:szCs w:val="24"/>
          <w:u w:val="single"/>
        </w:rPr>
        <w:t>_______________________________________________________________</w:t>
      </w:r>
      <w:r w:rsidRPr="00141363">
        <w:rPr>
          <w:color w:val="auto"/>
          <w:szCs w:val="24"/>
        </w:rPr>
        <w:t>_</w:t>
      </w:r>
    </w:p>
    <w:p w:rsidR="00A90D55" w:rsidRPr="00141363" w:rsidRDefault="00A90D55" w:rsidP="009650A3">
      <w:pPr>
        <w:tabs>
          <w:tab w:val="left" w:pos="288"/>
          <w:tab w:val="left" w:pos="4752"/>
        </w:tabs>
        <w:spacing w:line="240" w:lineRule="exact"/>
        <w:jc w:val="both"/>
        <w:rPr>
          <w:color w:val="auto"/>
          <w:szCs w:val="24"/>
        </w:rPr>
      </w:pPr>
    </w:p>
    <w:p w:rsidR="004D7D9F" w:rsidRDefault="00FB593A" w:rsidP="009A41DF">
      <w:pPr>
        <w:spacing w:line="240" w:lineRule="exact"/>
        <w:jc w:val="both"/>
        <w:rPr>
          <w:rFonts w:eastAsiaTheme="minorHAnsi"/>
          <w:color w:val="auto"/>
          <w:szCs w:val="24"/>
        </w:rPr>
      </w:pPr>
      <w:r w:rsidRPr="00141363">
        <w:rPr>
          <w:color w:val="auto"/>
          <w:szCs w:val="24"/>
          <w:u w:val="single"/>
        </w:rPr>
        <w:t>BOARD FINDINGS</w:t>
      </w:r>
      <w:r w:rsidRPr="00141363">
        <w:rPr>
          <w:color w:val="auto"/>
          <w:szCs w:val="24"/>
        </w:rPr>
        <w:t>:</w:t>
      </w:r>
      <w:r w:rsidRPr="00141363">
        <w:rPr>
          <w:rFonts w:eastAsiaTheme="minorHAnsi"/>
          <w:color w:val="auto"/>
          <w:szCs w:val="24"/>
        </w:rPr>
        <w:t xml:space="preserve">  IAW DoDI 6040.44, provisions of DoD or Military Department regulations or guidelines relied upon by the PEB will not be considered by the </w:t>
      </w:r>
      <w:r w:rsidR="007165CE" w:rsidRPr="00141363">
        <w:rPr>
          <w:rFonts w:eastAsiaTheme="minorHAnsi"/>
          <w:color w:val="auto"/>
          <w:szCs w:val="24"/>
        </w:rPr>
        <w:t>Board</w:t>
      </w:r>
      <w:r w:rsidRPr="00141363">
        <w:rPr>
          <w:rFonts w:eastAsiaTheme="minorHAnsi"/>
          <w:color w:val="auto"/>
          <w:szCs w:val="24"/>
        </w:rPr>
        <w:t xml:space="preserve"> to the extent they were inconsistent with the VASRD in effect at the time of the </w:t>
      </w:r>
      <w:r w:rsidRPr="00141363">
        <w:rPr>
          <w:rFonts w:eastAsiaTheme="minorHAnsi"/>
          <w:color w:val="auto"/>
          <w:szCs w:val="24"/>
        </w:rPr>
        <w:lastRenderedPageBreak/>
        <w:t xml:space="preserve">adjudication. </w:t>
      </w:r>
      <w:r w:rsidR="00141363">
        <w:rPr>
          <w:rFonts w:eastAsiaTheme="minorHAnsi"/>
          <w:color w:val="auto"/>
          <w:szCs w:val="24"/>
        </w:rPr>
        <w:t xml:space="preserve">After careful consideration of all available information the Board determined </w:t>
      </w:r>
      <w:r w:rsidR="00141363" w:rsidRPr="00F92CCF">
        <w:rPr>
          <w:rFonts w:eastAsiaTheme="minorHAnsi"/>
          <w:color w:val="auto"/>
          <w:szCs w:val="24"/>
        </w:rPr>
        <w:t>by simple majority</w:t>
      </w:r>
      <w:r w:rsidR="00141363">
        <w:rPr>
          <w:rFonts w:eastAsiaTheme="minorHAnsi"/>
          <w:color w:val="auto"/>
          <w:szCs w:val="24"/>
        </w:rPr>
        <w:t xml:space="preserve"> that the CI’s </w:t>
      </w:r>
      <w:r w:rsidR="00851C3A">
        <w:rPr>
          <w:rFonts w:eastAsiaTheme="minorHAnsi"/>
          <w:color w:val="auto"/>
          <w:szCs w:val="24"/>
        </w:rPr>
        <w:t xml:space="preserve">back </w:t>
      </w:r>
      <w:r w:rsidR="00141363">
        <w:rPr>
          <w:rFonts w:eastAsiaTheme="minorHAnsi"/>
          <w:color w:val="auto"/>
          <w:szCs w:val="24"/>
        </w:rPr>
        <w:t>condition is most appropriately rated at</w:t>
      </w:r>
      <w:r w:rsidR="00851C3A">
        <w:rPr>
          <w:rFonts w:eastAsiaTheme="minorHAnsi"/>
          <w:color w:val="auto"/>
          <w:szCs w:val="24"/>
        </w:rPr>
        <w:t xml:space="preserve"> 20% for Status Post L5-S1 Fusion</w:t>
      </w:r>
      <w:r w:rsidR="00F92CCF">
        <w:rPr>
          <w:rFonts w:eastAsiaTheme="minorHAnsi"/>
          <w:color w:val="auto"/>
          <w:szCs w:val="24"/>
        </w:rPr>
        <w:t xml:space="preserve"> IAW the VASRD General Rating Formula for Diseases and Injuries of the Spine. </w:t>
      </w:r>
    </w:p>
    <w:p w:rsidR="00EE3A3D" w:rsidRDefault="00EE3A3D" w:rsidP="009A41DF">
      <w:pPr>
        <w:spacing w:line="240" w:lineRule="exact"/>
        <w:jc w:val="both"/>
        <w:rPr>
          <w:rFonts w:eastAsiaTheme="minorHAnsi"/>
          <w:color w:val="auto"/>
          <w:szCs w:val="24"/>
        </w:rPr>
      </w:pPr>
    </w:p>
    <w:p w:rsidR="00F92CCF" w:rsidRPr="00141363" w:rsidRDefault="00F92CCF" w:rsidP="009A41DF">
      <w:pPr>
        <w:spacing w:line="240" w:lineRule="exact"/>
        <w:jc w:val="both"/>
        <w:rPr>
          <w:rFonts w:eastAsiaTheme="minorHAnsi"/>
          <w:color w:val="auto"/>
          <w:szCs w:val="24"/>
        </w:rPr>
      </w:pPr>
      <w:r>
        <w:rPr>
          <w:color w:val="auto"/>
          <w:szCs w:val="24"/>
        </w:rPr>
        <w:t xml:space="preserve">The CI’s thoracolumbar spine motion was limited by pain to 60 degrees of flexion and the CI had an antalgic gait. </w:t>
      </w:r>
      <w:r w:rsidR="00EE3A3D">
        <w:rPr>
          <w:color w:val="auto"/>
          <w:szCs w:val="24"/>
        </w:rPr>
        <w:t xml:space="preserve"> </w:t>
      </w:r>
      <w:r>
        <w:rPr>
          <w:color w:val="auto"/>
          <w:szCs w:val="24"/>
        </w:rPr>
        <w:t xml:space="preserve">These findings warrant a 20% rating. </w:t>
      </w:r>
      <w:r w:rsidR="00EE3A3D">
        <w:rPr>
          <w:color w:val="auto"/>
          <w:szCs w:val="24"/>
        </w:rPr>
        <w:t xml:space="preserve"> </w:t>
      </w:r>
      <w:r>
        <w:rPr>
          <w:color w:val="auto"/>
          <w:szCs w:val="24"/>
        </w:rPr>
        <w:t xml:space="preserve">The CI also had </w:t>
      </w:r>
      <w:proofErr w:type="gramStart"/>
      <w:r>
        <w:rPr>
          <w:color w:val="auto"/>
          <w:szCs w:val="24"/>
        </w:rPr>
        <w:t>a left</w:t>
      </w:r>
      <w:proofErr w:type="gramEnd"/>
      <w:r>
        <w:rPr>
          <w:color w:val="auto"/>
          <w:szCs w:val="24"/>
        </w:rPr>
        <w:t xml:space="preserve"> lower extremity neuritis with decreased sensation but normal muscle strength and deep tendon reflexes. </w:t>
      </w:r>
      <w:r w:rsidR="00EE3A3D">
        <w:rPr>
          <w:color w:val="auto"/>
          <w:szCs w:val="24"/>
        </w:rPr>
        <w:t xml:space="preserve"> </w:t>
      </w:r>
      <w:r>
        <w:rPr>
          <w:color w:val="auto"/>
          <w:szCs w:val="24"/>
        </w:rPr>
        <w:t xml:space="preserve">The majority of the Board determined this </w:t>
      </w:r>
      <w:r w:rsidR="00162840">
        <w:rPr>
          <w:color w:val="auto"/>
          <w:szCs w:val="24"/>
        </w:rPr>
        <w:t>sensory neuritis</w:t>
      </w:r>
      <w:r>
        <w:rPr>
          <w:color w:val="auto"/>
          <w:szCs w:val="24"/>
        </w:rPr>
        <w:t xml:space="preserve"> did not contribute any additional functional disability and therefore no rating should be applied.</w:t>
      </w:r>
      <w:r w:rsidR="004F47C0">
        <w:rPr>
          <w:color w:val="auto"/>
          <w:szCs w:val="24"/>
        </w:rPr>
        <w:t xml:space="preserve"> </w:t>
      </w:r>
      <w:r w:rsidR="00EE3A3D">
        <w:rPr>
          <w:color w:val="auto"/>
          <w:szCs w:val="24"/>
        </w:rPr>
        <w:t xml:space="preserve"> </w:t>
      </w:r>
      <w:r w:rsidR="004F47C0">
        <w:rPr>
          <w:color w:val="auto"/>
          <w:szCs w:val="24"/>
        </w:rPr>
        <w:t xml:space="preserve">The VA rated the back condition based on incapacitating episodes. </w:t>
      </w:r>
      <w:r w:rsidR="00EE3A3D">
        <w:rPr>
          <w:color w:val="auto"/>
          <w:szCs w:val="24"/>
        </w:rPr>
        <w:t xml:space="preserve"> </w:t>
      </w:r>
      <w:r w:rsidR="004F47C0">
        <w:rPr>
          <w:color w:val="auto"/>
          <w:szCs w:val="24"/>
        </w:rPr>
        <w:t xml:space="preserve">However, there was no evidence of any period of physician prescribed bed rest in the STR and therefore the Board could not rate on incapacitating episodes. </w:t>
      </w:r>
      <w:r w:rsidR="00EE3A3D">
        <w:rPr>
          <w:color w:val="auto"/>
          <w:szCs w:val="24"/>
        </w:rPr>
        <w:t xml:space="preserve"> </w:t>
      </w:r>
      <w:r w:rsidR="004F47C0">
        <w:rPr>
          <w:color w:val="auto"/>
          <w:szCs w:val="24"/>
        </w:rPr>
        <w:t xml:space="preserve">The CI referenced other veterans with similar medical conditions who received higher ratings. </w:t>
      </w:r>
      <w:r w:rsidR="00EE3A3D">
        <w:rPr>
          <w:color w:val="auto"/>
          <w:szCs w:val="24"/>
        </w:rPr>
        <w:t xml:space="preserve"> </w:t>
      </w:r>
      <w:r w:rsidR="004F47C0">
        <w:rPr>
          <w:color w:val="auto"/>
          <w:szCs w:val="24"/>
        </w:rPr>
        <w:t xml:space="preserve">The Board </w:t>
      </w:r>
      <w:r w:rsidR="004D7D9F">
        <w:rPr>
          <w:color w:val="auto"/>
          <w:szCs w:val="24"/>
        </w:rPr>
        <w:t xml:space="preserve">reviews all available information for each CI and </w:t>
      </w:r>
      <w:r w:rsidR="004F47C0">
        <w:rPr>
          <w:color w:val="auto"/>
          <w:szCs w:val="24"/>
        </w:rPr>
        <w:t xml:space="preserve">has no authority to review cases of individuals who have not applied </w:t>
      </w:r>
      <w:r w:rsidR="004D7D9F">
        <w:rPr>
          <w:color w:val="auto"/>
          <w:szCs w:val="24"/>
        </w:rPr>
        <w:t xml:space="preserve">for review. </w:t>
      </w:r>
      <w:r w:rsidR="00EE3A3D">
        <w:rPr>
          <w:color w:val="auto"/>
          <w:szCs w:val="24"/>
        </w:rPr>
        <w:t xml:space="preserve"> </w:t>
      </w:r>
      <w:r w:rsidR="004D7D9F">
        <w:rPr>
          <w:color w:val="auto"/>
          <w:szCs w:val="24"/>
        </w:rPr>
        <w:t>The Board acknowledges that individuals with the same condition and or surgical procedures may have widely variable clinical and functional outcomes</w:t>
      </w:r>
      <w:r w:rsidR="004F47C0">
        <w:rPr>
          <w:color w:val="auto"/>
          <w:szCs w:val="24"/>
        </w:rPr>
        <w:t xml:space="preserve"> </w:t>
      </w:r>
      <w:r w:rsidR="004D7D9F">
        <w:rPr>
          <w:color w:val="auto"/>
          <w:szCs w:val="24"/>
        </w:rPr>
        <w:t>and determinations for each CI are based on his or her individual level of functional disability and the VASRD.</w:t>
      </w:r>
    </w:p>
    <w:p w:rsidR="00116FEA" w:rsidRPr="00141363" w:rsidRDefault="00116FEA" w:rsidP="00141363">
      <w:pPr>
        <w:spacing w:line="240" w:lineRule="exact"/>
        <w:jc w:val="both"/>
        <w:rPr>
          <w:color w:val="auto"/>
          <w:szCs w:val="24"/>
        </w:rPr>
      </w:pPr>
    </w:p>
    <w:p w:rsidR="00BD7831" w:rsidRPr="00141363" w:rsidRDefault="00BD7831" w:rsidP="00141363">
      <w:pPr>
        <w:spacing w:line="240" w:lineRule="exact"/>
        <w:jc w:val="both"/>
        <w:rPr>
          <w:color w:val="FF0000"/>
          <w:szCs w:val="24"/>
        </w:rPr>
      </w:pPr>
      <w:r w:rsidRPr="00141363">
        <w:rPr>
          <w:rFonts w:eastAsiaTheme="minorHAnsi"/>
          <w:color w:val="auto"/>
          <w:szCs w:val="24"/>
        </w:rPr>
        <w:t xml:space="preserve">The single voter for dissent (who recommended </w:t>
      </w:r>
      <w:r w:rsidR="00851C3A">
        <w:rPr>
          <w:rFonts w:eastAsiaTheme="minorHAnsi"/>
          <w:color w:val="auto"/>
          <w:szCs w:val="24"/>
        </w:rPr>
        <w:t xml:space="preserve">an additional rating </w:t>
      </w:r>
      <w:r w:rsidR="004F47C0">
        <w:rPr>
          <w:rFonts w:eastAsiaTheme="minorHAnsi"/>
          <w:color w:val="auto"/>
          <w:szCs w:val="24"/>
        </w:rPr>
        <w:t>[</w:t>
      </w:r>
      <w:r w:rsidR="00F92CCF">
        <w:rPr>
          <w:rFonts w:eastAsiaTheme="minorHAnsi"/>
          <w:color w:val="auto"/>
          <w:szCs w:val="24"/>
        </w:rPr>
        <w:t xml:space="preserve">IAW </w:t>
      </w:r>
      <w:r w:rsidR="003E327E">
        <w:rPr>
          <w:rFonts w:eastAsiaTheme="minorHAnsi"/>
          <w:color w:val="auto"/>
          <w:szCs w:val="24"/>
        </w:rPr>
        <w:t>N</w:t>
      </w:r>
      <w:r w:rsidR="00F92CCF">
        <w:rPr>
          <w:rFonts w:eastAsiaTheme="minorHAnsi"/>
          <w:color w:val="auto"/>
          <w:szCs w:val="24"/>
        </w:rPr>
        <w:t>ote 1 of the VASRD General Rating Formula for Dis</w:t>
      </w:r>
      <w:r w:rsidR="004F47C0">
        <w:rPr>
          <w:rFonts w:eastAsiaTheme="minorHAnsi"/>
          <w:color w:val="auto"/>
          <w:szCs w:val="24"/>
        </w:rPr>
        <w:t>eases and Injuries of the Spine]</w:t>
      </w:r>
      <w:r w:rsidR="00F92CCF">
        <w:rPr>
          <w:rFonts w:eastAsiaTheme="minorHAnsi"/>
          <w:color w:val="auto"/>
          <w:szCs w:val="24"/>
        </w:rPr>
        <w:t xml:space="preserve"> </w:t>
      </w:r>
      <w:r w:rsidR="00851C3A">
        <w:rPr>
          <w:rFonts w:eastAsiaTheme="minorHAnsi"/>
          <w:color w:val="auto"/>
          <w:szCs w:val="24"/>
        </w:rPr>
        <w:t xml:space="preserve">of 10% for 5241-8620 Neuritis, Left Lower Extremity </w:t>
      </w:r>
      <w:r w:rsidR="004F47C0">
        <w:rPr>
          <w:rFonts w:eastAsiaTheme="minorHAnsi"/>
          <w:color w:val="auto"/>
          <w:szCs w:val="24"/>
        </w:rPr>
        <w:t>considered</w:t>
      </w:r>
      <w:r w:rsidR="00851C3A">
        <w:rPr>
          <w:rFonts w:eastAsiaTheme="minorHAnsi"/>
          <w:color w:val="auto"/>
          <w:szCs w:val="24"/>
        </w:rPr>
        <w:t xml:space="preserve"> mild</w:t>
      </w:r>
      <w:r w:rsidR="00F92CCF">
        <w:rPr>
          <w:rFonts w:eastAsiaTheme="minorHAnsi"/>
          <w:color w:val="auto"/>
          <w:szCs w:val="24"/>
        </w:rPr>
        <w:t xml:space="preserve"> for a combined rating of 30%</w:t>
      </w:r>
      <w:r w:rsidRPr="00141363">
        <w:rPr>
          <w:rFonts w:eastAsiaTheme="minorHAnsi"/>
          <w:color w:val="auto"/>
          <w:szCs w:val="24"/>
        </w:rPr>
        <w:t xml:space="preserve">) did not elect to submit a minority opinion. </w:t>
      </w:r>
    </w:p>
    <w:p w:rsidR="00BD7831" w:rsidRPr="00141363" w:rsidRDefault="00BD7831" w:rsidP="00141363">
      <w:pPr>
        <w:spacing w:line="240" w:lineRule="exact"/>
        <w:jc w:val="both"/>
        <w:rPr>
          <w:color w:val="FF0000"/>
          <w:szCs w:val="24"/>
        </w:rPr>
      </w:pPr>
    </w:p>
    <w:p w:rsidR="001E5815" w:rsidRDefault="009A41DF" w:rsidP="00141363">
      <w:pPr>
        <w:spacing w:line="240" w:lineRule="exact"/>
        <w:jc w:val="both"/>
        <w:rPr>
          <w:rFonts w:eastAsiaTheme="minorHAnsi"/>
          <w:color w:val="auto"/>
          <w:szCs w:val="24"/>
        </w:rPr>
      </w:pPr>
      <w:r>
        <w:rPr>
          <w:rFonts w:eastAsiaTheme="minorHAnsi"/>
          <w:color w:val="auto"/>
          <w:szCs w:val="24"/>
        </w:rPr>
        <w:t xml:space="preserve">The Board also considered the conditions of </w:t>
      </w:r>
      <w:r w:rsidRPr="006F27BA">
        <w:rPr>
          <w:color w:val="auto"/>
          <w:szCs w:val="24"/>
        </w:rPr>
        <w:t xml:space="preserve">Scar, Status Post L5-S1 </w:t>
      </w:r>
      <w:proofErr w:type="spellStart"/>
      <w:r w:rsidRPr="006F27BA">
        <w:rPr>
          <w:color w:val="auto"/>
          <w:szCs w:val="24"/>
        </w:rPr>
        <w:t>Discectomy</w:t>
      </w:r>
      <w:proofErr w:type="spellEnd"/>
      <w:r w:rsidRPr="006F27BA">
        <w:rPr>
          <w:color w:val="auto"/>
          <w:szCs w:val="24"/>
        </w:rPr>
        <w:t xml:space="preserve"> and Fusion</w:t>
      </w:r>
      <w:r>
        <w:rPr>
          <w:color w:val="auto"/>
          <w:szCs w:val="24"/>
        </w:rPr>
        <w:t xml:space="preserve"> and Left Knee Strain and </w:t>
      </w:r>
      <w:r>
        <w:rPr>
          <w:rFonts w:eastAsiaTheme="minorHAnsi"/>
          <w:color w:val="auto"/>
          <w:szCs w:val="24"/>
        </w:rPr>
        <w:t xml:space="preserve">unanimously determined that these conditions were not unfitting at the time of separation from service. </w:t>
      </w:r>
      <w:r w:rsidR="00EE3A3D">
        <w:rPr>
          <w:rFonts w:eastAsiaTheme="minorHAnsi"/>
          <w:color w:val="auto"/>
          <w:szCs w:val="24"/>
        </w:rPr>
        <w:t xml:space="preserve"> </w:t>
      </w:r>
      <w:r>
        <w:rPr>
          <w:rFonts w:eastAsiaTheme="minorHAnsi"/>
          <w:color w:val="auto"/>
          <w:szCs w:val="24"/>
        </w:rPr>
        <w:t>These conditions did not prevent the CI from performing his required duties in a satisfactory manner and no duty restrictions can be attributed to these conditions.</w:t>
      </w:r>
    </w:p>
    <w:p w:rsidR="009A41DF" w:rsidRPr="00851C3A" w:rsidRDefault="009A41DF" w:rsidP="00141363">
      <w:pPr>
        <w:spacing w:line="240" w:lineRule="exact"/>
        <w:jc w:val="both"/>
        <w:rPr>
          <w:rFonts w:eastAsiaTheme="minorHAnsi"/>
          <w:color w:val="auto"/>
          <w:szCs w:val="24"/>
        </w:rPr>
      </w:pPr>
    </w:p>
    <w:p w:rsidR="001E5815" w:rsidRPr="00141363" w:rsidRDefault="009A41DF" w:rsidP="009A41DF">
      <w:pPr>
        <w:tabs>
          <w:tab w:val="left" w:pos="288"/>
          <w:tab w:val="left" w:pos="4752"/>
        </w:tabs>
        <w:spacing w:line="240" w:lineRule="exact"/>
        <w:jc w:val="both"/>
        <w:rPr>
          <w:color w:val="auto"/>
          <w:szCs w:val="24"/>
        </w:rPr>
      </w:pPr>
      <w:r w:rsidRPr="00851C3A">
        <w:rPr>
          <w:color w:val="auto"/>
          <w:szCs w:val="24"/>
        </w:rPr>
        <w:t xml:space="preserve">The other diagnoses </w:t>
      </w:r>
      <w:r w:rsidR="001E5815" w:rsidRPr="00851C3A">
        <w:rPr>
          <w:color w:val="auto"/>
          <w:szCs w:val="24"/>
        </w:rPr>
        <w:t xml:space="preserve">rated by the VA </w:t>
      </w:r>
      <w:r w:rsidRPr="00851C3A">
        <w:rPr>
          <w:color w:val="auto"/>
          <w:szCs w:val="24"/>
        </w:rPr>
        <w:t xml:space="preserve">(Intervertebral Disc Syndrome, Cervical Spine; Neuropathy, Left Upper Extremity; and Neuropathy, Right Upper Extremity) </w:t>
      </w:r>
      <w:r w:rsidR="001E5815" w:rsidRPr="00851C3A">
        <w:rPr>
          <w:color w:val="auto"/>
          <w:szCs w:val="24"/>
        </w:rPr>
        <w:t>were not mentioned in the Disability Evaluation System package and are therefore outside the scope of the Board. The CI retains</w:t>
      </w:r>
      <w:r w:rsidR="001E5815" w:rsidRPr="00141363">
        <w:rPr>
          <w:color w:val="auto"/>
          <w:szCs w:val="24"/>
        </w:rPr>
        <w:t xml:space="preserve"> the right to request his service Board of Correction for </w:t>
      </w:r>
      <w:r w:rsidR="00141363" w:rsidRPr="00141363">
        <w:rPr>
          <w:color w:val="auto"/>
          <w:szCs w:val="24"/>
        </w:rPr>
        <w:t>Naval</w:t>
      </w:r>
      <w:r w:rsidR="00116FEA" w:rsidRPr="00141363">
        <w:rPr>
          <w:color w:val="auto"/>
          <w:szCs w:val="24"/>
        </w:rPr>
        <w:t xml:space="preserve"> </w:t>
      </w:r>
      <w:r w:rsidR="001E5815" w:rsidRPr="00141363">
        <w:rPr>
          <w:color w:val="auto"/>
          <w:szCs w:val="24"/>
        </w:rPr>
        <w:t>Records (BCNR) to consider adding these conditions as unfitting.</w:t>
      </w:r>
    </w:p>
    <w:p w:rsidR="00FB593A" w:rsidRPr="00141363" w:rsidRDefault="008B5D31" w:rsidP="00141363">
      <w:pPr>
        <w:tabs>
          <w:tab w:val="left" w:pos="288"/>
          <w:tab w:val="left" w:pos="4752"/>
        </w:tabs>
        <w:spacing w:line="240" w:lineRule="exact"/>
        <w:jc w:val="both"/>
        <w:rPr>
          <w:color w:val="auto"/>
          <w:szCs w:val="24"/>
        </w:rPr>
      </w:pPr>
      <w:r w:rsidRPr="00141363">
        <w:rPr>
          <w:color w:val="auto"/>
          <w:szCs w:val="24"/>
          <w:u w:val="single"/>
        </w:rPr>
        <w:t>_______________________________________________________</w:t>
      </w:r>
      <w:r w:rsidR="00141363" w:rsidRPr="00141363">
        <w:rPr>
          <w:color w:val="auto"/>
          <w:szCs w:val="24"/>
          <w:u w:val="single"/>
        </w:rPr>
        <w:t>______</w:t>
      </w:r>
      <w:r w:rsidRPr="00141363">
        <w:rPr>
          <w:color w:val="auto"/>
          <w:szCs w:val="24"/>
          <w:u w:val="single"/>
        </w:rPr>
        <w:t>__</w:t>
      </w:r>
      <w:r w:rsidRPr="00141363">
        <w:rPr>
          <w:color w:val="auto"/>
          <w:szCs w:val="24"/>
        </w:rPr>
        <w:t>_</w:t>
      </w:r>
    </w:p>
    <w:p w:rsidR="00EE3A3D" w:rsidRDefault="00EE3A3D">
      <w:pPr>
        <w:rPr>
          <w:color w:val="auto"/>
          <w:szCs w:val="24"/>
        </w:rPr>
      </w:pPr>
      <w:r>
        <w:rPr>
          <w:color w:val="auto"/>
          <w:szCs w:val="24"/>
        </w:rPr>
        <w:br w:type="page"/>
      </w:r>
    </w:p>
    <w:p w:rsidR="00FB593A" w:rsidRDefault="00FB593A" w:rsidP="00851C3A">
      <w:pPr>
        <w:spacing w:line="240" w:lineRule="exact"/>
        <w:jc w:val="both"/>
        <w:rPr>
          <w:color w:val="auto"/>
          <w:szCs w:val="24"/>
        </w:rPr>
      </w:pPr>
      <w:r w:rsidRPr="00141363">
        <w:rPr>
          <w:color w:val="auto"/>
          <w:szCs w:val="24"/>
          <w:u w:val="single"/>
        </w:rPr>
        <w:lastRenderedPageBreak/>
        <w:t>RECOMMENDATION</w:t>
      </w:r>
      <w:r w:rsidRPr="00141363">
        <w:rPr>
          <w:color w:val="auto"/>
          <w:szCs w:val="24"/>
        </w:rPr>
        <w:t>:</w:t>
      </w:r>
      <w:r w:rsidRPr="008C1017">
        <w:rPr>
          <w:color w:val="000080"/>
          <w:szCs w:val="24"/>
        </w:rPr>
        <w:t xml:space="preserve"> </w:t>
      </w:r>
      <w:r w:rsidR="00851C3A" w:rsidRPr="00141363">
        <w:rPr>
          <w:color w:val="auto"/>
          <w:szCs w:val="24"/>
        </w:rPr>
        <w:t>The Board therefore recommends that there be no recharacterization of the CI</w:t>
      </w:r>
      <w:r w:rsidR="00851C3A" w:rsidRPr="00141363">
        <w:rPr>
          <w:rFonts w:hAnsiTheme="minorHAnsi"/>
          <w:color w:val="auto"/>
          <w:szCs w:val="24"/>
        </w:rPr>
        <w:t>’</w:t>
      </w:r>
      <w:r w:rsidR="00851C3A" w:rsidRPr="00141363">
        <w:rPr>
          <w:color w:val="auto"/>
          <w:szCs w:val="24"/>
        </w:rPr>
        <w:t>s disability and separation determination.</w:t>
      </w:r>
    </w:p>
    <w:p w:rsidR="00B522CD" w:rsidRPr="00141363" w:rsidRDefault="008B5D31" w:rsidP="009650A3">
      <w:pPr>
        <w:spacing w:line="240" w:lineRule="exact"/>
        <w:jc w:val="both"/>
        <w:rPr>
          <w:color w:val="auto"/>
          <w:szCs w:val="24"/>
        </w:rPr>
      </w:pPr>
      <w:r w:rsidRPr="00141363">
        <w:rPr>
          <w:color w:val="auto"/>
          <w:szCs w:val="24"/>
          <w:u w:val="single"/>
        </w:rPr>
        <w:t>_______________________________________________________________</w:t>
      </w:r>
      <w:r w:rsidRPr="00141363">
        <w:rPr>
          <w:color w:val="auto"/>
          <w:szCs w:val="24"/>
        </w:rPr>
        <w:t>_</w:t>
      </w:r>
    </w:p>
    <w:p w:rsidR="00D91DA6" w:rsidRPr="00141363" w:rsidRDefault="00D91DA6" w:rsidP="009650A3">
      <w:pPr>
        <w:tabs>
          <w:tab w:val="left" w:pos="288"/>
          <w:tab w:val="left" w:pos="4752"/>
        </w:tabs>
        <w:spacing w:line="240" w:lineRule="exact"/>
        <w:jc w:val="both"/>
        <w:rPr>
          <w:color w:val="auto"/>
          <w:szCs w:val="24"/>
        </w:rPr>
      </w:pPr>
    </w:p>
    <w:p w:rsidR="00D91DA6" w:rsidRPr="00141363" w:rsidRDefault="00114F20" w:rsidP="009650A3">
      <w:pPr>
        <w:tabs>
          <w:tab w:val="left" w:pos="288"/>
          <w:tab w:val="left" w:pos="4752"/>
        </w:tabs>
        <w:spacing w:line="240" w:lineRule="exact"/>
        <w:jc w:val="both"/>
        <w:rPr>
          <w:color w:val="auto"/>
          <w:szCs w:val="24"/>
        </w:rPr>
      </w:pPr>
      <w:r w:rsidRPr="00141363">
        <w:rPr>
          <w:color w:val="auto"/>
          <w:szCs w:val="24"/>
        </w:rPr>
        <w:t>The following documentary evidence was considered:</w:t>
      </w:r>
    </w:p>
    <w:p w:rsidR="00114F20" w:rsidRPr="00141363" w:rsidRDefault="00114F20" w:rsidP="009650A3">
      <w:pPr>
        <w:tabs>
          <w:tab w:val="left" w:pos="288"/>
          <w:tab w:val="left" w:pos="4752"/>
        </w:tabs>
        <w:spacing w:line="240" w:lineRule="exact"/>
        <w:jc w:val="both"/>
        <w:rPr>
          <w:color w:val="auto"/>
          <w:szCs w:val="24"/>
        </w:rPr>
      </w:pPr>
    </w:p>
    <w:p w:rsidR="00114F20" w:rsidRPr="00141363" w:rsidRDefault="0051146C" w:rsidP="009650A3">
      <w:pPr>
        <w:tabs>
          <w:tab w:val="left" w:pos="288"/>
          <w:tab w:val="left" w:pos="4752"/>
        </w:tabs>
        <w:spacing w:line="240" w:lineRule="exact"/>
        <w:jc w:val="both"/>
        <w:rPr>
          <w:color w:val="auto"/>
          <w:szCs w:val="24"/>
        </w:rPr>
      </w:pPr>
      <w:r w:rsidRPr="00141363">
        <w:rPr>
          <w:color w:val="auto"/>
          <w:szCs w:val="24"/>
        </w:rPr>
        <w:t xml:space="preserve">Exhibit A.  DD Form </w:t>
      </w:r>
      <w:proofErr w:type="gramStart"/>
      <w:r w:rsidRPr="00141363">
        <w:rPr>
          <w:color w:val="auto"/>
          <w:szCs w:val="24"/>
        </w:rPr>
        <w:t>294,</w:t>
      </w:r>
      <w:proofErr w:type="gramEnd"/>
      <w:r w:rsidRPr="00141363">
        <w:rPr>
          <w:color w:val="auto"/>
          <w:szCs w:val="24"/>
        </w:rPr>
        <w:t xml:space="preserve"> dated </w:t>
      </w:r>
      <w:r w:rsidR="0019273F" w:rsidRPr="00141363">
        <w:rPr>
          <w:color w:val="auto"/>
          <w:szCs w:val="24"/>
        </w:rPr>
        <w:t>2009</w:t>
      </w:r>
      <w:r w:rsidR="00141363" w:rsidRPr="00141363">
        <w:rPr>
          <w:color w:val="auto"/>
          <w:szCs w:val="24"/>
        </w:rPr>
        <w:t>0814</w:t>
      </w:r>
      <w:r w:rsidR="00114F20" w:rsidRPr="00141363">
        <w:rPr>
          <w:color w:val="auto"/>
          <w:szCs w:val="24"/>
        </w:rPr>
        <w:t>, w/</w:t>
      </w:r>
      <w:proofErr w:type="spellStart"/>
      <w:r w:rsidR="00114F20" w:rsidRPr="00141363">
        <w:rPr>
          <w:color w:val="auto"/>
          <w:szCs w:val="24"/>
        </w:rPr>
        <w:t>atchs</w:t>
      </w:r>
      <w:proofErr w:type="spellEnd"/>
      <w:r w:rsidR="00114F20" w:rsidRPr="00141363">
        <w:rPr>
          <w:color w:val="auto"/>
          <w:szCs w:val="24"/>
        </w:rPr>
        <w:t>.</w:t>
      </w:r>
    </w:p>
    <w:p w:rsidR="00114F20" w:rsidRPr="00141363" w:rsidRDefault="00114F20" w:rsidP="009650A3">
      <w:pPr>
        <w:tabs>
          <w:tab w:val="left" w:pos="288"/>
          <w:tab w:val="left" w:pos="4752"/>
        </w:tabs>
        <w:spacing w:line="240" w:lineRule="exact"/>
        <w:jc w:val="both"/>
        <w:rPr>
          <w:color w:val="auto"/>
          <w:szCs w:val="24"/>
        </w:rPr>
      </w:pPr>
      <w:r w:rsidRPr="00141363">
        <w:rPr>
          <w:color w:val="auto"/>
          <w:szCs w:val="24"/>
        </w:rPr>
        <w:t xml:space="preserve">Exhibit B.  </w:t>
      </w:r>
      <w:proofErr w:type="gramStart"/>
      <w:r w:rsidRPr="00141363">
        <w:rPr>
          <w:color w:val="auto"/>
          <w:szCs w:val="24"/>
        </w:rPr>
        <w:t>Service Treatment Record.</w:t>
      </w:r>
      <w:proofErr w:type="gramEnd"/>
    </w:p>
    <w:p w:rsidR="00114F20" w:rsidRPr="00141363" w:rsidRDefault="00114F20" w:rsidP="009650A3">
      <w:pPr>
        <w:tabs>
          <w:tab w:val="left" w:pos="288"/>
          <w:tab w:val="left" w:pos="4752"/>
        </w:tabs>
        <w:spacing w:line="240" w:lineRule="exact"/>
        <w:jc w:val="both"/>
        <w:rPr>
          <w:color w:val="auto"/>
          <w:szCs w:val="24"/>
        </w:rPr>
      </w:pPr>
      <w:r w:rsidRPr="00141363">
        <w:rPr>
          <w:color w:val="auto"/>
          <w:szCs w:val="24"/>
        </w:rPr>
        <w:t xml:space="preserve">Exhibit C.  </w:t>
      </w:r>
      <w:proofErr w:type="gramStart"/>
      <w:r w:rsidRPr="00141363">
        <w:rPr>
          <w:color w:val="auto"/>
          <w:szCs w:val="24"/>
        </w:rPr>
        <w:t>Department of Veterans</w:t>
      </w:r>
      <w:r w:rsidR="00385D6F" w:rsidRPr="00141363">
        <w:rPr>
          <w:color w:val="auto"/>
          <w:szCs w:val="24"/>
        </w:rPr>
        <w:t>'</w:t>
      </w:r>
      <w:r w:rsidRPr="00141363">
        <w:rPr>
          <w:color w:val="auto"/>
          <w:szCs w:val="24"/>
        </w:rPr>
        <w:t xml:space="preserve"> Affairs Treatment Record.</w:t>
      </w:r>
      <w:proofErr w:type="gramEnd"/>
    </w:p>
    <w:p w:rsidR="00D91DA6" w:rsidRPr="00141363" w:rsidRDefault="00D91DA6" w:rsidP="009650A3">
      <w:pPr>
        <w:tabs>
          <w:tab w:val="left" w:pos="288"/>
          <w:tab w:val="left" w:pos="4752"/>
        </w:tabs>
        <w:spacing w:line="240" w:lineRule="exact"/>
        <w:jc w:val="both"/>
        <w:rPr>
          <w:color w:val="auto"/>
          <w:szCs w:val="24"/>
        </w:rPr>
      </w:pPr>
    </w:p>
    <w:p w:rsidR="00114F20" w:rsidRPr="00141363" w:rsidRDefault="00114F20" w:rsidP="009650A3">
      <w:pPr>
        <w:tabs>
          <w:tab w:val="left" w:pos="288"/>
          <w:tab w:val="left" w:pos="4752"/>
        </w:tabs>
        <w:spacing w:line="240" w:lineRule="exact"/>
        <w:jc w:val="both"/>
        <w:rPr>
          <w:color w:val="auto"/>
          <w:szCs w:val="24"/>
        </w:rPr>
      </w:pPr>
    </w:p>
    <w:p w:rsidR="00114F20" w:rsidRPr="00141363" w:rsidRDefault="00114F20" w:rsidP="009650A3">
      <w:pPr>
        <w:tabs>
          <w:tab w:val="left" w:pos="288"/>
          <w:tab w:val="left" w:pos="4752"/>
        </w:tabs>
        <w:spacing w:line="240" w:lineRule="exact"/>
        <w:jc w:val="both"/>
        <w:rPr>
          <w:color w:val="auto"/>
          <w:szCs w:val="24"/>
        </w:rPr>
      </w:pPr>
    </w:p>
    <w:p w:rsidR="00114F20" w:rsidRPr="00141363" w:rsidRDefault="00114F20" w:rsidP="009650A3">
      <w:pPr>
        <w:tabs>
          <w:tab w:val="left" w:pos="288"/>
          <w:tab w:val="left" w:pos="4752"/>
        </w:tabs>
        <w:spacing w:line="240" w:lineRule="exact"/>
        <w:jc w:val="both"/>
        <w:rPr>
          <w:color w:val="auto"/>
          <w:szCs w:val="24"/>
        </w:rPr>
      </w:pPr>
    </w:p>
    <w:p w:rsidR="00D91DA6" w:rsidRPr="00141363" w:rsidRDefault="00EE3A3D" w:rsidP="00EE3A3D">
      <w:pPr>
        <w:tabs>
          <w:tab w:val="left" w:pos="0"/>
          <w:tab w:val="left" w:pos="4140"/>
        </w:tabs>
        <w:spacing w:line="240" w:lineRule="exact"/>
        <w:jc w:val="both"/>
        <w:rPr>
          <w:color w:val="auto"/>
          <w:szCs w:val="24"/>
        </w:rPr>
      </w:pPr>
      <w:r>
        <w:rPr>
          <w:color w:val="auto"/>
          <w:szCs w:val="24"/>
        </w:rPr>
        <w:t xml:space="preserve">                         </w:t>
      </w:r>
      <w:r>
        <w:rPr>
          <w:color w:val="auto"/>
          <w:szCs w:val="24"/>
        </w:rPr>
        <w:tab/>
      </w:r>
    </w:p>
    <w:p w:rsidR="00D91DA6" w:rsidRPr="00141363" w:rsidRDefault="00EE3A3D" w:rsidP="00EE3A3D">
      <w:pPr>
        <w:tabs>
          <w:tab w:val="left" w:pos="0"/>
          <w:tab w:val="left" w:pos="4140"/>
        </w:tabs>
        <w:spacing w:line="240" w:lineRule="exact"/>
        <w:jc w:val="both"/>
        <w:rPr>
          <w:color w:val="auto"/>
          <w:szCs w:val="24"/>
        </w:rPr>
      </w:pPr>
      <w:r>
        <w:rPr>
          <w:color w:val="auto"/>
          <w:szCs w:val="24"/>
        </w:rPr>
        <w:t xml:space="preserve">                         </w:t>
      </w:r>
      <w:r>
        <w:rPr>
          <w:color w:val="auto"/>
          <w:szCs w:val="24"/>
        </w:rPr>
        <w:tab/>
        <w:t>Deputy Directory</w:t>
      </w:r>
    </w:p>
    <w:p w:rsidR="00B522CD" w:rsidRPr="00141363" w:rsidRDefault="00C30A97" w:rsidP="00EE3A3D">
      <w:pPr>
        <w:tabs>
          <w:tab w:val="left" w:pos="288"/>
          <w:tab w:val="left" w:pos="4140"/>
          <w:tab w:val="left" w:pos="4410"/>
          <w:tab w:val="left" w:pos="4770"/>
          <w:tab w:val="left" w:pos="4860"/>
          <w:tab w:val="left" w:pos="5040"/>
        </w:tabs>
        <w:spacing w:line="240" w:lineRule="exact"/>
        <w:jc w:val="both"/>
        <w:rPr>
          <w:color w:val="auto"/>
          <w:szCs w:val="24"/>
        </w:rPr>
      </w:pPr>
      <w:r w:rsidRPr="00141363">
        <w:rPr>
          <w:color w:val="auto"/>
          <w:szCs w:val="24"/>
        </w:rPr>
        <w:tab/>
        <w:t xml:space="preserve">                          </w:t>
      </w:r>
      <w:r w:rsidR="00AE3316" w:rsidRPr="00141363">
        <w:rPr>
          <w:color w:val="auto"/>
          <w:szCs w:val="24"/>
        </w:rPr>
        <w:tab/>
      </w:r>
      <w:r w:rsidR="00D91DA6" w:rsidRPr="00141363">
        <w:rPr>
          <w:color w:val="auto"/>
          <w:szCs w:val="24"/>
        </w:rPr>
        <w:t>Physical</w:t>
      </w:r>
      <w:r w:rsidR="00473D5C" w:rsidRPr="00141363">
        <w:rPr>
          <w:color w:val="auto"/>
          <w:szCs w:val="24"/>
        </w:rPr>
        <w:t xml:space="preserve"> </w:t>
      </w:r>
      <w:r w:rsidR="00D91DA6" w:rsidRPr="00141363">
        <w:rPr>
          <w:color w:val="auto"/>
          <w:szCs w:val="24"/>
        </w:rPr>
        <w:t>Disability</w:t>
      </w:r>
      <w:r w:rsidR="00473D5C" w:rsidRPr="00141363">
        <w:rPr>
          <w:color w:val="auto"/>
          <w:szCs w:val="24"/>
        </w:rPr>
        <w:t xml:space="preserve"> </w:t>
      </w:r>
      <w:r w:rsidR="00D91DA6" w:rsidRPr="00141363">
        <w:rPr>
          <w:color w:val="auto"/>
          <w:szCs w:val="24"/>
        </w:rPr>
        <w:t>Board</w:t>
      </w:r>
      <w:r w:rsidR="00473D5C" w:rsidRPr="00141363">
        <w:rPr>
          <w:color w:val="auto"/>
          <w:szCs w:val="24"/>
        </w:rPr>
        <w:t xml:space="preserve"> </w:t>
      </w:r>
      <w:r w:rsidR="00D91DA6" w:rsidRPr="00141363">
        <w:rPr>
          <w:color w:val="auto"/>
          <w:szCs w:val="24"/>
        </w:rPr>
        <w:t>of</w:t>
      </w:r>
      <w:r w:rsidR="00473D5C" w:rsidRPr="00141363">
        <w:rPr>
          <w:color w:val="auto"/>
          <w:szCs w:val="24"/>
        </w:rPr>
        <w:t xml:space="preserve"> </w:t>
      </w:r>
      <w:r w:rsidR="00D91DA6" w:rsidRPr="00141363">
        <w:rPr>
          <w:color w:val="auto"/>
          <w:szCs w:val="24"/>
        </w:rPr>
        <w:t>Review</w:t>
      </w:r>
    </w:p>
    <w:p w:rsidR="00AA04B3" w:rsidRPr="008C1017" w:rsidRDefault="00AA04B3" w:rsidP="009650A3">
      <w:pPr>
        <w:tabs>
          <w:tab w:val="left" w:pos="288"/>
          <w:tab w:val="left" w:pos="4320"/>
          <w:tab w:val="left" w:pos="4410"/>
          <w:tab w:val="left" w:pos="4770"/>
          <w:tab w:val="left" w:pos="4860"/>
          <w:tab w:val="left" w:pos="5040"/>
        </w:tabs>
        <w:spacing w:line="240" w:lineRule="exact"/>
        <w:jc w:val="both"/>
        <w:rPr>
          <w:color w:val="000080"/>
          <w:szCs w:val="24"/>
        </w:rPr>
      </w:pPr>
    </w:p>
    <w:p w:rsidR="000379D0" w:rsidRPr="008C1017" w:rsidRDefault="000379D0" w:rsidP="009650A3">
      <w:pPr>
        <w:tabs>
          <w:tab w:val="left" w:pos="288"/>
          <w:tab w:val="left" w:pos="4320"/>
          <w:tab w:val="left" w:pos="4410"/>
          <w:tab w:val="left" w:pos="4770"/>
          <w:tab w:val="left" w:pos="4860"/>
          <w:tab w:val="left" w:pos="5040"/>
        </w:tabs>
        <w:spacing w:line="240" w:lineRule="exact"/>
        <w:jc w:val="both"/>
        <w:rPr>
          <w:color w:val="000080"/>
          <w:szCs w:val="24"/>
        </w:rPr>
      </w:pPr>
    </w:p>
    <w:p w:rsidR="0048690F" w:rsidRDefault="0048690F">
      <w:pPr>
        <w:rPr>
          <w:color w:val="auto"/>
          <w:szCs w:val="24"/>
        </w:rPr>
      </w:pPr>
      <w:r>
        <w:rPr>
          <w:color w:val="auto"/>
          <w:szCs w:val="24"/>
        </w:rPr>
        <w:br w:type="page"/>
      </w:r>
    </w:p>
    <w:p w:rsidR="0048690F" w:rsidRPr="0048690F" w:rsidRDefault="0048690F" w:rsidP="0048690F">
      <w:pPr>
        <w:ind w:left="-360"/>
        <w:jc w:val="both"/>
        <w:outlineLvl w:val="0"/>
        <w:rPr>
          <w:color w:val="auto"/>
        </w:rPr>
      </w:pPr>
      <w:r w:rsidRPr="0048690F">
        <w:rPr>
          <w:color w:val="auto"/>
        </w:rPr>
        <w:lastRenderedPageBreak/>
        <w:t>MEMORANDUM FOR DIRECTOR, SECRETARY OF THE NAVY COUNCIL</w:t>
      </w:r>
    </w:p>
    <w:p w:rsidR="0048690F" w:rsidRPr="0048690F" w:rsidRDefault="0048690F" w:rsidP="0048690F">
      <w:pPr>
        <w:jc w:val="both"/>
        <w:outlineLvl w:val="0"/>
        <w:rPr>
          <w:color w:val="auto"/>
        </w:rPr>
      </w:pPr>
      <w:r w:rsidRPr="0048690F">
        <w:rPr>
          <w:color w:val="auto"/>
        </w:rPr>
        <w:t xml:space="preserve">                                  OF REVIEW BOARDS </w:t>
      </w:r>
    </w:p>
    <w:p w:rsidR="0048690F" w:rsidRPr="0048690F" w:rsidRDefault="0048690F" w:rsidP="0048690F">
      <w:pPr>
        <w:jc w:val="both"/>
        <w:rPr>
          <w:color w:val="auto"/>
        </w:rPr>
      </w:pPr>
    </w:p>
    <w:p w:rsidR="0048690F" w:rsidRPr="0048690F" w:rsidRDefault="0048690F" w:rsidP="0048690F">
      <w:pPr>
        <w:ind w:left="-360"/>
        <w:jc w:val="both"/>
        <w:rPr>
          <w:color w:val="auto"/>
        </w:rPr>
      </w:pPr>
      <w:proofErr w:type="spellStart"/>
      <w:r w:rsidRPr="0048690F">
        <w:rPr>
          <w:color w:val="auto"/>
        </w:rPr>
        <w:t>Subj</w:t>
      </w:r>
      <w:proofErr w:type="spellEnd"/>
      <w:r w:rsidRPr="0048690F">
        <w:rPr>
          <w:color w:val="auto"/>
        </w:rPr>
        <w:t>:  PHYSICAL DISABILITY BOARD OF REVIEW (PDBR) RECOMMENDATION</w:t>
      </w:r>
    </w:p>
    <w:p w:rsidR="0048690F" w:rsidRPr="0048690F" w:rsidRDefault="0048690F" w:rsidP="0048690F">
      <w:pPr>
        <w:jc w:val="both"/>
        <w:outlineLvl w:val="0"/>
        <w:rPr>
          <w:color w:val="auto"/>
        </w:rPr>
      </w:pPr>
      <w:r w:rsidRPr="0048690F">
        <w:rPr>
          <w:color w:val="auto"/>
        </w:rPr>
        <w:t xml:space="preserve">    ICO </w:t>
      </w:r>
      <w:r>
        <w:rPr>
          <w:color w:val="auto"/>
        </w:rPr>
        <w:t>XXXXXXX</w:t>
      </w:r>
    </w:p>
    <w:p w:rsidR="0048690F" w:rsidRPr="0048690F" w:rsidRDefault="0048690F" w:rsidP="0048690F">
      <w:pPr>
        <w:jc w:val="both"/>
        <w:rPr>
          <w:color w:val="auto"/>
        </w:rPr>
      </w:pPr>
    </w:p>
    <w:p w:rsidR="0048690F" w:rsidRPr="0048690F" w:rsidRDefault="0048690F" w:rsidP="0048690F">
      <w:pPr>
        <w:ind w:left="-360"/>
        <w:jc w:val="both"/>
        <w:outlineLvl w:val="0"/>
        <w:rPr>
          <w:color w:val="auto"/>
        </w:rPr>
      </w:pPr>
      <w:r w:rsidRPr="0048690F">
        <w:rPr>
          <w:color w:val="auto"/>
        </w:rPr>
        <w:t>Ref:   (a) DoDI 6040.44</w:t>
      </w:r>
    </w:p>
    <w:p w:rsidR="0048690F" w:rsidRPr="0048690F" w:rsidRDefault="0048690F" w:rsidP="0048690F">
      <w:pPr>
        <w:ind w:left="-540"/>
        <w:jc w:val="both"/>
        <w:rPr>
          <w:color w:val="auto"/>
        </w:rPr>
      </w:pPr>
      <w:r w:rsidRPr="0048690F">
        <w:rPr>
          <w:color w:val="auto"/>
        </w:rPr>
        <w:t xml:space="preserve">             (b) PDBR </w:t>
      </w:r>
      <w:proofErr w:type="spellStart"/>
      <w:r w:rsidRPr="0048690F">
        <w:rPr>
          <w:color w:val="auto"/>
        </w:rPr>
        <w:t>ltr</w:t>
      </w:r>
      <w:proofErr w:type="spellEnd"/>
      <w:r w:rsidRPr="0048690F">
        <w:rPr>
          <w:color w:val="auto"/>
        </w:rPr>
        <w:t xml:space="preserve"> </w:t>
      </w:r>
      <w:proofErr w:type="spellStart"/>
      <w:r w:rsidRPr="0048690F">
        <w:rPr>
          <w:color w:val="auto"/>
        </w:rPr>
        <w:t>dtd</w:t>
      </w:r>
      <w:proofErr w:type="spellEnd"/>
      <w:r w:rsidRPr="0048690F">
        <w:rPr>
          <w:color w:val="auto"/>
        </w:rPr>
        <w:t xml:space="preserve"> 24 Jun 10</w:t>
      </w:r>
    </w:p>
    <w:p w:rsidR="0048690F" w:rsidRPr="0048690F" w:rsidRDefault="0048690F" w:rsidP="0048690F">
      <w:pPr>
        <w:ind w:left="-540"/>
        <w:jc w:val="both"/>
        <w:rPr>
          <w:color w:val="auto"/>
        </w:rPr>
      </w:pPr>
    </w:p>
    <w:p w:rsidR="0048690F" w:rsidRPr="0048690F" w:rsidRDefault="0048690F" w:rsidP="0048690F">
      <w:pPr>
        <w:ind w:left="-360"/>
        <w:jc w:val="both"/>
        <w:rPr>
          <w:color w:val="auto"/>
        </w:rPr>
      </w:pPr>
      <w:r w:rsidRPr="0048690F">
        <w:rPr>
          <w:color w:val="auto"/>
        </w:rPr>
        <w:t xml:space="preserve">      I have reviewed subject case pursuant to reference (a) and approve the recommendation of the Physical Disability Board of Review (reference (b)) that Mr. </w:t>
      </w:r>
      <w:r>
        <w:rPr>
          <w:color w:val="auto"/>
        </w:rPr>
        <w:t>XXXXX</w:t>
      </w:r>
      <w:r w:rsidRPr="0048690F">
        <w:rPr>
          <w:color w:val="auto"/>
        </w:rPr>
        <w:t>’s records not be corrected to reflect a change in either his characterization of separation or in the disability rating previously assigned by the Department of the Navy’s Physical Evaluation Board.</w:t>
      </w:r>
    </w:p>
    <w:p w:rsidR="0048690F" w:rsidRPr="0048690F" w:rsidRDefault="0048690F" w:rsidP="0048690F">
      <w:pPr>
        <w:jc w:val="both"/>
        <w:rPr>
          <w:color w:val="auto"/>
        </w:rPr>
      </w:pPr>
    </w:p>
    <w:p w:rsidR="0048690F" w:rsidRPr="0048690F" w:rsidRDefault="0048690F" w:rsidP="0048690F">
      <w:pPr>
        <w:jc w:val="both"/>
        <w:rPr>
          <w:color w:val="auto"/>
        </w:rPr>
      </w:pPr>
    </w:p>
    <w:p w:rsidR="0048690F" w:rsidRPr="0048690F" w:rsidRDefault="0048690F" w:rsidP="0048690F">
      <w:pPr>
        <w:jc w:val="both"/>
        <w:rPr>
          <w:color w:val="auto"/>
        </w:rPr>
      </w:pPr>
    </w:p>
    <w:p w:rsidR="0048690F" w:rsidRPr="0048690F" w:rsidRDefault="0048690F" w:rsidP="0048690F">
      <w:pPr>
        <w:jc w:val="both"/>
        <w:rPr>
          <w:color w:val="auto"/>
        </w:rPr>
      </w:pPr>
      <w:r w:rsidRPr="0048690F">
        <w:rPr>
          <w:color w:val="auto"/>
        </w:rPr>
        <w:tab/>
      </w:r>
      <w:r w:rsidRPr="0048690F">
        <w:rPr>
          <w:color w:val="auto"/>
        </w:rPr>
        <w:tab/>
      </w:r>
      <w:r w:rsidRPr="0048690F">
        <w:rPr>
          <w:color w:val="auto"/>
        </w:rPr>
        <w:tab/>
      </w:r>
      <w:r w:rsidRPr="0048690F">
        <w:rPr>
          <w:color w:val="auto"/>
        </w:rPr>
        <w:tab/>
      </w:r>
      <w:r w:rsidRPr="0048690F">
        <w:rPr>
          <w:color w:val="auto"/>
        </w:rPr>
        <w:tab/>
      </w:r>
      <w:r w:rsidRPr="0048690F">
        <w:rPr>
          <w:color w:val="auto"/>
        </w:rPr>
        <w:tab/>
        <w:t xml:space="preserve">  </w:t>
      </w:r>
    </w:p>
    <w:p w:rsidR="0048690F" w:rsidRPr="0048690F" w:rsidRDefault="0048690F" w:rsidP="0048690F">
      <w:pPr>
        <w:jc w:val="both"/>
        <w:rPr>
          <w:color w:val="auto"/>
        </w:rPr>
      </w:pPr>
      <w:r w:rsidRPr="0048690F">
        <w:rPr>
          <w:color w:val="auto"/>
        </w:rPr>
        <w:tab/>
      </w:r>
      <w:r w:rsidRPr="0048690F">
        <w:rPr>
          <w:color w:val="auto"/>
        </w:rPr>
        <w:tab/>
      </w:r>
      <w:r w:rsidRPr="0048690F">
        <w:rPr>
          <w:color w:val="auto"/>
        </w:rPr>
        <w:tab/>
      </w:r>
      <w:r w:rsidRPr="0048690F">
        <w:rPr>
          <w:color w:val="auto"/>
        </w:rPr>
        <w:tab/>
      </w:r>
      <w:r w:rsidRPr="0048690F">
        <w:rPr>
          <w:color w:val="auto"/>
        </w:rPr>
        <w:tab/>
      </w:r>
      <w:r w:rsidRPr="0048690F">
        <w:rPr>
          <w:color w:val="auto"/>
        </w:rPr>
        <w:tab/>
        <w:t xml:space="preserve">  Principal Deputy</w:t>
      </w:r>
    </w:p>
    <w:p w:rsidR="0048690F" w:rsidRPr="0048690F" w:rsidRDefault="0048690F" w:rsidP="0048690F">
      <w:pPr>
        <w:jc w:val="both"/>
        <w:rPr>
          <w:color w:val="auto"/>
        </w:rPr>
      </w:pPr>
      <w:r w:rsidRPr="0048690F">
        <w:rPr>
          <w:color w:val="auto"/>
        </w:rPr>
        <w:tab/>
      </w:r>
      <w:r w:rsidRPr="0048690F">
        <w:rPr>
          <w:color w:val="auto"/>
        </w:rPr>
        <w:tab/>
      </w:r>
      <w:r w:rsidRPr="0048690F">
        <w:rPr>
          <w:color w:val="auto"/>
        </w:rPr>
        <w:tab/>
      </w:r>
      <w:r w:rsidRPr="0048690F">
        <w:rPr>
          <w:color w:val="auto"/>
        </w:rPr>
        <w:tab/>
      </w:r>
      <w:r w:rsidRPr="0048690F">
        <w:rPr>
          <w:color w:val="auto"/>
        </w:rPr>
        <w:tab/>
      </w:r>
      <w:r w:rsidRPr="0048690F">
        <w:rPr>
          <w:color w:val="auto"/>
        </w:rPr>
        <w:tab/>
        <w:t xml:space="preserve">  Assistant Secretary of the Navy </w:t>
      </w:r>
    </w:p>
    <w:p w:rsidR="0048690F" w:rsidRPr="0048690F" w:rsidRDefault="0048690F" w:rsidP="0048690F">
      <w:pPr>
        <w:jc w:val="both"/>
        <w:rPr>
          <w:color w:val="auto"/>
        </w:rPr>
      </w:pPr>
      <w:r w:rsidRPr="0048690F">
        <w:rPr>
          <w:color w:val="auto"/>
        </w:rPr>
        <w:tab/>
      </w:r>
      <w:r w:rsidRPr="0048690F">
        <w:rPr>
          <w:color w:val="auto"/>
        </w:rPr>
        <w:tab/>
      </w:r>
      <w:r w:rsidRPr="0048690F">
        <w:rPr>
          <w:color w:val="auto"/>
        </w:rPr>
        <w:tab/>
      </w:r>
      <w:r w:rsidRPr="0048690F">
        <w:rPr>
          <w:color w:val="auto"/>
        </w:rPr>
        <w:tab/>
      </w:r>
      <w:r w:rsidRPr="0048690F">
        <w:rPr>
          <w:color w:val="auto"/>
        </w:rPr>
        <w:tab/>
      </w:r>
      <w:r w:rsidRPr="0048690F">
        <w:rPr>
          <w:color w:val="auto"/>
        </w:rPr>
        <w:tab/>
        <w:t xml:space="preserve">  (Manpower &amp; Reserve Affairs)</w:t>
      </w:r>
    </w:p>
    <w:p w:rsidR="0048690F" w:rsidRDefault="0048690F" w:rsidP="0048690F">
      <w:pPr>
        <w:jc w:val="both"/>
      </w:pPr>
      <w:r>
        <w:tab/>
      </w:r>
      <w:r>
        <w:tab/>
      </w:r>
      <w:r>
        <w:tab/>
      </w:r>
      <w:r>
        <w:tab/>
      </w:r>
      <w:r>
        <w:tab/>
      </w:r>
      <w:r>
        <w:tab/>
        <w:t xml:space="preserve">  </w:t>
      </w:r>
    </w:p>
    <w:p w:rsidR="0048690F" w:rsidRDefault="0048690F" w:rsidP="0048690F">
      <w:pPr>
        <w:jc w:val="both"/>
      </w:pPr>
    </w:p>
    <w:p w:rsidR="00FB593A" w:rsidRPr="008C1017" w:rsidRDefault="00FB593A" w:rsidP="009650A3">
      <w:pPr>
        <w:tabs>
          <w:tab w:val="left" w:pos="288"/>
          <w:tab w:val="left" w:pos="4752"/>
        </w:tabs>
        <w:spacing w:line="240" w:lineRule="exact"/>
        <w:jc w:val="both"/>
        <w:rPr>
          <w:color w:val="auto"/>
          <w:szCs w:val="24"/>
        </w:rPr>
      </w:pPr>
    </w:p>
    <w:p w:rsidR="000379D0" w:rsidRPr="008C1017" w:rsidRDefault="000379D0" w:rsidP="009650A3">
      <w:pPr>
        <w:tabs>
          <w:tab w:val="left" w:pos="288"/>
          <w:tab w:val="left" w:pos="4320"/>
          <w:tab w:val="left" w:pos="4410"/>
          <w:tab w:val="left" w:pos="4770"/>
          <w:tab w:val="left" w:pos="4860"/>
          <w:tab w:val="left" w:pos="5040"/>
        </w:tabs>
        <w:spacing w:line="240" w:lineRule="exact"/>
        <w:jc w:val="both"/>
        <w:rPr>
          <w:color w:val="000080"/>
          <w:szCs w:val="24"/>
        </w:rPr>
      </w:pPr>
    </w:p>
    <w:sectPr w:rsidR="000379D0" w:rsidRPr="008C1017" w:rsidSect="006418C9">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3D0" w:rsidRDefault="001173D0">
      <w:r>
        <w:separator/>
      </w:r>
    </w:p>
  </w:endnote>
  <w:endnote w:type="continuationSeparator" w:id="0">
    <w:p w:rsidR="001173D0" w:rsidRDefault="001173D0">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0D" w:rsidRDefault="00E72729">
    <w:pPr>
      <w:pStyle w:val="Footer"/>
      <w:framePr w:wrap="around" w:vAnchor="text" w:hAnchor="margin" w:xAlign="center" w:y="1"/>
      <w:rPr>
        <w:rStyle w:val="PageNumber"/>
      </w:rPr>
    </w:pPr>
    <w:r>
      <w:rPr>
        <w:rStyle w:val="PageNumber"/>
      </w:rPr>
      <w:fldChar w:fldCharType="begin"/>
    </w:r>
    <w:r w:rsidR="0005580D">
      <w:rPr>
        <w:rStyle w:val="PageNumber"/>
      </w:rPr>
      <w:instrText xml:space="preserve">PAGE  </w:instrText>
    </w:r>
    <w:r>
      <w:rPr>
        <w:rStyle w:val="PageNumber"/>
      </w:rPr>
      <w:fldChar w:fldCharType="separate"/>
    </w:r>
    <w:r w:rsidR="0005580D">
      <w:rPr>
        <w:rStyle w:val="PageNumber"/>
        <w:noProof/>
      </w:rPr>
      <w:t>2</w:t>
    </w:r>
    <w:r>
      <w:rPr>
        <w:rStyle w:val="PageNumber"/>
      </w:rPr>
      <w:fldChar w:fldCharType="end"/>
    </w:r>
  </w:p>
  <w:p w:rsidR="0005580D" w:rsidRDefault="0005580D"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0D" w:rsidRPr="0067193F" w:rsidRDefault="00E72729">
    <w:pPr>
      <w:pStyle w:val="Footer"/>
      <w:framePr w:wrap="around" w:vAnchor="text" w:hAnchor="margin" w:xAlign="center" w:y="1"/>
      <w:rPr>
        <w:rStyle w:val="PageNumber"/>
        <w:color w:val="auto"/>
      </w:rPr>
    </w:pPr>
    <w:r w:rsidRPr="0067193F">
      <w:rPr>
        <w:rStyle w:val="PageNumber"/>
        <w:color w:val="auto"/>
      </w:rPr>
      <w:fldChar w:fldCharType="begin"/>
    </w:r>
    <w:r w:rsidR="0005580D" w:rsidRPr="0067193F">
      <w:rPr>
        <w:rStyle w:val="PageNumber"/>
        <w:color w:val="auto"/>
      </w:rPr>
      <w:instrText xml:space="preserve">PAGE  </w:instrText>
    </w:r>
    <w:r w:rsidRPr="0067193F">
      <w:rPr>
        <w:rStyle w:val="PageNumber"/>
        <w:color w:val="auto"/>
      </w:rPr>
      <w:fldChar w:fldCharType="separate"/>
    </w:r>
    <w:r w:rsidR="0048690F">
      <w:rPr>
        <w:rStyle w:val="PageNumber"/>
        <w:noProof/>
        <w:color w:val="auto"/>
      </w:rPr>
      <w:t>2</w:t>
    </w:r>
    <w:r w:rsidRPr="0067193F">
      <w:rPr>
        <w:rStyle w:val="PageNumber"/>
        <w:color w:val="auto"/>
      </w:rPr>
      <w:fldChar w:fldCharType="end"/>
    </w:r>
  </w:p>
  <w:p w:rsidR="0005580D" w:rsidRPr="0067193F" w:rsidRDefault="0005580D" w:rsidP="002B0749">
    <w:pPr>
      <w:pStyle w:val="Footer"/>
      <w:jc w:val="right"/>
      <w:rPr>
        <w:color w:val="auto"/>
      </w:rPr>
    </w:pPr>
    <w:r>
      <w:tab/>
    </w:r>
    <w:r>
      <w:tab/>
    </w:r>
    <w:r w:rsidRPr="0067193F">
      <w:rPr>
        <w:caps/>
        <w:color w:val="auto"/>
      </w:rPr>
      <w:t>PD0900496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3D0" w:rsidRDefault="001173D0">
      <w:r>
        <w:separator/>
      </w:r>
    </w:p>
  </w:footnote>
  <w:footnote w:type="continuationSeparator" w:id="0">
    <w:p w:rsidR="001173D0" w:rsidRDefault="001173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5C3A"/>
    <w:rsid w:val="000379D0"/>
    <w:rsid w:val="000416F8"/>
    <w:rsid w:val="00051622"/>
    <w:rsid w:val="0005580D"/>
    <w:rsid w:val="00072433"/>
    <w:rsid w:val="000A2BCE"/>
    <w:rsid w:val="000A3E5F"/>
    <w:rsid w:val="000A4BBA"/>
    <w:rsid w:val="000C7DE4"/>
    <w:rsid w:val="000D15E7"/>
    <w:rsid w:val="000D43F9"/>
    <w:rsid w:val="000D4717"/>
    <w:rsid w:val="000D7D55"/>
    <w:rsid w:val="000E2DE1"/>
    <w:rsid w:val="000E7EC0"/>
    <w:rsid w:val="000F427B"/>
    <w:rsid w:val="0010417F"/>
    <w:rsid w:val="00104A67"/>
    <w:rsid w:val="0010530E"/>
    <w:rsid w:val="00114F20"/>
    <w:rsid w:val="00116FEA"/>
    <w:rsid w:val="001173D0"/>
    <w:rsid w:val="001231DC"/>
    <w:rsid w:val="001315DD"/>
    <w:rsid w:val="00135385"/>
    <w:rsid w:val="001364D1"/>
    <w:rsid w:val="001410AA"/>
    <w:rsid w:val="00141363"/>
    <w:rsid w:val="001439E2"/>
    <w:rsid w:val="001541C5"/>
    <w:rsid w:val="00162840"/>
    <w:rsid w:val="001637E8"/>
    <w:rsid w:val="00172E4B"/>
    <w:rsid w:val="0017455A"/>
    <w:rsid w:val="00177659"/>
    <w:rsid w:val="001852E8"/>
    <w:rsid w:val="00185ECB"/>
    <w:rsid w:val="00190650"/>
    <w:rsid w:val="0019273F"/>
    <w:rsid w:val="001A450D"/>
    <w:rsid w:val="001A7538"/>
    <w:rsid w:val="001B5B59"/>
    <w:rsid w:val="001C181A"/>
    <w:rsid w:val="001C2053"/>
    <w:rsid w:val="001C28D1"/>
    <w:rsid w:val="001C54DB"/>
    <w:rsid w:val="001C61FF"/>
    <w:rsid w:val="001C7418"/>
    <w:rsid w:val="001D0051"/>
    <w:rsid w:val="001D2224"/>
    <w:rsid w:val="001D6A8C"/>
    <w:rsid w:val="001D7A56"/>
    <w:rsid w:val="001E5815"/>
    <w:rsid w:val="001F68DF"/>
    <w:rsid w:val="00217C09"/>
    <w:rsid w:val="00225196"/>
    <w:rsid w:val="00225CB4"/>
    <w:rsid w:val="002276EA"/>
    <w:rsid w:val="002338CA"/>
    <w:rsid w:val="0024227D"/>
    <w:rsid w:val="00246860"/>
    <w:rsid w:val="0025183C"/>
    <w:rsid w:val="0026318D"/>
    <w:rsid w:val="0027159C"/>
    <w:rsid w:val="00274549"/>
    <w:rsid w:val="00274E46"/>
    <w:rsid w:val="00276C86"/>
    <w:rsid w:val="002A6A3C"/>
    <w:rsid w:val="002B03B2"/>
    <w:rsid w:val="002B0749"/>
    <w:rsid w:val="002D18B4"/>
    <w:rsid w:val="002D6487"/>
    <w:rsid w:val="002E1C31"/>
    <w:rsid w:val="002E2D8E"/>
    <w:rsid w:val="002E3474"/>
    <w:rsid w:val="002E764B"/>
    <w:rsid w:val="002F4BDA"/>
    <w:rsid w:val="002F7F81"/>
    <w:rsid w:val="00323E70"/>
    <w:rsid w:val="00363362"/>
    <w:rsid w:val="00367A8C"/>
    <w:rsid w:val="0037520D"/>
    <w:rsid w:val="00377BD2"/>
    <w:rsid w:val="00385D6F"/>
    <w:rsid w:val="00393651"/>
    <w:rsid w:val="00397D6C"/>
    <w:rsid w:val="003A41BA"/>
    <w:rsid w:val="003A6A99"/>
    <w:rsid w:val="003B227A"/>
    <w:rsid w:val="003D2BA3"/>
    <w:rsid w:val="003D7DDB"/>
    <w:rsid w:val="003E0543"/>
    <w:rsid w:val="003E327E"/>
    <w:rsid w:val="003F58B0"/>
    <w:rsid w:val="004007E9"/>
    <w:rsid w:val="00401BBC"/>
    <w:rsid w:val="00404B45"/>
    <w:rsid w:val="00406CC5"/>
    <w:rsid w:val="004074A4"/>
    <w:rsid w:val="00412AD0"/>
    <w:rsid w:val="004172DB"/>
    <w:rsid w:val="00422B75"/>
    <w:rsid w:val="00424169"/>
    <w:rsid w:val="0043503A"/>
    <w:rsid w:val="0044384F"/>
    <w:rsid w:val="004543BC"/>
    <w:rsid w:val="00456325"/>
    <w:rsid w:val="004574C6"/>
    <w:rsid w:val="00457BCF"/>
    <w:rsid w:val="0046204E"/>
    <w:rsid w:val="004718E7"/>
    <w:rsid w:val="004725BE"/>
    <w:rsid w:val="00473D5C"/>
    <w:rsid w:val="004761CC"/>
    <w:rsid w:val="0048690F"/>
    <w:rsid w:val="004A24D2"/>
    <w:rsid w:val="004A4136"/>
    <w:rsid w:val="004B03F3"/>
    <w:rsid w:val="004B4D34"/>
    <w:rsid w:val="004B7169"/>
    <w:rsid w:val="004D7D9F"/>
    <w:rsid w:val="004E32EA"/>
    <w:rsid w:val="004F47C0"/>
    <w:rsid w:val="004F5B75"/>
    <w:rsid w:val="00510588"/>
    <w:rsid w:val="0051146C"/>
    <w:rsid w:val="00513282"/>
    <w:rsid w:val="0052590B"/>
    <w:rsid w:val="00526591"/>
    <w:rsid w:val="00533551"/>
    <w:rsid w:val="005350A5"/>
    <w:rsid w:val="00536379"/>
    <w:rsid w:val="00540BEF"/>
    <w:rsid w:val="005436C2"/>
    <w:rsid w:val="00545EEA"/>
    <w:rsid w:val="00553CA3"/>
    <w:rsid w:val="00571569"/>
    <w:rsid w:val="0057448F"/>
    <w:rsid w:val="00592760"/>
    <w:rsid w:val="005A258C"/>
    <w:rsid w:val="005A3560"/>
    <w:rsid w:val="005A65E1"/>
    <w:rsid w:val="005B011A"/>
    <w:rsid w:val="005D0CC6"/>
    <w:rsid w:val="005F1115"/>
    <w:rsid w:val="005F27F2"/>
    <w:rsid w:val="005F3F3A"/>
    <w:rsid w:val="005F424D"/>
    <w:rsid w:val="00601D18"/>
    <w:rsid w:val="00615641"/>
    <w:rsid w:val="00634C4A"/>
    <w:rsid w:val="00637CCB"/>
    <w:rsid w:val="006418C9"/>
    <w:rsid w:val="0064475D"/>
    <w:rsid w:val="00645046"/>
    <w:rsid w:val="00645F73"/>
    <w:rsid w:val="00654A07"/>
    <w:rsid w:val="00662F08"/>
    <w:rsid w:val="00663589"/>
    <w:rsid w:val="0067193F"/>
    <w:rsid w:val="0067443B"/>
    <w:rsid w:val="00684E2B"/>
    <w:rsid w:val="00690FDA"/>
    <w:rsid w:val="00696476"/>
    <w:rsid w:val="006A376D"/>
    <w:rsid w:val="006A40E6"/>
    <w:rsid w:val="006A75FA"/>
    <w:rsid w:val="006B285E"/>
    <w:rsid w:val="006B5923"/>
    <w:rsid w:val="006C0BBB"/>
    <w:rsid w:val="006D21F4"/>
    <w:rsid w:val="006D2D39"/>
    <w:rsid w:val="006E06D1"/>
    <w:rsid w:val="006E7356"/>
    <w:rsid w:val="006F1A46"/>
    <w:rsid w:val="006F27BA"/>
    <w:rsid w:val="007165CE"/>
    <w:rsid w:val="00721D12"/>
    <w:rsid w:val="00721F8B"/>
    <w:rsid w:val="00727661"/>
    <w:rsid w:val="007332EE"/>
    <w:rsid w:val="00736A49"/>
    <w:rsid w:val="00744EBB"/>
    <w:rsid w:val="00746AE2"/>
    <w:rsid w:val="00750FDD"/>
    <w:rsid w:val="0076100C"/>
    <w:rsid w:val="00764A90"/>
    <w:rsid w:val="00771C4A"/>
    <w:rsid w:val="00775AA8"/>
    <w:rsid w:val="00781BD4"/>
    <w:rsid w:val="00784832"/>
    <w:rsid w:val="00791F1E"/>
    <w:rsid w:val="007A0B39"/>
    <w:rsid w:val="007A168F"/>
    <w:rsid w:val="007A28E4"/>
    <w:rsid w:val="007A5AD1"/>
    <w:rsid w:val="007A5C5D"/>
    <w:rsid w:val="007B0A06"/>
    <w:rsid w:val="007B47F3"/>
    <w:rsid w:val="007B69F7"/>
    <w:rsid w:val="007B7C41"/>
    <w:rsid w:val="007C433E"/>
    <w:rsid w:val="007D0292"/>
    <w:rsid w:val="007E2046"/>
    <w:rsid w:val="007E4FBB"/>
    <w:rsid w:val="007F63DB"/>
    <w:rsid w:val="008004AE"/>
    <w:rsid w:val="00811D5B"/>
    <w:rsid w:val="00817713"/>
    <w:rsid w:val="00830999"/>
    <w:rsid w:val="00830D5E"/>
    <w:rsid w:val="00830F69"/>
    <w:rsid w:val="00834458"/>
    <w:rsid w:val="00837465"/>
    <w:rsid w:val="00841457"/>
    <w:rsid w:val="0084374E"/>
    <w:rsid w:val="00851C3A"/>
    <w:rsid w:val="0085206E"/>
    <w:rsid w:val="00852FC3"/>
    <w:rsid w:val="00853718"/>
    <w:rsid w:val="00853D15"/>
    <w:rsid w:val="008541EF"/>
    <w:rsid w:val="00855696"/>
    <w:rsid w:val="0086162B"/>
    <w:rsid w:val="00865207"/>
    <w:rsid w:val="00871262"/>
    <w:rsid w:val="00873C5A"/>
    <w:rsid w:val="00875B51"/>
    <w:rsid w:val="00875F2D"/>
    <w:rsid w:val="008A3B2E"/>
    <w:rsid w:val="008A63A9"/>
    <w:rsid w:val="008B5D31"/>
    <w:rsid w:val="008C1017"/>
    <w:rsid w:val="008D1F33"/>
    <w:rsid w:val="008E2D99"/>
    <w:rsid w:val="008E4A60"/>
    <w:rsid w:val="008E703A"/>
    <w:rsid w:val="009026E8"/>
    <w:rsid w:val="0090379B"/>
    <w:rsid w:val="00914ADB"/>
    <w:rsid w:val="00923B25"/>
    <w:rsid w:val="009410EB"/>
    <w:rsid w:val="00942645"/>
    <w:rsid w:val="0095340A"/>
    <w:rsid w:val="00954581"/>
    <w:rsid w:val="0095466C"/>
    <w:rsid w:val="0096168C"/>
    <w:rsid w:val="009650A3"/>
    <w:rsid w:val="009732B8"/>
    <w:rsid w:val="00977CB4"/>
    <w:rsid w:val="00985099"/>
    <w:rsid w:val="009A0DE3"/>
    <w:rsid w:val="009A41DF"/>
    <w:rsid w:val="009B1534"/>
    <w:rsid w:val="009B69D3"/>
    <w:rsid w:val="009B7BA7"/>
    <w:rsid w:val="009C0938"/>
    <w:rsid w:val="009C3D79"/>
    <w:rsid w:val="009C3F82"/>
    <w:rsid w:val="009C7DF5"/>
    <w:rsid w:val="009D1ADE"/>
    <w:rsid w:val="009E1283"/>
    <w:rsid w:val="009F4367"/>
    <w:rsid w:val="00A1105B"/>
    <w:rsid w:val="00A15CAD"/>
    <w:rsid w:val="00A16876"/>
    <w:rsid w:val="00A200AA"/>
    <w:rsid w:val="00A2186F"/>
    <w:rsid w:val="00A2270B"/>
    <w:rsid w:val="00A2496E"/>
    <w:rsid w:val="00A258B7"/>
    <w:rsid w:val="00A377D1"/>
    <w:rsid w:val="00A47CF1"/>
    <w:rsid w:val="00A50418"/>
    <w:rsid w:val="00A608FB"/>
    <w:rsid w:val="00A70E7B"/>
    <w:rsid w:val="00A76094"/>
    <w:rsid w:val="00A86CB6"/>
    <w:rsid w:val="00A90D55"/>
    <w:rsid w:val="00A97FFA"/>
    <w:rsid w:val="00AA04B3"/>
    <w:rsid w:val="00AC439D"/>
    <w:rsid w:val="00AC4C54"/>
    <w:rsid w:val="00AD43DD"/>
    <w:rsid w:val="00AD77F7"/>
    <w:rsid w:val="00AE2D29"/>
    <w:rsid w:val="00AE3316"/>
    <w:rsid w:val="00AE58BD"/>
    <w:rsid w:val="00AF5A86"/>
    <w:rsid w:val="00AF699F"/>
    <w:rsid w:val="00B03A90"/>
    <w:rsid w:val="00B074B3"/>
    <w:rsid w:val="00B07781"/>
    <w:rsid w:val="00B10D1D"/>
    <w:rsid w:val="00B32179"/>
    <w:rsid w:val="00B33101"/>
    <w:rsid w:val="00B40A3E"/>
    <w:rsid w:val="00B522CD"/>
    <w:rsid w:val="00B55917"/>
    <w:rsid w:val="00B72303"/>
    <w:rsid w:val="00B7423D"/>
    <w:rsid w:val="00B80224"/>
    <w:rsid w:val="00B82277"/>
    <w:rsid w:val="00BA2D98"/>
    <w:rsid w:val="00BA30D1"/>
    <w:rsid w:val="00BA5BE2"/>
    <w:rsid w:val="00BA7F46"/>
    <w:rsid w:val="00BB0A0A"/>
    <w:rsid w:val="00BC0701"/>
    <w:rsid w:val="00BD6806"/>
    <w:rsid w:val="00BD7831"/>
    <w:rsid w:val="00BD7C10"/>
    <w:rsid w:val="00BE0DEB"/>
    <w:rsid w:val="00BE6FEB"/>
    <w:rsid w:val="00BF1542"/>
    <w:rsid w:val="00C1248F"/>
    <w:rsid w:val="00C13B34"/>
    <w:rsid w:val="00C261C6"/>
    <w:rsid w:val="00C30A97"/>
    <w:rsid w:val="00C31DDC"/>
    <w:rsid w:val="00C34326"/>
    <w:rsid w:val="00C505C8"/>
    <w:rsid w:val="00C54DF3"/>
    <w:rsid w:val="00C570C4"/>
    <w:rsid w:val="00C71BEC"/>
    <w:rsid w:val="00C73D0F"/>
    <w:rsid w:val="00C846EA"/>
    <w:rsid w:val="00C84AD1"/>
    <w:rsid w:val="00C85579"/>
    <w:rsid w:val="00CA068D"/>
    <w:rsid w:val="00CA282D"/>
    <w:rsid w:val="00CB23DC"/>
    <w:rsid w:val="00CB28E2"/>
    <w:rsid w:val="00CB7FF7"/>
    <w:rsid w:val="00CC2044"/>
    <w:rsid w:val="00CC69EC"/>
    <w:rsid w:val="00CC7EF8"/>
    <w:rsid w:val="00CD1A5B"/>
    <w:rsid w:val="00CD34C7"/>
    <w:rsid w:val="00CF175C"/>
    <w:rsid w:val="00CF4394"/>
    <w:rsid w:val="00D01E06"/>
    <w:rsid w:val="00D06816"/>
    <w:rsid w:val="00D11E28"/>
    <w:rsid w:val="00D13C8E"/>
    <w:rsid w:val="00D1648B"/>
    <w:rsid w:val="00D20AC0"/>
    <w:rsid w:val="00D336C8"/>
    <w:rsid w:val="00D339E8"/>
    <w:rsid w:val="00D40B1F"/>
    <w:rsid w:val="00D50C8C"/>
    <w:rsid w:val="00D52393"/>
    <w:rsid w:val="00D53A5A"/>
    <w:rsid w:val="00D71918"/>
    <w:rsid w:val="00D76AB2"/>
    <w:rsid w:val="00D829AD"/>
    <w:rsid w:val="00D87788"/>
    <w:rsid w:val="00D910C2"/>
    <w:rsid w:val="00D9189B"/>
    <w:rsid w:val="00D91DA6"/>
    <w:rsid w:val="00D972D4"/>
    <w:rsid w:val="00DA195B"/>
    <w:rsid w:val="00DA3ED0"/>
    <w:rsid w:val="00DB53CE"/>
    <w:rsid w:val="00DB6FBE"/>
    <w:rsid w:val="00DC233D"/>
    <w:rsid w:val="00DD3593"/>
    <w:rsid w:val="00DE5DF8"/>
    <w:rsid w:val="00DE7E74"/>
    <w:rsid w:val="00E017F0"/>
    <w:rsid w:val="00E041E4"/>
    <w:rsid w:val="00E14581"/>
    <w:rsid w:val="00E15539"/>
    <w:rsid w:val="00E16541"/>
    <w:rsid w:val="00E2632B"/>
    <w:rsid w:val="00E405EA"/>
    <w:rsid w:val="00E40F19"/>
    <w:rsid w:val="00E42789"/>
    <w:rsid w:val="00E44151"/>
    <w:rsid w:val="00E50BEB"/>
    <w:rsid w:val="00E51730"/>
    <w:rsid w:val="00E55F25"/>
    <w:rsid w:val="00E70B9E"/>
    <w:rsid w:val="00E72729"/>
    <w:rsid w:val="00E72FC7"/>
    <w:rsid w:val="00E82B6D"/>
    <w:rsid w:val="00E83F78"/>
    <w:rsid w:val="00E866F8"/>
    <w:rsid w:val="00E95124"/>
    <w:rsid w:val="00EA11B6"/>
    <w:rsid w:val="00EA2DD8"/>
    <w:rsid w:val="00EA681F"/>
    <w:rsid w:val="00EB069F"/>
    <w:rsid w:val="00EB76E4"/>
    <w:rsid w:val="00EC0E65"/>
    <w:rsid w:val="00EC464B"/>
    <w:rsid w:val="00ED0393"/>
    <w:rsid w:val="00EE0B44"/>
    <w:rsid w:val="00EE3A3D"/>
    <w:rsid w:val="00EF608E"/>
    <w:rsid w:val="00F0706C"/>
    <w:rsid w:val="00F1516A"/>
    <w:rsid w:val="00F22A26"/>
    <w:rsid w:val="00F31C45"/>
    <w:rsid w:val="00F32139"/>
    <w:rsid w:val="00F34E08"/>
    <w:rsid w:val="00F41D91"/>
    <w:rsid w:val="00F43A43"/>
    <w:rsid w:val="00F46964"/>
    <w:rsid w:val="00F5126A"/>
    <w:rsid w:val="00F718A8"/>
    <w:rsid w:val="00F71C7A"/>
    <w:rsid w:val="00F72183"/>
    <w:rsid w:val="00F73E6E"/>
    <w:rsid w:val="00F7410D"/>
    <w:rsid w:val="00F82981"/>
    <w:rsid w:val="00F8311F"/>
    <w:rsid w:val="00F83248"/>
    <w:rsid w:val="00F85350"/>
    <w:rsid w:val="00F853AE"/>
    <w:rsid w:val="00F92CCF"/>
    <w:rsid w:val="00F93DCC"/>
    <w:rsid w:val="00F9435D"/>
    <w:rsid w:val="00F943A3"/>
    <w:rsid w:val="00FA31E0"/>
    <w:rsid w:val="00FB593A"/>
    <w:rsid w:val="00FB6E82"/>
    <w:rsid w:val="00FB78C6"/>
    <w:rsid w:val="00FC4576"/>
    <w:rsid w:val="00FC7DBC"/>
    <w:rsid w:val="00FD198A"/>
    <w:rsid w:val="00FD1D5A"/>
    <w:rsid w:val="00FD641A"/>
    <w:rsid w:val="00FF3C25"/>
    <w:rsid w:val="00FF40B9"/>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89951568">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2010-06-21T17:07:00Z</cp:lastPrinted>
  <dcterms:created xsi:type="dcterms:W3CDTF">2012-03-10T18:16:00Z</dcterms:created>
  <dcterms:modified xsi:type="dcterms:W3CDTF">2012-03-10T18:16:00Z</dcterms:modified>
</cp:coreProperties>
</file>