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C5EF4" w:rsidRDefault="00540BEF" w:rsidP="00BC5EF4">
      <w:pPr>
        <w:tabs>
          <w:tab w:val="left" w:pos="288"/>
          <w:tab w:val="left" w:pos="4752"/>
        </w:tabs>
        <w:spacing w:line="240" w:lineRule="exact"/>
        <w:jc w:val="center"/>
        <w:rPr>
          <w:rFonts w:asciiTheme="minorHAnsi" w:hAnsiTheme="minorHAnsi"/>
          <w:color w:val="auto"/>
        </w:rPr>
      </w:pPr>
      <w:r w:rsidRPr="00BC5EF4">
        <w:rPr>
          <w:rFonts w:asciiTheme="minorHAnsi" w:hAnsiTheme="minorHAnsi"/>
          <w:color w:val="auto"/>
        </w:rPr>
        <w:t>RECORD OF PROCEEDINGS</w:t>
      </w:r>
    </w:p>
    <w:p w:rsidR="00540BEF" w:rsidRPr="00BC5EF4" w:rsidRDefault="00540BEF" w:rsidP="00BC5EF4">
      <w:pPr>
        <w:tabs>
          <w:tab w:val="left" w:pos="288"/>
          <w:tab w:val="left" w:pos="4752"/>
        </w:tabs>
        <w:spacing w:line="240" w:lineRule="exact"/>
        <w:jc w:val="center"/>
        <w:rPr>
          <w:rFonts w:asciiTheme="minorHAnsi" w:hAnsiTheme="minorHAnsi"/>
          <w:color w:val="auto"/>
        </w:rPr>
      </w:pPr>
      <w:r w:rsidRPr="00BC5EF4">
        <w:rPr>
          <w:rFonts w:asciiTheme="minorHAnsi" w:hAnsiTheme="minorHAnsi"/>
          <w:color w:val="auto"/>
        </w:rPr>
        <w:t>PHYSICAL DISABILITY BOARD OF REVIEW</w:t>
      </w:r>
    </w:p>
    <w:p w:rsidR="00540BEF" w:rsidRPr="00BC5EF4" w:rsidRDefault="00540BEF" w:rsidP="00BC5EF4">
      <w:pPr>
        <w:tabs>
          <w:tab w:val="left" w:pos="288"/>
          <w:tab w:val="left" w:pos="4752"/>
        </w:tabs>
        <w:spacing w:line="240" w:lineRule="exact"/>
        <w:rPr>
          <w:rFonts w:asciiTheme="minorHAnsi" w:hAnsiTheme="minorHAnsi"/>
          <w:color w:val="auto"/>
        </w:rPr>
      </w:pPr>
    </w:p>
    <w:p w:rsidR="0049265A" w:rsidRPr="00BC5EF4" w:rsidRDefault="0049265A" w:rsidP="00C64B40">
      <w:pPr>
        <w:tabs>
          <w:tab w:val="left" w:pos="288"/>
          <w:tab w:val="left" w:pos="4752"/>
        </w:tabs>
        <w:spacing w:line="240" w:lineRule="exact"/>
        <w:rPr>
          <w:rFonts w:asciiTheme="minorHAnsi" w:hAnsiTheme="minorHAnsi"/>
          <w:color w:val="auto"/>
        </w:rPr>
      </w:pPr>
      <w:r w:rsidRPr="00BC5EF4">
        <w:rPr>
          <w:rFonts w:asciiTheme="minorHAnsi" w:hAnsiTheme="minorHAnsi"/>
          <w:color w:val="auto"/>
        </w:rPr>
        <w:t>NAME:</w:t>
      </w:r>
      <w:r w:rsidR="001D5F46">
        <w:rPr>
          <w:rFonts w:asciiTheme="minorHAnsi" w:hAnsiTheme="minorHAnsi"/>
          <w:color w:val="auto"/>
        </w:rPr>
        <w:t xml:space="preserve"> </w:t>
      </w:r>
      <w:r w:rsidR="009E4FCE">
        <w:rPr>
          <w:rFonts w:asciiTheme="minorHAnsi" w:hAnsiTheme="minorHAnsi"/>
          <w:color w:val="auto"/>
        </w:rPr>
        <w:t xml:space="preserve"> </w:t>
      </w:r>
      <w:r w:rsidRPr="00BC5EF4">
        <w:rPr>
          <w:rFonts w:asciiTheme="minorHAnsi" w:hAnsiTheme="minorHAnsi"/>
          <w:color w:val="auto"/>
        </w:rPr>
        <w:tab/>
      </w:r>
      <w:r w:rsidRPr="00BC5EF4">
        <w:rPr>
          <w:rFonts w:asciiTheme="minorHAnsi" w:hAnsiTheme="minorHAnsi"/>
          <w:color w:val="auto"/>
        </w:rPr>
        <w:tab/>
      </w:r>
      <w:r w:rsidR="00BC5EF4">
        <w:rPr>
          <w:rFonts w:asciiTheme="minorHAnsi" w:hAnsiTheme="minorHAnsi"/>
          <w:color w:val="auto"/>
        </w:rPr>
        <w:tab/>
        <w:t xml:space="preserve">        </w:t>
      </w:r>
      <w:r w:rsidRPr="00BC5EF4">
        <w:rPr>
          <w:rFonts w:asciiTheme="minorHAnsi" w:hAnsiTheme="minorHAnsi"/>
          <w:color w:val="auto"/>
        </w:rPr>
        <w:t xml:space="preserve">BRANCH OF SERVICE: AIR FORCE </w:t>
      </w:r>
    </w:p>
    <w:p w:rsidR="00C216A5" w:rsidRDefault="0049265A" w:rsidP="00C64B40">
      <w:pPr>
        <w:tabs>
          <w:tab w:val="left" w:pos="288"/>
          <w:tab w:val="left" w:pos="4752"/>
        </w:tabs>
        <w:spacing w:line="240" w:lineRule="exact"/>
        <w:rPr>
          <w:rFonts w:asciiTheme="minorHAnsi" w:hAnsiTheme="minorHAnsi"/>
          <w:color w:val="auto"/>
        </w:rPr>
      </w:pPr>
      <w:r w:rsidRPr="00BC5EF4">
        <w:rPr>
          <w:rFonts w:asciiTheme="minorHAnsi" w:hAnsiTheme="minorHAnsi"/>
          <w:color w:val="auto"/>
        </w:rPr>
        <w:t>CASE NUMBER:  PD0900484</w:t>
      </w:r>
      <w:r w:rsidRPr="00BC5EF4">
        <w:rPr>
          <w:rFonts w:asciiTheme="minorHAnsi" w:hAnsiTheme="minorHAnsi"/>
          <w:color w:val="auto"/>
        </w:rPr>
        <w:tab/>
      </w:r>
      <w:r w:rsidRPr="00BC5EF4">
        <w:rPr>
          <w:rFonts w:asciiTheme="minorHAnsi" w:hAnsiTheme="minorHAnsi"/>
          <w:color w:val="auto"/>
        </w:rPr>
        <w:tab/>
      </w:r>
      <w:r w:rsidR="00BC5EF4">
        <w:rPr>
          <w:rFonts w:asciiTheme="minorHAnsi" w:hAnsiTheme="minorHAnsi"/>
          <w:color w:val="auto"/>
        </w:rPr>
        <w:tab/>
        <w:t xml:space="preserve">        </w:t>
      </w:r>
      <w:r w:rsidRPr="00BC5EF4">
        <w:rPr>
          <w:rFonts w:asciiTheme="minorHAnsi" w:hAnsiTheme="minorHAnsi"/>
          <w:color w:val="auto"/>
        </w:rPr>
        <w:t>BOARD DATE: 2010</w:t>
      </w:r>
      <w:r w:rsidR="00C64B40" w:rsidRPr="00BC5EF4">
        <w:rPr>
          <w:rFonts w:asciiTheme="minorHAnsi" w:hAnsiTheme="minorHAnsi"/>
          <w:color w:val="auto"/>
        </w:rPr>
        <w:t>0812</w:t>
      </w:r>
    </w:p>
    <w:p w:rsidR="0049265A" w:rsidRPr="00BC5EF4" w:rsidRDefault="0049265A" w:rsidP="00C64B40">
      <w:pPr>
        <w:tabs>
          <w:tab w:val="left" w:pos="288"/>
          <w:tab w:val="left" w:pos="4752"/>
        </w:tabs>
        <w:spacing w:line="240" w:lineRule="exact"/>
        <w:rPr>
          <w:rFonts w:asciiTheme="minorHAnsi" w:hAnsiTheme="minorHAnsi"/>
          <w:color w:val="auto"/>
        </w:rPr>
      </w:pPr>
      <w:r w:rsidRPr="00BC5EF4">
        <w:rPr>
          <w:rFonts w:asciiTheme="minorHAnsi" w:hAnsiTheme="minorHAnsi"/>
          <w:color w:val="auto"/>
        </w:rPr>
        <w:t>SEPARATION DATE: 20070611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8B04DB" w:rsidRPr="00C47CEC" w:rsidRDefault="002C6E5B" w:rsidP="00BC5EF4">
      <w:pPr>
        <w:tabs>
          <w:tab w:val="left" w:pos="288"/>
          <w:tab w:val="left" w:pos="4752"/>
        </w:tabs>
        <w:spacing w:line="240" w:lineRule="exact"/>
        <w:jc w:val="both"/>
        <w:rPr>
          <w:color w:val="000080"/>
        </w:rPr>
      </w:pPr>
      <w:r w:rsidRPr="00542C9A">
        <w:rPr>
          <w:rFonts w:ascii="Calibri" w:hAnsi="Calibri"/>
          <w:color w:val="auto"/>
          <w:u w:val="single"/>
        </w:rPr>
        <w:t>SUMMARY OF CASE</w:t>
      </w:r>
      <w:r w:rsidRPr="00542C9A">
        <w:rPr>
          <w:rFonts w:ascii="Calibri" w:hAnsi="Calibri"/>
          <w:color w:val="auto"/>
        </w:rPr>
        <w:t xml:space="preserve">:  </w:t>
      </w:r>
      <w:r w:rsidR="00E97F51" w:rsidRPr="00E97F51">
        <w:rPr>
          <w:rFonts w:ascii="Calibri" w:hAnsi="Calibri"/>
          <w:color w:val="auto"/>
          <w:szCs w:val="24"/>
        </w:rPr>
        <w:t xml:space="preserve">This covered individual (CI) was an active duty </w:t>
      </w:r>
      <w:r w:rsidR="0049265A">
        <w:rPr>
          <w:rFonts w:ascii="Calibri" w:hAnsi="Calibri"/>
          <w:color w:val="auto"/>
          <w:szCs w:val="24"/>
        </w:rPr>
        <w:t>CP</w:t>
      </w:r>
      <w:r w:rsidR="00E97F51" w:rsidRPr="00E97F51">
        <w:rPr>
          <w:rFonts w:ascii="Calibri" w:hAnsi="Calibri"/>
          <w:color w:val="auto"/>
          <w:szCs w:val="24"/>
        </w:rPr>
        <w:t>T (</w:t>
      </w:r>
      <w:r w:rsidR="0049265A">
        <w:rPr>
          <w:rFonts w:ascii="Calibri" w:hAnsi="Calibri"/>
          <w:color w:val="auto"/>
          <w:szCs w:val="24"/>
        </w:rPr>
        <w:t>AFSC</w:t>
      </w:r>
      <w:r w:rsidR="00C216A5">
        <w:rPr>
          <w:rFonts w:ascii="Calibri" w:hAnsi="Calibri"/>
          <w:color w:val="auto"/>
          <w:szCs w:val="24"/>
        </w:rPr>
        <w:t>/</w:t>
      </w:r>
      <w:r w:rsidR="0049265A" w:rsidRPr="0049265A">
        <w:rPr>
          <w:rFonts w:ascii="Calibri" w:hAnsi="Calibri"/>
          <w:color w:val="auto"/>
          <w:szCs w:val="24"/>
        </w:rPr>
        <w:t>12M3B, C-130 Navigator</w:t>
      </w:r>
      <w:r w:rsidR="00E97F51" w:rsidRPr="00E97F51">
        <w:rPr>
          <w:rFonts w:ascii="Calibri" w:hAnsi="Calibri"/>
          <w:color w:val="auto"/>
          <w:szCs w:val="24"/>
        </w:rPr>
        <w:t xml:space="preserve">) medically separated from the </w:t>
      </w:r>
      <w:r w:rsidR="0049265A">
        <w:rPr>
          <w:rFonts w:ascii="Calibri" w:hAnsi="Calibri"/>
          <w:color w:val="auto"/>
          <w:szCs w:val="24"/>
        </w:rPr>
        <w:t>Air Force</w:t>
      </w:r>
      <w:r w:rsidR="00E97F51" w:rsidRPr="00E97F51">
        <w:rPr>
          <w:rFonts w:ascii="Calibri" w:hAnsi="Calibri"/>
          <w:color w:val="auto"/>
          <w:szCs w:val="24"/>
        </w:rPr>
        <w:t xml:space="preserve"> in 200</w:t>
      </w:r>
      <w:r w:rsidR="0049265A">
        <w:rPr>
          <w:rFonts w:ascii="Calibri" w:hAnsi="Calibri"/>
          <w:color w:val="auto"/>
          <w:szCs w:val="24"/>
        </w:rPr>
        <w:t>7</w:t>
      </w:r>
      <w:r w:rsidR="00E97F51" w:rsidRPr="00E97F51">
        <w:rPr>
          <w:rFonts w:ascii="Calibri" w:hAnsi="Calibri"/>
          <w:color w:val="auto"/>
          <w:szCs w:val="24"/>
        </w:rPr>
        <w:t xml:space="preserve"> after </w:t>
      </w:r>
      <w:r w:rsidR="0049265A">
        <w:rPr>
          <w:rFonts w:ascii="Calibri" w:hAnsi="Calibri"/>
          <w:color w:val="auto"/>
          <w:szCs w:val="24"/>
        </w:rPr>
        <w:t>4</w:t>
      </w:r>
      <w:r w:rsidR="00E97F51" w:rsidRPr="00E97F51">
        <w:rPr>
          <w:rFonts w:ascii="Calibri" w:hAnsi="Calibri"/>
          <w:color w:val="auto"/>
          <w:szCs w:val="24"/>
        </w:rPr>
        <w:t xml:space="preserve"> years of service.  The medical ba</w:t>
      </w:r>
      <w:r w:rsidR="003D07A5">
        <w:rPr>
          <w:rFonts w:ascii="Calibri" w:hAnsi="Calibri"/>
          <w:color w:val="auto"/>
          <w:szCs w:val="24"/>
        </w:rPr>
        <w:t>sis for the separation was Post-</w:t>
      </w:r>
      <w:r w:rsidR="00E97F51" w:rsidRPr="00E97F51">
        <w:rPr>
          <w:rFonts w:ascii="Calibri" w:hAnsi="Calibri"/>
          <w:color w:val="auto"/>
          <w:szCs w:val="24"/>
        </w:rPr>
        <w:t>Traumatic Stress Disorder (PTSD).</w:t>
      </w:r>
      <w:r w:rsidR="00E97F51">
        <w:rPr>
          <w:rFonts w:ascii="Calibri" w:hAnsi="Calibri"/>
          <w:color w:val="auto"/>
          <w:szCs w:val="24"/>
        </w:rPr>
        <w:t xml:space="preserve">  </w:t>
      </w:r>
      <w:r w:rsidR="00E97F51" w:rsidRPr="0028115C">
        <w:rPr>
          <w:rFonts w:asciiTheme="minorHAnsi" w:hAnsiTheme="minorHAnsi"/>
          <w:color w:val="auto"/>
        </w:rPr>
        <w:t xml:space="preserve">The CI’s PTSD was associated with </w:t>
      </w:r>
      <w:r w:rsidR="00610EAC">
        <w:rPr>
          <w:rFonts w:asciiTheme="minorHAnsi" w:hAnsiTheme="minorHAnsi"/>
          <w:color w:val="auto"/>
        </w:rPr>
        <w:t>a</w:t>
      </w:r>
      <w:r w:rsidR="00303501" w:rsidRPr="0028115C">
        <w:rPr>
          <w:rFonts w:asciiTheme="minorHAnsi" w:hAnsiTheme="minorHAnsi"/>
          <w:color w:val="auto"/>
        </w:rPr>
        <w:t xml:space="preserve"> Criterion A stressor</w:t>
      </w:r>
      <w:r w:rsidR="00E97F51" w:rsidRPr="0028115C">
        <w:rPr>
          <w:rFonts w:asciiTheme="minorHAnsi" w:hAnsiTheme="minorHAnsi"/>
          <w:color w:val="auto"/>
        </w:rPr>
        <w:t xml:space="preserve"> </w:t>
      </w:r>
      <w:r w:rsidR="00303501" w:rsidRPr="0028115C">
        <w:rPr>
          <w:rFonts w:asciiTheme="minorHAnsi" w:hAnsiTheme="minorHAnsi"/>
          <w:color w:val="auto"/>
        </w:rPr>
        <w:t>of</w:t>
      </w:r>
      <w:r w:rsidR="00E97F51" w:rsidRPr="0028115C">
        <w:rPr>
          <w:rFonts w:asciiTheme="minorHAnsi" w:hAnsiTheme="minorHAnsi"/>
          <w:color w:val="auto"/>
        </w:rPr>
        <w:t xml:space="preserve"> </w:t>
      </w:r>
      <w:r w:rsidR="008B6BB4" w:rsidRPr="0028115C">
        <w:rPr>
          <w:rFonts w:asciiTheme="minorHAnsi" w:hAnsiTheme="minorHAnsi"/>
          <w:color w:val="auto"/>
        </w:rPr>
        <w:t>witnessing a fatal airplane crash in 2003</w:t>
      </w:r>
      <w:r w:rsidR="00610EAC">
        <w:rPr>
          <w:rFonts w:asciiTheme="minorHAnsi" w:hAnsiTheme="minorHAnsi"/>
          <w:color w:val="auto"/>
        </w:rPr>
        <w:t xml:space="preserve"> (stateside)</w:t>
      </w:r>
      <w:r w:rsidR="00E97F51" w:rsidRPr="0028115C">
        <w:rPr>
          <w:rFonts w:asciiTheme="minorHAnsi" w:hAnsiTheme="minorHAnsi"/>
          <w:color w:val="auto"/>
        </w:rPr>
        <w:t xml:space="preserve">.  </w:t>
      </w:r>
      <w:r w:rsidR="00303501" w:rsidRPr="0028115C">
        <w:rPr>
          <w:rFonts w:asciiTheme="minorHAnsi" w:hAnsiTheme="minorHAnsi"/>
          <w:color w:val="auto"/>
        </w:rPr>
        <w:t>During</w:t>
      </w:r>
      <w:r w:rsidR="00E97F51" w:rsidRPr="0028115C">
        <w:rPr>
          <w:rFonts w:asciiTheme="minorHAnsi" w:hAnsiTheme="minorHAnsi"/>
          <w:color w:val="auto"/>
        </w:rPr>
        <w:t xml:space="preserve"> </w:t>
      </w:r>
      <w:r w:rsidR="00610EAC">
        <w:rPr>
          <w:rFonts w:asciiTheme="minorHAnsi" w:hAnsiTheme="minorHAnsi"/>
          <w:color w:val="auto"/>
        </w:rPr>
        <w:t xml:space="preserve">a subsequent </w:t>
      </w:r>
      <w:r w:rsidR="00E97F51" w:rsidRPr="0028115C">
        <w:rPr>
          <w:rFonts w:asciiTheme="minorHAnsi" w:hAnsiTheme="minorHAnsi"/>
          <w:color w:val="auto"/>
        </w:rPr>
        <w:t xml:space="preserve">deployment he </w:t>
      </w:r>
      <w:r w:rsidR="00303501" w:rsidRPr="0028115C">
        <w:rPr>
          <w:rFonts w:asciiTheme="minorHAnsi" w:hAnsiTheme="minorHAnsi"/>
          <w:color w:val="auto"/>
        </w:rPr>
        <w:t>experienced an incapacitating panic attack during a stressful in-flight situation</w:t>
      </w:r>
      <w:r w:rsidR="00E97F51" w:rsidRPr="0028115C">
        <w:rPr>
          <w:rFonts w:asciiTheme="minorHAnsi" w:hAnsiTheme="minorHAnsi"/>
          <w:color w:val="auto"/>
        </w:rPr>
        <w:t>.</w:t>
      </w:r>
      <w:r w:rsidR="00303501" w:rsidRPr="0028115C">
        <w:rPr>
          <w:rFonts w:asciiTheme="minorHAnsi" w:hAnsiTheme="minorHAnsi"/>
          <w:color w:val="auto"/>
        </w:rPr>
        <w:t xml:space="preserve">  He was removed from flying status and began treatment.</w:t>
      </w:r>
      <w:r w:rsidR="00E97F51" w:rsidRPr="0028115C">
        <w:rPr>
          <w:rFonts w:asciiTheme="minorHAnsi" w:hAnsiTheme="minorHAnsi"/>
          <w:color w:val="auto"/>
        </w:rPr>
        <w:t xml:space="preserve">  He </w:t>
      </w:r>
      <w:r w:rsidR="00492EF1">
        <w:rPr>
          <w:rFonts w:asciiTheme="minorHAnsi" w:hAnsiTheme="minorHAnsi"/>
          <w:color w:val="auto"/>
        </w:rPr>
        <w:t xml:space="preserve">responded to therapy and was able to function well as a staff officer, but was unable to resume flight status or deploy.  </w:t>
      </w:r>
      <w:r w:rsidR="003D07A5">
        <w:rPr>
          <w:rFonts w:asciiTheme="minorHAnsi" w:hAnsiTheme="minorHAnsi"/>
          <w:color w:val="auto"/>
        </w:rPr>
        <w:t>Con</w:t>
      </w:r>
      <w:r w:rsidR="00492EF1">
        <w:rPr>
          <w:rFonts w:asciiTheme="minorHAnsi" w:hAnsiTheme="minorHAnsi"/>
          <w:color w:val="auto"/>
        </w:rPr>
        <w:t xml:space="preserve">sequently </w:t>
      </w:r>
      <w:r w:rsidR="003D07A5">
        <w:rPr>
          <w:rFonts w:asciiTheme="minorHAnsi" w:hAnsiTheme="minorHAnsi"/>
          <w:color w:val="auto"/>
        </w:rPr>
        <w:t xml:space="preserve">he was </w:t>
      </w:r>
      <w:r w:rsidR="00E97F51" w:rsidRPr="0028115C">
        <w:rPr>
          <w:rFonts w:asciiTheme="minorHAnsi" w:hAnsiTheme="minorHAnsi"/>
          <w:color w:val="auto"/>
        </w:rPr>
        <w:t>placed on a permanent S-</w:t>
      </w:r>
      <w:r w:rsidR="00303501" w:rsidRPr="0028115C">
        <w:rPr>
          <w:rFonts w:asciiTheme="minorHAnsi" w:hAnsiTheme="minorHAnsi"/>
          <w:color w:val="auto"/>
        </w:rPr>
        <w:t>4</w:t>
      </w:r>
      <w:r w:rsidR="00E97F51" w:rsidRPr="0028115C">
        <w:rPr>
          <w:rFonts w:asciiTheme="minorHAnsi" w:hAnsiTheme="minorHAnsi"/>
          <w:color w:val="auto"/>
        </w:rPr>
        <w:t xml:space="preserve"> profile and referred for a </w:t>
      </w:r>
      <w:r w:rsidR="00C216A5">
        <w:rPr>
          <w:rFonts w:asciiTheme="minorHAnsi" w:hAnsiTheme="minorHAnsi"/>
          <w:color w:val="auto"/>
        </w:rPr>
        <w:t>Medical Evaluation Board (</w:t>
      </w:r>
      <w:r w:rsidR="00E97F51" w:rsidRPr="0028115C">
        <w:rPr>
          <w:rFonts w:asciiTheme="minorHAnsi" w:hAnsiTheme="minorHAnsi"/>
          <w:color w:val="auto"/>
        </w:rPr>
        <w:t>MEB</w:t>
      </w:r>
      <w:r w:rsidR="00C216A5">
        <w:rPr>
          <w:rFonts w:asciiTheme="minorHAnsi" w:hAnsiTheme="minorHAnsi"/>
          <w:color w:val="auto"/>
        </w:rPr>
        <w:t>)</w:t>
      </w:r>
      <w:r w:rsidR="00E97F51" w:rsidRPr="0028115C">
        <w:rPr>
          <w:rFonts w:asciiTheme="minorHAnsi" w:hAnsiTheme="minorHAnsi"/>
          <w:color w:val="auto"/>
        </w:rPr>
        <w:t xml:space="preserve">.  </w:t>
      </w:r>
      <w:r w:rsidR="00E97F51" w:rsidRPr="0028115C">
        <w:rPr>
          <w:rFonts w:ascii="Calibri" w:hAnsi="Calibri"/>
          <w:color w:val="auto"/>
          <w:szCs w:val="24"/>
        </w:rPr>
        <w:t xml:space="preserve">The PTSD was determined to be </w:t>
      </w:r>
      <w:r w:rsidR="00610EAC">
        <w:rPr>
          <w:rFonts w:ascii="Calibri" w:hAnsi="Calibri"/>
          <w:color w:val="auto"/>
          <w:szCs w:val="24"/>
        </w:rPr>
        <w:t>disqualifying</w:t>
      </w:r>
      <w:r w:rsidR="00E97F51" w:rsidRPr="0028115C">
        <w:rPr>
          <w:rFonts w:ascii="Calibri" w:hAnsi="Calibri"/>
          <w:color w:val="auto"/>
          <w:szCs w:val="24"/>
        </w:rPr>
        <w:t xml:space="preserve"> </w:t>
      </w:r>
      <w:r w:rsidR="00E97F51" w:rsidRPr="00157C2C">
        <w:rPr>
          <w:rFonts w:ascii="Calibri" w:hAnsi="Calibri"/>
          <w:color w:val="auto"/>
          <w:szCs w:val="24"/>
        </w:rPr>
        <w:t xml:space="preserve">IAW </w:t>
      </w:r>
      <w:r w:rsidR="00303501" w:rsidRPr="00157C2C">
        <w:rPr>
          <w:rFonts w:ascii="Calibri" w:hAnsi="Calibri"/>
          <w:color w:val="auto"/>
          <w:szCs w:val="24"/>
        </w:rPr>
        <w:t>AFI48-123</w:t>
      </w:r>
      <w:r w:rsidR="00E97F51" w:rsidRPr="0028115C">
        <w:rPr>
          <w:rFonts w:ascii="Calibri" w:hAnsi="Calibri"/>
          <w:color w:val="auto"/>
          <w:szCs w:val="24"/>
        </w:rPr>
        <w:t xml:space="preserve">.  </w:t>
      </w:r>
      <w:r w:rsidR="00303501" w:rsidRPr="0028115C">
        <w:rPr>
          <w:rFonts w:ascii="Calibri" w:hAnsi="Calibri"/>
          <w:color w:val="auto"/>
          <w:szCs w:val="24"/>
        </w:rPr>
        <w:t>No</w:t>
      </w:r>
      <w:r w:rsidR="006C69CC" w:rsidRPr="0028115C">
        <w:rPr>
          <w:rFonts w:ascii="Calibri" w:hAnsi="Calibri"/>
          <w:color w:val="auto"/>
          <w:szCs w:val="24"/>
        </w:rPr>
        <w:t xml:space="preserve"> other conditions were included on the </w:t>
      </w:r>
      <w:r w:rsidR="00303501" w:rsidRPr="00C216A5">
        <w:rPr>
          <w:rFonts w:ascii="Calibri" w:hAnsi="Calibri"/>
          <w:color w:val="auto"/>
          <w:szCs w:val="24"/>
        </w:rPr>
        <w:t>AF IMT 618</w:t>
      </w:r>
      <w:r w:rsidR="00C216A5" w:rsidRPr="00C216A5">
        <w:rPr>
          <w:rFonts w:ascii="Calibri" w:hAnsi="Calibri"/>
          <w:color w:val="auto"/>
          <w:szCs w:val="24"/>
        </w:rPr>
        <w:t>,</w:t>
      </w:r>
      <w:r w:rsidR="00C216A5">
        <w:rPr>
          <w:rFonts w:ascii="Calibri" w:hAnsi="Calibri"/>
          <w:color w:val="auto"/>
          <w:szCs w:val="24"/>
        </w:rPr>
        <w:t xml:space="preserve"> </w:t>
      </w:r>
      <w:r w:rsidR="00C216A5">
        <w:rPr>
          <w:rFonts w:ascii="Calibri" w:hAnsi="Calibri"/>
          <w:i/>
          <w:color w:val="auto"/>
          <w:szCs w:val="24"/>
        </w:rPr>
        <w:t>Medical Board Report</w:t>
      </w:r>
      <w:r w:rsidR="006C69CC" w:rsidRPr="00157C2C">
        <w:rPr>
          <w:rFonts w:ascii="Calibri" w:hAnsi="Calibri"/>
          <w:color w:val="auto"/>
          <w:szCs w:val="24"/>
        </w:rPr>
        <w:t xml:space="preserve">.  </w:t>
      </w:r>
      <w:r w:rsidR="00E97F51" w:rsidRPr="00157C2C">
        <w:rPr>
          <w:rFonts w:ascii="Calibri" w:hAnsi="Calibri"/>
          <w:color w:val="auto"/>
          <w:szCs w:val="24"/>
        </w:rPr>
        <w:t>Additional</w:t>
      </w:r>
      <w:r w:rsidR="00E97F51" w:rsidRPr="0028115C">
        <w:rPr>
          <w:rFonts w:ascii="Calibri" w:hAnsi="Calibri"/>
          <w:color w:val="auto"/>
          <w:szCs w:val="24"/>
        </w:rPr>
        <w:t xml:space="preserve"> conditions supported in the </w:t>
      </w:r>
      <w:r w:rsidR="00C216A5">
        <w:rPr>
          <w:rFonts w:ascii="Calibri" w:hAnsi="Calibri"/>
          <w:color w:val="auto"/>
          <w:szCs w:val="24"/>
        </w:rPr>
        <w:t>Disability Evaluation System (</w:t>
      </w:r>
      <w:r w:rsidR="00E97F51" w:rsidRPr="0028115C">
        <w:rPr>
          <w:rFonts w:ascii="Calibri" w:hAnsi="Calibri"/>
          <w:color w:val="auto"/>
          <w:szCs w:val="24"/>
        </w:rPr>
        <w:t>DES</w:t>
      </w:r>
      <w:r w:rsidR="00C216A5">
        <w:rPr>
          <w:rFonts w:ascii="Calibri" w:hAnsi="Calibri"/>
          <w:color w:val="auto"/>
          <w:szCs w:val="24"/>
        </w:rPr>
        <w:t>)</w:t>
      </w:r>
      <w:r w:rsidR="00E97F51" w:rsidRPr="0028115C">
        <w:rPr>
          <w:rFonts w:ascii="Calibri" w:hAnsi="Calibri"/>
          <w:color w:val="auto"/>
          <w:szCs w:val="24"/>
        </w:rPr>
        <w:t xml:space="preserve"> packet are discussed below, but were not forwarded</w:t>
      </w:r>
      <w:r w:rsidR="00303501" w:rsidRPr="0028115C">
        <w:rPr>
          <w:rFonts w:ascii="Calibri" w:hAnsi="Calibri"/>
          <w:color w:val="auto"/>
          <w:szCs w:val="24"/>
        </w:rPr>
        <w:t xml:space="preserve"> for </w:t>
      </w:r>
      <w:r w:rsidR="00C216A5">
        <w:rPr>
          <w:rFonts w:ascii="Calibri" w:hAnsi="Calibri"/>
          <w:color w:val="auto"/>
          <w:szCs w:val="24"/>
        </w:rPr>
        <w:t>Physical Evaluation Board (</w:t>
      </w:r>
      <w:r w:rsidR="00303501" w:rsidRPr="0028115C">
        <w:rPr>
          <w:rFonts w:ascii="Calibri" w:hAnsi="Calibri"/>
          <w:color w:val="auto"/>
          <w:szCs w:val="24"/>
        </w:rPr>
        <w:t>PEB</w:t>
      </w:r>
      <w:r w:rsidR="00C216A5">
        <w:rPr>
          <w:rFonts w:ascii="Calibri" w:hAnsi="Calibri"/>
          <w:color w:val="auto"/>
          <w:szCs w:val="24"/>
        </w:rPr>
        <w:t>)</w:t>
      </w:r>
      <w:r w:rsidR="00303501" w:rsidRPr="0028115C">
        <w:rPr>
          <w:rFonts w:ascii="Calibri" w:hAnsi="Calibri"/>
          <w:color w:val="auto"/>
          <w:szCs w:val="24"/>
        </w:rPr>
        <w:t xml:space="preserve"> adjudication</w:t>
      </w:r>
      <w:r w:rsidR="00E97F51" w:rsidRPr="0028115C">
        <w:rPr>
          <w:rFonts w:ascii="Calibri" w:hAnsi="Calibri"/>
          <w:color w:val="auto"/>
          <w:szCs w:val="24"/>
        </w:rPr>
        <w:t xml:space="preserve">.  The PEB </w:t>
      </w:r>
      <w:r w:rsidR="001D5F46">
        <w:rPr>
          <w:rFonts w:ascii="Calibri" w:hAnsi="Calibri"/>
          <w:color w:val="auto"/>
          <w:szCs w:val="24"/>
        </w:rPr>
        <w:t>adjudicated</w:t>
      </w:r>
      <w:r w:rsidR="00E97F51" w:rsidRPr="0028115C">
        <w:rPr>
          <w:rFonts w:ascii="Calibri" w:hAnsi="Calibri"/>
          <w:color w:val="auto"/>
          <w:szCs w:val="24"/>
        </w:rPr>
        <w:t xml:space="preserve"> the PTSD condition </w:t>
      </w:r>
      <w:r w:rsidR="001D5F46">
        <w:rPr>
          <w:rFonts w:ascii="Calibri" w:hAnsi="Calibri"/>
          <w:color w:val="auto"/>
          <w:szCs w:val="24"/>
        </w:rPr>
        <w:t>as unfitting and</w:t>
      </w:r>
      <w:r w:rsidR="00E97F51" w:rsidRPr="0028115C">
        <w:rPr>
          <w:rFonts w:ascii="Calibri" w:hAnsi="Calibri"/>
          <w:color w:val="auto"/>
          <w:szCs w:val="24"/>
        </w:rPr>
        <w:t xml:space="preserve"> rated at </w:t>
      </w:r>
      <w:r w:rsidR="00E97F51" w:rsidRPr="001D5F46">
        <w:rPr>
          <w:rFonts w:asciiTheme="minorHAnsi" w:hAnsiTheme="minorHAnsi"/>
          <w:color w:val="auto"/>
        </w:rPr>
        <w:t xml:space="preserve">10% </w:t>
      </w:r>
      <w:r w:rsidR="001D5F46">
        <w:rPr>
          <w:rFonts w:asciiTheme="minorHAnsi" w:hAnsiTheme="minorHAnsi"/>
          <w:color w:val="auto"/>
        </w:rPr>
        <w:t xml:space="preserve">IAW </w:t>
      </w:r>
      <w:proofErr w:type="spellStart"/>
      <w:r w:rsidR="001D5F46" w:rsidRPr="001D5F46">
        <w:rPr>
          <w:rFonts w:asciiTheme="minorHAnsi" w:hAnsiTheme="minorHAnsi"/>
          <w:color w:val="auto"/>
        </w:rPr>
        <w:t>DoDI</w:t>
      </w:r>
      <w:proofErr w:type="spellEnd"/>
      <w:r w:rsidR="001D5F46" w:rsidRPr="001D5F46">
        <w:rPr>
          <w:rFonts w:asciiTheme="minorHAnsi" w:hAnsiTheme="minorHAnsi"/>
          <w:color w:val="auto"/>
        </w:rPr>
        <w:t xml:space="preserve"> 1332.39 (E2.A1.5)</w:t>
      </w:r>
      <w:r w:rsidR="00E97F51" w:rsidRPr="0028115C">
        <w:rPr>
          <w:rFonts w:ascii="Calibri" w:hAnsi="Calibri"/>
          <w:color w:val="auto"/>
          <w:szCs w:val="24"/>
        </w:rPr>
        <w:t xml:space="preserve">.  </w:t>
      </w:r>
      <w:r w:rsidR="00E97F51" w:rsidRPr="0028115C">
        <w:rPr>
          <w:rFonts w:asciiTheme="minorHAnsi" w:hAnsiTheme="minorHAnsi"/>
          <w:color w:val="auto"/>
        </w:rPr>
        <w:t xml:space="preserve">The CI </w:t>
      </w:r>
      <w:r w:rsidR="001D5F46">
        <w:rPr>
          <w:rFonts w:asciiTheme="minorHAnsi" w:hAnsiTheme="minorHAnsi"/>
          <w:color w:val="auto"/>
        </w:rPr>
        <w:t xml:space="preserve">made no </w:t>
      </w:r>
      <w:proofErr w:type="gramStart"/>
      <w:r w:rsidR="001D5F46">
        <w:rPr>
          <w:rFonts w:asciiTheme="minorHAnsi" w:hAnsiTheme="minorHAnsi"/>
          <w:color w:val="auto"/>
        </w:rPr>
        <w:t>appeals</w:t>
      </w:r>
      <w:proofErr w:type="gramEnd"/>
      <w:r w:rsidR="00E97F51" w:rsidRPr="0028115C">
        <w:rPr>
          <w:rFonts w:asciiTheme="minorHAnsi" w:hAnsiTheme="minorHAnsi"/>
          <w:color w:val="auto"/>
        </w:rPr>
        <w:t xml:space="preserve"> and was thus medically separated with a 10% disability rating</w:t>
      </w:r>
      <w:r w:rsidR="00E97F51" w:rsidRPr="00926AEF">
        <w:rPr>
          <w:rFonts w:asciiTheme="minorHAnsi" w:hAnsiTheme="minorHAnsi"/>
          <w:color w:val="auto"/>
        </w:rPr>
        <w:t>.</w:t>
      </w:r>
      <w:r w:rsidR="00E97F51">
        <w:rPr>
          <w:rFonts w:asciiTheme="minorHAnsi" w:hAnsiTheme="minorHAnsi"/>
          <w:color w:val="auto"/>
        </w:rPr>
        <w:t xml:space="preserve">  </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49265A" w:rsidRPr="00BC5EF4" w:rsidRDefault="002C6E5B" w:rsidP="00BC5EF4">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49265A" w:rsidRPr="0049265A">
        <w:rPr>
          <w:rFonts w:ascii="Calibri" w:hAnsi="Calibri"/>
          <w:color w:val="auto"/>
          <w:szCs w:val="24"/>
        </w:rPr>
        <w:t>The CI states: “A representative from Air Force Wounded Warriors informed me that they were contacting all combat-related discharges with diagnoses of PTSD to let us know that the DOD has decided that 10</w:t>
      </w:r>
      <w:proofErr w:type="gramStart"/>
      <w:r w:rsidR="0049265A" w:rsidRPr="0049265A">
        <w:rPr>
          <w:rFonts w:ascii="Calibri" w:hAnsi="Calibri"/>
          <w:color w:val="auto"/>
          <w:szCs w:val="24"/>
        </w:rPr>
        <w:t>%,</w:t>
      </w:r>
      <w:proofErr w:type="gramEnd"/>
      <w:r w:rsidR="0049265A" w:rsidRPr="0049265A">
        <w:rPr>
          <w:rFonts w:ascii="Calibri" w:hAnsi="Calibri"/>
          <w:color w:val="auto"/>
          <w:szCs w:val="24"/>
        </w:rPr>
        <w:t xml:space="preserve"> is not acceptable and should be at least 50%, which is in line with the rating VA gives to PTSD. I was originally rated 10% by the DOD on 20 April 2007. I qualify for a PDBR reassessment based on Enclosure 3 Section 2 of DoDI6040.44. June 2008.”</w:t>
      </w:r>
      <w:r w:rsidR="003C373A">
        <w:rPr>
          <w:rFonts w:ascii="Calibri" w:hAnsi="Calibri"/>
          <w:color w:val="auto"/>
          <w:szCs w:val="24"/>
        </w:rPr>
        <w:t xml:space="preserve">  He also notes “TMJ Disorder – </w:t>
      </w:r>
      <w:proofErr w:type="spellStart"/>
      <w:r w:rsidR="003C373A">
        <w:rPr>
          <w:rFonts w:ascii="Calibri" w:hAnsi="Calibri"/>
          <w:color w:val="auto"/>
          <w:szCs w:val="24"/>
        </w:rPr>
        <w:t>Tempormandibular</w:t>
      </w:r>
      <w:proofErr w:type="spellEnd"/>
      <w:r w:rsidR="003C373A">
        <w:rPr>
          <w:rFonts w:ascii="Calibri" w:hAnsi="Calibri"/>
          <w:color w:val="auto"/>
          <w:szCs w:val="24"/>
        </w:rPr>
        <w:t xml:space="preserve"> {sic} dysfunction; Right Shoulder </w:t>
      </w:r>
      <w:proofErr w:type="spellStart"/>
      <w:r w:rsidR="003C373A">
        <w:rPr>
          <w:rFonts w:ascii="Calibri" w:hAnsi="Calibri"/>
          <w:color w:val="auto"/>
          <w:szCs w:val="24"/>
        </w:rPr>
        <w:t>acromioclavicular</w:t>
      </w:r>
      <w:proofErr w:type="spellEnd"/>
      <w:r w:rsidR="003C373A">
        <w:rPr>
          <w:rFonts w:ascii="Calibri" w:hAnsi="Calibri"/>
          <w:color w:val="auto"/>
          <w:szCs w:val="24"/>
        </w:rPr>
        <w:t xml:space="preserve"> degeneration; Right ankle pain.”</w:t>
      </w:r>
      <w:r w:rsidR="00BC5EF4">
        <w:rPr>
          <w:rFonts w:ascii="Calibri" w:hAnsi="Calibri"/>
          <w:color w:val="auto"/>
          <w:szCs w:val="24"/>
        </w:rPr>
        <w:t xml:space="preserve">  </w:t>
      </w:r>
      <w:r w:rsidR="00BC5EF4" w:rsidRPr="00BC5EF4">
        <w:rPr>
          <w:rFonts w:ascii="Calibri" w:hAnsi="Calibri"/>
          <w:color w:val="auto"/>
          <w:szCs w:val="24"/>
        </w:rPr>
        <w:t xml:space="preserve">This case is court remanded under the </w:t>
      </w:r>
      <w:r w:rsidR="00BC5EF4" w:rsidRPr="00BC5EF4">
        <w:rPr>
          <w:rFonts w:ascii="Calibri" w:hAnsi="Calibri"/>
          <w:i/>
          <w:color w:val="auto"/>
          <w:szCs w:val="24"/>
        </w:rPr>
        <w:t>Sabo et al v. United States</w:t>
      </w:r>
      <w:r w:rsidR="00BC5EF4" w:rsidRPr="00BC5EF4">
        <w:rPr>
          <w:rFonts w:ascii="Calibri" w:hAnsi="Calibri"/>
          <w:color w:val="auto"/>
          <w:szCs w:val="24"/>
        </w:rPr>
        <w:t xml:space="preserve"> class action suit.</w:t>
      </w:r>
    </w:p>
    <w:p w:rsidR="00A90D55" w:rsidRPr="00D91DA6" w:rsidRDefault="008B5D31" w:rsidP="00841243">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542C9A" w:rsidRDefault="002C6E5B" w:rsidP="00875F2D">
      <w:pPr>
        <w:tabs>
          <w:tab w:val="left" w:pos="288"/>
          <w:tab w:val="left" w:pos="4752"/>
        </w:tabs>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520"/>
        <w:gridCol w:w="720"/>
        <w:gridCol w:w="810"/>
        <w:gridCol w:w="2340"/>
        <w:gridCol w:w="360"/>
        <w:gridCol w:w="720"/>
        <w:gridCol w:w="810"/>
        <w:gridCol w:w="990"/>
      </w:tblGrid>
      <w:tr w:rsidR="00684E2B" w:rsidRPr="002A685E" w:rsidTr="001008C1">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3C373A">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77581E">
              <w:rPr>
                <w:rFonts w:cs="Times New Roman"/>
                <w:b/>
                <w:color w:val="002060"/>
                <w:sz w:val="20"/>
                <w:szCs w:val="20"/>
              </w:rPr>
              <w:t>200</w:t>
            </w:r>
            <w:r w:rsidR="008B6BB4">
              <w:rPr>
                <w:rFonts w:cs="Times New Roman"/>
                <w:b/>
                <w:color w:val="002060"/>
                <w:sz w:val="20"/>
                <w:szCs w:val="20"/>
              </w:rPr>
              <w:t>7</w:t>
            </w:r>
            <w:r w:rsidR="003C373A">
              <w:rPr>
                <w:rFonts w:cs="Times New Roman"/>
                <w:b/>
                <w:color w:val="002060"/>
                <w:sz w:val="20"/>
                <w:szCs w:val="20"/>
              </w:rPr>
              <w:t>0420</w:t>
            </w:r>
          </w:p>
        </w:tc>
        <w:tc>
          <w:tcPr>
            <w:tcW w:w="5220" w:type="dxa"/>
            <w:gridSpan w:val="5"/>
            <w:tcBorders>
              <w:left w:val="thinThickThinSmallGap" w:sz="24" w:space="0" w:color="auto"/>
            </w:tcBorders>
            <w:shd w:val="clear" w:color="auto" w:fill="C6D9F1" w:themeFill="text2" w:themeFillTint="33"/>
          </w:tcPr>
          <w:p w:rsidR="00684E2B" w:rsidRPr="002A685E" w:rsidRDefault="00684E2B" w:rsidP="00D80EA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D80EAF">
              <w:rPr>
                <w:rFonts w:cs="Times New Roman"/>
                <w:b/>
                <w:color w:val="002060"/>
                <w:sz w:val="20"/>
                <w:szCs w:val="20"/>
              </w:rPr>
              <w:t>2</w:t>
            </w:r>
            <w:r w:rsidRPr="002A685E">
              <w:rPr>
                <w:rFonts w:cs="Times New Roman"/>
                <w:b/>
                <w:color w:val="002060"/>
                <w:sz w:val="20"/>
                <w:szCs w:val="20"/>
              </w:rPr>
              <w:t xml:space="preserve"> Mo. </w:t>
            </w:r>
            <w:r w:rsidR="0049265A">
              <w:rPr>
                <w:rFonts w:cs="Times New Roman"/>
                <w:b/>
                <w:color w:val="002060"/>
                <w:sz w:val="20"/>
                <w:szCs w:val="20"/>
              </w:rPr>
              <w:t>After</w:t>
            </w:r>
            <w:r w:rsidR="0077581E">
              <w:rPr>
                <w:rFonts w:cs="Times New Roman"/>
                <w:b/>
                <w:color w:val="002060"/>
                <w:sz w:val="20"/>
                <w:szCs w:val="20"/>
              </w:rPr>
              <w:t xml:space="preserve"> to</w:t>
            </w:r>
            <w:r w:rsidRPr="002A685E">
              <w:rPr>
                <w:rFonts w:cs="Times New Roman"/>
                <w:b/>
                <w:color w:val="002060"/>
                <w:sz w:val="20"/>
                <w:szCs w:val="20"/>
              </w:rPr>
              <w:t xml:space="preserve"> Separation)</w:t>
            </w:r>
            <w:r w:rsidR="000C3C13" w:rsidRPr="002A685E">
              <w:rPr>
                <w:rFonts w:cs="Times New Roman"/>
                <w:b/>
                <w:color w:val="002060"/>
                <w:sz w:val="20"/>
                <w:szCs w:val="20"/>
              </w:rPr>
              <w:t xml:space="preserve"> – All Effective </w:t>
            </w:r>
            <w:r w:rsidR="0049265A" w:rsidRPr="0049265A">
              <w:rPr>
                <w:rFonts w:cs="Times New Roman"/>
                <w:b/>
                <w:color w:val="002060"/>
                <w:sz w:val="20"/>
                <w:szCs w:val="20"/>
              </w:rPr>
              <w:t>20070612</w:t>
            </w:r>
          </w:p>
        </w:tc>
      </w:tr>
      <w:tr w:rsidR="002B2645" w:rsidRPr="002A685E" w:rsidTr="001008C1">
        <w:trPr>
          <w:trHeight w:val="233"/>
        </w:trPr>
        <w:tc>
          <w:tcPr>
            <w:tcW w:w="25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77581E" w:rsidRPr="002A685E" w:rsidTr="001008C1">
        <w:trPr>
          <w:trHeight w:val="152"/>
        </w:trPr>
        <w:tc>
          <w:tcPr>
            <w:tcW w:w="2520" w:type="dxa"/>
            <w:shd w:val="clear" w:color="auto" w:fill="FFFFFF" w:themeFill="background1"/>
          </w:tcPr>
          <w:p w:rsidR="0077581E" w:rsidRPr="00542C9A" w:rsidRDefault="0077581E" w:rsidP="006B39F3">
            <w:pPr>
              <w:pStyle w:val="ListParagraph"/>
              <w:spacing w:after="0" w:line="240" w:lineRule="auto"/>
              <w:ind w:left="0"/>
              <w:rPr>
                <w:rFonts w:cs="Times New Roman"/>
                <w:sz w:val="18"/>
                <w:szCs w:val="18"/>
              </w:rPr>
            </w:pPr>
            <w:r>
              <w:rPr>
                <w:rFonts w:cs="Times New Roman"/>
                <w:sz w:val="18"/>
                <w:szCs w:val="18"/>
              </w:rPr>
              <w:t>PTSD</w:t>
            </w:r>
            <w:r w:rsidR="003C373A">
              <w:rPr>
                <w:rFonts w:cs="Times New Roman"/>
                <w:sz w:val="18"/>
                <w:szCs w:val="18"/>
              </w:rPr>
              <w:t xml:space="preserve"> with Anxiety Disorder</w:t>
            </w:r>
          </w:p>
        </w:tc>
        <w:tc>
          <w:tcPr>
            <w:tcW w:w="720" w:type="dxa"/>
            <w:shd w:val="clear" w:color="auto" w:fill="FFFFFF" w:themeFill="background1"/>
          </w:tcPr>
          <w:p w:rsidR="0077581E" w:rsidRPr="00542C9A" w:rsidRDefault="0077581E" w:rsidP="006B39F3">
            <w:pPr>
              <w:pStyle w:val="ListParagraph"/>
              <w:spacing w:after="0" w:line="240" w:lineRule="auto"/>
              <w:ind w:left="0"/>
              <w:rPr>
                <w:rFonts w:cs="Times New Roman"/>
                <w:sz w:val="18"/>
                <w:szCs w:val="18"/>
              </w:rPr>
            </w:pPr>
            <w:r>
              <w:rPr>
                <w:rFonts w:cs="Times New Roman"/>
                <w:sz w:val="18"/>
                <w:szCs w:val="18"/>
              </w:rPr>
              <w:t>9411</w:t>
            </w:r>
          </w:p>
        </w:tc>
        <w:tc>
          <w:tcPr>
            <w:tcW w:w="810" w:type="dxa"/>
            <w:tcBorders>
              <w:right w:val="thinThickThinSmallGap" w:sz="24" w:space="0" w:color="auto"/>
            </w:tcBorders>
            <w:shd w:val="clear" w:color="auto" w:fill="FFFFFF" w:themeFill="background1"/>
          </w:tcPr>
          <w:p w:rsidR="0077581E" w:rsidRPr="00542C9A" w:rsidRDefault="0077581E" w:rsidP="006B39F3">
            <w:pPr>
              <w:pStyle w:val="ListParagraph"/>
              <w:spacing w:after="0" w:line="240" w:lineRule="auto"/>
              <w:ind w:left="0"/>
              <w:jc w:val="center"/>
              <w:rPr>
                <w:rFonts w:cs="Times New Roman"/>
                <w:sz w:val="18"/>
                <w:szCs w:val="18"/>
              </w:rPr>
            </w:pPr>
            <w:r>
              <w:rPr>
                <w:rFonts w:cs="Times New Roman"/>
                <w:sz w:val="18"/>
                <w:szCs w:val="18"/>
              </w:rPr>
              <w:t>10%</w:t>
            </w:r>
          </w:p>
        </w:tc>
        <w:tc>
          <w:tcPr>
            <w:tcW w:w="2700" w:type="dxa"/>
            <w:gridSpan w:val="2"/>
            <w:tcBorders>
              <w:left w:val="thinThickThinSmallGap" w:sz="24" w:space="0" w:color="auto"/>
            </w:tcBorders>
            <w:shd w:val="clear" w:color="auto" w:fill="FFFFFF" w:themeFill="background1"/>
          </w:tcPr>
          <w:p w:rsidR="0077581E" w:rsidRPr="00542C9A" w:rsidRDefault="0077581E" w:rsidP="006B39F3">
            <w:pPr>
              <w:pStyle w:val="ListParagraph"/>
              <w:spacing w:after="0" w:line="240" w:lineRule="auto"/>
              <w:ind w:left="0"/>
              <w:rPr>
                <w:rFonts w:cs="Times New Roman"/>
                <w:sz w:val="18"/>
                <w:szCs w:val="18"/>
              </w:rPr>
            </w:pPr>
            <w:r>
              <w:rPr>
                <w:rFonts w:cs="Times New Roman"/>
                <w:sz w:val="18"/>
                <w:szCs w:val="18"/>
              </w:rPr>
              <w:t>PTSD</w:t>
            </w:r>
          </w:p>
        </w:tc>
        <w:tc>
          <w:tcPr>
            <w:tcW w:w="720" w:type="dxa"/>
            <w:shd w:val="clear" w:color="auto" w:fill="FFFFFF" w:themeFill="background1"/>
          </w:tcPr>
          <w:p w:rsidR="0077581E" w:rsidRPr="00542C9A" w:rsidRDefault="0077581E" w:rsidP="006B39F3">
            <w:pPr>
              <w:pStyle w:val="ListParagraph"/>
              <w:spacing w:after="0" w:line="240" w:lineRule="auto"/>
              <w:ind w:left="0"/>
              <w:jc w:val="center"/>
              <w:rPr>
                <w:rFonts w:cs="Times New Roman"/>
                <w:sz w:val="18"/>
                <w:szCs w:val="18"/>
              </w:rPr>
            </w:pPr>
            <w:r>
              <w:rPr>
                <w:rFonts w:cs="Times New Roman"/>
                <w:sz w:val="18"/>
                <w:szCs w:val="18"/>
              </w:rPr>
              <w:t>9411</w:t>
            </w:r>
          </w:p>
        </w:tc>
        <w:tc>
          <w:tcPr>
            <w:tcW w:w="810" w:type="dxa"/>
            <w:shd w:val="clear" w:color="auto" w:fill="FFFFFF" w:themeFill="background1"/>
          </w:tcPr>
          <w:p w:rsidR="0077581E" w:rsidRPr="00542C9A" w:rsidRDefault="008B6BB4" w:rsidP="006B39F3">
            <w:pPr>
              <w:pStyle w:val="ListParagraph"/>
              <w:spacing w:after="0" w:line="240" w:lineRule="auto"/>
              <w:ind w:left="0"/>
              <w:jc w:val="center"/>
              <w:rPr>
                <w:rFonts w:cs="Times New Roman"/>
                <w:sz w:val="18"/>
                <w:szCs w:val="18"/>
              </w:rPr>
            </w:pPr>
            <w:r>
              <w:rPr>
                <w:rFonts w:cs="Times New Roman"/>
                <w:sz w:val="18"/>
                <w:szCs w:val="18"/>
              </w:rPr>
              <w:t>5</w:t>
            </w:r>
            <w:r w:rsidR="0077581E">
              <w:rPr>
                <w:rFonts w:cs="Times New Roman"/>
                <w:sz w:val="18"/>
                <w:szCs w:val="18"/>
              </w:rPr>
              <w:t>0%</w:t>
            </w:r>
          </w:p>
        </w:tc>
        <w:tc>
          <w:tcPr>
            <w:tcW w:w="990" w:type="dxa"/>
            <w:shd w:val="clear" w:color="auto" w:fill="FFFFFF" w:themeFill="background1"/>
          </w:tcPr>
          <w:p w:rsidR="0077581E" w:rsidRPr="00542C9A" w:rsidRDefault="0049265A" w:rsidP="006B39F3">
            <w:pPr>
              <w:pStyle w:val="ListParagraph"/>
              <w:spacing w:after="0" w:line="240" w:lineRule="auto"/>
              <w:ind w:left="0"/>
              <w:jc w:val="center"/>
              <w:rPr>
                <w:rFonts w:cs="Times New Roman"/>
                <w:sz w:val="18"/>
                <w:szCs w:val="18"/>
              </w:rPr>
            </w:pPr>
            <w:r>
              <w:rPr>
                <w:rFonts w:cs="Times New Roman"/>
                <w:sz w:val="18"/>
                <w:szCs w:val="18"/>
              </w:rPr>
              <w:t>20070724</w:t>
            </w:r>
          </w:p>
        </w:tc>
      </w:tr>
      <w:tr w:rsidR="008B6BB4" w:rsidRPr="002A685E" w:rsidTr="00354375">
        <w:trPr>
          <w:trHeight w:val="125"/>
        </w:trPr>
        <w:tc>
          <w:tcPr>
            <w:tcW w:w="4050" w:type="dxa"/>
            <w:gridSpan w:val="3"/>
            <w:vMerge w:val="restart"/>
            <w:tcBorders>
              <w:right w:val="thinThickThinSmallGap" w:sz="24" w:space="0" w:color="auto"/>
            </w:tcBorders>
            <w:shd w:val="clear" w:color="auto" w:fill="FFFFFF" w:themeFill="background1"/>
          </w:tcPr>
          <w:p w:rsidR="008B6BB4" w:rsidRPr="00542C9A" w:rsidRDefault="008B6BB4" w:rsidP="00F37554">
            <w:pPr>
              <w:pStyle w:val="ListParagraph"/>
              <w:spacing w:after="0" w:line="240" w:lineRule="auto"/>
              <w:ind w:left="0"/>
              <w:jc w:val="center"/>
              <w:rPr>
                <w:rFonts w:cs="Times New Roman"/>
                <w:sz w:val="18"/>
                <w:szCs w:val="18"/>
              </w:rPr>
            </w:pPr>
            <w:r w:rsidRPr="00542C9A">
              <w:rPr>
                <w:rFonts w:eastAsiaTheme="minorEastAsia"/>
                <w:sz w:val="18"/>
                <w:szCs w:val="18"/>
              </w:rPr>
              <w:t xml:space="preserve">↓No Additional </w:t>
            </w:r>
            <w:r w:rsidR="00610EAC">
              <w:rPr>
                <w:rFonts w:eastAsiaTheme="minorEastAsia"/>
                <w:sz w:val="18"/>
                <w:szCs w:val="18"/>
              </w:rPr>
              <w:t>AF IMT 618</w:t>
            </w:r>
            <w:r w:rsidRPr="00542C9A">
              <w:rPr>
                <w:rFonts w:eastAsiaTheme="minorEastAsia"/>
                <w:sz w:val="18"/>
                <w:szCs w:val="18"/>
              </w:rPr>
              <w:t xml:space="preserve"> Entries.↓</w:t>
            </w:r>
          </w:p>
          <w:p w:rsidR="008B6BB4" w:rsidRDefault="008B6BB4" w:rsidP="00232F75">
            <w:pPr>
              <w:pStyle w:val="ListParagraph"/>
              <w:ind w:left="0"/>
              <w:jc w:val="center"/>
              <w:rPr>
                <w:rFonts w:eastAsiaTheme="minorEastAsia"/>
                <w:sz w:val="18"/>
                <w:szCs w:val="18"/>
              </w:rPr>
            </w:pPr>
          </w:p>
          <w:p w:rsidR="008B6BB4" w:rsidRPr="00542C9A" w:rsidRDefault="008B6BB4" w:rsidP="00232F75">
            <w:pPr>
              <w:pStyle w:val="ListParagraph"/>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8B6BB4" w:rsidRPr="00542C9A" w:rsidRDefault="008B6BB4" w:rsidP="006B39F3">
            <w:pPr>
              <w:pStyle w:val="ListParagraph"/>
              <w:spacing w:after="0" w:line="240" w:lineRule="auto"/>
              <w:ind w:left="0"/>
              <w:rPr>
                <w:rFonts w:cs="Times New Roman"/>
                <w:sz w:val="18"/>
                <w:szCs w:val="18"/>
              </w:rPr>
            </w:pPr>
            <w:proofErr w:type="spellStart"/>
            <w:r>
              <w:rPr>
                <w:rFonts w:cs="Times New Roman"/>
                <w:sz w:val="18"/>
                <w:szCs w:val="18"/>
              </w:rPr>
              <w:t>Temp</w:t>
            </w:r>
            <w:r w:rsidR="003C373A">
              <w:rPr>
                <w:rFonts w:cs="Times New Roman"/>
                <w:sz w:val="18"/>
                <w:szCs w:val="18"/>
              </w:rPr>
              <w:t>o</w:t>
            </w:r>
            <w:r>
              <w:rPr>
                <w:rFonts w:cs="Times New Roman"/>
                <w:sz w:val="18"/>
                <w:szCs w:val="18"/>
              </w:rPr>
              <w:t>romandibular</w:t>
            </w:r>
            <w:proofErr w:type="spellEnd"/>
            <w:r>
              <w:rPr>
                <w:rFonts w:cs="Times New Roman"/>
                <w:sz w:val="18"/>
                <w:szCs w:val="18"/>
              </w:rPr>
              <w:t xml:space="preserve"> Dysfunction</w:t>
            </w:r>
          </w:p>
        </w:tc>
        <w:tc>
          <w:tcPr>
            <w:tcW w:w="720" w:type="dxa"/>
            <w:shd w:val="clear" w:color="auto" w:fill="FFFFFF" w:themeFill="background1"/>
          </w:tcPr>
          <w:p w:rsidR="008B6BB4" w:rsidRPr="00542C9A" w:rsidRDefault="008B6BB4" w:rsidP="006B39F3">
            <w:pPr>
              <w:pStyle w:val="ListParagraph"/>
              <w:spacing w:after="0" w:line="240" w:lineRule="auto"/>
              <w:ind w:left="0"/>
              <w:jc w:val="center"/>
              <w:rPr>
                <w:rFonts w:cs="Times New Roman"/>
                <w:sz w:val="18"/>
                <w:szCs w:val="18"/>
              </w:rPr>
            </w:pPr>
            <w:r>
              <w:rPr>
                <w:rFonts w:cs="Times New Roman"/>
                <w:sz w:val="18"/>
                <w:szCs w:val="18"/>
              </w:rPr>
              <w:t>9905</w:t>
            </w:r>
          </w:p>
        </w:tc>
        <w:tc>
          <w:tcPr>
            <w:tcW w:w="810" w:type="dxa"/>
            <w:shd w:val="clear" w:color="auto" w:fill="FFFFFF" w:themeFill="background1"/>
          </w:tcPr>
          <w:p w:rsidR="008B6BB4" w:rsidRPr="00542C9A" w:rsidRDefault="008B6BB4" w:rsidP="006B39F3">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B6BB4" w:rsidRPr="00542C9A" w:rsidRDefault="008B6BB4" w:rsidP="006B39F3">
            <w:pPr>
              <w:pStyle w:val="ListParagraph"/>
              <w:spacing w:after="0" w:line="240" w:lineRule="auto"/>
              <w:ind w:left="0"/>
              <w:jc w:val="center"/>
              <w:rPr>
                <w:rFonts w:cs="Times New Roman"/>
                <w:sz w:val="18"/>
                <w:szCs w:val="18"/>
              </w:rPr>
            </w:pPr>
            <w:r>
              <w:rPr>
                <w:rFonts w:cs="Times New Roman"/>
                <w:sz w:val="18"/>
                <w:szCs w:val="18"/>
              </w:rPr>
              <w:t>20070724</w:t>
            </w:r>
          </w:p>
        </w:tc>
      </w:tr>
      <w:tr w:rsidR="008B6BB4" w:rsidRPr="002A685E" w:rsidTr="00C23AF8">
        <w:trPr>
          <w:trHeight w:val="125"/>
        </w:trPr>
        <w:tc>
          <w:tcPr>
            <w:tcW w:w="4050" w:type="dxa"/>
            <w:gridSpan w:val="3"/>
            <w:vMerge/>
            <w:tcBorders>
              <w:right w:val="thinThickThinSmallGap" w:sz="24" w:space="0" w:color="auto"/>
            </w:tcBorders>
            <w:shd w:val="clear" w:color="auto" w:fill="FFFFFF" w:themeFill="background1"/>
          </w:tcPr>
          <w:p w:rsidR="008B6BB4" w:rsidRPr="00542C9A" w:rsidRDefault="008B6BB4" w:rsidP="00232F75">
            <w:pPr>
              <w:pStyle w:val="ListParagraph"/>
              <w:ind w:left="0"/>
              <w:jc w:val="center"/>
              <w:rPr>
                <w:rFonts w:cs="Times New Roman"/>
                <w:sz w:val="18"/>
                <w:szCs w:val="18"/>
              </w:rPr>
            </w:pPr>
          </w:p>
        </w:tc>
        <w:tc>
          <w:tcPr>
            <w:tcW w:w="2340" w:type="dxa"/>
            <w:tcBorders>
              <w:left w:val="thinThickThinSmallGap" w:sz="24" w:space="0" w:color="auto"/>
            </w:tcBorders>
            <w:shd w:val="clear" w:color="auto" w:fill="FFFFFF" w:themeFill="background1"/>
          </w:tcPr>
          <w:p w:rsidR="008B6BB4" w:rsidRDefault="008B6BB4" w:rsidP="006B39F3">
            <w:pPr>
              <w:pStyle w:val="ListParagraph"/>
              <w:spacing w:after="0" w:line="240" w:lineRule="auto"/>
              <w:ind w:left="0"/>
              <w:rPr>
                <w:rFonts w:cs="Times New Roman"/>
                <w:sz w:val="18"/>
                <w:szCs w:val="18"/>
              </w:rPr>
            </w:pPr>
            <w:r>
              <w:rPr>
                <w:rFonts w:cs="Times New Roman"/>
                <w:sz w:val="18"/>
                <w:szCs w:val="18"/>
              </w:rPr>
              <w:t>Right Shoulder Condition</w:t>
            </w:r>
          </w:p>
        </w:tc>
        <w:tc>
          <w:tcPr>
            <w:tcW w:w="1080" w:type="dxa"/>
            <w:gridSpan w:val="2"/>
            <w:shd w:val="clear" w:color="auto" w:fill="FFFFFF" w:themeFill="background1"/>
          </w:tcPr>
          <w:p w:rsidR="008B6BB4" w:rsidRDefault="008B6BB4" w:rsidP="006B39F3">
            <w:pPr>
              <w:pStyle w:val="ListParagraph"/>
              <w:spacing w:after="0" w:line="240" w:lineRule="auto"/>
              <w:ind w:left="0"/>
              <w:jc w:val="center"/>
              <w:rPr>
                <w:rFonts w:cs="Times New Roman"/>
                <w:sz w:val="18"/>
                <w:szCs w:val="18"/>
              </w:rPr>
            </w:pPr>
            <w:r>
              <w:rPr>
                <w:rFonts w:cs="Times New Roman"/>
                <w:sz w:val="18"/>
                <w:szCs w:val="18"/>
              </w:rPr>
              <w:t>5099-5024</w:t>
            </w:r>
          </w:p>
        </w:tc>
        <w:tc>
          <w:tcPr>
            <w:tcW w:w="810" w:type="dxa"/>
            <w:shd w:val="clear" w:color="auto" w:fill="FFFFFF" w:themeFill="background1"/>
          </w:tcPr>
          <w:p w:rsidR="008B6BB4" w:rsidRPr="00542C9A" w:rsidRDefault="008B6BB4" w:rsidP="008B5FC6">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B6BB4" w:rsidRPr="00542C9A" w:rsidRDefault="008B6BB4" w:rsidP="008B5FC6">
            <w:pPr>
              <w:pStyle w:val="ListParagraph"/>
              <w:spacing w:after="0" w:line="240" w:lineRule="auto"/>
              <w:ind w:left="0"/>
              <w:jc w:val="center"/>
              <w:rPr>
                <w:rFonts w:cs="Times New Roman"/>
                <w:sz w:val="18"/>
                <w:szCs w:val="18"/>
              </w:rPr>
            </w:pPr>
            <w:r>
              <w:rPr>
                <w:rFonts w:cs="Times New Roman"/>
                <w:sz w:val="18"/>
                <w:szCs w:val="18"/>
              </w:rPr>
              <w:t>20070724</w:t>
            </w:r>
          </w:p>
        </w:tc>
      </w:tr>
      <w:tr w:rsidR="008B6BB4" w:rsidRPr="002A685E" w:rsidTr="00492EF1">
        <w:trPr>
          <w:trHeight w:val="206"/>
        </w:trPr>
        <w:tc>
          <w:tcPr>
            <w:tcW w:w="4050" w:type="dxa"/>
            <w:gridSpan w:val="3"/>
            <w:vMerge/>
            <w:tcBorders>
              <w:right w:val="thinThickThinSmallGap" w:sz="24" w:space="0" w:color="auto"/>
            </w:tcBorders>
            <w:shd w:val="clear" w:color="auto" w:fill="FFFFFF" w:themeFill="background1"/>
          </w:tcPr>
          <w:p w:rsidR="008B6BB4" w:rsidRPr="00542C9A" w:rsidRDefault="008B6BB4" w:rsidP="00232F75">
            <w:pPr>
              <w:pStyle w:val="ListParagraph"/>
              <w:spacing w:after="0" w:line="240" w:lineRule="auto"/>
              <w:ind w:left="0"/>
              <w:jc w:val="center"/>
              <w:rPr>
                <w:rFonts w:cs="Times New Roman"/>
                <w:sz w:val="18"/>
                <w:szCs w:val="18"/>
              </w:rPr>
            </w:pPr>
          </w:p>
        </w:tc>
        <w:tc>
          <w:tcPr>
            <w:tcW w:w="2340" w:type="dxa"/>
            <w:tcBorders>
              <w:left w:val="thinThickThinSmallGap" w:sz="24" w:space="0" w:color="auto"/>
            </w:tcBorders>
            <w:shd w:val="clear" w:color="auto" w:fill="FFFFFF" w:themeFill="background1"/>
          </w:tcPr>
          <w:p w:rsidR="008B6BB4" w:rsidRPr="00473D5C" w:rsidRDefault="008B6BB4" w:rsidP="00492EF1">
            <w:pPr>
              <w:pStyle w:val="ListParagraph"/>
              <w:spacing w:after="0" w:line="240" w:lineRule="exact"/>
              <w:ind w:left="0"/>
              <w:rPr>
                <w:rFonts w:cs="Times New Roman"/>
                <w:sz w:val="18"/>
                <w:szCs w:val="18"/>
              </w:rPr>
            </w:pPr>
            <w:r>
              <w:rPr>
                <w:rFonts w:cs="Times New Roman"/>
                <w:sz w:val="18"/>
                <w:szCs w:val="18"/>
              </w:rPr>
              <w:t>Right Ankle Strain</w:t>
            </w:r>
          </w:p>
        </w:tc>
        <w:tc>
          <w:tcPr>
            <w:tcW w:w="1080" w:type="dxa"/>
            <w:gridSpan w:val="2"/>
            <w:shd w:val="clear" w:color="auto" w:fill="FFFFFF" w:themeFill="background1"/>
          </w:tcPr>
          <w:p w:rsidR="008B6BB4" w:rsidRPr="00473D5C" w:rsidRDefault="008B6BB4" w:rsidP="00492EF1">
            <w:pPr>
              <w:pStyle w:val="ListParagraph"/>
              <w:spacing w:after="0" w:line="240" w:lineRule="exact"/>
              <w:ind w:left="0"/>
              <w:jc w:val="center"/>
              <w:rPr>
                <w:rFonts w:cs="Times New Roman"/>
                <w:sz w:val="18"/>
                <w:szCs w:val="18"/>
              </w:rPr>
            </w:pPr>
            <w:r>
              <w:rPr>
                <w:rFonts w:cs="Times New Roman"/>
                <w:sz w:val="18"/>
                <w:szCs w:val="18"/>
              </w:rPr>
              <w:t>5271-5024</w:t>
            </w:r>
          </w:p>
        </w:tc>
        <w:tc>
          <w:tcPr>
            <w:tcW w:w="810" w:type="dxa"/>
            <w:shd w:val="clear" w:color="auto" w:fill="FFFFFF" w:themeFill="background1"/>
          </w:tcPr>
          <w:p w:rsidR="008B6BB4" w:rsidRPr="00473D5C" w:rsidRDefault="008B6BB4" w:rsidP="00492EF1">
            <w:pPr>
              <w:pStyle w:val="ListParagraph"/>
              <w:spacing w:after="0" w:line="24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8B6BB4" w:rsidRDefault="008B6BB4" w:rsidP="00492EF1">
            <w:pPr>
              <w:pStyle w:val="ListParagraph"/>
              <w:spacing w:after="0" w:line="240" w:lineRule="exact"/>
              <w:ind w:left="0"/>
              <w:jc w:val="center"/>
              <w:rPr>
                <w:rFonts w:cs="Times New Roman"/>
                <w:sz w:val="18"/>
                <w:szCs w:val="18"/>
              </w:rPr>
            </w:pPr>
            <w:r>
              <w:rPr>
                <w:rFonts w:cs="Times New Roman"/>
                <w:sz w:val="18"/>
                <w:szCs w:val="18"/>
              </w:rPr>
              <w:t>20070724</w:t>
            </w:r>
          </w:p>
        </w:tc>
      </w:tr>
      <w:tr w:rsidR="008B6BB4" w:rsidRPr="002A685E" w:rsidTr="001008C1">
        <w:trPr>
          <w:trHeight w:val="242"/>
        </w:trPr>
        <w:tc>
          <w:tcPr>
            <w:tcW w:w="4050" w:type="dxa"/>
            <w:gridSpan w:val="3"/>
            <w:tcBorders>
              <w:right w:val="thinThickThinSmallGap" w:sz="24" w:space="0" w:color="auto"/>
            </w:tcBorders>
            <w:shd w:val="clear" w:color="auto" w:fill="C6D9F1" w:themeFill="text2" w:themeFillTint="33"/>
          </w:tcPr>
          <w:p w:rsidR="008B6BB4" w:rsidRPr="002A685E" w:rsidRDefault="008B6BB4" w:rsidP="00B653B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1</w:t>
            </w:r>
            <w:r w:rsidRPr="002A685E">
              <w:rPr>
                <w:rFonts w:cs="Times New Roman"/>
                <w:b/>
                <w:color w:val="002060"/>
                <w:sz w:val="20"/>
                <w:szCs w:val="20"/>
              </w:rPr>
              <w:t>0%</w:t>
            </w:r>
          </w:p>
        </w:tc>
        <w:tc>
          <w:tcPr>
            <w:tcW w:w="5220" w:type="dxa"/>
            <w:gridSpan w:val="5"/>
            <w:tcBorders>
              <w:left w:val="thinThickThinSmallGap" w:sz="24" w:space="0" w:color="auto"/>
            </w:tcBorders>
            <w:shd w:val="clear" w:color="auto" w:fill="C6D9F1" w:themeFill="text2" w:themeFillTint="33"/>
          </w:tcPr>
          <w:p w:rsidR="008B6BB4" w:rsidRPr="002A685E" w:rsidRDefault="008B6BB4" w:rsidP="00B653B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Pr>
                <w:rFonts w:cs="Times New Roman"/>
                <w:b/>
                <w:color w:val="002060"/>
                <w:sz w:val="20"/>
                <w:szCs w:val="20"/>
              </w:rPr>
              <w:t>6</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542C9A" w:rsidRDefault="002C6E5B" w:rsidP="002C6E5B">
      <w:pPr>
        <w:tabs>
          <w:tab w:val="left" w:pos="288"/>
          <w:tab w:val="left" w:pos="4752"/>
        </w:tabs>
        <w:spacing w:line="240" w:lineRule="exact"/>
        <w:jc w:val="both"/>
        <w:rPr>
          <w:rFonts w:asciiTheme="minorHAnsi" w:hAnsiTheme="minorHAnsi"/>
          <w:color w:val="auto"/>
          <w:szCs w:val="24"/>
        </w:rPr>
      </w:pPr>
      <w:r w:rsidRPr="0099062C">
        <w:rPr>
          <w:rFonts w:asciiTheme="minorHAnsi" w:hAnsiTheme="minorHAnsi"/>
          <w:color w:val="auto"/>
          <w:szCs w:val="24"/>
          <w:u w:val="single"/>
        </w:rPr>
        <w:t>ANALYSIS SUMMARY</w:t>
      </w:r>
      <w:r w:rsidRPr="0099062C">
        <w:rPr>
          <w:rFonts w:asciiTheme="minorHAnsi" w:hAnsiTheme="minorHAnsi"/>
          <w:color w:val="auto"/>
          <w:szCs w:val="24"/>
        </w:rPr>
        <w:t>:</w:t>
      </w:r>
    </w:p>
    <w:p w:rsidR="002C6E5B" w:rsidRPr="00542C9A" w:rsidRDefault="002C6E5B" w:rsidP="002C6E5B">
      <w:pPr>
        <w:tabs>
          <w:tab w:val="left" w:pos="288"/>
          <w:tab w:val="left" w:pos="4752"/>
        </w:tabs>
        <w:spacing w:line="240" w:lineRule="exact"/>
        <w:jc w:val="both"/>
        <w:rPr>
          <w:rFonts w:asciiTheme="minorHAnsi" w:hAnsiTheme="minorHAnsi"/>
          <w:color w:val="auto"/>
          <w:szCs w:val="24"/>
        </w:rPr>
      </w:pPr>
    </w:p>
    <w:p w:rsidR="00F750A2" w:rsidRPr="0028115C" w:rsidRDefault="00F750A2" w:rsidP="00BC5EF4">
      <w:pPr>
        <w:tabs>
          <w:tab w:val="left" w:pos="288"/>
          <w:tab w:val="left" w:pos="4752"/>
        </w:tabs>
        <w:spacing w:line="240" w:lineRule="exact"/>
        <w:jc w:val="both"/>
        <w:rPr>
          <w:rFonts w:asciiTheme="minorHAnsi" w:hAnsiTheme="minorHAnsi"/>
          <w:color w:val="auto"/>
          <w:szCs w:val="24"/>
        </w:rPr>
      </w:pPr>
      <w:proofErr w:type="gramStart"/>
      <w:r w:rsidRPr="0028115C">
        <w:rPr>
          <w:rFonts w:asciiTheme="minorHAnsi" w:hAnsiTheme="minorHAnsi"/>
          <w:color w:val="auto"/>
          <w:szCs w:val="24"/>
          <w:u w:val="single"/>
        </w:rPr>
        <w:t>PTSD Rating Recommendation</w:t>
      </w:r>
      <w:r w:rsidRPr="0028115C">
        <w:rPr>
          <w:rFonts w:asciiTheme="minorHAnsi" w:hAnsiTheme="minorHAnsi"/>
          <w:color w:val="auto"/>
          <w:szCs w:val="24"/>
        </w:rPr>
        <w:t>.</w:t>
      </w:r>
      <w:proofErr w:type="gramEnd"/>
      <w:r w:rsidRPr="0028115C">
        <w:rPr>
          <w:rFonts w:asciiTheme="minorHAnsi" w:hAnsiTheme="minorHAnsi"/>
          <w:color w:val="auto"/>
          <w:szCs w:val="24"/>
        </w:rPr>
        <w:t xml:space="preserve">  </w:t>
      </w:r>
      <w:r w:rsidR="0028115C" w:rsidRPr="0028115C">
        <w:rPr>
          <w:rFonts w:asciiTheme="minorHAnsi" w:hAnsiTheme="minorHAnsi"/>
          <w:color w:val="auto"/>
          <w:szCs w:val="24"/>
        </w:rPr>
        <w:t xml:space="preserve">The PEB rating, as noted above, was derived from </w:t>
      </w:r>
      <w:proofErr w:type="spellStart"/>
      <w:r w:rsidR="0028115C" w:rsidRPr="0028115C">
        <w:rPr>
          <w:rFonts w:asciiTheme="minorHAnsi" w:hAnsiTheme="minorHAnsi"/>
          <w:color w:val="auto"/>
          <w:szCs w:val="24"/>
        </w:rPr>
        <w:t>DoDI</w:t>
      </w:r>
      <w:proofErr w:type="spellEnd"/>
      <w:r w:rsidR="0028115C" w:rsidRPr="0028115C">
        <w:rPr>
          <w:rFonts w:asciiTheme="minorHAnsi" w:hAnsiTheme="minorHAnsi"/>
          <w:color w:val="auto"/>
          <w:szCs w:val="24"/>
        </w:rPr>
        <w:t xml:space="preserve"> 1332.39 and preceded the promulgation of the </w:t>
      </w:r>
      <w:r w:rsidR="00C216A5">
        <w:rPr>
          <w:rFonts w:asciiTheme="minorHAnsi" w:hAnsiTheme="minorHAnsi"/>
          <w:color w:val="auto"/>
          <w:szCs w:val="24"/>
        </w:rPr>
        <w:t>National Defense Authorization Act (</w:t>
      </w:r>
      <w:r w:rsidR="0028115C" w:rsidRPr="0028115C">
        <w:rPr>
          <w:rFonts w:asciiTheme="minorHAnsi" w:hAnsiTheme="minorHAnsi"/>
          <w:color w:val="auto"/>
          <w:szCs w:val="24"/>
        </w:rPr>
        <w:t>NDAA</w:t>
      </w:r>
      <w:r w:rsidR="00C216A5">
        <w:rPr>
          <w:rFonts w:asciiTheme="minorHAnsi" w:hAnsiTheme="minorHAnsi"/>
          <w:color w:val="auto"/>
          <w:szCs w:val="24"/>
        </w:rPr>
        <w:t>)</w:t>
      </w:r>
      <w:r w:rsidR="0028115C" w:rsidRPr="0028115C">
        <w:rPr>
          <w:rFonts w:asciiTheme="minorHAnsi" w:hAnsiTheme="minorHAnsi"/>
          <w:color w:val="auto"/>
          <w:szCs w:val="24"/>
        </w:rPr>
        <w:t xml:space="preserve"> 2008 mandate for DOD adherence to VASRD §4.129.</w:t>
      </w:r>
      <w:r w:rsidRPr="0028115C">
        <w:rPr>
          <w:rFonts w:asciiTheme="minorHAnsi" w:hAnsiTheme="minorHAnsi"/>
          <w:color w:val="auto"/>
          <w:szCs w:val="24"/>
        </w:rPr>
        <w:t xml:space="preserve">  IAW </w:t>
      </w:r>
      <w:proofErr w:type="spellStart"/>
      <w:r w:rsidRPr="0028115C">
        <w:rPr>
          <w:rFonts w:asciiTheme="minorHAnsi" w:hAnsiTheme="minorHAnsi"/>
          <w:color w:val="auto"/>
          <w:szCs w:val="24"/>
        </w:rPr>
        <w:t>DoDI</w:t>
      </w:r>
      <w:proofErr w:type="spellEnd"/>
      <w:r w:rsidRPr="0028115C">
        <w:rPr>
          <w:rFonts w:asciiTheme="minorHAnsi" w:hAnsiTheme="minorHAnsi"/>
          <w:color w:val="auto"/>
          <w:szCs w:val="24"/>
        </w:rPr>
        <w:t xml:space="preserve"> 6040.44 and DOD guidance (which applies current </w:t>
      </w:r>
      <w:r w:rsidR="00C216A5">
        <w:rPr>
          <w:rFonts w:asciiTheme="minorHAnsi" w:hAnsiTheme="minorHAnsi"/>
          <w:color w:val="auto"/>
          <w:szCs w:val="24"/>
        </w:rPr>
        <w:t>Veterans Administration Schedule for Rating Disabilities (</w:t>
      </w:r>
      <w:r w:rsidRPr="0028115C">
        <w:rPr>
          <w:rFonts w:asciiTheme="minorHAnsi" w:hAnsiTheme="minorHAnsi"/>
          <w:color w:val="auto"/>
          <w:szCs w:val="24"/>
        </w:rPr>
        <w:t>VASRD</w:t>
      </w:r>
      <w:r w:rsidR="00C216A5">
        <w:rPr>
          <w:rFonts w:asciiTheme="minorHAnsi" w:hAnsiTheme="minorHAnsi"/>
          <w:color w:val="auto"/>
          <w:szCs w:val="24"/>
        </w:rPr>
        <w:t>)</w:t>
      </w:r>
      <w:r w:rsidRPr="0028115C">
        <w:rPr>
          <w:rFonts w:asciiTheme="minorHAnsi" w:hAnsiTheme="minorHAnsi"/>
          <w:color w:val="auto"/>
          <w:szCs w:val="24"/>
        </w:rPr>
        <w:t xml:space="preserve"> §4.129 to all Board cases), the Board is obligated to recommend a minimum 50% PTSD rating for a retroactive six month period of </w:t>
      </w:r>
      <w:r w:rsidR="00C216A5">
        <w:rPr>
          <w:rFonts w:asciiTheme="minorHAnsi" w:hAnsiTheme="minorHAnsi"/>
          <w:color w:val="auto"/>
          <w:szCs w:val="24"/>
        </w:rPr>
        <w:t>Temporary Disability Retired List (</w:t>
      </w:r>
      <w:r w:rsidRPr="0028115C">
        <w:rPr>
          <w:rFonts w:asciiTheme="minorHAnsi" w:hAnsiTheme="minorHAnsi"/>
          <w:color w:val="auto"/>
          <w:szCs w:val="24"/>
        </w:rPr>
        <w:t>TDRL</w:t>
      </w:r>
      <w:r w:rsidR="00C216A5">
        <w:rPr>
          <w:rFonts w:asciiTheme="minorHAnsi" w:hAnsiTheme="minorHAnsi"/>
          <w:color w:val="auto"/>
          <w:szCs w:val="24"/>
        </w:rPr>
        <w:t>)</w:t>
      </w:r>
      <w:r w:rsidRPr="0028115C">
        <w:rPr>
          <w:rFonts w:asciiTheme="minorHAnsi" w:hAnsiTheme="minorHAnsi"/>
          <w:color w:val="auto"/>
          <w:szCs w:val="24"/>
        </w:rPr>
        <w:t xml:space="preserve">.  The Board must then </w:t>
      </w:r>
      <w:r w:rsidRPr="0028115C">
        <w:rPr>
          <w:rFonts w:asciiTheme="minorHAnsi" w:hAnsiTheme="minorHAnsi"/>
          <w:color w:val="auto"/>
          <w:szCs w:val="24"/>
        </w:rPr>
        <w:lastRenderedPageBreak/>
        <w:t xml:space="preserve">determine the most appropriate fit with VASRD §4.130 criteria at six months for its permanent rating recommendation.  </w:t>
      </w:r>
      <w:r w:rsidR="0028115C" w:rsidRPr="0028115C">
        <w:rPr>
          <w:rFonts w:asciiTheme="minorHAnsi" w:hAnsiTheme="minorHAnsi"/>
          <w:color w:val="auto"/>
          <w:szCs w:val="24"/>
        </w:rPr>
        <w:t xml:space="preserve">The most proximate source of comprehensive evidence on which to base the permanent rating recommendation in this case is the VA psychiatric rating evaluation two months after separation.  There is no VA or civilian provider evidence covering the six month interval.  Since the VA psychiatric exam was still fairly close to separation, the MEB evaluation itself provides a useful baseline in the Board’s efforts to arrive at a fair permanent rating recommendation.  </w:t>
      </w:r>
      <w:r w:rsidRPr="0028115C">
        <w:rPr>
          <w:rFonts w:asciiTheme="minorHAnsi" w:hAnsiTheme="minorHAnsi"/>
          <w:color w:val="auto"/>
          <w:szCs w:val="24"/>
        </w:rPr>
        <w:t xml:space="preserve">  </w:t>
      </w:r>
    </w:p>
    <w:p w:rsidR="00F750A2" w:rsidRPr="008B6BB4" w:rsidRDefault="00F750A2" w:rsidP="00BC5EF4">
      <w:pPr>
        <w:tabs>
          <w:tab w:val="left" w:pos="288"/>
          <w:tab w:val="left" w:pos="4752"/>
        </w:tabs>
        <w:spacing w:line="240" w:lineRule="exact"/>
        <w:jc w:val="both"/>
        <w:rPr>
          <w:rFonts w:asciiTheme="minorHAnsi" w:hAnsiTheme="minorHAnsi"/>
          <w:color w:val="auto"/>
          <w:szCs w:val="24"/>
          <w:highlight w:val="lightGray"/>
        </w:rPr>
      </w:pPr>
    </w:p>
    <w:p w:rsidR="00F750A2" w:rsidRDefault="00694CDC" w:rsidP="00BC5EF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Both the MEB and VA psychiatrists made dual Axis I diagnoses of PTSD and anxiety disorder.  It is clear that many of the CI’s symptoms were more attributable to the anxiety disorder than to PTSD.  Since the history establishes that the anxiety disorder was not pre-existing and since psychiatric imp</w:t>
      </w:r>
      <w:r w:rsidR="003D07A5">
        <w:rPr>
          <w:rFonts w:asciiTheme="minorHAnsi" w:hAnsiTheme="minorHAnsi"/>
          <w:color w:val="auto"/>
          <w:szCs w:val="24"/>
        </w:rPr>
        <w:t xml:space="preserve">airment cannot be apportioned between the two conditions, this issue does not affect the Board’s recommendations.  </w:t>
      </w:r>
      <w:r w:rsidR="00F750A2" w:rsidRPr="005C4D54">
        <w:rPr>
          <w:rFonts w:asciiTheme="minorHAnsi" w:hAnsiTheme="minorHAnsi"/>
          <w:color w:val="auto"/>
          <w:szCs w:val="24"/>
        </w:rPr>
        <w:t xml:space="preserve">The CI’s symptoms at the time of the MEB </w:t>
      </w:r>
      <w:r w:rsidR="0063628B" w:rsidRPr="005C4D54">
        <w:rPr>
          <w:rFonts w:asciiTheme="minorHAnsi" w:hAnsiTheme="minorHAnsi"/>
          <w:color w:val="auto"/>
          <w:szCs w:val="24"/>
        </w:rPr>
        <w:t>exam</w:t>
      </w:r>
      <w:r w:rsidR="00F750A2" w:rsidRPr="005C4D54">
        <w:rPr>
          <w:rFonts w:asciiTheme="minorHAnsi" w:hAnsiTheme="minorHAnsi"/>
          <w:color w:val="auto"/>
          <w:szCs w:val="24"/>
        </w:rPr>
        <w:t xml:space="preserve"> could best be described as </w:t>
      </w:r>
      <w:r w:rsidR="002E6AEE" w:rsidRPr="005C4D54">
        <w:rPr>
          <w:rFonts w:asciiTheme="minorHAnsi" w:hAnsiTheme="minorHAnsi"/>
          <w:color w:val="auto"/>
          <w:szCs w:val="24"/>
        </w:rPr>
        <w:t xml:space="preserve">mild to </w:t>
      </w:r>
      <w:r w:rsidR="00F750A2" w:rsidRPr="005C4D54">
        <w:rPr>
          <w:rFonts w:asciiTheme="minorHAnsi" w:hAnsiTheme="minorHAnsi"/>
          <w:color w:val="auto"/>
          <w:szCs w:val="24"/>
        </w:rPr>
        <w:t xml:space="preserve">moderate.  </w:t>
      </w:r>
      <w:r w:rsidR="002D66E2" w:rsidRPr="005C4D54">
        <w:rPr>
          <w:rFonts w:asciiTheme="minorHAnsi" w:hAnsiTheme="minorHAnsi"/>
          <w:color w:val="auto"/>
          <w:szCs w:val="24"/>
        </w:rPr>
        <w:t xml:space="preserve">He endorsed symptoms </w:t>
      </w:r>
      <w:r w:rsidR="002E6AEE">
        <w:rPr>
          <w:rFonts w:asciiTheme="minorHAnsi" w:hAnsiTheme="minorHAnsi"/>
          <w:color w:val="auto"/>
          <w:szCs w:val="24"/>
        </w:rPr>
        <w:t xml:space="preserve">such as </w:t>
      </w:r>
      <w:r w:rsidR="002E6AEE" w:rsidRPr="00C42822">
        <w:rPr>
          <w:rFonts w:asciiTheme="minorHAnsi" w:hAnsiTheme="minorHAnsi"/>
          <w:color w:val="auto"/>
          <w:szCs w:val="24"/>
        </w:rPr>
        <w:t>anxiety</w:t>
      </w:r>
      <w:r w:rsidR="002E6AEE">
        <w:rPr>
          <w:rFonts w:asciiTheme="minorHAnsi" w:hAnsiTheme="minorHAnsi"/>
          <w:color w:val="auto"/>
          <w:szCs w:val="24"/>
        </w:rPr>
        <w:t>,</w:t>
      </w:r>
      <w:r w:rsidR="003D07A5">
        <w:rPr>
          <w:rFonts w:asciiTheme="minorHAnsi" w:hAnsiTheme="minorHAnsi"/>
          <w:color w:val="auto"/>
          <w:szCs w:val="24"/>
        </w:rPr>
        <w:t xml:space="preserve"> nightmares</w:t>
      </w:r>
      <w:r w:rsidR="002E6AEE" w:rsidRPr="00C42822">
        <w:rPr>
          <w:rFonts w:asciiTheme="minorHAnsi" w:hAnsiTheme="minorHAnsi"/>
          <w:color w:val="auto"/>
          <w:szCs w:val="24"/>
        </w:rPr>
        <w:t xml:space="preserve"> and panic attacks</w:t>
      </w:r>
      <w:r w:rsidR="002E6AEE">
        <w:rPr>
          <w:rFonts w:asciiTheme="minorHAnsi" w:hAnsiTheme="minorHAnsi"/>
          <w:color w:val="auto"/>
          <w:szCs w:val="24"/>
        </w:rPr>
        <w:t xml:space="preserve"> which were improving with medication</w:t>
      </w:r>
      <w:r w:rsidR="008B1102">
        <w:rPr>
          <w:rFonts w:asciiTheme="minorHAnsi" w:hAnsiTheme="minorHAnsi"/>
          <w:color w:val="auto"/>
          <w:szCs w:val="24"/>
        </w:rPr>
        <w:t xml:space="preserve">.  </w:t>
      </w:r>
      <w:r w:rsidR="008B1102" w:rsidRPr="00C42822">
        <w:rPr>
          <w:rFonts w:asciiTheme="minorHAnsi" w:hAnsiTheme="minorHAnsi"/>
          <w:color w:val="auto"/>
          <w:szCs w:val="24"/>
        </w:rPr>
        <w:t>He report</w:t>
      </w:r>
      <w:r w:rsidR="008B1102">
        <w:rPr>
          <w:rFonts w:asciiTheme="minorHAnsi" w:hAnsiTheme="minorHAnsi"/>
          <w:color w:val="auto"/>
          <w:szCs w:val="24"/>
        </w:rPr>
        <w:t>ed</w:t>
      </w:r>
      <w:r w:rsidR="008B1102" w:rsidRPr="00C42822">
        <w:rPr>
          <w:rFonts w:asciiTheme="minorHAnsi" w:hAnsiTheme="minorHAnsi"/>
          <w:color w:val="auto"/>
          <w:szCs w:val="24"/>
        </w:rPr>
        <w:t xml:space="preserve"> being “terrified" of being closed into an aircraft, automobile, or other small space</w:t>
      </w:r>
      <w:r w:rsidR="008B1102">
        <w:rPr>
          <w:rFonts w:asciiTheme="minorHAnsi" w:hAnsiTheme="minorHAnsi"/>
          <w:color w:val="auto"/>
          <w:szCs w:val="24"/>
        </w:rPr>
        <w:t xml:space="preserve">.  </w:t>
      </w:r>
      <w:r w:rsidR="008E4CCA">
        <w:rPr>
          <w:rFonts w:asciiTheme="minorHAnsi" w:hAnsiTheme="minorHAnsi"/>
          <w:color w:val="auto"/>
          <w:szCs w:val="24"/>
        </w:rPr>
        <w:t>He described c</w:t>
      </w:r>
      <w:r w:rsidR="008E4CCA" w:rsidRPr="008E4CCA">
        <w:rPr>
          <w:rFonts w:asciiTheme="minorHAnsi" w:hAnsiTheme="minorHAnsi"/>
          <w:color w:val="auto"/>
          <w:szCs w:val="24"/>
        </w:rPr>
        <w:t>onsiderable anxiety over the fate of</w:t>
      </w:r>
      <w:r w:rsidR="008E4CCA">
        <w:rPr>
          <w:rFonts w:asciiTheme="minorHAnsi" w:hAnsiTheme="minorHAnsi"/>
          <w:color w:val="auto"/>
          <w:szCs w:val="24"/>
        </w:rPr>
        <w:t xml:space="preserve"> his career and</w:t>
      </w:r>
      <w:r w:rsidR="008E4CCA" w:rsidRPr="008E4CCA">
        <w:rPr>
          <w:rFonts w:asciiTheme="minorHAnsi" w:hAnsiTheme="minorHAnsi"/>
          <w:color w:val="auto"/>
          <w:szCs w:val="24"/>
        </w:rPr>
        <w:t xml:space="preserve"> intermittent depressed mood</w:t>
      </w:r>
      <w:r w:rsidR="008E4CCA">
        <w:rPr>
          <w:rFonts w:asciiTheme="minorHAnsi" w:hAnsiTheme="minorHAnsi"/>
          <w:color w:val="auto"/>
          <w:szCs w:val="24"/>
        </w:rPr>
        <w:t xml:space="preserve">.  </w:t>
      </w:r>
      <w:r w:rsidR="008B1102">
        <w:rPr>
          <w:rFonts w:asciiTheme="minorHAnsi" w:hAnsiTheme="minorHAnsi"/>
          <w:color w:val="auto"/>
          <w:szCs w:val="24"/>
        </w:rPr>
        <w:t>He presented a normal mental status exam with appropriate affect and cognition</w:t>
      </w:r>
      <w:r w:rsidR="00517C5D" w:rsidRPr="008B1102">
        <w:rPr>
          <w:rFonts w:asciiTheme="minorHAnsi" w:hAnsiTheme="minorHAnsi"/>
          <w:color w:val="auto"/>
          <w:szCs w:val="24"/>
        </w:rPr>
        <w:t xml:space="preserve">.  </w:t>
      </w:r>
      <w:r w:rsidR="008B1102" w:rsidRPr="008B1102">
        <w:rPr>
          <w:rFonts w:asciiTheme="minorHAnsi" w:hAnsiTheme="minorHAnsi"/>
          <w:color w:val="auto"/>
          <w:szCs w:val="24"/>
        </w:rPr>
        <w:t xml:space="preserve">Although he was restricted from flying duties, the CI performed at a very high level as a Squadron staff officer.  </w:t>
      </w:r>
      <w:r w:rsidR="008E4CCA">
        <w:rPr>
          <w:rFonts w:asciiTheme="minorHAnsi" w:hAnsiTheme="minorHAnsi"/>
          <w:color w:val="auto"/>
          <w:szCs w:val="24"/>
        </w:rPr>
        <w:t xml:space="preserve">He was newly married and </w:t>
      </w:r>
      <w:r w:rsidR="008E4CCA" w:rsidRPr="008E4CCA">
        <w:rPr>
          <w:rFonts w:asciiTheme="minorHAnsi" w:hAnsiTheme="minorHAnsi"/>
          <w:color w:val="auto"/>
          <w:szCs w:val="24"/>
        </w:rPr>
        <w:t>very satisfied with his relationship.  The examiner estimated his GAF</w:t>
      </w:r>
      <w:r w:rsidR="007B1D26">
        <w:rPr>
          <w:rFonts w:asciiTheme="minorHAnsi" w:hAnsiTheme="minorHAnsi"/>
          <w:color w:val="auto"/>
          <w:szCs w:val="24"/>
        </w:rPr>
        <w:t xml:space="preserve"> (general assessment of functioning) score</w:t>
      </w:r>
      <w:r w:rsidR="008E4CCA" w:rsidRPr="008E4CCA">
        <w:rPr>
          <w:rFonts w:asciiTheme="minorHAnsi" w:hAnsiTheme="minorHAnsi"/>
          <w:color w:val="auto"/>
          <w:szCs w:val="24"/>
        </w:rPr>
        <w:t xml:space="preserve"> at 65</w:t>
      </w:r>
      <w:r w:rsidR="007B1D26">
        <w:rPr>
          <w:rFonts w:asciiTheme="minorHAnsi" w:hAnsiTheme="minorHAnsi"/>
          <w:color w:val="auto"/>
          <w:szCs w:val="24"/>
        </w:rPr>
        <w:t xml:space="preserve"> which connotes mild symptoms</w:t>
      </w:r>
      <w:r w:rsidR="008E4CCA" w:rsidRPr="008E4CCA">
        <w:rPr>
          <w:rFonts w:asciiTheme="minorHAnsi" w:hAnsiTheme="minorHAnsi"/>
          <w:color w:val="auto"/>
          <w:szCs w:val="24"/>
        </w:rPr>
        <w:t xml:space="preserve">.  The assessment at that time was that the CI was much improved but </w:t>
      </w:r>
      <w:r>
        <w:rPr>
          <w:rFonts w:asciiTheme="minorHAnsi" w:hAnsiTheme="minorHAnsi"/>
          <w:color w:val="auto"/>
          <w:szCs w:val="24"/>
        </w:rPr>
        <w:t>“</w:t>
      </w:r>
      <w:r w:rsidR="008E4CCA" w:rsidRPr="008E4CCA">
        <w:rPr>
          <w:rFonts w:asciiTheme="minorHAnsi" w:hAnsiTheme="minorHAnsi"/>
          <w:color w:val="auto"/>
          <w:szCs w:val="24"/>
        </w:rPr>
        <w:t>still experiencing debilitating anxiety symptoms</w:t>
      </w:r>
      <w:r w:rsidR="00317A9E">
        <w:rPr>
          <w:rFonts w:asciiTheme="minorHAnsi" w:hAnsiTheme="minorHAnsi"/>
          <w:color w:val="auto"/>
          <w:szCs w:val="24"/>
        </w:rPr>
        <w:t xml:space="preserve"> </w:t>
      </w:r>
      <w:r w:rsidR="008E4CCA" w:rsidRPr="008E4CCA">
        <w:rPr>
          <w:rFonts w:asciiTheme="minorHAnsi" w:hAnsiTheme="minorHAnsi"/>
          <w:color w:val="auto"/>
          <w:szCs w:val="24"/>
        </w:rPr>
        <w:t>… prognosis is good with</w:t>
      </w:r>
      <w:r w:rsidR="008E4CCA">
        <w:rPr>
          <w:rFonts w:asciiTheme="minorHAnsi" w:hAnsiTheme="minorHAnsi"/>
          <w:color w:val="auto"/>
          <w:szCs w:val="24"/>
        </w:rPr>
        <w:t xml:space="preserve"> </w:t>
      </w:r>
      <w:r w:rsidR="008E4CCA" w:rsidRPr="008E4CCA">
        <w:rPr>
          <w:rFonts w:asciiTheme="minorHAnsi" w:hAnsiTheme="minorHAnsi"/>
          <w:color w:val="auto"/>
          <w:szCs w:val="24"/>
        </w:rPr>
        <w:t>co</w:t>
      </w:r>
      <w:r>
        <w:rPr>
          <w:rFonts w:asciiTheme="minorHAnsi" w:hAnsiTheme="minorHAnsi"/>
          <w:color w:val="auto"/>
          <w:szCs w:val="24"/>
        </w:rPr>
        <w:t>ntinued mental health treatment”.</w:t>
      </w:r>
      <w:r w:rsidR="008E4CCA" w:rsidRPr="008E4CCA">
        <w:rPr>
          <w:rFonts w:asciiTheme="minorHAnsi" w:hAnsiTheme="minorHAnsi"/>
          <w:color w:val="auto"/>
          <w:szCs w:val="24"/>
        </w:rPr>
        <w:t xml:space="preserve">  </w:t>
      </w:r>
      <w:r w:rsidR="00B26318">
        <w:rPr>
          <w:rFonts w:asciiTheme="minorHAnsi" w:hAnsiTheme="minorHAnsi"/>
          <w:color w:val="auto"/>
          <w:szCs w:val="24"/>
        </w:rPr>
        <w:t>At the initial VA examination</w:t>
      </w:r>
      <w:r w:rsidR="00B26318" w:rsidRPr="00B26318">
        <w:rPr>
          <w:rFonts w:asciiTheme="minorHAnsi" w:hAnsiTheme="minorHAnsi"/>
          <w:color w:val="auto"/>
          <w:szCs w:val="24"/>
        </w:rPr>
        <w:t xml:space="preserve"> </w:t>
      </w:r>
      <w:r w:rsidR="00B26318">
        <w:rPr>
          <w:rFonts w:asciiTheme="minorHAnsi" w:hAnsiTheme="minorHAnsi"/>
          <w:color w:val="auto"/>
          <w:szCs w:val="24"/>
        </w:rPr>
        <w:t>for PTSD two months after separation</w:t>
      </w:r>
      <w:r w:rsidR="00317A9E">
        <w:rPr>
          <w:rFonts w:asciiTheme="minorHAnsi" w:hAnsiTheme="minorHAnsi"/>
          <w:color w:val="auto"/>
          <w:szCs w:val="24"/>
        </w:rPr>
        <w:t>,</w:t>
      </w:r>
      <w:r w:rsidR="00B26318">
        <w:rPr>
          <w:rFonts w:asciiTheme="minorHAnsi" w:hAnsiTheme="minorHAnsi"/>
          <w:color w:val="auto"/>
          <w:szCs w:val="24"/>
        </w:rPr>
        <w:t xml:space="preserve"> the CI described symptoms </w:t>
      </w:r>
      <w:r w:rsidR="00FC0410">
        <w:rPr>
          <w:rFonts w:asciiTheme="minorHAnsi" w:hAnsiTheme="minorHAnsi"/>
          <w:color w:val="auto"/>
          <w:szCs w:val="24"/>
        </w:rPr>
        <w:t xml:space="preserve">that </w:t>
      </w:r>
      <w:r w:rsidR="00B26318">
        <w:rPr>
          <w:rFonts w:asciiTheme="minorHAnsi" w:hAnsiTheme="minorHAnsi"/>
          <w:color w:val="auto"/>
          <w:szCs w:val="24"/>
        </w:rPr>
        <w:t xml:space="preserve">were very similar </w:t>
      </w:r>
      <w:r w:rsidR="003D07A5">
        <w:rPr>
          <w:rFonts w:asciiTheme="minorHAnsi" w:hAnsiTheme="minorHAnsi"/>
          <w:color w:val="auto"/>
          <w:szCs w:val="24"/>
        </w:rPr>
        <w:t xml:space="preserve">to </w:t>
      </w:r>
      <w:r w:rsidR="00B26318">
        <w:rPr>
          <w:rFonts w:asciiTheme="minorHAnsi" w:hAnsiTheme="minorHAnsi"/>
          <w:color w:val="auto"/>
          <w:szCs w:val="24"/>
        </w:rPr>
        <w:t xml:space="preserve">those </w:t>
      </w:r>
      <w:r w:rsidR="00317A9E">
        <w:rPr>
          <w:rFonts w:asciiTheme="minorHAnsi" w:hAnsiTheme="minorHAnsi"/>
          <w:color w:val="auto"/>
          <w:szCs w:val="24"/>
        </w:rPr>
        <w:t>documented</w:t>
      </w:r>
      <w:r w:rsidR="00B26318">
        <w:rPr>
          <w:rFonts w:asciiTheme="minorHAnsi" w:hAnsiTheme="minorHAnsi"/>
          <w:color w:val="auto"/>
          <w:szCs w:val="24"/>
        </w:rPr>
        <w:t xml:space="preserve"> </w:t>
      </w:r>
      <w:r w:rsidR="00317A9E">
        <w:rPr>
          <w:rFonts w:asciiTheme="minorHAnsi" w:hAnsiTheme="minorHAnsi"/>
          <w:color w:val="auto"/>
          <w:szCs w:val="24"/>
        </w:rPr>
        <w:t>by the MEB examiner</w:t>
      </w:r>
      <w:r w:rsidR="00B26318">
        <w:rPr>
          <w:rFonts w:asciiTheme="minorHAnsi" w:hAnsiTheme="minorHAnsi"/>
          <w:color w:val="auto"/>
          <w:szCs w:val="24"/>
        </w:rPr>
        <w:t xml:space="preserve">.  He continued to endorse </w:t>
      </w:r>
      <w:r w:rsidR="00B26318" w:rsidRPr="00C42822">
        <w:rPr>
          <w:rFonts w:asciiTheme="minorHAnsi" w:hAnsiTheme="minorHAnsi"/>
          <w:color w:val="auto"/>
          <w:szCs w:val="24"/>
        </w:rPr>
        <w:t>anxiety</w:t>
      </w:r>
      <w:r w:rsidR="00B26318">
        <w:rPr>
          <w:rFonts w:asciiTheme="minorHAnsi" w:hAnsiTheme="minorHAnsi"/>
          <w:color w:val="auto"/>
          <w:szCs w:val="24"/>
        </w:rPr>
        <w:t>,</w:t>
      </w:r>
      <w:r w:rsidR="00B26318" w:rsidRPr="00C42822">
        <w:rPr>
          <w:rFonts w:asciiTheme="minorHAnsi" w:hAnsiTheme="minorHAnsi"/>
          <w:color w:val="auto"/>
          <w:szCs w:val="24"/>
        </w:rPr>
        <w:t xml:space="preserve"> nightmares</w:t>
      </w:r>
      <w:r w:rsidR="00B26318">
        <w:rPr>
          <w:rFonts w:asciiTheme="minorHAnsi" w:hAnsiTheme="minorHAnsi"/>
          <w:color w:val="auto"/>
          <w:szCs w:val="24"/>
        </w:rPr>
        <w:t xml:space="preserve"> and sleep disturbance.  He </w:t>
      </w:r>
      <w:r w:rsidR="003D07A5">
        <w:rPr>
          <w:rFonts w:asciiTheme="minorHAnsi" w:hAnsiTheme="minorHAnsi"/>
          <w:color w:val="auto"/>
          <w:szCs w:val="24"/>
        </w:rPr>
        <w:t>likewise</w:t>
      </w:r>
      <w:r w:rsidR="00B26318">
        <w:rPr>
          <w:rFonts w:asciiTheme="minorHAnsi" w:hAnsiTheme="minorHAnsi"/>
          <w:color w:val="auto"/>
          <w:szCs w:val="24"/>
        </w:rPr>
        <w:t xml:space="preserve"> endorsed </w:t>
      </w:r>
      <w:proofErr w:type="spellStart"/>
      <w:r w:rsidR="00B26318">
        <w:rPr>
          <w:rFonts w:asciiTheme="minorHAnsi" w:hAnsiTheme="minorHAnsi"/>
          <w:color w:val="auto"/>
          <w:szCs w:val="24"/>
        </w:rPr>
        <w:t>hypervigilance</w:t>
      </w:r>
      <w:proofErr w:type="spellEnd"/>
      <w:r w:rsidR="00B26318">
        <w:rPr>
          <w:rFonts w:asciiTheme="minorHAnsi" w:hAnsiTheme="minorHAnsi"/>
          <w:color w:val="auto"/>
          <w:szCs w:val="24"/>
        </w:rPr>
        <w:t xml:space="preserve"> and intrusive thoughts, but denied panic attacks.  He was attending school full time and did not miss class time because of psychiatric symptoms.  His marriage was intact, but he </w:t>
      </w:r>
      <w:r w:rsidR="00317A9E">
        <w:rPr>
          <w:rFonts w:asciiTheme="minorHAnsi" w:hAnsiTheme="minorHAnsi"/>
          <w:color w:val="auto"/>
          <w:szCs w:val="24"/>
        </w:rPr>
        <w:t xml:space="preserve">was described as </w:t>
      </w:r>
      <w:r>
        <w:rPr>
          <w:rFonts w:asciiTheme="minorHAnsi" w:hAnsiTheme="minorHAnsi"/>
          <w:color w:val="auto"/>
          <w:szCs w:val="24"/>
        </w:rPr>
        <w:t>“emotionally distant”</w:t>
      </w:r>
      <w:r w:rsidR="00317A9E">
        <w:rPr>
          <w:rFonts w:asciiTheme="minorHAnsi" w:hAnsiTheme="minorHAnsi"/>
          <w:color w:val="auto"/>
          <w:szCs w:val="24"/>
        </w:rPr>
        <w:t xml:space="preserve"> and his social life was somewhat constrained</w:t>
      </w:r>
      <w:r w:rsidR="00B26318">
        <w:rPr>
          <w:rFonts w:asciiTheme="minorHAnsi" w:hAnsiTheme="minorHAnsi"/>
          <w:color w:val="auto"/>
          <w:szCs w:val="24"/>
        </w:rPr>
        <w:t>.</w:t>
      </w:r>
      <w:r w:rsidR="00317A9E">
        <w:rPr>
          <w:rFonts w:asciiTheme="minorHAnsi" w:hAnsiTheme="minorHAnsi"/>
          <w:color w:val="auto"/>
          <w:szCs w:val="24"/>
        </w:rPr>
        <w:t xml:space="preserve"> </w:t>
      </w:r>
      <w:r w:rsidR="00B26318" w:rsidRPr="00B26318">
        <w:rPr>
          <w:rFonts w:asciiTheme="minorHAnsi" w:hAnsiTheme="minorHAnsi"/>
          <w:color w:val="auto"/>
          <w:szCs w:val="24"/>
        </w:rPr>
        <w:t xml:space="preserve"> </w:t>
      </w:r>
      <w:r w:rsidR="00B26318">
        <w:rPr>
          <w:rFonts w:asciiTheme="minorHAnsi" w:hAnsiTheme="minorHAnsi"/>
          <w:color w:val="auto"/>
          <w:szCs w:val="24"/>
        </w:rPr>
        <w:t xml:space="preserve">He again presented a normal mental status exam </w:t>
      </w:r>
      <w:r w:rsidR="00317A9E">
        <w:rPr>
          <w:rFonts w:asciiTheme="minorHAnsi" w:hAnsiTheme="minorHAnsi"/>
          <w:color w:val="auto"/>
          <w:szCs w:val="24"/>
        </w:rPr>
        <w:t xml:space="preserve">(except for a </w:t>
      </w:r>
      <w:r>
        <w:rPr>
          <w:rFonts w:asciiTheme="minorHAnsi" w:hAnsiTheme="minorHAnsi"/>
          <w:color w:val="auto"/>
          <w:szCs w:val="24"/>
        </w:rPr>
        <w:t>“tense”</w:t>
      </w:r>
      <w:r w:rsidR="00317A9E">
        <w:rPr>
          <w:rFonts w:asciiTheme="minorHAnsi" w:hAnsiTheme="minorHAnsi"/>
          <w:color w:val="auto"/>
          <w:szCs w:val="24"/>
        </w:rPr>
        <w:t xml:space="preserve"> mood) </w:t>
      </w:r>
      <w:r w:rsidR="00B26318">
        <w:rPr>
          <w:rFonts w:asciiTheme="minorHAnsi" w:hAnsiTheme="minorHAnsi"/>
          <w:color w:val="auto"/>
          <w:szCs w:val="24"/>
        </w:rPr>
        <w:t>with appropriate affect and cognition</w:t>
      </w:r>
      <w:r w:rsidR="00B26318" w:rsidRPr="008B1102">
        <w:rPr>
          <w:rFonts w:asciiTheme="minorHAnsi" w:hAnsiTheme="minorHAnsi"/>
          <w:color w:val="auto"/>
          <w:szCs w:val="24"/>
        </w:rPr>
        <w:t xml:space="preserve">.  </w:t>
      </w:r>
      <w:r w:rsidR="00845950">
        <w:rPr>
          <w:rFonts w:asciiTheme="minorHAnsi" w:hAnsiTheme="minorHAnsi"/>
          <w:color w:val="auto"/>
          <w:szCs w:val="24"/>
        </w:rPr>
        <w:t>The examiner noted that the CI had continued his medications and assigned a GAF of 54</w:t>
      </w:r>
      <w:r w:rsidR="00317A9E">
        <w:rPr>
          <w:rFonts w:asciiTheme="minorHAnsi" w:hAnsiTheme="minorHAnsi"/>
          <w:color w:val="auto"/>
          <w:szCs w:val="24"/>
        </w:rPr>
        <w:t xml:space="preserve"> (connoting moderate symptoms)</w:t>
      </w:r>
      <w:r w:rsidR="00845950">
        <w:rPr>
          <w:rFonts w:asciiTheme="minorHAnsi" w:hAnsiTheme="minorHAnsi"/>
          <w:color w:val="auto"/>
          <w:szCs w:val="24"/>
        </w:rPr>
        <w:t>.</w:t>
      </w:r>
      <w:r w:rsidR="005F188E">
        <w:rPr>
          <w:rFonts w:asciiTheme="minorHAnsi" w:hAnsiTheme="minorHAnsi"/>
          <w:color w:val="auto"/>
          <w:szCs w:val="24"/>
        </w:rPr>
        <w:t xml:space="preserve">  </w:t>
      </w:r>
    </w:p>
    <w:p w:rsidR="003D07A5" w:rsidRPr="008B6BB4" w:rsidRDefault="003D07A5" w:rsidP="00BC5EF4">
      <w:pPr>
        <w:tabs>
          <w:tab w:val="left" w:pos="288"/>
          <w:tab w:val="left" w:pos="4752"/>
        </w:tabs>
        <w:spacing w:line="240" w:lineRule="exact"/>
        <w:jc w:val="both"/>
        <w:rPr>
          <w:rFonts w:asciiTheme="minorHAnsi" w:hAnsiTheme="minorHAnsi"/>
          <w:color w:val="auto"/>
          <w:szCs w:val="24"/>
          <w:highlight w:val="lightGray"/>
        </w:rPr>
      </w:pPr>
    </w:p>
    <w:p w:rsidR="00F750A2" w:rsidRPr="00D12084" w:rsidRDefault="008A0F1B" w:rsidP="00BC5EF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VA rating decision assigned a 50% rating based on </w:t>
      </w:r>
      <w:r w:rsidRPr="00845950">
        <w:rPr>
          <w:rFonts w:asciiTheme="minorHAnsi" w:hAnsiTheme="minorHAnsi"/>
          <w:color w:val="auto"/>
          <w:szCs w:val="24"/>
        </w:rPr>
        <w:t xml:space="preserve">§4.130 </w:t>
      </w:r>
      <w:r w:rsidR="003D07A5">
        <w:rPr>
          <w:rFonts w:asciiTheme="minorHAnsi" w:hAnsiTheme="minorHAnsi"/>
          <w:color w:val="auto"/>
          <w:szCs w:val="24"/>
        </w:rPr>
        <w:t>criteria</w:t>
      </w:r>
      <w:r>
        <w:rPr>
          <w:rFonts w:asciiTheme="minorHAnsi" w:hAnsiTheme="minorHAnsi"/>
          <w:color w:val="auto"/>
          <w:szCs w:val="24"/>
        </w:rPr>
        <w:t>, not on the basis of §4.129, but does not elaborate the rationale.</w:t>
      </w:r>
      <w:r w:rsidRPr="00845950">
        <w:rPr>
          <w:rFonts w:asciiTheme="minorHAnsi" w:hAnsiTheme="minorHAnsi"/>
          <w:color w:val="auto"/>
          <w:szCs w:val="24"/>
        </w:rPr>
        <w:t xml:space="preserve"> </w:t>
      </w:r>
      <w:r>
        <w:rPr>
          <w:rFonts w:asciiTheme="minorHAnsi" w:hAnsiTheme="minorHAnsi"/>
          <w:color w:val="auto"/>
          <w:szCs w:val="24"/>
        </w:rPr>
        <w:t xml:space="preserve"> </w:t>
      </w:r>
      <w:r w:rsidR="00F750A2" w:rsidRPr="00845950">
        <w:rPr>
          <w:rFonts w:asciiTheme="minorHAnsi" w:hAnsiTheme="minorHAnsi"/>
          <w:color w:val="auto"/>
          <w:szCs w:val="24"/>
        </w:rPr>
        <w:t>The VA examin</w:t>
      </w:r>
      <w:r w:rsidR="00845950" w:rsidRPr="00845950">
        <w:rPr>
          <w:rFonts w:asciiTheme="minorHAnsi" w:hAnsiTheme="minorHAnsi"/>
          <w:color w:val="auto"/>
          <w:szCs w:val="24"/>
        </w:rPr>
        <w:t xml:space="preserve">ation was </w:t>
      </w:r>
      <w:r w:rsidR="005F188E">
        <w:rPr>
          <w:rFonts w:asciiTheme="minorHAnsi" w:hAnsiTheme="minorHAnsi"/>
          <w:color w:val="auto"/>
          <w:szCs w:val="24"/>
        </w:rPr>
        <w:t xml:space="preserve">most </w:t>
      </w:r>
      <w:r w:rsidR="00845950" w:rsidRPr="00845950">
        <w:rPr>
          <w:rFonts w:asciiTheme="minorHAnsi" w:hAnsiTheme="minorHAnsi"/>
          <w:color w:val="auto"/>
          <w:szCs w:val="24"/>
        </w:rPr>
        <w:t>consistent with</w:t>
      </w:r>
      <w:r w:rsidR="00F750A2" w:rsidRPr="00845950">
        <w:rPr>
          <w:rFonts w:asciiTheme="minorHAnsi" w:hAnsiTheme="minorHAnsi"/>
          <w:color w:val="auto"/>
          <w:szCs w:val="24"/>
        </w:rPr>
        <w:t xml:space="preserve"> the general description for a §4.130 rating of </w:t>
      </w:r>
      <w:r w:rsidR="003D5121" w:rsidRPr="00845950">
        <w:rPr>
          <w:rFonts w:asciiTheme="minorHAnsi" w:hAnsiTheme="minorHAnsi"/>
          <w:color w:val="auto"/>
          <w:szCs w:val="24"/>
        </w:rPr>
        <w:t>3</w:t>
      </w:r>
      <w:r w:rsidR="00F750A2" w:rsidRPr="00845950">
        <w:rPr>
          <w:rFonts w:asciiTheme="minorHAnsi" w:hAnsiTheme="minorHAnsi"/>
          <w:color w:val="auto"/>
          <w:szCs w:val="24"/>
        </w:rPr>
        <w:t>0%</w:t>
      </w:r>
      <w:r w:rsidR="00845950" w:rsidRPr="00845950">
        <w:rPr>
          <w:rFonts w:asciiTheme="minorHAnsi" w:hAnsiTheme="minorHAnsi"/>
          <w:color w:val="auto"/>
          <w:szCs w:val="24"/>
        </w:rPr>
        <w:t xml:space="preserve">, </w:t>
      </w:r>
      <w:r w:rsidR="00694CDC">
        <w:rPr>
          <w:rFonts w:asciiTheme="minorHAnsi" w:hAnsiTheme="minorHAnsi"/>
          <w:color w:val="auto"/>
          <w:szCs w:val="24"/>
        </w:rPr>
        <w:t>“</w:t>
      </w:r>
      <w:r w:rsidR="00845950">
        <w:rPr>
          <w:rFonts w:asciiTheme="minorHAnsi" w:hAnsiTheme="minorHAnsi"/>
          <w:color w:val="auto"/>
          <w:szCs w:val="24"/>
        </w:rPr>
        <w:t>o</w:t>
      </w:r>
      <w:r w:rsidR="00845950" w:rsidRPr="00B008AB">
        <w:rPr>
          <w:rFonts w:asciiTheme="minorHAnsi" w:hAnsiTheme="minorHAnsi"/>
          <w:color w:val="auto"/>
          <w:szCs w:val="24"/>
        </w:rPr>
        <w:t>ccupational and social impairment with occasional decrease in work efficiency and intermittent periods of inability to perform occupational tasks (although generally functioning satisfactorily, with routine behavior, self-care, and conversation normal).</w:t>
      </w:r>
      <w:r w:rsidR="00694CDC">
        <w:rPr>
          <w:rFonts w:asciiTheme="minorHAnsi" w:hAnsiTheme="minorHAnsi"/>
          <w:color w:val="auto"/>
          <w:szCs w:val="24"/>
        </w:rPr>
        <w:t>”</w:t>
      </w:r>
      <w:r w:rsidR="00F750A2" w:rsidRPr="00C54726">
        <w:rPr>
          <w:rFonts w:asciiTheme="minorHAnsi" w:hAnsiTheme="minorHAnsi"/>
          <w:color w:val="auto"/>
          <w:szCs w:val="24"/>
        </w:rPr>
        <w:t xml:space="preserve">  The general description for a 50% rating, </w:t>
      </w:r>
      <w:r w:rsidR="00694CDC">
        <w:rPr>
          <w:rFonts w:asciiTheme="minorHAnsi" w:hAnsiTheme="minorHAnsi"/>
          <w:color w:val="auto"/>
          <w:szCs w:val="24"/>
        </w:rPr>
        <w:t>“</w:t>
      </w:r>
      <w:r w:rsidR="00F750A2" w:rsidRPr="00C54726">
        <w:rPr>
          <w:rFonts w:asciiTheme="minorHAnsi" w:hAnsiTheme="minorHAnsi"/>
          <w:color w:val="auto"/>
          <w:szCs w:val="24"/>
        </w:rPr>
        <w:t>occupational and social impairment with reduced reliability and productivity</w:t>
      </w:r>
      <w:r w:rsidR="00694CDC">
        <w:rPr>
          <w:rFonts w:asciiTheme="minorHAnsi" w:hAnsiTheme="minorHAnsi"/>
          <w:color w:val="auto"/>
          <w:szCs w:val="24"/>
        </w:rPr>
        <w:t>”</w:t>
      </w:r>
      <w:r w:rsidR="00F750A2" w:rsidRPr="00C54726">
        <w:rPr>
          <w:rFonts w:asciiTheme="minorHAnsi" w:hAnsiTheme="minorHAnsi"/>
          <w:color w:val="auto"/>
          <w:szCs w:val="24"/>
        </w:rPr>
        <w:t xml:space="preserve">, may also be considered </w:t>
      </w:r>
      <w:r>
        <w:rPr>
          <w:rFonts w:asciiTheme="minorHAnsi" w:hAnsiTheme="minorHAnsi"/>
          <w:color w:val="auto"/>
          <w:szCs w:val="24"/>
        </w:rPr>
        <w:t>but was not reflected by the CI’s performance as a full time student at the time</w:t>
      </w:r>
      <w:r w:rsidR="00F750A2" w:rsidRPr="00C54726">
        <w:rPr>
          <w:rFonts w:asciiTheme="minorHAnsi" w:hAnsiTheme="minorHAnsi"/>
          <w:color w:val="auto"/>
          <w:szCs w:val="24"/>
        </w:rPr>
        <w:t xml:space="preserve">.  </w:t>
      </w:r>
      <w:r>
        <w:rPr>
          <w:rFonts w:asciiTheme="minorHAnsi" w:hAnsiTheme="minorHAnsi"/>
          <w:color w:val="auto"/>
          <w:szCs w:val="24"/>
        </w:rPr>
        <w:t xml:space="preserve">The VA examiner did state that the symptoms </w:t>
      </w:r>
      <w:r w:rsidR="00694CDC">
        <w:rPr>
          <w:rFonts w:asciiTheme="minorHAnsi" w:hAnsiTheme="minorHAnsi"/>
          <w:color w:val="auto"/>
          <w:szCs w:val="24"/>
        </w:rPr>
        <w:t>“</w:t>
      </w:r>
      <w:r>
        <w:rPr>
          <w:rFonts w:asciiTheme="minorHAnsi" w:hAnsiTheme="minorHAnsi"/>
          <w:color w:val="auto"/>
          <w:szCs w:val="24"/>
        </w:rPr>
        <w:t>have interfered with social activities</w:t>
      </w:r>
      <w:r w:rsidR="00694CDC">
        <w:rPr>
          <w:rFonts w:asciiTheme="minorHAnsi" w:hAnsiTheme="minorHAnsi"/>
          <w:color w:val="auto"/>
          <w:szCs w:val="24"/>
        </w:rPr>
        <w:t>”</w:t>
      </w:r>
      <w:r>
        <w:rPr>
          <w:rFonts w:asciiTheme="minorHAnsi" w:hAnsiTheme="minorHAnsi"/>
          <w:color w:val="auto"/>
          <w:szCs w:val="24"/>
        </w:rPr>
        <w:t xml:space="preserve"> and it possible that social impairment weighed more heavily in the VA decision.  </w:t>
      </w:r>
      <w:r w:rsidR="00F750A2" w:rsidRPr="00C54726">
        <w:rPr>
          <w:rFonts w:asciiTheme="minorHAnsi" w:hAnsiTheme="minorHAnsi"/>
          <w:color w:val="auto"/>
          <w:szCs w:val="24"/>
        </w:rPr>
        <w:t xml:space="preserve">In addition to the general description of occupational and social impairment, the §4.130 general formula fleshes out each rating description with a list of features or symptoms as examples for this level of impairment.   This helps to determine a potential level of psychiatric impairment regardless of how well or poorly the veteran is actually faring with work and social activities at the time.  </w:t>
      </w:r>
      <w:r w:rsidR="004C51CD" w:rsidRPr="00C54726">
        <w:rPr>
          <w:rFonts w:asciiTheme="minorHAnsi" w:hAnsiTheme="minorHAnsi"/>
          <w:color w:val="auto"/>
          <w:szCs w:val="24"/>
        </w:rPr>
        <w:t xml:space="preserve">Of six such descriptors under the 30% rating, </w:t>
      </w:r>
      <w:r w:rsidR="00845950" w:rsidRPr="00C54726">
        <w:rPr>
          <w:rFonts w:asciiTheme="minorHAnsi" w:hAnsiTheme="minorHAnsi"/>
          <w:color w:val="auto"/>
          <w:szCs w:val="24"/>
        </w:rPr>
        <w:t>three</w:t>
      </w:r>
      <w:r w:rsidR="004C51CD" w:rsidRPr="00C54726">
        <w:rPr>
          <w:rFonts w:asciiTheme="minorHAnsi" w:hAnsiTheme="minorHAnsi"/>
          <w:color w:val="auto"/>
          <w:szCs w:val="24"/>
        </w:rPr>
        <w:t xml:space="preserve"> were likely manifest at six months.  </w:t>
      </w:r>
      <w:r w:rsidR="00F750A2" w:rsidRPr="00C54726">
        <w:rPr>
          <w:rFonts w:asciiTheme="minorHAnsi" w:hAnsiTheme="minorHAnsi"/>
          <w:color w:val="auto"/>
          <w:szCs w:val="24"/>
        </w:rPr>
        <w:t xml:space="preserve">Of </w:t>
      </w:r>
      <w:r w:rsidR="004C51CD" w:rsidRPr="00C54726">
        <w:rPr>
          <w:rFonts w:asciiTheme="minorHAnsi" w:hAnsiTheme="minorHAnsi"/>
          <w:color w:val="auto"/>
          <w:szCs w:val="24"/>
        </w:rPr>
        <w:t xml:space="preserve">the </w:t>
      </w:r>
      <w:r w:rsidR="00F750A2" w:rsidRPr="00C54726">
        <w:rPr>
          <w:rFonts w:asciiTheme="minorHAnsi" w:hAnsiTheme="minorHAnsi"/>
          <w:color w:val="auto"/>
          <w:szCs w:val="24"/>
        </w:rPr>
        <w:t xml:space="preserve">nine descriptors under the </w:t>
      </w:r>
      <w:r w:rsidR="003D5121" w:rsidRPr="00C54726">
        <w:rPr>
          <w:rFonts w:asciiTheme="minorHAnsi" w:hAnsiTheme="minorHAnsi"/>
          <w:color w:val="auto"/>
          <w:szCs w:val="24"/>
        </w:rPr>
        <w:t>5</w:t>
      </w:r>
      <w:r w:rsidR="00F750A2" w:rsidRPr="00C54726">
        <w:rPr>
          <w:rFonts w:asciiTheme="minorHAnsi" w:hAnsiTheme="minorHAnsi"/>
          <w:color w:val="auto"/>
          <w:szCs w:val="24"/>
        </w:rPr>
        <w:t xml:space="preserve">0% rating, </w:t>
      </w:r>
      <w:r w:rsidR="00845950" w:rsidRPr="00C54726">
        <w:rPr>
          <w:rFonts w:asciiTheme="minorHAnsi" w:hAnsiTheme="minorHAnsi"/>
          <w:color w:val="auto"/>
          <w:szCs w:val="24"/>
        </w:rPr>
        <w:t>two</w:t>
      </w:r>
      <w:r w:rsidR="00F750A2" w:rsidRPr="00C54726">
        <w:rPr>
          <w:rFonts w:asciiTheme="minorHAnsi" w:hAnsiTheme="minorHAnsi"/>
          <w:color w:val="auto"/>
          <w:szCs w:val="24"/>
        </w:rPr>
        <w:t xml:space="preserve"> were </w:t>
      </w:r>
      <w:r w:rsidR="00845950" w:rsidRPr="00C54726">
        <w:rPr>
          <w:rFonts w:asciiTheme="minorHAnsi" w:hAnsiTheme="minorHAnsi"/>
          <w:color w:val="auto"/>
          <w:szCs w:val="24"/>
        </w:rPr>
        <w:t>possibly</w:t>
      </w:r>
      <w:r w:rsidR="00F750A2" w:rsidRPr="00C54726">
        <w:rPr>
          <w:rFonts w:asciiTheme="minorHAnsi" w:hAnsiTheme="minorHAnsi"/>
          <w:color w:val="auto"/>
          <w:szCs w:val="24"/>
        </w:rPr>
        <w:t xml:space="preserve"> manifest at six months.  The deliberation was focused </w:t>
      </w:r>
      <w:r w:rsidR="003D07A5">
        <w:rPr>
          <w:rFonts w:asciiTheme="minorHAnsi" w:hAnsiTheme="minorHAnsi"/>
          <w:color w:val="auto"/>
          <w:szCs w:val="24"/>
        </w:rPr>
        <w:t xml:space="preserve">primarily </w:t>
      </w:r>
      <w:r w:rsidR="00F750A2" w:rsidRPr="00C54726">
        <w:rPr>
          <w:rFonts w:asciiTheme="minorHAnsi" w:hAnsiTheme="minorHAnsi"/>
          <w:color w:val="auto"/>
          <w:szCs w:val="24"/>
        </w:rPr>
        <w:t xml:space="preserve">on a </w:t>
      </w:r>
      <w:r w:rsidR="003D5121" w:rsidRPr="00C54726">
        <w:rPr>
          <w:rFonts w:asciiTheme="minorHAnsi" w:hAnsiTheme="minorHAnsi"/>
          <w:color w:val="auto"/>
          <w:szCs w:val="24"/>
        </w:rPr>
        <w:t>3</w:t>
      </w:r>
      <w:r w:rsidR="00F750A2" w:rsidRPr="00C54726">
        <w:rPr>
          <w:rFonts w:asciiTheme="minorHAnsi" w:hAnsiTheme="minorHAnsi"/>
          <w:color w:val="auto"/>
          <w:szCs w:val="24"/>
        </w:rPr>
        <w:t xml:space="preserve">0% vs. </w:t>
      </w:r>
      <w:r w:rsidR="003D5121" w:rsidRPr="00C54726">
        <w:rPr>
          <w:rFonts w:asciiTheme="minorHAnsi" w:hAnsiTheme="minorHAnsi"/>
          <w:color w:val="auto"/>
          <w:szCs w:val="24"/>
        </w:rPr>
        <w:t>5</w:t>
      </w:r>
      <w:r w:rsidR="00F750A2" w:rsidRPr="00C54726">
        <w:rPr>
          <w:rFonts w:asciiTheme="minorHAnsi" w:hAnsiTheme="minorHAnsi"/>
          <w:color w:val="auto"/>
          <w:szCs w:val="24"/>
        </w:rPr>
        <w:t xml:space="preserve">0% permanent rating recommendation.  All members agreed that the </w:t>
      </w:r>
      <w:r w:rsidR="003D5121" w:rsidRPr="00C54726">
        <w:rPr>
          <w:rFonts w:asciiTheme="minorHAnsi" w:hAnsiTheme="minorHAnsi"/>
          <w:color w:val="auto"/>
          <w:szCs w:val="24"/>
        </w:rPr>
        <w:t>1</w:t>
      </w:r>
      <w:r w:rsidR="00F750A2" w:rsidRPr="00C54726">
        <w:rPr>
          <w:rFonts w:asciiTheme="minorHAnsi" w:hAnsiTheme="minorHAnsi"/>
          <w:color w:val="auto"/>
          <w:szCs w:val="24"/>
        </w:rPr>
        <w:t xml:space="preserve">0% threshold was well exceeded and that the </w:t>
      </w:r>
      <w:r w:rsidR="003D5121" w:rsidRPr="00C54726">
        <w:rPr>
          <w:rFonts w:asciiTheme="minorHAnsi" w:hAnsiTheme="minorHAnsi"/>
          <w:color w:val="auto"/>
          <w:szCs w:val="24"/>
        </w:rPr>
        <w:t>7</w:t>
      </w:r>
      <w:r w:rsidR="00F750A2" w:rsidRPr="00C54726">
        <w:rPr>
          <w:rFonts w:asciiTheme="minorHAnsi" w:hAnsiTheme="minorHAnsi"/>
          <w:color w:val="auto"/>
          <w:szCs w:val="24"/>
        </w:rPr>
        <w:t xml:space="preserve">0% threshold was not approached.  </w:t>
      </w:r>
      <w:r w:rsidR="00C6744C">
        <w:rPr>
          <w:rFonts w:asciiTheme="minorHAnsi" w:hAnsiTheme="minorHAnsi"/>
          <w:color w:val="auto"/>
          <w:szCs w:val="24"/>
        </w:rPr>
        <w:t xml:space="preserve">The preponderance of the evidence in this case favors a 30% permanent rating recommendation based on </w:t>
      </w:r>
      <w:r w:rsidR="003D07A5">
        <w:rPr>
          <w:rFonts w:asciiTheme="minorHAnsi" w:hAnsiTheme="minorHAnsi"/>
          <w:color w:val="auto"/>
          <w:szCs w:val="24"/>
        </w:rPr>
        <w:t xml:space="preserve">both </w:t>
      </w:r>
      <w:r w:rsidR="00C6744C">
        <w:rPr>
          <w:rFonts w:asciiTheme="minorHAnsi" w:hAnsiTheme="minorHAnsi"/>
          <w:color w:val="auto"/>
          <w:szCs w:val="24"/>
        </w:rPr>
        <w:t xml:space="preserve">the MEB and VA examinations.  The Board considered, however, that reasonable doubt arises from: 1) </w:t>
      </w:r>
      <w:r w:rsidR="00C6744C" w:rsidRPr="00C54726">
        <w:rPr>
          <w:rFonts w:asciiTheme="minorHAnsi" w:hAnsiTheme="minorHAnsi"/>
          <w:color w:val="auto"/>
          <w:szCs w:val="24"/>
        </w:rPr>
        <w:t xml:space="preserve">the true condition at six months </w:t>
      </w:r>
      <w:r w:rsidR="00C6744C">
        <w:rPr>
          <w:rFonts w:asciiTheme="minorHAnsi" w:hAnsiTheme="minorHAnsi"/>
          <w:color w:val="auto"/>
          <w:szCs w:val="24"/>
        </w:rPr>
        <w:t>remains</w:t>
      </w:r>
      <w:r w:rsidR="00C6744C" w:rsidRPr="00C54726">
        <w:rPr>
          <w:rFonts w:asciiTheme="minorHAnsi" w:hAnsiTheme="minorHAnsi"/>
          <w:color w:val="auto"/>
          <w:szCs w:val="24"/>
        </w:rPr>
        <w:t xml:space="preserve"> speculative </w:t>
      </w:r>
      <w:r w:rsidR="00C6744C">
        <w:rPr>
          <w:rFonts w:asciiTheme="minorHAnsi" w:hAnsiTheme="minorHAnsi"/>
          <w:color w:val="auto"/>
          <w:szCs w:val="24"/>
        </w:rPr>
        <w:t xml:space="preserve">even though the consistency between exams suggests that the condition was </w:t>
      </w:r>
      <w:r w:rsidR="00C6744C" w:rsidRPr="00C54726">
        <w:rPr>
          <w:rFonts w:asciiTheme="minorHAnsi" w:hAnsiTheme="minorHAnsi"/>
          <w:color w:val="auto"/>
          <w:szCs w:val="24"/>
        </w:rPr>
        <w:t xml:space="preserve">likely </w:t>
      </w:r>
      <w:r w:rsidR="00C6744C">
        <w:rPr>
          <w:rFonts w:asciiTheme="minorHAnsi" w:hAnsiTheme="minorHAnsi"/>
          <w:color w:val="auto"/>
          <w:szCs w:val="24"/>
        </w:rPr>
        <w:t xml:space="preserve">stable; and, 2) </w:t>
      </w:r>
      <w:r w:rsidR="00D12084">
        <w:rPr>
          <w:rFonts w:asciiTheme="minorHAnsi" w:hAnsiTheme="minorHAnsi"/>
          <w:color w:val="auto"/>
          <w:szCs w:val="24"/>
        </w:rPr>
        <w:t xml:space="preserve">the VA </w:t>
      </w:r>
      <w:r w:rsidR="00D12084">
        <w:rPr>
          <w:rFonts w:asciiTheme="minorHAnsi" w:hAnsiTheme="minorHAnsi"/>
          <w:color w:val="auto"/>
          <w:szCs w:val="24"/>
        </w:rPr>
        <w:lastRenderedPageBreak/>
        <w:t xml:space="preserve">justified a 50% </w:t>
      </w:r>
      <w:r w:rsidR="006C6F73">
        <w:rPr>
          <w:rFonts w:asciiTheme="minorHAnsi" w:hAnsiTheme="minorHAnsi"/>
          <w:color w:val="auto"/>
          <w:szCs w:val="24"/>
        </w:rPr>
        <w:t xml:space="preserve">rating </w:t>
      </w:r>
      <w:r w:rsidR="00D12084">
        <w:rPr>
          <w:rFonts w:asciiTheme="minorHAnsi" w:hAnsiTheme="minorHAnsi"/>
          <w:color w:val="auto"/>
          <w:szCs w:val="24"/>
        </w:rPr>
        <w:t xml:space="preserve">from </w:t>
      </w:r>
      <w:r w:rsidR="00D12084" w:rsidRPr="00C54726">
        <w:rPr>
          <w:rFonts w:asciiTheme="minorHAnsi" w:hAnsiTheme="minorHAnsi"/>
          <w:color w:val="auto"/>
          <w:szCs w:val="24"/>
        </w:rPr>
        <w:t>§4.130</w:t>
      </w:r>
      <w:r w:rsidR="00D12084">
        <w:rPr>
          <w:rFonts w:asciiTheme="minorHAnsi" w:hAnsiTheme="minorHAnsi"/>
          <w:color w:val="auto"/>
          <w:szCs w:val="24"/>
        </w:rPr>
        <w:t xml:space="preserve"> criteria and continued social impairment was documented.   After due deliberation and in consideration of a</w:t>
      </w:r>
      <w:r w:rsidR="00F750A2" w:rsidRPr="00C54726">
        <w:rPr>
          <w:rFonts w:asciiTheme="minorHAnsi" w:hAnsiTheme="minorHAnsi"/>
          <w:color w:val="auto"/>
          <w:szCs w:val="24"/>
        </w:rPr>
        <w:t xml:space="preserve">ll </w:t>
      </w:r>
      <w:r w:rsidR="00D12084">
        <w:rPr>
          <w:rFonts w:asciiTheme="minorHAnsi" w:hAnsiTheme="minorHAnsi"/>
          <w:color w:val="auto"/>
          <w:szCs w:val="24"/>
        </w:rPr>
        <w:t xml:space="preserve">the </w:t>
      </w:r>
      <w:r w:rsidR="00F750A2" w:rsidRPr="00C54726">
        <w:rPr>
          <w:rFonts w:asciiTheme="minorHAnsi" w:hAnsiTheme="minorHAnsi"/>
          <w:color w:val="auto"/>
          <w:szCs w:val="24"/>
        </w:rPr>
        <w:t xml:space="preserve">evidence, the Board recommends </w:t>
      </w:r>
      <w:r w:rsidR="008526F1" w:rsidRPr="003D07A5">
        <w:rPr>
          <w:rFonts w:asciiTheme="minorHAnsi" w:hAnsiTheme="minorHAnsi"/>
          <w:color w:val="auto"/>
          <w:szCs w:val="24"/>
        </w:rPr>
        <w:t>3</w:t>
      </w:r>
      <w:r w:rsidR="00F750A2" w:rsidRPr="003D07A5">
        <w:rPr>
          <w:rFonts w:asciiTheme="minorHAnsi" w:hAnsiTheme="minorHAnsi"/>
          <w:color w:val="auto"/>
          <w:szCs w:val="24"/>
        </w:rPr>
        <w:t>0%</w:t>
      </w:r>
      <w:r w:rsidR="003D07A5">
        <w:rPr>
          <w:rFonts w:asciiTheme="minorHAnsi" w:hAnsiTheme="minorHAnsi"/>
          <w:color w:val="auto"/>
          <w:szCs w:val="24"/>
        </w:rPr>
        <w:t xml:space="preserve"> </w:t>
      </w:r>
      <w:r w:rsidR="00F750A2" w:rsidRPr="00C54726">
        <w:rPr>
          <w:rFonts w:asciiTheme="minorHAnsi" w:hAnsiTheme="minorHAnsi"/>
          <w:color w:val="auto"/>
          <w:szCs w:val="24"/>
        </w:rPr>
        <w:t>as the fair permanent separation rating for PTSD in this case</w:t>
      </w:r>
      <w:r w:rsidR="00F750A2" w:rsidRPr="002157EC">
        <w:rPr>
          <w:rFonts w:asciiTheme="minorHAnsi" w:hAnsiTheme="minorHAnsi"/>
          <w:color w:val="auto"/>
          <w:szCs w:val="24"/>
        </w:rPr>
        <w:t>.</w:t>
      </w:r>
      <w:r w:rsidR="00F750A2" w:rsidRPr="008B6BB4">
        <w:rPr>
          <w:rFonts w:asciiTheme="minorHAnsi" w:hAnsiTheme="minorHAnsi"/>
          <w:color w:val="auto"/>
          <w:szCs w:val="24"/>
          <w:highlight w:val="lightGray"/>
        </w:rPr>
        <w:t xml:space="preserve">  </w:t>
      </w:r>
    </w:p>
    <w:p w:rsidR="00F750A2" w:rsidRPr="008B6BB4" w:rsidRDefault="00F750A2" w:rsidP="00BC5EF4">
      <w:pPr>
        <w:tabs>
          <w:tab w:val="left" w:pos="288"/>
          <w:tab w:val="left" w:pos="4752"/>
        </w:tabs>
        <w:spacing w:line="240" w:lineRule="exact"/>
        <w:jc w:val="both"/>
        <w:rPr>
          <w:rFonts w:asciiTheme="minorHAnsi" w:eastAsiaTheme="minorHAnsi" w:hAnsiTheme="minorHAnsi"/>
          <w:color w:val="auto"/>
          <w:szCs w:val="24"/>
          <w:highlight w:val="lightGray"/>
        </w:rPr>
      </w:pPr>
    </w:p>
    <w:p w:rsidR="00F26432" w:rsidRPr="00C74AED" w:rsidRDefault="002C6E5B" w:rsidP="00BC5EF4">
      <w:pPr>
        <w:tabs>
          <w:tab w:val="left" w:pos="288"/>
          <w:tab w:val="left" w:pos="4752"/>
        </w:tabs>
        <w:spacing w:line="240" w:lineRule="exact"/>
        <w:jc w:val="both"/>
        <w:rPr>
          <w:rFonts w:asciiTheme="minorHAnsi" w:hAnsiTheme="minorHAnsi"/>
          <w:color w:val="auto"/>
          <w:szCs w:val="24"/>
        </w:rPr>
      </w:pPr>
      <w:proofErr w:type="gramStart"/>
      <w:r w:rsidRPr="00F47215">
        <w:rPr>
          <w:rFonts w:asciiTheme="minorHAnsi" w:hAnsiTheme="minorHAnsi"/>
          <w:color w:val="auto"/>
          <w:szCs w:val="24"/>
          <w:u w:val="single"/>
        </w:rPr>
        <w:t>Other Conditions</w:t>
      </w:r>
      <w:r w:rsidRPr="00F47215">
        <w:rPr>
          <w:rFonts w:asciiTheme="minorHAnsi" w:hAnsiTheme="minorHAnsi"/>
          <w:color w:val="auto"/>
          <w:szCs w:val="24"/>
        </w:rPr>
        <w:t>.</w:t>
      </w:r>
      <w:proofErr w:type="gramEnd"/>
      <w:r w:rsidRPr="00F47215">
        <w:rPr>
          <w:rFonts w:asciiTheme="minorHAnsi" w:hAnsiTheme="minorHAnsi"/>
          <w:color w:val="auto"/>
          <w:szCs w:val="24"/>
        </w:rPr>
        <w:t xml:space="preserve">  </w:t>
      </w:r>
      <w:r w:rsidR="003D07A5">
        <w:rPr>
          <w:rFonts w:asciiTheme="minorHAnsi" w:hAnsiTheme="minorHAnsi"/>
          <w:color w:val="auto"/>
          <w:szCs w:val="24"/>
        </w:rPr>
        <w:t>Neither t</w:t>
      </w:r>
      <w:r w:rsidR="003D07A5" w:rsidRPr="00F47215">
        <w:rPr>
          <w:rFonts w:asciiTheme="minorHAnsi" w:hAnsiTheme="minorHAnsi"/>
          <w:color w:val="auto"/>
          <w:szCs w:val="24"/>
        </w:rPr>
        <w:t xml:space="preserve">he </w:t>
      </w:r>
      <w:r w:rsidR="00C216A5">
        <w:rPr>
          <w:rFonts w:asciiTheme="minorHAnsi" w:hAnsiTheme="minorHAnsi"/>
          <w:color w:val="auto"/>
          <w:szCs w:val="24"/>
        </w:rPr>
        <w:t>narrative summary (</w:t>
      </w:r>
      <w:r w:rsidR="003D07A5" w:rsidRPr="00F47215">
        <w:rPr>
          <w:rFonts w:asciiTheme="minorHAnsi" w:hAnsiTheme="minorHAnsi"/>
          <w:color w:val="auto"/>
          <w:szCs w:val="24"/>
        </w:rPr>
        <w:t>NARSUM</w:t>
      </w:r>
      <w:r w:rsidR="00C216A5">
        <w:rPr>
          <w:rFonts w:asciiTheme="minorHAnsi" w:hAnsiTheme="minorHAnsi"/>
          <w:color w:val="auto"/>
          <w:szCs w:val="24"/>
        </w:rPr>
        <w:t>)</w:t>
      </w:r>
      <w:r w:rsidR="003D07A5">
        <w:rPr>
          <w:rFonts w:asciiTheme="minorHAnsi" w:hAnsiTheme="minorHAnsi"/>
          <w:color w:val="auto"/>
          <w:szCs w:val="24"/>
        </w:rPr>
        <w:t>, MEB physical examination nor</w:t>
      </w:r>
      <w:r w:rsidR="00D12084">
        <w:rPr>
          <w:rFonts w:asciiTheme="minorHAnsi" w:hAnsiTheme="minorHAnsi"/>
          <w:color w:val="auto"/>
          <w:szCs w:val="24"/>
        </w:rPr>
        <w:t xml:space="preserve"> other documents in the DES </w:t>
      </w:r>
      <w:r w:rsidR="007A1F6C" w:rsidRPr="00F47215">
        <w:rPr>
          <w:rFonts w:asciiTheme="minorHAnsi" w:hAnsiTheme="minorHAnsi"/>
          <w:color w:val="auto"/>
          <w:szCs w:val="24"/>
        </w:rPr>
        <w:t>identif</w:t>
      </w:r>
      <w:r w:rsidR="003D07A5">
        <w:rPr>
          <w:rFonts w:asciiTheme="minorHAnsi" w:hAnsiTheme="minorHAnsi"/>
          <w:color w:val="auto"/>
          <w:szCs w:val="24"/>
        </w:rPr>
        <w:t>ied</w:t>
      </w:r>
      <w:r w:rsidR="007A1F6C" w:rsidRPr="00F47215">
        <w:rPr>
          <w:rFonts w:asciiTheme="minorHAnsi" w:hAnsiTheme="minorHAnsi"/>
          <w:color w:val="auto"/>
          <w:szCs w:val="24"/>
        </w:rPr>
        <w:t xml:space="preserve"> any conditions other than those specified above.  </w:t>
      </w:r>
      <w:r w:rsidR="00C74AED">
        <w:rPr>
          <w:rFonts w:asciiTheme="minorHAnsi" w:eastAsiaTheme="minorHAnsi" w:hAnsiTheme="minorHAnsi"/>
          <w:color w:val="auto"/>
          <w:szCs w:val="24"/>
        </w:rPr>
        <w:t>Three</w:t>
      </w:r>
      <w:r w:rsidR="00C54726">
        <w:rPr>
          <w:rFonts w:asciiTheme="minorHAnsi" w:eastAsiaTheme="minorHAnsi" w:hAnsiTheme="minorHAnsi"/>
          <w:color w:val="auto"/>
          <w:szCs w:val="24"/>
        </w:rPr>
        <w:t xml:space="preserve"> other conditions</w:t>
      </w:r>
      <w:r w:rsidR="00C74AED">
        <w:rPr>
          <w:rFonts w:asciiTheme="minorHAnsi" w:eastAsiaTheme="minorHAnsi" w:hAnsiTheme="minorHAnsi"/>
          <w:color w:val="auto"/>
          <w:szCs w:val="24"/>
        </w:rPr>
        <w:t xml:space="preserve">, i.e., </w:t>
      </w:r>
      <w:proofErr w:type="spellStart"/>
      <w:r w:rsidR="00F47215">
        <w:rPr>
          <w:rFonts w:asciiTheme="minorHAnsi" w:eastAsiaTheme="minorHAnsi" w:hAnsiTheme="minorHAnsi"/>
          <w:color w:val="auto"/>
          <w:szCs w:val="24"/>
        </w:rPr>
        <w:t>t</w:t>
      </w:r>
      <w:r w:rsidR="00F47215" w:rsidRPr="00F47215">
        <w:rPr>
          <w:rFonts w:asciiTheme="minorHAnsi" w:eastAsiaTheme="minorHAnsi" w:hAnsiTheme="minorHAnsi"/>
          <w:color w:val="auto"/>
          <w:szCs w:val="24"/>
        </w:rPr>
        <w:t>emporomandibular</w:t>
      </w:r>
      <w:proofErr w:type="spellEnd"/>
      <w:r w:rsidR="00F47215" w:rsidRPr="00F47215">
        <w:rPr>
          <w:rFonts w:asciiTheme="minorHAnsi" w:eastAsiaTheme="minorHAnsi" w:hAnsiTheme="minorHAnsi"/>
          <w:color w:val="auto"/>
          <w:szCs w:val="24"/>
        </w:rPr>
        <w:t xml:space="preserve"> </w:t>
      </w:r>
      <w:r w:rsidR="00F47215">
        <w:rPr>
          <w:rFonts w:asciiTheme="minorHAnsi" w:eastAsiaTheme="minorHAnsi" w:hAnsiTheme="minorHAnsi"/>
          <w:color w:val="auto"/>
          <w:szCs w:val="24"/>
        </w:rPr>
        <w:t>d</w:t>
      </w:r>
      <w:r w:rsidR="00F47215" w:rsidRPr="00F47215">
        <w:rPr>
          <w:rFonts w:asciiTheme="minorHAnsi" w:eastAsiaTheme="minorHAnsi" w:hAnsiTheme="minorHAnsi"/>
          <w:color w:val="auto"/>
          <w:szCs w:val="24"/>
        </w:rPr>
        <w:t>ysfunction</w:t>
      </w:r>
      <w:r w:rsidR="00C74AED">
        <w:rPr>
          <w:rFonts w:asciiTheme="minorHAnsi" w:eastAsiaTheme="minorHAnsi" w:hAnsiTheme="minorHAnsi"/>
          <w:color w:val="auto"/>
          <w:szCs w:val="24"/>
        </w:rPr>
        <w:t>,</w:t>
      </w:r>
      <w:r w:rsidR="00C54726">
        <w:rPr>
          <w:rFonts w:asciiTheme="minorHAnsi" w:eastAsiaTheme="minorHAnsi" w:hAnsiTheme="minorHAnsi"/>
          <w:color w:val="auto"/>
          <w:szCs w:val="24"/>
        </w:rPr>
        <w:t xml:space="preserve"> </w:t>
      </w:r>
      <w:r w:rsidR="00F47215">
        <w:rPr>
          <w:rFonts w:asciiTheme="minorHAnsi" w:eastAsiaTheme="minorHAnsi" w:hAnsiTheme="minorHAnsi"/>
          <w:color w:val="auto"/>
          <w:szCs w:val="24"/>
        </w:rPr>
        <w:t xml:space="preserve">a </w:t>
      </w:r>
      <w:r w:rsidR="00C74AED">
        <w:rPr>
          <w:rFonts w:asciiTheme="minorHAnsi" w:eastAsiaTheme="minorHAnsi" w:hAnsiTheme="minorHAnsi"/>
          <w:color w:val="auto"/>
          <w:szCs w:val="24"/>
        </w:rPr>
        <w:t xml:space="preserve">right shoulder condition and a right ankle condition, </w:t>
      </w:r>
      <w:r w:rsidR="00C54726">
        <w:rPr>
          <w:rFonts w:asciiTheme="minorHAnsi" w:eastAsiaTheme="minorHAnsi" w:hAnsiTheme="minorHAnsi"/>
          <w:color w:val="auto"/>
          <w:szCs w:val="24"/>
        </w:rPr>
        <w:t>were service connected by the VA within twelve months of separation</w:t>
      </w:r>
      <w:r w:rsidR="00C74AED">
        <w:rPr>
          <w:rFonts w:asciiTheme="minorHAnsi" w:eastAsiaTheme="minorHAnsi" w:hAnsiTheme="minorHAnsi"/>
          <w:color w:val="auto"/>
          <w:szCs w:val="24"/>
        </w:rPr>
        <w:t xml:space="preserve"> and listed in the application</w:t>
      </w:r>
      <w:r w:rsidR="00C54726">
        <w:rPr>
          <w:rFonts w:asciiTheme="minorHAnsi" w:eastAsiaTheme="minorHAnsi" w:hAnsiTheme="minorHAnsi"/>
          <w:color w:val="auto"/>
          <w:szCs w:val="24"/>
        </w:rPr>
        <w:t>.</w:t>
      </w:r>
      <w:r w:rsidR="00F47215">
        <w:rPr>
          <w:rFonts w:asciiTheme="minorHAnsi" w:eastAsiaTheme="minorHAnsi" w:hAnsiTheme="minorHAnsi"/>
          <w:color w:val="auto"/>
          <w:szCs w:val="24"/>
        </w:rPr>
        <w:t xml:space="preserve">  </w:t>
      </w:r>
      <w:r w:rsidR="00C74AED">
        <w:rPr>
          <w:rFonts w:asciiTheme="minorHAnsi" w:hAnsiTheme="minorHAnsi"/>
          <w:color w:val="auto"/>
          <w:szCs w:val="24"/>
        </w:rPr>
        <w:t>Although it is noted that none of these</w:t>
      </w:r>
      <w:r w:rsidR="00F47215">
        <w:rPr>
          <w:rFonts w:asciiTheme="minorHAnsi" w:hAnsiTheme="minorHAnsi"/>
          <w:color w:val="auto"/>
          <w:szCs w:val="24"/>
        </w:rPr>
        <w:t xml:space="preserve"> condition</w:t>
      </w:r>
      <w:r w:rsidR="00C74AED">
        <w:rPr>
          <w:rFonts w:asciiTheme="minorHAnsi" w:hAnsiTheme="minorHAnsi"/>
          <w:color w:val="auto"/>
          <w:szCs w:val="24"/>
        </w:rPr>
        <w:t>s were</w:t>
      </w:r>
      <w:r w:rsidR="00F47215">
        <w:rPr>
          <w:rFonts w:asciiTheme="minorHAnsi" w:hAnsiTheme="minorHAnsi"/>
          <w:color w:val="auto"/>
          <w:szCs w:val="24"/>
        </w:rPr>
        <w:t xml:space="preserve"> profiled or </w:t>
      </w:r>
      <w:r w:rsidR="00C74AED">
        <w:rPr>
          <w:rFonts w:asciiTheme="minorHAnsi" w:hAnsiTheme="minorHAnsi"/>
          <w:color w:val="auto"/>
          <w:szCs w:val="24"/>
        </w:rPr>
        <w:t>covered in the Commander’s statement,</w:t>
      </w:r>
      <w:r w:rsidR="00F47215">
        <w:rPr>
          <w:rFonts w:asciiTheme="minorHAnsi" w:hAnsiTheme="minorHAnsi"/>
          <w:color w:val="auto"/>
          <w:szCs w:val="24"/>
        </w:rPr>
        <w:t xml:space="preserve"> </w:t>
      </w:r>
      <w:r w:rsidR="00C74AED">
        <w:rPr>
          <w:rFonts w:asciiTheme="minorHAnsi" w:eastAsiaTheme="minorHAnsi" w:hAnsiTheme="minorHAnsi"/>
          <w:color w:val="auto"/>
          <w:szCs w:val="24"/>
        </w:rPr>
        <w:t>t</w:t>
      </w:r>
      <w:r w:rsidR="00F47215">
        <w:rPr>
          <w:rFonts w:ascii="Calibri" w:hAnsi="Calibri"/>
          <w:color w:val="auto"/>
          <w:szCs w:val="24"/>
        </w:rPr>
        <w:t xml:space="preserve">he Board does not have the authority under </w:t>
      </w:r>
      <w:proofErr w:type="spellStart"/>
      <w:r w:rsidR="00F47215">
        <w:rPr>
          <w:rFonts w:ascii="Calibri" w:hAnsi="Calibri"/>
          <w:color w:val="auto"/>
          <w:szCs w:val="24"/>
        </w:rPr>
        <w:t>DoDI</w:t>
      </w:r>
      <w:proofErr w:type="spellEnd"/>
      <w:r w:rsidR="00F47215">
        <w:rPr>
          <w:rFonts w:ascii="Calibri" w:hAnsi="Calibri"/>
          <w:color w:val="auto"/>
          <w:szCs w:val="24"/>
        </w:rPr>
        <w:t xml:space="preserve"> </w:t>
      </w:r>
      <w:r w:rsidR="00F47215" w:rsidRPr="00AE3316">
        <w:rPr>
          <w:rFonts w:asciiTheme="minorHAnsi" w:eastAsiaTheme="minorHAnsi" w:hAnsiTheme="minorHAnsi"/>
          <w:color w:val="auto"/>
          <w:szCs w:val="24"/>
        </w:rPr>
        <w:t>6040.44</w:t>
      </w:r>
      <w:r w:rsidR="00F47215">
        <w:rPr>
          <w:rFonts w:asciiTheme="minorHAnsi" w:eastAsiaTheme="minorHAnsi" w:hAnsiTheme="minorHAnsi"/>
          <w:color w:val="auto"/>
          <w:szCs w:val="24"/>
        </w:rPr>
        <w:t xml:space="preserve"> to render fitness or rating recommendations for any conditions not </w:t>
      </w:r>
      <w:r w:rsidR="005E0E04">
        <w:rPr>
          <w:rFonts w:asciiTheme="minorHAnsi" w:eastAsiaTheme="minorHAnsi" w:hAnsiTheme="minorHAnsi"/>
          <w:color w:val="auto"/>
          <w:szCs w:val="24"/>
        </w:rPr>
        <w:t>considered by</w:t>
      </w:r>
      <w:r w:rsidR="00F47215">
        <w:rPr>
          <w:rFonts w:asciiTheme="minorHAnsi" w:eastAsiaTheme="minorHAnsi" w:hAnsiTheme="minorHAnsi"/>
          <w:color w:val="auto"/>
          <w:szCs w:val="24"/>
        </w:rPr>
        <w:t xml:space="preserve"> the DES.  </w:t>
      </w:r>
      <w:r w:rsidR="005E0E04">
        <w:rPr>
          <w:rFonts w:asciiTheme="minorHAnsi" w:eastAsiaTheme="minorHAnsi" w:hAnsiTheme="minorHAnsi"/>
          <w:color w:val="auto"/>
          <w:szCs w:val="24"/>
        </w:rPr>
        <w:t>These three conditions</w:t>
      </w:r>
      <w:r w:rsidR="00F47215">
        <w:rPr>
          <w:rFonts w:asciiTheme="minorHAnsi" w:eastAsiaTheme="minorHAnsi" w:hAnsiTheme="minorHAnsi"/>
          <w:color w:val="auto"/>
          <w:szCs w:val="24"/>
        </w:rPr>
        <w:t xml:space="preserve"> and any contended conditions not covered above remain eligible for </w:t>
      </w:r>
      <w:r w:rsidR="004607CC">
        <w:rPr>
          <w:rFonts w:asciiTheme="minorHAnsi" w:eastAsiaTheme="minorHAnsi" w:hAnsiTheme="minorHAnsi"/>
          <w:color w:val="auto"/>
          <w:szCs w:val="24"/>
        </w:rPr>
        <w:t>AF</w:t>
      </w:r>
      <w:r w:rsidR="00F47215" w:rsidRPr="004607CC">
        <w:rPr>
          <w:rFonts w:asciiTheme="minorHAnsi" w:eastAsiaTheme="minorHAnsi" w:hAnsiTheme="minorHAnsi"/>
          <w:color w:val="auto"/>
          <w:szCs w:val="24"/>
        </w:rPr>
        <w:t>B</w:t>
      </w:r>
      <w:r w:rsidR="00024F16" w:rsidRPr="004607CC">
        <w:rPr>
          <w:rFonts w:asciiTheme="minorHAnsi" w:eastAsiaTheme="minorHAnsi" w:hAnsiTheme="minorHAnsi"/>
          <w:color w:val="auto"/>
          <w:szCs w:val="24"/>
        </w:rPr>
        <w:t>C</w:t>
      </w:r>
      <w:r w:rsidR="00F47215" w:rsidRPr="004607CC">
        <w:rPr>
          <w:rFonts w:asciiTheme="minorHAnsi" w:eastAsiaTheme="minorHAnsi" w:hAnsiTheme="minorHAnsi"/>
          <w:color w:val="auto"/>
          <w:szCs w:val="24"/>
        </w:rPr>
        <w:t>MR</w:t>
      </w:r>
      <w:r w:rsidR="00F47215">
        <w:rPr>
          <w:rFonts w:asciiTheme="minorHAnsi" w:eastAsiaTheme="minorHAnsi" w:hAnsiTheme="minorHAnsi"/>
          <w:color w:val="auto"/>
          <w:szCs w:val="24"/>
        </w:rPr>
        <w:t xml:space="preserve"> consideration.  </w:t>
      </w:r>
    </w:p>
    <w:p w:rsidR="00A90D55" w:rsidRPr="00C54726" w:rsidRDefault="008B5D31" w:rsidP="00875F2D">
      <w:pPr>
        <w:tabs>
          <w:tab w:val="left" w:pos="288"/>
          <w:tab w:val="left" w:pos="4752"/>
        </w:tabs>
        <w:spacing w:line="240" w:lineRule="exact"/>
        <w:jc w:val="both"/>
        <w:rPr>
          <w:color w:val="000080"/>
        </w:rPr>
      </w:pPr>
      <w:r w:rsidRPr="00C54726">
        <w:rPr>
          <w:color w:val="000080"/>
          <w:u w:val="single"/>
        </w:rPr>
        <w:t>_______________________________________________________________</w:t>
      </w:r>
      <w:r w:rsidRPr="00C54726">
        <w:rPr>
          <w:color w:val="000080"/>
        </w:rPr>
        <w:t>_</w:t>
      </w:r>
    </w:p>
    <w:p w:rsidR="00A90D55" w:rsidRPr="008B6BB4" w:rsidRDefault="00A90D55" w:rsidP="00875F2D">
      <w:pPr>
        <w:tabs>
          <w:tab w:val="left" w:pos="288"/>
          <w:tab w:val="left" w:pos="4752"/>
        </w:tabs>
        <w:spacing w:line="240" w:lineRule="exact"/>
        <w:jc w:val="both"/>
        <w:rPr>
          <w:color w:val="000080"/>
          <w:highlight w:val="lightGray"/>
        </w:rPr>
      </w:pPr>
    </w:p>
    <w:p w:rsidR="00C56FC8" w:rsidRPr="005E0E04" w:rsidRDefault="00C56FC8" w:rsidP="00BC5EF4">
      <w:pPr>
        <w:spacing w:line="240" w:lineRule="exact"/>
        <w:jc w:val="both"/>
        <w:rPr>
          <w:rFonts w:asciiTheme="minorHAnsi" w:hAnsiTheme="minorHAnsi"/>
          <w:color w:val="auto"/>
          <w:szCs w:val="24"/>
        </w:rPr>
      </w:pPr>
      <w:r w:rsidRPr="00FC0410">
        <w:rPr>
          <w:rFonts w:asciiTheme="minorHAnsi" w:hAnsiTheme="minorHAnsi"/>
          <w:color w:val="auto"/>
          <w:szCs w:val="24"/>
          <w:u w:val="single"/>
        </w:rPr>
        <w:t>BOARD FINDINGS</w:t>
      </w:r>
      <w:r w:rsidRPr="00FC0410">
        <w:rPr>
          <w:rFonts w:asciiTheme="minorHAnsi" w:hAnsiTheme="minorHAnsi"/>
          <w:color w:val="auto"/>
          <w:szCs w:val="24"/>
        </w:rPr>
        <w:t>:</w:t>
      </w:r>
      <w:r w:rsidRPr="00FC0410">
        <w:rPr>
          <w:rFonts w:asciiTheme="minorHAnsi" w:eastAsiaTheme="minorHAnsi" w:hAnsiTheme="minorHAnsi"/>
          <w:color w:val="auto"/>
          <w:szCs w:val="24"/>
        </w:rPr>
        <w:t xml:space="preserve">  </w:t>
      </w:r>
      <w:r w:rsidR="00FC0410" w:rsidRPr="00FC0410">
        <w:rPr>
          <w:rFonts w:asciiTheme="minorHAnsi" w:hAnsiTheme="minorHAnsi"/>
          <w:color w:val="auto"/>
          <w:szCs w:val="24"/>
        </w:rPr>
        <w:t xml:space="preserve">IAW </w:t>
      </w:r>
      <w:proofErr w:type="spellStart"/>
      <w:r w:rsidR="00FC0410" w:rsidRPr="00FC0410">
        <w:rPr>
          <w:rFonts w:asciiTheme="minorHAnsi" w:hAnsiTheme="minorHAnsi"/>
          <w:color w:val="auto"/>
          <w:szCs w:val="24"/>
        </w:rPr>
        <w:t>DoDI</w:t>
      </w:r>
      <w:proofErr w:type="spellEnd"/>
      <w:r w:rsidR="00FC0410" w:rsidRPr="00FC0410">
        <w:rPr>
          <w:rFonts w:asciiTheme="minorHAnsi" w:hAnsiTheme="minorHAnsi"/>
          <w:color w:val="auto"/>
          <w:szCs w:val="24"/>
        </w:rPr>
        <w:t xml:space="preserve"> 6040.44, provisions of </w:t>
      </w:r>
      <w:proofErr w:type="spellStart"/>
      <w:r w:rsidR="00FC0410" w:rsidRPr="00FC0410">
        <w:rPr>
          <w:rFonts w:asciiTheme="minorHAnsi" w:hAnsiTheme="minorHAnsi"/>
          <w:color w:val="auto"/>
          <w:szCs w:val="24"/>
        </w:rPr>
        <w:t>DoD</w:t>
      </w:r>
      <w:proofErr w:type="spellEnd"/>
      <w:r w:rsidR="00FC0410" w:rsidRPr="00FC0410">
        <w:rPr>
          <w:rFonts w:ascii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As discussed above, PEB reliance on </w:t>
      </w:r>
      <w:proofErr w:type="spellStart"/>
      <w:r w:rsidR="00FC0410" w:rsidRPr="00FC0410">
        <w:rPr>
          <w:rFonts w:asciiTheme="minorHAnsi" w:hAnsiTheme="minorHAnsi"/>
          <w:color w:val="auto"/>
          <w:szCs w:val="24"/>
        </w:rPr>
        <w:t>DoDI</w:t>
      </w:r>
      <w:proofErr w:type="spellEnd"/>
      <w:r w:rsidR="00FC0410" w:rsidRPr="00FC0410">
        <w:rPr>
          <w:rFonts w:asciiTheme="minorHAnsi" w:hAnsiTheme="minorHAnsi"/>
          <w:color w:val="auto"/>
          <w:szCs w:val="24"/>
        </w:rPr>
        <w:t xml:space="preserve"> 1332.39 for rating PTSD was operant in t</w:t>
      </w:r>
      <w:r w:rsidR="00926AEF">
        <w:rPr>
          <w:rFonts w:asciiTheme="minorHAnsi" w:hAnsiTheme="minorHAnsi"/>
          <w:color w:val="auto"/>
          <w:szCs w:val="24"/>
        </w:rPr>
        <w:t>his case and the CI’s condition</w:t>
      </w:r>
      <w:r w:rsidR="00FC0410" w:rsidRPr="00FC0410">
        <w:rPr>
          <w:rFonts w:asciiTheme="minorHAnsi" w:hAnsiTheme="minorHAnsi"/>
          <w:color w:val="auto"/>
          <w:szCs w:val="24"/>
        </w:rPr>
        <w:t xml:space="preserve"> w</w:t>
      </w:r>
      <w:r w:rsidR="00926AEF">
        <w:rPr>
          <w:rFonts w:asciiTheme="minorHAnsi" w:hAnsiTheme="minorHAnsi"/>
          <w:color w:val="auto"/>
          <w:szCs w:val="24"/>
        </w:rPr>
        <w:t>as</w:t>
      </w:r>
      <w:r w:rsidR="00FC0410" w:rsidRPr="00FC0410">
        <w:rPr>
          <w:rFonts w:asciiTheme="minorHAnsi" w:hAnsiTheme="minorHAnsi"/>
          <w:color w:val="auto"/>
          <w:szCs w:val="24"/>
        </w:rPr>
        <w:t xml:space="preserve"> adjudicated independently of that instruction by the Board.  </w:t>
      </w:r>
      <w:r w:rsidR="003D07A5">
        <w:rPr>
          <w:rFonts w:asciiTheme="minorHAnsi" w:eastAsiaTheme="minorHAnsi" w:hAnsiTheme="minorHAnsi"/>
          <w:color w:val="auto"/>
          <w:szCs w:val="24"/>
        </w:rPr>
        <w:t>In the matter of the Post-</w:t>
      </w:r>
      <w:r w:rsidR="00262ABE" w:rsidRPr="00FC0410">
        <w:rPr>
          <w:rFonts w:asciiTheme="minorHAnsi" w:eastAsiaTheme="minorHAnsi" w:hAnsiTheme="minorHAnsi"/>
          <w:color w:val="auto"/>
          <w:szCs w:val="24"/>
        </w:rPr>
        <w:t xml:space="preserve">Traumatic Stress Disorder </w:t>
      </w:r>
      <w:r w:rsidR="003D07A5">
        <w:rPr>
          <w:rFonts w:asciiTheme="minorHAnsi" w:eastAsiaTheme="minorHAnsi" w:hAnsiTheme="minorHAnsi"/>
          <w:color w:val="auto"/>
          <w:szCs w:val="24"/>
        </w:rPr>
        <w:t xml:space="preserve">with Generalized Anxiety Disorder condition, </w:t>
      </w:r>
      <w:r w:rsidR="00262ABE" w:rsidRPr="00FC0410">
        <w:rPr>
          <w:rFonts w:asciiTheme="minorHAnsi" w:eastAsiaTheme="minorHAnsi" w:hAnsiTheme="minorHAnsi"/>
          <w:color w:val="auto"/>
          <w:szCs w:val="24"/>
        </w:rPr>
        <w:t>the Board unanimously recommends an initial TDRL rating of 50% in retroactive compliance with VASRD §4.12</w:t>
      </w:r>
      <w:r w:rsidR="00FC0410">
        <w:rPr>
          <w:rFonts w:asciiTheme="minorHAnsi" w:eastAsiaTheme="minorHAnsi" w:hAnsiTheme="minorHAnsi"/>
          <w:color w:val="auto"/>
          <w:szCs w:val="24"/>
        </w:rPr>
        <w:t xml:space="preserve">9 as </w:t>
      </w:r>
      <w:proofErr w:type="spellStart"/>
      <w:r w:rsidR="00FC0410">
        <w:rPr>
          <w:rFonts w:asciiTheme="minorHAnsi" w:eastAsiaTheme="minorHAnsi" w:hAnsiTheme="minorHAnsi"/>
          <w:color w:val="auto"/>
          <w:szCs w:val="24"/>
        </w:rPr>
        <w:t>DoD</w:t>
      </w:r>
      <w:proofErr w:type="spellEnd"/>
      <w:r w:rsidR="00FC0410">
        <w:rPr>
          <w:rFonts w:asciiTheme="minorHAnsi" w:eastAsiaTheme="minorHAnsi" w:hAnsiTheme="minorHAnsi"/>
          <w:color w:val="auto"/>
          <w:szCs w:val="24"/>
        </w:rPr>
        <w:t xml:space="preserve"> directed; and a </w:t>
      </w:r>
      <w:r w:rsidR="00FC0410" w:rsidRPr="003D07A5">
        <w:rPr>
          <w:rFonts w:asciiTheme="minorHAnsi" w:eastAsiaTheme="minorHAnsi" w:hAnsiTheme="minorHAnsi"/>
          <w:color w:val="auto"/>
          <w:szCs w:val="24"/>
        </w:rPr>
        <w:t>30%</w:t>
      </w:r>
      <w:r w:rsidR="00262ABE" w:rsidRPr="003D07A5">
        <w:rPr>
          <w:rFonts w:asciiTheme="minorHAnsi" w:eastAsiaTheme="minorHAnsi" w:hAnsiTheme="minorHAnsi"/>
          <w:color w:val="auto"/>
          <w:szCs w:val="24"/>
        </w:rPr>
        <w:t xml:space="preserve"> </w:t>
      </w:r>
      <w:r w:rsidR="00262ABE" w:rsidRPr="00FC0410">
        <w:rPr>
          <w:rFonts w:asciiTheme="minorHAnsi" w:eastAsiaTheme="minorHAnsi" w:hAnsiTheme="minorHAnsi"/>
          <w:color w:val="auto"/>
          <w:szCs w:val="24"/>
        </w:rPr>
        <w:t xml:space="preserve">permanent rating at 6 months IAW VASRD §4.130.  </w:t>
      </w:r>
      <w:r w:rsidR="005E0E04" w:rsidRPr="00CD15BE">
        <w:rPr>
          <w:rFonts w:asciiTheme="minorHAnsi" w:hAnsiTheme="minorHAnsi"/>
          <w:color w:val="auto"/>
          <w:szCs w:val="24"/>
        </w:rPr>
        <w:t xml:space="preserve">The Board </w:t>
      </w:r>
      <w:r w:rsidR="005E0E04" w:rsidRPr="003D07A5">
        <w:rPr>
          <w:rFonts w:asciiTheme="minorHAnsi" w:hAnsiTheme="minorHAnsi"/>
          <w:color w:val="auto"/>
          <w:szCs w:val="24"/>
        </w:rPr>
        <w:t>unanimously</w:t>
      </w:r>
      <w:r w:rsidR="005E0E04" w:rsidRPr="00CD15BE">
        <w:rPr>
          <w:rFonts w:asciiTheme="minorHAnsi" w:hAnsiTheme="minorHAnsi"/>
          <w:color w:val="auto"/>
          <w:szCs w:val="24"/>
        </w:rPr>
        <w:t xml:space="preserve"> agrees that there w</w:t>
      </w:r>
      <w:r w:rsidR="005E0E04">
        <w:rPr>
          <w:rFonts w:asciiTheme="minorHAnsi" w:hAnsiTheme="minorHAnsi"/>
          <w:color w:val="auto"/>
          <w:szCs w:val="24"/>
        </w:rPr>
        <w:t>ere</w:t>
      </w:r>
      <w:r w:rsidR="005E0E04" w:rsidRPr="00CD15BE">
        <w:rPr>
          <w:rFonts w:asciiTheme="minorHAnsi" w:hAnsiTheme="minorHAnsi"/>
          <w:color w:val="auto"/>
          <w:szCs w:val="24"/>
        </w:rPr>
        <w:t xml:space="preserve"> no other condition</w:t>
      </w:r>
      <w:r w:rsidR="005E0E04">
        <w:rPr>
          <w:rFonts w:asciiTheme="minorHAnsi" w:hAnsiTheme="minorHAnsi"/>
          <w:color w:val="auto"/>
          <w:szCs w:val="24"/>
        </w:rPr>
        <w:t>s</w:t>
      </w:r>
      <w:r w:rsidR="005E0E04" w:rsidRPr="00CD15BE">
        <w:rPr>
          <w:rFonts w:asciiTheme="minorHAnsi" w:hAnsiTheme="minorHAnsi"/>
          <w:color w:val="auto"/>
          <w:szCs w:val="24"/>
        </w:rPr>
        <w:t xml:space="preserve"> eligible for </w:t>
      </w:r>
      <w:r w:rsidR="005E0E04">
        <w:rPr>
          <w:rFonts w:asciiTheme="minorHAnsi" w:hAnsiTheme="minorHAnsi"/>
          <w:color w:val="auto"/>
          <w:szCs w:val="24"/>
        </w:rPr>
        <w:t>Board consideration</w:t>
      </w:r>
      <w:r w:rsidR="005E0E04" w:rsidRPr="00CD15BE">
        <w:rPr>
          <w:rFonts w:asciiTheme="minorHAnsi" w:hAnsiTheme="minorHAnsi"/>
          <w:color w:val="auto"/>
          <w:szCs w:val="24"/>
        </w:rPr>
        <w:t xml:space="preserve"> which </w:t>
      </w:r>
      <w:r w:rsidR="005E0E04">
        <w:rPr>
          <w:rFonts w:asciiTheme="minorHAnsi" w:hAnsiTheme="minorHAnsi"/>
          <w:color w:val="auto"/>
          <w:szCs w:val="24"/>
        </w:rPr>
        <w:t>could be recommended</w:t>
      </w:r>
      <w:r w:rsidR="005E0E04" w:rsidRPr="00CD15BE">
        <w:rPr>
          <w:rFonts w:asciiTheme="minorHAnsi" w:hAnsiTheme="minorHAnsi"/>
          <w:color w:val="auto"/>
          <w:szCs w:val="24"/>
        </w:rPr>
        <w:t xml:space="preserve"> as additionally unfitting</w:t>
      </w:r>
      <w:r w:rsidR="005E0E04">
        <w:rPr>
          <w:rFonts w:asciiTheme="minorHAnsi" w:hAnsiTheme="minorHAnsi"/>
          <w:color w:val="auto"/>
          <w:szCs w:val="24"/>
        </w:rPr>
        <w:t xml:space="preserve"> for rating at separation</w:t>
      </w:r>
      <w:r w:rsidR="005E0E04" w:rsidRPr="00CD15BE">
        <w:rPr>
          <w:rFonts w:asciiTheme="minorHAnsi" w:hAnsiTheme="minorHAnsi"/>
          <w:color w:val="auto"/>
          <w:szCs w:val="24"/>
        </w:rPr>
        <w:t>.</w:t>
      </w:r>
    </w:p>
    <w:p w:rsidR="00FB593A" w:rsidRPr="008B6BB4" w:rsidRDefault="008B5D31" w:rsidP="00875F2D">
      <w:pPr>
        <w:tabs>
          <w:tab w:val="left" w:pos="288"/>
          <w:tab w:val="left" w:pos="4752"/>
        </w:tabs>
        <w:spacing w:line="240" w:lineRule="exact"/>
        <w:jc w:val="both"/>
        <w:rPr>
          <w:color w:val="000080"/>
          <w:highlight w:val="lightGray"/>
        </w:rPr>
      </w:pPr>
      <w:r w:rsidRPr="000D3347">
        <w:rPr>
          <w:color w:val="000080"/>
          <w:u w:val="single"/>
        </w:rPr>
        <w:t>_______________________________________________________________</w:t>
      </w:r>
      <w:r w:rsidRPr="000D3347">
        <w:rPr>
          <w:color w:val="000080"/>
        </w:rPr>
        <w:t>_</w:t>
      </w:r>
    </w:p>
    <w:p w:rsidR="00FB593A" w:rsidRPr="008B6BB4" w:rsidRDefault="00FB593A" w:rsidP="00875F2D">
      <w:pPr>
        <w:tabs>
          <w:tab w:val="left" w:pos="288"/>
          <w:tab w:val="left" w:pos="4752"/>
        </w:tabs>
        <w:spacing w:line="240" w:lineRule="exact"/>
        <w:jc w:val="both"/>
        <w:rPr>
          <w:color w:val="000080"/>
          <w:highlight w:val="lightGray"/>
        </w:rPr>
      </w:pPr>
    </w:p>
    <w:p w:rsidR="00C56FC8" w:rsidRDefault="00C56FC8" w:rsidP="00BC5EF4">
      <w:pPr>
        <w:tabs>
          <w:tab w:val="left" w:pos="288"/>
          <w:tab w:val="left" w:pos="4752"/>
        </w:tabs>
        <w:spacing w:line="240" w:lineRule="exact"/>
        <w:jc w:val="both"/>
        <w:rPr>
          <w:rFonts w:asciiTheme="minorHAnsi" w:hAnsiTheme="minorHAnsi"/>
          <w:color w:val="auto"/>
          <w:szCs w:val="24"/>
        </w:rPr>
      </w:pPr>
      <w:r w:rsidRPr="000D3347">
        <w:rPr>
          <w:rFonts w:asciiTheme="minorHAnsi" w:hAnsiTheme="minorHAnsi"/>
          <w:color w:val="auto"/>
          <w:szCs w:val="24"/>
          <w:u w:val="single"/>
        </w:rPr>
        <w:t>RECOMMENDATION</w:t>
      </w:r>
      <w:r w:rsidRPr="000D3347">
        <w:rPr>
          <w:rFonts w:asciiTheme="minorHAnsi" w:hAnsiTheme="minorHAnsi"/>
          <w:color w:val="auto"/>
          <w:szCs w:val="24"/>
        </w:rPr>
        <w:t>:</w:t>
      </w:r>
      <w:r w:rsidRPr="000D3347">
        <w:rPr>
          <w:rFonts w:asciiTheme="minorHAnsi" w:hAnsiTheme="minorHAnsi"/>
          <w:color w:val="000080"/>
          <w:szCs w:val="24"/>
        </w:rPr>
        <w:t xml:space="preserve"> </w:t>
      </w:r>
      <w:r w:rsidRPr="000D3347">
        <w:rPr>
          <w:rFonts w:asciiTheme="minorHAnsi" w:hAnsiTheme="minorHAnsi"/>
          <w:color w:val="auto"/>
          <w:szCs w:val="24"/>
        </w:rPr>
        <w:t xml:space="preserve">The Board recommends that the CI’s prior determination be modified as follows; TDRL at </w:t>
      </w:r>
      <w:r w:rsidR="00262ABE" w:rsidRPr="000D3347">
        <w:rPr>
          <w:rFonts w:asciiTheme="minorHAnsi" w:hAnsiTheme="minorHAnsi"/>
          <w:color w:val="auto"/>
          <w:szCs w:val="24"/>
        </w:rPr>
        <w:t>50</w:t>
      </w:r>
      <w:r w:rsidRPr="000D3347">
        <w:rPr>
          <w:rFonts w:asciiTheme="minorHAnsi" w:hAnsiTheme="minorHAnsi"/>
          <w:color w:val="auto"/>
          <w:szCs w:val="24"/>
        </w:rPr>
        <w:t xml:space="preserve">% for 6 months following CI’s prior medical separation (PTSD at minimum of 50% IAW §4.129 and </w:t>
      </w:r>
      <w:proofErr w:type="spellStart"/>
      <w:proofErr w:type="gramStart"/>
      <w:r w:rsidRPr="000D3347">
        <w:rPr>
          <w:rFonts w:asciiTheme="minorHAnsi" w:hAnsiTheme="minorHAnsi"/>
          <w:color w:val="auto"/>
          <w:szCs w:val="24"/>
        </w:rPr>
        <w:t>DoD</w:t>
      </w:r>
      <w:proofErr w:type="spellEnd"/>
      <w:proofErr w:type="gramEnd"/>
      <w:r w:rsidRPr="000D3347">
        <w:rPr>
          <w:rFonts w:asciiTheme="minorHAnsi" w:hAnsiTheme="minorHAnsi"/>
          <w:color w:val="auto"/>
          <w:szCs w:val="24"/>
        </w:rPr>
        <w:t xml:space="preserve"> direction) and then a permanent </w:t>
      </w:r>
      <w:r w:rsidR="00262ABE" w:rsidRPr="003D07A5">
        <w:rPr>
          <w:rFonts w:asciiTheme="minorHAnsi" w:hAnsiTheme="minorHAnsi"/>
          <w:color w:val="auto"/>
          <w:szCs w:val="24"/>
        </w:rPr>
        <w:t>30</w:t>
      </w:r>
      <w:r w:rsidRPr="003D07A5">
        <w:rPr>
          <w:rFonts w:asciiTheme="minorHAnsi" w:hAnsiTheme="minorHAnsi"/>
          <w:color w:val="auto"/>
          <w:szCs w:val="24"/>
        </w:rPr>
        <w:t>%</w:t>
      </w:r>
      <w:r w:rsidR="005E0E04" w:rsidRPr="003D07A5">
        <w:rPr>
          <w:rFonts w:asciiTheme="minorHAnsi" w:hAnsiTheme="minorHAnsi"/>
          <w:color w:val="auto"/>
          <w:szCs w:val="24"/>
        </w:rPr>
        <w:t xml:space="preserve"> </w:t>
      </w:r>
      <w:r w:rsidRPr="000D3347">
        <w:rPr>
          <w:rFonts w:asciiTheme="minorHAnsi" w:hAnsiTheme="minorHAnsi"/>
          <w:color w:val="auto"/>
          <w:szCs w:val="24"/>
        </w:rPr>
        <w:t>disability retirement as below.</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FB7355" w:rsidTr="004101B2">
        <w:tc>
          <w:tcPr>
            <w:tcW w:w="4950" w:type="dxa"/>
            <w:shd w:val="clear" w:color="auto" w:fill="D9D9D9"/>
          </w:tcPr>
          <w:p w:rsidR="00DB0015" w:rsidRPr="006D5728" w:rsidRDefault="00DB0015" w:rsidP="00EE66A9">
            <w:pPr>
              <w:tabs>
                <w:tab w:val="left" w:pos="288"/>
                <w:tab w:val="left" w:pos="4752"/>
              </w:tabs>
              <w:spacing w:line="240" w:lineRule="exact"/>
              <w:jc w:val="center"/>
              <w:rPr>
                <w:rFonts w:asciiTheme="minorHAnsi" w:hAnsiTheme="minorHAnsi"/>
                <w:b/>
                <w:color w:val="000080"/>
                <w:szCs w:val="24"/>
              </w:rPr>
            </w:pPr>
            <w:r w:rsidRPr="006D5728">
              <w:rPr>
                <w:rFonts w:asciiTheme="minorHAnsi" w:hAnsiTheme="minorHAnsi"/>
                <w:b/>
                <w:color w:val="000080"/>
                <w:szCs w:val="24"/>
              </w:rPr>
              <w:t>UNFITTING CONDITION</w:t>
            </w:r>
          </w:p>
        </w:tc>
        <w:tc>
          <w:tcPr>
            <w:tcW w:w="1710" w:type="dxa"/>
            <w:shd w:val="clear" w:color="auto" w:fill="D9D9D9"/>
          </w:tcPr>
          <w:p w:rsidR="00DB0015" w:rsidRPr="006D5728" w:rsidRDefault="00DB0015" w:rsidP="00EE66A9">
            <w:pPr>
              <w:tabs>
                <w:tab w:val="left" w:pos="288"/>
                <w:tab w:val="left" w:pos="4752"/>
              </w:tabs>
              <w:spacing w:line="240" w:lineRule="exact"/>
              <w:jc w:val="center"/>
              <w:rPr>
                <w:rFonts w:asciiTheme="minorHAnsi" w:hAnsiTheme="minorHAnsi"/>
                <w:b/>
                <w:color w:val="000080"/>
                <w:szCs w:val="24"/>
              </w:rPr>
            </w:pPr>
            <w:r w:rsidRPr="006D5728">
              <w:rPr>
                <w:rFonts w:asciiTheme="minorHAnsi" w:hAnsiTheme="minorHAnsi"/>
                <w:b/>
                <w:color w:val="000080"/>
                <w:szCs w:val="24"/>
              </w:rPr>
              <w:t>VASRD CODE</w:t>
            </w:r>
          </w:p>
        </w:tc>
        <w:tc>
          <w:tcPr>
            <w:tcW w:w="1170" w:type="dxa"/>
            <w:shd w:val="clear" w:color="auto" w:fill="D9D9D9"/>
          </w:tcPr>
          <w:p w:rsidR="00DB0015" w:rsidRPr="006D5728" w:rsidRDefault="00DB0015" w:rsidP="00EE66A9">
            <w:pPr>
              <w:tabs>
                <w:tab w:val="left" w:pos="288"/>
                <w:tab w:val="left" w:pos="4752"/>
              </w:tabs>
              <w:spacing w:line="240" w:lineRule="exact"/>
              <w:jc w:val="center"/>
              <w:rPr>
                <w:rFonts w:asciiTheme="minorHAnsi" w:hAnsiTheme="minorHAnsi"/>
                <w:b/>
                <w:color w:val="000080"/>
                <w:szCs w:val="24"/>
              </w:rPr>
            </w:pPr>
            <w:r w:rsidRPr="006D5728">
              <w:rPr>
                <w:rFonts w:asciiTheme="minorHAnsi" w:hAnsiTheme="minorHAnsi"/>
                <w:b/>
                <w:color w:val="000080"/>
                <w:szCs w:val="24"/>
              </w:rPr>
              <w:t>TDRL RATING</w:t>
            </w:r>
          </w:p>
        </w:tc>
        <w:tc>
          <w:tcPr>
            <w:tcW w:w="1530" w:type="dxa"/>
            <w:shd w:val="pct15" w:color="auto" w:fill="auto"/>
          </w:tcPr>
          <w:p w:rsidR="00DB0015" w:rsidRPr="006D5728" w:rsidRDefault="00DB0015" w:rsidP="00EE66A9">
            <w:pPr>
              <w:tabs>
                <w:tab w:val="left" w:pos="288"/>
                <w:tab w:val="left" w:pos="4752"/>
              </w:tabs>
              <w:spacing w:line="240" w:lineRule="exact"/>
              <w:jc w:val="center"/>
              <w:rPr>
                <w:rFonts w:asciiTheme="minorHAnsi" w:hAnsiTheme="minorHAnsi"/>
                <w:b/>
                <w:color w:val="000080"/>
                <w:szCs w:val="24"/>
              </w:rPr>
            </w:pPr>
            <w:r w:rsidRPr="006D5728">
              <w:rPr>
                <w:rFonts w:asciiTheme="minorHAnsi" w:hAnsiTheme="minorHAnsi"/>
                <w:b/>
                <w:color w:val="000080"/>
                <w:szCs w:val="24"/>
              </w:rPr>
              <w:t>PERMANENT</w:t>
            </w:r>
          </w:p>
          <w:p w:rsidR="00DB0015" w:rsidRPr="006D5728" w:rsidRDefault="00DB0015" w:rsidP="00EE66A9">
            <w:pPr>
              <w:tabs>
                <w:tab w:val="left" w:pos="288"/>
                <w:tab w:val="left" w:pos="4752"/>
              </w:tabs>
              <w:spacing w:line="240" w:lineRule="exact"/>
              <w:jc w:val="center"/>
              <w:rPr>
                <w:rFonts w:asciiTheme="minorHAnsi" w:hAnsiTheme="minorHAnsi"/>
                <w:b/>
                <w:color w:val="000080"/>
                <w:szCs w:val="24"/>
              </w:rPr>
            </w:pPr>
            <w:r w:rsidRPr="006D5728">
              <w:rPr>
                <w:rFonts w:asciiTheme="minorHAnsi" w:hAnsiTheme="minorHAnsi"/>
                <w:b/>
                <w:color w:val="000080"/>
                <w:szCs w:val="24"/>
              </w:rPr>
              <w:t>RATING</w:t>
            </w:r>
          </w:p>
        </w:tc>
      </w:tr>
      <w:tr w:rsidR="00DB0015" w:rsidRPr="00FB7355" w:rsidTr="004101B2">
        <w:trPr>
          <w:trHeight w:val="305"/>
        </w:trPr>
        <w:tc>
          <w:tcPr>
            <w:tcW w:w="4950" w:type="dxa"/>
          </w:tcPr>
          <w:p w:rsidR="00DB0015" w:rsidRPr="006D5728" w:rsidRDefault="00DB0015" w:rsidP="00FC4284">
            <w:pPr>
              <w:tabs>
                <w:tab w:val="left" w:pos="288"/>
                <w:tab w:val="left" w:pos="4752"/>
              </w:tabs>
              <w:spacing w:before="20" w:after="20"/>
              <w:rPr>
                <w:rFonts w:asciiTheme="minorHAnsi" w:hAnsiTheme="minorHAnsi"/>
                <w:color w:val="auto"/>
                <w:szCs w:val="24"/>
              </w:rPr>
            </w:pPr>
            <w:r w:rsidRPr="006D5728">
              <w:rPr>
                <w:rFonts w:asciiTheme="minorHAnsi" w:hAnsiTheme="minorHAnsi"/>
                <w:color w:val="auto"/>
                <w:szCs w:val="24"/>
              </w:rPr>
              <w:t>Post-Traumatic Stress Disorder</w:t>
            </w:r>
          </w:p>
        </w:tc>
        <w:tc>
          <w:tcPr>
            <w:tcW w:w="1710" w:type="dxa"/>
            <w:tcBorders>
              <w:bottom w:val="single" w:sz="4" w:space="0" w:color="000000"/>
            </w:tcBorders>
          </w:tcPr>
          <w:p w:rsidR="00DB0015" w:rsidRPr="006D5728" w:rsidRDefault="00DB0015" w:rsidP="00EE66A9">
            <w:pPr>
              <w:tabs>
                <w:tab w:val="left" w:pos="288"/>
                <w:tab w:val="left" w:pos="4752"/>
              </w:tabs>
              <w:spacing w:before="20" w:after="20" w:line="240" w:lineRule="exact"/>
              <w:jc w:val="center"/>
              <w:rPr>
                <w:rFonts w:asciiTheme="minorHAnsi" w:hAnsiTheme="minorHAnsi"/>
                <w:color w:val="auto"/>
                <w:szCs w:val="24"/>
              </w:rPr>
            </w:pPr>
            <w:r w:rsidRPr="006D5728">
              <w:rPr>
                <w:rFonts w:asciiTheme="minorHAnsi" w:hAnsiTheme="minorHAnsi"/>
                <w:color w:val="auto"/>
                <w:szCs w:val="24"/>
              </w:rPr>
              <w:t>9411</w:t>
            </w:r>
          </w:p>
        </w:tc>
        <w:tc>
          <w:tcPr>
            <w:tcW w:w="1170" w:type="dxa"/>
            <w:tcBorders>
              <w:bottom w:val="single" w:sz="4" w:space="0" w:color="000000"/>
            </w:tcBorders>
          </w:tcPr>
          <w:p w:rsidR="00DB0015" w:rsidRPr="006D5728" w:rsidRDefault="00DB0015" w:rsidP="00EE66A9">
            <w:pPr>
              <w:tabs>
                <w:tab w:val="left" w:pos="288"/>
                <w:tab w:val="left" w:pos="4752"/>
              </w:tabs>
              <w:spacing w:before="20" w:after="20" w:line="240" w:lineRule="exact"/>
              <w:jc w:val="center"/>
              <w:rPr>
                <w:rFonts w:asciiTheme="minorHAnsi" w:hAnsiTheme="minorHAnsi"/>
                <w:color w:val="auto"/>
                <w:szCs w:val="24"/>
              </w:rPr>
            </w:pPr>
            <w:r w:rsidRPr="006D5728">
              <w:rPr>
                <w:rFonts w:asciiTheme="minorHAnsi" w:hAnsiTheme="minorHAnsi"/>
                <w:color w:val="auto"/>
                <w:szCs w:val="24"/>
              </w:rPr>
              <w:t>50%</w:t>
            </w:r>
          </w:p>
        </w:tc>
        <w:tc>
          <w:tcPr>
            <w:tcW w:w="1530" w:type="dxa"/>
            <w:tcBorders>
              <w:bottom w:val="single" w:sz="4" w:space="0" w:color="000000"/>
            </w:tcBorders>
          </w:tcPr>
          <w:p w:rsidR="00DB0015" w:rsidRPr="006D5728" w:rsidRDefault="00AD3D24" w:rsidP="003D07A5">
            <w:pPr>
              <w:tabs>
                <w:tab w:val="left" w:pos="288"/>
                <w:tab w:val="left" w:pos="4752"/>
              </w:tabs>
              <w:spacing w:before="20" w:after="20" w:line="240" w:lineRule="exact"/>
              <w:jc w:val="center"/>
              <w:rPr>
                <w:rFonts w:asciiTheme="minorHAnsi" w:hAnsiTheme="minorHAnsi"/>
                <w:color w:val="auto"/>
                <w:szCs w:val="24"/>
              </w:rPr>
            </w:pPr>
            <w:r w:rsidRPr="006D5728">
              <w:rPr>
                <w:rFonts w:asciiTheme="minorHAnsi" w:hAnsiTheme="minorHAnsi"/>
                <w:color w:val="auto"/>
                <w:szCs w:val="24"/>
              </w:rPr>
              <w:t>3</w:t>
            </w:r>
            <w:r w:rsidR="00DB0015" w:rsidRPr="006D5728">
              <w:rPr>
                <w:rFonts w:asciiTheme="minorHAnsi" w:hAnsiTheme="minorHAnsi"/>
                <w:color w:val="auto"/>
                <w:szCs w:val="24"/>
              </w:rPr>
              <w:t>0%</w:t>
            </w:r>
          </w:p>
        </w:tc>
      </w:tr>
      <w:tr w:rsidR="00DB0015" w:rsidRPr="00FB7355" w:rsidTr="004101B2">
        <w:tblPrEx>
          <w:tblLook w:val="0000"/>
        </w:tblPrEx>
        <w:trPr>
          <w:gridBefore w:val="1"/>
          <w:wBefore w:w="4950" w:type="dxa"/>
          <w:trHeight w:val="350"/>
        </w:trPr>
        <w:tc>
          <w:tcPr>
            <w:tcW w:w="1710" w:type="dxa"/>
            <w:tcBorders>
              <w:left w:val="single" w:sz="4" w:space="0" w:color="auto"/>
            </w:tcBorders>
            <w:shd w:val="pct15" w:color="auto" w:fill="auto"/>
          </w:tcPr>
          <w:p w:rsidR="00DB0015" w:rsidRPr="006D5728" w:rsidRDefault="00DB0015" w:rsidP="00EE66A9">
            <w:pPr>
              <w:tabs>
                <w:tab w:val="left" w:pos="288"/>
                <w:tab w:val="left" w:pos="4752"/>
              </w:tabs>
              <w:spacing w:before="60" w:line="240" w:lineRule="exact"/>
              <w:jc w:val="center"/>
              <w:rPr>
                <w:rFonts w:asciiTheme="minorHAnsi" w:hAnsiTheme="minorHAnsi"/>
                <w:b/>
                <w:color w:val="000080"/>
                <w:szCs w:val="24"/>
              </w:rPr>
            </w:pPr>
            <w:r w:rsidRPr="006D5728">
              <w:rPr>
                <w:rFonts w:asciiTheme="minorHAnsi" w:hAnsiTheme="minorHAnsi"/>
                <w:b/>
                <w:color w:val="000080"/>
                <w:szCs w:val="24"/>
              </w:rPr>
              <w:t>COMBINED</w:t>
            </w:r>
          </w:p>
        </w:tc>
        <w:tc>
          <w:tcPr>
            <w:tcW w:w="1170" w:type="dxa"/>
            <w:tcBorders>
              <w:left w:val="single" w:sz="4" w:space="0" w:color="auto"/>
            </w:tcBorders>
            <w:shd w:val="pct15" w:color="auto" w:fill="auto"/>
          </w:tcPr>
          <w:p w:rsidR="00DB0015" w:rsidRPr="006D5728" w:rsidRDefault="00AD3D24" w:rsidP="00EE66A9">
            <w:pPr>
              <w:tabs>
                <w:tab w:val="left" w:pos="288"/>
                <w:tab w:val="left" w:pos="4752"/>
              </w:tabs>
              <w:spacing w:before="60" w:line="240" w:lineRule="exact"/>
              <w:jc w:val="center"/>
              <w:rPr>
                <w:rFonts w:asciiTheme="minorHAnsi" w:hAnsiTheme="minorHAnsi"/>
                <w:b/>
                <w:color w:val="000080"/>
                <w:szCs w:val="24"/>
              </w:rPr>
            </w:pPr>
            <w:r w:rsidRPr="006D5728">
              <w:rPr>
                <w:rFonts w:asciiTheme="minorHAnsi" w:hAnsiTheme="minorHAnsi"/>
                <w:b/>
                <w:color w:val="000080"/>
                <w:szCs w:val="24"/>
              </w:rPr>
              <w:t>5</w:t>
            </w:r>
            <w:r w:rsidR="007E71B1" w:rsidRPr="006D5728">
              <w:rPr>
                <w:rFonts w:asciiTheme="minorHAnsi" w:hAnsiTheme="minorHAnsi"/>
                <w:b/>
                <w:color w:val="000080"/>
                <w:szCs w:val="24"/>
              </w:rPr>
              <w:t>0</w:t>
            </w:r>
            <w:r w:rsidR="00DB0015" w:rsidRPr="006D5728">
              <w:rPr>
                <w:rFonts w:asciiTheme="minorHAnsi" w:hAnsiTheme="minorHAnsi"/>
                <w:b/>
                <w:color w:val="000080"/>
                <w:szCs w:val="24"/>
              </w:rPr>
              <w:t>%</w:t>
            </w:r>
          </w:p>
        </w:tc>
        <w:tc>
          <w:tcPr>
            <w:tcW w:w="1530" w:type="dxa"/>
            <w:shd w:val="pct15" w:color="auto" w:fill="auto"/>
          </w:tcPr>
          <w:p w:rsidR="00DB0015" w:rsidRPr="006D5728" w:rsidRDefault="00AD3D24" w:rsidP="003D07A5">
            <w:pPr>
              <w:tabs>
                <w:tab w:val="left" w:pos="288"/>
                <w:tab w:val="left" w:pos="4752"/>
              </w:tabs>
              <w:spacing w:before="60" w:line="240" w:lineRule="exact"/>
              <w:jc w:val="center"/>
              <w:rPr>
                <w:rFonts w:asciiTheme="minorHAnsi" w:hAnsiTheme="minorHAnsi"/>
                <w:b/>
                <w:color w:val="000080"/>
                <w:szCs w:val="24"/>
              </w:rPr>
            </w:pPr>
            <w:r w:rsidRPr="006D5728">
              <w:rPr>
                <w:rFonts w:asciiTheme="minorHAnsi" w:hAnsiTheme="minorHAnsi"/>
                <w:b/>
                <w:color w:val="000080"/>
                <w:szCs w:val="24"/>
              </w:rPr>
              <w:t>3</w:t>
            </w:r>
            <w:r w:rsidR="007E71B1" w:rsidRPr="006D5728">
              <w:rPr>
                <w:rFonts w:asciiTheme="minorHAnsi" w:hAnsiTheme="minorHAnsi"/>
                <w:b/>
                <w:color w:val="000080"/>
                <w:szCs w:val="24"/>
              </w:rPr>
              <w:t>0</w:t>
            </w:r>
            <w:r w:rsidR="00DB0015" w:rsidRPr="006D5728">
              <w:rPr>
                <w:rFonts w:asciiTheme="minorHAnsi" w:hAnsiTheme="minorHAnsi"/>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Pr="003D07A5" w:rsidRDefault="00114F20" w:rsidP="003D07A5">
      <w:pPr>
        <w:spacing w:line="240" w:lineRule="exact"/>
        <w:jc w:val="both"/>
        <w:rPr>
          <w:rFonts w:asciiTheme="minorHAnsi" w:eastAsiaTheme="minorHAnsi" w:hAnsiTheme="minorHAnsi"/>
          <w:color w:val="auto"/>
          <w:szCs w:val="24"/>
        </w:rPr>
      </w:pPr>
      <w:r w:rsidRPr="003D07A5">
        <w:rPr>
          <w:rFonts w:asciiTheme="minorHAnsi" w:eastAsiaTheme="minorHAnsi" w:hAnsiTheme="minorHAnsi"/>
          <w:color w:val="auto"/>
          <w:szCs w:val="24"/>
        </w:rPr>
        <w:t>The following documentary evidence was considered:</w:t>
      </w:r>
    </w:p>
    <w:p w:rsidR="00114F20" w:rsidRPr="003D07A5" w:rsidRDefault="00114F20" w:rsidP="003D07A5">
      <w:pPr>
        <w:spacing w:line="240" w:lineRule="exact"/>
        <w:jc w:val="both"/>
        <w:rPr>
          <w:rFonts w:asciiTheme="minorHAnsi" w:eastAsiaTheme="minorHAnsi" w:hAnsiTheme="minorHAnsi"/>
          <w:color w:val="auto"/>
          <w:szCs w:val="24"/>
        </w:rPr>
      </w:pPr>
    </w:p>
    <w:p w:rsidR="00114F20" w:rsidRPr="003D07A5" w:rsidRDefault="0051146C" w:rsidP="003D07A5">
      <w:pPr>
        <w:spacing w:line="240" w:lineRule="exact"/>
        <w:jc w:val="both"/>
        <w:rPr>
          <w:rFonts w:asciiTheme="minorHAnsi" w:eastAsiaTheme="minorHAnsi" w:hAnsiTheme="minorHAnsi"/>
          <w:color w:val="auto"/>
          <w:szCs w:val="24"/>
        </w:rPr>
      </w:pPr>
      <w:r w:rsidRPr="003D07A5">
        <w:rPr>
          <w:rFonts w:asciiTheme="minorHAnsi" w:eastAsiaTheme="minorHAnsi" w:hAnsiTheme="minorHAnsi"/>
          <w:color w:val="auto"/>
          <w:szCs w:val="24"/>
        </w:rPr>
        <w:t xml:space="preserve">Exhibit A.  DD Form </w:t>
      </w:r>
      <w:proofErr w:type="gramStart"/>
      <w:r w:rsidRPr="003D07A5">
        <w:rPr>
          <w:rFonts w:asciiTheme="minorHAnsi" w:eastAsiaTheme="minorHAnsi" w:hAnsiTheme="minorHAnsi"/>
          <w:color w:val="auto"/>
          <w:szCs w:val="24"/>
        </w:rPr>
        <w:t>294,</w:t>
      </w:r>
      <w:proofErr w:type="gramEnd"/>
      <w:r w:rsidRPr="003D07A5">
        <w:rPr>
          <w:rFonts w:asciiTheme="minorHAnsi" w:eastAsiaTheme="minorHAnsi" w:hAnsiTheme="minorHAnsi"/>
          <w:color w:val="auto"/>
          <w:szCs w:val="24"/>
        </w:rPr>
        <w:t xml:space="preserve"> dated </w:t>
      </w:r>
      <w:r w:rsidR="00D80EAF" w:rsidRPr="003D07A5">
        <w:rPr>
          <w:rFonts w:asciiTheme="minorHAnsi" w:eastAsiaTheme="minorHAnsi" w:hAnsiTheme="minorHAnsi"/>
          <w:color w:val="auto"/>
          <w:szCs w:val="24"/>
        </w:rPr>
        <w:t>20090806</w:t>
      </w:r>
      <w:r w:rsidR="00114F20" w:rsidRPr="003D07A5">
        <w:rPr>
          <w:rFonts w:asciiTheme="minorHAnsi" w:eastAsiaTheme="minorHAnsi" w:hAnsiTheme="minorHAnsi"/>
          <w:color w:val="auto"/>
          <w:szCs w:val="24"/>
        </w:rPr>
        <w:t>, w/</w:t>
      </w:r>
      <w:proofErr w:type="spellStart"/>
      <w:r w:rsidR="00114F20" w:rsidRPr="003D07A5">
        <w:rPr>
          <w:rFonts w:asciiTheme="minorHAnsi" w:eastAsiaTheme="minorHAnsi" w:hAnsiTheme="minorHAnsi"/>
          <w:color w:val="auto"/>
          <w:szCs w:val="24"/>
        </w:rPr>
        <w:t>atchs</w:t>
      </w:r>
      <w:proofErr w:type="spellEnd"/>
      <w:r w:rsidR="00114F20" w:rsidRPr="003D07A5">
        <w:rPr>
          <w:rFonts w:asciiTheme="minorHAnsi" w:eastAsiaTheme="minorHAnsi" w:hAnsiTheme="minorHAnsi"/>
          <w:color w:val="auto"/>
          <w:szCs w:val="24"/>
        </w:rPr>
        <w:t>.</w:t>
      </w:r>
    </w:p>
    <w:p w:rsidR="00114F20" w:rsidRPr="003D07A5" w:rsidRDefault="00114F20" w:rsidP="003D07A5">
      <w:pPr>
        <w:spacing w:line="240" w:lineRule="exact"/>
        <w:jc w:val="both"/>
        <w:rPr>
          <w:rFonts w:asciiTheme="minorHAnsi" w:eastAsiaTheme="minorHAnsi" w:hAnsiTheme="minorHAnsi"/>
          <w:color w:val="auto"/>
          <w:szCs w:val="24"/>
        </w:rPr>
      </w:pPr>
      <w:r w:rsidRPr="003D07A5">
        <w:rPr>
          <w:rFonts w:asciiTheme="minorHAnsi" w:eastAsiaTheme="minorHAnsi" w:hAnsiTheme="minorHAnsi"/>
          <w:color w:val="auto"/>
          <w:szCs w:val="24"/>
        </w:rPr>
        <w:t xml:space="preserve">Exhibit B.  </w:t>
      </w:r>
      <w:proofErr w:type="gramStart"/>
      <w:r w:rsidRPr="003D07A5">
        <w:rPr>
          <w:rFonts w:asciiTheme="minorHAnsi" w:eastAsiaTheme="minorHAnsi" w:hAnsiTheme="minorHAnsi"/>
          <w:color w:val="auto"/>
          <w:szCs w:val="24"/>
        </w:rPr>
        <w:t>Service Treatment Record.</w:t>
      </w:r>
      <w:proofErr w:type="gramEnd"/>
    </w:p>
    <w:p w:rsidR="00114F20" w:rsidRPr="003D07A5" w:rsidRDefault="00114F20" w:rsidP="003D07A5">
      <w:pPr>
        <w:spacing w:line="240" w:lineRule="exact"/>
        <w:jc w:val="both"/>
        <w:rPr>
          <w:rFonts w:asciiTheme="minorHAnsi" w:eastAsiaTheme="minorHAnsi" w:hAnsiTheme="minorHAnsi"/>
          <w:color w:val="auto"/>
          <w:szCs w:val="24"/>
        </w:rPr>
      </w:pPr>
      <w:r w:rsidRPr="003D07A5">
        <w:rPr>
          <w:rFonts w:asciiTheme="minorHAnsi" w:eastAsiaTheme="minorHAnsi" w:hAnsiTheme="minorHAnsi"/>
          <w:color w:val="auto"/>
          <w:szCs w:val="24"/>
        </w:rPr>
        <w:t xml:space="preserve">Exhibit C.  </w:t>
      </w:r>
      <w:proofErr w:type="gramStart"/>
      <w:r w:rsidRPr="003D07A5">
        <w:rPr>
          <w:rFonts w:asciiTheme="minorHAnsi" w:eastAsiaTheme="minorHAnsi" w:hAnsiTheme="minorHAnsi"/>
          <w:color w:val="auto"/>
          <w:szCs w:val="24"/>
        </w:rPr>
        <w:t>Department of Veterans</w:t>
      </w:r>
      <w:r w:rsidR="00385D6F" w:rsidRPr="003D07A5">
        <w:rPr>
          <w:rFonts w:asciiTheme="minorHAnsi" w:eastAsiaTheme="minorHAnsi" w:hAnsiTheme="minorHAnsi"/>
          <w:color w:val="auto"/>
          <w:szCs w:val="24"/>
        </w:rPr>
        <w:t>'</w:t>
      </w:r>
      <w:r w:rsidRPr="003D07A5">
        <w:rPr>
          <w:rFonts w:asciiTheme="minorHAnsi" w:eastAsiaTheme="minorHAnsi" w:hAnsiTheme="minorHAnsi"/>
          <w:color w:val="auto"/>
          <w:szCs w:val="24"/>
        </w:rPr>
        <w:t xml:space="preserve"> Affairs Treatment Record.</w:t>
      </w:r>
      <w:proofErr w:type="gramEnd"/>
    </w:p>
    <w:p w:rsidR="00D91DA6" w:rsidRPr="003D07A5" w:rsidRDefault="00D91DA6" w:rsidP="003D07A5">
      <w:pPr>
        <w:spacing w:line="240" w:lineRule="exact"/>
        <w:jc w:val="both"/>
        <w:rPr>
          <w:rFonts w:asciiTheme="minorHAnsi" w:eastAsiaTheme="minorHAnsi" w:hAnsiTheme="minorHAnsi"/>
          <w:color w:val="auto"/>
          <w:szCs w:val="24"/>
        </w:rPr>
      </w:pPr>
    </w:p>
    <w:p w:rsidR="00114F20" w:rsidRPr="003D07A5" w:rsidRDefault="00114F20" w:rsidP="003D07A5">
      <w:pPr>
        <w:spacing w:line="240" w:lineRule="exact"/>
        <w:jc w:val="both"/>
        <w:rPr>
          <w:rFonts w:asciiTheme="minorHAnsi" w:eastAsiaTheme="minorHAnsi" w:hAnsiTheme="minorHAnsi"/>
          <w:color w:val="auto"/>
          <w:szCs w:val="24"/>
        </w:rPr>
      </w:pPr>
    </w:p>
    <w:p w:rsidR="00114F20" w:rsidRPr="003D07A5" w:rsidRDefault="00114F20" w:rsidP="003D07A5">
      <w:pPr>
        <w:spacing w:line="240" w:lineRule="exact"/>
        <w:jc w:val="both"/>
        <w:rPr>
          <w:rFonts w:asciiTheme="minorHAnsi" w:eastAsiaTheme="minorHAnsi" w:hAnsiTheme="minorHAnsi"/>
          <w:color w:val="auto"/>
          <w:szCs w:val="24"/>
        </w:rPr>
      </w:pPr>
    </w:p>
    <w:p w:rsidR="00114F20" w:rsidRPr="003D07A5" w:rsidRDefault="00114F20" w:rsidP="003D07A5">
      <w:pPr>
        <w:spacing w:line="240" w:lineRule="exact"/>
        <w:jc w:val="both"/>
        <w:rPr>
          <w:rFonts w:asciiTheme="minorHAnsi" w:eastAsiaTheme="minorHAnsi" w:hAnsiTheme="minorHAnsi"/>
          <w:color w:val="auto"/>
          <w:szCs w:val="24"/>
        </w:rPr>
      </w:pPr>
    </w:p>
    <w:p w:rsidR="00D91DA6" w:rsidRPr="003D07A5" w:rsidRDefault="00C30A97" w:rsidP="003D07A5">
      <w:pPr>
        <w:spacing w:line="240" w:lineRule="exact"/>
        <w:jc w:val="both"/>
        <w:rPr>
          <w:rFonts w:asciiTheme="minorHAnsi" w:eastAsiaTheme="minorHAnsi" w:hAnsiTheme="minorHAnsi"/>
          <w:color w:val="auto"/>
          <w:szCs w:val="24"/>
        </w:rPr>
      </w:pPr>
      <w:r w:rsidRPr="003D07A5">
        <w:rPr>
          <w:rFonts w:asciiTheme="minorHAnsi" w:eastAsiaTheme="minorHAnsi" w:hAnsiTheme="minorHAnsi"/>
          <w:color w:val="auto"/>
          <w:szCs w:val="24"/>
        </w:rPr>
        <w:t xml:space="preserve">                             </w:t>
      </w:r>
      <w:r w:rsidR="003D07A5">
        <w:rPr>
          <w:rFonts w:asciiTheme="minorHAnsi" w:eastAsiaTheme="minorHAnsi" w:hAnsiTheme="minorHAnsi"/>
          <w:color w:val="auto"/>
          <w:szCs w:val="24"/>
        </w:rPr>
        <w:tab/>
      </w:r>
      <w:r w:rsidR="003D07A5">
        <w:rPr>
          <w:rFonts w:asciiTheme="minorHAnsi" w:eastAsiaTheme="minorHAnsi" w:hAnsiTheme="minorHAnsi"/>
          <w:color w:val="auto"/>
          <w:szCs w:val="24"/>
        </w:rPr>
        <w:tab/>
      </w:r>
      <w:r w:rsidR="009E4FCE">
        <w:rPr>
          <w:rFonts w:asciiTheme="minorHAnsi" w:eastAsiaTheme="minorHAnsi" w:hAnsiTheme="minorHAnsi"/>
          <w:color w:val="auto"/>
          <w:szCs w:val="24"/>
        </w:rPr>
        <w:t xml:space="preserve"> </w:t>
      </w:r>
    </w:p>
    <w:p w:rsidR="00D91DA6" w:rsidRPr="003D07A5" w:rsidRDefault="00C30A97" w:rsidP="003D07A5">
      <w:pPr>
        <w:spacing w:line="240" w:lineRule="exact"/>
        <w:jc w:val="both"/>
        <w:rPr>
          <w:rFonts w:asciiTheme="minorHAnsi" w:eastAsiaTheme="minorHAnsi" w:hAnsiTheme="minorHAnsi"/>
          <w:color w:val="auto"/>
          <w:szCs w:val="24"/>
        </w:rPr>
      </w:pPr>
      <w:r w:rsidRPr="003D07A5">
        <w:rPr>
          <w:rFonts w:asciiTheme="minorHAnsi" w:eastAsiaTheme="minorHAnsi" w:hAnsiTheme="minorHAnsi"/>
          <w:color w:val="auto"/>
          <w:szCs w:val="24"/>
        </w:rPr>
        <w:t xml:space="preserve">                             </w:t>
      </w:r>
      <w:r w:rsidR="003D07A5">
        <w:rPr>
          <w:rFonts w:asciiTheme="minorHAnsi" w:eastAsiaTheme="minorHAnsi" w:hAnsiTheme="minorHAnsi"/>
          <w:color w:val="auto"/>
          <w:szCs w:val="24"/>
        </w:rPr>
        <w:tab/>
      </w:r>
      <w:r w:rsidR="003D07A5">
        <w:rPr>
          <w:rFonts w:asciiTheme="minorHAnsi" w:eastAsiaTheme="minorHAnsi" w:hAnsiTheme="minorHAnsi"/>
          <w:color w:val="auto"/>
          <w:szCs w:val="24"/>
        </w:rPr>
        <w:tab/>
      </w:r>
      <w:r w:rsidR="003D07A5">
        <w:rPr>
          <w:rFonts w:asciiTheme="minorHAnsi" w:eastAsiaTheme="minorHAnsi" w:hAnsiTheme="minorHAnsi"/>
          <w:color w:val="auto"/>
          <w:szCs w:val="24"/>
        </w:rPr>
        <w:tab/>
      </w:r>
      <w:r w:rsidR="003D07A5">
        <w:rPr>
          <w:rFonts w:asciiTheme="minorHAnsi" w:eastAsiaTheme="minorHAnsi" w:hAnsiTheme="minorHAnsi"/>
          <w:color w:val="auto"/>
          <w:szCs w:val="24"/>
        </w:rPr>
        <w:tab/>
      </w:r>
      <w:r w:rsidR="003D07A5">
        <w:rPr>
          <w:rFonts w:asciiTheme="minorHAnsi" w:eastAsiaTheme="minorHAnsi" w:hAnsiTheme="minorHAnsi"/>
          <w:color w:val="auto"/>
          <w:szCs w:val="24"/>
        </w:rPr>
        <w:tab/>
      </w:r>
      <w:r w:rsidR="00C216A5">
        <w:rPr>
          <w:rFonts w:asciiTheme="minorHAnsi" w:eastAsiaTheme="minorHAnsi" w:hAnsiTheme="minorHAnsi"/>
          <w:color w:val="auto"/>
          <w:szCs w:val="24"/>
        </w:rPr>
        <w:t>Deputy Director</w:t>
      </w:r>
    </w:p>
    <w:p w:rsidR="009E4FCE" w:rsidRDefault="003D07A5" w:rsidP="003D07A5">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ab/>
        <w:t xml:space="preserve">                </w:t>
      </w:r>
      <w:r>
        <w:rPr>
          <w:rFonts w:asciiTheme="minorHAnsi" w:eastAsiaTheme="minorHAnsi" w:hAnsiTheme="minorHAnsi"/>
          <w:color w:val="auto"/>
          <w:szCs w:val="24"/>
        </w:rPr>
        <w:tab/>
      </w:r>
      <w:r>
        <w:rPr>
          <w:rFonts w:asciiTheme="minorHAnsi" w:eastAsiaTheme="minorHAnsi" w:hAnsiTheme="minorHAnsi"/>
          <w:color w:val="auto"/>
          <w:szCs w:val="24"/>
        </w:rPr>
        <w:tab/>
      </w:r>
      <w:r>
        <w:rPr>
          <w:rFonts w:asciiTheme="minorHAnsi" w:eastAsiaTheme="minorHAnsi" w:hAnsiTheme="minorHAnsi"/>
          <w:color w:val="auto"/>
          <w:szCs w:val="24"/>
        </w:rPr>
        <w:tab/>
      </w:r>
      <w:r>
        <w:rPr>
          <w:rFonts w:asciiTheme="minorHAnsi" w:eastAsiaTheme="minorHAnsi" w:hAnsiTheme="minorHAnsi"/>
          <w:color w:val="auto"/>
          <w:szCs w:val="24"/>
        </w:rPr>
        <w:tab/>
      </w:r>
      <w:r>
        <w:rPr>
          <w:rFonts w:asciiTheme="minorHAnsi" w:eastAsiaTheme="minorHAnsi" w:hAnsiTheme="minorHAnsi"/>
          <w:color w:val="auto"/>
          <w:szCs w:val="24"/>
        </w:rPr>
        <w:tab/>
      </w:r>
      <w:r w:rsidR="00D91DA6" w:rsidRPr="003D07A5">
        <w:rPr>
          <w:rFonts w:asciiTheme="minorHAnsi" w:eastAsiaTheme="minorHAnsi" w:hAnsiTheme="minorHAnsi"/>
          <w:color w:val="auto"/>
          <w:szCs w:val="24"/>
        </w:rPr>
        <w:t>Physical Disability Board of Review</w:t>
      </w:r>
    </w:p>
    <w:p w:rsidR="009E4FCE" w:rsidRDefault="009E4FCE">
      <w:pPr>
        <w:rPr>
          <w:rFonts w:asciiTheme="minorHAnsi" w:eastAsiaTheme="minorHAnsi" w:hAnsiTheme="minorHAnsi"/>
          <w:color w:val="auto"/>
          <w:szCs w:val="24"/>
        </w:rPr>
      </w:pPr>
      <w:r>
        <w:rPr>
          <w:rFonts w:asciiTheme="minorHAnsi" w:eastAsiaTheme="minorHAnsi" w:hAnsiTheme="minorHAnsi"/>
          <w:color w:val="auto"/>
          <w:szCs w:val="24"/>
        </w:rPr>
        <w:br w:type="page"/>
      </w:r>
    </w:p>
    <w:p w:rsidR="009E4FCE" w:rsidRPr="009E4FCE" w:rsidRDefault="009E4FCE" w:rsidP="009E4FCE">
      <w:pPr>
        <w:rPr>
          <w:rFonts w:ascii="Times New Roman" w:hAnsi="Times New Roman"/>
        </w:rPr>
      </w:pPr>
      <w:r w:rsidRPr="009E4FCE">
        <w:rPr>
          <w:rFonts w:ascii="Times New Roman" w:hAnsi="Times New Roman"/>
        </w:rPr>
        <w:lastRenderedPageBreak/>
        <w:t>SAF/MRB</w:t>
      </w:r>
    </w:p>
    <w:p w:rsidR="009E4FCE" w:rsidRPr="009E4FCE" w:rsidRDefault="009E4FCE" w:rsidP="009E4FCE">
      <w:pPr>
        <w:rPr>
          <w:rFonts w:ascii="Times New Roman" w:hAnsi="Times New Roman"/>
        </w:rPr>
      </w:pPr>
      <w:r w:rsidRPr="009E4FCE">
        <w:rPr>
          <w:rFonts w:ascii="Times New Roman" w:hAnsi="Times New Roman"/>
        </w:rPr>
        <w:t>1535 Command Drive, Suite E-302</w:t>
      </w:r>
    </w:p>
    <w:p w:rsidR="009E4FCE" w:rsidRPr="009E4FCE" w:rsidRDefault="009E4FCE" w:rsidP="009E4FCE">
      <w:pPr>
        <w:rPr>
          <w:rFonts w:ascii="Times New Roman" w:hAnsi="Times New Roman"/>
        </w:rPr>
      </w:pPr>
      <w:r w:rsidRPr="009E4FCE">
        <w:rPr>
          <w:rFonts w:ascii="Times New Roman" w:hAnsi="Times New Roman"/>
        </w:rPr>
        <w:t>Andrews AFB, MD  20762-7002</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Pr>
          <w:rFonts w:ascii="Times New Roman" w:hAnsi="Times New Roman"/>
          <w:bCs/>
        </w:rPr>
        <w:t xml:space="preserve"> </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sidRPr="009E4FCE">
        <w:rPr>
          <w:rFonts w:ascii="Times New Roman" w:hAnsi="Times New Roman"/>
        </w:rPr>
        <w:tab/>
        <w:t xml:space="preserve">Reference your application submitted under the provisions of </w:t>
      </w:r>
      <w:proofErr w:type="spellStart"/>
      <w:r w:rsidRPr="009E4FCE">
        <w:rPr>
          <w:rFonts w:ascii="Times New Roman" w:hAnsi="Times New Roman"/>
        </w:rPr>
        <w:t>DoDI</w:t>
      </w:r>
      <w:proofErr w:type="spellEnd"/>
      <w:r w:rsidRPr="009E4FCE">
        <w:rPr>
          <w:rFonts w:ascii="Times New Roman" w:hAnsi="Times New Roman"/>
        </w:rPr>
        <w:t xml:space="preserve"> 6040.44 (Section 1554, 10 USC), PDBR Case Number PD-2009-00484.</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sidRPr="009E4FCE">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sidRPr="009E4FCE">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sidRPr="009E4FCE">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sidRPr="009E4FCE">
        <w:rPr>
          <w:rFonts w:ascii="Times New Roman" w:hAnsi="Times New Roman"/>
        </w:rPr>
        <w:tab/>
      </w:r>
      <w:r w:rsidRPr="009E4FCE">
        <w:rPr>
          <w:rFonts w:ascii="Times New Roman" w:hAnsi="Times New Roman"/>
        </w:rPr>
        <w:tab/>
      </w:r>
      <w:r w:rsidRPr="009E4FCE">
        <w:rPr>
          <w:rFonts w:ascii="Times New Roman" w:hAnsi="Times New Roman"/>
        </w:rPr>
        <w:tab/>
      </w:r>
      <w:r w:rsidRPr="009E4FCE">
        <w:rPr>
          <w:rFonts w:ascii="Times New Roman" w:hAnsi="Times New Roman"/>
        </w:rPr>
        <w:tab/>
      </w:r>
      <w:r w:rsidRPr="009E4FCE">
        <w:rPr>
          <w:rFonts w:ascii="Times New Roman" w:hAnsi="Times New Roman"/>
        </w:rPr>
        <w:tab/>
      </w:r>
      <w:r w:rsidRPr="009E4FCE">
        <w:rPr>
          <w:rFonts w:ascii="Times New Roman" w:hAnsi="Times New Roman"/>
        </w:rPr>
        <w:tab/>
      </w:r>
      <w:r w:rsidRPr="009E4FCE">
        <w:rPr>
          <w:rFonts w:ascii="Times New Roman" w:hAnsi="Times New Roman"/>
        </w:rPr>
        <w:tab/>
        <w:t>Sincerely</w:t>
      </w: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sz w:val="20"/>
        </w:rPr>
      </w:pPr>
    </w:p>
    <w:p w:rsidR="009E4FCE" w:rsidRPr="009E4FCE" w:rsidRDefault="009E4FCE" w:rsidP="009E4FCE">
      <w:pPr>
        <w:rPr>
          <w:rFonts w:ascii="Times New Roman" w:hAnsi="Times New Roman"/>
        </w:rPr>
      </w:pPr>
      <w:r w:rsidRPr="009E4FCE">
        <w:rPr>
          <w:rFonts w:ascii="Times New Roman" w:hAnsi="Times New Roman"/>
        </w:rPr>
        <w:t>Director</w:t>
      </w:r>
    </w:p>
    <w:p w:rsidR="009E4FCE" w:rsidRPr="009E4FCE" w:rsidRDefault="009E4FCE" w:rsidP="009E4FCE">
      <w:pPr>
        <w:rPr>
          <w:rFonts w:ascii="Times New Roman" w:hAnsi="Times New Roman"/>
        </w:rPr>
      </w:pPr>
      <w:r w:rsidRPr="009E4FCE">
        <w:rPr>
          <w:rFonts w:ascii="Times New Roman" w:hAnsi="Times New Roman"/>
        </w:rPr>
        <w:t>Air Force Review Boards Agency</w:t>
      </w:r>
    </w:p>
    <w:p w:rsidR="009E4FCE" w:rsidRPr="009E4FCE" w:rsidRDefault="009E4FCE" w:rsidP="009E4FCE">
      <w:pPr>
        <w:rPr>
          <w:rFonts w:ascii="Times New Roman" w:hAnsi="Times New Roman"/>
        </w:rPr>
      </w:pPr>
    </w:p>
    <w:p w:rsidR="009E4FCE" w:rsidRPr="009E4FCE" w:rsidRDefault="009E4FCE" w:rsidP="009E4FCE">
      <w:pPr>
        <w:rPr>
          <w:rFonts w:ascii="Times New Roman" w:hAnsi="Times New Roman"/>
        </w:rPr>
      </w:pPr>
      <w:r w:rsidRPr="009E4FCE">
        <w:rPr>
          <w:rFonts w:ascii="Times New Roman" w:hAnsi="Times New Roman"/>
        </w:rPr>
        <w:t>Attachment:</w:t>
      </w:r>
    </w:p>
    <w:p w:rsidR="009E4FCE" w:rsidRPr="009E4FCE" w:rsidRDefault="009E4FCE" w:rsidP="009E4FCE">
      <w:pPr>
        <w:rPr>
          <w:rFonts w:ascii="Times New Roman" w:hAnsi="Times New Roman"/>
        </w:rPr>
      </w:pPr>
      <w:r w:rsidRPr="009E4FCE">
        <w:rPr>
          <w:rFonts w:ascii="Times New Roman" w:hAnsi="Times New Roman"/>
        </w:rPr>
        <w:t>Record of Proceedings</w:t>
      </w:r>
    </w:p>
    <w:p w:rsidR="009E4FCE" w:rsidRPr="009E4FCE" w:rsidRDefault="009E4FCE" w:rsidP="009E4FCE">
      <w:pPr>
        <w:rPr>
          <w:rFonts w:ascii="Times New Roman" w:hAnsi="Times New Roman"/>
        </w:rPr>
      </w:pPr>
    </w:p>
    <w:p w:rsidR="009E4FCE" w:rsidRPr="009E4FCE" w:rsidRDefault="009E4FCE" w:rsidP="009E4FCE">
      <w:pPr>
        <w:rPr>
          <w:rFonts w:ascii="Times New Roman" w:hAnsi="Times New Roman"/>
        </w:rPr>
      </w:pPr>
      <w:r w:rsidRPr="009E4FCE">
        <w:rPr>
          <w:rFonts w:ascii="Times New Roman" w:hAnsi="Times New Roman"/>
        </w:rPr>
        <w:t>cc:</w:t>
      </w:r>
    </w:p>
    <w:p w:rsidR="009E4FCE" w:rsidRPr="009E4FCE" w:rsidRDefault="009E4FCE" w:rsidP="009E4FCE">
      <w:pPr>
        <w:rPr>
          <w:rFonts w:ascii="Times New Roman" w:hAnsi="Times New Roman"/>
        </w:rPr>
      </w:pPr>
      <w:r w:rsidRPr="009E4FCE">
        <w:rPr>
          <w:rFonts w:ascii="Times New Roman" w:hAnsi="Times New Roman"/>
        </w:rPr>
        <w:t>SAF/MRBR</w:t>
      </w:r>
    </w:p>
    <w:p w:rsidR="009E4FCE" w:rsidRDefault="009E4FCE" w:rsidP="009E4FCE">
      <w:pPr>
        <w:rPr>
          <w:rFonts w:ascii="Times New Roman" w:hAnsi="Times New Roman"/>
        </w:rPr>
      </w:pPr>
      <w:r w:rsidRPr="009E4FCE">
        <w:rPr>
          <w:rFonts w:ascii="Times New Roman" w:hAnsi="Times New Roman"/>
        </w:rPr>
        <w:t>DFAS-IN</w:t>
      </w:r>
    </w:p>
    <w:p w:rsidR="009E4FCE" w:rsidRDefault="009E4FCE">
      <w:pPr>
        <w:rPr>
          <w:rFonts w:ascii="Times New Roman" w:hAnsi="Times New Roman"/>
        </w:rPr>
      </w:pPr>
      <w:r>
        <w:rPr>
          <w:rFonts w:ascii="Times New Roman" w:hAnsi="Times New Roman"/>
        </w:rPr>
        <w:br w:type="page"/>
      </w:r>
    </w:p>
    <w:p w:rsidR="009E4FCE" w:rsidRPr="00366E20" w:rsidRDefault="009E4FCE" w:rsidP="009E4FCE">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PD-2009-00484</w:t>
      </w:r>
    </w:p>
    <w:p w:rsidR="009E4FCE" w:rsidRPr="00366E20" w:rsidRDefault="009E4FCE" w:rsidP="009E4FCE">
      <w:pPr>
        <w:tabs>
          <w:tab w:val="left" w:pos="720"/>
        </w:tabs>
        <w:spacing w:line="240" w:lineRule="exact"/>
        <w:ind w:right="-360"/>
        <w:rPr>
          <w:rFonts w:ascii="Times New Roman" w:hAnsi="Times New Roman"/>
          <w:color w:val="000080"/>
        </w:rPr>
      </w:pPr>
    </w:p>
    <w:p w:rsidR="009E4FCE" w:rsidRPr="00366E20" w:rsidRDefault="009E4FCE" w:rsidP="009E4FCE">
      <w:pPr>
        <w:tabs>
          <w:tab w:val="left" w:pos="720"/>
        </w:tabs>
        <w:spacing w:line="240" w:lineRule="exact"/>
        <w:ind w:right="-360"/>
        <w:rPr>
          <w:rFonts w:ascii="Times New Roman" w:hAnsi="Times New Roman"/>
          <w:color w:val="000080"/>
        </w:rPr>
      </w:pPr>
    </w:p>
    <w:p w:rsidR="009E4FCE" w:rsidRPr="00366E20" w:rsidRDefault="009E4FCE" w:rsidP="009E4FCE">
      <w:pPr>
        <w:tabs>
          <w:tab w:val="left" w:pos="720"/>
        </w:tabs>
        <w:spacing w:line="240" w:lineRule="exact"/>
        <w:ind w:right="-360"/>
        <w:rPr>
          <w:rFonts w:ascii="Times New Roman" w:hAnsi="Times New Roman"/>
          <w:color w:val="000080"/>
        </w:rPr>
      </w:pPr>
    </w:p>
    <w:p w:rsidR="009E4FCE" w:rsidRPr="00366E20" w:rsidRDefault="009E4FCE" w:rsidP="009E4FCE">
      <w:pPr>
        <w:tabs>
          <w:tab w:val="left" w:pos="720"/>
        </w:tabs>
        <w:spacing w:line="240" w:lineRule="exact"/>
        <w:ind w:right="-360"/>
        <w:rPr>
          <w:rFonts w:ascii="Times New Roman" w:hAnsi="Times New Roman"/>
          <w:color w:val="000080"/>
        </w:rPr>
      </w:pPr>
    </w:p>
    <w:p w:rsidR="009E4FCE" w:rsidRPr="00366E20" w:rsidRDefault="009E4FCE" w:rsidP="009E4FCE">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9E4FCE" w:rsidRPr="00366E20" w:rsidRDefault="009E4FCE" w:rsidP="009E4FCE">
      <w:pPr>
        <w:tabs>
          <w:tab w:val="left" w:pos="720"/>
        </w:tabs>
        <w:spacing w:line="240" w:lineRule="exact"/>
        <w:ind w:right="-360"/>
        <w:rPr>
          <w:rFonts w:ascii="Times New Roman" w:hAnsi="Times New Roman"/>
          <w:color w:val="000080"/>
        </w:rPr>
      </w:pPr>
    </w:p>
    <w:p w:rsidR="009E4FCE" w:rsidRPr="00366E20" w:rsidRDefault="009E4FCE" w:rsidP="009E4FC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9E4FCE" w:rsidRPr="00366E20" w:rsidRDefault="009E4FCE" w:rsidP="009E4FCE">
      <w:pPr>
        <w:tabs>
          <w:tab w:val="left" w:pos="720"/>
        </w:tabs>
        <w:spacing w:line="240" w:lineRule="exact"/>
        <w:ind w:right="-360"/>
        <w:rPr>
          <w:rFonts w:ascii="Times New Roman" w:hAnsi="Times New Roman"/>
          <w:color w:val="000080"/>
        </w:rPr>
      </w:pPr>
    </w:p>
    <w:p w:rsidR="009E4FCE" w:rsidRPr="00366E20" w:rsidRDefault="009E4FCE" w:rsidP="009E4FC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9E4FCE" w:rsidRPr="00366E20" w:rsidRDefault="009E4FCE" w:rsidP="009E4FCE">
      <w:pPr>
        <w:tabs>
          <w:tab w:val="left" w:pos="720"/>
        </w:tabs>
        <w:spacing w:line="240" w:lineRule="exact"/>
        <w:ind w:right="-360"/>
        <w:rPr>
          <w:rFonts w:ascii="Times New Roman" w:hAnsi="Times New Roman"/>
          <w:color w:val="000080"/>
        </w:rPr>
      </w:pPr>
    </w:p>
    <w:p w:rsidR="009E4FCE" w:rsidRDefault="009E4FCE" w:rsidP="009E4FC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73313F">
        <w:rPr>
          <w:rFonts w:ascii="Times New Roman" w:hAnsi="Times New Roman"/>
          <w:color w:val="000080"/>
        </w:rPr>
        <w:tab/>
      </w:r>
      <w:r w:rsidRPr="0073313F">
        <w:rPr>
          <w:rFonts w:ascii="Times New Roman" w:hAnsi="Times New Roman"/>
          <w:color w:val="000080"/>
        </w:rPr>
        <w:tab/>
      </w:r>
      <w:proofErr w:type="gramStart"/>
      <w:r>
        <w:rPr>
          <w:rFonts w:ascii="Times New Roman" w:hAnsi="Times New Roman"/>
          <w:color w:val="000080"/>
        </w:rPr>
        <w:t>a.  On</w:t>
      </w:r>
      <w:proofErr w:type="gramEnd"/>
      <w:r>
        <w:rPr>
          <w:rFonts w:ascii="Times New Roman" w:hAnsi="Times New Roman"/>
          <w:color w:val="000080"/>
        </w:rPr>
        <w:t xml:space="preserve"> 11 June 2007, he was not discharged by reason of physical disability; rather on that date he was relieved from active duty and on 12 June 2007 his name was placed on the Temporary Disability Retired List (TDRL), with a diagnosis of Post-Traumatic Stress Disorder, VASRD Code 9411, rated at 50%.  </w:t>
      </w:r>
    </w:p>
    <w:p w:rsidR="009E4FCE" w:rsidRDefault="009E4FCE" w:rsidP="009E4FC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w:t>
      </w:r>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Pr>
          <w:rFonts w:ascii="Times New Roman" w:hAnsi="Times New Roman"/>
          <w:color w:val="000080"/>
        </w:rPr>
        <w:t>10 June 2007</w:t>
      </w:r>
      <w:r w:rsidRPr="00366E20">
        <w:rPr>
          <w:rFonts w:ascii="Times New Roman" w:hAnsi="Times New Roman"/>
          <w:color w:val="000080"/>
        </w:rPr>
        <w:t xml:space="preserve">, </w:t>
      </w:r>
      <w:r>
        <w:rPr>
          <w:rFonts w:ascii="Times New Roman" w:hAnsi="Times New Roman"/>
          <w:color w:val="000080"/>
        </w:rPr>
        <w:t xml:space="preserve">spouse only coverage </w:t>
      </w:r>
      <w:r w:rsidRPr="00366E20">
        <w:rPr>
          <w:rFonts w:ascii="Times New Roman" w:hAnsi="Times New Roman"/>
          <w:color w:val="000080"/>
        </w:rPr>
        <w:t>under the Survivor Benefit Plan (SBP) based on full retired pay</w:t>
      </w:r>
      <w:r>
        <w:rPr>
          <w:rFonts w:ascii="Times New Roman" w:hAnsi="Times New Roman"/>
          <w:color w:val="000080"/>
        </w:rPr>
        <w:t xml:space="preserve"> was established</w:t>
      </w:r>
      <w:r w:rsidRPr="00366E20">
        <w:rPr>
          <w:rFonts w:ascii="Times New Roman" w:hAnsi="Times New Roman"/>
          <w:color w:val="000080"/>
        </w:rPr>
        <w:t>.</w:t>
      </w: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c.  On</w:t>
      </w:r>
      <w:proofErr w:type="gramEnd"/>
      <w:r>
        <w:rPr>
          <w:rFonts w:ascii="Times New Roman" w:hAnsi="Times New Roman"/>
          <w:color w:val="000080"/>
        </w:rPr>
        <w:t xml:space="preserve"> 12 December 2007 he was removed from the TDRL and permanently retired with a final combined disability rating of 30%.  </w:t>
      </w: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9E4FCE" w:rsidRDefault="009E4FCE" w:rsidP="009E4FC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9E4FCE" w:rsidRDefault="009E4FCE" w:rsidP="009E4FC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9E4FCE" w:rsidRDefault="009E4FCE" w:rsidP="009E4FC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9E4FCE" w:rsidRDefault="009E4FCE" w:rsidP="009E4FCE">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522CD" w:rsidRPr="009E4FCE" w:rsidRDefault="00B522CD" w:rsidP="009E4FCE">
      <w:pPr>
        <w:rPr>
          <w:rFonts w:ascii="Times New Roman" w:eastAsiaTheme="minorHAnsi" w:hAnsi="Times New Roman"/>
          <w:color w:val="auto"/>
          <w:szCs w:val="24"/>
        </w:rPr>
      </w:pPr>
    </w:p>
    <w:p w:rsidR="00AA04B3" w:rsidRPr="003D07A5" w:rsidRDefault="00AA04B3" w:rsidP="003D07A5">
      <w:pPr>
        <w:spacing w:line="240" w:lineRule="exact"/>
        <w:jc w:val="both"/>
        <w:rPr>
          <w:rFonts w:asciiTheme="minorHAnsi" w:eastAsiaTheme="minorHAnsi" w:hAnsiTheme="minorHAnsi"/>
          <w:color w:val="auto"/>
          <w:szCs w:val="24"/>
        </w:rPr>
      </w:pPr>
    </w:p>
    <w:p w:rsidR="000379D0" w:rsidRPr="000E0993"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0E099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1C" w:rsidRDefault="00614A1C">
      <w:r>
        <w:separator/>
      </w:r>
    </w:p>
  </w:endnote>
  <w:endnote w:type="continuationSeparator" w:id="0">
    <w:p w:rsidR="00614A1C" w:rsidRDefault="00614A1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8397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8397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E4FCE">
      <w:rPr>
        <w:rStyle w:val="PageNumber"/>
        <w:noProof/>
      </w:rPr>
      <w:t>4</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D80EAF">
      <w:rPr>
        <w:caps/>
        <w:color w:val="000080"/>
      </w:rPr>
      <w:t>484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1C" w:rsidRDefault="00614A1C">
      <w:r>
        <w:separator/>
      </w:r>
    </w:p>
  </w:footnote>
  <w:footnote w:type="continuationSeparator" w:id="0">
    <w:p w:rsidR="00614A1C" w:rsidRDefault="00614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995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12E4"/>
    <w:rsid w:val="00023D43"/>
    <w:rsid w:val="00024F16"/>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75702"/>
    <w:rsid w:val="000775C2"/>
    <w:rsid w:val="000806AD"/>
    <w:rsid w:val="00082482"/>
    <w:rsid w:val="0008708B"/>
    <w:rsid w:val="00094E4F"/>
    <w:rsid w:val="000A18D2"/>
    <w:rsid w:val="000A2BCE"/>
    <w:rsid w:val="000A41E3"/>
    <w:rsid w:val="000A4BBA"/>
    <w:rsid w:val="000A5071"/>
    <w:rsid w:val="000C06F6"/>
    <w:rsid w:val="000C13C7"/>
    <w:rsid w:val="000C3C13"/>
    <w:rsid w:val="000C5813"/>
    <w:rsid w:val="000C7DE4"/>
    <w:rsid w:val="000D15E7"/>
    <w:rsid w:val="000D1A24"/>
    <w:rsid w:val="000D21C7"/>
    <w:rsid w:val="000D248A"/>
    <w:rsid w:val="000D3347"/>
    <w:rsid w:val="000D43F9"/>
    <w:rsid w:val="000D4717"/>
    <w:rsid w:val="000D6457"/>
    <w:rsid w:val="000D7D55"/>
    <w:rsid w:val="000E0993"/>
    <w:rsid w:val="000E37E0"/>
    <w:rsid w:val="000F02BE"/>
    <w:rsid w:val="000F427B"/>
    <w:rsid w:val="000F6C58"/>
    <w:rsid w:val="001008C1"/>
    <w:rsid w:val="00103CCF"/>
    <w:rsid w:val="0010417F"/>
    <w:rsid w:val="001042D2"/>
    <w:rsid w:val="0010530E"/>
    <w:rsid w:val="001103CD"/>
    <w:rsid w:val="00113267"/>
    <w:rsid w:val="00114F20"/>
    <w:rsid w:val="001173E2"/>
    <w:rsid w:val="001219DF"/>
    <w:rsid w:val="001231DC"/>
    <w:rsid w:val="001272AE"/>
    <w:rsid w:val="001315DD"/>
    <w:rsid w:val="00135385"/>
    <w:rsid w:val="001364D1"/>
    <w:rsid w:val="00142EBA"/>
    <w:rsid w:val="00150DCB"/>
    <w:rsid w:val="00153740"/>
    <w:rsid w:val="001541C5"/>
    <w:rsid w:val="0015623F"/>
    <w:rsid w:val="00156BA9"/>
    <w:rsid w:val="00157C2C"/>
    <w:rsid w:val="00166182"/>
    <w:rsid w:val="00177659"/>
    <w:rsid w:val="001779E5"/>
    <w:rsid w:val="00182A4C"/>
    <w:rsid w:val="00183F77"/>
    <w:rsid w:val="00185DA8"/>
    <w:rsid w:val="00185ECB"/>
    <w:rsid w:val="001870F0"/>
    <w:rsid w:val="00192538"/>
    <w:rsid w:val="0019273F"/>
    <w:rsid w:val="00193AD5"/>
    <w:rsid w:val="00194930"/>
    <w:rsid w:val="001A08CD"/>
    <w:rsid w:val="001A5320"/>
    <w:rsid w:val="001A5E62"/>
    <w:rsid w:val="001A7538"/>
    <w:rsid w:val="001B0B1A"/>
    <w:rsid w:val="001B4EC2"/>
    <w:rsid w:val="001B5B59"/>
    <w:rsid w:val="001B7C8C"/>
    <w:rsid w:val="001C0DB2"/>
    <w:rsid w:val="001C181A"/>
    <w:rsid w:val="001C2053"/>
    <w:rsid w:val="001C28D1"/>
    <w:rsid w:val="001C5CFC"/>
    <w:rsid w:val="001C7418"/>
    <w:rsid w:val="001D0051"/>
    <w:rsid w:val="001D2224"/>
    <w:rsid w:val="001D5F46"/>
    <w:rsid w:val="001D68CF"/>
    <w:rsid w:val="001D6A8C"/>
    <w:rsid w:val="001D7A56"/>
    <w:rsid w:val="001E15C0"/>
    <w:rsid w:val="001E18E0"/>
    <w:rsid w:val="001E18E2"/>
    <w:rsid w:val="001E2A30"/>
    <w:rsid w:val="00200AA0"/>
    <w:rsid w:val="00202736"/>
    <w:rsid w:val="00203652"/>
    <w:rsid w:val="002060B6"/>
    <w:rsid w:val="002157EC"/>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2ABE"/>
    <w:rsid w:val="0026318D"/>
    <w:rsid w:val="00270864"/>
    <w:rsid w:val="002712F7"/>
    <w:rsid w:val="0027159C"/>
    <w:rsid w:val="00274549"/>
    <w:rsid w:val="00274E46"/>
    <w:rsid w:val="00276C86"/>
    <w:rsid w:val="002810A4"/>
    <w:rsid w:val="0028115C"/>
    <w:rsid w:val="00284A26"/>
    <w:rsid w:val="00296C62"/>
    <w:rsid w:val="00297CA6"/>
    <w:rsid w:val="002A3237"/>
    <w:rsid w:val="002A685E"/>
    <w:rsid w:val="002A72C7"/>
    <w:rsid w:val="002B03B2"/>
    <w:rsid w:val="002B0749"/>
    <w:rsid w:val="002B2645"/>
    <w:rsid w:val="002C5F10"/>
    <w:rsid w:val="002C6E5B"/>
    <w:rsid w:val="002D18B4"/>
    <w:rsid w:val="002D231A"/>
    <w:rsid w:val="002D66E2"/>
    <w:rsid w:val="002E043D"/>
    <w:rsid w:val="002E1877"/>
    <w:rsid w:val="002E1C31"/>
    <w:rsid w:val="002E333A"/>
    <w:rsid w:val="002E3474"/>
    <w:rsid w:val="002E400C"/>
    <w:rsid w:val="002E49C3"/>
    <w:rsid w:val="002E6AEE"/>
    <w:rsid w:val="002E7570"/>
    <w:rsid w:val="002E764B"/>
    <w:rsid w:val="002F0E28"/>
    <w:rsid w:val="002F287E"/>
    <w:rsid w:val="002F2D63"/>
    <w:rsid w:val="002F7F81"/>
    <w:rsid w:val="00300A36"/>
    <w:rsid w:val="00303501"/>
    <w:rsid w:val="0030678B"/>
    <w:rsid w:val="00310CD7"/>
    <w:rsid w:val="00317A9E"/>
    <w:rsid w:val="0032136A"/>
    <w:rsid w:val="00323827"/>
    <w:rsid w:val="00323E70"/>
    <w:rsid w:val="00325BA2"/>
    <w:rsid w:val="00326F7F"/>
    <w:rsid w:val="003320E8"/>
    <w:rsid w:val="0033555E"/>
    <w:rsid w:val="00336805"/>
    <w:rsid w:val="00337351"/>
    <w:rsid w:val="00341A54"/>
    <w:rsid w:val="0034669F"/>
    <w:rsid w:val="00351498"/>
    <w:rsid w:val="00352B22"/>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A25D8"/>
    <w:rsid w:val="003A333A"/>
    <w:rsid w:val="003A41BA"/>
    <w:rsid w:val="003A4797"/>
    <w:rsid w:val="003A6A99"/>
    <w:rsid w:val="003A7FF8"/>
    <w:rsid w:val="003B227A"/>
    <w:rsid w:val="003B5854"/>
    <w:rsid w:val="003B6764"/>
    <w:rsid w:val="003C373A"/>
    <w:rsid w:val="003D07A5"/>
    <w:rsid w:val="003D2BA3"/>
    <w:rsid w:val="003D3C22"/>
    <w:rsid w:val="003D5121"/>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0771C"/>
    <w:rsid w:val="004101B2"/>
    <w:rsid w:val="004123D7"/>
    <w:rsid w:val="004172DB"/>
    <w:rsid w:val="00421485"/>
    <w:rsid w:val="00422B75"/>
    <w:rsid w:val="00433F36"/>
    <w:rsid w:val="0043503A"/>
    <w:rsid w:val="00437F35"/>
    <w:rsid w:val="0044384F"/>
    <w:rsid w:val="00446018"/>
    <w:rsid w:val="004543BC"/>
    <w:rsid w:val="0045645D"/>
    <w:rsid w:val="004574C6"/>
    <w:rsid w:val="00457BCF"/>
    <w:rsid w:val="00457DCE"/>
    <w:rsid w:val="004607CC"/>
    <w:rsid w:val="00460E3F"/>
    <w:rsid w:val="00467592"/>
    <w:rsid w:val="004718E7"/>
    <w:rsid w:val="004761CC"/>
    <w:rsid w:val="00480D4A"/>
    <w:rsid w:val="00481DA1"/>
    <w:rsid w:val="0049265A"/>
    <w:rsid w:val="00492EF1"/>
    <w:rsid w:val="0049445D"/>
    <w:rsid w:val="00495350"/>
    <w:rsid w:val="00497156"/>
    <w:rsid w:val="004A24D2"/>
    <w:rsid w:val="004A4136"/>
    <w:rsid w:val="004A417B"/>
    <w:rsid w:val="004B03F3"/>
    <w:rsid w:val="004B2536"/>
    <w:rsid w:val="004B6AF3"/>
    <w:rsid w:val="004B715E"/>
    <w:rsid w:val="004B7169"/>
    <w:rsid w:val="004B79C9"/>
    <w:rsid w:val="004C51CD"/>
    <w:rsid w:val="004C5E33"/>
    <w:rsid w:val="004C6CDA"/>
    <w:rsid w:val="004D10D4"/>
    <w:rsid w:val="004D16BD"/>
    <w:rsid w:val="004D61E8"/>
    <w:rsid w:val="004D6F2B"/>
    <w:rsid w:val="004E0248"/>
    <w:rsid w:val="004E1312"/>
    <w:rsid w:val="004E21A3"/>
    <w:rsid w:val="004E32EA"/>
    <w:rsid w:val="004F3222"/>
    <w:rsid w:val="004F3BFA"/>
    <w:rsid w:val="00510588"/>
    <w:rsid w:val="0051146C"/>
    <w:rsid w:val="00517C5D"/>
    <w:rsid w:val="005222E7"/>
    <w:rsid w:val="00523E04"/>
    <w:rsid w:val="0052590B"/>
    <w:rsid w:val="00526591"/>
    <w:rsid w:val="00527178"/>
    <w:rsid w:val="005350A5"/>
    <w:rsid w:val="00536379"/>
    <w:rsid w:val="005400C5"/>
    <w:rsid w:val="00540BEF"/>
    <w:rsid w:val="00542C9A"/>
    <w:rsid w:val="005436C2"/>
    <w:rsid w:val="0054586A"/>
    <w:rsid w:val="0055288D"/>
    <w:rsid w:val="00555259"/>
    <w:rsid w:val="00560D57"/>
    <w:rsid w:val="00562A94"/>
    <w:rsid w:val="005710A9"/>
    <w:rsid w:val="00593043"/>
    <w:rsid w:val="00595BF0"/>
    <w:rsid w:val="005A258C"/>
    <w:rsid w:val="005A3560"/>
    <w:rsid w:val="005A6C99"/>
    <w:rsid w:val="005A7AD0"/>
    <w:rsid w:val="005B011A"/>
    <w:rsid w:val="005B1D8F"/>
    <w:rsid w:val="005B1E94"/>
    <w:rsid w:val="005B5B3D"/>
    <w:rsid w:val="005C3758"/>
    <w:rsid w:val="005C4D54"/>
    <w:rsid w:val="005D6596"/>
    <w:rsid w:val="005E0E04"/>
    <w:rsid w:val="005E3064"/>
    <w:rsid w:val="005F1115"/>
    <w:rsid w:val="005F188E"/>
    <w:rsid w:val="005F27F2"/>
    <w:rsid w:val="005F424D"/>
    <w:rsid w:val="00605AAB"/>
    <w:rsid w:val="00606BEB"/>
    <w:rsid w:val="0061014A"/>
    <w:rsid w:val="00610EAC"/>
    <w:rsid w:val="00613E26"/>
    <w:rsid w:val="00614A1C"/>
    <w:rsid w:val="00615641"/>
    <w:rsid w:val="006211D0"/>
    <w:rsid w:val="00624D0C"/>
    <w:rsid w:val="006307BA"/>
    <w:rsid w:val="006315BA"/>
    <w:rsid w:val="00634C4A"/>
    <w:rsid w:val="0063532E"/>
    <w:rsid w:val="0063628B"/>
    <w:rsid w:val="00637BDC"/>
    <w:rsid w:val="006418C9"/>
    <w:rsid w:val="00642BD6"/>
    <w:rsid w:val="00645046"/>
    <w:rsid w:val="00645EA2"/>
    <w:rsid w:val="006573F2"/>
    <w:rsid w:val="00662F08"/>
    <w:rsid w:val="00663589"/>
    <w:rsid w:val="00670DDC"/>
    <w:rsid w:val="00671EB4"/>
    <w:rsid w:val="0067443B"/>
    <w:rsid w:val="00684E2B"/>
    <w:rsid w:val="00690FDA"/>
    <w:rsid w:val="00694CDC"/>
    <w:rsid w:val="00694EEA"/>
    <w:rsid w:val="006955B4"/>
    <w:rsid w:val="00696476"/>
    <w:rsid w:val="006A10FA"/>
    <w:rsid w:val="006A1455"/>
    <w:rsid w:val="006A40E6"/>
    <w:rsid w:val="006A5C07"/>
    <w:rsid w:val="006A75FA"/>
    <w:rsid w:val="006B07D5"/>
    <w:rsid w:val="006B1309"/>
    <w:rsid w:val="006B5923"/>
    <w:rsid w:val="006B67D9"/>
    <w:rsid w:val="006B6C14"/>
    <w:rsid w:val="006C1D6E"/>
    <w:rsid w:val="006C3A68"/>
    <w:rsid w:val="006C69CC"/>
    <w:rsid w:val="006C6AB1"/>
    <w:rsid w:val="006C6F73"/>
    <w:rsid w:val="006D2D39"/>
    <w:rsid w:val="006D5728"/>
    <w:rsid w:val="006E06D1"/>
    <w:rsid w:val="006E1313"/>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2578F"/>
    <w:rsid w:val="00725D17"/>
    <w:rsid w:val="0073254D"/>
    <w:rsid w:val="00736A49"/>
    <w:rsid w:val="00743B71"/>
    <w:rsid w:val="00743C2D"/>
    <w:rsid w:val="00743E36"/>
    <w:rsid w:val="007446F7"/>
    <w:rsid w:val="00744EBB"/>
    <w:rsid w:val="00745B0A"/>
    <w:rsid w:val="007468AC"/>
    <w:rsid w:val="00746AE2"/>
    <w:rsid w:val="00750C82"/>
    <w:rsid w:val="0076100C"/>
    <w:rsid w:val="007651ED"/>
    <w:rsid w:val="007653EE"/>
    <w:rsid w:val="00766C87"/>
    <w:rsid w:val="00771671"/>
    <w:rsid w:val="0077581E"/>
    <w:rsid w:val="00781BD4"/>
    <w:rsid w:val="00784832"/>
    <w:rsid w:val="00785D77"/>
    <w:rsid w:val="00786111"/>
    <w:rsid w:val="00791F1E"/>
    <w:rsid w:val="00794F3D"/>
    <w:rsid w:val="007968AC"/>
    <w:rsid w:val="007969AB"/>
    <w:rsid w:val="007A0B39"/>
    <w:rsid w:val="007A14A4"/>
    <w:rsid w:val="007A168F"/>
    <w:rsid w:val="007A1F6C"/>
    <w:rsid w:val="007A28E4"/>
    <w:rsid w:val="007A3BB3"/>
    <w:rsid w:val="007A5AD1"/>
    <w:rsid w:val="007A5B7B"/>
    <w:rsid w:val="007B0A06"/>
    <w:rsid w:val="007B1D26"/>
    <w:rsid w:val="007B5C5C"/>
    <w:rsid w:val="007B7B37"/>
    <w:rsid w:val="007B7C41"/>
    <w:rsid w:val="007C433E"/>
    <w:rsid w:val="007C4DB1"/>
    <w:rsid w:val="007C6046"/>
    <w:rsid w:val="007D0292"/>
    <w:rsid w:val="007D13DC"/>
    <w:rsid w:val="007D21AC"/>
    <w:rsid w:val="007D568A"/>
    <w:rsid w:val="007D574E"/>
    <w:rsid w:val="007D7689"/>
    <w:rsid w:val="007E2046"/>
    <w:rsid w:val="007E4FBB"/>
    <w:rsid w:val="007E55BF"/>
    <w:rsid w:val="007E71B1"/>
    <w:rsid w:val="007E7B4E"/>
    <w:rsid w:val="007F0CE2"/>
    <w:rsid w:val="007F0EFF"/>
    <w:rsid w:val="007F1375"/>
    <w:rsid w:val="007F7BB1"/>
    <w:rsid w:val="00801437"/>
    <w:rsid w:val="00803850"/>
    <w:rsid w:val="00805AF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45950"/>
    <w:rsid w:val="0085206E"/>
    <w:rsid w:val="008526F1"/>
    <w:rsid w:val="00852AD4"/>
    <w:rsid w:val="00852BA8"/>
    <w:rsid w:val="00853718"/>
    <w:rsid w:val="008541EF"/>
    <w:rsid w:val="00855DE8"/>
    <w:rsid w:val="00856FA4"/>
    <w:rsid w:val="0085729C"/>
    <w:rsid w:val="0086162B"/>
    <w:rsid w:val="00865207"/>
    <w:rsid w:val="008656A7"/>
    <w:rsid w:val="00871262"/>
    <w:rsid w:val="00871D4E"/>
    <w:rsid w:val="00871E7B"/>
    <w:rsid w:val="008737FF"/>
    <w:rsid w:val="00875B51"/>
    <w:rsid w:val="00875F2D"/>
    <w:rsid w:val="008764DC"/>
    <w:rsid w:val="00882CC2"/>
    <w:rsid w:val="00883930"/>
    <w:rsid w:val="00894558"/>
    <w:rsid w:val="00896535"/>
    <w:rsid w:val="00896683"/>
    <w:rsid w:val="008A0F1B"/>
    <w:rsid w:val="008A4335"/>
    <w:rsid w:val="008A442E"/>
    <w:rsid w:val="008A63A9"/>
    <w:rsid w:val="008B04DB"/>
    <w:rsid w:val="008B1102"/>
    <w:rsid w:val="008B1FC1"/>
    <w:rsid w:val="008B27FD"/>
    <w:rsid w:val="008B3AF2"/>
    <w:rsid w:val="008B515D"/>
    <w:rsid w:val="008B5D31"/>
    <w:rsid w:val="008B6705"/>
    <w:rsid w:val="008B6BB4"/>
    <w:rsid w:val="008D795D"/>
    <w:rsid w:val="008D7B07"/>
    <w:rsid w:val="008D7D7B"/>
    <w:rsid w:val="008E2D99"/>
    <w:rsid w:val="008E4A60"/>
    <w:rsid w:val="008E4CCA"/>
    <w:rsid w:val="009014E3"/>
    <w:rsid w:val="009026E8"/>
    <w:rsid w:val="00906EB7"/>
    <w:rsid w:val="009102BF"/>
    <w:rsid w:val="009115F2"/>
    <w:rsid w:val="00914ADB"/>
    <w:rsid w:val="00923B25"/>
    <w:rsid w:val="0092402E"/>
    <w:rsid w:val="00926AEF"/>
    <w:rsid w:val="00926FCB"/>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397D"/>
    <w:rsid w:val="00985099"/>
    <w:rsid w:val="00987C94"/>
    <w:rsid w:val="0099062C"/>
    <w:rsid w:val="0099421F"/>
    <w:rsid w:val="009A0DE3"/>
    <w:rsid w:val="009A1643"/>
    <w:rsid w:val="009A1D3E"/>
    <w:rsid w:val="009A215A"/>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4FCE"/>
    <w:rsid w:val="009E57B1"/>
    <w:rsid w:val="009F2BB5"/>
    <w:rsid w:val="009F7809"/>
    <w:rsid w:val="009F7AF5"/>
    <w:rsid w:val="00A00D14"/>
    <w:rsid w:val="00A01408"/>
    <w:rsid w:val="00A02457"/>
    <w:rsid w:val="00A0404B"/>
    <w:rsid w:val="00A07BDD"/>
    <w:rsid w:val="00A1105B"/>
    <w:rsid w:val="00A15B6B"/>
    <w:rsid w:val="00A15EB4"/>
    <w:rsid w:val="00A16876"/>
    <w:rsid w:val="00A16B2D"/>
    <w:rsid w:val="00A200AA"/>
    <w:rsid w:val="00A2186F"/>
    <w:rsid w:val="00A2270B"/>
    <w:rsid w:val="00A23B89"/>
    <w:rsid w:val="00A2496E"/>
    <w:rsid w:val="00A258B7"/>
    <w:rsid w:val="00A32743"/>
    <w:rsid w:val="00A414A9"/>
    <w:rsid w:val="00A44D75"/>
    <w:rsid w:val="00A47CF1"/>
    <w:rsid w:val="00A50418"/>
    <w:rsid w:val="00A56D26"/>
    <w:rsid w:val="00A60567"/>
    <w:rsid w:val="00A608FB"/>
    <w:rsid w:val="00A60D83"/>
    <w:rsid w:val="00A60F68"/>
    <w:rsid w:val="00A61773"/>
    <w:rsid w:val="00A65C78"/>
    <w:rsid w:val="00A67CA6"/>
    <w:rsid w:val="00A70E7B"/>
    <w:rsid w:val="00A73B84"/>
    <w:rsid w:val="00A7411D"/>
    <w:rsid w:val="00A76094"/>
    <w:rsid w:val="00A768E2"/>
    <w:rsid w:val="00A82C52"/>
    <w:rsid w:val="00A86CB6"/>
    <w:rsid w:val="00A901F8"/>
    <w:rsid w:val="00A90D55"/>
    <w:rsid w:val="00A953F4"/>
    <w:rsid w:val="00A959E7"/>
    <w:rsid w:val="00A95BBA"/>
    <w:rsid w:val="00A961EE"/>
    <w:rsid w:val="00AA04B3"/>
    <w:rsid w:val="00AA493E"/>
    <w:rsid w:val="00AA73AF"/>
    <w:rsid w:val="00AB1754"/>
    <w:rsid w:val="00AB27DD"/>
    <w:rsid w:val="00AC439D"/>
    <w:rsid w:val="00AD067E"/>
    <w:rsid w:val="00AD3D24"/>
    <w:rsid w:val="00AD68C5"/>
    <w:rsid w:val="00AE1273"/>
    <w:rsid w:val="00AE2D29"/>
    <w:rsid w:val="00AE4624"/>
    <w:rsid w:val="00AE5E14"/>
    <w:rsid w:val="00AF282C"/>
    <w:rsid w:val="00AF4FA5"/>
    <w:rsid w:val="00B008AB"/>
    <w:rsid w:val="00B14FAA"/>
    <w:rsid w:val="00B15D30"/>
    <w:rsid w:val="00B228A9"/>
    <w:rsid w:val="00B23436"/>
    <w:rsid w:val="00B26318"/>
    <w:rsid w:val="00B32179"/>
    <w:rsid w:val="00B331A9"/>
    <w:rsid w:val="00B40A3E"/>
    <w:rsid w:val="00B50227"/>
    <w:rsid w:val="00B522CD"/>
    <w:rsid w:val="00B55917"/>
    <w:rsid w:val="00B64DD6"/>
    <w:rsid w:val="00B653B3"/>
    <w:rsid w:val="00B72303"/>
    <w:rsid w:val="00B82277"/>
    <w:rsid w:val="00B91676"/>
    <w:rsid w:val="00B95833"/>
    <w:rsid w:val="00BA2D98"/>
    <w:rsid w:val="00BA30D1"/>
    <w:rsid w:val="00BA4609"/>
    <w:rsid w:val="00BA5BE2"/>
    <w:rsid w:val="00BA7F46"/>
    <w:rsid w:val="00BB0A0A"/>
    <w:rsid w:val="00BB45B5"/>
    <w:rsid w:val="00BB6064"/>
    <w:rsid w:val="00BC09D1"/>
    <w:rsid w:val="00BC5EF4"/>
    <w:rsid w:val="00BC7D14"/>
    <w:rsid w:val="00BD40AB"/>
    <w:rsid w:val="00BD6806"/>
    <w:rsid w:val="00BD7433"/>
    <w:rsid w:val="00BD7831"/>
    <w:rsid w:val="00BD7C10"/>
    <w:rsid w:val="00BE046F"/>
    <w:rsid w:val="00BE0DEB"/>
    <w:rsid w:val="00BE2FC1"/>
    <w:rsid w:val="00BE6365"/>
    <w:rsid w:val="00BF0B7F"/>
    <w:rsid w:val="00BF4720"/>
    <w:rsid w:val="00C038EC"/>
    <w:rsid w:val="00C13B34"/>
    <w:rsid w:val="00C13F26"/>
    <w:rsid w:val="00C16E9F"/>
    <w:rsid w:val="00C1713D"/>
    <w:rsid w:val="00C177F1"/>
    <w:rsid w:val="00C216A5"/>
    <w:rsid w:val="00C25978"/>
    <w:rsid w:val="00C261C6"/>
    <w:rsid w:val="00C2620D"/>
    <w:rsid w:val="00C30A97"/>
    <w:rsid w:val="00C31DDC"/>
    <w:rsid w:val="00C34326"/>
    <w:rsid w:val="00C36201"/>
    <w:rsid w:val="00C368E8"/>
    <w:rsid w:val="00C36C3D"/>
    <w:rsid w:val="00C372C7"/>
    <w:rsid w:val="00C42443"/>
    <w:rsid w:val="00C42CBA"/>
    <w:rsid w:val="00C47CEC"/>
    <w:rsid w:val="00C5019E"/>
    <w:rsid w:val="00C53E8A"/>
    <w:rsid w:val="00C54726"/>
    <w:rsid w:val="00C54DF3"/>
    <w:rsid w:val="00C560A7"/>
    <w:rsid w:val="00C56FC8"/>
    <w:rsid w:val="00C60F23"/>
    <w:rsid w:val="00C62EB2"/>
    <w:rsid w:val="00C64B40"/>
    <w:rsid w:val="00C6744C"/>
    <w:rsid w:val="00C71BEC"/>
    <w:rsid w:val="00C74AED"/>
    <w:rsid w:val="00C74D3A"/>
    <w:rsid w:val="00C76632"/>
    <w:rsid w:val="00C80511"/>
    <w:rsid w:val="00C826F5"/>
    <w:rsid w:val="00C83740"/>
    <w:rsid w:val="00C84AD1"/>
    <w:rsid w:val="00C85579"/>
    <w:rsid w:val="00C863E5"/>
    <w:rsid w:val="00C91D16"/>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4394"/>
    <w:rsid w:val="00D02235"/>
    <w:rsid w:val="00D10577"/>
    <w:rsid w:val="00D12084"/>
    <w:rsid w:val="00D1323B"/>
    <w:rsid w:val="00D14BAE"/>
    <w:rsid w:val="00D1648B"/>
    <w:rsid w:val="00D16819"/>
    <w:rsid w:val="00D20AC0"/>
    <w:rsid w:val="00D23F1A"/>
    <w:rsid w:val="00D26873"/>
    <w:rsid w:val="00D336C8"/>
    <w:rsid w:val="00D339E8"/>
    <w:rsid w:val="00D40B1F"/>
    <w:rsid w:val="00D40D75"/>
    <w:rsid w:val="00D50C8C"/>
    <w:rsid w:val="00D52393"/>
    <w:rsid w:val="00D523E4"/>
    <w:rsid w:val="00D53F14"/>
    <w:rsid w:val="00D54BE4"/>
    <w:rsid w:val="00D60483"/>
    <w:rsid w:val="00D61ABB"/>
    <w:rsid w:val="00D63577"/>
    <w:rsid w:val="00D635A0"/>
    <w:rsid w:val="00D67FD7"/>
    <w:rsid w:val="00D74261"/>
    <w:rsid w:val="00D7441B"/>
    <w:rsid w:val="00D76AB2"/>
    <w:rsid w:val="00D80490"/>
    <w:rsid w:val="00D80EAF"/>
    <w:rsid w:val="00D829AD"/>
    <w:rsid w:val="00D82EE2"/>
    <w:rsid w:val="00D8545C"/>
    <w:rsid w:val="00D87788"/>
    <w:rsid w:val="00D877C8"/>
    <w:rsid w:val="00D90123"/>
    <w:rsid w:val="00D90757"/>
    <w:rsid w:val="00D910C2"/>
    <w:rsid w:val="00D9168C"/>
    <w:rsid w:val="00D9189B"/>
    <w:rsid w:val="00D91DA6"/>
    <w:rsid w:val="00D9706F"/>
    <w:rsid w:val="00D972D4"/>
    <w:rsid w:val="00D97864"/>
    <w:rsid w:val="00DA195B"/>
    <w:rsid w:val="00DB0015"/>
    <w:rsid w:val="00DB2AAD"/>
    <w:rsid w:val="00DB626D"/>
    <w:rsid w:val="00DB6365"/>
    <w:rsid w:val="00DC0BF1"/>
    <w:rsid w:val="00DC41C3"/>
    <w:rsid w:val="00DD3593"/>
    <w:rsid w:val="00DE0C67"/>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64F0"/>
    <w:rsid w:val="00E46942"/>
    <w:rsid w:val="00E50BEB"/>
    <w:rsid w:val="00E6092F"/>
    <w:rsid w:val="00E629DA"/>
    <w:rsid w:val="00E67FAC"/>
    <w:rsid w:val="00E7200B"/>
    <w:rsid w:val="00E738CB"/>
    <w:rsid w:val="00E73C88"/>
    <w:rsid w:val="00E74437"/>
    <w:rsid w:val="00E81C3E"/>
    <w:rsid w:val="00E82B6D"/>
    <w:rsid w:val="00E97F51"/>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664B"/>
    <w:rsid w:val="00EE0B44"/>
    <w:rsid w:val="00EE6FE0"/>
    <w:rsid w:val="00EE704A"/>
    <w:rsid w:val="00EF4C74"/>
    <w:rsid w:val="00EF5268"/>
    <w:rsid w:val="00EF608E"/>
    <w:rsid w:val="00F0044B"/>
    <w:rsid w:val="00F05807"/>
    <w:rsid w:val="00F07052"/>
    <w:rsid w:val="00F0706C"/>
    <w:rsid w:val="00F07C31"/>
    <w:rsid w:val="00F11EBE"/>
    <w:rsid w:val="00F130D0"/>
    <w:rsid w:val="00F14933"/>
    <w:rsid w:val="00F1516A"/>
    <w:rsid w:val="00F2085E"/>
    <w:rsid w:val="00F22A26"/>
    <w:rsid w:val="00F24072"/>
    <w:rsid w:val="00F26432"/>
    <w:rsid w:val="00F3197A"/>
    <w:rsid w:val="00F32139"/>
    <w:rsid w:val="00F33D56"/>
    <w:rsid w:val="00F34E08"/>
    <w:rsid w:val="00F41D91"/>
    <w:rsid w:val="00F42363"/>
    <w:rsid w:val="00F46964"/>
    <w:rsid w:val="00F46F9A"/>
    <w:rsid w:val="00F47215"/>
    <w:rsid w:val="00F5126A"/>
    <w:rsid w:val="00F6636A"/>
    <w:rsid w:val="00F67E31"/>
    <w:rsid w:val="00F718A8"/>
    <w:rsid w:val="00F72183"/>
    <w:rsid w:val="00F750A2"/>
    <w:rsid w:val="00F76D01"/>
    <w:rsid w:val="00F81C35"/>
    <w:rsid w:val="00F82981"/>
    <w:rsid w:val="00F8311F"/>
    <w:rsid w:val="00F83248"/>
    <w:rsid w:val="00F83376"/>
    <w:rsid w:val="00F853AE"/>
    <w:rsid w:val="00F93DCC"/>
    <w:rsid w:val="00F9435D"/>
    <w:rsid w:val="00FB593A"/>
    <w:rsid w:val="00FB6410"/>
    <w:rsid w:val="00FB6E82"/>
    <w:rsid w:val="00FC0410"/>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9E4FCE"/>
    <w:pPr>
      <w:spacing w:after="120" w:line="480" w:lineRule="auto"/>
    </w:pPr>
  </w:style>
  <w:style w:type="character" w:customStyle="1" w:styleId="BodyText2Char">
    <w:name w:val="Body Text 2 Char"/>
    <w:basedOn w:val="DefaultParagraphFont"/>
    <w:link w:val="BodyText2"/>
    <w:rsid w:val="009E4FCE"/>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48F2-317E-4727-AC45-C53B41B9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2010-08-03T13:28:00Z</cp:lastPrinted>
  <dcterms:created xsi:type="dcterms:W3CDTF">2010-08-12T17:11:00Z</dcterms:created>
  <dcterms:modified xsi:type="dcterms:W3CDTF">2012-05-14T20:12:00Z</dcterms:modified>
</cp:coreProperties>
</file>