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61B87" w:rsidRDefault="00540BEF" w:rsidP="00A61B87">
      <w:pPr>
        <w:tabs>
          <w:tab w:val="left" w:pos="288"/>
          <w:tab w:val="left" w:pos="4752"/>
        </w:tabs>
        <w:spacing w:line="240" w:lineRule="exact"/>
        <w:jc w:val="center"/>
        <w:rPr>
          <w:color w:val="auto"/>
        </w:rPr>
      </w:pPr>
      <w:r w:rsidRPr="00A61B87">
        <w:rPr>
          <w:color w:val="auto"/>
        </w:rPr>
        <w:t>RECORD OF PROCEEDINGS</w:t>
      </w:r>
    </w:p>
    <w:p w:rsidR="00540BEF" w:rsidRPr="00A61B87" w:rsidRDefault="00540BEF" w:rsidP="00A61B87">
      <w:pPr>
        <w:tabs>
          <w:tab w:val="left" w:pos="288"/>
          <w:tab w:val="left" w:pos="4752"/>
        </w:tabs>
        <w:spacing w:line="240" w:lineRule="exact"/>
        <w:jc w:val="center"/>
        <w:rPr>
          <w:color w:val="auto"/>
        </w:rPr>
      </w:pPr>
      <w:r w:rsidRPr="00A61B87">
        <w:rPr>
          <w:color w:val="auto"/>
        </w:rPr>
        <w:t>PHYSICAL DISABILITY BOARD OF REVIEW</w:t>
      </w:r>
    </w:p>
    <w:p w:rsidR="00540BEF" w:rsidRPr="00A61B87" w:rsidRDefault="00540BEF" w:rsidP="00A61B87">
      <w:pPr>
        <w:tabs>
          <w:tab w:val="left" w:pos="288"/>
          <w:tab w:val="left" w:pos="4752"/>
        </w:tabs>
        <w:spacing w:line="240" w:lineRule="exact"/>
        <w:jc w:val="both"/>
        <w:rPr>
          <w:color w:val="auto"/>
        </w:rPr>
      </w:pPr>
    </w:p>
    <w:p w:rsidR="00540BEF" w:rsidRPr="00A61B87" w:rsidRDefault="00540BEF" w:rsidP="00A61B87">
      <w:pPr>
        <w:tabs>
          <w:tab w:val="left" w:pos="288"/>
          <w:tab w:val="left" w:pos="4752"/>
        </w:tabs>
        <w:spacing w:line="240" w:lineRule="exact"/>
        <w:jc w:val="both"/>
        <w:rPr>
          <w:color w:val="auto"/>
        </w:rPr>
      </w:pPr>
      <w:r w:rsidRPr="00A61B87">
        <w:rPr>
          <w:color w:val="auto"/>
        </w:rPr>
        <w:t xml:space="preserve">NAME: </w:t>
      </w:r>
      <w:r w:rsidR="000C6ED7">
        <w:rPr>
          <w:color w:val="auto"/>
        </w:rPr>
        <w:t>XXXXXXX</w:t>
      </w:r>
      <w:r w:rsidR="000C6ED7">
        <w:rPr>
          <w:color w:val="auto"/>
        </w:rPr>
        <w:tab/>
      </w:r>
      <w:r w:rsidRPr="00A61B87">
        <w:rPr>
          <w:color w:val="auto"/>
        </w:rPr>
        <w:t>BRANCH OF</w:t>
      </w:r>
      <w:r w:rsidR="00A61B87">
        <w:rPr>
          <w:color w:val="auto"/>
        </w:rPr>
        <w:tab/>
      </w:r>
      <w:r w:rsidRPr="00A61B87">
        <w:rPr>
          <w:color w:val="auto"/>
        </w:rPr>
        <w:t xml:space="preserve">SERVICE: </w:t>
      </w:r>
      <w:r w:rsidR="00390228" w:rsidRPr="00A61B87">
        <w:rPr>
          <w:color w:val="auto"/>
        </w:rPr>
        <w:t>NAVY</w:t>
      </w:r>
    </w:p>
    <w:p w:rsidR="00A61B87" w:rsidRPr="00A61B87" w:rsidRDefault="00390228" w:rsidP="00A61B87">
      <w:pPr>
        <w:tabs>
          <w:tab w:val="left" w:pos="288"/>
          <w:tab w:val="left" w:pos="4752"/>
        </w:tabs>
        <w:spacing w:line="240" w:lineRule="exact"/>
        <w:jc w:val="both"/>
        <w:rPr>
          <w:color w:val="auto"/>
        </w:rPr>
      </w:pPr>
      <w:r w:rsidRPr="00A61B87">
        <w:rPr>
          <w:color w:val="auto"/>
        </w:rPr>
        <w:t>CASE NUMBER:  PD0900469</w:t>
      </w:r>
      <w:r w:rsidR="002B067D" w:rsidRPr="00A61B87">
        <w:rPr>
          <w:color w:val="auto"/>
        </w:rPr>
        <w:tab/>
      </w:r>
      <w:r w:rsidR="002B067D" w:rsidRPr="00A61B87">
        <w:rPr>
          <w:color w:val="auto"/>
        </w:rPr>
        <w:tab/>
      </w:r>
      <w:r w:rsidR="00A61B87" w:rsidRPr="00A61B87">
        <w:rPr>
          <w:color w:val="auto"/>
        </w:rPr>
        <w:t>SEPARATION DATE: 20020809</w:t>
      </w:r>
    </w:p>
    <w:p w:rsidR="00540BEF" w:rsidRPr="00A61B87" w:rsidRDefault="00540BEF" w:rsidP="00A61B87">
      <w:pPr>
        <w:tabs>
          <w:tab w:val="left" w:pos="288"/>
          <w:tab w:val="left" w:pos="4752"/>
        </w:tabs>
        <w:spacing w:line="240" w:lineRule="exact"/>
        <w:jc w:val="both"/>
        <w:rPr>
          <w:color w:val="auto"/>
        </w:rPr>
      </w:pPr>
      <w:r w:rsidRPr="00A61B87">
        <w:rPr>
          <w:color w:val="auto"/>
        </w:rPr>
        <w:t xml:space="preserve">BOARD DATE: </w:t>
      </w:r>
      <w:r w:rsidR="0085755E">
        <w:rPr>
          <w:color w:val="auto"/>
        </w:rPr>
        <w:t>20100421</w:t>
      </w:r>
    </w:p>
    <w:p w:rsidR="00540BEF" w:rsidRPr="00A61B87" w:rsidRDefault="00540BEF" w:rsidP="00A61B87">
      <w:pPr>
        <w:tabs>
          <w:tab w:val="left" w:pos="288"/>
          <w:tab w:val="left" w:pos="4752"/>
        </w:tabs>
        <w:spacing w:line="240" w:lineRule="exact"/>
        <w:jc w:val="both"/>
        <w:rPr>
          <w:color w:val="auto"/>
        </w:rPr>
      </w:pPr>
      <w:r w:rsidRPr="00A61B87">
        <w:rPr>
          <w:color w:val="auto"/>
          <w:u w:val="single"/>
        </w:rPr>
        <w:t>_______________________________________________________________</w:t>
      </w:r>
      <w:r w:rsidRPr="00A61B87">
        <w:rPr>
          <w:color w:val="auto"/>
        </w:rPr>
        <w:t>_</w:t>
      </w:r>
    </w:p>
    <w:p w:rsidR="00B522CD" w:rsidRPr="00A61B87" w:rsidRDefault="00B522CD" w:rsidP="00A61B87">
      <w:pPr>
        <w:tabs>
          <w:tab w:val="left" w:pos="288"/>
          <w:tab w:val="left" w:pos="4752"/>
        </w:tabs>
        <w:spacing w:line="240" w:lineRule="exact"/>
        <w:jc w:val="both"/>
        <w:rPr>
          <w:color w:val="auto"/>
        </w:rPr>
      </w:pPr>
    </w:p>
    <w:p w:rsidR="00684E2B" w:rsidRPr="00A61B87" w:rsidRDefault="00811D5B" w:rsidP="00A61B87">
      <w:pPr>
        <w:tabs>
          <w:tab w:val="left" w:pos="288"/>
          <w:tab w:val="left" w:pos="4752"/>
        </w:tabs>
        <w:spacing w:line="240" w:lineRule="exact"/>
        <w:jc w:val="both"/>
        <w:rPr>
          <w:color w:val="auto"/>
          <w:szCs w:val="24"/>
        </w:rPr>
      </w:pPr>
      <w:r w:rsidRPr="00A61B87">
        <w:rPr>
          <w:color w:val="auto"/>
          <w:u w:val="single"/>
        </w:rPr>
        <w:t>SUMMARY</w:t>
      </w:r>
      <w:r w:rsidR="003D7DDB" w:rsidRPr="00A61B87">
        <w:rPr>
          <w:color w:val="auto"/>
          <w:u w:val="single"/>
        </w:rPr>
        <w:t xml:space="preserve"> OF CASE</w:t>
      </w:r>
      <w:r w:rsidR="00B522CD" w:rsidRPr="00A61B87">
        <w:rPr>
          <w:color w:val="auto"/>
        </w:rPr>
        <w:t>:</w:t>
      </w:r>
      <w:r w:rsidR="00BA30D1" w:rsidRPr="00A61B87">
        <w:rPr>
          <w:color w:val="auto"/>
        </w:rPr>
        <w:t xml:space="preserve"> </w:t>
      </w:r>
      <w:r w:rsidR="00FB6E82" w:rsidRPr="00A61B87">
        <w:rPr>
          <w:color w:val="auto"/>
        </w:rPr>
        <w:t xml:space="preserve"> </w:t>
      </w:r>
      <w:r w:rsidR="00684E2B" w:rsidRPr="00A61B87">
        <w:rPr>
          <w:color w:val="auto"/>
          <w:szCs w:val="24"/>
        </w:rPr>
        <w:t>This covered individual (CI) was</w:t>
      </w:r>
      <w:r w:rsidR="00F94A5D" w:rsidRPr="00A61B87">
        <w:rPr>
          <w:color w:val="auto"/>
          <w:szCs w:val="24"/>
        </w:rPr>
        <w:t xml:space="preserve"> a </w:t>
      </w:r>
      <w:r w:rsidR="00F253DD" w:rsidRPr="00A61B87">
        <w:rPr>
          <w:color w:val="auto"/>
          <w:szCs w:val="24"/>
        </w:rPr>
        <w:t xml:space="preserve">Petty </w:t>
      </w:r>
      <w:r w:rsidR="00222CE5" w:rsidRPr="00A61B87">
        <w:rPr>
          <w:color w:val="auto"/>
          <w:szCs w:val="24"/>
        </w:rPr>
        <w:t>Officer Second Class</w:t>
      </w:r>
      <w:r w:rsidR="00F253DD" w:rsidRPr="00A61B87">
        <w:rPr>
          <w:color w:val="auto"/>
          <w:szCs w:val="24"/>
        </w:rPr>
        <w:t>/PN2</w:t>
      </w:r>
      <w:r w:rsidR="00F94A5D" w:rsidRPr="00A61B87">
        <w:rPr>
          <w:color w:val="auto"/>
          <w:szCs w:val="24"/>
        </w:rPr>
        <w:t xml:space="preserve"> (</w:t>
      </w:r>
      <w:proofErr w:type="spellStart"/>
      <w:r w:rsidR="00F253DD" w:rsidRPr="00A61B87">
        <w:rPr>
          <w:color w:val="auto"/>
          <w:szCs w:val="24"/>
        </w:rPr>
        <w:t>Personnelman</w:t>
      </w:r>
      <w:proofErr w:type="spellEnd"/>
      <w:r w:rsidR="00F94A5D" w:rsidRPr="00A61B87">
        <w:rPr>
          <w:color w:val="auto"/>
          <w:szCs w:val="24"/>
        </w:rPr>
        <w:t xml:space="preserve">) </w:t>
      </w:r>
      <w:r w:rsidR="00684E2B" w:rsidRPr="00A61B87">
        <w:rPr>
          <w:color w:val="auto"/>
          <w:szCs w:val="24"/>
        </w:rPr>
        <w:t xml:space="preserve">medically separated from the </w:t>
      </w:r>
      <w:r w:rsidR="00A61B87" w:rsidRPr="00A61B87">
        <w:rPr>
          <w:color w:val="auto"/>
          <w:szCs w:val="24"/>
        </w:rPr>
        <w:t>Navy</w:t>
      </w:r>
      <w:r w:rsidR="00684E2B" w:rsidRPr="00A61B87">
        <w:rPr>
          <w:color w:val="auto"/>
          <w:szCs w:val="24"/>
        </w:rPr>
        <w:t xml:space="preserve"> in 200</w:t>
      </w:r>
      <w:r w:rsidR="00192BEF" w:rsidRPr="00A61B87">
        <w:rPr>
          <w:color w:val="auto"/>
          <w:szCs w:val="24"/>
        </w:rPr>
        <w:t>2</w:t>
      </w:r>
      <w:r w:rsidR="00684E2B" w:rsidRPr="00A61B87">
        <w:rPr>
          <w:color w:val="auto"/>
          <w:szCs w:val="24"/>
        </w:rPr>
        <w:t xml:space="preserve"> after </w:t>
      </w:r>
      <w:r w:rsidR="00A61B87" w:rsidRPr="00A61B87">
        <w:rPr>
          <w:color w:val="auto"/>
          <w:szCs w:val="24"/>
        </w:rPr>
        <w:t>more than five</w:t>
      </w:r>
      <w:r w:rsidR="00684E2B" w:rsidRPr="00A61B87">
        <w:rPr>
          <w:color w:val="auto"/>
          <w:szCs w:val="24"/>
        </w:rPr>
        <w:t xml:space="preserve"> years of service.  The medical basis for the separation was </w:t>
      </w:r>
      <w:r w:rsidR="00192BEF" w:rsidRPr="00A61B87">
        <w:rPr>
          <w:color w:val="auto"/>
          <w:szCs w:val="24"/>
        </w:rPr>
        <w:t xml:space="preserve">Left </w:t>
      </w:r>
      <w:proofErr w:type="spellStart"/>
      <w:r w:rsidR="00E57A89" w:rsidRPr="00A61B87">
        <w:rPr>
          <w:color w:val="auto"/>
          <w:szCs w:val="24"/>
        </w:rPr>
        <w:t>Lisfranc</w:t>
      </w:r>
      <w:proofErr w:type="spellEnd"/>
      <w:r w:rsidR="00192BEF" w:rsidRPr="00A61B87">
        <w:rPr>
          <w:color w:val="auto"/>
          <w:szCs w:val="24"/>
        </w:rPr>
        <w:t xml:space="preserve"> Injury. </w:t>
      </w:r>
      <w:r w:rsidR="00684E2B" w:rsidRPr="00A61B87">
        <w:rPr>
          <w:color w:val="auto"/>
          <w:szCs w:val="24"/>
        </w:rPr>
        <w:t xml:space="preserve">The CI was referred to the </w:t>
      </w:r>
      <w:r w:rsidR="00AA55ED">
        <w:rPr>
          <w:color w:val="auto"/>
          <w:szCs w:val="24"/>
        </w:rPr>
        <w:t>Physical Evaluation Board (</w:t>
      </w:r>
      <w:r w:rsidR="00684E2B" w:rsidRPr="00A61B87">
        <w:rPr>
          <w:color w:val="auto"/>
          <w:szCs w:val="24"/>
        </w:rPr>
        <w:t>PEB</w:t>
      </w:r>
      <w:r w:rsidR="00AA55ED">
        <w:rPr>
          <w:color w:val="auto"/>
          <w:szCs w:val="24"/>
        </w:rPr>
        <w:t>)</w:t>
      </w:r>
      <w:r w:rsidR="00684E2B" w:rsidRPr="00A61B87">
        <w:rPr>
          <w:color w:val="auto"/>
          <w:szCs w:val="24"/>
        </w:rPr>
        <w:t xml:space="preserve">, </w:t>
      </w:r>
      <w:r w:rsidR="00A61B87" w:rsidRPr="00A61B87">
        <w:rPr>
          <w:color w:val="auto"/>
          <w:szCs w:val="24"/>
        </w:rPr>
        <w:t>found</w:t>
      </w:r>
      <w:r w:rsidR="00E866F8" w:rsidRPr="00A61B87">
        <w:rPr>
          <w:color w:val="auto"/>
          <w:szCs w:val="24"/>
        </w:rPr>
        <w:t xml:space="preserve"> unfit for continued military service </w:t>
      </w:r>
      <w:r w:rsidR="00684E2B" w:rsidRPr="00A61B87">
        <w:rPr>
          <w:color w:val="auto"/>
          <w:szCs w:val="24"/>
        </w:rPr>
        <w:t xml:space="preserve">and separated at </w:t>
      </w:r>
      <w:r w:rsidR="00192BEF" w:rsidRPr="00A61B87">
        <w:rPr>
          <w:color w:val="auto"/>
          <w:szCs w:val="24"/>
        </w:rPr>
        <w:t>2</w:t>
      </w:r>
      <w:r w:rsidR="00684E2B" w:rsidRPr="00A61B87">
        <w:rPr>
          <w:color w:val="auto"/>
          <w:szCs w:val="24"/>
        </w:rPr>
        <w:t>0% disability</w:t>
      </w:r>
      <w:r w:rsidR="00E866F8" w:rsidRPr="00A61B87">
        <w:rPr>
          <w:color w:val="auto"/>
          <w:szCs w:val="24"/>
        </w:rPr>
        <w:t xml:space="preserve"> using the Veterans Affairs Schedule for Ratings Disabilities (VASRD) and applicable </w:t>
      </w:r>
      <w:r w:rsidR="00192BEF" w:rsidRPr="00A61B87">
        <w:rPr>
          <w:color w:val="auto"/>
          <w:szCs w:val="24"/>
        </w:rPr>
        <w:t xml:space="preserve">Navy </w:t>
      </w:r>
      <w:r w:rsidR="00E866F8" w:rsidRPr="00A61B87">
        <w:rPr>
          <w:color w:val="auto"/>
          <w:szCs w:val="24"/>
        </w:rPr>
        <w:t>and Department of Defense regulations.</w:t>
      </w:r>
    </w:p>
    <w:p w:rsidR="00923B25" w:rsidRPr="00A61B87" w:rsidRDefault="008B5D31" w:rsidP="00A61B87">
      <w:pPr>
        <w:tabs>
          <w:tab w:val="left" w:pos="288"/>
          <w:tab w:val="left" w:pos="4752"/>
        </w:tabs>
        <w:spacing w:line="240" w:lineRule="exact"/>
        <w:jc w:val="both"/>
        <w:rPr>
          <w:color w:val="auto"/>
        </w:rPr>
      </w:pPr>
      <w:r w:rsidRPr="00A61B87">
        <w:rPr>
          <w:color w:val="auto"/>
          <w:u w:val="single"/>
        </w:rPr>
        <w:t>_______________________________________________________________</w:t>
      </w:r>
      <w:r w:rsidRPr="00A61B87">
        <w:rPr>
          <w:color w:val="auto"/>
        </w:rPr>
        <w:t>_</w:t>
      </w:r>
    </w:p>
    <w:p w:rsidR="00923B25" w:rsidRPr="00A61B87" w:rsidRDefault="00923B25" w:rsidP="00A61B87">
      <w:pPr>
        <w:tabs>
          <w:tab w:val="left" w:pos="288"/>
          <w:tab w:val="left" w:pos="4752"/>
        </w:tabs>
        <w:spacing w:line="240" w:lineRule="exact"/>
        <w:jc w:val="both"/>
        <w:rPr>
          <w:color w:val="auto"/>
        </w:rPr>
      </w:pPr>
    </w:p>
    <w:p w:rsidR="00E866F8" w:rsidRPr="00A61B87" w:rsidRDefault="001C181A" w:rsidP="00A61B87">
      <w:pPr>
        <w:tabs>
          <w:tab w:val="left" w:pos="288"/>
          <w:tab w:val="left" w:pos="4752"/>
        </w:tabs>
        <w:spacing w:line="240" w:lineRule="exact"/>
        <w:jc w:val="both"/>
        <w:rPr>
          <w:color w:val="auto"/>
          <w:szCs w:val="24"/>
        </w:rPr>
      </w:pPr>
      <w:r w:rsidRPr="00A61B87">
        <w:rPr>
          <w:color w:val="auto"/>
          <w:u w:val="single"/>
        </w:rPr>
        <w:t>CI CONTENTION</w:t>
      </w:r>
      <w:r w:rsidRPr="00A61B87">
        <w:rPr>
          <w:color w:val="auto"/>
        </w:rPr>
        <w:t>:</w:t>
      </w:r>
      <w:r w:rsidR="00FB6E82" w:rsidRPr="00A61B87">
        <w:rPr>
          <w:color w:val="auto"/>
        </w:rPr>
        <w:t xml:space="preserve">  </w:t>
      </w:r>
      <w:r w:rsidR="008840EC" w:rsidRPr="00A61B87">
        <w:rPr>
          <w:rFonts w:hAnsi="Calibri"/>
          <w:color w:val="auto"/>
          <w:szCs w:val="24"/>
        </w:rPr>
        <w:t>“</w:t>
      </w:r>
      <w:r w:rsidR="008840EC" w:rsidRPr="00A61B87">
        <w:rPr>
          <w:color w:val="auto"/>
          <w:szCs w:val="24"/>
        </w:rPr>
        <w:t>I was rated 20% by the PEB and separated w/severance pay. Immediately after separation, I was rated 50% by DVA for the same service connected condition.  I have been upgraded to 60% by the VA for the same service connected condition.  (The only condition I have) After my separation was complete, I received a copy of my PEB package.  The information in the package that went to the PEB was incorrect and incomplete.  For example, it didn</w:t>
      </w:r>
      <w:r w:rsidR="008840EC" w:rsidRPr="00A61B87">
        <w:rPr>
          <w:rFonts w:hAnsi="Calibri"/>
          <w:color w:val="auto"/>
          <w:szCs w:val="24"/>
        </w:rPr>
        <w:t>’</w:t>
      </w:r>
      <w:r w:rsidR="008840EC" w:rsidRPr="00A61B87">
        <w:rPr>
          <w:color w:val="auto"/>
          <w:szCs w:val="24"/>
        </w:rPr>
        <w:t xml:space="preserve">t list correctly how the accident occurred.  I believe this may have contributed to my lower </w:t>
      </w:r>
      <w:r w:rsidR="00E53906" w:rsidRPr="00A61B87">
        <w:rPr>
          <w:color w:val="auto"/>
          <w:szCs w:val="24"/>
        </w:rPr>
        <w:t>rating from the PEB.  I still struggle with this injury daily and thank God for this opportunity.  I truly don</w:t>
      </w:r>
      <w:r w:rsidR="00E53906" w:rsidRPr="00A61B87">
        <w:rPr>
          <w:rFonts w:hAnsi="Calibri"/>
          <w:color w:val="auto"/>
          <w:szCs w:val="24"/>
        </w:rPr>
        <w:t>’</w:t>
      </w:r>
      <w:r w:rsidR="00E53906" w:rsidRPr="00A61B87">
        <w:rPr>
          <w:color w:val="auto"/>
          <w:szCs w:val="24"/>
        </w:rPr>
        <w:t>t care about the money, I just want to feel like my injury matters to the Navy and that I have not been forgotten.</w:t>
      </w:r>
      <w:r w:rsidR="00E53906" w:rsidRPr="00A61B87">
        <w:rPr>
          <w:rFonts w:hAnsi="Calibri"/>
          <w:color w:val="auto"/>
          <w:szCs w:val="24"/>
        </w:rPr>
        <w:t>”</w:t>
      </w:r>
    </w:p>
    <w:p w:rsidR="00E866F8" w:rsidRPr="00A61B87" w:rsidRDefault="00E866F8" w:rsidP="00A61B87">
      <w:pPr>
        <w:tabs>
          <w:tab w:val="left" w:pos="288"/>
          <w:tab w:val="left" w:pos="4752"/>
        </w:tabs>
        <w:spacing w:line="240" w:lineRule="exact"/>
        <w:jc w:val="both"/>
        <w:rPr>
          <w:color w:val="auto"/>
          <w:szCs w:val="24"/>
        </w:rPr>
      </w:pPr>
    </w:p>
    <w:p w:rsidR="00A90D55" w:rsidRPr="00A61B87" w:rsidRDefault="008B5D31" w:rsidP="00A61B87">
      <w:pPr>
        <w:tabs>
          <w:tab w:val="left" w:pos="288"/>
          <w:tab w:val="left" w:pos="4752"/>
        </w:tabs>
        <w:spacing w:line="240" w:lineRule="exact"/>
        <w:jc w:val="both"/>
        <w:rPr>
          <w:color w:val="auto"/>
        </w:rPr>
      </w:pPr>
      <w:r w:rsidRPr="00A61B87">
        <w:rPr>
          <w:color w:val="auto"/>
          <w:u w:val="single"/>
        </w:rPr>
        <w:t>_______________________________________________________________</w:t>
      </w:r>
      <w:r w:rsidRPr="00A61B87">
        <w:rPr>
          <w:color w:val="auto"/>
        </w:rPr>
        <w:t>_</w:t>
      </w:r>
    </w:p>
    <w:p w:rsidR="001C181A" w:rsidRPr="00A61B87" w:rsidRDefault="001C181A" w:rsidP="00A61B87">
      <w:pPr>
        <w:tabs>
          <w:tab w:val="left" w:pos="288"/>
          <w:tab w:val="left" w:pos="4752"/>
        </w:tabs>
        <w:spacing w:line="240" w:lineRule="exact"/>
        <w:jc w:val="both"/>
        <w:rPr>
          <w:color w:val="auto"/>
        </w:rPr>
      </w:pPr>
    </w:p>
    <w:p w:rsidR="002338CA" w:rsidRPr="00A61B87" w:rsidRDefault="00ED1024" w:rsidP="00D12276">
      <w:pPr>
        <w:spacing w:line="240" w:lineRule="exact"/>
        <w:rPr>
          <w:color w:val="auto"/>
        </w:rPr>
      </w:pPr>
      <w:r>
        <w:rPr>
          <w:rFonts w:ascii="Calibri" w:hAnsi="Calibri"/>
          <w:color w:val="000080"/>
          <w:u w:val="single"/>
        </w:rPr>
        <w:br w:type="page"/>
      </w:r>
      <w:r w:rsidR="00B4276E" w:rsidRPr="00A61B87">
        <w:rPr>
          <w:color w:val="auto"/>
          <w:u w:val="single"/>
        </w:rPr>
        <w:lastRenderedPageBreak/>
        <w:t>R</w:t>
      </w:r>
      <w:r w:rsidR="00A90D55" w:rsidRPr="00A61B87">
        <w:rPr>
          <w:color w:val="auto"/>
          <w:u w:val="single"/>
        </w:rPr>
        <w:t>ATING COMPARISON</w:t>
      </w:r>
      <w:r w:rsidR="00A90D55" w:rsidRPr="00A61B87">
        <w:rPr>
          <w:color w:val="auto"/>
        </w:rPr>
        <w:t>:</w:t>
      </w:r>
    </w:p>
    <w:p w:rsidR="00DA3ED0" w:rsidRDefault="00DA3ED0" w:rsidP="00D12276">
      <w:pPr>
        <w:tabs>
          <w:tab w:val="left" w:pos="288"/>
          <w:tab w:val="left" w:pos="4752"/>
        </w:tabs>
        <w:spacing w:line="240" w:lineRule="exact"/>
        <w:jc w:val="both"/>
        <w:rPr>
          <w:rFonts w:ascii="Calibri" w:hAnsi="Calibri"/>
          <w:color w:val="000080"/>
        </w:rPr>
      </w:pPr>
    </w:p>
    <w:tbl>
      <w:tblPr>
        <w:tblStyle w:val="TableGrid"/>
        <w:tblW w:w="10710" w:type="dxa"/>
        <w:tblInd w:w="-612" w:type="dxa"/>
        <w:tblLayout w:type="fixed"/>
        <w:tblLook w:val="04A0"/>
      </w:tblPr>
      <w:tblGrid>
        <w:gridCol w:w="2070"/>
        <w:gridCol w:w="720"/>
        <w:gridCol w:w="810"/>
        <w:gridCol w:w="990"/>
        <w:gridCol w:w="2250"/>
        <w:gridCol w:w="720"/>
        <w:gridCol w:w="900"/>
        <w:gridCol w:w="1170"/>
        <w:gridCol w:w="1080"/>
      </w:tblGrid>
      <w:tr w:rsidR="00DA3ED0" w:rsidTr="00DD7D15">
        <w:trPr>
          <w:trHeight w:val="233"/>
        </w:trPr>
        <w:tc>
          <w:tcPr>
            <w:tcW w:w="459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A61B87">
            <w:pPr>
              <w:pStyle w:val="ListParagraph"/>
              <w:spacing w:after="0" w:line="240" w:lineRule="exact"/>
              <w:ind w:left="0"/>
              <w:jc w:val="center"/>
              <w:rPr>
                <w:rFonts w:cs="Times New Roman"/>
                <w:b/>
              </w:rPr>
            </w:pPr>
            <w:r>
              <w:rPr>
                <w:rFonts w:cs="Times New Roman"/>
                <w:b/>
              </w:rPr>
              <w:t xml:space="preserve">VA </w:t>
            </w:r>
            <w:r w:rsidR="002C3197">
              <w:rPr>
                <w:rFonts w:cs="Times New Roman"/>
                <w:b/>
              </w:rPr>
              <w:t>(2</w:t>
            </w:r>
            <w:r w:rsidR="003C1A50">
              <w:rPr>
                <w:rFonts w:cs="Times New Roman"/>
                <w:b/>
              </w:rPr>
              <w:t xml:space="preserve"> </w:t>
            </w:r>
            <w:r w:rsidR="00A61B87">
              <w:rPr>
                <w:rFonts w:cs="Times New Roman"/>
                <w:b/>
              </w:rPr>
              <w:t>Months</w:t>
            </w:r>
            <w:r>
              <w:rPr>
                <w:rFonts w:cs="Times New Roman"/>
                <w:b/>
              </w:rPr>
              <w:t xml:space="preserve"> </w:t>
            </w:r>
            <w:r w:rsidR="003C1A50">
              <w:rPr>
                <w:rFonts w:cs="Times New Roman"/>
                <w:b/>
              </w:rPr>
              <w:t xml:space="preserve">Before </w:t>
            </w:r>
            <w:r>
              <w:rPr>
                <w:rFonts w:cs="Times New Roman"/>
                <w:b/>
              </w:rPr>
              <w:t>Separation)</w:t>
            </w:r>
          </w:p>
        </w:tc>
      </w:tr>
      <w:tr w:rsidR="00DA3ED0" w:rsidTr="00D941E4">
        <w:trPr>
          <w:trHeight w:val="23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12276">
            <w:pPr>
              <w:pStyle w:val="ListParagraph"/>
              <w:spacing w:after="0" w:line="240" w:lineRule="exact"/>
              <w:ind w:left="0"/>
              <w:jc w:val="center"/>
              <w:rPr>
                <w:rFonts w:cs="Times New Roman"/>
                <w:b/>
                <w:sz w:val="20"/>
                <w:szCs w:val="20"/>
              </w:rPr>
            </w:pPr>
            <w:r>
              <w:rPr>
                <w:rFonts w:cs="Times New Roman"/>
                <w:b/>
                <w:sz w:val="20"/>
                <w:szCs w:val="20"/>
              </w:rPr>
              <w:t>Effective</w:t>
            </w:r>
          </w:p>
        </w:tc>
      </w:tr>
      <w:tr w:rsidR="00E849D6" w:rsidTr="00D941E4">
        <w:trPr>
          <w:trHeight w:val="1160"/>
        </w:trPr>
        <w:tc>
          <w:tcPr>
            <w:tcW w:w="2070" w:type="dxa"/>
            <w:vMerge w:val="restart"/>
            <w:tcBorders>
              <w:top w:val="single" w:sz="4" w:space="0" w:color="000000" w:themeColor="text1"/>
              <w:left w:val="single" w:sz="4" w:space="0" w:color="000000" w:themeColor="text1"/>
              <w:right w:val="single" w:sz="4" w:space="0" w:color="000000" w:themeColor="text1"/>
            </w:tcBorders>
            <w:hideMark/>
          </w:tcPr>
          <w:p w:rsidR="00E849D6" w:rsidRPr="00896EAC" w:rsidRDefault="00E849D6" w:rsidP="00A61B87">
            <w:pPr>
              <w:pStyle w:val="ListParagraph"/>
              <w:spacing w:after="0" w:line="240" w:lineRule="exact"/>
              <w:ind w:left="0"/>
              <w:rPr>
                <w:rFonts w:cs="Times New Roman"/>
                <w:sz w:val="18"/>
                <w:szCs w:val="18"/>
              </w:rPr>
            </w:pPr>
            <w:r w:rsidRPr="00896EAC">
              <w:rPr>
                <w:rFonts w:cs="Times New Roman"/>
                <w:sz w:val="18"/>
                <w:szCs w:val="18"/>
              </w:rPr>
              <w:t xml:space="preserve">Left </w:t>
            </w:r>
            <w:proofErr w:type="spellStart"/>
            <w:r w:rsidR="00E57A89">
              <w:rPr>
                <w:rFonts w:cs="Times New Roman"/>
                <w:sz w:val="18"/>
                <w:szCs w:val="18"/>
              </w:rPr>
              <w:t>Lisfranc</w:t>
            </w:r>
            <w:proofErr w:type="spellEnd"/>
            <w:r w:rsidRPr="00896EAC">
              <w:rPr>
                <w:rFonts w:cs="Times New Roman"/>
                <w:sz w:val="18"/>
                <w:szCs w:val="18"/>
              </w:rPr>
              <w:t xml:space="preserve"> Injury </w:t>
            </w:r>
            <w:r w:rsidRPr="00896EAC">
              <w:rPr>
                <w:rFonts w:eastAsiaTheme="minorEastAsia"/>
                <w:sz w:val="18"/>
                <w:szCs w:val="18"/>
              </w:rPr>
              <w:t xml:space="preserve">Status Post Left </w:t>
            </w:r>
            <w:proofErr w:type="spellStart"/>
            <w:r w:rsidR="00E57A89">
              <w:rPr>
                <w:rFonts w:eastAsiaTheme="minorEastAsia"/>
                <w:sz w:val="18"/>
                <w:szCs w:val="18"/>
              </w:rPr>
              <w:t>Lisfranc</w:t>
            </w:r>
            <w:proofErr w:type="spellEnd"/>
            <w:r w:rsidRPr="00896EAC">
              <w:rPr>
                <w:rFonts w:eastAsiaTheme="minorEastAsia"/>
                <w:sz w:val="18"/>
                <w:szCs w:val="18"/>
              </w:rPr>
              <w:t xml:space="preserve"> </w:t>
            </w:r>
            <w:proofErr w:type="spellStart"/>
            <w:r w:rsidRPr="00896EAC">
              <w:rPr>
                <w:rFonts w:eastAsiaTheme="minorEastAsia"/>
                <w:sz w:val="18"/>
                <w:szCs w:val="18"/>
              </w:rPr>
              <w:t>Arthrodesis</w:t>
            </w:r>
            <w:proofErr w:type="spellEnd"/>
            <w:r w:rsidRPr="00896EAC">
              <w:rPr>
                <w:rFonts w:eastAsiaTheme="minorEastAsia"/>
                <w:sz w:val="18"/>
                <w:szCs w:val="18"/>
              </w:rPr>
              <w:t xml:space="preserve"> (Related to MEB </w:t>
            </w:r>
            <w:proofErr w:type="spellStart"/>
            <w:r w:rsidRPr="00896EAC">
              <w:rPr>
                <w:rFonts w:eastAsiaTheme="minorEastAsia"/>
                <w:sz w:val="18"/>
                <w:szCs w:val="18"/>
              </w:rPr>
              <w:t>Dx</w:t>
            </w:r>
            <w:proofErr w:type="spellEnd"/>
            <w:r w:rsidRPr="00896EAC">
              <w:rPr>
                <w:rFonts w:eastAsiaTheme="minorEastAsia"/>
                <w:sz w:val="18"/>
                <w:szCs w:val="18"/>
              </w:rPr>
              <w:t xml:space="preserve"> 1)</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E849D6" w:rsidRPr="00896EAC"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5284</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E849D6" w:rsidRPr="00896EAC"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20%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E849D6" w:rsidRPr="00896EAC" w:rsidRDefault="00E849D6" w:rsidP="00D12276">
            <w:pPr>
              <w:pStyle w:val="ListParagraph"/>
              <w:spacing w:after="0" w:line="240" w:lineRule="exact"/>
              <w:ind w:left="0"/>
              <w:rPr>
                <w:rFonts w:cs="Times New Roman"/>
                <w:sz w:val="18"/>
                <w:szCs w:val="18"/>
              </w:rPr>
            </w:pPr>
            <w:r w:rsidRPr="00896EAC">
              <w:rPr>
                <w:rFonts w:cs="Times New Roman"/>
                <w:sz w:val="18"/>
                <w:szCs w:val="18"/>
              </w:rPr>
              <w:t>20020620</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E849D6" w:rsidRPr="00896EAC" w:rsidRDefault="00E849D6" w:rsidP="00D12276">
            <w:pPr>
              <w:pStyle w:val="ListParagraph"/>
              <w:spacing w:after="0" w:line="240" w:lineRule="exact"/>
              <w:ind w:left="0"/>
              <w:rPr>
                <w:rFonts w:cs="Times New Roman"/>
                <w:sz w:val="18"/>
                <w:szCs w:val="18"/>
              </w:rPr>
            </w:pPr>
            <w:r w:rsidRPr="00896EAC">
              <w:rPr>
                <w:rFonts w:cs="Times New Roman"/>
                <w:sz w:val="18"/>
                <w:szCs w:val="18"/>
              </w:rPr>
              <w:t>Residuals Fracture, Left Foot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9D6" w:rsidRPr="00896EAC"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5284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E9E"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50%</w:t>
            </w:r>
          </w:p>
          <w:p w:rsidR="005C0E9E" w:rsidRDefault="005C0E9E" w:rsidP="00D12276">
            <w:pPr>
              <w:pStyle w:val="ListParagraph"/>
              <w:spacing w:after="0" w:line="240" w:lineRule="exact"/>
              <w:ind w:left="0"/>
              <w:jc w:val="center"/>
              <w:rPr>
                <w:rFonts w:cs="Times New Roman"/>
                <w:sz w:val="18"/>
                <w:szCs w:val="18"/>
              </w:rPr>
            </w:pPr>
            <w:proofErr w:type="spellStart"/>
            <w:r>
              <w:rPr>
                <w:rFonts w:cs="Times New Roman"/>
                <w:sz w:val="18"/>
                <w:szCs w:val="18"/>
              </w:rPr>
              <w:t>Prestabilization</w:t>
            </w:r>
            <w:proofErr w:type="spellEnd"/>
          </w:p>
          <w:p w:rsidR="005C0E9E" w:rsidRDefault="005C0E9E" w:rsidP="00D12276">
            <w:pPr>
              <w:pStyle w:val="ListParagraph"/>
              <w:spacing w:after="0" w:line="240" w:lineRule="exact"/>
              <w:ind w:left="0"/>
              <w:jc w:val="center"/>
              <w:rPr>
                <w:rFonts w:cs="Times New Roman"/>
                <w:sz w:val="18"/>
                <w:szCs w:val="18"/>
              </w:rPr>
            </w:pPr>
          </w:p>
          <w:p w:rsidR="00E849D6"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30%</w:t>
            </w:r>
          </w:p>
          <w:p w:rsidR="00D941E4" w:rsidRPr="00896EAC" w:rsidRDefault="00D941E4" w:rsidP="00D12276">
            <w:pPr>
              <w:pStyle w:val="ListParagraph"/>
              <w:spacing w:after="0" w:line="240" w:lineRule="exact"/>
              <w:ind w:left="0"/>
              <w:jc w:val="center"/>
              <w:rPr>
                <w:rFonts w:cs="Times New Roman"/>
                <w:sz w:val="18"/>
                <w:szCs w:val="18"/>
              </w:rPr>
            </w:pPr>
            <w:r>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9D6" w:rsidRPr="00A61B87" w:rsidRDefault="00E849D6" w:rsidP="00D12276">
            <w:pPr>
              <w:pStyle w:val="ListParagraph"/>
              <w:spacing w:after="0" w:line="240" w:lineRule="exact"/>
              <w:ind w:left="0"/>
              <w:jc w:val="center"/>
              <w:rPr>
                <w:rFonts w:cs="Times New Roman"/>
                <w:sz w:val="18"/>
                <w:szCs w:val="18"/>
              </w:rPr>
            </w:pPr>
            <w:r w:rsidRPr="00A61B87">
              <w:rPr>
                <w:rFonts w:cs="Times New Roman"/>
                <w:sz w:val="18"/>
                <w:szCs w:val="18"/>
              </w:rPr>
              <w:t>20020628</w:t>
            </w:r>
          </w:p>
          <w:p w:rsidR="00E849D6" w:rsidRPr="00A61B87" w:rsidRDefault="00E849D6" w:rsidP="00D12276">
            <w:pPr>
              <w:pStyle w:val="ListParagraph"/>
              <w:spacing w:after="0" w:line="240" w:lineRule="exact"/>
              <w:ind w:left="0"/>
              <w:jc w:val="center"/>
              <w:rPr>
                <w:rFonts w:cs="Times New Roman"/>
                <w:sz w:val="18"/>
                <w:szCs w:val="18"/>
              </w:rPr>
            </w:pPr>
          </w:p>
          <w:p w:rsidR="005C0E9E" w:rsidRPr="00A61B87" w:rsidRDefault="005C0E9E" w:rsidP="00D12276">
            <w:pPr>
              <w:pStyle w:val="ListParagraph"/>
              <w:spacing w:after="0" w:line="240" w:lineRule="exact"/>
              <w:ind w:left="0"/>
              <w:jc w:val="center"/>
              <w:rPr>
                <w:rFonts w:cs="Times New Roman"/>
                <w:sz w:val="18"/>
                <w:szCs w:val="18"/>
              </w:rPr>
            </w:pPr>
          </w:p>
          <w:p w:rsidR="005C0E9E" w:rsidRPr="00A61B87" w:rsidRDefault="005C0E9E" w:rsidP="00D12276">
            <w:pPr>
              <w:pStyle w:val="ListParagraph"/>
              <w:spacing w:after="0" w:line="240" w:lineRule="exact"/>
              <w:ind w:left="0"/>
              <w:jc w:val="center"/>
              <w:rPr>
                <w:rFonts w:cs="Times New Roman"/>
                <w:sz w:val="18"/>
                <w:szCs w:val="18"/>
              </w:rPr>
            </w:pPr>
          </w:p>
          <w:p w:rsidR="00E849D6" w:rsidRPr="00A61B87" w:rsidRDefault="006519F1" w:rsidP="00D12276">
            <w:pPr>
              <w:pStyle w:val="ListParagraph"/>
              <w:spacing w:after="0" w:line="240" w:lineRule="exact"/>
              <w:ind w:left="0"/>
              <w:jc w:val="center"/>
              <w:rPr>
                <w:rFonts w:cs="Times New Roman"/>
                <w:sz w:val="18"/>
                <w:szCs w:val="18"/>
              </w:rPr>
            </w:pPr>
            <w:r w:rsidRPr="00A61B87">
              <w:rPr>
                <w:rFonts w:cs="Times New Roman"/>
                <w:sz w:val="18"/>
                <w:szCs w:val="18"/>
              </w:rPr>
              <w:t>20030529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9D6" w:rsidRPr="00A61B87" w:rsidRDefault="00E849D6" w:rsidP="00D12276">
            <w:pPr>
              <w:pStyle w:val="ListParagraph"/>
              <w:spacing w:after="0" w:line="240" w:lineRule="exact"/>
              <w:ind w:left="0"/>
              <w:jc w:val="center"/>
              <w:rPr>
                <w:rFonts w:cs="Times New Roman"/>
                <w:sz w:val="18"/>
                <w:szCs w:val="18"/>
              </w:rPr>
            </w:pPr>
            <w:r w:rsidRPr="00A61B87">
              <w:rPr>
                <w:rFonts w:cs="Times New Roman"/>
                <w:sz w:val="18"/>
                <w:szCs w:val="18"/>
              </w:rPr>
              <w:t>20020810</w:t>
            </w:r>
          </w:p>
          <w:p w:rsidR="00E849D6" w:rsidRPr="00A61B87" w:rsidRDefault="00E849D6" w:rsidP="00D12276">
            <w:pPr>
              <w:pStyle w:val="ListParagraph"/>
              <w:spacing w:after="0" w:line="240" w:lineRule="exact"/>
              <w:ind w:left="0"/>
              <w:jc w:val="center"/>
              <w:rPr>
                <w:rFonts w:cs="Times New Roman"/>
                <w:sz w:val="18"/>
                <w:szCs w:val="18"/>
              </w:rPr>
            </w:pPr>
          </w:p>
          <w:p w:rsidR="005C0E9E" w:rsidRPr="00A61B87" w:rsidRDefault="005C0E9E" w:rsidP="00D12276">
            <w:pPr>
              <w:pStyle w:val="ListParagraph"/>
              <w:spacing w:after="0" w:line="240" w:lineRule="exact"/>
              <w:ind w:left="0"/>
              <w:jc w:val="center"/>
              <w:rPr>
                <w:rFonts w:cs="Times New Roman"/>
                <w:sz w:val="18"/>
                <w:szCs w:val="18"/>
              </w:rPr>
            </w:pPr>
          </w:p>
          <w:p w:rsidR="005C0E9E" w:rsidRPr="00A61B87" w:rsidRDefault="005C0E9E" w:rsidP="00D12276">
            <w:pPr>
              <w:pStyle w:val="ListParagraph"/>
              <w:spacing w:after="0" w:line="240" w:lineRule="exact"/>
              <w:ind w:left="0"/>
              <w:jc w:val="center"/>
              <w:rPr>
                <w:rFonts w:cs="Times New Roman"/>
                <w:sz w:val="18"/>
                <w:szCs w:val="18"/>
              </w:rPr>
            </w:pPr>
          </w:p>
          <w:p w:rsidR="00E849D6" w:rsidRPr="00A61B87" w:rsidRDefault="006519F1" w:rsidP="00D941E4">
            <w:pPr>
              <w:pStyle w:val="ListParagraph"/>
              <w:spacing w:after="0" w:line="240" w:lineRule="exact"/>
              <w:ind w:left="0"/>
              <w:jc w:val="center"/>
              <w:rPr>
                <w:rFonts w:cs="Times New Roman"/>
                <w:sz w:val="18"/>
                <w:szCs w:val="18"/>
              </w:rPr>
            </w:pPr>
            <w:r w:rsidRPr="00A61B87">
              <w:rPr>
                <w:rFonts w:cs="Times New Roman"/>
                <w:sz w:val="18"/>
                <w:szCs w:val="18"/>
              </w:rPr>
              <w:t>20030</w:t>
            </w:r>
            <w:r w:rsidR="00D941E4" w:rsidRPr="00A61B87">
              <w:rPr>
                <w:rFonts w:cs="Times New Roman"/>
                <w:sz w:val="18"/>
                <w:szCs w:val="18"/>
              </w:rPr>
              <w:t>301</w:t>
            </w:r>
          </w:p>
          <w:p w:rsidR="00D941E4" w:rsidRPr="00A61B87" w:rsidRDefault="00D941E4" w:rsidP="00D941E4">
            <w:pPr>
              <w:pStyle w:val="ListParagraph"/>
              <w:spacing w:after="0" w:line="240" w:lineRule="exact"/>
              <w:ind w:left="0"/>
              <w:jc w:val="center"/>
              <w:rPr>
                <w:rFonts w:cs="Times New Roman"/>
                <w:sz w:val="18"/>
                <w:szCs w:val="18"/>
              </w:rPr>
            </w:pPr>
            <w:r w:rsidRPr="00A61B87">
              <w:rPr>
                <w:rFonts w:cs="Times New Roman"/>
                <w:sz w:val="18"/>
                <w:szCs w:val="18"/>
              </w:rPr>
              <w:t>20030529</w:t>
            </w:r>
          </w:p>
        </w:tc>
      </w:tr>
      <w:tr w:rsidR="00E849D6" w:rsidTr="00D941E4">
        <w:trPr>
          <w:trHeight w:val="998"/>
        </w:trPr>
        <w:tc>
          <w:tcPr>
            <w:tcW w:w="2070" w:type="dxa"/>
            <w:vMerge/>
            <w:tcBorders>
              <w:left w:val="single" w:sz="4" w:space="0" w:color="000000" w:themeColor="text1"/>
              <w:bottom w:val="double" w:sz="4" w:space="0" w:color="auto"/>
              <w:right w:val="single" w:sz="4" w:space="0" w:color="000000" w:themeColor="text1"/>
            </w:tcBorders>
            <w:hideMark/>
          </w:tcPr>
          <w:p w:rsidR="00E849D6" w:rsidRPr="00896EAC" w:rsidRDefault="00E849D6" w:rsidP="00D12276">
            <w:pPr>
              <w:pStyle w:val="ListParagraph"/>
              <w:spacing w:after="0" w:line="240" w:lineRule="exact"/>
              <w:ind w:left="0"/>
              <w:rPr>
                <w:rFonts w:cs="Times New Roman"/>
                <w:sz w:val="18"/>
                <w:szCs w:val="18"/>
              </w:rPr>
            </w:pPr>
          </w:p>
        </w:tc>
        <w:tc>
          <w:tcPr>
            <w:tcW w:w="720" w:type="dxa"/>
            <w:vMerge/>
            <w:tcBorders>
              <w:left w:val="single" w:sz="4" w:space="0" w:color="000000" w:themeColor="text1"/>
              <w:bottom w:val="double" w:sz="4" w:space="0" w:color="auto"/>
              <w:right w:val="single" w:sz="4" w:space="0" w:color="000000" w:themeColor="text1"/>
            </w:tcBorders>
            <w:hideMark/>
          </w:tcPr>
          <w:p w:rsidR="00E849D6" w:rsidRPr="00896EAC" w:rsidRDefault="00E849D6" w:rsidP="00D12276">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double" w:sz="4" w:space="0" w:color="auto"/>
              <w:right w:val="single" w:sz="4" w:space="0" w:color="000000" w:themeColor="text1"/>
            </w:tcBorders>
            <w:hideMark/>
          </w:tcPr>
          <w:p w:rsidR="00E849D6" w:rsidRPr="00896EAC" w:rsidRDefault="00E849D6" w:rsidP="00D12276">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double" w:sz="4" w:space="0" w:color="auto"/>
              <w:right w:val="thinThickThinSmallGap" w:sz="24" w:space="0" w:color="000000" w:themeColor="text1"/>
            </w:tcBorders>
            <w:hideMark/>
          </w:tcPr>
          <w:p w:rsidR="00E849D6" w:rsidRPr="00896EAC" w:rsidRDefault="00E849D6" w:rsidP="00D12276">
            <w:pPr>
              <w:pStyle w:val="ListParagraph"/>
              <w:spacing w:after="0" w:line="240" w:lineRule="exact"/>
              <w:ind w:left="0"/>
              <w:rPr>
                <w:rFonts w:cs="Times New Roman"/>
                <w:sz w:val="18"/>
                <w:szCs w:val="18"/>
              </w:rPr>
            </w:pP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E849D6" w:rsidRPr="00896EAC" w:rsidRDefault="00E57A89" w:rsidP="00D12276">
            <w:pPr>
              <w:pStyle w:val="ListParagraph"/>
              <w:spacing w:after="0" w:line="240" w:lineRule="exact"/>
              <w:ind w:left="0"/>
              <w:rPr>
                <w:rFonts w:cs="Times New Roman"/>
                <w:sz w:val="18"/>
                <w:szCs w:val="18"/>
              </w:rPr>
            </w:pPr>
            <w:proofErr w:type="spellStart"/>
            <w:r>
              <w:rPr>
                <w:rFonts w:cs="Times New Roman"/>
                <w:sz w:val="18"/>
                <w:szCs w:val="18"/>
              </w:rPr>
              <w:t>Lisfranc</w:t>
            </w:r>
            <w:proofErr w:type="spellEnd"/>
            <w:r w:rsidR="00E849D6" w:rsidRPr="00896EAC">
              <w:rPr>
                <w:rFonts w:cs="Times New Roman"/>
                <w:sz w:val="18"/>
                <w:szCs w:val="18"/>
              </w:rPr>
              <w:t xml:space="preserve"> Injury w/Chronic Pain, Decrease Function, LOM of Ankle, Associated w/Fracture, Left Foot</w:t>
            </w:r>
          </w:p>
        </w:tc>
        <w:tc>
          <w:tcPr>
            <w:tcW w:w="72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849D6" w:rsidRPr="00896EAC"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8524</w:t>
            </w:r>
          </w:p>
          <w:p w:rsidR="00E849D6" w:rsidRPr="00896EAC"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 xml:space="preserve">then </w:t>
            </w:r>
          </w:p>
          <w:p w:rsidR="00E849D6" w:rsidRPr="00896EAC"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8525</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849D6" w:rsidRDefault="00E849D6" w:rsidP="00D12276">
            <w:pPr>
              <w:pStyle w:val="ListParagraph"/>
              <w:spacing w:after="0" w:line="240" w:lineRule="exact"/>
              <w:ind w:left="0"/>
              <w:jc w:val="center"/>
              <w:rPr>
                <w:rFonts w:cs="Times New Roman"/>
                <w:sz w:val="18"/>
                <w:szCs w:val="18"/>
              </w:rPr>
            </w:pPr>
            <w:r w:rsidRPr="00896EAC">
              <w:rPr>
                <w:rFonts w:cs="Times New Roman"/>
                <w:sz w:val="18"/>
                <w:szCs w:val="18"/>
              </w:rPr>
              <w:t xml:space="preserve"> 30%</w:t>
            </w:r>
          </w:p>
          <w:p w:rsidR="00D941E4" w:rsidRDefault="00D941E4" w:rsidP="00D12276">
            <w:pPr>
              <w:pStyle w:val="ListParagraph"/>
              <w:spacing w:after="0" w:line="240" w:lineRule="exact"/>
              <w:ind w:left="0"/>
              <w:jc w:val="center"/>
              <w:rPr>
                <w:rFonts w:cs="Times New Roman"/>
                <w:sz w:val="18"/>
                <w:szCs w:val="18"/>
              </w:rPr>
            </w:pPr>
          </w:p>
          <w:p w:rsidR="00D941E4" w:rsidRPr="00896EAC" w:rsidRDefault="00D941E4" w:rsidP="00D12276">
            <w:pPr>
              <w:pStyle w:val="ListParagraph"/>
              <w:spacing w:after="0" w:line="240" w:lineRule="exact"/>
              <w:ind w:left="0"/>
              <w:jc w:val="center"/>
              <w:rPr>
                <w:rFonts w:cs="Times New Roman"/>
                <w:sz w:val="18"/>
                <w:szCs w:val="18"/>
              </w:rPr>
            </w:pPr>
            <w:r>
              <w:rPr>
                <w:rFonts w:cs="Times New Roman"/>
                <w:sz w:val="18"/>
                <w:szCs w:val="18"/>
              </w:rPr>
              <w:t>30%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849D6" w:rsidRPr="00A61B87" w:rsidRDefault="005C0E9E" w:rsidP="00D12276">
            <w:pPr>
              <w:pStyle w:val="ListParagraph"/>
              <w:spacing w:after="0" w:line="240" w:lineRule="exact"/>
              <w:ind w:left="0"/>
              <w:jc w:val="center"/>
              <w:rPr>
                <w:rFonts w:cs="Times New Roman"/>
                <w:sz w:val="18"/>
                <w:szCs w:val="18"/>
              </w:rPr>
            </w:pPr>
            <w:r w:rsidRPr="00A61B87">
              <w:rPr>
                <w:rFonts w:cs="Times New Roman"/>
                <w:sz w:val="18"/>
                <w:szCs w:val="18"/>
              </w:rPr>
              <w:t>20030529</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849D6" w:rsidRPr="00A61B87" w:rsidRDefault="00D941E4" w:rsidP="00D12276">
            <w:pPr>
              <w:pStyle w:val="ListParagraph"/>
              <w:spacing w:after="0" w:line="240" w:lineRule="exact"/>
              <w:ind w:left="0"/>
              <w:jc w:val="center"/>
              <w:rPr>
                <w:rFonts w:cs="Times New Roman"/>
                <w:sz w:val="18"/>
                <w:szCs w:val="18"/>
              </w:rPr>
            </w:pPr>
            <w:r w:rsidRPr="00A61B87">
              <w:rPr>
                <w:rFonts w:cs="Times New Roman"/>
                <w:sz w:val="18"/>
                <w:szCs w:val="18"/>
              </w:rPr>
              <w:t>20030301</w:t>
            </w:r>
          </w:p>
          <w:p w:rsidR="00D941E4" w:rsidRPr="00A61B87" w:rsidRDefault="00D941E4" w:rsidP="00D12276">
            <w:pPr>
              <w:pStyle w:val="ListParagraph"/>
              <w:spacing w:after="0" w:line="240" w:lineRule="exact"/>
              <w:ind w:left="0"/>
              <w:jc w:val="center"/>
              <w:rPr>
                <w:rFonts w:cs="Times New Roman"/>
                <w:sz w:val="18"/>
                <w:szCs w:val="18"/>
              </w:rPr>
            </w:pPr>
          </w:p>
          <w:p w:rsidR="00D941E4" w:rsidRPr="00A61B87" w:rsidRDefault="00D941E4" w:rsidP="00D12276">
            <w:pPr>
              <w:pStyle w:val="ListParagraph"/>
              <w:spacing w:after="0" w:line="240" w:lineRule="exact"/>
              <w:ind w:left="0"/>
              <w:jc w:val="center"/>
              <w:rPr>
                <w:rFonts w:cs="Times New Roman"/>
                <w:sz w:val="18"/>
                <w:szCs w:val="18"/>
              </w:rPr>
            </w:pPr>
            <w:r w:rsidRPr="00A61B87">
              <w:rPr>
                <w:rFonts w:cs="Times New Roman"/>
                <w:sz w:val="18"/>
                <w:szCs w:val="18"/>
              </w:rPr>
              <w:t>20030529</w:t>
            </w:r>
          </w:p>
        </w:tc>
      </w:tr>
      <w:tr w:rsidR="00A61B87" w:rsidTr="00A61B87">
        <w:trPr>
          <w:trHeight w:val="12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61B87" w:rsidRPr="00880C3D" w:rsidRDefault="00A61B87" w:rsidP="00D12276">
            <w:pPr>
              <w:spacing w:line="240" w:lineRule="exact"/>
              <w:rPr>
                <w:rFonts w:eastAsiaTheme="minorEastAsia"/>
                <w:color w:val="auto"/>
                <w:sz w:val="20"/>
                <w:szCs w:val="20"/>
              </w:rPr>
            </w:pPr>
            <w:r>
              <w:rPr>
                <w:rFonts w:eastAsiaTheme="minorEastAsia"/>
                <w:color w:val="auto"/>
                <w:sz w:val="20"/>
                <w:szCs w:val="20"/>
              </w:rPr>
              <w:t>No PEB Entry</w:t>
            </w: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61B87" w:rsidRPr="00880C3D" w:rsidRDefault="00A61B87" w:rsidP="00A61B87">
            <w:pPr>
              <w:spacing w:line="240" w:lineRule="exact"/>
              <w:jc w:val="center"/>
              <w:rPr>
                <w:rFonts w:eastAsiaTheme="minorEastAsia"/>
                <w:color w:val="auto"/>
                <w:sz w:val="18"/>
                <w:szCs w:val="18"/>
              </w:rPr>
            </w:pPr>
            <w:r w:rsidRPr="00880C3D">
              <w:rPr>
                <w:rFonts w:eastAsiaTheme="minorEastAsia"/>
                <w:color w:val="auto"/>
                <w:sz w:val="18"/>
                <w:szCs w:val="18"/>
              </w:rPr>
              <w:t>No</w:t>
            </w:r>
            <w:r>
              <w:rPr>
                <w:rFonts w:eastAsiaTheme="minorEastAsia"/>
                <w:color w:val="auto"/>
                <w:sz w:val="18"/>
                <w:szCs w:val="18"/>
              </w:rPr>
              <w:t>t in DES</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61B87" w:rsidRPr="000E41DD" w:rsidRDefault="00A61B87" w:rsidP="00D12276">
            <w:pPr>
              <w:pStyle w:val="ListParagraph"/>
              <w:spacing w:after="0" w:line="240" w:lineRule="exact"/>
              <w:ind w:left="0"/>
              <w:rPr>
                <w:rFonts w:cs="Times New Roman"/>
                <w:sz w:val="18"/>
                <w:szCs w:val="18"/>
              </w:rPr>
            </w:pPr>
            <w:r w:rsidRPr="000E41DD">
              <w:rPr>
                <w:rFonts w:cs="Times New Roman"/>
                <w:sz w:val="18"/>
                <w:szCs w:val="18"/>
              </w:rPr>
              <w:t>Scars, Left Foot</w:t>
            </w:r>
          </w:p>
        </w:tc>
        <w:tc>
          <w:tcPr>
            <w:tcW w:w="72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A61B87" w:rsidRPr="000E41DD" w:rsidRDefault="00A61B87" w:rsidP="00D12276">
            <w:pPr>
              <w:pStyle w:val="ListParagraph"/>
              <w:spacing w:after="0" w:line="240" w:lineRule="exact"/>
              <w:ind w:left="0"/>
              <w:jc w:val="center"/>
              <w:rPr>
                <w:rFonts w:cs="Times New Roman"/>
                <w:sz w:val="18"/>
                <w:szCs w:val="18"/>
              </w:rPr>
            </w:pPr>
            <w:r w:rsidRPr="000E41DD">
              <w:rPr>
                <w:rFonts w:cs="Times New Roman"/>
                <w:sz w:val="18"/>
                <w:szCs w:val="18"/>
              </w:rPr>
              <w:t>7804</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A61B87" w:rsidRPr="000E41DD" w:rsidRDefault="00A61B87" w:rsidP="00D12276">
            <w:pPr>
              <w:pStyle w:val="ListParagraph"/>
              <w:spacing w:after="0" w:line="240" w:lineRule="exact"/>
              <w:ind w:left="0"/>
              <w:jc w:val="center"/>
              <w:rPr>
                <w:rFonts w:cs="Times New Roman"/>
                <w:sz w:val="18"/>
                <w:szCs w:val="18"/>
              </w:rPr>
            </w:pPr>
            <w:r w:rsidRPr="000E41DD">
              <w:rPr>
                <w:rFonts w:cs="Times New Roman"/>
                <w:sz w:val="18"/>
                <w:szCs w:val="18"/>
              </w:rPr>
              <w:t>10%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A61B87" w:rsidRPr="00A61B87" w:rsidRDefault="00A61B87" w:rsidP="00D12276">
            <w:pPr>
              <w:pStyle w:val="ListParagraph"/>
              <w:spacing w:after="0" w:line="240" w:lineRule="exact"/>
              <w:ind w:left="0"/>
              <w:jc w:val="center"/>
              <w:rPr>
                <w:rFonts w:cs="Times New Roman"/>
                <w:sz w:val="18"/>
                <w:szCs w:val="18"/>
              </w:rPr>
            </w:pPr>
            <w:r w:rsidRPr="00A61B87">
              <w:rPr>
                <w:rFonts w:cs="Times New Roman"/>
                <w:sz w:val="18"/>
                <w:szCs w:val="18"/>
              </w:rPr>
              <w:t>20050927</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A61B87" w:rsidRPr="00A61B87" w:rsidRDefault="00A61B87" w:rsidP="00D12276">
            <w:pPr>
              <w:pStyle w:val="ListParagraph"/>
              <w:spacing w:after="0" w:line="240" w:lineRule="exact"/>
              <w:ind w:left="0"/>
              <w:jc w:val="center"/>
              <w:rPr>
                <w:rFonts w:cs="Times New Roman"/>
                <w:sz w:val="18"/>
                <w:szCs w:val="18"/>
              </w:rPr>
            </w:pPr>
            <w:r w:rsidRPr="00A61B87">
              <w:rPr>
                <w:rFonts w:cs="Times New Roman"/>
                <w:sz w:val="18"/>
                <w:szCs w:val="18"/>
              </w:rPr>
              <w:t>20030529</w:t>
            </w:r>
          </w:p>
        </w:tc>
      </w:tr>
      <w:tr w:rsidR="00A61B87" w:rsidTr="00A61B87">
        <w:trPr>
          <w:trHeight w:val="12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61B87" w:rsidRPr="00CE31C2" w:rsidRDefault="00A61B87" w:rsidP="00CE31C2">
            <w:pPr>
              <w:spacing w:line="240" w:lineRule="exact"/>
              <w:rPr>
                <w:rFonts w:eastAsiaTheme="minorEastAsia"/>
                <w:color w:val="auto"/>
                <w:sz w:val="20"/>
                <w:szCs w:val="20"/>
              </w:rPr>
            </w:pPr>
            <w:r w:rsidRPr="00CE31C2">
              <w:rPr>
                <w:rFonts w:eastAsiaTheme="minorEastAsia"/>
                <w:color w:val="auto"/>
                <w:sz w:val="20"/>
                <w:szCs w:val="20"/>
              </w:rPr>
              <w:t>No PEB Entry</w:t>
            </w:r>
          </w:p>
        </w:tc>
        <w:tc>
          <w:tcPr>
            <w:tcW w:w="252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A61B87" w:rsidRPr="00880C3D" w:rsidRDefault="00A61B87" w:rsidP="00A61B87">
            <w:pPr>
              <w:spacing w:line="240" w:lineRule="exact"/>
              <w:jc w:val="center"/>
              <w:rPr>
                <w:rFonts w:eastAsiaTheme="minorEastAsia"/>
                <w:color w:val="auto"/>
                <w:sz w:val="18"/>
                <w:szCs w:val="18"/>
              </w:rPr>
            </w:pPr>
            <w:r w:rsidRPr="00880C3D">
              <w:rPr>
                <w:rFonts w:eastAsiaTheme="minorEastAsia"/>
                <w:color w:val="auto"/>
                <w:sz w:val="18"/>
                <w:szCs w:val="18"/>
              </w:rPr>
              <w:t>No</w:t>
            </w:r>
            <w:r>
              <w:rPr>
                <w:rFonts w:eastAsiaTheme="minorEastAsia"/>
                <w:color w:val="auto"/>
                <w:sz w:val="18"/>
                <w:szCs w:val="18"/>
              </w:rPr>
              <w:t>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tcPr>
          <w:p w:rsidR="00A61B87" w:rsidRDefault="00A61B87" w:rsidP="00520E93">
            <w:pPr>
              <w:pStyle w:val="ListParagraph"/>
              <w:spacing w:after="0" w:line="240" w:lineRule="exact"/>
              <w:ind w:left="0"/>
              <w:rPr>
                <w:rFonts w:cs="Times New Roman"/>
                <w:sz w:val="18"/>
                <w:szCs w:val="18"/>
              </w:rPr>
            </w:pPr>
            <w:r w:rsidRPr="000E41DD">
              <w:rPr>
                <w:rFonts w:cs="Times New Roman"/>
                <w:sz w:val="18"/>
                <w:szCs w:val="18"/>
              </w:rPr>
              <w:t xml:space="preserve">2 x Condition </w:t>
            </w:r>
          </w:p>
          <w:p w:rsidR="00A61B87" w:rsidRPr="000E41DD" w:rsidRDefault="00A61B87" w:rsidP="00520E93">
            <w:pPr>
              <w:pStyle w:val="ListParagraph"/>
              <w:spacing w:after="0" w:line="240" w:lineRule="exact"/>
              <w:ind w:left="0"/>
              <w:rPr>
                <w:rFonts w:cs="Times New Roman"/>
                <w:sz w:val="18"/>
                <w:szCs w:val="18"/>
              </w:rPr>
            </w:pPr>
            <w:r w:rsidRPr="000E41DD">
              <w:rPr>
                <w:rFonts w:cs="Times New Roman"/>
                <w:sz w:val="18"/>
                <w:szCs w:val="18"/>
              </w:rPr>
              <w:t>(1. Left Knee Pain; 2. Right Foot Condition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61B87" w:rsidRPr="000E41DD" w:rsidRDefault="00A61B87" w:rsidP="00D12276">
            <w:pPr>
              <w:pStyle w:val="ListParagraph"/>
              <w:spacing w:after="0" w:line="240" w:lineRule="exact"/>
              <w:ind w:left="0"/>
              <w:jc w:val="center"/>
              <w:rPr>
                <w:rFonts w:cs="Times New Roman"/>
                <w:sz w:val="18"/>
                <w:szCs w:val="18"/>
              </w:rPr>
            </w:pPr>
            <w:r w:rsidRPr="000E41DD">
              <w:rPr>
                <w:rFonts w:cs="Times New Roman"/>
                <w:sz w:val="18"/>
                <w:szCs w:val="18"/>
              </w:rPr>
              <w:t>NSC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61B87" w:rsidRPr="000E41DD" w:rsidRDefault="00A61B87" w:rsidP="00D12276">
            <w:pPr>
              <w:pStyle w:val="ListParagraph"/>
              <w:spacing w:after="0" w:line="240" w:lineRule="exact"/>
              <w:ind w:left="0"/>
              <w:jc w:val="center"/>
              <w:rPr>
                <w:rFonts w:cs="Times New Roman"/>
                <w:b/>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61B87" w:rsidRPr="00A61B87" w:rsidRDefault="00A61B87" w:rsidP="00D12276">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61B87" w:rsidRPr="00A61B87" w:rsidRDefault="00A61B87" w:rsidP="00D12276">
            <w:pPr>
              <w:pStyle w:val="ListParagraph"/>
              <w:spacing w:after="0" w:line="240" w:lineRule="exact"/>
              <w:ind w:left="0"/>
              <w:jc w:val="center"/>
              <w:rPr>
                <w:rFonts w:cs="Times New Roman"/>
                <w:sz w:val="18"/>
                <w:szCs w:val="18"/>
              </w:rPr>
            </w:pPr>
          </w:p>
        </w:tc>
      </w:tr>
      <w:tr w:rsidR="00E849D6" w:rsidTr="00DD7D15">
        <w:trPr>
          <w:trHeight w:val="305"/>
        </w:trPr>
        <w:tc>
          <w:tcPr>
            <w:tcW w:w="459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849D6" w:rsidRDefault="00E849D6" w:rsidP="00262B31">
            <w:pPr>
              <w:pStyle w:val="ListParagraph"/>
              <w:spacing w:after="0" w:line="240" w:lineRule="exact"/>
              <w:ind w:left="0"/>
              <w:jc w:val="center"/>
              <w:rPr>
                <w:rFonts w:cs="Times New Roman"/>
                <w:b/>
              </w:rPr>
            </w:pPr>
            <w:r>
              <w:rPr>
                <w:rFonts w:cs="Times New Roman"/>
                <w:b/>
              </w:rPr>
              <w:t xml:space="preserve">TOTAL Combined:  </w:t>
            </w:r>
            <w:r w:rsidR="00262B31">
              <w:rPr>
                <w:rFonts w:cs="Times New Roman"/>
                <w:b/>
              </w:rPr>
              <w:t>2</w:t>
            </w:r>
            <w:r>
              <w:rPr>
                <w:rFonts w:cs="Times New Roman"/>
                <w:b/>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849D6" w:rsidRDefault="00E849D6" w:rsidP="00D12276">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E849D6" w:rsidRDefault="00E849D6" w:rsidP="00D12276">
            <w:pPr>
              <w:pStyle w:val="ListParagraph"/>
              <w:spacing w:after="0" w:line="240" w:lineRule="exact"/>
              <w:ind w:left="0"/>
              <w:jc w:val="center"/>
              <w:rPr>
                <w:rFonts w:cs="Times New Roman"/>
                <w:b/>
              </w:rPr>
            </w:pPr>
            <w:r>
              <w:rPr>
                <w:rFonts w:cs="Times New Roman"/>
                <w:b/>
              </w:rPr>
              <w:t>50% from 20020810</w:t>
            </w:r>
          </w:p>
          <w:p w:rsidR="00E849D6" w:rsidRDefault="00E849D6" w:rsidP="00D12276">
            <w:pPr>
              <w:pStyle w:val="ListParagraph"/>
              <w:spacing w:after="0" w:line="240" w:lineRule="exact"/>
              <w:ind w:left="0"/>
              <w:jc w:val="center"/>
              <w:rPr>
                <w:rFonts w:cs="Times New Roman"/>
                <w:b/>
              </w:rPr>
            </w:pPr>
            <w:r>
              <w:rPr>
                <w:rFonts w:cs="Times New Roman"/>
                <w:b/>
              </w:rPr>
              <w:t xml:space="preserve">60% from 20030529                                                                         </w:t>
            </w:r>
            <w:r>
              <w:rPr>
                <w:rFonts w:cs="Times New Roman"/>
              </w:rPr>
              <w:t xml:space="preserve"> </w:t>
            </w:r>
          </w:p>
        </w:tc>
      </w:tr>
    </w:tbl>
    <w:p w:rsidR="00A90D55" w:rsidRPr="00A61B87" w:rsidRDefault="008B5D31" w:rsidP="00D12276">
      <w:pPr>
        <w:tabs>
          <w:tab w:val="left" w:pos="288"/>
          <w:tab w:val="left" w:pos="4752"/>
        </w:tabs>
        <w:spacing w:line="240" w:lineRule="exact"/>
        <w:jc w:val="both"/>
        <w:rPr>
          <w:color w:val="auto"/>
          <w:szCs w:val="24"/>
        </w:rPr>
      </w:pPr>
      <w:r w:rsidRPr="00A61B87">
        <w:rPr>
          <w:color w:val="auto"/>
          <w:szCs w:val="24"/>
          <w:u w:val="single"/>
        </w:rPr>
        <w:t>_______________________________________________________________</w:t>
      </w:r>
      <w:r w:rsidR="00A90D55" w:rsidRPr="00A61B87">
        <w:rPr>
          <w:color w:val="auto"/>
          <w:szCs w:val="24"/>
        </w:rPr>
        <w:t>_</w:t>
      </w:r>
    </w:p>
    <w:p w:rsidR="00A90D55" w:rsidRPr="00A61B87" w:rsidRDefault="00A90D55" w:rsidP="00D12276">
      <w:pPr>
        <w:tabs>
          <w:tab w:val="left" w:pos="288"/>
          <w:tab w:val="left" w:pos="4752"/>
        </w:tabs>
        <w:spacing w:line="240" w:lineRule="exact"/>
        <w:jc w:val="both"/>
        <w:rPr>
          <w:color w:val="auto"/>
          <w:szCs w:val="24"/>
        </w:rPr>
      </w:pPr>
    </w:p>
    <w:p w:rsidR="00124778" w:rsidRDefault="00124778" w:rsidP="00D12276">
      <w:pPr>
        <w:tabs>
          <w:tab w:val="left" w:pos="288"/>
          <w:tab w:val="left" w:pos="4752"/>
        </w:tabs>
        <w:spacing w:line="240" w:lineRule="exact"/>
        <w:jc w:val="both"/>
        <w:rPr>
          <w:color w:val="auto"/>
          <w:szCs w:val="24"/>
        </w:rPr>
      </w:pPr>
      <w:r w:rsidRPr="00A61B87">
        <w:rPr>
          <w:color w:val="auto"/>
          <w:szCs w:val="24"/>
          <w:u w:val="single"/>
        </w:rPr>
        <w:t>ANALYSIS SUMMARY</w:t>
      </w:r>
      <w:r w:rsidRPr="00A61B87">
        <w:rPr>
          <w:color w:val="auto"/>
          <w:szCs w:val="24"/>
        </w:rPr>
        <w:t>:</w:t>
      </w:r>
    </w:p>
    <w:p w:rsidR="00AA55ED" w:rsidRDefault="00AA55ED" w:rsidP="00D12276">
      <w:pPr>
        <w:tabs>
          <w:tab w:val="left" w:pos="288"/>
          <w:tab w:val="left" w:pos="4752"/>
        </w:tabs>
        <w:spacing w:line="240" w:lineRule="exact"/>
        <w:jc w:val="both"/>
        <w:rPr>
          <w:color w:val="auto"/>
          <w:szCs w:val="24"/>
        </w:rPr>
      </w:pPr>
    </w:p>
    <w:p w:rsidR="00FE61A8" w:rsidRPr="00AA55ED" w:rsidRDefault="00FE61A8" w:rsidP="00D12276">
      <w:pPr>
        <w:tabs>
          <w:tab w:val="left" w:pos="288"/>
          <w:tab w:val="left" w:pos="4752"/>
        </w:tabs>
        <w:spacing w:line="240" w:lineRule="exact"/>
        <w:jc w:val="both"/>
        <w:rPr>
          <w:color w:val="auto"/>
          <w:szCs w:val="24"/>
          <w:u w:val="single"/>
        </w:rPr>
      </w:pPr>
      <w:r w:rsidRPr="00AA55ED">
        <w:rPr>
          <w:color w:val="auto"/>
          <w:szCs w:val="24"/>
          <w:u w:val="single"/>
        </w:rPr>
        <w:t xml:space="preserve">Left Foot </w:t>
      </w:r>
      <w:proofErr w:type="spellStart"/>
      <w:r w:rsidRPr="00AA55ED">
        <w:rPr>
          <w:color w:val="auto"/>
          <w:szCs w:val="24"/>
          <w:u w:val="single"/>
        </w:rPr>
        <w:t>Lisfranc</w:t>
      </w:r>
      <w:proofErr w:type="spellEnd"/>
      <w:r w:rsidRPr="00AA55ED">
        <w:rPr>
          <w:color w:val="auto"/>
          <w:szCs w:val="24"/>
          <w:u w:val="single"/>
        </w:rPr>
        <w:t xml:space="preserve"> Fracture, status post </w:t>
      </w:r>
      <w:proofErr w:type="spellStart"/>
      <w:r w:rsidRPr="00AA55ED">
        <w:rPr>
          <w:color w:val="auto"/>
          <w:szCs w:val="24"/>
          <w:u w:val="single"/>
        </w:rPr>
        <w:t>Arthrodesis</w:t>
      </w:r>
      <w:proofErr w:type="spellEnd"/>
      <w:r w:rsidRPr="00AA55ED">
        <w:rPr>
          <w:color w:val="auto"/>
          <w:szCs w:val="24"/>
          <w:u w:val="single"/>
        </w:rPr>
        <w:t xml:space="preserve"> with Peripheral Neuropathy, Reflex Sympathetic Dystrophy, and Scars</w:t>
      </w:r>
    </w:p>
    <w:p w:rsidR="00FE61A8" w:rsidRPr="00A61B87" w:rsidRDefault="00FE61A8" w:rsidP="00D12276">
      <w:pPr>
        <w:tabs>
          <w:tab w:val="left" w:pos="288"/>
          <w:tab w:val="left" w:pos="4752"/>
        </w:tabs>
        <w:spacing w:line="240" w:lineRule="exact"/>
        <w:jc w:val="both"/>
        <w:rPr>
          <w:color w:val="auto"/>
          <w:szCs w:val="24"/>
        </w:rPr>
      </w:pPr>
    </w:p>
    <w:p w:rsidR="006E1EA2" w:rsidRDefault="004914CA" w:rsidP="000F619F">
      <w:pPr>
        <w:tabs>
          <w:tab w:val="left" w:pos="288"/>
          <w:tab w:val="left" w:pos="4752"/>
        </w:tabs>
        <w:spacing w:line="240" w:lineRule="exact"/>
        <w:jc w:val="both"/>
        <w:rPr>
          <w:color w:val="auto"/>
          <w:szCs w:val="24"/>
        </w:rPr>
      </w:pPr>
      <w:r>
        <w:rPr>
          <w:color w:val="auto"/>
          <w:szCs w:val="24"/>
        </w:rPr>
        <w:t xml:space="preserve">The CI initially injured her left foot in November 2000 after falling on stairs. She was evaluated and had x-rays done and was treated conservatively. </w:t>
      </w:r>
      <w:r w:rsidR="00AA55ED">
        <w:rPr>
          <w:color w:val="auto"/>
          <w:szCs w:val="24"/>
        </w:rPr>
        <w:t xml:space="preserve"> </w:t>
      </w:r>
      <w:r>
        <w:rPr>
          <w:color w:val="auto"/>
          <w:szCs w:val="24"/>
        </w:rPr>
        <w:t xml:space="preserve">It seemed to be a relatively minor injury. </w:t>
      </w:r>
      <w:r w:rsidR="00AA55ED">
        <w:rPr>
          <w:color w:val="auto"/>
          <w:szCs w:val="24"/>
        </w:rPr>
        <w:t xml:space="preserve"> </w:t>
      </w:r>
      <w:r>
        <w:rPr>
          <w:color w:val="auto"/>
          <w:szCs w:val="24"/>
        </w:rPr>
        <w:t xml:space="preserve">However, she continued to have pain and swelling. </w:t>
      </w:r>
      <w:r w:rsidR="00AA55ED">
        <w:rPr>
          <w:color w:val="auto"/>
          <w:szCs w:val="24"/>
        </w:rPr>
        <w:t xml:space="preserve"> </w:t>
      </w:r>
      <w:r>
        <w:rPr>
          <w:color w:val="auto"/>
          <w:szCs w:val="24"/>
        </w:rPr>
        <w:t xml:space="preserve">She had repeat x-rays in May and July 2001 and </w:t>
      </w:r>
      <w:r w:rsidR="00AA55ED">
        <w:rPr>
          <w:color w:val="auto"/>
          <w:szCs w:val="24"/>
        </w:rPr>
        <w:t>a</w:t>
      </w:r>
      <w:r>
        <w:rPr>
          <w:color w:val="auto"/>
          <w:szCs w:val="24"/>
        </w:rPr>
        <w:t xml:space="preserve"> </w:t>
      </w:r>
      <w:r w:rsidR="00AA55ED" w:rsidRPr="00AA55ED">
        <w:rPr>
          <w:color w:val="auto"/>
          <w:szCs w:val="24"/>
        </w:rPr>
        <w:t xml:space="preserve">Magnetic Resonance Imaging </w:t>
      </w:r>
      <w:r w:rsidR="00AA55ED">
        <w:rPr>
          <w:color w:val="auto"/>
          <w:szCs w:val="24"/>
        </w:rPr>
        <w:t>(</w:t>
      </w:r>
      <w:r>
        <w:rPr>
          <w:color w:val="auto"/>
          <w:szCs w:val="24"/>
        </w:rPr>
        <w:t>MRI</w:t>
      </w:r>
      <w:r w:rsidR="00AA55ED">
        <w:rPr>
          <w:color w:val="auto"/>
          <w:szCs w:val="24"/>
        </w:rPr>
        <w:t>)</w:t>
      </w:r>
      <w:r>
        <w:rPr>
          <w:color w:val="auto"/>
          <w:szCs w:val="24"/>
        </w:rPr>
        <w:t xml:space="preserve"> in October 2001. </w:t>
      </w:r>
      <w:r w:rsidR="00AA55ED">
        <w:rPr>
          <w:color w:val="auto"/>
          <w:szCs w:val="24"/>
        </w:rPr>
        <w:t xml:space="preserve"> </w:t>
      </w:r>
      <w:r w:rsidR="00D566E5">
        <w:rPr>
          <w:color w:val="auto"/>
          <w:szCs w:val="24"/>
        </w:rPr>
        <w:t xml:space="preserve">None of the x-ray reports were available for review. </w:t>
      </w:r>
      <w:r w:rsidR="00AA55ED">
        <w:rPr>
          <w:color w:val="auto"/>
          <w:szCs w:val="24"/>
        </w:rPr>
        <w:t xml:space="preserve"> </w:t>
      </w:r>
      <w:r>
        <w:rPr>
          <w:color w:val="auto"/>
          <w:szCs w:val="24"/>
        </w:rPr>
        <w:t xml:space="preserve">The MRI report documented a </w:t>
      </w:r>
      <w:proofErr w:type="spellStart"/>
      <w:r>
        <w:rPr>
          <w:color w:val="auto"/>
          <w:szCs w:val="24"/>
        </w:rPr>
        <w:t>Lisfranc</w:t>
      </w:r>
      <w:proofErr w:type="spellEnd"/>
      <w:r>
        <w:rPr>
          <w:color w:val="auto"/>
          <w:szCs w:val="24"/>
        </w:rPr>
        <w:t xml:space="preserve"> fracture</w:t>
      </w:r>
      <w:r w:rsidR="00D566E5">
        <w:rPr>
          <w:color w:val="auto"/>
          <w:szCs w:val="24"/>
        </w:rPr>
        <w:t xml:space="preserve">, unstable </w:t>
      </w:r>
      <w:proofErr w:type="gramStart"/>
      <w:r w:rsidR="00D566E5">
        <w:rPr>
          <w:color w:val="auto"/>
          <w:szCs w:val="24"/>
        </w:rPr>
        <w:t>joint,</w:t>
      </w:r>
      <w:proofErr w:type="gramEnd"/>
      <w:r>
        <w:rPr>
          <w:color w:val="auto"/>
          <w:szCs w:val="24"/>
        </w:rPr>
        <w:t xml:space="preserve"> and </w:t>
      </w:r>
      <w:r w:rsidR="00D566E5">
        <w:rPr>
          <w:color w:val="auto"/>
          <w:szCs w:val="24"/>
        </w:rPr>
        <w:t xml:space="preserve">moderate </w:t>
      </w:r>
      <w:r>
        <w:rPr>
          <w:color w:val="auto"/>
          <w:szCs w:val="24"/>
        </w:rPr>
        <w:t>arthriti</w:t>
      </w:r>
      <w:r w:rsidR="00D566E5">
        <w:rPr>
          <w:color w:val="auto"/>
          <w:szCs w:val="24"/>
        </w:rPr>
        <w:t>c changes</w:t>
      </w:r>
      <w:r>
        <w:rPr>
          <w:color w:val="auto"/>
          <w:szCs w:val="24"/>
        </w:rPr>
        <w:t xml:space="preserve">. </w:t>
      </w:r>
      <w:r w:rsidR="00AA55ED">
        <w:rPr>
          <w:color w:val="auto"/>
          <w:szCs w:val="24"/>
        </w:rPr>
        <w:t xml:space="preserve"> </w:t>
      </w:r>
      <w:r>
        <w:rPr>
          <w:color w:val="auto"/>
          <w:szCs w:val="24"/>
        </w:rPr>
        <w:t xml:space="preserve">She was treated with casting and continued physical therapy but ultimately </w:t>
      </w:r>
      <w:r w:rsidRPr="006E1EA2">
        <w:rPr>
          <w:color w:val="auto"/>
          <w:szCs w:val="24"/>
        </w:rPr>
        <w:t xml:space="preserve">required surgery and </w:t>
      </w:r>
      <w:proofErr w:type="spellStart"/>
      <w:r w:rsidR="00ED3DB2">
        <w:rPr>
          <w:color w:val="auto"/>
          <w:szCs w:val="24"/>
        </w:rPr>
        <w:t>A</w:t>
      </w:r>
      <w:r w:rsidRPr="006E1EA2">
        <w:rPr>
          <w:color w:val="auto"/>
          <w:szCs w:val="24"/>
        </w:rPr>
        <w:t>rthrodesis</w:t>
      </w:r>
      <w:proofErr w:type="spellEnd"/>
      <w:r w:rsidRPr="006E1EA2">
        <w:rPr>
          <w:color w:val="auto"/>
          <w:szCs w:val="24"/>
        </w:rPr>
        <w:t xml:space="preserve"> was done in February 2002.</w:t>
      </w:r>
      <w:r w:rsidR="006E1EA2" w:rsidRPr="006E1EA2">
        <w:rPr>
          <w:color w:val="auto"/>
          <w:szCs w:val="24"/>
        </w:rPr>
        <w:t xml:space="preserve"> </w:t>
      </w:r>
      <w:r w:rsidR="00AA55ED">
        <w:rPr>
          <w:color w:val="auto"/>
          <w:szCs w:val="24"/>
        </w:rPr>
        <w:t xml:space="preserve"> </w:t>
      </w:r>
      <w:r w:rsidR="006E1EA2" w:rsidRPr="006E1EA2">
        <w:rPr>
          <w:color w:val="auto"/>
          <w:szCs w:val="24"/>
        </w:rPr>
        <w:t xml:space="preserve">She was also casted after the surgery and had a second surgery for pin removal in April 2002. </w:t>
      </w:r>
      <w:r w:rsidR="00AA55ED">
        <w:rPr>
          <w:color w:val="auto"/>
          <w:szCs w:val="24"/>
        </w:rPr>
        <w:t xml:space="preserve"> </w:t>
      </w:r>
      <w:r w:rsidR="006E1EA2" w:rsidRPr="006E1EA2">
        <w:rPr>
          <w:color w:val="auto"/>
          <w:szCs w:val="24"/>
        </w:rPr>
        <w:t xml:space="preserve">She also had another surgery in February 2003 (after separation) for removal of hardware. </w:t>
      </w:r>
      <w:r w:rsidR="00AA55ED">
        <w:rPr>
          <w:color w:val="auto"/>
          <w:szCs w:val="24"/>
        </w:rPr>
        <w:t xml:space="preserve"> </w:t>
      </w:r>
      <w:r w:rsidR="006E1EA2" w:rsidRPr="006E1EA2">
        <w:rPr>
          <w:color w:val="auto"/>
          <w:szCs w:val="24"/>
        </w:rPr>
        <w:t xml:space="preserve">The </w:t>
      </w:r>
      <w:proofErr w:type="spellStart"/>
      <w:r w:rsidR="006E1EA2" w:rsidRPr="006E1EA2">
        <w:rPr>
          <w:color w:val="auto"/>
          <w:szCs w:val="24"/>
        </w:rPr>
        <w:t>Arthrodesis</w:t>
      </w:r>
      <w:proofErr w:type="spellEnd"/>
      <w:r w:rsidR="006E1EA2" w:rsidRPr="006E1EA2">
        <w:rPr>
          <w:color w:val="auto"/>
          <w:szCs w:val="24"/>
        </w:rPr>
        <w:t xml:space="preserve"> did not lead to any resolution of her pain and swelling. </w:t>
      </w:r>
      <w:r w:rsidR="00AA55ED">
        <w:rPr>
          <w:color w:val="auto"/>
          <w:szCs w:val="24"/>
        </w:rPr>
        <w:t xml:space="preserve"> </w:t>
      </w:r>
      <w:r w:rsidR="006E1EA2" w:rsidRPr="006E1EA2">
        <w:rPr>
          <w:color w:val="auto"/>
          <w:szCs w:val="24"/>
        </w:rPr>
        <w:t xml:space="preserve">She was referred </w:t>
      </w:r>
      <w:r w:rsidR="00ED3DB2">
        <w:rPr>
          <w:color w:val="auto"/>
          <w:szCs w:val="24"/>
        </w:rPr>
        <w:t>to</w:t>
      </w:r>
      <w:r w:rsidR="006E1EA2" w:rsidRPr="006E1EA2">
        <w:rPr>
          <w:color w:val="auto"/>
          <w:szCs w:val="24"/>
        </w:rPr>
        <w:t xml:space="preserve"> </w:t>
      </w:r>
      <w:r w:rsidR="00ED3DB2">
        <w:rPr>
          <w:color w:val="auto"/>
          <w:szCs w:val="24"/>
        </w:rPr>
        <w:t xml:space="preserve">a </w:t>
      </w:r>
      <w:r w:rsidR="00AA55ED">
        <w:rPr>
          <w:color w:val="auto"/>
          <w:szCs w:val="24"/>
        </w:rPr>
        <w:t>Medical Evaluation Board (</w:t>
      </w:r>
      <w:r w:rsidR="006E1EA2" w:rsidRPr="006E1EA2">
        <w:rPr>
          <w:color w:val="auto"/>
          <w:szCs w:val="24"/>
        </w:rPr>
        <w:t>MEB</w:t>
      </w:r>
      <w:r w:rsidR="00AA55ED">
        <w:rPr>
          <w:color w:val="auto"/>
          <w:szCs w:val="24"/>
        </w:rPr>
        <w:t>)</w:t>
      </w:r>
      <w:r w:rsidR="006E1EA2" w:rsidRPr="006E1EA2">
        <w:rPr>
          <w:color w:val="auto"/>
          <w:szCs w:val="24"/>
        </w:rPr>
        <w:t xml:space="preserve"> and separated from the Navy in August 2002, approximately six months after the initial surgery. </w:t>
      </w:r>
    </w:p>
    <w:p w:rsidR="006E1EA2" w:rsidRDefault="006E1EA2" w:rsidP="000F619F">
      <w:pPr>
        <w:tabs>
          <w:tab w:val="left" w:pos="288"/>
          <w:tab w:val="left" w:pos="4752"/>
        </w:tabs>
        <w:spacing w:line="240" w:lineRule="exact"/>
        <w:jc w:val="both"/>
        <w:rPr>
          <w:color w:val="auto"/>
          <w:szCs w:val="24"/>
        </w:rPr>
      </w:pPr>
    </w:p>
    <w:p w:rsidR="004914CA" w:rsidRDefault="006E1EA2" w:rsidP="000F619F">
      <w:pPr>
        <w:tabs>
          <w:tab w:val="left" w:pos="288"/>
          <w:tab w:val="left" w:pos="4752"/>
        </w:tabs>
        <w:spacing w:line="240" w:lineRule="exact"/>
        <w:jc w:val="both"/>
        <w:rPr>
          <w:color w:val="auto"/>
          <w:szCs w:val="24"/>
        </w:rPr>
      </w:pPr>
      <w:r w:rsidRPr="006E1EA2">
        <w:rPr>
          <w:color w:val="auto"/>
          <w:szCs w:val="24"/>
        </w:rPr>
        <w:t xml:space="preserve">At her MEB </w:t>
      </w:r>
      <w:r w:rsidR="00AA55ED">
        <w:rPr>
          <w:color w:val="auto"/>
          <w:szCs w:val="24"/>
        </w:rPr>
        <w:t>narrative summary (</w:t>
      </w:r>
      <w:r>
        <w:rPr>
          <w:color w:val="auto"/>
          <w:szCs w:val="24"/>
        </w:rPr>
        <w:t>NARSUM</w:t>
      </w:r>
      <w:r w:rsidR="00AA55ED">
        <w:rPr>
          <w:color w:val="auto"/>
          <w:szCs w:val="24"/>
        </w:rPr>
        <w:t>)</w:t>
      </w:r>
      <w:r>
        <w:rPr>
          <w:color w:val="auto"/>
          <w:szCs w:val="24"/>
        </w:rPr>
        <w:t xml:space="preserve"> </w:t>
      </w:r>
      <w:r w:rsidRPr="006E1EA2">
        <w:rPr>
          <w:color w:val="auto"/>
          <w:szCs w:val="24"/>
        </w:rPr>
        <w:t xml:space="preserve">evaluation she still had a severe antalgic gait secondary to left foot pain. </w:t>
      </w:r>
      <w:r w:rsidR="00AA55ED">
        <w:rPr>
          <w:color w:val="auto"/>
          <w:szCs w:val="24"/>
        </w:rPr>
        <w:t xml:space="preserve"> </w:t>
      </w:r>
      <w:r>
        <w:rPr>
          <w:color w:val="auto"/>
          <w:szCs w:val="24"/>
        </w:rPr>
        <w:t xml:space="preserve">She also had </w:t>
      </w:r>
      <w:r w:rsidRPr="006E1EA2">
        <w:rPr>
          <w:color w:val="auto"/>
          <w:szCs w:val="24"/>
        </w:rPr>
        <w:t xml:space="preserve">+2/+3 edema, mild </w:t>
      </w:r>
      <w:proofErr w:type="spellStart"/>
      <w:r w:rsidRPr="006E1EA2">
        <w:rPr>
          <w:color w:val="auto"/>
          <w:szCs w:val="24"/>
        </w:rPr>
        <w:t>erythema</w:t>
      </w:r>
      <w:proofErr w:type="spellEnd"/>
      <w:r w:rsidRPr="006E1EA2">
        <w:rPr>
          <w:color w:val="auto"/>
          <w:szCs w:val="24"/>
        </w:rPr>
        <w:t xml:space="preserve">, and extensive </w:t>
      </w:r>
      <w:proofErr w:type="spellStart"/>
      <w:r w:rsidRPr="006E1EA2">
        <w:rPr>
          <w:color w:val="auto"/>
          <w:szCs w:val="24"/>
        </w:rPr>
        <w:t>ecc</w:t>
      </w:r>
      <w:r>
        <w:rPr>
          <w:color w:val="auto"/>
          <w:szCs w:val="24"/>
        </w:rPr>
        <w:t>h</w:t>
      </w:r>
      <w:r w:rsidRPr="006E1EA2">
        <w:rPr>
          <w:color w:val="auto"/>
          <w:szCs w:val="24"/>
        </w:rPr>
        <w:t>ymosis</w:t>
      </w:r>
      <w:proofErr w:type="spellEnd"/>
      <w:r w:rsidRPr="006E1EA2">
        <w:rPr>
          <w:color w:val="auto"/>
          <w:szCs w:val="24"/>
        </w:rPr>
        <w:t xml:space="preserve">. </w:t>
      </w:r>
      <w:r w:rsidR="00AA55ED">
        <w:rPr>
          <w:color w:val="auto"/>
          <w:szCs w:val="24"/>
        </w:rPr>
        <w:t xml:space="preserve"> </w:t>
      </w:r>
      <w:r w:rsidRPr="006E1EA2">
        <w:rPr>
          <w:color w:val="auto"/>
          <w:szCs w:val="24"/>
        </w:rPr>
        <w:t xml:space="preserve">Upon palpation of the </w:t>
      </w:r>
      <w:proofErr w:type="spellStart"/>
      <w:r w:rsidRPr="006E1EA2">
        <w:rPr>
          <w:color w:val="auto"/>
          <w:szCs w:val="24"/>
        </w:rPr>
        <w:t>midfoot</w:t>
      </w:r>
      <w:proofErr w:type="spellEnd"/>
      <w:r w:rsidRPr="006E1EA2">
        <w:rPr>
          <w:color w:val="auto"/>
          <w:szCs w:val="24"/>
        </w:rPr>
        <w:t xml:space="preserve"> region including 1</w:t>
      </w:r>
      <w:r w:rsidR="00ED3DB2">
        <w:rPr>
          <w:color w:val="auto"/>
          <w:szCs w:val="24"/>
        </w:rPr>
        <w:t>st</w:t>
      </w:r>
      <w:r w:rsidRPr="006E1EA2">
        <w:rPr>
          <w:color w:val="auto"/>
          <w:szCs w:val="24"/>
        </w:rPr>
        <w:t xml:space="preserve"> and 2</w:t>
      </w:r>
      <w:r w:rsidR="00ED3DB2">
        <w:rPr>
          <w:color w:val="auto"/>
          <w:szCs w:val="24"/>
        </w:rPr>
        <w:t>nd</w:t>
      </w:r>
      <w:r w:rsidRPr="006E1EA2">
        <w:rPr>
          <w:color w:val="auto"/>
          <w:szCs w:val="24"/>
        </w:rPr>
        <w:t xml:space="preserve"> </w:t>
      </w:r>
      <w:proofErr w:type="spellStart"/>
      <w:r w:rsidRPr="006E1EA2">
        <w:rPr>
          <w:color w:val="auto"/>
          <w:szCs w:val="24"/>
        </w:rPr>
        <w:t>tarsometatarsal</w:t>
      </w:r>
      <w:proofErr w:type="spellEnd"/>
      <w:r w:rsidRPr="006E1EA2">
        <w:rPr>
          <w:color w:val="auto"/>
          <w:szCs w:val="24"/>
        </w:rPr>
        <w:t xml:space="preserve"> regions demonstrated increased </w:t>
      </w:r>
      <w:proofErr w:type="spellStart"/>
      <w:r w:rsidRPr="006E1EA2">
        <w:rPr>
          <w:color w:val="auto"/>
          <w:szCs w:val="24"/>
        </w:rPr>
        <w:t>sagittal</w:t>
      </w:r>
      <w:proofErr w:type="spellEnd"/>
      <w:r w:rsidRPr="006E1EA2">
        <w:rPr>
          <w:color w:val="auto"/>
          <w:szCs w:val="24"/>
        </w:rPr>
        <w:t xml:space="preserve"> motion with dorsal </w:t>
      </w:r>
      <w:proofErr w:type="spellStart"/>
      <w:r w:rsidRPr="006E1EA2">
        <w:rPr>
          <w:color w:val="auto"/>
          <w:szCs w:val="24"/>
        </w:rPr>
        <w:t>subluxation</w:t>
      </w:r>
      <w:proofErr w:type="spellEnd"/>
      <w:r w:rsidRPr="006E1EA2">
        <w:rPr>
          <w:color w:val="auto"/>
          <w:szCs w:val="24"/>
        </w:rPr>
        <w:t xml:space="preserve"> of the 2nd cuneiform. </w:t>
      </w:r>
      <w:r w:rsidR="00AA55ED">
        <w:rPr>
          <w:color w:val="auto"/>
          <w:szCs w:val="24"/>
        </w:rPr>
        <w:t xml:space="preserve"> </w:t>
      </w:r>
      <w:r>
        <w:rPr>
          <w:color w:val="auto"/>
          <w:szCs w:val="24"/>
        </w:rPr>
        <w:t>The CI had</w:t>
      </w:r>
      <w:r w:rsidRPr="006E1EA2">
        <w:rPr>
          <w:color w:val="auto"/>
          <w:szCs w:val="24"/>
        </w:rPr>
        <w:t xml:space="preserve"> decreased range of motion of left ankle joint, </w:t>
      </w:r>
      <w:proofErr w:type="spellStart"/>
      <w:r w:rsidRPr="006E1EA2">
        <w:rPr>
          <w:color w:val="auto"/>
          <w:szCs w:val="24"/>
        </w:rPr>
        <w:t>subtalar</w:t>
      </w:r>
      <w:proofErr w:type="spellEnd"/>
      <w:r w:rsidRPr="006E1EA2">
        <w:rPr>
          <w:color w:val="auto"/>
          <w:szCs w:val="24"/>
        </w:rPr>
        <w:t xml:space="preserve"> joint, </w:t>
      </w:r>
      <w:r w:rsidRPr="006E1EA2">
        <w:rPr>
          <w:color w:val="auto"/>
          <w:szCs w:val="24"/>
        </w:rPr>
        <w:lastRenderedPageBreak/>
        <w:t xml:space="preserve">and </w:t>
      </w:r>
      <w:proofErr w:type="spellStart"/>
      <w:r w:rsidRPr="006E1EA2">
        <w:rPr>
          <w:color w:val="auto"/>
          <w:szCs w:val="24"/>
        </w:rPr>
        <w:t>midtarsal</w:t>
      </w:r>
      <w:proofErr w:type="spellEnd"/>
      <w:r w:rsidRPr="006E1EA2">
        <w:rPr>
          <w:color w:val="auto"/>
          <w:szCs w:val="24"/>
        </w:rPr>
        <w:t xml:space="preserve"> joint secondary to edema and pain, and </w:t>
      </w:r>
      <w:r w:rsidRPr="006E1EA2">
        <w:rPr>
          <w:iCs/>
          <w:color w:val="auto"/>
          <w:szCs w:val="24"/>
        </w:rPr>
        <w:t xml:space="preserve">+3/+4/5 </w:t>
      </w:r>
      <w:r w:rsidRPr="006E1EA2">
        <w:rPr>
          <w:color w:val="auto"/>
          <w:szCs w:val="24"/>
        </w:rPr>
        <w:t xml:space="preserve">muscle strength. </w:t>
      </w:r>
      <w:r w:rsidR="00AA55ED">
        <w:rPr>
          <w:color w:val="auto"/>
          <w:szCs w:val="24"/>
        </w:rPr>
        <w:t xml:space="preserve"> </w:t>
      </w:r>
      <w:r>
        <w:rPr>
          <w:color w:val="auto"/>
          <w:szCs w:val="24"/>
        </w:rPr>
        <w:t>Her pain was rated</w:t>
      </w:r>
      <w:r w:rsidRPr="006E1EA2">
        <w:rPr>
          <w:color w:val="auto"/>
          <w:szCs w:val="24"/>
        </w:rPr>
        <w:t xml:space="preserve"> +9/10 upon range of motion and resistance</w:t>
      </w:r>
      <w:r>
        <w:rPr>
          <w:color w:val="auto"/>
          <w:szCs w:val="24"/>
        </w:rPr>
        <w:t xml:space="preserve"> and she had a</w:t>
      </w:r>
      <w:r w:rsidRPr="006E1EA2">
        <w:rPr>
          <w:color w:val="auto"/>
          <w:szCs w:val="24"/>
        </w:rPr>
        <w:t xml:space="preserve"> positive Gap sign upon weight bearing</w:t>
      </w:r>
      <w:r>
        <w:rPr>
          <w:color w:val="auto"/>
          <w:szCs w:val="24"/>
        </w:rPr>
        <w:t>.</w:t>
      </w:r>
    </w:p>
    <w:p w:rsidR="006E1EA2" w:rsidRDefault="006E1EA2" w:rsidP="000F619F">
      <w:pPr>
        <w:tabs>
          <w:tab w:val="left" w:pos="288"/>
          <w:tab w:val="left" w:pos="4752"/>
        </w:tabs>
        <w:spacing w:line="240" w:lineRule="exact"/>
        <w:jc w:val="both"/>
        <w:rPr>
          <w:color w:val="auto"/>
          <w:szCs w:val="24"/>
        </w:rPr>
      </w:pPr>
    </w:p>
    <w:p w:rsidR="009822BA" w:rsidRDefault="006E1EA2" w:rsidP="000F619F">
      <w:pPr>
        <w:tabs>
          <w:tab w:val="left" w:pos="288"/>
          <w:tab w:val="left" w:pos="4752"/>
        </w:tabs>
        <w:spacing w:line="240" w:lineRule="exact"/>
        <w:jc w:val="both"/>
        <w:rPr>
          <w:color w:val="auto"/>
          <w:szCs w:val="24"/>
        </w:rPr>
      </w:pPr>
      <w:r>
        <w:rPr>
          <w:color w:val="auto"/>
          <w:szCs w:val="24"/>
        </w:rPr>
        <w:t xml:space="preserve">Her initial VA </w:t>
      </w:r>
      <w:r w:rsidR="00AA55ED">
        <w:rPr>
          <w:color w:val="auto"/>
          <w:szCs w:val="24"/>
        </w:rPr>
        <w:t>Compensation and Pension (</w:t>
      </w:r>
      <w:r>
        <w:rPr>
          <w:color w:val="auto"/>
          <w:szCs w:val="24"/>
        </w:rPr>
        <w:t>C&amp;P</w:t>
      </w:r>
      <w:r w:rsidR="00AA55ED">
        <w:rPr>
          <w:color w:val="auto"/>
          <w:szCs w:val="24"/>
        </w:rPr>
        <w:t>)</w:t>
      </w:r>
      <w:r>
        <w:rPr>
          <w:color w:val="auto"/>
          <w:szCs w:val="24"/>
        </w:rPr>
        <w:t xml:space="preserve"> evaluation was completed in June 2002, two months prior to separation from service. </w:t>
      </w:r>
      <w:r w:rsidR="00AA55ED">
        <w:rPr>
          <w:color w:val="auto"/>
          <w:szCs w:val="24"/>
        </w:rPr>
        <w:t xml:space="preserve"> </w:t>
      </w:r>
      <w:r>
        <w:rPr>
          <w:color w:val="auto"/>
          <w:szCs w:val="24"/>
        </w:rPr>
        <w:t>This examination had findings very similar to that done for her MEB: significant limp and swelling</w:t>
      </w:r>
      <w:r w:rsidR="008E51A1">
        <w:rPr>
          <w:color w:val="auto"/>
          <w:szCs w:val="24"/>
        </w:rPr>
        <w:t xml:space="preserve"> and pain with any motion</w:t>
      </w:r>
      <w:r>
        <w:rPr>
          <w:color w:val="auto"/>
          <w:szCs w:val="24"/>
        </w:rPr>
        <w:t xml:space="preserve">. </w:t>
      </w:r>
      <w:r w:rsidR="00AA55ED">
        <w:rPr>
          <w:color w:val="auto"/>
          <w:szCs w:val="24"/>
        </w:rPr>
        <w:t xml:space="preserve"> </w:t>
      </w:r>
      <w:r>
        <w:rPr>
          <w:color w:val="auto"/>
          <w:szCs w:val="24"/>
        </w:rPr>
        <w:t>It also documented</w:t>
      </w:r>
      <w:r w:rsidR="008E51A1">
        <w:rPr>
          <w:color w:val="auto"/>
          <w:szCs w:val="24"/>
        </w:rPr>
        <w:t xml:space="preserve"> weak left great toe extension and a significant </w:t>
      </w:r>
      <w:proofErr w:type="spellStart"/>
      <w:r w:rsidR="008E51A1">
        <w:rPr>
          <w:color w:val="auto"/>
          <w:szCs w:val="24"/>
        </w:rPr>
        <w:t>droop</w:t>
      </w:r>
      <w:proofErr w:type="spellEnd"/>
      <w:r w:rsidR="008E51A1">
        <w:rPr>
          <w:color w:val="auto"/>
          <w:szCs w:val="24"/>
        </w:rPr>
        <w:t xml:space="preserve"> of the left great toe.</w:t>
      </w:r>
    </w:p>
    <w:p w:rsidR="008E51A1" w:rsidRDefault="008E51A1" w:rsidP="000F619F">
      <w:pPr>
        <w:tabs>
          <w:tab w:val="left" w:pos="288"/>
          <w:tab w:val="left" w:pos="4752"/>
        </w:tabs>
        <w:spacing w:line="240" w:lineRule="exact"/>
        <w:jc w:val="both"/>
        <w:rPr>
          <w:color w:val="auto"/>
          <w:szCs w:val="24"/>
        </w:rPr>
      </w:pPr>
    </w:p>
    <w:p w:rsidR="008E51A1" w:rsidRDefault="00D566E5" w:rsidP="009822BA">
      <w:pPr>
        <w:autoSpaceDE w:val="0"/>
        <w:autoSpaceDN w:val="0"/>
        <w:adjustRightInd w:val="0"/>
        <w:spacing w:line="240" w:lineRule="exact"/>
        <w:jc w:val="both"/>
        <w:rPr>
          <w:color w:val="auto"/>
          <w:szCs w:val="24"/>
        </w:rPr>
      </w:pPr>
      <w:r>
        <w:rPr>
          <w:color w:val="auto"/>
          <w:szCs w:val="24"/>
        </w:rPr>
        <w:t>The CI</w:t>
      </w:r>
      <w:r w:rsidR="008E51A1">
        <w:rPr>
          <w:color w:val="auto"/>
          <w:szCs w:val="24"/>
        </w:rPr>
        <w:t xml:space="preserve"> separat</w:t>
      </w:r>
      <w:r>
        <w:rPr>
          <w:color w:val="auto"/>
          <w:szCs w:val="24"/>
        </w:rPr>
        <w:t>ed</w:t>
      </w:r>
      <w:r w:rsidR="008E51A1">
        <w:rPr>
          <w:color w:val="auto"/>
          <w:szCs w:val="24"/>
        </w:rPr>
        <w:t xml:space="preserve"> f</w:t>
      </w:r>
      <w:r>
        <w:rPr>
          <w:color w:val="auto"/>
          <w:szCs w:val="24"/>
        </w:rPr>
        <w:t>ro</w:t>
      </w:r>
      <w:r w:rsidR="008E51A1">
        <w:rPr>
          <w:color w:val="auto"/>
          <w:szCs w:val="24"/>
        </w:rPr>
        <w:t xml:space="preserve">m service in August </w:t>
      </w:r>
      <w:r>
        <w:rPr>
          <w:color w:val="auto"/>
          <w:szCs w:val="24"/>
        </w:rPr>
        <w:t>2002;</w:t>
      </w:r>
      <w:r w:rsidR="008E51A1">
        <w:rPr>
          <w:color w:val="auto"/>
          <w:szCs w:val="24"/>
        </w:rPr>
        <w:t xml:space="preserve"> </w:t>
      </w:r>
      <w:r>
        <w:rPr>
          <w:color w:val="auto"/>
          <w:szCs w:val="24"/>
        </w:rPr>
        <w:t>this</w:t>
      </w:r>
      <w:r w:rsidR="008E51A1">
        <w:rPr>
          <w:color w:val="auto"/>
          <w:szCs w:val="24"/>
        </w:rPr>
        <w:t xml:space="preserve"> was only six months </w:t>
      </w:r>
      <w:r>
        <w:rPr>
          <w:color w:val="auto"/>
          <w:szCs w:val="24"/>
        </w:rPr>
        <w:t>after her initial surgery and four months after her second surgery.</w:t>
      </w:r>
      <w:r w:rsidR="008E51A1">
        <w:rPr>
          <w:color w:val="auto"/>
          <w:szCs w:val="24"/>
        </w:rPr>
        <w:t xml:space="preserve"> </w:t>
      </w:r>
      <w:r w:rsidR="00AA55ED">
        <w:rPr>
          <w:color w:val="auto"/>
          <w:szCs w:val="24"/>
        </w:rPr>
        <w:t xml:space="preserve"> </w:t>
      </w:r>
      <w:r w:rsidR="009822BA" w:rsidRPr="009822BA">
        <w:rPr>
          <w:color w:val="auto"/>
          <w:szCs w:val="24"/>
        </w:rPr>
        <w:t xml:space="preserve">The NARSUM specifically stated the surgery appeared successful but aching pain persisted after surgery because of the nature of the extensive injury. </w:t>
      </w:r>
      <w:r w:rsidR="00AA55ED">
        <w:rPr>
          <w:color w:val="auto"/>
          <w:szCs w:val="24"/>
        </w:rPr>
        <w:t xml:space="preserve"> </w:t>
      </w:r>
      <w:r w:rsidR="009822BA" w:rsidRPr="009822BA">
        <w:rPr>
          <w:color w:val="auto"/>
          <w:szCs w:val="24"/>
        </w:rPr>
        <w:t xml:space="preserve">Severe injuries can occur with </w:t>
      </w:r>
      <w:proofErr w:type="spellStart"/>
      <w:r w:rsidR="009822BA" w:rsidRPr="009822BA">
        <w:rPr>
          <w:color w:val="auto"/>
          <w:szCs w:val="24"/>
        </w:rPr>
        <w:t>Lisfranc</w:t>
      </w:r>
      <w:proofErr w:type="spellEnd"/>
      <w:r w:rsidR="009822BA" w:rsidRPr="009822BA">
        <w:rPr>
          <w:color w:val="auto"/>
          <w:szCs w:val="24"/>
        </w:rPr>
        <w:t xml:space="preserve"> fractures even if </w:t>
      </w:r>
      <w:r w:rsidR="00C25001">
        <w:rPr>
          <w:color w:val="auto"/>
          <w:szCs w:val="24"/>
        </w:rPr>
        <w:t xml:space="preserve">the </w:t>
      </w:r>
      <w:r w:rsidR="009822BA" w:rsidRPr="009822BA">
        <w:rPr>
          <w:color w:val="auto"/>
          <w:szCs w:val="24"/>
        </w:rPr>
        <w:t xml:space="preserve">mechanism of injury appears benign such as stumbling. </w:t>
      </w:r>
      <w:r w:rsidR="009822BA" w:rsidRPr="009822BA">
        <w:rPr>
          <w:rFonts w:cs="Arial"/>
          <w:color w:val="000000"/>
          <w:szCs w:val="24"/>
        </w:rPr>
        <w:t xml:space="preserve"> </w:t>
      </w:r>
      <w:r w:rsidR="009822BA" w:rsidRPr="009822BA">
        <w:rPr>
          <w:color w:val="auto"/>
          <w:szCs w:val="24"/>
        </w:rPr>
        <w:t xml:space="preserve">Poor functional outcomes are common with </w:t>
      </w:r>
      <w:proofErr w:type="spellStart"/>
      <w:r w:rsidR="009822BA" w:rsidRPr="009822BA">
        <w:rPr>
          <w:color w:val="auto"/>
          <w:szCs w:val="24"/>
        </w:rPr>
        <w:t>Lisfranc</w:t>
      </w:r>
      <w:proofErr w:type="spellEnd"/>
      <w:r w:rsidR="009822BA" w:rsidRPr="009822BA">
        <w:rPr>
          <w:color w:val="auto"/>
          <w:szCs w:val="24"/>
        </w:rPr>
        <w:t xml:space="preserve"> injuries and fractures, especially if definitive treatment is delayed.</w:t>
      </w:r>
      <w:r w:rsidR="00AA55ED">
        <w:rPr>
          <w:color w:val="auto"/>
          <w:szCs w:val="24"/>
        </w:rPr>
        <w:t xml:space="preserve"> </w:t>
      </w:r>
      <w:r w:rsidR="009822BA" w:rsidRPr="009822BA">
        <w:rPr>
          <w:color w:val="auto"/>
          <w:szCs w:val="24"/>
        </w:rPr>
        <w:t xml:space="preserve"> </w:t>
      </w:r>
      <w:r w:rsidR="00C25001">
        <w:rPr>
          <w:color w:val="auto"/>
          <w:szCs w:val="24"/>
        </w:rPr>
        <w:t xml:space="preserve">The </w:t>
      </w:r>
      <w:r w:rsidR="009822BA" w:rsidRPr="009822BA">
        <w:rPr>
          <w:color w:val="auto"/>
          <w:szCs w:val="24"/>
        </w:rPr>
        <w:t xml:space="preserve">NARSUM stated CI would need </w:t>
      </w:r>
      <w:r w:rsidR="00C25001">
        <w:rPr>
          <w:color w:val="auto"/>
          <w:szCs w:val="24"/>
        </w:rPr>
        <w:t>six</w:t>
      </w:r>
      <w:r w:rsidR="009822BA" w:rsidRPr="009822BA">
        <w:rPr>
          <w:color w:val="auto"/>
          <w:szCs w:val="24"/>
        </w:rPr>
        <w:t xml:space="preserve"> months to one year of convalescence for her injury to heal. </w:t>
      </w:r>
      <w:r w:rsidR="00AA55ED">
        <w:rPr>
          <w:color w:val="auto"/>
          <w:szCs w:val="24"/>
        </w:rPr>
        <w:t xml:space="preserve"> </w:t>
      </w:r>
      <w:r w:rsidR="009822BA" w:rsidRPr="009822BA">
        <w:rPr>
          <w:color w:val="auto"/>
          <w:szCs w:val="24"/>
        </w:rPr>
        <w:t xml:space="preserve">She had surgery in Feb 2002, </w:t>
      </w:r>
      <w:r w:rsidR="00C25001">
        <w:rPr>
          <w:color w:val="auto"/>
          <w:szCs w:val="24"/>
        </w:rPr>
        <w:t xml:space="preserve">the </w:t>
      </w:r>
      <w:r w:rsidR="009822BA" w:rsidRPr="009822BA">
        <w:rPr>
          <w:color w:val="auto"/>
          <w:szCs w:val="24"/>
        </w:rPr>
        <w:t xml:space="preserve">NARSUM </w:t>
      </w:r>
      <w:r w:rsidR="00C25001">
        <w:rPr>
          <w:color w:val="auto"/>
          <w:szCs w:val="24"/>
        </w:rPr>
        <w:t xml:space="preserve">was </w:t>
      </w:r>
      <w:r w:rsidR="009822BA" w:rsidRPr="009822BA">
        <w:rPr>
          <w:color w:val="auto"/>
          <w:szCs w:val="24"/>
        </w:rPr>
        <w:t xml:space="preserve">completed in approximately May 2002 (3 months after </w:t>
      </w:r>
      <w:r w:rsidR="00C25001">
        <w:rPr>
          <w:color w:val="auto"/>
          <w:szCs w:val="24"/>
        </w:rPr>
        <w:t xml:space="preserve">initial </w:t>
      </w:r>
      <w:r w:rsidR="009822BA" w:rsidRPr="009822BA">
        <w:rPr>
          <w:color w:val="auto"/>
          <w:szCs w:val="24"/>
        </w:rPr>
        <w:t>surgery)</w:t>
      </w:r>
      <w:r w:rsidR="00C25001">
        <w:rPr>
          <w:color w:val="auto"/>
          <w:szCs w:val="24"/>
        </w:rPr>
        <w:t>,</w:t>
      </w:r>
      <w:r w:rsidR="009822BA" w:rsidRPr="009822BA">
        <w:rPr>
          <w:color w:val="auto"/>
          <w:szCs w:val="24"/>
        </w:rPr>
        <w:t xml:space="preserve"> and separation occurred in August 2002 (6 months after </w:t>
      </w:r>
      <w:r w:rsidR="00C25001">
        <w:rPr>
          <w:color w:val="auto"/>
          <w:szCs w:val="24"/>
        </w:rPr>
        <w:t xml:space="preserve">initial </w:t>
      </w:r>
      <w:r w:rsidR="009822BA" w:rsidRPr="009822BA">
        <w:rPr>
          <w:color w:val="auto"/>
          <w:szCs w:val="24"/>
        </w:rPr>
        <w:t xml:space="preserve">surgery). </w:t>
      </w:r>
      <w:r w:rsidR="00AA55ED">
        <w:rPr>
          <w:color w:val="auto"/>
          <w:szCs w:val="24"/>
        </w:rPr>
        <w:t xml:space="preserve"> </w:t>
      </w:r>
      <w:r>
        <w:rPr>
          <w:color w:val="auto"/>
          <w:szCs w:val="24"/>
        </w:rPr>
        <w:t>She had not reached maximum medical benefit and her condition was not stable</w:t>
      </w:r>
      <w:r w:rsidR="008E51A1">
        <w:rPr>
          <w:color w:val="auto"/>
          <w:szCs w:val="24"/>
        </w:rPr>
        <w:t xml:space="preserve">. </w:t>
      </w:r>
      <w:r w:rsidR="00AA55ED">
        <w:rPr>
          <w:color w:val="auto"/>
          <w:szCs w:val="24"/>
        </w:rPr>
        <w:t xml:space="preserve"> </w:t>
      </w:r>
      <w:r>
        <w:rPr>
          <w:color w:val="auto"/>
          <w:szCs w:val="24"/>
        </w:rPr>
        <w:t>The initial VA C&amp;P also revealed the CI was still convalescing from her foot surgery with significant swelling, tenderness, and impaired function.</w:t>
      </w:r>
    </w:p>
    <w:p w:rsidR="00D566E5" w:rsidRPr="00D566E5" w:rsidRDefault="00D566E5" w:rsidP="000F619F">
      <w:pPr>
        <w:tabs>
          <w:tab w:val="left" w:pos="288"/>
          <w:tab w:val="left" w:pos="4752"/>
        </w:tabs>
        <w:spacing w:line="240" w:lineRule="exact"/>
        <w:jc w:val="both"/>
        <w:rPr>
          <w:color w:val="auto"/>
          <w:szCs w:val="24"/>
        </w:rPr>
      </w:pPr>
    </w:p>
    <w:p w:rsidR="00D566E5" w:rsidRDefault="009822BA" w:rsidP="00D566E5">
      <w:pPr>
        <w:pStyle w:val="HTMLPreformatted"/>
        <w:spacing w:line="240" w:lineRule="exact"/>
        <w:jc w:val="both"/>
        <w:rPr>
          <w:rFonts w:ascii="Courier" w:hAnsiTheme="minorHAnsi"/>
          <w:sz w:val="24"/>
          <w:szCs w:val="24"/>
        </w:rPr>
      </w:pPr>
      <w:r w:rsidRPr="00ED3DB2">
        <w:rPr>
          <w:rFonts w:ascii="Courier" w:hAnsi="Courier" w:cs="Times New Roman"/>
          <w:sz w:val="24"/>
          <w:szCs w:val="24"/>
        </w:rPr>
        <w:t>T</w:t>
      </w:r>
      <w:r w:rsidR="00D566E5" w:rsidRPr="00ED3DB2">
        <w:rPr>
          <w:rFonts w:ascii="Courier" w:hAnsi="Courier" w:cs="Times New Roman"/>
          <w:sz w:val="24"/>
          <w:szCs w:val="24"/>
        </w:rPr>
        <w:t>he CI had not reached maximum medical benefit prior to</w:t>
      </w:r>
      <w:r w:rsidR="00D566E5" w:rsidRPr="009822BA">
        <w:rPr>
          <w:rFonts w:ascii="Courier" w:hAnsi="Courier"/>
          <w:sz w:val="24"/>
          <w:szCs w:val="24"/>
        </w:rPr>
        <w:t xml:space="preserve"> separation</w:t>
      </w:r>
      <w:r>
        <w:rPr>
          <w:rFonts w:ascii="Courier" w:hAnsi="Courier"/>
          <w:sz w:val="24"/>
          <w:szCs w:val="24"/>
        </w:rPr>
        <w:t xml:space="preserve"> and therefore</w:t>
      </w:r>
      <w:r w:rsidR="00D566E5" w:rsidRPr="009822BA">
        <w:rPr>
          <w:rFonts w:ascii="Courier" w:hAnsi="Courier"/>
          <w:sz w:val="24"/>
          <w:szCs w:val="24"/>
        </w:rPr>
        <w:t xml:space="preserve"> the VA assigned a </w:t>
      </w:r>
      <w:proofErr w:type="spellStart"/>
      <w:r w:rsidR="00D566E5" w:rsidRPr="009822BA">
        <w:rPr>
          <w:rFonts w:ascii="Courier" w:hAnsi="Courier"/>
          <w:sz w:val="24"/>
          <w:szCs w:val="24"/>
        </w:rPr>
        <w:t>pres</w:t>
      </w:r>
      <w:r w:rsidR="00ED3DB2">
        <w:rPr>
          <w:rFonts w:ascii="Courier" w:hAnsi="Courier"/>
          <w:sz w:val="24"/>
          <w:szCs w:val="24"/>
        </w:rPr>
        <w:t>tabilization</w:t>
      </w:r>
      <w:proofErr w:type="spellEnd"/>
      <w:r w:rsidR="00ED3DB2">
        <w:rPr>
          <w:rFonts w:ascii="Courier" w:hAnsi="Courier"/>
          <w:sz w:val="24"/>
          <w:szCs w:val="24"/>
        </w:rPr>
        <w:t xml:space="preserve"> rating of 50% for u</w:t>
      </w:r>
      <w:r w:rsidR="00D566E5" w:rsidRPr="009822BA">
        <w:rPr>
          <w:rFonts w:ascii="Courier" w:hAnsi="Courier"/>
          <w:sz w:val="24"/>
          <w:szCs w:val="24"/>
        </w:rPr>
        <w:t xml:space="preserve">nhealed or incompletely healed wounds or injuries: Material impairment of employability likely. </w:t>
      </w:r>
      <w:r w:rsidR="00AA55ED">
        <w:rPr>
          <w:rFonts w:ascii="Courier" w:hAnsi="Courier"/>
          <w:sz w:val="24"/>
          <w:szCs w:val="24"/>
        </w:rPr>
        <w:t xml:space="preserve"> </w:t>
      </w:r>
      <w:r w:rsidRPr="009822BA">
        <w:rPr>
          <w:rFonts w:ascii="Courier" w:hAnsi="Courier"/>
          <w:sz w:val="24"/>
          <w:szCs w:val="24"/>
        </w:rPr>
        <w:t xml:space="preserve">When </w:t>
      </w:r>
      <w:proofErr w:type="spellStart"/>
      <w:r w:rsidRPr="009822BA">
        <w:rPr>
          <w:rFonts w:ascii="Courier" w:hAnsi="Courier"/>
          <w:sz w:val="24"/>
          <w:szCs w:val="24"/>
        </w:rPr>
        <w:t>prestabilization</w:t>
      </w:r>
      <w:proofErr w:type="spellEnd"/>
      <w:r w:rsidRPr="009822BA">
        <w:rPr>
          <w:rFonts w:ascii="Courier" w:hAnsi="Courier"/>
          <w:sz w:val="24"/>
          <w:szCs w:val="24"/>
        </w:rPr>
        <w:t xml:space="preserve"> ratings are applied,</w:t>
      </w:r>
      <w:r w:rsidR="00D566E5" w:rsidRPr="009822BA">
        <w:rPr>
          <w:rFonts w:ascii="Courier" w:hAnsi="Courier"/>
          <w:sz w:val="24"/>
          <w:szCs w:val="24"/>
        </w:rPr>
        <w:t xml:space="preserve"> </w:t>
      </w:r>
      <w:r w:rsidRPr="009822BA">
        <w:rPr>
          <w:rFonts w:ascii="Courier" w:hAnsi="Courier"/>
          <w:sz w:val="24"/>
          <w:szCs w:val="24"/>
        </w:rPr>
        <w:t>a</w:t>
      </w:r>
      <w:r w:rsidR="00D566E5" w:rsidRPr="009822BA">
        <w:rPr>
          <w:rFonts w:ascii="Courier" w:hAnsi="Courier"/>
          <w:sz w:val="24"/>
          <w:szCs w:val="24"/>
        </w:rPr>
        <w:t xml:space="preserve"> C&amp;P evaluation </w:t>
      </w:r>
      <w:r w:rsidRPr="009822BA">
        <w:rPr>
          <w:rFonts w:ascii="Courier" w:hAnsi="Courier"/>
          <w:sz w:val="24"/>
          <w:szCs w:val="24"/>
        </w:rPr>
        <w:t>is required between six and twelve months after separation f</w:t>
      </w:r>
      <w:r>
        <w:rPr>
          <w:rFonts w:ascii="Courier" w:hAnsi="Courier"/>
          <w:sz w:val="24"/>
          <w:szCs w:val="24"/>
        </w:rPr>
        <w:t>ro</w:t>
      </w:r>
      <w:r w:rsidRPr="009822BA">
        <w:rPr>
          <w:rFonts w:ascii="Courier" w:hAnsi="Courier"/>
          <w:sz w:val="24"/>
          <w:szCs w:val="24"/>
        </w:rPr>
        <w:t xml:space="preserve">m service and this was done </w:t>
      </w:r>
      <w:r w:rsidR="00D566E5" w:rsidRPr="009822BA">
        <w:rPr>
          <w:rFonts w:ascii="Courier" w:hAnsi="Courier"/>
          <w:sz w:val="24"/>
          <w:szCs w:val="24"/>
        </w:rPr>
        <w:t>in May 2003</w:t>
      </w:r>
      <w:r>
        <w:rPr>
          <w:rFonts w:ascii="Courier" w:hAnsi="Courier"/>
          <w:sz w:val="24"/>
          <w:szCs w:val="24"/>
        </w:rPr>
        <w:t xml:space="preserve">. </w:t>
      </w:r>
      <w:r w:rsidR="00AA55ED">
        <w:rPr>
          <w:rFonts w:ascii="Courier" w:hAnsi="Courier"/>
          <w:sz w:val="24"/>
          <w:szCs w:val="24"/>
        </w:rPr>
        <w:t xml:space="preserve"> </w:t>
      </w:r>
      <w:r>
        <w:rPr>
          <w:rFonts w:ascii="Courier" w:hAnsi="Courier"/>
          <w:sz w:val="24"/>
          <w:szCs w:val="24"/>
        </w:rPr>
        <w:t xml:space="preserve">VASRD </w:t>
      </w:r>
      <w:r w:rsidRPr="003F0E98">
        <w:rPr>
          <w:rFonts w:ascii="Times New Roman" w:hAnsi="Times New Roman" w:cs="Times New Roman"/>
          <w:sz w:val="24"/>
          <w:szCs w:val="24"/>
        </w:rPr>
        <w:t>§</w:t>
      </w:r>
      <w:r w:rsidRPr="003F0E98">
        <w:rPr>
          <w:rFonts w:ascii="Courier" w:hAnsiTheme="minorHAnsi"/>
          <w:sz w:val="24"/>
          <w:szCs w:val="24"/>
        </w:rPr>
        <w:t>4.28</w:t>
      </w:r>
      <w:r w:rsidR="00ED3DB2">
        <w:rPr>
          <w:rFonts w:ascii="Courier" w:hAnsiTheme="minorHAnsi"/>
          <w:sz w:val="24"/>
          <w:szCs w:val="24"/>
        </w:rPr>
        <w:t xml:space="preserve"> </w:t>
      </w:r>
      <w:proofErr w:type="spellStart"/>
      <w:r w:rsidR="00ED3DB2">
        <w:rPr>
          <w:rFonts w:ascii="Courier" w:hAnsiTheme="minorHAnsi"/>
          <w:sz w:val="24"/>
          <w:szCs w:val="24"/>
        </w:rPr>
        <w:t>p</w:t>
      </w:r>
      <w:r>
        <w:rPr>
          <w:rFonts w:ascii="Courier" w:hAnsiTheme="minorHAnsi"/>
          <w:sz w:val="24"/>
          <w:szCs w:val="24"/>
        </w:rPr>
        <w:t>restabilization</w:t>
      </w:r>
      <w:proofErr w:type="spellEnd"/>
      <w:r>
        <w:rPr>
          <w:rFonts w:ascii="Courier" w:hAnsiTheme="minorHAnsi"/>
          <w:sz w:val="24"/>
          <w:szCs w:val="24"/>
        </w:rPr>
        <w:t xml:space="preserve"> rating from date of discharge from service defines the requirements for rating </w:t>
      </w:r>
      <w:proofErr w:type="spellStart"/>
      <w:r>
        <w:rPr>
          <w:rFonts w:ascii="Courier" w:hAnsiTheme="minorHAnsi"/>
          <w:sz w:val="24"/>
          <w:szCs w:val="24"/>
        </w:rPr>
        <w:t>unstabilized</w:t>
      </w:r>
      <w:proofErr w:type="spellEnd"/>
      <w:r>
        <w:rPr>
          <w:rFonts w:ascii="Courier" w:hAnsiTheme="minorHAnsi"/>
          <w:sz w:val="24"/>
          <w:szCs w:val="24"/>
        </w:rPr>
        <w:t>, unhealed, and incompletely healed conditions, wounds, and injuries.</w:t>
      </w:r>
    </w:p>
    <w:p w:rsidR="00C25001" w:rsidRDefault="00C25001" w:rsidP="00D566E5">
      <w:pPr>
        <w:pStyle w:val="HTMLPreformatted"/>
        <w:spacing w:line="240" w:lineRule="exact"/>
        <w:jc w:val="both"/>
        <w:rPr>
          <w:rFonts w:ascii="Courier" w:hAnsiTheme="minorHAnsi"/>
          <w:sz w:val="24"/>
          <w:szCs w:val="24"/>
        </w:rPr>
      </w:pPr>
    </w:p>
    <w:p w:rsidR="00C25001" w:rsidRDefault="00C25001" w:rsidP="00D566E5">
      <w:pPr>
        <w:pStyle w:val="HTMLPreformatted"/>
        <w:spacing w:line="240" w:lineRule="exact"/>
        <w:jc w:val="both"/>
        <w:rPr>
          <w:rFonts w:ascii="Courier" w:hAnsiTheme="minorHAnsi"/>
          <w:sz w:val="24"/>
          <w:szCs w:val="24"/>
        </w:rPr>
      </w:pPr>
      <w:r>
        <w:rPr>
          <w:rFonts w:ascii="Courier" w:hAnsiTheme="minorHAnsi"/>
          <w:sz w:val="24"/>
          <w:szCs w:val="24"/>
        </w:rPr>
        <w:t xml:space="preserve">In order to comply with </w:t>
      </w:r>
      <w:r>
        <w:rPr>
          <w:rFonts w:ascii="Courier" w:hAnsi="Courier"/>
          <w:sz w:val="24"/>
          <w:szCs w:val="24"/>
        </w:rPr>
        <w:t xml:space="preserve">VASRD </w:t>
      </w:r>
      <w:r w:rsidRPr="003F0E98">
        <w:rPr>
          <w:rFonts w:ascii="Times New Roman" w:hAnsi="Times New Roman" w:cs="Times New Roman"/>
          <w:sz w:val="24"/>
          <w:szCs w:val="24"/>
        </w:rPr>
        <w:t>§</w:t>
      </w:r>
      <w:r w:rsidRPr="003F0E98">
        <w:rPr>
          <w:rFonts w:ascii="Courier" w:hAnsiTheme="minorHAnsi"/>
          <w:sz w:val="24"/>
          <w:szCs w:val="24"/>
        </w:rPr>
        <w:t>4.28</w:t>
      </w:r>
      <w:r>
        <w:rPr>
          <w:rFonts w:ascii="Courier" w:hAnsiTheme="minorHAnsi"/>
          <w:sz w:val="24"/>
          <w:szCs w:val="24"/>
        </w:rPr>
        <w:t>, the Board recommends a period of twelve months on the Temporary Disability Retired List (TDRL)</w:t>
      </w:r>
      <w:r w:rsidR="006E3B5A">
        <w:rPr>
          <w:rFonts w:ascii="Courier" w:hAnsiTheme="minorHAnsi"/>
          <w:sz w:val="24"/>
          <w:szCs w:val="24"/>
        </w:rPr>
        <w:t xml:space="preserve"> with a rating of 50% for 5284 Left </w:t>
      </w:r>
      <w:proofErr w:type="spellStart"/>
      <w:r w:rsidR="006E3B5A">
        <w:rPr>
          <w:rFonts w:ascii="Courier" w:hAnsiTheme="minorHAnsi"/>
          <w:sz w:val="24"/>
          <w:szCs w:val="24"/>
        </w:rPr>
        <w:t>Lisfranc</w:t>
      </w:r>
      <w:proofErr w:type="spellEnd"/>
      <w:r w:rsidR="006E3B5A">
        <w:rPr>
          <w:rFonts w:ascii="Courier" w:hAnsiTheme="minorHAnsi"/>
          <w:sz w:val="24"/>
          <w:szCs w:val="24"/>
        </w:rPr>
        <w:t xml:space="preserve"> Fracture, Status Post Left </w:t>
      </w:r>
      <w:proofErr w:type="spellStart"/>
      <w:r w:rsidR="006E3B5A">
        <w:rPr>
          <w:rFonts w:ascii="Courier" w:hAnsiTheme="minorHAnsi"/>
          <w:sz w:val="24"/>
          <w:szCs w:val="24"/>
        </w:rPr>
        <w:t>Lisfranc</w:t>
      </w:r>
      <w:proofErr w:type="spellEnd"/>
      <w:r w:rsidR="006E3B5A">
        <w:rPr>
          <w:rFonts w:ascii="Courier" w:hAnsiTheme="minorHAnsi"/>
          <w:sz w:val="24"/>
          <w:szCs w:val="24"/>
        </w:rPr>
        <w:t xml:space="preserve"> </w:t>
      </w:r>
      <w:proofErr w:type="spellStart"/>
      <w:r w:rsidR="006E3B5A">
        <w:rPr>
          <w:rFonts w:ascii="Courier" w:hAnsiTheme="minorHAnsi"/>
          <w:sz w:val="24"/>
          <w:szCs w:val="24"/>
        </w:rPr>
        <w:t>Arthrodesis</w:t>
      </w:r>
      <w:proofErr w:type="spellEnd"/>
      <w:r w:rsidR="006E3B5A">
        <w:rPr>
          <w:rFonts w:ascii="Courier" w:hAnsiTheme="minorHAnsi"/>
          <w:sz w:val="24"/>
          <w:szCs w:val="24"/>
        </w:rPr>
        <w:t xml:space="preserve">. </w:t>
      </w:r>
      <w:r w:rsidR="00AA55ED">
        <w:rPr>
          <w:rFonts w:ascii="Courier" w:hAnsiTheme="minorHAnsi"/>
          <w:sz w:val="24"/>
          <w:szCs w:val="24"/>
        </w:rPr>
        <w:t xml:space="preserve"> </w:t>
      </w:r>
      <w:r w:rsidR="006E3B5A">
        <w:rPr>
          <w:rFonts w:ascii="Courier" w:hAnsiTheme="minorHAnsi"/>
          <w:sz w:val="24"/>
          <w:szCs w:val="24"/>
        </w:rPr>
        <w:t>This twelve month period should begin immediately following the CI</w:t>
      </w:r>
      <w:r w:rsidR="006E3B5A">
        <w:rPr>
          <w:rFonts w:ascii="Courier" w:hAnsiTheme="minorHAnsi"/>
          <w:sz w:val="24"/>
          <w:szCs w:val="24"/>
        </w:rPr>
        <w:t>’</w:t>
      </w:r>
      <w:r w:rsidR="006E3B5A">
        <w:rPr>
          <w:rFonts w:ascii="Courier" w:hAnsiTheme="minorHAnsi"/>
          <w:sz w:val="24"/>
          <w:szCs w:val="24"/>
        </w:rPr>
        <w:t xml:space="preserve">s prior medical separation. </w:t>
      </w:r>
      <w:r w:rsidR="00AA55ED">
        <w:rPr>
          <w:rFonts w:ascii="Courier" w:hAnsiTheme="minorHAnsi"/>
          <w:sz w:val="24"/>
          <w:szCs w:val="24"/>
        </w:rPr>
        <w:t xml:space="preserve"> </w:t>
      </w:r>
      <w:r w:rsidR="006E3B5A">
        <w:rPr>
          <w:rFonts w:ascii="Courier" w:hAnsiTheme="minorHAnsi"/>
          <w:sz w:val="24"/>
          <w:szCs w:val="24"/>
        </w:rPr>
        <w:t xml:space="preserve">The Board recommends a permanent rating of 30% for the same condition following the TDRL period. </w:t>
      </w:r>
      <w:r w:rsidR="00AA55ED">
        <w:rPr>
          <w:rFonts w:ascii="Courier" w:hAnsiTheme="minorHAnsi"/>
          <w:sz w:val="24"/>
          <w:szCs w:val="24"/>
        </w:rPr>
        <w:t xml:space="preserve"> </w:t>
      </w:r>
      <w:r w:rsidR="006E3B5A">
        <w:rPr>
          <w:rFonts w:ascii="Courier" w:hAnsiTheme="minorHAnsi"/>
          <w:sz w:val="24"/>
          <w:szCs w:val="24"/>
        </w:rPr>
        <w:t>The CI</w:t>
      </w:r>
      <w:r w:rsidR="006E3B5A">
        <w:rPr>
          <w:rFonts w:ascii="Courier" w:hAnsiTheme="minorHAnsi"/>
          <w:sz w:val="24"/>
          <w:szCs w:val="24"/>
        </w:rPr>
        <w:t>’</w:t>
      </w:r>
      <w:r w:rsidR="006E3B5A">
        <w:rPr>
          <w:rFonts w:ascii="Courier" w:hAnsiTheme="minorHAnsi"/>
          <w:sz w:val="24"/>
          <w:szCs w:val="24"/>
        </w:rPr>
        <w:t>s condition warrants a 30% rating based on the VA C&amp;P evaluation of 20030529.</w:t>
      </w:r>
    </w:p>
    <w:p w:rsidR="00C25001" w:rsidRDefault="00C25001" w:rsidP="00D566E5">
      <w:pPr>
        <w:pStyle w:val="HTMLPreformatted"/>
        <w:spacing w:line="240" w:lineRule="exact"/>
        <w:jc w:val="both"/>
        <w:rPr>
          <w:rFonts w:ascii="Courier" w:hAnsiTheme="minorHAnsi"/>
          <w:sz w:val="24"/>
          <w:szCs w:val="24"/>
        </w:rPr>
      </w:pPr>
    </w:p>
    <w:p w:rsidR="00C25001" w:rsidRDefault="00C25001" w:rsidP="00D566E5">
      <w:pPr>
        <w:pStyle w:val="HTMLPreformatted"/>
        <w:spacing w:line="240" w:lineRule="exact"/>
        <w:jc w:val="both"/>
        <w:rPr>
          <w:rFonts w:ascii="Courier" w:hAnsiTheme="minorHAnsi"/>
          <w:sz w:val="24"/>
          <w:szCs w:val="24"/>
        </w:rPr>
      </w:pPr>
      <w:r>
        <w:rPr>
          <w:rFonts w:ascii="Courier" w:hAnsiTheme="minorHAnsi"/>
          <w:sz w:val="24"/>
          <w:szCs w:val="24"/>
        </w:rPr>
        <w:t xml:space="preserve">During the intervening time between the two VA C&amp;P evaluations, the CI was diagnosed with Reflex Sympathetic Dystrophy </w:t>
      </w:r>
      <w:r w:rsidR="00D75CD4">
        <w:rPr>
          <w:rFonts w:ascii="Courier" w:hAnsiTheme="minorHAnsi"/>
          <w:sz w:val="24"/>
          <w:szCs w:val="24"/>
        </w:rPr>
        <w:t xml:space="preserve">(RSD) </w:t>
      </w:r>
      <w:r>
        <w:rPr>
          <w:rFonts w:ascii="Courier" w:hAnsiTheme="minorHAnsi"/>
          <w:sz w:val="24"/>
          <w:szCs w:val="24"/>
        </w:rPr>
        <w:t xml:space="preserve">and the VA considered this condition when determining their rating </w:t>
      </w:r>
      <w:r>
        <w:rPr>
          <w:rFonts w:ascii="Courier" w:hAnsiTheme="minorHAnsi"/>
          <w:sz w:val="24"/>
          <w:szCs w:val="24"/>
        </w:rPr>
        <w:lastRenderedPageBreak/>
        <w:t>in 2003.</w:t>
      </w:r>
      <w:r w:rsidR="006E3B5A">
        <w:rPr>
          <w:rFonts w:ascii="Courier" w:hAnsiTheme="minorHAnsi"/>
          <w:sz w:val="24"/>
          <w:szCs w:val="24"/>
        </w:rPr>
        <w:t xml:space="preserve"> </w:t>
      </w:r>
      <w:r w:rsidR="00AA55ED">
        <w:rPr>
          <w:rFonts w:ascii="Courier" w:hAnsiTheme="minorHAnsi"/>
          <w:sz w:val="24"/>
          <w:szCs w:val="24"/>
        </w:rPr>
        <w:t xml:space="preserve"> </w:t>
      </w:r>
      <w:r w:rsidR="00D75CD4">
        <w:rPr>
          <w:rFonts w:ascii="Courier" w:hAnsiTheme="minorHAnsi"/>
          <w:sz w:val="24"/>
          <w:szCs w:val="24"/>
        </w:rPr>
        <w:t xml:space="preserve">This condition is also known as Complex Regional Pain Syndrome (CRPS). </w:t>
      </w:r>
      <w:r w:rsidR="00AA55ED">
        <w:rPr>
          <w:rFonts w:ascii="Courier" w:hAnsiTheme="minorHAnsi"/>
          <w:sz w:val="24"/>
          <w:szCs w:val="24"/>
        </w:rPr>
        <w:t xml:space="preserve"> </w:t>
      </w:r>
      <w:r w:rsidR="006E3B5A">
        <w:rPr>
          <w:rFonts w:ascii="Courier" w:hAnsiTheme="minorHAnsi"/>
          <w:sz w:val="24"/>
          <w:szCs w:val="24"/>
        </w:rPr>
        <w:t xml:space="preserve">However, this condition was not present at the time of entry into the TDRL and the Board cannot consider this condition in its determinations. </w:t>
      </w:r>
      <w:r w:rsidR="00AA55ED">
        <w:rPr>
          <w:rFonts w:ascii="Courier" w:hAnsiTheme="minorHAnsi"/>
          <w:sz w:val="24"/>
          <w:szCs w:val="24"/>
        </w:rPr>
        <w:t xml:space="preserve"> </w:t>
      </w:r>
      <w:r w:rsidR="006E3B5A">
        <w:rPr>
          <w:rFonts w:ascii="Courier" w:hAnsiTheme="minorHAnsi"/>
          <w:sz w:val="24"/>
          <w:szCs w:val="24"/>
        </w:rPr>
        <w:t>The Board did consider neurologic abnor</w:t>
      </w:r>
      <w:r w:rsidR="001C7833">
        <w:rPr>
          <w:rFonts w:ascii="Courier" w:hAnsiTheme="minorHAnsi"/>
          <w:sz w:val="24"/>
          <w:szCs w:val="24"/>
        </w:rPr>
        <w:t>malities as these were present prior to entering the TDRL</w:t>
      </w:r>
      <w:r w:rsidR="006E3B5A">
        <w:rPr>
          <w:rFonts w:ascii="Courier" w:hAnsiTheme="minorHAnsi"/>
          <w:sz w:val="24"/>
          <w:szCs w:val="24"/>
        </w:rPr>
        <w:t>.</w:t>
      </w:r>
    </w:p>
    <w:p w:rsidR="001C7833" w:rsidRPr="001C7833" w:rsidRDefault="001C7833" w:rsidP="001C7833">
      <w:pPr>
        <w:pStyle w:val="HTMLPreformatted"/>
        <w:spacing w:line="240" w:lineRule="exact"/>
        <w:jc w:val="both"/>
        <w:rPr>
          <w:rFonts w:ascii="Courier" w:hAnsi="Courier"/>
          <w:sz w:val="24"/>
          <w:szCs w:val="24"/>
        </w:rPr>
      </w:pPr>
    </w:p>
    <w:p w:rsidR="001C7833" w:rsidRDefault="001C7833" w:rsidP="001C7833">
      <w:pPr>
        <w:autoSpaceDE w:val="0"/>
        <w:autoSpaceDN w:val="0"/>
        <w:adjustRightInd w:val="0"/>
        <w:spacing w:line="240" w:lineRule="exact"/>
        <w:jc w:val="both"/>
        <w:rPr>
          <w:color w:val="auto"/>
          <w:szCs w:val="24"/>
        </w:rPr>
      </w:pPr>
      <w:r w:rsidRPr="001C7833">
        <w:rPr>
          <w:color w:val="auto"/>
          <w:szCs w:val="24"/>
        </w:rPr>
        <w:t xml:space="preserve">The NARSUM examination documented decreased strength which could have been due to a peripheral neuropathy or secondary to pain. The initial VA C&amp;P documented her </w:t>
      </w:r>
      <w:r>
        <w:rPr>
          <w:color w:val="auto"/>
          <w:szCs w:val="24"/>
        </w:rPr>
        <w:t>l</w:t>
      </w:r>
      <w:r w:rsidRPr="001C7833">
        <w:rPr>
          <w:color w:val="auto"/>
          <w:szCs w:val="24"/>
        </w:rPr>
        <w:t>eft second great toe ha</w:t>
      </w:r>
      <w:r>
        <w:rPr>
          <w:color w:val="auto"/>
          <w:szCs w:val="24"/>
        </w:rPr>
        <w:t>d</w:t>
      </w:r>
      <w:r w:rsidRPr="001C7833">
        <w:rPr>
          <w:color w:val="auto"/>
          <w:szCs w:val="24"/>
        </w:rPr>
        <w:t xml:space="preserve"> lost its extensor tendon and ha</w:t>
      </w:r>
      <w:r>
        <w:rPr>
          <w:color w:val="auto"/>
          <w:szCs w:val="24"/>
        </w:rPr>
        <w:t>d a</w:t>
      </w:r>
      <w:r w:rsidRPr="001C7833">
        <w:rPr>
          <w:color w:val="auto"/>
          <w:szCs w:val="24"/>
        </w:rPr>
        <w:t xml:space="preserve"> significant droop</w:t>
      </w:r>
      <w:r>
        <w:rPr>
          <w:color w:val="auto"/>
          <w:szCs w:val="24"/>
        </w:rPr>
        <w:t xml:space="preserve">. </w:t>
      </w:r>
      <w:r w:rsidR="0021039E">
        <w:rPr>
          <w:color w:val="auto"/>
          <w:szCs w:val="24"/>
        </w:rPr>
        <w:t xml:space="preserve"> </w:t>
      </w:r>
      <w:r>
        <w:rPr>
          <w:color w:val="auto"/>
          <w:szCs w:val="24"/>
        </w:rPr>
        <w:t xml:space="preserve">This would not occur due to pain alone and is indicative of a neurologic abnormality. </w:t>
      </w:r>
      <w:r w:rsidR="0021039E">
        <w:rPr>
          <w:color w:val="auto"/>
          <w:szCs w:val="24"/>
        </w:rPr>
        <w:t xml:space="preserve"> </w:t>
      </w:r>
      <w:r>
        <w:rPr>
          <w:color w:val="auto"/>
          <w:szCs w:val="24"/>
        </w:rPr>
        <w:t xml:space="preserve">The subsequent VA C&amp;P </w:t>
      </w:r>
      <w:r w:rsidRPr="001C7833">
        <w:rPr>
          <w:color w:val="auto"/>
          <w:szCs w:val="24"/>
        </w:rPr>
        <w:t xml:space="preserve">examination documented worsening neurologic problems with the inability to flex the toes on her left foot. </w:t>
      </w:r>
      <w:r w:rsidR="0021039E">
        <w:rPr>
          <w:color w:val="auto"/>
          <w:szCs w:val="24"/>
        </w:rPr>
        <w:t xml:space="preserve"> </w:t>
      </w:r>
      <w:r>
        <w:rPr>
          <w:color w:val="auto"/>
          <w:szCs w:val="24"/>
        </w:rPr>
        <w:t>Also, s</w:t>
      </w:r>
      <w:r w:rsidRPr="001C7833">
        <w:rPr>
          <w:color w:val="auto"/>
          <w:szCs w:val="24"/>
        </w:rPr>
        <w:t>he c</w:t>
      </w:r>
      <w:r>
        <w:rPr>
          <w:color w:val="auto"/>
          <w:szCs w:val="24"/>
        </w:rPr>
        <w:t>ould</w:t>
      </w:r>
      <w:r w:rsidRPr="001C7833">
        <w:rPr>
          <w:color w:val="auto"/>
          <w:szCs w:val="24"/>
        </w:rPr>
        <w:t xml:space="preserve"> only wiggle her great toe slightly.</w:t>
      </w:r>
    </w:p>
    <w:p w:rsidR="001C7833" w:rsidRDefault="001C7833" w:rsidP="001C7833">
      <w:pPr>
        <w:autoSpaceDE w:val="0"/>
        <w:autoSpaceDN w:val="0"/>
        <w:adjustRightInd w:val="0"/>
        <w:spacing w:line="240" w:lineRule="exact"/>
        <w:jc w:val="both"/>
        <w:rPr>
          <w:color w:val="auto"/>
          <w:szCs w:val="24"/>
        </w:rPr>
      </w:pPr>
    </w:p>
    <w:p w:rsidR="001C7833" w:rsidRDefault="001C7833" w:rsidP="001C7833">
      <w:pPr>
        <w:autoSpaceDE w:val="0"/>
        <w:autoSpaceDN w:val="0"/>
        <w:adjustRightInd w:val="0"/>
        <w:spacing w:line="240" w:lineRule="exact"/>
        <w:jc w:val="both"/>
        <w:rPr>
          <w:color w:val="auto"/>
          <w:szCs w:val="24"/>
        </w:rPr>
      </w:pPr>
      <w:r>
        <w:rPr>
          <w:color w:val="auto"/>
          <w:szCs w:val="24"/>
        </w:rPr>
        <w:t xml:space="preserve">The second VA C&amp;P evaluation was completed fifteen months after the initial surgery and the CI continued to walk with a limp and have </w:t>
      </w:r>
      <w:r w:rsidR="00170299">
        <w:rPr>
          <w:color w:val="auto"/>
          <w:szCs w:val="24"/>
        </w:rPr>
        <w:t xml:space="preserve">significant </w:t>
      </w:r>
      <w:r>
        <w:rPr>
          <w:color w:val="auto"/>
          <w:szCs w:val="24"/>
        </w:rPr>
        <w:t xml:space="preserve">daily pain. </w:t>
      </w:r>
      <w:r w:rsidR="0021039E">
        <w:rPr>
          <w:color w:val="auto"/>
          <w:szCs w:val="24"/>
        </w:rPr>
        <w:t xml:space="preserve"> </w:t>
      </w:r>
      <w:r>
        <w:rPr>
          <w:color w:val="auto"/>
          <w:szCs w:val="24"/>
        </w:rPr>
        <w:t xml:space="preserve">She was employed at a desk-type job but had difficulty with the </w:t>
      </w:r>
      <w:r w:rsidR="00D75CD4">
        <w:rPr>
          <w:color w:val="auto"/>
          <w:szCs w:val="24"/>
        </w:rPr>
        <w:t xml:space="preserve">amount of </w:t>
      </w:r>
      <w:r>
        <w:rPr>
          <w:color w:val="auto"/>
          <w:szCs w:val="24"/>
        </w:rPr>
        <w:t xml:space="preserve">walking that was required for this job. </w:t>
      </w:r>
      <w:r w:rsidR="0021039E">
        <w:rPr>
          <w:color w:val="auto"/>
          <w:szCs w:val="24"/>
        </w:rPr>
        <w:t xml:space="preserve"> </w:t>
      </w:r>
      <w:r w:rsidR="00D75CD4">
        <w:rPr>
          <w:color w:val="auto"/>
          <w:szCs w:val="24"/>
        </w:rPr>
        <w:t xml:space="preserve">She no longer had edema or </w:t>
      </w:r>
      <w:proofErr w:type="spellStart"/>
      <w:r w:rsidR="00D75CD4">
        <w:rPr>
          <w:color w:val="auto"/>
          <w:szCs w:val="24"/>
        </w:rPr>
        <w:t>ecchymosis</w:t>
      </w:r>
      <w:proofErr w:type="spellEnd"/>
      <w:r w:rsidR="00D75CD4">
        <w:rPr>
          <w:color w:val="auto"/>
          <w:szCs w:val="24"/>
        </w:rPr>
        <w:t xml:space="preserve"> but tenderness to palpation persisted.</w:t>
      </w:r>
      <w:r w:rsidR="0021039E">
        <w:rPr>
          <w:color w:val="auto"/>
          <w:szCs w:val="24"/>
        </w:rPr>
        <w:t xml:space="preserve"> </w:t>
      </w:r>
      <w:r w:rsidR="00D75CD4">
        <w:rPr>
          <w:color w:val="auto"/>
          <w:szCs w:val="24"/>
        </w:rPr>
        <w:t xml:space="preserve"> In addition to the motor weakness described above, she also had decreased sensation of her toes and the distal portion of her metatarsals.</w:t>
      </w:r>
      <w:r w:rsidR="00170299">
        <w:rPr>
          <w:color w:val="auto"/>
          <w:szCs w:val="24"/>
        </w:rPr>
        <w:t xml:space="preserve"> </w:t>
      </w:r>
      <w:r w:rsidR="0021039E">
        <w:rPr>
          <w:color w:val="auto"/>
          <w:szCs w:val="24"/>
        </w:rPr>
        <w:t xml:space="preserve"> </w:t>
      </w:r>
      <w:r w:rsidR="00170299" w:rsidRPr="00170299">
        <w:rPr>
          <w:color w:val="auto"/>
          <w:szCs w:val="24"/>
        </w:rPr>
        <w:t>The CI’s pain is aggravated by any increased or prolonged activity, such as shopping on her feet for more than thirty minutes</w:t>
      </w:r>
      <w:r w:rsidR="00170299">
        <w:rPr>
          <w:color w:val="auto"/>
          <w:szCs w:val="24"/>
        </w:rPr>
        <w:t>.</w:t>
      </w:r>
    </w:p>
    <w:p w:rsidR="00D75CD4" w:rsidRDefault="00D75CD4" w:rsidP="001C7833">
      <w:pPr>
        <w:autoSpaceDE w:val="0"/>
        <w:autoSpaceDN w:val="0"/>
        <w:adjustRightInd w:val="0"/>
        <w:spacing w:line="240" w:lineRule="exact"/>
        <w:jc w:val="both"/>
        <w:rPr>
          <w:color w:val="auto"/>
          <w:szCs w:val="24"/>
        </w:rPr>
      </w:pPr>
    </w:p>
    <w:p w:rsidR="00170299" w:rsidRPr="00170299" w:rsidRDefault="00D75CD4" w:rsidP="00170299">
      <w:pPr>
        <w:tabs>
          <w:tab w:val="left" w:pos="288"/>
          <w:tab w:val="left" w:pos="4752"/>
        </w:tabs>
        <w:spacing w:line="240" w:lineRule="exact"/>
        <w:jc w:val="both"/>
        <w:rPr>
          <w:color w:val="auto"/>
          <w:szCs w:val="24"/>
        </w:rPr>
      </w:pPr>
      <w:r>
        <w:rPr>
          <w:color w:val="auto"/>
          <w:szCs w:val="24"/>
        </w:rPr>
        <w:t xml:space="preserve">The continued impaired gait, daily severe pain, weakness, and </w:t>
      </w:r>
      <w:r w:rsidRPr="00170299">
        <w:rPr>
          <w:color w:val="auto"/>
          <w:szCs w:val="24"/>
        </w:rPr>
        <w:t>decreased sensation warrant a determination that the CI’s foot injury is severe, as opposed to moderately severe.</w:t>
      </w:r>
      <w:r w:rsidR="0021039E">
        <w:rPr>
          <w:color w:val="auto"/>
          <w:szCs w:val="24"/>
        </w:rPr>
        <w:t xml:space="preserve"> </w:t>
      </w:r>
      <w:r w:rsidRPr="00170299">
        <w:rPr>
          <w:color w:val="auto"/>
          <w:szCs w:val="24"/>
        </w:rPr>
        <w:t xml:space="preserve"> </w:t>
      </w:r>
      <w:r w:rsidR="00170299" w:rsidRPr="00170299">
        <w:rPr>
          <w:color w:val="auto"/>
          <w:szCs w:val="24"/>
        </w:rPr>
        <w:t xml:space="preserve">The VA also considered the CI’s residuals of the Left Foot </w:t>
      </w:r>
      <w:proofErr w:type="spellStart"/>
      <w:r w:rsidR="00170299" w:rsidRPr="00170299">
        <w:rPr>
          <w:color w:val="auto"/>
          <w:szCs w:val="24"/>
        </w:rPr>
        <w:t>Lisfranc</w:t>
      </w:r>
      <w:proofErr w:type="spellEnd"/>
      <w:r w:rsidR="00170299" w:rsidRPr="00170299">
        <w:rPr>
          <w:color w:val="auto"/>
          <w:szCs w:val="24"/>
        </w:rPr>
        <w:t xml:space="preserve"> Fracture to be severe and applied a 30% rating. </w:t>
      </w:r>
    </w:p>
    <w:p w:rsidR="00170299" w:rsidRPr="00170299" w:rsidRDefault="00170299" w:rsidP="00170299">
      <w:pPr>
        <w:tabs>
          <w:tab w:val="left" w:pos="288"/>
          <w:tab w:val="left" w:pos="4752"/>
        </w:tabs>
        <w:spacing w:line="240" w:lineRule="exact"/>
        <w:jc w:val="both"/>
        <w:rPr>
          <w:color w:val="auto"/>
          <w:szCs w:val="24"/>
        </w:rPr>
      </w:pPr>
    </w:p>
    <w:p w:rsidR="00170299" w:rsidRDefault="00D75CD4" w:rsidP="00170299">
      <w:pPr>
        <w:tabs>
          <w:tab w:val="left" w:pos="288"/>
          <w:tab w:val="left" w:pos="4752"/>
        </w:tabs>
        <w:spacing w:line="240" w:lineRule="exact"/>
        <w:jc w:val="both"/>
        <w:rPr>
          <w:color w:val="auto"/>
          <w:szCs w:val="24"/>
        </w:rPr>
      </w:pPr>
      <w:r>
        <w:rPr>
          <w:color w:val="auto"/>
          <w:szCs w:val="24"/>
        </w:rPr>
        <w:t xml:space="preserve">Although the VA also rated her neurologic impairments and RSD as 8524 at 30%, the Board cannot include RSD as evidence and finds there was insufficient evidence to </w:t>
      </w:r>
      <w:r w:rsidRPr="00170299">
        <w:rPr>
          <w:color w:val="auto"/>
          <w:szCs w:val="24"/>
        </w:rPr>
        <w:t xml:space="preserve">apply a separate rating for peripheral neuropathy. </w:t>
      </w:r>
      <w:r w:rsidR="0021039E">
        <w:rPr>
          <w:color w:val="auto"/>
          <w:szCs w:val="24"/>
        </w:rPr>
        <w:t xml:space="preserve"> </w:t>
      </w:r>
      <w:r w:rsidR="00170299">
        <w:rPr>
          <w:color w:val="auto"/>
          <w:szCs w:val="24"/>
        </w:rPr>
        <w:t xml:space="preserve">The Board considers the neurologic findings to be necessary for the characterization of the foot injury as severe and therefore these same impairments cannot also be used to support a rating for a peripheral neuropathy. </w:t>
      </w:r>
      <w:r w:rsidR="00170299" w:rsidRPr="00170299">
        <w:rPr>
          <w:color w:val="auto"/>
          <w:szCs w:val="24"/>
        </w:rPr>
        <w:t xml:space="preserve">The VA rating also included a 10% rating for </w:t>
      </w:r>
      <w:r w:rsidR="00170299">
        <w:rPr>
          <w:color w:val="auto"/>
          <w:szCs w:val="24"/>
        </w:rPr>
        <w:t xml:space="preserve">the scars on her left foot. </w:t>
      </w:r>
      <w:r w:rsidR="0021039E">
        <w:rPr>
          <w:color w:val="auto"/>
          <w:szCs w:val="24"/>
        </w:rPr>
        <w:t xml:space="preserve"> </w:t>
      </w:r>
      <w:r w:rsidR="00170299">
        <w:rPr>
          <w:color w:val="auto"/>
          <w:szCs w:val="24"/>
        </w:rPr>
        <w:t>However</w:t>
      </w:r>
      <w:r w:rsidR="00170299" w:rsidRPr="00170299">
        <w:rPr>
          <w:color w:val="auto"/>
          <w:szCs w:val="24"/>
        </w:rPr>
        <w:t xml:space="preserve"> there was no evidence </w:t>
      </w:r>
      <w:r w:rsidR="00170299">
        <w:rPr>
          <w:color w:val="auto"/>
          <w:szCs w:val="24"/>
        </w:rPr>
        <w:t>that the scar</w:t>
      </w:r>
      <w:r w:rsidR="00170299" w:rsidRPr="00170299">
        <w:rPr>
          <w:color w:val="auto"/>
          <w:szCs w:val="24"/>
        </w:rPr>
        <w:t xml:space="preserve"> was unfitting</w:t>
      </w:r>
      <w:r w:rsidR="00170299">
        <w:rPr>
          <w:color w:val="auto"/>
          <w:szCs w:val="24"/>
        </w:rPr>
        <w:t xml:space="preserve"> and no rating can be recommended for it.</w:t>
      </w:r>
      <w:r w:rsidR="00170299" w:rsidRPr="00170299">
        <w:rPr>
          <w:color w:val="auto"/>
          <w:szCs w:val="24"/>
        </w:rPr>
        <w:t xml:space="preserve">  </w:t>
      </w:r>
    </w:p>
    <w:p w:rsidR="0021039E" w:rsidRDefault="0021039E">
      <w:pPr>
        <w:rPr>
          <w:color w:val="auto"/>
          <w:szCs w:val="24"/>
        </w:rPr>
      </w:pPr>
      <w:r>
        <w:rPr>
          <w:color w:val="auto"/>
          <w:szCs w:val="24"/>
        </w:rPr>
        <w:br w:type="page"/>
      </w:r>
    </w:p>
    <w:p w:rsidR="00FE61A8" w:rsidRDefault="00FE61A8" w:rsidP="00170299">
      <w:pPr>
        <w:tabs>
          <w:tab w:val="left" w:pos="288"/>
          <w:tab w:val="left" w:pos="4752"/>
        </w:tabs>
        <w:spacing w:line="240" w:lineRule="exact"/>
        <w:jc w:val="both"/>
        <w:rPr>
          <w:color w:val="auto"/>
          <w:szCs w:val="24"/>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888"/>
        <w:gridCol w:w="1291"/>
        <w:gridCol w:w="1734"/>
        <w:gridCol w:w="2135"/>
        <w:gridCol w:w="2134"/>
      </w:tblGrid>
      <w:tr w:rsidR="00FE61A8" w:rsidRPr="00140096" w:rsidTr="00FE61A8">
        <w:tc>
          <w:tcPr>
            <w:tcW w:w="1286"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Movement</w:t>
            </w:r>
          </w:p>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Left Ankle</w:t>
            </w:r>
          </w:p>
        </w:tc>
        <w:tc>
          <w:tcPr>
            <w:tcW w:w="888"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Normal ROM</w:t>
            </w:r>
          </w:p>
          <w:p w:rsidR="00FE61A8" w:rsidRPr="00170299" w:rsidRDefault="00FE61A8" w:rsidP="00FE61A8">
            <w:pPr>
              <w:pStyle w:val="ListParagraph"/>
              <w:spacing w:after="0" w:line="240" w:lineRule="exact"/>
              <w:ind w:left="0"/>
              <w:rPr>
                <w:rFonts w:ascii="Calibri" w:eastAsia="Calibri" w:hAnsi="Calibri" w:cs="Times New Roman"/>
              </w:rPr>
            </w:pPr>
          </w:p>
        </w:tc>
        <w:tc>
          <w:tcPr>
            <w:tcW w:w="1291"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Physical  Therapy 20010801</w:t>
            </w:r>
          </w:p>
        </w:tc>
        <w:tc>
          <w:tcPr>
            <w:tcW w:w="1734" w:type="dxa"/>
          </w:tcPr>
          <w:p w:rsidR="00FE61A8"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 xml:space="preserve">MEB (NARSUM) </w:t>
            </w:r>
          </w:p>
          <w:p w:rsidR="00FE61A8"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May 2002</w:t>
            </w:r>
          </w:p>
          <w:p w:rsidR="00FE61A8" w:rsidRPr="00140096"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(ROM not measured)</w:t>
            </w:r>
          </w:p>
        </w:tc>
        <w:tc>
          <w:tcPr>
            <w:tcW w:w="2135" w:type="dxa"/>
          </w:tcPr>
          <w:p w:rsidR="00FE61A8"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C&amp;P 20020628</w:t>
            </w:r>
          </w:p>
          <w:p w:rsidR="00FE61A8" w:rsidRPr="00140096"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2 months prior to separation</w:t>
            </w:r>
          </w:p>
        </w:tc>
        <w:tc>
          <w:tcPr>
            <w:tcW w:w="2134" w:type="dxa"/>
          </w:tcPr>
          <w:p w:rsidR="00FE61A8"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 xml:space="preserve">C&amp;P 20030529 </w:t>
            </w:r>
          </w:p>
          <w:p w:rsidR="00FE61A8" w:rsidRPr="00140096"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9 months after separation</w:t>
            </w:r>
          </w:p>
        </w:tc>
      </w:tr>
      <w:tr w:rsidR="00FE61A8" w:rsidRPr="00140096" w:rsidTr="00FE61A8">
        <w:tc>
          <w:tcPr>
            <w:tcW w:w="1286"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Dorsiflexion</w:t>
            </w:r>
          </w:p>
        </w:tc>
        <w:tc>
          <w:tcPr>
            <w:tcW w:w="888"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0-20</w:t>
            </w:r>
          </w:p>
        </w:tc>
        <w:tc>
          <w:tcPr>
            <w:tcW w:w="1291"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0</w:t>
            </w:r>
          </w:p>
        </w:tc>
        <w:tc>
          <w:tcPr>
            <w:tcW w:w="1734" w:type="dxa"/>
          </w:tcPr>
          <w:p w:rsidR="00FE61A8" w:rsidRPr="00140096"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NA</w:t>
            </w:r>
          </w:p>
        </w:tc>
        <w:tc>
          <w:tcPr>
            <w:tcW w:w="2135" w:type="dxa"/>
          </w:tcPr>
          <w:p w:rsidR="00FE61A8" w:rsidRPr="00140096"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 xml:space="preserve">30 </w:t>
            </w:r>
            <w:r w:rsidRPr="00985666">
              <w:rPr>
                <w:rFonts w:ascii="Calibri" w:hAnsi="Calibri"/>
                <w:sz w:val="24"/>
                <w:szCs w:val="24"/>
              </w:rPr>
              <w:t>without pain and without weakness</w:t>
            </w:r>
          </w:p>
        </w:tc>
        <w:tc>
          <w:tcPr>
            <w:tcW w:w="2134" w:type="dxa"/>
          </w:tcPr>
          <w:p w:rsidR="00FE61A8" w:rsidRPr="00140096"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2</w:t>
            </w:r>
          </w:p>
        </w:tc>
      </w:tr>
      <w:tr w:rsidR="00FE61A8" w:rsidRPr="00140096" w:rsidTr="00FE61A8">
        <w:tc>
          <w:tcPr>
            <w:tcW w:w="1286"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Plantar Flexion</w:t>
            </w:r>
          </w:p>
        </w:tc>
        <w:tc>
          <w:tcPr>
            <w:tcW w:w="888"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0-45</w:t>
            </w:r>
          </w:p>
        </w:tc>
        <w:tc>
          <w:tcPr>
            <w:tcW w:w="1291" w:type="dxa"/>
          </w:tcPr>
          <w:p w:rsidR="00FE61A8" w:rsidRPr="00170299" w:rsidRDefault="00FE61A8" w:rsidP="00FE61A8">
            <w:pPr>
              <w:pStyle w:val="ListParagraph"/>
              <w:spacing w:after="0" w:line="240" w:lineRule="exact"/>
              <w:ind w:left="0"/>
              <w:rPr>
                <w:rFonts w:ascii="Calibri" w:eastAsia="Calibri" w:hAnsi="Calibri" w:cs="Times New Roman"/>
              </w:rPr>
            </w:pPr>
            <w:r w:rsidRPr="00170299">
              <w:rPr>
                <w:rFonts w:ascii="Calibri" w:eastAsia="Calibri" w:hAnsi="Calibri" w:cs="Times New Roman"/>
              </w:rPr>
              <w:t>50</w:t>
            </w:r>
          </w:p>
        </w:tc>
        <w:tc>
          <w:tcPr>
            <w:tcW w:w="1734" w:type="dxa"/>
          </w:tcPr>
          <w:p w:rsidR="00FE61A8" w:rsidRPr="00FE61A8" w:rsidRDefault="00FE61A8" w:rsidP="00FE61A8">
            <w:pPr>
              <w:pStyle w:val="ListParagraph"/>
              <w:spacing w:after="0" w:line="240" w:lineRule="exact"/>
              <w:ind w:left="0"/>
              <w:rPr>
                <w:rFonts w:ascii="Calibri" w:eastAsia="Calibri" w:hAnsi="Calibri" w:cs="Times New Roman"/>
              </w:rPr>
            </w:pPr>
            <w:r w:rsidRPr="00FE61A8">
              <w:rPr>
                <w:rFonts w:ascii="Calibri" w:eastAsia="Calibri" w:hAnsi="Calibri" w:cs="Times New Roman"/>
              </w:rPr>
              <w:t>NA</w:t>
            </w:r>
          </w:p>
        </w:tc>
        <w:tc>
          <w:tcPr>
            <w:tcW w:w="2135" w:type="dxa"/>
          </w:tcPr>
          <w:p w:rsidR="00FE61A8" w:rsidRPr="00FE61A8" w:rsidRDefault="00FE61A8" w:rsidP="00FE61A8">
            <w:pPr>
              <w:pStyle w:val="ListParagraph"/>
              <w:spacing w:after="0" w:line="240" w:lineRule="exact"/>
              <w:ind w:left="0"/>
              <w:rPr>
                <w:rFonts w:ascii="Calibri" w:eastAsia="Calibri" w:hAnsi="Calibri" w:cs="Times New Roman"/>
              </w:rPr>
            </w:pPr>
            <w:r w:rsidRPr="00FE61A8">
              <w:rPr>
                <w:rFonts w:ascii="Calibri" w:eastAsia="Calibri" w:hAnsi="Calibri" w:cs="Times New Roman"/>
              </w:rPr>
              <w:t xml:space="preserve">45 </w:t>
            </w:r>
            <w:r w:rsidRPr="00FE61A8">
              <w:rPr>
                <w:rFonts w:ascii="Calibri" w:hAnsi="Calibri"/>
                <w:sz w:val="24"/>
                <w:szCs w:val="24"/>
              </w:rPr>
              <w:t>without pain and without weakness</w:t>
            </w:r>
          </w:p>
        </w:tc>
        <w:tc>
          <w:tcPr>
            <w:tcW w:w="2134" w:type="dxa"/>
          </w:tcPr>
          <w:p w:rsidR="00FE61A8" w:rsidRPr="00FE61A8" w:rsidRDefault="00FE61A8" w:rsidP="00FE61A8">
            <w:pPr>
              <w:pStyle w:val="ListParagraph"/>
              <w:spacing w:after="0" w:line="240" w:lineRule="exact"/>
              <w:ind w:left="0"/>
              <w:rPr>
                <w:rFonts w:ascii="Calibri" w:eastAsia="Calibri" w:hAnsi="Calibri" w:cs="Times New Roman"/>
              </w:rPr>
            </w:pPr>
            <w:r w:rsidRPr="00FE61A8">
              <w:rPr>
                <w:rFonts w:ascii="Calibri" w:eastAsia="Calibri" w:hAnsi="Calibri" w:cs="Times New Roman"/>
              </w:rPr>
              <w:t>35</w:t>
            </w:r>
          </w:p>
        </w:tc>
      </w:tr>
      <w:tr w:rsidR="00FE61A8" w:rsidRPr="00D340CE" w:rsidTr="00FE61A8">
        <w:tc>
          <w:tcPr>
            <w:tcW w:w="1286" w:type="dxa"/>
          </w:tcPr>
          <w:p w:rsidR="00FE61A8"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Notes:</w:t>
            </w:r>
          </w:p>
        </w:tc>
        <w:tc>
          <w:tcPr>
            <w:tcW w:w="888" w:type="dxa"/>
          </w:tcPr>
          <w:p w:rsidR="00FE61A8" w:rsidRPr="00140096" w:rsidRDefault="00FE61A8" w:rsidP="00FE61A8">
            <w:pPr>
              <w:pStyle w:val="ListParagraph"/>
              <w:spacing w:after="0" w:line="240" w:lineRule="exact"/>
              <w:ind w:left="0"/>
              <w:rPr>
                <w:rFonts w:ascii="Calibri" w:eastAsia="Calibri" w:hAnsi="Calibri" w:cs="Times New Roman"/>
                <w:b/>
              </w:rPr>
            </w:pPr>
          </w:p>
        </w:tc>
        <w:tc>
          <w:tcPr>
            <w:tcW w:w="1291" w:type="dxa"/>
          </w:tcPr>
          <w:p w:rsidR="00FE61A8" w:rsidRDefault="00FE61A8" w:rsidP="00FE61A8">
            <w:pPr>
              <w:pStyle w:val="ListParagraph"/>
              <w:spacing w:after="0" w:line="240" w:lineRule="exact"/>
              <w:ind w:left="0"/>
              <w:rPr>
                <w:rFonts w:ascii="Calibri" w:eastAsia="Calibri" w:hAnsi="Calibri" w:cs="Times New Roman"/>
              </w:rPr>
            </w:pPr>
            <w:proofErr w:type="spellStart"/>
            <w:r>
              <w:rPr>
                <w:rFonts w:ascii="Calibri" w:eastAsia="Calibri" w:hAnsi="Calibri" w:cs="Times New Roman"/>
              </w:rPr>
              <w:t>Inv</w:t>
            </w:r>
            <w:proofErr w:type="spellEnd"/>
            <w:r>
              <w:rPr>
                <w:rFonts w:ascii="Calibri" w:eastAsia="Calibri" w:hAnsi="Calibri" w:cs="Times New Roman"/>
              </w:rPr>
              <w:t xml:space="preserve"> 30 ev20</w:t>
            </w:r>
          </w:p>
          <w:p w:rsidR="00FE61A8" w:rsidRDefault="00FE61A8" w:rsidP="00FE61A8">
            <w:pPr>
              <w:pStyle w:val="ListParagraph"/>
              <w:spacing w:after="0" w:line="240" w:lineRule="exact"/>
              <w:ind w:left="0"/>
              <w:rPr>
                <w:rFonts w:ascii="Calibri" w:eastAsia="Calibri" w:hAnsi="Calibri" w:cs="Times New Roman"/>
              </w:rPr>
            </w:pPr>
          </w:p>
          <w:p w:rsidR="00FE61A8" w:rsidRDefault="00FE61A8" w:rsidP="00FE61A8">
            <w:pPr>
              <w:pStyle w:val="ListParagraph"/>
              <w:spacing w:after="0" w:line="240" w:lineRule="exact"/>
              <w:ind w:left="0"/>
              <w:rPr>
                <w:rFonts w:ascii="Calibri" w:eastAsia="Calibri" w:hAnsi="Calibri" w:cs="Times New Roman"/>
              </w:rPr>
            </w:pPr>
            <w:r>
              <w:rPr>
                <w:rFonts w:ascii="Calibri" w:eastAsia="Calibri" w:hAnsi="Calibri" w:cs="Times New Roman"/>
              </w:rPr>
              <w:t xml:space="preserve">(Right: 15 </w:t>
            </w:r>
            <w:proofErr w:type="spellStart"/>
            <w:r>
              <w:rPr>
                <w:rFonts w:ascii="Calibri" w:eastAsia="Calibri" w:hAnsi="Calibri" w:cs="Times New Roman"/>
              </w:rPr>
              <w:t>dorsi</w:t>
            </w:r>
            <w:proofErr w:type="spellEnd"/>
            <w:r>
              <w:rPr>
                <w:rFonts w:ascii="Calibri" w:eastAsia="Calibri" w:hAnsi="Calibri" w:cs="Times New Roman"/>
              </w:rPr>
              <w:t xml:space="preserve">, 50 plantar, 35 inv, 25 </w:t>
            </w:r>
            <w:proofErr w:type="spellStart"/>
            <w:r>
              <w:rPr>
                <w:rFonts w:ascii="Calibri" w:eastAsia="Calibri" w:hAnsi="Calibri" w:cs="Times New Roman"/>
              </w:rPr>
              <w:t>ev</w:t>
            </w:r>
            <w:proofErr w:type="spellEnd"/>
            <w:r>
              <w:rPr>
                <w:rFonts w:ascii="Calibri" w:eastAsia="Calibri" w:hAnsi="Calibri" w:cs="Times New Roman"/>
              </w:rPr>
              <w:t>)</w:t>
            </w:r>
          </w:p>
        </w:tc>
        <w:tc>
          <w:tcPr>
            <w:tcW w:w="1734" w:type="dxa"/>
          </w:tcPr>
          <w:p w:rsidR="00FE61A8" w:rsidRPr="00FE61A8" w:rsidRDefault="00FE61A8" w:rsidP="00FE61A8">
            <w:pPr>
              <w:pStyle w:val="ListParagraph"/>
              <w:spacing w:after="0" w:line="240" w:lineRule="exact"/>
              <w:ind w:left="0"/>
              <w:rPr>
                <w:rFonts w:ascii="Calibri" w:eastAsia="Calibri" w:hAnsi="Calibri" w:cs="Times New Roman"/>
              </w:rPr>
            </w:pPr>
            <w:r w:rsidRPr="00FE61A8">
              <w:rPr>
                <w:rFonts w:ascii="Calibri" w:eastAsia="Calibri" w:hAnsi="Calibri" w:cs="Times New Roman"/>
              </w:rPr>
              <w:t xml:space="preserve">Severe antalgic gait secondary to left foot pain; </w:t>
            </w:r>
            <w:r w:rsidRPr="00FE61A8">
              <w:rPr>
                <w:sz w:val="24"/>
                <w:szCs w:val="24"/>
              </w:rPr>
              <w:t>decreased range of</w:t>
            </w:r>
            <w:r w:rsidRPr="00FE61A8">
              <w:rPr>
                <w:szCs w:val="24"/>
              </w:rPr>
              <w:t xml:space="preserve"> </w:t>
            </w:r>
            <w:r w:rsidRPr="00FE61A8">
              <w:rPr>
                <w:sz w:val="24"/>
                <w:szCs w:val="24"/>
              </w:rPr>
              <w:t xml:space="preserve">motion of left ankle joint, </w:t>
            </w:r>
            <w:proofErr w:type="spellStart"/>
            <w:r w:rsidRPr="00FE61A8">
              <w:rPr>
                <w:sz w:val="24"/>
                <w:szCs w:val="24"/>
              </w:rPr>
              <w:t>subtalar</w:t>
            </w:r>
            <w:proofErr w:type="spellEnd"/>
            <w:r w:rsidRPr="00FE61A8">
              <w:rPr>
                <w:sz w:val="24"/>
                <w:szCs w:val="24"/>
              </w:rPr>
              <w:t xml:space="preserve"> joint,</w:t>
            </w:r>
            <w:r w:rsidRPr="00FE61A8">
              <w:rPr>
                <w:szCs w:val="24"/>
              </w:rPr>
              <w:t xml:space="preserve"> </w:t>
            </w:r>
            <w:r w:rsidRPr="00FE61A8">
              <w:rPr>
                <w:sz w:val="24"/>
                <w:szCs w:val="24"/>
              </w:rPr>
              <w:t xml:space="preserve">and </w:t>
            </w:r>
            <w:proofErr w:type="spellStart"/>
            <w:r w:rsidRPr="00FE61A8">
              <w:rPr>
                <w:sz w:val="24"/>
                <w:szCs w:val="24"/>
              </w:rPr>
              <w:t>midtarsal</w:t>
            </w:r>
            <w:proofErr w:type="spellEnd"/>
            <w:r w:rsidRPr="00FE61A8">
              <w:rPr>
                <w:sz w:val="24"/>
                <w:szCs w:val="24"/>
              </w:rPr>
              <w:t xml:space="preserve"> joint secondary to edema and pain, and </w:t>
            </w:r>
            <w:r w:rsidRPr="00FE61A8">
              <w:rPr>
                <w:iCs/>
                <w:sz w:val="24"/>
                <w:szCs w:val="24"/>
              </w:rPr>
              <w:t>+3</w:t>
            </w:r>
            <w:r w:rsidRPr="00FE61A8">
              <w:rPr>
                <w:iCs/>
                <w:szCs w:val="24"/>
              </w:rPr>
              <w:t>/</w:t>
            </w:r>
            <w:r w:rsidRPr="00FE61A8">
              <w:rPr>
                <w:iCs/>
                <w:sz w:val="24"/>
                <w:szCs w:val="24"/>
              </w:rPr>
              <w:t>+4</w:t>
            </w:r>
            <w:r w:rsidRPr="00FE61A8">
              <w:rPr>
                <w:iCs/>
                <w:szCs w:val="24"/>
              </w:rPr>
              <w:t>/</w:t>
            </w:r>
            <w:r w:rsidRPr="00FE61A8">
              <w:rPr>
                <w:iCs/>
                <w:sz w:val="24"/>
                <w:szCs w:val="24"/>
              </w:rPr>
              <w:t xml:space="preserve">5 </w:t>
            </w:r>
            <w:r w:rsidRPr="00FE61A8">
              <w:rPr>
                <w:sz w:val="24"/>
                <w:szCs w:val="24"/>
              </w:rPr>
              <w:t>muscle strength. The pain</w:t>
            </w:r>
            <w:r w:rsidRPr="00FE61A8">
              <w:rPr>
                <w:szCs w:val="24"/>
              </w:rPr>
              <w:t xml:space="preserve"> </w:t>
            </w:r>
            <w:r w:rsidRPr="00FE61A8">
              <w:rPr>
                <w:sz w:val="24"/>
                <w:szCs w:val="24"/>
              </w:rPr>
              <w:t>scale was +9/10 upon range of</w:t>
            </w:r>
            <w:r w:rsidRPr="00FE61A8">
              <w:rPr>
                <w:szCs w:val="24"/>
              </w:rPr>
              <w:t xml:space="preserve"> </w:t>
            </w:r>
            <w:r w:rsidRPr="00FE61A8">
              <w:rPr>
                <w:sz w:val="24"/>
                <w:szCs w:val="24"/>
              </w:rPr>
              <w:t>motion and resistance</w:t>
            </w:r>
          </w:p>
        </w:tc>
        <w:tc>
          <w:tcPr>
            <w:tcW w:w="2135" w:type="dxa"/>
          </w:tcPr>
          <w:p w:rsidR="00FE61A8" w:rsidRPr="00FE61A8" w:rsidRDefault="00FE61A8" w:rsidP="00FE61A8">
            <w:pPr>
              <w:autoSpaceDE w:val="0"/>
              <w:autoSpaceDN w:val="0"/>
              <w:adjustRightInd w:val="0"/>
              <w:spacing w:line="240" w:lineRule="exact"/>
              <w:rPr>
                <w:rFonts w:ascii="Calibri" w:hAnsi="Calibri"/>
                <w:color w:val="auto"/>
                <w:szCs w:val="24"/>
              </w:rPr>
            </w:pPr>
            <w:r w:rsidRPr="00FE61A8">
              <w:rPr>
                <w:rFonts w:ascii="Calibri" w:hAnsi="Calibri"/>
                <w:color w:val="auto"/>
                <w:szCs w:val="24"/>
              </w:rPr>
              <w:t xml:space="preserve">Significant limp; significant swelling on arch of left foot; marked swelling and tenderness over the arch of left foot with pain on any attempt at </w:t>
            </w:r>
            <w:proofErr w:type="spellStart"/>
            <w:r w:rsidRPr="00FE61A8">
              <w:rPr>
                <w:rFonts w:ascii="Calibri" w:hAnsi="Calibri"/>
                <w:color w:val="auto"/>
                <w:szCs w:val="24"/>
              </w:rPr>
              <w:t>tarsometatarsal</w:t>
            </w:r>
            <w:proofErr w:type="spellEnd"/>
            <w:r w:rsidRPr="00FE61A8">
              <w:rPr>
                <w:rFonts w:ascii="Calibri" w:hAnsi="Calibri"/>
                <w:color w:val="auto"/>
                <w:szCs w:val="24"/>
              </w:rPr>
              <w:t xml:space="preserve"> motion. Left second great toe has lost its extensor tendon and has significant droop</w:t>
            </w:r>
          </w:p>
          <w:p w:rsidR="00FE61A8" w:rsidRPr="00FE61A8" w:rsidRDefault="00FE61A8" w:rsidP="00FE61A8">
            <w:pPr>
              <w:autoSpaceDE w:val="0"/>
              <w:autoSpaceDN w:val="0"/>
              <w:adjustRightInd w:val="0"/>
              <w:spacing w:line="240" w:lineRule="exact"/>
              <w:rPr>
                <w:rFonts w:ascii="Calibri" w:hAnsi="Calibri"/>
                <w:color w:val="auto"/>
                <w:szCs w:val="24"/>
              </w:rPr>
            </w:pPr>
          </w:p>
          <w:p w:rsidR="00FE61A8" w:rsidRPr="00FE61A8" w:rsidRDefault="00FE61A8" w:rsidP="00FE61A8">
            <w:pPr>
              <w:autoSpaceDE w:val="0"/>
              <w:autoSpaceDN w:val="0"/>
              <w:adjustRightInd w:val="0"/>
              <w:spacing w:line="240" w:lineRule="exact"/>
              <w:rPr>
                <w:rFonts w:ascii="Calibri" w:hAnsi="Calibri"/>
                <w:color w:val="auto"/>
                <w:szCs w:val="24"/>
              </w:rPr>
            </w:pPr>
            <w:r w:rsidRPr="00FE61A8">
              <w:rPr>
                <w:rFonts w:ascii="Calibri" w:hAnsi="Calibri"/>
                <w:color w:val="auto"/>
                <w:szCs w:val="24"/>
              </w:rPr>
              <w:t>Ankle normal with no swelling and no local tenderness; no laxity is noted on examination of the ligaments of the left ankle</w:t>
            </w:r>
          </w:p>
          <w:p w:rsidR="00FE61A8" w:rsidRPr="00FE61A8" w:rsidRDefault="00FE61A8" w:rsidP="00FE61A8">
            <w:pPr>
              <w:pStyle w:val="ListParagraph"/>
              <w:spacing w:after="0" w:line="240" w:lineRule="exact"/>
              <w:ind w:left="0"/>
              <w:rPr>
                <w:rFonts w:ascii="Calibri" w:eastAsia="Calibri" w:hAnsi="Calibri" w:cs="Times New Roman"/>
              </w:rPr>
            </w:pPr>
          </w:p>
        </w:tc>
        <w:tc>
          <w:tcPr>
            <w:tcW w:w="2134" w:type="dxa"/>
          </w:tcPr>
          <w:p w:rsidR="00FE61A8" w:rsidRPr="00FE61A8" w:rsidRDefault="00FE61A8" w:rsidP="00FE61A8">
            <w:pPr>
              <w:autoSpaceDE w:val="0"/>
              <w:autoSpaceDN w:val="0"/>
              <w:adjustRightInd w:val="0"/>
              <w:spacing w:line="240" w:lineRule="exact"/>
              <w:jc w:val="both"/>
              <w:rPr>
                <w:rFonts w:asciiTheme="minorHAnsi" w:hAnsiTheme="minorHAnsi"/>
                <w:color w:val="auto"/>
                <w:szCs w:val="24"/>
              </w:rPr>
            </w:pPr>
            <w:r w:rsidRPr="00FE61A8">
              <w:rPr>
                <w:rFonts w:asciiTheme="minorHAnsi" w:hAnsiTheme="minorHAnsi"/>
                <w:color w:val="auto"/>
                <w:szCs w:val="24"/>
              </w:rPr>
              <w:t xml:space="preserve">No obvious swelling of her foot at this time; decreased sensation of her toes and distal </w:t>
            </w:r>
            <w:r w:rsidRPr="00FE61A8">
              <w:rPr>
                <w:rFonts w:asciiTheme="minorHAnsi" w:eastAsia="HiddenHorzOCR" w:hAnsiTheme="minorHAnsi" w:cs="HiddenHorzOCR"/>
                <w:color w:val="auto"/>
                <w:szCs w:val="24"/>
              </w:rPr>
              <w:t xml:space="preserve">portion </w:t>
            </w:r>
            <w:r w:rsidRPr="00FE61A8">
              <w:rPr>
                <w:rFonts w:asciiTheme="minorHAnsi" w:hAnsiTheme="minorHAnsi"/>
                <w:color w:val="auto"/>
                <w:szCs w:val="24"/>
              </w:rPr>
              <w:t xml:space="preserve">of her metatarsals; palpable tenderness over the medial and lateral </w:t>
            </w:r>
            <w:proofErr w:type="spellStart"/>
            <w:r w:rsidRPr="00FE61A8">
              <w:rPr>
                <w:rFonts w:asciiTheme="minorHAnsi" w:hAnsiTheme="minorHAnsi"/>
                <w:color w:val="auto"/>
                <w:szCs w:val="24"/>
              </w:rPr>
              <w:t>malleolus</w:t>
            </w:r>
            <w:proofErr w:type="spellEnd"/>
            <w:r w:rsidRPr="00FE61A8">
              <w:rPr>
                <w:rFonts w:asciiTheme="minorHAnsi" w:hAnsiTheme="minorHAnsi"/>
                <w:color w:val="auto"/>
                <w:szCs w:val="24"/>
              </w:rPr>
              <w:t xml:space="preserve"> on the left.</w:t>
            </w:r>
          </w:p>
          <w:p w:rsidR="00FE61A8" w:rsidRPr="00FE61A8" w:rsidRDefault="00FE61A8" w:rsidP="00FE61A8">
            <w:pPr>
              <w:autoSpaceDE w:val="0"/>
              <w:autoSpaceDN w:val="0"/>
              <w:adjustRightInd w:val="0"/>
              <w:spacing w:line="240" w:lineRule="exact"/>
              <w:jc w:val="both"/>
              <w:rPr>
                <w:rFonts w:asciiTheme="minorHAnsi" w:hAnsiTheme="minorHAnsi"/>
                <w:color w:val="auto"/>
                <w:szCs w:val="24"/>
              </w:rPr>
            </w:pPr>
            <w:r w:rsidRPr="00FE61A8">
              <w:rPr>
                <w:rFonts w:asciiTheme="minorHAnsi" w:hAnsiTheme="minorHAnsi"/>
                <w:color w:val="auto"/>
                <w:szCs w:val="24"/>
              </w:rPr>
              <w:t xml:space="preserve">Range of motion of her left ankle is as above and inversion 10 degrees, </w:t>
            </w:r>
            <w:proofErr w:type="spellStart"/>
            <w:r w:rsidRPr="00FE61A8">
              <w:rPr>
                <w:rFonts w:asciiTheme="minorHAnsi" w:hAnsiTheme="minorHAnsi"/>
                <w:color w:val="auto"/>
                <w:szCs w:val="24"/>
              </w:rPr>
              <w:t>eversion</w:t>
            </w:r>
            <w:proofErr w:type="spellEnd"/>
            <w:r w:rsidRPr="00FE61A8">
              <w:rPr>
                <w:rFonts w:asciiTheme="minorHAnsi" w:hAnsiTheme="minorHAnsi"/>
                <w:color w:val="auto"/>
                <w:szCs w:val="24"/>
              </w:rPr>
              <w:t xml:space="preserve"> 10 degrees. Not able to flex the toes on her left foot; can only wiggle her great toe slightly. Normal flexion and extension of the toes on her right foot. Palpable tenderness over the entire dorsum of left foot.</w:t>
            </w:r>
          </w:p>
          <w:p w:rsidR="00FE61A8" w:rsidRPr="00FE61A8" w:rsidRDefault="00FE61A8" w:rsidP="00FE61A8">
            <w:pPr>
              <w:pStyle w:val="ListParagraph"/>
              <w:spacing w:after="0" w:line="240" w:lineRule="exact"/>
              <w:ind w:left="0"/>
              <w:rPr>
                <w:rFonts w:ascii="Calibri" w:eastAsia="Calibri" w:hAnsi="Calibri" w:cs="Times New Roman"/>
              </w:rPr>
            </w:pPr>
          </w:p>
        </w:tc>
      </w:tr>
    </w:tbl>
    <w:p w:rsidR="00FE61A8" w:rsidRPr="00170299" w:rsidRDefault="00FE61A8" w:rsidP="00170299">
      <w:pPr>
        <w:tabs>
          <w:tab w:val="left" w:pos="288"/>
          <w:tab w:val="left" w:pos="4752"/>
        </w:tabs>
        <w:spacing w:line="240" w:lineRule="exact"/>
        <w:jc w:val="both"/>
        <w:rPr>
          <w:color w:val="auto"/>
          <w:szCs w:val="24"/>
        </w:rPr>
      </w:pPr>
    </w:p>
    <w:p w:rsidR="008E2D99" w:rsidRPr="00F6468C" w:rsidRDefault="00F6468C" w:rsidP="00F6468C">
      <w:pPr>
        <w:tabs>
          <w:tab w:val="left" w:pos="288"/>
          <w:tab w:val="left" w:pos="4752"/>
        </w:tabs>
        <w:spacing w:line="240" w:lineRule="exact"/>
        <w:jc w:val="both"/>
        <w:rPr>
          <w:color w:val="auto"/>
          <w:szCs w:val="24"/>
          <w:u w:val="single"/>
        </w:rPr>
      </w:pPr>
      <w:r w:rsidRPr="00F6468C">
        <w:rPr>
          <w:color w:val="auto"/>
          <w:szCs w:val="24"/>
          <w:u w:val="single"/>
        </w:rPr>
        <w:t xml:space="preserve">Other Conditions (Not in the </w:t>
      </w:r>
      <w:r w:rsidR="0021039E">
        <w:rPr>
          <w:color w:val="auto"/>
          <w:szCs w:val="24"/>
          <w:u w:val="single"/>
        </w:rPr>
        <w:t>Disability Evaluation System (DES</w:t>
      </w:r>
    </w:p>
    <w:p w:rsidR="0021039E" w:rsidRDefault="0021039E" w:rsidP="00F6468C">
      <w:pPr>
        <w:tabs>
          <w:tab w:val="left" w:pos="288"/>
          <w:tab w:val="left" w:pos="4752"/>
        </w:tabs>
        <w:spacing w:line="240" w:lineRule="exact"/>
        <w:jc w:val="both"/>
        <w:rPr>
          <w:color w:val="auto"/>
        </w:rPr>
      </w:pPr>
    </w:p>
    <w:p w:rsidR="00F6468C" w:rsidRPr="00F6468C" w:rsidRDefault="00F6468C" w:rsidP="00F6468C">
      <w:pPr>
        <w:tabs>
          <w:tab w:val="left" w:pos="288"/>
          <w:tab w:val="left" w:pos="4752"/>
        </w:tabs>
        <w:spacing w:line="240" w:lineRule="exact"/>
        <w:jc w:val="both"/>
        <w:rPr>
          <w:color w:val="auto"/>
          <w:szCs w:val="24"/>
          <w:u w:val="single"/>
        </w:rPr>
      </w:pPr>
      <w:r w:rsidRPr="00F6468C">
        <w:rPr>
          <w:color w:val="auto"/>
        </w:rPr>
        <w:t>Peripheral Neuropathy and Reflex Sympathetic Dystrophy rated as VASRD 8524; Scars left foot; Left Knee Pain; and Right Foot Condition</w:t>
      </w:r>
      <w:r w:rsidR="0021039E">
        <w:rPr>
          <w:color w:val="auto"/>
        </w:rPr>
        <w:t xml:space="preserve">:  </w:t>
      </w:r>
      <w:r>
        <w:rPr>
          <w:color w:val="auto"/>
        </w:rPr>
        <w:t>None of these conditions are mentioned anywhere in the DES package and are therefore outside the scope of the PDBR.</w:t>
      </w:r>
    </w:p>
    <w:p w:rsidR="00A90D55" w:rsidRPr="00F6468C" w:rsidRDefault="008B5D31" w:rsidP="00F6468C">
      <w:pPr>
        <w:tabs>
          <w:tab w:val="left" w:pos="288"/>
          <w:tab w:val="left" w:pos="4752"/>
        </w:tabs>
        <w:spacing w:line="240" w:lineRule="exact"/>
        <w:jc w:val="both"/>
        <w:rPr>
          <w:color w:val="auto"/>
          <w:szCs w:val="24"/>
        </w:rPr>
      </w:pPr>
      <w:r w:rsidRPr="00F6468C">
        <w:rPr>
          <w:color w:val="auto"/>
          <w:szCs w:val="24"/>
          <w:u w:val="single"/>
        </w:rPr>
        <w:t>_______________________________________________________________</w:t>
      </w:r>
      <w:r w:rsidRPr="00F6468C">
        <w:rPr>
          <w:color w:val="auto"/>
          <w:szCs w:val="24"/>
        </w:rPr>
        <w:t>_</w:t>
      </w:r>
    </w:p>
    <w:p w:rsidR="00A90D55" w:rsidRPr="00F6468C" w:rsidRDefault="00A90D55" w:rsidP="00F6468C">
      <w:pPr>
        <w:tabs>
          <w:tab w:val="left" w:pos="288"/>
          <w:tab w:val="left" w:pos="4752"/>
        </w:tabs>
        <w:spacing w:line="240" w:lineRule="exact"/>
        <w:jc w:val="both"/>
        <w:rPr>
          <w:color w:val="auto"/>
          <w:szCs w:val="24"/>
        </w:rPr>
      </w:pPr>
    </w:p>
    <w:p w:rsidR="00EC0E65" w:rsidRPr="00F6468C" w:rsidRDefault="00FB593A" w:rsidP="00F6468C">
      <w:pPr>
        <w:spacing w:line="240" w:lineRule="exact"/>
        <w:jc w:val="both"/>
        <w:rPr>
          <w:rFonts w:eastAsiaTheme="minorHAnsi"/>
          <w:color w:val="auto"/>
          <w:szCs w:val="24"/>
        </w:rPr>
      </w:pPr>
      <w:r w:rsidRPr="00F6468C">
        <w:rPr>
          <w:color w:val="auto"/>
          <w:szCs w:val="24"/>
          <w:u w:val="single"/>
        </w:rPr>
        <w:lastRenderedPageBreak/>
        <w:t>BOARD FINDINGS</w:t>
      </w:r>
      <w:r w:rsidRPr="00F6468C">
        <w:rPr>
          <w:color w:val="auto"/>
          <w:szCs w:val="24"/>
        </w:rPr>
        <w:t>:</w:t>
      </w:r>
      <w:r w:rsidRPr="00F6468C">
        <w:rPr>
          <w:rFonts w:eastAsiaTheme="minorHAnsi"/>
          <w:color w:val="auto"/>
          <w:szCs w:val="24"/>
        </w:rPr>
        <w:t xml:space="preserve">  IAW DoDI 6040.44, provisions of DoD or Military Department regulations or guidelines relied upon by the PEB will not be considered by the </w:t>
      </w:r>
      <w:r w:rsidR="007165CE" w:rsidRPr="00F6468C">
        <w:rPr>
          <w:rFonts w:eastAsiaTheme="minorHAnsi"/>
          <w:color w:val="auto"/>
          <w:szCs w:val="24"/>
        </w:rPr>
        <w:t>Board</w:t>
      </w:r>
      <w:r w:rsidRPr="00F6468C">
        <w:rPr>
          <w:rFonts w:eastAsiaTheme="minorHAnsi"/>
          <w:color w:val="auto"/>
          <w:szCs w:val="24"/>
        </w:rPr>
        <w:t xml:space="preserve"> to the extent they were inconsistent with the VASRD in effect at the time of the adjudication. </w:t>
      </w:r>
      <w:r w:rsidR="0021039E">
        <w:rPr>
          <w:rFonts w:eastAsiaTheme="minorHAnsi"/>
          <w:color w:val="auto"/>
          <w:szCs w:val="24"/>
        </w:rPr>
        <w:t xml:space="preserve"> </w:t>
      </w:r>
      <w:r w:rsidR="00F6468C">
        <w:rPr>
          <w:rFonts w:eastAsiaTheme="minorHAnsi"/>
          <w:color w:val="auto"/>
          <w:szCs w:val="24"/>
        </w:rPr>
        <w:t xml:space="preserve">After careful consideration of all available information the Board determined by majority </w:t>
      </w:r>
      <w:r w:rsidR="00ED3DB2">
        <w:rPr>
          <w:rFonts w:eastAsiaTheme="minorHAnsi"/>
          <w:color w:val="auto"/>
          <w:szCs w:val="24"/>
        </w:rPr>
        <w:t xml:space="preserve">vote </w:t>
      </w:r>
      <w:r w:rsidR="00F6468C">
        <w:rPr>
          <w:rFonts w:eastAsiaTheme="minorHAnsi"/>
          <w:color w:val="auto"/>
          <w:szCs w:val="24"/>
        </w:rPr>
        <w:t xml:space="preserve">that the CI’s condition is most appropriately rated with a 12-month TDRL rating of 50% applied immediately after her previous separation from service in 2002, followed by a permanent rating of 30% for Left </w:t>
      </w:r>
      <w:proofErr w:type="spellStart"/>
      <w:r w:rsidR="00F6468C">
        <w:rPr>
          <w:rFonts w:eastAsiaTheme="minorHAnsi"/>
          <w:color w:val="auto"/>
          <w:szCs w:val="24"/>
        </w:rPr>
        <w:t>Lisfranc</w:t>
      </w:r>
      <w:proofErr w:type="spellEnd"/>
      <w:r w:rsidR="00F6468C">
        <w:rPr>
          <w:rFonts w:eastAsiaTheme="minorHAnsi"/>
          <w:color w:val="auto"/>
          <w:szCs w:val="24"/>
        </w:rPr>
        <w:t xml:space="preserve"> Fracture, Status Post Left </w:t>
      </w:r>
      <w:proofErr w:type="spellStart"/>
      <w:r w:rsidR="00F6468C">
        <w:rPr>
          <w:rFonts w:eastAsiaTheme="minorHAnsi"/>
          <w:color w:val="auto"/>
          <w:szCs w:val="24"/>
        </w:rPr>
        <w:t>Lisfranc</w:t>
      </w:r>
      <w:proofErr w:type="spellEnd"/>
      <w:r w:rsidR="00F6468C">
        <w:rPr>
          <w:rFonts w:eastAsiaTheme="minorHAnsi"/>
          <w:color w:val="auto"/>
          <w:szCs w:val="24"/>
        </w:rPr>
        <w:t xml:space="preserve"> </w:t>
      </w:r>
      <w:proofErr w:type="spellStart"/>
      <w:r w:rsidR="00F6468C">
        <w:rPr>
          <w:rFonts w:eastAsiaTheme="minorHAnsi"/>
          <w:color w:val="auto"/>
          <w:szCs w:val="24"/>
        </w:rPr>
        <w:t>Arthrodesis</w:t>
      </w:r>
      <w:proofErr w:type="spellEnd"/>
      <w:r w:rsidR="00F6468C">
        <w:rPr>
          <w:rFonts w:eastAsiaTheme="minorHAnsi"/>
          <w:color w:val="auto"/>
          <w:szCs w:val="24"/>
        </w:rPr>
        <w:t>.</w:t>
      </w:r>
    </w:p>
    <w:p w:rsidR="0044203A" w:rsidRPr="00F6468C" w:rsidRDefault="0044203A" w:rsidP="00F6468C">
      <w:pPr>
        <w:spacing w:line="240" w:lineRule="exact"/>
        <w:jc w:val="both"/>
        <w:rPr>
          <w:rFonts w:eastAsiaTheme="minorHAnsi"/>
          <w:color w:val="auto"/>
          <w:szCs w:val="24"/>
        </w:rPr>
      </w:pPr>
    </w:p>
    <w:p w:rsidR="0044203A" w:rsidRDefault="00ED3DB2" w:rsidP="00F6468C">
      <w:pPr>
        <w:spacing w:line="240" w:lineRule="exact"/>
        <w:jc w:val="both"/>
        <w:rPr>
          <w:color w:val="auto"/>
          <w:szCs w:val="24"/>
        </w:rPr>
      </w:pPr>
      <w:r>
        <w:rPr>
          <w:color w:val="auto"/>
        </w:rPr>
        <w:t>The B</w:t>
      </w:r>
      <w:r w:rsidR="00FE61A8">
        <w:rPr>
          <w:color w:val="auto"/>
        </w:rPr>
        <w:t xml:space="preserve">oard unanimously determined the CI’s condition was not stable at the time of separation from service six months after her initial surgery and a rating determination made one year after separation would appropriately represent her permanent level of functional impairment. </w:t>
      </w:r>
      <w:r w:rsidR="0021039E">
        <w:rPr>
          <w:color w:val="auto"/>
        </w:rPr>
        <w:t xml:space="preserve"> </w:t>
      </w:r>
      <w:r w:rsidR="00FE61A8">
        <w:rPr>
          <w:color w:val="auto"/>
        </w:rPr>
        <w:t xml:space="preserve">A majority of the Board determined the CI’s condition after one year on TDRL is appropriately considered severe based on the presence of </w:t>
      </w:r>
      <w:r w:rsidR="00FE61A8">
        <w:rPr>
          <w:color w:val="auto"/>
          <w:szCs w:val="24"/>
        </w:rPr>
        <w:t xml:space="preserve">continued impaired gait, daily severe pain, weakness, and </w:t>
      </w:r>
      <w:r w:rsidR="00FE61A8" w:rsidRPr="00170299">
        <w:rPr>
          <w:color w:val="auto"/>
          <w:szCs w:val="24"/>
        </w:rPr>
        <w:t>decreased sensation</w:t>
      </w:r>
      <w:r w:rsidR="00FE61A8">
        <w:rPr>
          <w:color w:val="auto"/>
          <w:szCs w:val="24"/>
        </w:rPr>
        <w:t>.</w:t>
      </w:r>
    </w:p>
    <w:p w:rsidR="00FE61A8" w:rsidRDefault="00FE61A8" w:rsidP="00F6468C">
      <w:pPr>
        <w:spacing w:line="240" w:lineRule="exact"/>
        <w:jc w:val="both"/>
        <w:rPr>
          <w:color w:val="auto"/>
          <w:szCs w:val="24"/>
        </w:rPr>
      </w:pPr>
    </w:p>
    <w:p w:rsidR="00FE61A8" w:rsidRPr="00F6468C" w:rsidRDefault="00FE61A8" w:rsidP="00FE61A8">
      <w:pPr>
        <w:spacing w:line="240" w:lineRule="exact"/>
        <w:jc w:val="both"/>
        <w:rPr>
          <w:color w:val="auto"/>
          <w:szCs w:val="24"/>
        </w:rPr>
      </w:pPr>
      <w:r w:rsidRPr="00F6468C">
        <w:rPr>
          <w:rFonts w:eastAsiaTheme="minorHAnsi"/>
          <w:color w:val="auto"/>
          <w:szCs w:val="24"/>
        </w:rPr>
        <w:t xml:space="preserve">The single voter for dissent </w:t>
      </w:r>
      <w:r w:rsidR="00ED3DB2">
        <w:rPr>
          <w:rFonts w:eastAsiaTheme="minorHAnsi"/>
          <w:color w:val="auto"/>
          <w:szCs w:val="24"/>
        </w:rPr>
        <w:t xml:space="preserve">elected not to submit a minority opinion, </w:t>
      </w:r>
      <w:r>
        <w:rPr>
          <w:rFonts w:eastAsiaTheme="minorHAnsi"/>
          <w:color w:val="auto"/>
          <w:szCs w:val="24"/>
        </w:rPr>
        <w:t xml:space="preserve">concurred with the 12-month TDRL rating of 50% but </w:t>
      </w:r>
      <w:r w:rsidR="00FE3A1B">
        <w:rPr>
          <w:rFonts w:eastAsiaTheme="minorHAnsi"/>
          <w:color w:val="auto"/>
          <w:szCs w:val="24"/>
        </w:rPr>
        <w:t xml:space="preserve">felt that </w:t>
      </w:r>
      <w:r w:rsidR="00186CE2">
        <w:rPr>
          <w:rFonts w:eastAsiaTheme="minorHAnsi" w:hAnsiTheme="minorHAnsi"/>
          <w:color w:val="auto"/>
          <w:szCs w:val="24"/>
        </w:rPr>
        <w:t>‘</w:t>
      </w:r>
      <w:r w:rsidR="00FE3A1B" w:rsidRPr="00186CE2">
        <w:rPr>
          <w:rFonts w:eastAsiaTheme="minorHAnsi"/>
          <w:color w:val="auto"/>
          <w:szCs w:val="24"/>
        </w:rPr>
        <w:t>Moderately severe</w:t>
      </w:r>
      <w:r w:rsidR="00186CE2">
        <w:rPr>
          <w:rFonts w:eastAsiaTheme="minorHAnsi" w:hAnsiTheme="minorHAnsi"/>
          <w:color w:val="auto"/>
          <w:szCs w:val="24"/>
        </w:rPr>
        <w:t>’</w:t>
      </w:r>
      <w:r w:rsidR="00634AD8" w:rsidRPr="00186CE2">
        <w:rPr>
          <w:rFonts w:eastAsiaTheme="minorHAnsi"/>
          <w:color w:val="auto"/>
          <w:szCs w:val="24"/>
        </w:rPr>
        <w:t xml:space="preserve"> was</w:t>
      </w:r>
      <w:r w:rsidR="00FE3A1B">
        <w:rPr>
          <w:rFonts w:eastAsiaTheme="minorHAnsi"/>
          <w:color w:val="auto"/>
          <w:szCs w:val="24"/>
        </w:rPr>
        <w:t xml:space="preserve"> a </w:t>
      </w:r>
      <w:r w:rsidR="00186CE2">
        <w:rPr>
          <w:rFonts w:eastAsiaTheme="minorHAnsi"/>
          <w:color w:val="auto"/>
          <w:szCs w:val="24"/>
        </w:rPr>
        <w:t>more appropriate</w:t>
      </w:r>
      <w:r w:rsidR="00FE3A1B">
        <w:rPr>
          <w:rFonts w:eastAsiaTheme="minorHAnsi"/>
          <w:color w:val="auto"/>
          <w:szCs w:val="24"/>
        </w:rPr>
        <w:t xml:space="preserve"> representation of the disability picture at </w:t>
      </w:r>
      <w:r w:rsidR="00186CE2">
        <w:rPr>
          <w:rFonts w:eastAsiaTheme="minorHAnsi"/>
          <w:color w:val="auto"/>
          <w:szCs w:val="24"/>
        </w:rPr>
        <w:t xml:space="preserve">twelve </w:t>
      </w:r>
      <w:r w:rsidR="00FE3A1B">
        <w:rPr>
          <w:rFonts w:eastAsiaTheme="minorHAnsi"/>
          <w:color w:val="auto"/>
          <w:szCs w:val="24"/>
        </w:rPr>
        <w:t xml:space="preserve">months, and </w:t>
      </w:r>
      <w:r w:rsidRPr="00F6468C">
        <w:rPr>
          <w:rFonts w:eastAsiaTheme="minorHAnsi"/>
          <w:color w:val="auto"/>
          <w:szCs w:val="24"/>
        </w:rPr>
        <w:t xml:space="preserve">recommended </w:t>
      </w:r>
      <w:r>
        <w:rPr>
          <w:rFonts w:eastAsiaTheme="minorHAnsi"/>
          <w:color w:val="auto"/>
          <w:szCs w:val="24"/>
        </w:rPr>
        <w:t xml:space="preserve">a permanent rating of 5284 at </w:t>
      </w:r>
      <w:r w:rsidR="00186CE2">
        <w:rPr>
          <w:rFonts w:eastAsiaTheme="minorHAnsi"/>
          <w:color w:val="auto"/>
          <w:szCs w:val="24"/>
        </w:rPr>
        <w:t>20%</w:t>
      </w:r>
      <w:r w:rsidR="00FE3A1B">
        <w:rPr>
          <w:rFonts w:eastAsiaTheme="minorHAnsi"/>
          <w:color w:val="auto"/>
          <w:szCs w:val="24"/>
        </w:rPr>
        <w:t>.</w:t>
      </w:r>
      <w:r w:rsidRPr="00F6468C">
        <w:rPr>
          <w:rFonts w:eastAsiaTheme="minorHAnsi"/>
          <w:color w:val="auto"/>
          <w:szCs w:val="24"/>
        </w:rPr>
        <w:t xml:space="preserve"> </w:t>
      </w:r>
    </w:p>
    <w:p w:rsidR="00E57A89" w:rsidRPr="00F6468C" w:rsidRDefault="00E57A89" w:rsidP="00F6468C">
      <w:pPr>
        <w:spacing w:line="240" w:lineRule="exact"/>
        <w:jc w:val="both"/>
        <w:rPr>
          <w:rFonts w:eastAsiaTheme="minorHAnsi"/>
          <w:color w:val="auto"/>
          <w:szCs w:val="24"/>
        </w:rPr>
      </w:pPr>
    </w:p>
    <w:p w:rsidR="001E5815" w:rsidRPr="00F6468C" w:rsidRDefault="001E5815" w:rsidP="00F6468C">
      <w:pPr>
        <w:tabs>
          <w:tab w:val="left" w:pos="288"/>
          <w:tab w:val="left" w:pos="4752"/>
        </w:tabs>
        <w:spacing w:line="240" w:lineRule="exact"/>
        <w:jc w:val="both"/>
        <w:rPr>
          <w:color w:val="auto"/>
        </w:rPr>
      </w:pPr>
      <w:r w:rsidRPr="00F6468C">
        <w:rPr>
          <w:color w:val="auto"/>
        </w:rPr>
        <w:t xml:space="preserve">The other diagnoses, rated by the VA </w:t>
      </w:r>
      <w:r w:rsidR="0044203A" w:rsidRPr="00F6468C">
        <w:rPr>
          <w:color w:val="auto"/>
        </w:rPr>
        <w:t xml:space="preserve">(Peripheral Neuropathy and Reflex Sympathetic Dystrophy rated as VASRD 8524; Scars left foot; Left Knee Pain; and Right Foot Condition) </w:t>
      </w:r>
      <w:r w:rsidRPr="00F6468C">
        <w:rPr>
          <w:color w:val="auto"/>
        </w:rPr>
        <w:t xml:space="preserve">were </w:t>
      </w:r>
      <w:r w:rsidRPr="00F6468C">
        <w:rPr>
          <w:color w:val="auto"/>
          <w:szCs w:val="24"/>
        </w:rPr>
        <w:t xml:space="preserve">not mentioned in the Disability Evaluation System package and </w:t>
      </w:r>
      <w:r w:rsidRPr="00F6468C">
        <w:rPr>
          <w:color w:val="auto"/>
        </w:rPr>
        <w:t xml:space="preserve">are therefore outside the scope of the Board. </w:t>
      </w:r>
      <w:r w:rsidR="0021039E">
        <w:rPr>
          <w:color w:val="auto"/>
        </w:rPr>
        <w:t xml:space="preserve"> </w:t>
      </w:r>
      <w:r w:rsidRPr="00F6468C">
        <w:rPr>
          <w:color w:val="auto"/>
        </w:rPr>
        <w:t>The CI retains the right to request her service Board of Correction for Naval Records (BCNR) to consider adding these conditions as unfitting.</w:t>
      </w:r>
    </w:p>
    <w:p w:rsidR="00FB593A" w:rsidRPr="00F6468C" w:rsidRDefault="008B5D31" w:rsidP="00D12276">
      <w:pPr>
        <w:tabs>
          <w:tab w:val="left" w:pos="288"/>
          <w:tab w:val="left" w:pos="4752"/>
        </w:tabs>
        <w:spacing w:line="240" w:lineRule="exact"/>
        <w:jc w:val="both"/>
        <w:rPr>
          <w:color w:val="auto"/>
          <w:szCs w:val="24"/>
        </w:rPr>
      </w:pPr>
      <w:r w:rsidRPr="00F6468C">
        <w:rPr>
          <w:color w:val="auto"/>
          <w:szCs w:val="24"/>
          <w:u w:val="single"/>
        </w:rPr>
        <w:t>_______________________________________________</w:t>
      </w:r>
      <w:r w:rsidR="003F0E98" w:rsidRPr="00F6468C">
        <w:rPr>
          <w:color w:val="auto"/>
          <w:szCs w:val="24"/>
          <w:u w:val="single"/>
        </w:rPr>
        <w:t>______</w:t>
      </w:r>
      <w:r w:rsidRPr="00F6468C">
        <w:rPr>
          <w:color w:val="auto"/>
          <w:szCs w:val="24"/>
          <w:u w:val="single"/>
        </w:rPr>
        <w:t>__________</w:t>
      </w:r>
      <w:r w:rsidRPr="00F6468C">
        <w:rPr>
          <w:color w:val="auto"/>
          <w:szCs w:val="24"/>
        </w:rPr>
        <w:t>_</w:t>
      </w:r>
    </w:p>
    <w:p w:rsidR="00FB593A" w:rsidRPr="00F6468C" w:rsidRDefault="00FB593A" w:rsidP="00D12276">
      <w:pPr>
        <w:tabs>
          <w:tab w:val="left" w:pos="288"/>
          <w:tab w:val="left" w:pos="4752"/>
        </w:tabs>
        <w:spacing w:line="240" w:lineRule="exact"/>
        <w:jc w:val="both"/>
        <w:rPr>
          <w:color w:val="auto"/>
          <w:szCs w:val="24"/>
        </w:rPr>
      </w:pPr>
    </w:p>
    <w:p w:rsidR="00FB593A" w:rsidRPr="003F0E98" w:rsidRDefault="00FB593A" w:rsidP="003F0E98">
      <w:pPr>
        <w:pStyle w:val="HTMLPreformatted"/>
        <w:spacing w:line="240" w:lineRule="exact"/>
        <w:jc w:val="both"/>
        <w:rPr>
          <w:rFonts w:ascii="Courier" w:hAnsi="Courier"/>
          <w:szCs w:val="24"/>
        </w:rPr>
      </w:pPr>
      <w:r w:rsidRPr="003F0E98">
        <w:rPr>
          <w:rFonts w:ascii="Courier" w:hAnsi="Courier"/>
          <w:sz w:val="24"/>
          <w:szCs w:val="24"/>
          <w:u w:val="single"/>
        </w:rPr>
        <w:t>RECOMMENDATION</w:t>
      </w:r>
      <w:r w:rsidRPr="003F0E98">
        <w:rPr>
          <w:rFonts w:ascii="Courier" w:hAnsi="Courier"/>
          <w:sz w:val="24"/>
          <w:szCs w:val="24"/>
        </w:rPr>
        <w:t xml:space="preserve">: </w:t>
      </w:r>
      <w:r w:rsidR="003F0E98" w:rsidRPr="003F0E98">
        <w:rPr>
          <w:rFonts w:ascii="Courier" w:hAnsi="Courier"/>
          <w:sz w:val="24"/>
          <w:szCs w:val="24"/>
        </w:rPr>
        <w:t>The Board recommends that the CI</w:t>
      </w:r>
      <w:r w:rsidR="003F0E98" w:rsidRPr="003F0E98">
        <w:rPr>
          <w:rFonts w:ascii="Courier" w:hAnsiTheme="minorHAnsi"/>
          <w:sz w:val="24"/>
          <w:szCs w:val="24"/>
        </w:rPr>
        <w:t>’</w:t>
      </w:r>
      <w:r w:rsidR="003F0E98" w:rsidRPr="003F0E98">
        <w:rPr>
          <w:rFonts w:ascii="Courier" w:hAnsi="Courier"/>
          <w:sz w:val="24"/>
          <w:szCs w:val="24"/>
        </w:rPr>
        <w:t xml:space="preserve">s prior determination be modified as follows; TDRL at 50% for </w:t>
      </w:r>
      <w:r w:rsidR="0044203A">
        <w:rPr>
          <w:rFonts w:ascii="Courier" w:hAnsi="Courier"/>
          <w:sz w:val="24"/>
          <w:szCs w:val="24"/>
        </w:rPr>
        <w:t>12</w:t>
      </w:r>
      <w:r w:rsidR="003F0E98" w:rsidRPr="003F0E98">
        <w:rPr>
          <w:rFonts w:ascii="Courier" w:hAnsi="Courier"/>
          <w:sz w:val="24"/>
          <w:szCs w:val="24"/>
        </w:rPr>
        <w:t xml:space="preserve"> months </w:t>
      </w:r>
      <w:r w:rsidR="00FE61A8">
        <w:rPr>
          <w:rFonts w:ascii="Courier" w:hAnsi="Courier"/>
          <w:sz w:val="24"/>
          <w:szCs w:val="24"/>
        </w:rPr>
        <w:t xml:space="preserve">immediately </w:t>
      </w:r>
      <w:r w:rsidR="003F0E98" w:rsidRPr="003F0E98">
        <w:rPr>
          <w:rFonts w:ascii="Courier" w:hAnsi="Courier"/>
          <w:sz w:val="24"/>
          <w:szCs w:val="24"/>
        </w:rPr>
        <w:t xml:space="preserve">following </w:t>
      </w:r>
      <w:r w:rsidR="0044203A">
        <w:rPr>
          <w:rFonts w:ascii="Courier" w:hAnsi="Courier"/>
          <w:sz w:val="24"/>
          <w:szCs w:val="24"/>
        </w:rPr>
        <w:t xml:space="preserve">the </w:t>
      </w:r>
      <w:r w:rsidR="003F0E98" w:rsidRPr="003F0E98">
        <w:rPr>
          <w:rFonts w:ascii="Courier" w:hAnsi="Courier"/>
          <w:sz w:val="24"/>
          <w:szCs w:val="24"/>
        </w:rPr>
        <w:t>CI</w:t>
      </w:r>
      <w:r w:rsidR="003F0E98" w:rsidRPr="003F0E98">
        <w:rPr>
          <w:rFonts w:ascii="Courier" w:hAnsiTheme="minorHAnsi"/>
          <w:sz w:val="24"/>
          <w:szCs w:val="24"/>
        </w:rPr>
        <w:t>’</w:t>
      </w:r>
      <w:r w:rsidR="0044203A">
        <w:rPr>
          <w:rFonts w:ascii="Courier" w:hAnsi="Courier"/>
          <w:sz w:val="24"/>
          <w:szCs w:val="24"/>
        </w:rPr>
        <w:t>s prior medical separation (</w:t>
      </w:r>
      <w:proofErr w:type="spellStart"/>
      <w:r w:rsidR="003F0E98" w:rsidRPr="003F0E98">
        <w:rPr>
          <w:rFonts w:ascii="Courier" w:hAnsi="Courier"/>
          <w:sz w:val="24"/>
          <w:szCs w:val="24"/>
        </w:rPr>
        <w:t>Prestabilization</w:t>
      </w:r>
      <w:proofErr w:type="spellEnd"/>
      <w:r w:rsidR="003F0E98" w:rsidRPr="003F0E98">
        <w:rPr>
          <w:rFonts w:ascii="Courier" w:hAnsi="Courier"/>
          <w:sz w:val="24"/>
          <w:szCs w:val="24"/>
        </w:rPr>
        <w:t xml:space="preserve"> rating of 50% for Unhealed or incompletely heale</w:t>
      </w:r>
      <w:r w:rsidR="0044203A">
        <w:rPr>
          <w:rFonts w:ascii="Courier" w:hAnsi="Courier"/>
          <w:sz w:val="24"/>
          <w:szCs w:val="24"/>
        </w:rPr>
        <w:t>d wounds or injuries--</w:t>
      </w:r>
      <w:r w:rsidR="003F0E98" w:rsidRPr="003F0E98">
        <w:rPr>
          <w:rFonts w:ascii="Courier" w:hAnsi="Courier"/>
          <w:sz w:val="24"/>
          <w:szCs w:val="24"/>
        </w:rPr>
        <w:t xml:space="preserve">Material impairment of employability likely </w:t>
      </w:r>
      <w:r w:rsidR="0044203A">
        <w:rPr>
          <w:rFonts w:ascii="Courier" w:hAnsi="Courier"/>
          <w:sz w:val="24"/>
          <w:szCs w:val="24"/>
        </w:rPr>
        <w:t>as required by</w:t>
      </w:r>
      <w:r w:rsidR="003F0E98" w:rsidRPr="003F0E98">
        <w:rPr>
          <w:rFonts w:ascii="Courier" w:hAnsi="Courier"/>
          <w:sz w:val="24"/>
          <w:szCs w:val="24"/>
        </w:rPr>
        <w:t xml:space="preserve"> VASRD</w:t>
      </w:r>
      <w:r w:rsidR="00FE61A8">
        <w:rPr>
          <w:rFonts w:ascii="Courier" w:hAnsi="Courier"/>
          <w:sz w:val="24"/>
          <w:szCs w:val="24"/>
        </w:rPr>
        <w:t xml:space="preserve"> (2002)</w:t>
      </w:r>
      <w:r w:rsidR="003F0E98" w:rsidRPr="003F0E98">
        <w:rPr>
          <w:rFonts w:ascii="Courier" w:hAnsi="Courier"/>
          <w:sz w:val="24"/>
          <w:szCs w:val="24"/>
        </w:rPr>
        <w:t xml:space="preserve"> </w:t>
      </w:r>
      <w:r w:rsidR="003F0E98" w:rsidRPr="003F0E98">
        <w:rPr>
          <w:rFonts w:ascii="Times New Roman" w:hAnsi="Times New Roman" w:cs="Times New Roman"/>
          <w:sz w:val="24"/>
          <w:szCs w:val="24"/>
        </w:rPr>
        <w:t>§</w:t>
      </w:r>
      <w:r w:rsidR="003F0E98" w:rsidRPr="003F0E98">
        <w:rPr>
          <w:rFonts w:ascii="Courier" w:hAnsiTheme="minorHAnsi"/>
          <w:sz w:val="24"/>
          <w:szCs w:val="24"/>
        </w:rPr>
        <w:t>4.28</w:t>
      </w:r>
      <w:r w:rsidR="0044203A">
        <w:rPr>
          <w:rFonts w:ascii="Courier" w:hAnsiTheme="minorHAnsi"/>
          <w:sz w:val="24"/>
          <w:szCs w:val="24"/>
        </w:rPr>
        <w:t>)</w:t>
      </w:r>
      <w:r w:rsidR="0044203A">
        <w:rPr>
          <w:rFonts w:ascii="Courier" w:hAnsi="Courier"/>
          <w:sz w:val="24"/>
          <w:szCs w:val="24"/>
        </w:rPr>
        <w:t xml:space="preserve"> </w:t>
      </w:r>
      <w:r w:rsidR="003F0E98" w:rsidRPr="003F0E98">
        <w:rPr>
          <w:rFonts w:ascii="Courier" w:hAnsi="Courier"/>
          <w:sz w:val="24"/>
          <w:szCs w:val="24"/>
        </w:rPr>
        <w:t xml:space="preserve">and then a permanent combined </w:t>
      </w:r>
      <w:r w:rsidR="003F0E98">
        <w:rPr>
          <w:rFonts w:ascii="Courier" w:hAnsi="Courier"/>
          <w:sz w:val="24"/>
          <w:szCs w:val="24"/>
        </w:rPr>
        <w:t>30</w:t>
      </w:r>
      <w:r w:rsidR="003F0E98" w:rsidRPr="003F0E98">
        <w:rPr>
          <w:rFonts w:ascii="Courier" w:hAnsi="Courier"/>
          <w:sz w:val="24"/>
          <w:szCs w:val="24"/>
        </w:rPr>
        <w:t>% disability retirement as below.</w:t>
      </w:r>
    </w:p>
    <w:p w:rsidR="00A61B87" w:rsidRPr="003F0E98" w:rsidRDefault="00A61B87" w:rsidP="00D12276">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0"/>
        <w:gridCol w:w="1440"/>
        <w:gridCol w:w="2250"/>
        <w:gridCol w:w="1530"/>
      </w:tblGrid>
      <w:tr w:rsidR="00A61B87" w:rsidRPr="003F0E98" w:rsidTr="0044203A">
        <w:tc>
          <w:tcPr>
            <w:tcW w:w="40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61B87" w:rsidRPr="003F0E98" w:rsidRDefault="00A61B87" w:rsidP="003F0E98">
            <w:pPr>
              <w:tabs>
                <w:tab w:val="left" w:pos="288"/>
                <w:tab w:val="left" w:pos="4752"/>
              </w:tabs>
              <w:spacing w:line="240" w:lineRule="exact"/>
              <w:rPr>
                <w:b/>
                <w:color w:val="auto"/>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61B87" w:rsidRPr="003F0E98" w:rsidRDefault="00A61B87" w:rsidP="003F0E98">
            <w:pPr>
              <w:tabs>
                <w:tab w:val="left" w:pos="288"/>
                <w:tab w:val="left" w:pos="4752"/>
              </w:tabs>
              <w:spacing w:line="240" w:lineRule="exact"/>
              <w:jc w:val="center"/>
              <w:rPr>
                <w:b/>
                <w:color w:val="auto"/>
                <w:szCs w:val="24"/>
              </w:rPr>
            </w:pPr>
            <w:r w:rsidRPr="003F0E98">
              <w:rPr>
                <w:b/>
                <w:color w:val="auto"/>
                <w:szCs w:val="24"/>
              </w:rPr>
              <w:t>VASRD CODE</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61B87" w:rsidRPr="003F0E98" w:rsidRDefault="00A61B87" w:rsidP="0044203A">
            <w:pPr>
              <w:tabs>
                <w:tab w:val="left" w:pos="288"/>
                <w:tab w:val="left" w:pos="4752"/>
              </w:tabs>
              <w:spacing w:line="240" w:lineRule="exact"/>
              <w:jc w:val="center"/>
              <w:rPr>
                <w:b/>
                <w:color w:val="auto"/>
                <w:szCs w:val="24"/>
              </w:rPr>
            </w:pPr>
            <w:r w:rsidRPr="003F0E98">
              <w:rPr>
                <w:b/>
                <w:color w:val="auto"/>
                <w:szCs w:val="24"/>
              </w:rPr>
              <w:t>TDRL</w:t>
            </w:r>
            <w:r w:rsidR="0044203A">
              <w:rPr>
                <w:b/>
                <w:color w:val="auto"/>
                <w:szCs w:val="24"/>
              </w:rPr>
              <w:t xml:space="preserve"> (</w:t>
            </w:r>
            <w:r w:rsidR="003F0E98" w:rsidRPr="003F0E98">
              <w:rPr>
                <w:b/>
                <w:color w:val="auto"/>
                <w:szCs w:val="24"/>
              </w:rPr>
              <w:t>PRE- STABILIZATION</w:t>
            </w:r>
            <w:r w:rsidR="0044203A">
              <w:rPr>
                <w:b/>
                <w:color w:val="auto"/>
                <w:szCs w:val="24"/>
              </w:rPr>
              <w:t>)</w:t>
            </w:r>
            <w:r w:rsidR="003F0E98" w:rsidRPr="003F0E98">
              <w:rPr>
                <w:b/>
                <w:color w:val="auto"/>
                <w:szCs w:val="24"/>
              </w:rPr>
              <w:t xml:space="preserve"> </w:t>
            </w:r>
            <w:r w:rsidRPr="003F0E98">
              <w:rPr>
                <w:b/>
                <w:color w:val="auto"/>
                <w:szCs w:val="24"/>
              </w:rPr>
              <w:t>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61B87" w:rsidRPr="003F0E98" w:rsidRDefault="00A61B87" w:rsidP="003F0E98">
            <w:pPr>
              <w:tabs>
                <w:tab w:val="left" w:pos="288"/>
                <w:tab w:val="left" w:pos="4752"/>
              </w:tabs>
              <w:spacing w:line="240" w:lineRule="exact"/>
              <w:jc w:val="center"/>
              <w:rPr>
                <w:b/>
                <w:color w:val="auto"/>
                <w:szCs w:val="24"/>
              </w:rPr>
            </w:pPr>
            <w:r w:rsidRPr="003F0E98">
              <w:rPr>
                <w:b/>
                <w:color w:val="auto"/>
                <w:szCs w:val="24"/>
              </w:rPr>
              <w:t>PERMANENT</w:t>
            </w:r>
          </w:p>
          <w:p w:rsidR="00A61B87" w:rsidRPr="003F0E98" w:rsidRDefault="00A61B87" w:rsidP="003F0E98">
            <w:pPr>
              <w:tabs>
                <w:tab w:val="left" w:pos="288"/>
                <w:tab w:val="left" w:pos="4752"/>
              </w:tabs>
              <w:spacing w:line="240" w:lineRule="exact"/>
              <w:jc w:val="center"/>
              <w:rPr>
                <w:b/>
                <w:color w:val="auto"/>
                <w:szCs w:val="24"/>
              </w:rPr>
            </w:pPr>
            <w:r w:rsidRPr="003F0E98">
              <w:rPr>
                <w:b/>
                <w:color w:val="auto"/>
                <w:szCs w:val="24"/>
              </w:rPr>
              <w:t>RATING</w:t>
            </w:r>
          </w:p>
        </w:tc>
      </w:tr>
      <w:tr w:rsidR="00A61B87" w:rsidRPr="003F0E98" w:rsidTr="0044203A">
        <w:trPr>
          <w:trHeight w:val="305"/>
        </w:trPr>
        <w:tc>
          <w:tcPr>
            <w:tcW w:w="4050" w:type="dxa"/>
            <w:tcBorders>
              <w:top w:val="single" w:sz="4" w:space="0" w:color="000000"/>
              <w:left w:val="single" w:sz="4" w:space="0" w:color="000000"/>
              <w:bottom w:val="single" w:sz="4" w:space="0" w:color="000000"/>
              <w:right w:val="single" w:sz="4" w:space="0" w:color="000000"/>
            </w:tcBorders>
            <w:hideMark/>
          </w:tcPr>
          <w:p w:rsidR="00A61B87" w:rsidRPr="003F0E98" w:rsidRDefault="003F0E98">
            <w:pPr>
              <w:tabs>
                <w:tab w:val="left" w:pos="288"/>
                <w:tab w:val="left" w:pos="4752"/>
              </w:tabs>
              <w:spacing w:line="240" w:lineRule="exact"/>
              <w:rPr>
                <w:color w:val="auto"/>
                <w:szCs w:val="24"/>
              </w:rPr>
            </w:pPr>
            <w:r w:rsidRPr="003F0E98">
              <w:rPr>
                <w:color w:val="auto"/>
                <w:szCs w:val="24"/>
              </w:rPr>
              <w:t xml:space="preserve">Left </w:t>
            </w:r>
            <w:proofErr w:type="spellStart"/>
            <w:r w:rsidRPr="003F0E98">
              <w:rPr>
                <w:color w:val="auto"/>
                <w:szCs w:val="24"/>
              </w:rPr>
              <w:t>Lisfranc</w:t>
            </w:r>
            <w:proofErr w:type="spellEnd"/>
            <w:r w:rsidRPr="003F0E98">
              <w:rPr>
                <w:color w:val="auto"/>
                <w:szCs w:val="24"/>
              </w:rPr>
              <w:t xml:space="preserve"> Fracture, </w:t>
            </w:r>
            <w:r w:rsidRPr="003F0E98">
              <w:rPr>
                <w:rFonts w:eastAsiaTheme="minorEastAsia"/>
                <w:color w:val="auto"/>
                <w:szCs w:val="24"/>
              </w:rPr>
              <w:t xml:space="preserve">Status Post Left </w:t>
            </w:r>
            <w:proofErr w:type="spellStart"/>
            <w:r w:rsidRPr="003F0E98">
              <w:rPr>
                <w:rFonts w:eastAsiaTheme="minorEastAsia"/>
                <w:color w:val="auto"/>
                <w:szCs w:val="24"/>
              </w:rPr>
              <w:t>Lisfranc</w:t>
            </w:r>
            <w:proofErr w:type="spellEnd"/>
            <w:r w:rsidRPr="003F0E98">
              <w:rPr>
                <w:rFonts w:eastAsiaTheme="minorEastAsia"/>
                <w:color w:val="auto"/>
                <w:szCs w:val="24"/>
              </w:rPr>
              <w:t xml:space="preserve"> </w:t>
            </w:r>
            <w:proofErr w:type="spellStart"/>
            <w:r w:rsidRPr="003F0E98">
              <w:rPr>
                <w:rFonts w:eastAsiaTheme="minorEastAsia"/>
                <w:color w:val="auto"/>
                <w:szCs w:val="24"/>
              </w:rPr>
              <w:t>Arthrodesis</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61B87" w:rsidRPr="003F0E98" w:rsidRDefault="00FE3A1B" w:rsidP="003F0E98">
            <w:pPr>
              <w:tabs>
                <w:tab w:val="left" w:pos="288"/>
                <w:tab w:val="left" w:pos="4752"/>
              </w:tabs>
              <w:spacing w:line="240" w:lineRule="exact"/>
              <w:jc w:val="center"/>
              <w:rPr>
                <w:color w:val="auto"/>
                <w:szCs w:val="24"/>
              </w:rPr>
            </w:pPr>
            <w:r>
              <w:rPr>
                <w:color w:val="auto"/>
                <w:szCs w:val="24"/>
              </w:rPr>
              <w:t>5284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61B87" w:rsidRPr="003F0E98" w:rsidRDefault="00A61B87" w:rsidP="003F0E98">
            <w:pPr>
              <w:tabs>
                <w:tab w:val="left" w:pos="288"/>
                <w:tab w:val="left" w:pos="4752"/>
              </w:tabs>
              <w:spacing w:line="240" w:lineRule="exact"/>
              <w:jc w:val="center"/>
              <w:rPr>
                <w:color w:val="auto"/>
                <w:szCs w:val="24"/>
              </w:rPr>
            </w:pPr>
            <w:r w:rsidRPr="003F0E98">
              <w:rPr>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61B87" w:rsidRPr="003F0E98" w:rsidRDefault="003F0E98" w:rsidP="003F0E98">
            <w:pPr>
              <w:tabs>
                <w:tab w:val="left" w:pos="288"/>
                <w:tab w:val="left" w:pos="4752"/>
              </w:tabs>
              <w:spacing w:line="240" w:lineRule="exact"/>
              <w:jc w:val="center"/>
              <w:rPr>
                <w:color w:val="auto"/>
                <w:szCs w:val="24"/>
              </w:rPr>
            </w:pPr>
            <w:r w:rsidRPr="003F0E98">
              <w:rPr>
                <w:color w:val="auto"/>
                <w:szCs w:val="24"/>
              </w:rPr>
              <w:t>3</w:t>
            </w:r>
            <w:r w:rsidR="00A61B87" w:rsidRPr="003F0E98">
              <w:rPr>
                <w:color w:val="auto"/>
                <w:szCs w:val="24"/>
              </w:rPr>
              <w:t>0%</w:t>
            </w:r>
          </w:p>
        </w:tc>
      </w:tr>
      <w:tr w:rsidR="00A61B87" w:rsidRPr="003F0E98" w:rsidTr="0044203A">
        <w:trPr>
          <w:gridBefore w:val="1"/>
          <w:wBefore w:w="4050" w:type="dxa"/>
          <w:trHeight w:val="350"/>
        </w:trPr>
        <w:tc>
          <w:tcPr>
            <w:tcW w:w="144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A61B87" w:rsidRPr="003F0E98" w:rsidRDefault="00A61B87" w:rsidP="003F0E98">
            <w:pPr>
              <w:tabs>
                <w:tab w:val="left" w:pos="288"/>
                <w:tab w:val="left" w:pos="4752"/>
              </w:tabs>
              <w:spacing w:line="240" w:lineRule="exact"/>
              <w:jc w:val="center"/>
              <w:rPr>
                <w:b/>
                <w:color w:val="auto"/>
                <w:szCs w:val="24"/>
              </w:rPr>
            </w:pPr>
            <w:r w:rsidRPr="003F0E98">
              <w:rPr>
                <w:b/>
                <w:color w:val="auto"/>
                <w:szCs w:val="24"/>
              </w:rPr>
              <w:t>COMBINED</w:t>
            </w:r>
          </w:p>
        </w:tc>
        <w:tc>
          <w:tcPr>
            <w:tcW w:w="225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A61B87" w:rsidRPr="003F0E98" w:rsidRDefault="00A61B87" w:rsidP="003F0E98">
            <w:pPr>
              <w:tabs>
                <w:tab w:val="left" w:pos="288"/>
                <w:tab w:val="left" w:pos="4752"/>
              </w:tabs>
              <w:spacing w:line="240" w:lineRule="exact"/>
              <w:jc w:val="center"/>
              <w:rPr>
                <w:b/>
                <w:color w:val="auto"/>
                <w:szCs w:val="24"/>
              </w:rPr>
            </w:pPr>
            <w:r w:rsidRPr="003F0E98">
              <w:rPr>
                <w:b/>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61B87" w:rsidRPr="003F0E98" w:rsidRDefault="003F0E98" w:rsidP="003F0E98">
            <w:pPr>
              <w:tabs>
                <w:tab w:val="left" w:pos="288"/>
                <w:tab w:val="left" w:pos="4752"/>
              </w:tabs>
              <w:spacing w:line="240" w:lineRule="exact"/>
              <w:jc w:val="center"/>
              <w:rPr>
                <w:b/>
                <w:color w:val="auto"/>
                <w:szCs w:val="24"/>
              </w:rPr>
            </w:pPr>
            <w:r w:rsidRPr="003F0E98">
              <w:rPr>
                <w:b/>
                <w:color w:val="auto"/>
                <w:szCs w:val="24"/>
              </w:rPr>
              <w:t>3</w:t>
            </w:r>
            <w:r w:rsidR="00A61B87" w:rsidRPr="003F0E98">
              <w:rPr>
                <w:b/>
                <w:color w:val="auto"/>
                <w:szCs w:val="24"/>
              </w:rPr>
              <w:t>0%</w:t>
            </w:r>
          </w:p>
        </w:tc>
      </w:tr>
    </w:tbl>
    <w:p w:rsidR="00B522CD" w:rsidRPr="003F0E98" w:rsidRDefault="008B5D31" w:rsidP="00D12276">
      <w:pPr>
        <w:tabs>
          <w:tab w:val="left" w:pos="288"/>
          <w:tab w:val="left" w:pos="4752"/>
        </w:tabs>
        <w:spacing w:line="240" w:lineRule="exact"/>
        <w:jc w:val="both"/>
        <w:rPr>
          <w:color w:val="auto"/>
          <w:szCs w:val="24"/>
          <w:u w:val="single"/>
        </w:rPr>
      </w:pPr>
      <w:r w:rsidRPr="003F0E98">
        <w:rPr>
          <w:color w:val="auto"/>
          <w:szCs w:val="24"/>
          <w:u w:val="single"/>
        </w:rPr>
        <w:t>_______________________________________________________________</w:t>
      </w:r>
      <w:r w:rsidRPr="003F0E98">
        <w:rPr>
          <w:color w:val="auto"/>
          <w:szCs w:val="24"/>
        </w:rPr>
        <w:t>_</w:t>
      </w:r>
    </w:p>
    <w:p w:rsidR="0021039E" w:rsidRDefault="0021039E">
      <w:pPr>
        <w:rPr>
          <w:color w:val="auto"/>
          <w:szCs w:val="24"/>
        </w:rPr>
      </w:pPr>
      <w:r>
        <w:rPr>
          <w:color w:val="auto"/>
          <w:szCs w:val="24"/>
        </w:rPr>
        <w:br w:type="page"/>
      </w:r>
    </w:p>
    <w:p w:rsidR="00D91DA6" w:rsidRPr="003F0E98" w:rsidRDefault="00114F20" w:rsidP="00D12276">
      <w:pPr>
        <w:tabs>
          <w:tab w:val="left" w:pos="288"/>
          <w:tab w:val="left" w:pos="4752"/>
        </w:tabs>
        <w:spacing w:line="240" w:lineRule="exact"/>
        <w:jc w:val="both"/>
        <w:rPr>
          <w:color w:val="auto"/>
          <w:szCs w:val="24"/>
        </w:rPr>
      </w:pPr>
      <w:r w:rsidRPr="003F0E98">
        <w:rPr>
          <w:color w:val="auto"/>
          <w:szCs w:val="24"/>
        </w:rPr>
        <w:lastRenderedPageBreak/>
        <w:t>The following documentary evidence was considered:</w:t>
      </w:r>
    </w:p>
    <w:p w:rsidR="00114F20" w:rsidRPr="003F0E98" w:rsidRDefault="00114F20" w:rsidP="00D12276">
      <w:pPr>
        <w:tabs>
          <w:tab w:val="left" w:pos="288"/>
          <w:tab w:val="left" w:pos="4752"/>
        </w:tabs>
        <w:spacing w:line="240" w:lineRule="exact"/>
        <w:jc w:val="both"/>
        <w:rPr>
          <w:color w:val="auto"/>
          <w:szCs w:val="24"/>
        </w:rPr>
      </w:pPr>
    </w:p>
    <w:p w:rsidR="00114F20" w:rsidRPr="003F0E98" w:rsidRDefault="0051146C" w:rsidP="00D12276">
      <w:pPr>
        <w:tabs>
          <w:tab w:val="left" w:pos="288"/>
          <w:tab w:val="left" w:pos="4752"/>
        </w:tabs>
        <w:spacing w:line="240" w:lineRule="exact"/>
        <w:jc w:val="both"/>
        <w:rPr>
          <w:color w:val="auto"/>
          <w:szCs w:val="24"/>
        </w:rPr>
      </w:pPr>
      <w:r w:rsidRPr="003F0E98">
        <w:rPr>
          <w:color w:val="auto"/>
          <w:szCs w:val="24"/>
        </w:rPr>
        <w:t xml:space="preserve">Exhibit A.  DD Form </w:t>
      </w:r>
      <w:proofErr w:type="gramStart"/>
      <w:r w:rsidRPr="003F0E98">
        <w:rPr>
          <w:color w:val="auto"/>
          <w:szCs w:val="24"/>
        </w:rPr>
        <w:t>294,</w:t>
      </w:r>
      <w:proofErr w:type="gramEnd"/>
      <w:r w:rsidRPr="003F0E98">
        <w:rPr>
          <w:color w:val="auto"/>
          <w:szCs w:val="24"/>
        </w:rPr>
        <w:t xml:space="preserve"> dated </w:t>
      </w:r>
      <w:r w:rsidR="00682089" w:rsidRPr="003F0E98">
        <w:rPr>
          <w:caps/>
          <w:color w:val="auto"/>
          <w:szCs w:val="24"/>
        </w:rPr>
        <w:t>20090601</w:t>
      </w:r>
      <w:r w:rsidR="00114F20" w:rsidRPr="003F0E98">
        <w:rPr>
          <w:color w:val="auto"/>
          <w:szCs w:val="24"/>
        </w:rPr>
        <w:t>, w/</w:t>
      </w:r>
      <w:proofErr w:type="spellStart"/>
      <w:r w:rsidR="00114F20" w:rsidRPr="003F0E98">
        <w:rPr>
          <w:color w:val="auto"/>
          <w:szCs w:val="24"/>
        </w:rPr>
        <w:t>atchs</w:t>
      </w:r>
      <w:proofErr w:type="spellEnd"/>
      <w:r w:rsidR="00114F20" w:rsidRPr="003F0E98">
        <w:rPr>
          <w:color w:val="auto"/>
          <w:szCs w:val="24"/>
        </w:rPr>
        <w:t>.</w:t>
      </w:r>
    </w:p>
    <w:p w:rsidR="00114F20" w:rsidRPr="003F0E98" w:rsidRDefault="00114F20" w:rsidP="00D12276">
      <w:pPr>
        <w:tabs>
          <w:tab w:val="left" w:pos="288"/>
          <w:tab w:val="left" w:pos="4752"/>
        </w:tabs>
        <w:spacing w:line="240" w:lineRule="exact"/>
        <w:jc w:val="both"/>
        <w:rPr>
          <w:color w:val="auto"/>
          <w:szCs w:val="24"/>
        </w:rPr>
      </w:pPr>
      <w:r w:rsidRPr="003F0E98">
        <w:rPr>
          <w:color w:val="auto"/>
          <w:szCs w:val="24"/>
        </w:rPr>
        <w:t xml:space="preserve">Exhibit B.  </w:t>
      </w:r>
      <w:proofErr w:type="gramStart"/>
      <w:r w:rsidRPr="003F0E98">
        <w:rPr>
          <w:color w:val="auto"/>
          <w:szCs w:val="24"/>
        </w:rPr>
        <w:t>Service Treatment Record.</w:t>
      </w:r>
      <w:proofErr w:type="gramEnd"/>
    </w:p>
    <w:p w:rsidR="00114F20" w:rsidRPr="003F0E98" w:rsidRDefault="00114F20" w:rsidP="00D12276">
      <w:pPr>
        <w:tabs>
          <w:tab w:val="left" w:pos="288"/>
          <w:tab w:val="left" w:pos="4752"/>
        </w:tabs>
        <w:spacing w:line="240" w:lineRule="exact"/>
        <w:jc w:val="both"/>
        <w:rPr>
          <w:color w:val="auto"/>
          <w:szCs w:val="24"/>
        </w:rPr>
      </w:pPr>
      <w:r w:rsidRPr="003F0E98">
        <w:rPr>
          <w:color w:val="auto"/>
          <w:szCs w:val="24"/>
        </w:rPr>
        <w:t xml:space="preserve">Exhibit C.  </w:t>
      </w:r>
      <w:proofErr w:type="gramStart"/>
      <w:r w:rsidRPr="003F0E98">
        <w:rPr>
          <w:color w:val="auto"/>
          <w:szCs w:val="24"/>
        </w:rPr>
        <w:t>Department of Veterans</w:t>
      </w:r>
      <w:r w:rsidR="00385D6F" w:rsidRPr="003F0E98">
        <w:rPr>
          <w:color w:val="auto"/>
          <w:szCs w:val="24"/>
        </w:rPr>
        <w:t>'</w:t>
      </w:r>
      <w:r w:rsidRPr="003F0E98">
        <w:rPr>
          <w:color w:val="auto"/>
          <w:szCs w:val="24"/>
        </w:rPr>
        <w:t xml:space="preserve"> Affairs Treatment Record.</w:t>
      </w:r>
      <w:proofErr w:type="gramEnd"/>
    </w:p>
    <w:p w:rsidR="00D91DA6" w:rsidRPr="003F0E98" w:rsidRDefault="00D91DA6" w:rsidP="00D12276">
      <w:pPr>
        <w:tabs>
          <w:tab w:val="left" w:pos="288"/>
          <w:tab w:val="left" w:pos="4752"/>
        </w:tabs>
        <w:spacing w:line="240" w:lineRule="exact"/>
        <w:jc w:val="both"/>
        <w:rPr>
          <w:color w:val="auto"/>
          <w:szCs w:val="24"/>
        </w:rPr>
      </w:pPr>
    </w:p>
    <w:p w:rsidR="00114F20" w:rsidRPr="003F0E98" w:rsidRDefault="00114F20" w:rsidP="00D12276">
      <w:pPr>
        <w:tabs>
          <w:tab w:val="left" w:pos="288"/>
          <w:tab w:val="left" w:pos="4752"/>
        </w:tabs>
        <w:spacing w:line="240" w:lineRule="exact"/>
        <w:jc w:val="both"/>
        <w:rPr>
          <w:color w:val="auto"/>
          <w:szCs w:val="24"/>
        </w:rPr>
      </w:pPr>
    </w:p>
    <w:p w:rsidR="00114F20" w:rsidRPr="003F0E98" w:rsidRDefault="00114F20" w:rsidP="00D12276">
      <w:pPr>
        <w:tabs>
          <w:tab w:val="left" w:pos="288"/>
          <w:tab w:val="left" w:pos="4752"/>
        </w:tabs>
        <w:spacing w:line="240" w:lineRule="exact"/>
        <w:jc w:val="both"/>
        <w:rPr>
          <w:color w:val="auto"/>
          <w:szCs w:val="24"/>
        </w:rPr>
      </w:pPr>
    </w:p>
    <w:p w:rsidR="00D91DA6" w:rsidRPr="003F0E98" w:rsidRDefault="00C30A97" w:rsidP="00D12276">
      <w:pPr>
        <w:tabs>
          <w:tab w:val="left" w:pos="0"/>
          <w:tab w:val="left" w:pos="4320"/>
        </w:tabs>
        <w:spacing w:line="240" w:lineRule="exact"/>
        <w:jc w:val="both"/>
        <w:rPr>
          <w:color w:val="auto"/>
          <w:szCs w:val="24"/>
        </w:rPr>
      </w:pPr>
      <w:r w:rsidRPr="003F0E98">
        <w:rPr>
          <w:color w:val="auto"/>
          <w:szCs w:val="24"/>
        </w:rPr>
        <w:t xml:space="preserve">                            </w:t>
      </w:r>
      <w:r w:rsidR="003F0E98">
        <w:rPr>
          <w:color w:val="auto"/>
          <w:szCs w:val="24"/>
        </w:rPr>
        <w:t xml:space="preserve"> </w:t>
      </w:r>
      <w:r w:rsidR="00D91DA6" w:rsidRPr="003F0E98">
        <w:rPr>
          <w:color w:val="auto"/>
          <w:szCs w:val="24"/>
        </w:rPr>
        <w:t>President</w:t>
      </w:r>
    </w:p>
    <w:p w:rsidR="00B522CD" w:rsidRDefault="00C30A97" w:rsidP="00D12276">
      <w:pPr>
        <w:tabs>
          <w:tab w:val="left" w:pos="288"/>
          <w:tab w:val="left" w:pos="4320"/>
          <w:tab w:val="left" w:pos="4410"/>
          <w:tab w:val="left" w:pos="4770"/>
          <w:tab w:val="left" w:pos="4860"/>
          <w:tab w:val="left" w:pos="5040"/>
        </w:tabs>
        <w:spacing w:line="240" w:lineRule="exact"/>
        <w:jc w:val="both"/>
        <w:rPr>
          <w:color w:val="auto"/>
          <w:szCs w:val="24"/>
        </w:rPr>
      </w:pPr>
      <w:r w:rsidRPr="003F0E98">
        <w:rPr>
          <w:color w:val="auto"/>
          <w:szCs w:val="24"/>
        </w:rPr>
        <w:tab/>
        <w:t xml:space="preserve">                          </w:t>
      </w:r>
      <w:r w:rsidR="003F0E98">
        <w:rPr>
          <w:color w:val="auto"/>
          <w:szCs w:val="24"/>
        </w:rPr>
        <w:t xml:space="preserve"> </w:t>
      </w:r>
      <w:r w:rsidR="00D91DA6" w:rsidRPr="003F0E98">
        <w:rPr>
          <w:color w:val="auto"/>
          <w:szCs w:val="24"/>
        </w:rPr>
        <w:t>Physical Disability Board of Review</w:t>
      </w:r>
    </w:p>
    <w:p w:rsidR="00602856" w:rsidRDefault="00602856" w:rsidP="00D12276">
      <w:pPr>
        <w:tabs>
          <w:tab w:val="left" w:pos="288"/>
          <w:tab w:val="left" w:pos="4320"/>
          <w:tab w:val="left" w:pos="4410"/>
          <w:tab w:val="left" w:pos="4770"/>
          <w:tab w:val="left" w:pos="4860"/>
          <w:tab w:val="left" w:pos="5040"/>
        </w:tabs>
        <w:spacing w:line="240" w:lineRule="exact"/>
        <w:jc w:val="both"/>
        <w:rPr>
          <w:color w:val="auto"/>
          <w:szCs w:val="24"/>
        </w:rPr>
      </w:pPr>
    </w:p>
    <w:p w:rsidR="000C6ED7" w:rsidRDefault="000C6ED7">
      <w:pPr>
        <w:rPr>
          <w:color w:val="auto"/>
          <w:szCs w:val="24"/>
        </w:rPr>
      </w:pPr>
      <w:r>
        <w:rPr>
          <w:color w:val="auto"/>
          <w:szCs w:val="24"/>
        </w:rPr>
        <w:br w:type="page"/>
      </w:r>
    </w:p>
    <w:p w:rsidR="00602856" w:rsidRPr="00602856" w:rsidRDefault="00602856" w:rsidP="00D12276">
      <w:pPr>
        <w:tabs>
          <w:tab w:val="left" w:pos="288"/>
          <w:tab w:val="left" w:pos="4320"/>
          <w:tab w:val="left" w:pos="4410"/>
          <w:tab w:val="left" w:pos="4770"/>
          <w:tab w:val="left" w:pos="4860"/>
          <w:tab w:val="left" w:pos="5040"/>
        </w:tabs>
        <w:spacing w:line="240" w:lineRule="exact"/>
        <w:jc w:val="both"/>
        <w:rPr>
          <w:color w:val="auto"/>
          <w:szCs w:val="24"/>
        </w:rPr>
      </w:pPr>
    </w:p>
    <w:p w:rsidR="00602856" w:rsidRPr="00602856" w:rsidRDefault="00602856" w:rsidP="00602856">
      <w:pPr>
        <w:outlineLvl w:val="0"/>
        <w:rPr>
          <w:color w:val="auto"/>
        </w:rPr>
      </w:pPr>
      <w:r w:rsidRPr="00602856">
        <w:rPr>
          <w:color w:val="auto"/>
        </w:rPr>
        <w:t>MEMORANDUM FOR DEPUTY COMMANDANT, MANPOWER &amp; RESERVE AFFAIRS</w:t>
      </w:r>
    </w:p>
    <w:p w:rsidR="00602856" w:rsidRPr="00602856" w:rsidRDefault="00602856" w:rsidP="00602856">
      <w:pPr>
        <w:rPr>
          <w:color w:val="auto"/>
        </w:rPr>
      </w:pPr>
    </w:p>
    <w:p w:rsidR="00602856" w:rsidRPr="00602856" w:rsidRDefault="00602856" w:rsidP="00602856">
      <w:pPr>
        <w:rPr>
          <w:color w:val="auto"/>
        </w:rPr>
      </w:pPr>
      <w:proofErr w:type="spellStart"/>
      <w:r w:rsidRPr="00602856">
        <w:rPr>
          <w:color w:val="auto"/>
        </w:rPr>
        <w:t>Subj</w:t>
      </w:r>
      <w:proofErr w:type="spellEnd"/>
      <w:r w:rsidRPr="00602856">
        <w:rPr>
          <w:color w:val="auto"/>
        </w:rPr>
        <w:t>:  PHYSICAL DISABILITY BOARD OF REVIEW (PDBR) RECOMMENDATION</w:t>
      </w:r>
    </w:p>
    <w:p w:rsidR="00602856" w:rsidRPr="00602856" w:rsidRDefault="00602856" w:rsidP="00602856">
      <w:pPr>
        <w:outlineLvl w:val="0"/>
        <w:rPr>
          <w:color w:val="auto"/>
        </w:rPr>
      </w:pPr>
      <w:r w:rsidRPr="00602856">
        <w:rPr>
          <w:color w:val="auto"/>
        </w:rPr>
        <w:t xml:space="preserve">          ICO </w:t>
      </w:r>
      <w:r w:rsidR="000C6ED7">
        <w:rPr>
          <w:color w:val="auto"/>
        </w:rPr>
        <w:t>XXXXXX</w:t>
      </w:r>
    </w:p>
    <w:p w:rsidR="00602856" w:rsidRPr="00602856" w:rsidRDefault="00602856" w:rsidP="00602856">
      <w:pPr>
        <w:rPr>
          <w:color w:val="auto"/>
        </w:rPr>
      </w:pPr>
    </w:p>
    <w:p w:rsidR="00602856" w:rsidRPr="00602856" w:rsidRDefault="00602856" w:rsidP="00602856">
      <w:pPr>
        <w:outlineLvl w:val="0"/>
        <w:rPr>
          <w:color w:val="auto"/>
        </w:rPr>
      </w:pPr>
      <w:r w:rsidRPr="00602856">
        <w:rPr>
          <w:color w:val="auto"/>
        </w:rPr>
        <w:t>Ref:   (a) DoDI 6040.44</w:t>
      </w:r>
    </w:p>
    <w:p w:rsidR="00602856" w:rsidRPr="00602856" w:rsidRDefault="00602856" w:rsidP="00602856">
      <w:pPr>
        <w:rPr>
          <w:color w:val="auto"/>
        </w:rPr>
      </w:pPr>
    </w:p>
    <w:p w:rsidR="00602856" w:rsidRPr="00602856" w:rsidRDefault="00602856" w:rsidP="00602856">
      <w:pPr>
        <w:outlineLvl w:val="0"/>
        <w:rPr>
          <w:color w:val="auto"/>
        </w:rPr>
      </w:pPr>
      <w:r w:rsidRPr="00602856">
        <w:rPr>
          <w:color w:val="auto"/>
        </w:rPr>
        <w:t xml:space="preserve">Encl:  (1) PDBR </w:t>
      </w:r>
      <w:proofErr w:type="spellStart"/>
      <w:r w:rsidRPr="00602856">
        <w:rPr>
          <w:color w:val="auto"/>
        </w:rPr>
        <w:t>ltr</w:t>
      </w:r>
      <w:proofErr w:type="spellEnd"/>
      <w:r w:rsidRPr="00602856">
        <w:rPr>
          <w:color w:val="auto"/>
        </w:rPr>
        <w:t xml:space="preserve"> </w:t>
      </w:r>
      <w:proofErr w:type="spellStart"/>
      <w:r w:rsidRPr="00602856">
        <w:rPr>
          <w:color w:val="auto"/>
        </w:rPr>
        <w:t>dtd</w:t>
      </w:r>
      <w:proofErr w:type="spellEnd"/>
      <w:r w:rsidRPr="00602856">
        <w:rPr>
          <w:color w:val="auto"/>
        </w:rPr>
        <w:t xml:space="preserve"> 4 May 10 </w:t>
      </w:r>
    </w:p>
    <w:p w:rsidR="00602856" w:rsidRPr="00602856" w:rsidRDefault="00602856" w:rsidP="00602856">
      <w:pPr>
        <w:rPr>
          <w:color w:val="auto"/>
        </w:rPr>
      </w:pPr>
    </w:p>
    <w:p w:rsidR="00602856" w:rsidRPr="00602856" w:rsidRDefault="00602856" w:rsidP="00602856">
      <w:pPr>
        <w:rPr>
          <w:color w:val="auto"/>
        </w:rPr>
      </w:pPr>
      <w:r w:rsidRPr="00602856">
        <w:rPr>
          <w:color w:val="auto"/>
        </w:rPr>
        <w:t>1.  I have reviewed the subject case pursuant to reference (a) and approve the recommendation of the Physical Disability Board of Review (enclosure (1)).</w:t>
      </w:r>
    </w:p>
    <w:p w:rsidR="00602856" w:rsidRPr="00602856" w:rsidRDefault="00602856" w:rsidP="00602856">
      <w:pPr>
        <w:rPr>
          <w:color w:val="auto"/>
        </w:rPr>
      </w:pPr>
    </w:p>
    <w:p w:rsidR="00602856" w:rsidRPr="00602856" w:rsidRDefault="00602856" w:rsidP="00602856">
      <w:pPr>
        <w:rPr>
          <w:color w:val="auto"/>
        </w:rPr>
      </w:pPr>
      <w:r w:rsidRPr="00602856">
        <w:rPr>
          <w:color w:val="auto"/>
        </w:rPr>
        <w:t>2.  The subject member’s official records are to be corrected to reflect the following disposition:</w:t>
      </w:r>
    </w:p>
    <w:p w:rsidR="00602856" w:rsidRPr="00602856" w:rsidRDefault="00602856" w:rsidP="00602856">
      <w:pPr>
        <w:rPr>
          <w:color w:val="auto"/>
        </w:rPr>
      </w:pPr>
    </w:p>
    <w:p w:rsidR="00602856" w:rsidRPr="00602856" w:rsidRDefault="00602856" w:rsidP="00602856">
      <w:pPr>
        <w:rPr>
          <w:color w:val="auto"/>
        </w:rPr>
      </w:pPr>
      <w:r w:rsidRPr="00602856">
        <w:rPr>
          <w:color w:val="auto"/>
        </w:rPr>
        <w:tab/>
        <w:t>a. Separation from the naval service due to physical disability with placement on the Temporary Disability Retired List with a disability rating of 50 percent for the period 9 August 2002 thru 8 August 2003.</w:t>
      </w:r>
    </w:p>
    <w:p w:rsidR="00602856" w:rsidRPr="00602856" w:rsidRDefault="00602856" w:rsidP="00602856">
      <w:pPr>
        <w:rPr>
          <w:color w:val="auto"/>
        </w:rPr>
      </w:pPr>
    </w:p>
    <w:p w:rsidR="00602856" w:rsidRPr="00602856" w:rsidRDefault="00602856" w:rsidP="00602856">
      <w:pPr>
        <w:rPr>
          <w:color w:val="auto"/>
        </w:rPr>
      </w:pPr>
      <w:r w:rsidRPr="00602856">
        <w:rPr>
          <w:color w:val="auto"/>
        </w:rPr>
        <w:tab/>
        <w:t>b. Final separation from naval service due to physical disability rated at 30 percent with placement on the Permanent Disability Retired List effective 9 August 2003.</w:t>
      </w:r>
    </w:p>
    <w:p w:rsidR="00602856" w:rsidRPr="00602856" w:rsidRDefault="00602856" w:rsidP="00602856">
      <w:pPr>
        <w:rPr>
          <w:color w:val="auto"/>
        </w:rPr>
      </w:pPr>
    </w:p>
    <w:p w:rsidR="00602856" w:rsidRPr="00602856" w:rsidRDefault="00602856" w:rsidP="00602856">
      <w:pPr>
        <w:rPr>
          <w:color w:val="auto"/>
        </w:rPr>
      </w:pPr>
      <w:r w:rsidRPr="00602856">
        <w:rPr>
          <w:color w:val="auto"/>
        </w:rPr>
        <w:t>3.  Please ensure all necessary actions are taken to implement this decision, including the recoupment of previously paid funds if appropriate, and notification to the subject member once those actions are completed.</w:t>
      </w:r>
    </w:p>
    <w:p w:rsidR="00602856" w:rsidRPr="00602856" w:rsidRDefault="00602856" w:rsidP="00602856">
      <w:pPr>
        <w:rPr>
          <w:color w:val="auto"/>
        </w:rPr>
      </w:pPr>
    </w:p>
    <w:p w:rsidR="00602856" w:rsidRPr="00602856" w:rsidRDefault="00602856" w:rsidP="00602856">
      <w:pPr>
        <w:rPr>
          <w:color w:val="auto"/>
        </w:rPr>
      </w:pPr>
    </w:p>
    <w:p w:rsidR="00602856" w:rsidRPr="00602856" w:rsidRDefault="00602856" w:rsidP="00602856">
      <w:pPr>
        <w:rPr>
          <w:color w:val="auto"/>
        </w:rPr>
      </w:pPr>
      <w:r w:rsidRPr="00602856">
        <w:rPr>
          <w:color w:val="auto"/>
        </w:rPr>
        <w:tab/>
      </w:r>
      <w:r w:rsidRPr="00602856">
        <w:rPr>
          <w:color w:val="auto"/>
        </w:rPr>
        <w:tab/>
      </w:r>
      <w:r w:rsidRPr="00602856">
        <w:rPr>
          <w:color w:val="auto"/>
        </w:rPr>
        <w:tab/>
      </w:r>
      <w:r w:rsidRPr="00602856">
        <w:rPr>
          <w:color w:val="auto"/>
        </w:rPr>
        <w:tab/>
      </w:r>
      <w:r w:rsidRPr="00602856">
        <w:rPr>
          <w:color w:val="auto"/>
        </w:rPr>
        <w:tab/>
      </w:r>
      <w:r w:rsidRPr="00602856">
        <w:rPr>
          <w:color w:val="auto"/>
        </w:rPr>
        <w:tab/>
        <w:t xml:space="preserve">  Principal Deputy</w:t>
      </w:r>
    </w:p>
    <w:p w:rsidR="00602856" w:rsidRPr="00602856" w:rsidRDefault="00602856" w:rsidP="00602856">
      <w:pPr>
        <w:rPr>
          <w:color w:val="auto"/>
        </w:rPr>
      </w:pPr>
      <w:r w:rsidRPr="00602856">
        <w:rPr>
          <w:color w:val="auto"/>
        </w:rPr>
        <w:tab/>
      </w:r>
      <w:r w:rsidRPr="00602856">
        <w:rPr>
          <w:color w:val="auto"/>
        </w:rPr>
        <w:tab/>
      </w:r>
      <w:r w:rsidRPr="00602856">
        <w:rPr>
          <w:color w:val="auto"/>
        </w:rPr>
        <w:tab/>
      </w:r>
      <w:r w:rsidRPr="00602856">
        <w:rPr>
          <w:color w:val="auto"/>
        </w:rPr>
        <w:tab/>
      </w:r>
      <w:r w:rsidRPr="00602856">
        <w:rPr>
          <w:color w:val="auto"/>
        </w:rPr>
        <w:tab/>
      </w:r>
      <w:r w:rsidRPr="00602856">
        <w:rPr>
          <w:color w:val="auto"/>
        </w:rPr>
        <w:tab/>
        <w:t xml:space="preserve">  Assistant Secretary of the Navy</w:t>
      </w:r>
    </w:p>
    <w:p w:rsidR="00602856" w:rsidRPr="00602856" w:rsidRDefault="00602856" w:rsidP="00602856">
      <w:pPr>
        <w:rPr>
          <w:color w:val="auto"/>
        </w:rPr>
      </w:pPr>
      <w:r w:rsidRPr="00602856">
        <w:rPr>
          <w:color w:val="auto"/>
        </w:rPr>
        <w:tab/>
      </w:r>
      <w:r w:rsidRPr="00602856">
        <w:rPr>
          <w:color w:val="auto"/>
        </w:rPr>
        <w:tab/>
      </w:r>
      <w:r w:rsidRPr="00602856">
        <w:rPr>
          <w:color w:val="auto"/>
        </w:rPr>
        <w:tab/>
      </w:r>
      <w:r w:rsidRPr="00602856">
        <w:rPr>
          <w:color w:val="auto"/>
        </w:rPr>
        <w:tab/>
      </w:r>
      <w:r w:rsidRPr="00602856">
        <w:rPr>
          <w:color w:val="auto"/>
        </w:rPr>
        <w:tab/>
      </w:r>
      <w:r w:rsidRPr="00602856">
        <w:rPr>
          <w:color w:val="auto"/>
        </w:rPr>
        <w:tab/>
        <w:t xml:space="preserve">  (Manpower &amp; Reserve Affairs)</w:t>
      </w:r>
    </w:p>
    <w:p w:rsidR="00602856" w:rsidRDefault="00602856" w:rsidP="00602856"/>
    <w:p w:rsidR="00AA04B3" w:rsidRDefault="00AA04B3" w:rsidP="00D12276">
      <w:pPr>
        <w:tabs>
          <w:tab w:val="left" w:pos="288"/>
          <w:tab w:val="left" w:pos="4320"/>
          <w:tab w:val="left" w:pos="4410"/>
          <w:tab w:val="left" w:pos="4770"/>
          <w:tab w:val="left" w:pos="4860"/>
          <w:tab w:val="left" w:pos="5040"/>
        </w:tabs>
        <w:spacing w:line="240" w:lineRule="exact"/>
        <w:jc w:val="both"/>
        <w:rPr>
          <w:color w:val="000080"/>
        </w:rPr>
      </w:pPr>
    </w:p>
    <w:sectPr w:rsidR="00AA04B3" w:rsidSect="00F90662">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45" w:rsidRDefault="00685145">
      <w:r>
        <w:separator/>
      </w:r>
    </w:p>
  </w:endnote>
  <w:endnote w:type="continuationSeparator" w:id="0">
    <w:p w:rsidR="00685145" w:rsidRDefault="00685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A8" w:rsidRDefault="00D9782A">
    <w:pPr>
      <w:pStyle w:val="Footer"/>
      <w:framePr w:wrap="around" w:vAnchor="text" w:hAnchor="margin" w:xAlign="center" w:y="1"/>
      <w:rPr>
        <w:rStyle w:val="PageNumber"/>
      </w:rPr>
    </w:pPr>
    <w:r>
      <w:rPr>
        <w:rStyle w:val="PageNumber"/>
      </w:rPr>
      <w:fldChar w:fldCharType="begin"/>
    </w:r>
    <w:r w:rsidR="00FE61A8">
      <w:rPr>
        <w:rStyle w:val="PageNumber"/>
      </w:rPr>
      <w:instrText xml:space="preserve">PAGE  </w:instrText>
    </w:r>
    <w:r>
      <w:rPr>
        <w:rStyle w:val="PageNumber"/>
      </w:rPr>
      <w:fldChar w:fldCharType="separate"/>
    </w:r>
    <w:r w:rsidR="00FE61A8">
      <w:rPr>
        <w:rStyle w:val="PageNumber"/>
        <w:noProof/>
      </w:rPr>
      <w:t>2</w:t>
    </w:r>
    <w:r>
      <w:rPr>
        <w:rStyle w:val="PageNumber"/>
      </w:rPr>
      <w:fldChar w:fldCharType="end"/>
    </w:r>
  </w:p>
  <w:p w:rsidR="00FE61A8" w:rsidRDefault="00FE61A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A8" w:rsidRPr="00F6468C" w:rsidRDefault="00D9782A">
    <w:pPr>
      <w:pStyle w:val="Footer"/>
      <w:framePr w:wrap="around" w:vAnchor="text" w:hAnchor="margin" w:xAlign="center" w:y="1"/>
      <w:rPr>
        <w:rStyle w:val="PageNumber"/>
        <w:color w:val="auto"/>
      </w:rPr>
    </w:pPr>
    <w:r w:rsidRPr="00F6468C">
      <w:rPr>
        <w:rStyle w:val="PageNumber"/>
        <w:color w:val="auto"/>
      </w:rPr>
      <w:fldChar w:fldCharType="begin"/>
    </w:r>
    <w:r w:rsidR="00FE61A8" w:rsidRPr="00F6468C">
      <w:rPr>
        <w:rStyle w:val="PageNumber"/>
        <w:color w:val="auto"/>
      </w:rPr>
      <w:instrText xml:space="preserve">PAGE  </w:instrText>
    </w:r>
    <w:r w:rsidRPr="00F6468C">
      <w:rPr>
        <w:rStyle w:val="PageNumber"/>
        <w:color w:val="auto"/>
      </w:rPr>
      <w:fldChar w:fldCharType="separate"/>
    </w:r>
    <w:r w:rsidR="000C6ED7">
      <w:rPr>
        <w:rStyle w:val="PageNumber"/>
        <w:noProof/>
        <w:color w:val="auto"/>
      </w:rPr>
      <w:t>2</w:t>
    </w:r>
    <w:r w:rsidRPr="00F6468C">
      <w:rPr>
        <w:rStyle w:val="PageNumber"/>
        <w:color w:val="auto"/>
      </w:rPr>
      <w:fldChar w:fldCharType="end"/>
    </w:r>
  </w:p>
  <w:p w:rsidR="00FE61A8" w:rsidRPr="00F6468C" w:rsidRDefault="00FE61A8" w:rsidP="002B0749">
    <w:pPr>
      <w:pStyle w:val="Footer"/>
      <w:jc w:val="right"/>
      <w:rPr>
        <w:color w:val="auto"/>
      </w:rPr>
    </w:pPr>
    <w:r>
      <w:tab/>
    </w:r>
    <w:r>
      <w:tab/>
    </w:r>
    <w:r w:rsidRPr="00F6468C">
      <w:rPr>
        <w:caps/>
        <w:color w:val="auto"/>
      </w:rPr>
      <w:t>PD0900469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45" w:rsidRDefault="00685145">
      <w:r>
        <w:separator/>
      </w:r>
    </w:p>
  </w:footnote>
  <w:footnote w:type="continuationSeparator" w:id="0">
    <w:p w:rsidR="00685145" w:rsidRDefault="00685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F5611"/>
    <w:multiLevelType w:val="multilevel"/>
    <w:tmpl w:val="254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A5E90"/>
    <w:multiLevelType w:val="multilevel"/>
    <w:tmpl w:val="2A2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F0310"/>
    <w:multiLevelType w:val="multilevel"/>
    <w:tmpl w:val="61BE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4C6"/>
    <w:rsid w:val="000059FA"/>
    <w:rsid w:val="00010ABA"/>
    <w:rsid w:val="000145C2"/>
    <w:rsid w:val="00015419"/>
    <w:rsid w:val="00023D43"/>
    <w:rsid w:val="00035C3A"/>
    <w:rsid w:val="000379D0"/>
    <w:rsid w:val="000416F8"/>
    <w:rsid w:val="000430B9"/>
    <w:rsid w:val="000465C4"/>
    <w:rsid w:val="00051622"/>
    <w:rsid w:val="00051D3F"/>
    <w:rsid w:val="00072433"/>
    <w:rsid w:val="00080FA9"/>
    <w:rsid w:val="000826CE"/>
    <w:rsid w:val="000828DF"/>
    <w:rsid w:val="00082E84"/>
    <w:rsid w:val="00084C13"/>
    <w:rsid w:val="000946F7"/>
    <w:rsid w:val="000A2BCE"/>
    <w:rsid w:val="000A3E5F"/>
    <w:rsid w:val="000A4BBA"/>
    <w:rsid w:val="000B0C7B"/>
    <w:rsid w:val="000B3833"/>
    <w:rsid w:val="000C4FCA"/>
    <w:rsid w:val="000C6ED7"/>
    <w:rsid w:val="000C705E"/>
    <w:rsid w:val="000C7DE4"/>
    <w:rsid w:val="000D15E7"/>
    <w:rsid w:val="000D43F9"/>
    <w:rsid w:val="000D4717"/>
    <w:rsid w:val="000D7D55"/>
    <w:rsid w:val="000E41DD"/>
    <w:rsid w:val="000E58BC"/>
    <w:rsid w:val="000F2488"/>
    <w:rsid w:val="000F427B"/>
    <w:rsid w:val="000F5879"/>
    <w:rsid w:val="000F619F"/>
    <w:rsid w:val="0010417F"/>
    <w:rsid w:val="0010530E"/>
    <w:rsid w:val="0010580D"/>
    <w:rsid w:val="00113BD9"/>
    <w:rsid w:val="00114F20"/>
    <w:rsid w:val="00120CB2"/>
    <w:rsid w:val="001231DC"/>
    <w:rsid w:val="00124778"/>
    <w:rsid w:val="00130684"/>
    <w:rsid w:val="001315DD"/>
    <w:rsid w:val="00135385"/>
    <w:rsid w:val="001364D1"/>
    <w:rsid w:val="001447D8"/>
    <w:rsid w:val="001516EE"/>
    <w:rsid w:val="0015262A"/>
    <w:rsid w:val="001541C5"/>
    <w:rsid w:val="00155CD6"/>
    <w:rsid w:val="00170299"/>
    <w:rsid w:val="00177659"/>
    <w:rsid w:val="00185ECB"/>
    <w:rsid w:val="00186CE2"/>
    <w:rsid w:val="0019273F"/>
    <w:rsid w:val="00192BEF"/>
    <w:rsid w:val="001972BE"/>
    <w:rsid w:val="001A2695"/>
    <w:rsid w:val="001A7538"/>
    <w:rsid w:val="001B5B59"/>
    <w:rsid w:val="001C181A"/>
    <w:rsid w:val="001C18C1"/>
    <w:rsid w:val="001C2053"/>
    <w:rsid w:val="001C28D1"/>
    <w:rsid w:val="001C6A38"/>
    <w:rsid w:val="001C7418"/>
    <w:rsid w:val="001C7833"/>
    <w:rsid w:val="001D0051"/>
    <w:rsid w:val="001D2224"/>
    <w:rsid w:val="001D607D"/>
    <w:rsid w:val="001D6A8C"/>
    <w:rsid w:val="001D6EA0"/>
    <w:rsid w:val="001D7A56"/>
    <w:rsid w:val="001E5815"/>
    <w:rsid w:val="0020237E"/>
    <w:rsid w:val="0021039E"/>
    <w:rsid w:val="00217C09"/>
    <w:rsid w:val="00222CE5"/>
    <w:rsid w:val="00225196"/>
    <w:rsid w:val="00225CB4"/>
    <w:rsid w:val="002276EA"/>
    <w:rsid w:val="002338CA"/>
    <w:rsid w:val="0024227D"/>
    <w:rsid w:val="00242FCE"/>
    <w:rsid w:val="00246860"/>
    <w:rsid w:val="0025183C"/>
    <w:rsid w:val="00260157"/>
    <w:rsid w:val="00262B31"/>
    <w:rsid w:val="0026318D"/>
    <w:rsid w:val="0027159C"/>
    <w:rsid w:val="00274549"/>
    <w:rsid w:val="00274E46"/>
    <w:rsid w:val="00276794"/>
    <w:rsid w:val="00276C86"/>
    <w:rsid w:val="00282338"/>
    <w:rsid w:val="00284142"/>
    <w:rsid w:val="002905AD"/>
    <w:rsid w:val="00292EB4"/>
    <w:rsid w:val="002A28A5"/>
    <w:rsid w:val="002B03B2"/>
    <w:rsid w:val="002B067D"/>
    <w:rsid w:val="002B0749"/>
    <w:rsid w:val="002C3197"/>
    <w:rsid w:val="002D07E8"/>
    <w:rsid w:val="002D18B4"/>
    <w:rsid w:val="002D3A10"/>
    <w:rsid w:val="002E1C31"/>
    <w:rsid w:val="002E3474"/>
    <w:rsid w:val="002E764B"/>
    <w:rsid w:val="002F1023"/>
    <w:rsid w:val="002F6AA9"/>
    <w:rsid w:val="002F7F81"/>
    <w:rsid w:val="0030554A"/>
    <w:rsid w:val="00305D3B"/>
    <w:rsid w:val="003152B3"/>
    <w:rsid w:val="00323E70"/>
    <w:rsid w:val="00324376"/>
    <w:rsid w:val="00336585"/>
    <w:rsid w:val="003422F9"/>
    <w:rsid w:val="00346AF8"/>
    <w:rsid w:val="003508CE"/>
    <w:rsid w:val="003611EB"/>
    <w:rsid w:val="00363362"/>
    <w:rsid w:val="00366007"/>
    <w:rsid w:val="003719EC"/>
    <w:rsid w:val="00373BEF"/>
    <w:rsid w:val="0037520D"/>
    <w:rsid w:val="00377BD2"/>
    <w:rsid w:val="00381CC6"/>
    <w:rsid w:val="00385D6F"/>
    <w:rsid w:val="00390228"/>
    <w:rsid w:val="00393651"/>
    <w:rsid w:val="00394FBA"/>
    <w:rsid w:val="003A1F86"/>
    <w:rsid w:val="003A41BA"/>
    <w:rsid w:val="003A6A99"/>
    <w:rsid w:val="003B227A"/>
    <w:rsid w:val="003B344C"/>
    <w:rsid w:val="003C1A50"/>
    <w:rsid w:val="003D2BA3"/>
    <w:rsid w:val="003D7DDB"/>
    <w:rsid w:val="003E0543"/>
    <w:rsid w:val="003E526A"/>
    <w:rsid w:val="003F0E98"/>
    <w:rsid w:val="003F2005"/>
    <w:rsid w:val="003F58B0"/>
    <w:rsid w:val="003F6CF3"/>
    <w:rsid w:val="004007E9"/>
    <w:rsid w:val="00401BBC"/>
    <w:rsid w:val="00404B45"/>
    <w:rsid w:val="00406CC5"/>
    <w:rsid w:val="004074A4"/>
    <w:rsid w:val="00416543"/>
    <w:rsid w:val="004172DB"/>
    <w:rsid w:val="00422B75"/>
    <w:rsid w:val="00424150"/>
    <w:rsid w:val="0043503A"/>
    <w:rsid w:val="0044203A"/>
    <w:rsid w:val="0044384F"/>
    <w:rsid w:val="004543BC"/>
    <w:rsid w:val="004574C6"/>
    <w:rsid w:val="00457BCF"/>
    <w:rsid w:val="004718E7"/>
    <w:rsid w:val="004761CC"/>
    <w:rsid w:val="004914CA"/>
    <w:rsid w:val="004A24D2"/>
    <w:rsid w:val="004A4136"/>
    <w:rsid w:val="004B03F3"/>
    <w:rsid w:val="004B5BE6"/>
    <w:rsid w:val="004B70EF"/>
    <w:rsid w:val="004B7169"/>
    <w:rsid w:val="004B7B1F"/>
    <w:rsid w:val="004C673A"/>
    <w:rsid w:val="004D48CE"/>
    <w:rsid w:val="004E32EA"/>
    <w:rsid w:val="004F0D4F"/>
    <w:rsid w:val="00510588"/>
    <w:rsid w:val="0051146C"/>
    <w:rsid w:val="00520E93"/>
    <w:rsid w:val="00522D84"/>
    <w:rsid w:val="0052590B"/>
    <w:rsid w:val="00526591"/>
    <w:rsid w:val="005350A5"/>
    <w:rsid w:val="00536379"/>
    <w:rsid w:val="00540BEF"/>
    <w:rsid w:val="005436C2"/>
    <w:rsid w:val="00546A29"/>
    <w:rsid w:val="0055132C"/>
    <w:rsid w:val="005675DA"/>
    <w:rsid w:val="00580E4A"/>
    <w:rsid w:val="005A258C"/>
    <w:rsid w:val="005A3560"/>
    <w:rsid w:val="005B011A"/>
    <w:rsid w:val="005C071F"/>
    <w:rsid w:val="005C0E9E"/>
    <w:rsid w:val="005D01E3"/>
    <w:rsid w:val="005E4C94"/>
    <w:rsid w:val="005E7076"/>
    <w:rsid w:val="005F1115"/>
    <w:rsid w:val="005F27F2"/>
    <w:rsid w:val="005F424D"/>
    <w:rsid w:val="00602856"/>
    <w:rsid w:val="00615641"/>
    <w:rsid w:val="00634AD8"/>
    <w:rsid w:val="00634C4A"/>
    <w:rsid w:val="00636977"/>
    <w:rsid w:val="006418C9"/>
    <w:rsid w:val="00645046"/>
    <w:rsid w:val="006519F1"/>
    <w:rsid w:val="00662F08"/>
    <w:rsid w:val="00663589"/>
    <w:rsid w:val="006729C9"/>
    <w:rsid w:val="0067443B"/>
    <w:rsid w:val="0067763A"/>
    <w:rsid w:val="00682089"/>
    <w:rsid w:val="00682196"/>
    <w:rsid w:val="00684E2B"/>
    <w:rsid w:val="00685145"/>
    <w:rsid w:val="00690FDA"/>
    <w:rsid w:val="00696476"/>
    <w:rsid w:val="006A376D"/>
    <w:rsid w:val="006A40E6"/>
    <w:rsid w:val="006A67D4"/>
    <w:rsid w:val="006A75FA"/>
    <w:rsid w:val="006B5923"/>
    <w:rsid w:val="006C52BB"/>
    <w:rsid w:val="006D2D39"/>
    <w:rsid w:val="006D653F"/>
    <w:rsid w:val="006E06D1"/>
    <w:rsid w:val="006E1EA2"/>
    <w:rsid w:val="006E3B5A"/>
    <w:rsid w:val="006E7356"/>
    <w:rsid w:val="006F02EA"/>
    <w:rsid w:val="006F1A46"/>
    <w:rsid w:val="006F44F6"/>
    <w:rsid w:val="00700FB3"/>
    <w:rsid w:val="0070456F"/>
    <w:rsid w:val="0071384E"/>
    <w:rsid w:val="007165CE"/>
    <w:rsid w:val="007201A1"/>
    <w:rsid w:val="00721D12"/>
    <w:rsid w:val="00721F8B"/>
    <w:rsid w:val="007231D4"/>
    <w:rsid w:val="00736A49"/>
    <w:rsid w:val="00744EBB"/>
    <w:rsid w:val="00746AE2"/>
    <w:rsid w:val="00746DE2"/>
    <w:rsid w:val="0076100C"/>
    <w:rsid w:val="00781BD4"/>
    <w:rsid w:val="0078416F"/>
    <w:rsid w:val="00784832"/>
    <w:rsid w:val="00790CAE"/>
    <w:rsid w:val="00791F1E"/>
    <w:rsid w:val="00797A6D"/>
    <w:rsid w:val="007A0B39"/>
    <w:rsid w:val="007A0B55"/>
    <w:rsid w:val="007A168F"/>
    <w:rsid w:val="007A28E4"/>
    <w:rsid w:val="007A2FC1"/>
    <w:rsid w:val="007A5AD1"/>
    <w:rsid w:val="007B0A06"/>
    <w:rsid w:val="007B7C41"/>
    <w:rsid w:val="007C0CDE"/>
    <w:rsid w:val="007C433E"/>
    <w:rsid w:val="007D0292"/>
    <w:rsid w:val="007E2046"/>
    <w:rsid w:val="007E4FBB"/>
    <w:rsid w:val="007F1204"/>
    <w:rsid w:val="007F4E50"/>
    <w:rsid w:val="00807163"/>
    <w:rsid w:val="00811D5B"/>
    <w:rsid w:val="0081544D"/>
    <w:rsid w:val="00817713"/>
    <w:rsid w:val="008226B4"/>
    <w:rsid w:val="00830999"/>
    <w:rsid w:val="00830D5E"/>
    <w:rsid w:val="00830F69"/>
    <w:rsid w:val="00834458"/>
    <w:rsid w:val="00837465"/>
    <w:rsid w:val="00841457"/>
    <w:rsid w:val="0084374E"/>
    <w:rsid w:val="0085206E"/>
    <w:rsid w:val="008534D2"/>
    <w:rsid w:val="00853718"/>
    <w:rsid w:val="008541EF"/>
    <w:rsid w:val="00854A50"/>
    <w:rsid w:val="00855696"/>
    <w:rsid w:val="0085755E"/>
    <w:rsid w:val="0086162B"/>
    <w:rsid w:val="008643D7"/>
    <w:rsid w:val="00865207"/>
    <w:rsid w:val="00871262"/>
    <w:rsid w:val="00875B51"/>
    <w:rsid w:val="00875F2D"/>
    <w:rsid w:val="00880C3D"/>
    <w:rsid w:val="008840EC"/>
    <w:rsid w:val="00884B84"/>
    <w:rsid w:val="00885CBF"/>
    <w:rsid w:val="00896EAC"/>
    <w:rsid w:val="008A3216"/>
    <w:rsid w:val="008A63A9"/>
    <w:rsid w:val="008B5D31"/>
    <w:rsid w:val="008D1F33"/>
    <w:rsid w:val="008E2D99"/>
    <w:rsid w:val="008E3FD4"/>
    <w:rsid w:val="008E4A60"/>
    <w:rsid w:val="008E51A1"/>
    <w:rsid w:val="00900E52"/>
    <w:rsid w:val="009026E8"/>
    <w:rsid w:val="009077EC"/>
    <w:rsid w:val="00914ADB"/>
    <w:rsid w:val="00920599"/>
    <w:rsid w:val="00923B25"/>
    <w:rsid w:val="009300BE"/>
    <w:rsid w:val="00942645"/>
    <w:rsid w:val="0095340A"/>
    <w:rsid w:val="00953A9F"/>
    <w:rsid w:val="00954581"/>
    <w:rsid w:val="0095466C"/>
    <w:rsid w:val="0096168C"/>
    <w:rsid w:val="009732B8"/>
    <w:rsid w:val="00977CB4"/>
    <w:rsid w:val="009822BA"/>
    <w:rsid w:val="00985099"/>
    <w:rsid w:val="00985666"/>
    <w:rsid w:val="00985D4A"/>
    <w:rsid w:val="00992261"/>
    <w:rsid w:val="00992C82"/>
    <w:rsid w:val="00996CEA"/>
    <w:rsid w:val="009A0DE3"/>
    <w:rsid w:val="009A2CED"/>
    <w:rsid w:val="009B1534"/>
    <w:rsid w:val="009B38EC"/>
    <w:rsid w:val="009B61D9"/>
    <w:rsid w:val="009B69D3"/>
    <w:rsid w:val="009B6C00"/>
    <w:rsid w:val="009B7BA7"/>
    <w:rsid w:val="009C0938"/>
    <w:rsid w:val="009C1B9C"/>
    <w:rsid w:val="009C3828"/>
    <w:rsid w:val="009C3D79"/>
    <w:rsid w:val="009C3F82"/>
    <w:rsid w:val="009C49AE"/>
    <w:rsid w:val="009C7DF5"/>
    <w:rsid w:val="009D1ADE"/>
    <w:rsid w:val="009E1283"/>
    <w:rsid w:val="009F019C"/>
    <w:rsid w:val="009F02B3"/>
    <w:rsid w:val="00A1105B"/>
    <w:rsid w:val="00A13B30"/>
    <w:rsid w:val="00A15CAD"/>
    <w:rsid w:val="00A16876"/>
    <w:rsid w:val="00A200AA"/>
    <w:rsid w:val="00A2186F"/>
    <w:rsid w:val="00A2270B"/>
    <w:rsid w:val="00A22B6F"/>
    <w:rsid w:val="00A2496E"/>
    <w:rsid w:val="00A258B7"/>
    <w:rsid w:val="00A4700D"/>
    <w:rsid w:val="00A47CF1"/>
    <w:rsid w:val="00A50418"/>
    <w:rsid w:val="00A608FB"/>
    <w:rsid w:val="00A61B87"/>
    <w:rsid w:val="00A65439"/>
    <w:rsid w:val="00A70E7B"/>
    <w:rsid w:val="00A76094"/>
    <w:rsid w:val="00A84974"/>
    <w:rsid w:val="00A86CB6"/>
    <w:rsid w:val="00A90D55"/>
    <w:rsid w:val="00AA04B3"/>
    <w:rsid w:val="00AA55ED"/>
    <w:rsid w:val="00AC439D"/>
    <w:rsid w:val="00AC4C54"/>
    <w:rsid w:val="00AD38F0"/>
    <w:rsid w:val="00AE2D29"/>
    <w:rsid w:val="00AE3316"/>
    <w:rsid w:val="00AF49BC"/>
    <w:rsid w:val="00AF699F"/>
    <w:rsid w:val="00B026AF"/>
    <w:rsid w:val="00B03A90"/>
    <w:rsid w:val="00B1458B"/>
    <w:rsid w:val="00B227D6"/>
    <w:rsid w:val="00B2570E"/>
    <w:rsid w:val="00B31F82"/>
    <w:rsid w:val="00B32179"/>
    <w:rsid w:val="00B328EA"/>
    <w:rsid w:val="00B40A3E"/>
    <w:rsid w:val="00B4276E"/>
    <w:rsid w:val="00B522CD"/>
    <w:rsid w:val="00B54607"/>
    <w:rsid w:val="00B55917"/>
    <w:rsid w:val="00B61701"/>
    <w:rsid w:val="00B62076"/>
    <w:rsid w:val="00B72303"/>
    <w:rsid w:val="00B82277"/>
    <w:rsid w:val="00BA0D2F"/>
    <w:rsid w:val="00BA2D98"/>
    <w:rsid w:val="00BA30D1"/>
    <w:rsid w:val="00BA5BE2"/>
    <w:rsid w:val="00BA67B9"/>
    <w:rsid w:val="00BA7F46"/>
    <w:rsid w:val="00BB0A0A"/>
    <w:rsid w:val="00BB742C"/>
    <w:rsid w:val="00BD6806"/>
    <w:rsid w:val="00BD7831"/>
    <w:rsid w:val="00BD7C10"/>
    <w:rsid w:val="00BE0DEB"/>
    <w:rsid w:val="00BE40D9"/>
    <w:rsid w:val="00C03BB3"/>
    <w:rsid w:val="00C13B34"/>
    <w:rsid w:val="00C21A82"/>
    <w:rsid w:val="00C23387"/>
    <w:rsid w:val="00C25001"/>
    <w:rsid w:val="00C261C6"/>
    <w:rsid w:val="00C26A0F"/>
    <w:rsid w:val="00C27AE3"/>
    <w:rsid w:val="00C30A97"/>
    <w:rsid w:val="00C31DDC"/>
    <w:rsid w:val="00C34326"/>
    <w:rsid w:val="00C36BC2"/>
    <w:rsid w:val="00C53957"/>
    <w:rsid w:val="00C54DF3"/>
    <w:rsid w:val="00C71BEC"/>
    <w:rsid w:val="00C75A41"/>
    <w:rsid w:val="00C81213"/>
    <w:rsid w:val="00C846EA"/>
    <w:rsid w:val="00C84AD1"/>
    <w:rsid w:val="00C85579"/>
    <w:rsid w:val="00C86FA4"/>
    <w:rsid w:val="00CA068D"/>
    <w:rsid w:val="00CA1ED0"/>
    <w:rsid w:val="00CA282D"/>
    <w:rsid w:val="00CA63C4"/>
    <w:rsid w:val="00CB17AC"/>
    <w:rsid w:val="00CB23DC"/>
    <w:rsid w:val="00CB28E2"/>
    <w:rsid w:val="00CB7FF7"/>
    <w:rsid w:val="00CC2044"/>
    <w:rsid w:val="00CC69EC"/>
    <w:rsid w:val="00CD08E8"/>
    <w:rsid w:val="00CD34C7"/>
    <w:rsid w:val="00CD5472"/>
    <w:rsid w:val="00CE31C2"/>
    <w:rsid w:val="00CF4394"/>
    <w:rsid w:val="00CF6E94"/>
    <w:rsid w:val="00CF70B3"/>
    <w:rsid w:val="00D00497"/>
    <w:rsid w:val="00D066B8"/>
    <w:rsid w:val="00D12276"/>
    <w:rsid w:val="00D1648B"/>
    <w:rsid w:val="00D20AC0"/>
    <w:rsid w:val="00D20B52"/>
    <w:rsid w:val="00D23606"/>
    <w:rsid w:val="00D336C8"/>
    <w:rsid w:val="00D339E8"/>
    <w:rsid w:val="00D40B1F"/>
    <w:rsid w:val="00D46DEE"/>
    <w:rsid w:val="00D50C8C"/>
    <w:rsid w:val="00D52393"/>
    <w:rsid w:val="00D566E5"/>
    <w:rsid w:val="00D6182F"/>
    <w:rsid w:val="00D75CD4"/>
    <w:rsid w:val="00D76AB2"/>
    <w:rsid w:val="00D829AD"/>
    <w:rsid w:val="00D87788"/>
    <w:rsid w:val="00D904BF"/>
    <w:rsid w:val="00D910C2"/>
    <w:rsid w:val="00D9189B"/>
    <w:rsid w:val="00D91DA6"/>
    <w:rsid w:val="00D92775"/>
    <w:rsid w:val="00D93230"/>
    <w:rsid w:val="00D939DC"/>
    <w:rsid w:val="00D941E4"/>
    <w:rsid w:val="00D972D4"/>
    <w:rsid w:val="00D9782A"/>
    <w:rsid w:val="00DA195B"/>
    <w:rsid w:val="00DA2454"/>
    <w:rsid w:val="00DA3ED0"/>
    <w:rsid w:val="00DA4E39"/>
    <w:rsid w:val="00DA68CD"/>
    <w:rsid w:val="00DA7311"/>
    <w:rsid w:val="00DB6FBE"/>
    <w:rsid w:val="00DC233D"/>
    <w:rsid w:val="00DD3593"/>
    <w:rsid w:val="00DD3657"/>
    <w:rsid w:val="00DD6F41"/>
    <w:rsid w:val="00DD7D15"/>
    <w:rsid w:val="00DE461B"/>
    <w:rsid w:val="00DE7DDA"/>
    <w:rsid w:val="00DE7E74"/>
    <w:rsid w:val="00DF69F8"/>
    <w:rsid w:val="00E017F0"/>
    <w:rsid w:val="00E041E4"/>
    <w:rsid w:val="00E05283"/>
    <w:rsid w:val="00E14581"/>
    <w:rsid w:val="00E15539"/>
    <w:rsid w:val="00E16541"/>
    <w:rsid w:val="00E20E38"/>
    <w:rsid w:val="00E2632B"/>
    <w:rsid w:val="00E402D9"/>
    <w:rsid w:val="00E405EA"/>
    <w:rsid w:val="00E40F19"/>
    <w:rsid w:val="00E42789"/>
    <w:rsid w:val="00E44978"/>
    <w:rsid w:val="00E50BEB"/>
    <w:rsid w:val="00E53906"/>
    <w:rsid w:val="00E55F25"/>
    <w:rsid w:val="00E57A89"/>
    <w:rsid w:val="00E73B7C"/>
    <w:rsid w:val="00E750D8"/>
    <w:rsid w:val="00E82B6D"/>
    <w:rsid w:val="00E83F78"/>
    <w:rsid w:val="00E849D6"/>
    <w:rsid w:val="00E866F8"/>
    <w:rsid w:val="00E9232C"/>
    <w:rsid w:val="00E952BF"/>
    <w:rsid w:val="00EA11B6"/>
    <w:rsid w:val="00EA2DD8"/>
    <w:rsid w:val="00EA5F85"/>
    <w:rsid w:val="00EA681F"/>
    <w:rsid w:val="00EB11D8"/>
    <w:rsid w:val="00EB76E4"/>
    <w:rsid w:val="00EC0E65"/>
    <w:rsid w:val="00ED1024"/>
    <w:rsid w:val="00ED3DB2"/>
    <w:rsid w:val="00ED54DE"/>
    <w:rsid w:val="00EE0B44"/>
    <w:rsid w:val="00EF608E"/>
    <w:rsid w:val="00F0706C"/>
    <w:rsid w:val="00F11203"/>
    <w:rsid w:val="00F1516A"/>
    <w:rsid w:val="00F20B55"/>
    <w:rsid w:val="00F22074"/>
    <w:rsid w:val="00F22A26"/>
    <w:rsid w:val="00F253DD"/>
    <w:rsid w:val="00F32139"/>
    <w:rsid w:val="00F34E08"/>
    <w:rsid w:val="00F41D91"/>
    <w:rsid w:val="00F42E88"/>
    <w:rsid w:val="00F45AE4"/>
    <w:rsid w:val="00F46964"/>
    <w:rsid w:val="00F5126A"/>
    <w:rsid w:val="00F60B67"/>
    <w:rsid w:val="00F6149F"/>
    <w:rsid w:val="00F6468C"/>
    <w:rsid w:val="00F718A8"/>
    <w:rsid w:val="00F72183"/>
    <w:rsid w:val="00F82301"/>
    <w:rsid w:val="00F82981"/>
    <w:rsid w:val="00F8311F"/>
    <w:rsid w:val="00F83248"/>
    <w:rsid w:val="00F853AE"/>
    <w:rsid w:val="00F87C82"/>
    <w:rsid w:val="00F90662"/>
    <w:rsid w:val="00F93DCC"/>
    <w:rsid w:val="00F9435D"/>
    <w:rsid w:val="00F94A5D"/>
    <w:rsid w:val="00FB593A"/>
    <w:rsid w:val="00FB6E82"/>
    <w:rsid w:val="00FC4576"/>
    <w:rsid w:val="00FC4DBF"/>
    <w:rsid w:val="00FC692B"/>
    <w:rsid w:val="00FC7DBC"/>
    <w:rsid w:val="00FD1D5A"/>
    <w:rsid w:val="00FE3A1B"/>
    <w:rsid w:val="00FE61A8"/>
    <w:rsid w:val="00FF2C4B"/>
    <w:rsid w:val="00FF3C25"/>
    <w:rsid w:val="00FF4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1">
    <w:name w:val="heading 1"/>
    <w:basedOn w:val="Normal"/>
    <w:link w:val="Heading1Char"/>
    <w:uiPriority w:val="9"/>
    <w:qFormat/>
    <w:rsid w:val="000828DF"/>
    <w:pPr>
      <w:spacing w:before="100" w:beforeAutospacing="1" w:after="100" w:afterAutospacing="1"/>
      <w:outlineLvl w:val="0"/>
    </w:pPr>
    <w:rPr>
      <w:rFonts w:ascii="Arial" w:hAnsi="Arial" w:cs="Arial"/>
      <w:b/>
      <w:bCs/>
      <w:color w:val="000066"/>
      <w:kern w:val="36"/>
      <w:sz w:val="36"/>
      <w:szCs w:val="36"/>
    </w:rPr>
  </w:style>
  <w:style w:type="paragraph" w:styleId="Heading2">
    <w:name w:val="heading 2"/>
    <w:basedOn w:val="Normal"/>
    <w:next w:val="Normal"/>
    <w:link w:val="Heading2Char"/>
    <w:semiHidden/>
    <w:unhideWhenUsed/>
    <w:qFormat/>
    <w:rsid w:val="00B145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145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0828DF"/>
    <w:rPr>
      <w:color w:val="0000FF"/>
      <w:u w:val="single"/>
    </w:rPr>
  </w:style>
  <w:style w:type="paragraph" w:styleId="NormalWeb">
    <w:name w:val="Normal (Web)"/>
    <w:basedOn w:val="Normal"/>
    <w:uiPriority w:val="99"/>
    <w:unhideWhenUsed/>
    <w:rsid w:val="000828DF"/>
    <w:pPr>
      <w:spacing w:before="100" w:beforeAutospacing="1" w:after="100" w:afterAutospacing="1"/>
    </w:pPr>
    <w:rPr>
      <w:rFonts w:ascii="Times New Roman" w:hAnsi="Times New Roman"/>
      <w:color w:val="auto"/>
      <w:szCs w:val="24"/>
    </w:rPr>
  </w:style>
  <w:style w:type="character" w:customStyle="1" w:styleId="Heading1Char">
    <w:name w:val="Heading 1 Char"/>
    <w:basedOn w:val="DefaultParagraphFont"/>
    <w:link w:val="Heading1"/>
    <w:uiPriority w:val="9"/>
    <w:rsid w:val="000828DF"/>
    <w:rPr>
      <w:rFonts w:ascii="Arial" w:hAnsi="Arial" w:cs="Arial"/>
      <w:b/>
      <w:bCs/>
      <w:color w:val="000066"/>
      <w:kern w:val="36"/>
      <w:sz w:val="36"/>
      <w:szCs w:val="36"/>
    </w:rPr>
  </w:style>
  <w:style w:type="character" w:styleId="Strong">
    <w:name w:val="Strong"/>
    <w:basedOn w:val="DefaultParagraphFont"/>
    <w:uiPriority w:val="22"/>
    <w:qFormat/>
    <w:rsid w:val="000828DF"/>
    <w:rPr>
      <w:b/>
      <w:bCs/>
    </w:rPr>
  </w:style>
  <w:style w:type="paragraph" w:customStyle="1" w:styleId="citation">
    <w:name w:val="citation"/>
    <w:basedOn w:val="Normal"/>
    <w:rsid w:val="000828DF"/>
    <w:pPr>
      <w:spacing w:before="100" w:beforeAutospacing="1" w:after="100" w:afterAutospacing="1"/>
    </w:pPr>
    <w:rPr>
      <w:rFonts w:ascii="Times New Roman" w:hAnsi="Times New Roman"/>
      <w:color w:val="auto"/>
      <w:szCs w:val="24"/>
    </w:rPr>
  </w:style>
  <w:style w:type="paragraph" w:customStyle="1" w:styleId="aff">
    <w:name w:val="aff"/>
    <w:basedOn w:val="Normal"/>
    <w:rsid w:val="000828DF"/>
    <w:pPr>
      <w:spacing w:before="100" w:beforeAutospacing="1" w:after="100" w:afterAutospacing="1"/>
    </w:pPr>
    <w:rPr>
      <w:rFonts w:ascii="Times New Roman" w:hAnsi="Times New Roman"/>
      <w:color w:val="auto"/>
      <w:szCs w:val="24"/>
    </w:rPr>
  </w:style>
  <w:style w:type="paragraph" w:customStyle="1" w:styleId="authlist">
    <w:name w:val="auth_list"/>
    <w:basedOn w:val="Normal"/>
    <w:rsid w:val="000828DF"/>
    <w:pPr>
      <w:spacing w:before="100" w:beforeAutospacing="1" w:after="100" w:afterAutospacing="1"/>
    </w:pPr>
    <w:rPr>
      <w:rFonts w:ascii="Times New Roman" w:hAnsi="Times New Roman"/>
      <w:color w:val="auto"/>
      <w:szCs w:val="24"/>
    </w:rPr>
  </w:style>
  <w:style w:type="character" w:customStyle="1" w:styleId="hw1">
    <w:name w:val="hw1"/>
    <w:basedOn w:val="DefaultParagraphFont"/>
    <w:rsid w:val="00424150"/>
    <w:rPr>
      <w:b/>
      <w:bCs/>
      <w:sz w:val="24"/>
      <w:szCs w:val="24"/>
    </w:rPr>
  </w:style>
  <w:style w:type="character" w:customStyle="1" w:styleId="pronox1">
    <w:name w:val="pronox1"/>
    <w:basedOn w:val="DefaultParagraphFont"/>
    <w:rsid w:val="00424150"/>
    <w:rPr>
      <w:rFonts w:ascii="Arial Unicode MS" w:eastAsia="Arial Unicode MS" w:hAnsi="Arial Unicode MS" w:cs="Arial Unicode MS" w:hint="eastAsia"/>
    </w:rPr>
  </w:style>
  <w:style w:type="character" w:customStyle="1" w:styleId="Heading2Char">
    <w:name w:val="Heading 2 Char"/>
    <w:basedOn w:val="DefaultParagraphFont"/>
    <w:link w:val="Heading2"/>
    <w:semiHidden/>
    <w:rsid w:val="00B145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1458B"/>
    <w:rPr>
      <w:rFonts w:asciiTheme="majorHAnsi" w:eastAsiaTheme="majorEastAsia" w:hAnsiTheme="majorHAnsi" w:cstheme="majorBidi"/>
      <w:b/>
      <w:bCs/>
      <w:color w:val="4F81BD" w:themeColor="accent1"/>
      <w:sz w:val="24"/>
    </w:rPr>
  </w:style>
  <w:style w:type="character" w:customStyle="1" w:styleId="toctoggle">
    <w:name w:val="toctoggle"/>
    <w:basedOn w:val="DefaultParagraphFont"/>
    <w:rsid w:val="00B1458B"/>
  </w:style>
  <w:style w:type="character" w:customStyle="1" w:styleId="tocnumber2">
    <w:name w:val="tocnumber2"/>
    <w:basedOn w:val="DefaultParagraphFont"/>
    <w:rsid w:val="00B1458B"/>
  </w:style>
  <w:style w:type="character" w:customStyle="1" w:styleId="toctext">
    <w:name w:val="toctext"/>
    <w:basedOn w:val="DefaultParagraphFont"/>
    <w:rsid w:val="00B1458B"/>
  </w:style>
  <w:style w:type="character" w:customStyle="1" w:styleId="editsection">
    <w:name w:val="editsection"/>
    <w:basedOn w:val="DefaultParagraphFont"/>
    <w:rsid w:val="00B1458B"/>
  </w:style>
  <w:style w:type="character" w:customStyle="1" w:styleId="mw-headline">
    <w:name w:val="mw-headline"/>
    <w:basedOn w:val="DefaultParagraphFont"/>
    <w:rsid w:val="00B1458B"/>
  </w:style>
</w:styles>
</file>

<file path=word/webSettings.xml><?xml version="1.0" encoding="utf-8"?>
<w:webSettings xmlns:r="http://schemas.openxmlformats.org/officeDocument/2006/relationships" xmlns:w="http://schemas.openxmlformats.org/wordprocessingml/2006/main">
  <w:divs>
    <w:div w:id="58720262">
      <w:bodyDiv w:val="1"/>
      <w:marLeft w:val="0"/>
      <w:marRight w:val="0"/>
      <w:marTop w:val="0"/>
      <w:marBottom w:val="0"/>
      <w:divBdr>
        <w:top w:val="none" w:sz="0" w:space="0" w:color="auto"/>
        <w:left w:val="none" w:sz="0" w:space="0" w:color="auto"/>
        <w:bottom w:val="none" w:sz="0" w:space="0" w:color="auto"/>
        <w:right w:val="none" w:sz="0" w:space="0" w:color="auto"/>
      </w:divBdr>
    </w:div>
    <w:div w:id="115175584">
      <w:bodyDiv w:val="1"/>
      <w:marLeft w:val="0"/>
      <w:marRight w:val="0"/>
      <w:marTop w:val="0"/>
      <w:marBottom w:val="0"/>
      <w:divBdr>
        <w:top w:val="none" w:sz="0" w:space="0" w:color="auto"/>
        <w:left w:val="none" w:sz="0" w:space="0" w:color="auto"/>
        <w:bottom w:val="none" w:sz="0" w:space="0" w:color="auto"/>
        <w:right w:val="none" w:sz="0" w:space="0" w:color="auto"/>
      </w:divBdr>
    </w:div>
    <w:div w:id="258608185">
      <w:bodyDiv w:val="1"/>
      <w:marLeft w:val="0"/>
      <w:marRight w:val="0"/>
      <w:marTop w:val="0"/>
      <w:marBottom w:val="0"/>
      <w:divBdr>
        <w:top w:val="none" w:sz="0" w:space="0" w:color="auto"/>
        <w:left w:val="none" w:sz="0" w:space="0" w:color="auto"/>
        <w:bottom w:val="none" w:sz="0" w:space="0" w:color="auto"/>
        <w:right w:val="none" w:sz="0" w:space="0" w:color="auto"/>
      </w:divBdr>
      <w:divsChild>
        <w:div w:id="1237401962">
          <w:marLeft w:val="0"/>
          <w:marRight w:val="0"/>
          <w:marTop w:val="0"/>
          <w:marBottom w:val="0"/>
          <w:divBdr>
            <w:top w:val="none" w:sz="0" w:space="0" w:color="auto"/>
            <w:left w:val="none" w:sz="0" w:space="0" w:color="auto"/>
            <w:bottom w:val="none" w:sz="0" w:space="0" w:color="auto"/>
            <w:right w:val="none" w:sz="0" w:space="0" w:color="auto"/>
          </w:divBdr>
          <w:divsChild>
            <w:div w:id="1401637978">
              <w:marLeft w:val="0"/>
              <w:marRight w:val="0"/>
              <w:marTop w:val="0"/>
              <w:marBottom w:val="0"/>
              <w:divBdr>
                <w:top w:val="none" w:sz="0" w:space="0" w:color="auto"/>
                <w:left w:val="none" w:sz="0" w:space="0" w:color="auto"/>
                <w:bottom w:val="none" w:sz="0" w:space="0" w:color="auto"/>
                <w:right w:val="none" w:sz="0" w:space="0" w:color="auto"/>
              </w:divBdr>
              <w:divsChild>
                <w:div w:id="19278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7142">
      <w:bodyDiv w:val="1"/>
      <w:marLeft w:val="0"/>
      <w:marRight w:val="0"/>
      <w:marTop w:val="0"/>
      <w:marBottom w:val="0"/>
      <w:divBdr>
        <w:top w:val="none" w:sz="0" w:space="0" w:color="auto"/>
        <w:left w:val="none" w:sz="0" w:space="0" w:color="auto"/>
        <w:bottom w:val="none" w:sz="0" w:space="0" w:color="auto"/>
        <w:right w:val="none" w:sz="0" w:space="0" w:color="auto"/>
      </w:divBdr>
      <w:divsChild>
        <w:div w:id="1312715044">
          <w:marLeft w:val="0"/>
          <w:marRight w:val="0"/>
          <w:marTop w:val="0"/>
          <w:marBottom w:val="0"/>
          <w:divBdr>
            <w:top w:val="none" w:sz="0" w:space="0" w:color="auto"/>
            <w:left w:val="none" w:sz="0" w:space="0" w:color="auto"/>
            <w:bottom w:val="none" w:sz="0" w:space="0" w:color="auto"/>
            <w:right w:val="none" w:sz="0" w:space="0" w:color="auto"/>
          </w:divBdr>
          <w:divsChild>
            <w:div w:id="1484929927">
              <w:marLeft w:val="0"/>
              <w:marRight w:val="0"/>
              <w:marTop w:val="0"/>
              <w:marBottom w:val="0"/>
              <w:divBdr>
                <w:top w:val="none" w:sz="0" w:space="0" w:color="auto"/>
                <w:left w:val="none" w:sz="0" w:space="0" w:color="auto"/>
                <w:bottom w:val="none" w:sz="0" w:space="0" w:color="auto"/>
                <w:right w:val="none" w:sz="0" w:space="0" w:color="auto"/>
              </w:divBdr>
              <w:divsChild>
                <w:div w:id="209466651">
                  <w:marLeft w:val="0"/>
                  <w:marRight w:val="0"/>
                  <w:marTop w:val="0"/>
                  <w:marBottom w:val="0"/>
                  <w:divBdr>
                    <w:top w:val="none" w:sz="0" w:space="0" w:color="auto"/>
                    <w:left w:val="none" w:sz="0" w:space="0" w:color="auto"/>
                    <w:bottom w:val="none" w:sz="0" w:space="0" w:color="auto"/>
                    <w:right w:val="none" w:sz="0" w:space="0" w:color="auto"/>
                  </w:divBdr>
                  <w:divsChild>
                    <w:div w:id="1072851148">
                      <w:marLeft w:val="0"/>
                      <w:marRight w:val="0"/>
                      <w:marTop w:val="0"/>
                      <w:marBottom w:val="0"/>
                      <w:divBdr>
                        <w:top w:val="none" w:sz="0" w:space="0" w:color="auto"/>
                        <w:left w:val="none" w:sz="0" w:space="0" w:color="auto"/>
                        <w:bottom w:val="none" w:sz="0" w:space="0" w:color="auto"/>
                        <w:right w:val="none" w:sz="0" w:space="0" w:color="auto"/>
                      </w:divBdr>
                      <w:divsChild>
                        <w:div w:id="17274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76149">
      <w:bodyDiv w:val="1"/>
      <w:marLeft w:val="0"/>
      <w:marRight w:val="0"/>
      <w:marTop w:val="0"/>
      <w:marBottom w:val="0"/>
      <w:divBdr>
        <w:top w:val="none" w:sz="0" w:space="0" w:color="auto"/>
        <w:left w:val="none" w:sz="0" w:space="0" w:color="auto"/>
        <w:bottom w:val="none" w:sz="0" w:space="0" w:color="auto"/>
        <w:right w:val="none" w:sz="0" w:space="0" w:color="auto"/>
      </w:divBdr>
      <w:divsChild>
        <w:div w:id="1342046232">
          <w:marLeft w:val="0"/>
          <w:marRight w:val="0"/>
          <w:marTop w:val="0"/>
          <w:marBottom w:val="0"/>
          <w:divBdr>
            <w:top w:val="none" w:sz="0" w:space="0" w:color="auto"/>
            <w:left w:val="none" w:sz="0" w:space="0" w:color="auto"/>
            <w:bottom w:val="none" w:sz="0" w:space="0" w:color="auto"/>
            <w:right w:val="none" w:sz="0" w:space="0" w:color="auto"/>
          </w:divBdr>
          <w:divsChild>
            <w:div w:id="1239437555">
              <w:marLeft w:val="0"/>
              <w:marRight w:val="0"/>
              <w:marTop w:val="0"/>
              <w:marBottom w:val="200"/>
              <w:divBdr>
                <w:top w:val="none" w:sz="0" w:space="0" w:color="auto"/>
                <w:left w:val="none" w:sz="0" w:space="0" w:color="auto"/>
                <w:bottom w:val="single" w:sz="8" w:space="0" w:color="000000"/>
                <w:right w:val="none" w:sz="0" w:space="0" w:color="auto"/>
              </w:divBdr>
            </w:div>
            <w:div w:id="802312633">
              <w:marLeft w:val="75"/>
              <w:marRight w:val="75"/>
              <w:marTop w:val="75"/>
              <w:marBottom w:val="75"/>
              <w:divBdr>
                <w:top w:val="single" w:sz="12" w:space="4" w:color="006666"/>
                <w:left w:val="single" w:sz="12" w:space="4" w:color="006666"/>
                <w:bottom w:val="single" w:sz="12" w:space="4" w:color="006666"/>
                <w:right w:val="single" w:sz="12" w:space="4" w:color="006666"/>
              </w:divBdr>
              <w:divsChild>
                <w:div w:id="228348805">
                  <w:marLeft w:val="0"/>
                  <w:marRight w:val="0"/>
                  <w:marTop w:val="0"/>
                  <w:marBottom w:val="75"/>
                  <w:divBdr>
                    <w:top w:val="none" w:sz="0" w:space="0" w:color="auto"/>
                    <w:left w:val="none" w:sz="0" w:space="0" w:color="auto"/>
                    <w:bottom w:val="none" w:sz="0" w:space="0" w:color="auto"/>
                    <w:right w:val="none" w:sz="0" w:space="0" w:color="auto"/>
                  </w:divBdr>
                </w:div>
                <w:div w:id="1161508206">
                  <w:marLeft w:val="0"/>
                  <w:marRight w:val="0"/>
                  <w:marTop w:val="0"/>
                  <w:marBottom w:val="75"/>
                  <w:divBdr>
                    <w:top w:val="none" w:sz="0" w:space="0" w:color="auto"/>
                    <w:left w:val="none" w:sz="0" w:space="0" w:color="auto"/>
                    <w:bottom w:val="none" w:sz="0" w:space="0" w:color="auto"/>
                    <w:right w:val="none" w:sz="0" w:space="0" w:color="auto"/>
                  </w:divBdr>
                </w:div>
                <w:div w:id="1685520822">
                  <w:marLeft w:val="0"/>
                  <w:marRight w:val="0"/>
                  <w:marTop w:val="0"/>
                  <w:marBottom w:val="75"/>
                  <w:divBdr>
                    <w:top w:val="none" w:sz="0" w:space="0" w:color="auto"/>
                    <w:left w:val="none" w:sz="0" w:space="0" w:color="auto"/>
                    <w:bottom w:val="none" w:sz="0" w:space="0" w:color="auto"/>
                    <w:right w:val="none" w:sz="0" w:space="0" w:color="auto"/>
                  </w:divBdr>
                </w:div>
              </w:divsChild>
            </w:div>
            <w:div w:id="1250428177">
              <w:marLeft w:val="0"/>
              <w:marRight w:val="0"/>
              <w:marTop w:val="200"/>
              <w:marBottom w:val="60"/>
              <w:divBdr>
                <w:top w:val="none" w:sz="0" w:space="0" w:color="auto"/>
                <w:left w:val="none" w:sz="0" w:space="0" w:color="auto"/>
                <w:bottom w:val="single" w:sz="8" w:space="0" w:color="000000"/>
                <w:right w:val="none" w:sz="0" w:space="0" w:color="auto"/>
              </w:divBdr>
            </w:div>
            <w:div w:id="1848330439">
              <w:marLeft w:val="0"/>
              <w:marRight w:val="0"/>
              <w:marTop w:val="75"/>
              <w:marBottom w:val="0"/>
              <w:divBdr>
                <w:top w:val="none" w:sz="0" w:space="0" w:color="auto"/>
                <w:left w:val="none" w:sz="0" w:space="0" w:color="auto"/>
                <w:bottom w:val="none" w:sz="0" w:space="0" w:color="auto"/>
                <w:right w:val="none" w:sz="0" w:space="0" w:color="auto"/>
              </w:divBdr>
            </w:div>
            <w:div w:id="372074054">
              <w:marLeft w:val="0"/>
              <w:marRight w:val="0"/>
              <w:marTop w:val="200"/>
              <w:marBottom w:val="60"/>
              <w:divBdr>
                <w:top w:val="none" w:sz="0" w:space="0" w:color="auto"/>
                <w:left w:val="none" w:sz="0" w:space="0" w:color="auto"/>
                <w:bottom w:val="single" w:sz="8" w:space="0" w:color="000000"/>
                <w:right w:val="none" w:sz="0" w:space="0" w:color="auto"/>
              </w:divBdr>
            </w:div>
            <w:div w:id="681981242">
              <w:marLeft w:val="0"/>
              <w:marRight w:val="0"/>
              <w:marTop w:val="75"/>
              <w:marBottom w:val="0"/>
              <w:divBdr>
                <w:top w:val="none" w:sz="0" w:space="0" w:color="auto"/>
                <w:left w:val="none" w:sz="0" w:space="0" w:color="auto"/>
                <w:bottom w:val="none" w:sz="0" w:space="0" w:color="auto"/>
                <w:right w:val="none" w:sz="0" w:space="0" w:color="auto"/>
              </w:divBdr>
            </w:div>
            <w:div w:id="182600620">
              <w:marLeft w:val="0"/>
              <w:marRight w:val="0"/>
              <w:marTop w:val="200"/>
              <w:marBottom w:val="60"/>
              <w:divBdr>
                <w:top w:val="none" w:sz="0" w:space="0" w:color="auto"/>
                <w:left w:val="none" w:sz="0" w:space="0" w:color="auto"/>
                <w:bottom w:val="single" w:sz="8" w:space="0" w:color="000000"/>
                <w:right w:val="none" w:sz="0" w:space="0" w:color="auto"/>
              </w:divBdr>
            </w:div>
            <w:div w:id="971130919">
              <w:marLeft w:val="0"/>
              <w:marRight w:val="0"/>
              <w:marTop w:val="75"/>
              <w:marBottom w:val="0"/>
              <w:divBdr>
                <w:top w:val="none" w:sz="0" w:space="0" w:color="auto"/>
                <w:left w:val="none" w:sz="0" w:space="0" w:color="auto"/>
                <w:bottom w:val="none" w:sz="0" w:space="0" w:color="auto"/>
                <w:right w:val="none" w:sz="0" w:space="0" w:color="auto"/>
              </w:divBdr>
            </w:div>
            <w:div w:id="440346234">
              <w:marLeft w:val="0"/>
              <w:marRight w:val="0"/>
              <w:marTop w:val="300"/>
              <w:marBottom w:val="0"/>
              <w:divBdr>
                <w:top w:val="none" w:sz="0" w:space="0" w:color="auto"/>
                <w:left w:val="none" w:sz="0" w:space="0" w:color="auto"/>
                <w:bottom w:val="none" w:sz="0" w:space="0" w:color="auto"/>
                <w:right w:val="none" w:sz="0" w:space="0" w:color="auto"/>
              </w:divBdr>
            </w:div>
            <w:div w:id="3854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117">
      <w:bodyDiv w:val="1"/>
      <w:marLeft w:val="0"/>
      <w:marRight w:val="0"/>
      <w:marTop w:val="0"/>
      <w:marBottom w:val="0"/>
      <w:divBdr>
        <w:top w:val="none" w:sz="0" w:space="0" w:color="auto"/>
        <w:left w:val="none" w:sz="0" w:space="0" w:color="auto"/>
        <w:bottom w:val="none" w:sz="0" w:space="0" w:color="auto"/>
        <w:right w:val="none" w:sz="0" w:space="0" w:color="auto"/>
      </w:divBdr>
    </w:div>
    <w:div w:id="451753256">
      <w:bodyDiv w:val="1"/>
      <w:marLeft w:val="0"/>
      <w:marRight w:val="0"/>
      <w:marTop w:val="0"/>
      <w:marBottom w:val="0"/>
      <w:divBdr>
        <w:top w:val="none" w:sz="0" w:space="0" w:color="auto"/>
        <w:left w:val="none" w:sz="0" w:space="0" w:color="auto"/>
        <w:bottom w:val="none" w:sz="0" w:space="0" w:color="auto"/>
        <w:right w:val="none" w:sz="0" w:space="0" w:color="auto"/>
      </w:divBdr>
      <w:divsChild>
        <w:div w:id="1395005085">
          <w:marLeft w:val="0"/>
          <w:marRight w:val="0"/>
          <w:marTop w:val="0"/>
          <w:marBottom w:val="0"/>
          <w:divBdr>
            <w:top w:val="none" w:sz="0" w:space="0" w:color="auto"/>
            <w:left w:val="none" w:sz="0" w:space="0" w:color="auto"/>
            <w:bottom w:val="none" w:sz="0" w:space="0" w:color="auto"/>
            <w:right w:val="none" w:sz="0" w:space="0" w:color="auto"/>
          </w:divBdr>
        </w:div>
      </w:divsChild>
    </w:div>
    <w:div w:id="483086387">
      <w:bodyDiv w:val="1"/>
      <w:marLeft w:val="0"/>
      <w:marRight w:val="0"/>
      <w:marTop w:val="0"/>
      <w:marBottom w:val="0"/>
      <w:divBdr>
        <w:top w:val="none" w:sz="0" w:space="0" w:color="auto"/>
        <w:left w:val="none" w:sz="0" w:space="0" w:color="auto"/>
        <w:bottom w:val="none" w:sz="0" w:space="0" w:color="auto"/>
        <w:right w:val="none" w:sz="0" w:space="0" w:color="auto"/>
      </w:divBdr>
    </w:div>
    <w:div w:id="635573022">
      <w:bodyDiv w:val="1"/>
      <w:marLeft w:val="0"/>
      <w:marRight w:val="0"/>
      <w:marTop w:val="0"/>
      <w:marBottom w:val="0"/>
      <w:divBdr>
        <w:top w:val="none" w:sz="0" w:space="0" w:color="auto"/>
        <w:left w:val="none" w:sz="0" w:space="0" w:color="auto"/>
        <w:bottom w:val="none" w:sz="0" w:space="0" w:color="auto"/>
        <w:right w:val="none" w:sz="0" w:space="0" w:color="auto"/>
      </w:divBdr>
      <w:divsChild>
        <w:div w:id="1341083945">
          <w:marLeft w:val="0"/>
          <w:marRight w:val="0"/>
          <w:marTop w:val="0"/>
          <w:marBottom w:val="0"/>
          <w:divBdr>
            <w:top w:val="none" w:sz="0" w:space="0" w:color="auto"/>
            <w:left w:val="none" w:sz="0" w:space="0" w:color="auto"/>
            <w:bottom w:val="none" w:sz="0" w:space="0" w:color="auto"/>
            <w:right w:val="none" w:sz="0" w:space="0" w:color="auto"/>
          </w:divBdr>
          <w:divsChild>
            <w:div w:id="2098743630">
              <w:marLeft w:val="0"/>
              <w:marRight w:val="0"/>
              <w:marTop w:val="0"/>
              <w:marBottom w:val="0"/>
              <w:divBdr>
                <w:top w:val="none" w:sz="0" w:space="0" w:color="auto"/>
                <w:left w:val="none" w:sz="0" w:space="0" w:color="auto"/>
                <w:bottom w:val="none" w:sz="0" w:space="0" w:color="auto"/>
                <w:right w:val="none" w:sz="0" w:space="0" w:color="auto"/>
              </w:divBdr>
              <w:divsChild>
                <w:div w:id="1443455286">
                  <w:marLeft w:val="0"/>
                  <w:marRight w:val="-6084"/>
                  <w:marTop w:val="0"/>
                  <w:marBottom w:val="0"/>
                  <w:divBdr>
                    <w:top w:val="none" w:sz="0" w:space="0" w:color="auto"/>
                    <w:left w:val="none" w:sz="0" w:space="0" w:color="auto"/>
                    <w:bottom w:val="none" w:sz="0" w:space="0" w:color="auto"/>
                    <w:right w:val="none" w:sz="0" w:space="0" w:color="auto"/>
                  </w:divBdr>
                  <w:divsChild>
                    <w:div w:id="1964343234">
                      <w:marLeft w:val="0"/>
                      <w:marRight w:val="5604"/>
                      <w:marTop w:val="0"/>
                      <w:marBottom w:val="0"/>
                      <w:divBdr>
                        <w:top w:val="none" w:sz="0" w:space="0" w:color="auto"/>
                        <w:left w:val="none" w:sz="0" w:space="0" w:color="auto"/>
                        <w:bottom w:val="none" w:sz="0" w:space="0" w:color="auto"/>
                        <w:right w:val="none" w:sz="0" w:space="0" w:color="auto"/>
                      </w:divBdr>
                      <w:divsChild>
                        <w:div w:id="562638577">
                          <w:marLeft w:val="0"/>
                          <w:marRight w:val="0"/>
                          <w:marTop w:val="0"/>
                          <w:marBottom w:val="0"/>
                          <w:divBdr>
                            <w:top w:val="none" w:sz="0" w:space="0" w:color="auto"/>
                            <w:left w:val="none" w:sz="0" w:space="0" w:color="auto"/>
                            <w:bottom w:val="none" w:sz="0" w:space="0" w:color="auto"/>
                            <w:right w:val="none" w:sz="0" w:space="0" w:color="auto"/>
                          </w:divBdr>
                          <w:divsChild>
                            <w:div w:id="493763852">
                              <w:marLeft w:val="0"/>
                              <w:marRight w:val="0"/>
                              <w:marTop w:val="120"/>
                              <w:marBottom w:val="360"/>
                              <w:divBdr>
                                <w:top w:val="none" w:sz="0" w:space="0" w:color="auto"/>
                                <w:left w:val="none" w:sz="0" w:space="0" w:color="auto"/>
                                <w:bottom w:val="none" w:sz="0" w:space="0" w:color="auto"/>
                                <w:right w:val="none" w:sz="0" w:space="0" w:color="auto"/>
                              </w:divBdr>
                              <w:divsChild>
                                <w:div w:id="125293282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968614">
      <w:bodyDiv w:val="1"/>
      <w:marLeft w:val="0"/>
      <w:marRight w:val="0"/>
      <w:marTop w:val="0"/>
      <w:marBottom w:val="0"/>
      <w:divBdr>
        <w:top w:val="none" w:sz="0" w:space="0" w:color="auto"/>
        <w:left w:val="none" w:sz="0" w:space="0" w:color="auto"/>
        <w:bottom w:val="none" w:sz="0" w:space="0" w:color="auto"/>
        <w:right w:val="none" w:sz="0" w:space="0" w:color="auto"/>
      </w:divBdr>
      <w:divsChild>
        <w:div w:id="1490559803">
          <w:marLeft w:val="0"/>
          <w:marRight w:val="0"/>
          <w:marTop w:val="0"/>
          <w:marBottom w:val="0"/>
          <w:divBdr>
            <w:top w:val="none" w:sz="0" w:space="0" w:color="auto"/>
            <w:left w:val="none" w:sz="0" w:space="0" w:color="auto"/>
            <w:bottom w:val="none" w:sz="0" w:space="0" w:color="auto"/>
            <w:right w:val="none" w:sz="0" w:space="0" w:color="auto"/>
          </w:divBdr>
          <w:divsChild>
            <w:div w:id="24987952">
              <w:marLeft w:val="0"/>
              <w:marRight w:val="0"/>
              <w:marTop w:val="0"/>
              <w:marBottom w:val="0"/>
              <w:divBdr>
                <w:top w:val="none" w:sz="0" w:space="0" w:color="auto"/>
                <w:left w:val="none" w:sz="0" w:space="0" w:color="auto"/>
                <w:bottom w:val="none" w:sz="0" w:space="0" w:color="auto"/>
                <w:right w:val="none" w:sz="0" w:space="0" w:color="auto"/>
              </w:divBdr>
              <w:divsChild>
                <w:div w:id="1510634357">
                  <w:marLeft w:val="0"/>
                  <w:marRight w:val="-6084"/>
                  <w:marTop w:val="0"/>
                  <w:marBottom w:val="0"/>
                  <w:divBdr>
                    <w:top w:val="none" w:sz="0" w:space="0" w:color="auto"/>
                    <w:left w:val="none" w:sz="0" w:space="0" w:color="auto"/>
                    <w:bottom w:val="none" w:sz="0" w:space="0" w:color="auto"/>
                    <w:right w:val="none" w:sz="0" w:space="0" w:color="auto"/>
                  </w:divBdr>
                  <w:divsChild>
                    <w:div w:id="2054882040">
                      <w:marLeft w:val="0"/>
                      <w:marRight w:val="5604"/>
                      <w:marTop w:val="0"/>
                      <w:marBottom w:val="0"/>
                      <w:divBdr>
                        <w:top w:val="none" w:sz="0" w:space="0" w:color="auto"/>
                        <w:left w:val="none" w:sz="0" w:space="0" w:color="auto"/>
                        <w:bottom w:val="none" w:sz="0" w:space="0" w:color="auto"/>
                        <w:right w:val="none" w:sz="0" w:space="0" w:color="auto"/>
                      </w:divBdr>
                      <w:divsChild>
                        <w:div w:id="1850019504">
                          <w:marLeft w:val="0"/>
                          <w:marRight w:val="0"/>
                          <w:marTop w:val="0"/>
                          <w:marBottom w:val="0"/>
                          <w:divBdr>
                            <w:top w:val="none" w:sz="0" w:space="0" w:color="auto"/>
                            <w:left w:val="none" w:sz="0" w:space="0" w:color="auto"/>
                            <w:bottom w:val="none" w:sz="0" w:space="0" w:color="auto"/>
                            <w:right w:val="none" w:sz="0" w:space="0" w:color="auto"/>
                          </w:divBdr>
                          <w:divsChild>
                            <w:div w:id="1573739112">
                              <w:marLeft w:val="0"/>
                              <w:marRight w:val="0"/>
                              <w:marTop w:val="120"/>
                              <w:marBottom w:val="360"/>
                              <w:divBdr>
                                <w:top w:val="none" w:sz="0" w:space="0" w:color="auto"/>
                                <w:left w:val="none" w:sz="0" w:space="0" w:color="auto"/>
                                <w:bottom w:val="none" w:sz="0" w:space="0" w:color="auto"/>
                                <w:right w:val="none" w:sz="0" w:space="0" w:color="auto"/>
                              </w:divBdr>
                              <w:divsChild>
                                <w:div w:id="1038895108">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14093">
      <w:bodyDiv w:val="1"/>
      <w:marLeft w:val="105"/>
      <w:marRight w:val="105"/>
      <w:marTop w:val="15"/>
      <w:marBottom w:val="15"/>
      <w:divBdr>
        <w:top w:val="none" w:sz="0" w:space="0" w:color="auto"/>
        <w:left w:val="none" w:sz="0" w:space="0" w:color="auto"/>
        <w:bottom w:val="none" w:sz="0" w:space="0" w:color="auto"/>
        <w:right w:val="none" w:sz="0" w:space="0" w:color="auto"/>
      </w:divBdr>
      <w:divsChild>
        <w:div w:id="281353169">
          <w:marLeft w:val="0"/>
          <w:marRight w:val="0"/>
          <w:marTop w:val="120"/>
          <w:marBottom w:val="0"/>
          <w:divBdr>
            <w:top w:val="none" w:sz="0" w:space="0" w:color="auto"/>
            <w:left w:val="none" w:sz="0" w:space="0" w:color="auto"/>
            <w:bottom w:val="none" w:sz="0" w:space="0" w:color="auto"/>
            <w:right w:val="none" w:sz="0" w:space="0" w:color="auto"/>
          </w:divBdr>
          <w:divsChild>
            <w:div w:id="759259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2146578">
      <w:bodyDiv w:val="1"/>
      <w:marLeft w:val="0"/>
      <w:marRight w:val="0"/>
      <w:marTop w:val="0"/>
      <w:marBottom w:val="0"/>
      <w:divBdr>
        <w:top w:val="none" w:sz="0" w:space="0" w:color="auto"/>
        <w:left w:val="none" w:sz="0" w:space="0" w:color="auto"/>
        <w:bottom w:val="none" w:sz="0" w:space="0" w:color="auto"/>
        <w:right w:val="none" w:sz="0" w:space="0" w:color="auto"/>
      </w:divBdr>
    </w:div>
    <w:div w:id="1036467095">
      <w:bodyDiv w:val="1"/>
      <w:marLeft w:val="0"/>
      <w:marRight w:val="0"/>
      <w:marTop w:val="0"/>
      <w:marBottom w:val="0"/>
      <w:divBdr>
        <w:top w:val="none" w:sz="0" w:space="0" w:color="auto"/>
        <w:left w:val="none" w:sz="0" w:space="0" w:color="auto"/>
        <w:bottom w:val="none" w:sz="0" w:space="0" w:color="auto"/>
        <w:right w:val="none" w:sz="0" w:space="0" w:color="auto"/>
      </w:divBdr>
      <w:divsChild>
        <w:div w:id="920986678">
          <w:marLeft w:val="0"/>
          <w:marRight w:val="0"/>
          <w:marTop w:val="0"/>
          <w:marBottom w:val="0"/>
          <w:divBdr>
            <w:top w:val="none" w:sz="0" w:space="0" w:color="auto"/>
            <w:left w:val="none" w:sz="0" w:space="0" w:color="auto"/>
            <w:bottom w:val="none" w:sz="0" w:space="0" w:color="auto"/>
            <w:right w:val="none" w:sz="0" w:space="0" w:color="auto"/>
          </w:divBdr>
        </w:div>
      </w:divsChild>
    </w:div>
    <w:div w:id="1261571265">
      <w:bodyDiv w:val="1"/>
      <w:marLeft w:val="0"/>
      <w:marRight w:val="0"/>
      <w:marTop w:val="0"/>
      <w:marBottom w:val="0"/>
      <w:divBdr>
        <w:top w:val="none" w:sz="0" w:space="0" w:color="auto"/>
        <w:left w:val="none" w:sz="0" w:space="0" w:color="auto"/>
        <w:bottom w:val="none" w:sz="0" w:space="0" w:color="auto"/>
        <w:right w:val="none" w:sz="0" w:space="0" w:color="auto"/>
      </w:divBdr>
      <w:divsChild>
        <w:div w:id="1545219410">
          <w:marLeft w:val="0"/>
          <w:marRight w:val="0"/>
          <w:marTop w:val="0"/>
          <w:marBottom w:val="0"/>
          <w:divBdr>
            <w:top w:val="none" w:sz="0" w:space="0" w:color="auto"/>
            <w:left w:val="none" w:sz="0" w:space="0" w:color="auto"/>
            <w:bottom w:val="none" w:sz="0" w:space="0" w:color="auto"/>
            <w:right w:val="none" w:sz="0" w:space="0" w:color="auto"/>
          </w:divBdr>
        </w:div>
      </w:divsChild>
    </w:div>
    <w:div w:id="1351949561">
      <w:bodyDiv w:val="1"/>
      <w:marLeft w:val="0"/>
      <w:marRight w:val="0"/>
      <w:marTop w:val="0"/>
      <w:marBottom w:val="0"/>
      <w:divBdr>
        <w:top w:val="none" w:sz="0" w:space="0" w:color="auto"/>
        <w:left w:val="none" w:sz="0" w:space="0" w:color="auto"/>
        <w:bottom w:val="none" w:sz="0" w:space="0" w:color="auto"/>
        <w:right w:val="none" w:sz="0" w:space="0" w:color="auto"/>
      </w:divBdr>
    </w:div>
    <w:div w:id="1439256301">
      <w:bodyDiv w:val="1"/>
      <w:marLeft w:val="0"/>
      <w:marRight w:val="0"/>
      <w:marTop w:val="0"/>
      <w:marBottom w:val="0"/>
      <w:divBdr>
        <w:top w:val="none" w:sz="0" w:space="0" w:color="auto"/>
        <w:left w:val="none" w:sz="0" w:space="0" w:color="auto"/>
        <w:bottom w:val="none" w:sz="0" w:space="0" w:color="auto"/>
        <w:right w:val="none" w:sz="0" w:space="0" w:color="auto"/>
      </w:divBdr>
    </w:div>
    <w:div w:id="153337596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670408473">
      <w:bodyDiv w:val="1"/>
      <w:marLeft w:val="0"/>
      <w:marRight w:val="0"/>
      <w:marTop w:val="0"/>
      <w:marBottom w:val="0"/>
      <w:divBdr>
        <w:top w:val="none" w:sz="0" w:space="0" w:color="auto"/>
        <w:left w:val="none" w:sz="0" w:space="0" w:color="auto"/>
        <w:bottom w:val="none" w:sz="0" w:space="0" w:color="auto"/>
        <w:right w:val="none" w:sz="0" w:space="0" w:color="auto"/>
      </w:divBdr>
      <w:divsChild>
        <w:div w:id="785391621">
          <w:marLeft w:val="0"/>
          <w:marRight w:val="0"/>
          <w:marTop w:val="0"/>
          <w:marBottom w:val="0"/>
          <w:divBdr>
            <w:top w:val="none" w:sz="0" w:space="0" w:color="auto"/>
            <w:left w:val="none" w:sz="0" w:space="0" w:color="auto"/>
            <w:bottom w:val="none" w:sz="0" w:space="0" w:color="auto"/>
            <w:right w:val="none" w:sz="0" w:space="0" w:color="auto"/>
          </w:divBdr>
          <w:divsChild>
            <w:div w:id="1258292716">
              <w:marLeft w:val="0"/>
              <w:marRight w:val="0"/>
              <w:marTop w:val="0"/>
              <w:marBottom w:val="0"/>
              <w:divBdr>
                <w:top w:val="none" w:sz="0" w:space="0" w:color="auto"/>
                <w:left w:val="none" w:sz="0" w:space="0" w:color="auto"/>
                <w:bottom w:val="none" w:sz="0" w:space="0" w:color="auto"/>
                <w:right w:val="none" w:sz="0" w:space="0" w:color="auto"/>
              </w:divBdr>
              <w:divsChild>
                <w:div w:id="6321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835">
      <w:bodyDiv w:val="1"/>
      <w:marLeft w:val="0"/>
      <w:marRight w:val="0"/>
      <w:marTop w:val="0"/>
      <w:marBottom w:val="0"/>
      <w:divBdr>
        <w:top w:val="none" w:sz="0" w:space="0" w:color="auto"/>
        <w:left w:val="none" w:sz="0" w:space="0" w:color="auto"/>
        <w:bottom w:val="none" w:sz="0" w:space="0" w:color="auto"/>
        <w:right w:val="none" w:sz="0" w:space="0" w:color="auto"/>
      </w:divBdr>
    </w:div>
    <w:div w:id="1759209864">
      <w:bodyDiv w:val="1"/>
      <w:marLeft w:val="0"/>
      <w:marRight w:val="0"/>
      <w:marTop w:val="0"/>
      <w:marBottom w:val="0"/>
      <w:divBdr>
        <w:top w:val="none" w:sz="0" w:space="0" w:color="auto"/>
        <w:left w:val="none" w:sz="0" w:space="0" w:color="auto"/>
        <w:bottom w:val="none" w:sz="0" w:space="0" w:color="auto"/>
        <w:right w:val="none" w:sz="0" w:space="0" w:color="auto"/>
      </w:divBdr>
      <w:divsChild>
        <w:div w:id="1602952080">
          <w:marLeft w:val="0"/>
          <w:marRight w:val="0"/>
          <w:marTop w:val="0"/>
          <w:marBottom w:val="0"/>
          <w:divBdr>
            <w:top w:val="none" w:sz="0" w:space="0" w:color="auto"/>
            <w:left w:val="none" w:sz="0" w:space="0" w:color="auto"/>
            <w:bottom w:val="none" w:sz="0" w:space="0" w:color="auto"/>
            <w:right w:val="none" w:sz="0" w:space="0" w:color="auto"/>
          </w:divBdr>
          <w:divsChild>
            <w:div w:id="438379992">
              <w:marLeft w:val="0"/>
              <w:marRight w:val="0"/>
              <w:marTop w:val="0"/>
              <w:marBottom w:val="0"/>
              <w:divBdr>
                <w:top w:val="none" w:sz="0" w:space="0" w:color="auto"/>
                <w:left w:val="none" w:sz="0" w:space="0" w:color="auto"/>
                <w:bottom w:val="none" w:sz="0" w:space="0" w:color="auto"/>
                <w:right w:val="none" w:sz="0" w:space="0" w:color="auto"/>
              </w:divBdr>
              <w:divsChild>
                <w:div w:id="108285501">
                  <w:marLeft w:val="0"/>
                  <w:marRight w:val="0"/>
                  <w:marTop w:val="0"/>
                  <w:marBottom w:val="0"/>
                  <w:divBdr>
                    <w:top w:val="none" w:sz="0" w:space="0" w:color="auto"/>
                    <w:left w:val="none" w:sz="0" w:space="0" w:color="auto"/>
                    <w:bottom w:val="none" w:sz="0" w:space="0" w:color="auto"/>
                    <w:right w:val="none" w:sz="0" w:space="0" w:color="auto"/>
                  </w:divBdr>
                  <w:divsChild>
                    <w:div w:id="773986963">
                      <w:marLeft w:val="0"/>
                      <w:marRight w:val="0"/>
                      <w:marTop w:val="0"/>
                      <w:marBottom w:val="0"/>
                      <w:divBdr>
                        <w:top w:val="none" w:sz="0" w:space="0" w:color="auto"/>
                        <w:left w:val="none" w:sz="0" w:space="0" w:color="auto"/>
                        <w:bottom w:val="none" w:sz="0" w:space="0" w:color="auto"/>
                        <w:right w:val="none" w:sz="0" w:space="0" w:color="auto"/>
                      </w:divBdr>
                      <w:divsChild>
                        <w:div w:id="1806503996">
                          <w:marLeft w:val="0"/>
                          <w:marRight w:val="0"/>
                          <w:marTop w:val="0"/>
                          <w:marBottom w:val="0"/>
                          <w:divBdr>
                            <w:top w:val="none" w:sz="0" w:space="0" w:color="auto"/>
                            <w:left w:val="none" w:sz="0" w:space="0" w:color="auto"/>
                            <w:bottom w:val="none" w:sz="0" w:space="0" w:color="auto"/>
                            <w:right w:val="none" w:sz="0" w:space="0" w:color="auto"/>
                          </w:divBdr>
                        </w:div>
                        <w:div w:id="388847433">
                          <w:marLeft w:val="0"/>
                          <w:marRight w:val="0"/>
                          <w:marTop w:val="0"/>
                          <w:marBottom w:val="0"/>
                          <w:divBdr>
                            <w:top w:val="none" w:sz="0" w:space="0" w:color="auto"/>
                            <w:left w:val="none" w:sz="0" w:space="0" w:color="auto"/>
                            <w:bottom w:val="none" w:sz="0" w:space="0" w:color="auto"/>
                            <w:right w:val="none" w:sz="0" w:space="0" w:color="auto"/>
                          </w:divBdr>
                          <w:divsChild>
                            <w:div w:id="1203053174">
                              <w:marLeft w:val="0"/>
                              <w:marRight w:val="0"/>
                              <w:marTop w:val="0"/>
                              <w:marBottom w:val="0"/>
                              <w:divBdr>
                                <w:top w:val="none" w:sz="0" w:space="0" w:color="auto"/>
                                <w:left w:val="none" w:sz="0" w:space="0" w:color="auto"/>
                                <w:bottom w:val="none" w:sz="0" w:space="0" w:color="auto"/>
                                <w:right w:val="none" w:sz="0" w:space="0" w:color="auto"/>
                              </w:divBdr>
                            </w:div>
                          </w:divsChild>
                        </w:div>
                        <w:div w:id="803621199">
                          <w:marLeft w:val="0"/>
                          <w:marRight w:val="0"/>
                          <w:marTop w:val="0"/>
                          <w:marBottom w:val="0"/>
                          <w:divBdr>
                            <w:top w:val="none" w:sz="0" w:space="0" w:color="auto"/>
                            <w:left w:val="none" w:sz="0" w:space="0" w:color="auto"/>
                            <w:bottom w:val="none" w:sz="0" w:space="0" w:color="auto"/>
                            <w:right w:val="none" w:sz="0" w:space="0" w:color="auto"/>
                          </w:divBdr>
                          <w:divsChild>
                            <w:div w:id="640622565">
                              <w:marLeft w:val="0"/>
                              <w:marRight w:val="0"/>
                              <w:marTop w:val="0"/>
                              <w:marBottom w:val="0"/>
                              <w:divBdr>
                                <w:top w:val="none" w:sz="0" w:space="0" w:color="auto"/>
                                <w:left w:val="none" w:sz="0" w:space="0" w:color="auto"/>
                                <w:bottom w:val="none" w:sz="0" w:space="0" w:color="auto"/>
                                <w:right w:val="none" w:sz="0" w:space="0" w:color="auto"/>
                              </w:divBdr>
                            </w:div>
                          </w:divsChild>
                        </w:div>
                        <w:div w:id="310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62255">
      <w:bodyDiv w:val="1"/>
      <w:marLeft w:val="0"/>
      <w:marRight w:val="0"/>
      <w:marTop w:val="0"/>
      <w:marBottom w:val="0"/>
      <w:divBdr>
        <w:top w:val="none" w:sz="0" w:space="0" w:color="auto"/>
        <w:left w:val="none" w:sz="0" w:space="0" w:color="auto"/>
        <w:bottom w:val="none" w:sz="0" w:space="0" w:color="auto"/>
        <w:right w:val="none" w:sz="0" w:space="0" w:color="auto"/>
      </w:divBdr>
    </w:div>
    <w:div w:id="1856383565">
      <w:bodyDiv w:val="1"/>
      <w:marLeft w:val="0"/>
      <w:marRight w:val="0"/>
      <w:marTop w:val="0"/>
      <w:marBottom w:val="0"/>
      <w:divBdr>
        <w:top w:val="none" w:sz="0" w:space="0" w:color="auto"/>
        <w:left w:val="none" w:sz="0" w:space="0" w:color="auto"/>
        <w:bottom w:val="none" w:sz="0" w:space="0" w:color="auto"/>
        <w:right w:val="none" w:sz="0" w:space="0" w:color="auto"/>
      </w:divBdr>
      <w:divsChild>
        <w:div w:id="1021391385">
          <w:marLeft w:val="0"/>
          <w:marRight w:val="0"/>
          <w:marTop w:val="0"/>
          <w:marBottom w:val="0"/>
          <w:divBdr>
            <w:top w:val="none" w:sz="0" w:space="0" w:color="auto"/>
            <w:left w:val="none" w:sz="0" w:space="0" w:color="auto"/>
            <w:bottom w:val="none" w:sz="0" w:space="0" w:color="auto"/>
            <w:right w:val="none" w:sz="0" w:space="0" w:color="auto"/>
          </w:divBdr>
        </w:div>
      </w:divsChild>
    </w:div>
    <w:div w:id="1874920825">
      <w:bodyDiv w:val="1"/>
      <w:marLeft w:val="0"/>
      <w:marRight w:val="0"/>
      <w:marTop w:val="0"/>
      <w:marBottom w:val="0"/>
      <w:divBdr>
        <w:top w:val="none" w:sz="0" w:space="0" w:color="auto"/>
        <w:left w:val="none" w:sz="0" w:space="0" w:color="auto"/>
        <w:bottom w:val="none" w:sz="0" w:space="0" w:color="auto"/>
        <w:right w:val="none" w:sz="0" w:space="0" w:color="auto"/>
      </w:divBdr>
    </w:div>
    <w:div w:id="1920169725">
      <w:bodyDiv w:val="1"/>
      <w:marLeft w:val="0"/>
      <w:marRight w:val="0"/>
      <w:marTop w:val="0"/>
      <w:marBottom w:val="0"/>
      <w:divBdr>
        <w:top w:val="none" w:sz="0" w:space="0" w:color="auto"/>
        <w:left w:val="none" w:sz="0" w:space="0" w:color="auto"/>
        <w:bottom w:val="none" w:sz="0" w:space="0" w:color="auto"/>
        <w:right w:val="none" w:sz="0" w:space="0" w:color="auto"/>
      </w:divBdr>
    </w:div>
    <w:div w:id="20767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2010-04-27T19:12:00Z</cp:lastPrinted>
  <dcterms:created xsi:type="dcterms:W3CDTF">2012-03-10T18:40:00Z</dcterms:created>
  <dcterms:modified xsi:type="dcterms:W3CDTF">2012-03-10T18:40:00Z</dcterms:modified>
</cp:coreProperties>
</file>