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D705E6">
        <w:rPr>
          <w:rFonts w:asciiTheme="minorHAnsi" w:hAnsiTheme="minorHAnsi"/>
          <w:caps/>
          <w:color w:val="auto"/>
        </w:rPr>
        <w:t xml:space="preserve"> </w:t>
      </w:r>
      <w:r w:rsidR="00AA4DF2">
        <w:rPr>
          <w:rFonts w:asciiTheme="minorHAnsi" w:hAnsiTheme="minorHAnsi"/>
          <w:caps/>
          <w:color w:val="auto"/>
        </w:rPr>
        <w:t>XXXXXXXX</w:t>
      </w:r>
      <w:r w:rsidRPr="00B20624">
        <w:rPr>
          <w:rFonts w:asciiTheme="minorHAnsi" w:hAnsiTheme="minorHAnsi"/>
          <w:caps/>
          <w:color w:val="auto"/>
        </w:rPr>
        <w:tab/>
      </w:r>
      <w:r w:rsidRPr="00B20624">
        <w:rPr>
          <w:rFonts w:asciiTheme="minorHAnsi" w:hAnsiTheme="minorHAnsi"/>
          <w:caps/>
          <w:color w:val="auto"/>
        </w:rPr>
        <w:tab/>
        <w:t xml:space="preserve">BRANCH OF SERVICE: </w:t>
      </w:r>
      <w:r w:rsidR="003A27B2" w:rsidRPr="00D705E6">
        <w:rPr>
          <w:rFonts w:asciiTheme="minorHAnsi" w:hAnsiTheme="minorHAnsi"/>
          <w:caps/>
          <w:color w:val="auto"/>
        </w:rPr>
        <w:t>NAVY</w:t>
      </w:r>
    </w:p>
    <w:p w:rsidR="00540BEF" w:rsidRPr="00B20624" w:rsidRDefault="00540BEF" w:rsidP="00190E48">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CASE NUMBER:  </w:t>
      </w:r>
      <w:r w:rsidR="00D705E6" w:rsidRPr="00D705E6">
        <w:rPr>
          <w:rFonts w:asciiTheme="minorHAnsi" w:hAnsiTheme="minorHAnsi"/>
          <w:caps/>
          <w:color w:val="auto"/>
        </w:rPr>
        <w:t>PD0900423</w:t>
      </w:r>
      <w:r w:rsidRPr="00B20624">
        <w:rPr>
          <w:rFonts w:asciiTheme="minorHAnsi" w:hAnsiTheme="minorHAnsi"/>
          <w:caps/>
          <w:color w:val="auto"/>
        </w:rPr>
        <w:tab/>
      </w:r>
      <w:r w:rsidRPr="00B20624">
        <w:rPr>
          <w:rFonts w:asciiTheme="minorHAnsi" w:hAnsiTheme="minorHAnsi"/>
          <w:caps/>
          <w:color w:val="auto"/>
        </w:rPr>
        <w:tab/>
      </w:r>
      <w:r w:rsidR="00C22F3A" w:rsidRPr="00B20624">
        <w:rPr>
          <w:rFonts w:asciiTheme="minorHAnsi" w:hAnsiTheme="minorHAnsi"/>
          <w:caps/>
          <w:color w:val="auto"/>
        </w:rPr>
        <w:t xml:space="preserve">SEPARATION DATE: </w:t>
      </w:r>
      <w:r w:rsidR="00D705E6">
        <w:rPr>
          <w:rFonts w:asciiTheme="minorHAnsi" w:hAnsiTheme="minorHAnsi"/>
          <w:caps/>
          <w:color w:val="auto"/>
        </w:rPr>
        <w:t>2005080</w:t>
      </w:r>
      <w:r w:rsidR="00D97F6F">
        <w:rPr>
          <w:rFonts w:asciiTheme="minorHAnsi" w:hAnsiTheme="minorHAnsi"/>
          <w:caps/>
          <w:color w:val="auto"/>
        </w:rPr>
        <w:t>4</w:t>
      </w:r>
    </w:p>
    <w:p w:rsidR="00540BEF" w:rsidRDefault="00540BEF" w:rsidP="00190E48">
      <w:pPr>
        <w:tabs>
          <w:tab w:val="left" w:pos="288"/>
          <w:tab w:val="left" w:pos="4752"/>
        </w:tabs>
        <w:spacing w:line="240" w:lineRule="exact"/>
        <w:jc w:val="both"/>
        <w:rPr>
          <w:rFonts w:asciiTheme="minorHAnsi" w:hAnsiTheme="minorHAnsi"/>
          <w:caps/>
          <w:color w:val="auto"/>
        </w:rPr>
      </w:pPr>
      <w:r w:rsidRPr="00B20624">
        <w:rPr>
          <w:rFonts w:asciiTheme="minorHAnsi" w:hAnsiTheme="minorHAnsi"/>
          <w:caps/>
          <w:color w:val="auto"/>
        </w:rPr>
        <w:t xml:space="preserve">BOARD DATE: </w:t>
      </w:r>
      <w:r w:rsidR="000F02BE" w:rsidRPr="00B20624">
        <w:rPr>
          <w:rFonts w:asciiTheme="minorHAnsi" w:hAnsiTheme="minorHAnsi"/>
          <w:caps/>
          <w:color w:val="auto"/>
        </w:rPr>
        <w:t>201</w:t>
      </w:r>
      <w:r w:rsidR="00070960">
        <w:rPr>
          <w:rFonts w:asciiTheme="minorHAnsi" w:hAnsiTheme="minorHAnsi"/>
          <w:caps/>
          <w:color w:val="auto"/>
        </w:rPr>
        <w:t>1</w:t>
      </w:r>
      <w:r w:rsidR="009C6671">
        <w:rPr>
          <w:rFonts w:asciiTheme="minorHAnsi" w:hAnsiTheme="minorHAnsi"/>
          <w:caps/>
          <w:color w:val="auto"/>
        </w:rPr>
        <w:t>0215</w:t>
      </w:r>
      <w:r w:rsidRPr="00B20624">
        <w:rPr>
          <w:rFonts w:asciiTheme="minorHAnsi" w:hAnsiTheme="minorHAnsi"/>
          <w:caps/>
          <w:color w:val="auto"/>
        </w:rPr>
        <w:tab/>
      </w:r>
      <w:r w:rsidRPr="00B20624">
        <w:rPr>
          <w:rFonts w:asciiTheme="minorHAnsi" w:hAnsiTheme="minorHAnsi"/>
          <w:caps/>
          <w:color w:val="auto"/>
        </w:rPr>
        <w:tab/>
      </w:r>
    </w:p>
    <w:p w:rsidR="00540BEF" w:rsidRPr="002E289F" w:rsidRDefault="00540BEF" w:rsidP="00190E48">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002E289F" w:rsidRPr="002E289F">
        <w:rPr>
          <w:rFonts w:asciiTheme="minorHAnsi" w:hAnsiTheme="minorHAnsi"/>
          <w:color w:val="auto"/>
          <w:u w:val="single"/>
        </w:rPr>
        <w:softHyphen/>
        <w:t>___</w:t>
      </w:r>
      <w:r w:rsidRPr="002E289F">
        <w:rPr>
          <w:rFonts w:asciiTheme="minorHAnsi" w:hAnsiTheme="minorHAnsi"/>
          <w:color w:val="auto"/>
          <w:u w:val="single"/>
        </w:rPr>
        <w:t>______________________________________________________________</w:t>
      </w:r>
      <w:r w:rsidR="00AC713F" w:rsidRPr="002E289F">
        <w:rPr>
          <w:rFonts w:asciiTheme="minorHAnsi" w:hAnsiTheme="minorHAnsi"/>
          <w:color w:val="auto"/>
          <w:u w:val="single"/>
        </w:rPr>
        <w:t>___________</w:t>
      </w:r>
    </w:p>
    <w:p w:rsidR="00B522CD" w:rsidRPr="00D91DA6" w:rsidRDefault="00B522CD" w:rsidP="00AF1668">
      <w:pPr>
        <w:tabs>
          <w:tab w:val="left" w:pos="288"/>
          <w:tab w:val="left" w:pos="4752"/>
        </w:tabs>
        <w:spacing w:line="240" w:lineRule="exact"/>
        <w:rPr>
          <w:color w:val="000080"/>
        </w:rPr>
      </w:pPr>
    </w:p>
    <w:p w:rsidR="005052D4" w:rsidRPr="00AE3316" w:rsidRDefault="005052D4" w:rsidP="005F0EAF">
      <w:pPr>
        <w:tabs>
          <w:tab w:val="left" w:pos="288"/>
          <w:tab w:val="left" w:pos="4752"/>
        </w:tabs>
        <w:spacing w:line="240" w:lineRule="exact"/>
        <w:jc w:val="both"/>
        <w:rPr>
          <w:rFonts w:ascii="Calibri" w:hAnsi="Calibri"/>
          <w:color w:val="auto"/>
          <w:szCs w:val="24"/>
        </w:rPr>
      </w:pPr>
      <w:r w:rsidRPr="00A132EE">
        <w:rPr>
          <w:rFonts w:ascii="Calibri" w:hAnsi="Calibri"/>
          <w:color w:val="auto"/>
          <w:u w:val="single"/>
        </w:rPr>
        <w:t>SUMMARY OF CASE</w:t>
      </w:r>
      <w:r w:rsidRPr="00A132EE">
        <w:rPr>
          <w:rFonts w:ascii="Calibri" w:hAnsi="Calibri"/>
          <w:color w:val="auto"/>
        </w:rPr>
        <w:t xml:space="preserve">:  </w:t>
      </w:r>
      <w:r w:rsidR="009C6671" w:rsidRPr="009C6671">
        <w:rPr>
          <w:rFonts w:ascii="Calibri" w:hAnsi="Calibri"/>
          <w:color w:val="auto"/>
          <w:szCs w:val="24"/>
        </w:rPr>
        <w:t xml:space="preserve">Data extracted from the available evidence of record reflects that this covered individual (CI) was </w:t>
      </w:r>
      <w:r w:rsidRPr="00A132EE">
        <w:rPr>
          <w:rFonts w:ascii="Calibri" w:hAnsi="Calibri"/>
          <w:color w:val="auto"/>
          <w:szCs w:val="24"/>
        </w:rPr>
        <w:t xml:space="preserve">an active duty </w:t>
      </w:r>
      <w:r w:rsidR="00A132EE" w:rsidRPr="00A132EE">
        <w:rPr>
          <w:rFonts w:ascii="Calibri" w:hAnsi="Calibri"/>
          <w:color w:val="auto"/>
          <w:szCs w:val="24"/>
        </w:rPr>
        <w:t xml:space="preserve">E-5 </w:t>
      </w:r>
      <w:r w:rsidRPr="00A132EE">
        <w:rPr>
          <w:rFonts w:ascii="Calibri" w:hAnsi="Calibri"/>
          <w:color w:val="auto"/>
          <w:szCs w:val="24"/>
        </w:rPr>
        <w:t>(</w:t>
      </w:r>
      <w:r w:rsidR="00540E33" w:rsidRPr="00A132EE">
        <w:rPr>
          <w:rFonts w:ascii="Calibri" w:hAnsi="Calibri"/>
          <w:color w:val="auto"/>
          <w:szCs w:val="24"/>
        </w:rPr>
        <w:t>CTT2</w:t>
      </w:r>
      <w:r w:rsidRPr="00A132EE">
        <w:rPr>
          <w:rFonts w:ascii="Calibri" w:hAnsi="Calibri"/>
          <w:color w:val="auto"/>
          <w:szCs w:val="24"/>
        </w:rPr>
        <w:t xml:space="preserve">, </w:t>
      </w:r>
      <w:r w:rsidR="00E85FBD" w:rsidRPr="00E85FBD">
        <w:rPr>
          <w:rFonts w:ascii="Calibri" w:hAnsi="Calibri"/>
          <w:color w:val="auto"/>
          <w:szCs w:val="24"/>
        </w:rPr>
        <w:t>Cryptology</w:t>
      </w:r>
      <w:r w:rsidR="00540E33" w:rsidRPr="00A132EE">
        <w:rPr>
          <w:rFonts w:ascii="Calibri" w:hAnsi="Calibri"/>
          <w:color w:val="auto"/>
          <w:szCs w:val="24"/>
        </w:rPr>
        <w:t xml:space="preserve"> Technician</w:t>
      </w:r>
      <w:r w:rsidRPr="00A132EE">
        <w:rPr>
          <w:rFonts w:ascii="Calibri" w:hAnsi="Calibri"/>
          <w:color w:val="auto"/>
          <w:szCs w:val="24"/>
        </w:rPr>
        <w:t xml:space="preserve">) medically separated from the </w:t>
      </w:r>
      <w:r w:rsidR="00540E33" w:rsidRPr="00A132EE">
        <w:rPr>
          <w:rFonts w:ascii="Calibri" w:hAnsi="Calibri"/>
          <w:color w:val="auto"/>
          <w:szCs w:val="24"/>
        </w:rPr>
        <w:t>Navy</w:t>
      </w:r>
      <w:r w:rsidRPr="00A132EE">
        <w:rPr>
          <w:rFonts w:ascii="Calibri" w:hAnsi="Calibri"/>
          <w:color w:val="auto"/>
          <w:szCs w:val="24"/>
        </w:rPr>
        <w:t xml:space="preserve"> in 200</w:t>
      </w:r>
      <w:r w:rsidR="00540E33" w:rsidRPr="00A132EE">
        <w:rPr>
          <w:rFonts w:ascii="Calibri" w:hAnsi="Calibri"/>
          <w:color w:val="auto"/>
          <w:szCs w:val="24"/>
        </w:rPr>
        <w:t>5</w:t>
      </w:r>
      <w:r w:rsidRPr="00A132EE">
        <w:rPr>
          <w:rFonts w:ascii="Calibri" w:hAnsi="Calibri"/>
          <w:color w:val="auto"/>
          <w:szCs w:val="24"/>
        </w:rPr>
        <w:t xml:space="preserve"> after </w:t>
      </w:r>
      <w:r w:rsidR="005F0EAF">
        <w:rPr>
          <w:rFonts w:ascii="Calibri" w:hAnsi="Calibri"/>
          <w:color w:val="auto"/>
          <w:szCs w:val="24"/>
        </w:rPr>
        <w:t>four</w:t>
      </w:r>
      <w:r w:rsidR="00540E33" w:rsidRPr="00A132EE">
        <w:rPr>
          <w:rFonts w:ascii="Calibri" w:hAnsi="Calibri"/>
          <w:color w:val="auto"/>
          <w:szCs w:val="24"/>
        </w:rPr>
        <w:t xml:space="preserve"> </w:t>
      </w:r>
      <w:r w:rsidRPr="00A132EE">
        <w:rPr>
          <w:rFonts w:ascii="Calibri" w:hAnsi="Calibri"/>
          <w:color w:val="auto"/>
          <w:szCs w:val="24"/>
        </w:rPr>
        <w:t>years of service.  The medical</w:t>
      </w:r>
      <w:r w:rsidRPr="00AE3316">
        <w:rPr>
          <w:rFonts w:ascii="Calibri" w:hAnsi="Calibri"/>
          <w:color w:val="auto"/>
          <w:szCs w:val="24"/>
        </w:rPr>
        <w:t xml:space="preserve"> basis for the separation was </w:t>
      </w:r>
      <w:r w:rsidR="005F0EAF">
        <w:rPr>
          <w:rFonts w:ascii="Calibri" w:hAnsi="Calibri"/>
          <w:color w:val="auto"/>
          <w:szCs w:val="24"/>
        </w:rPr>
        <w:t>n</w:t>
      </w:r>
      <w:r w:rsidR="00540E33" w:rsidRPr="00540E33">
        <w:rPr>
          <w:rFonts w:ascii="Calibri" w:hAnsi="Calibri"/>
          <w:color w:val="auto"/>
          <w:szCs w:val="24"/>
        </w:rPr>
        <w:t>arcolepsy</w:t>
      </w:r>
      <w:r w:rsidR="00C75909">
        <w:rPr>
          <w:rFonts w:ascii="Calibri" w:hAnsi="Calibri"/>
          <w:color w:val="auto"/>
          <w:szCs w:val="24"/>
        </w:rPr>
        <w:t xml:space="preserve">.  Her symptoms began with chest wall pain that developed during basic training.  The pain persisted despite treatment, became more widespread, and eventually met the criteria for fibromyalgia.  She </w:t>
      </w:r>
      <w:r w:rsidR="00667442">
        <w:rPr>
          <w:rFonts w:ascii="Calibri" w:hAnsi="Calibri"/>
          <w:color w:val="auto"/>
          <w:szCs w:val="24"/>
        </w:rPr>
        <w:t xml:space="preserve">was issued a </w:t>
      </w:r>
      <w:r w:rsidR="00667442" w:rsidRPr="00D31132">
        <w:rPr>
          <w:rFonts w:ascii="Calibri" w:hAnsi="Calibri"/>
          <w:color w:val="auto"/>
          <w:szCs w:val="24"/>
        </w:rPr>
        <w:t>permanent Limited</w:t>
      </w:r>
      <w:r w:rsidR="00667442">
        <w:rPr>
          <w:rFonts w:ascii="Calibri" w:hAnsi="Calibri"/>
          <w:color w:val="auto"/>
          <w:szCs w:val="24"/>
        </w:rPr>
        <w:t xml:space="preserve"> Duty (LIMDU) and </w:t>
      </w:r>
      <w:r w:rsidR="00C75909">
        <w:rPr>
          <w:rFonts w:ascii="Calibri" w:hAnsi="Calibri"/>
          <w:color w:val="auto"/>
          <w:szCs w:val="24"/>
        </w:rPr>
        <w:t xml:space="preserve">underwent a </w:t>
      </w:r>
      <w:r w:rsidR="00C75909" w:rsidRPr="00C75909">
        <w:rPr>
          <w:rFonts w:ascii="Calibri" w:hAnsi="Calibri"/>
          <w:color w:val="auto"/>
          <w:szCs w:val="24"/>
        </w:rPr>
        <w:t>Medical Evaluation Board (MEB)</w:t>
      </w:r>
      <w:r w:rsidR="00C75909">
        <w:rPr>
          <w:rFonts w:ascii="Calibri" w:hAnsi="Calibri"/>
          <w:color w:val="auto"/>
          <w:szCs w:val="24"/>
        </w:rPr>
        <w:t xml:space="preserve"> in early 2004 which referred the conditions of fibromyalgia, status post breast reduction, depression, and asthma to the </w:t>
      </w:r>
      <w:r w:rsidR="00C75909" w:rsidRPr="00C75909">
        <w:rPr>
          <w:rFonts w:ascii="Calibri" w:hAnsi="Calibri"/>
          <w:color w:val="auto"/>
          <w:szCs w:val="24"/>
        </w:rPr>
        <w:t>Physical Evaluation Board (PEB)</w:t>
      </w:r>
      <w:r w:rsidR="00C75909">
        <w:rPr>
          <w:rFonts w:ascii="Calibri" w:hAnsi="Calibri"/>
          <w:color w:val="auto"/>
          <w:szCs w:val="24"/>
        </w:rPr>
        <w:t xml:space="preserve"> </w:t>
      </w:r>
      <w:r w:rsidR="00E85FBD">
        <w:rPr>
          <w:rFonts w:ascii="Calibri" w:hAnsi="Calibri"/>
          <w:color w:val="auto"/>
          <w:szCs w:val="24"/>
        </w:rPr>
        <w:t xml:space="preserve">where </w:t>
      </w:r>
      <w:r w:rsidR="006D003F">
        <w:rPr>
          <w:rFonts w:ascii="Calibri" w:hAnsi="Calibri"/>
          <w:color w:val="auto"/>
          <w:szCs w:val="24"/>
        </w:rPr>
        <w:t xml:space="preserve">the CI </w:t>
      </w:r>
      <w:r w:rsidR="00E85FBD">
        <w:rPr>
          <w:rFonts w:ascii="Calibri" w:hAnsi="Calibri"/>
          <w:color w:val="auto"/>
          <w:szCs w:val="24"/>
        </w:rPr>
        <w:t>was</w:t>
      </w:r>
      <w:r w:rsidR="00C75909">
        <w:rPr>
          <w:rFonts w:ascii="Calibri" w:hAnsi="Calibri"/>
          <w:color w:val="auto"/>
          <w:szCs w:val="24"/>
        </w:rPr>
        <w:t xml:space="preserve"> found fit for duty.  Later that year she was diagnosed with narcolepsy and began treatment.   She did not respond adequately to perform within </w:t>
      </w:r>
      <w:r w:rsidR="00667442">
        <w:rPr>
          <w:rFonts w:ascii="Calibri" w:hAnsi="Calibri"/>
          <w:color w:val="auto"/>
          <w:szCs w:val="24"/>
        </w:rPr>
        <w:t>her</w:t>
      </w:r>
      <w:r w:rsidR="00C75909">
        <w:rPr>
          <w:rFonts w:ascii="Calibri" w:hAnsi="Calibri"/>
          <w:color w:val="auto"/>
          <w:szCs w:val="24"/>
        </w:rPr>
        <w:t xml:space="preserve"> military occupational specialty or participate in a physical fitne</w:t>
      </w:r>
      <w:r w:rsidR="00E85FBD">
        <w:rPr>
          <w:rFonts w:ascii="Calibri" w:hAnsi="Calibri"/>
          <w:color w:val="auto"/>
          <w:szCs w:val="24"/>
        </w:rPr>
        <w:t>ss test and underwent a second MEB</w:t>
      </w:r>
      <w:r w:rsidR="00C75909">
        <w:rPr>
          <w:rFonts w:ascii="Calibri" w:hAnsi="Calibri"/>
          <w:color w:val="auto"/>
          <w:szCs w:val="24"/>
        </w:rPr>
        <w:t xml:space="preserve">.  </w:t>
      </w:r>
      <w:r w:rsidR="0039759F" w:rsidRPr="0039759F">
        <w:rPr>
          <w:rFonts w:ascii="Calibri" w:hAnsi="Calibri"/>
          <w:color w:val="auto"/>
          <w:szCs w:val="24"/>
        </w:rPr>
        <w:t>Narcolepsy</w:t>
      </w:r>
      <w:r w:rsidR="00D63592">
        <w:rPr>
          <w:rFonts w:ascii="Calibri" w:hAnsi="Calibri"/>
          <w:color w:val="auto"/>
          <w:szCs w:val="24"/>
        </w:rPr>
        <w:t>, Post</w:t>
      </w:r>
      <w:r w:rsidR="005F0EAF">
        <w:rPr>
          <w:rFonts w:ascii="Calibri" w:hAnsi="Calibri"/>
          <w:color w:val="auto"/>
          <w:szCs w:val="24"/>
        </w:rPr>
        <w:t>t</w:t>
      </w:r>
      <w:r w:rsidR="00D63592">
        <w:rPr>
          <w:rFonts w:ascii="Calibri" w:hAnsi="Calibri"/>
          <w:color w:val="auto"/>
          <w:szCs w:val="24"/>
        </w:rPr>
        <w:t>raumatic Stress Disorder (PTSD), and Attention Deficit Hyperactivity Disorder (ADHD)</w:t>
      </w:r>
      <w:r w:rsidR="0039759F" w:rsidRPr="0039759F">
        <w:rPr>
          <w:rFonts w:ascii="Calibri" w:hAnsi="Calibri"/>
          <w:color w:val="auto"/>
          <w:szCs w:val="24"/>
        </w:rPr>
        <w:t xml:space="preserve"> </w:t>
      </w:r>
      <w:r w:rsidR="0039759F">
        <w:rPr>
          <w:rFonts w:ascii="Calibri" w:hAnsi="Calibri"/>
          <w:color w:val="auto"/>
          <w:szCs w:val="24"/>
        </w:rPr>
        <w:t>w</w:t>
      </w:r>
      <w:r w:rsidR="00D63592">
        <w:rPr>
          <w:rFonts w:ascii="Calibri" w:hAnsi="Calibri"/>
          <w:color w:val="auto"/>
          <w:szCs w:val="24"/>
        </w:rPr>
        <w:t>ere</w:t>
      </w:r>
      <w:r>
        <w:rPr>
          <w:rFonts w:ascii="Calibri" w:hAnsi="Calibri"/>
          <w:color w:val="auto"/>
          <w:szCs w:val="24"/>
        </w:rPr>
        <w:t xml:space="preserve"> </w:t>
      </w:r>
      <w:r w:rsidRPr="0039759F">
        <w:rPr>
          <w:rFonts w:ascii="Calibri" w:hAnsi="Calibri"/>
          <w:color w:val="auto"/>
          <w:szCs w:val="24"/>
        </w:rPr>
        <w:t xml:space="preserve">forwarded to the </w:t>
      </w:r>
      <w:r w:rsidRPr="00861D5C">
        <w:rPr>
          <w:rFonts w:ascii="Calibri" w:hAnsi="Calibri"/>
          <w:color w:val="auto"/>
          <w:szCs w:val="24"/>
        </w:rPr>
        <w:t>PEB</w:t>
      </w:r>
      <w:r w:rsidR="0039759F">
        <w:rPr>
          <w:rFonts w:ascii="Calibri" w:hAnsi="Calibri"/>
          <w:color w:val="auto"/>
          <w:szCs w:val="24"/>
        </w:rPr>
        <w:t xml:space="preserve"> on NAVMED 6100/1</w:t>
      </w:r>
      <w:r>
        <w:rPr>
          <w:rFonts w:ascii="Calibri" w:hAnsi="Calibri"/>
          <w:color w:val="auto"/>
          <w:szCs w:val="24"/>
        </w:rPr>
        <w:t>.</w:t>
      </w:r>
      <w:r w:rsidR="00C75909">
        <w:rPr>
          <w:rFonts w:ascii="Calibri" w:hAnsi="Calibri"/>
          <w:color w:val="auto"/>
          <w:szCs w:val="24"/>
        </w:rPr>
        <w:t xml:space="preserve">  </w:t>
      </w:r>
      <w:r w:rsidR="0039759F" w:rsidRPr="00526308">
        <w:rPr>
          <w:rFonts w:ascii="Calibri" w:hAnsi="Calibri"/>
          <w:color w:val="auto"/>
          <w:szCs w:val="24"/>
        </w:rPr>
        <w:t>No other conditions with fitness implications were identified in the Disability Evaluation System (DES) file.</w:t>
      </w:r>
      <w:r w:rsidR="00C75909">
        <w:rPr>
          <w:rFonts w:ascii="Calibri" w:hAnsi="Calibri"/>
          <w:color w:val="auto"/>
          <w:szCs w:val="24"/>
        </w:rPr>
        <w:t xml:space="preserve">  </w:t>
      </w:r>
      <w:r w:rsidRPr="00861D5C">
        <w:rPr>
          <w:rFonts w:ascii="Calibri" w:hAnsi="Calibri"/>
          <w:color w:val="auto"/>
          <w:szCs w:val="24"/>
        </w:rPr>
        <w:t xml:space="preserve">The </w:t>
      </w:r>
      <w:r w:rsidR="00E207CD">
        <w:rPr>
          <w:rFonts w:ascii="Calibri" w:hAnsi="Calibri"/>
          <w:color w:val="auto"/>
          <w:szCs w:val="24"/>
        </w:rPr>
        <w:t>I</w:t>
      </w:r>
      <w:r w:rsidRPr="00861D5C">
        <w:rPr>
          <w:rFonts w:ascii="Calibri" w:hAnsi="Calibri"/>
          <w:color w:val="auto"/>
          <w:szCs w:val="24"/>
        </w:rPr>
        <w:t xml:space="preserve">nformal PEB </w:t>
      </w:r>
      <w:r w:rsidR="00D63592">
        <w:rPr>
          <w:rFonts w:ascii="Calibri" w:hAnsi="Calibri"/>
          <w:color w:val="auto"/>
          <w:szCs w:val="24"/>
        </w:rPr>
        <w:t xml:space="preserve">(IPEB) </w:t>
      </w:r>
      <w:r w:rsidRPr="00861D5C">
        <w:rPr>
          <w:rFonts w:ascii="Calibri" w:hAnsi="Calibri"/>
          <w:color w:val="auto"/>
          <w:szCs w:val="24"/>
        </w:rPr>
        <w:t xml:space="preserve">adjudicated </w:t>
      </w:r>
      <w:r w:rsidR="00D31132">
        <w:rPr>
          <w:rFonts w:ascii="Calibri" w:hAnsi="Calibri"/>
          <w:color w:val="auto"/>
          <w:szCs w:val="24"/>
        </w:rPr>
        <w:t>narcolepsy</w:t>
      </w:r>
      <w:r w:rsidR="00D63592">
        <w:rPr>
          <w:rFonts w:ascii="Calibri" w:hAnsi="Calibri"/>
          <w:color w:val="auto"/>
          <w:szCs w:val="24"/>
        </w:rPr>
        <w:t xml:space="preserve"> as</w:t>
      </w:r>
      <w:r w:rsidRPr="00861D5C">
        <w:rPr>
          <w:rFonts w:ascii="Calibri" w:hAnsi="Calibri"/>
          <w:color w:val="auto"/>
          <w:szCs w:val="24"/>
        </w:rPr>
        <w:t xml:space="preserve"> </w:t>
      </w:r>
      <w:r w:rsidR="00D63592" w:rsidRPr="00861D5C">
        <w:rPr>
          <w:rFonts w:ascii="Calibri" w:hAnsi="Calibri"/>
          <w:color w:val="auto"/>
          <w:szCs w:val="24"/>
        </w:rPr>
        <w:t xml:space="preserve">the </w:t>
      </w:r>
      <w:r w:rsidR="00D63592">
        <w:rPr>
          <w:rFonts w:ascii="Calibri" w:hAnsi="Calibri"/>
          <w:color w:val="auto"/>
          <w:szCs w:val="24"/>
        </w:rPr>
        <w:t xml:space="preserve">only </w:t>
      </w:r>
      <w:r w:rsidRPr="00861D5C">
        <w:rPr>
          <w:rFonts w:ascii="Calibri" w:hAnsi="Calibri"/>
          <w:color w:val="auto"/>
          <w:szCs w:val="24"/>
        </w:rPr>
        <w:t>unfitting</w:t>
      </w:r>
      <w:r w:rsidR="00D63592" w:rsidRPr="00D63592">
        <w:rPr>
          <w:rFonts w:ascii="Calibri" w:hAnsi="Calibri"/>
          <w:color w:val="auto"/>
          <w:szCs w:val="24"/>
        </w:rPr>
        <w:t xml:space="preserve"> </w:t>
      </w:r>
      <w:r w:rsidR="00D63592" w:rsidRPr="00861D5C">
        <w:rPr>
          <w:rFonts w:ascii="Calibri" w:hAnsi="Calibri"/>
          <w:color w:val="auto"/>
          <w:szCs w:val="24"/>
        </w:rPr>
        <w:t>condition</w:t>
      </w:r>
      <w:r w:rsidRPr="00861D5C">
        <w:rPr>
          <w:rFonts w:ascii="Calibri" w:hAnsi="Calibri"/>
          <w:color w:val="auto"/>
          <w:szCs w:val="24"/>
        </w:rPr>
        <w:t xml:space="preserve">, rated </w:t>
      </w:r>
      <w:r w:rsidR="00D31132">
        <w:rPr>
          <w:rFonts w:ascii="Calibri" w:hAnsi="Calibri"/>
          <w:color w:val="auto"/>
          <w:szCs w:val="24"/>
        </w:rPr>
        <w:t>20</w:t>
      </w:r>
      <w:r w:rsidRPr="00861D5C">
        <w:rPr>
          <w:rFonts w:ascii="Calibri" w:hAnsi="Calibri"/>
          <w:color w:val="auto"/>
          <w:szCs w:val="24"/>
        </w:rPr>
        <w:t>%</w:t>
      </w:r>
      <w:r w:rsidR="00575B0E">
        <w:rPr>
          <w:rFonts w:ascii="Calibri" w:hAnsi="Calibri"/>
          <w:color w:val="auto"/>
          <w:szCs w:val="24"/>
        </w:rPr>
        <w:t xml:space="preserve"> </w:t>
      </w:r>
      <w:r w:rsidR="00575B0E" w:rsidRPr="00575B0E">
        <w:rPr>
          <w:rFonts w:ascii="Calibri" w:hAnsi="Calibri"/>
          <w:color w:val="auto"/>
          <w:szCs w:val="24"/>
        </w:rPr>
        <w:t>IAW with the Veterans Administration Schedule fo</w:t>
      </w:r>
      <w:r w:rsidR="00575B0E">
        <w:rPr>
          <w:rFonts w:ascii="Calibri" w:hAnsi="Calibri"/>
          <w:color w:val="auto"/>
          <w:szCs w:val="24"/>
        </w:rPr>
        <w:t>r Rating Disabilities (VASRD).</w:t>
      </w:r>
      <w:r w:rsidRPr="00B20624">
        <w:rPr>
          <w:rFonts w:ascii="Calibri" w:hAnsi="Calibri"/>
          <w:color w:val="auto"/>
          <w:szCs w:val="24"/>
        </w:rPr>
        <w:t xml:space="preserve">  </w:t>
      </w:r>
      <w:r w:rsidRPr="00D31132">
        <w:rPr>
          <w:rFonts w:asciiTheme="minorHAnsi" w:hAnsiTheme="minorHAnsi"/>
          <w:color w:val="auto"/>
        </w:rPr>
        <w:t xml:space="preserve">The CI made </w:t>
      </w:r>
      <w:r w:rsidR="00D31132" w:rsidRPr="00D31132">
        <w:rPr>
          <w:rFonts w:asciiTheme="minorHAnsi" w:hAnsiTheme="minorHAnsi"/>
          <w:color w:val="auto"/>
        </w:rPr>
        <w:t>several</w:t>
      </w:r>
      <w:r w:rsidRPr="00D31132">
        <w:rPr>
          <w:rFonts w:asciiTheme="minorHAnsi" w:hAnsiTheme="minorHAnsi"/>
          <w:color w:val="auto"/>
        </w:rPr>
        <w:t xml:space="preserve"> appeals</w:t>
      </w:r>
      <w:r w:rsidR="00D63592">
        <w:rPr>
          <w:rFonts w:asciiTheme="minorHAnsi" w:hAnsiTheme="minorHAnsi"/>
          <w:color w:val="auto"/>
        </w:rPr>
        <w:t xml:space="preserve">.  </w:t>
      </w:r>
      <w:r w:rsidRPr="00D31132">
        <w:rPr>
          <w:rFonts w:asciiTheme="minorHAnsi" w:hAnsiTheme="minorHAnsi"/>
          <w:color w:val="auto"/>
        </w:rPr>
        <w:t xml:space="preserve"> </w:t>
      </w:r>
      <w:r w:rsidR="00D63592">
        <w:rPr>
          <w:rFonts w:ascii="Calibri" w:hAnsi="Calibri"/>
          <w:color w:val="auto"/>
          <w:szCs w:val="24"/>
        </w:rPr>
        <w:t xml:space="preserve">Narcolepsy and six other conditions from both prior IPEBs, as identified in the rating chart below, were considered </w:t>
      </w:r>
      <w:r w:rsidR="00625096">
        <w:rPr>
          <w:rFonts w:ascii="Calibri" w:hAnsi="Calibri"/>
          <w:color w:val="auto"/>
          <w:szCs w:val="24"/>
        </w:rPr>
        <w:t>by</w:t>
      </w:r>
      <w:r w:rsidR="00D63592">
        <w:rPr>
          <w:rFonts w:ascii="Calibri" w:hAnsi="Calibri"/>
          <w:color w:val="auto"/>
          <w:szCs w:val="24"/>
        </w:rPr>
        <w:t xml:space="preserve"> the </w:t>
      </w:r>
      <w:r w:rsidR="00E207CD">
        <w:rPr>
          <w:rFonts w:ascii="Calibri" w:hAnsi="Calibri"/>
          <w:color w:val="auto"/>
          <w:szCs w:val="24"/>
        </w:rPr>
        <w:t>F</w:t>
      </w:r>
      <w:r w:rsidR="00D63592">
        <w:rPr>
          <w:rFonts w:ascii="Calibri" w:hAnsi="Calibri"/>
          <w:color w:val="auto"/>
          <w:szCs w:val="24"/>
        </w:rPr>
        <w:t xml:space="preserve">ormal PEB (FPEB).  </w:t>
      </w:r>
      <w:r w:rsidR="00D63592">
        <w:rPr>
          <w:rFonts w:asciiTheme="minorHAnsi" w:hAnsiTheme="minorHAnsi"/>
          <w:color w:val="auto"/>
        </w:rPr>
        <w:t>T</w:t>
      </w:r>
      <w:r w:rsidR="00D31132" w:rsidRPr="00D31132">
        <w:rPr>
          <w:rFonts w:asciiTheme="minorHAnsi" w:hAnsiTheme="minorHAnsi"/>
          <w:color w:val="auto"/>
        </w:rPr>
        <w:t>he adjudication</w:t>
      </w:r>
      <w:r w:rsidR="00D63592">
        <w:rPr>
          <w:rFonts w:asciiTheme="minorHAnsi" w:hAnsiTheme="minorHAnsi"/>
          <w:color w:val="auto"/>
        </w:rPr>
        <w:t>s</w:t>
      </w:r>
      <w:r w:rsidR="00D31132" w:rsidRPr="00D31132">
        <w:rPr>
          <w:rFonts w:asciiTheme="minorHAnsi" w:hAnsiTheme="minorHAnsi"/>
          <w:color w:val="auto"/>
        </w:rPr>
        <w:t xml:space="preserve"> </w:t>
      </w:r>
      <w:r w:rsidR="00D63592">
        <w:rPr>
          <w:rFonts w:asciiTheme="minorHAnsi" w:hAnsiTheme="minorHAnsi"/>
          <w:color w:val="auto"/>
        </w:rPr>
        <w:t>were</w:t>
      </w:r>
      <w:r w:rsidR="00D31132" w:rsidRPr="00D31132">
        <w:rPr>
          <w:rFonts w:asciiTheme="minorHAnsi" w:hAnsiTheme="minorHAnsi"/>
          <w:color w:val="auto"/>
        </w:rPr>
        <w:t xml:space="preserve"> upheld by the </w:t>
      </w:r>
      <w:r w:rsidR="00D63592">
        <w:rPr>
          <w:rFonts w:asciiTheme="minorHAnsi" w:hAnsiTheme="minorHAnsi"/>
          <w:color w:val="auto"/>
        </w:rPr>
        <w:t>F</w:t>
      </w:r>
      <w:r w:rsidR="00D31132" w:rsidRPr="00D31132">
        <w:rPr>
          <w:rFonts w:asciiTheme="minorHAnsi" w:hAnsiTheme="minorHAnsi"/>
          <w:color w:val="auto"/>
        </w:rPr>
        <w:t>PEB</w:t>
      </w:r>
      <w:r w:rsidR="00F611C3">
        <w:rPr>
          <w:rFonts w:asciiTheme="minorHAnsi" w:hAnsiTheme="minorHAnsi"/>
          <w:color w:val="auto"/>
        </w:rPr>
        <w:t xml:space="preserve">, </w:t>
      </w:r>
      <w:r w:rsidR="00D63592">
        <w:rPr>
          <w:rFonts w:asciiTheme="minorHAnsi" w:hAnsiTheme="minorHAnsi"/>
          <w:color w:val="auto"/>
        </w:rPr>
        <w:t xml:space="preserve">and later by </w:t>
      </w:r>
      <w:r w:rsidR="00F611C3">
        <w:rPr>
          <w:rFonts w:asciiTheme="minorHAnsi" w:hAnsiTheme="minorHAnsi"/>
          <w:color w:val="auto"/>
        </w:rPr>
        <w:t>a Petition for Relief,</w:t>
      </w:r>
      <w:r w:rsidR="00D31132" w:rsidRPr="00D31132">
        <w:rPr>
          <w:rFonts w:asciiTheme="minorHAnsi" w:hAnsiTheme="minorHAnsi"/>
          <w:color w:val="auto"/>
        </w:rPr>
        <w:t xml:space="preserve"> and the Board</w:t>
      </w:r>
      <w:r w:rsidR="00D31132">
        <w:rPr>
          <w:rFonts w:asciiTheme="minorHAnsi" w:hAnsiTheme="minorHAnsi"/>
          <w:color w:val="auto"/>
        </w:rPr>
        <w:t xml:space="preserve"> for Correction of Naval Records (BCNR), </w:t>
      </w:r>
      <w:r w:rsidRPr="00861D5C">
        <w:rPr>
          <w:rFonts w:asciiTheme="minorHAnsi" w:hAnsiTheme="minorHAnsi"/>
          <w:color w:val="auto"/>
        </w:rPr>
        <w:t xml:space="preserve">and </w:t>
      </w:r>
      <w:r w:rsidR="00D31132">
        <w:rPr>
          <w:rFonts w:asciiTheme="minorHAnsi" w:hAnsiTheme="minorHAnsi"/>
          <w:color w:val="auto"/>
        </w:rPr>
        <w:t xml:space="preserve">she </w:t>
      </w:r>
      <w:r w:rsidRPr="00861D5C">
        <w:rPr>
          <w:rFonts w:asciiTheme="minorHAnsi" w:hAnsiTheme="minorHAnsi"/>
          <w:color w:val="auto"/>
        </w:rPr>
        <w:t xml:space="preserve">was medically separated with a </w:t>
      </w:r>
      <w:r w:rsidR="00D31132">
        <w:rPr>
          <w:rFonts w:asciiTheme="minorHAnsi" w:hAnsiTheme="minorHAnsi"/>
          <w:color w:val="auto"/>
        </w:rPr>
        <w:t>20</w:t>
      </w:r>
      <w:r w:rsidRPr="00861D5C">
        <w:rPr>
          <w:rFonts w:asciiTheme="minorHAnsi" w:hAnsiTheme="minorHAnsi"/>
          <w:color w:val="auto"/>
        </w:rPr>
        <w:t xml:space="preserve">% disability rating.  </w:t>
      </w:r>
    </w:p>
    <w:p w:rsidR="005052D4" w:rsidRDefault="005052D4" w:rsidP="005052D4">
      <w:pPr>
        <w:pBdr>
          <w:bottom w:val="single" w:sz="12" w:space="1" w:color="auto"/>
        </w:pBdr>
        <w:tabs>
          <w:tab w:val="left" w:pos="288"/>
          <w:tab w:val="left" w:pos="4752"/>
        </w:tabs>
        <w:spacing w:line="240" w:lineRule="exact"/>
        <w:jc w:val="both"/>
        <w:rPr>
          <w:rFonts w:asciiTheme="minorHAnsi" w:hAnsiTheme="minorHAnsi"/>
          <w:color w:val="auto"/>
          <w:szCs w:val="24"/>
        </w:rPr>
      </w:pPr>
    </w:p>
    <w:p w:rsidR="0085089F" w:rsidRPr="00AC713F" w:rsidRDefault="0085089F" w:rsidP="00190E48">
      <w:pPr>
        <w:tabs>
          <w:tab w:val="left" w:pos="288"/>
          <w:tab w:val="left" w:pos="4752"/>
        </w:tabs>
        <w:spacing w:line="240" w:lineRule="exact"/>
        <w:jc w:val="both"/>
        <w:rPr>
          <w:rFonts w:asciiTheme="minorHAnsi" w:hAnsiTheme="minorHAnsi"/>
          <w:color w:val="auto"/>
          <w:u w:val="single"/>
        </w:rPr>
      </w:pPr>
    </w:p>
    <w:p w:rsidR="00841243" w:rsidRDefault="002C6E5B" w:rsidP="005F0EAF">
      <w:pPr>
        <w:tabs>
          <w:tab w:val="left" w:pos="288"/>
          <w:tab w:val="left" w:pos="4752"/>
        </w:tabs>
        <w:spacing w:line="240" w:lineRule="exact"/>
        <w:jc w:val="both"/>
        <w:rPr>
          <w:rFonts w:ascii="Calibri" w:hAnsi="Calibri"/>
          <w:color w:val="auto"/>
          <w:szCs w:val="24"/>
        </w:rPr>
      </w:pPr>
      <w:r w:rsidRPr="00542C9A">
        <w:rPr>
          <w:rFonts w:ascii="Calibri" w:hAnsi="Calibri"/>
          <w:color w:val="auto"/>
          <w:u w:val="single"/>
        </w:rPr>
        <w:t>CI CONTENTION</w:t>
      </w:r>
      <w:r w:rsidRPr="00542C9A">
        <w:rPr>
          <w:rFonts w:ascii="Calibri" w:hAnsi="Calibri"/>
          <w:color w:val="auto"/>
        </w:rPr>
        <w:t>:</w:t>
      </w:r>
      <w:r w:rsidRPr="00AE3316">
        <w:rPr>
          <w:rFonts w:ascii="Calibri" w:hAnsi="Calibri"/>
          <w:color w:val="000080"/>
        </w:rPr>
        <w:t xml:space="preserve">  </w:t>
      </w:r>
      <w:r w:rsidRPr="00AE3316">
        <w:rPr>
          <w:rFonts w:ascii="Calibri" w:hAnsi="Calibri"/>
          <w:color w:val="auto"/>
          <w:szCs w:val="24"/>
        </w:rPr>
        <w:t>The CI states:</w:t>
      </w:r>
      <w:r w:rsidR="00C932C5">
        <w:rPr>
          <w:rFonts w:ascii="Calibri" w:hAnsi="Calibri"/>
          <w:color w:val="auto"/>
          <w:szCs w:val="24"/>
        </w:rPr>
        <w:t xml:space="preserve"> </w:t>
      </w:r>
      <w:r w:rsidR="005F0EAF">
        <w:rPr>
          <w:rFonts w:ascii="Calibri" w:hAnsi="Calibri"/>
          <w:color w:val="auto"/>
          <w:szCs w:val="24"/>
        </w:rPr>
        <w:t>“</w:t>
      </w:r>
      <w:r w:rsidR="004F6E84" w:rsidRPr="004F6E84">
        <w:rPr>
          <w:rFonts w:ascii="Calibri" w:hAnsi="Calibri"/>
          <w:color w:val="auto"/>
          <w:szCs w:val="24"/>
        </w:rPr>
        <w:t>Received only 20% for Fibromyalgia and 0% for Narcolepsy, which was the original reason for second medical board, I was given 60% overall disability rating 40% was for Fibromyalgia and 10% for Narcolepsy</w:t>
      </w:r>
      <w:r w:rsidR="00896535">
        <w:rPr>
          <w:rFonts w:ascii="Calibri" w:hAnsi="Calibri"/>
          <w:color w:val="auto"/>
          <w:szCs w:val="24"/>
        </w:rPr>
        <w:t>.</w:t>
      </w:r>
      <w:r w:rsidR="00156585">
        <w:rPr>
          <w:rFonts w:ascii="Calibri" w:hAnsi="Calibri"/>
          <w:color w:val="auto"/>
          <w:szCs w:val="24"/>
        </w:rPr>
        <w:t>”</w:t>
      </w:r>
      <w:r w:rsidR="003E0B5A">
        <w:rPr>
          <w:rFonts w:ascii="Calibri" w:hAnsi="Calibri"/>
          <w:color w:val="auto"/>
          <w:szCs w:val="24"/>
        </w:rPr>
        <w:t xml:space="preserve"> </w:t>
      </w:r>
      <w:r w:rsidR="00410A9C">
        <w:rPr>
          <w:rFonts w:ascii="Calibri" w:hAnsi="Calibri"/>
          <w:color w:val="auto"/>
          <w:szCs w:val="24"/>
        </w:rPr>
        <w:t xml:space="preserve">The Board notes an apparent transposition of terms in the CI’s contention in that she received a </w:t>
      </w:r>
      <w:r w:rsidR="00410A9C" w:rsidRPr="00410A9C">
        <w:rPr>
          <w:rFonts w:ascii="Calibri" w:hAnsi="Calibri"/>
          <w:color w:val="auto"/>
          <w:szCs w:val="24"/>
        </w:rPr>
        <w:t xml:space="preserve">20% </w:t>
      </w:r>
      <w:r w:rsidR="00410A9C">
        <w:rPr>
          <w:rFonts w:ascii="Calibri" w:hAnsi="Calibri"/>
          <w:color w:val="auto"/>
          <w:szCs w:val="24"/>
        </w:rPr>
        <w:t xml:space="preserve">rating </w:t>
      </w:r>
      <w:r w:rsidR="00410A9C" w:rsidRPr="00410A9C">
        <w:rPr>
          <w:rFonts w:ascii="Calibri" w:hAnsi="Calibri"/>
          <w:color w:val="auto"/>
          <w:szCs w:val="24"/>
        </w:rPr>
        <w:t>for Narcolepsy</w:t>
      </w:r>
      <w:r w:rsidR="00410A9C">
        <w:rPr>
          <w:rFonts w:ascii="Calibri" w:hAnsi="Calibri"/>
          <w:color w:val="auto"/>
          <w:szCs w:val="24"/>
        </w:rPr>
        <w:t xml:space="preserve"> </w:t>
      </w:r>
      <w:r w:rsidR="00410A9C" w:rsidRPr="00410A9C">
        <w:rPr>
          <w:rFonts w:ascii="Calibri" w:hAnsi="Calibri"/>
          <w:color w:val="auto"/>
          <w:szCs w:val="24"/>
        </w:rPr>
        <w:t xml:space="preserve">and </w:t>
      </w:r>
      <w:r w:rsidR="00410A9C">
        <w:rPr>
          <w:rFonts w:ascii="Calibri" w:hAnsi="Calibri"/>
          <w:color w:val="auto"/>
          <w:szCs w:val="24"/>
        </w:rPr>
        <w:t xml:space="preserve">a not unfitting determination </w:t>
      </w:r>
      <w:r w:rsidR="00410A9C" w:rsidRPr="00410A9C">
        <w:rPr>
          <w:rFonts w:ascii="Calibri" w:hAnsi="Calibri"/>
          <w:color w:val="auto"/>
          <w:szCs w:val="24"/>
        </w:rPr>
        <w:t>for Fibromyalgia</w:t>
      </w:r>
      <w:r w:rsidR="00410A9C">
        <w:rPr>
          <w:rFonts w:ascii="Calibri" w:hAnsi="Calibri"/>
          <w:color w:val="auto"/>
          <w:szCs w:val="24"/>
        </w:rPr>
        <w:t xml:space="preserve">. </w:t>
      </w:r>
      <w:r w:rsidR="00410A9C" w:rsidRPr="00410A9C">
        <w:rPr>
          <w:rFonts w:ascii="Calibri" w:hAnsi="Calibri"/>
          <w:color w:val="auto"/>
          <w:szCs w:val="24"/>
        </w:rPr>
        <w:t xml:space="preserve"> </w:t>
      </w:r>
      <w:r w:rsidR="005465B4">
        <w:rPr>
          <w:rFonts w:ascii="Calibri" w:hAnsi="Calibri"/>
          <w:color w:val="auto"/>
          <w:szCs w:val="24"/>
        </w:rPr>
        <w:t>She</w:t>
      </w:r>
      <w:r w:rsidR="006573F2" w:rsidRPr="006573F2">
        <w:rPr>
          <w:rFonts w:ascii="Calibri" w:hAnsi="Calibri"/>
          <w:color w:val="auto"/>
          <w:szCs w:val="24"/>
        </w:rPr>
        <w:t xml:space="preserve"> additionally lists all of </w:t>
      </w:r>
      <w:r w:rsidR="005465B4">
        <w:rPr>
          <w:rFonts w:ascii="Calibri" w:hAnsi="Calibri"/>
          <w:color w:val="auto"/>
          <w:szCs w:val="24"/>
        </w:rPr>
        <w:t>her</w:t>
      </w:r>
      <w:r w:rsidR="006573F2" w:rsidRPr="006573F2">
        <w:rPr>
          <w:rFonts w:ascii="Calibri" w:hAnsi="Calibri"/>
          <w:color w:val="auto"/>
          <w:szCs w:val="24"/>
        </w:rPr>
        <w:t xml:space="preserve"> VA conditions and ratings as per the rating chart below.  </w:t>
      </w:r>
      <w:r w:rsidR="00841243" w:rsidRPr="006573F2">
        <w:rPr>
          <w:rFonts w:ascii="Calibri" w:hAnsi="Calibri"/>
          <w:color w:val="auto"/>
          <w:szCs w:val="24"/>
        </w:rPr>
        <w:t xml:space="preserve">A contention for their </w:t>
      </w:r>
      <w:r w:rsidR="00841243">
        <w:rPr>
          <w:rFonts w:ascii="Calibri" w:hAnsi="Calibri"/>
          <w:color w:val="auto"/>
          <w:szCs w:val="24"/>
        </w:rPr>
        <w:t>inclusion in</w:t>
      </w:r>
      <w:r w:rsidR="00841243" w:rsidRPr="006573F2">
        <w:rPr>
          <w:rFonts w:ascii="Calibri" w:hAnsi="Calibri"/>
          <w:color w:val="auto"/>
          <w:szCs w:val="24"/>
        </w:rPr>
        <w:t xml:space="preserve"> </w:t>
      </w:r>
      <w:r w:rsidR="00841243">
        <w:rPr>
          <w:rFonts w:ascii="Calibri" w:hAnsi="Calibri"/>
          <w:color w:val="auto"/>
          <w:szCs w:val="24"/>
        </w:rPr>
        <w:t xml:space="preserve">the </w:t>
      </w:r>
      <w:r w:rsidR="00841243" w:rsidRPr="006573F2">
        <w:rPr>
          <w:rFonts w:ascii="Calibri" w:hAnsi="Calibri"/>
          <w:color w:val="auto"/>
          <w:szCs w:val="24"/>
        </w:rPr>
        <w:t xml:space="preserve">separation rating is therefore implied.  </w:t>
      </w:r>
    </w:p>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BD6297" w:rsidRDefault="00BD6297" w:rsidP="002E289F">
      <w:pPr>
        <w:tabs>
          <w:tab w:val="left" w:pos="288"/>
          <w:tab w:val="left" w:pos="4752"/>
        </w:tabs>
        <w:spacing w:line="240" w:lineRule="exact"/>
        <w:rPr>
          <w:rFonts w:ascii="Calibri" w:hAnsi="Calibri"/>
          <w:color w:val="auto"/>
          <w:u w:val="single"/>
        </w:rPr>
      </w:pPr>
    </w:p>
    <w:p w:rsidR="002338CA" w:rsidRPr="00542C9A" w:rsidRDefault="002C6E5B" w:rsidP="00190E48">
      <w:pPr>
        <w:spacing w:line="240" w:lineRule="exact"/>
        <w:jc w:val="both"/>
        <w:rPr>
          <w:rFonts w:ascii="Calibri" w:hAnsi="Calibri"/>
          <w:color w:val="auto"/>
        </w:rPr>
      </w:pPr>
      <w:r w:rsidRPr="00542C9A">
        <w:rPr>
          <w:rFonts w:ascii="Calibri" w:hAnsi="Calibri"/>
          <w:color w:val="auto"/>
          <w:u w:val="single"/>
        </w:rPr>
        <w:t>RATING COMPARISON</w:t>
      </w:r>
      <w:r w:rsidRPr="00542C9A">
        <w:rPr>
          <w:rFonts w:ascii="Calibri" w:hAnsi="Calibri"/>
          <w:color w:val="auto"/>
        </w:rPr>
        <w:t>:</w:t>
      </w:r>
    </w:p>
    <w:p w:rsidR="00F82981" w:rsidRDefault="00F82981" w:rsidP="00190E48">
      <w:pPr>
        <w:tabs>
          <w:tab w:val="left" w:pos="288"/>
          <w:tab w:val="left" w:pos="4752"/>
        </w:tabs>
        <w:spacing w:line="240" w:lineRule="exact"/>
        <w:jc w:val="both"/>
        <w:rPr>
          <w:color w:val="000080"/>
        </w:rPr>
      </w:pPr>
    </w:p>
    <w:tbl>
      <w:tblPr>
        <w:tblStyle w:val="TableGrid"/>
        <w:tblW w:w="9270" w:type="dxa"/>
        <w:jc w:val="center"/>
        <w:tblLayout w:type="fixed"/>
        <w:tblLook w:val="04A0"/>
      </w:tblPr>
      <w:tblGrid>
        <w:gridCol w:w="2520"/>
        <w:gridCol w:w="720"/>
        <w:gridCol w:w="810"/>
        <w:gridCol w:w="2385"/>
        <w:gridCol w:w="315"/>
        <w:gridCol w:w="720"/>
        <w:gridCol w:w="810"/>
        <w:gridCol w:w="990"/>
      </w:tblGrid>
      <w:tr w:rsidR="00684E2B" w:rsidRPr="002A685E" w:rsidTr="0085089F">
        <w:trPr>
          <w:trHeight w:val="233"/>
          <w:jc w:val="center"/>
        </w:trPr>
        <w:tc>
          <w:tcPr>
            <w:tcW w:w="4050" w:type="dxa"/>
            <w:gridSpan w:val="3"/>
            <w:tcBorders>
              <w:right w:val="thinThickThinSmallGap" w:sz="24" w:space="0" w:color="auto"/>
            </w:tcBorders>
            <w:shd w:val="clear" w:color="auto" w:fill="D9D9D9" w:themeFill="background1" w:themeFillShade="D9"/>
          </w:tcPr>
          <w:p w:rsidR="00684E2B" w:rsidRPr="0085089F" w:rsidRDefault="00684E2B" w:rsidP="006D003F">
            <w:pPr>
              <w:pStyle w:val="ListParagraph"/>
              <w:spacing w:after="0" w:line="240" w:lineRule="exact"/>
              <w:ind w:left="0"/>
              <w:jc w:val="both"/>
              <w:rPr>
                <w:rFonts w:cs="Times New Roman"/>
                <w:b/>
                <w:sz w:val="20"/>
                <w:szCs w:val="20"/>
              </w:rPr>
            </w:pPr>
            <w:r w:rsidRPr="0085089F">
              <w:rPr>
                <w:rFonts w:cs="Times New Roman"/>
                <w:b/>
                <w:sz w:val="20"/>
                <w:szCs w:val="20"/>
              </w:rPr>
              <w:t xml:space="preserve">Service </w:t>
            </w:r>
            <w:r w:rsidR="005465B4">
              <w:rPr>
                <w:rFonts w:cs="Times New Roman"/>
                <w:b/>
                <w:sz w:val="20"/>
                <w:szCs w:val="20"/>
              </w:rPr>
              <w:t>F</w:t>
            </w:r>
            <w:r w:rsidRPr="0085089F">
              <w:rPr>
                <w:rFonts w:cs="Times New Roman"/>
                <w:b/>
                <w:sz w:val="20"/>
                <w:szCs w:val="20"/>
              </w:rPr>
              <w:t>PEB</w:t>
            </w:r>
            <w:r w:rsidR="002B2645" w:rsidRPr="0085089F">
              <w:rPr>
                <w:rFonts w:cs="Times New Roman"/>
                <w:b/>
                <w:sz w:val="20"/>
                <w:szCs w:val="20"/>
              </w:rPr>
              <w:t xml:space="preserve"> – Dated </w:t>
            </w:r>
            <w:r w:rsidR="005465B4" w:rsidRPr="00193F0A">
              <w:rPr>
                <w:rFonts w:cs="Times New Roman"/>
                <w:b/>
                <w:sz w:val="20"/>
                <w:szCs w:val="20"/>
              </w:rPr>
              <w:t>2005</w:t>
            </w:r>
            <w:r w:rsidR="00193F0A" w:rsidRPr="00193F0A">
              <w:rPr>
                <w:rFonts w:cs="Times New Roman"/>
                <w:b/>
                <w:sz w:val="20"/>
                <w:szCs w:val="20"/>
              </w:rPr>
              <w:t>03</w:t>
            </w:r>
            <w:r w:rsidR="006D003F">
              <w:rPr>
                <w:rFonts w:cs="Times New Roman"/>
                <w:b/>
                <w:sz w:val="20"/>
                <w:szCs w:val="20"/>
              </w:rPr>
              <w:t>21</w:t>
            </w:r>
          </w:p>
        </w:tc>
        <w:tc>
          <w:tcPr>
            <w:tcW w:w="5220" w:type="dxa"/>
            <w:gridSpan w:val="5"/>
            <w:tcBorders>
              <w:left w:val="thinThickThinSmallGap" w:sz="24" w:space="0" w:color="auto"/>
            </w:tcBorders>
            <w:shd w:val="clear" w:color="auto" w:fill="D9D9D9" w:themeFill="background1" w:themeFillShade="D9"/>
          </w:tcPr>
          <w:p w:rsidR="00684E2B" w:rsidRPr="0085089F" w:rsidRDefault="00684E2B" w:rsidP="005465B4">
            <w:pPr>
              <w:pStyle w:val="ListParagraph"/>
              <w:spacing w:after="0" w:line="240" w:lineRule="exact"/>
              <w:ind w:left="0"/>
              <w:jc w:val="both"/>
              <w:rPr>
                <w:rFonts w:cs="Times New Roman"/>
                <w:b/>
                <w:sz w:val="20"/>
                <w:szCs w:val="20"/>
              </w:rPr>
            </w:pPr>
            <w:r w:rsidRPr="0085089F">
              <w:rPr>
                <w:rFonts w:cs="Times New Roman"/>
                <w:b/>
                <w:sz w:val="20"/>
                <w:szCs w:val="20"/>
              </w:rPr>
              <w:t>VA (</w:t>
            </w:r>
            <w:r w:rsidR="005465B4">
              <w:rPr>
                <w:rFonts w:cs="Times New Roman"/>
                <w:b/>
                <w:sz w:val="20"/>
                <w:szCs w:val="20"/>
              </w:rPr>
              <w:t>5</w:t>
            </w:r>
            <w:r w:rsidRPr="0085089F">
              <w:rPr>
                <w:rFonts w:cs="Times New Roman"/>
                <w:b/>
                <w:sz w:val="20"/>
                <w:szCs w:val="20"/>
              </w:rPr>
              <w:t xml:space="preserve"> Mo. </w:t>
            </w:r>
            <w:r w:rsidR="005465B4">
              <w:rPr>
                <w:rFonts w:cs="Times New Roman"/>
                <w:b/>
                <w:sz w:val="20"/>
                <w:szCs w:val="20"/>
              </w:rPr>
              <w:t>Prior to</w:t>
            </w:r>
            <w:r w:rsidRPr="0085089F">
              <w:rPr>
                <w:rFonts w:cs="Times New Roman"/>
                <w:b/>
                <w:sz w:val="20"/>
                <w:szCs w:val="20"/>
              </w:rPr>
              <w:t xml:space="preserve"> Separation)</w:t>
            </w:r>
            <w:r w:rsidR="000C3C13" w:rsidRPr="0085089F">
              <w:rPr>
                <w:rFonts w:cs="Times New Roman"/>
                <w:b/>
                <w:sz w:val="20"/>
                <w:szCs w:val="20"/>
              </w:rPr>
              <w:t xml:space="preserve"> – All Effective </w:t>
            </w:r>
            <w:r w:rsidR="005465B4" w:rsidRPr="00D97F6F">
              <w:rPr>
                <w:rFonts w:cs="Times New Roman"/>
                <w:b/>
                <w:sz w:val="20"/>
                <w:szCs w:val="20"/>
              </w:rPr>
              <w:t>20050805</w:t>
            </w:r>
          </w:p>
        </w:tc>
      </w:tr>
      <w:tr w:rsidR="002B2645" w:rsidRPr="002A685E" w:rsidTr="0085089F">
        <w:trPr>
          <w:trHeight w:val="233"/>
          <w:jc w:val="center"/>
        </w:trPr>
        <w:tc>
          <w:tcPr>
            <w:tcW w:w="2520" w:type="dxa"/>
            <w:tcBorders>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2700" w:type="dxa"/>
            <w:gridSpan w:val="2"/>
            <w:tcBorders>
              <w:left w:val="thinThickThinSmallGap" w:sz="24" w:space="0" w:color="auto"/>
              <w:bottom w:val="single" w:sz="4" w:space="0" w:color="000000" w:themeColor="text1"/>
            </w:tcBorders>
            <w:shd w:val="clear" w:color="auto" w:fill="D9D9D9" w:themeFill="background1" w:themeFillShade="D9"/>
          </w:tcPr>
          <w:p w:rsidR="002B2645" w:rsidRPr="0085089F" w:rsidRDefault="002B2645" w:rsidP="00190E48">
            <w:pPr>
              <w:pStyle w:val="ListParagraph"/>
              <w:spacing w:after="0" w:line="240" w:lineRule="exact"/>
              <w:ind w:left="0"/>
              <w:jc w:val="both"/>
              <w:rPr>
                <w:rFonts w:cs="Times New Roman"/>
                <w:b/>
                <w:sz w:val="20"/>
                <w:szCs w:val="20"/>
              </w:rPr>
            </w:pPr>
            <w:r w:rsidRPr="0085089F">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85089F" w:rsidRDefault="002B2645" w:rsidP="005709F7">
            <w:pPr>
              <w:pStyle w:val="ListParagraph"/>
              <w:spacing w:after="0" w:line="240" w:lineRule="exact"/>
              <w:ind w:left="0"/>
              <w:jc w:val="center"/>
              <w:rPr>
                <w:rFonts w:cs="Times New Roman"/>
                <w:b/>
                <w:sz w:val="20"/>
                <w:szCs w:val="20"/>
              </w:rPr>
            </w:pPr>
            <w:r w:rsidRPr="0085089F">
              <w:rPr>
                <w:rFonts w:cs="Times New Roman"/>
                <w:b/>
                <w:sz w:val="20"/>
                <w:szCs w:val="20"/>
              </w:rPr>
              <w:t>Exam</w:t>
            </w:r>
          </w:p>
        </w:tc>
      </w:tr>
      <w:tr w:rsidR="005465B4" w:rsidRPr="002A685E" w:rsidTr="00190E48">
        <w:trPr>
          <w:trHeight w:val="287"/>
          <w:jc w:val="center"/>
        </w:trPr>
        <w:tc>
          <w:tcPr>
            <w:tcW w:w="2520" w:type="dxa"/>
            <w:shd w:val="clear" w:color="auto" w:fill="FFFFFF" w:themeFill="background1"/>
          </w:tcPr>
          <w:p w:rsidR="005465B4" w:rsidRPr="00473D5C" w:rsidRDefault="005465B4" w:rsidP="006D67A4">
            <w:pPr>
              <w:pStyle w:val="ListParagraph"/>
              <w:spacing w:after="0" w:line="240" w:lineRule="auto"/>
              <w:ind w:left="0"/>
              <w:rPr>
                <w:rFonts w:cs="Times New Roman"/>
                <w:sz w:val="18"/>
                <w:szCs w:val="18"/>
              </w:rPr>
            </w:pPr>
            <w:r>
              <w:rPr>
                <w:rFonts w:cs="Times New Roman"/>
                <w:sz w:val="18"/>
                <w:szCs w:val="18"/>
              </w:rPr>
              <w:t>Narcolepsy</w:t>
            </w:r>
          </w:p>
        </w:tc>
        <w:tc>
          <w:tcPr>
            <w:tcW w:w="720" w:type="dxa"/>
            <w:shd w:val="clear" w:color="auto" w:fill="FFFFFF" w:themeFill="background1"/>
          </w:tcPr>
          <w:p w:rsidR="005465B4" w:rsidRPr="00473D5C" w:rsidRDefault="005465B4" w:rsidP="006D67A4">
            <w:pPr>
              <w:pStyle w:val="ListParagraph"/>
              <w:spacing w:after="0" w:line="240" w:lineRule="auto"/>
              <w:ind w:left="0"/>
              <w:jc w:val="center"/>
              <w:rPr>
                <w:rFonts w:cs="Times New Roman"/>
                <w:sz w:val="18"/>
                <w:szCs w:val="18"/>
              </w:rPr>
            </w:pPr>
            <w:r>
              <w:rPr>
                <w:rFonts w:cs="Times New Roman"/>
                <w:sz w:val="18"/>
                <w:szCs w:val="18"/>
              </w:rPr>
              <w:t>8108</w:t>
            </w:r>
          </w:p>
        </w:tc>
        <w:tc>
          <w:tcPr>
            <w:tcW w:w="810" w:type="dxa"/>
            <w:tcBorders>
              <w:right w:val="thinThickThinSmallGap" w:sz="24" w:space="0" w:color="auto"/>
            </w:tcBorders>
            <w:shd w:val="clear" w:color="auto" w:fill="FFFFFF" w:themeFill="background1"/>
          </w:tcPr>
          <w:p w:rsidR="005465B4" w:rsidRPr="00473D5C" w:rsidRDefault="005465B4" w:rsidP="006D67A4">
            <w:pPr>
              <w:pStyle w:val="ListParagraph"/>
              <w:spacing w:after="0" w:line="240" w:lineRule="auto"/>
              <w:ind w:left="0"/>
              <w:jc w:val="center"/>
              <w:rPr>
                <w:rFonts w:cs="Times New Roman"/>
                <w:sz w:val="18"/>
                <w:szCs w:val="18"/>
              </w:rPr>
            </w:pPr>
            <w:r>
              <w:rPr>
                <w:rFonts w:cs="Times New Roman"/>
                <w:sz w:val="18"/>
                <w:szCs w:val="18"/>
              </w:rPr>
              <w:t>20%</w:t>
            </w:r>
          </w:p>
        </w:tc>
        <w:tc>
          <w:tcPr>
            <w:tcW w:w="2700" w:type="dxa"/>
            <w:gridSpan w:val="2"/>
            <w:tcBorders>
              <w:left w:val="thinThickThinSmallGap" w:sz="24" w:space="0" w:color="auto"/>
            </w:tcBorders>
            <w:shd w:val="clear" w:color="auto" w:fill="FFFFFF" w:themeFill="background1"/>
          </w:tcPr>
          <w:p w:rsidR="005465B4" w:rsidRPr="00542C9A" w:rsidRDefault="005465B4" w:rsidP="005465B4">
            <w:pPr>
              <w:pStyle w:val="ListParagraph"/>
              <w:spacing w:after="0" w:line="240" w:lineRule="exact"/>
              <w:ind w:left="0"/>
              <w:jc w:val="both"/>
              <w:rPr>
                <w:rFonts w:cs="Times New Roman"/>
                <w:sz w:val="18"/>
                <w:szCs w:val="18"/>
              </w:rPr>
            </w:pPr>
            <w:r w:rsidRPr="005465B4">
              <w:rPr>
                <w:rFonts w:cs="Times New Roman"/>
                <w:sz w:val="18"/>
                <w:szCs w:val="18"/>
              </w:rPr>
              <w:t>Narc</w:t>
            </w:r>
            <w:r>
              <w:rPr>
                <w:rFonts w:cs="Times New Roman"/>
                <w:sz w:val="18"/>
                <w:szCs w:val="18"/>
              </w:rPr>
              <w:t>o</w:t>
            </w:r>
            <w:r w:rsidRPr="005465B4">
              <w:rPr>
                <w:rFonts w:cs="Times New Roman"/>
                <w:sz w:val="18"/>
                <w:szCs w:val="18"/>
              </w:rPr>
              <w:t>lepsy</w:t>
            </w:r>
          </w:p>
        </w:tc>
        <w:tc>
          <w:tcPr>
            <w:tcW w:w="720" w:type="dxa"/>
            <w:shd w:val="clear" w:color="auto" w:fill="FFFFFF" w:themeFill="background1"/>
          </w:tcPr>
          <w:p w:rsidR="005465B4" w:rsidRPr="00473D5C" w:rsidRDefault="005465B4" w:rsidP="006D67A4">
            <w:pPr>
              <w:pStyle w:val="ListParagraph"/>
              <w:spacing w:after="0" w:line="240" w:lineRule="auto"/>
              <w:ind w:left="0"/>
              <w:jc w:val="center"/>
              <w:rPr>
                <w:rFonts w:cs="Times New Roman"/>
                <w:sz w:val="18"/>
                <w:szCs w:val="18"/>
              </w:rPr>
            </w:pPr>
            <w:r>
              <w:rPr>
                <w:rFonts w:cs="Times New Roman"/>
                <w:sz w:val="18"/>
                <w:szCs w:val="18"/>
              </w:rPr>
              <w:t>8108</w:t>
            </w:r>
          </w:p>
        </w:tc>
        <w:tc>
          <w:tcPr>
            <w:tcW w:w="810" w:type="dxa"/>
            <w:shd w:val="clear" w:color="auto" w:fill="FFFFFF" w:themeFill="background1"/>
          </w:tcPr>
          <w:p w:rsidR="005465B4" w:rsidRPr="00473D5C" w:rsidRDefault="005465B4" w:rsidP="006D67A4">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5465B4" w:rsidRPr="00473D5C" w:rsidRDefault="005465B4" w:rsidP="006D67A4">
            <w:pPr>
              <w:pStyle w:val="ListParagraph"/>
              <w:spacing w:after="0" w:line="240" w:lineRule="auto"/>
              <w:ind w:left="0"/>
              <w:jc w:val="center"/>
              <w:rPr>
                <w:rFonts w:cs="Times New Roman"/>
                <w:sz w:val="18"/>
                <w:szCs w:val="18"/>
              </w:rPr>
            </w:pPr>
            <w:r>
              <w:rPr>
                <w:rFonts w:cs="Times New Roman"/>
                <w:sz w:val="18"/>
                <w:szCs w:val="18"/>
              </w:rPr>
              <w:t>20050316</w:t>
            </w:r>
          </w:p>
        </w:tc>
      </w:tr>
      <w:tr w:rsidR="00F611C3" w:rsidRPr="002A685E" w:rsidTr="00F611C3">
        <w:trPr>
          <w:trHeight w:val="125"/>
          <w:jc w:val="center"/>
        </w:trPr>
        <w:tc>
          <w:tcPr>
            <w:tcW w:w="2520" w:type="dxa"/>
            <w:shd w:val="clear" w:color="auto" w:fill="FFFFFF" w:themeFill="background1"/>
          </w:tcPr>
          <w:p w:rsidR="00F611C3" w:rsidRPr="00542C9A" w:rsidRDefault="00F611C3" w:rsidP="00190E48">
            <w:pPr>
              <w:pStyle w:val="ListParagraph"/>
              <w:spacing w:after="0" w:line="240" w:lineRule="exact"/>
              <w:ind w:left="0"/>
              <w:jc w:val="both"/>
              <w:rPr>
                <w:rFonts w:cs="Times New Roman"/>
                <w:sz w:val="18"/>
                <w:szCs w:val="18"/>
              </w:rPr>
            </w:pPr>
            <w:r>
              <w:rPr>
                <w:rFonts w:cs="Times New Roman"/>
                <w:sz w:val="18"/>
                <w:szCs w:val="18"/>
              </w:rPr>
              <w:t>PTSD</w:t>
            </w:r>
          </w:p>
        </w:tc>
        <w:tc>
          <w:tcPr>
            <w:tcW w:w="1530" w:type="dxa"/>
            <w:gridSpan w:val="2"/>
            <w:vMerge w:val="restart"/>
            <w:tcBorders>
              <w:right w:val="thinThickThinSmallGap" w:sz="24" w:space="0" w:color="auto"/>
            </w:tcBorders>
            <w:shd w:val="clear" w:color="auto" w:fill="FFFFFF" w:themeFill="background1"/>
            <w:vAlign w:val="center"/>
          </w:tcPr>
          <w:p w:rsidR="00F611C3" w:rsidRPr="00542C9A" w:rsidRDefault="00F611C3" w:rsidP="00F611C3">
            <w:pPr>
              <w:pStyle w:val="ListParagraph"/>
              <w:spacing w:line="240" w:lineRule="exact"/>
              <w:ind w:left="0"/>
              <w:jc w:val="center"/>
              <w:rPr>
                <w:rFonts w:cs="Times New Roman"/>
                <w:sz w:val="18"/>
                <w:szCs w:val="18"/>
              </w:rPr>
            </w:pPr>
            <w:r>
              <w:rPr>
                <w:rFonts w:cs="Times New Roman"/>
                <w:sz w:val="18"/>
                <w:szCs w:val="18"/>
              </w:rPr>
              <w:t>CAT III</w:t>
            </w:r>
          </w:p>
        </w:tc>
        <w:tc>
          <w:tcPr>
            <w:tcW w:w="2700" w:type="dxa"/>
            <w:gridSpan w:val="2"/>
            <w:tcBorders>
              <w:left w:val="thinThickThinSmallGap" w:sz="24" w:space="0" w:color="auto"/>
            </w:tcBorders>
            <w:shd w:val="clear" w:color="auto" w:fill="FFFFFF" w:themeFill="background1"/>
          </w:tcPr>
          <w:p w:rsidR="00F611C3" w:rsidRPr="00542C9A" w:rsidRDefault="00F611C3" w:rsidP="00190E48">
            <w:pPr>
              <w:pStyle w:val="ListParagraph"/>
              <w:spacing w:after="0" w:line="240" w:lineRule="exact"/>
              <w:ind w:left="0"/>
              <w:jc w:val="both"/>
              <w:rPr>
                <w:rFonts w:cs="Times New Roman"/>
                <w:sz w:val="18"/>
                <w:szCs w:val="18"/>
              </w:rPr>
            </w:pPr>
            <w:r>
              <w:rPr>
                <w:rFonts w:cs="Times New Roman"/>
                <w:sz w:val="18"/>
                <w:szCs w:val="18"/>
              </w:rPr>
              <w:t>PTSD</w:t>
            </w:r>
          </w:p>
        </w:tc>
        <w:tc>
          <w:tcPr>
            <w:tcW w:w="720" w:type="dxa"/>
            <w:shd w:val="clear" w:color="auto" w:fill="FFFFFF" w:themeFill="background1"/>
          </w:tcPr>
          <w:p w:rsidR="00F611C3" w:rsidRPr="00473D5C" w:rsidRDefault="00F611C3" w:rsidP="006D67A4">
            <w:pPr>
              <w:pStyle w:val="ListParagraph"/>
              <w:spacing w:after="0" w:line="240" w:lineRule="auto"/>
              <w:ind w:left="0"/>
              <w:jc w:val="center"/>
              <w:rPr>
                <w:rFonts w:cs="Times New Roman"/>
                <w:sz w:val="18"/>
                <w:szCs w:val="18"/>
              </w:rPr>
            </w:pPr>
            <w:r>
              <w:rPr>
                <w:rFonts w:cs="Times New Roman"/>
                <w:sz w:val="18"/>
                <w:szCs w:val="18"/>
              </w:rPr>
              <w:t>9411</w:t>
            </w:r>
          </w:p>
        </w:tc>
        <w:tc>
          <w:tcPr>
            <w:tcW w:w="810" w:type="dxa"/>
            <w:shd w:val="clear" w:color="auto" w:fill="FFFFFF" w:themeFill="background1"/>
          </w:tcPr>
          <w:p w:rsidR="00F611C3" w:rsidRPr="00473D5C" w:rsidRDefault="00F611C3" w:rsidP="006D67A4">
            <w:pPr>
              <w:pStyle w:val="ListParagraph"/>
              <w:spacing w:after="0" w:line="240" w:lineRule="auto"/>
              <w:ind w:left="0"/>
              <w:jc w:val="center"/>
              <w:rPr>
                <w:rFonts w:cs="Times New Roman"/>
                <w:sz w:val="18"/>
                <w:szCs w:val="18"/>
              </w:rPr>
            </w:pPr>
            <w:r>
              <w:rPr>
                <w:rFonts w:cs="Times New Roman"/>
                <w:sz w:val="18"/>
                <w:szCs w:val="18"/>
              </w:rPr>
              <w:t>10%</w:t>
            </w:r>
          </w:p>
        </w:tc>
        <w:tc>
          <w:tcPr>
            <w:tcW w:w="990" w:type="dxa"/>
            <w:shd w:val="clear" w:color="auto" w:fill="FFFFFF" w:themeFill="background1"/>
          </w:tcPr>
          <w:p w:rsidR="00F611C3" w:rsidRPr="00473D5C" w:rsidRDefault="006D003F" w:rsidP="003F601B">
            <w:pPr>
              <w:pStyle w:val="ListParagraph"/>
              <w:spacing w:after="0" w:line="240" w:lineRule="auto"/>
              <w:ind w:left="0"/>
              <w:jc w:val="center"/>
              <w:rPr>
                <w:rFonts w:cs="Times New Roman"/>
                <w:sz w:val="18"/>
                <w:szCs w:val="18"/>
              </w:rPr>
            </w:pPr>
            <w:r>
              <w:rPr>
                <w:rFonts w:cs="Times New Roman"/>
                <w:sz w:val="18"/>
                <w:szCs w:val="18"/>
              </w:rPr>
              <w:t>no show</w:t>
            </w:r>
          </w:p>
        </w:tc>
      </w:tr>
      <w:tr w:rsidR="00F611C3" w:rsidRPr="002A685E" w:rsidTr="001C214D">
        <w:trPr>
          <w:trHeight w:val="125"/>
          <w:jc w:val="center"/>
        </w:trPr>
        <w:tc>
          <w:tcPr>
            <w:tcW w:w="2520" w:type="dxa"/>
            <w:shd w:val="clear" w:color="auto" w:fill="FFFFFF" w:themeFill="background1"/>
          </w:tcPr>
          <w:p w:rsidR="00F611C3" w:rsidRPr="00C05C6D" w:rsidRDefault="00F611C3" w:rsidP="00190E48">
            <w:pPr>
              <w:pStyle w:val="ListParagraph"/>
              <w:spacing w:after="0" w:line="240" w:lineRule="exact"/>
              <w:ind w:left="0"/>
              <w:jc w:val="both"/>
              <w:rPr>
                <w:rFonts w:cs="Times New Roman"/>
                <w:sz w:val="18"/>
                <w:szCs w:val="18"/>
              </w:rPr>
            </w:pPr>
            <w:r w:rsidRPr="005465B4">
              <w:rPr>
                <w:rFonts w:cs="Times New Roman"/>
                <w:sz w:val="18"/>
                <w:szCs w:val="18"/>
              </w:rPr>
              <w:t>Fibromyalgia</w:t>
            </w:r>
          </w:p>
        </w:tc>
        <w:tc>
          <w:tcPr>
            <w:tcW w:w="1530" w:type="dxa"/>
            <w:gridSpan w:val="2"/>
            <w:vMerge/>
            <w:tcBorders>
              <w:right w:val="thinThickThinSmallGap" w:sz="24" w:space="0" w:color="auto"/>
            </w:tcBorders>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F611C3" w:rsidRPr="00C05C6D" w:rsidRDefault="00F611C3" w:rsidP="00190E48">
            <w:pPr>
              <w:pStyle w:val="ListParagraph"/>
              <w:spacing w:after="0" w:line="240" w:lineRule="exact"/>
              <w:ind w:left="0"/>
              <w:jc w:val="both"/>
              <w:rPr>
                <w:rFonts w:cs="Times New Roman"/>
                <w:sz w:val="18"/>
                <w:szCs w:val="18"/>
              </w:rPr>
            </w:pPr>
            <w:r w:rsidRPr="005465B4">
              <w:rPr>
                <w:rFonts w:cs="Times New Roman"/>
                <w:sz w:val="18"/>
                <w:szCs w:val="18"/>
              </w:rPr>
              <w:t>Fibromyalgia</w:t>
            </w:r>
          </w:p>
        </w:tc>
        <w:tc>
          <w:tcPr>
            <w:tcW w:w="720" w:type="dxa"/>
            <w:shd w:val="clear" w:color="auto" w:fill="FFFFFF" w:themeFill="background1"/>
          </w:tcPr>
          <w:p w:rsidR="00F611C3" w:rsidRPr="00473D5C" w:rsidRDefault="00F611C3" w:rsidP="006D67A4">
            <w:pPr>
              <w:pStyle w:val="ListParagraph"/>
              <w:spacing w:after="0" w:line="240" w:lineRule="auto"/>
              <w:ind w:left="0"/>
              <w:jc w:val="center"/>
              <w:rPr>
                <w:rFonts w:cs="Times New Roman"/>
                <w:sz w:val="18"/>
                <w:szCs w:val="18"/>
              </w:rPr>
            </w:pPr>
            <w:r>
              <w:rPr>
                <w:rFonts w:cs="Times New Roman"/>
                <w:sz w:val="18"/>
                <w:szCs w:val="18"/>
              </w:rPr>
              <w:t>5025</w:t>
            </w:r>
          </w:p>
        </w:tc>
        <w:tc>
          <w:tcPr>
            <w:tcW w:w="810" w:type="dxa"/>
            <w:shd w:val="clear" w:color="auto" w:fill="FFFFFF" w:themeFill="background1"/>
          </w:tcPr>
          <w:p w:rsidR="00F611C3" w:rsidRPr="00473D5C" w:rsidRDefault="00F611C3" w:rsidP="006D67A4">
            <w:pPr>
              <w:pStyle w:val="ListParagraph"/>
              <w:spacing w:after="0" w:line="240" w:lineRule="auto"/>
              <w:ind w:left="0"/>
              <w:jc w:val="center"/>
              <w:rPr>
                <w:rFonts w:cs="Times New Roman"/>
                <w:sz w:val="18"/>
                <w:szCs w:val="18"/>
              </w:rPr>
            </w:pPr>
            <w:r>
              <w:rPr>
                <w:rFonts w:cs="Times New Roman"/>
                <w:sz w:val="18"/>
                <w:szCs w:val="18"/>
              </w:rPr>
              <w:t>40%</w:t>
            </w:r>
          </w:p>
        </w:tc>
        <w:tc>
          <w:tcPr>
            <w:tcW w:w="990" w:type="dxa"/>
            <w:shd w:val="clear" w:color="auto" w:fill="FFFFFF" w:themeFill="background1"/>
          </w:tcPr>
          <w:p w:rsidR="00F611C3" w:rsidRPr="00473D5C" w:rsidRDefault="00F611C3" w:rsidP="006D67A4">
            <w:pPr>
              <w:pStyle w:val="ListParagraph"/>
              <w:spacing w:after="0" w:line="240" w:lineRule="auto"/>
              <w:ind w:left="0"/>
              <w:jc w:val="center"/>
              <w:rPr>
                <w:rFonts w:cs="Times New Roman"/>
                <w:sz w:val="18"/>
                <w:szCs w:val="18"/>
              </w:rPr>
            </w:pPr>
            <w:r>
              <w:rPr>
                <w:rFonts w:cs="Times New Roman"/>
                <w:sz w:val="18"/>
                <w:szCs w:val="18"/>
              </w:rPr>
              <w:t>20050316</w:t>
            </w:r>
          </w:p>
        </w:tc>
      </w:tr>
      <w:tr w:rsidR="00F611C3" w:rsidRPr="002A685E" w:rsidTr="001C214D">
        <w:trPr>
          <w:trHeight w:val="125"/>
          <w:jc w:val="center"/>
        </w:trPr>
        <w:tc>
          <w:tcPr>
            <w:tcW w:w="2520" w:type="dxa"/>
            <w:shd w:val="clear" w:color="auto" w:fill="FFFFFF" w:themeFill="background1"/>
          </w:tcPr>
          <w:p w:rsidR="00F611C3" w:rsidRPr="00C05C6D" w:rsidRDefault="00F611C3" w:rsidP="00190E48">
            <w:pPr>
              <w:pStyle w:val="ListParagraph"/>
              <w:spacing w:after="0" w:line="240" w:lineRule="exact"/>
              <w:ind w:left="0"/>
              <w:jc w:val="both"/>
              <w:rPr>
                <w:rFonts w:cs="Times New Roman"/>
                <w:sz w:val="18"/>
                <w:szCs w:val="18"/>
              </w:rPr>
            </w:pPr>
            <w:r>
              <w:rPr>
                <w:rFonts w:cs="Times New Roman"/>
                <w:sz w:val="18"/>
                <w:szCs w:val="18"/>
              </w:rPr>
              <w:t>Status Post Breast Reduction</w:t>
            </w:r>
          </w:p>
        </w:tc>
        <w:tc>
          <w:tcPr>
            <w:tcW w:w="1530" w:type="dxa"/>
            <w:gridSpan w:val="2"/>
            <w:vMerge/>
            <w:tcBorders>
              <w:right w:val="thinThickThinSmallGap" w:sz="24" w:space="0" w:color="auto"/>
            </w:tcBorders>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p>
        </w:tc>
        <w:tc>
          <w:tcPr>
            <w:tcW w:w="2700" w:type="dxa"/>
            <w:gridSpan w:val="2"/>
            <w:tcBorders>
              <w:left w:val="thinThickThinSmallGap" w:sz="24" w:space="0" w:color="auto"/>
            </w:tcBorders>
            <w:shd w:val="clear" w:color="auto" w:fill="FFFFFF" w:themeFill="background1"/>
          </w:tcPr>
          <w:p w:rsidR="00F611C3" w:rsidRPr="00C05C6D" w:rsidRDefault="00F611C3" w:rsidP="00190E48">
            <w:pPr>
              <w:pStyle w:val="ListParagraph"/>
              <w:spacing w:after="0" w:line="240" w:lineRule="exact"/>
              <w:ind w:left="0"/>
              <w:jc w:val="both"/>
              <w:rPr>
                <w:rFonts w:cs="Times New Roman"/>
                <w:sz w:val="18"/>
                <w:szCs w:val="18"/>
              </w:rPr>
            </w:pPr>
            <w:r>
              <w:rPr>
                <w:rFonts w:cs="Times New Roman"/>
                <w:sz w:val="18"/>
                <w:szCs w:val="18"/>
              </w:rPr>
              <w:t>Bilateral Breast Reduction</w:t>
            </w:r>
          </w:p>
        </w:tc>
        <w:tc>
          <w:tcPr>
            <w:tcW w:w="720" w:type="dxa"/>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r>
              <w:rPr>
                <w:rFonts w:cs="Times New Roman"/>
                <w:sz w:val="18"/>
                <w:szCs w:val="18"/>
              </w:rPr>
              <w:t>7626</w:t>
            </w:r>
          </w:p>
        </w:tc>
        <w:tc>
          <w:tcPr>
            <w:tcW w:w="810" w:type="dxa"/>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r>
              <w:rPr>
                <w:rFonts w:cs="Times New Roman"/>
                <w:sz w:val="18"/>
                <w:szCs w:val="18"/>
              </w:rPr>
              <w:t>0%</w:t>
            </w:r>
          </w:p>
        </w:tc>
        <w:tc>
          <w:tcPr>
            <w:tcW w:w="990" w:type="dxa"/>
            <w:shd w:val="clear" w:color="auto" w:fill="FFFFFF" w:themeFill="background1"/>
          </w:tcPr>
          <w:p w:rsidR="00F611C3" w:rsidRPr="00542C9A" w:rsidRDefault="00F611C3" w:rsidP="00E03CDF">
            <w:pPr>
              <w:pStyle w:val="ListParagraph"/>
              <w:spacing w:after="0" w:line="240" w:lineRule="exact"/>
              <w:ind w:left="0"/>
              <w:jc w:val="center"/>
              <w:rPr>
                <w:rFonts w:cs="Times New Roman"/>
                <w:sz w:val="18"/>
                <w:szCs w:val="18"/>
              </w:rPr>
            </w:pPr>
            <w:r w:rsidRPr="00E03CDF">
              <w:rPr>
                <w:rFonts w:cs="Times New Roman"/>
                <w:sz w:val="18"/>
                <w:szCs w:val="18"/>
              </w:rPr>
              <w:t>200503</w:t>
            </w:r>
            <w:r>
              <w:rPr>
                <w:rFonts w:cs="Times New Roman"/>
                <w:sz w:val="18"/>
                <w:szCs w:val="18"/>
              </w:rPr>
              <w:t>04</w:t>
            </w:r>
          </w:p>
        </w:tc>
      </w:tr>
      <w:tr w:rsidR="00F611C3" w:rsidRPr="002A685E" w:rsidTr="001C214D">
        <w:trPr>
          <w:trHeight w:val="125"/>
          <w:jc w:val="center"/>
        </w:trPr>
        <w:tc>
          <w:tcPr>
            <w:tcW w:w="2520" w:type="dxa"/>
            <w:shd w:val="clear" w:color="auto" w:fill="FFFFFF" w:themeFill="background1"/>
          </w:tcPr>
          <w:p w:rsidR="00F611C3" w:rsidRPr="00C05C6D" w:rsidRDefault="00F611C3" w:rsidP="003150A3">
            <w:pPr>
              <w:pStyle w:val="ListParagraph"/>
              <w:spacing w:after="0" w:line="240" w:lineRule="exact"/>
              <w:ind w:left="0"/>
              <w:jc w:val="both"/>
              <w:rPr>
                <w:rFonts w:cs="Times New Roman"/>
                <w:sz w:val="18"/>
                <w:szCs w:val="18"/>
              </w:rPr>
            </w:pPr>
            <w:r w:rsidRPr="00816594">
              <w:rPr>
                <w:rFonts w:cs="Times New Roman"/>
                <w:sz w:val="18"/>
                <w:szCs w:val="18"/>
              </w:rPr>
              <w:t>Asthma</w:t>
            </w:r>
          </w:p>
        </w:tc>
        <w:tc>
          <w:tcPr>
            <w:tcW w:w="1530" w:type="dxa"/>
            <w:gridSpan w:val="2"/>
            <w:vMerge/>
            <w:tcBorders>
              <w:right w:val="thinThickThinSmallGap" w:sz="24" w:space="0" w:color="auto"/>
            </w:tcBorders>
            <w:shd w:val="clear" w:color="auto" w:fill="FFFFFF" w:themeFill="background1"/>
          </w:tcPr>
          <w:p w:rsidR="00F611C3" w:rsidRPr="00542C9A" w:rsidRDefault="00F611C3" w:rsidP="003150A3">
            <w:pPr>
              <w:pStyle w:val="ListParagraph"/>
              <w:spacing w:after="0" w:line="240" w:lineRule="exact"/>
              <w:ind w:left="0"/>
              <w:jc w:val="center"/>
              <w:rPr>
                <w:rFonts w:cs="Times New Roman"/>
                <w:sz w:val="18"/>
                <w:szCs w:val="18"/>
              </w:rPr>
            </w:pPr>
          </w:p>
        </w:tc>
        <w:tc>
          <w:tcPr>
            <w:tcW w:w="2385" w:type="dxa"/>
            <w:tcBorders>
              <w:left w:val="thinThickThinSmallGap" w:sz="24" w:space="0" w:color="auto"/>
              <w:right w:val="single" w:sz="4" w:space="0" w:color="auto"/>
            </w:tcBorders>
            <w:shd w:val="clear" w:color="auto" w:fill="FFFFFF" w:themeFill="background1"/>
          </w:tcPr>
          <w:p w:rsidR="00F611C3" w:rsidRDefault="00F611C3" w:rsidP="00190E48">
            <w:pPr>
              <w:pStyle w:val="ListParagraph"/>
              <w:spacing w:after="0" w:line="240" w:lineRule="exact"/>
              <w:ind w:left="0"/>
              <w:jc w:val="both"/>
              <w:rPr>
                <w:rFonts w:cs="Times New Roman"/>
                <w:sz w:val="18"/>
                <w:szCs w:val="18"/>
              </w:rPr>
            </w:pPr>
            <w:r>
              <w:rPr>
                <w:rFonts w:cs="Times New Roman"/>
                <w:sz w:val="18"/>
                <w:szCs w:val="18"/>
              </w:rPr>
              <w:t>Asthma</w:t>
            </w:r>
          </w:p>
        </w:tc>
        <w:tc>
          <w:tcPr>
            <w:tcW w:w="1035" w:type="dxa"/>
            <w:gridSpan w:val="2"/>
            <w:tcBorders>
              <w:left w:val="single" w:sz="4" w:space="0" w:color="auto"/>
            </w:tcBorders>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r>
              <w:rPr>
                <w:rFonts w:cs="Times New Roman"/>
                <w:sz w:val="18"/>
                <w:szCs w:val="18"/>
              </w:rPr>
              <w:t>6600-6602</w:t>
            </w:r>
          </w:p>
        </w:tc>
        <w:tc>
          <w:tcPr>
            <w:tcW w:w="810" w:type="dxa"/>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r w:rsidRPr="00593642">
              <w:rPr>
                <w:rFonts w:cs="Times New Roman"/>
                <w:sz w:val="18"/>
                <w:szCs w:val="18"/>
              </w:rPr>
              <w:t>10%</w:t>
            </w:r>
          </w:p>
        </w:tc>
        <w:tc>
          <w:tcPr>
            <w:tcW w:w="990" w:type="dxa"/>
            <w:shd w:val="clear" w:color="auto" w:fill="FFFFFF" w:themeFill="background1"/>
          </w:tcPr>
          <w:p w:rsidR="00F611C3" w:rsidRPr="00542C9A" w:rsidRDefault="00F611C3" w:rsidP="005709F7">
            <w:pPr>
              <w:pStyle w:val="ListParagraph"/>
              <w:spacing w:after="0" w:line="240" w:lineRule="exact"/>
              <w:ind w:left="0"/>
              <w:jc w:val="center"/>
              <w:rPr>
                <w:rFonts w:cs="Times New Roman"/>
                <w:sz w:val="18"/>
                <w:szCs w:val="18"/>
              </w:rPr>
            </w:pPr>
            <w:r w:rsidRPr="00593642">
              <w:rPr>
                <w:rFonts w:cs="Times New Roman"/>
                <w:sz w:val="18"/>
                <w:szCs w:val="18"/>
              </w:rPr>
              <w:t>20050316</w:t>
            </w:r>
          </w:p>
        </w:tc>
      </w:tr>
      <w:tr w:rsidR="00F611C3" w:rsidRPr="002A685E" w:rsidTr="00F611C3">
        <w:trPr>
          <w:trHeight w:val="125"/>
          <w:jc w:val="center"/>
        </w:trPr>
        <w:tc>
          <w:tcPr>
            <w:tcW w:w="2520" w:type="dxa"/>
            <w:shd w:val="clear" w:color="auto" w:fill="FFFFFF" w:themeFill="background1"/>
          </w:tcPr>
          <w:p w:rsidR="00F611C3" w:rsidRPr="00C05C6D" w:rsidRDefault="00F611C3" w:rsidP="00E37845">
            <w:pPr>
              <w:pStyle w:val="ListParagraph"/>
              <w:spacing w:after="0" w:line="240" w:lineRule="exact"/>
              <w:ind w:left="0"/>
              <w:jc w:val="both"/>
              <w:rPr>
                <w:rFonts w:cs="Times New Roman"/>
                <w:sz w:val="18"/>
                <w:szCs w:val="18"/>
              </w:rPr>
            </w:pPr>
            <w:r>
              <w:rPr>
                <w:rFonts w:cs="Times New Roman"/>
                <w:sz w:val="18"/>
                <w:szCs w:val="18"/>
              </w:rPr>
              <w:t>ADHD</w:t>
            </w:r>
          </w:p>
        </w:tc>
        <w:tc>
          <w:tcPr>
            <w:tcW w:w="1530" w:type="dxa"/>
            <w:gridSpan w:val="2"/>
            <w:vMerge w:val="restart"/>
            <w:tcBorders>
              <w:right w:val="thinThickThinSmallGap" w:sz="24" w:space="0" w:color="auto"/>
            </w:tcBorders>
            <w:shd w:val="clear" w:color="auto" w:fill="FFFFFF" w:themeFill="background1"/>
            <w:vAlign w:val="center"/>
          </w:tcPr>
          <w:p w:rsidR="00F611C3" w:rsidRPr="00542C9A" w:rsidRDefault="00F611C3" w:rsidP="00F611C3">
            <w:pPr>
              <w:pStyle w:val="ListParagraph"/>
              <w:spacing w:after="0" w:line="240" w:lineRule="exact"/>
              <w:ind w:left="0"/>
              <w:jc w:val="center"/>
              <w:rPr>
                <w:rFonts w:cs="Times New Roman"/>
                <w:sz w:val="18"/>
                <w:szCs w:val="18"/>
              </w:rPr>
            </w:pPr>
            <w:r>
              <w:rPr>
                <w:rFonts w:cs="Times New Roman"/>
                <w:sz w:val="18"/>
                <w:szCs w:val="18"/>
              </w:rPr>
              <w:t>CAT IV</w:t>
            </w:r>
          </w:p>
        </w:tc>
        <w:tc>
          <w:tcPr>
            <w:tcW w:w="2385" w:type="dxa"/>
            <w:tcBorders>
              <w:left w:val="thinThickThinSmallGap" w:sz="24" w:space="0" w:color="auto"/>
              <w:right w:val="single" w:sz="4" w:space="0" w:color="auto"/>
            </w:tcBorders>
            <w:shd w:val="clear" w:color="auto" w:fill="FFFFFF" w:themeFill="background1"/>
          </w:tcPr>
          <w:p w:rsidR="00F611C3" w:rsidRDefault="00F611C3" w:rsidP="00190E48">
            <w:pPr>
              <w:pStyle w:val="ListParagraph"/>
              <w:spacing w:after="0" w:line="240" w:lineRule="exact"/>
              <w:ind w:left="0"/>
              <w:jc w:val="both"/>
              <w:rPr>
                <w:rFonts w:cs="Times New Roman"/>
                <w:sz w:val="18"/>
                <w:szCs w:val="18"/>
              </w:rPr>
            </w:pPr>
            <w:r>
              <w:rPr>
                <w:rFonts w:cs="Times New Roman"/>
                <w:sz w:val="18"/>
                <w:szCs w:val="18"/>
              </w:rPr>
              <w:t>Adult Attention Deficit</w:t>
            </w:r>
          </w:p>
        </w:tc>
        <w:tc>
          <w:tcPr>
            <w:tcW w:w="1035" w:type="dxa"/>
            <w:gridSpan w:val="2"/>
            <w:tcBorders>
              <w:left w:val="single" w:sz="4" w:space="0" w:color="auto"/>
            </w:tcBorders>
            <w:shd w:val="clear" w:color="auto" w:fill="FFFFFF" w:themeFill="background1"/>
          </w:tcPr>
          <w:p w:rsidR="00F611C3" w:rsidRDefault="00F611C3" w:rsidP="005709F7">
            <w:pPr>
              <w:pStyle w:val="ListParagraph"/>
              <w:spacing w:after="0" w:line="240" w:lineRule="exact"/>
              <w:ind w:left="0"/>
              <w:jc w:val="center"/>
              <w:rPr>
                <w:rFonts w:cs="Times New Roman"/>
                <w:sz w:val="18"/>
                <w:szCs w:val="18"/>
              </w:rPr>
            </w:pPr>
            <w:r>
              <w:rPr>
                <w:rFonts w:cs="Times New Roman"/>
                <w:sz w:val="18"/>
                <w:szCs w:val="18"/>
              </w:rPr>
              <w:t>9499-9400</w:t>
            </w:r>
          </w:p>
        </w:tc>
        <w:tc>
          <w:tcPr>
            <w:tcW w:w="810" w:type="dxa"/>
            <w:shd w:val="clear" w:color="auto" w:fill="FFFFFF" w:themeFill="background1"/>
          </w:tcPr>
          <w:p w:rsidR="00F611C3" w:rsidRPr="00593642" w:rsidRDefault="00F611C3" w:rsidP="005709F7">
            <w:pPr>
              <w:pStyle w:val="ListParagraph"/>
              <w:spacing w:after="0" w:line="240" w:lineRule="exact"/>
              <w:ind w:left="0"/>
              <w:jc w:val="center"/>
              <w:rPr>
                <w:rFonts w:cs="Times New Roman"/>
                <w:sz w:val="18"/>
                <w:szCs w:val="18"/>
              </w:rPr>
            </w:pPr>
            <w:r>
              <w:rPr>
                <w:rFonts w:cs="Times New Roman"/>
                <w:sz w:val="18"/>
                <w:szCs w:val="18"/>
              </w:rPr>
              <w:t>NSC</w:t>
            </w:r>
          </w:p>
        </w:tc>
        <w:tc>
          <w:tcPr>
            <w:tcW w:w="990" w:type="dxa"/>
            <w:shd w:val="clear" w:color="auto" w:fill="FFFFFF" w:themeFill="background1"/>
          </w:tcPr>
          <w:p w:rsidR="00F611C3" w:rsidRPr="00593642" w:rsidRDefault="00F611C3" w:rsidP="005709F7">
            <w:pPr>
              <w:pStyle w:val="ListParagraph"/>
              <w:spacing w:after="0" w:line="240" w:lineRule="exact"/>
              <w:ind w:left="0"/>
              <w:jc w:val="center"/>
              <w:rPr>
                <w:rFonts w:cs="Times New Roman"/>
                <w:sz w:val="18"/>
                <w:szCs w:val="18"/>
              </w:rPr>
            </w:pPr>
          </w:p>
        </w:tc>
      </w:tr>
      <w:tr w:rsidR="00F611C3" w:rsidRPr="002A685E" w:rsidTr="00D71F02">
        <w:trPr>
          <w:trHeight w:val="125"/>
          <w:jc w:val="center"/>
        </w:trPr>
        <w:tc>
          <w:tcPr>
            <w:tcW w:w="2520" w:type="dxa"/>
            <w:shd w:val="clear" w:color="auto" w:fill="FFFFFF" w:themeFill="background1"/>
          </w:tcPr>
          <w:p w:rsidR="00F611C3" w:rsidRDefault="00F611C3" w:rsidP="00E37845">
            <w:pPr>
              <w:pStyle w:val="ListParagraph"/>
              <w:spacing w:after="0" w:line="240" w:lineRule="exact"/>
              <w:ind w:left="0"/>
              <w:jc w:val="both"/>
              <w:rPr>
                <w:rFonts w:cs="Times New Roman"/>
                <w:sz w:val="18"/>
                <w:szCs w:val="18"/>
              </w:rPr>
            </w:pPr>
            <w:r>
              <w:rPr>
                <w:rFonts w:cs="Times New Roman"/>
                <w:sz w:val="18"/>
                <w:szCs w:val="18"/>
              </w:rPr>
              <w:t>Obesity</w:t>
            </w:r>
          </w:p>
        </w:tc>
        <w:tc>
          <w:tcPr>
            <w:tcW w:w="1530" w:type="dxa"/>
            <w:gridSpan w:val="2"/>
            <w:vMerge/>
            <w:tcBorders>
              <w:right w:val="thinThickThinSmallGap" w:sz="24" w:space="0" w:color="auto"/>
            </w:tcBorders>
            <w:shd w:val="clear" w:color="auto" w:fill="FFFFFF" w:themeFill="background1"/>
          </w:tcPr>
          <w:p w:rsidR="00F611C3" w:rsidRPr="00542C9A" w:rsidRDefault="00F611C3" w:rsidP="006D67A4">
            <w:pPr>
              <w:pStyle w:val="ListParagraph"/>
              <w:spacing w:after="0" w:line="240" w:lineRule="exact"/>
              <w:ind w:left="0"/>
              <w:jc w:val="center"/>
              <w:rPr>
                <w:rFonts w:cs="Times New Roman"/>
                <w:sz w:val="18"/>
                <w:szCs w:val="18"/>
              </w:rPr>
            </w:pPr>
          </w:p>
        </w:tc>
        <w:tc>
          <w:tcPr>
            <w:tcW w:w="5220" w:type="dxa"/>
            <w:gridSpan w:val="5"/>
            <w:tcBorders>
              <w:left w:val="thinThickThinSmallGap" w:sz="24" w:space="0" w:color="auto"/>
            </w:tcBorders>
            <w:shd w:val="clear" w:color="auto" w:fill="FFFFFF" w:themeFill="background1"/>
          </w:tcPr>
          <w:p w:rsidR="00F611C3" w:rsidRPr="00593642" w:rsidRDefault="00F611C3" w:rsidP="00F611C3">
            <w:pPr>
              <w:pStyle w:val="ListParagraph"/>
              <w:spacing w:after="0" w:line="240" w:lineRule="exact"/>
              <w:ind w:left="0"/>
              <w:rPr>
                <w:rFonts w:cs="Times New Roman"/>
                <w:sz w:val="18"/>
                <w:szCs w:val="18"/>
              </w:rPr>
            </w:pPr>
            <w:r>
              <w:rPr>
                <w:rFonts w:cs="Times New Roman"/>
                <w:sz w:val="18"/>
                <w:szCs w:val="18"/>
              </w:rPr>
              <w:t>No VA Entry</w:t>
            </w:r>
          </w:p>
        </w:tc>
      </w:tr>
      <w:tr w:rsidR="00F21376" w:rsidRPr="002A685E" w:rsidTr="00690751">
        <w:trPr>
          <w:trHeight w:val="224"/>
          <w:jc w:val="center"/>
        </w:trPr>
        <w:tc>
          <w:tcPr>
            <w:tcW w:w="4050" w:type="dxa"/>
            <w:gridSpan w:val="3"/>
            <w:tcBorders>
              <w:right w:val="thinThickThinSmallGap" w:sz="24" w:space="0" w:color="auto"/>
            </w:tcBorders>
            <w:shd w:val="clear" w:color="auto" w:fill="FFFFFF" w:themeFill="background1"/>
          </w:tcPr>
          <w:p w:rsidR="00F21376" w:rsidRPr="00AF7266" w:rsidRDefault="00F21376" w:rsidP="00593642">
            <w:pPr>
              <w:pStyle w:val="ListParagraph"/>
              <w:spacing w:after="0" w:line="240" w:lineRule="exact"/>
              <w:ind w:left="0"/>
              <w:jc w:val="center"/>
              <w:rPr>
                <w:rFonts w:cs="Times New Roman"/>
                <w:sz w:val="18"/>
                <w:szCs w:val="18"/>
                <w:highlight w:val="yellow"/>
              </w:rPr>
            </w:pPr>
            <w:r w:rsidRPr="005465B4">
              <w:rPr>
                <w:rFonts w:cs="Times New Roman"/>
                <w:sz w:val="18"/>
                <w:szCs w:val="18"/>
              </w:rPr>
              <w:t>↓No Additional MEB Entries↓</w:t>
            </w:r>
          </w:p>
        </w:tc>
        <w:tc>
          <w:tcPr>
            <w:tcW w:w="4230" w:type="dxa"/>
            <w:gridSpan w:val="4"/>
            <w:tcBorders>
              <w:left w:val="thinThickThinSmallGap" w:sz="24" w:space="0" w:color="auto"/>
            </w:tcBorders>
            <w:shd w:val="clear" w:color="auto" w:fill="FFFFFF" w:themeFill="background1"/>
          </w:tcPr>
          <w:p w:rsidR="00F21376" w:rsidRPr="00542C9A" w:rsidRDefault="00F21376" w:rsidP="005709F7">
            <w:pPr>
              <w:pStyle w:val="ListParagraph"/>
              <w:spacing w:after="0" w:line="240" w:lineRule="exact"/>
              <w:ind w:left="0"/>
              <w:jc w:val="center"/>
              <w:rPr>
                <w:rFonts w:cs="Times New Roman"/>
                <w:sz w:val="18"/>
                <w:szCs w:val="18"/>
              </w:rPr>
            </w:pPr>
            <w:r>
              <w:rPr>
                <w:rFonts w:cs="Times New Roman"/>
                <w:b/>
                <w:sz w:val="18"/>
                <w:szCs w:val="18"/>
              </w:rPr>
              <w:t xml:space="preserve">Other </w:t>
            </w:r>
            <w:r w:rsidRPr="008E744D">
              <w:rPr>
                <w:rFonts w:cs="Times New Roman"/>
                <w:b/>
                <w:sz w:val="18"/>
                <w:szCs w:val="18"/>
              </w:rPr>
              <w:t xml:space="preserve">X </w:t>
            </w:r>
            <w:r>
              <w:rPr>
                <w:rFonts w:cs="Times New Roman"/>
                <w:b/>
                <w:sz w:val="18"/>
                <w:szCs w:val="18"/>
              </w:rPr>
              <w:t xml:space="preserve">4 </w:t>
            </w:r>
            <w:r w:rsidRPr="008E744D">
              <w:rPr>
                <w:rFonts w:cs="Times New Roman"/>
                <w:b/>
                <w:sz w:val="18"/>
                <w:szCs w:val="18"/>
              </w:rPr>
              <w:t xml:space="preserve">/ NSC X </w:t>
            </w:r>
            <w:r>
              <w:rPr>
                <w:rFonts w:cs="Times New Roman"/>
                <w:b/>
                <w:sz w:val="18"/>
                <w:szCs w:val="18"/>
              </w:rPr>
              <w:t>3</w:t>
            </w:r>
          </w:p>
        </w:tc>
        <w:tc>
          <w:tcPr>
            <w:tcW w:w="990" w:type="dxa"/>
            <w:shd w:val="clear" w:color="auto" w:fill="FFFFFF" w:themeFill="background1"/>
          </w:tcPr>
          <w:p w:rsidR="00F21376" w:rsidRPr="00542C9A" w:rsidRDefault="00F21376" w:rsidP="005709F7">
            <w:pPr>
              <w:pStyle w:val="ListParagraph"/>
              <w:spacing w:after="0" w:line="240" w:lineRule="exact"/>
              <w:ind w:left="0"/>
              <w:jc w:val="center"/>
              <w:rPr>
                <w:rFonts w:cs="Times New Roman"/>
                <w:sz w:val="18"/>
                <w:szCs w:val="18"/>
              </w:rPr>
            </w:pPr>
          </w:p>
        </w:tc>
      </w:tr>
      <w:tr w:rsidR="00816594" w:rsidRPr="002A685E" w:rsidTr="0085089F">
        <w:trPr>
          <w:trHeight w:val="242"/>
          <w:jc w:val="center"/>
        </w:trPr>
        <w:tc>
          <w:tcPr>
            <w:tcW w:w="4050" w:type="dxa"/>
            <w:gridSpan w:val="3"/>
            <w:tcBorders>
              <w:right w:val="thinThickThinSmallGap" w:sz="24" w:space="0" w:color="auto"/>
            </w:tcBorders>
            <w:shd w:val="clear" w:color="auto" w:fill="D9D9D9" w:themeFill="background1" w:themeFillShade="D9"/>
          </w:tcPr>
          <w:p w:rsidR="00816594" w:rsidRPr="0085089F" w:rsidRDefault="00816594" w:rsidP="00593642">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2</w:t>
            </w:r>
            <w:r w:rsidRPr="00ED6A61">
              <w:rPr>
                <w:rFonts w:cs="Times New Roman"/>
                <w:b/>
                <w:sz w:val="20"/>
                <w:szCs w:val="20"/>
              </w:rPr>
              <w:t>0</w:t>
            </w:r>
            <w:r w:rsidRPr="0085089F">
              <w:rPr>
                <w:rFonts w:cs="Times New Roman"/>
                <w:b/>
                <w:sz w:val="20"/>
                <w:szCs w:val="20"/>
              </w:rPr>
              <w:t>%</w:t>
            </w:r>
          </w:p>
        </w:tc>
        <w:tc>
          <w:tcPr>
            <w:tcW w:w="5220" w:type="dxa"/>
            <w:gridSpan w:val="5"/>
            <w:tcBorders>
              <w:left w:val="thinThickThinSmallGap" w:sz="24" w:space="0" w:color="auto"/>
            </w:tcBorders>
            <w:shd w:val="clear" w:color="auto" w:fill="D9D9D9" w:themeFill="background1" w:themeFillShade="D9"/>
          </w:tcPr>
          <w:p w:rsidR="00816594" w:rsidRPr="0085089F" w:rsidRDefault="00816594" w:rsidP="00593642">
            <w:pPr>
              <w:pStyle w:val="ListParagraph"/>
              <w:spacing w:after="0" w:line="240" w:lineRule="exact"/>
              <w:ind w:left="0"/>
              <w:jc w:val="center"/>
              <w:rPr>
                <w:rFonts w:cs="Times New Roman"/>
                <w:b/>
                <w:sz w:val="20"/>
                <w:szCs w:val="20"/>
              </w:rPr>
            </w:pPr>
            <w:r w:rsidRPr="0085089F">
              <w:rPr>
                <w:rFonts w:cs="Times New Roman"/>
                <w:b/>
                <w:sz w:val="20"/>
                <w:szCs w:val="20"/>
              </w:rPr>
              <w:t xml:space="preserve">TOTAL Combined: </w:t>
            </w:r>
            <w:r>
              <w:rPr>
                <w:rFonts w:cs="Times New Roman"/>
                <w:b/>
                <w:sz w:val="20"/>
                <w:szCs w:val="20"/>
              </w:rPr>
              <w:t>6</w:t>
            </w:r>
            <w:r w:rsidRPr="00ED6A61">
              <w:rPr>
                <w:rFonts w:cs="Times New Roman"/>
                <w:b/>
                <w:sz w:val="20"/>
                <w:szCs w:val="20"/>
              </w:rPr>
              <w:t>0%</w:t>
            </w:r>
          </w:p>
        </w:tc>
      </w:tr>
    </w:tbl>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2C6E5B" w:rsidRDefault="002C6E5B" w:rsidP="00AF1668">
      <w:pPr>
        <w:tabs>
          <w:tab w:val="left" w:pos="288"/>
          <w:tab w:val="left" w:pos="4752"/>
        </w:tabs>
        <w:spacing w:line="240" w:lineRule="exact"/>
        <w:rPr>
          <w:rFonts w:asciiTheme="minorHAnsi" w:hAnsiTheme="minorHAnsi"/>
          <w:color w:val="auto"/>
          <w:szCs w:val="24"/>
        </w:rPr>
      </w:pPr>
      <w:r w:rsidRPr="00542C9A">
        <w:rPr>
          <w:rFonts w:asciiTheme="minorHAnsi" w:hAnsiTheme="minorHAnsi"/>
          <w:color w:val="auto"/>
          <w:szCs w:val="24"/>
          <w:u w:val="single"/>
        </w:rPr>
        <w:lastRenderedPageBreak/>
        <w:t>ANALYSIS SUMMARY</w:t>
      </w:r>
      <w:r w:rsidRPr="00542C9A">
        <w:rPr>
          <w:rFonts w:asciiTheme="minorHAnsi" w:hAnsiTheme="minorHAnsi"/>
          <w:color w:val="auto"/>
          <w:szCs w:val="24"/>
        </w:rPr>
        <w:t>:</w:t>
      </w:r>
    </w:p>
    <w:p w:rsidR="002C6E5B" w:rsidRPr="00542C9A" w:rsidRDefault="00D3662E" w:rsidP="00AF1668">
      <w:pPr>
        <w:tabs>
          <w:tab w:val="left" w:pos="2980"/>
        </w:tabs>
        <w:spacing w:line="240" w:lineRule="exact"/>
        <w:rPr>
          <w:rFonts w:asciiTheme="minorHAnsi" w:hAnsiTheme="minorHAnsi"/>
          <w:color w:val="auto"/>
          <w:szCs w:val="24"/>
        </w:rPr>
      </w:pPr>
      <w:r>
        <w:rPr>
          <w:rFonts w:asciiTheme="minorHAnsi" w:hAnsiTheme="minorHAnsi"/>
          <w:color w:val="auto"/>
          <w:szCs w:val="24"/>
        </w:rPr>
        <w:tab/>
      </w:r>
    </w:p>
    <w:p w:rsidR="00AD6870" w:rsidRDefault="007D0295"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Narcolepsy</w:t>
      </w:r>
      <w:r w:rsidR="002C6E5B" w:rsidRPr="00542C9A">
        <w:rPr>
          <w:rFonts w:asciiTheme="minorHAnsi" w:hAnsiTheme="minorHAnsi"/>
          <w:color w:val="auto"/>
          <w:szCs w:val="24"/>
          <w:u w:val="single"/>
        </w:rPr>
        <w:t xml:space="preserve"> Condition</w:t>
      </w:r>
      <w:r w:rsidR="002C6E5B" w:rsidRPr="00542C9A">
        <w:rPr>
          <w:rFonts w:asciiTheme="minorHAnsi" w:hAnsiTheme="minorHAnsi"/>
          <w:color w:val="auto"/>
          <w:szCs w:val="24"/>
        </w:rPr>
        <w:t>.</w:t>
      </w:r>
      <w:proofErr w:type="gramEnd"/>
      <w:r w:rsidR="002C6E5B" w:rsidRPr="00542C9A">
        <w:rPr>
          <w:rFonts w:asciiTheme="minorHAnsi" w:hAnsiTheme="minorHAnsi"/>
          <w:color w:val="auto"/>
          <w:szCs w:val="24"/>
        </w:rPr>
        <w:t xml:space="preserve">  </w:t>
      </w:r>
      <w:r w:rsidR="004D69D9">
        <w:rPr>
          <w:rFonts w:asciiTheme="minorHAnsi" w:hAnsiTheme="minorHAnsi"/>
          <w:color w:val="auto"/>
          <w:szCs w:val="24"/>
        </w:rPr>
        <w:t>The diagnosis of narcolepsy with cataplexy (</w:t>
      </w:r>
      <w:r w:rsidR="004D69D9" w:rsidRPr="004D69D9">
        <w:rPr>
          <w:rFonts w:asciiTheme="minorHAnsi" w:hAnsiTheme="minorHAnsi"/>
          <w:color w:val="auto"/>
          <w:szCs w:val="24"/>
        </w:rPr>
        <w:t>sudden and transient episode of loss of muscle tone</w:t>
      </w:r>
      <w:r w:rsidR="004D69D9">
        <w:rPr>
          <w:rFonts w:asciiTheme="minorHAnsi" w:hAnsiTheme="minorHAnsi"/>
          <w:color w:val="auto"/>
          <w:szCs w:val="24"/>
        </w:rPr>
        <w:t xml:space="preserve">) </w:t>
      </w:r>
      <w:r w:rsidR="00D00D20">
        <w:rPr>
          <w:rFonts w:asciiTheme="minorHAnsi" w:hAnsiTheme="minorHAnsi"/>
          <w:color w:val="auto"/>
          <w:szCs w:val="24"/>
        </w:rPr>
        <w:t xml:space="preserve">was established by sleep study after the CI was found fit by the first PEB for other conditions.  </w:t>
      </w:r>
      <w:r w:rsidR="004D69D9">
        <w:rPr>
          <w:rFonts w:asciiTheme="minorHAnsi" w:hAnsiTheme="minorHAnsi"/>
          <w:color w:val="auto"/>
          <w:szCs w:val="24"/>
        </w:rPr>
        <w:t>Prior to the initial PEB the CI had complained of insomnia which was suspected to be associated with her fibromyalgia pain.</w:t>
      </w:r>
      <w:r w:rsidR="00926FCB">
        <w:rPr>
          <w:rFonts w:asciiTheme="minorHAnsi" w:hAnsiTheme="minorHAnsi"/>
          <w:color w:val="auto"/>
          <w:szCs w:val="24"/>
        </w:rPr>
        <w:t xml:space="preserve">  </w:t>
      </w:r>
      <w:r w:rsidR="00CE765D">
        <w:rPr>
          <w:rFonts w:asciiTheme="minorHAnsi" w:hAnsiTheme="minorHAnsi"/>
          <w:color w:val="auto"/>
          <w:szCs w:val="24"/>
        </w:rPr>
        <w:t>The narcolepsy was treated with medications with some improvement.  However, due to the cataplexy episodes “once or twice a week” it was recommended that she not drive, carry or fire a loaded weapon, or be assigned to shipboard or other hazardous duty.  Additionally, she was put on a half day work schedule to allow for afternoon naps.</w:t>
      </w:r>
      <w:r w:rsidR="00B51BD3">
        <w:rPr>
          <w:rFonts w:asciiTheme="minorHAnsi" w:hAnsiTheme="minorHAnsi"/>
          <w:color w:val="auto"/>
          <w:szCs w:val="24"/>
        </w:rPr>
        <w:t xml:space="preserve">  The PEB applied the VASRD directive to rate narcolepsy </w:t>
      </w:r>
      <w:r w:rsidR="00B51BD3" w:rsidRPr="00B51BD3">
        <w:rPr>
          <w:rFonts w:asciiTheme="minorHAnsi" w:hAnsiTheme="minorHAnsi"/>
          <w:color w:val="auto"/>
          <w:szCs w:val="24"/>
        </w:rPr>
        <w:t xml:space="preserve">as </w:t>
      </w:r>
      <w:r w:rsidR="00B51BD3">
        <w:rPr>
          <w:rFonts w:asciiTheme="minorHAnsi" w:hAnsiTheme="minorHAnsi"/>
          <w:color w:val="auto"/>
          <w:szCs w:val="24"/>
        </w:rPr>
        <w:t xml:space="preserve">epilepsy: petit mal, </w:t>
      </w:r>
      <w:r w:rsidR="00B51BD3" w:rsidRPr="00B51BD3">
        <w:rPr>
          <w:rFonts w:asciiTheme="minorHAnsi" w:hAnsiTheme="minorHAnsi"/>
          <w:color w:val="auto"/>
          <w:szCs w:val="24"/>
        </w:rPr>
        <w:t>under the general ra</w:t>
      </w:r>
      <w:r w:rsidR="00B51BD3">
        <w:rPr>
          <w:rFonts w:asciiTheme="minorHAnsi" w:hAnsiTheme="minorHAnsi"/>
          <w:color w:val="auto"/>
          <w:szCs w:val="24"/>
        </w:rPr>
        <w:t xml:space="preserve">ting formula for minor seizures.  The PEB appears to have recognized the cataplexy episodes as equivalent to minor seizure episodes in arriving at a 20% rating.  The VA rating of 10% under the same VASRD code does not appear to recognize </w:t>
      </w:r>
      <w:r w:rsidR="00B51BD3" w:rsidRPr="00B51BD3">
        <w:rPr>
          <w:rFonts w:asciiTheme="minorHAnsi" w:hAnsiTheme="minorHAnsi"/>
          <w:color w:val="auto"/>
          <w:szCs w:val="24"/>
        </w:rPr>
        <w:t>cataplexy episodes as equivalent to minor seizure episodes</w:t>
      </w:r>
      <w:r w:rsidR="00B51BD3">
        <w:rPr>
          <w:rFonts w:asciiTheme="minorHAnsi" w:hAnsiTheme="minorHAnsi"/>
          <w:color w:val="auto"/>
          <w:szCs w:val="24"/>
        </w:rPr>
        <w:t xml:space="preserve">.  </w:t>
      </w:r>
      <w:r w:rsidR="00405C63">
        <w:rPr>
          <w:rFonts w:asciiTheme="minorHAnsi" w:hAnsiTheme="minorHAnsi"/>
          <w:color w:val="auto"/>
          <w:szCs w:val="24"/>
        </w:rPr>
        <w:t>The Board acknowledges VASRD 8108 Note (2) which states, “a</w:t>
      </w:r>
      <w:r w:rsidR="00405C63" w:rsidRPr="00405C63">
        <w:rPr>
          <w:rFonts w:asciiTheme="minorHAnsi" w:hAnsiTheme="minorHAnsi"/>
          <w:color w:val="auto"/>
          <w:szCs w:val="24"/>
        </w:rPr>
        <w:t xml:space="preserve"> minor seizure consists of a brief interruption in consciousness or conscious control</w:t>
      </w:r>
      <w:r w:rsidR="00405C63">
        <w:rPr>
          <w:rFonts w:asciiTheme="minorHAnsi" w:hAnsiTheme="minorHAnsi"/>
          <w:color w:val="auto"/>
          <w:szCs w:val="24"/>
        </w:rPr>
        <w:t xml:space="preserve">…) as adequate to encompass cataplexy as a minor seizure equivalent.  There is no evidence to support the higher 40% rating which requires five to eight minor seizures per week.  </w:t>
      </w:r>
      <w:r w:rsidR="00405C63" w:rsidRPr="00405C63">
        <w:rPr>
          <w:rFonts w:asciiTheme="minorHAnsi" w:hAnsiTheme="minorHAnsi"/>
          <w:color w:val="auto"/>
          <w:szCs w:val="24"/>
        </w:rPr>
        <w:t>All evidence considered</w:t>
      </w:r>
      <w:proofErr w:type="gramStart"/>
      <w:r w:rsidR="00405C63" w:rsidRPr="00405C63">
        <w:rPr>
          <w:rFonts w:asciiTheme="minorHAnsi" w:hAnsiTheme="minorHAnsi"/>
          <w:color w:val="auto"/>
          <w:szCs w:val="24"/>
        </w:rPr>
        <w:t>,</w:t>
      </w:r>
      <w:proofErr w:type="gramEnd"/>
      <w:r w:rsidR="00405C63" w:rsidRPr="00405C63">
        <w:rPr>
          <w:rFonts w:asciiTheme="minorHAnsi" w:hAnsiTheme="minorHAnsi"/>
          <w:color w:val="auto"/>
          <w:szCs w:val="24"/>
        </w:rPr>
        <w:t xml:space="preserve"> there is not reasonable doubt in the CI’s favor supporting a change from the PEB’s rating decision for the </w:t>
      </w:r>
      <w:r w:rsidR="00405C63">
        <w:rPr>
          <w:rFonts w:asciiTheme="minorHAnsi" w:hAnsiTheme="minorHAnsi"/>
          <w:color w:val="auto"/>
          <w:szCs w:val="24"/>
        </w:rPr>
        <w:t>narcolepsy</w:t>
      </w:r>
      <w:r w:rsidR="00405C63" w:rsidRPr="00405C63">
        <w:rPr>
          <w:rFonts w:asciiTheme="minorHAnsi" w:hAnsiTheme="minorHAnsi"/>
          <w:color w:val="auto"/>
          <w:szCs w:val="24"/>
        </w:rPr>
        <w:t xml:space="preserve"> condition.</w:t>
      </w:r>
    </w:p>
    <w:p w:rsidR="00AD6870" w:rsidRDefault="00AD6870" w:rsidP="005F0EAF">
      <w:pPr>
        <w:tabs>
          <w:tab w:val="left" w:pos="288"/>
          <w:tab w:val="left" w:pos="4752"/>
        </w:tabs>
        <w:spacing w:line="240" w:lineRule="exact"/>
        <w:jc w:val="both"/>
        <w:rPr>
          <w:rFonts w:asciiTheme="minorHAnsi" w:hAnsiTheme="minorHAnsi"/>
          <w:color w:val="auto"/>
          <w:szCs w:val="24"/>
        </w:rPr>
      </w:pPr>
    </w:p>
    <w:p w:rsidR="000C66A2" w:rsidRDefault="000C66A2"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Other PEB</w:t>
      </w:r>
      <w:r w:rsidRPr="000C66A2">
        <w:rPr>
          <w:rFonts w:asciiTheme="minorHAnsi" w:hAnsiTheme="minorHAnsi"/>
          <w:color w:val="auto"/>
          <w:szCs w:val="24"/>
          <w:u w:val="single"/>
        </w:rPr>
        <w:t xml:space="preserve"> Condition</w:t>
      </w:r>
      <w:r>
        <w:rPr>
          <w:rFonts w:asciiTheme="minorHAnsi" w:hAnsiTheme="minorHAnsi"/>
          <w:color w:val="auto"/>
          <w:szCs w:val="24"/>
          <w:u w:val="single"/>
        </w:rPr>
        <w:t>s</w:t>
      </w:r>
      <w:r>
        <w:rPr>
          <w:rFonts w:asciiTheme="minorHAnsi" w:hAnsiTheme="minorHAnsi"/>
          <w:color w:val="auto"/>
          <w:szCs w:val="24"/>
        </w:rPr>
        <w:t>.</w:t>
      </w:r>
      <w:proofErr w:type="gramEnd"/>
    </w:p>
    <w:p w:rsidR="000C66A2" w:rsidRPr="000C66A2" w:rsidRDefault="000C66A2" w:rsidP="005F0EAF">
      <w:pPr>
        <w:tabs>
          <w:tab w:val="left" w:pos="288"/>
          <w:tab w:val="left" w:pos="4752"/>
        </w:tabs>
        <w:spacing w:line="240" w:lineRule="exact"/>
        <w:jc w:val="both"/>
        <w:rPr>
          <w:rFonts w:asciiTheme="minorHAnsi" w:hAnsiTheme="minorHAnsi"/>
          <w:color w:val="auto"/>
          <w:szCs w:val="24"/>
        </w:rPr>
      </w:pPr>
    </w:p>
    <w:p w:rsidR="009C6671" w:rsidRDefault="009C6671" w:rsidP="009C6671">
      <w:pPr>
        <w:tabs>
          <w:tab w:val="left" w:pos="288"/>
          <w:tab w:val="left" w:pos="4752"/>
        </w:tabs>
        <w:spacing w:line="240" w:lineRule="exact"/>
        <w:jc w:val="both"/>
        <w:rPr>
          <w:rFonts w:asciiTheme="minorHAnsi" w:eastAsia="HiddenHorzOCR" w:hAnsiTheme="minorHAnsi"/>
          <w:color w:val="auto"/>
          <w:szCs w:val="24"/>
        </w:rPr>
      </w:pPr>
      <w:r>
        <w:rPr>
          <w:rFonts w:asciiTheme="minorHAnsi" w:hAnsiTheme="minorHAnsi"/>
          <w:color w:val="auto"/>
          <w:szCs w:val="24"/>
          <w:u w:val="single"/>
        </w:rPr>
        <w:t>Fibromyalgia</w:t>
      </w:r>
      <w:r w:rsidRPr="00542C9A">
        <w:rPr>
          <w:rFonts w:asciiTheme="minorHAnsi" w:hAnsiTheme="minorHAnsi"/>
          <w:color w:val="auto"/>
          <w:szCs w:val="24"/>
          <w:u w:val="single"/>
        </w:rPr>
        <w:t xml:space="preserve"> Condition</w:t>
      </w:r>
      <w:r w:rsidRPr="00542C9A">
        <w:rPr>
          <w:rFonts w:asciiTheme="minorHAnsi" w:hAnsiTheme="minorHAnsi"/>
          <w:color w:val="auto"/>
          <w:szCs w:val="24"/>
        </w:rPr>
        <w:t xml:space="preserve">.  </w:t>
      </w:r>
      <w:r>
        <w:rPr>
          <w:rFonts w:asciiTheme="minorHAnsi" w:hAnsiTheme="minorHAnsi"/>
          <w:color w:val="auto"/>
          <w:szCs w:val="24"/>
        </w:rPr>
        <w:t>The CI’s symptoms of myalgias and arthralgias began during basic training.  Despite a number of interventions including breast reduction surgery, her symptoms persisted and worsened, resulting in a LIMDU in June 2003 and referral to the MEB.  She was formally diagnosed with fibromyalgia by rheumatology.  The examining physician noted that the CI “</w:t>
      </w:r>
      <w:r w:rsidRPr="00667442">
        <w:rPr>
          <w:rFonts w:asciiTheme="minorHAnsi" w:hAnsiTheme="minorHAnsi"/>
          <w:color w:val="auto"/>
          <w:szCs w:val="24"/>
        </w:rPr>
        <w:t>misses 60% of her work</w:t>
      </w:r>
      <w:r>
        <w:rPr>
          <w:rFonts w:asciiTheme="minorHAnsi" w:hAnsiTheme="minorHAnsi"/>
          <w:color w:val="auto"/>
          <w:szCs w:val="24"/>
        </w:rPr>
        <w:t xml:space="preserve"> </w:t>
      </w:r>
      <w:r w:rsidRPr="00667442">
        <w:rPr>
          <w:rFonts w:asciiTheme="minorHAnsi" w:hAnsiTheme="minorHAnsi"/>
          <w:color w:val="auto"/>
          <w:szCs w:val="24"/>
        </w:rPr>
        <w:t>due</w:t>
      </w:r>
      <w:r>
        <w:rPr>
          <w:rFonts w:asciiTheme="minorHAnsi" w:hAnsiTheme="minorHAnsi"/>
          <w:color w:val="auto"/>
          <w:szCs w:val="24"/>
        </w:rPr>
        <w:t xml:space="preserve"> </w:t>
      </w:r>
      <w:r w:rsidRPr="00667442">
        <w:rPr>
          <w:rFonts w:asciiTheme="minorHAnsi" w:hAnsiTheme="minorHAnsi"/>
          <w:color w:val="auto"/>
          <w:szCs w:val="24"/>
        </w:rPr>
        <w:t>to</w:t>
      </w:r>
      <w:r>
        <w:rPr>
          <w:rFonts w:asciiTheme="minorHAnsi" w:hAnsiTheme="minorHAnsi"/>
          <w:color w:val="auto"/>
          <w:szCs w:val="24"/>
        </w:rPr>
        <w:t xml:space="preserve"> </w:t>
      </w:r>
      <w:r w:rsidRPr="00667442">
        <w:rPr>
          <w:rFonts w:asciiTheme="minorHAnsi" w:hAnsiTheme="minorHAnsi"/>
          <w:color w:val="auto"/>
          <w:szCs w:val="24"/>
        </w:rPr>
        <w:t>medical appointments.</w:t>
      </w:r>
      <w:r w:rsidR="00E207CD">
        <w:rPr>
          <w:rFonts w:asciiTheme="minorHAnsi" w:hAnsiTheme="minorHAnsi"/>
          <w:color w:val="auto"/>
          <w:szCs w:val="24"/>
        </w:rPr>
        <w:t xml:space="preserve"> </w:t>
      </w:r>
      <w:r w:rsidRPr="00667442">
        <w:rPr>
          <w:rFonts w:asciiTheme="minorHAnsi" w:hAnsiTheme="minorHAnsi"/>
          <w:color w:val="auto"/>
          <w:szCs w:val="24"/>
        </w:rPr>
        <w:t xml:space="preserve"> She in specific cannot climb ladders</w:t>
      </w:r>
      <w:r>
        <w:rPr>
          <w:rFonts w:asciiTheme="minorHAnsi" w:hAnsiTheme="minorHAnsi"/>
          <w:color w:val="auto"/>
          <w:szCs w:val="24"/>
        </w:rPr>
        <w:t xml:space="preserve"> </w:t>
      </w:r>
      <w:r w:rsidRPr="00667442">
        <w:rPr>
          <w:rFonts w:asciiTheme="minorHAnsi" w:hAnsiTheme="minorHAnsi"/>
          <w:color w:val="auto"/>
          <w:szCs w:val="24"/>
        </w:rPr>
        <w:t xml:space="preserve">aboard a </w:t>
      </w:r>
      <w:r>
        <w:rPr>
          <w:rFonts w:asciiTheme="minorHAnsi" w:hAnsiTheme="minorHAnsi"/>
          <w:color w:val="auto"/>
          <w:szCs w:val="24"/>
        </w:rPr>
        <w:t>s</w:t>
      </w:r>
      <w:r w:rsidRPr="00667442">
        <w:rPr>
          <w:rFonts w:asciiTheme="minorHAnsi" w:hAnsiTheme="minorHAnsi"/>
          <w:color w:val="auto"/>
          <w:szCs w:val="24"/>
        </w:rPr>
        <w:t>hip, sleep in small racks, or perform late night or</w:t>
      </w:r>
      <w:r>
        <w:rPr>
          <w:rFonts w:asciiTheme="minorHAnsi" w:hAnsiTheme="minorHAnsi"/>
          <w:color w:val="auto"/>
          <w:szCs w:val="24"/>
        </w:rPr>
        <w:t xml:space="preserve"> </w:t>
      </w:r>
      <w:r w:rsidRPr="00667442">
        <w:rPr>
          <w:rFonts w:asciiTheme="minorHAnsi" w:hAnsiTheme="minorHAnsi"/>
          <w:color w:val="auto"/>
          <w:szCs w:val="24"/>
        </w:rPr>
        <w:t xml:space="preserve">all-night shifts, or work on odd work schedules. </w:t>
      </w:r>
      <w:r w:rsidR="00E207CD">
        <w:rPr>
          <w:rFonts w:asciiTheme="minorHAnsi" w:hAnsiTheme="minorHAnsi"/>
          <w:color w:val="auto"/>
          <w:szCs w:val="24"/>
        </w:rPr>
        <w:t xml:space="preserve"> </w:t>
      </w:r>
      <w:r w:rsidRPr="00667442">
        <w:rPr>
          <w:rFonts w:asciiTheme="minorHAnsi" w:hAnsiTheme="minorHAnsi"/>
          <w:color w:val="auto"/>
          <w:szCs w:val="24"/>
        </w:rPr>
        <w:t>She has not</w:t>
      </w:r>
      <w:r>
        <w:rPr>
          <w:rFonts w:asciiTheme="minorHAnsi" w:hAnsiTheme="minorHAnsi"/>
          <w:color w:val="auto"/>
          <w:szCs w:val="24"/>
        </w:rPr>
        <w:t xml:space="preserve"> </w:t>
      </w:r>
      <w:r w:rsidRPr="00667442">
        <w:rPr>
          <w:rFonts w:asciiTheme="minorHAnsi" w:hAnsiTheme="minorHAnsi"/>
          <w:color w:val="auto"/>
          <w:szCs w:val="24"/>
        </w:rPr>
        <w:t>performed any physical readiness test since boot camp.</w:t>
      </w:r>
      <w:r>
        <w:rPr>
          <w:rFonts w:asciiTheme="minorHAnsi" w:hAnsiTheme="minorHAnsi"/>
          <w:color w:val="auto"/>
          <w:szCs w:val="24"/>
        </w:rPr>
        <w:t xml:space="preserve">”  Fibromyalgia was </w:t>
      </w:r>
      <w:r w:rsidRPr="00667442">
        <w:rPr>
          <w:rFonts w:asciiTheme="minorHAnsi" w:hAnsiTheme="minorHAnsi"/>
          <w:color w:val="auto"/>
          <w:szCs w:val="24"/>
        </w:rPr>
        <w:t>forwarded to the</w:t>
      </w:r>
      <w:r>
        <w:rPr>
          <w:rFonts w:asciiTheme="minorHAnsi" w:hAnsiTheme="minorHAnsi"/>
          <w:color w:val="auto"/>
          <w:szCs w:val="24"/>
        </w:rPr>
        <w:t xml:space="preserve"> CI’s initial</w:t>
      </w:r>
      <w:r w:rsidRPr="00667442">
        <w:rPr>
          <w:rFonts w:asciiTheme="minorHAnsi" w:hAnsiTheme="minorHAnsi"/>
          <w:color w:val="auto"/>
          <w:szCs w:val="24"/>
        </w:rPr>
        <w:t xml:space="preserve"> PEB on NAVMED 6100/1</w:t>
      </w:r>
      <w:r>
        <w:rPr>
          <w:rFonts w:asciiTheme="minorHAnsi" w:hAnsiTheme="minorHAnsi"/>
          <w:color w:val="auto"/>
          <w:szCs w:val="24"/>
        </w:rPr>
        <w:t>.  The Commander’s assessment stated that the CI “</w:t>
      </w:r>
      <w:r w:rsidR="00E207CD">
        <w:rPr>
          <w:rFonts w:asciiTheme="minorHAnsi" w:hAnsiTheme="minorHAnsi"/>
          <w:color w:val="auto"/>
          <w:szCs w:val="24"/>
        </w:rPr>
        <w:t>…</w:t>
      </w:r>
      <w:r w:rsidRPr="00E02688">
        <w:rPr>
          <w:rFonts w:asciiTheme="minorHAnsi" w:hAnsiTheme="minorHAnsi"/>
          <w:color w:val="auto"/>
          <w:szCs w:val="24"/>
        </w:rPr>
        <w:t>is a fine Petty</w:t>
      </w:r>
      <w:r>
        <w:rPr>
          <w:rFonts w:asciiTheme="minorHAnsi" w:hAnsiTheme="minorHAnsi"/>
          <w:color w:val="auto"/>
          <w:szCs w:val="24"/>
        </w:rPr>
        <w:t xml:space="preserve"> </w:t>
      </w:r>
      <w:r w:rsidRPr="00E02688">
        <w:rPr>
          <w:rFonts w:asciiTheme="minorHAnsi" w:hAnsiTheme="minorHAnsi"/>
          <w:color w:val="auto"/>
          <w:szCs w:val="24"/>
        </w:rPr>
        <w:t>Officer and can be counted on to perform her assigned duties when</w:t>
      </w:r>
      <w:r>
        <w:rPr>
          <w:rFonts w:asciiTheme="minorHAnsi" w:hAnsiTheme="minorHAnsi"/>
          <w:color w:val="auto"/>
          <w:szCs w:val="24"/>
        </w:rPr>
        <w:t xml:space="preserve"> </w:t>
      </w:r>
      <w:r w:rsidRPr="00E02688">
        <w:rPr>
          <w:rFonts w:asciiTheme="minorHAnsi" w:hAnsiTheme="minorHAnsi"/>
          <w:color w:val="auto"/>
          <w:szCs w:val="24"/>
        </w:rPr>
        <w:t xml:space="preserve">she is on duty. </w:t>
      </w:r>
      <w:r>
        <w:rPr>
          <w:rFonts w:asciiTheme="minorHAnsi" w:hAnsiTheme="minorHAnsi"/>
          <w:color w:val="auto"/>
          <w:szCs w:val="24"/>
        </w:rPr>
        <w:t xml:space="preserve"> </w:t>
      </w:r>
      <w:r w:rsidRPr="00E02688">
        <w:rPr>
          <w:rFonts w:asciiTheme="minorHAnsi" w:hAnsiTheme="minorHAnsi"/>
          <w:color w:val="auto"/>
          <w:szCs w:val="24"/>
        </w:rPr>
        <w:t>However, the myriad of health and family issues</w:t>
      </w:r>
      <w:r>
        <w:rPr>
          <w:rFonts w:asciiTheme="minorHAnsi" w:hAnsiTheme="minorHAnsi"/>
          <w:color w:val="auto"/>
          <w:szCs w:val="24"/>
        </w:rPr>
        <w:t xml:space="preserve"> </w:t>
      </w:r>
      <w:r w:rsidRPr="00E02688">
        <w:rPr>
          <w:rFonts w:asciiTheme="minorHAnsi" w:hAnsiTheme="minorHAnsi"/>
          <w:color w:val="auto"/>
          <w:szCs w:val="24"/>
        </w:rPr>
        <w:t>currently in her life have had a profound and detrimental affect</w:t>
      </w:r>
      <w:r>
        <w:rPr>
          <w:rFonts w:asciiTheme="minorHAnsi" w:hAnsiTheme="minorHAnsi"/>
          <w:color w:val="auto"/>
          <w:szCs w:val="24"/>
        </w:rPr>
        <w:t xml:space="preserve"> </w:t>
      </w:r>
      <w:r w:rsidRPr="00E02688">
        <w:rPr>
          <w:rFonts w:asciiTheme="minorHAnsi" w:hAnsiTheme="minorHAnsi"/>
          <w:color w:val="auto"/>
          <w:szCs w:val="24"/>
        </w:rPr>
        <w:t>on her overall well-being and an adverse impact on her abilities</w:t>
      </w:r>
      <w:r>
        <w:rPr>
          <w:rFonts w:asciiTheme="minorHAnsi" w:hAnsiTheme="minorHAnsi"/>
          <w:color w:val="auto"/>
          <w:szCs w:val="24"/>
        </w:rPr>
        <w:t xml:space="preserve"> </w:t>
      </w:r>
      <w:r w:rsidRPr="00E02688">
        <w:rPr>
          <w:rFonts w:asciiTheme="minorHAnsi" w:hAnsiTheme="minorHAnsi"/>
          <w:color w:val="auto"/>
          <w:szCs w:val="24"/>
        </w:rPr>
        <w:t>to perform her daily work in a reliable effective manner.</w:t>
      </w:r>
      <w:r>
        <w:rPr>
          <w:rFonts w:asciiTheme="minorHAnsi" w:hAnsiTheme="minorHAnsi"/>
          <w:color w:val="auto"/>
          <w:szCs w:val="24"/>
        </w:rPr>
        <w:t xml:space="preserve">”  The PEB found the fibromyalgia condition not unfitting and returned the CI to duty.  This decision was upheld on reconsideration.  </w:t>
      </w:r>
      <w:r w:rsidRPr="00E02688">
        <w:rPr>
          <w:rFonts w:asciiTheme="minorHAnsi" w:eastAsia="HiddenHorzOCR" w:hAnsiTheme="minorHAnsi"/>
          <w:color w:val="auto"/>
          <w:szCs w:val="24"/>
        </w:rPr>
        <w:t>Although the MEB’s judgment that a condition does not meet retention standards is but a factor in the PEB’s fitness determination, it raises the bar for an adjudication of not unfitting.</w:t>
      </w:r>
      <w:r>
        <w:rPr>
          <w:rFonts w:asciiTheme="minorHAnsi" w:eastAsia="HiddenHorzOCR" w:hAnsiTheme="minorHAnsi"/>
          <w:color w:val="auto"/>
          <w:szCs w:val="24"/>
        </w:rPr>
        <w:t xml:space="preserve">  The Board considered the Commander’s assessment of the CI’s duty performance and the decreased emphasis on the fibromyalgia symptoms after the initial PEB.  </w:t>
      </w:r>
      <w:r w:rsidRPr="009C6671">
        <w:rPr>
          <w:rFonts w:asciiTheme="minorHAnsi" w:eastAsia="HiddenHorzOCR" w:hAnsiTheme="minorHAnsi"/>
          <w:color w:val="auto"/>
          <w:szCs w:val="24"/>
        </w:rPr>
        <w:t>All evidence considered</w:t>
      </w:r>
      <w:proofErr w:type="gramStart"/>
      <w:r w:rsidRPr="009C6671">
        <w:rPr>
          <w:rFonts w:asciiTheme="minorHAnsi" w:eastAsia="HiddenHorzOCR" w:hAnsiTheme="minorHAnsi"/>
          <w:color w:val="auto"/>
          <w:szCs w:val="24"/>
        </w:rPr>
        <w:t>,</w:t>
      </w:r>
      <w:proofErr w:type="gramEnd"/>
      <w:r w:rsidRPr="009C6671">
        <w:rPr>
          <w:rFonts w:asciiTheme="minorHAnsi" w:eastAsia="HiddenHorzOCR" w:hAnsiTheme="minorHAnsi"/>
          <w:color w:val="auto"/>
          <w:szCs w:val="24"/>
        </w:rPr>
        <w:t xml:space="preserve"> there is not reasonable doubt in the CI’s favor supporting addition of fibromyalgia as an unfitting condition for separation rating.</w:t>
      </w:r>
    </w:p>
    <w:p w:rsidR="009C6671" w:rsidRDefault="009C6671" w:rsidP="009C6671">
      <w:pPr>
        <w:tabs>
          <w:tab w:val="left" w:pos="288"/>
          <w:tab w:val="left" w:pos="4752"/>
        </w:tabs>
        <w:spacing w:line="240" w:lineRule="exact"/>
        <w:jc w:val="both"/>
        <w:rPr>
          <w:rFonts w:asciiTheme="minorHAnsi" w:eastAsia="HiddenHorzOCR" w:hAnsiTheme="minorHAnsi"/>
          <w:color w:val="auto"/>
          <w:szCs w:val="24"/>
        </w:rPr>
      </w:pPr>
    </w:p>
    <w:p w:rsidR="004D68B1" w:rsidRDefault="004D68B1" w:rsidP="005F0EAF">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PTSD</w:t>
      </w:r>
      <w:r w:rsidRPr="00542C9A">
        <w:rPr>
          <w:rFonts w:asciiTheme="minorHAnsi" w:hAnsiTheme="minorHAnsi"/>
          <w:color w:val="auto"/>
          <w:szCs w:val="24"/>
          <w:u w:val="single"/>
        </w:rPr>
        <w:t xml:space="preserve"> Condition</w:t>
      </w:r>
      <w:r w:rsidRPr="00542C9A">
        <w:rPr>
          <w:rFonts w:asciiTheme="minorHAnsi" w:hAnsiTheme="minorHAnsi"/>
          <w:color w:val="auto"/>
          <w:szCs w:val="24"/>
        </w:rPr>
        <w:t xml:space="preserve">.  </w:t>
      </w:r>
      <w:r w:rsidR="008E3AD4">
        <w:rPr>
          <w:rFonts w:asciiTheme="minorHAnsi" w:hAnsiTheme="minorHAnsi"/>
          <w:color w:val="auto"/>
          <w:szCs w:val="24"/>
        </w:rPr>
        <w:t>The CI was diagnosed with PTSD when she developed anxiety and depression symptoms following her grandmother’s death.  These symptoms were related to past abuse</w:t>
      </w:r>
      <w:r w:rsidR="001C7A0B">
        <w:rPr>
          <w:rFonts w:asciiTheme="minorHAnsi" w:hAnsiTheme="minorHAnsi"/>
          <w:color w:val="auto"/>
          <w:szCs w:val="24"/>
        </w:rPr>
        <w:t xml:space="preserve">.  </w:t>
      </w:r>
      <w:r w:rsidR="009105B2">
        <w:rPr>
          <w:rFonts w:asciiTheme="minorHAnsi" w:hAnsiTheme="minorHAnsi"/>
          <w:color w:val="auto"/>
          <w:szCs w:val="24"/>
        </w:rPr>
        <w:t xml:space="preserve">Her mental status exam was consistently normal. </w:t>
      </w:r>
      <w:r w:rsidR="009105B2" w:rsidRPr="009105B2">
        <w:rPr>
          <w:rFonts w:asciiTheme="minorHAnsi" w:hAnsiTheme="minorHAnsi"/>
          <w:color w:val="auto"/>
          <w:szCs w:val="24"/>
        </w:rPr>
        <w:t xml:space="preserve"> </w:t>
      </w:r>
      <w:r w:rsidR="009105B2">
        <w:rPr>
          <w:rFonts w:asciiTheme="minorHAnsi" w:hAnsiTheme="minorHAnsi"/>
          <w:color w:val="auto"/>
          <w:szCs w:val="24"/>
        </w:rPr>
        <w:t>She was treated with medications and counseling, to which she responded positively.  The examiner opined that the PTSD condition “</w:t>
      </w:r>
      <w:r w:rsidR="009105B2" w:rsidRPr="009105B2">
        <w:rPr>
          <w:rFonts w:asciiTheme="minorHAnsi" w:hAnsiTheme="minorHAnsi"/>
          <w:color w:val="auto"/>
          <w:szCs w:val="24"/>
        </w:rPr>
        <w:t>likely existed prior to enlistment and is</w:t>
      </w:r>
      <w:r w:rsidR="009105B2">
        <w:rPr>
          <w:rFonts w:asciiTheme="minorHAnsi" w:hAnsiTheme="minorHAnsi"/>
          <w:color w:val="auto"/>
          <w:szCs w:val="24"/>
        </w:rPr>
        <w:t xml:space="preserve"> </w:t>
      </w:r>
      <w:r w:rsidR="009105B2" w:rsidRPr="009105B2">
        <w:rPr>
          <w:rFonts w:asciiTheme="minorHAnsi" w:hAnsiTheme="minorHAnsi"/>
          <w:color w:val="auto"/>
          <w:szCs w:val="24"/>
        </w:rPr>
        <w:t xml:space="preserve">considered to have neither incurred in </w:t>
      </w:r>
      <w:proofErr w:type="gramStart"/>
      <w:r w:rsidR="009105B2" w:rsidRPr="009105B2">
        <w:rPr>
          <w:rFonts w:asciiTheme="minorHAnsi" w:hAnsiTheme="minorHAnsi"/>
          <w:color w:val="auto"/>
          <w:szCs w:val="24"/>
        </w:rPr>
        <w:t>nor</w:t>
      </w:r>
      <w:proofErr w:type="gramEnd"/>
      <w:r w:rsidR="009105B2" w:rsidRPr="009105B2">
        <w:rPr>
          <w:rFonts w:asciiTheme="minorHAnsi" w:hAnsiTheme="minorHAnsi"/>
          <w:color w:val="auto"/>
          <w:szCs w:val="24"/>
        </w:rPr>
        <w:t xml:space="preserve"> to have </w:t>
      </w:r>
      <w:r w:rsidR="009105B2">
        <w:rPr>
          <w:rFonts w:asciiTheme="minorHAnsi" w:hAnsiTheme="minorHAnsi"/>
          <w:color w:val="auto"/>
          <w:szCs w:val="24"/>
        </w:rPr>
        <w:t>b</w:t>
      </w:r>
      <w:r w:rsidR="009105B2" w:rsidRPr="009105B2">
        <w:rPr>
          <w:rFonts w:asciiTheme="minorHAnsi" w:hAnsiTheme="minorHAnsi"/>
          <w:color w:val="auto"/>
          <w:szCs w:val="24"/>
        </w:rPr>
        <w:t>een aggravated by a period of active</w:t>
      </w:r>
      <w:r w:rsidR="009105B2">
        <w:rPr>
          <w:rFonts w:asciiTheme="minorHAnsi" w:hAnsiTheme="minorHAnsi"/>
          <w:color w:val="auto"/>
          <w:szCs w:val="24"/>
        </w:rPr>
        <w:t xml:space="preserve"> </w:t>
      </w:r>
      <w:r w:rsidR="009105B2" w:rsidRPr="009105B2">
        <w:rPr>
          <w:rFonts w:asciiTheme="minorHAnsi" w:hAnsiTheme="minorHAnsi"/>
          <w:color w:val="auto"/>
          <w:szCs w:val="24"/>
        </w:rPr>
        <w:t>duty.</w:t>
      </w:r>
      <w:r w:rsidR="009105B2">
        <w:rPr>
          <w:rFonts w:asciiTheme="minorHAnsi" w:hAnsiTheme="minorHAnsi"/>
          <w:color w:val="auto"/>
          <w:szCs w:val="24"/>
        </w:rPr>
        <w:t xml:space="preserve">”  He assigned a </w:t>
      </w:r>
      <w:r w:rsidR="009105B2" w:rsidRPr="009105B2">
        <w:rPr>
          <w:rFonts w:asciiTheme="minorHAnsi" w:hAnsiTheme="minorHAnsi"/>
          <w:color w:val="auto"/>
          <w:szCs w:val="24"/>
        </w:rPr>
        <w:t>Global Assessment of Functioning (GAF)</w:t>
      </w:r>
      <w:r w:rsidR="009105B2">
        <w:rPr>
          <w:rFonts w:asciiTheme="minorHAnsi" w:hAnsiTheme="minorHAnsi"/>
          <w:color w:val="auto"/>
          <w:szCs w:val="24"/>
        </w:rPr>
        <w:t xml:space="preserve"> of 65 connoting mild symptoms and generally good function.  There is no apparent linkage to fitness for the CI’s PTSD symptoms.  </w:t>
      </w:r>
      <w:r w:rsidR="000C66A2">
        <w:rPr>
          <w:rFonts w:asciiTheme="minorHAnsi" w:hAnsiTheme="minorHAnsi"/>
          <w:color w:val="auto"/>
          <w:szCs w:val="24"/>
        </w:rPr>
        <w:t>The Board notes that the VA did service</w:t>
      </w:r>
      <w:r w:rsidR="00E207CD">
        <w:rPr>
          <w:rFonts w:asciiTheme="minorHAnsi" w:hAnsiTheme="minorHAnsi"/>
          <w:color w:val="auto"/>
          <w:szCs w:val="24"/>
        </w:rPr>
        <w:t>-</w:t>
      </w:r>
      <w:r w:rsidR="000C66A2">
        <w:rPr>
          <w:rFonts w:asciiTheme="minorHAnsi" w:hAnsiTheme="minorHAnsi"/>
          <w:color w:val="auto"/>
          <w:szCs w:val="24"/>
        </w:rPr>
        <w:t xml:space="preserve">connect the CI’s PTSD and rated it 10% connoting </w:t>
      </w:r>
      <w:r w:rsidR="000C66A2" w:rsidRPr="000C66A2">
        <w:rPr>
          <w:rFonts w:asciiTheme="minorHAnsi" w:hAnsiTheme="minorHAnsi"/>
          <w:color w:val="auto"/>
          <w:szCs w:val="24"/>
        </w:rPr>
        <w:t>mild or transient symptoms or symptoms controlled by continuous medication</w:t>
      </w:r>
      <w:r w:rsidR="000C66A2">
        <w:rPr>
          <w:rFonts w:asciiTheme="minorHAnsi" w:hAnsiTheme="minorHAnsi"/>
          <w:color w:val="auto"/>
          <w:szCs w:val="24"/>
        </w:rPr>
        <w:t xml:space="preserve">.  </w:t>
      </w:r>
      <w:r w:rsidR="009105B2" w:rsidRPr="009105B2">
        <w:rPr>
          <w:rFonts w:asciiTheme="minorHAnsi" w:hAnsiTheme="minorHAnsi"/>
          <w:color w:val="auto"/>
          <w:szCs w:val="24"/>
        </w:rPr>
        <w:t>All evidence considered</w:t>
      </w:r>
      <w:proofErr w:type="gramStart"/>
      <w:r w:rsidR="009105B2" w:rsidRPr="009105B2">
        <w:rPr>
          <w:rFonts w:asciiTheme="minorHAnsi" w:hAnsiTheme="minorHAnsi"/>
          <w:color w:val="auto"/>
          <w:szCs w:val="24"/>
        </w:rPr>
        <w:t>,</w:t>
      </w:r>
      <w:proofErr w:type="gramEnd"/>
      <w:r w:rsidR="009105B2" w:rsidRPr="009105B2">
        <w:rPr>
          <w:rFonts w:asciiTheme="minorHAnsi" w:hAnsiTheme="minorHAnsi"/>
          <w:color w:val="auto"/>
          <w:szCs w:val="24"/>
        </w:rPr>
        <w:t xml:space="preserve"> there is not reasonable doubt in the CI’s favor supporting</w:t>
      </w:r>
      <w:r w:rsidR="009105B2">
        <w:rPr>
          <w:rFonts w:asciiTheme="minorHAnsi" w:hAnsiTheme="minorHAnsi"/>
          <w:color w:val="auto"/>
          <w:szCs w:val="24"/>
        </w:rPr>
        <w:t xml:space="preserve"> the addition of PTSD as an additional unfitting condition for rating.</w:t>
      </w:r>
    </w:p>
    <w:p w:rsidR="007E7B4E" w:rsidRDefault="007E7B4E" w:rsidP="005F0EAF">
      <w:pPr>
        <w:tabs>
          <w:tab w:val="left" w:pos="288"/>
          <w:tab w:val="left" w:pos="4752"/>
        </w:tabs>
        <w:spacing w:line="240" w:lineRule="exact"/>
        <w:jc w:val="both"/>
        <w:rPr>
          <w:rFonts w:asciiTheme="minorHAnsi" w:hAnsiTheme="minorHAnsi"/>
          <w:color w:val="auto"/>
          <w:szCs w:val="24"/>
        </w:rPr>
      </w:pPr>
    </w:p>
    <w:p w:rsidR="00725E45" w:rsidRPr="00725E45" w:rsidRDefault="004D68B1"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Breast Reduction</w:t>
      </w:r>
      <w:r w:rsidRPr="00542C9A">
        <w:rPr>
          <w:rFonts w:asciiTheme="minorHAnsi" w:hAnsiTheme="minorHAnsi"/>
          <w:color w:val="auto"/>
          <w:szCs w:val="24"/>
          <w:u w:val="single"/>
        </w:rPr>
        <w:t xml:space="preserve"> Condition</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725E45">
        <w:rPr>
          <w:rFonts w:asciiTheme="minorHAnsi" w:hAnsiTheme="minorHAnsi"/>
          <w:color w:val="auto"/>
          <w:szCs w:val="24"/>
        </w:rPr>
        <w:t xml:space="preserve">The CI underwent reduction mammoplasty as a suggested mitigation strategy for ongoing back and chest pain.  </w:t>
      </w:r>
      <w:r w:rsidR="00725E45" w:rsidRPr="00725E45">
        <w:rPr>
          <w:rFonts w:asciiTheme="minorHAnsi" w:hAnsiTheme="minorHAnsi"/>
          <w:color w:val="auto"/>
          <w:szCs w:val="24"/>
        </w:rPr>
        <w:t xml:space="preserve">She </w:t>
      </w:r>
      <w:r w:rsidR="00725E45">
        <w:rPr>
          <w:rFonts w:asciiTheme="minorHAnsi" w:hAnsiTheme="minorHAnsi"/>
          <w:color w:val="auto"/>
          <w:szCs w:val="24"/>
        </w:rPr>
        <w:t>developed</w:t>
      </w:r>
      <w:r w:rsidR="00725E45" w:rsidRPr="00725E45">
        <w:rPr>
          <w:rFonts w:asciiTheme="minorHAnsi" w:hAnsiTheme="minorHAnsi"/>
          <w:color w:val="auto"/>
          <w:szCs w:val="24"/>
        </w:rPr>
        <w:t xml:space="preserve"> a left breast infection </w:t>
      </w:r>
      <w:r w:rsidR="00725E45">
        <w:rPr>
          <w:rFonts w:asciiTheme="minorHAnsi" w:hAnsiTheme="minorHAnsi"/>
          <w:color w:val="auto"/>
          <w:szCs w:val="24"/>
        </w:rPr>
        <w:t xml:space="preserve">and keloid formations </w:t>
      </w:r>
      <w:r w:rsidR="00725E45" w:rsidRPr="00725E45">
        <w:rPr>
          <w:rFonts w:asciiTheme="minorHAnsi" w:hAnsiTheme="minorHAnsi"/>
          <w:color w:val="auto"/>
          <w:szCs w:val="24"/>
        </w:rPr>
        <w:t>as complication</w:t>
      </w:r>
      <w:r w:rsidR="00725E45">
        <w:rPr>
          <w:rFonts w:asciiTheme="minorHAnsi" w:hAnsiTheme="minorHAnsi"/>
          <w:color w:val="auto"/>
          <w:szCs w:val="24"/>
        </w:rPr>
        <w:t>s</w:t>
      </w:r>
      <w:r w:rsidR="00725E45" w:rsidRPr="00725E45">
        <w:rPr>
          <w:rFonts w:asciiTheme="minorHAnsi" w:hAnsiTheme="minorHAnsi"/>
          <w:color w:val="auto"/>
          <w:szCs w:val="24"/>
        </w:rPr>
        <w:t xml:space="preserve">. </w:t>
      </w:r>
      <w:r w:rsidR="00725E45">
        <w:rPr>
          <w:rFonts w:asciiTheme="minorHAnsi" w:hAnsiTheme="minorHAnsi"/>
          <w:color w:val="auto"/>
          <w:szCs w:val="24"/>
        </w:rPr>
        <w:t xml:space="preserve"> She required two subsequent surgeries to address nipple revision and breast size asymmetry.  No linkage to fitness is in evidence for the breast reduction condition.  The VA service connected the breast reduction and surgical scar on each breast with a noncompensable rating.  </w:t>
      </w:r>
      <w:r w:rsidR="00725E45" w:rsidRPr="00725E45">
        <w:rPr>
          <w:rFonts w:asciiTheme="minorHAnsi" w:hAnsiTheme="minorHAnsi"/>
          <w:color w:val="auto"/>
          <w:szCs w:val="24"/>
        </w:rPr>
        <w:t>All evidence considered</w:t>
      </w:r>
      <w:proofErr w:type="gramStart"/>
      <w:r w:rsidR="00725E45" w:rsidRPr="00725E45">
        <w:rPr>
          <w:rFonts w:asciiTheme="minorHAnsi" w:hAnsiTheme="minorHAnsi"/>
          <w:color w:val="auto"/>
          <w:szCs w:val="24"/>
        </w:rPr>
        <w:t>,</w:t>
      </w:r>
      <w:proofErr w:type="gramEnd"/>
      <w:r w:rsidR="00725E45" w:rsidRPr="00725E45">
        <w:rPr>
          <w:rFonts w:asciiTheme="minorHAnsi" w:hAnsiTheme="minorHAnsi"/>
          <w:color w:val="auto"/>
          <w:szCs w:val="24"/>
        </w:rPr>
        <w:t xml:space="preserve"> there is not reasonable doubt in the CI’s favor supporting recharacterization of the PEB fitness adjudication for the </w:t>
      </w:r>
      <w:r w:rsidR="00725E45">
        <w:rPr>
          <w:rFonts w:asciiTheme="minorHAnsi" w:hAnsiTheme="minorHAnsi"/>
          <w:color w:val="auto"/>
          <w:szCs w:val="24"/>
        </w:rPr>
        <w:t>breast reduction</w:t>
      </w:r>
      <w:r w:rsidR="00725E45" w:rsidRPr="00725E45">
        <w:rPr>
          <w:rFonts w:asciiTheme="minorHAnsi" w:hAnsiTheme="minorHAnsi"/>
          <w:color w:val="auto"/>
          <w:szCs w:val="24"/>
        </w:rPr>
        <w:t xml:space="preserve"> condition.</w:t>
      </w:r>
    </w:p>
    <w:p w:rsidR="004D68B1" w:rsidRDefault="004D68B1" w:rsidP="005F0EAF">
      <w:pPr>
        <w:tabs>
          <w:tab w:val="left" w:pos="288"/>
          <w:tab w:val="left" w:pos="4752"/>
        </w:tabs>
        <w:spacing w:line="240" w:lineRule="exact"/>
        <w:jc w:val="both"/>
        <w:rPr>
          <w:rFonts w:asciiTheme="minorHAnsi" w:hAnsiTheme="minorHAnsi"/>
          <w:color w:val="auto"/>
          <w:szCs w:val="24"/>
          <w:u w:val="single"/>
        </w:rPr>
      </w:pPr>
    </w:p>
    <w:p w:rsidR="004D68B1" w:rsidRDefault="004D68B1"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Asthma</w:t>
      </w:r>
      <w:r w:rsidRPr="00542C9A">
        <w:rPr>
          <w:rFonts w:asciiTheme="minorHAnsi" w:hAnsiTheme="minorHAnsi"/>
          <w:color w:val="auto"/>
          <w:szCs w:val="24"/>
          <w:u w:val="single"/>
        </w:rPr>
        <w:t xml:space="preserve"> Condition</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B91C43">
        <w:rPr>
          <w:rFonts w:asciiTheme="minorHAnsi" w:hAnsiTheme="minorHAnsi"/>
          <w:color w:val="auto"/>
          <w:szCs w:val="24"/>
        </w:rPr>
        <w:t xml:space="preserve">The CI’s diagnosis of asthma preceded her entry onto active duty.  While in service her asthma symptoms were mild and intermittent.  Treatment consisted of a bronchodilator inhaler on an as needed basis.  </w:t>
      </w:r>
      <w:r w:rsidR="00B91C43" w:rsidRPr="00B91C43">
        <w:rPr>
          <w:rFonts w:asciiTheme="minorHAnsi" w:hAnsiTheme="minorHAnsi"/>
          <w:color w:val="auto"/>
          <w:szCs w:val="24"/>
        </w:rPr>
        <w:t xml:space="preserve">No linkage to fitness is in evidence for the </w:t>
      </w:r>
      <w:r w:rsidR="00B91C43">
        <w:rPr>
          <w:rFonts w:asciiTheme="minorHAnsi" w:hAnsiTheme="minorHAnsi"/>
          <w:color w:val="auto"/>
          <w:szCs w:val="24"/>
        </w:rPr>
        <w:t>asthma</w:t>
      </w:r>
      <w:r w:rsidR="00B91C43" w:rsidRPr="00B91C43">
        <w:rPr>
          <w:rFonts w:asciiTheme="minorHAnsi" w:hAnsiTheme="minorHAnsi"/>
          <w:color w:val="auto"/>
          <w:szCs w:val="24"/>
        </w:rPr>
        <w:t xml:space="preserve"> condition.  The VA service connected the</w:t>
      </w:r>
      <w:r w:rsidR="00B91C43">
        <w:rPr>
          <w:rFonts w:asciiTheme="minorHAnsi" w:hAnsiTheme="minorHAnsi"/>
          <w:color w:val="auto"/>
          <w:szCs w:val="24"/>
        </w:rPr>
        <w:t xml:space="preserve"> asthma condition with a 10%</w:t>
      </w:r>
      <w:r w:rsidR="00B91C43" w:rsidRPr="00B91C43">
        <w:rPr>
          <w:rFonts w:asciiTheme="minorHAnsi" w:hAnsiTheme="minorHAnsi"/>
          <w:color w:val="auto"/>
          <w:szCs w:val="24"/>
        </w:rPr>
        <w:t xml:space="preserve"> rating</w:t>
      </w:r>
      <w:r w:rsidR="00B91C43">
        <w:rPr>
          <w:rFonts w:asciiTheme="minorHAnsi" w:hAnsiTheme="minorHAnsi"/>
          <w:color w:val="auto"/>
          <w:szCs w:val="24"/>
        </w:rPr>
        <w:t xml:space="preserve"> consistent with her normal physical examination and intermittent use of medications</w:t>
      </w:r>
      <w:r w:rsidR="00B91C43" w:rsidRPr="00B91C43">
        <w:rPr>
          <w:rFonts w:asciiTheme="minorHAnsi" w:hAnsiTheme="minorHAnsi"/>
          <w:color w:val="auto"/>
          <w:szCs w:val="24"/>
        </w:rPr>
        <w:t xml:space="preserve">.  All evidence considered there is not reasonable doubt in the CI’s favor supporting recharacterization of the PEB fitness adjudication for the </w:t>
      </w:r>
      <w:r w:rsidR="00B91C43">
        <w:rPr>
          <w:rFonts w:asciiTheme="minorHAnsi" w:hAnsiTheme="minorHAnsi"/>
          <w:color w:val="auto"/>
          <w:szCs w:val="24"/>
        </w:rPr>
        <w:t>asthma</w:t>
      </w:r>
      <w:r w:rsidR="00B91C43" w:rsidRPr="00B91C43">
        <w:rPr>
          <w:rFonts w:asciiTheme="minorHAnsi" w:hAnsiTheme="minorHAnsi"/>
          <w:color w:val="auto"/>
          <w:szCs w:val="24"/>
        </w:rPr>
        <w:t xml:space="preserve"> condition.</w:t>
      </w:r>
    </w:p>
    <w:p w:rsidR="004D68B1" w:rsidRDefault="004D68B1" w:rsidP="005F0EAF">
      <w:pPr>
        <w:tabs>
          <w:tab w:val="left" w:pos="288"/>
          <w:tab w:val="left" w:pos="4752"/>
        </w:tabs>
        <w:spacing w:line="240" w:lineRule="exact"/>
        <w:jc w:val="both"/>
        <w:rPr>
          <w:rFonts w:asciiTheme="minorHAnsi" w:hAnsiTheme="minorHAnsi"/>
          <w:color w:val="auto"/>
          <w:szCs w:val="24"/>
          <w:u w:val="single"/>
        </w:rPr>
      </w:pPr>
    </w:p>
    <w:p w:rsidR="004D68B1" w:rsidRDefault="004D68B1"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ADHD</w:t>
      </w:r>
      <w:r w:rsidRPr="00542C9A">
        <w:rPr>
          <w:rFonts w:asciiTheme="minorHAnsi" w:hAnsiTheme="minorHAnsi"/>
          <w:color w:val="auto"/>
          <w:szCs w:val="24"/>
          <w:u w:val="single"/>
        </w:rPr>
        <w:t xml:space="preserve"> Condition</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7854CB">
        <w:rPr>
          <w:rFonts w:asciiTheme="minorHAnsi" w:hAnsiTheme="minorHAnsi"/>
          <w:color w:val="auto"/>
          <w:szCs w:val="24"/>
        </w:rPr>
        <w:t xml:space="preserve">The CI had a diagnosis of ADHD that </w:t>
      </w:r>
      <w:r w:rsidR="007854CB" w:rsidRPr="007854CB">
        <w:rPr>
          <w:rFonts w:asciiTheme="minorHAnsi" w:hAnsiTheme="minorHAnsi"/>
          <w:color w:val="auto"/>
          <w:szCs w:val="24"/>
        </w:rPr>
        <w:t xml:space="preserve">preceded her entry onto active duty.  </w:t>
      </w:r>
      <w:r w:rsidR="007854CB">
        <w:rPr>
          <w:rFonts w:asciiTheme="minorHAnsi" w:hAnsiTheme="minorHAnsi"/>
          <w:color w:val="auto"/>
          <w:szCs w:val="24"/>
        </w:rPr>
        <w:t xml:space="preserve">ADHD is a condition that does not constitute a physical disability; hence Service PEBs do not have the authority to adjudicate ADHD as an unfitting condition.  </w:t>
      </w:r>
      <w:r w:rsidR="007854CB" w:rsidRPr="007854CB">
        <w:rPr>
          <w:rFonts w:asciiTheme="minorHAnsi" w:hAnsiTheme="minorHAnsi"/>
          <w:color w:val="auto"/>
          <w:szCs w:val="24"/>
        </w:rPr>
        <w:t xml:space="preserve">The Board does not have the authority under DoDI 6040.44 to render fitness or rating recommendations for any conditions </w:t>
      </w:r>
      <w:r w:rsidR="007854CB">
        <w:rPr>
          <w:rFonts w:asciiTheme="minorHAnsi" w:hAnsiTheme="minorHAnsi"/>
          <w:color w:val="auto"/>
          <w:szCs w:val="24"/>
        </w:rPr>
        <w:t>not eligible for consideration</w:t>
      </w:r>
      <w:r w:rsidR="007854CB" w:rsidRPr="007854CB">
        <w:rPr>
          <w:rFonts w:asciiTheme="minorHAnsi" w:hAnsiTheme="minorHAnsi"/>
          <w:color w:val="auto"/>
          <w:szCs w:val="24"/>
        </w:rPr>
        <w:t xml:space="preserve"> by the DES.   </w:t>
      </w:r>
    </w:p>
    <w:p w:rsidR="004D68B1" w:rsidRDefault="004D68B1" w:rsidP="005F0EAF">
      <w:pPr>
        <w:tabs>
          <w:tab w:val="left" w:pos="288"/>
          <w:tab w:val="left" w:pos="4752"/>
        </w:tabs>
        <w:spacing w:line="240" w:lineRule="exact"/>
        <w:jc w:val="both"/>
        <w:rPr>
          <w:rFonts w:asciiTheme="minorHAnsi" w:hAnsiTheme="minorHAnsi"/>
          <w:color w:val="auto"/>
          <w:szCs w:val="24"/>
          <w:u w:val="single"/>
        </w:rPr>
      </w:pPr>
    </w:p>
    <w:p w:rsidR="004D68B1" w:rsidRDefault="004D68B1"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Obesity</w:t>
      </w:r>
      <w:r w:rsidRPr="00542C9A">
        <w:rPr>
          <w:rFonts w:asciiTheme="minorHAnsi" w:hAnsiTheme="minorHAnsi"/>
          <w:color w:val="auto"/>
          <w:szCs w:val="24"/>
          <w:u w:val="single"/>
        </w:rPr>
        <w:t xml:space="preserve"> Condition</w:t>
      </w:r>
      <w:r w:rsidRPr="00542C9A">
        <w:rPr>
          <w:rFonts w:asciiTheme="minorHAnsi" w:hAnsiTheme="minorHAnsi"/>
          <w:color w:val="auto"/>
          <w:szCs w:val="24"/>
        </w:rPr>
        <w:t>.</w:t>
      </w:r>
      <w:proofErr w:type="gramEnd"/>
      <w:r w:rsidRPr="00542C9A">
        <w:rPr>
          <w:rFonts w:asciiTheme="minorHAnsi" w:hAnsiTheme="minorHAnsi"/>
          <w:color w:val="auto"/>
          <w:szCs w:val="24"/>
        </w:rPr>
        <w:t xml:space="preserve">  </w:t>
      </w:r>
      <w:r w:rsidR="00711624">
        <w:rPr>
          <w:rFonts w:asciiTheme="minorHAnsi" w:hAnsiTheme="minorHAnsi"/>
          <w:color w:val="auto"/>
          <w:szCs w:val="24"/>
        </w:rPr>
        <w:t xml:space="preserve">At the time of the MEB the CI was overweight with a Body Mass Index (BMI) of 29.  The Centers for Disease Control (CDC) defines obesity as a BMI of 30 or greater.  Regardless, obesity </w:t>
      </w:r>
      <w:r w:rsidR="00711624" w:rsidRPr="00711624">
        <w:rPr>
          <w:rFonts w:asciiTheme="minorHAnsi" w:hAnsiTheme="minorHAnsi"/>
          <w:color w:val="auto"/>
          <w:szCs w:val="24"/>
        </w:rPr>
        <w:t xml:space="preserve">is a condition that does not constitute a physical disability; hence Service PEBs do not have the authority to adjudicate </w:t>
      </w:r>
      <w:r w:rsidR="00711624">
        <w:rPr>
          <w:rFonts w:asciiTheme="minorHAnsi" w:hAnsiTheme="minorHAnsi"/>
          <w:color w:val="auto"/>
          <w:szCs w:val="24"/>
        </w:rPr>
        <w:t>obesity</w:t>
      </w:r>
      <w:r w:rsidR="00711624" w:rsidRPr="00711624">
        <w:rPr>
          <w:rFonts w:asciiTheme="minorHAnsi" w:hAnsiTheme="minorHAnsi"/>
          <w:color w:val="auto"/>
          <w:szCs w:val="24"/>
        </w:rPr>
        <w:t xml:space="preserve"> as an unfitting condition.  The Board does not have the authority under DoDI 6040.44 to render fitness or rating recommendations for any conditions not eligible for consideration by the DES.</w:t>
      </w:r>
    </w:p>
    <w:p w:rsidR="004D68B1" w:rsidRDefault="004D68B1" w:rsidP="005F0EAF">
      <w:pPr>
        <w:tabs>
          <w:tab w:val="left" w:pos="288"/>
          <w:tab w:val="left" w:pos="4752"/>
        </w:tabs>
        <w:spacing w:line="240" w:lineRule="exact"/>
        <w:jc w:val="both"/>
        <w:rPr>
          <w:rFonts w:asciiTheme="minorHAnsi" w:hAnsiTheme="minorHAnsi"/>
          <w:color w:val="auto"/>
          <w:szCs w:val="24"/>
          <w:u w:val="single"/>
        </w:rPr>
      </w:pPr>
    </w:p>
    <w:p w:rsidR="003A1CDB" w:rsidRDefault="000C66A2" w:rsidP="005F0EAF">
      <w:pPr>
        <w:tabs>
          <w:tab w:val="left" w:pos="288"/>
          <w:tab w:val="left" w:pos="4752"/>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Remaining</w:t>
      </w:r>
      <w:r w:rsidR="005052D4" w:rsidRPr="00542C9A">
        <w:rPr>
          <w:rFonts w:asciiTheme="minorHAnsi" w:hAnsiTheme="minorHAnsi"/>
          <w:color w:val="auto"/>
          <w:szCs w:val="24"/>
          <w:u w:val="single"/>
        </w:rPr>
        <w:t xml:space="preserve"> Conditions</w:t>
      </w:r>
      <w:r w:rsidR="005052D4" w:rsidRPr="00542C9A">
        <w:rPr>
          <w:rFonts w:asciiTheme="minorHAnsi" w:hAnsiTheme="minorHAnsi"/>
          <w:color w:val="auto"/>
          <w:szCs w:val="24"/>
        </w:rPr>
        <w:t>.</w:t>
      </w:r>
      <w:proofErr w:type="gramEnd"/>
      <w:r w:rsidR="005052D4" w:rsidRPr="00542C9A">
        <w:rPr>
          <w:rFonts w:asciiTheme="minorHAnsi" w:hAnsiTheme="minorHAnsi"/>
          <w:color w:val="auto"/>
          <w:szCs w:val="24"/>
        </w:rPr>
        <w:t xml:space="preserve">  </w:t>
      </w:r>
      <w:r w:rsidR="008C258E">
        <w:rPr>
          <w:rFonts w:asciiTheme="minorHAnsi" w:hAnsiTheme="minorHAnsi"/>
          <w:color w:val="auto"/>
          <w:szCs w:val="24"/>
        </w:rPr>
        <w:t xml:space="preserve">The only other condition in the DES file was an abnormal visual field noted on the MEB physical.  This condition was service connected as optic neuritis with atrophy and assigned a 10% rating by the VA at separation.   </w:t>
      </w:r>
      <w:r w:rsidR="003A1CDB">
        <w:rPr>
          <w:rFonts w:asciiTheme="minorHAnsi" w:hAnsiTheme="minorHAnsi"/>
          <w:color w:val="auto"/>
          <w:szCs w:val="24"/>
        </w:rPr>
        <w:t>The condition was not</w:t>
      </w:r>
      <w:r w:rsidR="008C258E">
        <w:rPr>
          <w:rFonts w:asciiTheme="minorHAnsi" w:hAnsiTheme="minorHAnsi"/>
          <w:color w:val="auto"/>
          <w:szCs w:val="24"/>
        </w:rPr>
        <w:t xml:space="preserve"> clinical</w:t>
      </w:r>
      <w:r w:rsidR="003A1CDB">
        <w:rPr>
          <w:rFonts w:asciiTheme="minorHAnsi" w:hAnsiTheme="minorHAnsi"/>
          <w:color w:val="auto"/>
          <w:szCs w:val="24"/>
        </w:rPr>
        <w:t>ly active during the MEB period or at any time during the CI’s military service.  T</w:t>
      </w:r>
      <w:r w:rsidR="008C258E">
        <w:rPr>
          <w:rFonts w:asciiTheme="minorHAnsi" w:hAnsiTheme="minorHAnsi"/>
          <w:color w:val="auto"/>
          <w:szCs w:val="24"/>
        </w:rPr>
        <w:t xml:space="preserve">he condition </w:t>
      </w:r>
      <w:r w:rsidR="003A1CDB">
        <w:rPr>
          <w:rFonts w:asciiTheme="minorHAnsi" w:hAnsiTheme="minorHAnsi"/>
          <w:color w:val="auto"/>
          <w:szCs w:val="24"/>
        </w:rPr>
        <w:t>was not</w:t>
      </w:r>
      <w:r w:rsidR="008C258E">
        <w:rPr>
          <w:rFonts w:asciiTheme="minorHAnsi" w:hAnsiTheme="minorHAnsi"/>
          <w:color w:val="auto"/>
          <w:szCs w:val="24"/>
        </w:rPr>
        <w:t xml:space="preserve"> profile</w:t>
      </w:r>
      <w:r w:rsidR="003A1CDB">
        <w:rPr>
          <w:rFonts w:asciiTheme="minorHAnsi" w:hAnsiTheme="minorHAnsi"/>
          <w:color w:val="auto"/>
          <w:szCs w:val="24"/>
        </w:rPr>
        <w:t>d</w:t>
      </w:r>
      <w:r w:rsidR="008C258E">
        <w:rPr>
          <w:rFonts w:asciiTheme="minorHAnsi" w:hAnsiTheme="minorHAnsi"/>
          <w:color w:val="auto"/>
          <w:szCs w:val="24"/>
        </w:rPr>
        <w:t xml:space="preserve"> </w:t>
      </w:r>
      <w:r w:rsidR="003A1CDB">
        <w:rPr>
          <w:rFonts w:asciiTheme="minorHAnsi" w:hAnsiTheme="minorHAnsi"/>
          <w:color w:val="auto"/>
          <w:szCs w:val="24"/>
        </w:rPr>
        <w:t>or</w:t>
      </w:r>
      <w:r w:rsidR="008C258E">
        <w:rPr>
          <w:rFonts w:asciiTheme="minorHAnsi" w:hAnsiTheme="minorHAnsi"/>
          <w:color w:val="auto"/>
          <w:szCs w:val="24"/>
        </w:rPr>
        <w:t xml:space="preserve"> implicated in the Commander’s statement.  The Board has no reasonable basis for recommending </w:t>
      </w:r>
      <w:r w:rsidR="003A1CDB">
        <w:rPr>
          <w:rFonts w:asciiTheme="minorHAnsi" w:hAnsiTheme="minorHAnsi"/>
          <w:color w:val="auto"/>
          <w:szCs w:val="24"/>
        </w:rPr>
        <w:t>this condition</w:t>
      </w:r>
      <w:r w:rsidR="008C258E">
        <w:rPr>
          <w:rFonts w:asciiTheme="minorHAnsi" w:hAnsiTheme="minorHAnsi"/>
          <w:color w:val="auto"/>
          <w:szCs w:val="24"/>
        </w:rPr>
        <w:t xml:space="preserve"> as unfitting for additional separation rating.  </w:t>
      </w:r>
      <w:r w:rsidR="003A1CDB" w:rsidRPr="002356FC">
        <w:rPr>
          <w:rFonts w:asciiTheme="minorHAnsi" w:eastAsiaTheme="minorHAnsi" w:hAnsiTheme="minorHAnsi"/>
          <w:color w:val="auto"/>
          <w:szCs w:val="24"/>
        </w:rPr>
        <w:t xml:space="preserve">No other conditions were identified by the VA within 12 months of separation or contended by the CI in </w:t>
      </w:r>
      <w:r w:rsidR="003A1CDB">
        <w:rPr>
          <w:rFonts w:asciiTheme="minorHAnsi" w:eastAsiaTheme="minorHAnsi" w:hAnsiTheme="minorHAnsi"/>
          <w:color w:val="auto"/>
          <w:szCs w:val="24"/>
        </w:rPr>
        <w:t>her</w:t>
      </w:r>
      <w:r w:rsidR="003A1CDB" w:rsidRPr="002356FC">
        <w:rPr>
          <w:rFonts w:asciiTheme="minorHAnsi" w:eastAsiaTheme="minorHAnsi" w:hAnsiTheme="minorHAnsi"/>
          <w:color w:val="auto"/>
          <w:szCs w:val="24"/>
        </w:rPr>
        <w:t xml:space="preserve"> application to the Board.</w:t>
      </w:r>
    </w:p>
    <w:p w:rsidR="002E289F" w:rsidRPr="002E289F" w:rsidRDefault="002E289F" w:rsidP="005F0EA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A90D55" w:rsidRPr="00A90D55" w:rsidRDefault="00A90D55" w:rsidP="005F0EAF">
      <w:pPr>
        <w:tabs>
          <w:tab w:val="left" w:pos="288"/>
          <w:tab w:val="left" w:pos="4752"/>
        </w:tabs>
        <w:spacing w:line="240" w:lineRule="exact"/>
        <w:jc w:val="both"/>
        <w:rPr>
          <w:color w:val="000080"/>
        </w:rPr>
      </w:pPr>
    </w:p>
    <w:p w:rsidR="00C56FC8" w:rsidRPr="00AE3316" w:rsidRDefault="00C56FC8" w:rsidP="005F0EAF">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r w:rsidRPr="00AE3316">
        <w:rPr>
          <w:rFonts w:asciiTheme="minorHAnsi" w:eastAsiaTheme="minorHAnsi" w:hAnsiTheme="minorHAnsi"/>
          <w:color w:val="auto"/>
          <w:szCs w:val="24"/>
        </w:rPr>
        <w:t xml:space="preserve">The Board did not surmise from the record or PEB ruling in this case that any prerogatives outside the VASRD were </w:t>
      </w:r>
      <w:r w:rsidRPr="00880447">
        <w:rPr>
          <w:rFonts w:asciiTheme="minorHAnsi" w:eastAsiaTheme="minorHAnsi" w:hAnsiTheme="minorHAnsi"/>
          <w:color w:val="auto"/>
          <w:szCs w:val="24"/>
        </w:rPr>
        <w:t>exercised.</w:t>
      </w:r>
      <w:r w:rsidR="003A1CDB" w:rsidRPr="00880447">
        <w:rPr>
          <w:rFonts w:asciiTheme="minorHAnsi" w:eastAsiaTheme="minorHAnsi" w:hAnsiTheme="minorHAnsi"/>
          <w:color w:val="auto"/>
          <w:szCs w:val="24"/>
        </w:rPr>
        <w:t xml:space="preserve">  In the matter of the narcolepsy condition and </w:t>
      </w:r>
      <w:r w:rsidR="003A1CDB" w:rsidRPr="00880447">
        <w:rPr>
          <w:rFonts w:asciiTheme="minorHAnsi" w:hAnsiTheme="minorHAnsi"/>
          <w:color w:val="auto"/>
          <w:szCs w:val="24"/>
        </w:rPr>
        <w:t>IAW VASRD §4.124a</w:t>
      </w:r>
      <w:r w:rsidR="003A1CDB" w:rsidRPr="00880447">
        <w:rPr>
          <w:rFonts w:asciiTheme="minorHAnsi" w:eastAsiaTheme="minorHAnsi" w:hAnsiTheme="minorHAnsi"/>
          <w:color w:val="auto"/>
          <w:szCs w:val="24"/>
        </w:rPr>
        <w:t>, the Board unanimously recommends no change in the PEB adjudication</w:t>
      </w:r>
      <w:r w:rsidR="003A1CDB" w:rsidRPr="00880447">
        <w:rPr>
          <w:rFonts w:asciiTheme="minorHAnsi" w:hAnsiTheme="minorHAnsi"/>
          <w:color w:val="auto"/>
          <w:szCs w:val="24"/>
        </w:rPr>
        <w:t>.</w:t>
      </w:r>
      <w:r w:rsidR="003A1CDB">
        <w:rPr>
          <w:rFonts w:asciiTheme="minorHAnsi" w:hAnsiTheme="minorHAnsi"/>
          <w:color w:val="auto"/>
          <w:szCs w:val="24"/>
        </w:rPr>
        <w:t xml:space="preserve">  </w:t>
      </w:r>
      <w:r w:rsidR="003A1CDB" w:rsidRPr="00AE3316">
        <w:rPr>
          <w:rFonts w:asciiTheme="minorHAnsi" w:hAnsiTheme="minorHAnsi"/>
          <w:color w:val="auto"/>
          <w:szCs w:val="24"/>
        </w:rPr>
        <w:t xml:space="preserve">In the matter of the </w:t>
      </w:r>
      <w:r w:rsidR="00880447">
        <w:rPr>
          <w:rFonts w:asciiTheme="minorHAnsi" w:hAnsiTheme="minorHAnsi"/>
          <w:color w:val="auto"/>
          <w:szCs w:val="24"/>
        </w:rPr>
        <w:t>Fibromyalgia,</w:t>
      </w:r>
      <w:r w:rsidR="00880447" w:rsidRPr="00AE3316">
        <w:rPr>
          <w:rFonts w:asciiTheme="minorHAnsi" w:hAnsiTheme="minorHAnsi"/>
          <w:color w:val="auto"/>
          <w:szCs w:val="24"/>
        </w:rPr>
        <w:t xml:space="preserve"> </w:t>
      </w:r>
      <w:r w:rsidR="00592A9C">
        <w:rPr>
          <w:rFonts w:asciiTheme="minorHAnsi" w:eastAsiaTheme="minorHAnsi" w:hAnsiTheme="minorHAnsi"/>
          <w:color w:val="auto"/>
          <w:szCs w:val="24"/>
        </w:rPr>
        <w:t>PTSD</w:t>
      </w:r>
      <w:r w:rsidR="003A1CDB">
        <w:rPr>
          <w:rFonts w:asciiTheme="minorHAnsi" w:eastAsiaTheme="minorHAnsi" w:hAnsiTheme="minorHAnsi"/>
          <w:color w:val="auto"/>
          <w:szCs w:val="24"/>
        </w:rPr>
        <w:t xml:space="preserve">, </w:t>
      </w:r>
      <w:r w:rsidR="00592A9C">
        <w:rPr>
          <w:rFonts w:asciiTheme="minorHAnsi" w:eastAsiaTheme="minorHAnsi" w:hAnsiTheme="minorHAnsi"/>
          <w:color w:val="auto"/>
          <w:szCs w:val="24"/>
        </w:rPr>
        <w:t xml:space="preserve">Breast Reduction, Asthma, </w:t>
      </w:r>
      <w:r w:rsidR="003A1CDB">
        <w:rPr>
          <w:rFonts w:asciiTheme="minorHAnsi" w:eastAsiaTheme="minorHAnsi" w:hAnsiTheme="minorHAnsi"/>
          <w:color w:val="auto"/>
          <w:szCs w:val="24"/>
        </w:rPr>
        <w:t xml:space="preserve">and </w:t>
      </w:r>
      <w:r w:rsidR="00592A9C">
        <w:rPr>
          <w:rFonts w:asciiTheme="minorHAnsi" w:eastAsiaTheme="minorHAnsi" w:hAnsiTheme="minorHAnsi"/>
          <w:color w:val="auto"/>
          <w:szCs w:val="24"/>
        </w:rPr>
        <w:t xml:space="preserve">Optic Neuritis </w:t>
      </w:r>
      <w:r w:rsidR="003A1CDB" w:rsidRPr="00592A9C">
        <w:rPr>
          <w:rFonts w:asciiTheme="minorHAnsi" w:eastAsiaTheme="minorHAnsi" w:hAnsiTheme="minorHAnsi"/>
          <w:color w:val="auto"/>
          <w:szCs w:val="24"/>
        </w:rPr>
        <w:t>conditions</w:t>
      </w:r>
      <w:r w:rsidR="003A1CDB" w:rsidRPr="00592A9C">
        <w:rPr>
          <w:rFonts w:asciiTheme="minorHAnsi" w:hAnsiTheme="minorHAnsi"/>
          <w:color w:val="auto"/>
          <w:szCs w:val="24"/>
        </w:rPr>
        <w:t xml:space="preserve"> or</w:t>
      </w:r>
      <w:r w:rsidR="003A1CDB">
        <w:rPr>
          <w:rFonts w:asciiTheme="minorHAnsi" w:hAnsiTheme="minorHAnsi"/>
          <w:color w:val="auto"/>
          <w:szCs w:val="24"/>
        </w:rPr>
        <w:t xml:space="preserve"> any other</w:t>
      </w:r>
      <w:r w:rsidR="003A1CDB" w:rsidRPr="00AE3316">
        <w:rPr>
          <w:rFonts w:asciiTheme="minorHAnsi" w:hAnsiTheme="minorHAnsi"/>
          <w:color w:val="auto"/>
          <w:szCs w:val="24"/>
        </w:rPr>
        <w:t xml:space="preserve"> medical conditions</w:t>
      </w:r>
      <w:r w:rsidR="003A1CDB">
        <w:rPr>
          <w:rFonts w:asciiTheme="minorHAnsi" w:hAnsiTheme="minorHAnsi"/>
          <w:color w:val="auto"/>
          <w:szCs w:val="24"/>
        </w:rPr>
        <w:t xml:space="preserve"> eligible for Board consideration</w:t>
      </w:r>
      <w:r w:rsidR="003A1CDB" w:rsidRPr="00AE3316">
        <w:rPr>
          <w:rFonts w:asciiTheme="minorHAnsi" w:hAnsiTheme="minorHAnsi"/>
          <w:color w:val="auto"/>
          <w:szCs w:val="24"/>
        </w:rPr>
        <w:t xml:space="preserve">; the </w:t>
      </w:r>
      <w:r w:rsidR="003A1CDB" w:rsidRPr="00880447">
        <w:rPr>
          <w:rFonts w:asciiTheme="minorHAnsi" w:hAnsiTheme="minorHAnsi"/>
          <w:color w:val="auto"/>
          <w:szCs w:val="24"/>
        </w:rPr>
        <w:t>Board unanimously agrees</w:t>
      </w:r>
      <w:r w:rsidR="003A1CDB" w:rsidRPr="00AE3316">
        <w:rPr>
          <w:rFonts w:asciiTheme="minorHAnsi" w:hAnsiTheme="minorHAnsi"/>
          <w:color w:val="auto"/>
          <w:szCs w:val="24"/>
        </w:rPr>
        <w:t xml:space="preserve"> that it cannot</w:t>
      </w:r>
      <w:r w:rsidR="003A1CDB" w:rsidRPr="00AE3316">
        <w:rPr>
          <w:rFonts w:asciiTheme="minorHAnsi" w:hAnsiTheme="minorHAnsi"/>
          <w:color w:val="000080"/>
          <w:szCs w:val="24"/>
        </w:rPr>
        <w:t xml:space="preserve"> </w:t>
      </w:r>
      <w:r w:rsidR="003A1CDB" w:rsidRPr="00AE3316">
        <w:rPr>
          <w:rFonts w:asciiTheme="minorHAnsi" w:hAnsiTheme="minorHAnsi"/>
          <w:color w:val="auto"/>
          <w:szCs w:val="24"/>
        </w:rPr>
        <w:t>recommend a</w:t>
      </w:r>
      <w:r w:rsidR="003A1CDB">
        <w:rPr>
          <w:rFonts w:asciiTheme="minorHAnsi" w:hAnsiTheme="minorHAnsi"/>
          <w:color w:val="auto"/>
          <w:szCs w:val="24"/>
        </w:rPr>
        <w:t>ny</w:t>
      </w:r>
      <w:r w:rsidR="003A1CDB" w:rsidRPr="00AE3316">
        <w:rPr>
          <w:rFonts w:asciiTheme="minorHAnsi" w:hAnsiTheme="minorHAnsi"/>
          <w:color w:val="auto"/>
          <w:szCs w:val="24"/>
        </w:rPr>
        <w:t xml:space="preserve"> finding</w:t>
      </w:r>
      <w:r w:rsidR="003A1CDB">
        <w:rPr>
          <w:rFonts w:asciiTheme="minorHAnsi" w:hAnsiTheme="minorHAnsi"/>
          <w:color w:val="auto"/>
          <w:szCs w:val="24"/>
        </w:rPr>
        <w:t>s</w:t>
      </w:r>
      <w:r w:rsidR="003A1CDB" w:rsidRPr="00AE3316">
        <w:rPr>
          <w:rFonts w:asciiTheme="minorHAnsi" w:hAnsiTheme="minorHAnsi"/>
          <w:color w:val="auto"/>
          <w:szCs w:val="24"/>
        </w:rPr>
        <w:t xml:space="preserve"> of unfit for additional rating at separation.</w:t>
      </w:r>
    </w:p>
    <w:p w:rsidR="002E289F" w:rsidRPr="002E289F" w:rsidRDefault="002E289F" w:rsidP="005F0EA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FB593A" w:rsidRPr="00D91DA6" w:rsidRDefault="00FB593A" w:rsidP="005F0EAF">
      <w:pPr>
        <w:tabs>
          <w:tab w:val="left" w:pos="288"/>
          <w:tab w:val="left" w:pos="4752"/>
        </w:tabs>
        <w:spacing w:line="240" w:lineRule="exact"/>
        <w:jc w:val="both"/>
        <w:rPr>
          <w:color w:val="000080"/>
        </w:rPr>
      </w:pPr>
    </w:p>
    <w:p w:rsidR="00FB593A" w:rsidRDefault="00C56FC8" w:rsidP="005F0EAF">
      <w:pPr>
        <w:tabs>
          <w:tab w:val="left" w:pos="288"/>
          <w:tab w:val="left" w:pos="4752"/>
        </w:tabs>
        <w:spacing w:line="240" w:lineRule="exact"/>
        <w:jc w:val="both"/>
        <w:rPr>
          <w:color w:val="000080"/>
        </w:rPr>
      </w:pPr>
      <w:r w:rsidRPr="00542C9A">
        <w:rPr>
          <w:rFonts w:asciiTheme="minorHAnsi" w:hAnsiTheme="minorHAnsi"/>
          <w:color w:val="auto"/>
          <w:szCs w:val="24"/>
          <w:u w:val="single"/>
        </w:rPr>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r w:rsidR="00880447" w:rsidRPr="00880447">
        <w:rPr>
          <w:rFonts w:asciiTheme="minorHAnsi" w:hAnsiTheme="minorHAnsi"/>
          <w:color w:val="auto"/>
          <w:szCs w:val="24"/>
        </w:rPr>
        <w:t>The Board therefore recommends that there be no recharacterization of the CI’s disability and separation determination.</w:t>
      </w:r>
    </w:p>
    <w:p w:rsidR="004101B2" w:rsidRPr="0085089F" w:rsidRDefault="004101B2" w:rsidP="00190E48">
      <w:pPr>
        <w:tabs>
          <w:tab w:val="left" w:pos="288"/>
          <w:tab w:val="left" w:pos="4752"/>
        </w:tabs>
        <w:spacing w:line="240" w:lineRule="exact"/>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C713F" w:rsidTr="0085089F">
        <w:trPr>
          <w:trHeight w:val="287"/>
          <w:jc w:val="center"/>
        </w:trPr>
        <w:tc>
          <w:tcPr>
            <w:tcW w:w="6480" w:type="dxa"/>
            <w:shd w:val="clear" w:color="auto" w:fill="D9D9D9"/>
          </w:tcPr>
          <w:p w:rsidR="00A95BBA" w:rsidRPr="00AC713F" w:rsidRDefault="00A95BBA" w:rsidP="00190E48">
            <w:pPr>
              <w:tabs>
                <w:tab w:val="left" w:pos="288"/>
                <w:tab w:val="left" w:pos="4752"/>
              </w:tabs>
              <w:spacing w:line="240" w:lineRule="exact"/>
              <w:jc w:val="both"/>
              <w:rPr>
                <w:rFonts w:asciiTheme="minorHAnsi" w:hAnsiTheme="minorHAnsi"/>
                <w:b/>
                <w:color w:val="auto"/>
                <w:szCs w:val="24"/>
              </w:rPr>
            </w:pPr>
            <w:r w:rsidRPr="00AC713F">
              <w:rPr>
                <w:rFonts w:asciiTheme="minorHAnsi" w:hAnsiTheme="minorHAnsi"/>
                <w:b/>
                <w:color w:val="auto"/>
                <w:szCs w:val="24"/>
              </w:rPr>
              <w:lastRenderedPageBreak/>
              <w:t>UNFITTING CONDITION</w:t>
            </w:r>
          </w:p>
        </w:tc>
        <w:tc>
          <w:tcPr>
            <w:tcW w:w="171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VASRD CODE</w:t>
            </w:r>
          </w:p>
        </w:tc>
        <w:tc>
          <w:tcPr>
            <w:tcW w:w="1170" w:type="dxa"/>
            <w:shd w:val="clear" w:color="auto" w:fill="D9D9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RATING</w:t>
            </w:r>
          </w:p>
        </w:tc>
      </w:tr>
      <w:tr w:rsidR="00A95BBA" w:rsidRPr="00AC713F" w:rsidTr="0085089F">
        <w:trPr>
          <w:jc w:val="center"/>
        </w:trPr>
        <w:tc>
          <w:tcPr>
            <w:tcW w:w="6480" w:type="dxa"/>
          </w:tcPr>
          <w:p w:rsidR="00A95BBA" w:rsidRPr="00AC713F" w:rsidRDefault="00592A9C"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Narcolepsy</w:t>
            </w:r>
          </w:p>
        </w:tc>
        <w:tc>
          <w:tcPr>
            <w:tcW w:w="1710" w:type="dxa"/>
          </w:tcPr>
          <w:p w:rsidR="00A95BBA" w:rsidRPr="00AC713F" w:rsidRDefault="00592A9C"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8108</w:t>
            </w:r>
          </w:p>
        </w:tc>
        <w:tc>
          <w:tcPr>
            <w:tcW w:w="1170" w:type="dxa"/>
          </w:tcPr>
          <w:p w:rsidR="00A95BBA" w:rsidRPr="00AC713F" w:rsidRDefault="00592A9C" w:rsidP="007D6BFE">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w:t>
            </w:r>
            <w:r w:rsidR="00A95BBA" w:rsidRPr="00AC713F">
              <w:rPr>
                <w:rFonts w:asciiTheme="minorHAnsi" w:hAnsiTheme="minorHAnsi"/>
                <w:color w:val="auto"/>
                <w:szCs w:val="24"/>
              </w:rPr>
              <w:t>0%</w:t>
            </w:r>
          </w:p>
        </w:tc>
      </w:tr>
      <w:tr w:rsidR="00A95BBA" w:rsidRPr="00AC713F" w:rsidTr="0085089F">
        <w:tblPrEx>
          <w:tblLook w:val="0000"/>
        </w:tblPrEx>
        <w:trPr>
          <w:gridBefore w:val="1"/>
          <w:wBefore w:w="6480" w:type="dxa"/>
          <w:trHeight w:val="287"/>
          <w:jc w:val="center"/>
        </w:trPr>
        <w:tc>
          <w:tcPr>
            <w:tcW w:w="1710" w:type="dxa"/>
            <w:tcBorders>
              <w:left w:val="single" w:sz="4" w:space="0" w:color="auto"/>
              <w:bottom w:val="single" w:sz="4" w:space="0" w:color="000000"/>
            </w:tcBorders>
            <w:shd w:val="clear" w:color="auto" w:fill="D9D9D9" w:themeFill="background1" w:themeFillShade="D9"/>
          </w:tcPr>
          <w:p w:rsidR="00A95BBA" w:rsidRPr="00AC713F" w:rsidRDefault="00A95BBA" w:rsidP="007D6BFE">
            <w:pPr>
              <w:tabs>
                <w:tab w:val="left" w:pos="288"/>
                <w:tab w:val="left" w:pos="4752"/>
              </w:tabs>
              <w:spacing w:line="240" w:lineRule="exact"/>
              <w:jc w:val="center"/>
              <w:rPr>
                <w:rFonts w:asciiTheme="minorHAnsi" w:hAnsiTheme="minorHAnsi"/>
                <w:b/>
                <w:color w:val="auto"/>
                <w:szCs w:val="24"/>
              </w:rPr>
            </w:pPr>
            <w:r w:rsidRPr="00AC713F">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C713F" w:rsidRDefault="00880447" w:rsidP="007D6BFE">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w:t>
            </w:r>
            <w:r w:rsidR="00A95BBA" w:rsidRPr="00AC713F">
              <w:rPr>
                <w:rFonts w:asciiTheme="minorHAnsi" w:hAnsiTheme="minorHAnsi"/>
                <w:b/>
                <w:color w:val="auto"/>
                <w:szCs w:val="24"/>
              </w:rPr>
              <w:t>0%</w:t>
            </w:r>
          </w:p>
        </w:tc>
      </w:tr>
    </w:tbl>
    <w:p w:rsidR="002E289F" w:rsidRPr="002E289F" w:rsidRDefault="002E289F" w:rsidP="002E289F">
      <w:pPr>
        <w:tabs>
          <w:tab w:val="left" w:pos="288"/>
          <w:tab w:val="left" w:pos="4752"/>
        </w:tabs>
        <w:spacing w:line="240" w:lineRule="exact"/>
        <w:jc w:val="both"/>
        <w:rPr>
          <w:rFonts w:asciiTheme="minorHAnsi" w:hAnsiTheme="minorHAnsi"/>
          <w:caps/>
          <w:color w:val="auto"/>
          <w:u w:val="single"/>
        </w:rPr>
      </w:pPr>
      <w:r w:rsidRPr="002E289F">
        <w:rPr>
          <w:rFonts w:asciiTheme="minorHAnsi" w:hAnsiTheme="minorHAnsi"/>
          <w:color w:val="auto"/>
          <w:u w:val="single"/>
        </w:rPr>
        <w:t>__</w:t>
      </w:r>
      <w:r w:rsidRPr="002E289F">
        <w:rPr>
          <w:rFonts w:asciiTheme="minorHAnsi" w:hAnsiTheme="minorHAnsi"/>
          <w:color w:val="auto"/>
          <w:u w:val="single"/>
        </w:rPr>
        <w:softHyphen/>
        <w:t>____________________________________________________________________________</w:t>
      </w:r>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D91DA6"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190E48">
      <w:pPr>
        <w:tabs>
          <w:tab w:val="left" w:pos="288"/>
          <w:tab w:val="left" w:pos="4752"/>
        </w:tabs>
        <w:spacing w:line="240" w:lineRule="exact"/>
        <w:jc w:val="both"/>
        <w:rPr>
          <w:rFonts w:asciiTheme="minorHAnsi" w:hAnsiTheme="minorHAnsi"/>
          <w:color w:val="auto"/>
        </w:rPr>
      </w:pPr>
    </w:p>
    <w:p w:rsidR="00114F20" w:rsidRPr="0085089F" w:rsidRDefault="0051146C"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540E33" w:rsidRPr="00540E33">
        <w:rPr>
          <w:rFonts w:asciiTheme="minorHAnsi" w:hAnsiTheme="minorHAnsi"/>
          <w:color w:val="auto"/>
        </w:rPr>
        <w:t>20090629</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190E48">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114F20" w:rsidRPr="0085089F" w:rsidRDefault="00114F20" w:rsidP="00190E48">
      <w:pPr>
        <w:tabs>
          <w:tab w:val="left" w:pos="288"/>
          <w:tab w:val="left" w:pos="4752"/>
        </w:tabs>
        <w:spacing w:line="240" w:lineRule="exact"/>
        <w:jc w:val="both"/>
        <w:rPr>
          <w:rFonts w:asciiTheme="minorHAnsi" w:hAnsiTheme="minorHAnsi"/>
          <w:color w:val="auto"/>
        </w:rPr>
      </w:pP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p>
    <w:p w:rsidR="00D91DA6" w:rsidRPr="0085089F" w:rsidRDefault="00C30A97" w:rsidP="00190E48">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Pr="0085089F" w:rsidRDefault="00C30A97"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AA4DF2" w:rsidRDefault="00AA4DF2">
      <w:pPr>
        <w:rPr>
          <w:color w:val="auto"/>
        </w:rPr>
      </w:pPr>
      <w:r>
        <w:rPr>
          <w:color w:val="auto"/>
        </w:rPr>
        <w:br w:type="page"/>
      </w:r>
    </w:p>
    <w:p w:rsidR="00AA4DF2" w:rsidRPr="00AA4DF2" w:rsidRDefault="00AA4DF2" w:rsidP="00AA4DF2">
      <w:pPr>
        <w:ind w:left="-360"/>
        <w:jc w:val="both"/>
        <w:rPr>
          <w:color w:val="auto"/>
        </w:rPr>
      </w:pPr>
      <w:r w:rsidRPr="00AA4DF2">
        <w:rPr>
          <w:color w:val="auto"/>
        </w:rPr>
        <w:lastRenderedPageBreak/>
        <w:t xml:space="preserve">MEMORANDUM FOR DIRECTOR, SECRETARY OF THE NAVY COUNCIL OF REVIEW   </w:t>
      </w:r>
    </w:p>
    <w:p w:rsidR="00AA4DF2" w:rsidRPr="00AA4DF2" w:rsidRDefault="00AA4DF2" w:rsidP="00AA4DF2">
      <w:pPr>
        <w:ind w:left="-360"/>
        <w:jc w:val="both"/>
        <w:rPr>
          <w:color w:val="auto"/>
        </w:rPr>
      </w:pPr>
      <w:r w:rsidRPr="00AA4DF2">
        <w:rPr>
          <w:color w:val="auto"/>
        </w:rPr>
        <w:t xml:space="preserve">                                         BOARDS </w:t>
      </w:r>
    </w:p>
    <w:p w:rsidR="00AA4DF2" w:rsidRPr="00AA4DF2" w:rsidRDefault="00AA4DF2" w:rsidP="00AA4DF2">
      <w:pPr>
        <w:jc w:val="both"/>
        <w:rPr>
          <w:color w:val="auto"/>
        </w:rPr>
      </w:pPr>
    </w:p>
    <w:p w:rsidR="00AA4DF2" w:rsidRPr="00AA4DF2" w:rsidRDefault="00AA4DF2" w:rsidP="00AA4DF2">
      <w:pPr>
        <w:ind w:left="-360"/>
        <w:jc w:val="both"/>
        <w:rPr>
          <w:color w:val="auto"/>
        </w:rPr>
      </w:pPr>
      <w:proofErr w:type="spellStart"/>
      <w:r w:rsidRPr="00AA4DF2">
        <w:rPr>
          <w:color w:val="auto"/>
        </w:rPr>
        <w:t>Subj</w:t>
      </w:r>
      <w:proofErr w:type="spellEnd"/>
      <w:r w:rsidRPr="00AA4DF2">
        <w:rPr>
          <w:color w:val="auto"/>
        </w:rPr>
        <w:t>:  PHYSICAL DISABILITY BOARD OF REVIEW (PDBR) RECOMMENDATION</w:t>
      </w:r>
    </w:p>
    <w:p w:rsidR="00AA4DF2" w:rsidRPr="00AA4DF2" w:rsidRDefault="00AA4DF2" w:rsidP="00AA4DF2">
      <w:pPr>
        <w:jc w:val="both"/>
        <w:rPr>
          <w:color w:val="auto"/>
        </w:rPr>
      </w:pPr>
      <w:r w:rsidRPr="00AA4DF2">
        <w:rPr>
          <w:color w:val="auto"/>
        </w:rPr>
        <w:t xml:space="preserve">    ICO </w:t>
      </w:r>
      <w:r>
        <w:rPr>
          <w:color w:val="auto"/>
        </w:rPr>
        <w:t>XXXXXX</w:t>
      </w:r>
      <w:r w:rsidRPr="00AA4DF2">
        <w:rPr>
          <w:color w:val="auto"/>
        </w:rPr>
        <w:t xml:space="preserve">, FORMER USN, XXX XX </w:t>
      </w:r>
      <w:r>
        <w:rPr>
          <w:color w:val="auto"/>
        </w:rPr>
        <w:t>XXXX</w:t>
      </w:r>
    </w:p>
    <w:p w:rsidR="00AA4DF2" w:rsidRPr="00AA4DF2" w:rsidRDefault="00AA4DF2" w:rsidP="00AA4DF2">
      <w:pPr>
        <w:jc w:val="both"/>
        <w:rPr>
          <w:color w:val="auto"/>
        </w:rPr>
      </w:pPr>
    </w:p>
    <w:p w:rsidR="00AA4DF2" w:rsidRPr="00AA4DF2" w:rsidRDefault="00AA4DF2" w:rsidP="00AA4DF2">
      <w:pPr>
        <w:ind w:left="-360"/>
        <w:jc w:val="both"/>
        <w:rPr>
          <w:color w:val="auto"/>
        </w:rPr>
      </w:pPr>
      <w:r w:rsidRPr="00AA4DF2">
        <w:rPr>
          <w:color w:val="auto"/>
        </w:rPr>
        <w:t>Ref:   (a) DoDI 6040.44</w:t>
      </w:r>
    </w:p>
    <w:p w:rsidR="00AA4DF2" w:rsidRPr="00AA4DF2" w:rsidRDefault="00AA4DF2" w:rsidP="00AA4DF2">
      <w:pPr>
        <w:ind w:left="-540"/>
        <w:jc w:val="both"/>
        <w:rPr>
          <w:color w:val="auto"/>
        </w:rPr>
      </w:pPr>
      <w:r w:rsidRPr="00AA4DF2">
        <w:rPr>
          <w:color w:val="auto"/>
        </w:rPr>
        <w:t xml:space="preserve">             (b) PDBR </w:t>
      </w:r>
      <w:proofErr w:type="spellStart"/>
      <w:r w:rsidRPr="00AA4DF2">
        <w:rPr>
          <w:color w:val="auto"/>
        </w:rPr>
        <w:t>ltr</w:t>
      </w:r>
      <w:proofErr w:type="spellEnd"/>
      <w:r w:rsidRPr="00AA4DF2">
        <w:rPr>
          <w:color w:val="auto"/>
        </w:rPr>
        <w:t xml:space="preserve"> </w:t>
      </w:r>
      <w:proofErr w:type="spellStart"/>
      <w:r w:rsidRPr="00AA4DF2">
        <w:rPr>
          <w:color w:val="auto"/>
        </w:rPr>
        <w:t>dtd</w:t>
      </w:r>
      <w:proofErr w:type="spellEnd"/>
      <w:r w:rsidRPr="00AA4DF2">
        <w:rPr>
          <w:color w:val="auto"/>
        </w:rPr>
        <w:t xml:space="preserve"> 25Feb 11</w:t>
      </w:r>
    </w:p>
    <w:p w:rsidR="00AA4DF2" w:rsidRPr="00AA4DF2" w:rsidRDefault="00AA4DF2" w:rsidP="00AA4DF2">
      <w:pPr>
        <w:ind w:left="-540"/>
        <w:jc w:val="both"/>
        <w:rPr>
          <w:color w:val="auto"/>
        </w:rPr>
      </w:pPr>
    </w:p>
    <w:p w:rsidR="00AA4DF2" w:rsidRPr="00AA4DF2" w:rsidRDefault="00AA4DF2" w:rsidP="00AA4DF2">
      <w:pPr>
        <w:ind w:left="-360"/>
        <w:jc w:val="both"/>
        <w:rPr>
          <w:color w:val="auto"/>
        </w:rPr>
      </w:pPr>
      <w:r w:rsidRPr="00AA4DF2">
        <w:rPr>
          <w:color w:val="auto"/>
        </w:rPr>
        <w:t xml:space="preserve">      I have reviewed the subject case pursuant to reference (a) and, for the reasons set forth in reference (b), approve the recommendation of the Physical Disability Board of Review that Ms. </w:t>
      </w:r>
      <w:r>
        <w:rPr>
          <w:color w:val="auto"/>
        </w:rPr>
        <w:t>XXXXX</w:t>
      </w:r>
      <w:r w:rsidRPr="00AA4DF2">
        <w:rPr>
          <w:color w:val="auto"/>
        </w:rPr>
        <w:t>’ records not be corrected to reflect a change in either her characterization of separation or in the disability rating previously assigned by the Department of the Navy’s Physical Evaluation Board.</w:t>
      </w:r>
    </w:p>
    <w:p w:rsidR="00AA4DF2" w:rsidRPr="00AA4DF2" w:rsidRDefault="00AA4DF2" w:rsidP="00AA4DF2">
      <w:pPr>
        <w:jc w:val="both"/>
        <w:rPr>
          <w:color w:val="auto"/>
        </w:rPr>
      </w:pPr>
    </w:p>
    <w:p w:rsidR="00AA4DF2" w:rsidRPr="00AA4DF2" w:rsidRDefault="00AA4DF2" w:rsidP="00AA4DF2">
      <w:pPr>
        <w:jc w:val="both"/>
        <w:rPr>
          <w:color w:val="auto"/>
        </w:rPr>
      </w:pPr>
    </w:p>
    <w:p w:rsidR="00AA4DF2" w:rsidRPr="00AA4DF2" w:rsidRDefault="00AA4DF2" w:rsidP="00AA4DF2">
      <w:pPr>
        <w:jc w:val="both"/>
        <w:rPr>
          <w:color w:val="auto"/>
        </w:rPr>
      </w:pPr>
    </w:p>
    <w:p w:rsidR="00AA4DF2" w:rsidRPr="00AA4DF2" w:rsidRDefault="00AA4DF2" w:rsidP="00AA4DF2">
      <w:pPr>
        <w:tabs>
          <w:tab w:val="left" w:pos="4680"/>
        </w:tabs>
        <w:jc w:val="both"/>
        <w:rPr>
          <w:color w:val="auto"/>
        </w:rPr>
      </w:pPr>
      <w:r w:rsidRPr="00AA4DF2">
        <w:rPr>
          <w:color w:val="auto"/>
        </w:rPr>
        <w:tab/>
      </w:r>
    </w:p>
    <w:p w:rsidR="00AA4DF2" w:rsidRPr="00AA4DF2" w:rsidRDefault="00AA4DF2" w:rsidP="00AA4DF2">
      <w:pPr>
        <w:jc w:val="both"/>
        <w:rPr>
          <w:color w:val="auto"/>
        </w:rPr>
      </w:pPr>
      <w:r w:rsidRPr="00AA4DF2">
        <w:rPr>
          <w:color w:val="auto"/>
        </w:rPr>
        <w:tab/>
      </w:r>
      <w:r w:rsidRPr="00AA4DF2">
        <w:rPr>
          <w:color w:val="auto"/>
        </w:rPr>
        <w:tab/>
      </w:r>
      <w:r w:rsidRPr="00AA4DF2">
        <w:rPr>
          <w:color w:val="auto"/>
        </w:rPr>
        <w:tab/>
      </w:r>
      <w:r w:rsidRPr="00AA4DF2">
        <w:rPr>
          <w:color w:val="auto"/>
        </w:rPr>
        <w:tab/>
      </w:r>
      <w:r w:rsidRPr="00AA4DF2">
        <w:rPr>
          <w:color w:val="auto"/>
        </w:rPr>
        <w:tab/>
      </w:r>
      <w:r w:rsidRPr="00AA4DF2">
        <w:rPr>
          <w:color w:val="auto"/>
        </w:rPr>
        <w:tab/>
        <w:t xml:space="preserve">      Principal Deputy</w:t>
      </w:r>
    </w:p>
    <w:p w:rsidR="00AA4DF2" w:rsidRPr="00AA4DF2" w:rsidRDefault="00AA4DF2" w:rsidP="00AA4DF2">
      <w:pPr>
        <w:jc w:val="both"/>
        <w:rPr>
          <w:color w:val="auto"/>
        </w:rPr>
      </w:pPr>
      <w:r w:rsidRPr="00AA4DF2">
        <w:rPr>
          <w:color w:val="auto"/>
        </w:rPr>
        <w:tab/>
      </w:r>
      <w:r w:rsidRPr="00AA4DF2">
        <w:rPr>
          <w:color w:val="auto"/>
        </w:rPr>
        <w:tab/>
      </w:r>
      <w:r w:rsidRPr="00AA4DF2">
        <w:rPr>
          <w:color w:val="auto"/>
        </w:rPr>
        <w:tab/>
      </w:r>
      <w:r w:rsidRPr="00AA4DF2">
        <w:rPr>
          <w:color w:val="auto"/>
        </w:rPr>
        <w:tab/>
      </w:r>
      <w:r w:rsidRPr="00AA4DF2">
        <w:rPr>
          <w:color w:val="auto"/>
        </w:rPr>
        <w:tab/>
      </w:r>
      <w:r w:rsidRPr="00AA4DF2">
        <w:rPr>
          <w:color w:val="auto"/>
        </w:rPr>
        <w:tab/>
        <w:t xml:space="preserve">      Assistant Secretary of the Navy </w:t>
      </w:r>
    </w:p>
    <w:p w:rsidR="00AA4DF2" w:rsidRPr="00AA4DF2" w:rsidRDefault="00AA4DF2" w:rsidP="00AA4DF2">
      <w:pPr>
        <w:jc w:val="both"/>
        <w:rPr>
          <w:color w:val="auto"/>
        </w:rPr>
      </w:pPr>
      <w:r w:rsidRPr="00AA4DF2">
        <w:rPr>
          <w:color w:val="auto"/>
        </w:rPr>
        <w:tab/>
      </w:r>
      <w:r w:rsidRPr="00AA4DF2">
        <w:rPr>
          <w:color w:val="auto"/>
        </w:rPr>
        <w:tab/>
      </w:r>
      <w:r w:rsidRPr="00AA4DF2">
        <w:rPr>
          <w:color w:val="auto"/>
        </w:rPr>
        <w:tab/>
      </w:r>
      <w:r w:rsidRPr="00AA4DF2">
        <w:rPr>
          <w:color w:val="auto"/>
        </w:rPr>
        <w:tab/>
      </w:r>
      <w:r w:rsidRPr="00AA4DF2">
        <w:rPr>
          <w:color w:val="auto"/>
        </w:rPr>
        <w:tab/>
      </w:r>
      <w:r w:rsidRPr="00AA4DF2">
        <w:rPr>
          <w:color w:val="auto"/>
        </w:rPr>
        <w:tab/>
        <w:t xml:space="preserve">        (Manpower &amp; Reserve Affairs)</w:t>
      </w:r>
    </w:p>
    <w:p w:rsidR="00AA4DF2" w:rsidRDefault="00AA4DF2" w:rsidP="00AA4DF2">
      <w:pPr>
        <w:jc w:val="both"/>
      </w:pPr>
      <w:r w:rsidRPr="00AA4DF2">
        <w:rPr>
          <w:color w:val="auto"/>
        </w:rPr>
        <w:tab/>
      </w:r>
      <w:r w:rsidRPr="00AA4DF2">
        <w:rPr>
          <w:color w:val="auto"/>
        </w:rPr>
        <w:tab/>
      </w:r>
      <w:r>
        <w:tab/>
      </w:r>
      <w:r>
        <w:tab/>
      </w:r>
      <w:r>
        <w:tab/>
      </w:r>
      <w:r>
        <w:tab/>
        <w:t xml:space="preserve">  </w:t>
      </w:r>
    </w:p>
    <w:p w:rsidR="00AA4DF2" w:rsidRDefault="00AA4DF2" w:rsidP="00AA4DF2">
      <w:pPr>
        <w:jc w:val="both"/>
      </w:pPr>
    </w:p>
    <w:p w:rsidR="00AA04B3" w:rsidRDefault="00AA04B3" w:rsidP="00190E48">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7"/>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EBD" w:rsidRDefault="004F4EBD">
      <w:r>
        <w:separator/>
      </w:r>
    </w:p>
  </w:endnote>
  <w:endnote w:type="continuationSeparator" w:id="0">
    <w:p w:rsidR="004F4EBD" w:rsidRDefault="004F4EBD">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33" w:rsidRDefault="00A8339A">
    <w:pPr>
      <w:pStyle w:val="Footer"/>
      <w:framePr w:wrap="around" w:vAnchor="text" w:hAnchor="margin" w:xAlign="center" w:y="1"/>
      <w:rPr>
        <w:rStyle w:val="PageNumber"/>
      </w:rPr>
    </w:pPr>
    <w:r>
      <w:rPr>
        <w:rStyle w:val="PageNumber"/>
      </w:rPr>
      <w:fldChar w:fldCharType="begin"/>
    </w:r>
    <w:r w:rsidR="00540E33">
      <w:rPr>
        <w:rStyle w:val="PageNumber"/>
      </w:rPr>
      <w:instrText xml:space="preserve">PAGE  </w:instrText>
    </w:r>
    <w:r>
      <w:rPr>
        <w:rStyle w:val="PageNumber"/>
      </w:rPr>
      <w:fldChar w:fldCharType="separate"/>
    </w:r>
    <w:r w:rsidR="00540E33">
      <w:rPr>
        <w:rStyle w:val="PageNumber"/>
        <w:noProof/>
      </w:rPr>
      <w:t>2</w:t>
    </w:r>
    <w:r>
      <w:rPr>
        <w:rStyle w:val="PageNumber"/>
      </w:rPr>
      <w:fldChar w:fldCharType="end"/>
    </w:r>
  </w:p>
  <w:p w:rsidR="00540E33" w:rsidRDefault="00540E3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33" w:rsidRPr="00AC713F" w:rsidRDefault="00A8339A">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540E33"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AA4DF2">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540E33" w:rsidRPr="006D003F" w:rsidRDefault="00540E33" w:rsidP="002B0749">
    <w:pPr>
      <w:pStyle w:val="Footer"/>
      <w:jc w:val="right"/>
      <w:rPr>
        <w:rFonts w:asciiTheme="minorHAnsi" w:hAnsiTheme="minorHAnsi"/>
        <w:color w:val="auto"/>
      </w:rPr>
    </w:pPr>
    <w:r>
      <w:tab/>
    </w:r>
    <w:r>
      <w:tab/>
    </w:r>
    <w:r w:rsidRPr="006D003F">
      <w:rPr>
        <w:rFonts w:asciiTheme="minorHAnsi" w:hAnsiTheme="minorHAnsi"/>
        <w:caps/>
        <w:color w:val="auto"/>
      </w:rPr>
      <w:t>PD0900423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EBD" w:rsidRDefault="004F4EBD">
      <w:r>
        <w:separator/>
      </w:r>
    </w:p>
  </w:footnote>
  <w:footnote w:type="continuationSeparator" w:id="0">
    <w:p w:rsidR="004F4EBD" w:rsidRDefault="004F4E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89826"/>
  </w:hdrShapeDefaults>
  <w:footnotePr>
    <w:numRestart w:val="eachSect"/>
    <w:footnote w:id="-1"/>
    <w:footnote w:id="0"/>
  </w:footnotePr>
  <w:endnotePr>
    <w:endnote w:id="-1"/>
    <w:endnote w:id="0"/>
  </w:endnotePr>
  <w:compat/>
  <w:rsids>
    <w:rsidRoot w:val="001C28D1"/>
    <w:rsid w:val="000059FA"/>
    <w:rsid w:val="00006F87"/>
    <w:rsid w:val="00010ABA"/>
    <w:rsid w:val="00012428"/>
    <w:rsid w:val="00013417"/>
    <w:rsid w:val="000145C2"/>
    <w:rsid w:val="0001473F"/>
    <w:rsid w:val="00014A9E"/>
    <w:rsid w:val="00021361"/>
    <w:rsid w:val="00023913"/>
    <w:rsid w:val="00023D43"/>
    <w:rsid w:val="00032E07"/>
    <w:rsid w:val="000332CA"/>
    <w:rsid w:val="0003374E"/>
    <w:rsid w:val="000344E6"/>
    <w:rsid w:val="00035C3A"/>
    <w:rsid w:val="00036E4B"/>
    <w:rsid w:val="000379D0"/>
    <w:rsid w:val="00040FC4"/>
    <w:rsid w:val="000416F8"/>
    <w:rsid w:val="00042C26"/>
    <w:rsid w:val="00043382"/>
    <w:rsid w:val="00051622"/>
    <w:rsid w:val="00052234"/>
    <w:rsid w:val="00053D7C"/>
    <w:rsid w:val="0005539B"/>
    <w:rsid w:val="000577C9"/>
    <w:rsid w:val="00063430"/>
    <w:rsid w:val="0006431E"/>
    <w:rsid w:val="00070960"/>
    <w:rsid w:val="00072433"/>
    <w:rsid w:val="00075702"/>
    <w:rsid w:val="000775C2"/>
    <w:rsid w:val="000806AD"/>
    <w:rsid w:val="00082482"/>
    <w:rsid w:val="0008708B"/>
    <w:rsid w:val="00092619"/>
    <w:rsid w:val="00092C66"/>
    <w:rsid w:val="00094E4F"/>
    <w:rsid w:val="000A2BCE"/>
    <w:rsid w:val="000A3F57"/>
    <w:rsid w:val="000A41E3"/>
    <w:rsid w:val="000A4BBA"/>
    <w:rsid w:val="000A5071"/>
    <w:rsid w:val="000B4C99"/>
    <w:rsid w:val="000C06F6"/>
    <w:rsid w:val="000C1D34"/>
    <w:rsid w:val="000C2362"/>
    <w:rsid w:val="000C3C13"/>
    <w:rsid w:val="000C53F9"/>
    <w:rsid w:val="000C5813"/>
    <w:rsid w:val="000C66A2"/>
    <w:rsid w:val="000C75CF"/>
    <w:rsid w:val="000C7DE4"/>
    <w:rsid w:val="000D15E7"/>
    <w:rsid w:val="000D1A24"/>
    <w:rsid w:val="000D21C7"/>
    <w:rsid w:val="000D248A"/>
    <w:rsid w:val="000D35D8"/>
    <w:rsid w:val="000D43F9"/>
    <w:rsid w:val="000D4717"/>
    <w:rsid w:val="000D6457"/>
    <w:rsid w:val="000D7D55"/>
    <w:rsid w:val="000E0993"/>
    <w:rsid w:val="000E37E0"/>
    <w:rsid w:val="000F02BE"/>
    <w:rsid w:val="000F427B"/>
    <w:rsid w:val="000F7181"/>
    <w:rsid w:val="001008C1"/>
    <w:rsid w:val="001023DB"/>
    <w:rsid w:val="00103CCF"/>
    <w:rsid w:val="0010417F"/>
    <w:rsid w:val="001042D2"/>
    <w:rsid w:val="0010530E"/>
    <w:rsid w:val="00105C07"/>
    <w:rsid w:val="00107EC5"/>
    <w:rsid w:val="001103CD"/>
    <w:rsid w:val="00114F20"/>
    <w:rsid w:val="001211AF"/>
    <w:rsid w:val="001219DF"/>
    <w:rsid w:val="001231DC"/>
    <w:rsid w:val="001272AE"/>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3F0A"/>
    <w:rsid w:val="00194930"/>
    <w:rsid w:val="001A08CD"/>
    <w:rsid w:val="001A5320"/>
    <w:rsid w:val="001A5E62"/>
    <w:rsid w:val="001A7538"/>
    <w:rsid w:val="001B0B1A"/>
    <w:rsid w:val="001B4EC2"/>
    <w:rsid w:val="001B5B59"/>
    <w:rsid w:val="001B60E0"/>
    <w:rsid w:val="001B7AE5"/>
    <w:rsid w:val="001B7C8C"/>
    <w:rsid w:val="001C181A"/>
    <w:rsid w:val="001C1877"/>
    <w:rsid w:val="001C2053"/>
    <w:rsid w:val="001C252F"/>
    <w:rsid w:val="001C28D1"/>
    <w:rsid w:val="001C4595"/>
    <w:rsid w:val="001C5CFC"/>
    <w:rsid w:val="001C7418"/>
    <w:rsid w:val="001C7A0B"/>
    <w:rsid w:val="001D0051"/>
    <w:rsid w:val="001D2224"/>
    <w:rsid w:val="001D4F88"/>
    <w:rsid w:val="001D68CF"/>
    <w:rsid w:val="001D6A8C"/>
    <w:rsid w:val="001D7A56"/>
    <w:rsid w:val="001E15C0"/>
    <w:rsid w:val="001E18E0"/>
    <w:rsid w:val="001E18E2"/>
    <w:rsid w:val="001E19D0"/>
    <w:rsid w:val="001E2A30"/>
    <w:rsid w:val="00200AA0"/>
    <w:rsid w:val="00202325"/>
    <w:rsid w:val="00202736"/>
    <w:rsid w:val="00203652"/>
    <w:rsid w:val="002060B6"/>
    <w:rsid w:val="002066B5"/>
    <w:rsid w:val="00215ED6"/>
    <w:rsid w:val="00216049"/>
    <w:rsid w:val="00217606"/>
    <w:rsid w:val="00217C09"/>
    <w:rsid w:val="00220F5C"/>
    <w:rsid w:val="00225196"/>
    <w:rsid w:val="00225CB4"/>
    <w:rsid w:val="0023049F"/>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4437"/>
    <w:rsid w:val="002A3237"/>
    <w:rsid w:val="002A58B7"/>
    <w:rsid w:val="002A685E"/>
    <w:rsid w:val="002A72C7"/>
    <w:rsid w:val="002B03B2"/>
    <w:rsid w:val="002B0749"/>
    <w:rsid w:val="002B2645"/>
    <w:rsid w:val="002B6FA0"/>
    <w:rsid w:val="002C5F10"/>
    <w:rsid w:val="002C6E5B"/>
    <w:rsid w:val="002D18B4"/>
    <w:rsid w:val="002D231A"/>
    <w:rsid w:val="002E1877"/>
    <w:rsid w:val="002E1C31"/>
    <w:rsid w:val="002E289F"/>
    <w:rsid w:val="002E333A"/>
    <w:rsid w:val="002E3474"/>
    <w:rsid w:val="002E400C"/>
    <w:rsid w:val="002E49C3"/>
    <w:rsid w:val="002E5114"/>
    <w:rsid w:val="002E7570"/>
    <w:rsid w:val="002E764B"/>
    <w:rsid w:val="002F0E28"/>
    <w:rsid w:val="002F287E"/>
    <w:rsid w:val="002F2D63"/>
    <w:rsid w:val="002F7F81"/>
    <w:rsid w:val="00300A36"/>
    <w:rsid w:val="0030678B"/>
    <w:rsid w:val="00310CD7"/>
    <w:rsid w:val="0032136A"/>
    <w:rsid w:val="00323E70"/>
    <w:rsid w:val="00325570"/>
    <w:rsid w:val="00325BA2"/>
    <w:rsid w:val="00326F7F"/>
    <w:rsid w:val="003320E8"/>
    <w:rsid w:val="0033555E"/>
    <w:rsid w:val="00336805"/>
    <w:rsid w:val="00337351"/>
    <w:rsid w:val="00341A54"/>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520D"/>
    <w:rsid w:val="00375809"/>
    <w:rsid w:val="0037628C"/>
    <w:rsid w:val="00376B81"/>
    <w:rsid w:val="00377BD2"/>
    <w:rsid w:val="003821E1"/>
    <w:rsid w:val="00384866"/>
    <w:rsid w:val="003857D4"/>
    <w:rsid w:val="00385D6F"/>
    <w:rsid w:val="00387095"/>
    <w:rsid w:val="00390092"/>
    <w:rsid w:val="00393651"/>
    <w:rsid w:val="00395E12"/>
    <w:rsid w:val="0039759F"/>
    <w:rsid w:val="00397DB7"/>
    <w:rsid w:val="003A1CDB"/>
    <w:rsid w:val="003A27B2"/>
    <w:rsid w:val="003A40B4"/>
    <w:rsid w:val="003A41BA"/>
    <w:rsid w:val="003A6A99"/>
    <w:rsid w:val="003A7FF8"/>
    <w:rsid w:val="003B17AC"/>
    <w:rsid w:val="003B227A"/>
    <w:rsid w:val="003B5854"/>
    <w:rsid w:val="003B6764"/>
    <w:rsid w:val="003C6068"/>
    <w:rsid w:val="003D2BA3"/>
    <w:rsid w:val="003D3C22"/>
    <w:rsid w:val="003D7089"/>
    <w:rsid w:val="003D7D45"/>
    <w:rsid w:val="003D7DDB"/>
    <w:rsid w:val="003E02C7"/>
    <w:rsid w:val="003E0543"/>
    <w:rsid w:val="003E0B5A"/>
    <w:rsid w:val="003E21F4"/>
    <w:rsid w:val="003E31E3"/>
    <w:rsid w:val="003E46D1"/>
    <w:rsid w:val="003F58B0"/>
    <w:rsid w:val="003F601B"/>
    <w:rsid w:val="004007E9"/>
    <w:rsid w:val="00401825"/>
    <w:rsid w:val="00401BBC"/>
    <w:rsid w:val="00403BFB"/>
    <w:rsid w:val="00404B45"/>
    <w:rsid w:val="00405C63"/>
    <w:rsid w:val="00406CC5"/>
    <w:rsid w:val="004074A4"/>
    <w:rsid w:val="004101B2"/>
    <w:rsid w:val="00410A9C"/>
    <w:rsid w:val="004123D7"/>
    <w:rsid w:val="00412658"/>
    <w:rsid w:val="004172DB"/>
    <w:rsid w:val="00421485"/>
    <w:rsid w:val="00422B75"/>
    <w:rsid w:val="00433F36"/>
    <w:rsid w:val="0043503A"/>
    <w:rsid w:val="0044384F"/>
    <w:rsid w:val="00444F80"/>
    <w:rsid w:val="00446018"/>
    <w:rsid w:val="004504C4"/>
    <w:rsid w:val="004543BC"/>
    <w:rsid w:val="0045645D"/>
    <w:rsid w:val="004574C6"/>
    <w:rsid w:val="00457BCF"/>
    <w:rsid w:val="00457DCE"/>
    <w:rsid w:val="00460E3F"/>
    <w:rsid w:val="00466CED"/>
    <w:rsid w:val="00467592"/>
    <w:rsid w:val="00467690"/>
    <w:rsid w:val="004718E7"/>
    <w:rsid w:val="00472535"/>
    <w:rsid w:val="004761CC"/>
    <w:rsid w:val="00476C4C"/>
    <w:rsid w:val="00480D4A"/>
    <w:rsid w:val="00481DA1"/>
    <w:rsid w:val="0049255F"/>
    <w:rsid w:val="0049445D"/>
    <w:rsid w:val="00495350"/>
    <w:rsid w:val="00497156"/>
    <w:rsid w:val="004A24D2"/>
    <w:rsid w:val="004A3214"/>
    <w:rsid w:val="004A4136"/>
    <w:rsid w:val="004A417B"/>
    <w:rsid w:val="004B03F3"/>
    <w:rsid w:val="004B2536"/>
    <w:rsid w:val="004B6AF3"/>
    <w:rsid w:val="004B715E"/>
    <w:rsid w:val="004B7169"/>
    <w:rsid w:val="004B79C9"/>
    <w:rsid w:val="004C5E33"/>
    <w:rsid w:val="004C6CDA"/>
    <w:rsid w:val="004D10D4"/>
    <w:rsid w:val="004D16BD"/>
    <w:rsid w:val="004D2AAB"/>
    <w:rsid w:val="004D68B1"/>
    <w:rsid w:val="004D69D9"/>
    <w:rsid w:val="004D6F2B"/>
    <w:rsid w:val="004E0248"/>
    <w:rsid w:val="004E21A3"/>
    <w:rsid w:val="004E32EA"/>
    <w:rsid w:val="004E456C"/>
    <w:rsid w:val="004E6866"/>
    <w:rsid w:val="004F3222"/>
    <w:rsid w:val="004F3BFA"/>
    <w:rsid w:val="004F4EBD"/>
    <w:rsid w:val="004F6E84"/>
    <w:rsid w:val="005000AB"/>
    <w:rsid w:val="005025EE"/>
    <w:rsid w:val="005052D4"/>
    <w:rsid w:val="00510588"/>
    <w:rsid w:val="0051146C"/>
    <w:rsid w:val="00514449"/>
    <w:rsid w:val="005222E7"/>
    <w:rsid w:val="00523A8B"/>
    <w:rsid w:val="00523E04"/>
    <w:rsid w:val="0052590B"/>
    <w:rsid w:val="00526308"/>
    <w:rsid w:val="00526591"/>
    <w:rsid w:val="00527178"/>
    <w:rsid w:val="005278CB"/>
    <w:rsid w:val="00534D42"/>
    <w:rsid w:val="005350A5"/>
    <w:rsid w:val="00536379"/>
    <w:rsid w:val="00537238"/>
    <w:rsid w:val="005400C5"/>
    <w:rsid w:val="00540BEF"/>
    <w:rsid w:val="00540E33"/>
    <w:rsid w:val="00542C9A"/>
    <w:rsid w:val="005436C2"/>
    <w:rsid w:val="005442D4"/>
    <w:rsid w:val="0054586A"/>
    <w:rsid w:val="0054631F"/>
    <w:rsid w:val="005465B4"/>
    <w:rsid w:val="0055288D"/>
    <w:rsid w:val="00555259"/>
    <w:rsid w:val="00560D57"/>
    <w:rsid w:val="00562A94"/>
    <w:rsid w:val="005709F7"/>
    <w:rsid w:val="005710A9"/>
    <w:rsid w:val="00571D1B"/>
    <w:rsid w:val="00575B0E"/>
    <w:rsid w:val="00592A9C"/>
    <w:rsid w:val="00593043"/>
    <w:rsid w:val="00593642"/>
    <w:rsid w:val="00595BF0"/>
    <w:rsid w:val="005A1846"/>
    <w:rsid w:val="005A258C"/>
    <w:rsid w:val="005A3560"/>
    <w:rsid w:val="005A4E82"/>
    <w:rsid w:val="005A6C99"/>
    <w:rsid w:val="005A7D5D"/>
    <w:rsid w:val="005B011A"/>
    <w:rsid w:val="005B1D8F"/>
    <w:rsid w:val="005B1E94"/>
    <w:rsid w:val="005B5B3D"/>
    <w:rsid w:val="005C16F3"/>
    <w:rsid w:val="005C3758"/>
    <w:rsid w:val="005C65C2"/>
    <w:rsid w:val="005D4EC9"/>
    <w:rsid w:val="005E3064"/>
    <w:rsid w:val="005E72B2"/>
    <w:rsid w:val="005F0EAF"/>
    <w:rsid w:val="005F1115"/>
    <w:rsid w:val="005F1AB6"/>
    <w:rsid w:val="005F27F2"/>
    <w:rsid w:val="005F3AFE"/>
    <w:rsid w:val="005F424D"/>
    <w:rsid w:val="005F6B6D"/>
    <w:rsid w:val="00605AAB"/>
    <w:rsid w:val="00606BEB"/>
    <w:rsid w:val="0061014A"/>
    <w:rsid w:val="0061054B"/>
    <w:rsid w:val="00613E26"/>
    <w:rsid w:val="00615641"/>
    <w:rsid w:val="00616959"/>
    <w:rsid w:val="006211D0"/>
    <w:rsid w:val="00624D0C"/>
    <w:rsid w:val="00625096"/>
    <w:rsid w:val="006307BA"/>
    <w:rsid w:val="006315BA"/>
    <w:rsid w:val="00634C4A"/>
    <w:rsid w:val="0063532E"/>
    <w:rsid w:val="00637BDC"/>
    <w:rsid w:val="006418C9"/>
    <w:rsid w:val="00642BD6"/>
    <w:rsid w:val="00645046"/>
    <w:rsid w:val="0064527A"/>
    <w:rsid w:val="00645EA2"/>
    <w:rsid w:val="006573F2"/>
    <w:rsid w:val="00662F08"/>
    <w:rsid w:val="00663589"/>
    <w:rsid w:val="00667442"/>
    <w:rsid w:val="006708E3"/>
    <w:rsid w:val="00670DDC"/>
    <w:rsid w:val="00671EB4"/>
    <w:rsid w:val="0067443B"/>
    <w:rsid w:val="00684E2B"/>
    <w:rsid w:val="00690751"/>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9A1"/>
    <w:rsid w:val="006C1D6E"/>
    <w:rsid w:val="006C3A68"/>
    <w:rsid w:val="006C6AB1"/>
    <w:rsid w:val="006D003F"/>
    <w:rsid w:val="006D23BC"/>
    <w:rsid w:val="006D2D39"/>
    <w:rsid w:val="006D4E0E"/>
    <w:rsid w:val="006D5CE2"/>
    <w:rsid w:val="006D7CE5"/>
    <w:rsid w:val="006E06D1"/>
    <w:rsid w:val="006E1313"/>
    <w:rsid w:val="006E2DC8"/>
    <w:rsid w:val="006E7356"/>
    <w:rsid w:val="006E77C8"/>
    <w:rsid w:val="006F149D"/>
    <w:rsid w:val="006F1A46"/>
    <w:rsid w:val="006F5A4E"/>
    <w:rsid w:val="00703B6C"/>
    <w:rsid w:val="00705C40"/>
    <w:rsid w:val="00706482"/>
    <w:rsid w:val="00706BEF"/>
    <w:rsid w:val="00711624"/>
    <w:rsid w:val="007116BC"/>
    <w:rsid w:val="007165CE"/>
    <w:rsid w:val="00720968"/>
    <w:rsid w:val="00721D12"/>
    <w:rsid w:val="00721F8B"/>
    <w:rsid w:val="007237CE"/>
    <w:rsid w:val="00724688"/>
    <w:rsid w:val="00725E45"/>
    <w:rsid w:val="0073062D"/>
    <w:rsid w:val="0073254D"/>
    <w:rsid w:val="00736A49"/>
    <w:rsid w:val="00743B71"/>
    <w:rsid w:val="00743C2D"/>
    <w:rsid w:val="00743E36"/>
    <w:rsid w:val="007446F7"/>
    <w:rsid w:val="00744EBB"/>
    <w:rsid w:val="00745B0A"/>
    <w:rsid w:val="007468AC"/>
    <w:rsid w:val="00746AE2"/>
    <w:rsid w:val="00750C82"/>
    <w:rsid w:val="0076100C"/>
    <w:rsid w:val="007651ED"/>
    <w:rsid w:val="00766C87"/>
    <w:rsid w:val="00781BD4"/>
    <w:rsid w:val="00784832"/>
    <w:rsid w:val="007854CB"/>
    <w:rsid w:val="00785D77"/>
    <w:rsid w:val="00786111"/>
    <w:rsid w:val="00791F1E"/>
    <w:rsid w:val="00794F3D"/>
    <w:rsid w:val="00796045"/>
    <w:rsid w:val="007968AC"/>
    <w:rsid w:val="007969AB"/>
    <w:rsid w:val="007A0B39"/>
    <w:rsid w:val="007A14A4"/>
    <w:rsid w:val="007A168F"/>
    <w:rsid w:val="007A28E4"/>
    <w:rsid w:val="007A3BB3"/>
    <w:rsid w:val="007A5AD1"/>
    <w:rsid w:val="007A5B7B"/>
    <w:rsid w:val="007B0A06"/>
    <w:rsid w:val="007B5C5C"/>
    <w:rsid w:val="007B7B37"/>
    <w:rsid w:val="007B7C41"/>
    <w:rsid w:val="007C433E"/>
    <w:rsid w:val="007C4452"/>
    <w:rsid w:val="007C4B3C"/>
    <w:rsid w:val="007C4DB1"/>
    <w:rsid w:val="007C6046"/>
    <w:rsid w:val="007D0292"/>
    <w:rsid w:val="007D0295"/>
    <w:rsid w:val="007D21AC"/>
    <w:rsid w:val="007D3882"/>
    <w:rsid w:val="007D568A"/>
    <w:rsid w:val="007D574E"/>
    <w:rsid w:val="007D6BFE"/>
    <w:rsid w:val="007E2046"/>
    <w:rsid w:val="007E3883"/>
    <w:rsid w:val="007E4FBB"/>
    <w:rsid w:val="007E55BF"/>
    <w:rsid w:val="007E71B1"/>
    <w:rsid w:val="007E7B4E"/>
    <w:rsid w:val="007F0CE2"/>
    <w:rsid w:val="007F0EFF"/>
    <w:rsid w:val="007F1375"/>
    <w:rsid w:val="00803850"/>
    <w:rsid w:val="00804385"/>
    <w:rsid w:val="00805AFD"/>
    <w:rsid w:val="008078D8"/>
    <w:rsid w:val="00811D5B"/>
    <w:rsid w:val="00816594"/>
    <w:rsid w:val="00817713"/>
    <w:rsid w:val="008220F1"/>
    <w:rsid w:val="0082340B"/>
    <w:rsid w:val="00827DB6"/>
    <w:rsid w:val="008304B2"/>
    <w:rsid w:val="00830999"/>
    <w:rsid w:val="00830D5E"/>
    <w:rsid w:val="00830F69"/>
    <w:rsid w:val="00833418"/>
    <w:rsid w:val="00834458"/>
    <w:rsid w:val="00835841"/>
    <w:rsid w:val="00837465"/>
    <w:rsid w:val="00841243"/>
    <w:rsid w:val="00841457"/>
    <w:rsid w:val="0084374E"/>
    <w:rsid w:val="008438CD"/>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70E"/>
    <w:rsid w:val="00871262"/>
    <w:rsid w:val="00871D4E"/>
    <w:rsid w:val="00871E7B"/>
    <w:rsid w:val="00875B51"/>
    <w:rsid w:val="00875F2D"/>
    <w:rsid w:val="008764DC"/>
    <w:rsid w:val="00880447"/>
    <w:rsid w:val="00882CC2"/>
    <w:rsid w:val="00883930"/>
    <w:rsid w:val="00896535"/>
    <w:rsid w:val="00896683"/>
    <w:rsid w:val="00897589"/>
    <w:rsid w:val="008A63A9"/>
    <w:rsid w:val="008A7F7E"/>
    <w:rsid w:val="008B04DB"/>
    <w:rsid w:val="008B27FD"/>
    <w:rsid w:val="008B3AF2"/>
    <w:rsid w:val="008B515D"/>
    <w:rsid w:val="008B5D31"/>
    <w:rsid w:val="008B6705"/>
    <w:rsid w:val="008C22F3"/>
    <w:rsid w:val="008C258E"/>
    <w:rsid w:val="008D795D"/>
    <w:rsid w:val="008D7B07"/>
    <w:rsid w:val="008E1E94"/>
    <w:rsid w:val="008E2D99"/>
    <w:rsid w:val="008E3AD4"/>
    <w:rsid w:val="008E4A60"/>
    <w:rsid w:val="008E744D"/>
    <w:rsid w:val="008F1E08"/>
    <w:rsid w:val="00900D8F"/>
    <w:rsid w:val="009014E3"/>
    <w:rsid w:val="009026E8"/>
    <w:rsid w:val="009051C8"/>
    <w:rsid w:val="00906EB7"/>
    <w:rsid w:val="009102BF"/>
    <w:rsid w:val="009105B2"/>
    <w:rsid w:val="009115F2"/>
    <w:rsid w:val="00914ADB"/>
    <w:rsid w:val="00923B25"/>
    <w:rsid w:val="0092402E"/>
    <w:rsid w:val="009259BA"/>
    <w:rsid w:val="00926FCB"/>
    <w:rsid w:val="0093311A"/>
    <w:rsid w:val="00942645"/>
    <w:rsid w:val="00950A3A"/>
    <w:rsid w:val="0095340A"/>
    <w:rsid w:val="00954581"/>
    <w:rsid w:val="0095466C"/>
    <w:rsid w:val="00954E5B"/>
    <w:rsid w:val="009576BC"/>
    <w:rsid w:val="00960357"/>
    <w:rsid w:val="0096168C"/>
    <w:rsid w:val="00961840"/>
    <w:rsid w:val="00962F2D"/>
    <w:rsid w:val="009672CD"/>
    <w:rsid w:val="00972996"/>
    <w:rsid w:val="009732B8"/>
    <w:rsid w:val="00975C72"/>
    <w:rsid w:val="00976869"/>
    <w:rsid w:val="00977740"/>
    <w:rsid w:val="00977CB4"/>
    <w:rsid w:val="009809B8"/>
    <w:rsid w:val="0098222D"/>
    <w:rsid w:val="00985099"/>
    <w:rsid w:val="0099421F"/>
    <w:rsid w:val="009A0DE3"/>
    <w:rsid w:val="009A1643"/>
    <w:rsid w:val="009A215A"/>
    <w:rsid w:val="009A4F1B"/>
    <w:rsid w:val="009A66C5"/>
    <w:rsid w:val="009A79BA"/>
    <w:rsid w:val="009B14D1"/>
    <w:rsid w:val="009B1534"/>
    <w:rsid w:val="009B2D10"/>
    <w:rsid w:val="009B4A3B"/>
    <w:rsid w:val="009B69D3"/>
    <w:rsid w:val="009B7BA7"/>
    <w:rsid w:val="009C0938"/>
    <w:rsid w:val="009C22C8"/>
    <w:rsid w:val="009C3F82"/>
    <w:rsid w:val="009C6671"/>
    <w:rsid w:val="009C72DD"/>
    <w:rsid w:val="009C7DF5"/>
    <w:rsid w:val="009D056C"/>
    <w:rsid w:val="009D060F"/>
    <w:rsid w:val="009D1ADE"/>
    <w:rsid w:val="009E09D0"/>
    <w:rsid w:val="009E1283"/>
    <w:rsid w:val="009E2C91"/>
    <w:rsid w:val="009E3A7F"/>
    <w:rsid w:val="009E57B1"/>
    <w:rsid w:val="009E6379"/>
    <w:rsid w:val="009F7809"/>
    <w:rsid w:val="009F7AF5"/>
    <w:rsid w:val="009F7F92"/>
    <w:rsid w:val="00A00D14"/>
    <w:rsid w:val="00A01408"/>
    <w:rsid w:val="00A02457"/>
    <w:rsid w:val="00A03190"/>
    <w:rsid w:val="00A0404B"/>
    <w:rsid w:val="00A0798C"/>
    <w:rsid w:val="00A07BDD"/>
    <w:rsid w:val="00A1105B"/>
    <w:rsid w:val="00A132EE"/>
    <w:rsid w:val="00A15B6B"/>
    <w:rsid w:val="00A15EB4"/>
    <w:rsid w:val="00A16384"/>
    <w:rsid w:val="00A16876"/>
    <w:rsid w:val="00A200AA"/>
    <w:rsid w:val="00A20558"/>
    <w:rsid w:val="00A2186F"/>
    <w:rsid w:val="00A2270B"/>
    <w:rsid w:val="00A23B89"/>
    <w:rsid w:val="00A23FE3"/>
    <w:rsid w:val="00A248C3"/>
    <w:rsid w:val="00A2496E"/>
    <w:rsid w:val="00A258B7"/>
    <w:rsid w:val="00A32743"/>
    <w:rsid w:val="00A414A9"/>
    <w:rsid w:val="00A44CCA"/>
    <w:rsid w:val="00A44D75"/>
    <w:rsid w:val="00A47CF1"/>
    <w:rsid w:val="00A50418"/>
    <w:rsid w:val="00A5207A"/>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94"/>
    <w:rsid w:val="00A768E2"/>
    <w:rsid w:val="00A82C52"/>
    <w:rsid w:val="00A8339A"/>
    <w:rsid w:val="00A86CB6"/>
    <w:rsid w:val="00A90D55"/>
    <w:rsid w:val="00A944D8"/>
    <w:rsid w:val="00A959E7"/>
    <w:rsid w:val="00A95BBA"/>
    <w:rsid w:val="00A961EE"/>
    <w:rsid w:val="00AA04B3"/>
    <w:rsid w:val="00AA1253"/>
    <w:rsid w:val="00AA28EF"/>
    <w:rsid w:val="00AA493E"/>
    <w:rsid w:val="00AA4DF2"/>
    <w:rsid w:val="00AA73AF"/>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32179"/>
    <w:rsid w:val="00B33008"/>
    <w:rsid w:val="00B331A9"/>
    <w:rsid w:val="00B3449A"/>
    <w:rsid w:val="00B36569"/>
    <w:rsid w:val="00B40A05"/>
    <w:rsid w:val="00B40A3E"/>
    <w:rsid w:val="00B50227"/>
    <w:rsid w:val="00B50510"/>
    <w:rsid w:val="00B51BD3"/>
    <w:rsid w:val="00B522CD"/>
    <w:rsid w:val="00B55143"/>
    <w:rsid w:val="00B55917"/>
    <w:rsid w:val="00B643A6"/>
    <w:rsid w:val="00B64DD6"/>
    <w:rsid w:val="00B6710C"/>
    <w:rsid w:val="00B72076"/>
    <w:rsid w:val="00B72303"/>
    <w:rsid w:val="00B82277"/>
    <w:rsid w:val="00B91676"/>
    <w:rsid w:val="00B91C43"/>
    <w:rsid w:val="00B95833"/>
    <w:rsid w:val="00BA1824"/>
    <w:rsid w:val="00BA2D98"/>
    <w:rsid w:val="00BA30D1"/>
    <w:rsid w:val="00BA4609"/>
    <w:rsid w:val="00BA5BE2"/>
    <w:rsid w:val="00BA7F46"/>
    <w:rsid w:val="00BB0A0A"/>
    <w:rsid w:val="00BB45B5"/>
    <w:rsid w:val="00BB6064"/>
    <w:rsid w:val="00BC09D1"/>
    <w:rsid w:val="00BC1CF3"/>
    <w:rsid w:val="00BC7F82"/>
    <w:rsid w:val="00BD40AB"/>
    <w:rsid w:val="00BD6297"/>
    <w:rsid w:val="00BD6806"/>
    <w:rsid w:val="00BD7433"/>
    <w:rsid w:val="00BD7831"/>
    <w:rsid w:val="00BD7C10"/>
    <w:rsid w:val="00BE046F"/>
    <w:rsid w:val="00BE0DEB"/>
    <w:rsid w:val="00BE2FC1"/>
    <w:rsid w:val="00BE6365"/>
    <w:rsid w:val="00BF0B7F"/>
    <w:rsid w:val="00BF4720"/>
    <w:rsid w:val="00BF7B63"/>
    <w:rsid w:val="00C038EC"/>
    <w:rsid w:val="00C05C6D"/>
    <w:rsid w:val="00C1122B"/>
    <w:rsid w:val="00C13B34"/>
    <w:rsid w:val="00C13F26"/>
    <w:rsid w:val="00C16E9F"/>
    <w:rsid w:val="00C1713D"/>
    <w:rsid w:val="00C177F1"/>
    <w:rsid w:val="00C218D9"/>
    <w:rsid w:val="00C22F3A"/>
    <w:rsid w:val="00C25978"/>
    <w:rsid w:val="00C261C6"/>
    <w:rsid w:val="00C26E7C"/>
    <w:rsid w:val="00C30A97"/>
    <w:rsid w:val="00C31DDC"/>
    <w:rsid w:val="00C34326"/>
    <w:rsid w:val="00C36201"/>
    <w:rsid w:val="00C368E8"/>
    <w:rsid w:val="00C36C3D"/>
    <w:rsid w:val="00C372C7"/>
    <w:rsid w:val="00C41E47"/>
    <w:rsid w:val="00C42443"/>
    <w:rsid w:val="00C42CBA"/>
    <w:rsid w:val="00C5019E"/>
    <w:rsid w:val="00C5377C"/>
    <w:rsid w:val="00C53E8A"/>
    <w:rsid w:val="00C54252"/>
    <w:rsid w:val="00C54DF3"/>
    <w:rsid w:val="00C560A7"/>
    <w:rsid w:val="00C56FC8"/>
    <w:rsid w:val="00C60F23"/>
    <w:rsid w:val="00C62EB2"/>
    <w:rsid w:val="00C71BEC"/>
    <w:rsid w:val="00C74D3A"/>
    <w:rsid w:val="00C75909"/>
    <w:rsid w:val="00C80511"/>
    <w:rsid w:val="00C826F5"/>
    <w:rsid w:val="00C83740"/>
    <w:rsid w:val="00C84AD1"/>
    <w:rsid w:val="00C85579"/>
    <w:rsid w:val="00C863E5"/>
    <w:rsid w:val="00C86675"/>
    <w:rsid w:val="00C931FC"/>
    <w:rsid w:val="00C932C5"/>
    <w:rsid w:val="00C9650E"/>
    <w:rsid w:val="00CA068D"/>
    <w:rsid w:val="00CA1228"/>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E6D1C"/>
    <w:rsid w:val="00CE765D"/>
    <w:rsid w:val="00CF158D"/>
    <w:rsid w:val="00CF4394"/>
    <w:rsid w:val="00D000A9"/>
    <w:rsid w:val="00D005DB"/>
    <w:rsid w:val="00D0064E"/>
    <w:rsid w:val="00D00981"/>
    <w:rsid w:val="00D00D20"/>
    <w:rsid w:val="00D0280D"/>
    <w:rsid w:val="00D07A72"/>
    <w:rsid w:val="00D10577"/>
    <w:rsid w:val="00D1323B"/>
    <w:rsid w:val="00D14BAE"/>
    <w:rsid w:val="00D1648B"/>
    <w:rsid w:val="00D16819"/>
    <w:rsid w:val="00D20AC0"/>
    <w:rsid w:val="00D2321B"/>
    <w:rsid w:val="00D23DE4"/>
    <w:rsid w:val="00D26873"/>
    <w:rsid w:val="00D31132"/>
    <w:rsid w:val="00D31683"/>
    <w:rsid w:val="00D336C8"/>
    <w:rsid w:val="00D339E8"/>
    <w:rsid w:val="00D3662E"/>
    <w:rsid w:val="00D40B1F"/>
    <w:rsid w:val="00D40D75"/>
    <w:rsid w:val="00D443D4"/>
    <w:rsid w:val="00D449F0"/>
    <w:rsid w:val="00D50C8C"/>
    <w:rsid w:val="00D52393"/>
    <w:rsid w:val="00D523E4"/>
    <w:rsid w:val="00D5279D"/>
    <w:rsid w:val="00D52A1B"/>
    <w:rsid w:val="00D53F14"/>
    <w:rsid w:val="00D54BE4"/>
    <w:rsid w:val="00D60483"/>
    <w:rsid w:val="00D61ABB"/>
    <w:rsid w:val="00D63577"/>
    <w:rsid w:val="00D63592"/>
    <w:rsid w:val="00D67FD7"/>
    <w:rsid w:val="00D705E6"/>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97F6F"/>
    <w:rsid w:val="00DA195B"/>
    <w:rsid w:val="00DA6B55"/>
    <w:rsid w:val="00DB0015"/>
    <w:rsid w:val="00DB1997"/>
    <w:rsid w:val="00DB2AAD"/>
    <w:rsid w:val="00DB626D"/>
    <w:rsid w:val="00DB6365"/>
    <w:rsid w:val="00DC0BF1"/>
    <w:rsid w:val="00DC41C3"/>
    <w:rsid w:val="00DD3593"/>
    <w:rsid w:val="00DE0C67"/>
    <w:rsid w:val="00DE6952"/>
    <w:rsid w:val="00DE7E74"/>
    <w:rsid w:val="00DF0CC7"/>
    <w:rsid w:val="00DF6EF8"/>
    <w:rsid w:val="00E00A69"/>
    <w:rsid w:val="00E017F0"/>
    <w:rsid w:val="00E01A0E"/>
    <w:rsid w:val="00E02688"/>
    <w:rsid w:val="00E03CDF"/>
    <w:rsid w:val="00E041E4"/>
    <w:rsid w:val="00E1012B"/>
    <w:rsid w:val="00E103C8"/>
    <w:rsid w:val="00E1085B"/>
    <w:rsid w:val="00E1308B"/>
    <w:rsid w:val="00E14581"/>
    <w:rsid w:val="00E15539"/>
    <w:rsid w:val="00E16541"/>
    <w:rsid w:val="00E207CD"/>
    <w:rsid w:val="00E2536E"/>
    <w:rsid w:val="00E25B8A"/>
    <w:rsid w:val="00E2632B"/>
    <w:rsid w:val="00E322F7"/>
    <w:rsid w:val="00E3369B"/>
    <w:rsid w:val="00E35163"/>
    <w:rsid w:val="00E36D76"/>
    <w:rsid w:val="00E405EA"/>
    <w:rsid w:val="00E408B7"/>
    <w:rsid w:val="00E41637"/>
    <w:rsid w:val="00E42789"/>
    <w:rsid w:val="00E43F59"/>
    <w:rsid w:val="00E464F0"/>
    <w:rsid w:val="00E50BEB"/>
    <w:rsid w:val="00E548FA"/>
    <w:rsid w:val="00E6092F"/>
    <w:rsid w:val="00E62049"/>
    <w:rsid w:val="00E629DA"/>
    <w:rsid w:val="00E6469F"/>
    <w:rsid w:val="00E67FAC"/>
    <w:rsid w:val="00E7200B"/>
    <w:rsid w:val="00E738CB"/>
    <w:rsid w:val="00E73C88"/>
    <w:rsid w:val="00E74437"/>
    <w:rsid w:val="00E7443D"/>
    <w:rsid w:val="00E81C3E"/>
    <w:rsid w:val="00E82B6D"/>
    <w:rsid w:val="00E85FB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0FF9"/>
    <w:rsid w:val="00EE2A2B"/>
    <w:rsid w:val="00EE6FE0"/>
    <w:rsid w:val="00EE704A"/>
    <w:rsid w:val="00EE7840"/>
    <w:rsid w:val="00EF18D2"/>
    <w:rsid w:val="00EF4C74"/>
    <w:rsid w:val="00EF5268"/>
    <w:rsid w:val="00EF608E"/>
    <w:rsid w:val="00EF732A"/>
    <w:rsid w:val="00F0044B"/>
    <w:rsid w:val="00F04957"/>
    <w:rsid w:val="00F05807"/>
    <w:rsid w:val="00F07052"/>
    <w:rsid w:val="00F0706C"/>
    <w:rsid w:val="00F11EBE"/>
    <w:rsid w:val="00F12BA8"/>
    <w:rsid w:val="00F130D0"/>
    <w:rsid w:val="00F14933"/>
    <w:rsid w:val="00F1516A"/>
    <w:rsid w:val="00F21376"/>
    <w:rsid w:val="00F22A26"/>
    <w:rsid w:val="00F24072"/>
    <w:rsid w:val="00F26432"/>
    <w:rsid w:val="00F3197A"/>
    <w:rsid w:val="00F32139"/>
    <w:rsid w:val="00F33D56"/>
    <w:rsid w:val="00F34E08"/>
    <w:rsid w:val="00F41D91"/>
    <w:rsid w:val="00F42363"/>
    <w:rsid w:val="00F46964"/>
    <w:rsid w:val="00F46F9A"/>
    <w:rsid w:val="00F5126A"/>
    <w:rsid w:val="00F611C3"/>
    <w:rsid w:val="00F6636A"/>
    <w:rsid w:val="00F667C5"/>
    <w:rsid w:val="00F67E31"/>
    <w:rsid w:val="00F718A8"/>
    <w:rsid w:val="00F72183"/>
    <w:rsid w:val="00F76D01"/>
    <w:rsid w:val="00F81C35"/>
    <w:rsid w:val="00F82981"/>
    <w:rsid w:val="00F8311F"/>
    <w:rsid w:val="00F83248"/>
    <w:rsid w:val="00F83376"/>
    <w:rsid w:val="00F853AE"/>
    <w:rsid w:val="00F9337F"/>
    <w:rsid w:val="00F93C74"/>
    <w:rsid w:val="00F93DCC"/>
    <w:rsid w:val="00F9435D"/>
    <w:rsid w:val="00F97740"/>
    <w:rsid w:val="00FA2F7B"/>
    <w:rsid w:val="00FB09FE"/>
    <w:rsid w:val="00FB593A"/>
    <w:rsid w:val="00FB6410"/>
    <w:rsid w:val="00FB6E82"/>
    <w:rsid w:val="00FC0042"/>
    <w:rsid w:val="00FC2A13"/>
    <w:rsid w:val="00FC4284"/>
    <w:rsid w:val="00FC4576"/>
    <w:rsid w:val="00FC7DBC"/>
    <w:rsid w:val="00FD076A"/>
    <w:rsid w:val="00FD0AA0"/>
    <w:rsid w:val="00FD1D5A"/>
    <w:rsid w:val="00FD5059"/>
    <w:rsid w:val="00FD554D"/>
    <w:rsid w:val="00FE6469"/>
    <w:rsid w:val="00FF0FF7"/>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9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E45"/>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8275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BE6E-00E4-417A-938A-D9E59C2D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2011-02-23T15:10:00Z</cp:lastPrinted>
  <dcterms:created xsi:type="dcterms:W3CDTF">2012-03-06T20:53:00Z</dcterms:created>
  <dcterms:modified xsi:type="dcterms:W3CDTF">2012-03-06T20:53:00Z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