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42C9A" w:rsidRDefault="00540BEF" w:rsidP="00540BEF">
      <w:pPr>
        <w:tabs>
          <w:tab w:val="left" w:pos="288"/>
          <w:tab w:val="left" w:pos="4752"/>
        </w:tabs>
        <w:spacing w:line="240" w:lineRule="exact"/>
        <w:jc w:val="center"/>
        <w:rPr>
          <w:color w:val="auto"/>
        </w:rPr>
      </w:pPr>
      <w:r w:rsidRPr="00542C9A">
        <w:rPr>
          <w:color w:val="auto"/>
        </w:rPr>
        <w:t xml:space="preserve">RECORD OF PROCEEDINGS </w:t>
      </w:r>
    </w:p>
    <w:p w:rsidR="00540BEF" w:rsidRPr="00542C9A" w:rsidRDefault="00540BEF" w:rsidP="00540BEF">
      <w:pPr>
        <w:tabs>
          <w:tab w:val="left" w:pos="288"/>
          <w:tab w:val="left" w:pos="4752"/>
        </w:tabs>
        <w:spacing w:line="240" w:lineRule="exact"/>
        <w:jc w:val="center"/>
        <w:rPr>
          <w:color w:val="auto"/>
        </w:rPr>
      </w:pPr>
      <w:r w:rsidRPr="00542C9A">
        <w:rPr>
          <w:color w:val="auto"/>
        </w:rPr>
        <w:t>PHYSICAL DISABILITY BOARD OF REVIEW</w:t>
      </w:r>
    </w:p>
    <w:p w:rsidR="00540BEF" w:rsidRPr="00542C9A" w:rsidRDefault="00540BEF" w:rsidP="00540BEF">
      <w:pPr>
        <w:tabs>
          <w:tab w:val="left" w:pos="288"/>
          <w:tab w:val="left" w:pos="4752"/>
        </w:tabs>
        <w:spacing w:line="240" w:lineRule="exact"/>
        <w:jc w:val="both"/>
        <w:rPr>
          <w:color w:val="auto"/>
        </w:rPr>
      </w:pPr>
    </w:p>
    <w:p w:rsidR="00540BEF" w:rsidRPr="00542C9A" w:rsidRDefault="00540BEF" w:rsidP="00540BEF">
      <w:pPr>
        <w:tabs>
          <w:tab w:val="left" w:pos="288"/>
          <w:tab w:val="left" w:pos="4752"/>
        </w:tabs>
        <w:spacing w:line="240" w:lineRule="exact"/>
        <w:jc w:val="both"/>
        <w:rPr>
          <w:color w:val="auto"/>
        </w:rPr>
      </w:pPr>
      <w:r w:rsidRPr="00542C9A">
        <w:rPr>
          <w:color w:val="auto"/>
        </w:rPr>
        <w:t xml:space="preserve">NAME: </w:t>
      </w:r>
      <w:r w:rsidR="008E33ED">
        <w:rPr>
          <w:color w:val="auto"/>
        </w:rPr>
        <w:t>XXXXXXX</w:t>
      </w:r>
      <w:r w:rsidRPr="00542C9A">
        <w:rPr>
          <w:color w:val="auto"/>
        </w:rPr>
        <w:tab/>
      </w:r>
      <w:r w:rsidRPr="00542C9A">
        <w:rPr>
          <w:color w:val="auto"/>
        </w:rPr>
        <w:tab/>
        <w:t xml:space="preserve">BRANCH OF SERVICE: </w:t>
      </w:r>
      <w:r w:rsidR="00C113F4">
        <w:rPr>
          <w:color w:val="auto"/>
        </w:rPr>
        <w:t>NAVY</w:t>
      </w:r>
    </w:p>
    <w:p w:rsidR="004578BC" w:rsidRDefault="00540BEF" w:rsidP="00540BEF">
      <w:pPr>
        <w:tabs>
          <w:tab w:val="left" w:pos="288"/>
          <w:tab w:val="left" w:pos="4752"/>
        </w:tabs>
        <w:spacing w:line="240" w:lineRule="exact"/>
        <w:jc w:val="both"/>
        <w:rPr>
          <w:color w:val="auto"/>
        </w:rPr>
      </w:pPr>
      <w:r w:rsidRPr="00542C9A">
        <w:rPr>
          <w:color w:val="auto"/>
        </w:rPr>
        <w:t>CASE NUMBER:  PD0900</w:t>
      </w:r>
      <w:r w:rsidR="00C113F4">
        <w:rPr>
          <w:color w:val="auto"/>
        </w:rPr>
        <w:t>409</w:t>
      </w:r>
      <w:r w:rsidRPr="00542C9A">
        <w:rPr>
          <w:color w:val="auto"/>
        </w:rPr>
        <w:tab/>
      </w:r>
      <w:r w:rsidRPr="00542C9A">
        <w:rPr>
          <w:color w:val="auto"/>
        </w:rPr>
        <w:tab/>
      </w:r>
      <w:r w:rsidR="004578BC">
        <w:rPr>
          <w:color w:val="auto"/>
        </w:rPr>
        <w:t>B</w:t>
      </w:r>
      <w:r w:rsidRPr="00542C9A">
        <w:rPr>
          <w:color w:val="auto"/>
        </w:rPr>
        <w:t xml:space="preserve">OARD DATE: </w:t>
      </w:r>
      <w:r w:rsidR="000F02BE" w:rsidRPr="00542C9A">
        <w:rPr>
          <w:color w:val="auto"/>
        </w:rPr>
        <w:t>2010</w:t>
      </w:r>
      <w:r w:rsidR="00AF353E">
        <w:rPr>
          <w:color w:val="auto"/>
        </w:rPr>
        <w:t>0804</w:t>
      </w:r>
    </w:p>
    <w:p w:rsidR="00540BEF" w:rsidRDefault="00540BEF" w:rsidP="00540BEF">
      <w:pPr>
        <w:tabs>
          <w:tab w:val="left" w:pos="288"/>
          <w:tab w:val="left" w:pos="4752"/>
        </w:tabs>
        <w:spacing w:line="240" w:lineRule="exact"/>
        <w:jc w:val="both"/>
        <w:rPr>
          <w:color w:val="000080"/>
        </w:rPr>
      </w:pPr>
      <w:r w:rsidRPr="00542C9A">
        <w:rPr>
          <w:color w:val="auto"/>
        </w:rPr>
        <w:t xml:space="preserve">SEPARATION DATE: </w:t>
      </w:r>
      <w:r w:rsidR="00C113F4">
        <w:rPr>
          <w:color w:val="auto"/>
        </w:rPr>
        <w:t>20040808</w:t>
      </w:r>
    </w:p>
    <w:p w:rsidR="00540BEF" w:rsidRPr="00AF353E" w:rsidRDefault="00540BEF" w:rsidP="00AF353E">
      <w:pPr>
        <w:tabs>
          <w:tab w:val="left" w:pos="288"/>
          <w:tab w:val="left" w:pos="4752"/>
        </w:tabs>
        <w:spacing w:line="240" w:lineRule="exact"/>
        <w:jc w:val="both"/>
        <w:rPr>
          <w:color w:val="auto"/>
        </w:rPr>
      </w:pPr>
      <w:r w:rsidRPr="00AF353E">
        <w:rPr>
          <w:color w:val="auto"/>
          <w:u w:val="single"/>
        </w:rPr>
        <w:t>__________________________________________________________</w:t>
      </w:r>
      <w:r w:rsidR="004578BC">
        <w:rPr>
          <w:color w:val="auto"/>
          <w:u w:val="single"/>
        </w:rPr>
        <w:t>__</w:t>
      </w:r>
      <w:r w:rsidRPr="00AF353E">
        <w:rPr>
          <w:color w:val="auto"/>
          <w:u w:val="single"/>
        </w:rPr>
        <w:t>____</w:t>
      </w:r>
    </w:p>
    <w:p w:rsidR="00B522CD" w:rsidRPr="00AF353E" w:rsidRDefault="00B522CD" w:rsidP="00AF353E">
      <w:pPr>
        <w:tabs>
          <w:tab w:val="left" w:pos="288"/>
          <w:tab w:val="left" w:pos="4752"/>
        </w:tabs>
        <w:spacing w:line="240" w:lineRule="exact"/>
        <w:jc w:val="both"/>
        <w:rPr>
          <w:color w:val="auto"/>
        </w:rPr>
      </w:pPr>
    </w:p>
    <w:p w:rsidR="0061014A" w:rsidRPr="00AF353E" w:rsidRDefault="002C6E5B" w:rsidP="00AF353E">
      <w:pPr>
        <w:tabs>
          <w:tab w:val="left" w:pos="288"/>
          <w:tab w:val="left" w:pos="4752"/>
        </w:tabs>
        <w:spacing w:line="240" w:lineRule="exact"/>
        <w:jc w:val="both"/>
        <w:rPr>
          <w:color w:val="auto"/>
          <w:szCs w:val="24"/>
        </w:rPr>
      </w:pPr>
      <w:r w:rsidRPr="00AF353E">
        <w:rPr>
          <w:color w:val="auto"/>
          <w:u w:val="single"/>
        </w:rPr>
        <w:t>SUMMARY OF CASE</w:t>
      </w:r>
      <w:r w:rsidRPr="00AF353E">
        <w:rPr>
          <w:color w:val="auto"/>
        </w:rPr>
        <w:t xml:space="preserve">:  </w:t>
      </w:r>
      <w:r w:rsidRPr="00AF353E">
        <w:rPr>
          <w:color w:val="auto"/>
          <w:szCs w:val="24"/>
        </w:rPr>
        <w:t xml:space="preserve">This covered individual (CI) was </w:t>
      </w:r>
      <w:r w:rsidR="00E322F7" w:rsidRPr="00AF353E">
        <w:rPr>
          <w:color w:val="auto"/>
          <w:szCs w:val="24"/>
        </w:rPr>
        <w:t xml:space="preserve">an active duty </w:t>
      </w:r>
      <w:r w:rsidR="00C113F4" w:rsidRPr="00AF353E">
        <w:rPr>
          <w:color w:val="auto"/>
          <w:szCs w:val="24"/>
        </w:rPr>
        <w:t>E-5</w:t>
      </w:r>
      <w:r w:rsidR="00E322F7" w:rsidRPr="00AF353E">
        <w:rPr>
          <w:color w:val="auto"/>
          <w:szCs w:val="24"/>
        </w:rPr>
        <w:t xml:space="preserve"> (</w:t>
      </w:r>
      <w:r w:rsidR="00B031BC" w:rsidRPr="00AF353E">
        <w:rPr>
          <w:color w:val="auto"/>
          <w:szCs w:val="24"/>
        </w:rPr>
        <w:t>I</w:t>
      </w:r>
      <w:r w:rsidR="002A397F" w:rsidRPr="00AF353E">
        <w:rPr>
          <w:color w:val="auto"/>
          <w:szCs w:val="24"/>
        </w:rPr>
        <w:t>T2735/Information Systems Administrator</w:t>
      </w:r>
      <w:r w:rsidR="00E322F7" w:rsidRPr="00AF353E">
        <w:rPr>
          <w:color w:val="auto"/>
          <w:szCs w:val="24"/>
        </w:rPr>
        <w:t xml:space="preserve">) </w:t>
      </w:r>
      <w:r w:rsidRPr="00AF353E">
        <w:rPr>
          <w:color w:val="auto"/>
          <w:szCs w:val="24"/>
        </w:rPr>
        <w:t xml:space="preserve">medically separated from the </w:t>
      </w:r>
      <w:r w:rsidR="002A397F" w:rsidRPr="00AF353E">
        <w:rPr>
          <w:color w:val="auto"/>
          <w:szCs w:val="24"/>
        </w:rPr>
        <w:t>Navy</w:t>
      </w:r>
      <w:r w:rsidRPr="00AF353E">
        <w:rPr>
          <w:color w:val="auto"/>
          <w:szCs w:val="24"/>
        </w:rPr>
        <w:t xml:space="preserve"> in 200</w:t>
      </w:r>
      <w:r w:rsidR="002A397F" w:rsidRPr="00AF353E">
        <w:rPr>
          <w:color w:val="auto"/>
          <w:szCs w:val="24"/>
        </w:rPr>
        <w:t>4</w:t>
      </w:r>
      <w:r w:rsidRPr="00AF353E">
        <w:rPr>
          <w:color w:val="auto"/>
          <w:szCs w:val="24"/>
        </w:rPr>
        <w:t xml:space="preserve"> after </w:t>
      </w:r>
      <w:r w:rsidR="00AF353E">
        <w:rPr>
          <w:color w:val="auto"/>
          <w:szCs w:val="24"/>
        </w:rPr>
        <w:t>more than six</w:t>
      </w:r>
      <w:r w:rsidRPr="00AF353E">
        <w:rPr>
          <w:color w:val="auto"/>
          <w:szCs w:val="24"/>
        </w:rPr>
        <w:t xml:space="preserve"> years of service.  The medical basis for the separation was </w:t>
      </w:r>
      <w:r w:rsidR="002A397F" w:rsidRPr="00AF353E">
        <w:rPr>
          <w:color w:val="auto"/>
          <w:szCs w:val="24"/>
        </w:rPr>
        <w:t>mechanical low back pain with degenerative disk disease and sacroiliac dysfunct</w:t>
      </w:r>
      <w:r w:rsidR="00AB42F7" w:rsidRPr="00AF353E">
        <w:rPr>
          <w:color w:val="auto"/>
          <w:szCs w:val="24"/>
        </w:rPr>
        <w:t>ion</w:t>
      </w:r>
      <w:r w:rsidR="00AF353E" w:rsidRPr="00AF353E">
        <w:rPr>
          <w:color w:val="auto"/>
          <w:szCs w:val="24"/>
        </w:rPr>
        <w:t xml:space="preserve">. </w:t>
      </w:r>
      <w:r w:rsidR="004578BC">
        <w:rPr>
          <w:color w:val="auto"/>
          <w:szCs w:val="24"/>
        </w:rPr>
        <w:t xml:space="preserve"> </w:t>
      </w:r>
      <w:r w:rsidR="00AF353E" w:rsidRPr="00AF353E">
        <w:rPr>
          <w:color w:val="auto"/>
          <w:szCs w:val="24"/>
        </w:rPr>
        <w:t xml:space="preserve">Appropriate therapy failed to alleviate this condition and the CI was referred to the Physical Evaluation Board (PEB). </w:t>
      </w:r>
      <w:r w:rsidR="004578BC">
        <w:rPr>
          <w:color w:val="auto"/>
          <w:szCs w:val="24"/>
        </w:rPr>
        <w:t xml:space="preserve"> </w:t>
      </w:r>
      <w:r w:rsidR="00AF353E" w:rsidRPr="00AF353E">
        <w:rPr>
          <w:color w:val="auto"/>
          <w:szCs w:val="24"/>
        </w:rPr>
        <w:t>The P</w:t>
      </w:r>
      <w:r w:rsidR="003470ED">
        <w:rPr>
          <w:color w:val="auto"/>
          <w:szCs w:val="24"/>
        </w:rPr>
        <w:t>EB</w:t>
      </w:r>
      <w:r w:rsidR="00AF353E" w:rsidRPr="00AF353E">
        <w:rPr>
          <w:color w:val="auto"/>
          <w:szCs w:val="24"/>
        </w:rPr>
        <w:t xml:space="preserve"> determined he was unfit for </w:t>
      </w:r>
      <w:r w:rsidR="00233FCF">
        <w:rPr>
          <w:color w:val="auto"/>
          <w:szCs w:val="24"/>
        </w:rPr>
        <w:t xml:space="preserve">continued </w:t>
      </w:r>
      <w:proofErr w:type="gramStart"/>
      <w:r w:rsidR="00233FCF">
        <w:rPr>
          <w:color w:val="auto"/>
          <w:szCs w:val="24"/>
        </w:rPr>
        <w:t>Naval</w:t>
      </w:r>
      <w:proofErr w:type="gramEnd"/>
      <w:r w:rsidR="00233FCF">
        <w:rPr>
          <w:color w:val="auto"/>
          <w:szCs w:val="24"/>
        </w:rPr>
        <w:t xml:space="preserve"> service</w:t>
      </w:r>
      <w:r w:rsidR="00AF353E" w:rsidRPr="00AF353E">
        <w:rPr>
          <w:color w:val="auto"/>
          <w:szCs w:val="24"/>
        </w:rPr>
        <w:t xml:space="preserve"> and he was separated with a 10% disability rating using the Veterans Affairs Schedule for Ratings Disabilities (VASRD) and applicable Naval and Department of Defense regulations.</w:t>
      </w:r>
    </w:p>
    <w:p w:rsidR="004578BC" w:rsidRPr="00AF353E" w:rsidRDefault="004578BC" w:rsidP="004578BC">
      <w:pPr>
        <w:tabs>
          <w:tab w:val="left" w:pos="288"/>
          <w:tab w:val="left" w:pos="4752"/>
        </w:tabs>
        <w:spacing w:line="240" w:lineRule="exact"/>
        <w:jc w:val="both"/>
        <w:rPr>
          <w:color w:val="auto"/>
        </w:rPr>
      </w:pPr>
      <w:r w:rsidRPr="00AF353E">
        <w:rPr>
          <w:color w:val="auto"/>
          <w:u w:val="single"/>
        </w:rPr>
        <w:t>__________________________________________________________</w:t>
      </w:r>
      <w:r>
        <w:rPr>
          <w:color w:val="auto"/>
          <w:u w:val="single"/>
        </w:rPr>
        <w:t>__</w:t>
      </w:r>
      <w:r w:rsidRPr="00AF353E">
        <w:rPr>
          <w:color w:val="auto"/>
          <w:u w:val="single"/>
        </w:rPr>
        <w:t>____</w:t>
      </w:r>
    </w:p>
    <w:p w:rsidR="00923B25" w:rsidRPr="00AF353E" w:rsidRDefault="00923B25" w:rsidP="00AF353E">
      <w:pPr>
        <w:tabs>
          <w:tab w:val="left" w:pos="288"/>
          <w:tab w:val="left" w:pos="4752"/>
        </w:tabs>
        <w:spacing w:line="240" w:lineRule="exact"/>
        <w:jc w:val="both"/>
        <w:rPr>
          <w:color w:val="auto"/>
        </w:rPr>
      </w:pPr>
    </w:p>
    <w:p w:rsidR="00841243" w:rsidRPr="00AF353E" w:rsidRDefault="002C6E5B" w:rsidP="00AF353E">
      <w:pPr>
        <w:tabs>
          <w:tab w:val="left" w:pos="288"/>
          <w:tab w:val="left" w:pos="4752"/>
        </w:tabs>
        <w:spacing w:line="240" w:lineRule="exact"/>
        <w:jc w:val="both"/>
        <w:rPr>
          <w:color w:val="auto"/>
          <w:szCs w:val="24"/>
        </w:rPr>
      </w:pPr>
      <w:r w:rsidRPr="00AF353E">
        <w:rPr>
          <w:color w:val="auto"/>
          <w:u w:val="single"/>
        </w:rPr>
        <w:t>CI CONTENTION</w:t>
      </w:r>
      <w:r w:rsidRPr="00AF353E">
        <w:rPr>
          <w:color w:val="auto"/>
        </w:rPr>
        <w:t xml:space="preserve">:  </w:t>
      </w:r>
      <w:r w:rsidRPr="00AF353E">
        <w:rPr>
          <w:color w:val="auto"/>
          <w:szCs w:val="24"/>
        </w:rPr>
        <w:t>The CI states:</w:t>
      </w:r>
      <w:r w:rsidR="00C932C5" w:rsidRPr="00AF353E">
        <w:rPr>
          <w:color w:val="auto"/>
          <w:szCs w:val="24"/>
        </w:rPr>
        <w:t xml:space="preserve"> </w:t>
      </w:r>
      <w:r w:rsidR="00AF353E">
        <w:rPr>
          <w:color w:val="auto"/>
          <w:szCs w:val="24"/>
        </w:rPr>
        <w:t>‘</w:t>
      </w:r>
      <w:r w:rsidR="00B031BC" w:rsidRPr="00AF353E">
        <w:rPr>
          <w:color w:val="auto"/>
          <w:szCs w:val="24"/>
        </w:rPr>
        <w:t xml:space="preserve">The Navy only </w:t>
      </w:r>
      <w:r w:rsidR="00112935" w:rsidRPr="00AF353E">
        <w:rPr>
          <w:color w:val="auto"/>
          <w:szCs w:val="24"/>
        </w:rPr>
        <w:t>r</w:t>
      </w:r>
      <w:r w:rsidR="00B031BC" w:rsidRPr="00AF353E">
        <w:rPr>
          <w:color w:val="auto"/>
          <w:szCs w:val="24"/>
        </w:rPr>
        <w:t xml:space="preserve">ated me at 10%, where a few months later the VA rated me at 60%.  I do not see how this is possible.  The Navy told me it was a good deal because I was getting severance pay, and the VA would take care of medical needs.  They did not say I would have to pay every last cent </w:t>
      </w:r>
      <w:r w:rsidR="00112935" w:rsidRPr="00AF353E">
        <w:rPr>
          <w:color w:val="auto"/>
          <w:szCs w:val="24"/>
        </w:rPr>
        <w:t>of the severance pay back to the VA, lowering my benefits anymore.  I want an</w:t>
      </w:r>
      <w:r w:rsidR="00AF353E">
        <w:rPr>
          <w:color w:val="auto"/>
          <w:szCs w:val="24"/>
        </w:rPr>
        <w:t>d deserve military retirement!!’</w:t>
      </w:r>
    </w:p>
    <w:p w:rsidR="004578BC" w:rsidRPr="00AF353E" w:rsidRDefault="004578BC" w:rsidP="004578BC">
      <w:pPr>
        <w:tabs>
          <w:tab w:val="left" w:pos="288"/>
          <w:tab w:val="left" w:pos="4752"/>
        </w:tabs>
        <w:spacing w:line="240" w:lineRule="exact"/>
        <w:jc w:val="both"/>
        <w:rPr>
          <w:color w:val="auto"/>
        </w:rPr>
      </w:pPr>
      <w:r w:rsidRPr="00AF353E">
        <w:rPr>
          <w:color w:val="auto"/>
          <w:u w:val="single"/>
        </w:rPr>
        <w:t>__________________________________________________________</w:t>
      </w:r>
      <w:r>
        <w:rPr>
          <w:color w:val="auto"/>
          <w:u w:val="single"/>
        </w:rPr>
        <w:t>__</w:t>
      </w:r>
      <w:r w:rsidRPr="00AF353E">
        <w:rPr>
          <w:color w:val="auto"/>
          <w:u w:val="single"/>
        </w:rPr>
        <w:t>____</w:t>
      </w:r>
    </w:p>
    <w:p w:rsidR="001C181A" w:rsidRPr="00AF353E" w:rsidRDefault="001C181A" w:rsidP="00AF353E">
      <w:pPr>
        <w:tabs>
          <w:tab w:val="left" w:pos="288"/>
          <w:tab w:val="left" w:pos="4752"/>
        </w:tabs>
        <w:spacing w:line="240" w:lineRule="exact"/>
        <w:jc w:val="both"/>
        <w:rPr>
          <w:color w:val="auto"/>
        </w:rPr>
      </w:pPr>
    </w:p>
    <w:p w:rsidR="002338CA" w:rsidRPr="00AF353E" w:rsidRDefault="002C6E5B" w:rsidP="00AF353E">
      <w:pPr>
        <w:tabs>
          <w:tab w:val="left" w:pos="288"/>
          <w:tab w:val="left" w:pos="4752"/>
        </w:tabs>
        <w:spacing w:line="240" w:lineRule="exact"/>
        <w:jc w:val="both"/>
        <w:rPr>
          <w:color w:val="auto"/>
        </w:rPr>
      </w:pPr>
      <w:r w:rsidRPr="00AF353E">
        <w:rPr>
          <w:color w:val="auto"/>
          <w:u w:val="single"/>
        </w:rPr>
        <w:t>RATING COMPARISON</w:t>
      </w:r>
      <w:r w:rsidRPr="00AF353E">
        <w:rPr>
          <w:color w:val="auto"/>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250"/>
        <w:gridCol w:w="720"/>
        <w:gridCol w:w="810"/>
        <w:gridCol w:w="2700"/>
        <w:gridCol w:w="810"/>
        <w:gridCol w:w="810"/>
        <w:gridCol w:w="1170"/>
      </w:tblGrid>
      <w:tr w:rsidR="00684E2B" w:rsidRPr="002A685E" w:rsidTr="00AF353E">
        <w:trPr>
          <w:trHeight w:val="233"/>
        </w:trPr>
        <w:tc>
          <w:tcPr>
            <w:tcW w:w="3780" w:type="dxa"/>
            <w:gridSpan w:val="3"/>
            <w:tcBorders>
              <w:right w:val="thinThickThinSmallGap" w:sz="24" w:space="0" w:color="auto"/>
            </w:tcBorders>
            <w:shd w:val="clear" w:color="auto" w:fill="C6D9F1" w:themeFill="text2" w:themeFillTint="33"/>
          </w:tcPr>
          <w:p w:rsidR="00684E2B" w:rsidRPr="00AF353E" w:rsidRDefault="00684E2B" w:rsidP="00112935">
            <w:pPr>
              <w:pStyle w:val="ListParagraph"/>
              <w:spacing w:after="0" w:line="240" w:lineRule="auto"/>
              <w:ind w:left="0"/>
              <w:jc w:val="center"/>
              <w:rPr>
                <w:rFonts w:cs="Times New Roman"/>
                <w:b/>
                <w:szCs w:val="20"/>
              </w:rPr>
            </w:pPr>
            <w:r w:rsidRPr="00AF353E">
              <w:rPr>
                <w:rFonts w:cs="Times New Roman"/>
                <w:b/>
                <w:szCs w:val="20"/>
              </w:rPr>
              <w:t>Service PEB</w:t>
            </w:r>
            <w:r w:rsidR="002B2645" w:rsidRPr="00AF353E">
              <w:rPr>
                <w:rFonts w:cs="Times New Roman"/>
                <w:b/>
                <w:szCs w:val="20"/>
              </w:rPr>
              <w:t xml:space="preserve"> – Dated </w:t>
            </w:r>
            <w:r w:rsidR="00112935" w:rsidRPr="00AF353E">
              <w:rPr>
                <w:rFonts w:cs="Times New Roman"/>
                <w:b/>
                <w:szCs w:val="20"/>
              </w:rPr>
              <w:t>20040414</w:t>
            </w:r>
          </w:p>
        </w:tc>
        <w:tc>
          <w:tcPr>
            <w:tcW w:w="5490" w:type="dxa"/>
            <w:gridSpan w:val="4"/>
            <w:tcBorders>
              <w:left w:val="thinThickThinSmallGap" w:sz="24" w:space="0" w:color="auto"/>
            </w:tcBorders>
            <w:shd w:val="clear" w:color="auto" w:fill="C6D9F1" w:themeFill="text2" w:themeFillTint="33"/>
          </w:tcPr>
          <w:p w:rsidR="00684E2B" w:rsidRPr="00AF353E" w:rsidRDefault="00684E2B" w:rsidP="003E0782">
            <w:pPr>
              <w:pStyle w:val="ListParagraph"/>
              <w:spacing w:after="0" w:line="240" w:lineRule="auto"/>
              <w:ind w:left="0"/>
              <w:jc w:val="center"/>
              <w:rPr>
                <w:rFonts w:cs="Times New Roman"/>
                <w:b/>
                <w:szCs w:val="20"/>
              </w:rPr>
            </w:pPr>
            <w:r w:rsidRPr="00AF353E">
              <w:rPr>
                <w:rFonts w:cs="Times New Roman"/>
                <w:b/>
                <w:szCs w:val="20"/>
              </w:rPr>
              <w:t>VA (</w:t>
            </w:r>
            <w:r w:rsidR="00270981" w:rsidRPr="00AF353E">
              <w:rPr>
                <w:rFonts w:cs="Times New Roman"/>
                <w:b/>
                <w:szCs w:val="20"/>
              </w:rPr>
              <w:t>1</w:t>
            </w:r>
            <w:r w:rsidR="003E0782">
              <w:rPr>
                <w:rFonts w:cs="Times New Roman"/>
                <w:b/>
                <w:szCs w:val="20"/>
              </w:rPr>
              <w:t xml:space="preserve"> Month</w:t>
            </w:r>
            <w:r w:rsidRPr="00AF353E">
              <w:rPr>
                <w:rFonts w:cs="Times New Roman"/>
                <w:b/>
                <w:szCs w:val="20"/>
              </w:rPr>
              <w:t xml:space="preserve"> </w:t>
            </w:r>
            <w:r w:rsidR="003E0782">
              <w:rPr>
                <w:rFonts w:cs="Times New Roman"/>
                <w:b/>
                <w:szCs w:val="20"/>
              </w:rPr>
              <w:t>P</w:t>
            </w:r>
            <w:r w:rsidR="00270981" w:rsidRPr="00AF353E">
              <w:rPr>
                <w:rFonts w:cs="Times New Roman"/>
                <w:b/>
                <w:szCs w:val="20"/>
              </w:rPr>
              <w:t>rior</w:t>
            </w:r>
            <w:r w:rsidRPr="00AF353E">
              <w:rPr>
                <w:rFonts w:cs="Times New Roman"/>
                <w:b/>
                <w:szCs w:val="20"/>
              </w:rPr>
              <w:t xml:space="preserve"> </w:t>
            </w:r>
            <w:r w:rsidR="003E0782">
              <w:rPr>
                <w:rFonts w:cs="Times New Roman"/>
                <w:b/>
                <w:szCs w:val="20"/>
              </w:rPr>
              <w:t xml:space="preserve">to </w:t>
            </w:r>
            <w:r w:rsidRPr="00AF353E">
              <w:rPr>
                <w:rFonts w:cs="Times New Roman"/>
                <w:b/>
                <w:szCs w:val="20"/>
              </w:rPr>
              <w:t>Separation)</w:t>
            </w:r>
            <w:r w:rsidR="000C3C13" w:rsidRPr="00AF353E">
              <w:rPr>
                <w:rFonts w:cs="Times New Roman"/>
                <w:b/>
                <w:szCs w:val="20"/>
              </w:rPr>
              <w:t xml:space="preserve"> – All Effective </w:t>
            </w:r>
            <w:r w:rsidR="00270981" w:rsidRPr="00AF353E">
              <w:rPr>
                <w:rFonts w:cs="Times New Roman"/>
                <w:b/>
                <w:szCs w:val="20"/>
              </w:rPr>
              <w:t>20040809</w:t>
            </w:r>
          </w:p>
        </w:tc>
      </w:tr>
      <w:tr w:rsidR="002B2645" w:rsidRPr="002A685E" w:rsidTr="00AF353E">
        <w:trPr>
          <w:trHeight w:val="233"/>
        </w:trPr>
        <w:tc>
          <w:tcPr>
            <w:tcW w:w="2250" w:type="dxa"/>
            <w:tcBorders>
              <w:bottom w:val="single" w:sz="4" w:space="0" w:color="000000" w:themeColor="text1"/>
            </w:tcBorders>
            <w:shd w:val="clear" w:color="auto" w:fill="C6D9F1" w:themeFill="text2" w:themeFillTint="33"/>
          </w:tcPr>
          <w:p w:rsidR="002B2645" w:rsidRPr="00AF353E" w:rsidRDefault="002B2645" w:rsidP="00AE6115">
            <w:pPr>
              <w:pStyle w:val="ListParagraph"/>
              <w:spacing w:after="0" w:line="240" w:lineRule="auto"/>
              <w:ind w:left="0"/>
              <w:jc w:val="center"/>
              <w:rPr>
                <w:rFonts w:cs="Times New Roman"/>
                <w:b/>
                <w:szCs w:val="20"/>
              </w:rPr>
            </w:pPr>
            <w:r w:rsidRPr="00AF353E">
              <w:rPr>
                <w:rFonts w:cs="Times New Roman"/>
                <w:b/>
                <w:szCs w:val="20"/>
              </w:rPr>
              <w:t>Condition</w:t>
            </w:r>
          </w:p>
        </w:tc>
        <w:tc>
          <w:tcPr>
            <w:tcW w:w="720" w:type="dxa"/>
            <w:tcBorders>
              <w:bottom w:val="single" w:sz="4" w:space="0" w:color="000000" w:themeColor="text1"/>
            </w:tcBorders>
            <w:shd w:val="clear" w:color="auto" w:fill="C6D9F1" w:themeFill="text2" w:themeFillTint="33"/>
          </w:tcPr>
          <w:p w:rsidR="002B2645" w:rsidRPr="00AF353E" w:rsidRDefault="002B2645" w:rsidP="00AE6115">
            <w:pPr>
              <w:pStyle w:val="ListParagraph"/>
              <w:spacing w:after="0" w:line="240" w:lineRule="auto"/>
              <w:ind w:left="0"/>
              <w:jc w:val="center"/>
              <w:rPr>
                <w:rFonts w:cs="Times New Roman"/>
                <w:b/>
                <w:szCs w:val="20"/>
              </w:rPr>
            </w:pPr>
            <w:r w:rsidRPr="00AF353E">
              <w:rPr>
                <w:rFonts w:cs="Times New Roman"/>
                <w:b/>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AF353E" w:rsidRDefault="002B2645" w:rsidP="00AE6115">
            <w:pPr>
              <w:pStyle w:val="ListParagraph"/>
              <w:spacing w:after="0" w:line="240" w:lineRule="auto"/>
              <w:ind w:left="0"/>
              <w:jc w:val="center"/>
              <w:rPr>
                <w:rFonts w:cs="Times New Roman"/>
                <w:b/>
                <w:szCs w:val="20"/>
              </w:rPr>
            </w:pPr>
            <w:r w:rsidRPr="00AF353E">
              <w:rPr>
                <w:rFonts w:cs="Times New Roman"/>
                <w:b/>
                <w:szCs w:val="20"/>
              </w:rPr>
              <w:t>Rating</w:t>
            </w:r>
          </w:p>
        </w:tc>
        <w:tc>
          <w:tcPr>
            <w:tcW w:w="2700" w:type="dxa"/>
            <w:tcBorders>
              <w:left w:val="thinThickThinSmallGap" w:sz="24" w:space="0" w:color="auto"/>
              <w:bottom w:val="single" w:sz="4" w:space="0" w:color="000000" w:themeColor="text1"/>
            </w:tcBorders>
            <w:shd w:val="clear" w:color="auto" w:fill="C6D9F1" w:themeFill="text2" w:themeFillTint="33"/>
          </w:tcPr>
          <w:p w:rsidR="002B2645" w:rsidRPr="00AF353E" w:rsidRDefault="002B2645" w:rsidP="00AE6115">
            <w:pPr>
              <w:pStyle w:val="ListParagraph"/>
              <w:spacing w:after="0" w:line="240" w:lineRule="auto"/>
              <w:ind w:left="0"/>
              <w:jc w:val="center"/>
              <w:rPr>
                <w:rFonts w:cs="Times New Roman"/>
                <w:b/>
                <w:szCs w:val="20"/>
              </w:rPr>
            </w:pPr>
            <w:r w:rsidRPr="00AF353E">
              <w:rPr>
                <w:rFonts w:cs="Times New Roman"/>
                <w:b/>
                <w:szCs w:val="20"/>
              </w:rPr>
              <w:t>Condition</w:t>
            </w:r>
          </w:p>
        </w:tc>
        <w:tc>
          <w:tcPr>
            <w:tcW w:w="810" w:type="dxa"/>
            <w:tcBorders>
              <w:bottom w:val="single" w:sz="4" w:space="0" w:color="000000" w:themeColor="text1"/>
            </w:tcBorders>
            <w:shd w:val="clear" w:color="auto" w:fill="C6D9F1" w:themeFill="text2" w:themeFillTint="33"/>
          </w:tcPr>
          <w:p w:rsidR="002B2645" w:rsidRPr="00AF353E" w:rsidRDefault="002B2645" w:rsidP="00AE6115">
            <w:pPr>
              <w:pStyle w:val="ListParagraph"/>
              <w:spacing w:after="0" w:line="240" w:lineRule="auto"/>
              <w:ind w:left="0"/>
              <w:jc w:val="center"/>
              <w:rPr>
                <w:rFonts w:cs="Times New Roman"/>
                <w:b/>
                <w:szCs w:val="20"/>
              </w:rPr>
            </w:pPr>
            <w:r w:rsidRPr="00AF353E">
              <w:rPr>
                <w:rFonts w:cs="Times New Roman"/>
                <w:b/>
                <w:szCs w:val="20"/>
              </w:rPr>
              <w:t>Code</w:t>
            </w:r>
          </w:p>
        </w:tc>
        <w:tc>
          <w:tcPr>
            <w:tcW w:w="810" w:type="dxa"/>
            <w:tcBorders>
              <w:bottom w:val="single" w:sz="4" w:space="0" w:color="000000" w:themeColor="text1"/>
            </w:tcBorders>
            <w:shd w:val="clear" w:color="auto" w:fill="C6D9F1" w:themeFill="text2" w:themeFillTint="33"/>
          </w:tcPr>
          <w:p w:rsidR="002B2645" w:rsidRPr="00AF353E" w:rsidRDefault="002B2645" w:rsidP="00AE6115">
            <w:pPr>
              <w:pStyle w:val="ListParagraph"/>
              <w:spacing w:after="0" w:line="240" w:lineRule="auto"/>
              <w:ind w:left="0"/>
              <w:jc w:val="center"/>
              <w:rPr>
                <w:rFonts w:cs="Times New Roman"/>
                <w:b/>
                <w:szCs w:val="20"/>
              </w:rPr>
            </w:pPr>
            <w:r w:rsidRPr="00AF353E">
              <w:rPr>
                <w:rFonts w:cs="Times New Roman"/>
                <w:b/>
                <w:szCs w:val="20"/>
              </w:rPr>
              <w:t>Rating</w:t>
            </w:r>
          </w:p>
        </w:tc>
        <w:tc>
          <w:tcPr>
            <w:tcW w:w="1170" w:type="dxa"/>
            <w:tcBorders>
              <w:bottom w:val="single" w:sz="4" w:space="0" w:color="000000" w:themeColor="text1"/>
            </w:tcBorders>
            <w:shd w:val="clear" w:color="auto" w:fill="C6D9F1" w:themeFill="text2" w:themeFillTint="33"/>
          </w:tcPr>
          <w:p w:rsidR="002B2645" w:rsidRPr="00AF353E" w:rsidRDefault="002B2645" w:rsidP="00AE6115">
            <w:pPr>
              <w:pStyle w:val="ListParagraph"/>
              <w:spacing w:after="0" w:line="240" w:lineRule="auto"/>
              <w:ind w:left="0"/>
              <w:jc w:val="center"/>
              <w:rPr>
                <w:rFonts w:cs="Times New Roman"/>
                <w:b/>
                <w:szCs w:val="20"/>
              </w:rPr>
            </w:pPr>
            <w:r w:rsidRPr="00AF353E">
              <w:rPr>
                <w:rFonts w:cs="Times New Roman"/>
                <w:b/>
                <w:szCs w:val="20"/>
              </w:rPr>
              <w:t>Exam</w:t>
            </w:r>
          </w:p>
        </w:tc>
      </w:tr>
      <w:tr w:rsidR="002B2645" w:rsidRPr="002A685E" w:rsidTr="00AF353E">
        <w:trPr>
          <w:trHeight w:val="152"/>
        </w:trPr>
        <w:tc>
          <w:tcPr>
            <w:tcW w:w="2250" w:type="dxa"/>
            <w:shd w:val="clear" w:color="auto" w:fill="FFFFFF" w:themeFill="background1"/>
          </w:tcPr>
          <w:p w:rsidR="002B2645" w:rsidRPr="00AF353E" w:rsidRDefault="00112935" w:rsidP="00AE6115">
            <w:pPr>
              <w:pStyle w:val="ListParagraph"/>
              <w:spacing w:after="0" w:line="240" w:lineRule="auto"/>
              <w:ind w:left="0"/>
              <w:rPr>
                <w:rFonts w:cs="Times New Roman"/>
                <w:szCs w:val="18"/>
              </w:rPr>
            </w:pPr>
            <w:r w:rsidRPr="00AF353E">
              <w:rPr>
                <w:rFonts w:cs="Times New Roman"/>
                <w:szCs w:val="18"/>
              </w:rPr>
              <w:t>Mechanical Low Back Pain with Degenerative Disk Disease and Sacroiliac Dysfunction</w:t>
            </w:r>
          </w:p>
        </w:tc>
        <w:tc>
          <w:tcPr>
            <w:tcW w:w="720" w:type="dxa"/>
            <w:shd w:val="clear" w:color="auto" w:fill="FFFFFF" w:themeFill="background1"/>
          </w:tcPr>
          <w:p w:rsidR="002B2645" w:rsidRPr="00AF353E" w:rsidRDefault="00112935" w:rsidP="00AE6115">
            <w:pPr>
              <w:pStyle w:val="ListParagraph"/>
              <w:spacing w:after="0" w:line="240" w:lineRule="auto"/>
              <w:ind w:left="0"/>
              <w:jc w:val="center"/>
              <w:rPr>
                <w:rFonts w:cs="Times New Roman"/>
                <w:szCs w:val="18"/>
              </w:rPr>
            </w:pPr>
            <w:r w:rsidRPr="00AF353E">
              <w:rPr>
                <w:rFonts w:cs="Times New Roman"/>
                <w:szCs w:val="18"/>
              </w:rPr>
              <w:t>5243</w:t>
            </w:r>
          </w:p>
        </w:tc>
        <w:tc>
          <w:tcPr>
            <w:tcW w:w="810" w:type="dxa"/>
            <w:tcBorders>
              <w:right w:val="thinThickThinSmallGap" w:sz="24" w:space="0" w:color="auto"/>
            </w:tcBorders>
            <w:shd w:val="clear" w:color="auto" w:fill="FFFFFF" w:themeFill="background1"/>
          </w:tcPr>
          <w:p w:rsidR="002B2645" w:rsidRPr="00AF353E" w:rsidRDefault="00112935" w:rsidP="00AE6115">
            <w:pPr>
              <w:pStyle w:val="ListParagraph"/>
              <w:spacing w:after="0" w:line="240" w:lineRule="auto"/>
              <w:ind w:left="0"/>
              <w:jc w:val="center"/>
              <w:rPr>
                <w:rFonts w:cs="Times New Roman"/>
                <w:szCs w:val="18"/>
              </w:rPr>
            </w:pPr>
            <w:r w:rsidRPr="00AF353E">
              <w:rPr>
                <w:rFonts w:cs="Times New Roman"/>
                <w:szCs w:val="18"/>
              </w:rPr>
              <w:t>10%</w:t>
            </w:r>
          </w:p>
        </w:tc>
        <w:tc>
          <w:tcPr>
            <w:tcW w:w="2700" w:type="dxa"/>
            <w:tcBorders>
              <w:left w:val="thinThickThinSmallGap" w:sz="24" w:space="0" w:color="auto"/>
            </w:tcBorders>
            <w:shd w:val="clear" w:color="auto" w:fill="FFFFFF" w:themeFill="background1"/>
          </w:tcPr>
          <w:p w:rsidR="002B2645" w:rsidRPr="00AF353E" w:rsidRDefault="00270981" w:rsidP="00AE6115">
            <w:pPr>
              <w:pStyle w:val="ListParagraph"/>
              <w:spacing w:after="0" w:line="240" w:lineRule="auto"/>
              <w:ind w:left="0"/>
              <w:rPr>
                <w:rFonts w:cs="Times New Roman"/>
                <w:szCs w:val="18"/>
              </w:rPr>
            </w:pPr>
            <w:r w:rsidRPr="00AF353E">
              <w:rPr>
                <w:rFonts w:cs="Times New Roman"/>
                <w:szCs w:val="18"/>
              </w:rPr>
              <w:t>Degenerative Disk Disease with Intervertebral Disk Syndrome and Degenerative Changes at L3-4, L4-5 and S1</w:t>
            </w:r>
          </w:p>
        </w:tc>
        <w:tc>
          <w:tcPr>
            <w:tcW w:w="810" w:type="dxa"/>
            <w:shd w:val="clear" w:color="auto" w:fill="FFFFFF" w:themeFill="background1"/>
          </w:tcPr>
          <w:p w:rsidR="002B2645" w:rsidRPr="00AF353E" w:rsidRDefault="00270981" w:rsidP="00AE6115">
            <w:pPr>
              <w:pStyle w:val="ListParagraph"/>
              <w:spacing w:after="0" w:line="240" w:lineRule="auto"/>
              <w:ind w:left="0"/>
              <w:jc w:val="center"/>
              <w:rPr>
                <w:rFonts w:cs="Times New Roman"/>
                <w:szCs w:val="18"/>
              </w:rPr>
            </w:pPr>
            <w:r w:rsidRPr="00AF353E">
              <w:rPr>
                <w:rFonts w:cs="Times New Roman"/>
                <w:szCs w:val="18"/>
              </w:rPr>
              <w:t>5243</w:t>
            </w:r>
          </w:p>
        </w:tc>
        <w:tc>
          <w:tcPr>
            <w:tcW w:w="810" w:type="dxa"/>
            <w:shd w:val="clear" w:color="auto" w:fill="FFFFFF" w:themeFill="background1"/>
          </w:tcPr>
          <w:p w:rsidR="002B2645" w:rsidRPr="00AF353E" w:rsidRDefault="00270981" w:rsidP="00AE6115">
            <w:pPr>
              <w:pStyle w:val="ListParagraph"/>
              <w:spacing w:after="0" w:line="240" w:lineRule="auto"/>
              <w:ind w:left="0"/>
              <w:jc w:val="center"/>
              <w:rPr>
                <w:rFonts w:cs="Times New Roman"/>
                <w:szCs w:val="18"/>
              </w:rPr>
            </w:pPr>
            <w:r w:rsidRPr="00AF353E">
              <w:rPr>
                <w:rFonts w:cs="Times New Roman"/>
                <w:szCs w:val="18"/>
              </w:rPr>
              <w:t>20%</w:t>
            </w:r>
          </w:p>
        </w:tc>
        <w:tc>
          <w:tcPr>
            <w:tcW w:w="1170" w:type="dxa"/>
            <w:shd w:val="clear" w:color="auto" w:fill="FFFFFF" w:themeFill="background1"/>
          </w:tcPr>
          <w:p w:rsidR="002B2645" w:rsidRPr="00AF353E" w:rsidRDefault="00270981" w:rsidP="00AE6115">
            <w:pPr>
              <w:pStyle w:val="ListParagraph"/>
              <w:spacing w:after="0" w:line="240" w:lineRule="auto"/>
              <w:ind w:left="0"/>
              <w:jc w:val="center"/>
              <w:rPr>
                <w:rFonts w:cs="Times New Roman"/>
                <w:szCs w:val="18"/>
              </w:rPr>
            </w:pPr>
            <w:r w:rsidRPr="00AF353E">
              <w:rPr>
                <w:rFonts w:cs="Times New Roman"/>
                <w:szCs w:val="18"/>
              </w:rPr>
              <w:t>20040719</w:t>
            </w:r>
          </w:p>
        </w:tc>
      </w:tr>
      <w:tr w:rsidR="00AB42F7" w:rsidRPr="002A685E" w:rsidTr="00AF353E">
        <w:trPr>
          <w:trHeight w:val="125"/>
        </w:trPr>
        <w:tc>
          <w:tcPr>
            <w:tcW w:w="2250" w:type="dxa"/>
            <w:shd w:val="clear" w:color="auto" w:fill="FFFFFF" w:themeFill="background1"/>
          </w:tcPr>
          <w:p w:rsidR="00AB42F7" w:rsidRPr="00AF353E" w:rsidRDefault="00AB42F7" w:rsidP="00AE6115">
            <w:pPr>
              <w:pStyle w:val="ListParagraph"/>
              <w:spacing w:after="0" w:line="240" w:lineRule="auto"/>
              <w:ind w:left="0"/>
              <w:rPr>
                <w:rFonts w:cs="Times New Roman"/>
                <w:szCs w:val="18"/>
              </w:rPr>
            </w:pPr>
            <w:r w:rsidRPr="00AF353E">
              <w:rPr>
                <w:rFonts w:cs="Times New Roman"/>
                <w:szCs w:val="18"/>
              </w:rPr>
              <w:t>Migraine without Aura</w:t>
            </w:r>
          </w:p>
        </w:tc>
        <w:tc>
          <w:tcPr>
            <w:tcW w:w="1530" w:type="dxa"/>
            <w:gridSpan w:val="2"/>
            <w:tcBorders>
              <w:right w:val="thinThickThinSmallGap" w:sz="24" w:space="0" w:color="auto"/>
            </w:tcBorders>
            <w:shd w:val="clear" w:color="auto" w:fill="FFFFFF" w:themeFill="background1"/>
          </w:tcPr>
          <w:p w:rsidR="00AB42F7" w:rsidRPr="00AF353E" w:rsidRDefault="00AB42F7" w:rsidP="00AE6115">
            <w:pPr>
              <w:pStyle w:val="ListParagraph"/>
              <w:spacing w:after="0" w:line="240" w:lineRule="auto"/>
              <w:ind w:left="0"/>
              <w:jc w:val="center"/>
              <w:rPr>
                <w:rFonts w:cs="Times New Roman"/>
                <w:szCs w:val="18"/>
              </w:rPr>
            </w:pPr>
            <w:r w:rsidRPr="00AF353E">
              <w:rPr>
                <w:rFonts w:cs="Times New Roman"/>
                <w:szCs w:val="18"/>
              </w:rPr>
              <w:t>CAT III</w:t>
            </w:r>
          </w:p>
        </w:tc>
        <w:tc>
          <w:tcPr>
            <w:tcW w:w="2700" w:type="dxa"/>
            <w:tcBorders>
              <w:left w:val="thinThickThinSmallGap" w:sz="24" w:space="0" w:color="auto"/>
            </w:tcBorders>
            <w:shd w:val="clear" w:color="auto" w:fill="FFFFFF" w:themeFill="background1"/>
          </w:tcPr>
          <w:p w:rsidR="00AB42F7" w:rsidRPr="00AF353E" w:rsidRDefault="00AB42F7" w:rsidP="00AE6115">
            <w:pPr>
              <w:pStyle w:val="ListParagraph"/>
              <w:spacing w:after="0" w:line="240" w:lineRule="auto"/>
              <w:ind w:left="0"/>
              <w:rPr>
                <w:rFonts w:cs="Times New Roman"/>
                <w:szCs w:val="18"/>
              </w:rPr>
            </w:pPr>
            <w:r w:rsidRPr="00AF353E">
              <w:rPr>
                <w:rFonts w:cs="Times New Roman"/>
                <w:szCs w:val="18"/>
              </w:rPr>
              <w:t>Migraine Headaches</w:t>
            </w:r>
          </w:p>
        </w:tc>
        <w:tc>
          <w:tcPr>
            <w:tcW w:w="810" w:type="dxa"/>
            <w:shd w:val="clear" w:color="auto" w:fill="FFFFFF" w:themeFill="background1"/>
          </w:tcPr>
          <w:p w:rsidR="00AB42F7" w:rsidRPr="00AF353E" w:rsidRDefault="00AB42F7" w:rsidP="00AE6115">
            <w:pPr>
              <w:pStyle w:val="ListParagraph"/>
              <w:spacing w:after="0" w:line="240" w:lineRule="auto"/>
              <w:ind w:left="0"/>
              <w:jc w:val="center"/>
              <w:rPr>
                <w:rFonts w:cs="Times New Roman"/>
                <w:szCs w:val="18"/>
              </w:rPr>
            </w:pPr>
            <w:r w:rsidRPr="00AF353E">
              <w:rPr>
                <w:rFonts w:cs="Times New Roman"/>
                <w:szCs w:val="18"/>
              </w:rPr>
              <w:t>8100</w:t>
            </w:r>
          </w:p>
        </w:tc>
        <w:tc>
          <w:tcPr>
            <w:tcW w:w="810" w:type="dxa"/>
            <w:shd w:val="clear" w:color="auto" w:fill="FFFFFF" w:themeFill="background1"/>
          </w:tcPr>
          <w:p w:rsidR="00AB42F7" w:rsidRPr="00AF353E" w:rsidRDefault="00AB42F7" w:rsidP="00AE6115">
            <w:pPr>
              <w:pStyle w:val="ListParagraph"/>
              <w:spacing w:after="0" w:line="240" w:lineRule="auto"/>
              <w:ind w:left="0"/>
              <w:jc w:val="center"/>
              <w:rPr>
                <w:rFonts w:cs="Times New Roman"/>
                <w:szCs w:val="18"/>
              </w:rPr>
            </w:pPr>
            <w:r w:rsidRPr="00AF353E">
              <w:rPr>
                <w:rFonts w:cs="Times New Roman"/>
                <w:szCs w:val="18"/>
              </w:rPr>
              <w:t>30%</w:t>
            </w:r>
          </w:p>
        </w:tc>
        <w:tc>
          <w:tcPr>
            <w:tcW w:w="1170" w:type="dxa"/>
            <w:shd w:val="clear" w:color="auto" w:fill="FFFFFF" w:themeFill="background1"/>
          </w:tcPr>
          <w:p w:rsidR="00AB42F7" w:rsidRPr="00AF353E" w:rsidRDefault="00AB42F7" w:rsidP="00AE6115">
            <w:pPr>
              <w:pStyle w:val="ListParagraph"/>
              <w:spacing w:after="0" w:line="240" w:lineRule="auto"/>
              <w:ind w:left="0"/>
              <w:jc w:val="center"/>
              <w:rPr>
                <w:rFonts w:cs="Times New Roman"/>
                <w:szCs w:val="18"/>
              </w:rPr>
            </w:pPr>
            <w:r w:rsidRPr="00AF353E">
              <w:rPr>
                <w:rFonts w:cs="Times New Roman"/>
                <w:szCs w:val="18"/>
              </w:rPr>
              <w:t>20040719</w:t>
            </w:r>
          </w:p>
        </w:tc>
      </w:tr>
      <w:tr w:rsidR="00AB42F7" w:rsidRPr="002A685E" w:rsidTr="00AF353E">
        <w:trPr>
          <w:trHeight w:val="125"/>
        </w:trPr>
        <w:tc>
          <w:tcPr>
            <w:tcW w:w="2250" w:type="dxa"/>
            <w:shd w:val="clear" w:color="auto" w:fill="FFFFFF" w:themeFill="background1"/>
          </w:tcPr>
          <w:p w:rsidR="00AB42F7" w:rsidRPr="00AF353E" w:rsidRDefault="00AB42F7" w:rsidP="00AE6115">
            <w:pPr>
              <w:pStyle w:val="ListParagraph"/>
              <w:spacing w:after="0" w:line="240" w:lineRule="auto"/>
              <w:ind w:left="0"/>
              <w:rPr>
                <w:rFonts w:cs="Times New Roman"/>
                <w:szCs w:val="18"/>
              </w:rPr>
            </w:pPr>
          </w:p>
        </w:tc>
        <w:tc>
          <w:tcPr>
            <w:tcW w:w="1530" w:type="dxa"/>
            <w:gridSpan w:val="2"/>
            <w:tcBorders>
              <w:right w:val="thinThickThinSmallGap" w:sz="24" w:space="0" w:color="auto"/>
            </w:tcBorders>
            <w:shd w:val="clear" w:color="auto" w:fill="FFFFFF" w:themeFill="background1"/>
          </w:tcPr>
          <w:p w:rsidR="00AB42F7" w:rsidRPr="00AF353E" w:rsidRDefault="009168D4" w:rsidP="00AE6115">
            <w:pPr>
              <w:pStyle w:val="ListParagraph"/>
              <w:spacing w:after="0" w:line="240" w:lineRule="auto"/>
              <w:ind w:left="0"/>
              <w:jc w:val="center"/>
              <w:rPr>
                <w:rFonts w:cs="Times New Roman"/>
                <w:szCs w:val="18"/>
              </w:rPr>
            </w:pPr>
            <w:r>
              <w:rPr>
                <w:rFonts w:cs="Times New Roman"/>
                <w:szCs w:val="18"/>
              </w:rPr>
              <w:t>Not in DES</w:t>
            </w:r>
          </w:p>
        </w:tc>
        <w:tc>
          <w:tcPr>
            <w:tcW w:w="2700" w:type="dxa"/>
            <w:tcBorders>
              <w:left w:val="thinThickThinSmallGap" w:sz="24" w:space="0" w:color="auto"/>
            </w:tcBorders>
            <w:shd w:val="clear" w:color="auto" w:fill="FFFFFF" w:themeFill="background1"/>
          </w:tcPr>
          <w:p w:rsidR="00AB42F7" w:rsidRPr="00AF353E" w:rsidRDefault="00AB42F7" w:rsidP="00AE6115">
            <w:pPr>
              <w:pStyle w:val="ListParagraph"/>
              <w:spacing w:after="0" w:line="240" w:lineRule="auto"/>
              <w:ind w:left="0"/>
              <w:rPr>
                <w:rFonts w:cs="Times New Roman"/>
                <w:szCs w:val="18"/>
              </w:rPr>
            </w:pPr>
            <w:r w:rsidRPr="00AF353E">
              <w:rPr>
                <w:rFonts w:cs="Times New Roman"/>
                <w:szCs w:val="18"/>
              </w:rPr>
              <w:t>Cervical Sprain</w:t>
            </w:r>
          </w:p>
        </w:tc>
        <w:tc>
          <w:tcPr>
            <w:tcW w:w="810" w:type="dxa"/>
            <w:shd w:val="clear" w:color="auto" w:fill="FFFFFF" w:themeFill="background1"/>
          </w:tcPr>
          <w:p w:rsidR="00AB42F7" w:rsidRPr="00AF353E" w:rsidRDefault="00AB42F7" w:rsidP="00AE6115">
            <w:pPr>
              <w:pStyle w:val="ListParagraph"/>
              <w:spacing w:after="0" w:line="240" w:lineRule="auto"/>
              <w:ind w:left="0"/>
              <w:jc w:val="center"/>
              <w:rPr>
                <w:rFonts w:cs="Times New Roman"/>
                <w:szCs w:val="18"/>
              </w:rPr>
            </w:pPr>
            <w:r w:rsidRPr="00AF353E">
              <w:rPr>
                <w:rFonts w:cs="Times New Roman"/>
                <w:szCs w:val="18"/>
              </w:rPr>
              <w:t>5237</w:t>
            </w:r>
          </w:p>
        </w:tc>
        <w:tc>
          <w:tcPr>
            <w:tcW w:w="810" w:type="dxa"/>
            <w:shd w:val="clear" w:color="auto" w:fill="FFFFFF" w:themeFill="background1"/>
          </w:tcPr>
          <w:p w:rsidR="00AB42F7" w:rsidRPr="00AF353E" w:rsidRDefault="002738D1" w:rsidP="00AE6115">
            <w:pPr>
              <w:pStyle w:val="ListParagraph"/>
              <w:spacing w:after="0" w:line="240" w:lineRule="auto"/>
              <w:ind w:left="0"/>
              <w:jc w:val="center"/>
              <w:rPr>
                <w:rFonts w:cs="Times New Roman"/>
                <w:szCs w:val="18"/>
              </w:rPr>
            </w:pPr>
            <w:r w:rsidRPr="00AF353E">
              <w:rPr>
                <w:rFonts w:cs="Times New Roman"/>
                <w:szCs w:val="18"/>
              </w:rPr>
              <w:t>10%</w:t>
            </w:r>
          </w:p>
        </w:tc>
        <w:tc>
          <w:tcPr>
            <w:tcW w:w="1170" w:type="dxa"/>
            <w:shd w:val="clear" w:color="auto" w:fill="FFFFFF" w:themeFill="background1"/>
          </w:tcPr>
          <w:p w:rsidR="00AB42F7" w:rsidRPr="00AF353E" w:rsidRDefault="00187D70" w:rsidP="00AE6115">
            <w:pPr>
              <w:pStyle w:val="ListParagraph"/>
              <w:spacing w:after="0" w:line="240" w:lineRule="auto"/>
              <w:ind w:left="0"/>
              <w:jc w:val="center"/>
              <w:rPr>
                <w:rFonts w:cs="Times New Roman"/>
                <w:szCs w:val="18"/>
              </w:rPr>
            </w:pPr>
            <w:r w:rsidRPr="00AF353E">
              <w:rPr>
                <w:rFonts w:cs="Times New Roman"/>
                <w:szCs w:val="18"/>
              </w:rPr>
              <w:t>20040719</w:t>
            </w:r>
          </w:p>
        </w:tc>
      </w:tr>
      <w:tr w:rsidR="002738D1" w:rsidRPr="002A685E" w:rsidTr="00AF353E">
        <w:trPr>
          <w:trHeight w:val="125"/>
        </w:trPr>
        <w:tc>
          <w:tcPr>
            <w:tcW w:w="2250" w:type="dxa"/>
            <w:shd w:val="clear" w:color="auto" w:fill="FFFFFF" w:themeFill="background1"/>
          </w:tcPr>
          <w:p w:rsidR="002738D1" w:rsidRPr="00AF353E" w:rsidRDefault="002738D1" w:rsidP="00AE6115">
            <w:pPr>
              <w:pStyle w:val="ListParagraph"/>
              <w:spacing w:after="0" w:line="240" w:lineRule="auto"/>
              <w:ind w:left="0"/>
              <w:rPr>
                <w:rFonts w:cs="Times New Roman"/>
                <w:szCs w:val="18"/>
              </w:rPr>
            </w:pPr>
          </w:p>
        </w:tc>
        <w:tc>
          <w:tcPr>
            <w:tcW w:w="1530" w:type="dxa"/>
            <w:gridSpan w:val="2"/>
            <w:tcBorders>
              <w:right w:val="thinThickThinSmallGap" w:sz="24" w:space="0" w:color="auto"/>
            </w:tcBorders>
            <w:shd w:val="clear" w:color="auto" w:fill="FFFFFF" w:themeFill="background1"/>
          </w:tcPr>
          <w:p w:rsidR="002738D1" w:rsidRPr="00AF353E" w:rsidRDefault="00944C46" w:rsidP="00AE6115">
            <w:pPr>
              <w:pStyle w:val="ListParagraph"/>
              <w:spacing w:after="0" w:line="240" w:lineRule="auto"/>
              <w:ind w:left="0"/>
              <w:jc w:val="center"/>
              <w:rPr>
                <w:rFonts w:cs="Times New Roman"/>
                <w:szCs w:val="18"/>
              </w:rPr>
            </w:pPr>
            <w:r w:rsidRPr="00AF353E">
              <w:rPr>
                <w:rFonts w:cs="Times New Roman"/>
                <w:szCs w:val="18"/>
              </w:rPr>
              <w:t>MEB H&amp;P 20040220</w:t>
            </w:r>
          </w:p>
        </w:tc>
        <w:tc>
          <w:tcPr>
            <w:tcW w:w="2700" w:type="dxa"/>
            <w:tcBorders>
              <w:left w:val="thinThickThinSmallGap" w:sz="24" w:space="0" w:color="auto"/>
            </w:tcBorders>
            <w:shd w:val="clear" w:color="auto" w:fill="FFFFFF" w:themeFill="background1"/>
          </w:tcPr>
          <w:p w:rsidR="002738D1" w:rsidRPr="00AF353E" w:rsidRDefault="002738D1" w:rsidP="00AE6115">
            <w:pPr>
              <w:pStyle w:val="ListParagraph"/>
              <w:spacing w:after="0" w:line="240" w:lineRule="auto"/>
              <w:ind w:left="0"/>
              <w:rPr>
                <w:rFonts w:cs="Times New Roman"/>
                <w:szCs w:val="18"/>
              </w:rPr>
            </w:pPr>
            <w:r w:rsidRPr="00AF353E">
              <w:rPr>
                <w:rFonts w:cs="Times New Roman"/>
                <w:szCs w:val="18"/>
              </w:rPr>
              <w:t>Bilateral Plantar Fasciitis</w:t>
            </w:r>
          </w:p>
        </w:tc>
        <w:tc>
          <w:tcPr>
            <w:tcW w:w="810" w:type="dxa"/>
            <w:shd w:val="clear" w:color="auto" w:fill="FFFFFF" w:themeFill="background1"/>
          </w:tcPr>
          <w:p w:rsidR="002738D1" w:rsidRPr="00AF353E" w:rsidRDefault="002738D1" w:rsidP="00AE6115">
            <w:pPr>
              <w:pStyle w:val="ListParagraph"/>
              <w:spacing w:after="0" w:line="240" w:lineRule="auto"/>
              <w:ind w:left="0"/>
              <w:jc w:val="center"/>
              <w:rPr>
                <w:rFonts w:cs="Times New Roman"/>
                <w:szCs w:val="18"/>
              </w:rPr>
            </w:pPr>
            <w:r w:rsidRPr="00AF353E">
              <w:rPr>
                <w:rFonts w:cs="Times New Roman"/>
                <w:szCs w:val="18"/>
              </w:rPr>
              <w:t>5299-5276</w:t>
            </w:r>
          </w:p>
        </w:tc>
        <w:tc>
          <w:tcPr>
            <w:tcW w:w="810" w:type="dxa"/>
            <w:shd w:val="clear" w:color="auto" w:fill="FFFFFF" w:themeFill="background1"/>
          </w:tcPr>
          <w:p w:rsidR="002738D1" w:rsidRPr="00AF353E" w:rsidRDefault="002738D1" w:rsidP="00AE6115">
            <w:pPr>
              <w:pStyle w:val="ListParagraph"/>
              <w:spacing w:after="0" w:line="240" w:lineRule="auto"/>
              <w:ind w:left="0"/>
              <w:jc w:val="center"/>
              <w:rPr>
                <w:rFonts w:cs="Times New Roman"/>
                <w:szCs w:val="18"/>
              </w:rPr>
            </w:pPr>
            <w:r w:rsidRPr="00AF353E">
              <w:rPr>
                <w:rFonts w:cs="Times New Roman"/>
                <w:szCs w:val="18"/>
              </w:rPr>
              <w:t>10%</w:t>
            </w:r>
          </w:p>
        </w:tc>
        <w:tc>
          <w:tcPr>
            <w:tcW w:w="1170" w:type="dxa"/>
            <w:shd w:val="clear" w:color="auto" w:fill="FFFFFF" w:themeFill="background1"/>
          </w:tcPr>
          <w:p w:rsidR="002738D1" w:rsidRPr="00AF353E" w:rsidRDefault="00187D70" w:rsidP="00AE6115">
            <w:pPr>
              <w:pStyle w:val="ListParagraph"/>
              <w:spacing w:after="0" w:line="240" w:lineRule="auto"/>
              <w:ind w:left="0"/>
              <w:jc w:val="center"/>
              <w:rPr>
                <w:rFonts w:cs="Times New Roman"/>
                <w:szCs w:val="18"/>
              </w:rPr>
            </w:pPr>
            <w:r w:rsidRPr="00AF353E">
              <w:rPr>
                <w:rFonts w:cs="Times New Roman"/>
                <w:szCs w:val="18"/>
              </w:rPr>
              <w:t>20040719</w:t>
            </w:r>
          </w:p>
        </w:tc>
      </w:tr>
      <w:tr w:rsidR="00AB42F7" w:rsidRPr="002A685E" w:rsidTr="00AF353E">
        <w:trPr>
          <w:trHeight w:val="125"/>
        </w:trPr>
        <w:tc>
          <w:tcPr>
            <w:tcW w:w="2250" w:type="dxa"/>
            <w:shd w:val="clear" w:color="auto" w:fill="FFFFFF" w:themeFill="background1"/>
          </w:tcPr>
          <w:p w:rsidR="00AB42F7" w:rsidRPr="00AF353E" w:rsidRDefault="00AB42F7" w:rsidP="00AE6115">
            <w:pPr>
              <w:pStyle w:val="ListParagraph"/>
              <w:spacing w:after="0" w:line="240" w:lineRule="auto"/>
              <w:ind w:left="0"/>
              <w:rPr>
                <w:rFonts w:cs="Times New Roman"/>
                <w:szCs w:val="18"/>
              </w:rPr>
            </w:pPr>
          </w:p>
        </w:tc>
        <w:tc>
          <w:tcPr>
            <w:tcW w:w="1530" w:type="dxa"/>
            <w:gridSpan w:val="2"/>
            <w:tcBorders>
              <w:right w:val="thinThickThinSmallGap" w:sz="24" w:space="0" w:color="auto"/>
            </w:tcBorders>
            <w:shd w:val="clear" w:color="auto" w:fill="FFFFFF" w:themeFill="background1"/>
          </w:tcPr>
          <w:p w:rsidR="00AB42F7" w:rsidRPr="00AF353E" w:rsidRDefault="00944C46" w:rsidP="00AE6115">
            <w:pPr>
              <w:pStyle w:val="ListParagraph"/>
              <w:spacing w:after="0" w:line="240" w:lineRule="auto"/>
              <w:ind w:left="0"/>
              <w:jc w:val="center"/>
              <w:rPr>
                <w:rFonts w:cs="Times New Roman"/>
                <w:szCs w:val="18"/>
              </w:rPr>
            </w:pPr>
            <w:r w:rsidRPr="00AF353E">
              <w:rPr>
                <w:rFonts w:cs="Times New Roman"/>
                <w:szCs w:val="18"/>
              </w:rPr>
              <w:t>MEB H&amp;P</w:t>
            </w:r>
          </w:p>
          <w:p w:rsidR="00944C46" w:rsidRPr="00AF353E" w:rsidRDefault="00944C46" w:rsidP="00AE6115">
            <w:pPr>
              <w:pStyle w:val="ListParagraph"/>
              <w:spacing w:after="0" w:line="240" w:lineRule="auto"/>
              <w:ind w:left="0"/>
              <w:jc w:val="center"/>
              <w:rPr>
                <w:rFonts w:cs="Times New Roman"/>
                <w:szCs w:val="18"/>
              </w:rPr>
            </w:pPr>
            <w:r w:rsidRPr="00AF353E">
              <w:rPr>
                <w:rFonts w:cs="Times New Roman"/>
                <w:szCs w:val="18"/>
              </w:rPr>
              <w:t>20040220</w:t>
            </w:r>
          </w:p>
        </w:tc>
        <w:tc>
          <w:tcPr>
            <w:tcW w:w="2700" w:type="dxa"/>
            <w:tcBorders>
              <w:left w:val="thinThickThinSmallGap" w:sz="24" w:space="0" w:color="auto"/>
            </w:tcBorders>
            <w:shd w:val="clear" w:color="auto" w:fill="FFFFFF" w:themeFill="background1"/>
          </w:tcPr>
          <w:p w:rsidR="00AB42F7" w:rsidRPr="00AF353E" w:rsidRDefault="002738D1" w:rsidP="00AE6115">
            <w:pPr>
              <w:pStyle w:val="ListParagraph"/>
              <w:spacing w:after="0" w:line="240" w:lineRule="auto"/>
              <w:ind w:left="0"/>
              <w:rPr>
                <w:rFonts w:cs="Times New Roman"/>
                <w:szCs w:val="18"/>
              </w:rPr>
            </w:pPr>
            <w:r w:rsidRPr="00AF353E">
              <w:rPr>
                <w:rFonts w:cs="Times New Roman"/>
                <w:szCs w:val="18"/>
              </w:rPr>
              <w:t>Right Wrist Sprain</w:t>
            </w:r>
          </w:p>
        </w:tc>
        <w:tc>
          <w:tcPr>
            <w:tcW w:w="810" w:type="dxa"/>
            <w:shd w:val="clear" w:color="auto" w:fill="FFFFFF" w:themeFill="background1"/>
          </w:tcPr>
          <w:p w:rsidR="00AB42F7" w:rsidRPr="00AF353E" w:rsidRDefault="002738D1" w:rsidP="00AE6115">
            <w:pPr>
              <w:pStyle w:val="ListParagraph"/>
              <w:spacing w:after="0" w:line="240" w:lineRule="auto"/>
              <w:ind w:left="0"/>
              <w:jc w:val="center"/>
              <w:rPr>
                <w:rFonts w:cs="Times New Roman"/>
                <w:szCs w:val="18"/>
              </w:rPr>
            </w:pPr>
            <w:r w:rsidRPr="00AF353E">
              <w:rPr>
                <w:rFonts w:cs="Times New Roman"/>
                <w:szCs w:val="18"/>
              </w:rPr>
              <w:t>5215</w:t>
            </w:r>
          </w:p>
        </w:tc>
        <w:tc>
          <w:tcPr>
            <w:tcW w:w="810" w:type="dxa"/>
            <w:shd w:val="clear" w:color="auto" w:fill="FFFFFF" w:themeFill="background1"/>
          </w:tcPr>
          <w:p w:rsidR="00AB42F7" w:rsidRPr="00AF353E" w:rsidRDefault="002738D1" w:rsidP="00AE6115">
            <w:pPr>
              <w:pStyle w:val="ListParagraph"/>
              <w:spacing w:after="0" w:line="240" w:lineRule="auto"/>
              <w:ind w:left="0"/>
              <w:jc w:val="center"/>
              <w:rPr>
                <w:rFonts w:cs="Times New Roman"/>
                <w:szCs w:val="18"/>
              </w:rPr>
            </w:pPr>
            <w:r w:rsidRPr="00AF353E">
              <w:rPr>
                <w:rFonts w:cs="Times New Roman"/>
                <w:szCs w:val="18"/>
              </w:rPr>
              <w:t>0%</w:t>
            </w:r>
          </w:p>
        </w:tc>
        <w:tc>
          <w:tcPr>
            <w:tcW w:w="1170" w:type="dxa"/>
            <w:shd w:val="clear" w:color="auto" w:fill="FFFFFF" w:themeFill="background1"/>
          </w:tcPr>
          <w:p w:rsidR="00AB42F7" w:rsidRPr="00AF353E" w:rsidRDefault="00187D70" w:rsidP="00AE6115">
            <w:pPr>
              <w:pStyle w:val="ListParagraph"/>
              <w:spacing w:after="0" w:line="240" w:lineRule="auto"/>
              <w:ind w:left="0"/>
              <w:jc w:val="center"/>
              <w:rPr>
                <w:rFonts w:cs="Times New Roman"/>
                <w:szCs w:val="18"/>
              </w:rPr>
            </w:pPr>
            <w:r w:rsidRPr="00AF353E">
              <w:rPr>
                <w:rFonts w:cs="Times New Roman"/>
                <w:szCs w:val="18"/>
              </w:rPr>
              <w:t>20040719</w:t>
            </w:r>
          </w:p>
        </w:tc>
      </w:tr>
      <w:tr w:rsidR="00AB42F7" w:rsidRPr="002A685E" w:rsidTr="00AF353E">
        <w:trPr>
          <w:trHeight w:val="125"/>
        </w:trPr>
        <w:tc>
          <w:tcPr>
            <w:tcW w:w="2250" w:type="dxa"/>
            <w:shd w:val="clear" w:color="auto" w:fill="FFFFFF" w:themeFill="background1"/>
          </w:tcPr>
          <w:p w:rsidR="00AB42F7" w:rsidRPr="00AF353E" w:rsidRDefault="00AB42F7" w:rsidP="00AE6115">
            <w:pPr>
              <w:pStyle w:val="ListParagraph"/>
              <w:spacing w:after="0" w:line="240" w:lineRule="auto"/>
              <w:ind w:left="0"/>
              <w:rPr>
                <w:rFonts w:cs="Times New Roman"/>
                <w:szCs w:val="18"/>
              </w:rPr>
            </w:pPr>
          </w:p>
        </w:tc>
        <w:tc>
          <w:tcPr>
            <w:tcW w:w="1530" w:type="dxa"/>
            <w:gridSpan w:val="2"/>
            <w:tcBorders>
              <w:right w:val="thinThickThinSmallGap" w:sz="24" w:space="0" w:color="auto"/>
            </w:tcBorders>
            <w:shd w:val="clear" w:color="auto" w:fill="FFFFFF" w:themeFill="background1"/>
          </w:tcPr>
          <w:p w:rsidR="00AB42F7" w:rsidRPr="00AF353E" w:rsidRDefault="00187D70" w:rsidP="00AE6115">
            <w:pPr>
              <w:pStyle w:val="ListParagraph"/>
              <w:spacing w:after="0" w:line="240" w:lineRule="auto"/>
              <w:ind w:left="0"/>
              <w:jc w:val="center"/>
              <w:rPr>
                <w:rFonts w:cs="Times New Roman"/>
                <w:szCs w:val="18"/>
              </w:rPr>
            </w:pPr>
            <w:r>
              <w:rPr>
                <w:rFonts w:cs="Times New Roman"/>
                <w:szCs w:val="18"/>
              </w:rPr>
              <w:t>Not in DES</w:t>
            </w:r>
          </w:p>
        </w:tc>
        <w:tc>
          <w:tcPr>
            <w:tcW w:w="2700" w:type="dxa"/>
            <w:tcBorders>
              <w:left w:val="thinThickThinSmallGap" w:sz="24" w:space="0" w:color="auto"/>
            </w:tcBorders>
            <w:shd w:val="clear" w:color="auto" w:fill="FFFFFF" w:themeFill="background1"/>
          </w:tcPr>
          <w:p w:rsidR="00AB42F7" w:rsidRPr="00AF353E" w:rsidRDefault="002738D1" w:rsidP="00AE6115">
            <w:pPr>
              <w:pStyle w:val="ListParagraph"/>
              <w:spacing w:after="0" w:line="240" w:lineRule="auto"/>
              <w:ind w:left="0"/>
              <w:rPr>
                <w:rFonts w:cs="Times New Roman"/>
                <w:szCs w:val="18"/>
              </w:rPr>
            </w:pPr>
            <w:r w:rsidRPr="00AF353E">
              <w:rPr>
                <w:rFonts w:cs="Times New Roman"/>
                <w:szCs w:val="18"/>
              </w:rPr>
              <w:t>Chronic Ankle Sprain, Left</w:t>
            </w:r>
          </w:p>
        </w:tc>
        <w:tc>
          <w:tcPr>
            <w:tcW w:w="810" w:type="dxa"/>
            <w:shd w:val="clear" w:color="auto" w:fill="FFFFFF" w:themeFill="background1"/>
          </w:tcPr>
          <w:p w:rsidR="00AB42F7" w:rsidRPr="00AF353E" w:rsidRDefault="002738D1" w:rsidP="00AE6115">
            <w:pPr>
              <w:pStyle w:val="ListParagraph"/>
              <w:spacing w:after="0" w:line="240" w:lineRule="auto"/>
              <w:ind w:left="0"/>
              <w:jc w:val="center"/>
              <w:rPr>
                <w:rFonts w:cs="Times New Roman"/>
                <w:szCs w:val="18"/>
              </w:rPr>
            </w:pPr>
            <w:r w:rsidRPr="00AF353E">
              <w:rPr>
                <w:rFonts w:cs="Times New Roman"/>
                <w:szCs w:val="18"/>
              </w:rPr>
              <w:t>5271</w:t>
            </w:r>
          </w:p>
        </w:tc>
        <w:tc>
          <w:tcPr>
            <w:tcW w:w="810" w:type="dxa"/>
            <w:shd w:val="clear" w:color="auto" w:fill="FFFFFF" w:themeFill="background1"/>
          </w:tcPr>
          <w:p w:rsidR="00AB42F7" w:rsidRPr="00AF353E" w:rsidRDefault="002738D1" w:rsidP="00AE6115">
            <w:pPr>
              <w:pStyle w:val="ListParagraph"/>
              <w:spacing w:after="0" w:line="240" w:lineRule="auto"/>
              <w:ind w:left="0"/>
              <w:jc w:val="center"/>
              <w:rPr>
                <w:rFonts w:cs="Times New Roman"/>
                <w:szCs w:val="18"/>
              </w:rPr>
            </w:pPr>
            <w:r w:rsidRPr="00AF353E">
              <w:rPr>
                <w:rFonts w:cs="Times New Roman"/>
                <w:szCs w:val="18"/>
              </w:rPr>
              <w:t>0%</w:t>
            </w:r>
          </w:p>
        </w:tc>
        <w:tc>
          <w:tcPr>
            <w:tcW w:w="1170" w:type="dxa"/>
            <w:shd w:val="clear" w:color="auto" w:fill="FFFFFF" w:themeFill="background1"/>
          </w:tcPr>
          <w:p w:rsidR="00AB42F7" w:rsidRPr="00AF353E" w:rsidRDefault="00187D70" w:rsidP="00AE6115">
            <w:pPr>
              <w:pStyle w:val="ListParagraph"/>
              <w:spacing w:after="0" w:line="240" w:lineRule="auto"/>
              <w:ind w:left="0"/>
              <w:jc w:val="center"/>
              <w:rPr>
                <w:rFonts w:cs="Times New Roman"/>
                <w:szCs w:val="18"/>
              </w:rPr>
            </w:pPr>
            <w:r w:rsidRPr="00AF353E">
              <w:rPr>
                <w:rFonts w:cs="Times New Roman"/>
                <w:szCs w:val="18"/>
              </w:rPr>
              <w:t>20040719</w:t>
            </w:r>
          </w:p>
        </w:tc>
      </w:tr>
      <w:tr w:rsidR="002738D1" w:rsidRPr="002A685E" w:rsidTr="00AF353E">
        <w:trPr>
          <w:trHeight w:val="125"/>
        </w:trPr>
        <w:tc>
          <w:tcPr>
            <w:tcW w:w="2250" w:type="dxa"/>
            <w:shd w:val="clear" w:color="auto" w:fill="FFFFFF" w:themeFill="background1"/>
          </w:tcPr>
          <w:p w:rsidR="002738D1" w:rsidRPr="00AF353E" w:rsidRDefault="002738D1" w:rsidP="00AE6115">
            <w:pPr>
              <w:pStyle w:val="ListParagraph"/>
              <w:spacing w:after="0" w:line="240" w:lineRule="auto"/>
              <w:ind w:left="0"/>
              <w:rPr>
                <w:rFonts w:cs="Times New Roman"/>
                <w:szCs w:val="18"/>
              </w:rPr>
            </w:pPr>
          </w:p>
        </w:tc>
        <w:tc>
          <w:tcPr>
            <w:tcW w:w="1530" w:type="dxa"/>
            <w:gridSpan w:val="2"/>
            <w:tcBorders>
              <w:right w:val="thinThickThinSmallGap" w:sz="24" w:space="0" w:color="auto"/>
            </w:tcBorders>
            <w:shd w:val="clear" w:color="auto" w:fill="FFFFFF" w:themeFill="background1"/>
          </w:tcPr>
          <w:p w:rsidR="002738D1" w:rsidRPr="00AF353E" w:rsidRDefault="00187D70" w:rsidP="00AE6115">
            <w:pPr>
              <w:pStyle w:val="ListParagraph"/>
              <w:spacing w:after="0" w:line="240" w:lineRule="auto"/>
              <w:ind w:left="0"/>
              <w:jc w:val="center"/>
              <w:rPr>
                <w:rFonts w:cs="Times New Roman"/>
                <w:szCs w:val="18"/>
              </w:rPr>
            </w:pPr>
            <w:r>
              <w:rPr>
                <w:rFonts w:cs="Times New Roman"/>
                <w:szCs w:val="18"/>
              </w:rPr>
              <w:t>Not in DES</w:t>
            </w:r>
          </w:p>
        </w:tc>
        <w:tc>
          <w:tcPr>
            <w:tcW w:w="2700" w:type="dxa"/>
            <w:tcBorders>
              <w:left w:val="thinThickThinSmallGap" w:sz="24" w:space="0" w:color="auto"/>
            </w:tcBorders>
            <w:shd w:val="clear" w:color="auto" w:fill="FFFFFF" w:themeFill="background1"/>
          </w:tcPr>
          <w:p w:rsidR="002738D1" w:rsidRPr="00AF353E" w:rsidRDefault="002738D1" w:rsidP="002738D1">
            <w:pPr>
              <w:pStyle w:val="ListParagraph"/>
              <w:spacing w:after="0" w:line="240" w:lineRule="auto"/>
              <w:ind w:left="0"/>
              <w:rPr>
                <w:rFonts w:cs="Times New Roman"/>
                <w:szCs w:val="18"/>
              </w:rPr>
            </w:pPr>
            <w:r w:rsidRPr="00AF353E">
              <w:rPr>
                <w:rFonts w:cs="Times New Roman"/>
                <w:szCs w:val="18"/>
              </w:rPr>
              <w:t>Chronic Ankle Sprain, Right</w:t>
            </w:r>
          </w:p>
        </w:tc>
        <w:tc>
          <w:tcPr>
            <w:tcW w:w="810" w:type="dxa"/>
            <w:shd w:val="clear" w:color="auto" w:fill="FFFFFF" w:themeFill="background1"/>
          </w:tcPr>
          <w:p w:rsidR="002738D1" w:rsidRPr="00AF353E" w:rsidRDefault="002738D1" w:rsidP="000F0450">
            <w:pPr>
              <w:pStyle w:val="ListParagraph"/>
              <w:spacing w:after="0" w:line="240" w:lineRule="auto"/>
              <w:ind w:left="0"/>
              <w:jc w:val="center"/>
              <w:rPr>
                <w:rFonts w:cs="Times New Roman"/>
                <w:szCs w:val="18"/>
              </w:rPr>
            </w:pPr>
            <w:r w:rsidRPr="00AF353E">
              <w:rPr>
                <w:rFonts w:cs="Times New Roman"/>
                <w:szCs w:val="18"/>
              </w:rPr>
              <w:t>5271</w:t>
            </w:r>
          </w:p>
        </w:tc>
        <w:tc>
          <w:tcPr>
            <w:tcW w:w="810" w:type="dxa"/>
            <w:shd w:val="clear" w:color="auto" w:fill="FFFFFF" w:themeFill="background1"/>
          </w:tcPr>
          <w:p w:rsidR="002738D1" w:rsidRPr="00AF353E" w:rsidRDefault="002738D1" w:rsidP="000F0450">
            <w:pPr>
              <w:pStyle w:val="ListParagraph"/>
              <w:spacing w:after="0" w:line="240" w:lineRule="auto"/>
              <w:ind w:left="0"/>
              <w:jc w:val="center"/>
              <w:rPr>
                <w:rFonts w:cs="Times New Roman"/>
                <w:szCs w:val="18"/>
              </w:rPr>
            </w:pPr>
            <w:r w:rsidRPr="00AF353E">
              <w:rPr>
                <w:rFonts w:cs="Times New Roman"/>
                <w:szCs w:val="18"/>
              </w:rPr>
              <w:t>0%</w:t>
            </w:r>
          </w:p>
        </w:tc>
        <w:tc>
          <w:tcPr>
            <w:tcW w:w="1170" w:type="dxa"/>
            <w:shd w:val="clear" w:color="auto" w:fill="FFFFFF" w:themeFill="background1"/>
          </w:tcPr>
          <w:p w:rsidR="002738D1" w:rsidRPr="00AF353E" w:rsidRDefault="00187D70" w:rsidP="00AE6115">
            <w:pPr>
              <w:pStyle w:val="ListParagraph"/>
              <w:spacing w:after="0" w:line="240" w:lineRule="auto"/>
              <w:ind w:left="0"/>
              <w:jc w:val="center"/>
              <w:rPr>
                <w:rFonts w:cs="Times New Roman"/>
                <w:szCs w:val="18"/>
              </w:rPr>
            </w:pPr>
            <w:r w:rsidRPr="00AF353E">
              <w:rPr>
                <w:rFonts w:cs="Times New Roman"/>
                <w:szCs w:val="18"/>
              </w:rPr>
              <w:t>20040719</w:t>
            </w:r>
          </w:p>
        </w:tc>
      </w:tr>
      <w:tr w:rsidR="002738D1" w:rsidRPr="002A685E" w:rsidTr="00AF353E">
        <w:trPr>
          <w:trHeight w:val="197"/>
        </w:trPr>
        <w:tc>
          <w:tcPr>
            <w:tcW w:w="3780" w:type="dxa"/>
            <w:gridSpan w:val="3"/>
            <w:tcBorders>
              <w:right w:val="thinThickThinSmallGap" w:sz="24" w:space="0" w:color="auto"/>
            </w:tcBorders>
            <w:shd w:val="clear" w:color="auto" w:fill="FFFFFF" w:themeFill="background1"/>
          </w:tcPr>
          <w:p w:rsidR="002738D1" w:rsidRPr="00AF353E" w:rsidRDefault="002738D1" w:rsidP="00AE6115">
            <w:pPr>
              <w:pStyle w:val="ListParagraph"/>
              <w:spacing w:after="0" w:line="240" w:lineRule="auto"/>
              <w:ind w:left="0"/>
              <w:jc w:val="center"/>
              <w:rPr>
                <w:rFonts w:cs="Times New Roman"/>
                <w:b/>
                <w:szCs w:val="18"/>
              </w:rPr>
            </w:pPr>
          </w:p>
        </w:tc>
        <w:tc>
          <w:tcPr>
            <w:tcW w:w="4320" w:type="dxa"/>
            <w:gridSpan w:val="3"/>
            <w:tcBorders>
              <w:left w:val="thinThickThinSmallGap" w:sz="24" w:space="0" w:color="auto"/>
            </w:tcBorders>
            <w:shd w:val="clear" w:color="auto" w:fill="FFFFFF" w:themeFill="background1"/>
          </w:tcPr>
          <w:p w:rsidR="002738D1" w:rsidRPr="00AF353E" w:rsidRDefault="002738D1" w:rsidP="002738D1">
            <w:pPr>
              <w:pStyle w:val="ListParagraph"/>
              <w:spacing w:after="0" w:line="240" w:lineRule="auto"/>
              <w:ind w:left="0"/>
              <w:rPr>
                <w:rFonts w:cs="Times New Roman"/>
                <w:szCs w:val="18"/>
              </w:rPr>
            </w:pPr>
            <w:r w:rsidRPr="00AF353E">
              <w:rPr>
                <w:rFonts w:cs="Times New Roman"/>
                <w:szCs w:val="18"/>
              </w:rPr>
              <w:t>NSC X 3</w:t>
            </w:r>
          </w:p>
        </w:tc>
        <w:tc>
          <w:tcPr>
            <w:tcW w:w="1170" w:type="dxa"/>
            <w:shd w:val="clear" w:color="auto" w:fill="FFFFFF" w:themeFill="background1"/>
          </w:tcPr>
          <w:p w:rsidR="002738D1" w:rsidRPr="00AF353E" w:rsidRDefault="002738D1" w:rsidP="00AE6115">
            <w:pPr>
              <w:pStyle w:val="ListParagraph"/>
              <w:spacing w:after="0" w:line="240" w:lineRule="auto"/>
              <w:ind w:left="0"/>
              <w:jc w:val="center"/>
              <w:rPr>
                <w:rFonts w:cs="Times New Roman"/>
                <w:szCs w:val="18"/>
              </w:rPr>
            </w:pPr>
          </w:p>
        </w:tc>
      </w:tr>
      <w:tr w:rsidR="002738D1" w:rsidRPr="002A685E" w:rsidTr="00AF353E">
        <w:trPr>
          <w:trHeight w:val="242"/>
        </w:trPr>
        <w:tc>
          <w:tcPr>
            <w:tcW w:w="3780" w:type="dxa"/>
            <w:gridSpan w:val="3"/>
            <w:tcBorders>
              <w:right w:val="thinThickThinSmallGap" w:sz="24" w:space="0" w:color="auto"/>
            </w:tcBorders>
            <w:shd w:val="clear" w:color="auto" w:fill="C6D9F1" w:themeFill="text2" w:themeFillTint="33"/>
          </w:tcPr>
          <w:p w:rsidR="002738D1" w:rsidRPr="00AF353E" w:rsidRDefault="002738D1" w:rsidP="00416F8E">
            <w:pPr>
              <w:pStyle w:val="ListParagraph"/>
              <w:spacing w:after="0" w:line="240" w:lineRule="auto"/>
              <w:ind w:left="0"/>
              <w:jc w:val="center"/>
              <w:rPr>
                <w:rFonts w:cs="Times New Roman"/>
                <w:b/>
                <w:szCs w:val="20"/>
              </w:rPr>
            </w:pPr>
            <w:r w:rsidRPr="00AF353E">
              <w:rPr>
                <w:rFonts w:cs="Times New Roman"/>
                <w:b/>
                <w:szCs w:val="20"/>
              </w:rPr>
              <w:t>TOTAL Combined:  10%</w:t>
            </w:r>
          </w:p>
        </w:tc>
        <w:tc>
          <w:tcPr>
            <w:tcW w:w="5490" w:type="dxa"/>
            <w:gridSpan w:val="4"/>
            <w:tcBorders>
              <w:left w:val="thinThickThinSmallGap" w:sz="24" w:space="0" w:color="auto"/>
            </w:tcBorders>
            <w:shd w:val="clear" w:color="auto" w:fill="C6D9F1" w:themeFill="text2" w:themeFillTint="33"/>
          </w:tcPr>
          <w:p w:rsidR="002738D1" w:rsidRPr="00AF353E" w:rsidRDefault="002738D1" w:rsidP="00270981">
            <w:pPr>
              <w:pStyle w:val="ListParagraph"/>
              <w:spacing w:after="0" w:line="240" w:lineRule="auto"/>
              <w:ind w:left="0"/>
              <w:jc w:val="center"/>
              <w:rPr>
                <w:rFonts w:cs="Times New Roman"/>
                <w:b/>
                <w:szCs w:val="20"/>
              </w:rPr>
            </w:pPr>
            <w:r w:rsidRPr="00AF353E">
              <w:rPr>
                <w:rFonts w:cs="Times New Roman"/>
                <w:b/>
                <w:szCs w:val="20"/>
              </w:rPr>
              <w:t>TOTAL Combined (</w:t>
            </w:r>
            <w:r w:rsidRPr="00AF353E">
              <w:rPr>
                <w:rFonts w:cs="Times New Roman"/>
                <w:b/>
                <w:i/>
                <w:szCs w:val="20"/>
              </w:rPr>
              <w:t>Includes Non-PEB Conditions</w:t>
            </w:r>
            <w:r w:rsidRPr="00AF353E">
              <w:rPr>
                <w:rFonts w:cs="Times New Roman"/>
                <w:b/>
                <w:szCs w:val="20"/>
              </w:rPr>
              <w:t xml:space="preserve">): 60%                                                                         </w:t>
            </w:r>
            <w:r w:rsidRPr="00AF353E">
              <w:rPr>
                <w:rFonts w:cs="Times New Roman"/>
                <w:szCs w:val="20"/>
              </w:rPr>
              <w:t xml:space="preserve"> </w:t>
            </w:r>
          </w:p>
        </w:tc>
      </w:tr>
    </w:tbl>
    <w:p w:rsidR="004578BC" w:rsidRPr="00AF353E" w:rsidRDefault="004578BC" w:rsidP="004578BC">
      <w:pPr>
        <w:tabs>
          <w:tab w:val="left" w:pos="288"/>
          <w:tab w:val="left" w:pos="4752"/>
        </w:tabs>
        <w:spacing w:line="240" w:lineRule="exact"/>
        <w:jc w:val="both"/>
        <w:rPr>
          <w:color w:val="auto"/>
        </w:rPr>
      </w:pPr>
      <w:r w:rsidRPr="00AF353E">
        <w:rPr>
          <w:color w:val="auto"/>
          <w:u w:val="single"/>
        </w:rPr>
        <w:t>__________________________________________________________</w:t>
      </w:r>
      <w:r>
        <w:rPr>
          <w:color w:val="auto"/>
          <w:u w:val="single"/>
        </w:rPr>
        <w:t>__</w:t>
      </w:r>
      <w:r w:rsidRPr="00AF353E">
        <w:rPr>
          <w:color w:val="auto"/>
          <w:u w:val="single"/>
        </w:rPr>
        <w:t>____</w:t>
      </w:r>
    </w:p>
    <w:p w:rsidR="002C6E5B" w:rsidRDefault="002C6E5B" w:rsidP="002C6E5B">
      <w:pPr>
        <w:tabs>
          <w:tab w:val="left" w:pos="288"/>
          <w:tab w:val="left" w:pos="4752"/>
        </w:tabs>
        <w:spacing w:line="240" w:lineRule="exact"/>
        <w:jc w:val="both"/>
        <w:rPr>
          <w:color w:val="auto"/>
          <w:szCs w:val="24"/>
        </w:rPr>
      </w:pPr>
      <w:r w:rsidRPr="00880DD9">
        <w:rPr>
          <w:color w:val="auto"/>
          <w:szCs w:val="24"/>
          <w:u w:val="single"/>
        </w:rPr>
        <w:lastRenderedPageBreak/>
        <w:t>ANALYSIS SUMMARY</w:t>
      </w:r>
    </w:p>
    <w:p w:rsidR="004578BC" w:rsidRDefault="004578BC" w:rsidP="00A13F0B">
      <w:pPr>
        <w:autoSpaceDE w:val="0"/>
        <w:autoSpaceDN w:val="0"/>
        <w:adjustRightInd w:val="0"/>
        <w:spacing w:line="240" w:lineRule="exact"/>
        <w:jc w:val="both"/>
        <w:rPr>
          <w:color w:val="auto"/>
          <w:szCs w:val="24"/>
          <w:u w:val="single"/>
        </w:rPr>
      </w:pPr>
    </w:p>
    <w:p w:rsidR="004578BC" w:rsidRDefault="00A13F0B" w:rsidP="00A13F0B">
      <w:pPr>
        <w:autoSpaceDE w:val="0"/>
        <w:autoSpaceDN w:val="0"/>
        <w:adjustRightInd w:val="0"/>
        <w:spacing w:line="240" w:lineRule="exact"/>
        <w:jc w:val="both"/>
        <w:rPr>
          <w:color w:val="auto"/>
          <w:szCs w:val="24"/>
          <w:u w:val="single"/>
        </w:rPr>
      </w:pPr>
      <w:r w:rsidRPr="00680785">
        <w:rPr>
          <w:color w:val="auto"/>
          <w:szCs w:val="24"/>
          <w:u w:val="single"/>
        </w:rPr>
        <w:t>Low Back Pain</w:t>
      </w:r>
    </w:p>
    <w:p w:rsidR="000F0450" w:rsidRDefault="00887BAC" w:rsidP="00A13F0B">
      <w:pPr>
        <w:autoSpaceDE w:val="0"/>
        <w:autoSpaceDN w:val="0"/>
        <w:adjustRightInd w:val="0"/>
        <w:spacing w:line="240" w:lineRule="exact"/>
        <w:jc w:val="both"/>
        <w:rPr>
          <w:color w:val="auto"/>
          <w:szCs w:val="24"/>
        </w:rPr>
      </w:pPr>
      <w:r>
        <w:rPr>
          <w:color w:val="auto"/>
          <w:szCs w:val="24"/>
        </w:rPr>
        <w:t xml:space="preserve">The CI originally underwent a Medical Board (MEB) for back pain in August 2003. </w:t>
      </w:r>
      <w:r w:rsidR="004578BC">
        <w:rPr>
          <w:color w:val="auto"/>
          <w:szCs w:val="24"/>
        </w:rPr>
        <w:t xml:space="preserve"> </w:t>
      </w:r>
      <w:r>
        <w:rPr>
          <w:color w:val="auto"/>
          <w:szCs w:val="24"/>
        </w:rPr>
        <w:t xml:space="preserve">He had a gradual onset of low back pain over the previous two or three years. </w:t>
      </w:r>
      <w:r w:rsidR="004578BC">
        <w:rPr>
          <w:color w:val="auto"/>
          <w:szCs w:val="24"/>
        </w:rPr>
        <w:t xml:space="preserve"> </w:t>
      </w:r>
      <w:r>
        <w:rPr>
          <w:color w:val="auto"/>
          <w:szCs w:val="24"/>
        </w:rPr>
        <w:t xml:space="preserve">He had constant pain with occasional exacerbations. </w:t>
      </w:r>
      <w:r w:rsidR="004578BC">
        <w:rPr>
          <w:color w:val="auto"/>
          <w:szCs w:val="24"/>
        </w:rPr>
        <w:t xml:space="preserve"> </w:t>
      </w:r>
      <w:r>
        <w:rPr>
          <w:color w:val="auto"/>
          <w:szCs w:val="24"/>
        </w:rPr>
        <w:t xml:space="preserve">His pain was worse with lifting and activities throughout the day. </w:t>
      </w:r>
      <w:r w:rsidR="004578BC">
        <w:rPr>
          <w:color w:val="auto"/>
          <w:szCs w:val="24"/>
        </w:rPr>
        <w:t xml:space="preserve"> </w:t>
      </w:r>
      <w:r>
        <w:rPr>
          <w:color w:val="auto"/>
          <w:szCs w:val="24"/>
        </w:rPr>
        <w:t>There was no radiation to his leg</w:t>
      </w:r>
      <w:r w:rsidR="000F0450">
        <w:rPr>
          <w:color w:val="auto"/>
          <w:szCs w:val="24"/>
        </w:rPr>
        <w:t xml:space="preserve">. </w:t>
      </w:r>
      <w:r w:rsidR="004578BC">
        <w:rPr>
          <w:color w:val="auto"/>
          <w:szCs w:val="24"/>
        </w:rPr>
        <w:t xml:space="preserve"> </w:t>
      </w:r>
      <w:r w:rsidR="000F0450">
        <w:rPr>
          <w:color w:val="auto"/>
          <w:szCs w:val="24"/>
        </w:rPr>
        <w:t xml:space="preserve">He had received physical therapy and chiropractic manipulation but his symptoms continued. </w:t>
      </w:r>
      <w:r w:rsidR="004578BC">
        <w:rPr>
          <w:color w:val="auto"/>
          <w:szCs w:val="24"/>
        </w:rPr>
        <w:t xml:space="preserve"> </w:t>
      </w:r>
      <w:r w:rsidR="000F0450">
        <w:rPr>
          <w:color w:val="auto"/>
          <w:szCs w:val="24"/>
        </w:rPr>
        <w:t xml:space="preserve">On exam he had full range of motion (ROM) and lower extremities had 5/5 strength, normal sensation to deep touch and pinprick, and deep tendon reflexes were symmetrical and equal. </w:t>
      </w:r>
      <w:r w:rsidR="004578BC">
        <w:rPr>
          <w:color w:val="auto"/>
          <w:szCs w:val="24"/>
        </w:rPr>
        <w:t xml:space="preserve"> </w:t>
      </w:r>
      <w:r w:rsidR="000F0450">
        <w:rPr>
          <w:color w:val="auto"/>
          <w:szCs w:val="24"/>
        </w:rPr>
        <w:t xml:space="preserve">X-rays were normal and </w:t>
      </w:r>
      <w:r w:rsidR="004578BC" w:rsidRPr="004578BC">
        <w:rPr>
          <w:color w:val="auto"/>
          <w:szCs w:val="24"/>
        </w:rPr>
        <w:t xml:space="preserve">magnetic resonance imaging </w:t>
      </w:r>
      <w:r w:rsidR="004578BC">
        <w:rPr>
          <w:color w:val="auto"/>
          <w:szCs w:val="24"/>
        </w:rPr>
        <w:t>(</w:t>
      </w:r>
      <w:r w:rsidR="000F0450">
        <w:rPr>
          <w:color w:val="auto"/>
          <w:szCs w:val="24"/>
        </w:rPr>
        <w:t>MRI</w:t>
      </w:r>
      <w:r w:rsidR="004578BC">
        <w:rPr>
          <w:color w:val="auto"/>
          <w:szCs w:val="24"/>
        </w:rPr>
        <w:t>)</w:t>
      </w:r>
      <w:r w:rsidR="000F0450">
        <w:rPr>
          <w:color w:val="auto"/>
          <w:szCs w:val="24"/>
        </w:rPr>
        <w:t xml:space="preserve"> showed mild degenerative disk disease at L3-4, L4-5, and S1 with a small central </w:t>
      </w:r>
      <w:proofErr w:type="spellStart"/>
      <w:r w:rsidR="000F0450">
        <w:rPr>
          <w:color w:val="auto"/>
          <w:szCs w:val="24"/>
        </w:rPr>
        <w:t>prolapse</w:t>
      </w:r>
      <w:proofErr w:type="spellEnd"/>
      <w:r w:rsidR="000F0450">
        <w:rPr>
          <w:color w:val="auto"/>
          <w:szCs w:val="24"/>
        </w:rPr>
        <w:t xml:space="preserve"> at L5-S1 that did not cause any neural compromise. </w:t>
      </w:r>
      <w:r w:rsidR="004578BC">
        <w:rPr>
          <w:color w:val="auto"/>
          <w:szCs w:val="24"/>
        </w:rPr>
        <w:t xml:space="preserve"> </w:t>
      </w:r>
      <w:r w:rsidR="000F0450">
        <w:rPr>
          <w:color w:val="auto"/>
          <w:szCs w:val="24"/>
        </w:rPr>
        <w:t xml:space="preserve">The MEB determined he was fit for limited duty. </w:t>
      </w:r>
      <w:r w:rsidR="004578BC">
        <w:rPr>
          <w:color w:val="auto"/>
          <w:szCs w:val="24"/>
        </w:rPr>
        <w:t xml:space="preserve"> </w:t>
      </w:r>
      <w:r w:rsidR="000F0450">
        <w:rPr>
          <w:color w:val="auto"/>
          <w:szCs w:val="24"/>
        </w:rPr>
        <w:t xml:space="preserve">As he had not yet reached maximal medical benefit, a period of eight months of limited duty was recommended. </w:t>
      </w:r>
      <w:r w:rsidR="004578BC">
        <w:rPr>
          <w:color w:val="auto"/>
          <w:szCs w:val="24"/>
        </w:rPr>
        <w:t xml:space="preserve"> </w:t>
      </w:r>
      <w:r w:rsidR="000F0450">
        <w:rPr>
          <w:color w:val="auto"/>
          <w:szCs w:val="24"/>
        </w:rPr>
        <w:t xml:space="preserve">He was to modify his activity with no prolonged standing, walking, running, lifting, or physical readiness tests. </w:t>
      </w:r>
      <w:r w:rsidR="004578BC">
        <w:rPr>
          <w:color w:val="auto"/>
          <w:szCs w:val="24"/>
        </w:rPr>
        <w:t xml:space="preserve"> </w:t>
      </w:r>
      <w:r w:rsidR="000F0450">
        <w:rPr>
          <w:color w:val="auto"/>
          <w:szCs w:val="24"/>
        </w:rPr>
        <w:t xml:space="preserve">He was to repeat his manual chiropractic therapy and receive instruction in stretching and strengthening muscles. </w:t>
      </w:r>
      <w:r w:rsidR="004578BC">
        <w:rPr>
          <w:color w:val="auto"/>
          <w:szCs w:val="24"/>
        </w:rPr>
        <w:t xml:space="preserve"> </w:t>
      </w:r>
      <w:r w:rsidR="000F0450">
        <w:rPr>
          <w:color w:val="auto"/>
          <w:szCs w:val="24"/>
        </w:rPr>
        <w:t>It was thought that upon completion of this limited duty he would be fit to return to full duty.</w:t>
      </w:r>
      <w:r w:rsidR="004578BC">
        <w:rPr>
          <w:color w:val="auto"/>
          <w:szCs w:val="24"/>
        </w:rPr>
        <w:t xml:space="preserve">  </w:t>
      </w:r>
      <w:r w:rsidR="000F0450">
        <w:rPr>
          <w:color w:val="auto"/>
          <w:szCs w:val="24"/>
        </w:rPr>
        <w:t xml:space="preserve">During this period of limited duty he also received epidural steroid injections and had some relief after the first injection but no pain relief with any later injections. </w:t>
      </w:r>
      <w:r w:rsidR="004578BC">
        <w:rPr>
          <w:color w:val="auto"/>
          <w:szCs w:val="24"/>
        </w:rPr>
        <w:t xml:space="preserve"> </w:t>
      </w:r>
      <w:r w:rsidR="000F0450">
        <w:rPr>
          <w:color w:val="auto"/>
          <w:szCs w:val="24"/>
        </w:rPr>
        <w:t xml:space="preserve">He had some response to physical therapy and chiropractic manipulation but was still unable to stand for prolonged periods of time, run, or lift. </w:t>
      </w:r>
      <w:r w:rsidR="004578BC">
        <w:rPr>
          <w:color w:val="auto"/>
          <w:szCs w:val="24"/>
        </w:rPr>
        <w:t xml:space="preserve"> </w:t>
      </w:r>
      <w:r w:rsidR="000F0450">
        <w:rPr>
          <w:color w:val="auto"/>
          <w:szCs w:val="24"/>
        </w:rPr>
        <w:t xml:space="preserve">At the time of the </w:t>
      </w:r>
      <w:r w:rsidR="003E0782">
        <w:rPr>
          <w:color w:val="auto"/>
          <w:szCs w:val="24"/>
        </w:rPr>
        <w:t>second NARSUM</w:t>
      </w:r>
      <w:r w:rsidR="000F0450">
        <w:rPr>
          <w:color w:val="auto"/>
          <w:szCs w:val="24"/>
        </w:rPr>
        <w:t xml:space="preserve"> 20040224 he had constant low back pain</w:t>
      </w:r>
      <w:r w:rsidR="00A02954">
        <w:rPr>
          <w:color w:val="auto"/>
          <w:szCs w:val="24"/>
        </w:rPr>
        <w:t xml:space="preserve"> with intermittent periods of spas</w:t>
      </w:r>
      <w:r w:rsidR="003470ED">
        <w:rPr>
          <w:color w:val="auto"/>
          <w:szCs w:val="24"/>
        </w:rPr>
        <w:t>m</w:t>
      </w:r>
      <w:r w:rsidR="00A02954">
        <w:rPr>
          <w:color w:val="auto"/>
          <w:szCs w:val="24"/>
        </w:rPr>
        <w:t xml:space="preserve"> and radiation down the left leg. </w:t>
      </w:r>
      <w:r w:rsidR="004578BC">
        <w:rPr>
          <w:color w:val="auto"/>
          <w:szCs w:val="24"/>
        </w:rPr>
        <w:t xml:space="preserve"> </w:t>
      </w:r>
      <w:r w:rsidR="00A02954">
        <w:rPr>
          <w:color w:val="auto"/>
          <w:szCs w:val="24"/>
        </w:rPr>
        <w:t xml:space="preserve">He had no bowel or bladder complaints. </w:t>
      </w:r>
      <w:r w:rsidR="004578BC">
        <w:rPr>
          <w:color w:val="auto"/>
          <w:szCs w:val="24"/>
        </w:rPr>
        <w:t xml:space="preserve"> </w:t>
      </w:r>
      <w:r w:rsidR="00A02954">
        <w:rPr>
          <w:color w:val="auto"/>
          <w:szCs w:val="24"/>
        </w:rPr>
        <w:t xml:space="preserve">On examination there was no spasm but he was tender to palpation over his left sacroiliac joint. </w:t>
      </w:r>
      <w:r w:rsidR="004578BC">
        <w:rPr>
          <w:color w:val="auto"/>
          <w:szCs w:val="24"/>
        </w:rPr>
        <w:t xml:space="preserve"> </w:t>
      </w:r>
      <w:r w:rsidR="00A02954">
        <w:rPr>
          <w:color w:val="auto"/>
          <w:szCs w:val="24"/>
        </w:rPr>
        <w:t>Motor exam was 5/5 in all lower extremity muscles tested and sensory exam was intact to light touch and pinprick in all dermatomes.</w:t>
      </w:r>
      <w:r w:rsidR="004578BC">
        <w:rPr>
          <w:color w:val="auto"/>
          <w:szCs w:val="24"/>
        </w:rPr>
        <w:t xml:space="preserve"> </w:t>
      </w:r>
      <w:r w:rsidR="00A02954">
        <w:rPr>
          <w:color w:val="auto"/>
          <w:szCs w:val="24"/>
        </w:rPr>
        <w:t xml:space="preserve"> Straight leg test was symmetrical bilaterally to 80 degrees, limited by tight hamstrings.</w:t>
      </w:r>
      <w:r w:rsidR="003E0782">
        <w:rPr>
          <w:color w:val="auto"/>
          <w:szCs w:val="24"/>
        </w:rPr>
        <w:t xml:space="preserve"> </w:t>
      </w:r>
      <w:r w:rsidR="004578BC">
        <w:rPr>
          <w:color w:val="auto"/>
          <w:szCs w:val="24"/>
        </w:rPr>
        <w:t xml:space="preserve"> </w:t>
      </w:r>
      <w:r w:rsidR="003E0782">
        <w:rPr>
          <w:color w:val="auto"/>
          <w:szCs w:val="24"/>
        </w:rPr>
        <w:t xml:space="preserve">Patrick’s and </w:t>
      </w:r>
      <w:proofErr w:type="spellStart"/>
      <w:r w:rsidR="003E0782">
        <w:rPr>
          <w:color w:val="auto"/>
          <w:szCs w:val="24"/>
        </w:rPr>
        <w:t>Gaenslen’s</w:t>
      </w:r>
      <w:proofErr w:type="spellEnd"/>
      <w:r w:rsidR="003E0782">
        <w:rPr>
          <w:color w:val="auto"/>
          <w:szCs w:val="24"/>
        </w:rPr>
        <w:t xml:space="preserve"> tests were positive on the right and negative on the left. </w:t>
      </w:r>
      <w:r w:rsidR="004578BC">
        <w:rPr>
          <w:color w:val="auto"/>
          <w:szCs w:val="24"/>
        </w:rPr>
        <w:t xml:space="preserve"> </w:t>
      </w:r>
      <w:r w:rsidR="003E0782">
        <w:rPr>
          <w:color w:val="auto"/>
          <w:szCs w:val="24"/>
        </w:rPr>
        <w:t xml:space="preserve">It was felt that he had now reached the maximum medical benefit of outpatient therapy and it was not clear that he was a surgical candidate. </w:t>
      </w:r>
      <w:r w:rsidR="004578BC">
        <w:rPr>
          <w:color w:val="auto"/>
          <w:szCs w:val="24"/>
        </w:rPr>
        <w:t xml:space="preserve"> </w:t>
      </w:r>
      <w:r w:rsidR="003E0782">
        <w:rPr>
          <w:color w:val="auto"/>
          <w:szCs w:val="24"/>
        </w:rPr>
        <w:t>His duty limitations of no prolonged standing, walking, lifting, or running was continued and he was referred to the PEB.</w:t>
      </w:r>
    </w:p>
    <w:p w:rsidR="003E0782" w:rsidRDefault="003E0782" w:rsidP="00A13F0B">
      <w:pPr>
        <w:autoSpaceDE w:val="0"/>
        <w:autoSpaceDN w:val="0"/>
        <w:adjustRightInd w:val="0"/>
        <w:spacing w:line="240" w:lineRule="exact"/>
        <w:jc w:val="both"/>
        <w:rPr>
          <w:color w:val="auto"/>
          <w:szCs w:val="24"/>
        </w:rPr>
      </w:pPr>
    </w:p>
    <w:p w:rsidR="003E0782" w:rsidRDefault="003E0782" w:rsidP="00A13F0B">
      <w:pPr>
        <w:autoSpaceDE w:val="0"/>
        <w:autoSpaceDN w:val="0"/>
        <w:adjustRightInd w:val="0"/>
        <w:spacing w:line="240" w:lineRule="exact"/>
        <w:jc w:val="both"/>
        <w:rPr>
          <w:color w:val="auto"/>
          <w:szCs w:val="24"/>
        </w:rPr>
      </w:pPr>
      <w:r>
        <w:rPr>
          <w:color w:val="auto"/>
          <w:szCs w:val="24"/>
        </w:rPr>
        <w:t xml:space="preserve">No ROM exam was measured in either NARSUM although the initial one stated full ROM. The VA </w:t>
      </w:r>
      <w:r w:rsidR="004578BC">
        <w:rPr>
          <w:color w:val="auto"/>
          <w:szCs w:val="24"/>
        </w:rPr>
        <w:t>Compensation and Pension (</w:t>
      </w:r>
      <w:r>
        <w:rPr>
          <w:color w:val="auto"/>
          <w:szCs w:val="24"/>
        </w:rPr>
        <w:t>C&amp;P</w:t>
      </w:r>
      <w:r w:rsidR="004578BC">
        <w:rPr>
          <w:color w:val="auto"/>
          <w:szCs w:val="24"/>
        </w:rPr>
        <w:t>)</w:t>
      </w:r>
      <w:r>
        <w:rPr>
          <w:color w:val="auto"/>
          <w:szCs w:val="24"/>
        </w:rPr>
        <w:t xml:space="preserve"> examination of 20040719 (one month prior to separation f</w:t>
      </w:r>
      <w:r w:rsidR="00470676">
        <w:rPr>
          <w:color w:val="auto"/>
          <w:szCs w:val="24"/>
        </w:rPr>
        <w:t>ro</w:t>
      </w:r>
      <w:r>
        <w:rPr>
          <w:color w:val="auto"/>
          <w:szCs w:val="24"/>
        </w:rPr>
        <w:t xml:space="preserve">m service) did include a complete ROM examination. It also reported no radiation of pain, muscle spasm, or tenderness, negative straight leg raise, and no bowel, bladder, or erectile dysfunction. </w:t>
      </w:r>
      <w:r w:rsidR="004578BC">
        <w:rPr>
          <w:color w:val="auto"/>
          <w:szCs w:val="24"/>
        </w:rPr>
        <w:t xml:space="preserve"> </w:t>
      </w:r>
      <w:r>
        <w:rPr>
          <w:color w:val="auto"/>
          <w:szCs w:val="24"/>
        </w:rPr>
        <w:t>The lower extremities had normal motor and sensory and deep tendon reflexes of 2+ bilaterally.</w:t>
      </w:r>
      <w:r w:rsidR="00470676">
        <w:rPr>
          <w:color w:val="auto"/>
          <w:szCs w:val="24"/>
        </w:rPr>
        <w:t xml:space="preserve"> </w:t>
      </w:r>
      <w:r w:rsidR="004578BC">
        <w:rPr>
          <w:color w:val="auto"/>
          <w:szCs w:val="24"/>
        </w:rPr>
        <w:t xml:space="preserve"> </w:t>
      </w:r>
      <w:r w:rsidR="00391659">
        <w:rPr>
          <w:color w:val="auto"/>
          <w:szCs w:val="24"/>
        </w:rPr>
        <w:t xml:space="preserve">A rating of 20% was assigned with 10% for limited range of motion of the thoracolumbar spine and an additional 10% for pain. The 10% </w:t>
      </w:r>
      <w:r w:rsidR="00391659">
        <w:rPr>
          <w:color w:val="auto"/>
          <w:szCs w:val="24"/>
        </w:rPr>
        <w:lastRenderedPageBreak/>
        <w:t xml:space="preserve">rating was applied in error and </w:t>
      </w:r>
      <w:r w:rsidR="003470ED">
        <w:rPr>
          <w:color w:val="auto"/>
          <w:szCs w:val="24"/>
        </w:rPr>
        <w:t>was</w:t>
      </w:r>
      <w:r w:rsidR="00391659">
        <w:rPr>
          <w:color w:val="auto"/>
          <w:szCs w:val="24"/>
        </w:rPr>
        <w:t xml:space="preserve"> not </w:t>
      </w:r>
      <w:r w:rsidR="003470ED">
        <w:rPr>
          <w:color w:val="auto"/>
          <w:szCs w:val="24"/>
        </w:rPr>
        <w:t>in accordance with</w:t>
      </w:r>
      <w:r w:rsidR="00391659">
        <w:rPr>
          <w:color w:val="auto"/>
          <w:szCs w:val="24"/>
        </w:rPr>
        <w:t xml:space="preserve"> the VASRD. </w:t>
      </w:r>
      <w:r w:rsidR="004578BC">
        <w:rPr>
          <w:color w:val="auto"/>
          <w:szCs w:val="24"/>
        </w:rPr>
        <w:t xml:space="preserve"> </w:t>
      </w:r>
      <w:r w:rsidR="00470676">
        <w:rPr>
          <w:color w:val="auto"/>
          <w:szCs w:val="24"/>
        </w:rPr>
        <w:t>A</w:t>
      </w:r>
      <w:r>
        <w:rPr>
          <w:color w:val="auto"/>
          <w:szCs w:val="24"/>
        </w:rPr>
        <w:t xml:space="preserve"> second VA C&amp;P examination was done 20060408 </w:t>
      </w:r>
      <w:r w:rsidR="00470676">
        <w:rPr>
          <w:color w:val="auto"/>
          <w:szCs w:val="24"/>
        </w:rPr>
        <w:t xml:space="preserve">after a motor vehicle accident 20060107 with whiplash injury and aggravation of low back pain. </w:t>
      </w:r>
      <w:r w:rsidR="00391659">
        <w:rPr>
          <w:color w:val="auto"/>
          <w:szCs w:val="24"/>
        </w:rPr>
        <w:t xml:space="preserve">He missed a considerable amount of work and was receiving Workers </w:t>
      </w:r>
      <w:r w:rsidR="003470ED">
        <w:rPr>
          <w:color w:val="auto"/>
          <w:szCs w:val="24"/>
        </w:rPr>
        <w:t>C</w:t>
      </w:r>
      <w:r w:rsidR="00391659">
        <w:rPr>
          <w:color w:val="auto"/>
          <w:szCs w:val="24"/>
        </w:rPr>
        <w:t xml:space="preserve">ompensation. </w:t>
      </w:r>
      <w:r w:rsidR="004578BC">
        <w:rPr>
          <w:color w:val="auto"/>
          <w:szCs w:val="24"/>
        </w:rPr>
        <w:t xml:space="preserve"> </w:t>
      </w:r>
      <w:r w:rsidR="00391659">
        <w:rPr>
          <w:color w:val="auto"/>
          <w:szCs w:val="24"/>
        </w:rPr>
        <w:t>A 20% rating was assigned based on incapacitating episodes of at least two weeks but less than four weeks during the previous twelve months.</w:t>
      </w:r>
      <w:r>
        <w:rPr>
          <w:color w:val="auto"/>
          <w:szCs w:val="24"/>
        </w:rPr>
        <w:t xml:space="preserve"> </w:t>
      </w:r>
    </w:p>
    <w:p w:rsidR="00470676" w:rsidRDefault="00470676" w:rsidP="00A13F0B">
      <w:pPr>
        <w:autoSpaceDE w:val="0"/>
        <w:autoSpaceDN w:val="0"/>
        <w:adjustRightInd w:val="0"/>
        <w:spacing w:line="240" w:lineRule="exact"/>
        <w:jc w:val="both"/>
        <w:rPr>
          <w:color w:val="auto"/>
          <w:szCs w:val="24"/>
        </w:rPr>
      </w:pPr>
    </w:p>
    <w:tbl>
      <w:tblPr>
        <w:tblStyle w:val="TableGrid"/>
        <w:tblW w:w="10080" w:type="dxa"/>
        <w:tblInd w:w="-342" w:type="dxa"/>
        <w:tblLook w:val="04A0"/>
      </w:tblPr>
      <w:tblGrid>
        <w:gridCol w:w="2160"/>
        <w:gridCol w:w="1260"/>
        <w:gridCol w:w="4770"/>
        <w:gridCol w:w="1890"/>
      </w:tblGrid>
      <w:tr w:rsidR="00470676" w:rsidTr="004D4373">
        <w:tc>
          <w:tcPr>
            <w:tcW w:w="2160" w:type="dxa"/>
          </w:tcPr>
          <w:p w:rsidR="00470676" w:rsidRDefault="00470676" w:rsidP="00A13F0B">
            <w:pPr>
              <w:autoSpaceDE w:val="0"/>
              <w:autoSpaceDN w:val="0"/>
              <w:adjustRightInd w:val="0"/>
              <w:spacing w:line="240" w:lineRule="exact"/>
              <w:jc w:val="both"/>
              <w:rPr>
                <w:color w:val="auto"/>
                <w:szCs w:val="24"/>
              </w:rPr>
            </w:pPr>
            <w:r>
              <w:rPr>
                <w:color w:val="auto"/>
                <w:szCs w:val="24"/>
              </w:rPr>
              <w:t>Thoracolumbar</w:t>
            </w:r>
          </w:p>
        </w:tc>
        <w:tc>
          <w:tcPr>
            <w:tcW w:w="1260" w:type="dxa"/>
          </w:tcPr>
          <w:p w:rsidR="00470676" w:rsidRDefault="00470676" w:rsidP="00470676">
            <w:pPr>
              <w:autoSpaceDE w:val="0"/>
              <w:autoSpaceDN w:val="0"/>
              <w:adjustRightInd w:val="0"/>
              <w:spacing w:line="240" w:lineRule="exact"/>
              <w:jc w:val="center"/>
              <w:rPr>
                <w:color w:val="auto"/>
                <w:szCs w:val="24"/>
              </w:rPr>
            </w:pPr>
            <w:r>
              <w:rPr>
                <w:color w:val="auto"/>
                <w:szCs w:val="24"/>
              </w:rPr>
              <w:t>Normal</w:t>
            </w:r>
          </w:p>
        </w:tc>
        <w:tc>
          <w:tcPr>
            <w:tcW w:w="4770" w:type="dxa"/>
          </w:tcPr>
          <w:p w:rsidR="00470676" w:rsidRDefault="00470676" w:rsidP="00470676">
            <w:pPr>
              <w:autoSpaceDE w:val="0"/>
              <w:autoSpaceDN w:val="0"/>
              <w:adjustRightInd w:val="0"/>
              <w:spacing w:line="240" w:lineRule="exact"/>
              <w:jc w:val="center"/>
              <w:rPr>
                <w:color w:val="auto"/>
                <w:szCs w:val="24"/>
              </w:rPr>
            </w:pPr>
            <w:r>
              <w:rPr>
                <w:color w:val="auto"/>
                <w:szCs w:val="24"/>
              </w:rPr>
              <w:t>VA C&amp;P 20040719</w:t>
            </w:r>
          </w:p>
        </w:tc>
        <w:tc>
          <w:tcPr>
            <w:tcW w:w="1890" w:type="dxa"/>
          </w:tcPr>
          <w:p w:rsidR="00470676" w:rsidRDefault="00470676" w:rsidP="00470676">
            <w:pPr>
              <w:autoSpaceDE w:val="0"/>
              <w:autoSpaceDN w:val="0"/>
              <w:adjustRightInd w:val="0"/>
              <w:spacing w:line="240" w:lineRule="exact"/>
              <w:jc w:val="center"/>
              <w:rPr>
                <w:color w:val="auto"/>
                <w:szCs w:val="24"/>
              </w:rPr>
            </w:pPr>
            <w:r>
              <w:rPr>
                <w:color w:val="auto"/>
                <w:szCs w:val="24"/>
              </w:rPr>
              <w:t>VA C&amp;P 20060408</w:t>
            </w:r>
          </w:p>
        </w:tc>
      </w:tr>
      <w:tr w:rsidR="00470676" w:rsidTr="004D4373">
        <w:tc>
          <w:tcPr>
            <w:tcW w:w="2160" w:type="dxa"/>
          </w:tcPr>
          <w:p w:rsidR="00470676" w:rsidRDefault="00470676" w:rsidP="00A13F0B">
            <w:pPr>
              <w:autoSpaceDE w:val="0"/>
              <w:autoSpaceDN w:val="0"/>
              <w:adjustRightInd w:val="0"/>
              <w:spacing w:line="240" w:lineRule="exact"/>
              <w:jc w:val="both"/>
              <w:rPr>
                <w:color w:val="auto"/>
                <w:szCs w:val="24"/>
              </w:rPr>
            </w:pPr>
            <w:r>
              <w:rPr>
                <w:color w:val="auto"/>
                <w:szCs w:val="24"/>
              </w:rPr>
              <w:t>Flexion</w:t>
            </w:r>
          </w:p>
        </w:tc>
        <w:tc>
          <w:tcPr>
            <w:tcW w:w="1260" w:type="dxa"/>
          </w:tcPr>
          <w:p w:rsidR="00470676" w:rsidRDefault="00470676" w:rsidP="00470676">
            <w:pPr>
              <w:autoSpaceDE w:val="0"/>
              <w:autoSpaceDN w:val="0"/>
              <w:adjustRightInd w:val="0"/>
              <w:spacing w:line="240" w:lineRule="exact"/>
              <w:jc w:val="center"/>
              <w:rPr>
                <w:color w:val="auto"/>
                <w:szCs w:val="24"/>
              </w:rPr>
            </w:pPr>
            <w:r>
              <w:rPr>
                <w:color w:val="auto"/>
                <w:szCs w:val="24"/>
              </w:rPr>
              <w:t>90</w:t>
            </w:r>
          </w:p>
        </w:tc>
        <w:tc>
          <w:tcPr>
            <w:tcW w:w="4770" w:type="dxa"/>
          </w:tcPr>
          <w:p w:rsidR="00470676" w:rsidRDefault="00470676" w:rsidP="00470676">
            <w:pPr>
              <w:autoSpaceDE w:val="0"/>
              <w:autoSpaceDN w:val="0"/>
              <w:adjustRightInd w:val="0"/>
              <w:spacing w:line="240" w:lineRule="exact"/>
              <w:jc w:val="center"/>
              <w:rPr>
                <w:color w:val="auto"/>
                <w:szCs w:val="24"/>
              </w:rPr>
            </w:pPr>
            <w:r>
              <w:rPr>
                <w:color w:val="auto"/>
                <w:szCs w:val="24"/>
              </w:rPr>
              <w:t>75</w:t>
            </w:r>
          </w:p>
        </w:tc>
        <w:tc>
          <w:tcPr>
            <w:tcW w:w="1890" w:type="dxa"/>
          </w:tcPr>
          <w:p w:rsidR="00470676" w:rsidRDefault="00470676" w:rsidP="00470676">
            <w:pPr>
              <w:autoSpaceDE w:val="0"/>
              <w:autoSpaceDN w:val="0"/>
              <w:adjustRightInd w:val="0"/>
              <w:spacing w:line="240" w:lineRule="exact"/>
              <w:jc w:val="center"/>
              <w:rPr>
                <w:color w:val="auto"/>
                <w:szCs w:val="24"/>
              </w:rPr>
            </w:pPr>
            <w:r>
              <w:rPr>
                <w:color w:val="auto"/>
                <w:szCs w:val="24"/>
              </w:rPr>
              <w:t>65</w:t>
            </w:r>
          </w:p>
        </w:tc>
      </w:tr>
      <w:tr w:rsidR="00470676" w:rsidTr="004D4373">
        <w:tc>
          <w:tcPr>
            <w:tcW w:w="2160" w:type="dxa"/>
          </w:tcPr>
          <w:p w:rsidR="00470676" w:rsidRDefault="00470676" w:rsidP="00A13F0B">
            <w:pPr>
              <w:autoSpaceDE w:val="0"/>
              <w:autoSpaceDN w:val="0"/>
              <w:adjustRightInd w:val="0"/>
              <w:spacing w:line="240" w:lineRule="exact"/>
              <w:jc w:val="both"/>
              <w:rPr>
                <w:color w:val="auto"/>
                <w:szCs w:val="24"/>
              </w:rPr>
            </w:pPr>
            <w:r>
              <w:rPr>
                <w:color w:val="auto"/>
                <w:szCs w:val="24"/>
              </w:rPr>
              <w:t>Extension</w:t>
            </w:r>
          </w:p>
        </w:tc>
        <w:tc>
          <w:tcPr>
            <w:tcW w:w="1260" w:type="dxa"/>
          </w:tcPr>
          <w:p w:rsidR="00470676" w:rsidRDefault="00470676" w:rsidP="00470676">
            <w:pPr>
              <w:autoSpaceDE w:val="0"/>
              <w:autoSpaceDN w:val="0"/>
              <w:adjustRightInd w:val="0"/>
              <w:spacing w:line="240" w:lineRule="exact"/>
              <w:jc w:val="center"/>
              <w:rPr>
                <w:color w:val="auto"/>
                <w:szCs w:val="24"/>
              </w:rPr>
            </w:pPr>
            <w:r>
              <w:rPr>
                <w:color w:val="auto"/>
                <w:szCs w:val="24"/>
              </w:rPr>
              <w:t>30</w:t>
            </w:r>
          </w:p>
        </w:tc>
        <w:tc>
          <w:tcPr>
            <w:tcW w:w="4770" w:type="dxa"/>
          </w:tcPr>
          <w:p w:rsidR="00470676" w:rsidRDefault="00470676" w:rsidP="00470676">
            <w:pPr>
              <w:autoSpaceDE w:val="0"/>
              <w:autoSpaceDN w:val="0"/>
              <w:adjustRightInd w:val="0"/>
              <w:spacing w:line="240" w:lineRule="exact"/>
              <w:jc w:val="center"/>
              <w:rPr>
                <w:color w:val="auto"/>
                <w:szCs w:val="24"/>
              </w:rPr>
            </w:pPr>
            <w:r>
              <w:rPr>
                <w:color w:val="auto"/>
                <w:szCs w:val="24"/>
              </w:rPr>
              <w:t>30</w:t>
            </w:r>
          </w:p>
        </w:tc>
        <w:tc>
          <w:tcPr>
            <w:tcW w:w="1890" w:type="dxa"/>
          </w:tcPr>
          <w:p w:rsidR="00470676" w:rsidRDefault="00470676" w:rsidP="00470676">
            <w:pPr>
              <w:autoSpaceDE w:val="0"/>
              <w:autoSpaceDN w:val="0"/>
              <w:adjustRightInd w:val="0"/>
              <w:spacing w:line="240" w:lineRule="exact"/>
              <w:jc w:val="center"/>
              <w:rPr>
                <w:color w:val="auto"/>
                <w:szCs w:val="24"/>
              </w:rPr>
            </w:pPr>
            <w:r>
              <w:rPr>
                <w:color w:val="auto"/>
                <w:szCs w:val="24"/>
              </w:rPr>
              <w:t>20</w:t>
            </w:r>
          </w:p>
        </w:tc>
      </w:tr>
      <w:tr w:rsidR="00470676" w:rsidTr="004D4373">
        <w:tc>
          <w:tcPr>
            <w:tcW w:w="2160" w:type="dxa"/>
          </w:tcPr>
          <w:p w:rsidR="00470676" w:rsidRDefault="00470676" w:rsidP="00A13F0B">
            <w:pPr>
              <w:autoSpaceDE w:val="0"/>
              <w:autoSpaceDN w:val="0"/>
              <w:adjustRightInd w:val="0"/>
              <w:spacing w:line="240" w:lineRule="exact"/>
              <w:jc w:val="both"/>
              <w:rPr>
                <w:color w:val="auto"/>
                <w:szCs w:val="24"/>
              </w:rPr>
            </w:pPr>
            <w:r>
              <w:rPr>
                <w:color w:val="auto"/>
                <w:szCs w:val="24"/>
              </w:rPr>
              <w:t>Right Lateral Flexion</w:t>
            </w:r>
          </w:p>
        </w:tc>
        <w:tc>
          <w:tcPr>
            <w:tcW w:w="1260" w:type="dxa"/>
          </w:tcPr>
          <w:p w:rsidR="00470676" w:rsidRDefault="00470676" w:rsidP="00470676">
            <w:pPr>
              <w:autoSpaceDE w:val="0"/>
              <w:autoSpaceDN w:val="0"/>
              <w:adjustRightInd w:val="0"/>
              <w:spacing w:line="240" w:lineRule="exact"/>
              <w:jc w:val="center"/>
              <w:rPr>
                <w:color w:val="auto"/>
                <w:szCs w:val="24"/>
              </w:rPr>
            </w:pPr>
            <w:r>
              <w:rPr>
                <w:color w:val="auto"/>
                <w:szCs w:val="24"/>
              </w:rPr>
              <w:t>30</w:t>
            </w:r>
          </w:p>
        </w:tc>
        <w:tc>
          <w:tcPr>
            <w:tcW w:w="4770" w:type="dxa"/>
          </w:tcPr>
          <w:p w:rsidR="00470676" w:rsidRDefault="00470676" w:rsidP="00470676">
            <w:pPr>
              <w:autoSpaceDE w:val="0"/>
              <w:autoSpaceDN w:val="0"/>
              <w:adjustRightInd w:val="0"/>
              <w:spacing w:line="240" w:lineRule="exact"/>
              <w:jc w:val="center"/>
              <w:rPr>
                <w:color w:val="auto"/>
                <w:szCs w:val="24"/>
              </w:rPr>
            </w:pPr>
            <w:r>
              <w:rPr>
                <w:color w:val="auto"/>
                <w:szCs w:val="24"/>
              </w:rPr>
              <w:t>30</w:t>
            </w:r>
          </w:p>
        </w:tc>
        <w:tc>
          <w:tcPr>
            <w:tcW w:w="1890" w:type="dxa"/>
          </w:tcPr>
          <w:p w:rsidR="00470676" w:rsidRDefault="00470676" w:rsidP="00470676">
            <w:pPr>
              <w:autoSpaceDE w:val="0"/>
              <w:autoSpaceDN w:val="0"/>
              <w:adjustRightInd w:val="0"/>
              <w:spacing w:line="240" w:lineRule="exact"/>
              <w:jc w:val="center"/>
              <w:rPr>
                <w:color w:val="auto"/>
                <w:szCs w:val="24"/>
              </w:rPr>
            </w:pPr>
            <w:r>
              <w:rPr>
                <w:color w:val="auto"/>
                <w:szCs w:val="24"/>
              </w:rPr>
              <w:t>25</w:t>
            </w:r>
          </w:p>
        </w:tc>
      </w:tr>
      <w:tr w:rsidR="00470676" w:rsidTr="004D4373">
        <w:tc>
          <w:tcPr>
            <w:tcW w:w="2160" w:type="dxa"/>
          </w:tcPr>
          <w:p w:rsidR="00470676" w:rsidRDefault="00470676" w:rsidP="00A13F0B">
            <w:pPr>
              <w:autoSpaceDE w:val="0"/>
              <w:autoSpaceDN w:val="0"/>
              <w:adjustRightInd w:val="0"/>
              <w:spacing w:line="240" w:lineRule="exact"/>
              <w:jc w:val="both"/>
              <w:rPr>
                <w:color w:val="auto"/>
                <w:szCs w:val="24"/>
              </w:rPr>
            </w:pPr>
            <w:r>
              <w:rPr>
                <w:color w:val="auto"/>
                <w:szCs w:val="24"/>
              </w:rPr>
              <w:t>Left Lateral Flexion</w:t>
            </w:r>
          </w:p>
        </w:tc>
        <w:tc>
          <w:tcPr>
            <w:tcW w:w="1260" w:type="dxa"/>
          </w:tcPr>
          <w:p w:rsidR="00470676" w:rsidRDefault="00470676" w:rsidP="00470676">
            <w:pPr>
              <w:autoSpaceDE w:val="0"/>
              <w:autoSpaceDN w:val="0"/>
              <w:adjustRightInd w:val="0"/>
              <w:spacing w:line="240" w:lineRule="exact"/>
              <w:jc w:val="center"/>
              <w:rPr>
                <w:color w:val="auto"/>
                <w:szCs w:val="24"/>
              </w:rPr>
            </w:pPr>
            <w:r>
              <w:rPr>
                <w:color w:val="auto"/>
                <w:szCs w:val="24"/>
              </w:rPr>
              <w:t>30</w:t>
            </w:r>
          </w:p>
        </w:tc>
        <w:tc>
          <w:tcPr>
            <w:tcW w:w="4770" w:type="dxa"/>
          </w:tcPr>
          <w:p w:rsidR="00470676" w:rsidRDefault="00470676" w:rsidP="00470676">
            <w:pPr>
              <w:autoSpaceDE w:val="0"/>
              <w:autoSpaceDN w:val="0"/>
              <w:adjustRightInd w:val="0"/>
              <w:spacing w:line="240" w:lineRule="exact"/>
              <w:jc w:val="center"/>
              <w:rPr>
                <w:color w:val="auto"/>
                <w:szCs w:val="24"/>
              </w:rPr>
            </w:pPr>
            <w:r>
              <w:rPr>
                <w:color w:val="auto"/>
                <w:szCs w:val="24"/>
              </w:rPr>
              <w:t>25</w:t>
            </w:r>
          </w:p>
        </w:tc>
        <w:tc>
          <w:tcPr>
            <w:tcW w:w="1890" w:type="dxa"/>
          </w:tcPr>
          <w:p w:rsidR="00470676" w:rsidRDefault="00470676" w:rsidP="00470676">
            <w:pPr>
              <w:autoSpaceDE w:val="0"/>
              <w:autoSpaceDN w:val="0"/>
              <w:adjustRightInd w:val="0"/>
              <w:spacing w:line="240" w:lineRule="exact"/>
              <w:jc w:val="center"/>
              <w:rPr>
                <w:color w:val="auto"/>
                <w:szCs w:val="24"/>
              </w:rPr>
            </w:pPr>
            <w:r>
              <w:rPr>
                <w:color w:val="auto"/>
                <w:szCs w:val="24"/>
              </w:rPr>
              <w:t>25</w:t>
            </w:r>
          </w:p>
        </w:tc>
      </w:tr>
      <w:tr w:rsidR="00470676" w:rsidTr="004D4373">
        <w:tc>
          <w:tcPr>
            <w:tcW w:w="2160" w:type="dxa"/>
          </w:tcPr>
          <w:p w:rsidR="00470676" w:rsidRDefault="00470676" w:rsidP="00A13F0B">
            <w:pPr>
              <w:autoSpaceDE w:val="0"/>
              <w:autoSpaceDN w:val="0"/>
              <w:adjustRightInd w:val="0"/>
              <w:spacing w:line="240" w:lineRule="exact"/>
              <w:jc w:val="both"/>
              <w:rPr>
                <w:color w:val="auto"/>
                <w:szCs w:val="24"/>
              </w:rPr>
            </w:pPr>
            <w:r>
              <w:rPr>
                <w:color w:val="auto"/>
                <w:szCs w:val="24"/>
              </w:rPr>
              <w:t>Right Rotation</w:t>
            </w:r>
          </w:p>
        </w:tc>
        <w:tc>
          <w:tcPr>
            <w:tcW w:w="1260" w:type="dxa"/>
          </w:tcPr>
          <w:p w:rsidR="00470676" w:rsidRDefault="00470676" w:rsidP="00470676">
            <w:pPr>
              <w:autoSpaceDE w:val="0"/>
              <w:autoSpaceDN w:val="0"/>
              <w:adjustRightInd w:val="0"/>
              <w:spacing w:line="240" w:lineRule="exact"/>
              <w:jc w:val="center"/>
              <w:rPr>
                <w:color w:val="auto"/>
                <w:szCs w:val="24"/>
              </w:rPr>
            </w:pPr>
            <w:r>
              <w:rPr>
                <w:color w:val="auto"/>
                <w:szCs w:val="24"/>
              </w:rPr>
              <w:t>30</w:t>
            </w:r>
          </w:p>
        </w:tc>
        <w:tc>
          <w:tcPr>
            <w:tcW w:w="4770" w:type="dxa"/>
          </w:tcPr>
          <w:p w:rsidR="00470676" w:rsidRDefault="00470676" w:rsidP="00470676">
            <w:pPr>
              <w:autoSpaceDE w:val="0"/>
              <w:autoSpaceDN w:val="0"/>
              <w:adjustRightInd w:val="0"/>
              <w:spacing w:line="240" w:lineRule="exact"/>
              <w:jc w:val="center"/>
              <w:rPr>
                <w:color w:val="auto"/>
                <w:szCs w:val="24"/>
              </w:rPr>
            </w:pPr>
            <w:r>
              <w:rPr>
                <w:color w:val="auto"/>
                <w:szCs w:val="24"/>
              </w:rPr>
              <w:t>30</w:t>
            </w:r>
          </w:p>
        </w:tc>
        <w:tc>
          <w:tcPr>
            <w:tcW w:w="1890" w:type="dxa"/>
          </w:tcPr>
          <w:p w:rsidR="00470676" w:rsidRDefault="00470676" w:rsidP="00470676">
            <w:pPr>
              <w:autoSpaceDE w:val="0"/>
              <w:autoSpaceDN w:val="0"/>
              <w:adjustRightInd w:val="0"/>
              <w:spacing w:line="240" w:lineRule="exact"/>
              <w:jc w:val="center"/>
              <w:rPr>
                <w:color w:val="auto"/>
                <w:szCs w:val="24"/>
              </w:rPr>
            </w:pPr>
            <w:r>
              <w:rPr>
                <w:color w:val="auto"/>
                <w:szCs w:val="24"/>
              </w:rPr>
              <w:t>25</w:t>
            </w:r>
          </w:p>
        </w:tc>
      </w:tr>
      <w:tr w:rsidR="00470676" w:rsidTr="004D4373">
        <w:tc>
          <w:tcPr>
            <w:tcW w:w="2160" w:type="dxa"/>
          </w:tcPr>
          <w:p w:rsidR="00470676" w:rsidRDefault="00470676" w:rsidP="00A13F0B">
            <w:pPr>
              <w:autoSpaceDE w:val="0"/>
              <w:autoSpaceDN w:val="0"/>
              <w:adjustRightInd w:val="0"/>
              <w:spacing w:line="240" w:lineRule="exact"/>
              <w:jc w:val="both"/>
              <w:rPr>
                <w:color w:val="auto"/>
                <w:szCs w:val="24"/>
              </w:rPr>
            </w:pPr>
            <w:r>
              <w:rPr>
                <w:color w:val="auto"/>
                <w:szCs w:val="24"/>
              </w:rPr>
              <w:t>Left Rotation</w:t>
            </w:r>
          </w:p>
        </w:tc>
        <w:tc>
          <w:tcPr>
            <w:tcW w:w="1260" w:type="dxa"/>
          </w:tcPr>
          <w:p w:rsidR="00470676" w:rsidRDefault="00470676" w:rsidP="00470676">
            <w:pPr>
              <w:autoSpaceDE w:val="0"/>
              <w:autoSpaceDN w:val="0"/>
              <w:adjustRightInd w:val="0"/>
              <w:spacing w:line="240" w:lineRule="exact"/>
              <w:jc w:val="center"/>
              <w:rPr>
                <w:color w:val="auto"/>
                <w:szCs w:val="24"/>
              </w:rPr>
            </w:pPr>
            <w:r>
              <w:rPr>
                <w:color w:val="auto"/>
                <w:szCs w:val="24"/>
              </w:rPr>
              <w:t>30</w:t>
            </w:r>
          </w:p>
        </w:tc>
        <w:tc>
          <w:tcPr>
            <w:tcW w:w="4770" w:type="dxa"/>
          </w:tcPr>
          <w:p w:rsidR="00470676" w:rsidRDefault="00470676" w:rsidP="00470676">
            <w:pPr>
              <w:autoSpaceDE w:val="0"/>
              <w:autoSpaceDN w:val="0"/>
              <w:adjustRightInd w:val="0"/>
              <w:spacing w:line="240" w:lineRule="exact"/>
              <w:jc w:val="center"/>
              <w:rPr>
                <w:color w:val="auto"/>
                <w:szCs w:val="24"/>
              </w:rPr>
            </w:pPr>
            <w:r>
              <w:rPr>
                <w:color w:val="auto"/>
                <w:szCs w:val="24"/>
              </w:rPr>
              <w:t>30</w:t>
            </w:r>
          </w:p>
        </w:tc>
        <w:tc>
          <w:tcPr>
            <w:tcW w:w="1890" w:type="dxa"/>
          </w:tcPr>
          <w:p w:rsidR="00470676" w:rsidRDefault="00470676" w:rsidP="00470676">
            <w:pPr>
              <w:autoSpaceDE w:val="0"/>
              <w:autoSpaceDN w:val="0"/>
              <w:adjustRightInd w:val="0"/>
              <w:spacing w:line="240" w:lineRule="exact"/>
              <w:jc w:val="center"/>
              <w:rPr>
                <w:color w:val="auto"/>
                <w:szCs w:val="24"/>
              </w:rPr>
            </w:pPr>
            <w:r>
              <w:rPr>
                <w:color w:val="auto"/>
                <w:szCs w:val="24"/>
              </w:rPr>
              <w:t>25</w:t>
            </w:r>
          </w:p>
        </w:tc>
      </w:tr>
      <w:tr w:rsidR="00470676" w:rsidTr="004D4373">
        <w:tc>
          <w:tcPr>
            <w:tcW w:w="2160" w:type="dxa"/>
          </w:tcPr>
          <w:p w:rsidR="00470676" w:rsidRDefault="00470676" w:rsidP="00A13F0B">
            <w:pPr>
              <w:autoSpaceDE w:val="0"/>
              <w:autoSpaceDN w:val="0"/>
              <w:adjustRightInd w:val="0"/>
              <w:spacing w:line="240" w:lineRule="exact"/>
              <w:jc w:val="both"/>
              <w:rPr>
                <w:color w:val="auto"/>
                <w:szCs w:val="24"/>
              </w:rPr>
            </w:pPr>
            <w:r>
              <w:rPr>
                <w:color w:val="auto"/>
                <w:szCs w:val="24"/>
              </w:rPr>
              <w:t>Total</w:t>
            </w:r>
          </w:p>
        </w:tc>
        <w:tc>
          <w:tcPr>
            <w:tcW w:w="1260" w:type="dxa"/>
          </w:tcPr>
          <w:p w:rsidR="00470676" w:rsidRDefault="00470676" w:rsidP="00470676">
            <w:pPr>
              <w:autoSpaceDE w:val="0"/>
              <w:autoSpaceDN w:val="0"/>
              <w:adjustRightInd w:val="0"/>
              <w:spacing w:line="240" w:lineRule="exact"/>
              <w:jc w:val="center"/>
              <w:rPr>
                <w:color w:val="auto"/>
                <w:szCs w:val="24"/>
              </w:rPr>
            </w:pPr>
            <w:r>
              <w:rPr>
                <w:color w:val="auto"/>
                <w:szCs w:val="24"/>
              </w:rPr>
              <w:t>240</w:t>
            </w:r>
          </w:p>
        </w:tc>
        <w:tc>
          <w:tcPr>
            <w:tcW w:w="4770" w:type="dxa"/>
          </w:tcPr>
          <w:p w:rsidR="00470676" w:rsidRDefault="00470676" w:rsidP="00470676">
            <w:pPr>
              <w:autoSpaceDE w:val="0"/>
              <w:autoSpaceDN w:val="0"/>
              <w:adjustRightInd w:val="0"/>
              <w:spacing w:line="240" w:lineRule="exact"/>
              <w:jc w:val="center"/>
              <w:rPr>
                <w:color w:val="auto"/>
                <w:szCs w:val="24"/>
              </w:rPr>
            </w:pPr>
            <w:r>
              <w:rPr>
                <w:color w:val="auto"/>
                <w:szCs w:val="24"/>
              </w:rPr>
              <w:t>220</w:t>
            </w:r>
          </w:p>
        </w:tc>
        <w:tc>
          <w:tcPr>
            <w:tcW w:w="1890" w:type="dxa"/>
          </w:tcPr>
          <w:p w:rsidR="00470676" w:rsidRDefault="00470676" w:rsidP="00470676">
            <w:pPr>
              <w:autoSpaceDE w:val="0"/>
              <w:autoSpaceDN w:val="0"/>
              <w:adjustRightInd w:val="0"/>
              <w:spacing w:line="240" w:lineRule="exact"/>
              <w:jc w:val="center"/>
              <w:rPr>
                <w:color w:val="auto"/>
                <w:szCs w:val="24"/>
              </w:rPr>
            </w:pPr>
            <w:r>
              <w:rPr>
                <w:color w:val="auto"/>
                <w:szCs w:val="24"/>
              </w:rPr>
              <w:t>185</w:t>
            </w:r>
          </w:p>
        </w:tc>
      </w:tr>
      <w:tr w:rsidR="00470676" w:rsidTr="004D4373">
        <w:tc>
          <w:tcPr>
            <w:tcW w:w="2160" w:type="dxa"/>
          </w:tcPr>
          <w:p w:rsidR="00470676" w:rsidRDefault="00470676" w:rsidP="00A13F0B">
            <w:pPr>
              <w:autoSpaceDE w:val="0"/>
              <w:autoSpaceDN w:val="0"/>
              <w:adjustRightInd w:val="0"/>
              <w:spacing w:line="240" w:lineRule="exact"/>
              <w:jc w:val="both"/>
              <w:rPr>
                <w:color w:val="auto"/>
                <w:szCs w:val="24"/>
              </w:rPr>
            </w:pPr>
          </w:p>
        </w:tc>
        <w:tc>
          <w:tcPr>
            <w:tcW w:w="1260" w:type="dxa"/>
          </w:tcPr>
          <w:p w:rsidR="00470676" w:rsidRDefault="00470676" w:rsidP="00A13F0B">
            <w:pPr>
              <w:autoSpaceDE w:val="0"/>
              <w:autoSpaceDN w:val="0"/>
              <w:adjustRightInd w:val="0"/>
              <w:spacing w:line="240" w:lineRule="exact"/>
              <w:jc w:val="both"/>
              <w:rPr>
                <w:color w:val="auto"/>
                <w:szCs w:val="24"/>
              </w:rPr>
            </w:pPr>
          </w:p>
        </w:tc>
        <w:tc>
          <w:tcPr>
            <w:tcW w:w="4770" w:type="dxa"/>
          </w:tcPr>
          <w:p w:rsidR="00470676" w:rsidRDefault="00470676" w:rsidP="00A13F0B">
            <w:pPr>
              <w:autoSpaceDE w:val="0"/>
              <w:autoSpaceDN w:val="0"/>
              <w:adjustRightInd w:val="0"/>
              <w:spacing w:line="240" w:lineRule="exact"/>
              <w:jc w:val="both"/>
              <w:rPr>
                <w:color w:val="auto"/>
                <w:szCs w:val="24"/>
              </w:rPr>
            </w:pPr>
            <w:r>
              <w:rPr>
                <w:color w:val="auto"/>
                <w:szCs w:val="24"/>
              </w:rPr>
              <w:t>Additionally limited by pain with repeated motion</w:t>
            </w:r>
          </w:p>
        </w:tc>
        <w:tc>
          <w:tcPr>
            <w:tcW w:w="1890" w:type="dxa"/>
          </w:tcPr>
          <w:p w:rsidR="00470676" w:rsidRDefault="00470676" w:rsidP="00A13F0B">
            <w:pPr>
              <w:autoSpaceDE w:val="0"/>
              <w:autoSpaceDN w:val="0"/>
              <w:adjustRightInd w:val="0"/>
              <w:spacing w:line="240" w:lineRule="exact"/>
              <w:jc w:val="both"/>
              <w:rPr>
                <w:color w:val="auto"/>
                <w:szCs w:val="24"/>
              </w:rPr>
            </w:pPr>
          </w:p>
        </w:tc>
      </w:tr>
    </w:tbl>
    <w:p w:rsidR="00470676" w:rsidRDefault="00470676" w:rsidP="00A13F0B">
      <w:pPr>
        <w:autoSpaceDE w:val="0"/>
        <w:autoSpaceDN w:val="0"/>
        <w:adjustRightInd w:val="0"/>
        <w:spacing w:line="240" w:lineRule="exact"/>
        <w:jc w:val="both"/>
        <w:rPr>
          <w:color w:val="auto"/>
          <w:szCs w:val="24"/>
        </w:rPr>
      </w:pPr>
    </w:p>
    <w:p w:rsidR="00A13F0B" w:rsidRPr="00680785" w:rsidRDefault="00A13F0B" w:rsidP="002C6E5B">
      <w:pPr>
        <w:tabs>
          <w:tab w:val="left" w:pos="288"/>
          <w:tab w:val="left" w:pos="4752"/>
        </w:tabs>
        <w:spacing w:line="240" w:lineRule="exact"/>
        <w:jc w:val="both"/>
        <w:rPr>
          <w:color w:val="auto"/>
          <w:szCs w:val="24"/>
          <w:u w:val="single"/>
        </w:rPr>
      </w:pPr>
      <w:r w:rsidRPr="00680785">
        <w:rPr>
          <w:color w:val="auto"/>
          <w:szCs w:val="24"/>
          <w:u w:val="single"/>
        </w:rPr>
        <w:t>Migraine</w:t>
      </w:r>
    </w:p>
    <w:p w:rsidR="004D4373" w:rsidRDefault="00582BC2" w:rsidP="002C6E5B">
      <w:pPr>
        <w:tabs>
          <w:tab w:val="left" w:pos="288"/>
          <w:tab w:val="left" w:pos="4752"/>
        </w:tabs>
        <w:spacing w:line="240" w:lineRule="exact"/>
        <w:jc w:val="both"/>
        <w:rPr>
          <w:color w:val="auto"/>
          <w:szCs w:val="24"/>
        </w:rPr>
      </w:pPr>
      <w:r w:rsidRPr="00582BC2">
        <w:rPr>
          <w:color w:val="auto"/>
          <w:szCs w:val="24"/>
        </w:rPr>
        <w:t xml:space="preserve">The </w:t>
      </w:r>
      <w:r>
        <w:rPr>
          <w:color w:val="auto"/>
          <w:szCs w:val="24"/>
        </w:rPr>
        <w:t>CI</w:t>
      </w:r>
      <w:r w:rsidRPr="00582BC2">
        <w:rPr>
          <w:color w:val="auto"/>
          <w:szCs w:val="24"/>
        </w:rPr>
        <w:t xml:space="preserve"> </w:t>
      </w:r>
      <w:r>
        <w:rPr>
          <w:color w:val="auto"/>
          <w:szCs w:val="24"/>
        </w:rPr>
        <w:t xml:space="preserve">was first seen in the </w:t>
      </w:r>
      <w:r w:rsidRPr="00582BC2">
        <w:rPr>
          <w:color w:val="auto"/>
          <w:szCs w:val="24"/>
        </w:rPr>
        <w:t xml:space="preserve">Headache Clinic </w:t>
      </w:r>
      <w:r>
        <w:rPr>
          <w:color w:val="auto"/>
          <w:szCs w:val="24"/>
        </w:rPr>
        <w:t>in January 20</w:t>
      </w:r>
      <w:r w:rsidRPr="00582BC2">
        <w:rPr>
          <w:color w:val="auto"/>
          <w:szCs w:val="24"/>
        </w:rPr>
        <w:t xml:space="preserve">03 with </w:t>
      </w:r>
      <w:r>
        <w:rPr>
          <w:color w:val="auto"/>
          <w:szCs w:val="24"/>
        </w:rPr>
        <w:t xml:space="preserve">a </w:t>
      </w:r>
      <w:r w:rsidRPr="00582BC2">
        <w:rPr>
          <w:color w:val="auto"/>
          <w:szCs w:val="24"/>
        </w:rPr>
        <w:t>report of headache</w:t>
      </w:r>
      <w:r>
        <w:rPr>
          <w:color w:val="auto"/>
          <w:szCs w:val="24"/>
        </w:rPr>
        <w:t>s</w:t>
      </w:r>
      <w:r w:rsidRPr="00582BC2">
        <w:rPr>
          <w:color w:val="auto"/>
          <w:szCs w:val="24"/>
        </w:rPr>
        <w:t xml:space="preserve"> </w:t>
      </w:r>
      <w:r>
        <w:rPr>
          <w:color w:val="auto"/>
          <w:szCs w:val="24"/>
        </w:rPr>
        <w:t xml:space="preserve">two to three times per </w:t>
      </w:r>
      <w:r w:rsidRPr="00582BC2">
        <w:rPr>
          <w:color w:val="auto"/>
          <w:szCs w:val="24"/>
        </w:rPr>
        <w:t xml:space="preserve">week for </w:t>
      </w:r>
      <w:r>
        <w:rPr>
          <w:color w:val="auto"/>
          <w:szCs w:val="24"/>
        </w:rPr>
        <w:t>three years.</w:t>
      </w:r>
      <w:r w:rsidRPr="00582BC2">
        <w:rPr>
          <w:color w:val="auto"/>
          <w:szCs w:val="24"/>
        </w:rPr>
        <w:t xml:space="preserve"> </w:t>
      </w:r>
      <w:r w:rsidR="004578BC">
        <w:rPr>
          <w:color w:val="auto"/>
          <w:szCs w:val="24"/>
        </w:rPr>
        <w:t xml:space="preserve"> </w:t>
      </w:r>
      <w:r>
        <w:rPr>
          <w:color w:val="auto"/>
          <w:szCs w:val="24"/>
        </w:rPr>
        <w:t xml:space="preserve">The headaches were </w:t>
      </w:r>
      <w:r w:rsidRPr="00582BC2">
        <w:rPr>
          <w:color w:val="auto"/>
          <w:szCs w:val="24"/>
        </w:rPr>
        <w:t xml:space="preserve">accompanied by nausea, photophobia, </w:t>
      </w:r>
      <w:proofErr w:type="spellStart"/>
      <w:r w:rsidRPr="00582BC2">
        <w:rPr>
          <w:color w:val="auto"/>
          <w:szCs w:val="24"/>
        </w:rPr>
        <w:t>phonophobia</w:t>
      </w:r>
      <w:proofErr w:type="spellEnd"/>
      <w:r w:rsidRPr="00582BC2">
        <w:rPr>
          <w:color w:val="auto"/>
          <w:szCs w:val="24"/>
        </w:rPr>
        <w:t>, and fatigue.</w:t>
      </w:r>
      <w:r w:rsidR="004578BC">
        <w:rPr>
          <w:color w:val="auto"/>
          <w:szCs w:val="24"/>
        </w:rPr>
        <w:t xml:space="preserve"> </w:t>
      </w:r>
      <w:r w:rsidRPr="00582BC2">
        <w:rPr>
          <w:color w:val="auto"/>
          <w:szCs w:val="24"/>
        </w:rPr>
        <w:t xml:space="preserve"> </w:t>
      </w:r>
      <w:r>
        <w:rPr>
          <w:color w:val="auto"/>
          <w:szCs w:val="24"/>
        </w:rPr>
        <w:t>At the time of the Neurology Addendum to the NARSUM 20040303 he was</w:t>
      </w:r>
      <w:r w:rsidRPr="00582BC2">
        <w:rPr>
          <w:color w:val="auto"/>
          <w:szCs w:val="24"/>
        </w:rPr>
        <w:t xml:space="preserve"> taking </w:t>
      </w:r>
      <w:proofErr w:type="spellStart"/>
      <w:r w:rsidRPr="00582BC2">
        <w:rPr>
          <w:color w:val="auto"/>
          <w:szCs w:val="24"/>
        </w:rPr>
        <w:t>Depakote</w:t>
      </w:r>
      <w:proofErr w:type="spellEnd"/>
      <w:r w:rsidRPr="00582BC2">
        <w:rPr>
          <w:color w:val="auto"/>
          <w:szCs w:val="24"/>
        </w:rPr>
        <w:t xml:space="preserve"> ER as prophylaxis and </w:t>
      </w:r>
      <w:r>
        <w:rPr>
          <w:color w:val="auto"/>
          <w:szCs w:val="24"/>
        </w:rPr>
        <w:t>was having</w:t>
      </w:r>
      <w:r w:rsidRPr="00582BC2">
        <w:rPr>
          <w:color w:val="auto"/>
          <w:szCs w:val="24"/>
        </w:rPr>
        <w:t xml:space="preserve"> </w:t>
      </w:r>
      <w:r>
        <w:rPr>
          <w:color w:val="auto"/>
          <w:szCs w:val="24"/>
        </w:rPr>
        <w:t xml:space="preserve">one to two headaches per </w:t>
      </w:r>
      <w:r w:rsidRPr="00582BC2">
        <w:rPr>
          <w:color w:val="auto"/>
          <w:szCs w:val="24"/>
        </w:rPr>
        <w:t>week.</w:t>
      </w:r>
      <w:r>
        <w:rPr>
          <w:color w:val="auto"/>
          <w:szCs w:val="24"/>
        </w:rPr>
        <w:t xml:space="preserve"> He also had taken </w:t>
      </w:r>
      <w:proofErr w:type="spellStart"/>
      <w:r>
        <w:rPr>
          <w:color w:val="auto"/>
          <w:szCs w:val="24"/>
        </w:rPr>
        <w:t>Imitrex</w:t>
      </w:r>
      <w:proofErr w:type="spellEnd"/>
      <w:r>
        <w:rPr>
          <w:color w:val="auto"/>
          <w:szCs w:val="24"/>
        </w:rPr>
        <w:t xml:space="preserve"> and then </w:t>
      </w:r>
      <w:proofErr w:type="spellStart"/>
      <w:r>
        <w:rPr>
          <w:color w:val="auto"/>
          <w:szCs w:val="24"/>
        </w:rPr>
        <w:t>Zomig</w:t>
      </w:r>
      <w:proofErr w:type="spellEnd"/>
      <w:r>
        <w:rPr>
          <w:color w:val="auto"/>
          <w:szCs w:val="24"/>
        </w:rPr>
        <w:t xml:space="preserve">. </w:t>
      </w:r>
      <w:r w:rsidR="004578BC">
        <w:rPr>
          <w:color w:val="auto"/>
          <w:szCs w:val="24"/>
        </w:rPr>
        <w:t xml:space="preserve"> </w:t>
      </w:r>
      <w:r w:rsidR="00D37574">
        <w:rPr>
          <w:color w:val="auto"/>
          <w:szCs w:val="24"/>
        </w:rPr>
        <w:t xml:space="preserve">He had previously taken </w:t>
      </w:r>
      <w:proofErr w:type="spellStart"/>
      <w:r w:rsidR="00D37574">
        <w:rPr>
          <w:color w:val="auto"/>
          <w:szCs w:val="24"/>
        </w:rPr>
        <w:t>Pamelor</w:t>
      </w:r>
      <w:proofErr w:type="spellEnd"/>
      <w:r w:rsidR="00D37574">
        <w:rPr>
          <w:color w:val="auto"/>
          <w:szCs w:val="24"/>
        </w:rPr>
        <w:t xml:space="preserve"> as prophylactic medication. </w:t>
      </w:r>
      <w:r w:rsidR="004578BC">
        <w:rPr>
          <w:color w:val="auto"/>
          <w:szCs w:val="24"/>
        </w:rPr>
        <w:t xml:space="preserve"> </w:t>
      </w:r>
      <w:r>
        <w:rPr>
          <w:color w:val="auto"/>
          <w:szCs w:val="24"/>
        </w:rPr>
        <w:t xml:space="preserve">Neurologic examination was normal. There are multiple visits for headache in the service treatment record (STR) but no mention of </w:t>
      </w:r>
      <w:proofErr w:type="spellStart"/>
      <w:r>
        <w:rPr>
          <w:color w:val="auto"/>
          <w:szCs w:val="24"/>
        </w:rPr>
        <w:t>bedrest</w:t>
      </w:r>
      <w:proofErr w:type="spellEnd"/>
      <w:r>
        <w:rPr>
          <w:color w:val="auto"/>
          <w:szCs w:val="24"/>
        </w:rPr>
        <w:t xml:space="preserve"> or periods of incapacitation is present. </w:t>
      </w:r>
      <w:r w:rsidR="004578BC">
        <w:rPr>
          <w:color w:val="auto"/>
          <w:szCs w:val="24"/>
        </w:rPr>
        <w:t xml:space="preserve"> </w:t>
      </w:r>
      <w:r w:rsidR="003220C1">
        <w:rPr>
          <w:color w:val="auto"/>
          <w:szCs w:val="24"/>
        </w:rPr>
        <w:t xml:space="preserve">Each outpatient visit included the disposition </w:t>
      </w:r>
      <w:r w:rsidR="00D37574">
        <w:rPr>
          <w:color w:val="auto"/>
          <w:szCs w:val="24"/>
        </w:rPr>
        <w:t>of released</w:t>
      </w:r>
      <w:r w:rsidR="003220C1">
        <w:rPr>
          <w:color w:val="auto"/>
          <w:szCs w:val="24"/>
        </w:rPr>
        <w:t xml:space="preserve"> without limitations.</w:t>
      </w:r>
      <w:r w:rsidR="004D4373">
        <w:rPr>
          <w:color w:val="auto"/>
          <w:szCs w:val="24"/>
        </w:rPr>
        <w:t xml:space="preserve">  </w:t>
      </w:r>
      <w:r w:rsidR="003220C1">
        <w:rPr>
          <w:color w:val="auto"/>
          <w:szCs w:val="24"/>
        </w:rPr>
        <w:t>He was admitted 19991012 with a headache that had been present for six days and accompanied by nausea and vomiting for the last three</w:t>
      </w:r>
      <w:r w:rsidR="004578BC">
        <w:rPr>
          <w:color w:val="auto"/>
          <w:szCs w:val="24"/>
        </w:rPr>
        <w:t xml:space="preserve"> days.  He had been seen in the emergency r</w:t>
      </w:r>
      <w:r w:rsidR="003220C1">
        <w:rPr>
          <w:color w:val="auto"/>
          <w:szCs w:val="24"/>
        </w:rPr>
        <w:t xml:space="preserve">oom </w:t>
      </w:r>
      <w:r w:rsidR="004578BC">
        <w:rPr>
          <w:color w:val="auto"/>
          <w:szCs w:val="24"/>
        </w:rPr>
        <w:t xml:space="preserve">(ER) </w:t>
      </w:r>
      <w:r w:rsidR="003220C1">
        <w:rPr>
          <w:color w:val="auto"/>
          <w:szCs w:val="24"/>
        </w:rPr>
        <w:t xml:space="preserve">on 19991007 and had a lumbar puncture done. </w:t>
      </w:r>
      <w:r w:rsidR="004578BC">
        <w:rPr>
          <w:color w:val="auto"/>
          <w:szCs w:val="24"/>
        </w:rPr>
        <w:t xml:space="preserve"> </w:t>
      </w:r>
      <w:r w:rsidR="003220C1">
        <w:rPr>
          <w:color w:val="auto"/>
          <w:szCs w:val="24"/>
        </w:rPr>
        <w:t xml:space="preserve">Neurologic examination was normal </w:t>
      </w:r>
      <w:r w:rsidR="00680785">
        <w:rPr>
          <w:color w:val="auto"/>
          <w:szCs w:val="24"/>
        </w:rPr>
        <w:t>as</w:t>
      </w:r>
      <w:r w:rsidR="003220C1">
        <w:rPr>
          <w:color w:val="auto"/>
          <w:szCs w:val="24"/>
        </w:rPr>
        <w:t xml:space="preserve"> were all the labs performed on his cerebrospinal fluid, including cultures.</w:t>
      </w:r>
      <w:r w:rsidR="00D37574">
        <w:rPr>
          <w:color w:val="auto"/>
          <w:szCs w:val="24"/>
        </w:rPr>
        <w:t xml:space="preserve"> </w:t>
      </w:r>
      <w:r w:rsidR="004578BC">
        <w:rPr>
          <w:color w:val="auto"/>
          <w:szCs w:val="24"/>
        </w:rPr>
        <w:t xml:space="preserve"> </w:t>
      </w:r>
      <w:r w:rsidR="00D37574">
        <w:rPr>
          <w:color w:val="auto"/>
          <w:szCs w:val="24"/>
        </w:rPr>
        <w:t xml:space="preserve">He was treated with IV DHE which was very effective. </w:t>
      </w:r>
      <w:r w:rsidR="004578BC">
        <w:rPr>
          <w:color w:val="auto"/>
          <w:szCs w:val="24"/>
        </w:rPr>
        <w:t xml:space="preserve"> </w:t>
      </w:r>
      <w:r w:rsidR="00D37574">
        <w:rPr>
          <w:color w:val="auto"/>
          <w:szCs w:val="24"/>
        </w:rPr>
        <w:t>He was also released from the ER 20031102 after being seen for a headache.</w:t>
      </w:r>
      <w:r w:rsidR="004578BC">
        <w:rPr>
          <w:color w:val="auto"/>
          <w:szCs w:val="24"/>
        </w:rPr>
        <w:t xml:space="preserve">  </w:t>
      </w:r>
      <w:r>
        <w:rPr>
          <w:color w:val="auto"/>
          <w:szCs w:val="24"/>
        </w:rPr>
        <w:t>The initial VA C&amp;P examination 20040719 stated he could not drive or concentrate during a migraine and that he lost time f</w:t>
      </w:r>
      <w:r w:rsidR="00680785">
        <w:rPr>
          <w:color w:val="auto"/>
          <w:szCs w:val="24"/>
        </w:rPr>
        <w:t>ro</w:t>
      </w:r>
      <w:r>
        <w:rPr>
          <w:color w:val="auto"/>
          <w:szCs w:val="24"/>
        </w:rPr>
        <w:t xml:space="preserve">m work about one time a month due to migraines. </w:t>
      </w:r>
      <w:r w:rsidR="004578BC">
        <w:rPr>
          <w:color w:val="auto"/>
          <w:szCs w:val="24"/>
        </w:rPr>
        <w:t xml:space="preserve"> </w:t>
      </w:r>
      <w:r>
        <w:rPr>
          <w:color w:val="auto"/>
          <w:szCs w:val="24"/>
        </w:rPr>
        <w:t>Neurologic examination, including mental status, was normal.</w:t>
      </w:r>
      <w:r w:rsidR="004D4373">
        <w:rPr>
          <w:color w:val="auto"/>
          <w:szCs w:val="24"/>
        </w:rPr>
        <w:t xml:space="preserve">  </w:t>
      </w:r>
    </w:p>
    <w:p w:rsidR="004D4373" w:rsidRDefault="004D4373" w:rsidP="002C6E5B">
      <w:pPr>
        <w:tabs>
          <w:tab w:val="left" w:pos="288"/>
          <w:tab w:val="left" w:pos="4752"/>
        </w:tabs>
        <w:spacing w:line="240" w:lineRule="exact"/>
        <w:jc w:val="both"/>
        <w:rPr>
          <w:color w:val="auto"/>
          <w:szCs w:val="24"/>
        </w:rPr>
      </w:pPr>
    </w:p>
    <w:p w:rsidR="00582BC2" w:rsidRPr="00582BC2" w:rsidRDefault="00582BC2" w:rsidP="002C6E5B">
      <w:pPr>
        <w:tabs>
          <w:tab w:val="left" w:pos="288"/>
          <w:tab w:val="left" w:pos="4752"/>
        </w:tabs>
        <w:spacing w:line="240" w:lineRule="exact"/>
        <w:jc w:val="both"/>
        <w:rPr>
          <w:color w:val="auto"/>
          <w:szCs w:val="24"/>
        </w:rPr>
      </w:pPr>
      <w:r>
        <w:rPr>
          <w:color w:val="auto"/>
          <w:szCs w:val="24"/>
        </w:rPr>
        <w:t>There is no evidence this condition interfered with performance of any required duties and no duty restrictions can be</w:t>
      </w:r>
      <w:r w:rsidR="00D37574">
        <w:rPr>
          <w:color w:val="auto"/>
          <w:szCs w:val="24"/>
        </w:rPr>
        <w:t xml:space="preserve"> attribut</w:t>
      </w:r>
      <w:r>
        <w:rPr>
          <w:color w:val="auto"/>
          <w:szCs w:val="24"/>
        </w:rPr>
        <w:t>ed to this condition.</w:t>
      </w:r>
    </w:p>
    <w:p w:rsidR="00A13F0B" w:rsidRDefault="00A13F0B" w:rsidP="002C6E5B">
      <w:pPr>
        <w:tabs>
          <w:tab w:val="left" w:pos="288"/>
          <w:tab w:val="left" w:pos="4752"/>
        </w:tabs>
        <w:spacing w:line="240" w:lineRule="exact"/>
        <w:jc w:val="both"/>
        <w:rPr>
          <w:color w:val="auto"/>
          <w:szCs w:val="24"/>
        </w:rPr>
      </w:pPr>
    </w:p>
    <w:p w:rsidR="00A13F0B" w:rsidRPr="00680785" w:rsidRDefault="00A13F0B" w:rsidP="002C6E5B">
      <w:pPr>
        <w:tabs>
          <w:tab w:val="left" w:pos="288"/>
          <w:tab w:val="left" w:pos="4752"/>
        </w:tabs>
        <w:spacing w:line="240" w:lineRule="exact"/>
        <w:jc w:val="both"/>
        <w:rPr>
          <w:color w:val="auto"/>
          <w:szCs w:val="24"/>
        </w:rPr>
      </w:pPr>
      <w:r w:rsidRPr="00680785">
        <w:rPr>
          <w:color w:val="auto"/>
          <w:szCs w:val="24"/>
          <w:u w:val="single"/>
        </w:rPr>
        <w:t>Other Conditions</w:t>
      </w:r>
      <w:r w:rsidR="004578BC">
        <w:rPr>
          <w:color w:val="auto"/>
          <w:szCs w:val="24"/>
        </w:rPr>
        <w:t>:  Bilateral plantar f</w:t>
      </w:r>
      <w:r w:rsidRPr="00680785">
        <w:rPr>
          <w:color w:val="auto"/>
          <w:szCs w:val="24"/>
        </w:rPr>
        <w:t>asciitis</w:t>
      </w:r>
      <w:r w:rsidR="004578BC">
        <w:rPr>
          <w:color w:val="auto"/>
          <w:szCs w:val="24"/>
        </w:rPr>
        <w:t xml:space="preserve"> and r</w:t>
      </w:r>
      <w:r w:rsidRPr="00680785">
        <w:rPr>
          <w:color w:val="auto"/>
          <w:szCs w:val="24"/>
        </w:rPr>
        <w:t xml:space="preserve">ight </w:t>
      </w:r>
      <w:r w:rsidR="004578BC">
        <w:rPr>
          <w:color w:val="auto"/>
          <w:szCs w:val="24"/>
        </w:rPr>
        <w:t>wrist s</w:t>
      </w:r>
      <w:r w:rsidRPr="00680785">
        <w:rPr>
          <w:color w:val="auto"/>
          <w:szCs w:val="24"/>
        </w:rPr>
        <w:t>prain</w:t>
      </w:r>
      <w:r w:rsidR="004578BC">
        <w:rPr>
          <w:color w:val="auto"/>
          <w:szCs w:val="24"/>
        </w:rPr>
        <w:t xml:space="preserve">.  </w:t>
      </w:r>
      <w:r w:rsidRPr="00680785">
        <w:rPr>
          <w:color w:val="auto"/>
          <w:szCs w:val="24"/>
        </w:rPr>
        <w:t xml:space="preserve">No evidence either was unfitting at time of separation. </w:t>
      </w:r>
      <w:r w:rsidR="00582BC2" w:rsidRPr="00680785">
        <w:rPr>
          <w:color w:val="auto"/>
          <w:szCs w:val="24"/>
        </w:rPr>
        <w:t>The CI had a p</w:t>
      </w:r>
      <w:r w:rsidRPr="00680785">
        <w:rPr>
          <w:color w:val="auto"/>
          <w:szCs w:val="24"/>
        </w:rPr>
        <w:t xml:space="preserve">revious MEB LIMDU for feet (19990204) but was found fit for full duty 19990713. </w:t>
      </w:r>
      <w:r w:rsidR="004D4373">
        <w:rPr>
          <w:color w:val="auto"/>
          <w:szCs w:val="24"/>
        </w:rPr>
        <w:t xml:space="preserve"> </w:t>
      </w:r>
      <w:r w:rsidR="00582BC2" w:rsidRPr="00680785">
        <w:rPr>
          <w:color w:val="auto"/>
          <w:szCs w:val="24"/>
        </w:rPr>
        <w:t xml:space="preserve">The </w:t>
      </w:r>
      <w:r w:rsidRPr="00680785">
        <w:rPr>
          <w:color w:val="auto"/>
          <w:szCs w:val="24"/>
        </w:rPr>
        <w:t>Informal PEB 20040414 did not address feet.</w:t>
      </w:r>
    </w:p>
    <w:p w:rsidR="00A13F0B" w:rsidRPr="00680785" w:rsidRDefault="00A13F0B" w:rsidP="002C6E5B">
      <w:pPr>
        <w:tabs>
          <w:tab w:val="left" w:pos="288"/>
          <w:tab w:val="left" w:pos="4752"/>
        </w:tabs>
        <w:spacing w:line="240" w:lineRule="exact"/>
        <w:jc w:val="both"/>
        <w:rPr>
          <w:color w:val="auto"/>
          <w:szCs w:val="24"/>
        </w:rPr>
      </w:pPr>
    </w:p>
    <w:p w:rsidR="00A13F0B" w:rsidRPr="004D4373" w:rsidRDefault="00A13F0B" w:rsidP="002C6E5B">
      <w:pPr>
        <w:tabs>
          <w:tab w:val="left" w:pos="288"/>
          <w:tab w:val="left" w:pos="4752"/>
        </w:tabs>
        <w:spacing w:line="240" w:lineRule="exact"/>
        <w:jc w:val="both"/>
        <w:rPr>
          <w:color w:val="auto"/>
          <w:szCs w:val="24"/>
        </w:rPr>
      </w:pPr>
      <w:r w:rsidRPr="00680785">
        <w:rPr>
          <w:color w:val="auto"/>
          <w:szCs w:val="24"/>
          <w:u w:val="single"/>
        </w:rPr>
        <w:lastRenderedPageBreak/>
        <w:t xml:space="preserve">Other Conditions, not in the </w:t>
      </w:r>
      <w:r w:rsidR="004D4373">
        <w:rPr>
          <w:color w:val="auto"/>
          <w:szCs w:val="24"/>
          <w:u w:val="single"/>
        </w:rPr>
        <w:t>Disability Evaluation System (</w:t>
      </w:r>
      <w:r w:rsidRPr="00680785">
        <w:rPr>
          <w:color w:val="auto"/>
          <w:szCs w:val="24"/>
          <w:u w:val="single"/>
        </w:rPr>
        <w:t>DES</w:t>
      </w:r>
      <w:r w:rsidR="004D4373">
        <w:rPr>
          <w:color w:val="auto"/>
          <w:szCs w:val="24"/>
          <w:u w:val="single"/>
        </w:rPr>
        <w:t>)</w:t>
      </w:r>
      <w:r w:rsidR="004D4373">
        <w:rPr>
          <w:color w:val="auto"/>
          <w:szCs w:val="24"/>
        </w:rPr>
        <w:t>:</w:t>
      </w:r>
    </w:p>
    <w:p w:rsidR="002C6E5B" w:rsidRPr="00880DD9" w:rsidRDefault="00A13F0B" w:rsidP="00880DD9">
      <w:pPr>
        <w:tabs>
          <w:tab w:val="left" w:pos="288"/>
          <w:tab w:val="left" w:pos="4752"/>
        </w:tabs>
        <w:spacing w:line="240" w:lineRule="exact"/>
        <w:jc w:val="both"/>
        <w:rPr>
          <w:color w:val="auto"/>
          <w:szCs w:val="24"/>
        </w:rPr>
      </w:pPr>
      <w:r>
        <w:rPr>
          <w:color w:val="auto"/>
          <w:szCs w:val="24"/>
        </w:rPr>
        <w:t xml:space="preserve">Cervical Sprain; Chronic </w:t>
      </w:r>
      <w:r w:rsidR="00582BC2">
        <w:rPr>
          <w:color w:val="auto"/>
          <w:szCs w:val="24"/>
        </w:rPr>
        <w:t>A</w:t>
      </w:r>
      <w:r>
        <w:rPr>
          <w:color w:val="auto"/>
          <w:szCs w:val="24"/>
        </w:rPr>
        <w:t xml:space="preserve">nkle Sprain, Left; and Chronic </w:t>
      </w:r>
      <w:r w:rsidR="00582BC2">
        <w:rPr>
          <w:color w:val="auto"/>
          <w:szCs w:val="24"/>
        </w:rPr>
        <w:t>A</w:t>
      </w:r>
      <w:r>
        <w:rPr>
          <w:color w:val="auto"/>
          <w:szCs w:val="24"/>
        </w:rPr>
        <w:t xml:space="preserve">nkle Sprain, Right </w:t>
      </w:r>
    </w:p>
    <w:p w:rsidR="004578BC" w:rsidRPr="00AF353E" w:rsidRDefault="004578BC" w:rsidP="004578BC">
      <w:pPr>
        <w:tabs>
          <w:tab w:val="left" w:pos="288"/>
          <w:tab w:val="left" w:pos="4752"/>
        </w:tabs>
        <w:spacing w:line="240" w:lineRule="exact"/>
        <w:jc w:val="both"/>
        <w:rPr>
          <w:color w:val="auto"/>
        </w:rPr>
      </w:pPr>
      <w:r w:rsidRPr="00AF353E">
        <w:rPr>
          <w:color w:val="auto"/>
          <w:u w:val="single"/>
        </w:rPr>
        <w:t>__________________________________________________________</w:t>
      </w:r>
      <w:r>
        <w:rPr>
          <w:color w:val="auto"/>
          <w:u w:val="single"/>
        </w:rPr>
        <w:t>__</w:t>
      </w:r>
      <w:r w:rsidRPr="00AF353E">
        <w:rPr>
          <w:color w:val="auto"/>
          <w:u w:val="single"/>
        </w:rPr>
        <w:t>____</w:t>
      </w:r>
    </w:p>
    <w:p w:rsidR="00A90D55" w:rsidRPr="00880DD9" w:rsidRDefault="00A90D55" w:rsidP="00880DD9">
      <w:pPr>
        <w:tabs>
          <w:tab w:val="left" w:pos="288"/>
          <w:tab w:val="left" w:pos="4752"/>
        </w:tabs>
        <w:spacing w:line="240" w:lineRule="exact"/>
        <w:jc w:val="both"/>
        <w:rPr>
          <w:color w:val="000080"/>
        </w:rPr>
      </w:pPr>
    </w:p>
    <w:p w:rsidR="00880DD9" w:rsidRPr="00163807" w:rsidRDefault="00C56FC8" w:rsidP="004D4373">
      <w:pPr>
        <w:spacing w:line="240" w:lineRule="exact"/>
        <w:jc w:val="both"/>
        <w:rPr>
          <w:color w:val="auto"/>
          <w:szCs w:val="24"/>
        </w:rPr>
      </w:pPr>
      <w:r w:rsidRPr="00880DD9">
        <w:rPr>
          <w:color w:val="auto"/>
          <w:szCs w:val="24"/>
          <w:u w:val="single"/>
        </w:rPr>
        <w:t>BOARD FINDINGS</w:t>
      </w:r>
      <w:r w:rsidRPr="00880DD9">
        <w:rPr>
          <w:color w:val="auto"/>
          <w:szCs w:val="24"/>
        </w:rPr>
        <w:t>:</w:t>
      </w:r>
      <w:r w:rsidRPr="00880DD9">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4D4373">
        <w:rPr>
          <w:rFonts w:eastAsiaTheme="minorHAnsi"/>
          <w:color w:val="auto"/>
          <w:szCs w:val="24"/>
        </w:rPr>
        <w:t xml:space="preserve"> </w:t>
      </w:r>
      <w:r w:rsidR="00880DD9">
        <w:rPr>
          <w:rFonts w:eastAsiaTheme="minorHAnsi"/>
          <w:color w:val="auto"/>
          <w:szCs w:val="24"/>
        </w:rPr>
        <w:t xml:space="preserve">After careful consideration of all available information the Board unanimously determined that the CI’s back condition is appropriately </w:t>
      </w:r>
      <w:r w:rsidR="00880DD9" w:rsidRPr="00391659">
        <w:rPr>
          <w:rFonts w:eastAsiaTheme="minorHAnsi"/>
          <w:color w:val="auto"/>
          <w:szCs w:val="24"/>
        </w:rPr>
        <w:t xml:space="preserve">rated as </w:t>
      </w:r>
      <w:r w:rsidR="00880DD9" w:rsidRPr="00680785">
        <w:rPr>
          <w:rFonts w:eastAsiaTheme="minorHAnsi"/>
          <w:color w:val="auto"/>
          <w:szCs w:val="24"/>
        </w:rPr>
        <w:t>5243</w:t>
      </w:r>
      <w:r w:rsidR="00880DD9" w:rsidRPr="00391659">
        <w:rPr>
          <w:rFonts w:eastAsiaTheme="minorHAnsi"/>
          <w:color w:val="auto"/>
          <w:szCs w:val="24"/>
        </w:rPr>
        <w:t xml:space="preserve"> </w:t>
      </w:r>
      <w:r w:rsidR="00391659" w:rsidRPr="00391659">
        <w:rPr>
          <w:color w:val="auto"/>
          <w:szCs w:val="24"/>
        </w:rPr>
        <w:t>Mechanical Low Back Pain with Degenerative Disk Disease and Sacroiliac Dysfunction</w:t>
      </w:r>
      <w:r w:rsidR="00880DD9" w:rsidRPr="00391659">
        <w:rPr>
          <w:rFonts w:eastAsiaTheme="minorHAnsi"/>
          <w:color w:val="auto"/>
          <w:szCs w:val="24"/>
        </w:rPr>
        <w:t xml:space="preserve"> at </w:t>
      </w:r>
      <w:r w:rsidR="00391659" w:rsidRPr="00391659">
        <w:rPr>
          <w:rFonts w:eastAsiaTheme="minorHAnsi"/>
          <w:color w:val="auto"/>
          <w:szCs w:val="24"/>
        </w:rPr>
        <w:t>10</w:t>
      </w:r>
      <w:r w:rsidR="00880DD9" w:rsidRPr="00391659">
        <w:rPr>
          <w:rFonts w:eastAsiaTheme="minorHAnsi"/>
          <w:color w:val="auto"/>
          <w:szCs w:val="24"/>
        </w:rPr>
        <w:t>% disability</w:t>
      </w:r>
      <w:r w:rsidR="00D37574">
        <w:rPr>
          <w:rFonts w:eastAsiaTheme="minorHAnsi"/>
          <w:color w:val="auto"/>
          <w:szCs w:val="24"/>
        </w:rPr>
        <w:t xml:space="preserve"> IAW the VASRD General Rating Formula for Diseases and Injuries of the Spine</w:t>
      </w:r>
      <w:r w:rsidR="00391659">
        <w:rPr>
          <w:rFonts w:eastAsiaTheme="minorHAnsi"/>
          <w:color w:val="auto"/>
          <w:szCs w:val="24"/>
        </w:rPr>
        <w:t>.</w:t>
      </w:r>
      <w:r w:rsidR="004D4373">
        <w:rPr>
          <w:rFonts w:eastAsiaTheme="minorHAnsi"/>
          <w:color w:val="auto"/>
          <w:szCs w:val="24"/>
        </w:rPr>
        <w:t xml:space="preserve">  </w:t>
      </w:r>
      <w:r w:rsidR="00582BC2">
        <w:rPr>
          <w:rFonts w:eastAsiaTheme="minorHAnsi"/>
          <w:color w:val="auto"/>
          <w:szCs w:val="24"/>
        </w:rPr>
        <w:t>The</w:t>
      </w:r>
      <w:r w:rsidR="00391659">
        <w:rPr>
          <w:rFonts w:eastAsiaTheme="minorHAnsi"/>
          <w:color w:val="auto"/>
          <w:szCs w:val="24"/>
        </w:rPr>
        <w:t xml:space="preserve"> 10% disability rating is based on thoracolumbar flexion limited to </w:t>
      </w:r>
      <w:r w:rsidR="00582BC2">
        <w:rPr>
          <w:rFonts w:eastAsiaTheme="minorHAnsi"/>
          <w:color w:val="auto"/>
          <w:szCs w:val="24"/>
        </w:rPr>
        <w:t xml:space="preserve">65 degrees. </w:t>
      </w:r>
      <w:r w:rsidR="004D4373">
        <w:rPr>
          <w:rFonts w:eastAsiaTheme="minorHAnsi"/>
          <w:color w:val="auto"/>
          <w:szCs w:val="24"/>
        </w:rPr>
        <w:t xml:space="preserve"> </w:t>
      </w:r>
      <w:r w:rsidR="00582BC2">
        <w:rPr>
          <w:rFonts w:eastAsiaTheme="minorHAnsi"/>
          <w:color w:val="auto"/>
          <w:szCs w:val="24"/>
        </w:rPr>
        <w:t xml:space="preserve">The VASRD General Rating Formula for Diseases and Injuries of the Spine in §4.71a Schedule of ratings musculoskeletal system states that pain, whether or not it radiates is included in the rating based on limited ROM. </w:t>
      </w:r>
      <w:r w:rsidR="004D4373">
        <w:rPr>
          <w:rFonts w:eastAsiaTheme="minorHAnsi"/>
          <w:color w:val="auto"/>
          <w:szCs w:val="24"/>
        </w:rPr>
        <w:t xml:space="preserve"> </w:t>
      </w:r>
      <w:r w:rsidR="00582BC2">
        <w:rPr>
          <w:rFonts w:eastAsiaTheme="minorHAnsi"/>
          <w:color w:val="auto"/>
          <w:szCs w:val="24"/>
        </w:rPr>
        <w:t xml:space="preserve">No additional rating for pain is authorized. </w:t>
      </w:r>
      <w:r w:rsidR="004D4373">
        <w:rPr>
          <w:rFonts w:eastAsiaTheme="minorHAnsi"/>
          <w:color w:val="auto"/>
          <w:szCs w:val="24"/>
        </w:rPr>
        <w:t xml:space="preserve"> </w:t>
      </w:r>
      <w:r w:rsidR="00582BC2">
        <w:rPr>
          <w:rFonts w:eastAsiaTheme="minorHAnsi"/>
          <w:color w:val="auto"/>
          <w:szCs w:val="24"/>
        </w:rPr>
        <w:t xml:space="preserve">Thoracolumbar flexion limited to 65 degrees warrants a 10%. </w:t>
      </w:r>
      <w:r w:rsidR="004D4373">
        <w:rPr>
          <w:rFonts w:eastAsiaTheme="minorHAnsi"/>
          <w:color w:val="auto"/>
          <w:szCs w:val="24"/>
        </w:rPr>
        <w:t xml:space="preserve">  </w:t>
      </w:r>
      <w:r w:rsidR="00880DD9" w:rsidRPr="00880DD9">
        <w:rPr>
          <w:color w:val="auto"/>
          <w:szCs w:val="24"/>
        </w:rPr>
        <w:t>The Board also considered</w:t>
      </w:r>
      <w:r w:rsidR="009168D4">
        <w:rPr>
          <w:color w:val="auto"/>
          <w:szCs w:val="24"/>
        </w:rPr>
        <w:t xml:space="preserve"> </w:t>
      </w:r>
      <w:r w:rsidR="009168D4" w:rsidRPr="009168D4">
        <w:rPr>
          <w:color w:val="auto"/>
          <w:szCs w:val="24"/>
        </w:rPr>
        <w:t>Migraine Headaches</w:t>
      </w:r>
      <w:r w:rsidR="009168D4">
        <w:rPr>
          <w:color w:val="auto"/>
          <w:szCs w:val="24"/>
        </w:rPr>
        <w:t xml:space="preserve">, </w:t>
      </w:r>
      <w:r w:rsidR="009168D4" w:rsidRPr="009168D4">
        <w:rPr>
          <w:color w:val="auto"/>
          <w:szCs w:val="24"/>
        </w:rPr>
        <w:t>Bilateral Plantar Fasciitis</w:t>
      </w:r>
      <w:r w:rsidR="009168D4">
        <w:rPr>
          <w:color w:val="auto"/>
          <w:szCs w:val="24"/>
        </w:rPr>
        <w:t xml:space="preserve">, and </w:t>
      </w:r>
      <w:r w:rsidR="009168D4" w:rsidRPr="009168D4">
        <w:rPr>
          <w:color w:val="auto"/>
          <w:szCs w:val="24"/>
        </w:rPr>
        <w:t>Right Wrist Sprain</w:t>
      </w:r>
      <w:r w:rsidR="009168D4">
        <w:rPr>
          <w:color w:val="auto"/>
          <w:szCs w:val="24"/>
        </w:rPr>
        <w:t xml:space="preserve"> and unanimously determined that none of these conditions were unfitting at the time of separation from service and therefore no disability rating is applied. </w:t>
      </w:r>
      <w:r w:rsidR="009168D4">
        <w:rPr>
          <w:rFonts w:eastAsiaTheme="minorHAnsi"/>
          <w:color w:val="auto"/>
          <w:szCs w:val="24"/>
        </w:rPr>
        <w:t>None of these conditions interfered with satisfactory performance of required duties.</w:t>
      </w:r>
      <w:r w:rsidR="004D4373">
        <w:rPr>
          <w:rFonts w:eastAsiaTheme="minorHAnsi"/>
          <w:color w:val="auto"/>
          <w:szCs w:val="24"/>
        </w:rPr>
        <w:t xml:space="preserve">  </w:t>
      </w:r>
      <w:r w:rsidR="00880DD9" w:rsidRPr="002125DD">
        <w:rPr>
          <w:color w:val="auto"/>
          <w:szCs w:val="24"/>
        </w:rPr>
        <w:t xml:space="preserve">The other diagnoses rated by the VA </w:t>
      </w:r>
      <w:r w:rsidR="00880DD9">
        <w:rPr>
          <w:color w:val="auto"/>
          <w:szCs w:val="24"/>
        </w:rPr>
        <w:t>(</w:t>
      </w:r>
      <w:r w:rsidR="009168D4">
        <w:rPr>
          <w:color w:val="auto"/>
          <w:szCs w:val="24"/>
        </w:rPr>
        <w:t xml:space="preserve">Cervical Sprain, </w:t>
      </w:r>
      <w:r w:rsidR="009168D4" w:rsidRPr="009168D4">
        <w:rPr>
          <w:color w:val="auto"/>
          <w:szCs w:val="24"/>
        </w:rPr>
        <w:t>Chronic Ankle Sprain, Left</w:t>
      </w:r>
      <w:r w:rsidR="009168D4">
        <w:rPr>
          <w:color w:val="auto"/>
          <w:szCs w:val="24"/>
        </w:rPr>
        <w:t xml:space="preserve"> and </w:t>
      </w:r>
      <w:r w:rsidR="009168D4" w:rsidRPr="009168D4">
        <w:rPr>
          <w:color w:val="auto"/>
          <w:szCs w:val="24"/>
        </w:rPr>
        <w:t xml:space="preserve">Chronic Ankle Sprain, </w:t>
      </w:r>
      <w:r w:rsidR="009168D4" w:rsidRPr="00163807">
        <w:rPr>
          <w:color w:val="auto"/>
          <w:szCs w:val="24"/>
        </w:rPr>
        <w:t>Right</w:t>
      </w:r>
      <w:r w:rsidR="00880DD9" w:rsidRPr="00163807">
        <w:rPr>
          <w:color w:val="auto"/>
          <w:szCs w:val="24"/>
        </w:rPr>
        <w:t>) were not mentioned in the Disability Evaluation System package and are therefore outside the scope of the Board. The CI retains the right to request his service Board of Correction for Naval Records (BCNR) to consider adding these conditions as unfitting.</w:t>
      </w:r>
    </w:p>
    <w:p w:rsidR="004578BC" w:rsidRPr="00AF353E" w:rsidRDefault="004578BC" w:rsidP="004578BC">
      <w:pPr>
        <w:tabs>
          <w:tab w:val="left" w:pos="288"/>
          <w:tab w:val="left" w:pos="4752"/>
        </w:tabs>
        <w:spacing w:line="240" w:lineRule="exact"/>
        <w:jc w:val="both"/>
        <w:rPr>
          <w:color w:val="auto"/>
        </w:rPr>
      </w:pPr>
      <w:r w:rsidRPr="00AF353E">
        <w:rPr>
          <w:color w:val="auto"/>
          <w:u w:val="single"/>
        </w:rPr>
        <w:t>__________________________________________________________</w:t>
      </w:r>
      <w:r>
        <w:rPr>
          <w:color w:val="auto"/>
          <w:u w:val="single"/>
        </w:rPr>
        <w:t>__</w:t>
      </w:r>
      <w:r w:rsidRPr="00AF353E">
        <w:rPr>
          <w:color w:val="auto"/>
          <w:u w:val="single"/>
        </w:rPr>
        <w:t>____</w:t>
      </w:r>
    </w:p>
    <w:p w:rsidR="00FB593A" w:rsidRPr="00163807" w:rsidRDefault="00FB593A" w:rsidP="00880DD9">
      <w:pPr>
        <w:tabs>
          <w:tab w:val="left" w:pos="288"/>
          <w:tab w:val="left" w:pos="4752"/>
        </w:tabs>
        <w:spacing w:line="240" w:lineRule="exact"/>
        <w:jc w:val="both"/>
        <w:rPr>
          <w:color w:val="auto"/>
        </w:rPr>
      </w:pPr>
    </w:p>
    <w:p w:rsidR="006E2DC8" w:rsidRPr="00880DD9" w:rsidRDefault="00C56FC8" w:rsidP="00D37574">
      <w:pPr>
        <w:tabs>
          <w:tab w:val="left" w:pos="288"/>
          <w:tab w:val="left" w:pos="4752"/>
        </w:tabs>
        <w:spacing w:line="240" w:lineRule="exact"/>
        <w:jc w:val="both"/>
        <w:rPr>
          <w:color w:val="FF0000"/>
          <w:szCs w:val="24"/>
        </w:rPr>
      </w:pPr>
      <w:r w:rsidRPr="00880DD9">
        <w:rPr>
          <w:color w:val="auto"/>
          <w:szCs w:val="24"/>
          <w:u w:val="single"/>
        </w:rPr>
        <w:t>RECOMMENDATION</w:t>
      </w:r>
      <w:r w:rsidRPr="00880DD9">
        <w:rPr>
          <w:color w:val="auto"/>
          <w:szCs w:val="24"/>
        </w:rPr>
        <w:t>:</w:t>
      </w:r>
      <w:r w:rsidRPr="00880DD9">
        <w:rPr>
          <w:color w:val="000080"/>
          <w:szCs w:val="24"/>
        </w:rPr>
        <w:t xml:space="preserve"> </w:t>
      </w:r>
      <w:r w:rsidRPr="00880DD9">
        <w:rPr>
          <w:color w:val="auto"/>
          <w:szCs w:val="24"/>
        </w:rPr>
        <w:t>The Board therefore recommends that there be no recharacterization of the CI’s disability and separation determination.</w:t>
      </w:r>
    </w:p>
    <w:p w:rsidR="004578BC" w:rsidRPr="00AF353E" w:rsidRDefault="004578BC" w:rsidP="004578BC">
      <w:pPr>
        <w:tabs>
          <w:tab w:val="left" w:pos="288"/>
          <w:tab w:val="left" w:pos="4752"/>
        </w:tabs>
        <w:spacing w:line="240" w:lineRule="exact"/>
        <w:jc w:val="both"/>
        <w:rPr>
          <w:color w:val="auto"/>
        </w:rPr>
      </w:pPr>
      <w:r w:rsidRPr="00AF353E">
        <w:rPr>
          <w:color w:val="auto"/>
          <w:u w:val="single"/>
        </w:rPr>
        <w:t>__________________________________________________________</w:t>
      </w:r>
      <w:r>
        <w:rPr>
          <w:color w:val="auto"/>
          <w:u w:val="single"/>
        </w:rPr>
        <w:t>__</w:t>
      </w:r>
      <w:r w:rsidRPr="00AF353E">
        <w:rPr>
          <w:color w:val="auto"/>
          <w:u w:val="single"/>
        </w:rPr>
        <w:t>____</w:t>
      </w:r>
    </w:p>
    <w:p w:rsidR="004D4373" w:rsidRDefault="004D4373">
      <w:pPr>
        <w:rPr>
          <w:color w:val="auto"/>
        </w:rPr>
      </w:pPr>
    </w:p>
    <w:p w:rsidR="00D91DA6" w:rsidRPr="00325BA2" w:rsidRDefault="00114F20" w:rsidP="00875F2D">
      <w:pPr>
        <w:tabs>
          <w:tab w:val="left" w:pos="288"/>
          <w:tab w:val="left" w:pos="4752"/>
        </w:tabs>
        <w:spacing w:line="240" w:lineRule="exact"/>
        <w:jc w:val="both"/>
        <w:rPr>
          <w:color w:val="auto"/>
        </w:rPr>
      </w:pPr>
      <w:r w:rsidRPr="00325BA2">
        <w:rPr>
          <w:color w:val="auto"/>
        </w:rPr>
        <w:t>The following documentary evidence was considered:</w:t>
      </w:r>
    </w:p>
    <w:p w:rsidR="00114F20" w:rsidRPr="00325BA2" w:rsidRDefault="00114F20" w:rsidP="00875F2D">
      <w:pPr>
        <w:tabs>
          <w:tab w:val="left" w:pos="288"/>
          <w:tab w:val="left" w:pos="4752"/>
        </w:tabs>
        <w:spacing w:line="240" w:lineRule="exact"/>
        <w:jc w:val="both"/>
        <w:rPr>
          <w:color w:val="auto"/>
        </w:rPr>
      </w:pPr>
    </w:p>
    <w:p w:rsidR="00114F20" w:rsidRPr="00325BA2" w:rsidRDefault="0051146C" w:rsidP="00875F2D">
      <w:pPr>
        <w:tabs>
          <w:tab w:val="left" w:pos="288"/>
          <w:tab w:val="left" w:pos="4752"/>
        </w:tabs>
        <w:spacing w:line="240" w:lineRule="exact"/>
        <w:jc w:val="both"/>
        <w:rPr>
          <w:color w:val="auto"/>
        </w:rPr>
      </w:pPr>
      <w:r w:rsidRPr="00325BA2">
        <w:rPr>
          <w:color w:val="auto"/>
        </w:rPr>
        <w:t xml:space="preserve">Exhibit A.  DD Form </w:t>
      </w:r>
      <w:proofErr w:type="gramStart"/>
      <w:r w:rsidRPr="00325BA2">
        <w:rPr>
          <w:color w:val="auto"/>
        </w:rPr>
        <w:t>294,</w:t>
      </w:r>
      <w:proofErr w:type="gramEnd"/>
      <w:r w:rsidRPr="00325BA2">
        <w:rPr>
          <w:color w:val="auto"/>
        </w:rPr>
        <w:t xml:space="preserve"> dated </w:t>
      </w:r>
      <w:r w:rsidR="0019273F" w:rsidRPr="00325BA2">
        <w:rPr>
          <w:color w:val="auto"/>
        </w:rPr>
        <w:t>2009</w:t>
      </w:r>
      <w:r w:rsidR="002C6321">
        <w:rPr>
          <w:color w:val="auto"/>
        </w:rPr>
        <w:t>0610</w:t>
      </w:r>
      <w:r w:rsidR="00114F20" w:rsidRPr="00325BA2">
        <w:rPr>
          <w:color w:val="auto"/>
        </w:rPr>
        <w:t>, w/</w:t>
      </w:r>
      <w:proofErr w:type="spellStart"/>
      <w:r w:rsidR="00114F20" w:rsidRPr="00325BA2">
        <w:rPr>
          <w:color w:val="auto"/>
        </w:rPr>
        <w:t>atchs</w:t>
      </w:r>
      <w:proofErr w:type="spellEnd"/>
      <w:r w:rsidR="00114F20" w:rsidRPr="00325BA2">
        <w:rPr>
          <w:color w:val="auto"/>
        </w:rPr>
        <w:t>.</w:t>
      </w:r>
    </w:p>
    <w:p w:rsidR="00114F20" w:rsidRPr="00325BA2" w:rsidRDefault="00114F20" w:rsidP="00875F2D">
      <w:pPr>
        <w:tabs>
          <w:tab w:val="left" w:pos="288"/>
          <w:tab w:val="left" w:pos="4752"/>
        </w:tabs>
        <w:spacing w:line="240" w:lineRule="exact"/>
        <w:jc w:val="both"/>
        <w:rPr>
          <w:color w:val="auto"/>
        </w:rPr>
      </w:pPr>
      <w:r w:rsidRPr="00325BA2">
        <w:rPr>
          <w:color w:val="auto"/>
        </w:rPr>
        <w:t xml:space="preserve">Exhibit B.  </w:t>
      </w:r>
      <w:proofErr w:type="gramStart"/>
      <w:r w:rsidRPr="00325BA2">
        <w:rPr>
          <w:color w:val="auto"/>
        </w:rPr>
        <w:t>Service Treatment Record.</w:t>
      </w:r>
      <w:proofErr w:type="gramEnd"/>
    </w:p>
    <w:p w:rsidR="00114F20" w:rsidRPr="00325BA2" w:rsidRDefault="00114F20" w:rsidP="00875F2D">
      <w:pPr>
        <w:tabs>
          <w:tab w:val="left" w:pos="288"/>
          <w:tab w:val="left" w:pos="4752"/>
        </w:tabs>
        <w:spacing w:line="240" w:lineRule="exact"/>
        <w:jc w:val="both"/>
        <w:rPr>
          <w:color w:val="auto"/>
        </w:rPr>
      </w:pPr>
      <w:r w:rsidRPr="00325BA2">
        <w:rPr>
          <w:color w:val="auto"/>
        </w:rPr>
        <w:t xml:space="preserve">Exhibit C.  </w:t>
      </w:r>
      <w:proofErr w:type="gramStart"/>
      <w:r w:rsidRPr="00325BA2">
        <w:rPr>
          <w:color w:val="auto"/>
        </w:rPr>
        <w:t>Department of Veterans</w:t>
      </w:r>
      <w:r w:rsidR="00385D6F" w:rsidRPr="00325BA2">
        <w:rPr>
          <w:color w:val="auto"/>
        </w:rPr>
        <w:t>'</w:t>
      </w:r>
      <w:r w:rsidRPr="00325BA2">
        <w:rPr>
          <w:color w:val="auto"/>
        </w:rPr>
        <w:t xml:space="preserve"> Affairs Treatment Record.</w:t>
      </w:r>
      <w:proofErr w:type="gramEnd"/>
    </w:p>
    <w:p w:rsidR="00D91DA6" w:rsidRPr="00325BA2" w:rsidRDefault="00D91DA6"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D91DA6" w:rsidRPr="00325BA2" w:rsidRDefault="00C30A97" w:rsidP="00875F2D">
      <w:pPr>
        <w:tabs>
          <w:tab w:val="left" w:pos="0"/>
          <w:tab w:val="left" w:pos="4320"/>
        </w:tabs>
        <w:spacing w:line="240" w:lineRule="exact"/>
        <w:jc w:val="both"/>
        <w:rPr>
          <w:color w:val="auto"/>
        </w:rPr>
      </w:pPr>
      <w:r w:rsidRPr="00325BA2">
        <w:rPr>
          <w:color w:val="auto"/>
        </w:rPr>
        <w:t xml:space="preserve">                             </w:t>
      </w:r>
    </w:p>
    <w:p w:rsidR="00D91DA6" w:rsidRPr="00325BA2" w:rsidRDefault="00C30A97" w:rsidP="00875F2D">
      <w:pPr>
        <w:tabs>
          <w:tab w:val="left" w:pos="0"/>
          <w:tab w:val="left" w:pos="4320"/>
        </w:tabs>
        <w:spacing w:line="240" w:lineRule="exact"/>
        <w:jc w:val="both"/>
        <w:rPr>
          <w:color w:val="auto"/>
        </w:rPr>
      </w:pPr>
      <w:r w:rsidRPr="00325BA2">
        <w:rPr>
          <w:color w:val="auto"/>
        </w:rPr>
        <w:t xml:space="preserve">                             </w:t>
      </w:r>
      <w:r w:rsidR="004D4373">
        <w:rPr>
          <w:color w:val="auto"/>
        </w:rPr>
        <w:t>Deputy Director</w:t>
      </w:r>
    </w:p>
    <w:p w:rsidR="00B522CD" w:rsidRDefault="00C30A97" w:rsidP="00875F2D">
      <w:pPr>
        <w:tabs>
          <w:tab w:val="left" w:pos="288"/>
          <w:tab w:val="left" w:pos="4320"/>
          <w:tab w:val="left" w:pos="4410"/>
          <w:tab w:val="left" w:pos="4770"/>
          <w:tab w:val="left" w:pos="4860"/>
          <w:tab w:val="left" w:pos="5040"/>
        </w:tabs>
        <w:spacing w:line="240" w:lineRule="exact"/>
        <w:jc w:val="both"/>
        <w:rPr>
          <w:color w:val="auto"/>
        </w:rPr>
      </w:pPr>
      <w:r w:rsidRPr="00325BA2">
        <w:rPr>
          <w:color w:val="auto"/>
        </w:rPr>
        <w:tab/>
        <w:t xml:space="preserve">                           </w:t>
      </w:r>
      <w:r w:rsidR="00D91DA6" w:rsidRPr="00325BA2">
        <w:rPr>
          <w:color w:val="auto"/>
        </w:rPr>
        <w:t>Physical Disability Board of Review</w:t>
      </w:r>
    </w:p>
    <w:p w:rsidR="008E33ED" w:rsidRDefault="008E33ED" w:rsidP="00875F2D">
      <w:pPr>
        <w:tabs>
          <w:tab w:val="left" w:pos="288"/>
          <w:tab w:val="left" w:pos="4320"/>
          <w:tab w:val="left" w:pos="4410"/>
          <w:tab w:val="left" w:pos="4770"/>
          <w:tab w:val="left" w:pos="4860"/>
          <w:tab w:val="left" w:pos="5040"/>
        </w:tabs>
        <w:spacing w:line="240" w:lineRule="exact"/>
        <w:jc w:val="both"/>
        <w:rPr>
          <w:color w:val="auto"/>
        </w:rPr>
      </w:pPr>
    </w:p>
    <w:p w:rsidR="008E33ED" w:rsidRPr="008E33ED" w:rsidRDefault="008E33ED" w:rsidP="008E33ED">
      <w:pPr>
        <w:jc w:val="both"/>
        <w:rPr>
          <w:color w:val="auto"/>
        </w:rPr>
      </w:pPr>
      <w:r w:rsidRPr="008E33ED">
        <w:rPr>
          <w:color w:val="auto"/>
        </w:rPr>
        <w:lastRenderedPageBreak/>
        <w:t>MEMORANDUM FOR DIRECTOR, SECRETARY OF THE NAVY COUNCIL</w:t>
      </w:r>
    </w:p>
    <w:p w:rsidR="008E33ED" w:rsidRPr="008E33ED" w:rsidRDefault="008E33ED" w:rsidP="008E33ED">
      <w:pPr>
        <w:tabs>
          <w:tab w:val="left" w:pos="1800"/>
        </w:tabs>
        <w:jc w:val="both"/>
        <w:rPr>
          <w:color w:val="auto"/>
        </w:rPr>
      </w:pPr>
      <w:r w:rsidRPr="008E33ED">
        <w:rPr>
          <w:color w:val="auto"/>
        </w:rPr>
        <w:t xml:space="preserve">                                OF REVIEW BOARDS </w:t>
      </w:r>
    </w:p>
    <w:p w:rsidR="008E33ED" w:rsidRPr="008E33ED" w:rsidRDefault="008E33ED" w:rsidP="008E33ED">
      <w:pPr>
        <w:jc w:val="both"/>
        <w:rPr>
          <w:color w:val="auto"/>
        </w:rPr>
      </w:pPr>
    </w:p>
    <w:p w:rsidR="008E33ED" w:rsidRPr="008E33ED" w:rsidRDefault="008E33ED" w:rsidP="008E33ED">
      <w:pPr>
        <w:jc w:val="both"/>
        <w:rPr>
          <w:color w:val="auto"/>
        </w:rPr>
      </w:pPr>
      <w:proofErr w:type="spellStart"/>
      <w:r w:rsidRPr="008E33ED">
        <w:rPr>
          <w:color w:val="auto"/>
        </w:rPr>
        <w:t>Subj</w:t>
      </w:r>
      <w:proofErr w:type="spellEnd"/>
      <w:r w:rsidRPr="008E33ED">
        <w:rPr>
          <w:color w:val="auto"/>
        </w:rPr>
        <w:t>:   PHYSICAL DISABILITY BOARD OF REVIEW (PDBR) RECOMMENDATION</w:t>
      </w:r>
    </w:p>
    <w:p w:rsidR="008E33ED" w:rsidRPr="008E33ED" w:rsidRDefault="008E33ED" w:rsidP="008E33ED">
      <w:pPr>
        <w:jc w:val="both"/>
        <w:rPr>
          <w:color w:val="auto"/>
        </w:rPr>
      </w:pPr>
      <w:r w:rsidRPr="008E33ED">
        <w:rPr>
          <w:color w:val="auto"/>
        </w:rPr>
        <w:t xml:space="preserve">            ICO </w:t>
      </w:r>
      <w:r>
        <w:rPr>
          <w:color w:val="auto"/>
        </w:rPr>
        <w:t>XXXXXX</w:t>
      </w:r>
    </w:p>
    <w:p w:rsidR="008E33ED" w:rsidRPr="008E33ED" w:rsidRDefault="008E33ED" w:rsidP="008E33ED">
      <w:pPr>
        <w:jc w:val="both"/>
        <w:rPr>
          <w:color w:val="auto"/>
        </w:rPr>
      </w:pPr>
    </w:p>
    <w:p w:rsidR="008E33ED" w:rsidRPr="008E33ED" w:rsidRDefault="008E33ED" w:rsidP="008E33ED">
      <w:pPr>
        <w:jc w:val="both"/>
        <w:rPr>
          <w:color w:val="auto"/>
        </w:rPr>
      </w:pPr>
      <w:r w:rsidRPr="008E33ED">
        <w:rPr>
          <w:color w:val="auto"/>
        </w:rPr>
        <w:t>Ref:   (a) DoDI 6040.44</w:t>
      </w:r>
    </w:p>
    <w:p w:rsidR="008E33ED" w:rsidRPr="008E33ED" w:rsidRDefault="008E33ED" w:rsidP="008E33ED">
      <w:pPr>
        <w:ind w:left="-540"/>
        <w:jc w:val="both"/>
        <w:rPr>
          <w:color w:val="auto"/>
        </w:rPr>
      </w:pPr>
      <w:r w:rsidRPr="008E33ED">
        <w:rPr>
          <w:color w:val="auto"/>
        </w:rPr>
        <w:t xml:space="preserve">                   (b) PDBR </w:t>
      </w:r>
      <w:proofErr w:type="spellStart"/>
      <w:r w:rsidRPr="008E33ED">
        <w:rPr>
          <w:color w:val="auto"/>
        </w:rPr>
        <w:t>ltr</w:t>
      </w:r>
      <w:proofErr w:type="spellEnd"/>
      <w:r w:rsidRPr="008E33ED">
        <w:rPr>
          <w:color w:val="auto"/>
        </w:rPr>
        <w:t xml:space="preserve"> </w:t>
      </w:r>
      <w:proofErr w:type="spellStart"/>
      <w:r w:rsidRPr="008E33ED">
        <w:rPr>
          <w:color w:val="auto"/>
        </w:rPr>
        <w:t>dtd</w:t>
      </w:r>
      <w:proofErr w:type="spellEnd"/>
      <w:r w:rsidRPr="008E33ED">
        <w:rPr>
          <w:color w:val="auto"/>
        </w:rPr>
        <w:t xml:space="preserve"> 10 Aug 10</w:t>
      </w:r>
    </w:p>
    <w:p w:rsidR="008E33ED" w:rsidRPr="008E33ED" w:rsidRDefault="008E33ED" w:rsidP="008E33ED">
      <w:pPr>
        <w:ind w:left="-540"/>
        <w:jc w:val="both"/>
        <w:rPr>
          <w:color w:val="auto"/>
        </w:rPr>
      </w:pPr>
    </w:p>
    <w:p w:rsidR="008E33ED" w:rsidRPr="008E33ED" w:rsidRDefault="008E33ED" w:rsidP="008E33ED">
      <w:pPr>
        <w:jc w:val="both"/>
        <w:rPr>
          <w:color w:val="auto"/>
        </w:rPr>
      </w:pPr>
      <w:r w:rsidRPr="008E33ED">
        <w:rPr>
          <w:color w:val="auto"/>
        </w:rPr>
        <w:t xml:space="preserve">      I have reviewed the subject case pursuant to reference (a) and approve the recommendation of the PDBR (reference (b)) that Mr. </w:t>
      </w:r>
      <w:r>
        <w:rPr>
          <w:color w:val="auto"/>
        </w:rPr>
        <w:t>XXXX</w:t>
      </w:r>
      <w:r w:rsidRPr="008E33ED">
        <w:rPr>
          <w:color w:val="auto"/>
        </w:rPr>
        <w:t>’s records not be corrected to reflect a change in either his characterization of separation or in the disability rating previously assigned by the Department of the Navy’s Physical Evaluation Board.</w:t>
      </w:r>
    </w:p>
    <w:p w:rsidR="008E33ED" w:rsidRPr="008E33ED" w:rsidRDefault="008E33ED" w:rsidP="008E33ED">
      <w:pPr>
        <w:jc w:val="both"/>
        <w:rPr>
          <w:color w:val="auto"/>
        </w:rPr>
      </w:pPr>
    </w:p>
    <w:p w:rsidR="008E33ED" w:rsidRPr="008E33ED" w:rsidRDefault="008E33ED" w:rsidP="008E33ED">
      <w:pPr>
        <w:jc w:val="both"/>
        <w:rPr>
          <w:color w:val="auto"/>
        </w:rPr>
      </w:pPr>
    </w:p>
    <w:p w:rsidR="008E33ED" w:rsidRPr="008E33ED" w:rsidRDefault="008E33ED" w:rsidP="008E33ED">
      <w:pPr>
        <w:jc w:val="both"/>
        <w:rPr>
          <w:color w:val="auto"/>
        </w:rPr>
      </w:pPr>
    </w:p>
    <w:p w:rsidR="008E33ED" w:rsidRPr="008E33ED" w:rsidRDefault="008E33ED" w:rsidP="008E33ED">
      <w:pPr>
        <w:tabs>
          <w:tab w:val="left" w:pos="4680"/>
        </w:tabs>
        <w:jc w:val="both"/>
        <w:rPr>
          <w:color w:val="auto"/>
        </w:rPr>
      </w:pPr>
      <w:r w:rsidRPr="008E33ED">
        <w:rPr>
          <w:color w:val="auto"/>
        </w:rPr>
        <w:tab/>
      </w:r>
    </w:p>
    <w:p w:rsidR="008E33ED" w:rsidRPr="008E33ED" w:rsidRDefault="008E33ED" w:rsidP="008E33ED">
      <w:pPr>
        <w:jc w:val="both"/>
        <w:rPr>
          <w:color w:val="auto"/>
        </w:rPr>
      </w:pPr>
      <w:r w:rsidRPr="008E33ED">
        <w:rPr>
          <w:color w:val="auto"/>
        </w:rPr>
        <w:tab/>
      </w:r>
      <w:r w:rsidRPr="008E33ED">
        <w:rPr>
          <w:color w:val="auto"/>
        </w:rPr>
        <w:tab/>
      </w:r>
      <w:r w:rsidRPr="008E33ED">
        <w:rPr>
          <w:color w:val="auto"/>
        </w:rPr>
        <w:tab/>
      </w:r>
      <w:r w:rsidRPr="008E33ED">
        <w:rPr>
          <w:color w:val="auto"/>
        </w:rPr>
        <w:tab/>
      </w:r>
      <w:r w:rsidRPr="008E33ED">
        <w:rPr>
          <w:color w:val="auto"/>
        </w:rPr>
        <w:tab/>
        <w:t xml:space="preserve">      Principal Deputy</w:t>
      </w:r>
    </w:p>
    <w:p w:rsidR="008E33ED" w:rsidRPr="008E33ED" w:rsidRDefault="008E33ED" w:rsidP="008E33ED">
      <w:pPr>
        <w:jc w:val="both"/>
        <w:rPr>
          <w:color w:val="auto"/>
        </w:rPr>
      </w:pPr>
      <w:r w:rsidRPr="008E33ED">
        <w:rPr>
          <w:color w:val="auto"/>
        </w:rPr>
        <w:tab/>
      </w:r>
      <w:r w:rsidRPr="008E33ED">
        <w:rPr>
          <w:color w:val="auto"/>
        </w:rPr>
        <w:tab/>
      </w:r>
      <w:r w:rsidRPr="008E33ED">
        <w:rPr>
          <w:color w:val="auto"/>
        </w:rPr>
        <w:tab/>
      </w:r>
      <w:r w:rsidR="0079118F">
        <w:rPr>
          <w:color w:val="auto"/>
        </w:rPr>
        <w:tab/>
      </w:r>
      <w:r w:rsidRPr="008E33ED">
        <w:rPr>
          <w:color w:val="auto"/>
        </w:rPr>
        <w:tab/>
        <w:t xml:space="preserve">      Assistant Secretary of the Navy </w:t>
      </w:r>
    </w:p>
    <w:p w:rsidR="008E33ED" w:rsidRPr="008E33ED" w:rsidRDefault="008E33ED" w:rsidP="008E33ED">
      <w:pPr>
        <w:jc w:val="both"/>
        <w:rPr>
          <w:color w:val="auto"/>
        </w:rPr>
      </w:pPr>
      <w:r w:rsidRPr="008E33ED">
        <w:rPr>
          <w:color w:val="auto"/>
        </w:rPr>
        <w:tab/>
      </w:r>
      <w:r w:rsidRPr="008E33ED">
        <w:rPr>
          <w:color w:val="auto"/>
        </w:rPr>
        <w:tab/>
      </w:r>
      <w:r w:rsidRPr="008E33ED">
        <w:rPr>
          <w:color w:val="auto"/>
        </w:rPr>
        <w:tab/>
      </w:r>
      <w:r w:rsidRPr="008E33ED">
        <w:rPr>
          <w:color w:val="auto"/>
        </w:rPr>
        <w:tab/>
      </w:r>
      <w:r w:rsidRPr="008E33ED">
        <w:rPr>
          <w:color w:val="auto"/>
        </w:rPr>
        <w:tab/>
        <w:t xml:space="preserve">      (Manpower &amp; Reserve Affairs)</w:t>
      </w:r>
    </w:p>
    <w:p w:rsidR="008E33ED" w:rsidRPr="008E33ED" w:rsidRDefault="008E33ED" w:rsidP="008E33ED">
      <w:pPr>
        <w:jc w:val="both"/>
        <w:rPr>
          <w:color w:val="auto"/>
        </w:rPr>
      </w:pPr>
      <w:r w:rsidRPr="008E33ED">
        <w:rPr>
          <w:color w:val="auto"/>
        </w:rPr>
        <w:tab/>
      </w:r>
      <w:r w:rsidRPr="008E33ED">
        <w:rPr>
          <w:color w:val="auto"/>
        </w:rPr>
        <w:tab/>
      </w:r>
      <w:r w:rsidRPr="008E33ED">
        <w:rPr>
          <w:color w:val="auto"/>
        </w:rPr>
        <w:tab/>
      </w:r>
      <w:r w:rsidRPr="008E33ED">
        <w:rPr>
          <w:color w:val="auto"/>
        </w:rPr>
        <w:tab/>
      </w:r>
      <w:r w:rsidRPr="008E33ED">
        <w:rPr>
          <w:color w:val="auto"/>
        </w:rPr>
        <w:tab/>
      </w:r>
      <w:r w:rsidRPr="008E33ED">
        <w:rPr>
          <w:color w:val="auto"/>
        </w:rPr>
        <w:tab/>
        <w:t xml:space="preserve">  </w:t>
      </w:r>
    </w:p>
    <w:p w:rsidR="008E33ED" w:rsidRDefault="008E33ED" w:rsidP="008E33ED">
      <w:pPr>
        <w:jc w:val="both"/>
      </w:pPr>
    </w:p>
    <w:p w:rsidR="008E33ED" w:rsidRPr="00325BA2" w:rsidRDefault="008E33ED" w:rsidP="00875F2D">
      <w:pPr>
        <w:tabs>
          <w:tab w:val="left" w:pos="288"/>
          <w:tab w:val="left" w:pos="4320"/>
          <w:tab w:val="left" w:pos="4410"/>
          <w:tab w:val="left" w:pos="4770"/>
          <w:tab w:val="left" w:pos="4860"/>
          <w:tab w:val="left" w:pos="5040"/>
        </w:tabs>
        <w:spacing w:line="240" w:lineRule="exact"/>
        <w:jc w:val="both"/>
        <w:rPr>
          <w:color w:val="auto"/>
        </w:rPr>
      </w:pP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FC5" w:rsidRDefault="00144FC5">
      <w:r>
        <w:separator/>
      </w:r>
    </w:p>
  </w:endnote>
  <w:endnote w:type="continuationSeparator" w:id="0">
    <w:p w:rsidR="00144FC5" w:rsidRDefault="00144FC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50" w:rsidRDefault="00401A52">
    <w:pPr>
      <w:pStyle w:val="Footer"/>
      <w:framePr w:wrap="around" w:vAnchor="text" w:hAnchor="margin" w:xAlign="center" w:y="1"/>
      <w:rPr>
        <w:rStyle w:val="PageNumber"/>
      </w:rPr>
    </w:pPr>
    <w:r>
      <w:rPr>
        <w:rStyle w:val="PageNumber"/>
      </w:rPr>
      <w:fldChar w:fldCharType="begin"/>
    </w:r>
    <w:r w:rsidR="000F0450">
      <w:rPr>
        <w:rStyle w:val="PageNumber"/>
      </w:rPr>
      <w:instrText xml:space="preserve">PAGE  </w:instrText>
    </w:r>
    <w:r>
      <w:rPr>
        <w:rStyle w:val="PageNumber"/>
      </w:rPr>
      <w:fldChar w:fldCharType="separate"/>
    </w:r>
    <w:r w:rsidR="000F0450">
      <w:rPr>
        <w:rStyle w:val="PageNumber"/>
        <w:noProof/>
      </w:rPr>
      <w:t>2</w:t>
    </w:r>
    <w:r>
      <w:rPr>
        <w:rStyle w:val="PageNumber"/>
      </w:rPr>
      <w:fldChar w:fldCharType="end"/>
    </w:r>
  </w:p>
  <w:p w:rsidR="000F0450" w:rsidRDefault="000F045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50" w:rsidRPr="00880DD9" w:rsidRDefault="00401A52" w:rsidP="00880DD9">
    <w:pPr>
      <w:pStyle w:val="Footer"/>
      <w:framePr w:wrap="around" w:vAnchor="text" w:hAnchor="page" w:x="6061" w:y="4"/>
      <w:rPr>
        <w:rStyle w:val="PageNumber"/>
        <w:color w:val="auto"/>
      </w:rPr>
    </w:pPr>
    <w:r w:rsidRPr="00880DD9">
      <w:rPr>
        <w:rStyle w:val="PageNumber"/>
        <w:color w:val="auto"/>
      </w:rPr>
      <w:fldChar w:fldCharType="begin"/>
    </w:r>
    <w:r w:rsidR="000F0450" w:rsidRPr="00880DD9">
      <w:rPr>
        <w:rStyle w:val="PageNumber"/>
        <w:color w:val="auto"/>
      </w:rPr>
      <w:instrText xml:space="preserve">PAGE  </w:instrText>
    </w:r>
    <w:r w:rsidRPr="00880DD9">
      <w:rPr>
        <w:rStyle w:val="PageNumber"/>
        <w:color w:val="auto"/>
      </w:rPr>
      <w:fldChar w:fldCharType="separate"/>
    </w:r>
    <w:r w:rsidR="0079118F">
      <w:rPr>
        <w:rStyle w:val="PageNumber"/>
        <w:noProof/>
        <w:color w:val="auto"/>
      </w:rPr>
      <w:t>5</w:t>
    </w:r>
    <w:r w:rsidRPr="00880DD9">
      <w:rPr>
        <w:rStyle w:val="PageNumber"/>
        <w:color w:val="auto"/>
      </w:rPr>
      <w:fldChar w:fldCharType="end"/>
    </w:r>
  </w:p>
  <w:p w:rsidR="000F0450" w:rsidRPr="00880DD9" w:rsidRDefault="000F0450" w:rsidP="002B0749">
    <w:pPr>
      <w:pStyle w:val="Footer"/>
      <w:jc w:val="right"/>
      <w:rPr>
        <w:color w:val="auto"/>
      </w:rPr>
    </w:pPr>
    <w:r>
      <w:tab/>
    </w:r>
    <w:r>
      <w:tab/>
    </w:r>
    <w:r w:rsidRPr="00880DD9">
      <w:rPr>
        <w:caps/>
        <w:color w:val="auto"/>
      </w:rPr>
      <w:t>PD0900409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FC5" w:rsidRDefault="00144FC5">
      <w:r>
        <w:separator/>
      </w:r>
    </w:p>
  </w:footnote>
  <w:footnote w:type="continuationSeparator" w:id="0">
    <w:p w:rsidR="00144FC5" w:rsidRDefault="00144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91521"/>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234"/>
    <w:rsid w:val="00053D7C"/>
    <w:rsid w:val="000577C9"/>
    <w:rsid w:val="0006431E"/>
    <w:rsid w:val="00064CBC"/>
    <w:rsid w:val="00072433"/>
    <w:rsid w:val="00075702"/>
    <w:rsid w:val="00077269"/>
    <w:rsid w:val="0007739B"/>
    <w:rsid w:val="000775C2"/>
    <w:rsid w:val="000806AD"/>
    <w:rsid w:val="00082482"/>
    <w:rsid w:val="0008708B"/>
    <w:rsid w:val="00094E4F"/>
    <w:rsid w:val="000A2BCE"/>
    <w:rsid w:val="000A41E3"/>
    <w:rsid w:val="000A4971"/>
    <w:rsid w:val="000A4BBA"/>
    <w:rsid w:val="000A5071"/>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0450"/>
    <w:rsid w:val="000F427B"/>
    <w:rsid w:val="001008C1"/>
    <w:rsid w:val="00100A09"/>
    <w:rsid w:val="00103CCF"/>
    <w:rsid w:val="0010417F"/>
    <w:rsid w:val="001042D2"/>
    <w:rsid w:val="0010530E"/>
    <w:rsid w:val="001103CD"/>
    <w:rsid w:val="00112935"/>
    <w:rsid w:val="0011313E"/>
    <w:rsid w:val="00114F20"/>
    <w:rsid w:val="001219DF"/>
    <w:rsid w:val="001231DC"/>
    <w:rsid w:val="001272AE"/>
    <w:rsid w:val="001315DD"/>
    <w:rsid w:val="00135385"/>
    <w:rsid w:val="001364D1"/>
    <w:rsid w:val="00142EBA"/>
    <w:rsid w:val="0014423E"/>
    <w:rsid w:val="00144FC5"/>
    <w:rsid w:val="00150DCB"/>
    <w:rsid w:val="00153740"/>
    <w:rsid w:val="001541C5"/>
    <w:rsid w:val="0015623F"/>
    <w:rsid w:val="00156BA9"/>
    <w:rsid w:val="00163807"/>
    <w:rsid w:val="00166182"/>
    <w:rsid w:val="00177659"/>
    <w:rsid w:val="001779E5"/>
    <w:rsid w:val="00182A4C"/>
    <w:rsid w:val="00183F77"/>
    <w:rsid w:val="00185DA8"/>
    <w:rsid w:val="00185ECB"/>
    <w:rsid w:val="001870F0"/>
    <w:rsid w:val="00187D70"/>
    <w:rsid w:val="0019273F"/>
    <w:rsid w:val="00193AD5"/>
    <w:rsid w:val="00194930"/>
    <w:rsid w:val="001A08CD"/>
    <w:rsid w:val="001A5320"/>
    <w:rsid w:val="001A5E62"/>
    <w:rsid w:val="001A7538"/>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CF"/>
    <w:rsid w:val="00233FE5"/>
    <w:rsid w:val="0024174E"/>
    <w:rsid w:val="0024227D"/>
    <w:rsid w:val="0024234E"/>
    <w:rsid w:val="00246860"/>
    <w:rsid w:val="00246DFF"/>
    <w:rsid w:val="00246E89"/>
    <w:rsid w:val="0025183C"/>
    <w:rsid w:val="002528EC"/>
    <w:rsid w:val="00255049"/>
    <w:rsid w:val="00257DE5"/>
    <w:rsid w:val="00260531"/>
    <w:rsid w:val="0026318D"/>
    <w:rsid w:val="00270864"/>
    <w:rsid w:val="00270981"/>
    <w:rsid w:val="002712F7"/>
    <w:rsid w:val="0027159C"/>
    <w:rsid w:val="002738D1"/>
    <w:rsid w:val="00274549"/>
    <w:rsid w:val="00274E46"/>
    <w:rsid w:val="00276C86"/>
    <w:rsid w:val="002810A4"/>
    <w:rsid w:val="00284A26"/>
    <w:rsid w:val="002A3237"/>
    <w:rsid w:val="002A397F"/>
    <w:rsid w:val="002A685E"/>
    <w:rsid w:val="002A72C7"/>
    <w:rsid w:val="002B03B2"/>
    <w:rsid w:val="002B0749"/>
    <w:rsid w:val="002B2645"/>
    <w:rsid w:val="002C5F10"/>
    <w:rsid w:val="002C6321"/>
    <w:rsid w:val="002C6E5B"/>
    <w:rsid w:val="002D18B4"/>
    <w:rsid w:val="002D231A"/>
    <w:rsid w:val="002D7AE8"/>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2136A"/>
    <w:rsid w:val="003220C1"/>
    <w:rsid w:val="00323E70"/>
    <w:rsid w:val="00325BA2"/>
    <w:rsid w:val="00326F7F"/>
    <w:rsid w:val="003320E8"/>
    <w:rsid w:val="0033555E"/>
    <w:rsid w:val="00336805"/>
    <w:rsid w:val="00337351"/>
    <w:rsid w:val="00341A54"/>
    <w:rsid w:val="0034669F"/>
    <w:rsid w:val="003470ED"/>
    <w:rsid w:val="00351498"/>
    <w:rsid w:val="00352B22"/>
    <w:rsid w:val="003567DE"/>
    <w:rsid w:val="0036319E"/>
    <w:rsid w:val="003632A4"/>
    <w:rsid w:val="00363362"/>
    <w:rsid w:val="00370743"/>
    <w:rsid w:val="00370EF5"/>
    <w:rsid w:val="00372251"/>
    <w:rsid w:val="0037520D"/>
    <w:rsid w:val="0037628C"/>
    <w:rsid w:val="00376B81"/>
    <w:rsid w:val="00377BD2"/>
    <w:rsid w:val="003821E1"/>
    <w:rsid w:val="00384866"/>
    <w:rsid w:val="003857D4"/>
    <w:rsid w:val="00385D6F"/>
    <w:rsid w:val="00387095"/>
    <w:rsid w:val="00390092"/>
    <w:rsid w:val="00391659"/>
    <w:rsid w:val="00393651"/>
    <w:rsid w:val="003A41BA"/>
    <w:rsid w:val="003A6A99"/>
    <w:rsid w:val="003A7FF8"/>
    <w:rsid w:val="003B227A"/>
    <w:rsid w:val="003B5854"/>
    <w:rsid w:val="003B6764"/>
    <w:rsid w:val="003D2BA3"/>
    <w:rsid w:val="003D3C22"/>
    <w:rsid w:val="003D7089"/>
    <w:rsid w:val="003D7DDB"/>
    <w:rsid w:val="003E02C7"/>
    <w:rsid w:val="003E0543"/>
    <w:rsid w:val="003E0782"/>
    <w:rsid w:val="003E0B5A"/>
    <w:rsid w:val="003E31E3"/>
    <w:rsid w:val="003E46D1"/>
    <w:rsid w:val="003F58B0"/>
    <w:rsid w:val="004007E9"/>
    <w:rsid w:val="00401825"/>
    <w:rsid w:val="00401A52"/>
    <w:rsid w:val="00401BBC"/>
    <w:rsid w:val="00403BFB"/>
    <w:rsid w:val="00404B45"/>
    <w:rsid w:val="00406CC5"/>
    <w:rsid w:val="004074A4"/>
    <w:rsid w:val="004101B2"/>
    <w:rsid w:val="004123D7"/>
    <w:rsid w:val="00416F8E"/>
    <w:rsid w:val="004172DB"/>
    <w:rsid w:val="00421485"/>
    <w:rsid w:val="00422B75"/>
    <w:rsid w:val="00433F36"/>
    <w:rsid w:val="0043503A"/>
    <w:rsid w:val="0044384F"/>
    <w:rsid w:val="00446018"/>
    <w:rsid w:val="004543BC"/>
    <w:rsid w:val="0045645D"/>
    <w:rsid w:val="004574C6"/>
    <w:rsid w:val="004578BC"/>
    <w:rsid w:val="00457BCF"/>
    <w:rsid w:val="00457DCE"/>
    <w:rsid w:val="00460E3F"/>
    <w:rsid w:val="004617FF"/>
    <w:rsid w:val="00467592"/>
    <w:rsid w:val="00470676"/>
    <w:rsid w:val="004718E7"/>
    <w:rsid w:val="004761CC"/>
    <w:rsid w:val="00480D4A"/>
    <w:rsid w:val="00481DA1"/>
    <w:rsid w:val="00485EDC"/>
    <w:rsid w:val="0049445D"/>
    <w:rsid w:val="00495350"/>
    <w:rsid w:val="00497156"/>
    <w:rsid w:val="004A24D2"/>
    <w:rsid w:val="004A4136"/>
    <w:rsid w:val="004A417B"/>
    <w:rsid w:val="004B03F3"/>
    <w:rsid w:val="004B2536"/>
    <w:rsid w:val="004B6AF3"/>
    <w:rsid w:val="004B715E"/>
    <w:rsid w:val="004B7169"/>
    <w:rsid w:val="004B79C9"/>
    <w:rsid w:val="004C27A5"/>
    <w:rsid w:val="004C5E33"/>
    <w:rsid w:val="004C5FC3"/>
    <w:rsid w:val="004C6CDA"/>
    <w:rsid w:val="004D10D4"/>
    <w:rsid w:val="004D16BD"/>
    <w:rsid w:val="004D4373"/>
    <w:rsid w:val="004D6F2B"/>
    <w:rsid w:val="004E0248"/>
    <w:rsid w:val="004E21A3"/>
    <w:rsid w:val="004E32EA"/>
    <w:rsid w:val="004F3222"/>
    <w:rsid w:val="004F3BFA"/>
    <w:rsid w:val="00510588"/>
    <w:rsid w:val="0051146C"/>
    <w:rsid w:val="005222E7"/>
    <w:rsid w:val="00523E04"/>
    <w:rsid w:val="0052590B"/>
    <w:rsid w:val="00526591"/>
    <w:rsid w:val="00527178"/>
    <w:rsid w:val="005350A5"/>
    <w:rsid w:val="00536379"/>
    <w:rsid w:val="00537238"/>
    <w:rsid w:val="005400C5"/>
    <w:rsid w:val="00540BEF"/>
    <w:rsid w:val="00542C9A"/>
    <w:rsid w:val="005436C2"/>
    <w:rsid w:val="0054586A"/>
    <w:rsid w:val="0055288D"/>
    <w:rsid w:val="00555259"/>
    <w:rsid w:val="00560D57"/>
    <w:rsid w:val="00562A94"/>
    <w:rsid w:val="005710A9"/>
    <w:rsid w:val="00582675"/>
    <w:rsid w:val="00582BC2"/>
    <w:rsid w:val="00593043"/>
    <w:rsid w:val="00595BF0"/>
    <w:rsid w:val="005A258C"/>
    <w:rsid w:val="005A3560"/>
    <w:rsid w:val="005A63F2"/>
    <w:rsid w:val="005A6C99"/>
    <w:rsid w:val="005B011A"/>
    <w:rsid w:val="005B1D8F"/>
    <w:rsid w:val="005B1E94"/>
    <w:rsid w:val="005B5B3D"/>
    <w:rsid w:val="005C3758"/>
    <w:rsid w:val="005E3064"/>
    <w:rsid w:val="005F1115"/>
    <w:rsid w:val="005F27F2"/>
    <w:rsid w:val="005F424D"/>
    <w:rsid w:val="00605AAB"/>
    <w:rsid w:val="00606BEB"/>
    <w:rsid w:val="0061014A"/>
    <w:rsid w:val="00613E26"/>
    <w:rsid w:val="00615641"/>
    <w:rsid w:val="00620CC8"/>
    <w:rsid w:val="006211D0"/>
    <w:rsid w:val="00624D0C"/>
    <w:rsid w:val="006307BA"/>
    <w:rsid w:val="006315BA"/>
    <w:rsid w:val="00631625"/>
    <w:rsid w:val="00634C4A"/>
    <w:rsid w:val="0063532E"/>
    <w:rsid w:val="00637BDC"/>
    <w:rsid w:val="006418C9"/>
    <w:rsid w:val="00642BD6"/>
    <w:rsid w:val="00645046"/>
    <w:rsid w:val="00645EA2"/>
    <w:rsid w:val="006573F2"/>
    <w:rsid w:val="00662F08"/>
    <w:rsid w:val="00663589"/>
    <w:rsid w:val="00670DDC"/>
    <w:rsid w:val="00671EB4"/>
    <w:rsid w:val="0067443B"/>
    <w:rsid w:val="00680785"/>
    <w:rsid w:val="00684E2B"/>
    <w:rsid w:val="00690FDA"/>
    <w:rsid w:val="00694EEA"/>
    <w:rsid w:val="006955B4"/>
    <w:rsid w:val="00696476"/>
    <w:rsid w:val="006A10FA"/>
    <w:rsid w:val="006A40E6"/>
    <w:rsid w:val="006A5C07"/>
    <w:rsid w:val="006A75FA"/>
    <w:rsid w:val="006B07D5"/>
    <w:rsid w:val="006B1309"/>
    <w:rsid w:val="006B5923"/>
    <w:rsid w:val="006B67D9"/>
    <w:rsid w:val="006B6C14"/>
    <w:rsid w:val="006C1D6E"/>
    <w:rsid w:val="006C3A68"/>
    <w:rsid w:val="006C6AB1"/>
    <w:rsid w:val="006D2D39"/>
    <w:rsid w:val="006E06D1"/>
    <w:rsid w:val="006E1313"/>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81BD4"/>
    <w:rsid w:val="00784832"/>
    <w:rsid w:val="00785D77"/>
    <w:rsid w:val="00786111"/>
    <w:rsid w:val="0079118F"/>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DB1"/>
    <w:rsid w:val="007C6046"/>
    <w:rsid w:val="007D0292"/>
    <w:rsid w:val="007D21AC"/>
    <w:rsid w:val="007D568A"/>
    <w:rsid w:val="007D574E"/>
    <w:rsid w:val="007E2046"/>
    <w:rsid w:val="007E4FBB"/>
    <w:rsid w:val="007E55BF"/>
    <w:rsid w:val="007E67EA"/>
    <w:rsid w:val="007E71B1"/>
    <w:rsid w:val="007E7B4E"/>
    <w:rsid w:val="007F0CE2"/>
    <w:rsid w:val="007F0EFF"/>
    <w:rsid w:val="007F1375"/>
    <w:rsid w:val="00803850"/>
    <w:rsid w:val="00805AFD"/>
    <w:rsid w:val="00811D5B"/>
    <w:rsid w:val="00817713"/>
    <w:rsid w:val="008220F1"/>
    <w:rsid w:val="00824112"/>
    <w:rsid w:val="00827DB6"/>
    <w:rsid w:val="00830999"/>
    <w:rsid w:val="00830D5E"/>
    <w:rsid w:val="00830F69"/>
    <w:rsid w:val="00834458"/>
    <w:rsid w:val="00835841"/>
    <w:rsid w:val="00837465"/>
    <w:rsid w:val="00841243"/>
    <w:rsid w:val="00841457"/>
    <w:rsid w:val="0084374E"/>
    <w:rsid w:val="00844842"/>
    <w:rsid w:val="00844DD0"/>
    <w:rsid w:val="0085206E"/>
    <w:rsid w:val="00852AD4"/>
    <w:rsid w:val="00852BA8"/>
    <w:rsid w:val="00853718"/>
    <w:rsid w:val="00853B71"/>
    <w:rsid w:val="008541EF"/>
    <w:rsid w:val="00856FA4"/>
    <w:rsid w:val="0086162B"/>
    <w:rsid w:val="00865207"/>
    <w:rsid w:val="008656A7"/>
    <w:rsid w:val="00871262"/>
    <w:rsid w:val="00871D4E"/>
    <w:rsid w:val="00871E7B"/>
    <w:rsid w:val="00875B51"/>
    <w:rsid w:val="00875F2D"/>
    <w:rsid w:val="008764DC"/>
    <w:rsid w:val="00880DD9"/>
    <w:rsid w:val="00882CC2"/>
    <w:rsid w:val="00883930"/>
    <w:rsid w:val="00887BAC"/>
    <w:rsid w:val="00896535"/>
    <w:rsid w:val="00896683"/>
    <w:rsid w:val="008A63A9"/>
    <w:rsid w:val="008B04DB"/>
    <w:rsid w:val="008B27FD"/>
    <w:rsid w:val="008B3AF2"/>
    <w:rsid w:val="008B515D"/>
    <w:rsid w:val="008B5D31"/>
    <w:rsid w:val="008B6705"/>
    <w:rsid w:val="008D795D"/>
    <w:rsid w:val="008D7B07"/>
    <w:rsid w:val="008E2D99"/>
    <w:rsid w:val="008E33ED"/>
    <w:rsid w:val="008E4A60"/>
    <w:rsid w:val="009014E3"/>
    <w:rsid w:val="009026E8"/>
    <w:rsid w:val="00906D35"/>
    <w:rsid w:val="00906EB7"/>
    <w:rsid w:val="009102BF"/>
    <w:rsid w:val="009115F2"/>
    <w:rsid w:val="00914ADB"/>
    <w:rsid w:val="009168D4"/>
    <w:rsid w:val="00923B25"/>
    <w:rsid w:val="0092402E"/>
    <w:rsid w:val="00926FCB"/>
    <w:rsid w:val="00942645"/>
    <w:rsid w:val="00944C46"/>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5099"/>
    <w:rsid w:val="0099421F"/>
    <w:rsid w:val="009A0DE3"/>
    <w:rsid w:val="009A1643"/>
    <w:rsid w:val="009A215A"/>
    <w:rsid w:val="009A4F1B"/>
    <w:rsid w:val="009A66C5"/>
    <w:rsid w:val="009A79BA"/>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F7809"/>
    <w:rsid w:val="009F7AF5"/>
    <w:rsid w:val="00A00D14"/>
    <w:rsid w:val="00A01408"/>
    <w:rsid w:val="00A02457"/>
    <w:rsid w:val="00A02954"/>
    <w:rsid w:val="00A03190"/>
    <w:rsid w:val="00A0404B"/>
    <w:rsid w:val="00A06D3E"/>
    <w:rsid w:val="00A07BDD"/>
    <w:rsid w:val="00A1105B"/>
    <w:rsid w:val="00A13F0B"/>
    <w:rsid w:val="00A13FA8"/>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4A47"/>
    <w:rsid w:val="00A55B84"/>
    <w:rsid w:val="00A56D26"/>
    <w:rsid w:val="00A608FB"/>
    <w:rsid w:val="00A60D83"/>
    <w:rsid w:val="00A60F68"/>
    <w:rsid w:val="00A65C78"/>
    <w:rsid w:val="00A67CA6"/>
    <w:rsid w:val="00A70E7B"/>
    <w:rsid w:val="00A73B84"/>
    <w:rsid w:val="00A7411D"/>
    <w:rsid w:val="00A76094"/>
    <w:rsid w:val="00A768E2"/>
    <w:rsid w:val="00A82C52"/>
    <w:rsid w:val="00A86CB6"/>
    <w:rsid w:val="00A90D55"/>
    <w:rsid w:val="00A959E7"/>
    <w:rsid w:val="00A95BBA"/>
    <w:rsid w:val="00A961EE"/>
    <w:rsid w:val="00AA04B3"/>
    <w:rsid w:val="00AA493E"/>
    <w:rsid w:val="00AA73AF"/>
    <w:rsid w:val="00AB1754"/>
    <w:rsid w:val="00AB27DD"/>
    <w:rsid w:val="00AB42F7"/>
    <w:rsid w:val="00AC439D"/>
    <w:rsid w:val="00AD067E"/>
    <w:rsid w:val="00AD68C5"/>
    <w:rsid w:val="00AE1273"/>
    <w:rsid w:val="00AE2D29"/>
    <w:rsid w:val="00AE3C3A"/>
    <w:rsid w:val="00AE4624"/>
    <w:rsid w:val="00AE5E14"/>
    <w:rsid w:val="00AE6115"/>
    <w:rsid w:val="00AF353E"/>
    <w:rsid w:val="00AF4FA5"/>
    <w:rsid w:val="00B031BC"/>
    <w:rsid w:val="00B14FAA"/>
    <w:rsid w:val="00B15D30"/>
    <w:rsid w:val="00B23436"/>
    <w:rsid w:val="00B32179"/>
    <w:rsid w:val="00B331A9"/>
    <w:rsid w:val="00B40A3E"/>
    <w:rsid w:val="00B50227"/>
    <w:rsid w:val="00B522CD"/>
    <w:rsid w:val="00B55917"/>
    <w:rsid w:val="00B6331A"/>
    <w:rsid w:val="00B64DD6"/>
    <w:rsid w:val="00B72303"/>
    <w:rsid w:val="00B82277"/>
    <w:rsid w:val="00B91676"/>
    <w:rsid w:val="00B95833"/>
    <w:rsid w:val="00BA2D98"/>
    <w:rsid w:val="00BA30D1"/>
    <w:rsid w:val="00BA4609"/>
    <w:rsid w:val="00BA5BE2"/>
    <w:rsid w:val="00BA7F46"/>
    <w:rsid w:val="00BB0A0A"/>
    <w:rsid w:val="00BB0CA1"/>
    <w:rsid w:val="00BB45B5"/>
    <w:rsid w:val="00BB6064"/>
    <w:rsid w:val="00BC09D1"/>
    <w:rsid w:val="00BD40AB"/>
    <w:rsid w:val="00BD6806"/>
    <w:rsid w:val="00BD7433"/>
    <w:rsid w:val="00BD7831"/>
    <w:rsid w:val="00BD7C10"/>
    <w:rsid w:val="00BE046F"/>
    <w:rsid w:val="00BE0DEB"/>
    <w:rsid w:val="00BE2FC1"/>
    <w:rsid w:val="00BE6365"/>
    <w:rsid w:val="00BF0B7F"/>
    <w:rsid w:val="00BF4720"/>
    <w:rsid w:val="00C038EC"/>
    <w:rsid w:val="00C113F4"/>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282D"/>
    <w:rsid w:val="00CA4670"/>
    <w:rsid w:val="00CA4EAE"/>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5E6D"/>
    <w:rsid w:val="00CD63C8"/>
    <w:rsid w:val="00CF158D"/>
    <w:rsid w:val="00CF4394"/>
    <w:rsid w:val="00D10577"/>
    <w:rsid w:val="00D1323B"/>
    <w:rsid w:val="00D14BAE"/>
    <w:rsid w:val="00D1648B"/>
    <w:rsid w:val="00D16819"/>
    <w:rsid w:val="00D20AC0"/>
    <w:rsid w:val="00D26873"/>
    <w:rsid w:val="00D336C8"/>
    <w:rsid w:val="00D339E8"/>
    <w:rsid w:val="00D37574"/>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B0015"/>
    <w:rsid w:val="00DB2AAD"/>
    <w:rsid w:val="00DB626D"/>
    <w:rsid w:val="00DB6365"/>
    <w:rsid w:val="00DC0BF1"/>
    <w:rsid w:val="00DC41C3"/>
    <w:rsid w:val="00DD3593"/>
    <w:rsid w:val="00DE0C67"/>
    <w:rsid w:val="00DE6952"/>
    <w:rsid w:val="00DE7E74"/>
    <w:rsid w:val="00E00A69"/>
    <w:rsid w:val="00E017F0"/>
    <w:rsid w:val="00E01A0E"/>
    <w:rsid w:val="00E041E4"/>
    <w:rsid w:val="00E103C8"/>
    <w:rsid w:val="00E1085B"/>
    <w:rsid w:val="00E14581"/>
    <w:rsid w:val="00E15539"/>
    <w:rsid w:val="00E16541"/>
    <w:rsid w:val="00E2536E"/>
    <w:rsid w:val="00E2632B"/>
    <w:rsid w:val="00E322F7"/>
    <w:rsid w:val="00E3369B"/>
    <w:rsid w:val="00E36D76"/>
    <w:rsid w:val="00E405EA"/>
    <w:rsid w:val="00E408B7"/>
    <w:rsid w:val="00E42789"/>
    <w:rsid w:val="00E43F59"/>
    <w:rsid w:val="00E464F0"/>
    <w:rsid w:val="00E50BEB"/>
    <w:rsid w:val="00E6092F"/>
    <w:rsid w:val="00E629DA"/>
    <w:rsid w:val="00E67FAC"/>
    <w:rsid w:val="00E7200B"/>
    <w:rsid w:val="00E738CB"/>
    <w:rsid w:val="00E73C88"/>
    <w:rsid w:val="00E74437"/>
    <w:rsid w:val="00E81C3E"/>
    <w:rsid w:val="00E82B6D"/>
    <w:rsid w:val="00E90790"/>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50C9"/>
    <w:rsid w:val="00EC5BB2"/>
    <w:rsid w:val="00ED5651"/>
    <w:rsid w:val="00ED664B"/>
    <w:rsid w:val="00EE0B44"/>
    <w:rsid w:val="00EE6FE0"/>
    <w:rsid w:val="00EE704A"/>
    <w:rsid w:val="00EF4C74"/>
    <w:rsid w:val="00EF5268"/>
    <w:rsid w:val="00EF608E"/>
    <w:rsid w:val="00F0044B"/>
    <w:rsid w:val="00F04957"/>
    <w:rsid w:val="00F05807"/>
    <w:rsid w:val="00F07052"/>
    <w:rsid w:val="00F0706C"/>
    <w:rsid w:val="00F11EBE"/>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57B4C"/>
    <w:rsid w:val="00F6636A"/>
    <w:rsid w:val="00F67E31"/>
    <w:rsid w:val="00F718A8"/>
    <w:rsid w:val="00F72183"/>
    <w:rsid w:val="00F76D01"/>
    <w:rsid w:val="00F81C35"/>
    <w:rsid w:val="00F82981"/>
    <w:rsid w:val="00F8311F"/>
    <w:rsid w:val="00F83248"/>
    <w:rsid w:val="00F83376"/>
    <w:rsid w:val="00F853AE"/>
    <w:rsid w:val="00F91C0C"/>
    <w:rsid w:val="00F93DCC"/>
    <w:rsid w:val="00F9435D"/>
    <w:rsid w:val="00FB593A"/>
    <w:rsid w:val="00FB6410"/>
    <w:rsid w:val="00FB6E82"/>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8B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A02954"/>
    <w:pPr>
      <w:spacing w:before="100" w:beforeAutospacing="1" w:after="100" w:afterAutospacing="1"/>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7077696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211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5258-6864-4F70-A199-1D91B832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1701</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2010-08-02T18:22:00Z</cp:lastPrinted>
  <dcterms:created xsi:type="dcterms:W3CDTF">2012-03-10T18:49:00Z</dcterms:created>
  <dcterms:modified xsi:type="dcterms:W3CDTF">2012-03-12T17:07:00Z</dcterms:modified>
</cp:coreProperties>
</file>