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791422" w:rsidRDefault="00540BEF" w:rsidP="00540BEF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791422">
        <w:rPr>
          <w:color w:val="auto"/>
        </w:rPr>
        <w:t xml:space="preserve">RECORD OF PROCEEDINGS </w:t>
      </w:r>
    </w:p>
    <w:p w:rsidR="00540BEF" w:rsidRPr="00791422" w:rsidRDefault="00540BEF" w:rsidP="00540BEF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791422">
        <w:rPr>
          <w:color w:val="auto"/>
        </w:rPr>
        <w:t>PHYSICAL DISABILITY BOARD OF REVIEW</w:t>
      </w:r>
    </w:p>
    <w:p w:rsidR="00540BEF" w:rsidRPr="00791422" w:rsidRDefault="00540BEF" w:rsidP="00540BEF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540BEF" w:rsidRPr="00791422" w:rsidRDefault="00540BEF" w:rsidP="00791422">
      <w:pPr>
        <w:tabs>
          <w:tab w:val="left" w:pos="288"/>
          <w:tab w:val="left" w:pos="4752"/>
        </w:tabs>
        <w:spacing w:line="240" w:lineRule="exact"/>
        <w:ind w:right="-90"/>
        <w:jc w:val="both"/>
        <w:rPr>
          <w:color w:val="auto"/>
        </w:rPr>
      </w:pPr>
      <w:r w:rsidRPr="00791422">
        <w:rPr>
          <w:color w:val="auto"/>
        </w:rPr>
        <w:t xml:space="preserve">NAME: </w:t>
      </w:r>
      <w:r w:rsidR="003066B1">
        <w:rPr>
          <w:color w:val="auto"/>
        </w:rPr>
        <w:t>XXXX</w:t>
      </w:r>
      <w:r w:rsidR="00C5082A">
        <w:rPr>
          <w:color w:val="auto"/>
        </w:rPr>
        <w:tab/>
      </w:r>
      <w:r w:rsidR="00791422">
        <w:rPr>
          <w:color w:val="auto"/>
        </w:rPr>
        <w:t xml:space="preserve"> </w:t>
      </w:r>
      <w:r w:rsidRPr="00791422">
        <w:rPr>
          <w:color w:val="auto"/>
        </w:rPr>
        <w:t xml:space="preserve">BRANCH OF SERVICE: </w:t>
      </w:r>
      <w:r w:rsidR="00C67763" w:rsidRPr="00791422">
        <w:rPr>
          <w:color w:val="auto"/>
        </w:rPr>
        <w:t>MARINE CORPS</w:t>
      </w:r>
    </w:p>
    <w:p w:rsidR="00D16F2A" w:rsidRDefault="00540BEF" w:rsidP="00454B59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791422">
        <w:rPr>
          <w:color w:val="auto"/>
        </w:rPr>
        <w:t>CASE NUMBER: PD0900</w:t>
      </w:r>
      <w:r w:rsidR="00C67763" w:rsidRPr="00791422">
        <w:rPr>
          <w:color w:val="auto"/>
        </w:rPr>
        <w:t>376</w:t>
      </w:r>
      <w:r w:rsidR="00454B59">
        <w:rPr>
          <w:color w:val="auto"/>
        </w:rPr>
        <w:tab/>
        <w:t xml:space="preserve"> </w:t>
      </w:r>
      <w:r w:rsidR="00D16F2A" w:rsidRPr="00791422">
        <w:rPr>
          <w:color w:val="auto"/>
        </w:rPr>
        <w:t>BOARD DATE: 20100512</w:t>
      </w:r>
    </w:p>
    <w:p w:rsidR="00454B59" w:rsidRPr="00B71952" w:rsidRDefault="00454B59" w:rsidP="00454B59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>SEPARATION DATE: 20080111</w:t>
      </w:r>
    </w:p>
    <w:p w:rsidR="00F71C7A" w:rsidRDefault="00D16F2A" w:rsidP="00D16F2A">
      <w:pPr>
        <w:tabs>
          <w:tab w:val="left" w:pos="1440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ab/>
      </w:r>
      <w:r w:rsidR="00C5082A">
        <w:rPr>
          <w:color w:val="auto"/>
        </w:rPr>
        <w:t xml:space="preserve">TDRL </w:t>
      </w:r>
      <w:r w:rsidR="00454B59" w:rsidRPr="00B71952">
        <w:rPr>
          <w:color w:val="auto"/>
        </w:rPr>
        <w:t>20030331</w:t>
      </w:r>
      <w:r w:rsidR="00454B59">
        <w:rPr>
          <w:color w:val="auto"/>
        </w:rPr>
        <w:t xml:space="preserve"> </w:t>
      </w:r>
    </w:p>
    <w:p w:rsidR="00D16F2A" w:rsidRPr="00791422" w:rsidRDefault="00D16F2A" w:rsidP="00D16F2A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791422">
        <w:rPr>
          <w:color w:val="auto"/>
          <w:u w:val="single"/>
        </w:rPr>
        <w:t>_______________________________________________________________</w:t>
      </w:r>
      <w:r w:rsidRPr="00791422">
        <w:rPr>
          <w:color w:val="auto"/>
        </w:rPr>
        <w:t>_</w:t>
      </w:r>
    </w:p>
    <w:p w:rsidR="00B522CD" w:rsidRPr="00B71952" w:rsidRDefault="00B522CD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684E2B" w:rsidRPr="00791422" w:rsidRDefault="00811D5B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B71952">
        <w:rPr>
          <w:color w:val="auto"/>
          <w:u w:val="single"/>
        </w:rPr>
        <w:t>SUMMARY</w:t>
      </w:r>
      <w:r w:rsidR="003D7DDB" w:rsidRPr="00B71952">
        <w:rPr>
          <w:color w:val="auto"/>
          <w:u w:val="single"/>
        </w:rPr>
        <w:t xml:space="preserve"> OF CASE</w:t>
      </w:r>
      <w:r w:rsidR="00B522CD" w:rsidRPr="00B71952">
        <w:rPr>
          <w:color w:val="auto"/>
        </w:rPr>
        <w:t>:</w:t>
      </w:r>
      <w:r w:rsidR="00BA30D1" w:rsidRPr="00B71952">
        <w:rPr>
          <w:color w:val="auto"/>
        </w:rPr>
        <w:t xml:space="preserve"> </w:t>
      </w:r>
      <w:r w:rsidR="00FB6E82" w:rsidRPr="00B71952">
        <w:rPr>
          <w:color w:val="auto"/>
        </w:rPr>
        <w:t xml:space="preserve"> </w:t>
      </w:r>
      <w:r w:rsidR="00684E2B" w:rsidRPr="00B71952">
        <w:rPr>
          <w:color w:val="auto"/>
          <w:szCs w:val="24"/>
        </w:rPr>
        <w:t xml:space="preserve">This covered individual (CI) </w:t>
      </w:r>
      <w:r w:rsidR="00FF4526" w:rsidRPr="00B71952">
        <w:rPr>
          <w:color w:val="auto"/>
          <w:szCs w:val="24"/>
        </w:rPr>
        <w:t xml:space="preserve">was a </w:t>
      </w:r>
      <w:r w:rsidR="00791422" w:rsidRPr="00B71952">
        <w:rPr>
          <w:color w:val="auto"/>
          <w:szCs w:val="24"/>
        </w:rPr>
        <w:t>Sergeant</w:t>
      </w:r>
      <w:r w:rsidR="00D16F2A">
        <w:rPr>
          <w:color w:val="auto"/>
          <w:szCs w:val="24"/>
        </w:rPr>
        <w:t>,</w:t>
      </w:r>
      <w:r w:rsidR="00791422" w:rsidRPr="00B71952">
        <w:rPr>
          <w:color w:val="auto"/>
          <w:szCs w:val="24"/>
        </w:rPr>
        <w:t xml:space="preserve"> Wareh</w:t>
      </w:r>
      <w:r w:rsidR="005800C0" w:rsidRPr="00B71952">
        <w:rPr>
          <w:color w:val="auto"/>
          <w:szCs w:val="24"/>
        </w:rPr>
        <w:t>ouseman</w:t>
      </w:r>
      <w:r w:rsidR="00684E2B" w:rsidRPr="00791422">
        <w:rPr>
          <w:color w:val="auto"/>
          <w:szCs w:val="24"/>
        </w:rPr>
        <w:t xml:space="preserve"> medically separated from the </w:t>
      </w:r>
      <w:r w:rsidR="005800C0" w:rsidRPr="00791422">
        <w:rPr>
          <w:color w:val="auto"/>
          <w:szCs w:val="24"/>
        </w:rPr>
        <w:t>Marine Corps in 200</w:t>
      </w:r>
      <w:r w:rsidR="00FF4526">
        <w:rPr>
          <w:color w:val="auto"/>
          <w:szCs w:val="24"/>
        </w:rPr>
        <w:t>8</w:t>
      </w:r>
      <w:r w:rsidR="005800C0" w:rsidRPr="00791422">
        <w:rPr>
          <w:color w:val="auto"/>
          <w:szCs w:val="24"/>
        </w:rPr>
        <w:t xml:space="preserve"> </w:t>
      </w:r>
      <w:r w:rsidR="00684E2B" w:rsidRPr="00791422">
        <w:rPr>
          <w:color w:val="auto"/>
          <w:szCs w:val="24"/>
        </w:rPr>
        <w:t xml:space="preserve">after </w:t>
      </w:r>
      <w:r w:rsidR="00FF4526">
        <w:rPr>
          <w:color w:val="auto"/>
          <w:szCs w:val="24"/>
        </w:rPr>
        <w:t>more than three</w:t>
      </w:r>
      <w:r w:rsidR="00684E2B" w:rsidRPr="00791422">
        <w:rPr>
          <w:color w:val="auto"/>
          <w:szCs w:val="24"/>
        </w:rPr>
        <w:t xml:space="preserve"> years of service.  The medical basis for the separation was </w:t>
      </w:r>
      <w:r w:rsidR="005800C0" w:rsidRPr="00791422">
        <w:rPr>
          <w:color w:val="auto"/>
          <w:szCs w:val="24"/>
        </w:rPr>
        <w:t>Type 1 Diabetes.</w:t>
      </w:r>
      <w:r w:rsidR="00684E2B" w:rsidRPr="00791422">
        <w:rPr>
          <w:color w:val="auto"/>
          <w:szCs w:val="24"/>
        </w:rPr>
        <w:t xml:space="preserve"> </w:t>
      </w:r>
      <w:r w:rsidR="00D16F2A">
        <w:rPr>
          <w:color w:val="auto"/>
          <w:szCs w:val="24"/>
        </w:rPr>
        <w:t xml:space="preserve"> </w:t>
      </w:r>
      <w:r w:rsidR="00FF4526">
        <w:rPr>
          <w:color w:val="auto"/>
          <w:szCs w:val="24"/>
        </w:rPr>
        <w:t xml:space="preserve">After an initial eight month limited duty, the CI underwent a </w:t>
      </w:r>
      <w:r w:rsidR="004F24C8">
        <w:rPr>
          <w:color w:val="auto"/>
          <w:szCs w:val="24"/>
        </w:rPr>
        <w:t>M</w:t>
      </w:r>
      <w:r w:rsidR="00FF4526">
        <w:rPr>
          <w:color w:val="auto"/>
          <w:szCs w:val="24"/>
        </w:rPr>
        <w:t xml:space="preserve">edical </w:t>
      </w:r>
      <w:r w:rsidR="004F24C8">
        <w:rPr>
          <w:color w:val="auto"/>
          <w:szCs w:val="24"/>
        </w:rPr>
        <w:t>Evaluation B</w:t>
      </w:r>
      <w:r w:rsidR="00FF4526">
        <w:rPr>
          <w:color w:val="auto"/>
          <w:szCs w:val="24"/>
        </w:rPr>
        <w:t>oard</w:t>
      </w:r>
      <w:r w:rsidR="004F24C8">
        <w:rPr>
          <w:color w:val="auto"/>
          <w:szCs w:val="24"/>
        </w:rPr>
        <w:t xml:space="preserve"> (MEB)</w:t>
      </w:r>
      <w:r w:rsidR="00FF4526">
        <w:rPr>
          <w:color w:val="auto"/>
          <w:szCs w:val="24"/>
        </w:rPr>
        <w:t xml:space="preserve"> and was placed on the </w:t>
      </w:r>
      <w:r w:rsidR="00D16F2A">
        <w:rPr>
          <w:color w:val="auto"/>
          <w:szCs w:val="24"/>
        </w:rPr>
        <w:t>Temporary Disability Retired List (</w:t>
      </w:r>
      <w:r w:rsidR="00FF4526">
        <w:rPr>
          <w:color w:val="auto"/>
          <w:szCs w:val="24"/>
        </w:rPr>
        <w:t>TDRL</w:t>
      </w:r>
      <w:r w:rsidR="00D16F2A">
        <w:rPr>
          <w:color w:val="auto"/>
          <w:szCs w:val="24"/>
        </w:rPr>
        <w:t>)</w:t>
      </w:r>
      <w:r w:rsidR="00FF4526">
        <w:rPr>
          <w:color w:val="auto"/>
          <w:szCs w:val="24"/>
        </w:rPr>
        <w:t xml:space="preserve"> </w:t>
      </w:r>
      <w:r w:rsidR="00F66188">
        <w:rPr>
          <w:color w:val="auto"/>
          <w:szCs w:val="24"/>
        </w:rPr>
        <w:t xml:space="preserve">with a 40% rating </w:t>
      </w:r>
      <w:r w:rsidR="00FF4526">
        <w:rPr>
          <w:color w:val="auto"/>
          <w:szCs w:val="24"/>
        </w:rPr>
        <w:t xml:space="preserve">for diabetes mellitus. </w:t>
      </w:r>
      <w:r w:rsidR="00D16F2A">
        <w:rPr>
          <w:color w:val="auto"/>
          <w:szCs w:val="24"/>
        </w:rPr>
        <w:t xml:space="preserve"> </w:t>
      </w:r>
      <w:r w:rsidR="00FF4526">
        <w:rPr>
          <w:color w:val="auto"/>
          <w:szCs w:val="24"/>
        </w:rPr>
        <w:t>After three TDRL periodic re-evaluations an Infor</w:t>
      </w:r>
      <w:r w:rsidR="00F73590">
        <w:rPr>
          <w:color w:val="auto"/>
          <w:szCs w:val="24"/>
        </w:rPr>
        <w:t>mal Physical Evaluation Board (</w:t>
      </w:r>
      <w:r w:rsidR="00FF4526">
        <w:rPr>
          <w:color w:val="auto"/>
          <w:szCs w:val="24"/>
        </w:rPr>
        <w:t>PEB)</w:t>
      </w:r>
      <w:r w:rsidR="00F73590">
        <w:rPr>
          <w:color w:val="auto"/>
          <w:szCs w:val="24"/>
        </w:rPr>
        <w:t xml:space="preserve"> </w:t>
      </w:r>
      <w:r w:rsidR="00F66188">
        <w:rPr>
          <w:color w:val="auto"/>
          <w:szCs w:val="24"/>
        </w:rPr>
        <w:t xml:space="preserve">on </w:t>
      </w:r>
      <w:r w:rsidR="00F73590">
        <w:rPr>
          <w:color w:val="auto"/>
          <w:szCs w:val="24"/>
        </w:rPr>
        <w:t xml:space="preserve">20070801 </w:t>
      </w:r>
      <w:r w:rsidR="00F66188">
        <w:rPr>
          <w:color w:val="auto"/>
          <w:szCs w:val="24"/>
        </w:rPr>
        <w:t xml:space="preserve">determined </w:t>
      </w:r>
      <w:r w:rsidR="00F73590">
        <w:rPr>
          <w:color w:val="auto"/>
          <w:szCs w:val="24"/>
        </w:rPr>
        <w:t xml:space="preserve">he was fit for continued naval service. </w:t>
      </w:r>
      <w:r w:rsidR="00D16F2A">
        <w:rPr>
          <w:color w:val="auto"/>
          <w:szCs w:val="24"/>
        </w:rPr>
        <w:t xml:space="preserve"> </w:t>
      </w:r>
      <w:r w:rsidR="00F73590">
        <w:rPr>
          <w:color w:val="auto"/>
          <w:szCs w:val="24"/>
        </w:rPr>
        <w:t xml:space="preserve">This determination was reconsidered on 20070904 and no change was made. </w:t>
      </w:r>
      <w:r w:rsidR="00D16F2A">
        <w:rPr>
          <w:color w:val="auto"/>
          <w:szCs w:val="24"/>
        </w:rPr>
        <w:t xml:space="preserve"> </w:t>
      </w:r>
      <w:r w:rsidR="00F73590">
        <w:rPr>
          <w:color w:val="auto"/>
          <w:szCs w:val="24"/>
        </w:rPr>
        <w:t xml:space="preserve">The CI then demanded a formal hearing. </w:t>
      </w:r>
      <w:r w:rsidR="00D16F2A">
        <w:rPr>
          <w:color w:val="auto"/>
          <w:szCs w:val="24"/>
        </w:rPr>
        <w:t xml:space="preserve"> </w:t>
      </w:r>
      <w:r w:rsidR="00F73590">
        <w:rPr>
          <w:color w:val="auto"/>
          <w:szCs w:val="24"/>
        </w:rPr>
        <w:t xml:space="preserve">A Formal PEB hearing conducted on 20071114 considered testimony and new medical evidence and </w:t>
      </w:r>
      <w:r w:rsidR="00F66188">
        <w:rPr>
          <w:color w:val="auto"/>
          <w:szCs w:val="24"/>
        </w:rPr>
        <w:t xml:space="preserve">this board </w:t>
      </w:r>
      <w:r w:rsidR="00F73590">
        <w:rPr>
          <w:color w:val="auto"/>
          <w:szCs w:val="24"/>
        </w:rPr>
        <w:t xml:space="preserve">determined the CI was unfit for continued naval service. </w:t>
      </w:r>
      <w:r w:rsidR="00D16F2A">
        <w:rPr>
          <w:color w:val="auto"/>
          <w:szCs w:val="24"/>
        </w:rPr>
        <w:t xml:space="preserve"> </w:t>
      </w:r>
      <w:r w:rsidR="00F73590">
        <w:rPr>
          <w:color w:val="auto"/>
          <w:szCs w:val="24"/>
        </w:rPr>
        <w:t>He was then</w:t>
      </w:r>
      <w:r w:rsidR="00684E2B" w:rsidRPr="00791422">
        <w:rPr>
          <w:color w:val="auto"/>
          <w:szCs w:val="24"/>
        </w:rPr>
        <w:t xml:space="preserve"> separated </w:t>
      </w:r>
      <w:r w:rsidR="00F66188">
        <w:rPr>
          <w:color w:val="auto"/>
          <w:szCs w:val="24"/>
        </w:rPr>
        <w:t>with a</w:t>
      </w:r>
      <w:r w:rsidR="00684E2B" w:rsidRPr="00791422">
        <w:rPr>
          <w:color w:val="auto"/>
          <w:szCs w:val="24"/>
        </w:rPr>
        <w:t xml:space="preserve"> </w:t>
      </w:r>
      <w:r w:rsidR="005800C0" w:rsidRPr="00791422">
        <w:rPr>
          <w:color w:val="auto"/>
          <w:szCs w:val="24"/>
        </w:rPr>
        <w:t>2</w:t>
      </w:r>
      <w:r w:rsidR="00684E2B" w:rsidRPr="00791422">
        <w:rPr>
          <w:color w:val="auto"/>
          <w:szCs w:val="24"/>
        </w:rPr>
        <w:t>0% disability</w:t>
      </w:r>
      <w:r w:rsidR="00E866F8" w:rsidRPr="00791422">
        <w:rPr>
          <w:color w:val="auto"/>
          <w:szCs w:val="24"/>
        </w:rPr>
        <w:t xml:space="preserve"> using the Veterans Affairs Schedule for Ratings Disabilities (VASRD) and applicable</w:t>
      </w:r>
      <w:r w:rsidR="005800C0" w:rsidRPr="00791422">
        <w:rPr>
          <w:color w:val="auto"/>
          <w:szCs w:val="24"/>
        </w:rPr>
        <w:t xml:space="preserve"> Navy</w:t>
      </w:r>
      <w:r w:rsidR="00E866F8" w:rsidRPr="00791422">
        <w:rPr>
          <w:color w:val="auto"/>
          <w:szCs w:val="24"/>
        </w:rPr>
        <w:t xml:space="preserve"> and Department of Defense regulations.</w:t>
      </w:r>
    </w:p>
    <w:p w:rsidR="00923B25" w:rsidRPr="00791422" w:rsidRDefault="008B5D31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791422">
        <w:rPr>
          <w:color w:val="auto"/>
          <w:u w:val="single"/>
        </w:rPr>
        <w:t>_______________________________________________________________</w:t>
      </w:r>
      <w:r w:rsidRPr="00791422">
        <w:rPr>
          <w:color w:val="auto"/>
        </w:rPr>
        <w:t>_</w:t>
      </w:r>
    </w:p>
    <w:p w:rsidR="00923B25" w:rsidRPr="00791422" w:rsidRDefault="00923B25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A90D55" w:rsidRPr="00140786" w:rsidRDefault="001C181A" w:rsidP="00791422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791422">
        <w:rPr>
          <w:color w:val="auto"/>
          <w:u w:val="single"/>
        </w:rPr>
        <w:t>CI CONTENTION</w:t>
      </w:r>
      <w:r w:rsidRPr="00791422">
        <w:rPr>
          <w:color w:val="auto"/>
        </w:rPr>
        <w:t>:</w:t>
      </w:r>
      <w:r w:rsidR="00140786">
        <w:rPr>
          <w:color w:val="auto"/>
        </w:rPr>
        <w:t xml:space="preserve"> ‘</w:t>
      </w:r>
      <w:r w:rsidR="00C67763" w:rsidRPr="00140786">
        <w:rPr>
          <w:rFonts w:cs="Arial"/>
          <w:color w:val="auto"/>
          <w:szCs w:val="24"/>
        </w:rPr>
        <w:t xml:space="preserve">I believe that my disability should have been rated as </w:t>
      </w:r>
      <w:r w:rsidR="00C67763" w:rsidRPr="00140786">
        <w:rPr>
          <w:color w:val="auto"/>
          <w:szCs w:val="24"/>
        </w:rPr>
        <w:t xml:space="preserve">40% </w:t>
      </w:r>
      <w:r w:rsidR="00C67763" w:rsidRPr="00140786">
        <w:rPr>
          <w:rFonts w:cs="Arial"/>
          <w:color w:val="auto"/>
          <w:szCs w:val="24"/>
        </w:rPr>
        <w:t xml:space="preserve">disabling and not </w:t>
      </w:r>
      <w:r w:rsidR="00C67763" w:rsidRPr="00140786">
        <w:rPr>
          <w:color w:val="auto"/>
          <w:szCs w:val="24"/>
        </w:rPr>
        <w:t xml:space="preserve">20% </w:t>
      </w:r>
      <w:r w:rsidR="00C67763" w:rsidRPr="00140786">
        <w:rPr>
          <w:rFonts w:cs="Arial"/>
          <w:color w:val="auto"/>
          <w:szCs w:val="24"/>
        </w:rPr>
        <w:t xml:space="preserve">as the PEB showed in </w:t>
      </w:r>
      <w:r w:rsidR="00C67763" w:rsidRPr="00140786">
        <w:rPr>
          <w:color w:val="auto"/>
          <w:szCs w:val="24"/>
        </w:rPr>
        <w:t>20</w:t>
      </w:r>
      <w:r w:rsidR="00140786" w:rsidRPr="00140786">
        <w:rPr>
          <w:color w:val="auto"/>
          <w:szCs w:val="24"/>
        </w:rPr>
        <w:t>07.</w:t>
      </w:r>
      <w:r w:rsidR="00C67763" w:rsidRPr="00140786">
        <w:rPr>
          <w:color w:val="auto"/>
          <w:szCs w:val="24"/>
        </w:rPr>
        <w:t xml:space="preserve"> </w:t>
      </w:r>
      <w:r w:rsidR="00D16F2A">
        <w:rPr>
          <w:color w:val="auto"/>
          <w:szCs w:val="24"/>
        </w:rPr>
        <w:t xml:space="preserve"> </w:t>
      </w:r>
      <w:r w:rsidR="00C67763" w:rsidRPr="00140786">
        <w:rPr>
          <w:rFonts w:cs="Arial"/>
          <w:color w:val="auto"/>
          <w:szCs w:val="24"/>
        </w:rPr>
        <w:t xml:space="preserve">My Diabetes Mellitus met the </w:t>
      </w:r>
      <w:r w:rsidR="00C67763" w:rsidRPr="00140786">
        <w:rPr>
          <w:iCs/>
          <w:color w:val="auto"/>
          <w:szCs w:val="24"/>
        </w:rPr>
        <w:t xml:space="preserve">40% </w:t>
      </w:r>
      <w:r w:rsidR="00C67763" w:rsidRPr="00140786">
        <w:rPr>
          <w:rFonts w:cs="Arial"/>
          <w:color w:val="auto"/>
          <w:szCs w:val="24"/>
        </w:rPr>
        <w:t xml:space="preserve">disabling requirement when it was evaluated by the PEB in </w:t>
      </w:r>
      <w:r w:rsidR="00C67763" w:rsidRPr="00140786">
        <w:rPr>
          <w:iCs/>
          <w:color w:val="auto"/>
          <w:szCs w:val="24"/>
        </w:rPr>
        <w:t xml:space="preserve">2007 </w:t>
      </w:r>
      <w:r w:rsidR="00C67763" w:rsidRPr="00140786">
        <w:rPr>
          <w:rFonts w:cs="Arial"/>
          <w:color w:val="auto"/>
          <w:szCs w:val="24"/>
        </w:rPr>
        <w:t xml:space="preserve">and it still meets the </w:t>
      </w:r>
      <w:r w:rsidR="00C67763" w:rsidRPr="00140786">
        <w:rPr>
          <w:color w:val="auto"/>
          <w:szCs w:val="24"/>
        </w:rPr>
        <w:t xml:space="preserve">40% </w:t>
      </w:r>
      <w:r w:rsidR="00C67763" w:rsidRPr="00140786">
        <w:rPr>
          <w:rFonts w:cs="Arial"/>
          <w:color w:val="auto"/>
          <w:szCs w:val="24"/>
        </w:rPr>
        <w:t xml:space="preserve">disabling requirements. </w:t>
      </w:r>
      <w:r w:rsidR="00D16F2A">
        <w:rPr>
          <w:rFonts w:cs="Arial"/>
          <w:color w:val="auto"/>
          <w:szCs w:val="24"/>
        </w:rPr>
        <w:t xml:space="preserve"> </w:t>
      </w:r>
      <w:r w:rsidR="00C67763" w:rsidRPr="00140786">
        <w:rPr>
          <w:rFonts w:cs="Arial"/>
          <w:color w:val="auto"/>
          <w:szCs w:val="24"/>
        </w:rPr>
        <w:t xml:space="preserve">I would like to add that I suffer from peripheral neuropathy on my left and right lower extremities as a result of my Diabetes </w:t>
      </w:r>
      <w:r w:rsidR="00140786">
        <w:rPr>
          <w:rFonts w:cs="Arial"/>
          <w:color w:val="auto"/>
          <w:szCs w:val="24"/>
        </w:rPr>
        <w:t>M</w:t>
      </w:r>
      <w:r w:rsidR="00C67763" w:rsidRPr="00140786">
        <w:rPr>
          <w:rFonts w:cs="Arial"/>
          <w:color w:val="auto"/>
          <w:szCs w:val="24"/>
        </w:rPr>
        <w:t xml:space="preserve">ellitus. </w:t>
      </w:r>
      <w:r w:rsidR="00D16F2A">
        <w:rPr>
          <w:rFonts w:cs="Arial"/>
          <w:color w:val="auto"/>
          <w:szCs w:val="24"/>
        </w:rPr>
        <w:t xml:space="preserve"> </w:t>
      </w:r>
      <w:r w:rsidR="00C67763" w:rsidRPr="00140786">
        <w:rPr>
          <w:color w:val="auto"/>
          <w:szCs w:val="24"/>
        </w:rPr>
        <w:t xml:space="preserve">Please review the medical evidence previously submitted in 2007 (please obtain from the PEB, </w:t>
      </w:r>
      <w:r w:rsidR="00C67763" w:rsidRPr="00B71952">
        <w:rPr>
          <w:color w:val="auto"/>
          <w:szCs w:val="24"/>
        </w:rPr>
        <w:t xml:space="preserve">since I do not have copies of those records) and the medical evidence submitted with this application. </w:t>
      </w:r>
      <w:r w:rsidR="00D16F2A">
        <w:rPr>
          <w:color w:val="auto"/>
          <w:szCs w:val="24"/>
        </w:rPr>
        <w:t xml:space="preserve"> </w:t>
      </w:r>
      <w:r w:rsidR="00C67763" w:rsidRPr="00B71952">
        <w:rPr>
          <w:color w:val="auto"/>
          <w:szCs w:val="24"/>
        </w:rPr>
        <w:t xml:space="preserve">Please grant me a 40% disability for my Diabetes Mellitus and a 10% disability for my right lower extremity and a 10% disability for my left lower extremity peripheral neuropathy, since my Diabetes Mellitus has caused these conditions. </w:t>
      </w:r>
      <w:r w:rsidR="00D16F2A">
        <w:rPr>
          <w:color w:val="auto"/>
          <w:szCs w:val="24"/>
        </w:rPr>
        <w:t xml:space="preserve"> </w:t>
      </w:r>
      <w:r w:rsidR="00C67763" w:rsidRPr="00B71952">
        <w:rPr>
          <w:color w:val="auto"/>
          <w:szCs w:val="24"/>
        </w:rPr>
        <w:t>Please note that I'm willing to be reexamined</w:t>
      </w:r>
      <w:r w:rsidR="00C67763" w:rsidRPr="00140786">
        <w:rPr>
          <w:color w:val="auto"/>
          <w:szCs w:val="24"/>
        </w:rPr>
        <w:t xml:space="preserve"> by a medical doctor for the purpose of this evaluation.</w:t>
      </w:r>
      <w:r w:rsidR="00F66188">
        <w:rPr>
          <w:rFonts w:hAnsiTheme="minorHAnsi"/>
          <w:color w:val="auto"/>
          <w:szCs w:val="24"/>
        </w:rPr>
        <w:t>’</w:t>
      </w:r>
    </w:p>
    <w:p w:rsidR="00A90D55" w:rsidRPr="00791422" w:rsidRDefault="008B5D31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791422">
        <w:rPr>
          <w:color w:val="auto"/>
          <w:u w:val="single"/>
        </w:rPr>
        <w:t>_______________________________________________________________</w:t>
      </w:r>
      <w:r w:rsidRPr="00791422">
        <w:rPr>
          <w:color w:val="auto"/>
        </w:rPr>
        <w:t>_</w:t>
      </w:r>
    </w:p>
    <w:p w:rsidR="001C181A" w:rsidRPr="00791422" w:rsidRDefault="001C181A" w:rsidP="00791422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71952" w:rsidRDefault="00B71952">
      <w:pPr>
        <w:rPr>
          <w:color w:val="auto"/>
          <w:u w:val="single"/>
        </w:rPr>
      </w:pPr>
      <w:r>
        <w:rPr>
          <w:color w:val="auto"/>
          <w:u w:val="single"/>
        </w:rPr>
        <w:br w:type="page"/>
      </w:r>
    </w:p>
    <w:p w:rsidR="004F78C4" w:rsidRDefault="00A90D55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80"/>
        </w:rPr>
      </w:pPr>
      <w:r w:rsidRPr="00791422">
        <w:rPr>
          <w:color w:val="auto"/>
          <w:u w:val="single"/>
        </w:rPr>
        <w:lastRenderedPageBreak/>
        <w:t>RATING COMPARISON</w:t>
      </w:r>
      <w:r w:rsidRPr="00791422">
        <w:rPr>
          <w:color w:val="auto"/>
        </w:rPr>
        <w:t>:</w:t>
      </w:r>
    </w:p>
    <w:p w:rsidR="004F78C4" w:rsidRDefault="004F78C4" w:rsidP="00875F2D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80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1890"/>
        <w:gridCol w:w="810"/>
        <w:gridCol w:w="810"/>
        <w:gridCol w:w="990"/>
        <w:gridCol w:w="2250"/>
        <w:gridCol w:w="1170"/>
        <w:gridCol w:w="810"/>
        <w:gridCol w:w="1080"/>
        <w:gridCol w:w="1080"/>
      </w:tblGrid>
      <w:tr w:rsidR="00DA3ED0" w:rsidTr="004F24C8">
        <w:trPr>
          <w:trHeight w:val="233"/>
        </w:trPr>
        <w:tc>
          <w:tcPr>
            <w:tcW w:w="45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Service PEB</w:t>
            </w:r>
          </w:p>
        </w:tc>
        <w:tc>
          <w:tcPr>
            <w:tcW w:w="639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 w:rsidP="002B1C8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 (</w:t>
            </w:r>
            <w:r w:rsidR="002B1C8C">
              <w:rPr>
                <w:rFonts w:cs="Times New Roman"/>
                <w:b/>
              </w:rPr>
              <w:t>3 months prior to TDRL, 5 years prior to Separation</w:t>
            </w:r>
            <w:r>
              <w:rPr>
                <w:rFonts w:cs="Times New Roman"/>
                <w:b/>
              </w:rPr>
              <w:t>)</w:t>
            </w:r>
          </w:p>
        </w:tc>
      </w:tr>
      <w:tr w:rsidR="004F24C8" w:rsidTr="004F24C8">
        <w:trPr>
          <w:trHeight w:val="23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Unfitting Conditions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A3ED0" w:rsidRDefault="00DA3E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Effective</w:t>
            </w:r>
          </w:p>
        </w:tc>
      </w:tr>
      <w:tr w:rsidR="004F24C8" w:rsidTr="004F24C8">
        <w:trPr>
          <w:trHeight w:val="19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84338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Diabetes Type 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84338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84338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DA3ED0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DA3ED0" w:rsidRDefault="00DA3ED0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  <w:r w:rsidR="00FF4526">
              <w:rPr>
                <w:rFonts w:cs="Times New Roman"/>
                <w:sz w:val="18"/>
                <w:szCs w:val="18"/>
              </w:rPr>
              <w:t>71114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32153" w:rsidP="00952FB2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Diabetes Mellitus (Type 1)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32153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32153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140786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D0" w:rsidRDefault="00432153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0786" w:rsidRDefault="001407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40786" w:rsidRDefault="0014078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40786" w:rsidRPr="004F78C4" w:rsidRDefault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4F78C4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786" w:rsidRDefault="00140786" w:rsidP="00BE1C5D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Residuals, Right Shoulder Strain w/bony  OS </w:t>
            </w:r>
            <w:proofErr w:type="spellStart"/>
            <w:r>
              <w:rPr>
                <w:rFonts w:cs="Times New Roman"/>
                <w:sz w:val="20"/>
                <w:szCs w:val="20"/>
              </w:rPr>
              <w:t>Acromially</w:t>
            </w:r>
            <w:proofErr w:type="spellEnd"/>
          </w:p>
        </w:tc>
        <w:tc>
          <w:tcPr>
            <w:tcW w:w="117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786" w:rsidRDefault="00140786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5299-5203</w:t>
            </w:r>
          </w:p>
        </w:tc>
        <w:tc>
          <w:tcPr>
            <w:tcW w:w="81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786" w:rsidRDefault="00140786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786" w:rsidRPr="00140786" w:rsidRDefault="00140786" w:rsidP="004F78C4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786" w:rsidRDefault="00140786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C8C" w:rsidRDefault="002B1C8C">
            <w:pPr>
              <w:rPr>
                <w:rFonts w:eastAsiaTheme="minorEastAsia"/>
                <w:sz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1C8C" w:rsidRDefault="002B1C8C">
            <w:pPr>
              <w:jc w:val="center"/>
              <w:rPr>
                <w:rFonts w:eastAsiaTheme="minorEastAsia"/>
                <w:sz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1C8C" w:rsidRPr="004F78C4" w:rsidRDefault="002B1C8C" w:rsidP="002424FF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4F78C4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1C8C" w:rsidRDefault="002B1C8C" w:rsidP="002B1C8C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Residuals, Left Shoulder Strain w/bony  OS </w:t>
            </w:r>
            <w:proofErr w:type="spellStart"/>
            <w:r>
              <w:rPr>
                <w:rFonts w:cs="Times New Roman"/>
                <w:sz w:val="20"/>
                <w:szCs w:val="20"/>
              </w:rPr>
              <w:t>Acromially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1C8C" w:rsidRDefault="002B1C8C" w:rsidP="002424FF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5299-5203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1C8C" w:rsidRDefault="002B1C8C" w:rsidP="002424FF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1C8C" w:rsidRPr="00140786" w:rsidRDefault="002B1C8C" w:rsidP="002424FF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1C8C" w:rsidRDefault="002B1C8C" w:rsidP="002424FF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Default="004F78C4">
            <w:pPr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Default="004F78C4" w:rsidP="00BE1C5D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Residual Left Ankle Sprain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5299-5271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140786" w:rsidRDefault="004F78C4" w:rsidP="004F78C4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C4" w:rsidRPr="003858CD" w:rsidRDefault="004F78C4" w:rsidP="00BE1C5D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3858CD">
              <w:rPr>
                <w:rFonts w:cs="Times New Roman"/>
                <w:sz w:val="20"/>
                <w:szCs w:val="20"/>
              </w:rPr>
              <w:t>Residuals Right Ankle Sprain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F78C4" w:rsidRPr="003858CD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858CD">
              <w:rPr>
                <w:rFonts w:cs="Times New Roman"/>
                <w:sz w:val="20"/>
                <w:szCs w:val="20"/>
              </w:rPr>
              <w:t>5299-5271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C4" w:rsidRPr="003858CD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858CD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140786" w:rsidRDefault="004F78C4" w:rsidP="004F78C4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C4" w:rsidRPr="003858CD" w:rsidRDefault="004F78C4" w:rsidP="004F78C4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858CD">
              <w:rPr>
                <w:rFonts w:cs="Times New Roman"/>
                <w:sz w:val="20"/>
                <w:szCs w:val="20"/>
              </w:rPr>
              <w:t>20030401</w:t>
            </w:r>
          </w:p>
        </w:tc>
      </w:tr>
      <w:tr w:rsidR="004F24C8" w:rsidTr="004F24C8">
        <w:trPr>
          <w:trHeight w:val="35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BE1C5D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Residuals Lumbar Spine Strain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5295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140786" w:rsidRDefault="004F78C4" w:rsidP="004F78C4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BE1C5D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Tinnitus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6260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140786" w:rsidRDefault="004F78C4" w:rsidP="004F78C4">
            <w:pPr>
              <w:jc w:val="center"/>
              <w:rPr>
                <w:color w:val="auto"/>
              </w:rPr>
            </w:pPr>
            <w:r w:rsidRPr="00140786">
              <w:rPr>
                <w:rFonts w:cs="Times New Roman"/>
                <w:color w:val="auto"/>
                <w:sz w:val="18"/>
                <w:szCs w:val="18"/>
              </w:rPr>
              <w:t>20030117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20030401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BE1C5D">
            <w:pPr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Latt</w:t>
            </w:r>
            <w:r w:rsidRPr="00952FB2">
              <w:rPr>
                <w:rFonts w:eastAsiaTheme="minorEastAsia"/>
                <w:color w:val="auto"/>
                <w:sz w:val="20"/>
                <w:szCs w:val="20"/>
              </w:rPr>
              <w:t>ice Degener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ati</w:t>
            </w:r>
            <w:r w:rsidR="002B1C8C">
              <w:rPr>
                <w:rFonts w:eastAsiaTheme="minorEastAsia"/>
                <w:color w:val="auto"/>
                <w:sz w:val="20"/>
                <w:szCs w:val="20"/>
              </w:rPr>
              <w:t xml:space="preserve">on with </w:t>
            </w:r>
            <w:r w:rsidRPr="00952FB2">
              <w:rPr>
                <w:rFonts w:eastAsiaTheme="minorEastAsia"/>
                <w:color w:val="auto"/>
                <w:sz w:val="20"/>
                <w:szCs w:val="20"/>
              </w:rPr>
              <w:t>Peripheral Retinal Holes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, Left Eye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6099-6008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20030128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20030411</w:t>
            </w:r>
          </w:p>
        </w:tc>
      </w:tr>
      <w:tr w:rsidR="004F24C8" w:rsidTr="004F24C8">
        <w:trPr>
          <w:trHeight w:val="12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Default="004F78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FFFFFF" w:themeFill="background1"/>
            <w:hideMark/>
          </w:tcPr>
          <w:p w:rsidR="004F78C4" w:rsidRDefault="004F78C4" w:rsidP="004F78C4">
            <w:pPr>
              <w:jc w:val="center"/>
            </w:pPr>
            <w:r w:rsidRPr="004F29D6">
              <w:rPr>
                <w:rFonts w:eastAsiaTheme="minorEastAsia"/>
                <w:color w:val="auto"/>
                <w:sz w:val="20"/>
                <w:szCs w:val="20"/>
              </w:rPr>
              <w:t>Not in DES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952FB2" w:rsidRDefault="004F78C4" w:rsidP="00BE1C5D">
            <w:pPr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Lattice Deg</w:t>
            </w:r>
            <w:r w:rsidR="002B1C8C">
              <w:rPr>
                <w:rFonts w:eastAsiaTheme="minorEastAsia"/>
                <w:color w:val="auto"/>
                <w:sz w:val="20"/>
                <w:szCs w:val="20"/>
              </w:rPr>
              <w:t xml:space="preserve">eneration with 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Peripheral Retinal Hole, Right Eye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6099-6008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20030128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C4" w:rsidRPr="00952FB2" w:rsidRDefault="004F78C4" w:rsidP="004F78C4">
            <w:pPr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952FB2">
              <w:rPr>
                <w:rFonts w:eastAsiaTheme="minorEastAsia"/>
                <w:color w:val="auto"/>
                <w:sz w:val="20"/>
                <w:szCs w:val="20"/>
              </w:rPr>
              <w:t>20030401</w:t>
            </w:r>
          </w:p>
        </w:tc>
      </w:tr>
      <w:tr w:rsidR="00140786" w:rsidTr="004F24C8">
        <w:trPr>
          <w:trHeight w:val="305"/>
        </w:trPr>
        <w:tc>
          <w:tcPr>
            <w:tcW w:w="45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140786" w:rsidRDefault="00140786" w:rsidP="00484338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Combined:  20%</w:t>
            </w:r>
          </w:p>
        </w:tc>
        <w:tc>
          <w:tcPr>
            <w:tcW w:w="639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40786" w:rsidRDefault="00140786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Combined (</w:t>
            </w:r>
            <w:r>
              <w:rPr>
                <w:rFonts w:cs="Times New Roman"/>
                <w:b/>
                <w:i/>
              </w:rPr>
              <w:t>Includes Non-PEB Conditions</w:t>
            </w:r>
            <w:r>
              <w:rPr>
                <w:rFonts w:cs="Times New Roman"/>
                <w:b/>
              </w:rPr>
              <w:t xml:space="preserve">):    </w:t>
            </w:r>
          </w:p>
          <w:p w:rsidR="00140786" w:rsidRDefault="00140786" w:rsidP="00925CF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  <w:r w:rsidR="006F4B4B">
              <w:rPr>
                <w:rFonts w:cs="Times New Roman"/>
                <w:b/>
              </w:rPr>
              <w:t>% from</w:t>
            </w:r>
            <w:r>
              <w:rPr>
                <w:rFonts w:cs="Times New Roman"/>
                <w:b/>
              </w:rPr>
              <w:t xml:space="preserve"> 20030401</w:t>
            </w:r>
            <w:r w:rsidR="00925CFC">
              <w:rPr>
                <w:rFonts w:cs="Times New Roman"/>
                <w:b/>
              </w:rPr>
              <w:t xml:space="preserve"> (with Bilateral Factor 3.4 %)</w:t>
            </w:r>
          </w:p>
        </w:tc>
      </w:tr>
    </w:tbl>
    <w:p w:rsidR="00A90D55" w:rsidRPr="000D77B8" w:rsidRDefault="008B5D31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0D77B8">
        <w:rPr>
          <w:color w:val="auto"/>
          <w:szCs w:val="24"/>
          <w:u w:val="single"/>
        </w:rPr>
        <w:t>_______________________________________________________________</w:t>
      </w:r>
      <w:r w:rsidR="00A90D55" w:rsidRPr="000D77B8">
        <w:rPr>
          <w:color w:val="auto"/>
          <w:szCs w:val="24"/>
        </w:rPr>
        <w:t>_</w:t>
      </w:r>
    </w:p>
    <w:p w:rsidR="00A90D55" w:rsidRPr="000D77B8" w:rsidRDefault="00A90D55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A90D55" w:rsidRPr="000D77B8" w:rsidRDefault="00A90D55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0D77B8">
        <w:rPr>
          <w:color w:val="auto"/>
          <w:szCs w:val="24"/>
          <w:u w:val="single"/>
        </w:rPr>
        <w:t>ANALYSIS SUMMARY</w:t>
      </w:r>
      <w:r w:rsidRPr="000D77B8">
        <w:rPr>
          <w:color w:val="auto"/>
          <w:szCs w:val="24"/>
        </w:rPr>
        <w:t>:</w:t>
      </w:r>
    </w:p>
    <w:p w:rsidR="00D16F2A" w:rsidRDefault="00D16F2A" w:rsidP="00FA4CB4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  <w:u w:val="single"/>
        </w:rPr>
      </w:pPr>
    </w:p>
    <w:p w:rsidR="00E866F8" w:rsidRPr="00FA4CB4" w:rsidRDefault="003D538B" w:rsidP="00FA4CB4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  <w:u w:val="single"/>
        </w:rPr>
      </w:pPr>
      <w:r w:rsidRPr="00FA4CB4">
        <w:rPr>
          <w:color w:val="auto"/>
          <w:szCs w:val="24"/>
          <w:u w:val="single"/>
        </w:rPr>
        <w:t>D</w:t>
      </w:r>
      <w:r w:rsidR="002B04F4" w:rsidRPr="00FA4CB4">
        <w:rPr>
          <w:color w:val="auto"/>
          <w:szCs w:val="24"/>
          <w:u w:val="single"/>
        </w:rPr>
        <w:t>iabetes Mellitus Type 1</w:t>
      </w:r>
    </w:p>
    <w:p w:rsidR="00B71952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The CI was diagnosed with Diabetes Mellitus (Probable Type I) in September 2002. </w:t>
      </w:r>
      <w:r w:rsidR="00D16F2A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While he was hospitalized for </w:t>
      </w:r>
      <w:r w:rsidR="00D16F2A">
        <w:rPr>
          <w:color w:val="auto"/>
          <w:szCs w:val="24"/>
        </w:rPr>
        <w:t>three (</w:t>
      </w:r>
      <w:r w:rsidRPr="00FA4CB4">
        <w:rPr>
          <w:color w:val="auto"/>
          <w:szCs w:val="24"/>
        </w:rPr>
        <w:t>3</w:t>
      </w:r>
      <w:r w:rsidR="00D16F2A">
        <w:rPr>
          <w:color w:val="auto"/>
          <w:szCs w:val="24"/>
        </w:rPr>
        <w:t>)</w:t>
      </w:r>
      <w:r w:rsidRPr="00FA4CB4">
        <w:rPr>
          <w:color w:val="auto"/>
          <w:szCs w:val="24"/>
        </w:rPr>
        <w:t xml:space="preserve"> days secondary to his presentation as a new diabetic, the medical record clearly documents that he did not have diabetic ketoacidosis. </w:t>
      </w:r>
      <w:r w:rsidR="00D16F2A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His hospitalization was for the purpose of insulin initiation and diabetic education. </w:t>
      </w:r>
      <w:r w:rsidR="00D16F2A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Laboratory values were suggestive of diabetes mellitus type 1 as the member had a C-peptide level of 0.8, an insulin level of less than 2 and Islet cell antibodies of 1:2. </w:t>
      </w:r>
      <w:r w:rsidR="00D16F2A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With initiation of insulin treatment,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>'s blood sugar levels were 90's to 160's with no episodes of hypoglycemia, as per medical record documentation immediately prior to placement on TDRL.</w:t>
      </w:r>
    </w:p>
    <w:p w:rsidR="00F104DA" w:rsidRDefault="00F104DA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F104DA" w:rsidRPr="00213E40" w:rsidRDefault="00F104DA" w:rsidP="00F104DA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213E40">
        <w:rPr>
          <w:color w:val="auto"/>
          <w:szCs w:val="24"/>
        </w:rPr>
        <w:t>At time of entry onto TDRL</w:t>
      </w:r>
      <w:r>
        <w:rPr>
          <w:color w:val="auto"/>
          <w:szCs w:val="24"/>
        </w:rPr>
        <w:t xml:space="preserve"> the CI was on insulin, an oral hypoglycemic agent, and restricted diet but there was n</w:t>
      </w:r>
      <w:r w:rsidRPr="00213E40">
        <w:rPr>
          <w:color w:val="auto"/>
          <w:szCs w:val="24"/>
        </w:rPr>
        <w:t>o evidence of any:</w:t>
      </w:r>
    </w:p>
    <w:p w:rsidR="00F104DA" w:rsidRPr="00213E40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R</w:t>
      </w:r>
      <w:r w:rsidRPr="00213E40">
        <w:rPr>
          <w:rFonts w:ascii="Courier" w:hAnsi="Courier"/>
          <w:sz w:val="24"/>
          <w:szCs w:val="24"/>
        </w:rPr>
        <w:t>egulation of activities</w:t>
      </w:r>
    </w:p>
    <w:p w:rsidR="00F104DA" w:rsidRPr="00213E40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K</w:t>
      </w:r>
      <w:r w:rsidRPr="00213E40">
        <w:rPr>
          <w:rFonts w:ascii="Courier" w:hAnsi="Courier"/>
          <w:sz w:val="24"/>
          <w:szCs w:val="24"/>
        </w:rPr>
        <w:t>etoacidosis</w:t>
      </w:r>
    </w:p>
    <w:p w:rsidR="00F104DA" w:rsidRPr="002B04F4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 w:rsidRPr="00213E40">
        <w:rPr>
          <w:rFonts w:ascii="Courier" w:hAnsi="Courier"/>
          <w:sz w:val="24"/>
          <w:szCs w:val="24"/>
        </w:rPr>
        <w:lastRenderedPageBreak/>
        <w:t xml:space="preserve">Any </w:t>
      </w:r>
      <w:proofErr w:type="gramStart"/>
      <w:r w:rsidRPr="00213E40">
        <w:rPr>
          <w:rFonts w:ascii="Courier" w:hAnsi="Courier"/>
          <w:sz w:val="24"/>
          <w:szCs w:val="24"/>
        </w:rPr>
        <w:t>complications of diabetes</w:t>
      </w:r>
      <w:r>
        <w:rPr>
          <w:rFonts w:ascii="Courier" w:hAnsi="Courier"/>
          <w:sz w:val="24"/>
          <w:szCs w:val="24"/>
        </w:rPr>
        <w:t>--the lattice degeneration of the retinas bilaterally is</w:t>
      </w:r>
      <w:proofErr w:type="gramEnd"/>
      <w:r>
        <w:rPr>
          <w:rFonts w:ascii="Courier" w:hAnsi="Courier"/>
          <w:sz w:val="24"/>
          <w:szCs w:val="24"/>
        </w:rPr>
        <w:t xml:space="preserve"> not related to diabetes. No diabetic retinopathy was noted on the C</w:t>
      </w:r>
      <w:r w:rsidR="00623C36">
        <w:rPr>
          <w:rFonts w:ascii="Courier" w:hAnsi="Courier"/>
          <w:sz w:val="24"/>
          <w:szCs w:val="24"/>
        </w:rPr>
        <w:t>ompensation and Pension (C</w:t>
      </w:r>
      <w:r>
        <w:rPr>
          <w:rFonts w:ascii="Courier" w:hAnsi="Courier"/>
          <w:sz w:val="24"/>
          <w:szCs w:val="24"/>
        </w:rPr>
        <w:t>&amp;P</w:t>
      </w:r>
      <w:r w:rsidR="00623C36">
        <w:rPr>
          <w:rFonts w:ascii="Courier" w:hAnsi="Courier"/>
          <w:sz w:val="24"/>
          <w:szCs w:val="24"/>
        </w:rPr>
        <w:t>)</w:t>
      </w:r>
      <w:r>
        <w:rPr>
          <w:rFonts w:ascii="Courier" w:hAnsi="Courier"/>
          <w:sz w:val="24"/>
          <w:szCs w:val="24"/>
        </w:rPr>
        <w:t xml:space="preserve"> exam of 20030128</w:t>
      </w:r>
    </w:p>
    <w:p w:rsidR="00F104DA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H</w:t>
      </w:r>
      <w:r w:rsidRPr="00213E40">
        <w:rPr>
          <w:rFonts w:ascii="Courier" w:hAnsi="Courier"/>
          <w:sz w:val="24"/>
          <w:szCs w:val="24"/>
        </w:rPr>
        <w:t xml:space="preserve">ospitalizations except one in 2002 when diagnosis was made (no ketoacidosis </w:t>
      </w:r>
      <w:r>
        <w:rPr>
          <w:rFonts w:ascii="Courier" w:hAnsi="Courier"/>
          <w:sz w:val="24"/>
          <w:szCs w:val="24"/>
        </w:rPr>
        <w:t>was present then either)</w:t>
      </w:r>
    </w:p>
    <w:p w:rsidR="00F104DA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Hypoglycemic episodes </w:t>
      </w:r>
    </w:p>
    <w:p w:rsidR="00F104DA" w:rsidRDefault="00F104DA" w:rsidP="00F104DA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spacing w:line="240" w:lineRule="exact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Need for twice monthly visits to provider</w:t>
      </w:r>
    </w:p>
    <w:p w:rsidR="00B71952" w:rsidRPr="00F104DA" w:rsidRDefault="00F104DA" w:rsidP="00FA4CB4">
      <w:pPr>
        <w:pStyle w:val="ListParagraph"/>
        <w:numPr>
          <w:ilvl w:val="0"/>
          <w:numId w:val="1"/>
        </w:numPr>
        <w:tabs>
          <w:tab w:val="left" w:pos="288"/>
          <w:tab w:val="left" w:pos="4752"/>
        </w:tabs>
        <w:autoSpaceDE w:val="0"/>
        <w:autoSpaceDN w:val="0"/>
        <w:adjustRightInd w:val="0"/>
        <w:spacing w:line="240" w:lineRule="exact"/>
        <w:jc w:val="both"/>
        <w:rPr>
          <w:rFonts w:ascii="Courier" w:hAnsi="Courier"/>
          <w:szCs w:val="24"/>
        </w:rPr>
      </w:pPr>
      <w:r>
        <w:rPr>
          <w:rFonts w:ascii="Courier" w:hAnsi="Courier"/>
          <w:sz w:val="24"/>
          <w:szCs w:val="24"/>
        </w:rPr>
        <w:t>P</w:t>
      </w:r>
      <w:r w:rsidRPr="00F104DA">
        <w:rPr>
          <w:rFonts w:ascii="Courier" w:hAnsi="Courier"/>
          <w:sz w:val="24"/>
          <w:szCs w:val="24"/>
        </w:rPr>
        <w:t>rogressive weight loss</w:t>
      </w: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While on TDRL the </w:t>
      </w:r>
      <w:r w:rsidR="00F104DA">
        <w:rPr>
          <w:color w:val="auto"/>
          <w:szCs w:val="24"/>
        </w:rPr>
        <w:t>CI</w:t>
      </w:r>
      <w:r w:rsidR="00623C36">
        <w:rPr>
          <w:color w:val="auto"/>
          <w:szCs w:val="24"/>
        </w:rPr>
        <w:t xml:space="preserve"> was followed from Nov 2003 until Jul</w:t>
      </w:r>
      <w:r w:rsidRPr="00FA4CB4">
        <w:rPr>
          <w:color w:val="auto"/>
          <w:szCs w:val="24"/>
        </w:rPr>
        <w:t xml:space="preserve"> 2007 by Internal Medicine. </w:t>
      </w:r>
      <w:r w:rsidR="00623C36">
        <w:rPr>
          <w:color w:val="auto"/>
          <w:szCs w:val="24"/>
        </w:rPr>
        <w:t xml:space="preserve"> Cl</w:t>
      </w:r>
      <w:r w:rsidRPr="00FA4CB4">
        <w:rPr>
          <w:color w:val="auto"/>
          <w:szCs w:val="24"/>
        </w:rPr>
        <w:t>inical notes and intermittent summary letters, prepared for the purpose o</w:t>
      </w:r>
      <w:r w:rsidR="00623C36">
        <w:rPr>
          <w:color w:val="auto"/>
          <w:szCs w:val="24"/>
        </w:rPr>
        <w:t>f TDRL periodic reviews in Mar 2004 and Aug</w:t>
      </w:r>
      <w:r w:rsidRPr="00FA4CB4">
        <w:rPr>
          <w:color w:val="auto"/>
          <w:szCs w:val="24"/>
        </w:rPr>
        <w:t xml:space="preserve"> 2006, provided detailed information of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's clinical course and laboratory assessment.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Although there was some consideration of whether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's Diabetes Mellitus should be considered Type I or Type II, the member always was insulin requiring, with stable HbA1C levels in the low 6 range (barely above normal).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's weight steadily increased from 175 pounds at time of placement on the TDRL to a high of 220 pounds.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 was regularly followed every 6 months </w:t>
      </w:r>
      <w:r w:rsidR="00623C36">
        <w:rPr>
          <w:color w:val="auto"/>
          <w:szCs w:val="24"/>
        </w:rPr>
        <w:t xml:space="preserve">with no hospitalizations, no ER visits, and </w:t>
      </w:r>
      <w:r w:rsidRPr="00FA4CB4">
        <w:rPr>
          <w:color w:val="auto"/>
          <w:szCs w:val="24"/>
        </w:rPr>
        <w:t xml:space="preserve">no severe hypoglycemic episodes documented.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The CI testified that he informed </w:t>
      </w:r>
      <w:r w:rsidR="00623C36">
        <w:rPr>
          <w:color w:val="auto"/>
          <w:szCs w:val="24"/>
        </w:rPr>
        <w:t xml:space="preserve">his provider </w:t>
      </w:r>
      <w:r w:rsidRPr="00FA4CB4">
        <w:rPr>
          <w:color w:val="auto"/>
          <w:szCs w:val="24"/>
        </w:rPr>
        <w:t xml:space="preserve">that he was moving </w:t>
      </w:r>
      <w:r w:rsidRPr="00FA4CB4">
        <w:rPr>
          <w:rFonts w:cs="Arial"/>
          <w:color w:val="auto"/>
          <w:szCs w:val="24"/>
        </w:rPr>
        <w:t xml:space="preserve">to </w:t>
      </w:r>
      <w:r w:rsidRPr="00FA4CB4">
        <w:rPr>
          <w:color w:val="auto"/>
          <w:szCs w:val="24"/>
        </w:rPr>
        <w:t xml:space="preserve">Waco, Texas and would need to change providers.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Throughout the member's ongoing care he remained on insulin, </w:t>
      </w:r>
      <w:proofErr w:type="spellStart"/>
      <w:r w:rsidRPr="00FA4CB4">
        <w:rPr>
          <w:color w:val="auto"/>
          <w:szCs w:val="24"/>
        </w:rPr>
        <w:t>Lantus</w:t>
      </w:r>
      <w:proofErr w:type="spellEnd"/>
      <w:r w:rsidRPr="00FA4CB4">
        <w:rPr>
          <w:color w:val="auto"/>
          <w:szCs w:val="24"/>
        </w:rPr>
        <w:t xml:space="preserve"> at bedtime, </w:t>
      </w:r>
      <w:proofErr w:type="spellStart"/>
      <w:r w:rsidRPr="00FA4CB4">
        <w:rPr>
          <w:color w:val="auto"/>
          <w:szCs w:val="24"/>
        </w:rPr>
        <w:t>Humalog</w:t>
      </w:r>
      <w:proofErr w:type="spellEnd"/>
      <w:r w:rsidRPr="00FA4CB4">
        <w:rPr>
          <w:color w:val="auto"/>
          <w:szCs w:val="24"/>
        </w:rPr>
        <w:t xml:space="preserve"> (sliding scale), and </w:t>
      </w:r>
      <w:proofErr w:type="spellStart"/>
      <w:r w:rsidRPr="00FA4CB4">
        <w:rPr>
          <w:color w:val="auto"/>
          <w:szCs w:val="24"/>
        </w:rPr>
        <w:t>metformin</w:t>
      </w:r>
      <w:proofErr w:type="spellEnd"/>
      <w:r w:rsidRPr="00FA4CB4">
        <w:rPr>
          <w:color w:val="auto"/>
          <w:szCs w:val="24"/>
        </w:rPr>
        <w:t>.</w:t>
      </w: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New medical information provided for </w:t>
      </w:r>
      <w:r w:rsidR="00623C36">
        <w:rPr>
          <w:color w:val="auto"/>
          <w:szCs w:val="24"/>
        </w:rPr>
        <w:t xml:space="preserve">the </w:t>
      </w:r>
      <w:r w:rsidRPr="00FA4CB4">
        <w:rPr>
          <w:color w:val="auto"/>
          <w:szCs w:val="24"/>
        </w:rPr>
        <w:t>Formal PEB review included a "new patient" clinical evaluation th</w:t>
      </w:r>
      <w:r w:rsidR="00623C36">
        <w:rPr>
          <w:color w:val="auto"/>
          <w:szCs w:val="24"/>
        </w:rPr>
        <w:t>at was performed on 26 Sep 2007 in Waco, Texas</w:t>
      </w:r>
      <w:r w:rsidRPr="00FA4CB4">
        <w:rPr>
          <w:color w:val="auto"/>
          <w:szCs w:val="24"/>
        </w:rPr>
        <w:t xml:space="preserve">. </w:t>
      </w:r>
      <w:r w:rsidR="00623C36">
        <w:rPr>
          <w:color w:val="auto"/>
          <w:szCs w:val="24"/>
        </w:rPr>
        <w:t xml:space="preserve"> The provider </w:t>
      </w:r>
      <w:r w:rsidRPr="00FA4CB4">
        <w:rPr>
          <w:color w:val="auto"/>
          <w:szCs w:val="24"/>
        </w:rPr>
        <w:t xml:space="preserve">initiated adjustment of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's insulin regimen based upon </w:t>
      </w:r>
      <w:r w:rsidR="00623C36">
        <w:rPr>
          <w:color w:val="auto"/>
          <w:szCs w:val="24"/>
        </w:rPr>
        <w:t xml:space="preserve">the </w:t>
      </w:r>
      <w:r w:rsidRPr="00FA4CB4">
        <w:rPr>
          <w:color w:val="auto"/>
          <w:szCs w:val="24"/>
        </w:rPr>
        <w:t xml:space="preserve">four times daily </w:t>
      </w:r>
      <w:proofErr w:type="spellStart"/>
      <w:r w:rsidRPr="00FA4CB4">
        <w:rPr>
          <w:color w:val="auto"/>
          <w:szCs w:val="24"/>
        </w:rPr>
        <w:t>accucheck</w:t>
      </w:r>
      <w:proofErr w:type="spellEnd"/>
      <w:r w:rsidRPr="00FA4CB4">
        <w:rPr>
          <w:color w:val="auto"/>
          <w:szCs w:val="24"/>
        </w:rPr>
        <w:t xml:space="preserve"> of blood sugar values.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She also discussed a possible insulin pump for improved glucose control. </w:t>
      </w:r>
      <w:r w:rsidR="00623C36">
        <w:rPr>
          <w:color w:val="auto"/>
          <w:szCs w:val="24"/>
        </w:rPr>
        <w:t xml:space="preserve"> On the </w:t>
      </w:r>
      <w:r w:rsidRPr="00FA4CB4">
        <w:rPr>
          <w:color w:val="auto"/>
          <w:szCs w:val="24"/>
        </w:rPr>
        <w:t>fo</w:t>
      </w:r>
      <w:r w:rsidR="00623C36">
        <w:rPr>
          <w:color w:val="auto"/>
          <w:szCs w:val="24"/>
        </w:rPr>
        <w:t>llow-up appointment on 7 Oct</w:t>
      </w:r>
      <w:r w:rsidRPr="00FA4CB4">
        <w:rPr>
          <w:color w:val="auto"/>
          <w:szCs w:val="24"/>
        </w:rPr>
        <w:t xml:space="preserve"> 2007, </w:t>
      </w:r>
      <w:r w:rsidR="00623C36">
        <w:rPr>
          <w:color w:val="auto"/>
          <w:szCs w:val="24"/>
        </w:rPr>
        <w:t xml:space="preserve">the provider </w:t>
      </w:r>
      <w:r w:rsidRPr="00FA4CB4">
        <w:rPr>
          <w:color w:val="auto"/>
          <w:szCs w:val="24"/>
        </w:rPr>
        <w:t xml:space="preserve">note describes the labs as "benign" and reviewed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's blood sugar log in order to make medication and dosage modifications.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>The blood sugar log documented fluctuations in blood sugar values in response to medication adjustments, as would be expected during this period of insulin dosage modification.</w:t>
      </w: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Finally,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 sought eval</w:t>
      </w:r>
      <w:r w:rsidR="00623C36">
        <w:rPr>
          <w:color w:val="auto"/>
          <w:szCs w:val="24"/>
        </w:rPr>
        <w:t>uation at Fort Hood on 9 Oct</w:t>
      </w:r>
      <w:r w:rsidRPr="00FA4CB4">
        <w:rPr>
          <w:color w:val="auto"/>
          <w:szCs w:val="24"/>
        </w:rPr>
        <w:t xml:space="preserve"> 2007 </w:t>
      </w:r>
      <w:r w:rsidR="00623C36">
        <w:rPr>
          <w:color w:val="auto"/>
          <w:szCs w:val="24"/>
        </w:rPr>
        <w:t xml:space="preserve">to obtain </w:t>
      </w:r>
      <w:r w:rsidRPr="00FA4CB4">
        <w:rPr>
          <w:color w:val="auto"/>
          <w:szCs w:val="24"/>
        </w:rPr>
        <w:t xml:space="preserve">additional information </w:t>
      </w:r>
      <w:r w:rsidR="00623C36">
        <w:rPr>
          <w:color w:val="auto"/>
          <w:szCs w:val="24"/>
        </w:rPr>
        <w:t>for</w:t>
      </w:r>
      <w:r w:rsidRPr="00FA4CB4">
        <w:rPr>
          <w:color w:val="auto"/>
          <w:szCs w:val="24"/>
        </w:rPr>
        <w:t xml:space="preserve"> the Formal PEB consideration and discussing the possibility of an insulin pump.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>Lab</w:t>
      </w:r>
      <w:r w:rsidR="00623C36">
        <w:rPr>
          <w:color w:val="auto"/>
          <w:szCs w:val="24"/>
        </w:rPr>
        <w:t xml:space="preserve"> values at Fort Hood on 9 Oct</w:t>
      </w:r>
      <w:r w:rsidRPr="00FA4CB4">
        <w:rPr>
          <w:color w:val="auto"/>
          <w:szCs w:val="24"/>
        </w:rPr>
        <w:t xml:space="preserve"> 2007 document a Hemoglobin A1c of 6.40 and a glucose level of 240. Fort Hood Internal Medicine note specifically states that the member's insulin requirements are increasing and finds this incongruent with return to active service.</w:t>
      </w: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In summary, the Formal PEB found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 unfit for return to naval service.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Although the member's </w:t>
      </w:r>
      <w:r w:rsidR="00623C36">
        <w:rPr>
          <w:color w:val="auto"/>
          <w:szCs w:val="24"/>
        </w:rPr>
        <w:t xml:space="preserve">military occupational specialty </w:t>
      </w:r>
      <w:r w:rsidRPr="00FA4CB4">
        <w:rPr>
          <w:color w:val="auto"/>
          <w:szCs w:val="24"/>
        </w:rPr>
        <w:t xml:space="preserve">is a Supply and Administration Warehouse Clerk, </w:t>
      </w:r>
      <w:r w:rsidR="00F104DA">
        <w:rPr>
          <w:color w:val="auto"/>
          <w:szCs w:val="24"/>
        </w:rPr>
        <w:t>his</w:t>
      </w:r>
      <w:r w:rsidRPr="00FA4CB4">
        <w:rPr>
          <w:color w:val="auto"/>
          <w:szCs w:val="24"/>
        </w:rPr>
        <w:t xml:space="preserve"> insulin dosing regimen and </w:t>
      </w:r>
      <w:proofErr w:type="spellStart"/>
      <w:r w:rsidRPr="00FA4CB4">
        <w:rPr>
          <w:color w:val="auto"/>
          <w:szCs w:val="24"/>
        </w:rPr>
        <w:t>accucheck</w:t>
      </w:r>
      <w:proofErr w:type="spellEnd"/>
      <w:r w:rsidRPr="00FA4CB4">
        <w:rPr>
          <w:color w:val="auto"/>
          <w:szCs w:val="24"/>
        </w:rPr>
        <w:t xml:space="preserve"> blood sugar surveillance </w:t>
      </w:r>
      <w:r w:rsidRPr="00FA4CB4">
        <w:rPr>
          <w:color w:val="auto"/>
          <w:szCs w:val="24"/>
        </w:rPr>
        <w:lastRenderedPageBreak/>
        <w:t xml:space="preserve">were performed four times per day.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The Formal PEB found these requirements likely to interfere with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>'s ability to perform his required duties as a Marine Sergeant, even in a warehouse setting.</w:t>
      </w:r>
    </w:p>
    <w:p w:rsidR="00B71952" w:rsidRPr="00FA4CB4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B71952" w:rsidRDefault="00B71952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  <w:r w:rsidRPr="00FA4CB4">
        <w:rPr>
          <w:color w:val="auto"/>
          <w:szCs w:val="24"/>
        </w:rPr>
        <w:t xml:space="preserve">Because the </w:t>
      </w:r>
      <w:r w:rsidR="00F104DA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 had recently changed providers and was undergoing medication adjustment, his blood sugar logs revealed some minor fluctuations concurrent with clinical modification of his medications.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However, the </w:t>
      </w:r>
      <w:r w:rsidR="00F36963">
        <w:rPr>
          <w:color w:val="auto"/>
          <w:szCs w:val="24"/>
        </w:rPr>
        <w:t>CI</w:t>
      </w:r>
      <w:r w:rsidRPr="00FA4CB4">
        <w:rPr>
          <w:color w:val="auto"/>
          <w:szCs w:val="24"/>
        </w:rPr>
        <w:t xml:space="preserve"> had not been hospitalized, never had diabetic ketoacid</w:t>
      </w:r>
      <w:r w:rsidR="00623C36">
        <w:rPr>
          <w:color w:val="auto"/>
          <w:szCs w:val="24"/>
        </w:rPr>
        <w:t xml:space="preserve">osis, and </w:t>
      </w:r>
      <w:r w:rsidRPr="00FA4CB4">
        <w:rPr>
          <w:color w:val="auto"/>
          <w:szCs w:val="24"/>
        </w:rPr>
        <w:t>had reg</w:t>
      </w:r>
      <w:r w:rsidR="00623C36">
        <w:rPr>
          <w:color w:val="auto"/>
          <w:szCs w:val="24"/>
        </w:rPr>
        <w:t>ular ongoing care since Nov</w:t>
      </w:r>
      <w:r w:rsidRPr="00FA4CB4">
        <w:rPr>
          <w:color w:val="auto"/>
          <w:szCs w:val="24"/>
        </w:rPr>
        <w:t xml:space="preserve"> 2003 by a single Internist who repeatedly documented the member's reasonable control.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There is no documentation of significant, activity-limiting episodes of hypoglycemia. </w:t>
      </w:r>
      <w:r w:rsidR="00623C36">
        <w:rPr>
          <w:color w:val="auto"/>
          <w:szCs w:val="24"/>
        </w:rPr>
        <w:t xml:space="preserve"> </w:t>
      </w:r>
      <w:r w:rsidRPr="00FA4CB4">
        <w:rPr>
          <w:color w:val="auto"/>
          <w:szCs w:val="24"/>
        </w:rPr>
        <w:t xml:space="preserve">The member </w:t>
      </w:r>
      <w:r w:rsidR="00623C36">
        <w:rPr>
          <w:color w:val="auto"/>
          <w:szCs w:val="24"/>
        </w:rPr>
        <w:t>was not</w:t>
      </w:r>
      <w:r w:rsidRPr="00FA4CB4">
        <w:rPr>
          <w:color w:val="auto"/>
          <w:szCs w:val="24"/>
        </w:rPr>
        <w:t xml:space="preserve"> hospit</w:t>
      </w:r>
      <w:r w:rsidR="00623C36">
        <w:rPr>
          <w:color w:val="auto"/>
          <w:szCs w:val="24"/>
        </w:rPr>
        <w:t>alized, nor had</w:t>
      </w:r>
      <w:r w:rsidRPr="00FA4CB4">
        <w:rPr>
          <w:color w:val="auto"/>
          <w:szCs w:val="24"/>
        </w:rPr>
        <w:t xml:space="preserve"> he required emergency room evaluation, since hi</w:t>
      </w:r>
      <w:r w:rsidR="00623C36">
        <w:rPr>
          <w:color w:val="auto"/>
          <w:szCs w:val="24"/>
        </w:rPr>
        <w:t>s initial diagnosis in Sep</w:t>
      </w:r>
      <w:r w:rsidRPr="00FA4CB4">
        <w:rPr>
          <w:color w:val="auto"/>
          <w:szCs w:val="24"/>
        </w:rPr>
        <w:t xml:space="preserve"> 2002.</w:t>
      </w:r>
    </w:p>
    <w:p w:rsidR="00F104DA" w:rsidRDefault="00F104DA" w:rsidP="00FA4CB4">
      <w:pPr>
        <w:autoSpaceDE w:val="0"/>
        <w:autoSpaceDN w:val="0"/>
        <w:adjustRightInd w:val="0"/>
        <w:spacing w:line="240" w:lineRule="exact"/>
        <w:jc w:val="both"/>
        <w:rPr>
          <w:color w:val="auto"/>
          <w:szCs w:val="24"/>
        </w:rPr>
      </w:pPr>
    </w:p>
    <w:p w:rsidR="00F104DA" w:rsidRPr="00F36963" w:rsidRDefault="00F104DA" w:rsidP="00F104DA">
      <w:pPr>
        <w:pStyle w:val="ListParagraph"/>
        <w:tabs>
          <w:tab w:val="left" w:pos="0"/>
          <w:tab w:val="left" w:pos="4752"/>
        </w:tabs>
        <w:spacing w:line="240" w:lineRule="exact"/>
        <w:ind w:left="0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At the time he separated from the TDRL in 2008, the CI </w:t>
      </w:r>
      <w:r w:rsidR="00623C36">
        <w:rPr>
          <w:rFonts w:ascii="Courier" w:hAnsi="Courier"/>
          <w:sz w:val="24"/>
          <w:szCs w:val="24"/>
        </w:rPr>
        <w:t>had</w:t>
      </w:r>
      <w:r>
        <w:rPr>
          <w:rFonts w:ascii="Courier" w:hAnsi="Courier"/>
          <w:sz w:val="24"/>
          <w:szCs w:val="24"/>
        </w:rPr>
        <w:t xml:space="preserve"> peripheral neuropathy in both lower extremities. </w:t>
      </w:r>
      <w:r w:rsidR="00623C36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He was taking </w:t>
      </w:r>
      <w:proofErr w:type="spellStart"/>
      <w:r>
        <w:rPr>
          <w:rFonts w:ascii="Courier" w:hAnsi="Courier"/>
          <w:sz w:val="24"/>
          <w:szCs w:val="24"/>
        </w:rPr>
        <w:t>Lyrica</w:t>
      </w:r>
      <w:proofErr w:type="spellEnd"/>
      <w:r>
        <w:rPr>
          <w:rFonts w:ascii="Courier" w:hAnsi="Courier"/>
          <w:sz w:val="24"/>
          <w:szCs w:val="24"/>
        </w:rPr>
        <w:t xml:space="preserve"> with some relief of his burning pain. </w:t>
      </w:r>
      <w:r w:rsidR="00623C36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However, only conditions present at the time of entry onto the TDRL can be evaluated and this condition was not present when he entered the TDRL in 2001. </w:t>
      </w:r>
      <w:r w:rsidR="00623C36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Also these conditions are not mentioned anywhere in the </w:t>
      </w:r>
      <w:r w:rsidR="00623C36">
        <w:rPr>
          <w:rFonts w:ascii="Courier" w:hAnsi="Courier"/>
          <w:sz w:val="24"/>
          <w:szCs w:val="24"/>
        </w:rPr>
        <w:t>Disability Evaluation System (</w:t>
      </w:r>
      <w:r>
        <w:rPr>
          <w:rFonts w:ascii="Courier" w:hAnsi="Courier"/>
          <w:sz w:val="24"/>
          <w:szCs w:val="24"/>
        </w:rPr>
        <w:t>DES</w:t>
      </w:r>
      <w:r w:rsidR="00623C36">
        <w:rPr>
          <w:rFonts w:ascii="Courier" w:hAnsi="Courier"/>
          <w:sz w:val="24"/>
          <w:szCs w:val="24"/>
        </w:rPr>
        <w:t>)</w:t>
      </w:r>
      <w:r>
        <w:rPr>
          <w:rFonts w:ascii="Courier" w:hAnsi="Courier"/>
          <w:sz w:val="24"/>
          <w:szCs w:val="24"/>
        </w:rPr>
        <w:t xml:space="preserve"> package. </w:t>
      </w:r>
      <w:r w:rsidR="00623C36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 xml:space="preserve">Therefore, even though the CI had bilateral </w:t>
      </w:r>
      <w:r w:rsidRPr="00F36963">
        <w:rPr>
          <w:rFonts w:ascii="Courier" w:hAnsi="Courier"/>
          <w:sz w:val="24"/>
          <w:szCs w:val="24"/>
        </w:rPr>
        <w:t>peripheral neuropathy when</w:t>
      </w:r>
      <w:r w:rsidR="00623C36">
        <w:rPr>
          <w:rFonts w:ascii="Courier" w:hAnsi="Courier"/>
          <w:sz w:val="24"/>
          <w:szCs w:val="24"/>
        </w:rPr>
        <w:t xml:space="preserve"> he separated from the TDRL; </w:t>
      </w:r>
      <w:r w:rsidRPr="00F36963">
        <w:rPr>
          <w:rFonts w:ascii="Courier" w:hAnsi="Courier"/>
          <w:sz w:val="24"/>
          <w:szCs w:val="24"/>
        </w:rPr>
        <w:t xml:space="preserve">this </w:t>
      </w:r>
      <w:r w:rsidR="00623C36">
        <w:rPr>
          <w:rFonts w:ascii="Courier" w:hAnsi="Courier"/>
          <w:sz w:val="24"/>
          <w:szCs w:val="24"/>
        </w:rPr>
        <w:t>was</w:t>
      </w:r>
      <w:r w:rsidRPr="00F36963">
        <w:rPr>
          <w:rFonts w:ascii="Courier" w:hAnsi="Courier"/>
          <w:sz w:val="24"/>
          <w:szCs w:val="24"/>
        </w:rPr>
        <w:t xml:space="preserve"> a complication from his </w:t>
      </w:r>
      <w:r w:rsidR="00650D20" w:rsidRPr="00F36963">
        <w:rPr>
          <w:rFonts w:ascii="Courier" w:hAnsi="Courier"/>
          <w:sz w:val="24"/>
          <w:szCs w:val="24"/>
        </w:rPr>
        <w:t>diabetes;</w:t>
      </w:r>
      <w:r w:rsidRPr="00F36963">
        <w:rPr>
          <w:rFonts w:ascii="Courier" w:hAnsi="Courier"/>
          <w:sz w:val="24"/>
          <w:szCs w:val="24"/>
        </w:rPr>
        <w:t xml:space="preserve"> no rating can be applied for peripheral neuropathy.</w:t>
      </w:r>
    </w:p>
    <w:p w:rsidR="00EC365F" w:rsidRPr="00F36963" w:rsidRDefault="00FA4CB4" w:rsidP="00E866F8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36963">
        <w:rPr>
          <w:color w:val="auto"/>
          <w:szCs w:val="24"/>
        </w:rPr>
        <w:t xml:space="preserve">The VA rated the CI’s diabetes mellitus under code 7909, </w:t>
      </w:r>
      <w:r w:rsidR="00EC365F" w:rsidRPr="00F36963">
        <w:rPr>
          <w:color w:val="auto"/>
          <w:szCs w:val="24"/>
        </w:rPr>
        <w:t xml:space="preserve">Diabetes </w:t>
      </w:r>
      <w:proofErr w:type="spellStart"/>
      <w:r w:rsidR="00EC365F" w:rsidRPr="00F36963">
        <w:rPr>
          <w:color w:val="auto"/>
          <w:szCs w:val="24"/>
        </w:rPr>
        <w:t>Insipidus</w:t>
      </w:r>
      <w:proofErr w:type="spellEnd"/>
      <w:r w:rsidR="00EC365F" w:rsidRPr="00F36963">
        <w:rPr>
          <w:color w:val="auto"/>
          <w:szCs w:val="24"/>
        </w:rPr>
        <w:t xml:space="preserve">. </w:t>
      </w:r>
      <w:r w:rsidR="00650D20">
        <w:rPr>
          <w:color w:val="auto"/>
          <w:szCs w:val="24"/>
        </w:rPr>
        <w:t xml:space="preserve"> </w:t>
      </w:r>
      <w:r w:rsidRPr="00F36963">
        <w:rPr>
          <w:color w:val="auto"/>
          <w:szCs w:val="24"/>
        </w:rPr>
        <w:t>However, the CI had diabetes mellitus</w:t>
      </w:r>
      <w:r w:rsidR="00650D20" w:rsidRPr="00F36963">
        <w:rPr>
          <w:color w:val="auto"/>
          <w:szCs w:val="24"/>
        </w:rPr>
        <w:t>, and</w:t>
      </w:r>
      <w:r w:rsidRPr="00F36963">
        <w:rPr>
          <w:color w:val="auto"/>
          <w:szCs w:val="24"/>
        </w:rPr>
        <w:t xml:space="preserve"> it is unclear why the VA used 7909 instead of 7913 Diabetes Mellitus.</w:t>
      </w:r>
    </w:p>
    <w:p w:rsidR="00FA4CB4" w:rsidRPr="00F36963" w:rsidRDefault="00FA4CB4" w:rsidP="00E866F8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FA4CB4" w:rsidRPr="00213E40" w:rsidRDefault="00FA4CB4" w:rsidP="00E866F8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F36963">
        <w:rPr>
          <w:color w:val="auto"/>
          <w:szCs w:val="24"/>
        </w:rPr>
        <w:t>At the</w:t>
      </w:r>
      <w:r>
        <w:rPr>
          <w:color w:val="auto"/>
          <w:szCs w:val="24"/>
        </w:rPr>
        <w:t xml:space="preserve"> time of separation from the TDRL, the CI followed a restricted diet and was taking insulin and an oral hypoglycemic agent. </w:t>
      </w:r>
      <w:r w:rsidR="00650D2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No regulation of activities had been prescribed by a health care provider and there is no evidence that it should have been prescribed.</w:t>
      </w:r>
    </w:p>
    <w:p w:rsidR="00E866F8" w:rsidRPr="00353687" w:rsidRDefault="00E866F8" w:rsidP="00353687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A258B7" w:rsidRDefault="003F2937" w:rsidP="00A258B7">
      <w:pPr>
        <w:tabs>
          <w:tab w:val="left" w:pos="288"/>
          <w:tab w:val="left" w:pos="4752"/>
        </w:tabs>
        <w:spacing w:line="240" w:lineRule="exact"/>
        <w:rPr>
          <w:color w:val="auto"/>
          <w:szCs w:val="24"/>
          <w:u w:val="single"/>
        </w:rPr>
      </w:pPr>
      <w:r w:rsidRPr="003F2937">
        <w:rPr>
          <w:color w:val="auto"/>
          <w:szCs w:val="24"/>
          <w:u w:val="single"/>
        </w:rPr>
        <w:t xml:space="preserve">Other conditions </w:t>
      </w:r>
      <w:r w:rsidR="00353687">
        <w:rPr>
          <w:color w:val="auto"/>
          <w:szCs w:val="24"/>
          <w:u w:val="single"/>
        </w:rPr>
        <w:t>(</w:t>
      </w:r>
      <w:r w:rsidRPr="003F2937">
        <w:rPr>
          <w:color w:val="auto"/>
          <w:szCs w:val="24"/>
          <w:u w:val="single"/>
        </w:rPr>
        <w:t>not in the DES</w:t>
      </w:r>
      <w:r w:rsidR="00353687">
        <w:rPr>
          <w:color w:val="auto"/>
          <w:szCs w:val="24"/>
          <w:u w:val="single"/>
        </w:rPr>
        <w:t>)</w:t>
      </w:r>
      <w:r w:rsidRPr="003F2937">
        <w:rPr>
          <w:color w:val="auto"/>
          <w:szCs w:val="24"/>
          <w:u w:val="single"/>
        </w:rPr>
        <w:t xml:space="preserve">: </w:t>
      </w:r>
    </w:p>
    <w:p w:rsidR="008E2D99" w:rsidRPr="00AE3316" w:rsidRDefault="00353687" w:rsidP="002B1C8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80"/>
          <w:szCs w:val="24"/>
          <w:u w:val="single"/>
        </w:rPr>
      </w:pPr>
      <w:r>
        <w:rPr>
          <w:color w:val="auto"/>
        </w:rPr>
        <w:t xml:space="preserve">Bilateral Lower Extremity Peripheral Neuropathy; </w:t>
      </w:r>
      <w:r w:rsidRPr="00BE1C5D">
        <w:rPr>
          <w:color w:val="auto"/>
        </w:rPr>
        <w:t xml:space="preserve">Residuals, Right Shoulder Strain with Bony OS </w:t>
      </w:r>
      <w:proofErr w:type="spellStart"/>
      <w:r w:rsidRPr="00BE1C5D">
        <w:rPr>
          <w:color w:val="auto"/>
        </w:rPr>
        <w:t>Acromially</w:t>
      </w:r>
      <w:proofErr w:type="spellEnd"/>
      <w:r w:rsidRPr="00BE1C5D">
        <w:rPr>
          <w:color w:val="auto"/>
        </w:rPr>
        <w:t>; Residual Left Ankle Sprain; Residuals Right Ankle Sprain; Residuals Lumbar Spine Strain; Tinnitus; Lattice Degeneration w/Peripheral Retinal Holes, Left Eye; and Lattice Degeneration w/Peripheral Retinal Hole, Right Eye</w:t>
      </w:r>
    </w:p>
    <w:p w:rsidR="00A90D55" w:rsidRPr="008A5EF9" w:rsidRDefault="008B5D31" w:rsidP="008A5EF9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  <w:u w:val="single"/>
        </w:rPr>
        <w:t>_______________________________________________________________</w:t>
      </w:r>
      <w:r w:rsidRPr="008A5EF9">
        <w:rPr>
          <w:color w:val="auto"/>
          <w:szCs w:val="24"/>
        </w:rPr>
        <w:t>_</w:t>
      </w:r>
    </w:p>
    <w:p w:rsidR="00A90D55" w:rsidRPr="008A5EF9" w:rsidRDefault="00A90D55" w:rsidP="008A5EF9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6FEA" w:rsidRDefault="00FB593A" w:rsidP="003F2937">
      <w:pPr>
        <w:spacing w:line="240" w:lineRule="exact"/>
        <w:jc w:val="both"/>
        <w:rPr>
          <w:rFonts w:eastAsiaTheme="minorHAnsi"/>
          <w:color w:val="auto"/>
          <w:szCs w:val="24"/>
        </w:rPr>
      </w:pPr>
      <w:r w:rsidRPr="008A5EF9">
        <w:rPr>
          <w:color w:val="auto"/>
          <w:szCs w:val="24"/>
          <w:u w:val="single"/>
        </w:rPr>
        <w:t>BOARD FINDINGS</w:t>
      </w:r>
      <w:r w:rsidRPr="008A5EF9">
        <w:rPr>
          <w:color w:val="auto"/>
          <w:szCs w:val="24"/>
        </w:rPr>
        <w:t>:</w:t>
      </w:r>
      <w:r w:rsidRPr="008A5EF9">
        <w:rPr>
          <w:rFonts w:eastAsiaTheme="minorHAnsi"/>
          <w:color w:val="auto"/>
          <w:szCs w:val="24"/>
        </w:rPr>
        <w:t xml:space="preserve">  IAW DoDI 6040.44, provisions of DoD or Military Department regulations or guidelines relied upon by the PEB will not be considered by the </w:t>
      </w:r>
      <w:r w:rsidR="007165CE" w:rsidRPr="008A5EF9">
        <w:rPr>
          <w:rFonts w:eastAsiaTheme="minorHAnsi"/>
          <w:color w:val="auto"/>
          <w:szCs w:val="24"/>
        </w:rPr>
        <w:t>Board</w:t>
      </w:r>
      <w:r w:rsidRPr="008A5EF9">
        <w:rPr>
          <w:rFonts w:eastAsiaTheme="minorHAnsi"/>
          <w:color w:val="auto"/>
          <w:szCs w:val="24"/>
        </w:rPr>
        <w:t xml:space="preserve"> to the extent they were inconsistent with the VASRD in effect at the time of the adjudication. </w:t>
      </w:r>
      <w:r w:rsidR="00650D20">
        <w:rPr>
          <w:rFonts w:eastAsiaTheme="minorHAnsi"/>
          <w:color w:val="auto"/>
          <w:szCs w:val="24"/>
        </w:rPr>
        <w:t xml:space="preserve"> </w:t>
      </w:r>
      <w:r w:rsidR="003F2937">
        <w:rPr>
          <w:rFonts w:eastAsiaTheme="minorHAnsi"/>
          <w:color w:val="auto"/>
          <w:szCs w:val="24"/>
        </w:rPr>
        <w:t xml:space="preserve">After careful consideration of all available information the Board unanimously determined that the </w:t>
      </w:r>
      <w:proofErr w:type="spellStart"/>
      <w:r w:rsidR="003F2937">
        <w:rPr>
          <w:rFonts w:eastAsiaTheme="minorHAnsi"/>
          <w:color w:val="auto"/>
          <w:szCs w:val="24"/>
        </w:rPr>
        <w:t>C</w:t>
      </w:r>
      <w:r w:rsidR="004F24C8">
        <w:rPr>
          <w:rFonts w:eastAsiaTheme="minorHAnsi"/>
          <w:color w:val="auto"/>
          <w:szCs w:val="24"/>
        </w:rPr>
        <w:t>i</w:t>
      </w:r>
      <w:r w:rsidR="003F2937">
        <w:rPr>
          <w:rFonts w:eastAsiaTheme="minorHAnsi"/>
          <w:color w:val="auto"/>
          <w:szCs w:val="24"/>
        </w:rPr>
        <w:t>’s</w:t>
      </w:r>
      <w:proofErr w:type="spellEnd"/>
      <w:r w:rsidR="003F2937">
        <w:rPr>
          <w:rFonts w:eastAsiaTheme="minorHAnsi"/>
          <w:color w:val="auto"/>
          <w:szCs w:val="24"/>
        </w:rPr>
        <w:t xml:space="preserve"> </w:t>
      </w:r>
      <w:r w:rsidR="003F2937">
        <w:rPr>
          <w:rFonts w:eastAsiaTheme="minorHAnsi"/>
          <w:color w:val="auto"/>
          <w:szCs w:val="24"/>
        </w:rPr>
        <w:lastRenderedPageBreak/>
        <w:t>condition is most appropriately rated as Diabetes Mellitus 7913 at 20%.</w:t>
      </w:r>
    </w:p>
    <w:p w:rsidR="001E5815" w:rsidRDefault="001E5815" w:rsidP="00457BCF">
      <w:pPr>
        <w:spacing w:line="240" w:lineRule="exact"/>
        <w:rPr>
          <w:rFonts w:asciiTheme="minorHAnsi" w:hAnsiTheme="minorHAnsi"/>
          <w:color w:val="auto"/>
          <w:szCs w:val="24"/>
        </w:rPr>
      </w:pPr>
    </w:p>
    <w:p w:rsidR="006579A3" w:rsidRDefault="003F2937" w:rsidP="003F2937">
      <w:pPr>
        <w:spacing w:line="240" w:lineRule="exact"/>
        <w:jc w:val="both"/>
        <w:rPr>
          <w:color w:val="auto"/>
        </w:rPr>
      </w:pPr>
      <w:r>
        <w:rPr>
          <w:color w:val="auto"/>
        </w:rPr>
        <w:t xml:space="preserve">A disability rating for Diabetes Mellitus greater than 20% requires regulation of activities. </w:t>
      </w:r>
      <w:r w:rsidR="00650D20">
        <w:rPr>
          <w:color w:val="auto"/>
        </w:rPr>
        <w:t xml:space="preserve"> </w:t>
      </w:r>
      <w:r>
        <w:rPr>
          <w:color w:val="auto"/>
        </w:rPr>
        <w:t>For rating purposes regulation of activities is defined as avoidance of strenuous occupational and recreational activities.</w:t>
      </w:r>
      <w:r w:rsidR="00650D20">
        <w:rPr>
          <w:color w:val="auto"/>
        </w:rPr>
        <w:t xml:space="preserve"> </w:t>
      </w:r>
      <w:r>
        <w:rPr>
          <w:color w:val="auto"/>
        </w:rPr>
        <w:t xml:space="preserve"> There is no evidence of any regulation of activities in any of the available records. The CI had diabetes mellitus required insulin and a restricted diet and this warrants a 20% rating.</w:t>
      </w:r>
    </w:p>
    <w:p w:rsidR="00BE1C5D" w:rsidRDefault="00BE1C5D" w:rsidP="003F2937">
      <w:pPr>
        <w:spacing w:line="240" w:lineRule="exact"/>
        <w:jc w:val="both"/>
        <w:rPr>
          <w:color w:val="auto"/>
        </w:rPr>
      </w:pPr>
    </w:p>
    <w:p w:rsidR="006579A3" w:rsidRPr="00BE1C5D" w:rsidRDefault="00BE1C5D" w:rsidP="003F2937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FA4CB4">
        <w:rPr>
          <w:color w:val="auto"/>
        </w:rPr>
        <w:t>The Boar</w:t>
      </w:r>
      <w:r w:rsidR="00FA4CB4" w:rsidRPr="00FA4CB4">
        <w:rPr>
          <w:color w:val="auto"/>
        </w:rPr>
        <w:t>d also considered the condition</w:t>
      </w:r>
      <w:r w:rsidRPr="00FA4CB4">
        <w:rPr>
          <w:color w:val="auto"/>
        </w:rPr>
        <w:t xml:space="preserve"> of Bilateral </w:t>
      </w:r>
      <w:r w:rsidR="006579A3" w:rsidRPr="00FA4CB4">
        <w:rPr>
          <w:color w:val="auto"/>
        </w:rPr>
        <w:t xml:space="preserve">Lower Extremity </w:t>
      </w:r>
      <w:r w:rsidRPr="00FA4CB4">
        <w:rPr>
          <w:color w:val="auto"/>
        </w:rPr>
        <w:t>Peripheral Neuropathy</w:t>
      </w:r>
      <w:r w:rsidR="006579A3" w:rsidRPr="00FA4CB4">
        <w:rPr>
          <w:color w:val="auto"/>
        </w:rPr>
        <w:t xml:space="preserve"> at the CI’s request</w:t>
      </w:r>
      <w:r>
        <w:rPr>
          <w:color w:val="auto"/>
        </w:rPr>
        <w:t xml:space="preserve">. </w:t>
      </w:r>
      <w:r w:rsidR="00650D20">
        <w:rPr>
          <w:color w:val="auto"/>
        </w:rPr>
        <w:t xml:space="preserve"> </w:t>
      </w:r>
      <w:r w:rsidR="006579A3">
        <w:rPr>
          <w:color w:val="auto"/>
        </w:rPr>
        <w:t>When determining the final and permanent disability rating, t</w:t>
      </w:r>
      <w:r>
        <w:rPr>
          <w:color w:val="auto"/>
        </w:rPr>
        <w:t xml:space="preserve">he Board </w:t>
      </w:r>
      <w:r w:rsidR="006579A3">
        <w:rPr>
          <w:color w:val="auto"/>
        </w:rPr>
        <w:t>must evaluate</w:t>
      </w:r>
      <w:r>
        <w:rPr>
          <w:color w:val="auto"/>
        </w:rPr>
        <w:t xml:space="preserve"> the CI’s condition at the time of separation from the TDRL in 2008. </w:t>
      </w:r>
      <w:r w:rsidR="00650D20">
        <w:rPr>
          <w:color w:val="auto"/>
        </w:rPr>
        <w:t xml:space="preserve"> </w:t>
      </w:r>
      <w:r>
        <w:rPr>
          <w:color w:val="auto"/>
        </w:rPr>
        <w:t xml:space="preserve">However, the Board can only evaluate conditions that were present at the time the CI entered the TDRL and </w:t>
      </w:r>
      <w:r w:rsidR="006579A3">
        <w:rPr>
          <w:color w:val="auto"/>
        </w:rPr>
        <w:t>we</w:t>
      </w:r>
      <w:r>
        <w:rPr>
          <w:color w:val="auto"/>
        </w:rPr>
        <w:t xml:space="preserve">re </w:t>
      </w:r>
      <w:r w:rsidR="006579A3">
        <w:rPr>
          <w:color w:val="auto"/>
        </w:rPr>
        <w:t xml:space="preserve">mentioned in the </w:t>
      </w:r>
      <w:r w:rsidR="006579A3" w:rsidRPr="006579A3">
        <w:rPr>
          <w:color w:val="auto"/>
        </w:rPr>
        <w:t>DES</w:t>
      </w:r>
      <w:r w:rsidR="006579A3">
        <w:rPr>
          <w:color w:val="auto"/>
        </w:rPr>
        <w:t xml:space="preserve"> package. </w:t>
      </w:r>
      <w:r w:rsidR="00650D20">
        <w:rPr>
          <w:color w:val="auto"/>
        </w:rPr>
        <w:t xml:space="preserve"> </w:t>
      </w:r>
      <w:r w:rsidR="006579A3">
        <w:rPr>
          <w:color w:val="auto"/>
        </w:rPr>
        <w:t>T</w:t>
      </w:r>
      <w:r>
        <w:rPr>
          <w:color w:val="auto"/>
        </w:rPr>
        <w:t>h</w:t>
      </w:r>
      <w:r w:rsidR="00FA4CB4">
        <w:rPr>
          <w:color w:val="auto"/>
        </w:rPr>
        <w:t>is</w:t>
      </w:r>
      <w:r w:rsidR="00F36963">
        <w:rPr>
          <w:color w:val="auto"/>
        </w:rPr>
        <w:t xml:space="preserve"> condition</w:t>
      </w:r>
      <w:r>
        <w:rPr>
          <w:color w:val="auto"/>
        </w:rPr>
        <w:t xml:space="preserve"> </w:t>
      </w:r>
      <w:r w:rsidR="006579A3" w:rsidRPr="00FA4CB4">
        <w:rPr>
          <w:color w:val="auto"/>
        </w:rPr>
        <w:t>w</w:t>
      </w:r>
      <w:r w:rsidR="00FA4CB4" w:rsidRPr="00FA4CB4">
        <w:rPr>
          <w:color w:val="auto"/>
        </w:rPr>
        <w:t>as</w:t>
      </w:r>
      <w:r w:rsidR="006579A3" w:rsidRPr="00FA4CB4">
        <w:rPr>
          <w:color w:val="auto"/>
        </w:rPr>
        <w:t xml:space="preserve"> </w:t>
      </w:r>
      <w:r w:rsidR="006579A3" w:rsidRPr="00FA4CB4">
        <w:rPr>
          <w:color w:val="auto"/>
          <w:szCs w:val="24"/>
        </w:rPr>
        <w:t xml:space="preserve">not mentioned in the DES package and </w:t>
      </w:r>
      <w:r w:rsidR="00FA4CB4" w:rsidRPr="00FA4CB4">
        <w:rPr>
          <w:color w:val="auto"/>
          <w:szCs w:val="24"/>
        </w:rPr>
        <w:t>is</w:t>
      </w:r>
      <w:r w:rsidR="006579A3" w:rsidRPr="00FA4CB4">
        <w:rPr>
          <w:color w:val="auto"/>
          <w:szCs w:val="24"/>
        </w:rPr>
        <w:t xml:space="preserve"> </w:t>
      </w:r>
      <w:r w:rsidR="006579A3" w:rsidRPr="00FA4CB4">
        <w:rPr>
          <w:color w:val="auto"/>
        </w:rPr>
        <w:t xml:space="preserve">therefore outside the scope of the Board. </w:t>
      </w:r>
      <w:r w:rsidRPr="00FA4CB4">
        <w:rPr>
          <w:color w:val="auto"/>
        </w:rPr>
        <w:t xml:space="preserve"> </w:t>
      </w:r>
      <w:r w:rsidR="006579A3" w:rsidRPr="00FA4CB4">
        <w:rPr>
          <w:color w:val="auto"/>
        </w:rPr>
        <w:t>The CI retains the right to request his service</w:t>
      </w:r>
      <w:r w:rsidR="006579A3" w:rsidRPr="00BE1C5D">
        <w:rPr>
          <w:color w:val="auto"/>
        </w:rPr>
        <w:t xml:space="preserve"> Board of Correction for Naval Records (BCNR) consider adding these conditions as unfitting.</w:t>
      </w:r>
    </w:p>
    <w:p w:rsidR="00BE1C5D" w:rsidRPr="00AE3316" w:rsidRDefault="00BE1C5D" w:rsidP="001E5815">
      <w:pPr>
        <w:spacing w:line="240" w:lineRule="exact"/>
        <w:rPr>
          <w:rFonts w:asciiTheme="minorHAnsi" w:eastAsiaTheme="minorHAnsi" w:hAnsiTheme="minorHAnsi"/>
          <w:color w:val="auto"/>
          <w:szCs w:val="24"/>
        </w:rPr>
      </w:pPr>
    </w:p>
    <w:p w:rsidR="001E5815" w:rsidRPr="006579A3" w:rsidRDefault="00BE1C5D" w:rsidP="00FA4CB4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BE1C5D">
        <w:rPr>
          <w:color w:val="auto"/>
        </w:rPr>
        <w:t xml:space="preserve">The other diagnoses rated by the VA (Residuals, Right Shoulder Strain with Bony OS </w:t>
      </w:r>
      <w:proofErr w:type="spellStart"/>
      <w:r w:rsidRPr="00BE1C5D">
        <w:rPr>
          <w:color w:val="auto"/>
        </w:rPr>
        <w:t>Acromially</w:t>
      </w:r>
      <w:proofErr w:type="spellEnd"/>
      <w:r w:rsidRPr="00BE1C5D">
        <w:rPr>
          <w:color w:val="auto"/>
        </w:rPr>
        <w:t xml:space="preserve">; Residual Left Ankle Sprain; Residuals Right Ankle Sprain; Residuals Lumbar Spine Strain; Tinnitus; </w:t>
      </w:r>
      <w:r w:rsidRPr="00FA4CB4">
        <w:rPr>
          <w:color w:val="auto"/>
        </w:rPr>
        <w:t xml:space="preserve">Lattice Degeneration w/Peripheral Retinal Holes, Left Eye; and Lattice Degeneration w/Peripheral Retinal Hole, Right Eye) were </w:t>
      </w:r>
      <w:r w:rsidRPr="00FA4CB4">
        <w:rPr>
          <w:color w:val="auto"/>
          <w:szCs w:val="24"/>
        </w:rPr>
        <w:t xml:space="preserve">not mentioned in the </w:t>
      </w:r>
      <w:r w:rsidR="00650D20">
        <w:rPr>
          <w:color w:val="auto"/>
          <w:szCs w:val="24"/>
        </w:rPr>
        <w:t xml:space="preserve">DES </w:t>
      </w:r>
      <w:r w:rsidRPr="00FA4CB4">
        <w:rPr>
          <w:color w:val="auto"/>
          <w:szCs w:val="24"/>
        </w:rPr>
        <w:t xml:space="preserve">package and </w:t>
      </w:r>
      <w:r w:rsidRPr="00FA4CB4">
        <w:rPr>
          <w:color w:val="auto"/>
        </w:rPr>
        <w:t xml:space="preserve">are therefore outside the scope of the Board. </w:t>
      </w:r>
      <w:r w:rsidR="00650D20">
        <w:rPr>
          <w:color w:val="auto"/>
        </w:rPr>
        <w:t xml:space="preserve"> </w:t>
      </w:r>
      <w:r w:rsidRPr="00FA4CB4">
        <w:rPr>
          <w:color w:val="auto"/>
        </w:rPr>
        <w:t>The CI retains the right to request his service BCNR consider adding these conditions as unfitting.</w:t>
      </w:r>
    </w:p>
    <w:p w:rsidR="00FB593A" w:rsidRPr="006579A3" w:rsidRDefault="008B5D31" w:rsidP="00BE1C5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6579A3">
        <w:rPr>
          <w:color w:val="auto"/>
          <w:szCs w:val="24"/>
          <w:u w:val="single"/>
        </w:rPr>
        <w:t>__________________________________________________</w:t>
      </w:r>
      <w:r w:rsidR="00BE1C5D" w:rsidRPr="006579A3">
        <w:rPr>
          <w:color w:val="auto"/>
          <w:szCs w:val="24"/>
          <w:u w:val="single"/>
        </w:rPr>
        <w:t>______</w:t>
      </w:r>
      <w:r w:rsidRPr="006579A3">
        <w:rPr>
          <w:color w:val="auto"/>
          <w:szCs w:val="24"/>
          <w:u w:val="single"/>
        </w:rPr>
        <w:t>_______</w:t>
      </w:r>
      <w:r w:rsidRPr="006579A3">
        <w:rPr>
          <w:color w:val="auto"/>
          <w:szCs w:val="24"/>
        </w:rPr>
        <w:t>_</w:t>
      </w:r>
    </w:p>
    <w:p w:rsidR="00FB593A" w:rsidRPr="006579A3" w:rsidRDefault="00FB593A" w:rsidP="00BE1C5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FB593A" w:rsidRPr="008A5EF9" w:rsidRDefault="00FB593A" w:rsidP="002B04F4">
      <w:pPr>
        <w:spacing w:line="240" w:lineRule="exact"/>
        <w:jc w:val="both"/>
        <w:rPr>
          <w:color w:val="auto"/>
          <w:szCs w:val="24"/>
        </w:rPr>
      </w:pPr>
      <w:r w:rsidRPr="006579A3">
        <w:rPr>
          <w:color w:val="auto"/>
          <w:szCs w:val="24"/>
          <w:u w:val="single"/>
        </w:rPr>
        <w:t>RECOMMENDATION</w:t>
      </w:r>
      <w:r w:rsidRPr="00BE1C5D">
        <w:rPr>
          <w:color w:val="auto"/>
          <w:szCs w:val="24"/>
        </w:rPr>
        <w:t>:</w:t>
      </w:r>
      <w:r w:rsidRPr="008A5EF9">
        <w:rPr>
          <w:color w:val="000080"/>
          <w:szCs w:val="24"/>
        </w:rPr>
        <w:t xml:space="preserve"> </w:t>
      </w:r>
      <w:r w:rsidR="00BE1C5D" w:rsidRPr="008A5EF9">
        <w:rPr>
          <w:color w:val="auto"/>
          <w:szCs w:val="24"/>
        </w:rPr>
        <w:t>The Board therefore recommends that there be no recharacterization of the CI</w:t>
      </w:r>
      <w:r w:rsidR="00BE1C5D" w:rsidRPr="008A5EF9">
        <w:rPr>
          <w:rFonts w:hAnsiTheme="minorHAnsi"/>
          <w:color w:val="auto"/>
          <w:szCs w:val="24"/>
        </w:rPr>
        <w:t>’</w:t>
      </w:r>
      <w:r w:rsidR="00BE1C5D" w:rsidRPr="008A5EF9">
        <w:rPr>
          <w:color w:val="auto"/>
          <w:szCs w:val="24"/>
        </w:rPr>
        <w:t>s disability and separation determination.</w:t>
      </w:r>
    </w:p>
    <w:p w:rsidR="00B522CD" w:rsidRPr="008A5EF9" w:rsidRDefault="008B5D31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  <w:u w:val="single"/>
        </w:rPr>
        <w:t>______________________________________________________________</w:t>
      </w:r>
      <w:r w:rsidRPr="008A5EF9">
        <w:rPr>
          <w:color w:val="auto"/>
          <w:szCs w:val="24"/>
        </w:rPr>
        <w:t>_</w:t>
      </w:r>
    </w:p>
    <w:p w:rsidR="00D91DA6" w:rsidRPr="008A5EF9" w:rsidRDefault="00D91DA6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D91DA6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>The following documentary evidence was considered:</w:t>
      </w:r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8A5EF9" w:rsidRDefault="0051146C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 xml:space="preserve">Exhibit A.  DD Form </w:t>
      </w:r>
      <w:proofErr w:type="gramStart"/>
      <w:r w:rsidRPr="008A5EF9">
        <w:rPr>
          <w:color w:val="auto"/>
          <w:szCs w:val="24"/>
        </w:rPr>
        <w:t>294,</w:t>
      </w:r>
      <w:proofErr w:type="gramEnd"/>
      <w:r w:rsidRPr="008A5EF9">
        <w:rPr>
          <w:color w:val="auto"/>
          <w:szCs w:val="24"/>
        </w:rPr>
        <w:t xml:space="preserve"> dated </w:t>
      </w:r>
      <w:r w:rsidR="0019273F" w:rsidRPr="00FA4CB4">
        <w:rPr>
          <w:color w:val="auto"/>
          <w:szCs w:val="24"/>
        </w:rPr>
        <w:t>2009</w:t>
      </w:r>
      <w:r w:rsidR="00DC1DC8" w:rsidRPr="00FA4CB4">
        <w:rPr>
          <w:color w:val="auto"/>
          <w:szCs w:val="24"/>
        </w:rPr>
        <w:t>0520</w:t>
      </w:r>
      <w:r w:rsidR="00114F20" w:rsidRPr="00FA4CB4">
        <w:rPr>
          <w:color w:val="auto"/>
          <w:szCs w:val="24"/>
        </w:rPr>
        <w:t>,</w:t>
      </w:r>
      <w:r w:rsidR="00114F20" w:rsidRPr="008A5EF9">
        <w:rPr>
          <w:color w:val="auto"/>
          <w:szCs w:val="24"/>
        </w:rPr>
        <w:t xml:space="preserve"> w/</w:t>
      </w:r>
      <w:proofErr w:type="spellStart"/>
      <w:r w:rsidR="00114F20" w:rsidRPr="008A5EF9">
        <w:rPr>
          <w:color w:val="auto"/>
          <w:szCs w:val="24"/>
        </w:rPr>
        <w:t>atchs</w:t>
      </w:r>
      <w:proofErr w:type="spellEnd"/>
      <w:r w:rsidR="00114F20" w:rsidRPr="008A5EF9">
        <w:rPr>
          <w:color w:val="auto"/>
          <w:szCs w:val="24"/>
        </w:rPr>
        <w:t>.</w:t>
      </w:r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 xml:space="preserve">Exhibit B.  </w:t>
      </w:r>
      <w:proofErr w:type="gramStart"/>
      <w:r w:rsidRPr="008A5EF9">
        <w:rPr>
          <w:color w:val="auto"/>
          <w:szCs w:val="24"/>
        </w:rPr>
        <w:t>Service Treatment Record.</w:t>
      </w:r>
      <w:proofErr w:type="gramEnd"/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 xml:space="preserve">Exhibit C.  </w:t>
      </w:r>
      <w:proofErr w:type="gramStart"/>
      <w:r w:rsidRPr="008A5EF9">
        <w:rPr>
          <w:color w:val="auto"/>
          <w:szCs w:val="24"/>
        </w:rPr>
        <w:t>Department of Veterans</w:t>
      </w:r>
      <w:r w:rsidR="00385D6F" w:rsidRPr="008A5EF9">
        <w:rPr>
          <w:color w:val="auto"/>
          <w:szCs w:val="24"/>
        </w:rPr>
        <w:t>'</w:t>
      </w:r>
      <w:r w:rsidRPr="008A5EF9">
        <w:rPr>
          <w:color w:val="auto"/>
          <w:szCs w:val="24"/>
        </w:rPr>
        <w:t xml:space="preserve"> Affairs Treatment Record.</w:t>
      </w:r>
      <w:proofErr w:type="gramEnd"/>
    </w:p>
    <w:p w:rsidR="00D91DA6" w:rsidRPr="008A5EF9" w:rsidRDefault="00D91DA6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114F20" w:rsidRPr="008A5EF9" w:rsidRDefault="00114F20" w:rsidP="00875F2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  <w:szCs w:val="24"/>
        </w:rPr>
      </w:pPr>
    </w:p>
    <w:p w:rsidR="00D91DA6" w:rsidRPr="008A5EF9" w:rsidRDefault="00C30A97" w:rsidP="00875F2D">
      <w:pPr>
        <w:tabs>
          <w:tab w:val="left" w:pos="0"/>
          <w:tab w:val="left" w:pos="4320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 xml:space="preserve">                             </w:t>
      </w:r>
    </w:p>
    <w:p w:rsidR="00D91DA6" w:rsidRPr="008A5EF9" w:rsidRDefault="00C30A97" w:rsidP="00875F2D">
      <w:pPr>
        <w:tabs>
          <w:tab w:val="left" w:pos="0"/>
          <w:tab w:val="left" w:pos="4320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 xml:space="preserve">                            </w:t>
      </w:r>
      <w:r w:rsidR="008A5EF9">
        <w:rPr>
          <w:color w:val="auto"/>
          <w:szCs w:val="24"/>
        </w:rPr>
        <w:t xml:space="preserve"> </w:t>
      </w:r>
      <w:r w:rsidR="00D91DA6" w:rsidRPr="008A5EF9">
        <w:rPr>
          <w:color w:val="auto"/>
          <w:szCs w:val="24"/>
        </w:rPr>
        <w:t>President</w:t>
      </w:r>
    </w:p>
    <w:p w:rsidR="00AA04B3" w:rsidRDefault="00C30A97" w:rsidP="00875F2D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  <w:szCs w:val="24"/>
        </w:rPr>
      </w:pPr>
      <w:r w:rsidRPr="008A5EF9">
        <w:rPr>
          <w:color w:val="auto"/>
          <w:szCs w:val="24"/>
        </w:rPr>
        <w:tab/>
        <w:t xml:space="preserve">                          </w:t>
      </w:r>
      <w:r w:rsidR="008A5EF9">
        <w:rPr>
          <w:color w:val="auto"/>
          <w:szCs w:val="24"/>
        </w:rPr>
        <w:t xml:space="preserve"> </w:t>
      </w:r>
      <w:r w:rsidR="00D91DA6" w:rsidRPr="008A5EF9">
        <w:rPr>
          <w:color w:val="auto"/>
          <w:szCs w:val="24"/>
        </w:rPr>
        <w:t>Physical Disability Board of Review</w:t>
      </w:r>
    </w:p>
    <w:p w:rsidR="003066B1" w:rsidRDefault="003066B1" w:rsidP="00875F2D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  <w:szCs w:val="24"/>
        </w:rPr>
      </w:pPr>
    </w:p>
    <w:p w:rsidR="003066B1" w:rsidRDefault="003066B1">
      <w:pPr>
        <w:rPr>
          <w:color w:val="auto"/>
        </w:rPr>
      </w:pPr>
      <w:r>
        <w:rPr>
          <w:color w:val="auto"/>
        </w:rPr>
        <w:br w:type="page"/>
      </w:r>
    </w:p>
    <w:p w:rsidR="003066B1" w:rsidRPr="003066B1" w:rsidRDefault="003066B1" w:rsidP="003066B1">
      <w:pPr>
        <w:ind w:left="-360"/>
        <w:jc w:val="both"/>
        <w:outlineLvl w:val="0"/>
        <w:rPr>
          <w:color w:val="auto"/>
        </w:rPr>
      </w:pPr>
      <w:r w:rsidRPr="003066B1">
        <w:rPr>
          <w:color w:val="auto"/>
        </w:rPr>
        <w:lastRenderedPageBreak/>
        <w:t xml:space="preserve">MEMORANDUM FOR DIRECTOR, SECRETARY OF THE NAVY COUNCIL OF REVIEW            </w:t>
      </w:r>
    </w:p>
    <w:p w:rsidR="003066B1" w:rsidRPr="003066B1" w:rsidRDefault="003066B1" w:rsidP="003066B1">
      <w:pPr>
        <w:ind w:left="-360"/>
        <w:jc w:val="both"/>
        <w:outlineLvl w:val="0"/>
        <w:rPr>
          <w:color w:val="auto"/>
        </w:rPr>
      </w:pPr>
      <w:r w:rsidRPr="003066B1">
        <w:rPr>
          <w:color w:val="auto"/>
        </w:rPr>
        <w:t xml:space="preserve">                                        BOARDS </w:t>
      </w:r>
    </w:p>
    <w:p w:rsidR="003066B1" w:rsidRPr="003066B1" w:rsidRDefault="003066B1" w:rsidP="003066B1">
      <w:pPr>
        <w:jc w:val="both"/>
        <w:rPr>
          <w:color w:val="auto"/>
        </w:rPr>
      </w:pPr>
    </w:p>
    <w:p w:rsidR="003066B1" w:rsidRPr="003066B1" w:rsidRDefault="003066B1" w:rsidP="003066B1">
      <w:pPr>
        <w:ind w:left="-360"/>
        <w:jc w:val="both"/>
        <w:rPr>
          <w:color w:val="auto"/>
        </w:rPr>
      </w:pPr>
      <w:proofErr w:type="spellStart"/>
      <w:r w:rsidRPr="003066B1">
        <w:rPr>
          <w:color w:val="auto"/>
        </w:rPr>
        <w:t>Subj</w:t>
      </w:r>
      <w:proofErr w:type="spellEnd"/>
      <w:r w:rsidRPr="003066B1">
        <w:rPr>
          <w:color w:val="auto"/>
        </w:rPr>
        <w:t>:  PHYSICAL DISABILITY BOARD OF REVIEW (PDBR) RECOMMENDATION</w:t>
      </w:r>
    </w:p>
    <w:p w:rsidR="003066B1" w:rsidRPr="003066B1" w:rsidRDefault="003066B1" w:rsidP="003066B1">
      <w:pPr>
        <w:jc w:val="both"/>
        <w:outlineLvl w:val="0"/>
        <w:rPr>
          <w:color w:val="auto"/>
        </w:rPr>
      </w:pPr>
      <w:r w:rsidRPr="003066B1">
        <w:rPr>
          <w:color w:val="auto"/>
        </w:rPr>
        <w:t xml:space="preserve">    ICO </w:t>
      </w:r>
      <w:r>
        <w:rPr>
          <w:color w:val="auto"/>
        </w:rPr>
        <w:t>XXXXXX</w:t>
      </w:r>
    </w:p>
    <w:p w:rsidR="003066B1" w:rsidRPr="003066B1" w:rsidRDefault="003066B1" w:rsidP="003066B1">
      <w:pPr>
        <w:jc w:val="both"/>
        <w:rPr>
          <w:color w:val="auto"/>
        </w:rPr>
      </w:pPr>
    </w:p>
    <w:p w:rsidR="003066B1" w:rsidRPr="003066B1" w:rsidRDefault="003066B1" w:rsidP="003066B1">
      <w:pPr>
        <w:ind w:left="-360"/>
        <w:jc w:val="both"/>
        <w:outlineLvl w:val="0"/>
        <w:rPr>
          <w:color w:val="auto"/>
        </w:rPr>
      </w:pPr>
      <w:r w:rsidRPr="003066B1">
        <w:rPr>
          <w:color w:val="auto"/>
        </w:rPr>
        <w:t>Ref:   (a) DoDI 6040.44</w:t>
      </w:r>
    </w:p>
    <w:p w:rsidR="003066B1" w:rsidRPr="003066B1" w:rsidRDefault="003066B1" w:rsidP="003066B1">
      <w:pPr>
        <w:ind w:left="-540"/>
        <w:jc w:val="both"/>
        <w:rPr>
          <w:color w:val="auto"/>
        </w:rPr>
      </w:pPr>
      <w:r w:rsidRPr="003066B1">
        <w:rPr>
          <w:color w:val="auto"/>
        </w:rPr>
        <w:t xml:space="preserve">             (b) PDBR </w:t>
      </w:r>
      <w:proofErr w:type="spellStart"/>
      <w:r w:rsidRPr="003066B1">
        <w:rPr>
          <w:color w:val="auto"/>
        </w:rPr>
        <w:t>ltr</w:t>
      </w:r>
      <w:proofErr w:type="spellEnd"/>
      <w:r w:rsidRPr="003066B1">
        <w:rPr>
          <w:color w:val="auto"/>
        </w:rPr>
        <w:t xml:space="preserve"> </w:t>
      </w:r>
      <w:proofErr w:type="spellStart"/>
      <w:r w:rsidRPr="003066B1">
        <w:rPr>
          <w:color w:val="auto"/>
        </w:rPr>
        <w:t>dtd</w:t>
      </w:r>
      <w:proofErr w:type="spellEnd"/>
      <w:r w:rsidRPr="003066B1">
        <w:rPr>
          <w:color w:val="auto"/>
        </w:rPr>
        <w:t xml:space="preserve"> 20 May 10</w:t>
      </w:r>
    </w:p>
    <w:p w:rsidR="003066B1" w:rsidRPr="003066B1" w:rsidRDefault="003066B1" w:rsidP="003066B1">
      <w:pPr>
        <w:ind w:left="-540"/>
        <w:jc w:val="both"/>
        <w:rPr>
          <w:color w:val="auto"/>
        </w:rPr>
      </w:pPr>
    </w:p>
    <w:p w:rsidR="003066B1" w:rsidRPr="003066B1" w:rsidRDefault="003066B1" w:rsidP="003066B1">
      <w:pPr>
        <w:tabs>
          <w:tab w:val="left" w:pos="4320"/>
        </w:tabs>
        <w:ind w:left="-360"/>
        <w:jc w:val="both"/>
        <w:rPr>
          <w:color w:val="auto"/>
        </w:rPr>
      </w:pPr>
      <w:r w:rsidRPr="003066B1">
        <w:rPr>
          <w:color w:val="auto"/>
        </w:rPr>
        <w:t xml:space="preserve">      I have reviewed the subject case pursuant to reference (a) and approve the recommendation of the Physical Disability Board of Review (reference (b)) that Mr. </w:t>
      </w:r>
      <w:r>
        <w:rPr>
          <w:color w:val="auto"/>
        </w:rPr>
        <w:t>XXXX</w:t>
      </w:r>
      <w:r w:rsidRPr="003066B1">
        <w:rPr>
          <w:color w:val="auto"/>
        </w:rPr>
        <w:t>’s records not be corrected to reflect a change in either his characterization of separation, or in the disability rating previously assigned by the Department of the Navy’s Physical Evaluation Board.</w:t>
      </w:r>
    </w:p>
    <w:p w:rsidR="003066B1" w:rsidRPr="003066B1" w:rsidRDefault="003066B1" w:rsidP="003066B1">
      <w:pPr>
        <w:jc w:val="both"/>
        <w:rPr>
          <w:color w:val="auto"/>
        </w:rPr>
      </w:pPr>
    </w:p>
    <w:p w:rsidR="003066B1" w:rsidRPr="003066B1" w:rsidRDefault="003066B1" w:rsidP="003066B1">
      <w:pPr>
        <w:jc w:val="both"/>
        <w:rPr>
          <w:color w:val="auto"/>
        </w:rPr>
      </w:pPr>
    </w:p>
    <w:p w:rsidR="003066B1" w:rsidRPr="003066B1" w:rsidRDefault="003066B1" w:rsidP="003066B1">
      <w:pPr>
        <w:jc w:val="both"/>
        <w:rPr>
          <w:color w:val="auto"/>
        </w:rPr>
      </w:pPr>
    </w:p>
    <w:p w:rsidR="003066B1" w:rsidRPr="003066B1" w:rsidRDefault="003066B1" w:rsidP="003066B1">
      <w:pPr>
        <w:jc w:val="both"/>
        <w:rPr>
          <w:color w:val="auto"/>
        </w:rPr>
      </w:pP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</w:p>
    <w:p w:rsidR="003066B1" w:rsidRPr="003066B1" w:rsidRDefault="003066B1" w:rsidP="003066B1">
      <w:pPr>
        <w:jc w:val="both"/>
        <w:rPr>
          <w:color w:val="auto"/>
        </w:rPr>
      </w:pP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  <w:t xml:space="preserve">  Principal Deputy</w:t>
      </w:r>
    </w:p>
    <w:p w:rsidR="003066B1" w:rsidRPr="003066B1" w:rsidRDefault="003066B1" w:rsidP="003066B1">
      <w:pPr>
        <w:jc w:val="both"/>
        <w:rPr>
          <w:color w:val="auto"/>
        </w:rPr>
      </w:pP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  <w:t xml:space="preserve">  Assistant Secretary of the Navy </w:t>
      </w:r>
    </w:p>
    <w:p w:rsidR="003066B1" w:rsidRPr="003066B1" w:rsidRDefault="003066B1" w:rsidP="003066B1">
      <w:pPr>
        <w:jc w:val="both"/>
        <w:rPr>
          <w:color w:val="auto"/>
        </w:rPr>
      </w:pP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</w:r>
      <w:r w:rsidRPr="003066B1">
        <w:rPr>
          <w:color w:val="auto"/>
        </w:rPr>
        <w:tab/>
        <w:t xml:space="preserve">  (Manpower &amp; Reserve Affairs)</w:t>
      </w:r>
    </w:p>
    <w:p w:rsidR="003066B1" w:rsidRDefault="003066B1" w:rsidP="00306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066B1" w:rsidRPr="008A5EF9" w:rsidRDefault="003066B1" w:rsidP="00875F2D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color w:val="auto"/>
        </w:rPr>
      </w:pPr>
    </w:p>
    <w:sectPr w:rsidR="003066B1" w:rsidRPr="008A5EF9" w:rsidSect="006418C9">
      <w:footerReference w:type="even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66" w:rsidRDefault="005B4266">
      <w:r>
        <w:separator/>
      </w:r>
    </w:p>
  </w:endnote>
  <w:endnote w:type="continuationSeparator" w:id="0">
    <w:p w:rsidR="005B4266" w:rsidRDefault="005B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5D" w:rsidRDefault="00023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1C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C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E1C5D" w:rsidRDefault="00BE1C5D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5D" w:rsidRPr="008A5EF9" w:rsidRDefault="00023E96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8A5EF9">
      <w:rPr>
        <w:rStyle w:val="PageNumber"/>
        <w:color w:val="auto"/>
      </w:rPr>
      <w:fldChar w:fldCharType="begin"/>
    </w:r>
    <w:r w:rsidR="00BE1C5D" w:rsidRPr="008A5EF9">
      <w:rPr>
        <w:rStyle w:val="PageNumber"/>
        <w:color w:val="auto"/>
      </w:rPr>
      <w:instrText xml:space="preserve">PAGE  </w:instrText>
    </w:r>
    <w:r w:rsidRPr="008A5EF9">
      <w:rPr>
        <w:rStyle w:val="PageNumber"/>
        <w:color w:val="auto"/>
      </w:rPr>
      <w:fldChar w:fldCharType="separate"/>
    </w:r>
    <w:r w:rsidR="003066B1">
      <w:rPr>
        <w:rStyle w:val="PageNumber"/>
        <w:noProof/>
        <w:color w:val="auto"/>
      </w:rPr>
      <w:t>2</w:t>
    </w:r>
    <w:r w:rsidRPr="008A5EF9">
      <w:rPr>
        <w:rStyle w:val="PageNumber"/>
        <w:color w:val="auto"/>
      </w:rPr>
      <w:fldChar w:fldCharType="end"/>
    </w:r>
  </w:p>
  <w:p w:rsidR="00BE1C5D" w:rsidRPr="008A5EF9" w:rsidRDefault="00BE1C5D" w:rsidP="002B0749">
    <w:pPr>
      <w:pStyle w:val="Footer"/>
      <w:jc w:val="right"/>
      <w:rPr>
        <w:color w:val="auto"/>
      </w:rPr>
    </w:pPr>
    <w:r>
      <w:tab/>
    </w:r>
    <w:r>
      <w:tab/>
    </w:r>
    <w:r w:rsidRPr="008A5EF9">
      <w:rPr>
        <w:caps/>
        <w:color w:val="auto"/>
      </w:rPr>
      <w:t>PD0900376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66" w:rsidRDefault="005B4266">
      <w:r>
        <w:separator/>
      </w:r>
    </w:p>
  </w:footnote>
  <w:footnote w:type="continuationSeparator" w:id="0">
    <w:p w:rsidR="005B4266" w:rsidRDefault="005B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3908"/>
    <w:multiLevelType w:val="hybridMultilevel"/>
    <w:tmpl w:val="527C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9FA"/>
    <w:rsid w:val="00010ABA"/>
    <w:rsid w:val="000145C2"/>
    <w:rsid w:val="00023D43"/>
    <w:rsid w:val="00023E96"/>
    <w:rsid w:val="00035C3A"/>
    <w:rsid w:val="000379D0"/>
    <w:rsid w:val="000416F8"/>
    <w:rsid w:val="00051622"/>
    <w:rsid w:val="00072433"/>
    <w:rsid w:val="000A0C21"/>
    <w:rsid w:val="000A2BCE"/>
    <w:rsid w:val="000A3E5F"/>
    <w:rsid w:val="000A4BBA"/>
    <w:rsid w:val="000C7DE4"/>
    <w:rsid w:val="000D15E7"/>
    <w:rsid w:val="000D43F9"/>
    <w:rsid w:val="000D4717"/>
    <w:rsid w:val="000D77B8"/>
    <w:rsid w:val="000D7D55"/>
    <w:rsid w:val="000F427B"/>
    <w:rsid w:val="0010417F"/>
    <w:rsid w:val="00104A67"/>
    <w:rsid w:val="0010530E"/>
    <w:rsid w:val="00114F20"/>
    <w:rsid w:val="00116FEA"/>
    <w:rsid w:val="001231DC"/>
    <w:rsid w:val="001315DD"/>
    <w:rsid w:val="00135385"/>
    <w:rsid w:val="001364D1"/>
    <w:rsid w:val="00140786"/>
    <w:rsid w:val="001410AA"/>
    <w:rsid w:val="001541C5"/>
    <w:rsid w:val="001703D0"/>
    <w:rsid w:val="00177659"/>
    <w:rsid w:val="00185ECB"/>
    <w:rsid w:val="001863C4"/>
    <w:rsid w:val="0019273F"/>
    <w:rsid w:val="001A7538"/>
    <w:rsid w:val="001B5B59"/>
    <w:rsid w:val="001C181A"/>
    <w:rsid w:val="001C2053"/>
    <w:rsid w:val="001C28D1"/>
    <w:rsid w:val="001C7418"/>
    <w:rsid w:val="001D0051"/>
    <w:rsid w:val="001D2224"/>
    <w:rsid w:val="001D6A8C"/>
    <w:rsid w:val="001D7A56"/>
    <w:rsid w:val="001D7D6E"/>
    <w:rsid w:val="001E5815"/>
    <w:rsid w:val="00213E40"/>
    <w:rsid w:val="00217C09"/>
    <w:rsid w:val="00225196"/>
    <w:rsid w:val="00225CB4"/>
    <w:rsid w:val="002276EA"/>
    <w:rsid w:val="002338CA"/>
    <w:rsid w:val="0024227D"/>
    <w:rsid w:val="00246860"/>
    <w:rsid w:val="00247A8F"/>
    <w:rsid w:val="0025183C"/>
    <w:rsid w:val="0026318D"/>
    <w:rsid w:val="0027159C"/>
    <w:rsid w:val="00274549"/>
    <w:rsid w:val="00274E46"/>
    <w:rsid w:val="00276C86"/>
    <w:rsid w:val="002855A3"/>
    <w:rsid w:val="002A1E7D"/>
    <w:rsid w:val="002A6A3C"/>
    <w:rsid w:val="002B03B2"/>
    <w:rsid w:val="002B04F4"/>
    <w:rsid w:val="002B0749"/>
    <w:rsid w:val="002B1C8C"/>
    <w:rsid w:val="002D18B4"/>
    <w:rsid w:val="002E1C31"/>
    <w:rsid w:val="002E3474"/>
    <w:rsid w:val="002E764B"/>
    <w:rsid w:val="002F7F81"/>
    <w:rsid w:val="003066B1"/>
    <w:rsid w:val="00323E70"/>
    <w:rsid w:val="00353687"/>
    <w:rsid w:val="00363362"/>
    <w:rsid w:val="0037520D"/>
    <w:rsid w:val="00377BD2"/>
    <w:rsid w:val="003858CD"/>
    <w:rsid w:val="00385D6F"/>
    <w:rsid w:val="00393651"/>
    <w:rsid w:val="003A41BA"/>
    <w:rsid w:val="003A6A99"/>
    <w:rsid w:val="003B227A"/>
    <w:rsid w:val="003D0C32"/>
    <w:rsid w:val="003D2BA3"/>
    <w:rsid w:val="003D538B"/>
    <w:rsid w:val="003D7DDB"/>
    <w:rsid w:val="003E0543"/>
    <w:rsid w:val="003F2937"/>
    <w:rsid w:val="003F58B0"/>
    <w:rsid w:val="004007E9"/>
    <w:rsid w:val="00401BBC"/>
    <w:rsid w:val="00404B45"/>
    <w:rsid w:val="00406CC5"/>
    <w:rsid w:val="004074A4"/>
    <w:rsid w:val="004172DB"/>
    <w:rsid w:val="00422B75"/>
    <w:rsid w:val="00432153"/>
    <w:rsid w:val="0043503A"/>
    <w:rsid w:val="0044384F"/>
    <w:rsid w:val="00453DD2"/>
    <w:rsid w:val="004543BC"/>
    <w:rsid w:val="00454B59"/>
    <w:rsid w:val="004574C6"/>
    <w:rsid w:val="00457BCF"/>
    <w:rsid w:val="004668A3"/>
    <w:rsid w:val="004718E7"/>
    <w:rsid w:val="004761CC"/>
    <w:rsid w:val="00484338"/>
    <w:rsid w:val="004A24D2"/>
    <w:rsid w:val="004A4136"/>
    <w:rsid w:val="004B03F3"/>
    <w:rsid w:val="004B56B4"/>
    <w:rsid w:val="004B7169"/>
    <w:rsid w:val="004E32EA"/>
    <w:rsid w:val="004F24C8"/>
    <w:rsid w:val="004F78C4"/>
    <w:rsid w:val="00510588"/>
    <w:rsid w:val="0051146C"/>
    <w:rsid w:val="0052590B"/>
    <w:rsid w:val="00526591"/>
    <w:rsid w:val="00533EC3"/>
    <w:rsid w:val="005350A5"/>
    <w:rsid w:val="00536379"/>
    <w:rsid w:val="00540BEF"/>
    <w:rsid w:val="005436C2"/>
    <w:rsid w:val="00553CA3"/>
    <w:rsid w:val="005800C0"/>
    <w:rsid w:val="005A258C"/>
    <w:rsid w:val="005A3560"/>
    <w:rsid w:val="005B011A"/>
    <w:rsid w:val="005B4266"/>
    <w:rsid w:val="005C1F33"/>
    <w:rsid w:val="005F1115"/>
    <w:rsid w:val="005F27F2"/>
    <w:rsid w:val="005F424D"/>
    <w:rsid w:val="00615641"/>
    <w:rsid w:val="00623C36"/>
    <w:rsid w:val="00634C4A"/>
    <w:rsid w:val="006418C9"/>
    <w:rsid w:val="00645046"/>
    <w:rsid w:val="00647146"/>
    <w:rsid w:val="00650D20"/>
    <w:rsid w:val="006579A3"/>
    <w:rsid w:val="00662F08"/>
    <w:rsid w:val="00663589"/>
    <w:rsid w:val="0067443B"/>
    <w:rsid w:val="00684E2B"/>
    <w:rsid w:val="00690FDA"/>
    <w:rsid w:val="00696476"/>
    <w:rsid w:val="006A376D"/>
    <w:rsid w:val="006A40E6"/>
    <w:rsid w:val="006A75FA"/>
    <w:rsid w:val="006B5923"/>
    <w:rsid w:val="006C7843"/>
    <w:rsid w:val="006D2D39"/>
    <w:rsid w:val="006E06D1"/>
    <w:rsid w:val="006E7356"/>
    <w:rsid w:val="006F1A46"/>
    <w:rsid w:val="006F4B4B"/>
    <w:rsid w:val="007165CE"/>
    <w:rsid w:val="00721D12"/>
    <w:rsid w:val="00721F8B"/>
    <w:rsid w:val="00736A49"/>
    <w:rsid w:val="00744EBB"/>
    <w:rsid w:val="00746AE2"/>
    <w:rsid w:val="0075720B"/>
    <w:rsid w:val="0076100C"/>
    <w:rsid w:val="00781BD4"/>
    <w:rsid w:val="00784832"/>
    <w:rsid w:val="007869A2"/>
    <w:rsid w:val="00791422"/>
    <w:rsid w:val="00791F1E"/>
    <w:rsid w:val="007A0B39"/>
    <w:rsid w:val="007A168F"/>
    <w:rsid w:val="007A28E4"/>
    <w:rsid w:val="007A5AD1"/>
    <w:rsid w:val="007B0A06"/>
    <w:rsid w:val="007B7C41"/>
    <w:rsid w:val="007C433E"/>
    <w:rsid w:val="007D0292"/>
    <w:rsid w:val="007D3881"/>
    <w:rsid w:val="007E2046"/>
    <w:rsid w:val="007E4FBB"/>
    <w:rsid w:val="007E54DA"/>
    <w:rsid w:val="00811D5B"/>
    <w:rsid w:val="00817713"/>
    <w:rsid w:val="00830999"/>
    <w:rsid w:val="00830D5E"/>
    <w:rsid w:val="00830F69"/>
    <w:rsid w:val="00834458"/>
    <w:rsid w:val="00837465"/>
    <w:rsid w:val="00841457"/>
    <w:rsid w:val="0084374E"/>
    <w:rsid w:val="0085206E"/>
    <w:rsid w:val="00853718"/>
    <w:rsid w:val="008541EF"/>
    <w:rsid w:val="00855696"/>
    <w:rsid w:val="0086162B"/>
    <w:rsid w:val="00865207"/>
    <w:rsid w:val="00871262"/>
    <w:rsid w:val="00875B51"/>
    <w:rsid w:val="00875F2D"/>
    <w:rsid w:val="008A5EF9"/>
    <w:rsid w:val="008A63A9"/>
    <w:rsid w:val="008B5D31"/>
    <w:rsid w:val="008D1F33"/>
    <w:rsid w:val="008E2D99"/>
    <w:rsid w:val="008E4A60"/>
    <w:rsid w:val="008F3171"/>
    <w:rsid w:val="009026E8"/>
    <w:rsid w:val="00914ADB"/>
    <w:rsid w:val="00923B25"/>
    <w:rsid w:val="00925CFC"/>
    <w:rsid w:val="00937B4C"/>
    <w:rsid w:val="00942645"/>
    <w:rsid w:val="00946A55"/>
    <w:rsid w:val="00951C14"/>
    <w:rsid w:val="00952FB2"/>
    <w:rsid w:val="0095340A"/>
    <w:rsid w:val="00954581"/>
    <w:rsid w:val="0095466C"/>
    <w:rsid w:val="0096168C"/>
    <w:rsid w:val="009732B8"/>
    <w:rsid w:val="009755D2"/>
    <w:rsid w:val="00977CB4"/>
    <w:rsid w:val="00985099"/>
    <w:rsid w:val="009A0DE3"/>
    <w:rsid w:val="009B1534"/>
    <w:rsid w:val="009B69D3"/>
    <w:rsid w:val="009B7BA7"/>
    <w:rsid w:val="009C0938"/>
    <w:rsid w:val="009C3D79"/>
    <w:rsid w:val="009C3F82"/>
    <w:rsid w:val="009C7DF5"/>
    <w:rsid w:val="009D1ADE"/>
    <w:rsid w:val="009E1283"/>
    <w:rsid w:val="00A1105B"/>
    <w:rsid w:val="00A15CAD"/>
    <w:rsid w:val="00A16876"/>
    <w:rsid w:val="00A200AA"/>
    <w:rsid w:val="00A2186F"/>
    <w:rsid w:val="00A2270B"/>
    <w:rsid w:val="00A2496E"/>
    <w:rsid w:val="00A258B7"/>
    <w:rsid w:val="00A47CF1"/>
    <w:rsid w:val="00A50418"/>
    <w:rsid w:val="00A57E76"/>
    <w:rsid w:val="00A608FB"/>
    <w:rsid w:val="00A70E7B"/>
    <w:rsid w:val="00A76094"/>
    <w:rsid w:val="00A86CB6"/>
    <w:rsid w:val="00A90D55"/>
    <w:rsid w:val="00AA04B3"/>
    <w:rsid w:val="00AC439D"/>
    <w:rsid w:val="00AC4C54"/>
    <w:rsid w:val="00AE2D29"/>
    <w:rsid w:val="00AE3316"/>
    <w:rsid w:val="00AF699F"/>
    <w:rsid w:val="00B03A90"/>
    <w:rsid w:val="00B07781"/>
    <w:rsid w:val="00B32179"/>
    <w:rsid w:val="00B40A3E"/>
    <w:rsid w:val="00B522CD"/>
    <w:rsid w:val="00B55917"/>
    <w:rsid w:val="00B71952"/>
    <w:rsid w:val="00B72303"/>
    <w:rsid w:val="00B82277"/>
    <w:rsid w:val="00B97A72"/>
    <w:rsid w:val="00BA2D98"/>
    <w:rsid w:val="00BA30D1"/>
    <w:rsid w:val="00BA5BE2"/>
    <w:rsid w:val="00BA7F46"/>
    <w:rsid w:val="00BB0A0A"/>
    <w:rsid w:val="00BD6806"/>
    <w:rsid w:val="00BD7831"/>
    <w:rsid w:val="00BD7C10"/>
    <w:rsid w:val="00BE0DEB"/>
    <w:rsid w:val="00BE1C5D"/>
    <w:rsid w:val="00BF6EAB"/>
    <w:rsid w:val="00C13B34"/>
    <w:rsid w:val="00C14633"/>
    <w:rsid w:val="00C16F76"/>
    <w:rsid w:val="00C261C6"/>
    <w:rsid w:val="00C30A97"/>
    <w:rsid w:val="00C31DDC"/>
    <w:rsid w:val="00C34326"/>
    <w:rsid w:val="00C5082A"/>
    <w:rsid w:val="00C54DF3"/>
    <w:rsid w:val="00C67763"/>
    <w:rsid w:val="00C71BEC"/>
    <w:rsid w:val="00C846EA"/>
    <w:rsid w:val="00C84AD1"/>
    <w:rsid w:val="00C85579"/>
    <w:rsid w:val="00CA068D"/>
    <w:rsid w:val="00CA282D"/>
    <w:rsid w:val="00CB23DC"/>
    <w:rsid w:val="00CB28E2"/>
    <w:rsid w:val="00CB7FF7"/>
    <w:rsid w:val="00CC2044"/>
    <w:rsid w:val="00CC69EC"/>
    <w:rsid w:val="00CD34C7"/>
    <w:rsid w:val="00CD6B6E"/>
    <w:rsid w:val="00CF4394"/>
    <w:rsid w:val="00D1648B"/>
    <w:rsid w:val="00D16F2A"/>
    <w:rsid w:val="00D20AC0"/>
    <w:rsid w:val="00D336C8"/>
    <w:rsid w:val="00D339E8"/>
    <w:rsid w:val="00D40B1F"/>
    <w:rsid w:val="00D44E56"/>
    <w:rsid w:val="00D50C8C"/>
    <w:rsid w:val="00D52393"/>
    <w:rsid w:val="00D64154"/>
    <w:rsid w:val="00D71918"/>
    <w:rsid w:val="00D76AB2"/>
    <w:rsid w:val="00D829AD"/>
    <w:rsid w:val="00D87788"/>
    <w:rsid w:val="00D910C2"/>
    <w:rsid w:val="00D9189B"/>
    <w:rsid w:val="00D91DA6"/>
    <w:rsid w:val="00D972D4"/>
    <w:rsid w:val="00DA195B"/>
    <w:rsid w:val="00DA3ED0"/>
    <w:rsid w:val="00DB6FBE"/>
    <w:rsid w:val="00DC1DC8"/>
    <w:rsid w:val="00DC233D"/>
    <w:rsid w:val="00DD3593"/>
    <w:rsid w:val="00DE7E74"/>
    <w:rsid w:val="00E017F0"/>
    <w:rsid w:val="00E03778"/>
    <w:rsid w:val="00E041E4"/>
    <w:rsid w:val="00E14581"/>
    <w:rsid w:val="00E15539"/>
    <w:rsid w:val="00E16541"/>
    <w:rsid w:val="00E2632B"/>
    <w:rsid w:val="00E405EA"/>
    <w:rsid w:val="00E40F19"/>
    <w:rsid w:val="00E42789"/>
    <w:rsid w:val="00E50BEB"/>
    <w:rsid w:val="00E52C78"/>
    <w:rsid w:val="00E55F25"/>
    <w:rsid w:val="00E82B6D"/>
    <w:rsid w:val="00E83F78"/>
    <w:rsid w:val="00E866F8"/>
    <w:rsid w:val="00EA11B6"/>
    <w:rsid w:val="00EA2DD8"/>
    <w:rsid w:val="00EA681F"/>
    <w:rsid w:val="00EB76E4"/>
    <w:rsid w:val="00EC0E65"/>
    <w:rsid w:val="00EC365F"/>
    <w:rsid w:val="00ED2B92"/>
    <w:rsid w:val="00EE0B44"/>
    <w:rsid w:val="00EF17B2"/>
    <w:rsid w:val="00EF608E"/>
    <w:rsid w:val="00F01E80"/>
    <w:rsid w:val="00F0706C"/>
    <w:rsid w:val="00F104DA"/>
    <w:rsid w:val="00F1300B"/>
    <w:rsid w:val="00F1516A"/>
    <w:rsid w:val="00F22A26"/>
    <w:rsid w:val="00F32139"/>
    <w:rsid w:val="00F34E08"/>
    <w:rsid w:val="00F36963"/>
    <w:rsid w:val="00F41D91"/>
    <w:rsid w:val="00F46964"/>
    <w:rsid w:val="00F5126A"/>
    <w:rsid w:val="00F57080"/>
    <w:rsid w:val="00F652C8"/>
    <w:rsid w:val="00F66188"/>
    <w:rsid w:val="00F718A8"/>
    <w:rsid w:val="00F71C7A"/>
    <w:rsid w:val="00F72183"/>
    <w:rsid w:val="00F73590"/>
    <w:rsid w:val="00F82981"/>
    <w:rsid w:val="00F8311F"/>
    <w:rsid w:val="00F83248"/>
    <w:rsid w:val="00F853AE"/>
    <w:rsid w:val="00F93DCC"/>
    <w:rsid w:val="00F9435D"/>
    <w:rsid w:val="00FA4CB4"/>
    <w:rsid w:val="00FB593A"/>
    <w:rsid w:val="00FB6E82"/>
    <w:rsid w:val="00FC4576"/>
    <w:rsid w:val="00FC7DBC"/>
    <w:rsid w:val="00FD1D5A"/>
    <w:rsid w:val="00FE7166"/>
    <w:rsid w:val="00FF3C25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Colleen.Toussaint</cp:lastModifiedBy>
  <cp:revision>2</cp:revision>
  <cp:lastPrinted>2010-05-18T12:58:00Z</cp:lastPrinted>
  <dcterms:created xsi:type="dcterms:W3CDTF">2012-03-08T14:08:00Z</dcterms:created>
  <dcterms:modified xsi:type="dcterms:W3CDTF">2012-03-08T14:08:00Z</dcterms:modified>
</cp:coreProperties>
</file>