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925D7B" w:rsidRDefault="00540BEF" w:rsidP="00540BEF">
      <w:pPr>
        <w:tabs>
          <w:tab w:val="left" w:pos="288"/>
          <w:tab w:val="left" w:pos="4752"/>
        </w:tabs>
        <w:spacing w:line="240" w:lineRule="exact"/>
        <w:jc w:val="center"/>
        <w:rPr>
          <w:color w:val="auto"/>
        </w:rPr>
      </w:pPr>
      <w:r w:rsidRPr="00925D7B">
        <w:rPr>
          <w:color w:val="auto"/>
        </w:rPr>
        <w:t xml:space="preserve">RECORD OF PROCEEDINGS </w:t>
      </w:r>
    </w:p>
    <w:p w:rsidR="00540BEF" w:rsidRPr="00925D7B" w:rsidRDefault="00540BEF" w:rsidP="00540BEF">
      <w:pPr>
        <w:tabs>
          <w:tab w:val="left" w:pos="288"/>
          <w:tab w:val="left" w:pos="4752"/>
        </w:tabs>
        <w:spacing w:line="240" w:lineRule="exact"/>
        <w:jc w:val="center"/>
        <w:rPr>
          <w:color w:val="auto"/>
        </w:rPr>
      </w:pPr>
      <w:r w:rsidRPr="00925D7B">
        <w:rPr>
          <w:color w:val="auto"/>
        </w:rPr>
        <w:t>PHYSICAL DISABILITY BOARD OF REVIEW</w:t>
      </w:r>
    </w:p>
    <w:p w:rsidR="00540BEF" w:rsidRPr="00925D7B" w:rsidRDefault="00540BEF" w:rsidP="00540BEF">
      <w:pPr>
        <w:tabs>
          <w:tab w:val="left" w:pos="288"/>
          <w:tab w:val="left" w:pos="4752"/>
        </w:tabs>
        <w:spacing w:line="240" w:lineRule="exact"/>
        <w:jc w:val="both"/>
        <w:rPr>
          <w:color w:val="auto"/>
        </w:rPr>
      </w:pPr>
    </w:p>
    <w:p w:rsidR="00540BEF" w:rsidRPr="00925D7B" w:rsidRDefault="00540BEF" w:rsidP="00540BEF">
      <w:pPr>
        <w:tabs>
          <w:tab w:val="left" w:pos="288"/>
          <w:tab w:val="left" w:pos="4752"/>
        </w:tabs>
        <w:spacing w:line="240" w:lineRule="exact"/>
        <w:jc w:val="both"/>
        <w:rPr>
          <w:color w:val="auto"/>
        </w:rPr>
      </w:pPr>
      <w:r w:rsidRPr="00925D7B">
        <w:rPr>
          <w:color w:val="auto"/>
        </w:rPr>
        <w:t xml:space="preserve">NAME: </w:t>
      </w:r>
      <w:r w:rsidR="0079618C">
        <w:rPr>
          <w:color w:val="auto"/>
        </w:rPr>
        <w:t xml:space="preserve"> </w:t>
      </w:r>
      <w:r w:rsidRPr="00925D7B">
        <w:rPr>
          <w:color w:val="auto"/>
        </w:rPr>
        <w:tab/>
      </w:r>
      <w:r w:rsidRPr="00925D7B">
        <w:rPr>
          <w:color w:val="auto"/>
        </w:rPr>
        <w:tab/>
        <w:t xml:space="preserve">BRANCH OF SERVICE: </w:t>
      </w:r>
      <w:r w:rsidR="001A22EA" w:rsidRPr="00925D7B">
        <w:rPr>
          <w:color w:val="auto"/>
        </w:rPr>
        <w:t>AIR FORCE</w:t>
      </w:r>
    </w:p>
    <w:p w:rsidR="007C61E7" w:rsidRDefault="00540BEF" w:rsidP="007C61E7">
      <w:pPr>
        <w:tabs>
          <w:tab w:val="left" w:pos="288"/>
          <w:tab w:val="left" w:pos="4752"/>
        </w:tabs>
        <w:spacing w:line="240" w:lineRule="exact"/>
        <w:jc w:val="both"/>
        <w:rPr>
          <w:color w:val="auto"/>
        </w:rPr>
      </w:pPr>
      <w:r w:rsidRPr="00925D7B">
        <w:rPr>
          <w:color w:val="auto"/>
        </w:rPr>
        <w:t>CASE NUMBER:  PD0900</w:t>
      </w:r>
      <w:r w:rsidR="001A22EA" w:rsidRPr="00925D7B">
        <w:rPr>
          <w:color w:val="auto"/>
        </w:rPr>
        <w:t>364</w:t>
      </w:r>
      <w:r w:rsidRPr="00925D7B">
        <w:rPr>
          <w:color w:val="auto"/>
        </w:rPr>
        <w:tab/>
      </w:r>
      <w:r w:rsidRPr="00925D7B">
        <w:rPr>
          <w:color w:val="auto"/>
        </w:rPr>
        <w:tab/>
        <w:t xml:space="preserve">BOARD DATE: </w:t>
      </w:r>
      <w:r w:rsidR="00276C86" w:rsidRPr="00925D7B">
        <w:rPr>
          <w:color w:val="auto"/>
        </w:rPr>
        <w:t>2009</w:t>
      </w:r>
      <w:r w:rsidR="00925D7B" w:rsidRPr="00925D7B">
        <w:rPr>
          <w:color w:val="auto"/>
        </w:rPr>
        <w:t>1223</w:t>
      </w:r>
      <w:r w:rsidRPr="00925D7B">
        <w:rPr>
          <w:color w:val="auto"/>
        </w:rPr>
        <w:tab/>
      </w:r>
    </w:p>
    <w:p w:rsidR="00540BEF" w:rsidRDefault="00540BEF" w:rsidP="007C61E7">
      <w:pPr>
        <w:tabs>
          <w:tab w:val="left" w:pos="288"/>
          <w:tab w:val="left" w:pos="4752"/>
        </w:tabs>
        <w:spacing w:line="240" w:lineRule="exact"/>
        <w:jc w:val="both"/>
        <w:rPr>
          <w:color w:val="auto"/>
        </w:rPr>
      </w:pPr>
      <w:r w:rsidRPr="00925D7B">
        <w:rPr>
          <w:color w:val="auto"/>
        </w:rPr>
        <w:t xml:space="preserve">SEPARATION DATE: </w:t>
      </w:r>
      <w:r w:rsidR="001A22EA" w:rsidRPr="00925D7B">
        <w:rPr>
          <w:color w:val="auto"/>
        </w:rPr>
        <w:t>20070709</w:t>
      </w:r>
    </w:p>
    <w:p w:rsidR="002145BE" w:rsidRPr="00925D7B" w:rsidRDefault="002145BE" w:rsidP="002145BE">
      <w:pPr>
        <w:tabs>
          <w:tab w:val="left" w:pos="288"/>
          <w:tab w:val="left" w:pos="4752"/>
        </w:tabs>
        <w:spacing w:line="240" w:lineRule="exact"/>
        <w:jc w:val="both"/>
        <w:rPr>
          <w:color w:val="auto"/>
        </w:rPr>
      </w:pPr>
      <w:r w:rsidRPr="00925D7B">
        <w:rPr>
          <w:color w:val="auto"/>
          <w:u w:val="single"/>
        </w:rPr>
        <w:t>_______________________________________________________________</w:t>
      </w:r>
      <w:r w:rsidRPr="00925D7B">
        <w:rPr>
          <w:color w:val="auto"/>
        </w:rPr>
        <w:t>_</w:t>
      </w:r>
    </w:p>
    <w:p w:rsidR="00925D7B" w:rsidRPr="00925D7B" w:rsidRDefault="00925D7B" w:rsidP="00875F2D">
      <w:pPr>
        <w:tabs>
          <w:tab w:val="left" w:pos="288"/>
          <w:tab w:val="left" w:pos="4752"/>
        </w:tabs>
        <w:spacing w:line="240" w:lineRule="exact"/>
        <w:jc w:val="both"/>
        <w:rPr>
          <w:rFonts w:ascii="Calibri" w:hAnsi="Calibri"/>
          <w:color w:val="auto"/>
        </w:rPr>
      </w:pPr>
    </w:p>
    <w:p w:rsidR="00684E2B" w:rsidRPr="00925D7B" w:rsidRDefault="00811D5B" w:rsidP="008535B9">
      <w:pPr>
        <w:tabs>
          <w:tab w:val="left" w:pos="288"/>
          <w:tab w:val="left" w:pos="4752"/>
        </w:tabs>
        <w:spacing w:line="240" w:lineRule="exact"/>
        <w:jc w:val="both"/>
        <w:rPr>
          <w:color w:val="auto"/>
          <w:szCs w:val="24"/>
        </w:rPr>
      </w:pPr>
      <w:r w:rsidRPr="00925D7B">
        <w:rPr>
          <w:color w:val="auto"/>
          <w:u w:val="single"/>
        </w:rPr>
        <w:t>SUMMARY</w:t>
      </w:r>
      <w:r w:rsidR="003D7DDB" w:rsidRPr="00925D7B">
        <w:rPr>
          <w:color w:val="auto"/>
          <w:u w:val="single"/>
        </w:rPr>
        <w:t xml:space="preserve"> OF CASE</w:t>
      </w:r>
      <w:r w:rsidR="00B522CD" w:rsidRPr="00925D7B">
        <w:rPr>
          <w:color w:val="auto"/>
        </w:rPr>
        <w:t>:</w:t>
      </w:r>
      <w:r w:rsidR="00BA30D1" w:rsidRPr="00925D7B">
        <w:rPr>
          <w:color w:val="auto"/>
        </w:rPr>
        <w:t xml:space="preserve"> </w:t>
      </w:r>
      <w:r w:rsidR="00FB6E82" w:rsidRPr="00925D7B">
        <w:rPr>
          <w:color w:val="auto"/>
        </w:rPr>
        <w:t xml:space="preserve"> </w:t>
      </w:r>
      <w:r w:rsidR="00684E2B" w:rsidRPr="00925D7B">
        <w:rPr>
          <w:color w:val="auto"/>
          <w:szCs w:val="24"/>
        </w:rPr>
        <w:t xml:space="preserve">This covered individual (CI) was </w:t>
      </w:r>
      <w:r w:rsidR="002016DC" w:rsidRPr="00925D7B">
        <w:rPr>
          <w:color w:val="auto"/>
          <w:szCs w:val="24"/>
        </w:rPr>
        <w:t xml:space="preserve">a Staff Sergeant Pharmacy Technician who </w:t>
      </w:r>
      <w:r w:rsidR="00744181" w:rsidRPr="00925D7B">
        <w:rPr>
          <w:color w:val="auto"/>
          <w:szCs w:val="24"/>
        </w:rPr>
        <w:t>was medically</w:t>
      </w:r>
      <w:r w:rsidR="00684E2B" w:rsidRPr="00925D7B">
        <w:rPr>
          <w:color w:val="auto"/>
          <w:szCs w:val="24"/>
        </w:rPr>
        <w:t xml:space="preserve"> separated from the </w:t>
      </w:r>
      <w:r w:rsidR="002016DC" w:rsidRPr="00925D7B">
        <w:rPr>
          <w:color w:val="auto"/>
          <w:szCs w:val="24"/>
        </w:rPr>
        <w:t>Air Force</w:t>
      </w:r>
      <w:r w:rsidR="00684E2B" w:rsidRPr="00925D7B">
        <w:rPr>
          <w:color w:val="auto"/>
          <w:szCs w:val="24"/>
        </w:rPr>
        <w:t xml:space="preserve"> in 200</w:t>
      </w:r>
      <w:r w:rsidR="002016DC" w:rsidRPr="00925D7B">
        <w:rPr>
          <w:color w:val="auto"/>
          <w:szCs w:val="24"/>
        </w:rPr>
        <w:t>7</w:t>
      </w:r>
      <w:r w:rsidR="00684E2B" w:rsidRPr="00925D7B">
        <w:rPr>
          <w:color w:val="auto"/>
          <w:szCs w:val="24"/>
        </w:rPr>
        <w:t xml:space="preserve"> after</w:t>
      </w:r>
      <w:r w:rsidR="00925D7B" w:rsidRPr="00925D7B">
        <w:rPr>
          <w:color w:val="auto"/>
          <w:szCs w:val="24"/>
        </w:rPr>
        <w:t xml:space="preserve"> more than</w:t>
      </w:r>
      <w:r w:rsidR="00684E2B" w:rsidRPr="00925D7B">
        <w:rPr>
          <w:color w:val="auto"/>
          <w:szCs w:val="24"/>
        </w:rPr>
        <w:t xml:space="preserve"> </w:t>
      </w:r>
      <w:r w:rsidR="002016DC" w:rsidRPr="00925D7B">
        <w:rPr>
          <w:color w:val="auto"/>
          <w:szCs w:val="24"/>
        </w:rPr>
        <w:t>18.5</w:t>
      </w:r>
      <w:r w:rsidR="00684E2B" w:rsidRPr="00925D7B">
        <w:rPr>
          <w:color w:val="auto"/>
          <w:szCs w:val="24"/>
        </w:rPr>
        <w:t xml:space="preserve"> years of service.  The medical basis for the separation was </w:t>
      </w:r>
      <w:r w:rsidR="002016DC" w:rsidRPr="00925D7B">
        <w:rPr>
          <w:color w:val="auto"/>
          <w:szCs w:val="24"/>
        </w:rPr>
        <w:t xml:space="preserve">bilateral knee pain.  </w:t>
      </w:r>
      <w:r w:rsidR="00684E2B" w:rsidRPr="00925D7B">
        <w:rPr>
          <w:color w:val="auto"/>
          <w:szCs w:val="24"/>
        </w:rPr>
        <w:t xml:space="preserve">The </w:t>
      </w:r>
      <w:r w:rsidR="002016DC" w:rsidRPr="00925D7B">
        <w:rPr>
          <w:color w:val="auto"/>
          <w:szCs w:val="24"/>
        </w:rPr>
        <w:t>condition</w:t>
      </w:r>
      <w:r w:rsidR="00684E2B" w:rsidRPr="00925D7B">
        <w:rPr>
          <w:color w:val="auto"/>
          <w:szCs w:val="24"/>
        </w:rPr>
        <w:t xml:space="preserve"> was determined to be me</w:t>
      </w:r>
      <w:r w:rsidR="00736A49" w:rsidRPr="00925D7B">
        <w:rPr>
          <w:color w:val="auto"/>
          <w:szCs w:val="24"/>
        </w:rPr>
        <w:t>dically unacceptable</w:t>
      </w:r>
      <w:r w:rsidR="00744181" w:rsidRPr="00925D7B">
        <w:rPr>
          <w:color w:val="auto"/>
          <w:szCs w:val="24"/>
        </w:rPr>
        <w:t>, t</w:t>
      </w:r>
      <w:r w:rsidR="00684E2B" w:rsidRPr="00925D7B">
        <w:rPr>
          <w:color w:val="auto"/>
          <w:szCs w:val="24"/>
        </w:rPr>
        <w:t xml:space="preserve">he CI was referred to the PEB, found unfit </w:t>
      </w:r>
      <w:r w:rsidR="00E866F8" w:rsidRPr="00925D7B">
        <w:rPr>
          <w:color w:val="auto"/>
          <w:szCs w:val="24"/>
        </w:rPr>
        <w:t xml:space="preserve">for continued military service </w:t>
      </w:r>
      <w:r w:rsidR="00684E2B" w:rsidRPr="00925D7B">
        <w:rPr>
          <w:color w:val="auto"/>
          <w:szCs w:val="24"/>
        </w:rPr>
        <w:t xml:space="preserve">and separated at </w:t>
      </w:r>
      <w:r w:rsidR="00E15438" w:rsidRPr="00925D7B">
        <w:rPr>
          <w:color w:val="auto"/>
          <w:szCs w:val="24"/>
        </w:rPr>
        <w:t>2</w:t>
      </w:r>
      <w:r w:rsidR="00684E2B" w:rsidRPr="00925D7B">
        <w:rPr>
          <w:color w:val="auto"/>
          <w:szCs w:val="24"/>
        </w:rPr>
        <w:t>0% disability</w:t>
      </w:r>
      <w:r w:rsidR="00E866F8" w:rsidRPr="00925D7B">
        <w:rPr>
          <w:color w:val="auto"/>
          <w:szCs w:val="24"/>
        </w:rPr>
        <w:t xml:space="preserve"> using the Veterans Affairs Schedule for Ratings Disabilities (VASRD) and applicable </w:t>
      </w:r>
      <w:r w:rsidR="00E15438" w:rsidRPr="00925D7B">
        <w:rPr>
          <w:color w:val="auto"/>
          <w:szCs w:val="24"/>
        </w:rPr>
        <w:t>USAF</w:t>
      </w:r>
      <w:r w:rsidR="00E866F8" w:rsidRPr="00925D7B">
        <w:rPr>
          <w:color w:val="auto"/>
          <w:szCs w:val="24"/>
        </w:rPr>
        <w:t xml:space="preserve"> and Department of Defense regulations.</w:t>
      </w:r>
    </w:p>
    <w:p w:rsidR="00923B25" w:rsidRPr="00925D7B" w:rsidRDefault="008B5D31" w:rsidP="008535B9">
      <w:pPr>
        <w:tabs>
          <w:tab w:val="left" w:pos="288"/>
          <w:tab w:val="left" w:pos="4752"/>
        </w:tabs>
        <w:spacing w:line="240" w:lineRule="exact"/>
        <w:jc w:val="both"/>
        <w:rPr>
          <w:color w:val="auto"/>
        </w:rPr>
      </w:pPr>
      <w:r w:rsidRPr="00925D7B">
        <w:rPr>
          <w:color w:val="auto"/>
          <w:u w:val="single"/>
        </w:rPr>
        <w:t>_______________________________________________________________</w:t>
      </w:r>
      <w:r w:rsidRPr="00925D7B">
        <w:rPr>
          <w:color w:val="auto"/>
        </w:rPr>
        <w:t>_</w:t>
      </w:r>
    </w:p>
    <w:p w:rsidR="00923B25" w:rsidRPr="00925D7B" w:rsidRDefault="00923B25" w:rsidP="008535B9">
      <w:pPr>
        <w:tabs>
          <w:tab w:val="left" w:pos="288"/>
          <w:tab w:val="left" w:pos="4752"/>
        </w:tabs>
        <w:spacing w:line="240" w:lineRule="exact"/>
        <w:jc w:val="both"/>
        <w:rPr>
          <w:color w:val="auto"/>
        </w:rPr>
      </w:pPr>
    </w:p>
    <w:p w:rsidR="00A90D55" w:rsidRPr="008535B9" w:rsidRDefault="001C181A" w:rsidP="008535B9">
      <w:pPr>
        <w:tabs>
          <w:tab w:val="left" w:pos="288"/>
          <w:tab w:val="left" w:pos="4752"/>
        </w:tabs>
        <w:spacing w:line="240" w:lineRule="exact"/>
        <w:jc w:val="both"/>
        <w:rPr>
          <w:color w:val="auto"/>
          <w:szCs w:val="24"/>
        </w:rPr>
      </w:pPr>
      <w:r w:rsidRPr="00925D7B">
        <w:rPr>
          <w:color w:val="auto"/>
          <w:u w:val="single"/>
        </w:rPr>
        <w:t>CI CONTENTION</w:t>
      </w:r>
      <w:r w:rsidRPr="00925D7B">
        <w:rPr>
          <w:color w:val="auto"/>
        </w:rPr>
        <w:t>:</w:t>
      </w:r>
      <w:r w:rsidR="00FB6E82" w:rsidRPr="00925D7B">
        <w:rPr>
          <w:color w:val="auto"/>
        </w:rPr>
        <w:t xml:space="preserve">  </w:t>
      </w:r>
      <w:r w:rsidR="009C3F82" w:rsidRPr="00925D7B">
        <w:rPr>
          <w:color w:val="auto"/>
          <w:szCs w:val="24"/>
        </w:rPr>
        <w:t>The CI</w:t>
      </w:r>
      <w:r w:rsidR="00E866F8" w:rsidRPr="00925D7B">
        <w:rPr>
          <w:color w:val="auto"/>
          <w:szCs w:val="24"/>
        </w:rPr>
        <w:t xml:space="preserve"> states: </w:t>
      </w:r>
      <w:r w:rsidR="008535B9" w:rsidRPr="007C61E7">
        <w:rPr>
          <w:rFonts w:hAnsi="Calibri"/>
          <w:color w:val="auto"/>
          <w:szCs w:val="24"/>
        </w:rPr>
        <w:t>‘</w:t>
      </w:r>
      <w:r w:rsidR="001A22EA" w:rsidRPr="00925D7B">
        <w:rPr>
          <w:color w:val="auto"/>
          <w:szCs w:val="24"/>
        </w:rPr>
        <w:t>While going through the MEB Process, I had additional conditions (diabetes, depression) which w</w:t>
      </w:r>
      <w:r w:rsidR="00F74F4F">
        <w:rPr>
          <w:color w:val="auto"/>
          <w:szCs w:val="24"/>
        </w:rPr>
        <w:t>ere</w:t>
      </w:r>
      <w:r w:rsidR="001A22EA" w:rsidRPr="00925D7B">
        <w:rPr>
          <w:color w:val="auto"/>
          <w:szCs w:val="24"/>
        </w:rPr>
        <w:t xml:space="preserve"> not listed on the MEB Summary. Both conditi</w:t>
      </w:r>
      <w:r w:rsidR="009707A6">
        <w:rPr>
          <w:color w:val="auto"/>
          <w:szCs w:val="24"/>
        </w:rPr>
        <w:t>ons w</w:t>
      </w:r>
      <w:r w:rsidR="00F74F4F">
        <w:rPr>
          <w:color w:val="auto"/>
          <w:szCs w:val="24"/>
        </w:rPr>
        <w:t>ere</w:t>
      </w:r>
      <w:r w:rsidR="009707A6">
        <w:rPr>
          <w:color w:val="auto"/>
          <w:szCs w:val="24"/>
        </w:rPr>
        <w:t xml:space="preserve"> discovered during the V</w:t>
      </w:r>
      <w:r w:rsidR="001A22EA" w:rsidRPr="00925D7B">
        <w:rPr>
          <w:color w:val="auto"/>
          <w:szCs w:val="24"/>
        </w:rPr>
        <w:t xml:space="preserve">A rating process. </w:t>
      </w:r>
      <w:r w:rsidR="007C61E7">
        <w:rPr>
          <w:color w:val="auto"/>
          <w:szCs w:val="24"/>
        </w:rPr>
        <w:t xml:space="preserve"> </w:t>
      </w:r>
      <w:r w:rsidR="001A22EA" w:rsidRPr="00925D7B">
        <w:rPr>
          <w:color w:val="auto"/>
          <w:szCs w:val="24"/>
        </w:rPr>
        <w:t>I spent 18 yrs and 7 month</w:t>
      </w:r>
      <w:r w:rsidR="00F74F4F">
        <w:rPr>
          <w:color w:val="auto"/>
          <w:szCs w:val="24"/>
        </w:rPr>
        <w:t>s</w:t>
      </w:r>
      <w:r w:rsidR="001A22EA" w:rsidRPr="00925D7B">
        <w:rPr>
          <w:color w:val="auto"/>
          <w:szCs w:val="24"/>
        </w:rPr>
        <w:t xml:space="preserve"> in the military and only</w:t>
      </w:r>
      <w:r w:rsidR="001A22EA" w:rsidRPr="008535B9">
        <w:rPr>
          <w:color w:val="auto"/>
          <w:szCs w:val="24"/>
        </w:rPr>
        <w:t xml:space="preserve"> received 20% for arthritic knees. </w:t>
      </w:r>
      <w:r w:rsidR="007C61E7">
        <w:rPr>
          <w:color w:val="auto"/>
          <w:szCs w:val="24"/>
        </w:rPr>
        <w:t xml:space="preserve"> </w:t>
      </w:r>
      <w:r w:rsidR="001A22EA" w:rsidRPr="008535B9">
        <w:rPr>
          <w:color w:val="auto"/>
          <w:szCs w:val="24"/>
        </w:rPr>
        <w:t>I</w:t>
      </w:r>
      <w:r w:rsidR="008535B9" w:rsidRPr="008535B9">
        <w:rPr>
          <w:color w:val="auto"/>
          <w:szCs w:val="24"/>
        </w:rPr>
        <w:t xml:space="preserve"> </w:t>
      </w:r>
      <w:r w:rsidR="001A22EA" w:rsidRPr="008535B9">
        <w:rPr>
          <w:color w:val="auto"/>
          <w:szCs w:val="24"/>
        </w:rPr>
        <w:t>would like the board to consider the new information obtained through the VA process with my military career to receive a medical retirement</w:t>
      </w:r>
      <w:r w:rsidR="00E866F8" w:rsidRPr="008535B9">
        <w:rPr>
          <w:color w:val="auto"/>
          <w:szCs w:val="24"/>
        </w:rPr>
        <w:t>.</w:t>
      </w:r>
      <w:r w:rsidR="00925D7B">
        <w:rPr>
          <w:color w:val="auto"/>
          <w:szCs w:val="24"/>
        </w:rPr>
        <w:t>’</w:t>
      </w:r>
    </w:p>
    <w:p w:rsidR="00D42103" w:rsidRPr="008535B9" w:rsidRDefault="00D42103" w:rsidP="008535B9">
      <w:pPr>
        <w:tabs>
          <w:tab w:val="left" w:pos="288"/>
          <w:tab w:val="left" w:pos="4752"/>
        </w:tabs>
        <w:spacing w:line="240" w:lineRule="exact"/>
        <w:jc w:val="both"/>
        <w:rPr>
          <w:color w:val="auto"/>
          <w:szCs w:val="24"/>
        </w:rPr>
      </w:pPr>
    </w:p>
    <w:p w:rsidR="00D42103" w:rsidRPr="008535B9" w:rsidRDefault="008535B9" w:rsidP="008535B9">
      <w:pPr>
        <w:autoSpaceDE w:val="0"/>
        <w:autoSpaceDN w:val="0"/>
        <w:adjustRightInd w:val="0"/>
        <w:spacing w:line="240" w:lineRule="exact"/>
        <w:jc w:val="both"/>
        <w:rPr>
          <w:color w:val="auto"/>
          <w:szCs w:val="24"/>
        </w:rPr>
      </w:pPr>
      <w:r w:rsidRPr="008535B9">
        <w:rPr>
          <w:color w:val="auto"/>
          <w:szCs w:val="24"/>
          <w:u w:val="single"/>
        </w:rPr>
        <w:t>Continued</w:t>
      </w:r>
      <w:r w:rsidRPr="008535B9">
        <w:rPr>
          <w:color w:val="auto"/>
          <w:szCs w:val="24"/>
        </w:rPr>
        <w:t xml:space="preserve">: </w:t>
      </w:r>
      <w:r w:rsidR="00925D7B">
        <w:rPr>
          <w:color w:val="auto"/>
          <w:szCs w:val="24"/>
        </w:rPr>
        <w:t>‘</w:t>
      </w:r>
      <w:r w:rsidR="00D42103" w:rsidRPr="008535B9">
        <w:rPr>
          <w:color w:val="auto"/>
          <w:szCs w:val="24"/>
        </w:rPr>
        <w:t xml:space="preserve">In regards to my knees, both are </w:t>
      </w:r>
      <w:proofErr w:type="spellStart"/>
      <w:r w:rsidR="00D42103" w:rsidRPr="008535B9">
        <w:rPr>
          <w:color w:val="auto"/>
          <w:szCs w:val="24"/>
        </w:rPr>
        <w:t>are</w:t>
      </w:r>
      <w:proofErr w:type="spellEnd"/>
      <w:r w:rsidR="00F95D86">
        <w:rPr>
          <w:color w:val="auto"/>
          <w:szCs w:val="24"/>
        </w:rPr>
        <w:t xml:space="preserve"> [sic]</w:t>
      </w:r>
      <w:r w:rsidR="00D42103" w:rsidRPr="008535B9">
        <w:rPr>
          <w:color w:val="auto"/>
          <w:szCs w:val="24"/>
        </w:rPr>
        <w:t xml:space="preserve"> becoming degenerative ea</w:t>
      </w:r>
      <w:r w:rsidR="00E83705" w:rsidRPr="008535B9">
        <w:rPr>
          <w:color w:val="auto"/>
          <w:szCs w:val="24"/>
        </w:rPr>
        <w:t>c</w:t>
      </w:r>
      <w:r w:rsidR="00D42103" w:rsidRPr="008535B9">
        <w:rPr>
          <w:color w:val="auto"/>
          <w:szCs w:val="24"/>
        </w:rPr>
        <w:t xml:space="preserve">h day. </w:t>
      </w:r>
      <w:r w:rsidR="007C61E7">
        <w:rPr>
          <w:color w:val="auto"/>
          <w:szCs w:val="24"/>
        </w:rPr>
        <w:t xml:space="preserve"> </w:t>
      </w:r>
      <w:r w:rsidR="00D42103" w:rsidRPr="008535B9">
        <w:rPr>
          <w:color w:val="auto"/>
          <w:szCs w:val="24"/>
        </w:rPr>
        <w:t>My orthopedi</w:t>
      </w:r>
      <w:r w:rsidR="00E83705" w:rsidRPr="008535B9">
        <w:rPr>
          <w:color w:val="auto"/>
          <w:szCs w:val="24"/>
        </w:rPr>
        <w:t>c</w:t>
      </w:r>
      <w:r w:rsidR="00D42103" w:rsidRPr="008535B9">
        <w:rPr>
          <w:color w:val="auto"/>
          <w:szCs w:val="24"/>
        </w:rPr>
        <w:t xml:space="preserve"> surgeon informed me while in the military that both my</w:t>
      </w:r>
      <w:r w:rsidR="00E83705" w:rsidRPr="008535B9">
        <w:rPr>
          <w:color w:val="auto"/>
          <w:szCs w:val="24"/>
        </w:rPr>
        <w:t xml:space="preserve"> </w:t>
      </w:r>
      <w:r w:rsidR="00D42103" w:rsidRPr="008535B9">
        <w:rPr>
          <w:color w:val="auto"/>
          <w:szCs w:val="24"/>
        </w:rPr>
        <w:t xml:space="preserve">knees will eventually need replacing. </w:t>
      </w:r>
      <w:r w:rsidR="007C61E7">
        <w:rPr>
          <w:color w:val="auto"/>
          <w:szCs w:val="24"/>
        </w:rPr>
        <w:t xml:space="preserve"> </w:t>
      </w:r>
      <w:r w:rsidR="00F95D86">
        <w:rPr>
          <w:rFonts w:cs="Arial"/>
          <w:color w:val="auto"/>
          <w:szCs w:val="24"/>
        </w:rPr>
        <w:t xml:space="preserve">I </w:t>
      </w:r>
      <w:r w:rsidR="00D42103" w:rsidRPr="008535B9">
        <w:rPr>
          <w:color w:val="auto"/>
          <w:szCs w:val="24"/>
        </w:rPr>
        <w:t xml:space="preserve">value the treatment which is received through the VA however </w:t>
      </w:r>
      <w:r w:rsidR="00F95D86">
        <w:rPr>
          <w:rFonts w:cs="Arial"/>
          <w:color w:val="auto"/>
          <w:szCs w:val="24"/>
        </w:rPr>
        <w:t>I</w:t>
      </w:r>
      <w:r w:rsidR="00D42103" w:rsidRPr="008535B9">
        <w:rPr>
          <w:rFonts w:cs="Arial"/>
          <w:color w:val="auto"/>
          <w:szCs w:val="24"/>
        </w:rPr>
        <w:t xml:space="preserve"> </w:t>
      </w:r>
      <w:r w:rsidR="00D42103" w:rsidRPr="008535B9">
        <w:rPr>
          <w:color w:val="auto"/>
          <w:szCs w:val="24"/>
        </w:rPr>
        <w:t>would like to have additional options thru</w:t>
      </w:r>
      <w:r w:rsidR="00E83705" w:rsidRPr="008535B9">
        <w:rPr>
          <w:color w:val="auto"/>
          <w:szCs w:val="24"/>
        </w:rPr>
        <w:t xml:space="preserve"> </w:t>
      </w:r>
      <w:r w:rsidR="00D42103" w:rsidRPr="008535B9">
        <w:rPr>
          <w:color w:val="auto"/>
          <w:szCs w:val="24"/>
        </w:rPr>
        <w:t>Tri-Care to a</w:t>
      </w:r>
      <w:r w:rsidR="00E83705" w:rsidRPr="008535B9">
        <w:rPr>
          <w:color w:val="auto"/>
          <w:szCs w:val="24"/>
        </w:rPr>
        <w:t>c</w:t>
      </w:r>
      <w:r w:rsidR="00D42103" w:rsidRPr="008535B9">
        <w:rPr>
          <w:color w:val="auto"/>
          <w:szCs w:val="24"/>
        </w:rPr>
        <w:t>cess medical care under the title of A</w:t>
      </w:r>
      <w:r w:rsidRPr="008535B9">
        <w:rPr>
          <w:color w:val="auto"/>
          <w:szCs w:val="24"/>
        </w:rPr>
        <w:t>F</w:t>
      </w:r>
      <w:r w:rsidR="00D42103" w:rsidRPr="008535B9">
        <w:rPr>
          <w:color w:val="auto"/>
          <w:szCs w:val="24"/>
        </w:rPr>
        <w:t xml:space="preserve"> retiree when add</w:t>
      </w:r>
      <w:r w:rsidRPr="008535B9">
        <w:rPr>
          <w:color w:val="auto"/>
          <w:szCs w:val="24"/>
        </w:rPr>
        <w:t>itional care becomes apparent.</w:t>
      </w:r>
      <w:r w:rsidR="007C61E7">
        <w:rPr>
          <w:color w:val="auto"/>
          <w:szCs w:val="24"/>
        </w:rPr>
        <w:t xml:space="preserve"> </w:t>
      </w:r>
      <w:r w:rsidRPr="008535B9">
        <w:rPr>
          <w:color w:val="auto"/>
          <w:szCs w:val="24"/>
        </w:rPr>
        <w:t xml:space="preserve"> I </w:t>
      </w:r>
      <w:r w:rsidR="00D42103" w:rsidRPr="008535B9">
        <w:rPr>
          <w:color w:val="auto"/>
          <w:szCs w:val="24"/>
        </w:rPr>
        <w:t>unders</w:t>
      </w:r>
      <w:r w:rsidRPr="008535B9">
        <w:rPr>
          <w:color w:val="auto"/>
          <w:szCs w:val="24"/>
        </w:rPr>
        <w:t xml:space="preserve">tand </w:t>
      </w:r>
      <w:r w:rsidR="00D42103" w:rsidRPr="008535B9">
        <w:rPr>
          <w:color w:val="auto"/>
          <w:szCs w:val="24"/>
        </w:rPr>
        <w:t>the board is to rate on the</w:t>
      </w:r>
      <w:r w:rsidRPr="008535B9">
        <w:rPr>
          <w:color w:val="auto"/>
          <w:szCs w:val="24"/>
        </w:rPr>
        <w:t xml:space="preserve"> </w:t>
      </w:r>
      <w:r w:rsidR="00D42103" w:rsidRPr="008535B9">
        <w:rPr>
          <w:color w:val="auto"/>
          <w:szCs w:val="24"/>
        </w:rPr>
        <w:t>disability rating which deemed me unfit however I hope the compassionate side of the board factors in all the information discussed plus the</w:t>
      </w:r>
      <w:r w:rsidRPr="008535B9">
        <w:rPr>
          <w:color w:val="auto"/>
          <w:szCs w:val="24"/>
        </w:rPr>
        <w:t xml:space="preserve"> </w:t>
      </w:r>
      <w:r w:rsidR="00D42103" w:rsidRPr="008535B9">
        <w:rPr>
          <w:color w:val="auto"/>
          <w:szCs w:val="24"/>
        </w:rPr>
        <w:t>longev</w:t>
      </w:r>
      <w:r w:rsidRPr="008535B9">
        <w:rPr>
          <w:color w:val="auto"/>
          <w:szCs w:val="24"/>
        </w:rPr>
        <w:t>ity of my mili</w:t>
      </w:r>
      <w:r w:rsidR="00D42103" w:rsidRPr="008535B9">
        <w:rPr>
          <w:color w:val="auto"/>
          <w:szCs w:val="24"/>
        </w:rPr>
        <w:t>t</w:t>
      </w:r>
      <w:r w:rsidRPr="008535B9">
        <w:rPr>
          <w:color w:val="auto"/>
          <w:szCs w:val="24"/>
        </w:rPr>
        <w:t>ary</w:t>
      </w:r>
      <w:r w:rsidR="00D42103" w:rsidRPr="008535B9">
        <w:rPr>
          <w:color w:val="auto"/>
          <w:szCs w:val="24"/>
        </w:rPr>
        <w:t xml:space="preserve"> career before rendering a decision.</w:t>
      </w:r>
      <w:r w:rsidR="007C61E7">
        <w:rPr>
          <w:color w:val="auto"/>
          <w:szCs w:val="24"/>
        </w:rPr>
        <w:t xml:space="preserve"> </w:t>
      </w:r>
      <w:r w:rsidR="00D42103" w:rsidRPr="008535B9">
        <w:rPr>
          <w:color w:val="auto"/>
          <w:szCs w:val="24"/>
        </w:rPr>
        <w:t xml:space="preserve"> As </w:t>
      </w:r>
      <w:r w:rsidRPr="008535B9">
        <w:rPr>
          <w:color w:val="auto"/>
          <w:szCs w:val="24"/>
        </w:rPr>
        <w:t>I</w:t>
      </w:r>
      <w:r w:rsidR="00D42103" w:rsidRPr="008535B9">
        <w:rPr>
          <w:color w:val="auto"/>
          <w:szCs w:val="24"/>
        </w:rPr>
        <w:t xml:space="preserve"> mention</w:t>
      </w:r>
      <w:r w:rsidRPr="008535B9">
        <w:rPr>
          <w:color w:val="auto"/>
          <w:szCs w:val="24"/>
        </w:rPr>
        <w:t>ed earlier, I gave the military</w:t>
      </w:r>
      <w:r w:rsidR="00D42103" w:rsidRPr="008535B9">
        <w:rPr>
          <w:color w:val="auto"/>
          <w:szCs w:val="24"/>
        </w:rPr>
        <w:t xml:space="preserve"> nearly 19 years of my life only to be</w:t>
      </w:r>
      <w:r w:rsidRPr="008535B9">
        <w:rPr>
          <w:color w:val="auto"/>
          <w:szCs w:val="24"/>
        </w:rPr>
        <w:t xml:space="preserve"> </w:t>
      </w:r>
      <w:r w:rsidR="00D42103" w:rsidRPr="008535B9">
        <w:rPr>
          <w:color w:val="auto"/>
          <w:szCs w:val="24"/>
        </w:rPr>
        <w:t>separated without being medically r</w:t>
      </w:r>
      <w:r w:rsidRPr="008535B9">
        <w:rPr>
          <w:color w:val="auto"/>
          <w:szCs w:val="24"/>
        </w:rPr>
        <w:t>e</w:t>
      </w:r>
      <w:r w:rsidR="00D42103" w:rsidRPr="008535B9">
        <w:rPr>
          <w:color w:val="auto"/>
          <w:szCs w:val="24"/>
        </w:rPr>
        <w:t xml:space="preserve">tired. </w:t>
      </w:r>
      <w:r w:rsidR="007C61E7">
        <w:rPr>
          <w:color w:val="auto"/>
          <w:szCs w:val="24"/>
        </w:rPr>
        <w:t xml:space="preserve"> </w:t>
      </w:r>
      <w:r w:rsidR="00D42103" w:rsidRPr="008535B9">
        <w:rPr>
          <w:color w:val="auto"/>
          <w:szCs w:val="24"/>
        </w:rPr>
        <w:t>All members of my chain of command including my orthopedic d</w:t>
      </w:r>
      <w:r w:rsidRPr="008535B9">
        <w:rPr>
          <w:color w:val="auto"/>
          <w:szCs w:val="24"/>
        </w:rPr>
        <w:t>oct</w:t>
      </w:r>
      <w:r w:rsidR="00D42103" w:rsidRPr="008535B9">
        <w:rPr>
          <w:color w:val="auto"/>
          <w:szCs w:val="24"/>
        </w:rPr>
        <w:t xml:space="preserve">or </w:t>
      </w:r>
      <w:proofErr w:type="gramStart"/>
      <w:r w:rsidR="00D42103" w:rsidRPr="008535B9">
        <w:rPr>
          <w:color w:val="auto"/>
          <w:szCs w:val="24"/>
        </w:rPr>
        <w:t>was</w:t>
      </w:r>
      <w:proofErr w:type="gramEnd"/>
      <w:r w:rsidR="00D42103" w:rsidRPr="008535B9">
        <w:rPr>
          <w:color w:val="auto"/>
          <w:szCs w:val="24"/>
        </w:rPr>
        <w:t xml:space="preserve"> astonished with the results</w:t>
      </w:r>
      <w:r w:rsidRPr="008535B9">
        <w:rPr>
          <w:color w:val="auto"/>
          <w:szCs w:val="24"/>
        </w:rPr>
        <w:t xml:space="preserve"> </w:t>
      </w:r>
      <w:r w:rsidR="00D42103" w:rsidRPr="008535B9">
        <w:rPr>
          <w:color w:val="auto"/>
          <w:szCs w:val="24"/>
        </w:rPr>
        <w:t>from the ME</w:t>
      </w:r>
      <w:r w:rsidRPr="008535B9">
        <w:rPr>
          <w:color w:val="auto"/>
          <w:szCs w:val="24"/>
        </w:rPr>
        <w:t>B</w:t>
      </w:r>
      <w:r w:rsidR="00D42103" w:rsidRPr="008535B9">
        <w:rPr>
          <w:color w:val="auto"/>
          <w:szCs w:val="24"/>
        </w:rPr>
        <w:t xml:space="preserve"> finding. </w:t>
      </w:r>
      <w:r w:rsidR="007C61E7">
        <w:rPr>
          <w:color w:val="auto"/>
          <w:szCs w:val="24"/>
        </w:rPr>
        <w:t xml:space="preserve"> </w:t>
      </w:r>
      <w:r w:rsidR="00D42103" w:rsidRPr="008535B9">
        <w:rPr>
          <w:color w:val="auto"/>
          <w:szCs w:val="24"/>
        </w:rPr>
        <w:t xml:space="preserve">Everyone believed a medical retirement was warranted. </w:t>
      </w:r>
      <w:r w:rsidR="007C61E7">
        <w:rPr>
          <w:color w:val="auto"/>
          <w:szCs w:val="24"/>
        </w:rPr>
        <w:t xml:space="preserve"> </w:t>
      </w:r>
      <w:r w:rsidR="00D42103" w:rsidRPr="008535B9">
        <w:rPr>
          <w:color w:val="auto"/>
          <w:szCs w:val="24"/>
        </w:rPr>
        <w:t>I did not se</w:t>
      </w:r>
      <w:r w:rsidRPr="008535B9">
        <w:rPr>
          <w:color w:val="auto"/>
          <w:szCs w:val="24"/>
        </w:rPr>
        <w:t>e</w:t>
      </w:r>
      <w:r w:rsidR="00D42103" w:rsidRPr="008535B9">
        <w:rPr>
          <w:color w:val="auto"/>
          <w:szCs w:val="24"/>
        </w:rPr>
        <w:t>k a formal board hearing to dispute the findings due to</w:t>
      </w:r>
      <w:r w:rsidRPr="008535B9">
        <w:rPr>
          <w:color w:val="auto"/>
          <w:szCs w:val="24"/>
        </w:rPr>
        <w:t xml:space="preserve"> </w:t>
      </w:r>
      <w:r w:rsidR="00D42103" w:rsidRPr="008535B9">
        <w:rPr>
          <w:color w:val="auto"/>
          <w:szCs w:val="24"/>
        </w:rPr>
        <w:t>lack of faith in the system.</w:t>
      </w:r>
      <w:r w:rsidR="007C61E7">
        <w:rPr>
          <w:color w:val="auto"/>
          <w:szCs w:val="24"/>
        </w:rPr>
        <w:t xml:space="preserve"> </w:t>
      </w:r>
      <w:r w:rsidR="00D42103" w:rsidRPr="008535B9">
        <w:rPr>
          <w:color w:val="auto"/>
          <w:szCs w:val="24"/>
        </w:rPr>
        <w:t xml:space="preserve"> I had lost rank due to failing to meet the physical fitness standards without my chain </w:t>
      </w:r>
      <w:r w:rsidRPr="008535B9">
        <w:rPr>
          <w:color w:val="auto"/>
          <w:szCs w:val="24"/>
        </w:rPr>
        <w:t>of</w:t>
      </w:r>
      <w:r w:rsidR="00D42103" w:rsidRPr="008535B9">
        <w:rPr>
          <w:color w:val="auto"/>
          <w:szCs w:val="24"/>
        </w:rPr>
        <w:t xml:space="preserve"> command considering my</w:t>
      </w:r>
      <w:r w:rsidRPr="008535B9">
        <w:rPr>
          <w:color w:val="auto"/>
          <w:szCs w:val="24"/>
        </w:rPr>
        <w:t xml:space="preserve"> </w:t>
      </w:r>
      <w:r w:rsidR="00D42103" w:rsidRPr="008535B9">
        <w:rPr>
          <w:color w:val="auto"/>
          <w:szCs w:val="24"/>
        </w:rPr>
        <w:t xml:space="preserve">disabilities and any options which would have allowed me to retain my rank while slowly progressing to meet standards. </w:t>
      </w:r>
      <w:r w:rsidR="007C61E7">
        <w:rPr>
          <w:color w:val="auto"/>
          <w:szCs w:val="24"/>
        </w:rPr>
        <w:t xml:space="preserve"> </w:t>
      </w:r>
      <w:r w:rsidR="00D42103" w:rsidRPr="008535B9">
        <w:rPr>
          <w:color w:val="auto"/>
          <w:szCs w:val="24"/>
        </w:rPr>
        <w:t>When the final ME</w:t>
      </w:r>
      <w:r w:rsidRPr="008535B9">
        <w:rPr>
          <w:color w:val="auto"/>
          <w:szCs w:val="24"/>
        </w:rPr>
        <w:t xml:space="preserve">B </w:t>
      </w:r>
      <w:r w:rsidR="00D42103" w:rsidRPr="008535B9">
        <w:rPr>
          <w:color w:val="auto"/>
          <w:szCs w:val="24"/>
        </w:rPr>
        <w:t>decision came down</w:t>
      </w:r>
      <w:r w:rsidR="00372D58" w:rsidRPr="008535B9">
        <w:rPr>
          <w:color w:val="auto"/>
          <w:szCs w:val="24"/>
        </w:rPr>
        <w:t xml:space="preserve">, </w:t>
      </w:r>
      <w:r w:rsidR="00372D58">
        <w:rPr>
          <w:color w:val="auto"/>
          <w:szCs w:val="24"/>
        </w:rPr>
        <w:t>I</w:t>
      </w:r>
      <w:r w:rsidR="00D42103" w:rsidRPr="008535B9">
        <w:rPr>
          <w:color w:val="auto"/>
          <w:szCs w:val="24"/>
        </w:rPr>
        <w:t xml:space="preserve"> had lost all </w:t>
      </w:r>
      <w:r w:rsidRPr="008535B9">
        <w:rPr>
          <w:color w:val="auto"/>
          <w:szCs w:val="24"/>
        </w:rPr>
        <w:t>fa</w:t>
      </w:r>
      <w:r w:rsidR="00D42103" w:rsidRPr="008535B9">
        <w:rPr>
          <w:color w:val="auto"/>
          <w:szCs w:val="24"/>
        </w:rPr>
        <w:t>ith in</w:t>
      </w:r>
      <w:r w:rsidRPr="008535B9">
        <w:rPr>
          <w:color w:val="auto"/>
          <w:szCs w:val="24"/>
        </w:rPr>
        <w:t xml:space="preserve"> </w:t>
      </w:r>
      <w:r w:rsidR="00D42103" w:rsidRPr="008535B9">
        <w:rPr>
          <w:color w:val="auto"/>
          <w:szCs w:val="24"/>
        </w:rPr>
        <w:t>judicial fairness of the United States Air Force.</w:t>
      </w:r>
      <w:r w:rsidR="007C61E7">
        <w:rPr>
          <w:color w:val="auto"/>
          <w:szCs w:val="24"/>
        </w:rPr>
        <w:t xml:space="preserve"> </w:t>
      </w:r>
      <w:r w:rsidR="00D42103" w:rsidRPr="008535B9">
        <w:rPr>
          <w:color w:val="auto"/>
          <w:szCs w:val="24"/>
        </w:rPr>
        <w:t xml:space="preserve"> </w:t>
      </w:r>
      <w:r w:rsidRPr="008535B9">
        <w:rPr>
          <w:rFonts w:cs="Arial"/>
          <w:color w:val="auto"/>
          <w:szCs w:val="24"/>
        </w:rPr>
        <w:t xml:space="preserve">I </w:t>
      </w:r>
      <w:r w:rsidR="00D42103" w:rsidRPr="008535B9">
        <w:rPr>
          <w:color w:val="auto"/>
          <w:szCs w:val="24"/>
        </w:rPr>
        <w:t>now know this was a mistake but my faith in the</w:t>
      </w:r>
      <w:r w:rsidRPr="008535B9">
        <w:rPr>
          <w:color w:val="auto"/>
          <w:szCs w:val="24"/>
        </w:rPr>
        <w:t xml:space="preserve"> </w:t>
      </w:r>
      <w:r w:rsidR="00D42103" w:rsidRPr="008535B9">
        <w:rPr>
          <w:color w:val="auto"/>
          <w:szCs w:val="24"/>
        </w:rPr>
        <w:t xml:space="preserve">system at that time was very negative. </w:t>
      </w:r>
      <w:r w:rsidR="007C61E7">
        <w:rPr>
          <w:color w:val="auto"/>
          <w:szCs w:val="24"/>
        </w:rPr>
        <w:t xml:space="preserve"> </w:t>
      </w:r>
      <w:r w:rsidRPr="008535B9">
        <w:rPr>
          <w:rFonts w:cs="Arial"/>
          <w:color w:val="auto"/>
          <w:szCs w:val="24"/>
        </w:rPr>
        <w:t xml:space="preserve">I </w:t>
      </w:r>
      <w:r w:rsidR="00D42103" w:rsidRPr="008535B9">
        <w:rPr>
          <w:color w:val="auto"/>
          <w:szCs w:val="24"/>
        </w:rPr>
        <w:t>am very hope</w:t>
      </w:r>
      <w:r w:rsidRPr="008535B9">
        <w:rPr>
          <w:color w:val="auto"/>
          <w:szCs w:val="24"/>
        </w:rPr>
        <w:t>fu</w:t>
      </w:r>
      <w:r w:rsidR="00D42103" w:rsidRPr="008535B9">
        <w:rPr>
          <w:color w:val="auto"/>
          <w:szCs w:val="24"/>
        </w:rPr>
        <w:t xml:space="preserve">l that the hoard will find a way to allow me to </w:t>
      </w:r>
      <w:r w:rsidRPr="008535B9">
        <w:rPr>
          <w:color w:val="auto"/>
          <w:szCs w:val="24"/>
        </w:rPr>
        <w:t>b</w:t>
      </w:r>
      <w:r w:rsidR="00D42103" w:rsidRPr="008535B9">
        <w:rPr>
          <w:color w:val="auto"/>
          <w:szCs w:val="24"/>
        </w:rPr>
        <w:t xml:space="preserve">e </w:t>
      </w:r>
      <w:r w:rsidR="00D42103" w:rsidRPr="008535B9">
        <w:rPr>
          <w:color w:val="auto"/>
          <w:szCs w:val="24"/>
        </w:rPr>
        <w:lastRenderedPageBreak/>
        <w:t xml:space="preserve">medically retired. </w:t>
      </w:r>
      <w:r w:rsidR="007C61E7">
        <w:rPr>
          <w:color w:val="auto"/>
          <w:szCs w:val="24"/>
        </w:rPr>
        <w:t xml:space="preserve"> </w:t>
      </w:r>
      <w:r w:rsidR="00D42103" w:rsidRPr="008535B9">
        <w:rPr>
          <w:color w:val="auto"/>
          <w:szCs w:val="24"/>
        </w:rPr>
        <w:t>I'm very appreciative</w:t>
      </w:r>
      <w:r w:rsidRPr="008535B9">
        <w:rPr>
          <w:color w:val="auto"/>
          <w:szCs w:val="24"/>
        </w:rPr>
        <w:t xml:space="preserve"> </w:t>
      </w:r>
      <w:r w:rsidR="00D42103" w:rsidRPr="008535B9">
        <w:rPr>
          <w:color w:val="auto"/>
          <w:szCs w:val="24"/>
        </w:rPr>
        <w:t>of the time the board is taking to reconsider my separation.</w:t>
      </w:r>
      <w:r w:rsidR="00925D7B">
        <w:rPr>
          <w:color w:val="auto"/>
          <w:szCs w:val="24"/>
        </w:rPr>
        <w:t>’</w:t>
      </w:r>
    </w:p>
    <w:p w:rsidR="00D42103" w:rsidRPr="008535B9" w:rsidRDefault="00D42103" w:rsidP="008535B9">
      <w:pPr>
        <w:tabs>
          <w:tab w:val="left" w:pos="288"/>
          <w:tab w:val="left" w:pos="4752"/>
        </w:tabs>
        <w:spacing w:line="240" w:lineRule="exact"/>
        <w:jc w:val="both"/>
        <w:rPr>
          <w:color w:val="auto"/>
          <w:szCs w:val="24"/>
        </w:rPr>
      </w:pPr>
    </w:p>
    <w:p w:rsidR="00D42103" w:rsidRPr="008535B9" w:rsidRDefault="008535B9" w:rsidP="008535B9">
      <w:pPr>
        <w:autoSpaceDE w:val="0"/>
        <w:autoSpaceDN w:val="0"/>
        <w:adjustRightInd w:val="0"/>
        <w:spacing w:line="240" w:lineRule="exact"/>
        <w:jc w:val="both"/>
        <w:rPr>
          <w:color w:val="auto"/>
          <w:szCs w:val="24"/>
        </w:rPr>
      </w:pPr>
      <w:r w:rsidRPr="008535B9">
        <w:rPr>
          <w:color w:val="auto"/>
          <w:szCs w:val="24"/>
          <w:u w:val="single"/>
        </w:rPr>
        <w:t>Item 5 continued</w:t>
      </w:r>
      <w:r w:rsidRPr="008535B9">
        <w:rPr>
          <w:color w:val="auto"/>
          <w:szCs w:val="24"/>
        </w:rPr>
        <w:t>: ‘</w:t>
      </w:r>
      <w:r w:rsidR="00D42103" w:rsidRPr="008535B9">
        <w:rPr>
          <w:color w:val="auto"/>
          <w:szCs w:val="24"/>
        </w:rPr>
        <w:t xml:space="preserve">I was diagnosed with depression while stationed at </w:t>
      </w:r>
      <w:proofErr w:type="spellStart"/>
      <w:r w:rsidR="00D42103" w:rsidRPr="008535B9">
        <w:rPr>
          <w:color w:val="auto"/>
          <w:szCs w:val="24"/>
        </w:rPr>
        <w:t>Malmstrom</w:t>
      </w:r>
      <w:proofErr w:type="spellEnd"/>
      <w:r w:rsidR="00D42103" w:rsidRPr="008535B9">
        <w:rPr>
          <w:color w:val="auto"/>
          <w:szCs w:val="24"/>
        </w:rPr>
        <w:t xml:space="preserve"> Air Force Base around 2000 and the condition only accelerated over the years in the</w:t>
      </w:r>
      <w:r w:rsidRPr="008535B9">
        <w:rPr>
          <w:color w:val="auto"/>
          <w:szCs w:val="24"/>
        </w:rPr>
        <w:t xml:space="preserve"> </w:t>
      </w:r>
      <w:r w:rsidR="00D42103" w:rsidRPr="008535B9">
        <w:rPr>
          <w:color w:val="auto"/>
          <w:szCs w:val="24"/>
        </w:rPr>
        <w:t>milita</w:t>
      </w:r>
      <w:r w:rsidRPr="008535B9">
        <w:rPr>
          <w:color w:val="auto"/>
          <w:szCs w:val="24"/>
        </w:rPr>
        <w:t>ry</w:t>
      </w:r>
      <w:r w:rsidR="00D42103" w:rsidRPr="008535B9">
        <w:rPr>
          <w:color w:val="auto"/>
          <w:szCs w:val="24"/>
        </w:rPr>
        <w:t xml:space="preserve">. </w:t>
      </w:r>
      <w:r w:rsidR="007C61E7">
        <w:rPr>
          <w:color w:val="auto"/>
          <w:szCs w:val="24"/>
        </w:rPr>
        <w:t xml:space="preserve"> </w:t>
      </w:r>
      <w:r w:rsidR="00D42103" w:rsidRPr="008535B9">
        <w:rPr>
          <w:color w:val="auto"/>
          <w:szCs w:val="24"/>
        </w:rPr>
        <w:t>The stress placed upon me to meeting physical fitness standards with two deteriorating knees kept me in a state of</w:t>
      </w:r>
      <w:r w:rsidRPr="008535B9">
        <w:rPr>
          <w:color w:val="auto"/>
          <w:szCs w:val="24"/>
        </w:rPr>
        <w:t xml:space="preserve"> hopelessness</w:t>
      </w:r>
      <w:r w:rsidR="00D42103" w:rsidRPr="008535B9">
        <w:rPr>
          <w:color w:val="auto"/>
          <w:szCs w:val="24"/>
        </w:rPr>
        <w:t>.</w:t>
      </w:r>
      <w:r w:rsidR="007C61E7">
        <w:rPr>
          <w:color w:val="auto"/>
          <w:szCs w:val="24"/>
        </w:rPr>
        <w:t xml:space="preserve"> </w:t>
      </w:r>
      <w:r w:rsidR="00D42103" w:rsidRPr="008535B9">
        <w:rPr>
          <w:color w:val="auto"/>
          <w:szCs w:val="24"/>
        </w:rPr>
        <w:t xml:space="preserve"> This</w:t>
      </w:r>
      <w:r w:rsidRPr="008535B9">
        <w:rPr>
          <w:color w:val="auto"/>
          <w:szCs w:val="24"/>
        </w:rPr>
        <w:t xml:space="preserve"> </w:t>
      </w:r>
      <w:r w:rsidR="00D42103" w:rsidRPr="008535B9">
        <w:rPr>
          <w:color w:val="auto"/>
          <w:szCs w:val="24"/>
        </w:rPr>
        <w:t>condition was not entered in my ME</w:t>
      </w:r>
      <w:r w:rsidRPr="008535B9">
        <w:rPr>
          <w:color w:val="auto"/>
          <w:szCs w:val="24"/>
        </w:rPr>
        <w:t>B summary</w:t>
      </w:r>
      <w:r w:rsidR="00D42103" w:rsidRPr="008535B9">
        <w:rPr>
          <w:color w:val="auto"/>
          <w:szCs w:val="24"/>
        </w:rPr>
        <w:t xml:space="preserve"> therefore a rating wasn't dete</w:t>
      </w:r>
      <w:r w:rsidRPr="008535B9">
        <w:rPr>
          <w:color w:val="auto"/>
          <w:szCs w:val="24"/>
        </w:rPr>
        <w:t>rm</w:t>
      </w:r>
      <w:r w:rsidR="00D42103" w:rsidRPr="008535B9">
        <w:rPr>
          <w:color w:val="auto"/>
          <w:szCs w:val="24"/>
        </w:rPr>
        <w:t>in</w:t>
      </w:r>
      <w:r w:rsidRPr="008535B9">
        <w:rPr>
          <w:color w:val="auto"/>
          <w:szCs w:val="24"/>
        </w:rPr>
        <w:t>e</w:t>
      </w:r>
      <w:r w:rsidR="00D42103" w:rsidRPr="008535B9">
        <w:rPr>
          <w:color w:val="auto"/>
          <w:szCs w:val="24"/>
        </w:rPr>
        <w:t>d or factored in the final decision.</w:t>
      </w:r>
      <w:r w:rsidRPr="008535B9">
        <w:rPr>
          <w:color w:val="auto"/>
          <w:szCs w:val="24"/>
        </w:rPr>
        <w:t xml:space="preserve"> </w:t>
      </w:r>
      <w:r w:rsidR="00D42103" w:rsidRPr="008535B9">
        <w:rPr>
          <w:color w:val="auto"/>
          <w:szCs w:val="24"/>
        </w:rPr>
        <w:t xml:space="preserve">I was diabetic while </w:t>
      </w:r>
      <w:r w:rsidRPr="008535B9">
        <w:rPr>
          <w:color w:val="auto"/>
          <w:szCs w:val="24"/>
        </w:rPr>
        <w:t>on</w:t>
      </w:r>
      <w:r w:rsidR="00D42103" w:rsidRPr="008535B9">
        <w:rPr>
          <w:color w:val="auto"/>
          <w:szCs w:val="24"/>
        </w:rPr>
        <w:t xml:space="preserve"> active duty and was not informed of the diagnosis until several months after my military career was over. I should have</w:t>
      </w:r>
      <w:r w:rsidRPr="008535B9">
        <w:rPr>
          <w:color w:val="auto"/>
          <w:szCs w:val="24"/>
        </w:rPr>
        <w:t xml:space="preserve"> </w:t>
      </w:r>
      <w:r w:rsidR="00D42103" w:rsidRPr="008535B9">
        <w:rPr>
          <w:color w:val="auto"/>
          <w:szCs w:val="24"/>
        </w:rPr>
        <w:t>been placed on some type of diabetic therapy while on active duty but my diagnosis was confi</w:t>
      </w:r>
      <w:r w:rsidRPr="008535B9">
        <w:rPr>
          <w:color w:val="auto"/>
          <w:szCs w:val="24"/>
        </w:rPr>
        <w:t>rm</w:t>
      </w:r>
      <w:r w:rsidR="00D42103" w:rsidRPr="008535B9">
        <w:rPr>
          <w:color w:val="auto"/>
          <w:szCs w:val="24"/>
        </w:rPr>
        <w:t xml:space="preserve">ed until being rushed to </w:t>
      </w:r>
      <w:proofErr w:type="spellStart"/>
      <w:r w:rsidR="00D42103" w:rsidRPr="008535B9">
        <w:rPr>
          <w:color w:val="auto"/>
          <w:szCs w:val="24"/>
        </w:rPr>
        <w:t>Wilford</w:t>
      </w:r>
      <w:proofErr w:type="spellEnd"/>
      <w:r w:rsidR="00D42103" w:rsidRPr="008535B9">
        <w:rPr>
          <w:color w:val="auto"/>
          <w:szCs w:val="24"/>
        </w:rPr>
        <w:t xml:space="preserve"> </w:t>
      </w:r>
      <w:r w:rsidRPr="008535B9">
        <w:rPr>
          <w:color w:val="auto"/>
          <w:szCs w:val="24"/>
        </w:rPr>
        <w:t>Hall</w:t>
      </w:r>
      <w:r w:rsidR="00D42103" w:rsidRPr="008535B9">
        <w:rPr>
          <w:color w:val="auto"/>
          <w:szCs w:val="24"/>
        </w:rPr>
        <w:t xml:space="preserve"> Medical</w:t>
      </w:r>
      <w:r w:rsidRPr="008535B9">
        <w:rPr>
          <w:color w:val="auto"/>
          <w:szCs w:val="24"/>
        </w:rPr>
        <w:t xml:space="preserve"> </w:t>
      </w:r>
      <w:r w:rsidR="00D42103" w:rsidRPr="008535B9">
        <w:rPr>
          <w:color w:val="auto"/>
          <w:szCs w:val="24"/>
        </w:rPr>
        <w:t xml:space="preserve">Center with a glucose </w:t>
      </w:r>
      <w:r w:rsidRPr="008535B9">
        <w:rPr>
          <w:color w:val="auto"/>
          <w:szCs w:val="24"/>
        </w:rPr>
        <w:t>le</w:t>
      </w:r>
      <w:r w:rsidR="00D42103" w:rsidRPr="008535B9">
        <w:rPr>
          <w:color w:val="auto"/>
          <w:szCs w:val="24"/>
        </w:rPr>
        <w:t xml:space="preserve">vel of over </w:t>
      </w:r>
      <w:r w:rsidRPr="008535B9">
        <w:rPr>
          <w:color w:val="auto"/>
          <w:szCs w:val="24"/>
        </w:rPr>
        <w:t>600</w:t>
      </w:r>
      <w:r w:rsidR="00D42103" w:rsidRPr="008535B9">
        <w:rPr>
          <w:color w:val="auto"/>
          <w:szCs w:val="24"/>
        </w:rPr>
        <w:t>.</w:t>
      </w:r>
      <w:r w:rsidRPr="008535B9">
        <w:rPr>
          <w:color w:val="auto"/>
          <w:szCs w:val="24"/>
        </w:rPr>
        <w:t>’</w:t>
      </w:r>
    </w:p>
    <w:p w:rsidR="00A90D55" w:rsidRPr="00AE3316" w:rsidRDefault="008B5D31" w:rsidP="00875F2D">
      <w:pPr>
        <w:tabs>
          <w:tab w:val="left" w:pos="288"/>
          <w:tab w:val="left" w:pos="4752"/>
        </w:tabs>
        <w:spacing w:line="240" w:lineRule="exact"/>
        <w:jc w:val="both"/>
        <w:rPr>
          <w:rFonts w:ascii="Calibri" w:hAnsi="Calibri"/>
          <w:color w:val="000080"/>
        </w:rPr>
      </w:pPr>
      <w:r w:rsidRPr="00AE3316">
        <w:rPr>
          <w:rFonts w:ascii="Calibri" w:hAnsi="Calibri"/>
          <w:color w:val="000080"/>
          <w:u w:val="single"/>
        </w:rPr>
        <w:t>____________________________________________________________</w:t>
      </w:r>
      <w:r w:rsidR="00715687">
        <w:rPr>
          <w:rFonts w:ascii="Calibri" w:hAnsi="Calibri"/>
          <w:color w:val="000080"/>
          <w:u w:val="single"/>
        </w:rPr>
        <w:t>______________</w:t>
      </w:r>
      <w:r w:rsidRPr="00AE3316">
        <w:rPr>
          <w:rFonts w:ascii="Calibri" w:hAnsi="Calibri"/>
          <w:color w:val="000080"/>
          <w:u w:val="single"/>
        </w:rPr>
        <w:t>___</w:t>
      </w:r>
      <w:r w:rsidRPr="00AE3316">
        <w:rPr>
          <w:rFonts w:ascii="Calibri" w:hAnsi="Calibri"/>
          <w:color w:val="000080"/>
        </w:rPr>
        <w:t>_</w:t>
      </w:r>
    </w:p>
    <w:p w:rsidR="00AA6F5C" w:rsidRDefault="00AA6F5C" w:rsidP="00875F2D">
      <w:pPr>
        <w:tabs>
          <w:tab w:val="left" w:pos="288"/>
          <w:tab w:val="left" w:pos="4752"/>
        </w:tabs>
        <w:spacing w:line="240" w:lineRule="exact"/>
        <w:jc w:val="both"/>
        <w:rPr>
          <w:rFonts w:ascii="Calibri" w:hAnsi="Calibri"/>
          <w:color w:val="000080"/>
          <w:u w:val="single"/>
        </w:rPr>
      </w:pPr>
    </w:p>
    <w:p w:rsidR="002338CA" w:rsidRPr="00715687" w:rsidRDefault="00A90D55" w:rsidP="00875F2D">
      <w:pPr>
        <w:tabs>
          <w:tab w:val="left" w:pos="288"/>
          <w:tab w:val="left" w:pos="4752"/>
        </w:tabs>
        <w:spacing w:line="240" w:lineRule="exact"/>
        <w:jc w:val="both"/>
        <w:rPr>
          <w:color w:val="auto"/>
        </w:rPr>
      </w:pPr>
      <w:r w:rsidRPr="00715687">
        <w:rPr>
          <w:color w:val="auto"/>
          <w:u w:val="single"/>
        </w:rPr>
        <w:t>RATING COMPARISON</w:t>
      </w:r>
      <w:r w:rsidRPr="00715687">
        <w:rPr>
          <w:color w:val="auto"/>
        </w:rPr>
        <w:t>:</w:t>
      </w:r>
    </w:p>
    <w:p w:rsidR="00DB6FBE" w:rsidRDefault="00DB6FBE" w:rsidP="00875F2D">
      <w:pPr>
        <w:tabs>
          <w:tab w:val="left" w:pos="288"/>
          <w:tab w:val="left" w:pos="4752"/>
        </w:tabs>
        <w:spacing w:line="240" w:lineRule="exact"/>
        <w:jc w:val="both"/>
        <w:rPr>
          <w:rFonts w:ascii="Calibri" w:hAnsi="Calibri"/>
          <w:color w:val="000080"/>
        </w:rPr>
      </w:pPr>
    </w:p>
    <w:tbl>
      <w:tblPr>
        <w:tblStyle w:val="TableGrid"/>
        <w:tblW w:w="11250" w:type="dxa"/>
        <w:tblInd w:w="-612" w:type="dxa"/>
        <w:tblLayout w:type="fixed"/>
        <w:tblLook w:val="04A0"/>
      </w:tblPr>
      <w:tblGrid>
        <w:gridCol w:w="2070"/>
        <w:gridCol w:w="1170"/>
        <w:gridCol w:w="810"/>
        <w:gridCol w:w="990"/>
        <w:gridCol w:w="2340"/>
        <w:gridCol w:w="720"/>
        <w:gridCol w:w="810"/>
        <w:gridCol w:w="1170"/>
        <w:gridCol w:w="1170"/>
      </w:tblGrid>
      <w:tr w:rsidR="00684E2B" w:rsidTr="00C846EA">
        <w:trPr>
          <w:trHeight w:val="233"/>
        </w:trPr>
        <w:tc>
          <w:tcPr>
            <w:tcW w:w="5040" w:type="dxa"/>
            <w:gridSpan w:val="4"/>
            <w:tcBorders>
              <w:right w:val="thinThickThinSmallGap" w:sz="24" w:space="0" w:color="auto"/>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rPr>
            </w:pPr>
            <w:r w:rsidRPr="00AE3316">
              <w:rPr>
                <w:rFonts w:cs="Times New Roman"/>
                <w:b/>
              </w:rPr>
              <w:t>Service PEB</w:t>
            </w:r>
          </w:p>
        </w:tc>
        <w:tc>
          <w:tcPr>
            <w:tcW w:w="6210" w:type="dxa"/>
            <w:gridSpan w:val="5"/>
            <w:tcBorders>
              <w:left w:val="thinThickThinSmallGap" w:sz="24" w:space="0" w:color="auto"/>
            </w:tcBorders>
            <w:shd w:val="clear" w:color="auto" w:fill="EEECE1" w:themeFill="background2"/>
          </w:tcPr>
          <w:p w:rsidR="00684E2B" w:rsidRPr="00AE3316" w:rsidRDefault="00684E2B" w:rsidP="00470B95">
            <w:pPr>
              <w:pStyle w:val="ListParagraph"/>
              <w:spacing w:after="0" w:line="240" w:lineRule="auto"/>
              <w:ind w:left="0"/>
              <w:jc w:val="center"/>
              <w:rPr>
                <w:rFonts w:cs="Times New Roman"/>
                <w:b/>
              </w:rPr>
            </w:pPr>
            <w:r w:rsidRPr="00AE3316">
              <w:rPr>
                <w:rFonts w:cs="Times New Roman"/>
                <w:b/>
              </w:rPr>
              <w:t>VA (</w:t>
            </w:r>
            <w:r w:rsidR="00470B95">
              <w:rPr>
                <w:rFonts w:cs="Times New Roman"/>
                <w:b/>
              </w:rPr>
              <w:t xml:space="preserve">5 </w:t>
            </w:r>
            <w:r w:rsidRPr="00AE3316">
              <w:rPr>
                <w:rFonts w:cs="Times New Roman"/>
                <w:b/>
              </w:rPr>
              <w:t xml:space="preserve"> Mo. after Separation)</w:t>
            </w:r>
          </w:p>
        </w:tc>
      </w:tr>
      <w:tr w:rsidR="00684E2B" w:rsidTr="00E66811">
        <w:trPr>
          <w:trHeight w:val="233"/>
        </w:trPr>
        <w:tc>
          <w:tcPr>
            <w:tcW w:w="20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Date</w:t>
            </w:r>
          </w:p>
        </w:tc>
        <w:tc>
          <w:tcPr>
            <w:tcW w:w="2340" w:type="dxa"/>
            <w:tcBorders>
              <w:left w:val="thinThickThinSmallGap" w:sz="24" w:space="0" w:color="auto"/>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Exam</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Effective</w:t>
            </w:r>
          </w:p>
        </w:tc>
      </w:tr>
      <w:tr w:rsidR="00E66811" w:rsidTr="00E66811">
        <w:trPr>
          <w:trHeight w:val="197"/>
        </w:trPr>
        <w:tc>
          <w:tcPr>
            <w:tcW w:w="4050" w:type="dxa"/>
            <w:gridSpan w:val="3"/>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r w:rsidRPr="00AE3316">
              <w:rPr>
                <w:rFonts w:eastAsiaTheme="minorEastAsia"/>
                <w:sz w:val="18"/>
                <w:szCs w:val="18"/>
              </w:rPr>
              <w:t xml:space="preserve">No </w:t>
            </w:r>
            <w:r>
              <w:rPr>
                <w:rFonts w:eastAsiaTheme="minorEastAsia"/>
                <w:sz w:val="18"/>
                <w:szCs w:val="18"/>
              </w:rPr>
              <w:t>corresponding MEB or PEB entry</w:t>
            </w:r>
            <w:r w:rsidRPr="00AE3316">
              <w:rPr>
                <w:rFonts w:eastAsiaTheme="minorEastAsia"/>
                <w:sz w:val="18"/>
                <w:szCs w:val="18"/>
              </w:rPr>
              <w:t>.</w:t>
            </w:r>
          </w:p>
        </w:tc>
        <w:tc>
          <w:tcPr>
            <w:tcW w:w="990" w:type="dxa"/>
            <w:tcBorders>
              <w:right w:val="thinThickThinSmallGap" w:sz="24" w:space="0" w:color="auto"/>
            </w:tcBorders>
            <w:shd w:val="clear" w:color="auto" w:fill="FFFFFF" w:themeFill="background1"/>
          </w:tcPr>
          <w:p w:rsidR="00E66811" w:rsidRPr="00E15438" w:rsidRDefault="00E66811" w:rsidP="00AE3316">
            <w:pPr>
              <w:pStyle w:val="ListParagraph"/>
              <w:spacing w:after="0" w:line="240" w:lineRule="auto"/>
              <w:ind w:left="0"/>
              <w:rPr>
                <w:rFonts w:cs="Times New Roman"/>
                <w:sz w:val="18"/>
                <w:szCs w:val="18"/>
              </w:rPr>
            </w:pPr>
          </w:p>
        </w:tc>
        <w:tc>
          <w:tcPr>
            <w:tcW w:w="2340" w:type="dxa"/>
            <w:tcBorders>
              <w:left w:val="thinThickThinSmallGap" w:sz="24" w:space="0" w:color="auto"/>
            </w:tcBorders>
            <w:shd w:val="clear" w:color="auto" w:fill="FFFFFF" w:themeFill="background1"/>
          </w:tcPr>
          <w:p w:rsidR="00E66811" w:rsidRPr="00E66811" w:rsidRDefault="00E66811" w:rsidP="00C846EA">
            <w:pPr>
              <w:pStyle w:val="ListParagraph"/>
              <w:spacing w:after="0" w:line="240" w:lineRule="auto"/>
              <w:ind w:left="0"/>
              <w:rPr>
                <w:rFonts w:cs="Times New Roman"/>
                <w:sz w:val="20"/>
                <w:szCs w:val="20"/>
              </w:rPr>
            </w:pPr>
            <w:r w:rsidRPr="00E66811">
              <w:rPr>
                <w:rFonts w:cs="Times New Roman"/>
                <w:sz w:val="20"/>
                <w:szCs w:val="20"/>
              </w:rPr>
              <w:t>Major Depression</w:t>
            </w:r>
          </w:p>
        </w:tc>
        <w:tc>
          <w:tcPr>
            <w:tcW w:w="72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9434</w:t>
            </w:r>
          </w:p>
        </w:tc>
        <w:tc>
          <w:tcPr>
            <w:tcW w:w="81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30%</w:t>
            </w:r>
          </w:p>
        </w:tc>
        <w:tc>
          <w:tcPr>
            <w:tcW w:w="1170" w:type="dxa"/>
            <w:shd w:val="clear" w:color="auto" w:fill="FFFFFF" w:themeFill="background1"/>
          </w:tcPr>
          <w:p w:rsidR="00E66811" w:rsidRPr="003B4665" w:rsidRDefault="00E66811" w:rsidP="003B4665">
            <w:pPr>
              <w:pStyle w:val="ListParagraph"/>
              <w:spacing w:after="0" w:line="240" w:lineRule="auto"/>
              <w:ind w:left="0"/>
              <w:jc w:val="center"/>
              <w:rPr>
                <w:rFonts w:cs="Times New Roman"/>
                <w:sz w:val="18"/>
                <w:szCs w:val="18"/>
              </w:rPr>
            </w:pPr>
            <w:r w:rsidRPr="003B4665">
              <w:rPr>
                <w:rFonts w:cs="Times New Roman"/>
                <w:sz w:val="18"/>
                <w:szCs w:val="18"/>
              </w:rPr>
              <w:t>20071219</w:t>
            </w: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20070710</w:t>
            </w:r>
          </w:p>
        </w:tc>
      </w:tr>
      <w:tr w:rsidR="00E66811" w:rsidTr="00E66811">
        <w:trPr>
          <w:trHeight w:val="197"/>
        </w:trPr>
        <w:tc>
          <w:tcPr>
            <w:tcW w:w="4050" w:type="dxa"/>
            <w:gridSpan w:val="3"/>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r w:rsidRPr="00AE3316">
              <w:rPr>
                <w:rFonts w:eastAsiaTheme="minorEastAsia"/>
                <w:sz w:val="18"/>
                <w:szCs w:val="18"/>
              </w:rPr>
              <w:t xml:space="preserve">No </w:t>
            </w:r>
            <w:r>
              <w:rPr>
                <w:rFonts w:eastAsiaTheme="minorEastAsia"/>
                <w:sz w:val="18"/>
                <w:szCs w:val="18"/>
              </w:rPr>
              <w:t>corresponding MEB or PEB entry</w:t>
            </w:r>
            <w:r w:rsidRPr="00AE3316">
              <w:rPr>
                <w:rFonts w:eastAsiaTheme="minorEastAsia"/>
                <w:sz w:val="18"/>
                <w:szCs w:val="18"/>
              </w:rPr>
              <w:t>.</w:t>
            </w:r>
          </w:p>
        </w:tc>
        <w:tc>
          <w:tcPr>
            <w:tcW w:w="990" w:type="dxa"/>
            <w:tcBorders>
              <w:right w:val="thinThickThinSmallGap" w:sz="24" w:space="0" w:color="auto"/>
            </w:tcBorders>
            <w:shd w:val="clear" w:color="auto" w:fill="FFFFFF" w:themeFill="background1"/>
          </w:tcPr>
          <w:p w:rsidR="00E66811" w:rsidRPr="00E15438" w:rsidRDefault="00E66811" w:rsidP="00AE3316">
            <w:pPr>
              <w:pStyle w:val="ListParagraph"/>
              <w:spacing w:after="0" w:line="240" w:lineRule="auto"/>
              <w:ind w:left="0"/>
              <w:rPr>
                <w:rFonts w:cs="Times New Roman"/>
                <w:sz w:val="18"/>
                <w:szCs w:val="18"/>
              </w:rPr>
            </w:pPr>
          </w:p>
        </w:tc>
        <w:tc>
          <w:tcPr>
            <w:tcW w:w="2340" w:type="dxa"/>
            <w:tcBorders>
              <w:left w:val="thinThickThinSmallGap" w:sz="24" w:space="0" w:color="auto"/>
            </w:tcBorders>
            <w:shd w:val="clear" w:color="auto" w:fill="FFFFFF" w:themeFill="background1"/>
          </w:tcPr>
          <w:p w:rsidR="00E66811" w:rsidRPr="00E66811" w:rsidRDefault="00E66811" w:rsidP="00C846EA">
            <w:pPr>
              <w:pStyle w:val="ListParagraph"/>
              <w:spacing w:after="0" w:line="240" w:lineRule="auto"/>
              <w:ind w:left="0"/>
              <w:rPr>
                <w:rFonts w:cs="Times New Roman"/>
                <w:sz w:val="20"/>
                <w:szCs w:val="20"/>
              </w:rPr>
            </w:pPr>
            <w:r w:rsidRPr="00E66811">
              <w:rPr>
                <w:rFonts w:cs="Times New Roman"/>
                <w:sz w:val="20"/>
                <w:szCs w:val="20"/>
              </w:rPr>
              <w:t>Diabetes</w:t>
            </w:r>
          </w:p>
        </w:tc>
        <w:tc>
          <w:tcPr>
            <w:tcW w:w="72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7913</w:t>
            </w:r>
          </w:p>
        </w:tc>
        <w:tc>
          <w:tcPr>
            <w:tcW w:w="81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20%</w:t>
            </w:r>
          </w:p>
        </w:tc>
        <w:tc>
          <w:tcPr>
            <w:tcW w:w="1170" w:type="dxa"/>
            <w:shd w:val="clear" w:color="auto" w:fill="FFFFFF" w:themeFill="background1"/>
          </w:tcPr>
          <w:p w:rsidR="00E66811" w:rsidRPr="003B4665" w:rsidRDefault="00E66811" w:rsidP="003B4665">
            <w:pPr>
              <w:pStyle w:val="ListParagraph"/>
              <w:spacing w:after="0" w:line="240" w:lineRule="auto"/>
              <w:ind w:left="0"/>
              <w:jc w:val="center"/>
              <w:rPr>
                <w:rFonts w:cs="Times New Roman"/>
                <w:sz w:val="18"/>
                <w:szCs w:val="18"/>
              </w:rPr>
            </w:pPr>
            <w:r w:rsidRPr="003B4665">
              <w:rPr>
                <w:rFonts w:cs="Times New Roman"/>
                <w:sz w:val="18"/>
                <w:szCs w:val="18"/>
              </w:rPr>
              <w:t>200712</w:t>
            </w:r>
            <w:r w:rsidR="00262EC8" w:rsidRPr="003B4665">
              <w:rPr>
                <w:rFonts w:cs="Times New Roman"/>
                <w:sz w:val="18"/>
                <w:szCs w:val="18"/>
              </w:rPr>
              <w:t>05</w:t>
            </w:r>
          </w:p>
        </w:tc>
        <w:tc>
          <w:tcPr>
            <w:tcW w:w="1170" w:type="dxa"/>
            <w:shd w:val="clear" w:color="auto" w:fill="FFFFFF" w:themeFill="background1"/>
          </w:tcPr>
          <w:p w:rsidR="00E66811" w:rsidRPr="00E66811" w:rsidRDefault="00E66811" w:rsidP="00E66811">
            <w:pPr>
              <w:pStyle w:val="ListParagraph"/>
              <w:spacing w:after="0" w:line="240" w:lineRule="auto"/>
              <w:ind w:left="0"/>
              <w:jc w:val="center"/>
              <w:rPr>
                <w:rFonts w:cs="Times New Roman"/>
                <w:sz w:val="18"/>
                <w:szCs w:val="18"/>
              </w:rPr>
            </w:pPr>
            <w:r w:rsidRPr="00E66811">
              <w:rPr>
                <w:rFonts w:cs="Times New Roman"/>
                <w:sz w:val="18"/>
                <w:szCs w:val="18"/>
              </w:rPr>
              <w:t>20070710</w:t>
            </w:r>
          </w:p>
        </w:tc>
      </w:tr>
      <w:tr w:rsidR="003B4665" w:rsidTr="00E66811">
        <w:trPr>
          <w:trHeight w:val="197"/>
        </w:trPr>
        <w:tc>
          <w:tcPr>
            <w:tcW w:w="2070" w:type="dxa"/>
            <w:vMerge w:val="restart"/>
            <w:shd w:val="clear" w:color="auto" w:fill="FFFFFF" w:themeFill="background1"/>
          </w:tcPr>
          <w:p w:rsidR="003B4665" w:rsidRPr="00E15438" w:rsidRDefault="003B4665" w:rsidP="00C846EA">
            <w:pPr>
              <w:pStyle w:val="ListParagraph"/>
              <w:spacing w:after="0" w:line="240" w:lineRule="auto"/>
              <w:ind w:left="0"/>
              <w:rPr>
                <w:rFonts w:cs="Times New Roman"/>
                <w:sz w:val="20"/>
                <w:szCs w:val="20"/>
              </w:rPr>
            </w:pPr>
            <w:r w:rsidRPr="00E15438">
              <w:rPr>
                <w:rFonts w:cs="Times New Roman"/>
                <w:sz w:val="20"/>
                <w:szCs w:val="20"/>
              </w:rPr>
              <w:t>Bilateral Knee Pain Due to Osteoarthritis</w:t>
            </w:r>
          </w:p>
        </w:tc>
        <w:tc>
          <w:tcPr>
            <w:tcW w:w="1170" w:type="dxa"/>
            <w:vMerge w:val="restart"/>
            <w:shd w:val="clear" w:color="auto" w:fill="FFFFFF" w:themeFill="background1"/>
          </w:tcPr>
          <w:p w:rsidR="003B4665" w:rsidRPr="00E15438" w:rsidRDefault="003B4665" w:rsidP="00C846EA">
            <w:pPr>
              <w:pStyle w:val="ListParagraph"/>
              <w:spacing w:after="0" w:line="240" w:lineRule="auto"/>
              <w:ind w:left="0"/>
              <w:jc w:val="center"/>
              <w:rPr>
                <w:rFonts w:cs="Times New Roman"/>
                <w:sz w:val="18"/>
                <w:szCs w:val="18"/>
              </w:rPr>
            </w:pPr>
            <w:r w:rsidRPr="00E15438">
              <w:rPr>
                <w:rFonts w:cs="Times New Roman"/>
                <w:sz w:val="18"/>
                <w:szCs w:val="18"/>
              </w:rPr>
              <w:t>5003</w:t>
            </w:r>
          </w:p>
        </w:tc>
        <w:tc>
          <w:tcPr>
            <w:tcW w:w="810" w:type="dxa"/>
            <w:vMerge w:val="restart"/>
            <w:shd w:val="clear" w:color="auto" w:fill="FFFFFF" w:themeFill="background1"/>
          </w:tcPr>
          <w:p w:rsidR="003B4665" w:rsidRPr="00E15438" w:rsidRDefault="003B4665" w:rsidP="00C846EA">
            <w:pPr>
              <w:pStyle w:val="ListParagraph"/>
              <w:spacing w:after="0" w:line="240" w:lineRule="auto"/>
              <w:ind w:left="0"/>
              <w:jc w:val="center"/>
              <w:rPr>
                <w:rFonts w:cs="Times New Roman"/>
                <w:sz w:val="18"/>
                <w:szCs w:val="18"/>
              </w:rPr>
            </w:pPr>
            <w:r w:rsidRPr="00E15438">
              <w:rPr>
                <w:rFonts w:cs="Times New Roman"/>
                <w:sz w:val="18"/>
                <w:szCs w:val="18"/>
              </w:rPr>
              <w:t>20</w:t>
            </w:r>
          </w:p>
        </w:tc>
        <w:tc>
          <w:tcPr>
            <w:tcW w:w="990" w:type="dxa"/>
            <w:vMerge w:val="restart"/>
            <w:tcBorders>
              <w:right w:val="thinThickThinSmallGap" w:sz="24" w:space="0" w:color="auto"/>
            </w:tcBorders>
            <w:shd w:val="clear" w:color="auto" w:fill="FFFFFF" w:themeFill="background1"/>
          </w:tcPr>
          <w:p w:rsidR="003B4665" w:rsidRPr="00E15438" w:rsidRDefault="003B4665" w:rsidP="00AE3316">
            <w:pPr>
              <w:pStyle w:val="ListParagraph"/>
              <w:spacing w:after="0" w:line="240" w:lineRule="auto"/>
              <w:ind w:left="0"/>
              <w:rPr>
                <w:rFonts w:cs="Times New Roman"/>
                <w:sz w:val="18"/>
                <w:szCs w:val="18"/>
              </w:rPr>
            </w:pPr>
            <w:r w:rsidRPr="00E15438">
              <w:rPr>
                <w:rFonts w:cs="Times New Roman"/>
                <w:sz w:val="18"/>
                <w:szCs w:val="18"/>
              </w:rPr>
              <w:t>20070501</w:t>
            </w:r>
          </w:p>
        </w:tc>
        <w:tc>
          <w:tcPr>
            <w:tcW w:w="2340" w:type="dxa"/>
            <w:tcBorders>
              <w:left w:val="thinThickThinSmallGap" w:sz="24" w:space="0" w:color="auto"/>
            </w:tcBorders>
            <w:shd w:val="clear" w:color="auto" w:fill="FFFFFF" w:themeFill="background1"/>
          </w:tcPr>
          <w:p w:rsidR="003B4665" w:rsidRPr="00E66811" w:rsidRDefault="003B4665" w:rsidP="00E66811">
            <w:pPr>
              <w:pStyle w:val="ListParagraph"/>
              <w:spacing w:after="0" w:line="240" w:lineRule="auto"/>
              <w:ind w:left="0"/>
              <w:rPr>
                <w:rFonts w:cs="Times New Roman"/>
                <w:sz w:val="20"/>
                <w:szCs w:val="20"/>
              </w:rPr>
            </w:pPr>
            <w:r w:rsidRPr="00E66811">
              <w:rPr>
                <w:rFonts w:cs="Times New Roman"/>
                <w:sz w:val="20"/>
                <w:szCs w:val="20"/>
              </w:rPr>
              <w:t>Osteoarthritis, Claimed as Left Knee Dysfunction</w:t>
            </w:r>
          </w:p>
        </w:tc>
        <w:tc>
          <w:tcPr>
            <w:tcW w:w="72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5003</w:t>
            </w:r>
          </w:p>
        </w:tc>
        <w:tc>
          <w:tcPr>
            <w:tcW w:w="81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10%</w:t>
            </w:r>
          </w:p>
        </w:tc>
        <w:tc>
          <w:tcPr>
            <w:tcW w:w="1170" w:type="dxa"/>
            <w:shd w:val="clear" w:color="auto" w:fill="FFFFFF" w:themeFill="background1"/>
          </w:tcPr>
          <w:p w:rsidR="003B4665" w:rsidRPr="003B4665" w:rsidRDefault="003B4665" w:rsidP="003B4665">
            <w:pPr>
              <w:jc w:val="center"/>
              <w:rPr>
                <w:color w:val="auto"/>
              </w:rPr>
            </w:pPr>
            <w:r w:rsidRPr="003B4665">
              <w:rPr>
                <w:rFonts w:cs="Times New Roman"/>
                <w:color w:val="auto"/>
                <w:sz w:val="18"/>
                <w:szCs w:val="18"/>
              </w:rPr>
              <w:t>20071205</w:t>
            </w:r>
          </w:p>
        </w:tc>
        <w:tc>
          <w:tcPr>
            <w:tcW w:w="1170" w:type="dxa"/>
            <w:shd w:val="clear" w:color="auto" w:fill="FFFFFF" w:themeFill="background1"/>
          </w:tcPr>
          <w:p w:rsidR="003B4665" w:rsidRPr="00E66811" w:rsidRDefault="003B4665" w:rsidP="00E66811">
            <w:pPr>
              <w:pStyle w:val="ListParagraph"/>
              <w:spacing w:after="0" w:line="240" w:lineRule="auto"/>
              <w:ind w:left="0"/>
              <w:jc w:val="center"/>
              <w:rPr>
                <w:rFonts w:cs="Times New Roman"/>
                <w:sz w:val="18"/>
                <w:szCs w:val="18"/>
              </w:rPr>
            </w:pPr>
            <w:r w:rsidRPr="00E66811">
              <w:rPr>
                <w:rFonts w:cs="Times New Roman"/>
                <w:sz w:val="18"/>
                <w:szCs w:val="18"/>
              </w:rPr>
              <w:t>20070710</w:t>
            </w:r>
          </w:p>
        </w:tc>
      </w:tr>
      <w:tr w:rsidR="003B4665" w:rsidTr="00E66811">
        <w:trPr>
          <w:trHeight w:val="197"/>
        </w:trPr>
        <w:tc>
          <w:tcPr>
            <w:tcW w:w="2070" w:type="dxa"/>
            <w:vMerge/>
            <w:shd w:val="clear" w:color="auto" w:fill="FFFFFF" w:themeFill="background1"/>
          </w:tcPr>
          <w:p w:rsidR="003B4665" w:rsidRPr="00E15438" w:rsidRDefault="003B4665" w:rsidP="00C846EA">
            <w:pPr>
              <w:pStyle w:val="ListParagraph"/>
              <w:spacing w:after="0" w:line="240" w:lineRule="auto"/>
              <w:ind w:left="0"/>
              <w:rPr>
                <w:rFonts w:cs="Times New Roman"/>
                <w:sz w:val="20"/>
                <w:szCs w:val="20"/>
              </w:rPr>
            </w:pPr>
          </w:p>
        </w:tc>
        <w:tc>
          <w:tcPr>
            <w:tcW w:w="1170" w:type="dxa"/>
            <w:vMerge/>
            <w:shd w:val="clear" w:color="auto" w:fill="FFFFFF" w:themeFill="background1"/>
          </w:tcPr>
          <w:p w:rsidR="003B4665" w:rsidRPr="00E15438" w:rsidRDefault="003B4665" w:rsidP="00C846EA">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3B4665" w:rsidRPr="00E15438" w:rsidRDefault="003B4665" w:rsidP="00C846EA">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3B4665" w:rsidRPr="00E15438" w:rsidRDefault="003B4665" w:rsidP="00AE3316">
            <w:pPr>
              <w:pStyle w:val="ListParagraph"/>
              <w:spacing w:after="0" w:line="240" w:lineRule="auto"/>
              <w:ind w:left="0"/>
              <w:rPr>
                <w:rFonts w:cs="Times New Roman"/>
                <w:sz w:val="18"/>
                <w:szCs w:val="18"/>
              </w:rPr>
            </w:pPr>
          </w:p>
        </w:tc>
        <w:tc>
          <w:tcPr>
            <w:tcW w:w="2340" w:type="dxa"/>
            <w:tcBorders>
              <w:left w:val="thinThickThinSmallGap" w:sz="24" w:space="0" w:color="auto"/>
            </w:tcBorders>
            <w:shd w:val="clear" w:color="auto" w:fill="FFFFFF" w:themeFill="background1"/>
          </w:tcPr>
          <w:p w:rsidR="003B4665" w:rsidRPr="00E66811" w:rsidRDefault="003B4665" w:rsidP="00E66811">
            <w:pPr>
              <w:autoSpaceDE w:val="0"/>
              <w:autoSpaceDN w:val="0"/>
              <w:adjustRightInd w:val="0"/>
              <w:rPr>
                <w:rFonts w:cs="Times New Roman"/>
                <w:color w:val="auto"/>
                <w:sz w:val="20"/>
                <w:szCs w:val="20"/>
              </w:rPr>
            </w:pPr>
            <w:r w:rsidRPr="00E66811">
              <w:rPr>
                <w:rFonts w:eastAsiaTheme="minorEastAsia"/>
                <w:color w:val="auto"/>
                <w:sz w:val="20"/>
                <w:szCs w:val="20"/>
              </w:rPr>
              <w:t xml:space="preserve">Osteoarthritis, Claimed as Right Knee Dysfunction, </w:t>
            </w:r>
            <w:r w:rsidRPr="00E66811">
              <w:rPr>
                <w:rFonts w:eastAsiaTheme="minorEastAsia" w:cs="Times New Roman"/>
                <w:color w:val="auto"/>
                <w:sz w:val="20"/>
                <w:szCs w:val="20"/>
              </w:rPr>
              <w:t xml:space="preserve">Status Post Operative </w:t>
            </w:r>
            <w:proofErr w:type="spellStart"/>
            <w:r w:rsidRPr="00E66811">
              <w:rPr>
                <w:rFonts w:eastAsiaTheme="minorEastAsia" w:cs="Times New Roman"/>
                <w:color w:val="auto"/>
                <w:sz w:val="20"/>
                <w:szCs w:val="20"/>
              </w:rPr>
              <w:t>Meniscectomy</w:t>
            </w:r>
            <w:proofErr w:type="spellEnd"/>
            <w:r w:rsidRPr="00E66811">
              <w:rPr>
                <w:rFonts w:eastAsiaTheme="minorEastAsia" w:cs="Times New Roman"/>
                <w:color w:val="auto"/>
                <w:sz w:val="20"/>
                <w:szCs w:val="20"/>
              </w:rPr>
              <w:t xml:space="preserve"> Times 2</w:t>
            </w:r>
          </w:p>
        </w:tc>
        <w:tc>
          <w:tcPr>
            <w:tcW w:w="72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5010</w:t>
            </w:r>
          </w:p>
        </w:tc>
        <w:tc>
          <w:tcPr>
            <w:tcW w:w="81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10%</w:t>
            </w:r>
          </w:p>
        </w:tc>
        <w:tc>
          <w:tcPr>
            <w:tcW w:w="1170" w:type="dxa"/>
            <w:shd w:val="clear" w:color="auto" w:fill="FFFFFF" w:themeFill="background1"/>
          </w:tcPr>
          <w:p w:rsidR="003B4665" w:rsidRPr="003B4665" w:rsidRDefault="003B4665" w:rsidP="003B4665">
            <w:pPr>
              <w:jc w:val="center"/>
              <w:rPr>
                <w:color w:val="auto"/>
              </w:rPr>
            </w:pPr>
            <w:r w:rsidRPr="003B4665">
              <w:rPr>
                <w:rFonts w:cs="Times New Roman"/>
                <w:color w:val="auto"/>
                <w:sz w:val="18"/>
                <w:szCs w:val="18"/>
              </w:rPr>
              <w:t>20071205</w:t>
            </w:r>
          </w:p>
        </w:tc>
        <w:tc>
          <w:tcPr>
            <w:tcW w:w="1170" w:type="dxa"/>
            <w:shd w:val="clear" w:color="auto" w:fill="FFFFFF" w:themeFill="background1"/>
          </w:tcPr>
          <w:p w:rsidR="003B4665" w:rsidRPr="00E66811" w:rsidRDefault="003B4665" w:rsidP="00E66811">
            <w:pPr>
              <w:pStyle w:val="ListParagraph"/>
              <w:spacing w:after="0" w:line="240" w:lineRule="auto"/>
              <w:ind w:left="0"/>
              <w:jc w:val="center"/>
              <w:rPr>
                <w:rFonts w:cs="Times New Roman"/>
                <w:sz w:val="18"/>
                <w:szCs w:val="18"/>
              </w:rPr>
            </w:pPr>
            <w:r w:rsidRPr="00E66811">
              <w:rPr>
                <w:rFonts w:cs="Times New Roman"/>
                <w:sz w:val="18"/>
                <w:szCs w:val="18"/>
              </w:rPr>
              <w:t>20070710</w:t>
            </w:r>
          </w:p>
        </w:tc>
      </w:tr>
      <w:tr w:rsidR="003B4665" w:rsidTr="00E66811">
        <w:trPr>
          <w:trHeight w:val="152"/>
        </w:trPr>
        <w:tc>
          <w:tcPr>
            <w:tcW w:w="2070" w:type="dxa"/>
            <w:shd w:val="clear" w:color="auto" w:fill="FFFFFF" w:themeFill="background1"/>
          </w:tcPr>
          <w:p w:rsidR="003B4665" w:rsidRPr="00E15438" w:rsidRDefault="003B4665" w:rsidP="00C846EA">
            <w:pPr>
              <w:pStyle w:val="ListParagraph"/>
              <w:spacing w:after="0" w:line="240" w:lineRule="auto"/>
              <w:ind w:left="0"/>
              <w:rPr>
                <w:rFonts w:cs="Times New Roman"/>
                <w:sz w:val="20"/>
                <w:szCs w:val="20"/>
              </w:rPr>
            </w:pPr>
            <w:r w:rsidRPr="00E15438">
              <w:rPr>
                <w:rFonts w:cs="Times New Roman"/>
                <w:sz w:val="20"/>
                <w:szCs w:val="20"/>
              </w:rPr>
              <w:t>Hypertension</w:t>
            </w:r>
          </w:p>
        </w:tc>
        <w:tc>
          <w:tcPr>
            <w:tcW w:w="1980" w:type="dxa"/>
            <w:gridSpan w:val="2"/>
            <w:vMerge w:val="restart"/>
            <w:shd w:val="clear" w:color="auto" w:fill="FFFFFF" w:themeFill="background1"/>
          </w:tcPr>
          <w:p w:rsidR="003B4665" w:rsidRPr="00AA6F5C" w:rsidRDefault="003B4665" w:rsidP="00AA6F5C">
            <w:pPr>
              <w:pStyle w:val="ListParagraph"/>
              <w:spacing w:after="0" w:line="240" w:lineRule="auto"/>
              <w:ind w:left="0"/>
              <w:rPr>
                <w:rFonts w:cs="Times New Roman"/>
                <w:sz w:val="18"/>
                <w:szCs w:val="18"/>
              </w:rPr>
            </w:pPr>
            <w:r w:rsidRPr="00AA6F5C">
              <w:rPr>
                <w:rFonts w:eastAsiaTheme="minorEastAsia"/>
                <w:sz w:val="18"/>
                <w:szCs w:val="18"/>
              </w:rPr>
              <w:t xml:space="preserve">CATEGORY </w:t>
            </w:r>
            <w:r w:rsidRPr="00AA6F5C">
              <w:rPr>
                <w:rFonts w:eastAsiaTheme="minorEastAsia" w:cs="Arial"/>
                <w:sz w:val="18"/>
                <w:szCs w:val="18"/>
              </w:rPr>
              <w:t>II -</w:t>
            </w:r>
            <w:r w:rsidRPr="00AA6F5C">
              <w:rPr>
                <w:rFonts w:eastAsiaTheme="minorEastAsia"/>
                <w:sz w:val="16"/>
                <w:szCs w:val="16"/>
              </w:rPr>
              <w:t xml:space="preserve">Conditions  that can be Un-fitting but </w:t>
            </w:r>
            <w:r w:rsidRPr="00AA6F5C">
              <w:rPr>
                <w:rFonts w:eastAsiaTheme="minorEastAsia" w:cs="Times New Roman"/>
                <w:sz w:val="16"/>
                <w:szCs w:val="16"/>
              </w:rPr>
              <w:t>are not Currently Compensable or Ratable</w:t>
            </w:r>
          </w:p>
        </w:tc>
        <w:tc>
          <w:tcPr>
            <w:tcW w:w="990" w:type="dxa"/>
            <w:tcBorders>
              <w:right w:val="thinThickThinSmallGap" w:sz="24" w:space="0" w:color="auto"/>
            </w:tcBorders>
            <w:shd w:val="clear" w:color="auto" w:fill="FFFFFF" w:themeFill="background1"/>
          </w:tcPr>
          <w:p w:rsidR="003B4665" w:rsidRPr="00E15438" w:rsidRDefault="003B4665" w:rsidP="00C846EA">
            <w:pPr>
              <w:pStyle w:val="ListParagraph"/>
              <w:spacing w:after="0" w:line="240" w:lineRule="auto"/>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3B4665" w:rsidRPr="00E66811" w:rsidRDefault="003B4665" w:rsidP="00C846EA">
            <w:pPr>
              <w:pStyle w:val="ListParagraph"/>
              <w:spacing w:after="0" w:line="240" w:lineRule="auto"/>
              <w:ind w:left="0"/>
              <w:rPr>
                <w:rFonts w:cs="Times New Roman"/>
                <w:sz w:val="20"/>
                <w:szCs w:val="20"/>
              </w:rPr>
            </w:pPr>
            <w:r w:rsidRPr="00E66811">
              <w:rPr>
                <w:rFonts w:cs="Times New Roman"/>
                <w:sz w:val="20"/>
                <w:szCs w:val="20"/>
              </w:rPr>
              <w:t>Hypertension</w:t>
            </w:r>
          </w:p>
        </w:tc>
        <w:tc>
          <w:tcPr>
            <w:tcW w:w="72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7101</w:t>
            </w:r>
          </w:p>
        </w:tc>
        <w:tc>
          <w:tcPr>
            <w:tcW w:w="81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0%</w:t>
            </w:r>
          </w:p>
        </w:tc>
        <w:tc>
          <w:tcPr>
            <w:tcW w:w="1170" w:type="dxa"/>
            <w:shd w:val="clear" w:color="auto" w:fill="FFFFFF" w:themeFill="background1"/>
          </w:tcPr>
          <w:p w:rsidR="003B4665" w:rsidRPr="003B4665" w:rsidRDefault="003B4665" w:rsidP="003B4665">
            <w:pPr>
              <w:jc w:val="center"/>
              <w:rPr>
                <w:color w:val="auto"/>
              </w:rPr>
            </w:pPr>
            <w:r w:rsidRPr="003B4665">
              <w:rPr>
                <w:rFonts w:cs="Times New Roman"/>
                <w:color w:val="auto"/>
                <w:sz w:val="18"/>
                <w:szCs w:val="18"/>
              </w:rPr>
              <w:t>20071205</w:t>
            </w:r>
          </w:p>
        </w:tc>
        <w:tc>
          <w:tcPr>
            <w:tcW w:w="1170" w:type="dxa"/>
            <w:shd w:val="clear" w:color="auto" w:fill="FFFFFF" w:themeFill="background1"/>
          </w:tcPr>
          <w:p w:rsidR="003B4665" w:rsidRPr="00E66811" w:rsidRDefault="003B4665" w:rsidP="00E66811">
            <w:pPr>
              <w:pStyle w:val="ListParagraph"/>
              <w:spacing w:after="0" w:line="240" w:lineRule="auto"/>
              <w:ind w:left="0"/>
              <w:jc w:val="center"/>
              <w:rPr>
                <w:rFonts w:cs="Times New Roman"/>
                <w:sz w:val="18"/>
                <w:szCs w:val="18"/>
              </w:rPr>
            </w:pPr>
            <w:r w:rsidRPr="00E66811">
              <w:rPr>
                <w:rFonts w:cs="Times New Roman"/>
                <w:sz w:val="18"/>
                <w:szCs w:val="18"/>
              </w:rPr>
              <w:t>20070710</w:t>
            </w:r>
          </w:p>
        </w:tc>
      </w:tr>
      <w:tr w:rsidR="003B4665" w:rsidTr="00E66811">
        <w:trPr>
          <w:trHeight w:val="125"/>
        </w:trPr>
        <w:tc>
          <w:tcPr>
            <w:tcW w:w="2070" w:type="dxa"/>
            <w:shd w:val="clear" w:color="auto" w:fill="FFFFFF" w:themeFill="background1"/>
          </w:tcPr>
          <w:p w:rsidR="003B4665" w:rsidRPr="00E15438" w:rsidRDefault="003B4665" w:rsidP="00C846EA">
            <w:pPr>
              <w:pStyle w:val="ListParagraph"/>
              <w:spacing w:after="0" w:line="240" w:lineRule="auto"/>
              <w:ind w:left="0"/>
              <w:rPr>
                <w:rFonts w:cs="Times New Roman"/>
                <w:sz w:val="20"/>
                <w:szCs w:val="20"/>
              </w:rPr>
            </w:pPr>
            <w:r w:rsidRPr="00E15438">
              <w:rPr>
                <w:rFonts w:cs="Times New Roman"/>
                <w:sz w:val="20"/>
                <w:szCs w:val="20"/>
              </w:rPr>
              <w:t>Gout</w:t>
            </w:r>
          </w:p>
        </w:tc>
        <w:tc>
          <w:tcPr>
            <w:tcW w:w="1980" w:type="dxa"/>
            <w:gridSpan w:val="2"/>
            <w:vMerge/>
            <w:shd w:val="clear" w:color="auto" w:fill="FFFFFF" w:themeFill="background1"/>
          </w:tcPr>
          <w:p w:rsidR="003B4665" w:rsidRPr="00AA6F5C" w:rsidRDefault="003B4665" w:rsidP="00AA6F5C">
            <w:pPr>
              <w:pStyle w:val="ListParagraph"/>
              <w:spacing w:after="0" w:line="240" w:lineRule="auto"/>
              <w:ind w:left="0"/>
              <w:rPr>
                <w:rFonts w:cs="Times New Roman"/>
                <w:sz w:val="18"/>
                <w:szCs w:val="18"/>
              </w:rPr>
            </w:pPr>
          </w:p>
        </w:tc>
        <w:tc>
          <w:tcPr>
            <w:tcW w:w="990" w:type="dxa"/>
            <w:tcBorders>
              <w:right w:val="thinThickThinSmallGap" w:sz="24" w:space="0" w:color="auto"/>
            </w:tcBorders>
            <w:shd w:val="clear" w:color="auto" w:fill="FFFFFF" w:themeFill="background1"/>
          </w:tcPr>
          <w:p w:rsidR="003B4665" w:rsidRPr="00E15438" w:rsidRDefault="003B4665" w:rsidP="00C846EA">
            <w:pPr>
              <w:pStyle w:val="ListParagraph"/>
              <w:spacing w:after="0" w:line="240" w:lineRule="auto"/>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3B4665" w:rsidRPr="00E66811" w:rsidRDefault="003B4665" w:rsidP="00C846EA">
            <w:pPr>
              <w:pStyle w:val="ListParagraph"/>
              <w:spacing w:after="0" w:line="240" w:lineRule="auto"/>
              <w:ind w:left="0"/>
              <w:rPr>
                <w:rFonts w:cs="Times New Roman"/>
                <w:sz w:val="20"/>
                <w:szCs w:val="20"/>
              </w:rPr>
            </w:pPr>
            <w:r w:rsidRPr="00E66811">
              <w:rPr>
                <w:rFonts w:cs="Times New Roman"/>
                <w:sz w:val="20"/>
                <w:szCs w:val="20"/>
              </w:rPr>
              <w:t>Gout, Right Great Toe</w:t>
            </w:r>
          </w:p>
        </w:tc>
        <w:tc>
          <w:tcPr>
            <w:tcW w:w="72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5002</w:t>
            </w:r>
          </w:p>
        </w:tc>
        <w:tc>
          <w:tcPr>
            <w:tcW w:w="810" w:type="dxa"/>
            <w:shd w:val="clear" w:color="auto" w:fill="FFFFFF" w:themeFill="background1"/>
          </w:tcPr>
          <w:p w:rsidR="003B4665" w:rsidRPr="00E66811" w:rsidRDefault="003B4665" w:rsidP="00C846EA">
            <w:pPr>
              <w:pStyle w:val="ListParagraph"/>
              <w:spacing w:after="0" w:line="240" w:lineRule="auto"/>
              <w:ind w:left="0"/>
              <w:jc w:val="center"/>
              <w:rPr>
                <w:rFonts w:cs="Times New Roman"/>
                <w:sz w:val="18"/>
                <w:szCs w:val="18"/>
              </w:rPr>
            </w:pPr>
            <w:r w:rsidRPr="00E66811">
              <w:rPr>
                <w:rFonts w:cs="Times New Roman"/>
                <w:sz w:val="18"/>
                <w:szCs w:val="18"/>
              </w:rPr>
              <w:t>0%</w:t>
            </w:r>
          </w:p>
        </w:tc>
        <w:tc>
          <w:tcPr>
            <w:tcW w:w="1170" w:type="dxa"/>
            <w:shd w:val="clear" w:color="auto" w:fill="FFFFFF" w:themeFill="background1"/>
          </w:tcPr>
          <w:p w:rsidR="003B4665" w:rsidRPr="003B4665" w:rsidRDefault="003B4665" w:rsidP="003B4665">
            <w:pPr>
              <w:jc w:val="center"/>
              <w:rPr>
                <w:color w:val="auto"/>
              </w:rPr>
            </w:pPr>
            <w:r w:rsidRPr="003B4665">
              <w:rPr>
                <w:rFonts w:cs="Times New Roman"/>
                <w:color w:val="auto"/>
                <w:sz w:val="18"/>
                <w:szCs w:val="18"/>
              </w:rPr>
              <w:t>20071205</w:t>
            </w:r>
          </w:p>
        </w:tc>
        <w:tc>
          <w:tcPr>
            <w:tcW w:w="1170" w:type="dxa"/>
            <w:shd w:val="clear" w:color="auto" w:fill="FFFFFF" w:themeFill="background1"/>
          </w:tcPr>
          <w:p w:rsidR="003B4665" w:rsidRPr="00E66811" w:rsidRDefault="003B4665" w:rsidP="00E66811">
            <w:pPr>
              <w:pStyle w:val="ListParagraph"/>
              <w:spacing w:after="0" w:line="240" w:lineRule="auto"/>
              <w:ind w:left="0"/>
              <w:jc w:val="center"/>
              <w:rPr>
                <w:rFonts w:cs="Times New Roman"/>
                <w:sz w:val="18"/>
                <w:szCs w:val="18"/>
              </w:rPr>
            </w:pPr>
            <w:r w:rsidRPr="00E66811">
              <w:rPr>
                <w:rFonts w:cs="Times New Roman"/>
                <w:sz w:val="18"/>
                <w:szCs w:val="18"/>
              </w:rPr>
              <w:t>20070710</w:t>
            </w:r>
          </w:p>
        </w:tc>
      </w:tr>
      <w:tr w:rsidR="00E66811" w:rsidTr="00E66811">
        <w:trPr>
          <w:trHeight w:val="125"/>
        </w:trPr>
        <w:tc>
          <w:tcPr>
            <w:tcW w:w="2070" w:type="dxa"/>
            <w:shd w:val="clear" w:color="auto" w:fill="FFFFFF" w:themeFill="background1"/>
          </w:tcPr>
          <w:p w:rsidR="00E66811" w:rsidRPr="00E15438" w:rsidRDefault="00E66811" w:rsidP="00C846EA">
            <w:pPr>
              <w:pStyle w:val="ListParagraph"/>
              <w:spacing w:after="0" w:line="240" w:lineRule="auto"/>
              <w:ind w:left="0"/>
              <w:rPr>
                <w:rFonts w:cs="Times New Roman"/>
                <w:sz w:val="20"/>
                <w:szCs w:val="20"/>
              </w:rPr>
            </w:pPr>
            <w:r w:rsidRPr="00E15438">
              <w:rPr>
                <w:rFonts w:cs="Times New Roman"/>
                <w:sz w:val="20"/>
                <w:szCs w:val="20"/>
              </w:rPr>
              <w:t>Obesity</w:t>
            </w:r>
          </w:p>
        </w:tc>
        <w:tc>
          <w:tcPr>
            <w:tcW w:w="1980" w:type="dxa"/>
            <w:gridSpan w:val="2"/>
            <w:vMerge w:val="restart"/>
            <w:shd w:val="clear" w:color="auto" w:fill="FFFFFF" w:themeFill="background1"/>
          </w:tcPr>
          <w:p w:rsidR="00E66811" w:rsidRPr="00AA6F5C" w:rsidRDefault="00E66811" w:rsidP="00AA6F5C">
            <w:pPr>
              <w:autoSpaceDE w:val="0"/>
              <w:autoSpaceDN w:val="0"/>
              <w:adjustRightInd w:val="0"/>
              <w:rPr>
                <w:rFonts w:cs="Times New Roman"/>
                <w:color w:val="auto"/>
                <w:sz w:val="18"/>
                <w:szCs w:val="18"/>
              </w:rPr>
            </w:pPr>
            <w:r w:rsidRPr="00AA6F5C">
              <w:rPr>
                <w:rFonts w:eastAsiaTheme="minorEastAsia"/>
                <w:color w:val="auto"/>
                <w:sz w:val="18"/>
                <w:szCs w:val="18"/>
              </w:rPr>
              <w:t xml:space="preserve">CATEGORY </w:t>
            </w:r>
            <w:r w:rsidRPr="00AA6F5C">
              <w:rPr>
                <w:rFonts w:eastAsiaTheme="minorEastAsia" w:cs="Arial"/>
                <w:color w:val="auto"/>
                <w:sz w:val="18"/>
                <w:szCs w:val="18"/>
              </w:rPr>
              <w:t xml:space="preserve">Ill - </w:t>
            </w:r>
            <w:r w:rsidRPr="00AA6F5C">
              <w:rPr>
                <w:rFonts w:eastAsiaTheme="minorEastAsia"/>
                <w:color w:val="auto"/>
                <w:sz w:val="16"/>
                <w:szCs w:val="16"/>
              </w:rPr>
              <w:t>Conditions that are not Separately</w:t>
            </w:r>
            <w:r w:rsidR="00AA6F5C" w:rsidRPr="00AA6F5C">
              <w:rPr>
                <w:rFonts w:eastAsiaTheme="minorEastAsia"/>
                <w:color w:val="auto"/>
                <w:sz w:val="16"/>
                <w:szCs w:val="16"/>
              </w:rPr>
              <w:t xml:space="preserve"> </w:t>
            </w:r>
            <w:r w:rsidRPr="00AA6F5C">
              <w:rPr>
                <w:rFonts w:eastAsiaTheme="minorEastAsia" w:cs="Times New Roman"/>
                <w:color w:val="auto"/>
                <w:sz w:val="16"/>
                <w:szCs w:val="16"/>
              </w:rPr>
              <w:t>Unfitting and not Compensable or ratable:</w:t>
            </w:r>
          </w:p>
        </w:tc>
        <w:tc>
          <w:tcPr>
            <w:tcW w:w="990" w:type="dxa"/>
            <w:tcBorders>
              <w:right w:val="thinThickThinSmallGap" w:sz="24" w:space="0" w:color="auto"/>
            </w:tcBorders>
            <w:shd w:val="clear" w:color="auto" w:fill="FFFFFF" w:themeFill="background1"/>
          </w:tcPr>
          <w:p w:rsidR="00E66811" w:rsidRPr="00E15438" w:rsidRDefault="00E66811" w:rsidP="00C846EA">
            <w:pPr>
              <w:pStyle w:val="ListParagraph"/>
              <w:spacing w:after="0" w:line="240" w:lineRule="auto"/>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E66811" w:rsidRPr="00E66811" w:rsidRDefault="00E66811" w:rsidP="00C846EA">
            <w:pPr>
              <w:pStyle w:val="ListParagraph"/>
              <w:spacing w:after="0" w:line="240" w:lineRule="auto"/>
              <w:ind w:left="0"/>
              <w:rPr>
                <w:rFonts w:cs="Times New Roman"/>
                <w:sz w:val="20"/>
                <w:szCs w:val="20"/>
              </w:rPr>
            </w:pPr>
          </w:p>
        </w:tc>
        <w:tc>
          <w:tcPr>
            <w:tcW w:w="72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81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r>
      <w:tr w:rsidR="00E66811" w:rsidTr="00E66811">
        <w:trPr>
          <w:trHeight w:val="125"/>
        </w:trPr>
        <w:tc>
          <w:tcPr>
            <w:tcW w:w="2070" w:type="dxa"/>
            <w:shd w:val="clear" w:color="auto" w:fill="FFFFFF" w:themeFill="background1"/>
          </w:tcPr>
          <w:p w:rsidR="00E66811" w:rsidRPr="00E15438" w:rsidRDefault="00E66811" w:rsidP="00C846EA">
            <w:pPr>
              <w:pStyle w:val="ListParagraph"/>
              <w:spacing w:after="0" w:line="240" w:lineRule="auto"/>
              <w:ind w:left="0"/>
              <w:rPr>
                <w:rFonts w:cs="Times New Roman"/>
                <w:sz w:val="20"/>
                <w:szCs w:val="20"/>
              </w:rPr>
            </w:pPr>
            <w:proofErr w:type="spellStart"/>
            <w:r w:rsidRPr="00E15438">
              <w:rPr>
                <w:rFonts w:cs="Times New Roman"/>
                <w:sz w:val="20"/>
                <w:szCs w:val="20"/>
              </w:rPr>
              <w:t>Hyperlipidemia</w:t>
            </w:r>
            <w:proofErr w:type="spellEnd"/>
          </w:p>
        </w:tc>
        <w:tc>
          <w:tcPr>
            <w:tcW w:w="1980" w:type="dxa"/>
            <w:gridSpan w:val="2"/>
            <w:vMerge/>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E66811" w:rsidRPr="00E15438" w:rsidRDefault="00E66811" w:rsidP="00C846EA">
            <w:pPr>
              <w:pStyle w:val="ListParagraph"/>
              <w:spacing w:after="0" w:line="240" w:lineRule="auto"/>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E66811" w:rsidRPr="00E66811" w:rsidRDefault="00E66811" w:rsidP="00C846EA">
            <w:pPr>
              <w:pStyle w:val="ListParagraph"/>
              <w:spacing w:after="0" w:line="240" w:lineRule="auto"/>
              <w:ind w:left="0"/>
              <w:rPr>
                <w:rFonts w:cs="Times New Roman"/>
                <w:sz w:val="20"/>
                <w:szCs w:val="20"/>
              </w:rPr>
            </w:pPr>
          </w:p>
        </w:tc>
        <w:tc>
          <w:tcPr>
            <w:tcW w:w="72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81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r>
      <w:tr w:rsidR="00E66811" w:rsidTr="00E66811">
        <w:trPr>
          <w:trHeight w:val="125"/>
        </w:trPr>
        <w:tc>
          <w:tcPr>
            <w:tcW w:w="2070" w:type="dxa"/>
            <w:shd w:val="clear" w:color="auto" w:fill="FFFFFF" w:themeFill="background1"/>
          </w:tcPr>
          <w:p w:rsidR="00E66811" w:rsidRPr="00E15438" w:rsidRDefault="00E66811" w:rsidP="00C846EA">
            <w:pPr>
              <w:pStyle w:val="ListParagraph"/>
              <w:spacing w:after="0" w:line="240" w:lineRule="auto"/>
              <w:ind w:left="0"/>
              <w:rPr>
                <w:rFonts w:cs="Times New Roman"/>
                <w:sz w:val="20"/>
                <w:szCs w:val="20"/>
              </w:rPr>
            </w:pPr>
          </w:p>
        </w:tc>
        <w:tc>
          <w:tcPr>
            <w:tcW w:w="1170" w:type="dxa"/>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p>
        </w:tc>
        <w:tc>
          <w:tcPr>
            <w:tcW w:w="810" w:type="dxa"/>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E66811" w:rsidRPr="00E15438" w:rsidRDefault="00E66811" w:rsidP="00C846EA">
            <w:pPr>
              <w:pStyle w:val="ListParagraph"/>
              <w:spacing w:after="0" w:line="240" w:lineRule="auto"/>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E66811" w:rsidRPr="00E66811" w:rsidRDefault="00E66811" w:rsidP="00E66811">
            <w:pPr>
              <w:autoSpaceDE w:val="0"/>
              <w:autoSpaceDN w:val="0"/>
              <w:adjustRightInd w:val="0"/>
              <w:rPr>
                <w:rFonts w:eastAsiaTheme="minorEastAsia"/>
                <w:color w:val="auto"/>
                <w:sz w:val="20"/>
                <w:szCs w:val="20"/>
              </w:rPr>
            </w:pPr>
            <w:r w:rsidRPr="00E66811">
              <w:rPr>
                <w:rFonts w:eastAsiaTheme="minorEastAsia"/>
                <w:color w:val="auto"/>
                <w:sz w:val="20"/>
                <w:szCs w:val="20"/>
              </w:rPr>
              <w:t>Degenerative Arthritis, Claimed As Left Ankle</w:t>
            </w:r>
          </w:p>
          <w:p w:rsidR="00E66811" w:rsidRPr="00E66811" w:rsidRDefault="00E66811" w:rsidP="00E66811">
            <w:pPr>
              <w:pStyle w:val="ListParagraph"/>
              <w:spacing w:after="0" w:line="240" w:lineRule="auto"/>
              <w:ind w:left="0"/>
              <w:rPr>
                <w:rFonts w:cs="Times New Roman"/>
                <w:sz w:val="20"/>
                <w:szCs w:val="20"/>
              </w:rPr>
            </w:pPr>
            <w:r w:rsidRPr="00E66811">
              <w:rPr>
                <w:rFonts w:eastAsiaTheme="minorEastAsia" w:cs="Times New Roman"/>
                <w:sz w:val="20"/>
                <w:szCs w:val="20"/>
              </w:rPr>
              <w:t>Dysfunction</w:t>
            </w:r>
          </w:p>
        </w:tc>
        <w:tc>
          <w:tcPr>
            <w:tcW w:w="72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5010</w:t>
            </w:r>
          </w:p>
        </w:tc>
        <w:tc>
          <w:tcPr>
            <w:tcW w:w="81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0%</w:t>
            </w: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r>
      <w:tr w:rsidR="00E66811" w:rsidTr="00E66811">
        <w:trPr>
          <w:trHeight w:val="125"/>
        </w:trPr>
        <w:tc>
          <w:tcPr>
            <w:tcW w:w="2070" w:type="dxa"/>
            <w:shd w:val="clear" w:color="auto" w:fill="FFFFFF" w:themeFill="background1"/>
          </w:tcPr>
          <w:p w:rsidR="00E66811" w:rsidRPr="00E15438" w:rsidRDefault="00E66811" w:rsidP="00C846EA">
            <w:pPr>
              <w:pStyle w:val="ListParagraph"/>
              <w:spacing w:after="0" w:line="240" w:lineRule="auto"/>
              <w:ind w:left="0"/>
              <w:rPr>
                <w:rFonts w:cs="Times New Roman"/>
                <w:sz w:val="20"/>
                <w:szCs w:val="20"/>
              </w:rPr>
            </w:pPr>
          </w:p>
        </w:tc>
        <w:tc>
          <w:tcPr>
            <w:tcW w:w="1170" w:type="dxa"/>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p>
        </w:tc>
        <w:tc>
          <w:tcPr>
            <w:tcW w:w="810" w:type="dxa"/>
            <w:shd w:val="clear" w:color="auto" w:fill="FFFFFF" w:themeFill="background1"/>
          </w:tcPr>
          <w:p w:rsidR="00E66811" w:rsidRPr="00E15438" w:rsidRDefault="00E66811" w:rsidP="00C846EA">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E66811" w:rsidRPr="00E15438" w:rsidRDefault="00E66811" w:rsidP="00C846EA">
            <w:pPr>
              <w:pStyle w:val="ListParagraph"/>
              <w:spacing w:after="0" w:line="240" w:lineRule="auto"/>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E66811" w:rsidRPr="00E66811" w:rsidRDefault="00E66811" w:rsidP="00C846EA">
            <w:pPr>
              <w:pStyle w:val="ListParagraph"/>
              <w:spacing w:after="0" w:line="240" w:lineRule="auto"/>
              <w:ind w:left="0"/>
              <w:rPr>
                <w:rFonts w:cs="Times New Roman"/>
                <w:sz w:val="20"/>
                <w:szCs w:val="20"/>
              </w:rPr>
            </w:pPr>
            <w:proofErr w:type="spellStart"/>
            <w:r w:rsidRPr="00E66811">
              <w:rPr>
                <w:rFonts w:cs="Times New Roman"/>
                <w:sz w:val="20"/>
                <w:szCs w:val="20"/>
              </w:rPr>
              <w:t>Pseudofolliculitis</w:t>
            </w:r>
            <w:proofErr w:type="spellEnd"/>
            <w:r w:rsidRPr="00E66811">
              <w:rPr>
                <w:rFonts w:cs="Times New Roman"/>
                <w:sz w:val="20"/>
                <w:szCs w:val="20"/>
              </w:rPr>
              <w:t xml:space="preserve"> </w:t>
            </w:r>
            <w:proofErr w:type="spellStart"/>
            <w:r w:rsidRPr="00E66811">
              <w:rPr>
                <w:rFonts w:cs="Times New Roman"/>
                <w:sz w:val="20"/>
                <w:szCs w:val="20"/>
              </w:rPr>
              <w:t>Barbae</w:t>
            </w:r>
            <w:proofErr w:type="spellEnd"/>
          </w:p>
        </w:tc>
        <w:tc>
          <w:tcPr>
            <w:tcW w:w="72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7813</w:t>
            </w:r>
          </w:p>
        </w:tc>
        <w:tc>
          <w:tcPr>
            <w:tcW w:w="81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r w:rsidRPr="00E66811">
              <w:rPr>
                <w:rFonts w:cs="Times New Roman"/>
                <w:sz w:val="18"/>
                <w:szCs w:val="18"/>
              </w:rPr>
              <w:t>0%</w:t>
            </w: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E66811" w:rsidRDefault="00E66811" w:rsidP="00C846EA">
            <w:pPr>
              <w:pStyle w:val="ListParagraph"/>
              <w:spacing w:after="0" w:line="240" w:lineRule="auto"/>
              <w:ind w:left="0"/>
              <w:jc w:val="center"/>
              <w:rPr>
                <w:rFonts w:cs="Times New Roman"/>
                <w:sz w:val="18"/>
                <w:szCs w:val="18"/>
              </w:rPr>
            </w:pPr>
          </w:p>
        </w:tc>
      </w:tr>
      <w:tr w:rsidR="00E66811" w:rsidTr="00C846EA">
        <w:trPr>
          <w:trHeight w:val="197"/>
        </w:trPr>
        <w:tc>
          <w:tcPr>
            <w:tcW w:w="5040" w:type="dxa"/>
            <w:gridSpan w:val="4"/>
            <w:tcBorders>
              <w:right w:val="thinThickThinSmallGap" w:sz="24" w:space="0" w:color="auto"/>
            </w:tcBorders>
            <w:shd w:val="clear" w:color="auto" w:fill="FFFFFF" w:themeFill="background1"/>
          </w:tcPr>
          <w:p w:rsidR="00E66811" w:rsidRPr="00AE3316" w:rsidRDefault="00E66811" w:rsidP="00C846EA">
            <w:pPr>
              <w:pStyle w:val="ListParagraph"/>
              <w:spacing w:after="0" w:line="240" w:lineRule="auto"/>
              <w:ind w:left="0"/>
              <w:jc w:val="center"/>
              <w:rPr>
                <w:rFonts w:cs="Times New Roman"/>
                <w:b/>
                <w:sz w:val="18"/>
                <w:szCs w:val="18"/>
              </w:rPr>
            </w:pPr>
          </w:p>
        </w:tc>
        <w:tc>
          <w:tcPr>
            <w:tcW w:w="3870" w:type="dxa"/>
            <w:gridSpan w:val="3"/>
            <w:tcBorders>
              <w:left w:val="thinThickThinSmallGap" w:sz="24" w:space="0" w:color="auto"/>
            </w:tcBorders>
            <w:shd w:val="clear" w:color="auto" w:fill="FFFFFF" w:themeFill="background1"/>
          </w:tcPr>
          <w:p w:rsidR="00E66811" w:rsidRPr="00AE3316" w:rsidRDefault="00E66811" w:rsidP="00E66811">
            <w:pPr>
              <w:pStyle w:val="ListParagraph"/>
              <w:spacing w:after="0" w:line="240" w:lineRule="auto"/>
              <w:ind w:left="0"/>
              <w:jc w:val="center"/>
              <w:rPr>
                <w:rFonts w:cs="Times New Roman"/>
                <w:sz w:val="18"/>
                <w:szCs w:val="18"/>
              </w:rPr>
            </w:pPr>
            <w:r w:rsidRPr="00AE3316">
              <w:rPr>
                <w:rFonts w:cs="Times New Roman"/>
                <w:sz w:val="18"/>
                <w:szCs w:val="18"/>
              </w:rPr>
              <w:t xml:space="preserve">NSC X </w:t>
            </w:r>
            <w:r>
              <w:rPr>
                <w:rFonts w:cs="Times New Roman"/>
                <w:sz w:val="18"/>
                <w:szCs w:val="18"/>
              </w:rPr>
              <w:t>1</w:t>
            </w:r>
            <w:r w:rsidR="0056423B">
              <w:rPr>
                <w:rFonts w:cs="Times New Roman"/>
                <w:sz w:val="18"/>
                <w:szCs w:val="18"/>
              </w:rPr>
              <w:t xml:space="preserve"> OSA</w:t>
            </w:r>
          </w:p>
        </w:tc>
        <w:tc>
          <w:tcPr>
            <w:tcW w:w="1170" w:type="dxa"/>
            <w:shd w:val="clear" w:color="auto" w:fill="FFFFFF" w:themeFill="background1"/>
          </w:tcPr>
          <w:p w:rsidR="00E66811" w:rsidRPr="00AE3316" w:rsidRDefault="00E66811" w:rsidP="00C846EA">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E66811" w:rsidRPr="00AE3316" w:rsidRDefault="00E66811" w:rsidP="00C846EA">
            <w:pPr>
              <w:pStyle w:val="ListParagraph"/>
              <w:spacing w:after="0" w:line="240" w:lineRule="auto"/>
              <w:ind w:left="0"/>
              <w:jc w:val="center"/>
              <w:rPr>
                <w:rFonts w:cs="Times New Roman"/>
                <w:sz w:val="18"/>
                <w:szCs w:val="18"/>
              </w:rPr>
            </w:pPr>
          </w:p>
        </w:tc>
      </w:tr>
      <w:tr w:rsidR="00E66811" w:rsidTr="00AE3316">
        <w:trPr>
          <w:trHeight w:val="305"/>
        </w:trPr>
        <w:tc>
          <w:tcPr>
            <w:tcW w:w="5040" w:type="dxa"/>
            <w:gridSpan w:val="4"/>
            <w:tcBorders>
              <w:right w:val="thinThickThinSmallGap" w:sz="24" w:space="0" w:color="auto"/>
            </w:tcBorders>
            <w:shd w:val="clear" w:color="auto" w:fill="EEECE1" w:themeFill="background2"/>
          </w:tcPr>
          <w:p w:rsidR="00E66811" w:rsidRPr="00AE3316" w:rsidRDefault="00E66811" w:rsidP="001A22EA">
            <w:pPr>
              <w:pStyle w:val="ListParagraph"/>
              <w:spacing w:after="0" w:line="240" w:lineRule="auto"/>
              <w:ind w:left="0"/>
              <w:jc w:val="center"/>
              <w:rPr>
                <w:rFonts w:cs="Times New Roman"/>
                <w:b/>
              </w:rPr>
            </w:pPr>
            <w:r w:rsidRPr="00AE3316">
              <w:rPr>
                <w:rFonts w:cs="Times New Roman"/>
                <w:b/>
              </w:rPr>
              <w:t xml:space="preserve">TOTAL Combined:  </w:t>
            </w:r>
            <w:r>
              <w:rPr>
                <w:rFonts w:cs="Times New Roman"/>
                <w:b/>
              </w:rPr>
              <w:t>2</w:t>
            </w:r>
            <w:r w:rsidRPr="00AE3316">
              <w:rPr>
                <w:rFonts w:cs="Times New Roman"/>
                <w:b/>
              </w:rPr>
              <w:t>0%</w:t>
            </w:r>
          </w:p>
        </w:tc>
        <w:tc>
          <w:tcPr>
            <w:tcW w:w="6210" w:type="dxa"/>
            <w:gridSpan w:val="5"/>
            <w:tcBorders>
              <w:left w:val="thinThickThinSmallGap" w:sz="24" w:space="0" w:color="auto"/>
            </w:tcBorders>
            <w:shd w:val="clear" w:color="auto" w:fill="EEECE1" w:themeFill="background2"/>
          </w:tcPr>
          <w:p w:rsidR="00E66811" w:rsidRDefault="00E66811" w:rsidP="00E66811">
            <w:pPr>
              <w:pStyle w:val="ListParagraph"/>
              <w:spacing w:after="0" w:line="240" w:lineRule="auto"/>
              <w:ind w:left="0"/>
              <w:rPr>
                <w:rFonts w:cs="Times New Roman"/>
                <w:b/>
              </w:rPr>
            </w:pPr>
            <w:r w:rsidRPr="00AE3316">
              <w:rPr>
                <w:rFonts w:cs="Times New Roman"/>
                <w:b/>
              </w:rPr>
              <w:t>TOTAL Combined (</w:t>
            </w:r>
            <w:r w:rsidRPr="00AE3316">
              <w:rPr>
                <w:rFonts w:cs="Times New Roman"/>
                <w:b/>
                <w:i/>
                <w:sz w:val="20"/>
                <w:szCs w:val="20"/>
              </w:rPr>
              <w:t>Includes Non-PEB Conditions</w:t>
            </w:r>
            <w:r>
              <w:rPr>
                <w:rFonts w:cs="Times New Roman"/>
                <w:b/>
              </w:rPr>
              <w:t xml:space="preserve">): </w:t>
            </w:r>
          </w:p>
          <w:p w:rsidR="00E66811" w:rsidRPr="00AE3316" w:rsidRDefault="00E66811" w:rsidP="00E66811">
            <w:pPr>
              <w:pStyle w:val="ListParagraph"/>
              <w:spacing w:after="0" w:line="240" w:lineRule="auto"/>
              <w:ind w:left="0"/>
              <w:rPr>
                <w:rFonts w:cs="Times New Roman"/>
                <w:b/>
              </w:rPr>
            </w:pPr>
            <w:r>
              <w:rPr>
                <w:rFonts w:cs="Times New Roman"/>
                <w:b/>
              </w:rPr>
              <w:t xml:space="preserve">                                                                                  6</w:t>
            </w:r>
            <w:r w:rsidRPr="00AE3316">
              <w:rPr>
                <w:rFonts w:cs="Times New Roman"/>
                <w:b/>
              </w:rPr>
              <w:t xml:space="preserve">0% </w:t>
            </w:r>
            <w:r>
              <w:rPr>
                <w:rFonts w:cs="Times New Roman"/>
                <w:b/>
              </w:rPr>
              <w:t xml:space="preserve"> from 20070710</w:t>
            </w:r>
            <w:r w:rsidRPr="00AE3316">
              <w:rPr>
                <w:rFonts w:cs="Times New Roman"/>
                <w:b/>
              </w:rPr>
              <w:t xml:space="preserve">                                                                        </w:t>
            </w:r>
            <w:r w:rsidRPr="00AE3316">
              <w:rPr>
                <w:rFonts w:cs="Times New Roman"/>
                <w:color w:val="000000"/>
                <w:sz w:val="21"/>
                <w:szCs w:val="24"/>
              </w:rPr>
              <w:t xml:space="preserve"> </w:t>
            </w:r>
          </w:p>
        </w:tc>
      </w:tr>
      <w:tr w:rsidR="00E66811" w:rsidTr="00AE3316">
        <w:trPr>
          <w:trHeight w:val="305"/>
        </w:trPr>
        <w:tc>
          <w:tcPr>
            <w:tcW w:w="5040" w:type="dxa"/>
            <w:gridSpan w:val="4"/>
            <w:tcBorders>
              <w:right w:val="thinThickThinSmallGap" w:sz="24" w:space="0" w:color="auto"/>
            </w:tcBorders>
            <w:shd w:val="clear" w:color="auto" w:fill="EEECE1" w:themeFill="background2"/>
          </w:tcPr>
          <w:p w:rsidR="00E66811" w:rsidRPr="00AE3316" w:rsidRDefault="00E66811" w:rsidP="001A22EA">
            <w:pPr>
              <w:pStyle w:val="ListParagraph"/>
              <w:spacing w:after="0" w:line="240" w:lineRule="auto"/>
              <w:ind w:left="0"/>
              <w:jc w:val="center"/>
              <w:rPr>
                <w:rFonts w:cs="Times New Roman"/>
                <w:b/>
              </w:rPr>
            </w:pPr>
          </w:p>
        </w:tc>
        <w:tc>
          <w:tcPr>
            <w:tcW w:w="6210" w:type="dxa"/>
            <w:gridSpan w:val="5"/>
            <w:tcBorders>
              <w:left w:val="thinThickThinSmallGap" w:sz="24" w:space="0" w:color="auto"/>
            </w:tcBorders>
            <w:shd w:val="clear" w:color="auto" w:fill="EEECE1" w:themeFill="background2"/>
          </w:tcPr>
          <w:p w:rsidR="00E66811" w:rsidRPr="00AE3316" w:rsidRDefault="00E66811" w:rsidP="00E66811">
            <w:pPr>
              <w:pStyle w:val="ListParagraph"/>
              <w:spacing w:after="0" w:line="240" w:lineRule="auto"/>
              <w:ind w:left="0"/>
              <w:rPr>
                <w:rFonts w:cs="Times New Roman"/>
                <w:b/>
              </w:rPr>
            </w:pPr>
          </w:p>
        </w:tc>
      </w:tr>
    </w:tbl>
    <w:p w:rsidR="00A90D55" w:rsidRPr="00925D7B" w:rsidRDefault="008B5D31" w:rsidP="00925D7B">
      <w:pPr>
        <w:tabs>
          <w:tab w:val="left" w:pos="288"/>
          <w:tab w:val="left" w:pos="4752"/>
        </w:tabs>
        <w:spacing w:line="240" w:lineRule="exact"/>
        <w:jc w:val="both"/>
        <w:rPr>
          <w:color w:val="auto"/>
          <w:szCs w:val="24"/>
        </w:rPr>
      </w:pPr>
      <w:r w:rsidRPr="00925D7B">
        <w:rPr>
          <w:color w:val="auto"/>
          <w:szCs w:val="24"/>
          <w:u w:val="single"/>
        </w:rPr>
        <w:t>_______________________________________________________________</w:t>
      </w:r>
      <w:r w:rsidR="00A90D55" w:rsidRPr="00925D7B">
        <w:rPr>
          <w:color w:val="auto"/>
          <w:szCs w:val="24"/>
        </w:rPr>
        <w:t>_</w:t>
      </w:r>
    </w:p>
    <w:p w:rsidR="00A90D55" w:rsidRPr="00925D7B" w:rsidRDefault="00A90D55" w:rsidP="00925D7B">
      <w:pPr>
        <w:tabs>
          <w:tab w:val="left" w:pos="288"/>
          <w:tab w:val="left" w:pos="4752"/>
        </w:tabs>
        <w:spacing w:line="240" w:lineRule="exact"/>
        <w:jc w:val="both"/>
        <w:rPr>
          <w:color w:val="auto"/>
          <w:szCs w:val="24"/>
        </w:rPr>
      </w:pPr>
    </w:p>
    <w:p w:rsidR="00693258" w:rsidRDefault="00693258">
      <w:pPr>
        <w:rPr>
          <w:b/>
          <w:color w:val="auto"/>
          <w:szCs w:val="24"/>
          <w:u w:val="single"/>
        </w:rPr>
      </w:pPr>
      <w:r>
        <w:rPr>
          <w:b/>
          <w:color w:val="auto"/>
          <w:szCs w:val="24"/>
          <w:u w:val="single"/>
        </w:rPr>
        <w:br w:type="page"/>
      </w:r>
    </w:p>
    <w:p w:rsidR="00A90D55" w:rsidRPr="006106B7" w:rsidRDefault="00A90D55" w:rsidP="00925D7B">
      <w:pPr>
        <w:tabs>
          <w:tab w:val="left" w:pos="288"/>
          <w:tab w:val="left" w:pos="4752"/>
        </w:tabs>
        <w:spacing w:line="240" w:lineRule="exact"/>
        <w:jc w:val="both"/>
        <w:rPr>
          <w:color w:val="auto"/>
          <w:szCs w:val="24"/>
        </w:rPr>
      </w:pPr>
      <w:r w:rsidRPr="006106B7">
        <w:rPr>
          <w:color w:val="auto"/>
          <w:szCs w:val="24"/>
          <w:u w:val="single"/>
        </w:rPr>
        <w:lastRenderedPageBreak/>
        <w:t>ANALYSIS SUMMARY</w:t>
      </w:r>
      <w:r w:rsidRPr="006106B7">
        <w:rPr>
          <w:color w:val="auto"/>
          <w:szCs w:val="24"/>
        </w:rPr>
        <w:t>:</w:t>
      </w:r>
    </w:p>
    <w:p w:rsidR="00A90D55" w:rsidRPr="006106B7" w:rsidRDefault="00A90D55" w:rsidP="008535B9">
      <w:pPr>
        <w:tabs>
          <w:tab w:val="left" w:pos="288"/>
          <w:tab w:val="left" w:pos="4752"/>
        </w:tabs>
        <w:spacing w:line="240" w:lineRule="exact"/>
        <w:jc w:val="both"/>
        <w:rPr>
          <w:color w:val="000080"/>
          <w:szCs w:val="24"/>
        </w:rPr>
      </w:pPr>
    </w:p>
    <w:p w:rsidR="00752DEE" w:rsidRPr="006106B7" w:rsidRDefault="00E866F8" w:rsidP="00752DEE">
      <w:pPr>
        <w:tabs>
          <w:tab w:val="left" w:pos="288"/>
          <w:tab w:val="left" w:pos="4752"/>
        </w:tabs>
        <w:spacing w:line="240" w:lineRule="exact"/>
        <w:jc w:val="both"/>
        <w:rPr>
          <w:color w:val="auto"/>
          <w:szCs w:val="24"/>
        </w:rPr>
      </w:pPr>
      <w:r w:rsidRPr="006106B7">
        <w:rPr>
          <w:color w:val="auto"/>
          <w:szCs w:val="24"/>
          <w:u w:val="single"/>
        </w:rPr>
        <w:t>Condition 1</w:t>
      </w:r>
      <w:r w:rsidRPr="006106B7">
        <w:rPr>
          <w:color w:val="auto"/>
          <w:szCs w:val="24"/>
        </w:rPr>
        <w:t>:</w:t>
      </w:r>
      <w:r w:rsidR="0079284D" w:rsidRPr="006106B7">
        <w:rPr>
          <w:color w:val="auto"/>
          <w:szCs w:val="24"/>
        </w:rPr>
        <w:t xml:space="preserve">   Bilateral Knee pain</w:t>
      </w:r>
    </w:p>
    <w:p w:rsidR="00752DEE" w:rsidRPr="006106B7" w:rsidRDefault="00752DEE" w:rsidP="00752DEE">
      <w:pPr>
        <w:tabs>
          <w:tab w:val="left" w:pos="288"/>
          <w:tab w:val="left" w:pos="4752"/>
        </w:tabs>
        <w:spacing w:line="240" w:lineRule="exact"/>
        <w:jc w:val="both"/>
        <w:rPr>
          <w:color w:val="auto"/>
          <w:szCs w:val="24"/>
        </w:rPr>
      </w:pPr>
      <w:r w:rsidRPr="006106B7">
        <w:rPr>
          <w:color w:val="auto"/>
          <w:szCs w:val="24"/>
        </w:rPr>
        <w:t>CI had long history of bilateral knee problems and multiple sport and traumatic injuries of both knees.</w:t>
      </w:r>
      <w:r w:rsidR="007C61E7">
        <w:rPr>
          <w:color w:val="auto"/>
          <w:szCs w:val="24"/>
        </w:rPr>
        <w:t xml:space="preserve"> </w:t>
      </w:r>
      <w:r w:rsidRPr="006106B7">
        <w:rPr>
          <w:color w:val="auto"/>
          <w:szCs w:val="24"/>
        </w:rPr>
        <w:t xml:space="preserve"> The NARSUM and VA C&amp;P exam report two arthroscopic surgeries of the right knee and none on the left.</w:t>
      </w:r>
      <w:r w:rsidR="007C61E7">
        <w:rPr>
          <w:color w:val="auto"/>
          <w:szCs w:val="24"/>
        </w:rPr>
        <w:t xml:space="preserve"> </w:t>
      </w:r>
      <w:r w:rsidRPr="006106B7">
        <w:rPr>
          <w:color w:val="auto"/>
          <w:szCs w:val="24"/>
        </w:rPr>
        <w:t xml:space="preserve"> However, the STR contains only one operative report and it discusses a left knee </w:t>
      </w:r>
      <w:proofErr w:type="spellStart"/>
      <w:r w:rsidRPr="006106B7">
        <w:rPr>
          <w:color w:val="auto"/>
          <w:szCs w:val="24"/>
        </w:rPr>
        <w:t>meniscal</w:t>
      </w:r>
      <w:proofErr w:type="spellEnd"/>
      <w:r w:rsidRPr="006106B7">
        <w:rPr>
          <w:color w:val="auto"/>
          <w:szCs w:val="24"/>
        </w:rPr>
        <w:t xml:space="preserve"> repair on 19921203. </w:t>
      </w:r>
      <w:r w:rsidR="007C61E7">
        <w:rPr>
          <w:color w:val="auto"/>
          <w:szCs w:val="24"/>
        </w:rPr>
        <w:t xml:space="preserve"> </w:t>
      </w:r>
      <w:r w:rsidRPr="006106B7">
        <w:rPr>
          <w:color w:val="auto"/>
          <w:szCs w:val="24"/>
        </w:rPr>
        <w:t xml:space="preserve">There are multiple references to a right knee arthroscopy in June 2004 for a </w:t>
      </w:r>
      <w:proofErr w:type="spellStart"/>
      <w:r w:rsidRPr="006106B7">
        <w:rPr>
          <w:color w:val="auto"/>
          <w:szCs w:val="24"/>
        </w:rPr>
        <w:t>meniscal</w:t>
      </w:r>
      <w:proofErr w:type="spellEnd"/>
      <w:r w:rsidRPr="006106B7">
        <w:rPr>
          <w:color w:val="auto"/>
          <w:szCs w:val="24"/>
        </w:rPr>
        <w:t xml:space="preserve"> tear and MRI of May 2004 documented a </w:t>
      </w:r>
      <w:proofErr w:type="spellStart"/>
      <w:r w:rsidRPr="006106B7">
        <w:rPr>
          <w:color w:val="auto"/>
          <w:szCs w:val="24"/>
        </w:rPr>
        <w:t>meniscal</w:t>
      </w:r>
      <w:proofErr w:type="spellEnd"/>
      <w:r w:rsidRPr="006106B7">
        <w:rPr>
          <w:color w:val="auto"/>
          <w:szCs w:val="24"/>
        </w:rPr>
        <w:t xml:space="preserve"> tear. </w:t>
      </w:r>
      <w:r w:rsidR="007C61E7">
        <w:rPr>
          <w:color w:val="auto"/>
          <w:szCs w:val="24"/>
        </w:rPr>
        <w:t xml:space="preserve"> </w:t>
      </w:r>
      <w:r w:rsidRPr="006106B7">
        <w:rPr>
          <w:color w:val="auto"/>
          <w:szCs w:val="24"/>
        </w:rPr>
        <w:t>It is possible the CI had two arthroscopic surgeries of the right knee and one on the left knee but he definitely had at least one arthroscopy in each knee.</w:t>
      </w:r>
    </w:p>
    <w:p w:rsidR="00752DEE" w:rsidRPr="006106B7" w:rsidRDefault="00752DEE" w:rsidP="00752DEE">
      <w:pPr>
        <w:tabs>
          <w:tab w:val="left" w:pos="288"/>
          <w:tab w:val="left" w:pos="4752"/>
        </w:tabs>
        <w:spacing w:line="240" w:lineRule="exact"/>
        <w:jc w:val="both"/>
        <w:rPr>
          <w:color w:val="auto"/>
          <w:szCs w:val="24"/>
        </w:rPr>
      </w:pPr>
    </w:p>
    <w:p w:rsidR="00752DEE" w:rsidRPr="006106B7" w:rsidRDefault="00752DEE" w:rsidP="00752DEE">
      <w:pPr>
        <w:tabs>
          <w:tab w:val="left" w:pos="288"/>
          <w:tab w:val="left" w:pos="4752"/>
        </w:tabs>
        <w:spacing w:line="240" w:lineRule="exact"/>
        <w:jc w:val="both"/>
        <w:rPr>
          <w:color w:val="auto"/>
          <w:szCs w:val="24"/>
          <w:u w:val="single"/>
        </w:rPr>
      </w:pPr>
      <w:r w:rsidRPr="006106B7">
        <w:rPr>
          <w:color w:val="auto"/>
          <w:szCs w:val="24"/>
          <w:u w:val="single"/>
        </w:rPr>
        <w:t>Right knee</w:t>
      </w:r>
    </w:p>
    <w:p w:rsidR="00752DEE" w:rsidRPr="006106B7" w:rsidRDefault="00752DEE" w:rsidP="00752DEE">
      <w:pPr>
        <w:tabs>
          <w:tab w:val="left" w:pos="288"/>
          <w:tab w:val="left" w:pos="4752"/>
        </w:tabs>
        <w:spacing w:line="240" w:lineRule="exact"/>
        <w:jc w:val="both"/>
        <w:rPr>
          <w:color w:val="auto"/>
          <w:szCs w:val="24"/>
        </w:rPr>
      </w:pPr>
      <w:r w:rsidRPr="006106B7">
        <w:rPr>
          <w:color w:val="auto"/>
          <w:szCs w:val="24"/>
        </w:rPr>
        <w:t xml:space="preserve">Osteoarthritis was documented on X-Rays. The right knee was status post </w:t>
      </w:r>
      <w:proofErr w:type="spellStart"/>
      <w:r w:rsidRPr="006106B7">
        <w:rPr>
          <w:color w:val="auto"/>
          <w:szCs w:val="24"/>
        </w:rPr>
        <w:t>meniscal</w:t>
      </w:r>
      <w:proofErr w:type="spellEnd"/>
      <w:r w:rsidRPr="006106B7">
        <w:rPr>
          <w:color w:val="auto"/>
          <w:szCs w:val="24"/>
        </w:rPr>
        <w:t xml:space="preserve"> repair with intermittent locking, pain, and swelling documented in NARSUM. </w:t>
      </w:r>
      <w:r w:rsidR="007C61E7">
        <w:rPr>
          <w:color w:val="auto"/>
          <w:szCs w:val="24"/>
        </w:rPr>
        <w:t xml:space="preserve"> </w:t>
      </w:r>
      <w:r w:rsidRPr="006106B7">
        <w:rPr>
          <w:color w:val="auto"/>
          <w:szCs w:val="24"/>
        </w:rPr>
        <w:t xml:space="preserve">Instability was not present on exam but orthopedic surgeon stated intermittent locking was a problem. </w:t>
      </w:r>
      <w:r w:rsidR="007C61E7">
        <w:rPr>
          <w:color w:val="auto"/>
          <w:szCs w:val="24"/>
        </w:rPr>
        <w:t xml:space="preserve"> </w:t>
      </w:r>
      <w:r w:rsidRPr="006106B7">
        <w:rPr>
          <w:color w:val="auto"/>
          <w:szCs w:val="24"/>
        </w:rPr>
        <w:t xml:space="preserve">ROM was limited to 110 degrees of flexion but this is not compensable. </w:t>
      </w:r>
      <w:r w:rsidR="007C61E7">
        <w:rPr>
          <w:color w:val="auto"/>
          <w:szCs w:val="24"/>
        </w:rPr>
        <w:t xml:space="preserve"> </w:t>
      </w:r>
      <w:r w:rsidRPr="006106B7">
        <w:rPr>
          <w:color w:val="auto"/>
          <w:szCs w:val="24"/>
        </w:rPr>
        <w:t xml:space="preserve">MRI prior to surgery documented a </w:t>
      </w:r>
      <w:proofErr w:type="spellStart"/>
      <w:r w:rsidRPr="006106B7">
        <w:rPr>
          <w:color w:val="auto"/>
          <w:szCs w:val="24"/>
        </w:rPr>
        <w:t>meniscal</w:t>
      </w:r>
      <w:proofErr w:type="spellEnd"/>
      <w:r w:rsidRPr="006106B7">
        <w:rPr>
          <w:color w:val="auto"/>
          <w:szCs w:val="24"/>
        </w:rPr>
        <w:t xml:space="preserve"> tear but no study was done after surgery.</w:t>
      </w:r>
      <w:r w:rsidR="007C61E7">
        <w:rPr>
          <w:color w:val="auto"/>
          <w:szCs w:val="24"/>
        </w:rPr>
        <w:t xml:space="preserve"> </w:t>
      </w:r>
      <w:r w:rsidRPr="006106B7">
        <w:rPr>
          <w:color w:val="auto"/>
          <w:szCs w:val="24"/>
        </w:rPr>
        <w:t xml:space="preserve"> VA exam documented painful motion only; ROM </w:t>
      </w:r>
      <w:r w:rsidR="00994D11">
        <w:rPr>
          <w:color w:val="auto"/>
          <w:szCs w:val="24"/>
        </w:rPr>
        <w:t xml:space="preserve">was </w:t>
      </w:r>
      <w:r w:rsidRPr="006106B7">
        <w:rPr>
          <w:color w:val="auto"/>
          <w:szCs w:val="24"/>
        </w:rPr>
        <w:t xml:space="preserve">decreased to 110 degrees of flexion but this is not compensable. </w:t>
      </w:r>
      <w:r w:rsidR="007C61E7">
        <w:rPr>
          <w:color w:val="auto"/>
          <w:szCs w:val="24"/>
        </w:rPr>
        <w:t xml:space="preserve"> </w:t>
      </w:r>
      <w:r w:rsidRPr="006106B7">
        <w:rPr>
          <w:color w:val="auto"/>
          <w:szCs w:val="24"/>
        </w:rPr>
        <w:t xml:space="preserve">The CI did not complain of locking at this examination. </w:t>
      </w:r>
      <w:r w:rsidR="007C61E7">
        <w:rPr>
          <w:color w:val="auto"/>
          <w:szCs w:val="24"/>
        </w:rPr>
        <w:t xml:space="preserve"> </w:t>
      </w:r>
      <w:r w:rsidRPr="006106B7">
        <w:rPr>
          <w:color w:val="auto"/>
          <w:szCs w:val="24"/>
        </w:rPr>
        <w:t>There is no information in the STR concerning the frequency of locking.</w:t>
      </w:r>
    </w:p>
    <w:p w:rsidR="00752DEE" w:rsidRPr="006106B7" w:rsidRDefault="00752DEE" w:rsidP="00752DEE">
      <w:pPr>
        <w:tabs>
          <w:tab w:val="left" w:pos="288"/>
          <w:tab w:val="left" w:pos="4752"/>
        </w:tabs>
        <w:spacing w:line="240" w:lineRule="exact"/>
        <w:jc w:val="both"/>
        <w:rPr>
          <w:color w:val="auto"/>
          <w:szCs w:val="24"/>
        </w:rPr>
      </w:pPr>
    </w:p>
    <w:p w:rsidR="00752DEE" w:rsidRPr="006106B7" w:rsidRDefault="00752DEE" w:rsidP="00752DEE">
      <w:pPr>
        <w:tabs>
          <w:tab w:val="left" w:pos="720"/>
          <w:tab w:val="left" w:pos="1080"/>
          <w:tab w:val="left" w:pos="1340"/>
          <w:tab w:val="left" w:pos="1620"/>
          <w:tab w:val="right" w:leader="dot" w:pos="9180"/>
        </w:tabs>
        <w:spacing w:line="240" w:lineRule="exact"/>
        <w:jc w:val="both"/>
        <w:rPr>
          <w:color w:val="auto"/>
        </w:rPr>
      </w:pPr>
      <w:r w:rsidRPr="006106B7">
        <w:rPr>
          <w:color w:val="auto"/>
          <w:szCs w:val="24"/>
        </w:rPr>
        <w:t xml:space="preserve">The Board considered rating as 5258 Cartilage, </w:t>
      </w:r>
      <w:proofErr w:type="spellStart"/>
      <w:r w:rsidRPr="006106B7">
        <w:rPr>
          <w:color w:val="auto"/>
          <w:szCs w:val="24"/>
        </w:rPr>
        <w:t>semilunar</w:t>
      </w:r>
      <w:proofErr w:type="spellEnd"/>
      <w:r w:rsidRPr="006106B7">
        <w:rPr>
          <w:color w:val="auto"/>
          <w:szCs w:val="24"/>
        </w:rPr>
        <w:t xml:space="preserve">, dislocated, with frequent episodes of ‘locking’, pain, and effusion into the joint at 20% because he had repair of a </w:t>
      </w:r>
      <w:proofErr w:type="spellStart"/>
      <w:r w:rsidRPr="006106B7">
        <w:rPr>
          <w:color w:val="auto"/>
          <w:szCs w:val="24"/>
        </w:rPr>
        <w:t>meniscal</w:t>
      </w:r>
      <w:proofErr w:type="spellEnd"/>
      <w:r w:rsidRPr="006106B7">
        <w:rPr>
          <w:color w:val="auto"/>
          <w:szCs w:val="24"/>
        </w:rPr>
        <w:t xml:space="preserve"> tear and continues to have locking, pain, and swelling. </w:t>
      </w:r>
      <w:r w:rsidR="007C61E7">
        <w:rPr>
          <w:color w:val="auto"/>
          <w:szCs w:val="24"/>
        </w:rPr>
        <w:t xml:space="preserve"> </w:t>
      </w:r>
      <w:r w:rsidRPr="006106B7">
        <w:rPr>
          <w:color w:val="auto"/>
          <w:szCs w:val="24"/>
        </w:rPr>
        <w:t>However, it is not clear that the locking of his right knee occurred frequently and therefore the criteria for VASRD 5258 are not met.</w:t>
      </w:r>
      <w:r w:rsidR="007C61E7">
        <w:rPr>
          <w:color w:val="auto"/>
          <w:szCs w:val="24"/>
        </w:rPr>
        <w:t xml:space="preserve"> </w:t>
      </w:r>
      <w:r w:rsidRPr="006106B7">
        <w:rPr>
          <w:color w:val="auto"/>
          <w:szCs w:val="24"/>
        </w:rPr>
        <w:t xml:space="preserve"> This condition could therefore be rated as 5259, 5003, or 5010 and would rate at 10% under any of these codes. </w:t>
      </w:r>
    </w:p>
    <w:p w:rsidR="00446816" w:rsidRPr="006106B7" w:rsidRDefault="00446816" w:rsidP="00752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p>
    <w:p w:rsidR="00752DEE" w:rsidRPr="006106B7" w:rsidRDefault="00752DEE" w:rsidP="00752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u w:val="single"/>
        </w:rPr>
      </w:pPr>
      <w:r w:rsidRPr="006106B7">
        <w:rPr>
          <w:color w:val="auto"/>
          <w:u w:val="single"/>
        </w:rPr>
        <w:t>Left knee</w:t>
      </w:r>
    </w:p>
    <w:p w:rsidR="00752DEE" w:rsidRPr="006106B7" w:rsidRDefault="00752DEE" w:rsidP="00752DEE">
      <w:pPr>
        <w:tabs>
          <w:tab w:val="left" w:pos="288"/>
          <w:tab w:val="left" w:pos="4752"/>
        </w:tabs>
        <w:spacing w:line="240" w:lineRule="exact"/>
        <w:jc w:val="both"/>
        <w:rPr>
          <w:color w:val="auto"/>
          <w:szCs w:val="24"/>
        </w:rPr>
      </w:pPr>
      <w:r w:rsidRPr="006106B7">
        <w:rPr>
          <w:color w:val="auto"/>
          <w:szCs w:val="24"/>
        </w:rPr>
        <w:t>Osteoarthritis was documented on X-rays.</w:t>
      </w:r>
      <w:r w:rsidR="007C61E7">
        <w:rPr>
          <w:color w:val="auto"/>
          <w:szCs w:val="24"/>
        </w:rPr>
        <w:t xml:space="preserve"> </w:t>
      </w:r>
      <w:r w:rsidRPr="006106B7">
        <w:rPr>
          <w:color w:val="auto"/>
          <w:szCs w:val="24"/>
        </w:rPr>
        <w:t xml:space="preserve"> The left knee was status post </w:t>
      </w:r>
      <w:proofErr w:type="spellStart"/>
      <w:r w:rsidRPr="006106B7">
        <w:rPr>
          <w:color w:val="auto"/>
          <w:szCs w:val="24"/>
        </w:rPr>
        <w:t>meniscal</w:t>
      </w:r>
      <w:proofErr w:type="spellEnd"/>
      <w:r w:rsidRPr="006106B7">
        <w:rPr>
          <w:color w:val="auto"/>
          <w:szCs w:val="24"/>
        </w:rPr>
        <w:t xml:space="preserve"> repair with </w:t>
      </w:r>
      <w:r w:rsidR="00994D11">
        <w:rPr>
          <w:color w:val="auto"/>
          <w:szCs w:val="24"/>
        </w:rPr>
        <w:t>pain and swelling.</w:t>
      </w:r>
      <w:r w:rsidR="007C61E7">
        <w:rPr>
          <w:color w:val="auto"/>
          <w:szCs w:val="24"/>
        </w:rPr>
        <w:t xml:space="preserve"> </w:t>
      </w:r>
      <w:r w:rsidR="00994D11">
        <w:rPr>
          <w:color w:val="auto"/>
          <w:szCs w:val="24"/>
        </w:rPr>
        <w:t xml:space="preserve"> S</w:t>
      </w:r>
      <w:r w:rsidRPr="006106B7">
        <w:rPr>
          <w:color w:val="auto"/>
          <w:szCs w:val="24"/>
        </w:rPr>
        <w:t xml:space="preserve">ubsequent MRI showed surgical changes and osteoarthritis. ROM </w:t>
      </w:r>
      <w:r w:rsidR="00994D11">
        <w:rPr>
          <w:color w:val="auto"/>
          <w:szCs w:val="24"/>
        </w:rPr>
        <w:t xml:space="preserve">was </w:t>
      </w:r>
      <w:r w:rsidRPr="006106B7">
        <w:rPr>
          <w:color w:val="auto"/>
          <w:szCs w:val="24"/>
        </w:rPr>
        <w:t xml:space="preserve">limited to 100 degrees of flexion but this is not compensable. </w:t>
      </w:r>
      <w:r w:rsidR="007C61E7">
        <w:rPr>
          <w:color w:val="auto"/>
          <w:szCs w:val="24"/>
        </w:rPr>
        <w:t xml:space="preserve"> </w:t>
      </w:r>
      <w:r w:rsidRPr="006106B7">
        <w:rPr>
          <w:color w:val="auto"/>
          <w:szCs w:val="24"/>
        </w:rPr>
        <w:t xml:space="preserve">No instability was documented. </w:t>
      </w:r>
      <w:r w:rsidR="007C61E7">
        <w:rPr>
          <w:color w:val="auto"/>
          <w:szCs w:val="24"/>
        </w:rPr>
        <w:t xml:space="preserve"> </w:t>
      </w:r>
      <w:r w:rsidRPr="006106B7">
        <w:rPr>
          <w:color w:val="auto"/>
          <w:szCs w:val="24"/>
        </w:rPr>
        <w:t xml:space="preserve">CI had pain and swelling but no locking and therefore 5258 cannot be applied. </w:t>
      </w:r>
      <w:r w:rsidR="007C61E7">
        <w:rPr>
          <w:color w:val="auto"/>
          <w:szCs w:val="24"/>
        </w:rPr>
        <w:t xml:space="preserve"> </w:t>
      </w:r>
      <w:r w:rsidRPr="006106B7">
        <w:rPr>
          <w:color w:val="auto"/>
          <w:szCs w:val="24"/>
        </w:rPr>
        <w:t xml:space="preserve">VASRD 5259 Cartilage, </w:t>
      </w:r>
      <w:proofErr w:type="spellStart"/>
      <w:r w:rsidRPr="006106B7">
        <w:rPr>
          <w:color w:val="auto"/>
          <w:szCs w:val="24"/>
        </w:rPr>
        <w:t>semilunar</w:t>
      </w:r>
      <w:proofErr w:type="spellEnd"/>
      <w:r w:rsidRPr="006106B7">
        <w:rPr>
          <w:color w:val="auto"/>
          <w:szCs w:val="24"/>
        </w:rPr>
        <w:t xml:space="preserve">, removal of, symptomatic can be applied with a 10% rating. </w:t>
      </w:r>
      <w:r w:rsidR="007C61E7">
        <w:rPr>
          <w:color w:val="auto"/>
          <w:szCs w:val="24"/>
        </w:rPr>
        <w:t xml:space="preserve"> </w:t>
      </w:r>
      <w:r w:rsidRPr="006106B7">
        <w:rPr>
          <w:color w:val="auto"/>
          <w:szCs w:val="24"/>
        </w:rPr>
        <w:t>Codes 5003 and 5010 could also be applied and the same rating would be warranted. Rating of 10% is warranted under code 5259, 5010, or 5003.</w:t>
      </w:r>
    </w:p>
    <w:p w:rsidR="00693258" w:rsidRPr="006106B7" w:rsidRDefault="00693258">
      <w:pPr>
        <w:rPr>
          <w:rFonts w:asciiTheme="minorHAnsi" w:hAnsiTheme="minorHAnsi"/>
          <w:color w:val="auto"/>
          <w:szCs w:val="24"/>
        </w:rPr>
      </w:pPr>
      <w:r w:rsidRPr="006106B7">
        <w:rPr>
          <w:rFonts w:asciiTheme="minorHAnsi" w:hAnsiTheme="minorHAnsi"/>
          <w:color w:val="auto"/>
          <w:szCs w:val="24"/>
        </w:rPr>
        <w:br w:type="page"/>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453"/>
        <w:gridCol w:w="2878"/>
        <w:gridCol w:w="2880"/>
      </w:tblGrid>
      <w:tr w:rsidR="004D3C60" w:rsidRPr="00140096" w:rsidTr="004D3C60">
        <w:tc>
          <w:tcPr>
            <w:tcW w:w="1537" w:type="dxa"/>
          </w:tcPr>
          <w:p w:rsidR="004D3C60"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lastRenderedPageBreak/>
              <w:t>Movement</w:t>
            </w:r>
          </w:p>
          <w:p w:rsidR="004D3C60" w:rsidRPr="00752DEE" w:rsidRDefault="004D3C60" w:rsidP="002C3C0B">
            <w:pPr>
              <w:pStyle w:val="ListParagraph"/>
              <w:spacing w:after="0" w:line="240" w:lineRule="auto"/>
              <w:ind w:left="0"/>
              <w:jc w:val="center"/>
              <w:rPr>
                <w:rFonts w:eastAsia="Calibri" w:cs="Times New Roman"/>
                <w:b/>
              </w:rPr>
            </w:pPr>
          </w:p>
        </w:tc>
        <w:tc>
          <w:tcPr>
            <w:tcW w:w="1453" w:type="dxa"/>
          </w:tcPr>
          <w:p w:rsidR="00752DEE"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t xml:space="preserve">Normal </w:t>
            </w:r>
            <w:r w:rsidR="00752DEE" w:rsidRPr="00752DEE">
              <w:rPr>
                <w:rFonts w:eastAsia="Calibri" w:cs="Times New Roman"/>
                <w:b/>
              </w:rPr>
              <w:t xml:space="preserve">Range of Motion </w:t>
            </w:r>
          </w:p>
          <w:p w:rsidR="004D3C60" w:rsidRPr="00752DEE" w:rsidRDefault="00752DEE" w:rsidP="002C3C0B">
            <w:pPr>
              <w:pStyle w:val="ListParagraph"/>
              <w:spacing w:after="0" w:line="240" w:lineRule="auto"/>
              <w:ind w:left="0"/>
              <w:jc w:val="center"/>
              <w:rPr>
                <w:rFonts w:eastAsia="Calibri" w:cs="Times New Roman"/>
                <w:b/>
              </w:rPr>
            </w:pPr>
            <w:r w:rsidRPr="00752DEE">
              <w:rPr>
                <w:rFonts w:eastAsia="Calibri" w:cs="Times New Roman"/>
                <w:b/>
              </w:rPr>
              <w:t>(</w:t>
            </w:r>
            <w:r w:rsidR="004D3C60" w:rsidRPr="00752DEE">
              <w:rPr>
                <w:rFonts w:eastAsia="Calibri" w:cs="Times New Roman"/>
                <w:b/>
              </w:rPr>
              <w:t>ROM</w:t>
            </w:r>
            <w:r w:rsidRPr="00752DEE">
              <w:rPr>
                <w:rFonts w:eastAsia="Calibri" w:cs="Times New Roman"/>
                <w:b/>
              </w:rPr>
              <w:t>)</w:t>
            </w:r>
          </w:p>
          <w:p w:rsidR="004D3C60" w:rsidRPr="00752DEE" w:rsidRDefault="004D3C60" w:rsidP="002C3C0B">
            <w:pPr>
              <w:pStyle w:val="ListParagraph"/>
              <w:spacing w:after="0" w:line="240" w:lineRule="auto"/>
              <w:ind w:left="0"/>
              <w:jc w:val="center"/>
              <w:rPr>
                <w:rFonts w:eastAsia="Calibri" w:cs="Times New Roman"/>
                <w:b/>
              </w:rPr>
            </w:pPr>
          </w:p>
        </w:tc>
        <w:tc>
          <w:tcPr>
            <w:tcW w:w="2878" w:type="dxa"/>
          </w:tcPr>
          <w:p w:rsidR="004D3C60"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t>ROM Mil</w:t>
            </w:r>
          </w:p>
          <w:p w:rsidR="004D3C60"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t>20070222</w:t>
            </w:r>
          </w:p>
        </w:tc>
        <w:tc>
          <w:tcPr>
            <w:tcW w:w="2880" w:type="dxa"/>
          </w:tcPr>
          <w:p w:rsidR="004D3C60"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t>ROM VA</w:t>
            </w:r>
          </w:p>
          <w:p w:rsidR="004D3C60"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t>20071205</w:t>
            </w:r>
          </w:p>
          <w:p w:rsidR="004D3C60" w:rsidRPr="00752DEE" w:rsidRDefault="004D3C60" w:rsidP="002C3C0B">
            <w:pPr>
              <w:pStyle w:val="ListParagraph"/>
              <w:spacing w:after="0" w:line="240" w:lineRule="auto"/>
              <w:ind w:left="0"/>
              <w:jc w:val="center"/>
              <w:rPr>
                <w:rFonts w:eastAsia="Calibri" w:cs="Times New Roman"/>
                <w:b/>
              </w:rPr>
            </w:pPr>
            <w:r w:rsidRPr="00752DEE">
              <w:rPr>
                <w:rFonts w:eastAsia="Calibri" w:cs="Times New Roman"/>
                <w:b/>
              </w:rPr>
              <w:t>(pain)</w:t>
            </w: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r w:rsidRPr="00752DEE">
              <w:rPr>
                <w:rFonts w:eastAsia="Calibri" w:cs="Times New Roman"/>
                <w:b/>
              </w:rPr>
              <w:t>Left Knee</w:t>
            </w:r>
          </w:p>
        </w:tc>
        <w:tc>
          <w:tcPr>
            <w:tcW w:w="1453" w:type="dxa"/>
          </w:tcPr>
          <w:p w:rsidR="004D3C60" w:rsidRPr="00752DEE" w:rsidRDefault="004D3C60" w:rsidP="002C3C0B">
            <w:pPr>
              <w:pStyle w:val="ListParagraph"/>
              <w:spacing w:after="0" w:line="240" w:lineRule="auto"/>
              <w:ind w:left="0"/>
              <w:jc w:val="center"/>
              <w:rPr>
                <w:rFonts w:eastAsia="Calibri" w:cs="Times New Roman"/>
              </w:rPr>
            </w:pPr>
          </w:p>
        </w:tc>
        <w:tc>
          <w:tcPr>
            <w:tcW w:w="2878" w:type="dxa"/>
          </w:tcPr>
          <w:p w:rsidR="004D3C60" w:rsidRPr="00752DEE" w:rsidRDefault="004D3C60" w:rsidP="002C3C0B">
            <w:pPr>
              <w:pStyle w:val="ListParagraph"/>
              <w:spacing w:after="0" w:line="240" w:lineRule="auto"/>
              <w:ind w:left="0"/>
              <w:jc w:val="center"/>
              <w:rPr>
                <w:rFonts w:eastAsia="Calibri" w:cs="Times New Roman"/>
              </w:rPr>
            </w:pPr>
          </w:p>
        </w:tc>
        <w:tc>
          <w:tcPr>
            <w:tcW w:w="2880" w:type="dxa"/>
          </w:tcPr>
          <w:p w:rsidR="004D3C60" w:rsidRPr="00752DEE" w:rsidRDefault="004D3C60" w:rsidP="002C3C0B">
            <w:pPr>
              <w:pStyle w:val="ListParagraph"/>
              <w:spacing w:after="0" w:line="240" w:lineRule="auto"/>
              <w:ind w:left="0"/>
              <w:jc w:val="center"/>
              <w:rPr>
                <w:rFonts w:eastAsia="Calibri" w:cs="Times New Roman"/>
              </w:rPr>
            </w:pP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r w:rsidRPr="00752DEE">
              <w:rPr>
                <w:rFonts w:eastAsia="Calibri" w:cs="Times New Roman"/>
              </w:rPr>
              <w:t>Flex</w:t>
            </w:r>
          </w:p>
        </w:tc>
        <w:tc>
          <w:tcPr>
            <w:tcW w:w="1453"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140</w:t>
            </w:r>
          </w:p>
        </w:tc>
        <w:tc>
          <w:tcPr>
            <w:tcW w:w="2878"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0-100</w:t>
            </w:r>
          </w:p>
        </w:tc>
        <w:tc>
          <w:tcPr>
            <w:tcW w:w="2880"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130 (90)</w:t>
            </w: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r w:rsidRPr="00752DEE">
              <w:rPr>
                <w:rFonts w:eastAsia="Calibri" w:cs="Times New Roman"/>
              </w:rPr>
              <w:t>Ext</w:t>
            </w:r>
          </w:p>
        </w:tc>
        <w:tc>
          <w:tcPr>
            <w:tcW w:w="1453"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0</w:t>
            </w:r>
          </w:p>
        </w:tc>
        <w:tc>
          <w:tcPr>
            <w:tcW w:w="2878" w:type="dxa"/>
          </w:tcPr>
          <w:p w:rsidR="004D3C60" w:rsidRPr="00752DEE" w:rsidRDefault="004D3C60" w:rsidP="002C3C0B">
            <w:pPr>
              <w:pStyle w:val="ListParagraph"/>
              <w:spacing w:after="0" w:line="240" w:lineRule="auto"/>
              <w:ind w:left="0"/>
              <w:jc w:val="center"/>
              <w:rPr>
                <w:rFonts w:eastAsia="Calibri" w:cs="Times New Roman"/>
              </w:rPr>
            </w:pPr>
          </w:p>
        </w:tc>
        <w:tc>
          <w:tcPr>
            <w:tcW w:w="2880"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0</w:t>
            </w: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b/>
              </w:rPr>
            </w:pPr>
            <w:r w:rsidRPr="00752DEE">
              <w:rPr>
                <w:rFonts w:eastAsia="Calibri" w:cs="Times New Roman"/>
                <w:b/>
              </w:rPr>
              <w:t>Right Knee</w:t>
            </w:r>
          </w:p>
        </w:tc>
        <w:tc>
          <w:tcPr>
            <w:tcW w:w="1453" w:type="dxa"/>
          </w:tcPr>
          <w:p w:rsidR="004D3C60" w:rsidRPr="00752DEE" w:rsidRDefault="004D3C60" w:rsidP="002C3C0B">
            <w:pPr>
              <w:pStyle w:val="ListParagraph"/>
              <w:spacing w:after="0" w:line="240" w:lineRule="auto"/>
              <w:ind w:left="0"/>
              <w:jc w:val="center"/>
              <w:rPr>
                <w:rFonts w:eastAsia="Calibri" w:cs="Times New Roman"/>
              </w:rPr>
            </w:pPr>
          </w:p>
        </w:tc>
        <w:tc>
          <w:tcPr>
            <w:tcW w:w="2878" w:type="dxa"/>
          </w:tcPr>
          <w:p w:rsidR="004D3C60" w:rsidRPr="00752DEE" w:rsidRDefault="004D3C60" w:rsidP="002C3C0B">
            <w:pPr>
              <w:pStyle w:val="ListParagraph"/>
              <w:spacing w:after="0" w:line="240" w:lineRule="auto"/>
              <w:ind w:left="0"/>
              <w:jc w:val="center"/>
              <w:rPr>
                <w:rFonts w:eastAsia="Calibri" w:cs="Times New Roman"/>
              </w:rPr>
            </w:pPr>
          </w:p>
        </w:tc>
        <w:tc>
          <w:tcPr>
            <w:tcW w:w="2880" w:type="dxa"/>
          </w:tcPr>
          <w:p w:rsidR="004D3C60" w:rsidRPr="00752DEE" w:rsidRDefault="004D3C60" w:rsidP="002C3C0B">
            <w:pPr>
              <w:pStyle w:val="ListParagraph"/>
              <w:spacing w:after="0" w:line="240" w:lineRule="auto"/>
              <w:ind w:left="0"/>
              <w:jc w:val="center"/>
              <w:rPr>
                <w:rFonts w:eastAsia="Calibri" w:cs="Times New Roman"/>
              </w:rPr>
            </w:pP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r w:rsidRPr="00752DEE">
              <w:rPr>
                <w:rFonts w:eastAsia="Calibri" w:cs="Times New Roman"/>
              </w:rPr>
              <w:t>Flex</w:t>
            </w:r>
          </w:p>
        </w:tc>
        <w:tc>
          <w:tcPr>
            <w:tcW w:w="1453"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140</w:t>
            </w:r>
          </w:p>
        </w:tc>
        <w:tc>
          <w:tcPr>
            <w:tcW w:w="2878"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0-110</w:t>
            </w:r>
          </w:p>
        </w:tc>
        <w:tc>
          <w:tcPr>
            <w:tcW w:w="2880"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140 (110)</w:t>
            </w: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r w:rsidRPr="00752DEE">
              <w:rPr>
                <w:rFonts w:eastAsia="Calibri" w:cs="Times New Roman"/>
              </w:rPr>
              <w:t>Ext</w:t>
            </w:r>
          </w:p>
        </w:tc>
        <w:tc>
          <w:tcPr>
            <w:tcW w:w="1453"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0</w:t>
            </w:r>
          </w:p>
        </w:tc>
        <w:tc>
          <w:tcPr>
            <w:tcW w:w="2878" w:type="dxa"/>
          </w:tcPr>
          <w:p w:rsidR="004D3C60" w:rsidRPr="00752DEE" w:rsidRDefault="004D3C60" w:rsidP="002C3C0B">
            <w:pPr>
              <w:pStyle w:val="ListParagraph"/>
              <w:spacing w:after="0" w:line="240" w:lineRule="auto"/>
              <w:ind w:left="0"/>
              <w:jc w:val="center"/>
              <w:rPr>
                <w:rFonts w:eastAsia="Calibri" w:cs="Times New Roman"/>
              </w:rPr>
            </w:pPr>
          </w:p>
        </w:tc>
        <w:tc>
          <w:tcPr>
            <w:tcW w:w="2880" w:type="dxa"/>
          </w:tcPr>
          <w:p w:rsidR="004D3C60" w:rsidRPr="00752DEE" w:rsidRDefault="004D3C60" w:rsidP="002C3C0B">
            <w:pPr>
              <w:pStyle w:val="ListParagraph"/>
              <w:spacing w:after="0" w:line="240" w:lineRule="auto"/>
              <w:ind w:left="0"/>
              <w:jc w:val="center"/>
              <w:rPr>
                <w:rFonts w:eastAsia="Calibri" w:cs="Times New Roman"/>
              </w:rPr>
            </w:pPr>
            <w:r w:rsidRPr="00752DEE">
              <w:rPr>
                <w:rFonts w:eastAsia="Calibri" w:cs="Times New Roman"/>
              </w:rPr>
              <w:t>0</w:t>
            </w: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p>
        </w:tc>
        <w:tc>
          <w:tcPr>
            <w:tcW w:w="1453" w:type="dxa"/>
          </w:tcPr>
          <w:p w:rsidR="004D3C60" w:rsidRPr="00752DEE" w:rsidRDefault="004D3C60" w:rsidP="002C3C0B">
            <w:pPr>
              <w:pStyle w:val="ListParagraph"/>
              <w:spacing w:after="0" w:line="240" w:lineRule="auto"/>
              <w:ind w:left="0"/>
              <w:jc w:val="center"/>
              <w:rPr>
                <w:rFonts w:eastAsia="Calibri" w:cs="Times New Roman"/>
              </w:rPr>
            </w:pPr>
          </w:p>
        </w:tc>
        <w:tc>
          <w:tcPr>
            <w:tcW w:w="2878" w:type="dxa"/>
          </w:tcPr>
          <w:p w:rsidR="004D3C60" w:rsidRPr="00752DEE" w:rsidRDefault="004D3C60" w:rsidP="002C3C0B">
            <w:pPr>
              <w:pStyle w:val="ListParagraph"/>
              <w:spacing w:after="0" w:line="240" w:lineRule="auto"/>
              <w:ind w:left="0"/>
              <w:jc w:val="center"/>
              <w:rPr>
                <w:rFonts w:eastAsia="Calibri" w:cs="Times New Roman"/>
              </w:rPr>
            </w:pPr>
          </w:p>
        </w:tc>
        <w:tc>
          <w:tcPr>
            <w:tcW w:w="2880" w:type="dxa"/>
          </w:tcPr>
          <w:p w:rsidR="004D3C60" w:rsidRPr="00752DEE" w:rsidRDefault="004D3C60" w:rsidP="002C3C0B">
            <w:pPr>
              <w:pStyle w:val="ListParagraph"/>
              <w:spacing w:after="0" w:line="240" w:lineRule="auto"/>
              <w:ind w:left="0"/>
              <w:jc w:val="center"/>
              <w:rPr>
                <w:rFonts w:eastAsia="Calibri" w:cs="Times New Roman"/>
              </w:rPr>
            </w:pP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r w:rsidRPr="00752DEE">
              <w:rPr>
                <w:rFonts w:eastAsia="Calibri" w:cs="Times New Roman"/>
              </w:rPr>
              <w:t>Notes</w:t>
            </w:r>
          </w:p>
        </w:tc>
        <w:tc>
          <w:tcPr>
            <w:tcW w:w="1453" w:type="dxa"/>
          </w:tcPr>
          <w:p w:rsidR="004D3C60" w:rsidRPr="00752DEE" w:rsidRDefault="004D3C60" w:rsidP="005D122E">
            <w:pPr>
              <w:pStyle w:val="ListParagraph"/>
              <w:spacing w:after="0" w:line="240" w:lineRule="auto"/>
              <w:ind w:left="0"/>
              <w:rPr>
                <w:rFonts w:eastAsia="Calibri" w:cs="Times New Roman"/>
              </w:rPr>
            </w:pPr>
          </w:p>
        </w:tc>
        <w:tc>
          <w:tcPr>
            <w:tcW w:w="2878" w:type="dxa"/>
          </w:tcPr>
          <w:p w:rsidR="004D3C60" w:rsidRPr="00752DEE" w:rsidRDefault="004D3C60" w:rsidP="005D122E">
            <w:pPr>
              <w:pStyle w:val="ListParagraph"/>
              <w:spacing w:after="0" w:line="240" w:lineRule="auto"/>
              <w:ind w:left="0"/>
              <w:rPr>
                <w:rFonts w:eastAsia="Calibri" w:cs="Times New Roman"/>
              </w:rPr>
            </w:pPr>
            <w:r w:rsidRPr="00752DEE">
              <w:rPr>
                <w:rFonts w:cs="Times New Roman"/>
              </w:rPr>
              <w:t>Left Knee: walks slowly and with guarded gait and posturing</w:t>
            </w:r>
          </w:p>
        </w:tc>
        <w:tc>
          <w:tcPr>
            <w:tcW w:w="2880" w:type="dxa"/>
          </w:tcPr>
          <w:p w:rsidR="004D3C60" w:rsidRPr="00752DEE" w:rsidRDefault="004D3C60" w:rsidP="005D122E">
            <w:pPr>
              <w:pStyle w:val="ListParagraph"/>
              <w:spacing w:after="0" w:line="240" w:lineRule="auto"/>
              <w:ind w:left="0"/>
              <w:rPr>
                <w:rFonts w:eastAsia="Calibri" w:cs="Times New Roman"/>
              </w:rPr>
            </w:pPr>
          </w:p>
        </w:tc>
      </w:tr>
      <w:tr w:rsidR="004D3C60" w:rsidRPr="00140096" w:rsidTr="004D3C60">
        <w:tc>
          <w:tcPr>
            <w:tcW w:w="1537" w:type="dxa"/>
          </w:tcPr>
          <w:p w:rsidR="004D3C60" w:rsidRPr="00752DEE" w:rsidRDefault="004D3C60" w:rsidP="005D122E">
            <w:pPr>
              <w:pStyle w:val="ListParagraph"/>
              <w:spacing w:after="0" w:line="240" w:lineRule="auto"/>
              <w:ind w:left="0"/>
              <w:rPr>
                <w:rFonts w:eastAsia="Calibri" w:cs="Times New Roman"/>
              </w:rPr>
            </w:pPr>
          </w:p>
        </w:tc>
        <w:tc>
          <w:tcPr>
            <w:tcW w:w="1453" w:type="dxa"/>
          </w:tcPr>
          <w:p w:rsidR="004D3C60" w:rsidRPr="00752DEE" w:rsidRDefault="004D3C60" w:rsidP="005D122E">
            <w:pPr>
              <w:pStyle w:val="ListParagraph"/>
              <w:spacing w:after="0" w:line="240" w:lineRule="auto"/>
              <w:ind w:left="0"/>
              <w:rPr>
                <w:rFonts w:eastAsia="Calibri" w:cs="Times New Roman"/>
              </w:rPr>
            </w:pPr>
          </w:p>
        </w:tc>
        <w:tc>
          <w:tcPr>
            <w:tcW w:w="2878" w:type="dxa"/>
          </w:tcPr>
          <w:p w:rsidR="004D3C60" w:rsidRPr="00752DEE" w:rsidRDefault="004D3C60" w:rsidP="00752DEE">
            <w:pPr>
              <w:pStyle w:val="ListParagraph"/>
              <w:spacing w:after="0" w:line="240" w:lineRule="auto"/>
              <w:ind w:left="0"/>
              <w:rPr>
                <w:rFonts w:eastAsia="Calibri" w:cs="Times New Roman"/>
              </w:rPr>
            </w:pPr>
            <w:r w:rsidRPr="00752DEE">
              <w:rPr>
                <w:rFonts w:cs="Times New Roman"/>
              </w:rPr>
              <w:t>R</w:t>
            </w:r>
            <w:r w:rsidR="00752DEE" w:rsidRPr="00752DEE">
              <w:rPr>
                <w:rFonts w:cs="Times New Roman"/>
              </w:rPr>
              <w:t>ight</w:t>
            </w:r>
            <w:r w:rsidRPr="00752DEE">
              <w:rPr>
                <w:rFonts w:cs="Times New Roman"/>
              </w:rPr>
              <w:t xml:space="preserve"> Knee:  No </w:t>
            </w:r>
            <w:proofErr w:type="spellStart"/>
            <w:r w:rsidRPr="00752DEE">
              <w:rPr>
                <w:rFonts w:cs="Times New Roman"/>
              </w:rPr>
              <w:t>subluxation</w:t>
            </w:r>
            <w:proofErr w:type="spellEnd"/>
            <w:r w:rsidRPr="00752DEE">
              <w:rPr>
                <w:rFonts w:cs="Times New Roman"/>
              </w:rPr>
              <w:t xml:space="preserve"> or lateral instability of knees, locks intermittently</w:t>
            </w:r>
          </w:p>
        </w:tc>
        <w:tc>
          <w:tcPr>
            <w:tcW w:w="2880" w:type="dxa"/>
          </w:tcPr>
          <w:p w:rsidR="004D3C60" w:rsidRPr="00752DEE" w:rsidRDefault="004D3C60" w:rsidP="005D122E">
            <w:pPr>
              <w:pStyle w:val="ListParagraph"/>
              <w:spacing w:after="0" w:line="240" w:lineRule="auto"/>
              <w:ind w:left="0"/>
              <w:rPr>
                <w:rFonts w:eastAsia="Calibri" w:cs="Times New Roman"/>
              </w:rPr>
            </w:pPr>
          </w:p>
        </w:tc>
      </w:tr>
    </w:tbl>
    <w:p w:rsidR="004D3C60" w:rsidRDefault="004D3C60" w:rsidP="008D3BD7">
      <w:pPr>
        <w:autoSpaceDE w:val="0"/>
        <w:autoSpaceDN w:val="0"/>
        <w:adjustRightInd w:val="0"/>
        <w:spacing w:line="240" w:lineRule="exact"/>
        <w:jc w:val="both"/>
        <w:rPr>
          <w:rFonts w:asciiTheme="minorHAnsi" w:hAnsiTheme="minorHAnsi"/>
          <w:color w:val="auto"/>
          <w:szCs w:val="24"/>
        </w:rPr>
      </w:pPr>
    </w:p>
    <w:p w:rsidR="00693258" w:rsidRPr="006106B7" w:rsidRDefault="00693258" w:rsidP="00693258">
      <w:pPr>
        <w:tabs>
          <w:tab w:val="left" w:pos="288"/>
          <w:tab w:val="left" w:pos="4752"/>
        </w:tabs>
        <w:spacing w:line="240" w:lineRule="exact"/>
        <w:jc w:val="both"/>
        <w:rPr>
          <w:color w:val="auto"/>
          <w:szCs w:val="24"/>
          <w:u w:val="single"/>
        </w:rPr>
      </w:pPr>
      <w:r w:rsidRPr="006106B7">
        <w:rPr>
          <w:color w:val="auto"/>
          <w:szCs w:val="24"/>
          <w:u w:val="single"/>
        </w:rPr>
        <w:t>Condition 2</w:t>
      </w:r>
      <w:r w:rsidRPr="006106B7">
        <w:rPr>
          <w:color w:val="auto"/>
          <w:szCs w:val="24"/>
        </w:rPr>
        <w:t>:   Depression</w:t>
      </w:r>
    </w:p>
    <w:p w:rsidR="00693258" w:rsidRPr="006106B7" w:rsidRDefault="00693258" w:rsidP="00693258">
      <w:pPr>
        <w:tabs>
          <w:tab w:val="left" w:pos="288"/>
          <w:tab w:val="left" w:pos="4752"/>
        </w:tabs>
        <w:spacing w:line="240" w:lineRule="exact"/>
        <w:jc w:val="both"/>
        <w:rPr>
          <w:color w:val="auto"/>
          <w:szCs w:val="24"/>
        </w:rPr>
      </w:pPr>
      <w:r w:rsidRPr="006106B7">
        <w:rPr>
          <w:color w:val="auto"/>
          <w:szCs w:val="24"/>
        </w:rPr>
        <w:t xml:space="preserve">This condition was not addressed by the PEB but was listed as diagnosis in the NARSUM. </w:t>
      </w:r>
      <w:r w:rsidR="007C61E7">
        <w:rPr>
          <w:color w:val="auto"/>
          <w:szCs w:val="24"/>
        </w:rPr>
        <w:t xml:space="preserve"> </w:t>
      </w:r>
      <w:r w:rsidRPr="006106B7">
        <w:rPr>
          <w:color w:val="auto"/>
          <w:szCs w:val="24"/>
        </w:rPr>
        <w:t xml:space="preserve">Diagnoses of major depressive disorder and bulimia are clearly documented in the chart multiple times in 2001 and 2002. </w:t>
      </w:r>
      <w:r w:rsidR="007C61E7">
        <w:rPr>
          <w:color w:val="auto"/>
          <w:szCs w:val="24"/>
        </w:rPr>
        <w:t xml:space="preserve"> </w:t>
      </w:r>
      <w:r w:rsidRPr="006106B7">
        <w:rPr>
          <w:color w:val="auto"/>
          <w:szCs w:val="24"/>
        </w:rPr>
        <w:t>In June of 2002 he was admitted for suicidal ideation.</w:t>
      </w:r>
      <w:r w:rsidR="007C61E7">
        <w:rPr>
          <w:color w:val="auto"/>
          <w:szCs w:val="24"/>
        </w:rPr>
        <w:t xml:space="preserve"> </w:t>
      </w:r>
      <w:r w:rsidRPr="006106B7">
        <w:rPr>
          <w:color w:val="auto"/>
          <w:szCs w:val="24"/>
        </w:rPr>
        <w:t xml:space="preserve"> He had depression and an eating disorder with a GAF of 50 and was given an S4 profile prior to admission.</w:t>
      </w:r>
      <w:r w:rsidR="007C61E7">
        <w:rPr>
          <w:color w:val="auto"/>
          <w:szCs w:val="24"/>
        </w:rPr>
        <w:t xml:space="preserve"> </w:t>
      </w:r>
      <w:r w:rsidRPr="006106B7">
        <w:rPr>
          <w:color w:val="auto"/>
          <w:szCs w:val="24"/>
        </w:rPr>
        <w:t xml:space="preserve"> At discharge his GAF was 55 and at follow-up after admission GAF was 70.</w:t>
      </w:r>
      <w:r w:rsidR="007C61E7">
        <w:rPr>
          <w:color w:val="auto"/>
          <w:szCs w:val="24"/>
        </w:rPr>
        <w:t xml:space="preserve"> </w:t>
      </w:r>
      <w:r w:rsidRPr="006106B7">
        <w:rPr>
          <w:color w:val="auto"/>
          <w:szCs w:val="24"/>
        </w:rPr>
        <w:t xml:space="preserve"> He remained on medication throughout rest of service but no significant mental health issues are documented.</w:t>
      </w:r>
      <w:r w:rsidR="007C61E7">
        <w:rPr>
          <w:color w:val="auto"/>
          <w:szCs w:val="24"/>
        </w:rPr>
        <w:t xml:space="preserve"> </w:t>
      </w:r>
      <w:r w:rsidRPr="006106B7">
        <w:rPr>
          <w:color w:val="auto"/>
          <w:szCs w:val="24"/>
        </w:rPr>
        <w:t xml:space="preserve"> No ER visits or admissions. </w:t>
      </w:r>
      <w:r w:rsidR="007C61E7">
        <w:rPr>
          <w:color w:val="auto"/>
          <w:szCs w:val="24"/>
        </w:rPr>
        <w:t xml:space="preserve"> </w:t>
      </w:r>
      <w:r w:rsidRPr="006106B7">
        <w:rPr>
          <w:color w:val="auto"/>
          <w:szCs w:val="24"/>
        </w:rPr>
        <w:t>No mention of mental health issues in Commander</w:t>
      </w:r>
      <w:r w:rsidRPr="006106B7">
        <w:rPr>
          <w:rFonts w:hAnsiTheme="minorHAnsi"/>
          <w:color w:val="auto"/>
          <w:szCs w:val="24"/>
        </w:rPr>
        <w:t>’</w:t>
      </w:r>
      <w:r w:rsidRPr="006106B7">
        <w:rPr>
          <w:color w:val="auto"/>
          <w:szCs w:val="24"/>
        </w:rPr>
        <w:t xml:space="preserve">s letter. </w:t>
      </w:r>
      <w:r w:rsidR="007C61E7">
        <w:rPr>
          <w:color w:val="auto"/>
          <w:szCs w:val="24"/>
        </w:rPr>
        <w:t xml:space="preserve"> </w:t>
      </w:r>
      <w:r w:rsidRPr="006106B7">
        <w:rPr>
          <w:color w:val="auto"/>
          <w:szCs w:val="24"/>
        </w:rPr>
        <w:t>VA C&amp;P stated MDD</w:t>
      </w:r>
      <w:r w:rsidR="00814D97">
        <w:rPr>
          <w:color w:val="auto"/>
          <w:szCs w:val="24"/>
        </w:rPr>
        <w:t xml:space="preserve"> (Major Depressive Disorder)</w:t>
      </w:r>
      <w:r w:rsidRPr="006106B7">
        <w:rPr>
          <w:color w:val="auto"/>
          <w:szCs w:val="24"/>
        </w:rPr>
        <w:t xml:space="preserve">, recurrent, moderate with GAF of 48. </w:t>
      </w:r>
      <w:r w:rsidR="007C61E7">
        <w:rPr>
          <w:color w:val="auto"/>
          <w:szCs w:val="24"/>
        </w:rPr>
        <w:t xml:space="preserve"> </w:t>
      </w:r>
      <w:r w:rsidRPr="006106B7">
        <w:rPr>
          <w:color w:val="auto"/>
          <w:szCs w:val="24"/>
        </w:rPr>
        <w:t>The CI definitely had a mental health condition while on active duty but there is insufficient evidence to conclude it was unfitting.</w:t>
      </w:r>
    </w:p>
    <w:p w:rsidR="00E866F8" w:rsidRPr="006106B7" w:rsidRDefault="00E866F8" w:rsidP="008535B9">
      <w:pPr>
        <w:autoSpaceDE w:val="0"/>
        <w:autoSpaceDN w:val="0"/>
        <w:adjustRightInd w:val="0"/>
        <w:spacing w:line="240" w:lineRule="exact"/>
        <w:jc w:val="both"/>
        <w:rPr>
          <w:color w:val="auto"/>
          <w:szCs w:val="24"/>
        </w:rPr>
      </w:pPr>
    </w:p>
    <w:p w:rsidR="003635CE" w:rsidRPr="006106B7" w:rsidRDefault="003635CE" w:rsidP="003635CE">
      <w:pPr>
        <w:tabs>
          <w:tab w:val="left" w:pos="288"/>
          <w:tab w:val="left" w:pos="4752"/>
        </w:tabs>
        <w:spacing w:line="240" w:lineRule="exact"/>
        <w:jc w:val="both"/>
        <w:rPr>
          <w:color w:val="auto"/>
          <w:szCs w:val="24"/>
        </w:rPr>
      </w:pPr>
      <w:r w:rsidRPr="006106B7">
        <w:rPr>
          <w:color w:val="auto"/>
          <w:szCs w:val="24"/>
          <w:u w:val="single"/>
        </w:rPr>
        <w:t>Condition 3</w:t>
      </w:r>
      <w:r w:rsidRPr="006106B7">
        <w:rPr>
          <w:color w:val="auto"/>
          <w:szCs w:val="24"/>
        </w:rPr>
        <w:t>:   Other Conditions</w:t>
      </w:r>
    </w:p>
    <w:p w:rsidR="003635CE" w:rsidRPr="006106B7" w:rsidRDefault="003635CE" w:rsidP="003635CE">
      <w:pPr>
        <w:tabs>
          <w:tab w:val="left" w:pos="288"/>
          <w:tab w:val="left" w:pos="4752"/>
        </w:tabs>
        <w:spacing w:line="240" w:lineRule="exact"/>
        <w:jc w:val="both"/>
        <w:rPr>
          <w:color w:val="auto"/>
          <w:szCs w:val="24"/>
        </w:rPr>
      </w:pPr>
      <w:r w:rsidRPr="006106B7">
        <w:rPr>
          <w:color w:val="auto"/>
          <w:szCs w:val="24"/>
        </w:rPr>
        <w:t xml:space="preserve">Left ankle arthritis, </w:t>
      </w:r>
      <w:r w:rsidRPr="006106B7">
        <w:rPr>
          <w:bCs/>
          <w:color w:val="auto"/>
          <w:szCs w:val="24"/>
        </w:rPr>
        <w:t xml:space="preserve">Gout, Hypertension, </w:t>
      </w:r>
      <w:proofErr w:type="spellStart"/>
      <w:r w:rsidRPr="006106B7">
        <w:rPr>
          <w:bCs/>
          <w:color w:val="auto"/>
          <w:szCs w:val="24"/>
        </w:rPr>
        <w:t>Pseudofolliculitis</w:t>
      </w:r>
      <w:proofErr w:type="spellEnd"/>
      <w:r w:rsidRPr="006106B7">
        <w:rPr>
          <w:bCs/>
          <w:color w:val="auto"/>
          <w:szCs w:val="24"/>
        </w:rPr>
        <w:t xml:space="preserve"> </w:t>
      </w:r>
      <w:proofErr w:type="spellStart"/>
      <w:r w:rsidRPr="006106B7">
        <w:rPr>
          <w:color w:val="auto"/>
          <w:szCs w:val="24"/>
        </w:rPr>
        <w:t>Barbae</w:t>
      </w:r>
      <w:proofErr w:type="spellEnd"/>
      <w:r w:rsidRPr="006106B7">
        <w:rPr>
          <w:color w:val="auto"/>
          <w:szCs w:val="24"/>
        </w:rPr>
        <w:t xml:space="preserve"> were also rated by the VA but there is no evidence </w:t>
      </w:r>
      <w:r w:rsidR="003F74F1" w:rsidRPr="006106B7">
        <w:rPr>
          <w:color w:val="auto"/>
          <w:szCs w:val="24"/>
        </w:rPr>
        <w:t xml:space="preserve">that supports concluding </w:t>
      </w:r>
      <w:r w:rsidRPr="006106B7">
        <w:rPr>
          <w:color w:val="auto"/>
          <w:szCs w:val="24"/>
        </w:rPr>
        <w:t xml:space="preserve">these conditions were unfitting. </w:t>
      </w:r>
      <w:r w:rsidR="007C61E7">
        <w:rPr>
          <w:color w:val="auto"/>
          <w:szCs w:val="24"/>
        </w:rPr>
        <w:t xml:space="preserve"> </w:t>
      </w:r>
      <w:r w:rsidRPr="006106B7">
        <w:rPr>
          <w:color w:val="auto"/>
          <w:szCs w:val="24"/>
        </w:rPr>
        <w:t>All were mentioned in the PEB, the NARSUM, the ETS physical, or the separation physical.</w:t>
      </w:r>
    </w:p>
    <w:p w:rsidR="003635CE" w:rsidRPr="006106B7" w:rsidRDefault="003635CE" w:rsidP="003635CE">
      <w:pPr>
        <w:tabs>
          <w:tab w:val="left" w:pos="288"/>
          <w:tab w:val="left" w:pos="4752"/>
        </w:tabs>
        <w:spacing w:line="240" w:lineRule="exact"/>
        <w:jc w:val="both"/>
        <w:rPr>
          <w:color w:val="auto"/>
          <w:szCs w:val="24"/>
        </w:rPr>
      </w:pPr>
    </w:p>
    <w:p w:rsidR="0079284D" w:rsidRPr="006106B7" w:rsidRDefault="0079284D" w:rsidP="008535B9">
      <w:pPr>
        <w:tabs>
          <w:tab w:val="left" w:pos="288"/>
          <w:tab w:val="left" w:pos="4752"/>
        </w:tabs>
        <w:spacing w:line="240" w:lineRule="exact"/>
        <w:jc w:val="both"/>
        <w:rPr>
          <w:color w:val="auto"/>
          <w:szCs w:val="24"/>
          <w:u w:val="single"/>
        </w:rPr>
      </w:pPr>
      <w:r w:rsidRPr="006106B7">
        <w:rPr>
          <w:color w:val="auto"/>
          <w:szCs w:val="24"/>
          <w:u w:val="single"/>
        </w:rPr>
        <w:t xml:space="preserve">Condition </w:t>
      </w:r>
      <w:r w:rsidR="003635CE" w:rsidRPr="006106B7">
        <w:rPr>
          <w:color w:val="auto"/>
          <w:szCs w:val="24"/>
          <w:u w:val="single"/>
        </w:rPr>
        <w:t>4</w:t>
      </w:r>
      <w:r w:rsidRPr="006106B7">
        <w:rPr>
          <w:color w:val="auto"/>
          <w:szCs w:val="24"/>
        </w:rPr>
        <w:t xml:space="preserve">:   </w:t>
      </w:r>
      <w:r w:rsidR="003635CE" w:rsidRPr="006106B7">
        <w:rPr>
          <w:color w:val="auto"/>
          <w:szCs w:val="24"/>
        </w:rPr>
        <w:t xml:space="preserve">Type II </w:t>
      </w:r>
      <w:r w:rsidRPr="006106B7">
        <w:rPr>
          <w:color w:val="auto"/>
          <w:szCs w:val="24"/>
        </w:rPr>
        <w:t>Diabetes</w:t>
      </w:r>
    </w:p>
    <w:p w:rsidR="003635CE" w:rsidRDefault="003635CE" w:rsidP="008535B9">
      <w:pPr>
        <w:autoSpaceDE w:val="0"/>
        <w:autoSpaceDN w:val="0"/>
        <w:adjustRightInd w:val="0"/>
        <w:spacing w:line="240" w:lineRule="exact"/>
        <w:jc w:val="both"/>
        <w:rPr>
          <w:color w:val="auto"/>
          <w:szCs w:val="24"/>
        </w:rPr>
      </w:pPr>
      <w:r>
        <w:rPr>
          <w:color w:val="auto"/>
          <w:szCs w:val="24"/>
        </w:rPr>
        <w:t>This condition was not addressed</w:t>
      </w:r>
      <w:r w:rsidRPr="00693258">
        <w:rPr>
          <w:color w:val="auto"/>
          <w:szCs w:val="24"/>
        </w:rPr>
        <w:t xml:space="preserve"> by </w:t>
      </w:r>
      <w:r>
        <w:rPr>
          <w:color w:val="auto"/>
          <w:szCs w:val="24"/>
        </w:rPr>
        <w:t xml:space="preserve">the </w:t>
      </w:r>
      <w:r w:rsidRPr="00693258">
        <w:rPr>
          <w:color w:val="auto"/>
          <w:szCs w:val="24"/>
        </w:rPr>
        <w:t>PEB</w:t>
      </w:r>
      <w:r>
        <w:rPr>
          <w:color w:val="auto"/>
          <w:szCs w:val="24"/>
        </w:rPr>
        <w:t xml:space="preserve"> or anywhere in the DES package and it therefore outside the scope of this Board. </w:t>
      </w:r>
      <w:r w:rsidR="007C61E7">
        <w:rPr>
          <w:color w:val="auto"/>
          <w:szCs w:val="24"/>
        </w:rPr>
        <w:t xml:space="preserve"> </w:t>
      </w:r>
      <w:r>
        <w:rPr>
          <w:color w:val="auto"/>
          <w:szCs w:val="24"/>
        </w:rPr>
        <w:t>However, type II diabetes more likely than not existed prior to separation on 20070709.</w:t>
      </w:r>
      <w:r w:rsidR="007C61E7">
        <w:rPr>
          <w:color w:val="auto"/>
          <w:szCs w:val="24"/>
        </w:rPr>
        <w:t xml:space="preserve"> </w:t>
      </w:r>
      <w:r>
        <w:rPr>
          <w:color w:val="auto"/>
          <w:szCs w:val="24"/>
        </w:rPr>
        <w:t xml:space="preserve"> This condition does not have an acute onset.</w:t>
      </w:r>
      <w:r w:rsidR="007C61E7">
        <w:rPr>
          <w:color w:val="auto"/>
          <w:szCs w:val="24"/>
        </w:rPr>
        <w:t xml:space="preserve"> </w:t>
      </w:r>
      <w:r>
        <w:rPr>
          <w:color w:val="auto"/>
          <w:szCs w:val="24"/>
        </w:rPr>
        <w:t xml:space="preserve"> Not having the condition on July 9 but having it on August 22 is not possible given the nature of the condition, the history of elevated serum glucose levels, and the presence of multiple risk factors for the disease. </w:t>
      </w:r>
      <w:r w:rsidR="007C61E7">
        <w:rPr>
          <w:color w:val="auto"/>
          <w:szCs w:val="24"/>
        </w:rPr>
        <w:t xml:space="preserve"> </w:t>
      </w:r>
      <w:r>
        <w:rPr>
          <w:color w:val="auto"/>
          <w:szCs w:val="24"/>
        </w:rPr>
        <w:t xml:space="preserve">The CI required oral </w:t>
      </w:r>
      <w:r>
        <w:rPr>
          <w:color w:val="auto"/>
          <w:szCs w:val="24"/>
        </w:rPr>
        <w:lastRenderedPageBreak/>
        <w:t xml:space="preserve">medication and diabetes that was not controlled by diet alone is considered unfitting. </w:t>
      </w:r>
    </w:p>
    <w:p w:rsidR="003635CE" w:rsidRDefault="003635CE" w:rsidP="008535B9">
      <w:pPr>
        <w:autoSpaceDE w:val="0"/>
        <w:autoSpaceDN w:val="0"/>
        <w:adjustRightInd w:val="0"/>
        <w:spacing w:line="240" w:lineRule="exact"/>
        <w:jc w:val="both"/>
        <w:rPr>
          <w:color w:val="auto"/>
          <w:szCs w:val="24"/>
        </w:rPr>
      </w:pPr>
    </w:p>
    <w:p w:rsidR="00003F27" w:rsidRDefault="003635CE" w:rsidP="008535B9">
      <w:pPr>
        <w:autoSpaceDE w:val="0"/>
        <w:autoSpaceDN w:val="0"/>
        <w:adjustRightInd w:val="0"/>
        <w:spacing w:line="240" w:lineRule="exact"/>
        <w:jc w:val="both"/>
        <w:rPr>
          <w:color w:val="auto"/>
          <w:szCs w:val="24"/>
        </w:rPr>
      </w:pPr>
      <w:r>
        <w:rPr>
          <w:color w:val="auto"/>
          <w:szCs w:val="24"/>
        </w:rPr>
        <w:t>T</w:t>
      </w:r>
      <w:r w:rsidR="00EC33EC">
        <w:rPr>
          <w:color w:val="auto"/>
          <w:szCs w:val="24"/>
        </w:rPr>
        <w:t xml:space="preserve">here are </w:t>
      </w:r>
      <w:r w:rsidR="00461298">
        <w:rPr>
          <w:color w:val="auto"/>
          <w:szCs w:val="24"/>
        </w:rPr>
        <w:t>multiple elevated serum glucose levels in chart, at least one of which was documented as being fasting.</w:t>
      </w:r>
      <w:r w:rsidR="007C61E7">
        <w:rPr>
          <w:color w:val="auto"/>
          <w:szCs w:val="24"/>
        </w:rPr>
        <w:t xml:space="preserve"> </w:t>
      </w:r>
      <w:r w:rsidR="00461298">
        <w:rPr>
          <w:color w:val="auto"/>
          <w:szCs w:val="24"/>
        </w:rPr>
        <w:t xml:space="preserve"> </w:t>
      </w:r>
      <w:r w:rsidR="004F5C75">
        <w:rPr>
          <w:color w:val="auto"/>
          <w:szCs w:val="24"/>
        </w:rPr>
        <w:t xml:space="preserve">Near the time of separation the </w:t>
      </w:r>
      <w:r w:rsidR="00EC33EC">
        <w:rPr>
          <w:color w:val="auto"/>
          <w:szCs w:val="24"/>
        </w:rPr>
        <w:t>CI was</w:t>
      </w:r>
      <w:r w:rsidR="00461298">
        <w:rPr>
          <w:color w:val="auto"/>
          <w:szCs w:val="24"/>
        </w:rPr>
        <w:t xml:space="preserve"> seeing an allergist who noted </w:t>
      </w:r>
      <w:r w:rsidR="00EC33EC">
        <w:rPr>
          <w:color w:val="auto"/>
          <w:szCs w:val="24"/>
        </w:rPr>
        <w:t>an</w:t>
      </w:r>
      <w:r w:rsidR="00461298">
        <w:rPr>
          <w:color w:val="auto"/>
          <w:szCs w:val="24"/>
        </w:rPr>
        <w:t xml:space="preserve"> el</w:t>
      </w:r>
      <w:r w:rsidR="00EC33EC">
        <w:rPr>
          <w:color w:val="auto"/>
          <w:szCs w:val="24"/>
        </w:rPr>
        <w:t>e</w:t>
      </w:r>
      <w:r w:rsidR="00461298">
        <w:rPr>
          <w:color w:val="auto"/>
          <w:szCs w:val="24"/>
        </w:rPr>
        <w:t xml:space="preserve">vated </w:t>
      </w:r>
      <w:r w:rsidR="00EC33EC">
        <w:rPr>
          <w:color w:val="auto"/>
          <w:szCs w:val="24"/>
        </w:rPr>
        <w:t>non-fasting glucose,</w:t>
      </w:r>
      <w:r w:rsidR="00461298">
        <w:rPr>
          <w:color w:val="auto"/>
          <w:szCs w:val="24"/>
        </w:rPr>
        <w:t xml:space="preserve"> ordered a fasting level</w:t>
      </w:r>
      <w:r w:rsidR="00EC33EC">
        <w:rPr>
          <w:color w:val="auto"/>
          <w:szCs w:val="24"/>
        </w:rPr>
        <w:t>,</w:t>
      </w:r>
      <w:r w:rsidR="00461298">
        <w:rPr>
          <w:color w:val="auto"/>
          <w:szCs w:val="24"/>
        </w:rPr>
        <w:t xml:space="preserve"> and </w:t>
      </w:r>
      <w:r w:rsidR="00EC33EC">
        <w:rPr>
          <w:color w:val="auto"/>
          <w:szCs w:val="24"/>
        </w:rPr>
        <w:t xml:space="preserve">requested </w:t>
      </w:r>
      <w:r w:rsidR="00461298">
        <w:rPr>
          <w:color w:val="auto"/>
          <w:szCs w:val="24"/>
        </w:rPr>
        <w:t>a consult to I</w:t>
      </w:r>
      <w:r>
        <w:rPr>
          <w:color w:val="auto"/>
          <w:szCs w:val="24"/>
        </w:rPr>
        <w:t xml:space="preserve">nternal </w:t>
      </w:r>
      <w:r w:rsidR="00461298">
        <w:rPr>
          <w:color w:val="auto"/>
          <w:szCs w:val="24"/>
        </w:rPr>
        <w:t>M</w:t>
      </w:r>
      <w:r>
        <w:rPr>
          <w:color w:val="auto"/>
          <w:szCs w:val="24"/>
        </w:rPr>
        <w:t>edicine (IM)</w:t>
      </w:r>
      <w:r w:rsidR="00EC33EC">
        <w:rPr>
          <w:color w:val="auto"/>
          <w:szCs w:val="24"/>
        </w:rPr>
        <w:t xml:space="preserve"> for the elevated glucose and hard to control hypertension</w:t>
      </w:r>
      <w:r w:rsidR="00461298">
        <w:rPr>
          <w:color w:val="auto"/>
          <w:szCs w:val="24"/>
        </w:rPr>
        <w:t xml:space="preserve">. </w:t>
      </w:r>
      <w:r w:rsidR="007C61E7">
        <w:rPr>
          <w:color w:val="auto"/>
          <w:szCs w:val="24"/>
        </w:rPr>
        <w:t xml:space="preserve"> </w:t>
      </w:r>
      <w:r>
        <w:rPr>
          <w:color w:val="auto"/>
          <w:szCs w:val="24"/>
        </w:rPr>
        <w:t xml:space="preserve">The </w:t>
      </w:r>
      <w:r w:rsidR="00461298">
        <w:rPr>
          <w:color w:val="auto"/>
          <w:szCs w:val="24"/>
        </w:rPr>
        <w:t xml:space="preserve">IM </w:t>
      </w:r>
      <w:r>
        <w:rPr>
          <w:color w:val="auto"/>
          <w:szCs w:val="24"/>
        </w:rPr>
        <w:t xml:space="preserve">provider </w:t>
      </w:r>
      <w:r w:rsidR="00461298">
        <w:rPr>
          <w:color w:val="auto"/>
          <w:szCs w:val="24"/>
        </w:rPr>
        <w:t xml:space="preserve">never addressed the </w:t>
      </w:r>
      <w:r w:rsidR="00C474BF">
        <w:rPr>
          <w:color w:val="auto"/>
          <w:szCs w:val="24"/>
        </w:rPr>
        <w:t xml:space="preserve">fasting </w:t>
      </w:r>
      <w:r w:rsidR="00461298">
        <w:rPr>
          <w:color w:val="auto"/>
          <w:szCs w:val="24"/>
        </w:rPr>
        <w:t>glucose level</w:t>
      </w:r>
      <w:r w:rsidR="00C474BF">
        <w:rPr>
          <w:color w:val="auto"/>
          <w:szCs w:val="24"/>
        </w:rPr>
        <w:t xml:space="preserve"> of 128</w:t>
      </w:r>
      <w:r w:rsidR="00003F27">
        <w:rPr>
          <w:color w:val="auto"/>
          <w:szCs w:val="24"/>
        </w:rPr>
        <w:t xml:space="preserve"> and did not repeat the test or request a glucose tolerance test</w:t>
      </w:r>
      <w:r w:rsidR="00C474BF">
        <w:rPr>
          <w:color w:val="auto"/>
          <w:szCs w:val="24"/>
        </w:rPr>
        <w:t>.</w:t>
      </w:r>
      <w:r w:rsidR="007C61E7">
        <w:rPr>
          <w:color w:val="auto"/>
          <w:szCs w:val="24"/>
        </w:rPr>
        <w:t xml:space="preserve"> </w:t>
      </w:r>
      <w:r w:rsidR="00C474BF">
        <w:rPr>
          <w:color w:val="auto"/>
          <w:szCs w:val="24"/>
        </w:rPr>
        <w:t xml:space="preserve"> </w:t>
      </w:r>
      <w:r w:rsidR="00003F27">
        <w:rPr>
          <w:color w:val="auto"/>
          <w:szCs w:val="24"/>
        </w:rPr>
        <w:t>No further visits to IM are documented in the chart.</w:t>
      </w:r>
      <w:r w:rsidR="00EC33EC">
        <w:rPr>
          <w:color w:val="auto"/>
          <w:szCs w:val="24"/>
        </w:rPr>
        <w:t xml:space="preserve"> </w:t>
      </w:r>
      <w:r w:rsidR="007C61E7">
        <w:rPr>
          <w:color w:val="auto"/>
          <w:szCs w:val="24"/>
        </w:rPr>
        <w:t xml:space="preserve"> </w:t>
      </w:r>
      <w:r w:rsidR="00EC33EC">
        <w:rPr>
          <w:color w:val="auto"/>
          <w:szCs w:val="24"/>
        </w:rPr>
        <w:t>The CI had almost every risk factor for diabetes type II: obesity (BMI near 40), family history of diabetes (mother), hypertension, HDL cholesterol under 35, and habitual inactivity (due to knee problems).</w:t>
      </w:r>
      <w:r w:rsidR="007C61E7">
        <w:rPr>
          <w:color w:val="auto"/>
          <w:szCs w:val="24"/>
        </w:rPr>
        <w:t xml:space="preserve"> </w:t>
      </w:r>
      <w:r w:rsidR="004F5C75">
        <w:rPr>
          <w:color w:val="auto"/>
          <w:szCs w:val="24"/>
        </w:rPr>
        <w:t xml:space="preserve"> The IM provider should have been aware of the increased risk of diabetes and should have completed a diagnostic work-up for diabetes</w:t>
      </w:r>
      <w:r w:rsidR="006106B7">
        <w:rPr>
          <w:color w:val="auto"/>
          <w:szCs w:val="24"/>
        </w:rPr>
        <w:t xml:space="preserve"> or documented why one was not necessary</w:t>
      </w:r>
      <w:r w:rsidR="004F5C75">
        <w:rPr>
          <w:color w:val="auto"/>
          <w:szCs w:val="24"/>
        </w:rPr>
        <w:t xml:space="preserve">. </w:t>
      </w:r>
    </w:p>
    <w:p w:rsidR="00003F27" w:rsidRDefault="00003F27" w:rsidP="008535B9">
      <w:pPr>
        <w:autoSpaceDE w:val="0"/>
        <w:autoSpaceDN w:val="0"/>
        <w:adjustRightInd w:val="0"/>
        <w:spacing w:line="240" w:lineRule="exact"/>
        <w:jc w:val="both"/>
        <w:rPr>
          <w:color w:val="auto"/>
          <w:szCs w:val="24"/>
        </w:rPr>
      </w:pPr>
    </w:p>
    <w:p w:rsidR="00E866F8" w:rsidRPr="003635CE" w:rsidRDefault="00C474BF" w:rsidP="008535B9">
      <w:pPr>
        <w:autoSpaceDE w:val="0"/>
        <w:autoSpaceDN w:val="0"/>
        <w:adjustRightInd w:val="0"/>
        <w:spacing w:line="240" w:lineRule="exact"/>
        <w:jc w:val="both"/>
        <w:rPr>
          <w:color w:val="auto"/>
          <w:szCs w:val="24"/>
        </w:rPr>
      </w:pPr>
      <w:r>
        <w:rPr>
          <w:color w:val="auto"/>
          <w:szCs w:val="24"/>
        </w:rPr>
        <w:t xml:space="preserve">The </w:t>
      </w:r>
      <w:r w:rsidR="003635CE">
        <w:rPr>
          <w:color w:val="auto"/>
          <w:szCs w:val="24"/>
        </w:rPr>
        <w:t>condition of hyperglycemia was listed in the AHLTA master problem list and</w:t>
      </w:r>
      <w:r>
        <w:rPr>
          <w:color w:val="auto"/>
          <w:szCs w:val="24"/>
        </w:rPr>
        <w:t xml:space="preserve"> appears to have first been applied in </w:t>
      </w:r>
      <w:r w:rsidR="00003F27">
        <w:rPr>
          <w:color w:val="auto"/>
          <w:szCs w:val="24"/>
        </w:rPr>
        <w:t xml:space="preserve">March or </w:t>
      </w:r>
      <w:r>
        <w:rPr>
          <w:color w:val="auto"/>
          <w:szCs w:val="24"/>
        </w:rPr>
        <w:t xml:space="preserve">April 2007. </w:t>
      </w:r>
      <w:r w:rsidR="007C61E7">
        <w:rPr>
          <w:color w:val="auto"/>
          <w:szCs w:val="24"/>
        </w:rPr>
        <w:t xml:space="preserve"> </w:t>
      </w:r>
      <w:r>
        <w:rPr>
          <w:color w:val="auto"/>
          <w:szCs w:val="24"/>
        </w:rPr>
        <w:t xml:space="preserve">In August 2007, one month after separation, CI was admitted </w:t>
      </w:r>
      <w:r w:rsidR="004F5C75">
        <w:rPr>
          <w:color w:val="auto"/>
          <w:szCs w:val="24"/>
        </w:rPr>
        <w:t xml:space="preserve">to the ICU </w:t>
      </w:r>
      <w:r>
        <w:rPr>
          <w:color w:val="auto"/>
          <w:szCs w:val="24"/>
        </w:rPr>
        <w:t xml:space="preserve">with a glucose reading over 600. At </w:t>
      </w:r>
      <w:r w:rsidR="004F5C75">
        <w:rPr>
          <w:color w:val="auto"/>
          <w:szCs w:val="24"/>
        </w:rPr>
        <w:t xml:space="preserve">hospital </w:t>
      </w:r>
      <w:r>
        <w:rPr>
          <w:color w:val="auto"/>
          <w:szCs w:val="24"/>
        </w:rPr>
        <w:t xml:space="preserve">discharge he was on </w:t>
      </w:r>
      <w:proofErr w:type="spellStart"/>
      <w:r>
        <w:rPr>
          <w:color w:val="auto"/>
          <w:szCs w:val="24"/>
        </w:rPr>
        <w:t>metformin</w:t>
      </w:r>
      <w:proofErr w:type="spellEnd"/>
      <w:r>
        <w:rPr>
          <w:color w:val="auto"/>
          <w:szCs w:val="24"/>
        </w:rPr>
        <w:t>.</w:t>
      </w:r>
      <w:r w:rsidR="007C61E7">
        <w:rPr>
          <w:color w:val="auto"/>
          <w:szCs w:val="24"/>
        </w:rPr>
        <w:t xml:space="preserve"> </w:t>
      </w:r>
      <w:r w:rsidR="004F5C75">
        <w:rPr>
          <w:color w:val="auto"/>
          <w:szCs w:val="24"/>
        </w:rPr>
        <w:t xml:space="preserve"> If the IM provider had completed the diagnostic work-up prior to separation, the CI most likely would have been diagnosed with diabetes type II, would have been started on </w:t>
      </w:r>
      <w:r w:rsidR="00C57E3C">
        <w:rPr>
          <w:color w:val="auto"/>
          <w:szCs w:val="24"/>
        </w:rPr>
        <w:t xml:space="preserve">either diet modification or </w:t>
      </w:r>
      <w:r w:rsidR="004F5C75">
        <w:rPr>
          <w:color w:val="auto"/>
          <w:szCs w:val="24"/>
        </w:rPr>
        <w:t>medication</w:t>
      </w:r>
      <w:r w:rsidR="00C57E3C">
        <w:rPr>
          <w:color w:val="auto"/>
          <w:szCs w:val="24"/>
        </w:rPr>
        <w:t xml:space="preserve"> (or both)</w:t>
      </w:r>
      <w:r w:rsidR="004F5C75">
        <w:rPr>
          <w:color w:val="auto"/>
          <w:szCs w:val="24"/>
        </w:rPr>
        <w:t xml:space="preserve">, and </w:t>
      </w:r>
      <w:r w:rsidR="004F5C75" w:rsidRPr="003635CE">
        <w:rPr>
          <w:color w:val="auto"/>
          <w:szCs w:val="24"/>
        </w:rPr>
        <w:t>more likely than not would not have ever experienced a blood sugar of over 600</w:t>
      </w:r>
      <w:r w:rsidR="00C57E3C" w:rsidRPr="003635CE">
        <w:rPr>
          <w:color w:val="auto"/>
          <w:szCs w:val="24"/>
        </w:rPr>
        <w:t xml:space="preserve"> or needed an ICU admission</w:t>
      </w:r>
      <w:r w:rsidR="004F5C75" w:rsidRPr="003635CE">
        <w:rPr>
          <w:color w:val="auto"/>
          <w:szCs w:val="24"/>
        </w:rPr>
        <w:t>.</w:t>
      </w:r>
    </w:p>
    <w:p w:rsidR="00A90D55" w:rsidRPr="003635CE" w:rsidRDefault="008B5D31" w:rsidP="00875F2D">
      <w:pPr>
        <w:tabs>
          <w:tab w:val="left" w:pos="288"/>
          <w:tab w:val="left" w:pos="4752"/>
        </w:tabs>
        <w:spacing w:line="240" w:lineRule="exact"/>
        <w:jc w:val="both"/>
        <w:rPr>
          <w:rFonts w:asciiTheme="minorHAnsi" w:hAnsiTheme="minorHAnsi"/>
          <w:color w:val="auto"/>
          <w:szCs w:val="24"/>
        </w:rPr>
      </w:pPr>
      <w:r w:rsidRPr="003635CE">
        <w:rPr>
          <w:rFonts w:asciiTheme="minorHAnsi" w:hAnsiTheme="minorHAnsi"/>
          <w:color w:val="auto"/>
          <w:szCs w:val="24"/>
          <w:u w:val="single"/>
        </w:rPr>
        <w:t>_______________________________________________________________</w:t>
      </w:r>
      <w:r w:rsidRPr="003635CE">
        <w:rPr>
          <w:rFonts w:asciiTheme="minorHAnsi" w:hAnsiTheme="minorHAnsi"/>
          <w:color w:val="auto"/>
          <w:szCs w:val="24"/>
        </w:rPr>
        <w:t>_</w:t>
      </w:r>
      <w:r w:rsidR="003635CE">
        <w:rPr>
          <w:rFonts w:asciiTheme="minorHAnsi" w:hAnsiTheme="minorHAnsi"/>
          <w:color w:val="auto"/>
          <w:szCs w:val="24"/>
        </w:rPr>
        <w:t>______________</w:t>
      </w:r>
    </w:p>
    <w:p w:rsidR="00A90D55" w:rsidRPr="003635CE" w:rsidRDefault="00A90D55" w:rsidP="00875F2D">
      <w:pPr>
        <w:tabs>
          <w:tab w:val="left" w:pos="288"/>
          <w:tab w:val="left" w:pos="4752"/>
        </w:tabs>
        <w:spacing w:line="240" w:lineRule="exact"/>
        <w:jc w:val="both"/>
        <w:rPr>
          <w:rFonts w:asciiTheme="minorHAnsi" w:hAnsiTheme="minorHAnsi"/>
          <w:color w:val="auto"/>
          <w:szCs w:val="24"/>
        </w:rPr>
      </w:pPr>
    </w:p>
    <w:p w:rsidR="00457BCF" w:rsidRPr="00CB5A3C" w:rsidRDefault="00FB593A" w:rsidP="00E40504">
      <w:pPr>
        <w:spacing w:line="240" w:lineRule="exact"/>
        <w:jc w:val="both"/>
        <w:rPr>
          <w:color w:val="auto"/>
          <w:szCs w:val="24"/>
        </w:rPr>
      </w:pPr>
      <w:r w:rsidRPr="00E40504">
        <w:rPr>
          <w:color w:val="auto"/>
          <w:szCs w:val="24"/>
          <w:u w:val="single"/>
        </w:rPr>
        <w:t>BOARD FINDINGS</w:t>
      </w:r>
      <w:r w:rsidRPr="00E40504">
        <w:rPr>
          <w:color w:val="auto"/>
          <w:szCs w:val="24"/>
        </w:rPr>
        <w:t>:</w:t>
      </w:r>
      <w:r w:rsidRPr="00E40504">
        <w:rPr>
          <w:rFonts w:eastAsiaTheme="minorHAnsi"/>
          <w:color w:val="auto"/>
          <w:szCs w:val="24"/>
        </w:rPr>
        <w:t xml:space="preserve">  IAW </w:t>
      </w:r>
      <w:proofErr w:type="spellStart"/>
      <w:r w:rsidRPr="00E40504">
        <w:rPr>
          <w:rFonts w:eastAsiaTheme="minorHAnsi"/>
          <w:color w:val="auto"/>
          <w:szCs w:val="24"/>
        </w:rPr>
        <w:t>DoDI</w:t>
      </w:r>
      <w:proofErr w:type="spellEnd"/>
      <w:r w:rsidRPr="00E40504">
        <w:rPr>
          <w:rFonts w:eastAsiaTheme="minorHAnsi"/>
          <w:color w:val="auto"/>
          <w:szCs w:val="24"/>
        </w:rPr>
        <w:t xml:space="preserve"> 6040.44, provisions of </w:t>
      </w:r>
      <w:proofErr w:type="spellStart"/>
      <w:r w:rsidRPr="00E40504">
        <w:rPr>
          <w:rFonts w:eastAsiaTheme="minorHAnsi"/>
          <w:color w:val="auto"/>
          <w:szCs w:val="24"/>
        </w:rPr>
        <w:t>DoD</w:t>
      </w:r>
      <w:proofErr w:type="spellEnd"/>
      <w:r w:rsidRPr="00E40504">
        <w:rPr>
          <w:rFonts w:eastAsiaTheme="minorHAnsi"/>
          <w:color w:val="auto"/>
          <w:szCs w:val="24"/>
        </w:rPr>
        <w:t xml:space="preserve"> or Military Department regulations or guidelines relied upon by the PEB will not be considered by the </w:t>
      </w:r>
      <w:r w:rsidR="007165CE" w:rsidRPr="00E40504">
        <w:rPr>
          <w:rFonts w:eastAsiaTheme="minorHAnsi"/>
          <w:color w:val="auto"/>
          <w:szCs w:val="24"/>
        </w:rPr>
        <w:t>Board</w:t>
      </w:r>
      <w:r w:rsidRPr="00E40504">
        <w:rPr>
          <w:rFonts w:eastAsiaTheme="minorHAnsi"/>
          <w:color w:val="auto"/>
          <w:szCs w:val="24"/>
        </w:rPr>
        <w:t xml:space="preserve"> to the extent they were inconsistent with the VASRD in effect at the time of the adjudication. </w:t>
      </w:r>
      <w:r w:rsidR="00E40504" w:rsidRPr="004869DE">
        <w:rPr>
          <w:color w:val="auto"/>
        </w:rPr>
        <w:t>After careful consideration of all available information, the Board unanimously concluded that the CI’s condition is appropriately rated at</w:t>
      </w:r>
      <w:r w:rsidR="00973A45">
        <w:rPr>
          <w:color w:val="auto"/>
        </w:rPr>
        <w:t xml:space="preserve"> a combined 20% for right and left knee osteoarthritis</w:t>
      </w:r>
      <w:r w:rsidR="00CB5A3C">
        <w:rPr>
          <w:color w:val="auto"/>
        </w:rPr>
        <w:t xml:space="preserve"> and no </w:t>
      </w:r>
      <w:proofErr w:type="spellStart"/>
      <w:r w:rsidR="00CB5A3C">
        <w:rPr>
          <w:color w:val="auto"/>
        </w:rPr>
        <w:t>recharacterization</w:t>
      </w:r>
      <w:proofErr w:type="spellEnd"/>
      <w:r w:rsidR="00CB5A3C">
        <w:rPr>
          <w:color w:val="auto"/>
        </w:rPr>
        <w:t xml:space="preserve"> of </w:t>
      </w:r>
      <w:r w:rsidR="00CB5A3C" w:rsidRPr="003F74F1">
        <w:rPr>
          <w:color w:val="auto"/>
          <w:szCs w:val="24"/>
        </w:rPr>
        <w:t>the CI</w:t>
      </w:r>
      <w:r w:rsidR="00CB5A3C" w:rsidRPr="003F74F1">
        <w:rPr>
          <w:rFonts w:hAnsiTheme="minorHAnsi"/>
          <w:color w:val="auto"/>
          <w:szCs w:val="24"/>
        </w:rPr>
        <w:t>’</w:t>
      </w:r>
      <w:r w:rsidR="00CB5A3C" w:rsidRPr="003F74F1">
        <w:rPr>
          <w:color w:val="auto"/>
          <w:szCs w:val="24"/>
        </w:rPr>
        <w:t>s disabili</w:t>
      </w:r>
      <w:r w:rsidR="00CB5A3C">
        <w:rPr>
          <w:color w:val="auto"/>
          <w:szCs w:val="24"/>
        </w:rPr>
        <w:t>ty and separation determination is warranted</w:t>
      </w:r>
      <w:r w:rsidR="00973A45">
        <w:rPr>
          <w:color w:val="auto"/>
        </w:rPr>
        <w:t>.</w:t>
      </w:r>
    </w:p>
    <w:p w:rsidR="00973A45" w:rsidRDefault="00973A45" w:rsidP="00E40504">
      <w:pPr>
        <w:spacing w:line="240" w:lineRule="exact"/>
        <w:jc w:val="both"/>
        <w:rPr>
          <w:color w:val="auto"/>
        </w:rPr>
      </w:pPr>
    </w:p>
    <w:p w:rsidR="00973A45" w:rsidRDefault="00546BF6" w:rsidP="00E40504">
      <w:pPr>
        <w:spacing w:line="240" w:lineRule="exact"/>
        <w:jc w:val="both"/>
        <w:rPr>
          <w:color w:val="auto"/>
        </w:rPr>
      </w:pPr>
      <w:r>
        <w:rPr>
          <w:color w:val="auto"/>
        </w:rPr>
        <w:t xml:space="preserve">Osteoarthritis and a history of </w:t>
      </w:r>
      <w:proofErr w:type="spellStart"/>
      <w:r>
        <w:rPr>
          <w:color w:val="auto"/>
        </w:rPr>
        <w:t>meniscal</w:t>
      </w:r>
      <w:proofErr w:type="spellEnd"/>
      <w:r>
        <w:rPr>
          <w:color w:val="auto"/>
        </w:rPr>
        <w:t xml:space="preserve"> repair </w:t>
      </w:r>
      <w:r w:rsidR="00701157">
        <w:rPr>
          <w:color w:val="auto"/>
        </w:rPr>
        <w:t>were</w:t>
      </w:r>
      <w:r>
        <w:rPr>
          <w:color w:val="auto"/>
        </w:rPr>
        <w:t xml:space="preserve"> present in both knees. </w:t>
      </w:r>
      <w:r w:rsidR="007C61E7">
        <w:rPr>
          <w:color w:val="auto"/>
        </w:rPr>
        <w:t xml:space="preserve"> </w:t>
      </w:r>
      <w:r>
        <w:rPr>
          <w:color w:val="auto"/>
        </w:rPr>
        <w:t xml:space="preserve">The CI had pain and swelling in both knees and intermittent locking of the right knee. </w:t>
      </w:r>
      <w:r w:rsidR="007C61E7">
        <w:rPr>
          <w:color w:val="auto"/>
        </w:rPr>
        <w:t xml:space="preserve"> </w:t>
      </w:r>
      <w:r>
        <w:rPr>
          <w:color w:val="auto"/>
        </w:rPr>
        <w:t>Both knees had pain limited motion that did not reach the minimum criteria for rating based on limited range of motion.</w:t>
      </w:r>
      <w:r w:rsidR="007C61E7">
        <w:rPr>
          <w:color w:val="auto"/>
        </w:rPr>
        <w:t xml:space="preserve"> </w:t>
      </w:r>
      <w:r>
        <w:rPr>
          <w:color w:val="auto"/>
        </w:rPr>
        <w:t xml:space="preserve"> Th</w:t>
      </w:r>
      <w:r w:rsidR="00701157">
        <w:rPr>
          <w:color w:val="auto"/>
        </w:rPr>
        <w:t>ese</w:t>
      </w:r>
      <w:r>
        <w:rPr>
          <w:color w:val="auto"/>
        </w:rPr>
        <w:t xml:space="preserve"> </w:t>
      </w:r>
      <w:r w:rsidR="00701157">
        <w:rPr>
          <w:color w:val="auto"/>
        </w:rPr>
        <w:t>conditions</w:t>
      </w:r>
      <w:r>
        <w:rPr>
          <w:color w:val="auto"/>
        </w:rPr>
        <w:t xml:space="preserve"> could be rated under </w:t>
      </w:r>
      <w:r w:rsidR="00701157">
        <w:rPr>
          <w:color w:val="auto"/>
        </w:rPr>
        <w:t xml:space="preserve">VASRD 5003, 5010, or 5259 at 10%. </w:t>
      </w:r>
      <w:r w:rsidR="007C61E7">
        <w:rPr>
          <w:color w:val="auto"/>
        </w:rPr>
        <w:t xml:space="preserve"> </w:t>
      </w:r>
      <w:r w:rsidR="00701157">
        <w:rPr>
          <w:color w:val="auto"/>
        </w:rPr>
        <w:t xml:space="preserve">The Air Force PEB rated under VASRD 5003 and the Board finds this code and rating is appropriate. </w:t>
      </w:r>
      <w:r w:rsidR="007C61E7">
        <w:rPr>
          <w:color w:val="auto"/>
        </w:rPr>
        <w:t xml:space="preserve"> </w:t>
      </w:r>
      <w:r w:rsidR="00701157">
        <w:rPr>
          <w:color w:val="auto"/>
        </w:rPr>
        <w:t xml:space="preserve">The Board found no evidence to support a higher rating for either knee. </w:t>
      </w:r>
    </w:p>
    <w:p w:rsidR="00457BCF" w:rsidRPr="00AE3316" w:rsidRDefault="00457BCF" w:rsidP="00457BCF">
      <w:pPr>
        <w:spacing w:line="240" w:lineRule="exact"/>
        <w:rPr>
          <w:rFonts w:asciiTheme="minorHAnsi" w:hAnsiTheme="minorHAnsi"/>
          <w:color w:val="auto"/>
          <w:szCs w:val="24"/>
        </w:rPr>
      </w:pPr>
    </w:p>
    <w:p w:rsidR="00BD7831" w:rsidRPr="00AE3316" w:rsidRDefault="00E40504" w:rsidP="003F74F1">
      <w:pPr>
        <w:tabs>
          <w:tab w:val="left" w:pos="288"/>
          <w:tab w:val="left" w:pos="4752"/>
        </w:tabs>
        <w:spacing w:line="240" w:lineRule="exact"/>
        <w:jc w:val="both"/>
        <w:rPr>
          <w:rFonts w:asciiTheme="minorHAnsi" w:hAnsiTheme="minorHAnsi"/>
          <w:color w:val="FF0000"/>
          <w:szCs w:val="24"/>
        </w:rPr>
      </w:pPr>
      <w:r>
        <w:rPr>
          <w:color w:val="auto"/>
          <w:szCs w:val="24"/>
        </w:rPr>
        <w:t xml:space="preserve">The Board considered the conditions of </w:t>
      </w:r>
      <w:r w:rsidR="00973A45">
        <w:rPr>
          <w:color w:val="auto"/>
          <w:szCs w:val="24"/>
        </w:rPr>
        <w:t xml:space="preserve">Major Depression, </w:t>
      </w:r>
      <w:r w:rsidR="003F74F1" w:rsidRPr="00693258">
        <w:rPr>
          <w:color w:val="auto"/>
          <w:szCs w:val="24"/>
        </w:rPr>
        <w:t xml:space="preserve">Left </w:t>
      </w:r>
      <w:r w:rsidR="003F74F1">
        <w:rPr>
          <w:color w:val="auto"/>
          <w:szCs w:val="24"/>
        </w:rPr>
        <w:t>A</w:t>
      </w:r>
      <w:r w:rsidR="003F74F1" w:rsidRPr="00693258">
        <w:rPr>
          <w:color w:val="auto"/>
          <w:szCs w:val="24"/>
        </w:rPr>
        <w:t xml:space="preserve">nkle </w:t>
      </w:r>
      <w:r w:rsidR="003F74F1">
        <w:rPr>
          <w:color w:val="auto"/>
          <w:szCs w:val="24"/>
        </w:rPr>
        <w:t>A</w:t>
      </w:r>
      <w:r w:rsidR="003F74F1" w:rsidRPr="00693258">
        <w:rPr>
          <w:color w:val="auto"/>
          <w:szCs w:val="24"/>
        </w:rPr>
        <w:t xml:space="preserve">rthritis, </w:t>
      </w:r>
      <w:r w:rsidR="003F74F1" w:rsidRPr="00693258">
        <w:rPr>
          <w:bCs/>
          <w:color w:val="auto"/>
          <w:szCs w:val="24"/>
        </w:rPr>
        <w:t xml:space="preserve">Gout, Hypertension, </w:t>
      </w:r>
      <w:r>
        <w:rPr>
          <w:bCs/>
          <w:color w:val="auto"/>
          <w:szCs w:val="24"/>
        </w:rPr>
        <w:t xml:space="preserve">and </w:t>
      </w:r>
      <w:proofErr w:type="spellStart"/>
      <w:r w:rsidR="003F74F1" w:rsidRPr="00693258">
        <w:rPr>
          <w:bCs/>
          <w:color w:val="auto"/>
          <w:szCs w:val="24"/>
        </w:rPr>
        <w:t>Pseudofolliculitis</w:t>
      </w:r>
      <w:proofErr w:type="spellEnd"/>
      <w:r w:rsidR="003F74F1" w:rsidRPr="00693258">
        <w:rPr>
          <w:bCs/>
          <w:color w:val="auto"/>
          <w:szCs w:val="24"/>
        </w:rPr>
        <w:t xml:space="preserve"> </w:t>
      </w:r>
      <w:proofErr w:type="spellStart"/>
      <w:r w:rsidR="003F74F1" w:rsidRPr="00693258">
        <w:rPr>
          <w:color w:val="auto"/>
          <w:szCs w:val="24"/>
        </w:rPr>
        <w:t>Barbae</w:t>
      </w:r>
      <w:proofErr w:type="spellEnd"/>
      <w:r w:rsidR="003F74F1" w:rsidRPr="00693258">
        <w:rPr>
          <w:color w:val="auto"/>
          <w:szCs w:val="24"/>
        </w:rPr>
        <w:t xml:space="preserve"> </w:t>
      </w:r>
      <w:r>
        <w:rPr>
          <w:color w:val="auto"/>
          <w:szCs w:val="24"/>
        </w:rPr>
        <w:t>which were</w:t>
      </w:r>
      <w:r w:rsidR="00973A45">
        <w:rPr>
          <w:color w:val="auto"/>
          <w:szCs w:val="24"/>
        </w:rPr>
        <w:t xml:space="preserve"> </w:t>
      </w:r>
      <w:r w:rsidR="003F74F1" w:rsidRPr="00693258">
        <w:rPr>
          <w:color w:val="auto"/>
          <w:szCs w:val="24"/>
        </w:rPr>
        <w:t>rated by the VA</w:t>
      </w:r>
      <w:r w:rsidR="00973A45">
        <w:rPr>
          <w:color w:val="auto"/>
          <w:szCs w:val="24"/>
        </w:rPr>
        <w:t xml:space="preserve"> and unanimously determined</w:t>
      </w:r>
      <w:r w:rsidR="003F74F1" w:rsidRPr="00693258">
        <w:rPr>
          <w:color w:val="auto"/>
          <w:szCs w:val="24"/>
        </w:rPr>
        <w:t xml:space="preserve"> </w:t>
      </w:r>
      <w:r w:rsidR="003F74F1" w:rsidRPr="00693258">
        <w:rPr>
          <w:color w:val="auto"/>
          <w:szCs w:val="24"/>
        </w:rPr>
        <w:lastRenderedPageBreak/>
        <w:t xml:space="preserve">there is no evidence </w:t>
      </w:r>
      <w:r w:rsidR="00973A45">
        <w:rPr>
          <w:color w:val="auto"/>
          <w:szCs w:val="24"/>
        </w:rPr>
        <w:t>to support</w:t>
      </w:r>
      <w:r w:rsidR="003F74F1">
        <w:rPr>
          <w:color w:val="auto"/>
          <w:szCs w:val="24"/>
        </w:rPr>
        <w:t xml:space="preserve"> concluding </w:t>
      </w:r>
      <w:r w:rsidR="003F74F1" w:rsidRPr="00693258">
        <w:rPr>
          <w:color w:val="auto"/>
          <w:szCs w:val="24"/>
        </w:rPr>
        <w:t>these conditions were unfitting</w:t>
      </w:r>
      <w:r w:rsidR="00973A45">
        <w:rPr>
          <w:color w:val="auto"/>
          <w:szCs w:val="24"/>
        </w:rPr>
        <w:t xml:space="preserve"> at the time of separation</w:t>
      </w:r>
      <w:r w:rsidR="003F74F1" w:rsidRPr="00693258">
        <w:rPr>
          <w:color w:val="auto"/>
          <w:szCs w:val="24"/>
        </w:rPr>
        <w:t xml:space="preserve">. </w:t>
      </w:r>
    </w:p>
    <w:p w:rsidR="001E5815" w:rsidRDefault="001E5815" w:rsidP="00F5126A">
      <w:pPr>
        <w:spacing w:line="240" w:lineRule="exact"/>
        <w:jc w:val="both"/>
        <w:rPr>
          <w:rFonts w:asciiTheme="minorHAnsi" w:eastAsiaTheme="minorHAnsi" w:hAnsiTheme="minorHAnsi"/>
          <w:color w:val="auto"/>
          <w:szCs w:val="24"/>
        </w:rPr>
      </w:pPr>
    </w:p>
    <w:p w:rsidR="001E5815" w:rsidRPr="003F74F1" w:rsidRDefault="003F74F1" w:rsidP="001E5815">
      <w:pPr>
        <w:tabs>
          <w:tab w:val="left" w:pos="288"/>
          <w:tab w:val="left" w:pos="4752"/>
        </w:tabs>
        <w:spacing w:line="240" w:lineRule="exact"/>
        <w:jc w:val="both"/>
        <w:rPr>
          <w:color w:val="auto"/>
        </w:rPr>
      </w:pPr>
      <w:r w:rsidRPr="003F74F1">
        <w:rPr>
          <w:color w:val="auto"/>
        </w:rPr>
        <w:t>Type II diabetes was</w:t>
      </w:r>
      <w:r w:rsidR="001E5815" w:rsidRPr="003F74F1">
        <w:rPr>
          <w:color w:val="auto"/>
        </w:rPr>
        <w:t xml:space="preserve"> rated by the VA </w:t>
      </w:r>
      <w:r w:rsidRPr="003F74F1">
        <w:rPr>
          <w:color w:val="auto"/>
        </w:rPr>
        <w:t xml:space="preserve">but was </w:t>
      </w:r>
      <w:r w:rsidR="001E5815" w:rsidRPr="003F74F1">
        <w:rPr>
          <w:color w:val="auto"/>
          <w:szCs w:val="24"/>
        </w:rPr>
        <w:t xml:space="preserve">not mentioned in the Disability Evaluation System (DES) package and </w:t>
      </w:r>
      <w:r w:rsidRPr="003F74F1">
        <w:rPr>
          <w:color w:val="auto"/>
        </w:rPr>
        <w:t>is</w:t>
      </w:r>
      <w:r w:rsidR="001E5815" w:rsidRPr="003F74F1">
        <w:rPr>
          <w:color w:val="auto"/>
        </w:rPr>
        <w:t xml:space="preserve"> therefore outside the scope of the Board.</w:t>
      </w:r>
      <w:r w:rsidR="007C61E7">
        <w:rPr>
          <w:color w:val="auto"/>
        </w:rPr>
        <w:t xml:space="preserve"> </w:t>
      </w:r>
      <w:r w:rsidR="001E5815" w:rsidRPr="003F74F1">
        <w:rPr>
          <w:color w:val="auto"/>
        </w:rPr>
        <w:t xml:space="preserve"> The CI retains the right to request his service Board of Correction for Military Records (BCMR) consider adding th</w:t>
      </w:r>
      <w:r w:rsidRPr="003F74F1">
        <w:rPr>
          <w:color w:val="auto"/>
        </w:rPr>
        <w:t>is condition</w:t>
      </w:r>
      <w:r w:rsidR="001E5815" w:rsidRPr="003F74F1">
        <w:rPr>
          <w:color w:val="auto"/>
        </w:rPr>
        <w:t xml:space="preserve"> as unfitting.</w:t>
      </w:r>
    </w:p>
    <w:p w:rsidR="00FB593A" w:rsidRPr="003F74F1" w:rsidRDefault="008B5D31" w:rsidP="003F74F1">
      <w:pPr>
        <w:tabs>
          <w:tab w:val="left" w:pos="288"/>
          <w:tab w:val="left" w:pos="4752"/>
        </w:tabs>
        <w:spacing w:line="240" w:lineRule="exact"/>
        <w:jc w:val="both"/>
        <w:rPr>
          <w:color w:val="000080"/>
          <w:szCs w:val="24"/>
        </w:rPr>
      </w:pPr>
      <w:r w:rsidRPr="003F74F1">
        <w:rPr>
          <w:color w:val="000080"/>
          <w:szCs w:val="24"/>
          <w:u w:val="single"/>
        </w:rPr>
        <w:t>____________________________________</w:t>
      </w:r>
      <w:r w:rsidR="003F74F1">
        <w:rPr>
          <w:color w:val="000080"/>
          <w:szCs w:val="24"/>
          <w:u w:val="single"/>
        </w:rPr>
        <w:t>______</w:t>
      </w:r>
      <w:r w:rsidRPr="003F74F1">
        <w:rPr>
          <w:color w:val="000080"/>
          <w:szCs w:val="24"/>
          <w:u w:val="single"/>
        </w:rPr>
        <w:t>_____________________</w:t>
      </w:r>
      <w:r w:rsidRPr="003F74F1">
        <w:rPr>
          <w:color w:val="000080"/>
          <w:szCs w:val="24"/>
        </w:rPr>
        <w:t>_</w:t>
      </w:r>
    </w:p>
    <w:p w:rsidR="00FB593A" w:rsidRPr="003F74F1" w:rsidRDefault="00FB593A" w:rsidP="003F74F1">
      <w:pPr>
        <w:tabs>
          <w:tab w:val="left" w:pos="288"/>
          <w:tab w:val="left" w:pos="4752"/>
        </w:tabs>
        <w:spacing w:line="240" w:lineRule="exact"/>
        <w:jc w:val="both"/>
        <w:rPr>
          <w:color w:val="000080"/>
          <w:szCs w:val="24"/>
        </w:rPr>
      </w:pPr>
    </w:p>
    <w:p w:rsidR="003F74F1" w:rsidRPr="003F74F1" w:rsidRDefault="00FB593A" w:rsidP="003F74F1">
      <w:pPr>
        <w:spacing w:line="240" w:lineRule="exact"/>
        <w:jc w:val="both"/>
        <w:rPr>
          <w:color w:val="auto"/>
          <w:szCs w:val="24"/>
        </w:rPr>
      </w:pPr>
      <w:r w:rsidRPr="003F74F1">
        <w:rPr>
          <w:color w:val="auto"/>
          <w:szCs w:val="24"/>
          <w:u w:val="single"/>
        </w:rPr>
        <w:t>RECOMMENDATION</w:t>
      </w:r>
      <w:r w:rsidRPr="003F74F1">
        <w:rPr>
          <w:color w:val="auto"/>
          <w:szCs w:val="24"/>
        </w:rPr>
        <w:t xml:space="preserve">: </w:t>
      </w:r>
      <w:r w:rsidR="003F74F1" w:rsidRPr="003F74F1">
        <w:rPr>
          <w:color w:val="auto"/>
          <w:szCs w:val="24"/>
        </w:rPr>
        <w:t xml:space="preserve">The Board therefore recommends that there be no </w:t>
      </w:r>
      <w:proofErr w:type="spellStart"/>
      <w:r w:rsidR="003F74F1" w:rsidRPr="003F74F1">
        <w:rPr>
          <w:color w:val="auto"/>
          <w:szCs w:val="24"/>
        </w:rPr>
        <w:t>recharacterization</w:t>
      </w:r>
      <w:proofErr w:type="spellEnd"/>
      <w:r w:rsidR="003F74F1" w:rsidRPr="003F74F1">
        <w:rPr>
          <w:color w:val="auto"/>
          <w:szCs w:val="24"/>
        </w:rPr>
        <w:t xml:space="preserve"> of the CI</w:t>
      </w:r>
      <w:r w:rsidR="003F74F1" w:rsidRPr="003F74F1">
        <w:rPr>
          <w:rFonts w:hAnsiTheme="minorHAnsi"/>
          <w:color w:val="auto"/>
          <w:szCs w:val="24"/>
        </w:rPr>
        <w:t>’</w:t>
      </w:r>
      <w:r w:rsidR="003F74F1" w:rsidRPr="003F74F1">
        <w:rPr>
          <w:color w:val="auto"/>
          <w:szCs w:val="24"/>
        </w:rPr>
        <w:t>s disability and separation determination.</w:t>
      </w:r>
    </w:p>
    <w:p w:rsidR="00B522CD" w:rsidRPr="003F74F1" w:rsidRDefault="008B5D31" w:rsidP="003F74F1">
      <w:pPr>
        <w:tabs>
          <w:tab w:val="left" w:pos="288"/>
          <w:tab w:val="left" w:pos="4752"/>
        </w:tabs>
        <w:spacing w:line="240" w:lineRule="exact"/>
        <w:jc w:val="both"/>
        <w:rPr>
          <w:color w:val="auto"/>
          <w:szCs w:val="24"/>
        </w:rPr>
      </w:pPr>
      <w:r w:rsidRPr="003F74F1">
        <w:rPr>
          <w:color w:val="auto"/>
          <w:szCs w:val="24"/>
          <w:u w:val="single"/>
        </w:rPr>
        <w:t>_______________________________________________________________</w:t>
      </w:r>
      <w:r w:rsidRPr="003F74F1">
        <w:rPr>
          <w:color w:val="auto"/>
          <w:szCs w:val="24"/>
        </w:rPr>
        <w:t>_</w:t>
      </w:r>
    </w:p>
    <w:p w:rsidR="00D91DA6" w:rsidRPr="003F74F1" w:rsidRDefault="00D91DA6" w:rsidP="003F74F1">
      <w:pPr>
        <w:tabs>
          <w:tab w:val="left" w:pos="288"/>
          <w:tab w:val="left" w:pos="4752"/>
        </w:tabs>
        <w:spacing w:line="240" w:lineRule="exact"/>
        <w:jc w:val="both"/>
        <w:rPr>
          <w:color w:val="auto"/>
          <w:szCs w:val="24"/>
        </w:rPr>
      </w:pPr>
    </w:p>
    <w:p w:rsidR="00D91DA6" w:rsidRPr="003F74F1" w:rsidRDefault="00114F20" w:rsidP="003F74F1">
      <w:pPr>
        <w:tabs>
          <w:tab w:val="left" w:pos="288"/>
          <w:tab w:val="left" w:pos="4752"/>
        </w:tabs>
        <w:spacing w:line="240" w:lineRule="exact"/>
        <w:jc w:val="both"/>
        <w:rPr>
          <w:color w:val="auto"/>
          <w:szCs w:val="24"/>
        </w:rPr>
      </w:pPr>
      <w:r w:rsidRPr="003F74F1">
        <w:rPr>
          <w:color w:val="auto"/>
          <w:szCs w:val="24"/>
        </w:rPr>
        <w:t>The following documentary evidence was considered:</w:t>
      </w:r>
    </w:p>
    <w:p w:rsidR="00114F20" w:rsidRPr="003F74F1" w:rsidRDefault="00114F20" w:rsidP="003F74F1">
      <w:pPr>
        <w:tabs>
          <w:tab w:val="left" w:pos="288"/>
          <w:tab w:val="left" w:pos="4752"/>
        </w:tabs>
        <w:spacing w:line="240" w:lineRule="exact"/>
        <w:jc w:val="both"/>
        <w:rPr>
          <w:color w:val="auto"/>
          <w:szCs w:val="24"/>
        </w:rPr>
      </w:pPr>
    </w:p>
    <w:p w:rsidR="00114F20" w:rsidRPr="003F74F1" w:rsidRDefault="0051146C" w:rsidP="003F74F1">
      <w:pPr>
        <w:tabs>
          <w:tab w:val="left" w:pos="288"/>
          <w:tab w:val="left" w:pos="4752"/>
        </w:tabs>
        <w:spacing w:line="240" w:lineRule="exact"/>
        <w:jc w:val="both"/>
        <w:rPr>
          <w:color w:val="auto"/>
          <w:szCs w:val="24"/>
        </w:rPr>
      </w:pPr>
      <w:r w:rsidRPr="003F74F1">
        <w:rPr>
          <w:color w:val="auto"/>
          <w:szCs w:val="24"/>
        </w:rPr>
        <w:t xml:space="preserve">Exhibit A.  DD Form </w:t>
      </w:r>
      <w:proofErr w:type="gramStart"/>
      <w:r w:rsidRPr="003F74F1">
        <w:rPr>
          <w:color w:val="auto"/>
          <w:szCs w:val="24"/>
        </w:rPr>
        <w:t>294,</w:t>
      </w:r>
      <w:proofErr w:type="gramEnd"/>
      <w:r w:rsidRPr="003F74F1">
        <w:rPr>
          <w:color w:val="auto"/>
          <w:szCs w:val="24"/>
        </w:rPr>
        <w:t xml:space="preserve"> dated </w:t>
      </w:r>
      <w:r w:rsidR="0019273F" w:rsidRPr="003F74F1">
        <w:rPr>
          <w:color w:val="auto"/>
          <w:szCs w:val="24"/>
        </w:rPr>
        <w:t>2009</w:t>
      </w:r>
      <w:r w:rsidR="003F74F1" w:rsidRPr="003F74F1">
        <w:rPr>
          <w:color w:val="auto"/>
          <w:szCs w:val="24"/>
        </w:rPr>
        <w:t>0521</w:t>
      </w:r>
      <w:r w:rsidR="00114F20" w:rsidRPr="003F74F1">
        <w:rPr>
          <w:color w:val="auto"/>
          <w:szCs w:val="24"/>
        </w:rPr>
        <w:t>, w/</w:t>
      </w:r>
      <w:proofErr w:type="spellStart"/>
      <w:r w:rsidR="00114F20" w:rsidRPr="003F74F1">
        <w:rPr>
          <w:color w:val="auto"/>
          <w:szCs w:val="24"/>
        </w:rPr>
        <w:t>atchs</w:t>
      </w:r>
      <w:proofErr w:type="spellEnd"/>
      <w:r w:rsidR="00114F20" w:rsidRPr="003F74F1">
        <w:rPr>
          <w:color w:val="auto"/>
          <w:szCs w:val="24"/>
        </w:rPr>
        <w:t>.</w:t>
      </w:r>
    </w:p>
    <w:p w:rsidR="00114F20" w:rsidRPr="003F74F1" w:rsidRDefault="00114F20" w:rsidP="003F74F1">
      <w:pPr>
        <w:tabs>
          <w:tab w:val="left" w:pos="288"/>
          <w:tab w:val="left" w:pos="4752"/>
        </w:tabs>
        <w:spacing w:line="240" w:lineRule="exact"/>
        <w:jc w:val="both"/>
        <w:rPr>
          <w:color w:val="auto"/>
          <w:szCs w:val="24"/>
        </w:rPr>
      </w:pPr>
      <w:r w:rsidRPr="003F74F1">
        <w:rPr>
          <w:color w:val="auto"/>
          <w:szCs w:val="24"/>
        </w:rPr>
        <w:t xml:space="preserve">Exhibit B.  </w:t>
      </w:r>
      <w:proofErr w:type="gramStart"/>
      <w:r w:rsidRPr="003F74F1">
        <w:rPr>
          <w:color w:val="auto"/>
          <w:szCs w:val="24"/>
        </w:rPr>
        <w:t>Service Treatment Record.</w:t>
      </w:r>
      <w:proofErr w:type="gramEnd"/>
    </w:p>
    <w:p w:rsidR="00114F20" w:rsidRPr="003F74F1" w:rsidRDefault="00114F20" w:rsidP="003F74F1">
      <w:pPr>
        <w:tabs>
          <w:tab w:val="left" w:pos="288"/>
          <w:tab w:val="left" w:pos="4752"/>
        </w:tabs>
        <w:spacing w:line="240" w:lineRule="exact"/>
        <w:jc w:val="both"/>
        <w:rPr>
          <w:color w:val="auto"/>
          <w:szCs w:val="24"/>
        </w:rPr>
      </w:pPr>
      <w:r w:rsidRPr="003F74F1">
        <w:rPr>
          <w:color w:val="auto"/>
          <w:szCs w:val="24"/>
        </w:rPr>
        <w:t xml:space="preserve">Exhibit C.  </w:t>
      </w:r>
      <w:proofErr w:type="gramStart"/>
      <w:r w:rsidRPr="003F74F1">
        <w:rPr>
          <w:color w:val="auto"/>
          <w:szCs w:val="24"/>
        </w:rPr>
        <w:t>Department of Veterans</w:t>
      </w:r>
      <w:r w:rsidR="00385D6F" w:rsidRPr="003F74F1">
        <w:rPr>
          <w:color w:val="auto"/>
          <w:szCs w:val="24"/>
        </w:rPr>
        <w:t>'</w:t>
      </w:r>
      <w:r w:rsidRPr="003F74F1">
        <w:rPr>
          <w:color w:val="auto"/>
          <w:szCs w:val="24"/>
        </w:rPr>
        <w:t xml:space="preserve"> Affairs Treatment Record.</w:t>
      </w:r>
      <w:proofErr w:type="gramEnd"/>
    </w:p>
    <w:p w:rsidR="00D91DA6" w:rsidRPr="003F74F1" w:rsidRDefault="00D91DA6" w:rsidP="003F74F1">
      <w:pPr>
        <w:tabs>
          <w:tab w:val="left" w:pos="288"/>
          <w:tab w:val="left" w:pos="4752"/>
        </w:tabs>
        <w:spacing w:line="240" w:lineRule="exact"/>
        <w:jc w:val="both"/>
        <w:rPr>
          <w:color w:val="auto"/>
          <w:szCs w:val="24"/>
        </w:rPr>
      </w:pPr>
    </w:p>
    <w:p w:rsidR="00114F20" w:rsidRPr="003F74F1" w:rsidRDefault="00114F20" w:rsidP="003F74F1">
      <w:pPr>
        <w:tabs>
          <w:tab w:val="left" w:pos="288"/>
          <w:tab w:val="left" w:pos="4752"/>
        </w:tabs>
        <w:spacing w:line="240" w:lineRule="exact"/>
        <w:jc w:val="both"/>
        <w:rPr>
          <w:color w:val="auto"/>
          <w:szCs w:val="24"/>
        </w:rPr>
      </w:pPr>
    </w:p>
    <w:p w:rsidR="00114F20" w:rsidRPr="003F74F1" w:rsidRDefault="00114F20" w:rsidP="003F74F1">
      <w:pPr>
        <w:tabs>
          <w:tab w:val="left" w:pos="288"/>
          <w:tab w:val="left" w:pos="4752"/>
        </w:tabs>
        <w:spacing w:line="240" w:lineRule="exact"/>
        <w:jc w:val="both"/>
        <w:rPr>
          <w:color w:val="auto"/>
          <w:szCs w:val="24"/>
        </w:rPr>
      </w:pPr>
    </w:p>
    <w:p w:rsidR="00114F20" w:rsidRPr="003F74F1" w:rsidRDefault="00114F20" w:rsidP="003F74F1">
      <w:pPr>
        <w:tabs>
          <w:tab w:val="left" w:pos="288"/>
          <w:tab w:val="left" w:pos="4752"/>
        </w:tabs>
        <w:spacing w:line="240" w:lineRule="exact"/>
        <w:jc w:val="both"/>
        <w:rPr>
          <w:color w:val="auto"/>
          <w:szCs w:val="24"/>
        </w:rPr>
      </w:pPr>
    </w:p>
    <w:p w:rsidR="00D91DA6" w:rsidRPr="003F74F1" w:rsidRDefault="00C30A97" w:rsidP="003F74F1">
      <w:pPr>
        <w:tabs>
          <w:tab w:val="left" w:pos="0"/>
          <w:tab w:val="left" w:pos="4320"/>
        </w:tabs>
        <w:spacing w:line="240" w:lineRule="exact"/>
        <w:jc w:val="both"/>
        <w:rPr>
          <w:color w:val="auto"/>
          <w:szCs w:val="24"/>
        </w:rPr>
      </w:pPr>
      <w:r w:rsidRPr="003F74F1">
        <w:rPr>
          <w:color w:val="auto"/>
          <w:szCs w:val="24"/>
        </w:rPr>
        <w:t xml:space="preserve">                             </w:t>
      </w:r>
      <w:r w:rsidR="0079618C">
        <w:rPr>
          <w:color w:val="auto"/>
          <w:szCs w:val="24"/>
        </w:rPr>
        <w:t xml:space="preserve"> </w:t>
      </w:r>
    </w:p>
    <w:p w:rsidR="00D91DA6" w:rsidRPr="003F74F1" w:rsidRDefault="00C30A97" w:rsidP="003F74F1">
      <w:pPr>
        <w:tabs>
          <w:tab w:val="left" w:pos="0"/>
          <w:tab w:val="left" w:pos="4320"/>
        </w:tabs>
        <w:spacing w:line="240" w:lineRule="exact"/>
        <w:jc w:val="both"/>
        <w:rPr>
          <w:color w:val="auto"/>
          <w:szCs w:val="24"/>
        </w:rPr>
      </w:pPr>
      <w:r w:rsidRPr="003F74F1">
        <w:rPr>
          <w:color w:val="auto"/>
          <w:szCs w:val="24"/>
        </w:rPr>
        <w:t xml:space="preserve">                            </w:t>
      </w:r>
      <w:r w:rsidR="003F74F1" w:rsidRPr="003F74F1">
        <w:rPr>
          <w:color w:val="auto"/>
          <w:szCs w:val="24"/>
        </w:rPr>
        <w:t xml:space="preserve"> </w:t>
      </w:r>
      <w:r w:rsidR="00D91DA6" w:rsidRPr="003F74F1">
        <w:rPr>
          <w:color w:val="auto"/>
          <w:szCs w:val="24"/>
        </w:rPr>
        <w:t>President</w:t>
      </w:r>
    </w:p>
    <w:p w:rsidR="0079618C" w:rsidRDefault="00C30A97" w:rsidP="003F74F1">
      <w:pPr>
        <w:tabs>
          <w:tab w:val="left" w:pos="288"/>
          <w:tab w:val="left" w:pos="4320"/>
          <w:tab w:val="left" w:pos="4410"/>
          <w:tab w:val="left" w:pos="4770"/>
          <w:tab w:val="left" w:pos="4860"/>
          <w:tab w:val="left" w:pos="5040"/>
        </w:tabs>
        <w:spacing w:line="240" w:lineRule="exact"/>
        <w:jc w:val="both"/>
        <w:rPr>
          <w:color w:val="auto"/>
          <w:szCs w:val="24"/>
        </w:rPr>
      </w:pPr>
      <w:r w:rsidRPr="003F74F1">
        <w:rPr>
          <w:color w:val="auto"/>
          <w:szCs w:val="24"/>
        </w:rPr>
        <w:tab/>
        <w:t xml:space="preserve">                  </w:t>
      </w:r>
      <w:r w:rsidR="003F74F1" w:rsidRPr="003F74F1">
        <w:rPr>
          <w:color w:val="auto"/>
          <w:szCs w:val="24"/>
        </w:rPr>
        <w:t xml:space="preserve">         </w:t>
      </w:r>
      <w:r w:rsidR="00D91DA6" w:rsidRPr="003F74F1">
        <w:rPr>
          <w:color w:val="auto"/>
          <w:szCs w:val="24"/>
        </w:rPr>
        <w:t>Physical Disability Board of Review</w:t>
      </w:r>
    </w:p>
    <w:p w:rsidR="0079618C" w:rsidRDefault="0079618C">
      <w:pPr>
        <w:rPr>
          <w:color w:val="auto"/>
          <w:szCs w:val="24"/>
        </w:rPr>
      </w:pPr>
      <w:r>
        <w:rPr>
          <w:color w:val="auto"/>
          <w:szCs w:val="24"/>
        </w:rPr>
        <w:br w:type="page"/>
      </w:r>
    </w:p>
    <w:p w:rsidR="0079618C" w:rsidRPr="0079618C" w:rsidRDefault="0079618C" w:rsidP="0079618C">
      <w:pPr>
        <w:pStyle w:val="NoSpacing"/>
        <w:rPr>
          <w:rFonts w:ascii="Times New Roman" w:hAnsi="Times New Roman"/>
        </w:rPr>
      </w:pPr>
      <w:r w:rsidRPr="0079618C">
        <w:rPr>
          <w:rFonts w:ascii="Times New Roman" w:hAnsi="Times New Roman"/>
        </w:rPr>
        <w:lastRenderedPageBreak/>
        <w:t>SAF/MRB</w:t>
      </w:r>
    </w:p>
    <w:p w:rsidR="0079618C" w:rsidRPr="0079618C" w:rsidRDefault="0079618C" w:rsidP="0079618C">
      <w:pPr>
        <w:pStyle w:val="NoSpacing"/>
        <w:rPr>
          <w:rFonts w:ascii="Times New Roman" w:hAnsi="Times New Roman"/>
        </w:rPr>
      </w:pPr>
      <w:r w:rsidRPr="0079618C">
        <w:rPr>
          <w:rFonts w:ascii="Times New Roman" w:hAnsi="Times New Roman"/>
        </w:rPr>
        <w:t>1535 Command Drive, Suite E-302</w:t>
      </w:r>
    </w:p>
    <w:p w:rsidR="0079618C" w:rsidRPr="0079618C" w:rsidRDefault="0079618C" w:rsidP="0079618C">
      <w:pPr>
        <w:pStyle w:val="NoSpacing"/>
        <w:rPr>
          <w:rFonts w:ascii="Times New Roman" w:hAnsi="Times New Roman"/>
        </w:rPr>
      </w:pPr>
      <w:r w:rsidRPr="0079618C">
        <w:rPr>
          <w:rFonts w:ascii="Times New Roman" w:hAnsi="Times New Roman"/>
        </w:rPr>
        <w:t>Andrews AFB MD  20762-7002</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Pr>
          <w:rFonts w:ascii="Times New Roman" w:hAnsi="Times New Roman"/>
        </w:rPr>
        <w:t xml:space="preserve"> </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sidRPr="0079618C">
        <w:rPr>
          <w:rFonts w:ascii="Times New Roman" w:hAnsi="Times New Roman"/>
        </w:rPr>
        <w:tab/>
        <w:t xml:space="preserve">Reference your application submitted under the provisions of </w:t>
      </w:r>
      <w:proofErr w:type="spellStart"/>
      <w:r w:rsidRPr="0079618C">
        <w:rPr>
          <w:rFonts w:ascii="Times New Roman" w:hAnsi="Times New Roman"/>
        </w:rPr>
        <w:t>DoDI</w:t>
      </w:r>
      <w:proofErr w:type="spellEnd"/>
      <w:r w:rsidRPr="0079618C">
        <w:rPr>
          <w:rFonts w:ascii="Times New Roman" w:hAnsi="Times New Roman"/>
        </w:rPr>
        <w:t xml:space="preserve"> 6040.44 (Section 1554, 10 USC), PDBR Case Number PD-2009-00364.</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sidRPr="0079618C">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sidRPr="0079618C">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sidRPr="0079618C">
        <w:rPr>
          <w:rFonts w:ascii="Times New Roman" w:hAnsi="Times New Roman"/>
        </w:rPr>
        <w:tab/>
      </w:r>
      <w:r w:rsidRPr="0079618C">
        <w:rPr>
          <w:rFonts w:ascii="Times New Roman" w:hAnsi="Times New Roman"/>
        </w:rPr>
        <w:tab/>
      </w:r>
      <w:r w:rsidRPr="0079618C">
        <w:rPr>
          <w:rFonts w:ascii="Times New Roman" w:hAnsi="Times New Roman"/>
        </w:rPr>
        <w:tab/>
      </w:r>
      <w:r w:rsidRPr="0079618C">
        <w:rPr>
          <w:rFonts w:ascii="Times New Roman" w:hAnsi="Times New Roman"/>
        </w:rPr>
        <w:tab/>
      </w:r>
      <w:r w:rsidRPr="0079618C">
        <w:rPr>
          <w:rFonts w:ascii="Times New Roman" w:hAnsi="Times New Roman"/>
        </w:rPr>
        <w:tab/>
      </w:r>
      <w:r w:rsidRPr="0079618C">
        <w:rPr>
          <w:rFonts w:ascii="Times New Roman" w:hAnsi="Times New Roman"/>
        </w:rPr>
        <w:tab/>
      </w:r>
      <w:r w:rsidRPr="0079618C">
        <w:rPr>
          <w:rFonts w:ascii="Times New Roman" w:hAnsi="Times New Roman"/>
        </w:rPr>
        <w:tab/>
        <w:t>Sincerely</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Pr>
          <w:rFonts w:ascii="Times New Roman" w:hAnsi="Times New Roman"/>
        </w:rPr>
        <w:t xml:space="preserve"> </w:t>
      </w:r>
    </w:p>
    <w:p w:rsidR="0079618C" w:rsidRPr="0079618C" w:rsidRDefault="0079618C" w:rsidP="0079618C">
      <w:pPr>
        <w:pStyle w:val="NoSpacing"/>
        <w:rPr>
          <w:rFonts w:ascii="Times New Roman" w:hAnsi="Times New Roman"/>
        </w:rPr>
      </w:pPr>
      <w:r w:rsidRPr="0079618C">
        <w:rPr>
          <w:rFonts w:ascii="Times New Roman" w:hAnsi="Times New Roman"/>
        </w:rPr>
        <w:t>Director</w:t>
      </w:r>
    </w:p>
    <w:p w:rsidR="0079618C" w:rsidRPr="0079618C" w:rsidRDefault="0079618C" w:rsidP="0079618C">
      <w:pPr>
        <w:pStyle w:val="NoSpacing"/>
        <w:rPr>
          <w:rFonts w:ascii="Times New Roman" w:hAnsi="Times New Roman"/>
        </w:rPr>
      </w:pPr>
      <w:r w:rsidRPr="0079618C">
        <w:rPr>
          <w:rFonts w:ascii="Times New Roman" w:hAnsi="Times New Roman"/>
        </w:rPr>
        <w:t>Air Force Review Boards Agency</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sidRPr="0079618C">
        <w:rPr>
          <w:rFonts w:ascii="Times New Roman" w:hAnsi="Times New Roman"/>
        </w:rPr>
        <w:t>Attachment:</w:t>
      </w:r>
    </w:p>
    <w:p w:rsidR="0079618C" w:rsidRPr="0079618C" w:rsidRDefault="0079618C" w:rsidP="0079618C">
      <w:pPr>
        <w:pStyle w:val="NoSpacing"/>
        <w:rPr>
          <w:rFonts w:ascii="Times New Roman" w:hAnsi="Times New Roman"/>
        </w:rPr>
      </w:pPr>
      <w:r w:rsidRPr="0079618C">
        <w:rPr>
          <w:rFonts w:ascii="Times New Roman" w:hAnsi="Times New Roman"/>
        </w:rPr>
        <w:t>Record of Proceedings</w:t>
      </w:r>
    </w:p>
    <w:p w:rsidR="0079618C" w:rsidRPr="0079618C" w:rsidRDefault="0079618C" w:rsidP="0079618C">
      <w:pPr>
        <w:pStyle w:val="NoSpacing"/>
        <w:rPr>
          <w:rFonts w:ascii="Times New Roman" w:hAnsi="Times New Roman"/>
        </w:rPr>
      </w:pPr>
    </w:p>
    <w:p w:rsidR="0079618C" w:rsidRPr="0079618C" w:rsidRDefault="0079618C" w:rsidP="0079618C">
      <w:pPr>
        <w:pStyle w:val="NoSpacing"/>
        <w:rPr>
          <w:rFonts w:ascii="Times New Roman" w:hAnsi="Times New Roman"/>
        </w:rPr>
      </w:pPr>
      <w:r w:rsidRPr="0079618C">
        <w:rPr>
          <w:rFonts w:ascii="Times New Roman" w:hAnsi="Times New Roman"/>
        </w:rPr>
        <w:t>cc:</w:t>
      </w:r>
    </w:p>
    <w:p w:rsidR="0079618C" w:rsidRPr="0079618C" w:rsidRDefault="0079618C" w:rsidP="0079618C">
      <w:pPr>
        <w:pStyle w:val="NoSpacing"/>
        <w:rPr>
          <w:rFonts w:ascii="Times New Roman" w:hAnsi="Times New Roman"/>
        </w:rPr>
      </w:pPr>
      <w:r w:rsidRPr="0079618C">
        <w:rPr>
          <w:rFonts w:ascii="Times New Roman" w:hAnsi="Times New Roman"/>
        </w:rPr>
        <w:t>SAF/MRBR</w:t>
      </w:r>
    </w:p>
    <w:p w:rsidR="0079618C" w:rsidRDefault="0079618C" w:rsidP="0079618C">
      <w:pPr>
        <w:tabs>
          <w:tab w:val="left" w:pos="6624"/>
        </w:tabs>
        <w:spacing w:line="240" w:lineRule="exact"/>
        <w:ind w:right="-1080"/>
      </w:pPr>
    </w:p>
    <w:p w:rsidR="00B522CD" w:rsidRPr="003F74F1" w:rsidRDefault="00B522CD" w:rsidP="003F74F1">
      <w:pPr>
        <w:tabs>
          <w:tab w:val="left" w:pos="288"/>
          <w:tab w:val="left" w:pos="4320"/>
          <w:tab w:val="left" w:pos="4410"/>
          <w:tab w:val="left" w:pos="4770"/>
          <w:tab w:val="left" w:pos="4860"/>
          <w:tab w:val="left" w:pos="5040"/>
        </w:tabs>
        <w:spacing w:line="240" w:lineRule="exact"/>
        <w:jc w:val="both"/>
        <w:rPr>
          <w:color w:val="auto"/>
          <w:szCs w:val="24"/>
        </w:rPr>
      </w:pP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EE" w:rsidRDefault="00F16BEE">
      <w:r>
        <w:separator/>
      </w:r>
    </w:p>
  </w:endnote>
  <w:endnote w:type="continuationSeparator" w:id="0">
    <w:p w:rsidR="00F16BEE" w:rsidRDefault="00F16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2E" w:rsidRDefault="00277C7F">
    <w:pPr>
      <w:pStyle w:val="Footer"/>
      <w:framePr w:wrap="around" w:vAnchor="text" w:hAnchor="margin" w:xAlign="center" w:y="1"/>
      <w:rPr>
        <w:rStyle w:val="PageNumber"/>
      </w:rPr>
    </w:pPr>
    <w:r>
      <w:rPr>
        <w:rStyle w:val="PageNumber"/>
      </w:rPr>
      <w:fldChar w:fldCharType="begin"/>
    </w:r>
    <w:r w:rsidR="005D122E">
      <w:rPr>
        <w:rStyle w:val="PageNumber"/>
      </w:rPr>
      <w:instrText xml:space="preserve">PAGE  </w:instrText>
    </w:r>
    <w:r>
      <w:rPr>
        <w:rStyle w:val="PageNumber"/>
      </w:rPr>
      <w:fldChar w:fldCharType="separate"/>
    </w:r>
    <w:r w:rsidR="005D122E">
      <w:rPr>
        <w:rStyle w:val="PageNumber"/>
        <w:noProof/>
      </w:rPr>
      <w:t>2</w:t>
    </w:r>
    <w:r>
      <w:rPr>
        <w:rStyle w:val="PageNumber"/>
      </w:rPr>
      <w:fldChar w:fldCharType="end"/>
    </w:r>
  </w:p>
  <w:p w:rsidR="005D122E" w:rsidRDefault="005D122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2E" w:rsidRPr="00715687" w:rsidRDefault="00277C7F">
    <w:pPr>
      <w:pStyle w:val="Footer"/>
      <w:framePr w:wrap="around" w:vAnchor="text" w:hAnchor="margin" w:xAlign="center" w:y="1"/>
      <w:rPr>
        <w:rStyle w:val="PageNumber"/>
        <w:color w:val="auto"/>
      </w:rPr>
    </w:pPr>
    <w:r w:rsidRPr="00715687">
      <w:rPr>
        <w:rStyle w:val="PageNumber"/>
        <w:color w:val="auto"/>
      </w:rPr>
      <w:fldChar w:fldCharType="begin"/>
    </w:r>
    <w:r w:rsidR="005D122E" w:rsidRPr="00715687">
      <w:rPr>
        <w:rStyle w:val="PageNumber"/>
        <w:color w:val="auto"/>
      </w:rPr>
      <w:instrText xml:space="preserve">PAGE  </w:instrText>
    </w:r>
    <w:r w:rsidRPr="00715687">
      <w:rPr>
        <w:rStyle w:val="PageNumber"/>
        <w:color w:val="auto"/>
      </w:rPr>
      <w:fldChar w:fldCharType="separate"/>
    </w:r>
    <w:r w:rsidR="0079618C">
      <w:rPr>
        <w:rStyle w:val="PageNumber"/>
        <w:noProof/>
        <w:color w:val="auto"/>
      </w:rPr>
      <w:t>7</w:t>
    </w:r>
    <w:r w:rsidRPr="00715687">
      <w:rPr>
        <w:rStyle w:val="PageNumber"/>
        <w:color w:val="auto"/>
      </w:rPr>
      <w:fldChar w:fldCharType="end"/>
    </w:r>
  </w:p>
  <w:p w:rsidR="005D122E" w:rsidRPr="00715687" w:rsidRDefault="005D122E" w:rsidP="002B0749">
    <w:pPr>
      <w:pStyle w:val="Footer"/>
      <w:jc w:val="right"/>
      <w:rPr>
        <w:color w:val="auto"/>
      </w:rPr>
    </w:pPr>
    <w:r>
      <w:tab/>
    </w:r>
    <w:r>
      <w:tab/>
    </w:r>
    <w:r w:rsidRPr="00715687">
      <w:rPr>
        <w:caps/>
        <w:color w:val="auto"/>
      </w:rPr>
      <w:t>PD0900364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EE" w:rsidRDefault="00F16BEE">
      <w:r>
        <w:separator/>
      </w:r>
    </w:p>
  </w:footnote>
  <w:footnote w:type="continuationSeparator" w:id="0">
    <w:p w:rsidR="00F16BEE" w:rsidRDefault="00F16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E13"/>
    <w:multiLevelType w:val="multilevel"/>
    <w:tmpl w:val="3A8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5360F"/>
    <w:multiLevelType w:val="multilevel"/>
    <w:tmpl w:val="3E50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F27"/>
    <w:rsid w:val="000059FA"/>
    <w:rsid w:val="00007075"/>
    <w:rsid w:val="00010ABA"/>
    <w:rsid w:val="000145C2"/>
    <w:rsid w:val="00023D43"/>
    <w:rsid w:val="00035991"/>
    <w:rsid w:val="00035C3A"/>
    <w:rsid w:val="000379D0"/>
    <w:rsid w:val="000416F8"/>
    <w:rsid w:val="00051622"/>
    <w:rsid w:val="00072433"/>
    <w:rsid w:val="000A2BCE"/>
    <w:rsid w:val="000A3E5F"/>
    <w:rsid w:val="000A4BBA"/>
    <w:rsid w:val="000B281B"/>
    <w:rsid w:val="000B3C03"/>
    <w:rsid w:val="000C7DE4"/>
    <w:rsid w:val="000D15E7"/>
    <w:rsid w:val="000D43F9"/>
    <w:rsid w:val="000D4717"/>
    <w:rsid w:val="000D7D55"/>
    <w:rsid w:val="000F427B"/>
    <w:rsid w:val="0010417F"/>
    <w:rsid w:val="0010530E"/>
    <w:rsid w:val="00110C80"/>
    <w:rsid w:val="00114F20"/>
    <w:rsid w:val="001231DC"/>
    <w:rsid w:val="001315DD"/>
    <w:rsid w:val="00135385"/>
    <w:rsid w:val="001364D1"/>
    <w:rsid w:val="001541C5"/>
    <w:rsid w:val="00177659"/>
    <w:rsid w:val="00183AE9"/>
    <w:rsid w:val="00185ECB"/>
    <w:rsid w:val="0019273F"/>
    <w:rsid w:val="001A22EA"/>
    <w:rsid w:val="001A2D4F"/>
    <w:rsid w:val="001A7538"/>
    <w:rsid w:val="001B5B59"/>
    <w:rsid w:val="001C181A"/>
    <w:rsid w:val="001C2053"/>
    <w:rsid w:val="001C28D1"/>
    <w:rsid w:val="001C7418"/>
    <w:rsid w:val="001D0051"/>
    <w:rsid w:val="001D2224"/>
    <w:rsid w:val="001D6A8C"/>
    <w:rsid w:val="001D7A56"/>
    <w:rsid w:val="001E5815"/>
    <w:rsid w:val="002016DC"/>
    <w:rsid w:val="00204446"/>
    <w:rsid w:val="0020711D"/>
    <w:rsid w:val="002145BE"/>
    <w:rsid w:val="00214691"/>
    <w:rsid w:val="00217C09"/>
    <w:rsid w:val="00222339"/>
    <w:rsid w:val="00223B0C"/>
    <w:rsid w:val="00225196"/>
    <w:rsid w:val="00225CB4"/>
    <w:rsid w:val="002276EA"/>
    <w:rsid w:val="002338CA"/>
    <w:rsid w:val="0023570B"/>
    <w:rsid w:val="0024227D"/>
    <w:rsid w:val="00246860"/>
    <w:rsid w:val="0025183C"/>
    <w:rsid w:val="00262EC8"/>
    <w:rsid w:val="0026318D"/>
    <w:rsid w:val="0027159C"/>
    <w:rsid w:val="00274549"/>
    <w:rsid w:val="00274E46"/>
    <w:rsid w:val="00276C86"/>
    <w:rsid w:val="00277C7F"/>
    <w:rsid w:val="00295E21"/>
    <w:rsid w:val="002B03B2"/>
    <w:rsid w:val="002B0749"/>
    <w:rsid w:val="002C3C0B"/>
    <w:rsid w:val="002C6C65"/>
    <w:rsid w:val="002D18B4"/>
    <w:rsid w:val="002E1C31"/>
    <w:rsid w:val="002E3474"/>
    <w:rsid w:val="002E764B"/>
    <w:rsid w:val="002F7F81"/>
    <w:rsid w:val="00323E70"/>
    <w:rsid w:val="00324880"/>
    <w:rsid w:val="00351E6E"/>
    <w:rsid w:val="00363362"/>
    <w:rsid w:val="003635CE"/>
    <w:rsid w:val="00372D58"/>
    <w:rsid w:val="0037520D"/>
    <w:rsid w:val="00377BD2"/>
    <w:rsid w:val="00385D6F"/>
    <w:rsid w:val="00393651"/>
    <w:rsid w:val="003A41BA"/>
    <w:rsid w:val="003A6A99"/>
    <w:rsid w:val="003B227A"/>
    <w:rsid w:val="003B4665"/>
    <w:rsid w:val="003D2BA3"/>
    <w:rsid w:val="003D7DDB"/>
    <w:rsid w:val="003E0543"/>
    <w:rsid w:val="003E31EA"/>
    <w:rsid w:val="003E6086"/>
    <w:rsid w:val="003F1CFF"/>
    <w:rsid w:val="003F58B0"/>
    <w:rsid w:val="003F608A"/>
    <w:rsid w:val="003F74F1"/>
    <w:rsid w:val="004007E9"/>
    <w:rsid w:val="00401BBC"/>
    <w:rsid w:val="00404B45"/>
    <w:rsid w:val="00406CC5"/>
    <w:rsid w:val="004074A4"/>
    <w:rsid w:val="004166F1"/>
    <w:rsid w:val="004172DB"/>
    <w:rsid w:val="00422B75"/>
    <w:rsid w:val="0043503A"/>
    <w:rsid w:val="00437657"/>
    <w:rsid w:val="0044384F"/>
    <w:rsid w:val="00446816"/>
    <w:rsid w:val="004543BC"/>
    <w:rsid w:val="00455811"/>
    <w:rsid w:val="004574C6"/>
    <w:rsid w:val="00457BCF"/>
    <w:rsid w:val="00461298"/>
    <w:rsid w:val="00470B95"/>
    <w:rsid w:val="004718E7"/>
    <w:rsid w:val="004761CC"/>
    <w:rsid w:val="004A24D2"/>
    <w:rsid w:val="004A4136"/>
    <w:rsid w:val="004B03F3"/>
    <w:rsid w:val="004B7169"/>
    <w:rsid w:val="004D3C60"/>
    <w:rsid w:val="004E32EA"/>
    <w:rsid w:val="004F5C75"/>
    <w:rsid w:val="00510588"/>
    <w:rsid w:val="0051146C"/>
    <w:rsid w:val="0052090E"/>
    <w:rsid w:val="0052590B"/>
    <w:rsid w:val="00526591"/>
    <w:rsid w:val="00530497"/>
    <w:rsid w:val="005350A5"/>
    <w:rsid w:val="00536379"/>
    <w:rsid w:val="00540BEF"/>
    <w:rsid w:val="005436C2"/>
    <w:rsid w:val="00546BF6"/>
    <w:rsid w:val="0056423B"/>
    <w:rsid w:val="00594E39"/>
    <w:rsid w:val="005A258C"/>
    <w:rsid w:val="005A3560"/>
    <w:rsid w:val="005B011A"/>
    <w:rsid w:val="005C336F"/>
    <w:rsid w:val="005D122E"/>
    <w:rsid w:val="005F1115"/>
    <w:rsid w:val="005F27F2"/>
    <w:rsid w:val="005F424D"/>
    <w:rsid w:val="006051D4"/>
    <w:rsid w:val="006106B7"/>
    <w:rsid w:val="00615641"/>
    <w:rsid w:val="00624804"/>
    <w:rsid w:val="00634C4A"/>
    <w:rsid w:val="006418C9"/>
    <w:rsid w:val="00645046"/>
    <w:rsid w:val="00650D84"/>
    <w:rsid w:val="00662F08"/>
    <w:rsid w:val="00663589"/>
    <w:rsid w:val="00664AD0"/>
    <w:rsid w:val="0067443B"/>
    <w:rsid w:val="00684E2B"/>
    <w:rsid w:val="00690FDA"/>
    <w:rsid w:val="00693258"/>
    <w:rsid w:val="00696476"/>
    <w:rsid w:val="006A376D"/>
    <w:rsid w:val="006A40E6"/>
    <w:rsid w:val="006A75FA"/>
    <w:rsid w:val="006B5923"/>
    <w:rsid w:val="006D2D39"/>
    <w:rsid w:val="006E06D1"/>
    <w:rsid w:val="006E7356"/>
    <w:rsid w:val="006F1A46"/>
    <w:rsid w:val="00701157"/>
    <w:rsid w:val="00715687"/>
    <w:rsid w:val="007165CE"/>
    <w:rsid w:val="00721D12"/>
    <w:rsid w:val="00721F8B"/>
    <w:rsid w:val="00736A49"/>
    <w:rsid w:val="00744181"/>
    <w:rsid w:val="00744EBB"/>
    <w:rsid w:val="00746AE2"/>
    <w:rsid w:val="007479E6"/>
    <w:rsid w:val="00752DEE"/>
    <w:rsid w:val="0076100C"/>
    <w:rsid w:val="00781BD4"/>
    <w:rsid w:val="00784832"/>
    <w:rsid w:val="007914ED"/>
    <w:rsid w:val="00791F1E"/>
    <w:rsid w:val="0079284D"/>
    <w:rsid w:val="0079618C"/>
    <w:rsid w:val="007A0B39"/>
    <w:rsid w:val="007A168F"/>
    <w:rsid w:val="007A28E4"/>
    <w:rsid w:val="007A5349"/>
    <w:rsid w:val="007A5AD1"/>
    <w:rsid w:val="007B0A06"/>
    <w:rsid w:val="007B7C41"/>
    <w:rsid w:val="007C433E"/>
    <w:rsid w:val="007C61E7"/>
    <w:rsid w:val="007D0292"/>
    <w:rsid w:val="007D21A9"/>
    <w:rsid w:val="007E2046"/>
    <w:rsid w:val="007E4FBB"/>
    <w:rsid w:val="007F319E"/>
    <w:rsid w:val="00811D5B"/>
    <w:rsid w:val="00814D97"/>
    <w:rsid w:val="00817713"/>
    <w:rsid w:val="00830999"/>
    <w:rsid w:val="00830D5E"/>
    <w:rsid w:val="00830F69"/>
    <w:rsid w:val="00834458"/>
    <w:rsid w:val="00837465"/>
    <w:rsid w:val="00841457"/>
    <w:rsid w:val="0084374E"/>
    <w:rsid w:val="00846D34"/>
    <w:rsid w:val="0085206E"/>
    <w:rsid w:val="008535B9"/>
    <w:rsid w:val="00853718"/>
    <w:rsid w:val="008541EF"/>
    <w:rsid w:val="00855696"/>
    <w:rsid w:val="0086162B"/>
    <w:rsid w:val="00862400"/>
    <w:rsid w:val="0086272C"/>
    <w:rsid w:val="00865207"/>
    <w:rsid w:val="00871262"/>
    <w:rsid w:val="00872B85"/>
    <w:rsid w:val="00875B51"/>
    <w:rsid w:val="00875F2D"/>
    <w:rsid w:val="00894654"/>
    <w:rsid w:val="008A63A9"/>
    <w:rsid w:val="008B5D31"/>
    <w:rsid w:val="008D1F33"/>
    <w:rsid w:val="008D3BD7"/>
    <w:rsid w:val="008E2D99"/>
    <w:rsid w:val="008E4A60"/>
    <w:rsid w:val="008F665F"/>
    <w:rsid w:val="009026E8"/>
    <w:rsid w:val="00914ADB"/>
    <w:rsid w:val="0091547D"/>
    <w:rsid w:val="00923B25"/>
    <w:rsid w:val="00925D7B"/>
    <w:rsid w:val="00942645"/>
    <w:rsid w:val="0095340A"/>
    <w:rsid w:val="00954581"/>
    <w:rsid w:val="0095466C"/>
    <w:rsid w:val="00957C9A"/>
    <w:rsid w:val="0096168C"/>
    <w:rsid w:val="009707A6"/>
    <w:rsid w:val="009732B8"/>
    <w:rsid w:val="00973A45"/>
    <w:rsid w:val="00977CB4"/>
    <w:rsid w:val="00985099"/>
    <w:rsid w:val="00994D11"/>
    <w:rsid w:val="009A0DE3"/>
    <w:rsid w:val="009B1534"/>
    <w:rsid w:val="009B69D3"/>
    <w:rsid w:val="009B742A"/>
    <w:rsid w:val="009B7BA7"/>
    <w:rsid w:val="009C0938"/>
    <w:rsid w:val="009C3D79"/>
    <w:rsid w:val="009C3F82"/>
    <w:rsid w:val="009C7DF5"/>
    <w:rsid w:val="009D1ADE"/>
    <w:rsid w:val="009D3548"/>
    <w:rsid w:val="009E1283"/>
    <w:rsid w:val="00A1105B"/>
    <w:rsid w:val="00A15CAD"/>
    <w:rsid w:val="00A16876"/>
    <w:rsid w:val="00A200AA"/>
    <w:rsid w:val="00A2186F"/>
    <w:rsid w:val="00A2270B"/>
    <w:rsid w:val="00A2496E"/>
    <w:rsid w:val="00A258B7"/>
    <w:rsid w:val="00A27190"/>
    <w:rsid w:val="00A355C4"/>
    <w:rsid w:val="00A47CF1"/>
    <w:rsid w:val="00A50418"/>
    <w:rsid w:val="00A608FB"/>
    <w:rsid w:val="00A70E7B"/>
    <w:rsid w:val="00A76094"/>
    <w:rsid w:val="00A86CB6"/>
    <w:rsid w:val="00A90D55"/>
    <w:rsid w:val="00AA04B3"/>
    <w:rsid w:val="00AA6F5C"/>
    <w:rsid w:val="00AC439D"/>
    <w:rsid w:val="00AC4C54"/>
    <w:rsid w:val="00AE2D29"/>
    <w:rsid w:val="00AE3316"/>
    <w:rsid w:val="00AF699F"/>
    <w:rsid w:val="00B03A90"/>
    <w:rsid w:val="00B124CF"/>
    <w:rsid w:val="00B26417"/>
    <w:rsid w:val="00B32179"/>
    <w:rsid w:val="00B37062"/>
    <w:rsid w:val="00B40A3E"/>
    <w:rsid w:val="00B522CD"/>
    <w:rsid w:val="00B55917"/>
    <w:rsid w:val="00B72303"/>
    <w:rsid w:val="00B75AE9"/>
    <w:rsid w:val="00B82277"/>
    <w:rsid w:val="00BA2D98"/>
    <w:rsid w:val="00BA30D1"/>
    <w:rsid w:val="00BA5BE2"/>
    <w:rsid w:val="00BA7F46"/>
    <w:rsid w:val="00BB0A0A"/>
    <w:rsid w:val="00BB27CE"/>
    <w:rsid w:val="00BD6806"/>
    <w:rsid w:val="00BD7831"/>
    <w:rsid w:val="00BD7C10"/>
    <w:rsid w:val="00BE0DEB"/>
    <w:rsid w:val="00C13B34"/>
    <w:rsid w:val="00C261C6"/>
    <w:rsid w:val="00C30A97"/>
    <w:rsid w:val="00C31DDC"/>
    <w:rsid w:val="00C34326"/>
    <w:rsid w:val="00C474BF"/>
    <w:rsid w:val="00C54DF3"/>
    <w:rsid w:val="00C57E3C"/>
    <w:rsid w:val="00C61E82"/>
    <w:rsid w:val="00C71BEC"/>
    <w:rsid w:val="00C7387C"/>
    <w:rsid w:val="00C846EA"/>
    <w:rsid w:val="00C84AD1"/>
    <w:rsid w:val="00C85579"/>
    <w:rsid w:val="00CA068D"/>
    <w:rsid w:val="00CA282D"/>
    <w:rsid w:val="00CB23DC"/>
    <w:rsid w:val="00CB28E2"/>
    <w:rsid w:val="00CB5A3C"/>
    <w:rsid w:val="00CB7FF7"/>
    <w:rsid w:val="00CC2044"/>
    <w:rsid w:val="00CC69EC"/>
    <w:rsid w:val="00CD34C7"/>
    <w:rsid w:val="00CE33A3"/>
    <w:rsid w:val="00CF4394"/>
    <w:rsid w:val="00D1648B"/>
    <w:rsid w:val="00D20AC0"/>
    <w:rsid w:val="00D336C8"/>
    <w:rsid w:val="00D339E8"/>
    <w:rsid w:val="00D40B1F"/>
    <w:rsid w:val="00D41E06"/>
    <w:rsid w:val="00D42103"/>
    <w:rsid w:val="00D50C8C"/>
    <w:rsid w:val="00D52393"/>
    <w:rsid w:val="00D52744"/>
    <w:rsid w:val="00D55BFB"/>
    <w:rsid w:val="00D757EE"/>
    <w:rsid w:val="00D76AB2"/>
    <w:rsid w:val="00D829AD"/>
    <w:rsid w:val="00D87788"/>
    <w:rsid w:val="00D910C2"/>
    <w:rsid w:val="00D9189B"/>
    <w:rsid w:val="00D91D69"/>
    <w:rsid w:val="00D91DA6"/>
    <w:rsid w:val="00D972D4"/>
    <w:rsid w:val="00DA0844"/>
    <w:rsid w:val="00DA195B"/>
    <w:rsid w:val="00DA2271"/>
    <w:rsid w:val="00DA3ED0"/>
    <w:rsid w:val="00DB6FBE"/>
    <w:rsid w:val="00DC233D"/>
    <w:rsid w:val="00DD3593"/>
    <w:rsid w:val="00DE7E74"/>
    <w:rsid w:val="00E017F0"/>
    <w:rsid w:val="00E041E4"/>
    <w:rsid w:val="00E14226"/>
    <w:rsid w:val="00E14581"/>
    <w:rsid w:val="00E15438"/>
    <w:rsid w:val="00E15539"/>
    <w:rsid w:val="00E16541"/>
    <w:rsid w:val="00E2632B"/>
    <w:rsid w:val="00E31E58"/>
    <w:rsid w:val="00E40504"/>
    <w:rsid w:val="00E405EA"/>
    <w:rsid w:val="00E40F19"/>
    <w:rsid w:val="00E42789"/>
    <w:rsid w:val="00E50BEB"/>
    <w:rsid w:val="00E55F25"/>
    <w:rsid w:val="00E66811"/>
    <w:rsid w:val="00E82B6D"/>
    <w:rsid w:val="00E83705"/>
    <w:rsid w:val="00E83EAC"/>
    <w:rsid w:val="00E83F78"/>
    <w:rsid w:val="00E866F8"/>
    <w:rsid w:val="00EA11B6"/>
    <w:rsid w:val="00EA2DD8"/>
    <w:rsid w:val="00EA681F"/>
    <w:rsid w:val="00EB76E4"/>
    <w:rsid w:val="00EC0E65"/>
    <w:rsid w:val="00EC33EC"/>
    <w:rsid w:val="00EC649A"/>
    <w:rsid w:val="00EC7BFC"/>
    <w:rsid w:val="00EE0B44"/>
    <w:rsid w:val="00EF608E"/>
    <w:rsid w:val="00EF65C6"/>
    <w:rsid w:val="00F0706C"/>
    <w:rsid w:val="00F1516A"/>
    <w:rsid w:val="00F16BEE"/>
    <w:rsid w:val="00F22A26"/>
    <w:rsid w:val="00F25828"/>
    <w:rsid w:val="00F32139"/>
    <w:rsid w:val="00F34E08"/>
    <w:rsid w:val="00F41D91"/>
    <w:rsid w:val="00F46964"/>
    <w:rsid w:val="00F476E3"/>
    <w:rsid w:val="00F5126A"/>
    <w:rsid w:val="00F70453"/>
    <w:rsid w:val="00F718A8"/>
    <w:rsid w:val="00F72183"/>
    <w:rsid w:val="00F74F4F"/>
    <w:rsid w:val="00F82981"/>
    <w:rsid w:val="00F8311F"/>
    <w:rsid w:val="00F83248"/>
    <w:rsid w:val="00F853AE"/>
    <w:rsid w:val="00F93DCC"/>
    <w:rsid w:val="00F9435D"/>
    <w:rsid w:val="00F95D86"/>
    <w:rsid w:val="00FB593A"/>
    <w:rsid w:val="00FB6E82"/>
    <w:rsid w:val="00FC4576"/>
    <w:rsid w:val="00FC6ED9"/>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003F27"/>
    <w:rPr>
      <w:strike w:val="0"/>
      <w:dstrike w:val="0"/>
      <w:color w:val="3789B9"/>
      <w:u w:val="none"/>
      <w:effect w:val="none"/>
    </w:rPr>
  </w:style>
  <w:style w:type="character" w:styleId="Strong">
    <w:name w:val="Strong"/>
    <w:basedOn w:val="DefaultParagraphFont"/>
    <w:uiPriority w:val="22"/>
    <w:qFormat/>
    <w:rsid w:val="00EC33EC"/>
    <w:rPr>
      <w:b/>
      <w:bCs/>
    </w:rPr>
  </w:style>
  <w:style w:type="paragraph" w:styleId="BodyText2">
    <w:name w:val="Body Text 2"/>
    <w:basedOn w:val="Normal"/>
    <w:link w:val="BodyText2Char"/>
    <w:rsid w:val="0079618C"/>
    <w:pPr>
      <w:spacing w:after="120" w:line="480" w:lineRule="auto"/>
    </w:pPr>
  </w:style>
  <w:style w:type="character" w:customStyle="1" w:styleId="BodyText2Char">
    <w:name w:val="Body Text 2 Char"/>
    <w:basedOn w:val="DefaultParagraphFont"/>
    <w:link w:val="BodyText2"/>
    <w:rsid w:val="0079618C"/>
    <w:rPr>
      <w:color w:val="008080"/>
      <w:sz w:val="24"/>
    </w:rPr>
  </w:style>
  <w:style w:type="paragraph" w:styleId="NoSpacing">
    <w:name w:val="No Spacing"/>
    <w:uiPriority w:val="1"/>
    <w:qFormat/>
    <w:rsid w:val="0079618C"/>
    <w:rPr>
      <w:color w:val="008080"/>
      <w:sz w:val="24"/>
    </w:rPr>
  </w:style>
</w:styles>
</file>

<file path=word/webSettings.xml><?xml version="1.0" encoding="utf-8"?>
<w:webSettings xmlns:r="http://schemas.openxmlformats.org/officeDocument/2006/relationships" xmlns:w="http://schemas.openxmlformats.org/wordprocessingml/2006/main">
  <w:divs>
    <w:div w:id="219486610">
      <w:bodyDiv w:val="1"/>
      <w:marLeft w:val="0"/>
      <w:marRight w:val="0"/>
      <w:marTop w:val="0"/>
      <w:marBottom w:val="0"/>
      <w:divBdr>
        <w:top w:val="none" w:sz="0" w:space="0" w:color="auto"/>
        <w:left w:val="none" w:sz="0" w:space="0" w:color="auto"/>
        <w:bottom w:val="none" w:sz="0" w:space="0" w:color="auto"/>
        <w:right w:val="none" w:sz="0" w:space="0" w:color="auto"/>
      </w:divBdr>
      <w:divsChild>
        <w:div w:id="1174761347">
          <w:marLeft w:val="0"/>
          <w:marRight w:val="0"/>
          <w:marTop w:val="0"/>
          <w:marBottom w:val="0"/>
          <w:divBdr>
            <w:top w:val="none" w:sz="0" w:space="0" w:color="auto"/>
            <w:left w:val="none" w:sz="0" w:space="0" w:color="auto"/>
            <w:bottom w:val="none" w:sz="0" w:space="0" w:color="auto"/>
            <w:right w:val="none" w:sz="0" w:space="0" w:color="auto"/>
          </w:divBdr>
          <w:divsChild>
            <w:div w:id="110055291">
              <w:marLeft w:val="0"/>
              <w:marRight w:val="0"/>
              <w:marTop w:val="0"/>
              <w:marBottom w:val="0"/>
              <w:divBdr>
                <w:top w:val="none" w:sz="0" w:space="0" w:color="auto"/>
                <w:left w:val="none" w:sz="0" w:space="0" w:color="auto"/>
                <w:bottom w:val="none" w:sz="0" w:space="0" w:color="auto"/>
                <w:right w:val="none" w:sz="0" w:space="0" w:color="auto"/>
              </w:divBdr>
              <w:divsChild>
                <w:div w:id="1067341043">
                  <w:marLeft w:val="0"/>
                  <w:marRight w:val="0"/>
                  <w:marTop w:val="0"/>
                  <w:marBottom w:val="0"/>
                  <w:divBdr>
                    <w:top w:val="none" w:sz="0" w:space="0" w:color="auto"/>
                    <w:left w:val="none" w:sz="0" w:space="0" w:color="auto"/>
                    <w:bottom w:val="none" w:sz="0" w:space="0" w:color="auto"/>
                    <w:right w:val="none" w:sz="0" w:space="0" w:color="auto"/>
                  </w:divBdr>
                  <w:divsChild>
                    <w:div w:id="119496309">
                      <w:marLeft w:val="2011"/>
                      <w:marRight w:val="0"/>
                      <w:marTop w:val="0"/>
                      <w:marBottom w:val="0"/>
                      <w:divBdr>
                        <w:top w:val="none" w:sz="0" w:space="0" w:color="auto"/>
                        <w:left w:val="none" w:sz="0" w:space="0" w:color="auto"/>
                        <w:bottom w:val="none" w:sz="0" w:space="0" w:color="auto"/>
                        <w:right w:val="none" w:sz="0" w:space="0" w:color="auto"/>
                      </w:divBdr>
                      <w:divsChild>
                        <w:div w:id="45106117">
                          <w:marLeft w:val="23"/>
                          <w:marRight w:val="0"/>
                          <w:marTop w:val="0"/>
                          <w:marBottom w:val="0"/>
                          <w:divBdr>
                            <w:top w:val="none" w:sz="0" w:space="0" w:color="auto"/>
                            <w:left w:val="none" w:sz="0" w:space="0" w:color="auto"/>
                            <w:bottom w:val="none" w:sz="0" w:space="0" w:color="auto"/>
                            <w:right w:val="none" w:sz="0" w:space="0" w:color="auto"/>
                          </w:divBdr>
                          <w:divsChild>
                            <w:div w:id="1437671596">
                              <w:marLeft w:val="0"/>
                              <w:marRight w:val="0"/>
                              <w:marTop w:val="0"/>
                              <w:marBottom w:val="0"/>
                              <w:divBdr>
                                <w:top w:val="none" w:sz="0" w:space="0" w:color="auto"/>
                                <w:left w:val="none" w:sz="0" w:space="0" w:color="auto"/>
                                <w:bottom w:val="none" w:sz="0" w:space="0" w:color="auto"/>
                                <w:right w:val="none" w:sz="0" w:space="0" w:color="auto"/>
                              </w:divBdr>
                              <w:divsChild>
                                <w:div w:id="1730686421">
                                  <w:marLeft w:val="0"/>
                                  <w:marRight w:val="0"/>
                                  <w:marTop w:val="0"/>
                                  <w:marBottom w:val="0"/>
                                  <w:divBdr>
                                    <w:top w:val="none" w:sz="0" w:space="0" w:color="auto"/>
                                    <w:left w:val="none" w:sz="0" w:space="0" w:color="auto"/>
                                    <w:bottom w:val="none" w:sz="0" w:space="0" w:color="auto"/>
                                    <w:right w:val="none" w:sz="0" w:space="0" w:color="auto"/>
                                  </w:divBdr>
                                  <w:divsChild>
                                    <w:div w:id="220948690">
                                      <w:marLeft w:val="0"/>
                                      <w:marRight w:val="0"/>
                                      <w:marTop w:val="0"/>
                                      <w:marBottom w:val="0"/>
                                      <w:divBdr>
                                        <w:top w:val="none" w:sz="0" w:space="0" w:color="auto"/>
                                        <w:left w:val="none" w:sz="0" w:space="0" w:color="auto"/>
                                        <w:bottom w:val="none" w:sz="0" w:space="0" w:color="auto"/>
                                        <w:right w:val="none" w:sz="0" w:space="0" w:color="auto"/>
                                      </w:divBdr>
                                      <w:divsChild>
                                        <w:div w:id="1298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296152">
      <w:bodyDiv w:val="1"/>
      <w:marLeft w:val="0"/>
      <w:marRight w:val="0"/>
      <w:marTop w:val="0"/>
      <w:marBottom w:val="0"/>
      <w:divBdr>
        <w:top w:val="none" w:sz="0" w:space="0" w:color="auto"/>
        <w:left w:val="none" w:sz="0" w:space="0" w:color="auto"/>
        <w:bottom w:val="none" w:sz="0" w:space="0" w:color="auto"/>
        <w:right w:val="none" w:sz="0" w:space="0" w:color="auto"/>
      </w:divBdr>
      <w:divsChild>
        <w:div w:id="52389362">
          <w:marLeft w:val="0"/>
          <w:marRight w:val="0"/>
          <w:marTop w:val="0"/>
          <w:marBottom w:val="0"/>
          <w:divBdr>
            <w:top w:val="none" w:sz="0" w:space="0" w:color="auto"/>
            <w:left w:val="none" w:sz="0" w:space="0" w:color="auto"/>
            <w:bottom w:val="none" w:sz="0" w:space="0" w:color="auto"/>
            <w:right w:val="none" w:sz="0" w:space="0" w:color="auto"/>
          </w:divBdr>
          <w:divsChild>
            <w:div w:id="1499735846">
              <w:marLeft w:val="0"/>
              <w:marRight w:val="0"/>
              <w:marTop w:val="0"/>
              <w:marBottom w:val="0"/>
              <w:divBdr>
                <w:top w:val="none" w:sz="0" w:space="0" w:color="auto"/>
                <w:left w:val="none" w:sz="0" w:space="0" w:color="auto"/>
                <w:bottom w:val="none" w:sz="0" w:space="0" w:color="auto"/>
                <w:right w:val="none" w:sz="0" w:space="0" w:color="auto"/>
              </w:divBdr>
              <w:divsChild>
                <w:div w:id="1502432464">
                  <w:marLeft w:val="0"/>
                  <w:marRight w:val="0"/>
                  <w:marTop w:val="0"/>
                  <w:marBottom w:val="0"/>
                  <w:divBdr>
                    <w:top w:val="none" w:sz="0" w:space="0" w:color="auto"/>
                    <w:left w:val="none" w:sz="0" w:space="0" w:color="auto"/>
                    <w:bottom w:val="none" w:sz="0" w:space="0" w:color="auto"/>
                    <w:right w:val="none" w:sz="0" w:space="0" w:color="auto"/>
                  </w:divBdr>
                  <w:divsChild>
                    <w:div w:id="826365703">
                      <w:marLeft w:val="2011"/>
                      <w:marRight w:val="0"/>
                      <w:marTop w:val="0"/>
                      <w:marBottom w:val="0"/>
                      <w:divBdr>
                        <w:top w:val="none" w:sz="0" w:space="0" w:color="auto"/>
                        <w:left w:val="none" w:sz="0" w:space="0" w:color="auto"/>
                        <w:bottom w:val="none" w:sz="0" w:space="0" w:color="auto"/>
                        <w:right w:val="none" w:sz="0" w:space="0" w:color="auto"/>
                      </w:divBdr>
                      <w:divsChild>
                        <w:div w:id="1360933809">
                          <w:marLeft w:val="23"/>
                          <w:marRight w:val="0"/>
                          <w:marTop w:val="0"/>
                          <w:marBottom w:val="0"/>
                          <w:divBdr>
                            <w:top w:val="none" w:sz="0" w:space="0" w:color="auto"/>
                            <w:left w:val="none" w:sz="0" w:space="0" w:color="auto"/>
                            <w:bottom w:val="none" w:sz="0" w:space="0" w:color="auto"/>
                            <w:right w:val="none" w:sz="0" w:space="0" w:color="auto"/>
                          </w:divBdr>
                          <w:divsChild>
                            <w:div w:id="1119178556">
                              <w:marLeft w:val="0"/>
                              <w:marRight w:val="0"/>
                              <w:marTop w:val="0"/>
                              <w:marBottom w:val="0"/>
                              <w:divBdr>
                                <w:top w:val="none" w:sz="0" w:space="0" w:color="auto"/>
                                <w:left w:val="none" w:sz="0" w:space="0" w:color="auto"/>
                                <w:bottom w:val="none" w:sz="0" w:space="0" w:color="auto"/>
                                <w:right w:val="none" w:sz="0" w:space="0" w:color="auto"/>
                              </w:divBdr>
                              <w:divsChild>
                                <w:div w:id="1225143872">
                                  <w:marLeft w:val="0"/>
                                  <w:marRight w:val="0"/>
                                  <w:marTop w:val="0"/>
                                  <w:marBottom w:val="0"/>
                                  <w:divBdr>
                                    <w:top w:val="none" w:sz="0" w:space="0" w:color="auto"/>
                                    <w:left w:val="none" w:sz="0" w:space="0" w:color="auto"/>
                                    <w:bottom w:val="none" w:sz="0" w:space="0" w:color="auto"/>
                                    <w:right w:val="none" w:sz="0" w:space="0" w:color="auto"/>
                                  </w:divBdr>
                                  <w:divsChild>
                                    <w:div w:id="1269772977">
                                      <w:marLeft w:val="0"/>
                                      <w:marRight w:val="0"/>
                                      <w:marTop w:val="0"/>
                                      <w:marBottom w:val="0"/>
                                      <w:divBdr>
                                        <w:top w:val="none" w:sz="0" w:space="0" w:color="auto"/>
                                        <w:left w:val="none" w:sz="0" w:space="0" w:color="auto"/>
                                        <w:bottom w:val="none" w:sz="0" w:space="0" w:color="auto"/>
                                        <w:right w:val="none" w:sz="0" w:space="0" w:color="auto"/>
                                      </w:divBdr>
                                      <w:divsChild>
                                        <w:div w:id="498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369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3812-CD17-41DE-A32A-F4584B61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17</cp:revision>
  <cp:lastPrinted>2010-01-04T15:00:00Z</cp:lastPrinted>
  <dcterms:created xsi:type="dcterms:W3CDTF">2009-12-29T16:41:00Z</dcterms:created>
  <dcterms:modified xsi:type="dcterms:W3CDTF">2012-05-14T18:08:00Z</dcterms:modified>
</cp:coreProperties>
</file>